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rPr>
          <w:rFonts w:hint="eastAsia" w:eastAsia="方正仿宋_GBK"/>
          <w:sz w:val="32"/>
          <w:szCs w:val="32"/>
        </w:rPr>
      </w:pPr>
      <w:bookmarkStart w:id="783" w:name="_GoBack"/>
      <w:bookmarkEnd w:id="783"/>
      <w:r>
        <w:rPr>
          <w:rFonts w:hint="eastAsia" w:ascii="Times New Roman" w:eastAsia="方正黑体_GBK"/>
          <w:snapToGrid w:val="0"/>
          <w:kern w:val="0"/>
          <w:sz w:val="32"/>
          <w:szCs w:val="20"/>
        </w:rPr>
        <w:t>附件1</w:t>
      </w:r>
    </w:p>
    <w:p>
      <w:pPr>
        <w:jc w:val="center"/>
        <w:rPr>
          <w:rFonts w:ascii="Times New Roman" w:eastAsia="方正小标宋_GBK"/>
          <w:color w:val="000000"/>
          <w:sz w:val="44"/>
          <w:szCs w:val="44"/>
        </w:rPr>
      </w:pPr>
      <w:r>
        <w:rPr>
          <w:rFonts w:hint="eastAsia" w:ascii="Times New Roman" w:eastAsia="方正小标宋_GBK"/>
          <w:color w:val="000000"/>
          <w:sz w:val="44"/>
          <w:szCs w:val="44"/>
        </w:rPr>
        <w:t>保留文件目录</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268"/>
        <w:gridCol w:w="109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rFonts w:eastAsia="方正黑体_GBK"/>
                <w:color w:val="000000"/>
                <w:szCs w:val="21"/>
              </w:rPr>
            </w:pPr>
            <w:r>
              <w:rPr>
                <w:rFonts w:hint="eastAsia" w:eastAsia="方正黑体_GBK"/>
                <w:color w:val="000000"/>
                <w:szCs w:val="21"/>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rFonts w:eastAsia="方正黑体_GBK"/>
                <w:color w:val="000000"/>
                <w:szCs w:val="21"/>
              </w:rPr>
            </w:pPr>
            <w:r>
              <w:rPr>
                <w:rFonts w:hint="eastAsia" w:eastAsia="方正黑体_GBK"/>
                <w:color w:val="000000"/>
                <w:szCs w:val="21"/>
              </w:rPr>
              <w:t>发文字号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rFonts w:eastAsia="方正黑体_GBK"/>
                <w:color w:val="000000"/>
                <w:szCs w:val="21"/>
              </w:rPr>
            </w:pPr>
            <w:r>
              <w:rPr>
                <w:rFonts w:hint="eastAsia" w:eastAsia="方正黑体_GBK"/>
                <w:color w:val="000000"/>
                <w:szCs w:val="21"/>
              </w:rPr>
              <w:t>规范性文件名称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苏建函房〔</w:t>
            </w:r>
            <w:r>
              <w:rPr>
                <w:color w:val="000000"/>
                <w:sz w:val="18"/>
                <w:szCs w:val="18"/>
              </w:rPr>
              <w:t>2009</w:t>
            </w:r>
            <w:r>
              <w:rPr>
                <w:rFonts w:hint="eastAsia"/>
                <w:color w:val="000000"/>
                <w:sz w:val="18"/>
                <w:szCs w:val="18"/>
              </w:rPr>
              <w:t>〕</w:t>
            </w:r>
            <w:r>
              <w:rPr>
                <w:color w:val="000000"/>
                <w:sz w:val="18"/>
                <w:szCs w:val="18"/>
              </w:rPr>
              <w:t>669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关于进一步规范商品房预（销）售行为的通知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苏建房管〔</w:t>
            </w:r>
            <w:r>
              <w:rPr>
                <w:color w:val="000000"/>
                <w:sz w:val="18"/>
                <w:szCs w:val="18"/>
              </w:rPr>
              <w:t>2015</w:t>
            </w:r>
            <w:r>
              <w:rPr>
                <w:rFonts w:hint="eastAsia"/>
                <w:color w:val="000000"/>
                <w:sz w:val="18"/>
                <w:szCs w:val="18"/>
              </w:rPr>
              <w:t>〕</w:t>
            </w:r>
            <w:r>
              <w:rPr>
                <w:color w:val="000000"/>
                <w:sz w:val="18"/>
                <w:szCs w:val="18"/>
              </w:rPr>
              <w:t>82</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关于在全省住宅装修行业开展放心消费创建活动的通知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苏建函房管〔</w:t>
            </w:r>
            <w:r>
              <w:rPr>
                <w:color w:val="000000"/>
                <w:sz w:val="18"/>
                <w:szCs w:val="18"/>
              </w:rPr>
              <w:t>2015</w:t>
            </w:r>
            <w:r>
              <w:rPr>
                <w:rFonts w:hint="eastAsia"/>
                <w:color w:val="000000"/>
                <w:sz w:val="18"/>
                <w:szCs w:val="18"/>
              </w:rPr>
              <w:t>〕</w:t>
            </w:r>
            <w:r>
              <w:rPr>
                <w:color w:val="000000"/>
                <w:sz w:val="18"/>
                <w:szCs w:val="18"/>
              </w:rPr>
              <w:t>369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关于组织申报创建</w:t>
            </w:r>
            <w:r>
              <w:rPr>
                <w:color w:val="000000"/>
                <w:sz w:val="18"/>
                <w:szCs w:val="18"/>
              </w:rPr>
              <w:t>“</w:t>
            </w:r>
            <w:r>
              <w:rPr>
                <w:rFonts w:hint="eastAsia"/>
                <w:color w:val="000000"/>
                <w:sz w:val="18"/>
                <w:szCs w:val="18"/>
              </w:rPr>
              <w:t>江苏省住宅装修放心消费</w:t>
            </w:r>
            <w:r>
              <w:rPr>
                <w:color w:val="000000"/>
                <w:sz w:val="18"/>
                <w:szCs w:val="18"/>
              </w:rPr>
              <w:t>”</w:t>
            </w:r>
            <w:r>
              <w:rPr>
                <w:rFonts w:hint="eastAsia"/>
                <w:color w:val="000000"/>
                <w:sz w:val="18"/>
                <w:szCs w:val="18"/>
              </w:rPr>
              <w:t>优质企业试点的通知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苏建城〔</w:t>
            </w:r>
            <w:r>
              <w:rPr>
                <w:color w:val="000000"/>
                <w:sz w:val="18"/>
                <w:szCs w:val="18"/>
              </w:rPr>
              <w:t>2001</w:t>
            </w:r>
            <w:r>
              <w:rPr>
                <w:rFonts w:hint="eastAsia"/>
                <w:color w:val="000000"/>
                <w:sz w:val="18"/>
                <w:szCs w:val="18"/>
              </w:rPr>
              <w:t>〕</w:t>
            </w:r>
            <w:r>
              <w:rPr>
                <w:color w:val="000000"/>
                <w:sz w:val="18"/>
                <w:szCs w:val="18"/>
              </w:rPr>
              <w:t>127</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关于无动力生活污水净化装置有关问题的通知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苏建法〔</w:t>
            </w:r>
            <w:r>
              <w:rPr>
                <w:color w:val="000000"/>
                <w:sz w:val="18"/>
                <w:szCs w:val="18"/>
              </w:rPr>
              <w:t>2005</w:t>
            </w:r>
            <w:r>
              <w:rPr>
                <w:rFonts w:hint="eastAsia"/>
                <w:color w:val="000000"/>
                <w:sz w:val="18"/>
                <w:szCs w:val="18"/>
              </w:rPr>
              <w:t>〕</w:t>
            </w:r>
            <w:r>
              <w:rPr>
                <w:color w:val="000000"/>
                <w:sz w:val="18"/>
                <w:szCs w:val="18"/>
              </w:rPr>
              <w:t>256</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关于印发《江苏省瓶装燃气经营许可证和供应许可证管理办法》的通知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苏建城〔</w:t>
            </w:r>
            <w:r>
              <w:rPr>
                <w:color w:val="000000"/>
                <w:sz w:val="18"/>
                <w:szCs w:val="18"/>
              </w:rPr>
              <w:t>2005</w:t>
            </w:r>
            <w:r>
              <w:rPr>
                <w:rFonts w:hint="eastAsia"/>
                <w:color w:val="000000"/>
                <w:sz w:val="18"/>
                <w:szCs w:val="18"/>
              </w:rPr>
              <w:t>〕</w:t>
            </w:r>
            <w:r>
              <w:rPr>
                <w:color w:val="000000"/>
                <w:sz w:val="18"/>
                <w:szCs w:val="18"/>
              </w:rPr>
              <w:t>591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关于贯彻建设部《关于加强市政公用事业监管的意见》的通知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苏建城〔</w:t>
            </w:r>
            <w:r>
              <w:rPr>
                <w:color w:val="000000"/>
                <w:sz w:val="18"/>
                <w:szCs w:val="18"/>
              </w:rPr>
              <w:t>2007</w:t>
            </w:r>
            <w:r>
              <w:rPr>
                <w:rFonts w:hint="eastAsia"/>
                <w:color w:val="000000"/>
                <w:sz w:val="18"/>
                <w:szCs w:val="18"/>
              </w:rPr>
              <w:t>〕</w:t>
            </w:r>
            <w:r>
              <w:rPr>
                <w:color w:val="000000"/>
                <w:sz w:val="18"/>
                <w:szCs w:val="18"/>
              </w:rPr>
              <w:t>205</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关于进一步加强城市供水管理、保障供水安全的通知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苏建规字〔</w:t>
            </w:r>
            <w:r>
              <w:rPr>
                <w:color w:val="000000"/>
                <w:sz w:val="18"/>
                <w:szCs w:val="18"/>
              </w:rPr>
              <w:t>2009</w:t>
            </w:r>
            <w:r>
              <w:rPr>
                <w:rFonts w:hint="eastAsia"/>
                <w:color w:val="000000"/>
                <w:sz w:val="18"/>
                <w:szCs w:val="18"/>
              </w:rPr>
              <w:t>〕</w:t>
            </w:r>
            <w:r>
              <w:rPr>
                <w:color w:val="000000"/>
                <w:sz w:val="18"/>
                <w:szCs w:val="18"/>
              </w:rPr>
              <w:t>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关于印发《江苏省城市供水水质管理办法（试行）》的通知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苏建函城〔</w:t>
            </w:r>
            <w:r>
              <w:rPr>
                <w:color w:val="000000"/>
                <w:sz w:val="18"/>
                <w:szCs w:val="18"/>
              </w:rPr>
              <w:t>2009</w:t>
            </w:r>
            <w:r>
              <w:rPr>
                <w:rFonts w:hint="eastAsia"/>
                <w:color w:val="000000"/>
                <w:sz w:val="18"/>
                <w:szCs w:val="18"/>
              </w:rPr>
              <w:t>〕</w:t>
            </w:r>
            <w:r>
              <w:rPr>
                <w:color w:val="000000"/>
                <w:sz w:val="18"/>
                <w:szCs w:val="18"/>
              </w:rPr>
              <w:t>139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关于进一步加强城市供水水质检测确保城市安全供水的通知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苏建城〔</w:t>
            </w:r>
            <w:r>
              <w:rPr>
                <w:color w:val="000000"/>
                <w:sz w:val="18"/>
                <w:szCs w:val="18"/>
              </w:rPr>
              <w:t>2010</w:t>
            </w:r>
            <w:r>
              <w:rPr>
                <w:rFonts w:hint="eastAsia"/>
                <w:color w:val="000000"/>
                <w:sz w:val="18"/>
                <w:szCs w:val="18"/>
              </w:rPr>
              <w:t>〕</w:t>
            </w:r>
            <w:r>
              <w:rPr>
                <w:color w:val="000000"/>
                <w:sz w:val="18"/>
                <w:szCs w:val="18"/>
              </w:rPr>
              <w:t>95</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关于进一步加强城乡饮用水安全保障工作的通知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苏建函城〔</w:t>
            </w:r>
            <w:r>
              <w:rPr>
                <w:color w:val="000000"/>
                <w:sz w:val="18"/>
                <w:szCs w:val="18"/>
              </w:rPr>
              <w:t>2010</w:t>
            </w:r>
            <w:r>
              <w:rPr>
                <w:rFonts w:hint="eastAsia"/>
                <w:color w:val="000000"/>
                <w:sz w:val="18"/>
                <w:szCs w:val="18"/>
              </w:rPr>
              <w:t>〕</w:t>
            </w:r>
            <w:r>
              <w:rPr>
                <w:color w:val="000000"/>
                <w:sz w:val="18"/>
                <w:szCs w:val="18"/>
              </w:rPr>
              <w:t>176</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关于进一步规范管道燃气用户设施安全检查工作的通知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苏建城〔</w:t>
            </w:r>
            <w:r>
              <w:rPr>
                <w:color w:val="000000"/>
                <w:sz w:val="18"/>
                <w:szCs w:val="18"/>
              </w:rPr>
              <w:t>2011</w:t>
            </w:r>
            <w:r>
              <w:rPr>
                <w:rFonts w:hint="eastAsia"/>
                <w:color w:val="000000"/>
                <w:sz w:val="18"/>
                <w:szCs w:val="18"/>
              </w:rPr>
              <w:t>〕</w:t>
            </w:r>
            <w:r>
              <w:rPr>
                <w:color w:val="000000"/>
                <w:sz w:val="18"/>
                <w:szCs w:val="18"/>
              </w:rPr>
              <w:t>254</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关于切实做好应急备用水源工程建设和管理的通知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苏建城〔</w:t>
            </w:r>
            <w:r>
              <w:rPr>
                <w:color w:val="000000"/>
                <w:sz w:val="18"/>
                <w:szCs w:val="18"/>
              </w:rPr>
              <w:t>2011</w:t>
            </w:r>
            <w:r>
              <w:rPr>
                <w:rFonts w:hint="eastAsia"/>
                <w:color w:val="000000"/>
                <w:sz w:val="18"/>
                <w:szCs w:val="18"/>
              </w:rPr>
              <w:t>〕</w:t>
            </w:r>
            <w:r>
              <w:rPr>
                <w:color w:val="000000"/>
                <w:sz w:val="18"/>
                <w:szCs w:val="18"/>
              </w:rPr>
              <w:t>297</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关于进一步加强城乡供水工作确保安全度夏的通知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苏建函城〔</w:t>
            </w:r>
            <w:r>
              <w:rPr>
                <w:color w:val="000000"/>
                <w:sz w:val="18"/>
                <w:szCs w:val="18"/>
              </w:rPr>
              <w:t>2011</w:t>
            </w:r>
            <w:r>
              <w:rPr>
                <w:rFonts w:hint="eastAsia"/>
                <w:color w:val="000000"/>
                <w:sz w:val="18"/>
                <w:szCs w:val="18"/>
              </w:rPr>
              <w:t>〕</w:t>
            </w:r>
            <w:r>
              <w:rPr>
                <w:color w:val="000000"/>
                <w:sz w:val="18"/>
                <w:szCs w:val="18"/>
              </w:rPr>
              <w:t>886</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关于实施燃气经营许可有关事项的通知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苏建城〔</w:t>
            </w:r>
            <w:r>
              <w:rPr>
                <w:color w:val="000000"/>
                <w:sz w:val="18"/>
                <w:szCs w:val="18"/>
              </w:rPr>
              <w:t>2013</w:t>
            </w:r>
            <w:r>
              <w:rPr>
                <w:rFonts w:hint="eastAsia"/>
                <w:color w:val="000000"/>
                <w:sz w:val="18"/>
                <w:szCs w:val="18"/>
              </w:rPr>
              <w:t>〕</w:t>
            </w:r>
            <w:r>
              <w:rPr>
                <w:color w:val="000000"/>
                <w:sz w:val="18"/>
                <w:szCs w:val="18"/>
              </w:rPr>
              <w:t>89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省住房城乡建设厅关于转发《住房城乡建设部关于加强城镇供水设施改造建设和运行管理工作的通知》的通知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苏建函城〔</w:t>
            </w:r>
            <w:r>
              <w:rPr>
                <w:color w:val="000000"/>
                <w:sz w:val="18"/>
                <w:szCs w:val="18"/>
              </w:rPr>
              <w:t>2013</w:t>
            </w:r>
            <w:r>
              <w:rPr>
                <w:rFonts w:hint="eastAsia"/>
                <w:color w:val="000000"/>
                <w:sz w:val="18"/>
                <w:szCs w:val="18"/>
              </w:rPr>
              <w:t>〕</w:t>
            </w:r>
            <w:r>
              <w:rPr>
                <w:color w:val="000000"/>
                <w:sz w:val="18"/>
                <w:szCs w:val="18"/>
              </w:rPr>
              <w:t>338</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省住房和城乡建设厅关于印发《江苏太湖水源饮用水安全保障技术集成与综合示范课题管理办法》的通知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苏建函城〔</w:t>
            </w:r>
            <w:r>
              <w:rPr>
                <w:color w:val="000000"/>
                <w:sz w:val="18"/>
                <w:szCs w:val="18"/>
              </w:rPr>
              <w:t>2015</w:t>
            </w:r>
            <w:r>
              <w:rPr>
                <w:rFonts w:hint="eastAsia"/>
                <w:color w:val="000000"/>
                <w:sz w:val="18"/>
                <w:szCs w:val="18"/>
              </w:rPr>
              <w:t>〕</w:t>
            </w:r>
            <w:r>
              <w:rPr>
                <w:color w:val="000000"/>
                <w:sz w:val="18"/>
                <w:szCs w:val="18"/>
              </w:rPr>
              <w:t>299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省住房城乡建设厅关于印发《江苏省域城乡统筹供水技术集成与综合示范课题管理办法》、《江苏省域城乡统筹供水技术集成与综合示范课题中央财政经费管理暂行办法》的通知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苏建城〔</w:t>
            </w:r>
            <w:r>
              <w:rPr>
                <w:color w:val="000000"/>
                <w:sz w:val="18"/>
                <w:szCs w:val="18"/>
              </w:rPr>
              <w:t>2015</w:t>
            </w:r>
            <w:r>
              <w:rPr>
                <w:rFonts w:hint="eastAsia"/>
                <w:color w:val="000000"/>
                <w:sz w:val="18"/>
                <w:szCs w:val="18"/>
              </w:rPr>
              <w:t>〕</w:t>
            </w:r>
            <w:r>
              <w:rPr>
                <w:color w:val="000000"/>
                <w:sz w:val="18"/>
                <w:szCs w:val="18"/>
              </w:rPr>
              <w:t>331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省住房和城乡建设厅印发关于推进海绵城市建设指导意见的通知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19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苏建函城〔</w:t>
            </w:r>
            <w:r>
              <w:rPr>
                <w:color w:val="000000"/>
                <w:sz w:val="18"/>
                <w:szCs w:val="18"/>
              </w:rPr>
              <w:t>2015</w:t>
            </w:r>
            <w:r>
              <w:rPr>
                <w:rFonts w:hint="eastAsia"/>
                <w:color w:val="000000"/>
                <w:sz w:val="18"/>
                <w:szCs w:val="18"/>
              </w:rPr>
              <w:t>〕</w:t>
            </w:r>
            <w:r>
              <w:rPr>
                <w:color w:val="000000"/>
                <w:sz w:val="18"/>
                <w:szCs w:val="18"/>
              </w:rPr>
              <w:t>361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省住房城乡建设厅关于转发《住房城乡建设部</w:t>
            </w:r>
            <w:r>
              <w:rPr>
                <w:color w:val="000000"/>
                <w:sz w:val="18"/>
                <w:szCs w:val="18"/>
              </w:rPr>
              <w:t>&lt;</w:t>
            </w:r>
            <w:r>
              <w:rPr>
                <w:rFonts w:hint="eastAsia"/>
                <w:color w:val="000000"/>
                <w:sz w:val="18"/>
                <w:szCs w:val="18"/>
              </w:rPr>
              <w:t>关于印发燃气经营许可管理办法</w:t>
            </w:r>
            <w:r>
              <w:rPr>
                <w:color w:val="000000"/>
                <w:sz w:val="18"/>
                <w:szCs w:val="18"/>
              </w:rPr>
              <w:t>&gt;</w:t>
            </w:r>
            <w:r>
              <w:rPr>
                <w:rFonts w:hint="eastAsia"/>
                <w:color w:val="000000"/>
                <w:sz w:val="18"/>
                <w:szCs w:val="18"/>
              </w:rPr>
              <w:t>的通知》的通知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苏建函城〔</w:t>
            </w:r>
            <w:r>
              <w:rPr>
                <w:color w:val="000000"/>
                <w:sz w:val="18"/>
                <w:szCs w:val="18"/>
              </w:rPr>
              <w:t>2015</w:t>
            </w:r>
            <w:r>
              <w:rPr>
                <w:rFonts w:hint="eastAsia"/>
                <w:color w:val="000000"/>
                <w:sz w:val="18"/>
                <w:szCs w:val="18"/>
              </w:rPr>
              <w:t>〕</w:t>
            </w:r>
            <w:r>
              <w:rPr>
                <w:color w:val="000000"/>
                <w:sz w:val="18"/>
                <w:szCs w:val="18"/>
              </w:rPr>
              <w:t>591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省住房城乡建设厅关于加强城镇燃气地下管线隐患排查和安全管理的通知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苏建规字〔</w:t>
            </w:r>
            <w:r>
              <w:rPr>
                <w:color w:val="000000"/>
                <w:sz w:val="18"/>
                <w:szCs w:val="18"/>
              </w:rPr>
              <w:t>2010</w:t>
            </w:r>
            <w:r>
              <w:rPr>
                <w:rFonts w:hint="eastAsia"/>
                <w:color w:val="000000"/>
                <w:sz w:val="18"/>
                <w:szCs w:val="18"/>
              </w:rPr>
              <w:t>〕</w:t>
            </w:r>
            <w:r>
              <w:rPr>
                <w:color w:val="000000"/>
                <w:sz w:val="18"/>
                <w:szCs w:val="18"/>
              </w:rPr>
              <w:t>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关于进一步加强我省城乡生活垃圾处理设施建设和运行管理工作的意见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苏建规字〔</w:t>
            </w:r>
            <w:r>
              <w:rPr>
                <w:color w:val="000000"/>
                <w:sz w:val="18"/>
                <w:szCs w:val="18"/>
              </w:rPr>
              <w:t>2012</w:t>
            </w:r>
            <w:r>
              <w:rPr>
                <w:rFonts w:hint="eastAsia"/>
                <w:color w:val="000000"/>
                <w:sz w:val="18"/>
                <w:szCs w:val="18"/>
              </w:rPr>
              <w:t>〕</w:t>
            </w:r>
            <w:r>
              <w:rPr>
                <w:color w:val="000000"/>
                <w:sz w:val="18"/>
                <w:szCs w:val="18"/>
              </w:rPr>
              <w:t>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关于进一步加强建筑垃圾和工程渣土运输处置管理工作的意见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2002</w:t>
            </w:r>
            <w:r>
              <w:rPr>
                <w:rFonts w:hint="eastAsia"/>
                <w:color w:val="000000"/>
                <w:sz w:val="18"/>
                <w:szCs w:val="18"/>
              </w:rPr>
              <w:t>〕</w:t>
            </w:r>
            <w:r>
              <w:rPr>
                <w:color w:val="000000"/>
                <w:sz w:val="18"/>
                <w:szCs w:val="18"/>
              </w:rPr>
              <w:t>199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省住房和城乡建设厅关于印发《江苏省建设科技项目管理实施细则》的通知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2003</w:t>
            </w:r>
            <w:r>
              <w:rPr>
                <w:rFonts w:hint="eastAsia"/>
                <w:color w:val="000000"/>
                <w:sz w:val="18"/>
                <w:szCs w:val="18"/>
              </w:rPr>
              <w:t>〕</w:t>
            </w:r>
            <w:r>
              <w:rPr>
                <w:color w:val="000000"/>
                <w:sz w:val="18"/>
                <w:szCs w:val="18"/>
              </w:rPr>
              <w:t>99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关于印发《江苏省建设领域新技术产业化基地和科技示范工程管理实施细则》的通知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2009</w:t>
            </w:r>
            <w:r>
              <w:rPr>
                <w:rFonts w:hint="eastAsia"/>
                <w:color w:val="000000"/>
                <w:sz w:val="18"/>
                <w:szCs w:val="18"/>
              </w:rPr>
              <w:t>〕</w:t>
            </w:r>
            <w:r>
              <w:rPr>
                <w:color w:val="000000"/>
                <w:sz w:val="18"/>
                <w:szCs w:val="18"/>
              </w:rPr>
              <w:t>97</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关于印发《〈江苏省机关办公建筑和大型公共建筑能耗统计管理办法〉和〈江苏省机关办公建筑和大型公共建筑能源审计管理办法〉》的通知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2009</w:t>
            </w:r>
            <w:r>
              <w:rPr>
                <w:rFonts w:hint="eastAsia"/>
                <w:color w:val="000000"/>
                <w:sz w:val="18"/>
                <w:szCs w:val="18"/>
              </w:rPr>
              <w:t>〕</w:t>
            </w:r>
            <w:r>
              <w:rPr>
                <w:color w:val="000000"/>
                <w:sz w:val="18"/>
                <w:szCs w:val="18"/>
              </w:rPr>
              <w:t>103</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关于印发《江苏省绿色建筑创新奖评审办法》的通知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苏建函科〔</w:t>
            </w:r>
            <w:r>
              <w:rPr>
                <w:color w:val="000000"/>
                <w:sz w:val="18"/>
                <w:szCs w:val="18"/>
              </w:rPr>
              <w:t>2009</w:t>
            </w:r>
            <w:r>
              <w:rPr>
                <w:rFonts w:hint="eastAsia"/>
                <w:color w:val="000000"/>
                <w:sz w:val="18"/>
                <w:szCs w:val="18"/>
              </w:rPr>
              <w:t>〕</w:t>
            </w:r>
            <w:r>
              <w:rPr>
                <w:color w:val="000000"/>
                <w:sz w:val="18"/>
                <w:szCs w:val="18"/>
              </w:rPr>
              <w:t>183</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关于贯彻执行住房和城乡建设部《国家机关办公建筑和大型公共建筑能耗监测系统相关技术导则、软件开发指导说明书》等要求的通知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2009</w:t>
            </w:r>
            <w:r>
              <w:rPr>
                <w:rFonts w:hint="eastAsia"/>
                <w:color w:val="000000"/>
                <w:sz w:val="18"/>
                <w:szCs w:val="18"/>
              </w:rPr>
              <w:t>〕</w:t>
            </w:r>
            <w:r>
              <w:rPr>
                <w:color w:val="000000"/>
                <w:sz w:val="18"/>
                <w:szCs w:val="18"/>
              </w:rPr>
              <w:t>307</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关于印发《江苏省省级建筑节能专项引导资金绩效考核暂行办法》的通知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29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2011</w:t>
            </w:r>
            <w:r>
              <w:rPr>
                <w:rFonts w:hint="eastAsia"/>
                <w:color w:val="000000"/>
                <w:sz w:val="18"/>
                <w:szCs w:val="18"/>
              </w:rPr>
              <w:t>〕</w:t>
            </w:r>
            <w:r>
              <w:rPr>
                <w:color w:val="000000"/>
                <w:sz w:val="18"/>
                <w:szCs w:val="18"/>
              </w:rPr>
              <w:t>816</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关于印发《江苏省建筑能效测评标识管理实施细则》的通知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苏建函科〔</w:t>
            </w:r>
            <w:r>
              <w:rPr>
                <w:color w:val="000000"/>
                <w:sz w:val="18"/>
                <w:szCs w:val="18"/>
              </w:rPr>
              <w:t>2012</w:t>
            </w:r>
            <w:r>
              <w:rPr>
                <w:rFonts w:hint="eastAsia"/>
                <w:color w:val="000000"/>
                <w:sz w:val="18"/>
                <w:szCs w:val="18"/>
              </w:rPr>
              <w:t>〕</w:t>
            </w:r>
            <w:r>
              <w:rPr>
                <w:color w:val="000000"/>
                <w:sz w:val="18"/>
                <w:szCs w:val="18"/>
              </w:rPr>
              <w:t>386</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关于加强我省建筑幕墙管理的通知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苏建函科〔</w:t>
            </w:r>
            <w:r>
              <w:rPr>
                <w:color w:val="000000"/>
                <w:sz w:val="18"/>
                <w:szCs w:val="18"/>
              </w:rPr>
              <w:t>2012</w:t>
            </w:r>
            <w:r>
              <w:rPr>
                <w:rFonts w:hint="eastAsia"/>
                <w:color w:val="000000"/>
                <w:sz w:val="18"/>
                <w:szCs w:val="18"/>
              </w:rPr>
              <w:t>〕</w:t>
            </w:r>
            <w:r>
              <w:rPr>
                <w:color w:val="000000"/>
                <w:sz w:val="18"/>
                <w:szCs w:val="18"/>
              </w:rPr>
              <w:t>426</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关于加快应用高强钢筋的实施意见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2013</w:t>
            </w:r>
            <w:r>
              <w:rPr>
                <w:rFonts w:hint="eastAsia"/>
                <w:color w:val="000000"/>
                <w:sz w:val="18"/>
                <w:szCs w:val="18"/>
              </w:rPr>
              <w:t>〕</w:t>
            </w:r>
            <w:r>
              <w:rPr>
                <w:color w:val="000000"/>
                <w:sz w:val="18"/>
                <w:szCs w:val="18"/>
              </w:rPr>
              <w:t>370</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省住房城乡建设厅、省邮政管理局关于进一步加强我省住宅信报箱建设管理工作的通知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2013</w:t>
            </w:r>
            <w:r>
              <w:rPr>
                <w:rFonts w:hint="eastAsia"/>
                <w:color w:val="000000"/>
                <w:sz w:val="18"/>
                <w:szCs w:val="18"/>
              </w:rPr>
              <w:t>〕</w:t>
            </w:r>
            <w:r>
              <w:rPr>
                <w:color w:val="000000"/>
                <w:sz w:val="18"/>
                <w:szCs w:val="18"/>
              </w:rPr>
              <w:t>552</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江苏省住房和城乡建设厅</w:t>
            </w:r>
            <w:r>
              <w:rPr>
                <w:color w:val="000000"/>
                <w:sz w:val="18"/>
                <w:szCs w:val="18"/>
              </w:rPr>
              <w:t xml:space="preserve"> </w:t>
            </w:r>
            <w:r>
              <w:rPr>
                <w:rFonts w:hint="eastAsia"/>
                <w:color w:val="000000"/>
                <w:sz w:val="18"/>
                <w:szCs w:val="18"/>
              </w:rPr>
              <w:t>财政厅关于印发《省级建筑节能和绿色建筑示范区验收评估细则》的通知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苏建函科〔</w:t>
            </w:r>
            <w:r>
              <w:rPr>
                <w:color w:val="000000"/>
                <w:sz w:val="18"/>
                <w:szCs w:val="18"/>
              </w:rPr>
              <w:t>2013</w:t>
            </w:r>
            <w:r>
              <w:rPr>
                <w:rFonts w:hint="eastAsia"/>
                <w:color w:val="000000"/>
                <w:sz w:val="18"/>
                <w:szCs w:val="18"/>
              </w:rPr>
              <w:t>〕</w:t>
            </w:r>
            <w:r>
              <w:rPr>
                <w:color w:val="000000"/>
                <w:sz w:val="18"/>
                <w:szCs w:val="18"/>
              </w:rPr>
              <w:t>711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省住房和城乡建设厅关于加强工程建设企业技术标准质量管理的通知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2015</w:t>
            </w:r>
            <w:r>
              <w:rPr>
                <w:rFonts w:hint="eastAsia"/>
                <w:color w:val="000000"/>
                <w:sz w:val="18"/>
                <w:szCs w:val="18"/>
              </w:rPr>
              <w:t>〕</w:t>
            </w:r>
            <w:r>
              <w:rPr>
                <w:color w:val="000000"/>
                <w:sz w:val="18"/>
                <w:szCs w:val="18"/>
              </w:rPr>
              <w:t>439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省住房城乡建设厅关于实施民用建筑设计方案绿色设计审查的通知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苏建科〔</w:t>
            </w:r>
            <w:r>
              <w:rPr>
                <w:color w:val="000000"/>
                <w:sz w:val="18"/>
                <w:szCs w:val="18"/>
              </w:rPr>
              <w:t>2017</w:t>
            </w:r>
            <w:r>
              <w:rPr>
                <w:rFonts w:hint="eastAsia"/>
                <w:color w:val="000000"/>
                <w:sz w:val="18"/>
                <w:szCs w:val="18"/>
              </w:rPr>
              <w:t>〕</w:t>
            </w:r>
            <w:r>
              <w:rPr>
                <w:color w:val="000000"/>
                <w:sz w:val="18"/>
                <w:szCs w:val="18"/>
              </w:rPr>
              <w:t xml:space="preserve">43 </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省住房城乡建设厅省发展改革委省经信委省环保厅省质监局关于在新建建筑中加快推广应用预制内外墙板预制楼梯板预制楼板的通知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苏建金管〔</w:t>
            </w:r>
            <w:r>
              <w:rPr>
                <w:color w:val="000000"/>
                <w:sz w:val="18"/>
                <w:szCs w:val="18"/>
              </w:rPr>
              <w:t>2005</w:t>
            </w:r>
            <w:r>
              <w:rPr>
                <w:rFonts w:hint="eastAsia"/>
                <w:color w:val="000000"/>
                <w:sz w:val="18"/>
                <w:szCs w:val="18"/>
              </w:rPr>
              <w:t>〕</w:t>
            </w:r>
            <w:r>
              <w:rPr>
                <w:color w:val="000000"/>
                <w:sz w:val="18"/>
                <w:szCs w:val="18"/>
              </w:rPr>
              <w:t>298</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关于住房公积金管理若干具体问题的指导意见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苏建金管〔</w:t>
            </w:r>
            <w:r>
              <w:rPr>
                <w:color w:val="000000"/>
                <w:sz w:val="18"/>
                <w:szCs w:val="18"/>
              </w:rPr>
              <w:t>2011</w:t>
            </w:r>
            <w:r>
              <w:rPr>
                <w:rFonts w:hint="eastAsia"/>
                <w:color w:val="000000"/>
                <w:sz w:val="18"/>
                <w:szCs w:val="18"/>
              </w:rPr>
              <w:t>〕</w:t>
            </w:r>
            <w:r>
              <w:rPr>
                <w:color w:val="000000"/>
                <w:sz w:val="18"/>
                <w:szCs w:val="18"/>
              </w:rPr>
              <w:t>814</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关于调整全省机关事业单位住房公积金缴存比例的通知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39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bookmarkStart w:id="0" w:name="_Toc18315780"/>
            <w:bookmarkStart w:id="1" w:name="_Toc20726639"/>
            <w:r>
              <w:rPr>
                <w:rFonts w:hint="eastAsia"/>
                <w:color w:val="000000"/>
                <w:sz w:val="18"/>
                <w:szCs w:val="18"/>
              </w:rPr>
              <w:t>苏建园〔</w:t>
            </w:r>
            <w:r>
              <w:rPr>
                <w:color w:val="000000"/>
                <w:sz w:val="18"/>
                <w:szCs w:val="18"/>
              </w:rPr>
              <w:t>2000</w:t>
            </w:r>
            <w:r>
              <w:rPr>
                <w:rFonts w:hint="eastAsia"/>
                <w:color w:val="000000"/>
                <w:sz w:val="18"/>
                <w:szCs w:val="18"/>
              </w:rPr>
              <w:t>〕</w:t>
            </w:r>
            <w:r>
              <w:rPr>
                <w:color w:val="000000"/>
                <w:sz w:val="18"/>
                <w:szCs w:val="18"/>
              </w:rPr>
              <w:t>320</w:t>
            </w:r>
            <w:r>
              <w:rPr>
                <w:rFonts w:hint="eastAsia"/>
                <w:color w:val="000000"/>
                <w:sz w:val="18"/>
                <w:szCs w:val="18"/>
              </w:rPr>
              <w:t>号</w:t>
            </w:r>
            <w:bookmarkEnd w:id="0"/>
            <w:bookmarkEnd w:id="1"/>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bookmarkStart w:id="2" w:name="_Toc18315779"/>
            <w:bookmarkStart w:id="3" w:name="_Toc20726638"/>
            <w:r>
              <w:rPr>
                <w:rFonts w:hint="eastAsia"/>
                <w:color w:val="000000"/>
                <w:sz w:val="18"/>
                <w:szCs w:val="18"/>
              </w:rPr>
              <w:t>关于印发《江苏省城市古树名木养护管理暂行规定》</w:t>
            </w:r>
            <w:r>
              <w:rPr>
                <w:color w:val="000000"/>
                <w:sz w:val="18"/>
                <w:szCs w:val="18"/>
              </w:rPr>
              <w:t xml:space="preserve">   </w:t>
            </w:r>
            <w:r>
              <w:rPr>
                <w:rFonts w:hint="eastAsia"/>
                <w:color w:val="000000"/>
                <w:sz w:val="18"/>
                <w:szCs w:val="18"/>
              </w:rPr>
              <w:t>的通知</w:t>
            </w:r>
            <w:bookmarkEnd w:id="2"/>
            <w:bookmarkEnd w:id="3"/>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苏建园〔</w:t>
            </w:r>
            <w:r>
              <w:rPr>
                <w:color w:val="000000"/>
                <w:sz w:val="18"/>
                <w:szCs w:val="18"/>
              </w:rPr>
              <w:t>2013</w:t>
            </w:r>
            <w:r>
              <w:rPr>
                <w:rFonts w:hint="eastAsia"/>
                <w:color w:val="000000"/>
                <w:sz w:val="18"/>
                <w:szCs w:val="18"/>
              </w:rPr>
              <w:t>〕</w:t>
            </w:r>
            <w:r>
              <w:rPr>
                <w:color w:val="000000"/>
                <w:sz w:val="18"/>
                <w:szCs w:val="18"/>
              </w:rPr>
              <w:t>402</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省住房城乡建设厅关于进一步加强公园工作的意见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苏建园〔</w:t>
            </w:r>
            <w:r>
              <w:rPr>
                <w:color w:val="000000"/>
                <w:sz w:val="18"/>
                <w:szCs w:val="18"/>
              </w:rPr>
              <w:t>2013</w:t>
            </w:r>
            <w:r>
              <w:rPr>
                <w:rFonts w:hint="eastAsia"/>
                <w:color w:val="000000"/>
                <w:sz w:val="18"/>
                <w:szCs w:val="18"/>
              </w:rPr>
              <w:t>〕</w:t>
            </w:r>
            <w:r>
              <w:rPr>
                <w:color w:val="000000"/>
                <w:sz w:val="18"/>
                <w:szCs w:val="18"/>
              </w:rPr>
              <w:t>537</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w:t>
            </w:r>
            <w:r>
              <w:rPr>
                <w:color w:val="000000"/>
                <w:sz w:val="18"/>
                <w:szCs w:val="18"/>
              </w:rPr>
              <w:t>2013</w:t>
            </w:r>
            <w:r>
              <w:rPr>
                <w:rFonts w:hint="eastAsia"/>
                <w:color w:val="000000"/>
                <w:sz w:val="18"/>
                <w:szCs w:val="18"/>
              </w:rPr>
              <w:t>年江苏省城市古树名木核查结果的通知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266</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省住房城乡建设厅关于印发《江苏省高支模工程监理实施细则（标准化格式文本）》和《江苏省扣件式钢管脚手架搭设、拆除工程监理实施细则（标准化格式文本）》的通知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314</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省住房城乡建设厅关于印发《江苏省深基坑支护工程监理实施细则（标准化格式文本）》的通知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508</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省住房城乡建设厅关于简化建筑业企业跨区域施工开具相关证明手续的通知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苏建建管〔</w:t>
            </w:r>
            <w:r>
              <w:rPr>
                <w:color w:val="000000"/>
                <w:sz w:val="18"/>
                <w:szCs w:val="18"/>
              </w:rPr>
              <w:t>2013</w:t>
            </w:r>
            <w:r>
              <w:rPr>
                <w:rFonts w:hint="eastAsia"/>
                <w:color w:val="000000"/>
                <w:sz w:val="18"/>
                <w:szCs w:val="18"/>
              </w:rPr>
              <w:t>〕</w:t>
            </w:r>
            <w:r>
              <w:rPr>
                <w:color w:val="000000"/>
                <w:sz w:val="18"/>
                <w:szCs w:val="18"/>
              </w:rPr>
              <w:t>662</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关于印发《江苏省建筑业企业信用综合评价办法（试行）的通知》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苏建函建管〔</w:t>
            </w:r>
            <w:r>
              <w:rPr>
                <w:color w:val="000000"/>
                <w:sz w:val="18"/>
                <w:szCs w:val="18"/>
              </w:rPr>
              <w:t>2018</w:t>
            </w:r>
            <w:r>
              <w:rPr>
                <w:rFonts w:hint="eastAsia"/>
                <w:color w:val="000000"/>
                <w:sz w:val="18"/>
                <w:szCs w:val="18"/>
              </w:rPr>
              <w:t>〕</w:t>
            </w:r>
            <w:r>
              <w:rPr>
                <w:color w:val="000000"/>
                <w:sz w:val="18"/>
                <w:szCs w:val="18"/>
              </w:rPr>
              <w:t>759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省住房城乡建设厅关于修订印发《江苏省项目监理机构工作评价标准》的通知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苏建规字〔</w:t>
            </w:r>
            <w:r>
              <w:rPr>
                <w:color w:val="000000"/>
                <w:sz w:val="18"/>
                <w:szCs w:val="18"/>
              </w:rPr>
              <w:t>2019</w:t>
            </w:r>
            <w:r>
              <w:rPr>
                <w:rFonts w:hint="eastAsia"/>
                <w:color w:val="000000"/>
                <w:sz w:val="18"/>
                <w:szCs w:val="18"/>
              </w:rPr>
              <w:t>〕</w:t>
            </w:r>
            <w:r>
              <w:rPr>
                <w:color w:val="000000"/>
                <w:sz w:val="18"/>
                <w:szCs w:val="18"/>
              </w:rPr>
              <w:t>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江苏省住房和城乡建设厅关于试行调整部分建筑业企业资质承包工程范围的通知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苏建规字</w:t>
            </w:r>
            <w:r>
              <w:rPr>
                <w:rFonts w:hint="eastAsia" w:ascii="Times New Roman" w:hAnsi="Times New Roman"/>
                <w:color w:val="000000"/>
                <w:sz w:val="18"/>
                <w:szCs w:val="18"/>
              </w:rPr>
              <w:t>〔</w:t>
            </w:r>
            <w:r>
              <w:rPr>
                <w:color w:val="000000"/>
                <w:sz w:val="18"/>
                <w:szCs w:val="18"/>
              </w:rPr>
              <w:t>2019</w:t>
            </w:r>
            <w:r>
              <w:rPr>
                <w:rFonts w:hint="eastAsia" w:ascii="Times New Roman" w:hAnsi="Times New Roman"/>
                <w:color w:val="000000"/>
                <w:sz w:val="18"/>
                <w:szCs w:val="18"/>
              </w:rPr>
              <w:t>〕</w:t>
            </w:r>
            <w:r>
              <w:rPr>
                <w:color w:val="000000"/>
                <w:sz w:val="18"/>
                <w:szCs w:val="18"/>
              </w:rPr>
              <w:t>2</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w:t>
            </w:r>
            <w:r>
              <w:rPr>
                <w:color w:val="000000"/>
                <w:sz w:val="18"/>
                <w:szCs w:val="18"/>
              </w:rPr>
              <w:t xml:space="preserve"> </w:t>
            </w:r>
            <w:r>
              <w:rPr>
                <w:rFonts w:hint="eastAsia"/>
                <w:color w:val="000000"/>
                <w:sz w:val="18"/>
                <w:szCs w:val="18"/>
              </w:rPr>
              <w:t>省交通厅</w:t>
            </w:r>
            <w:r>
              <w:rPr>
                <w:color w:val="000000"/>
                <w:sz w:val="18"/>
                <w:szCs w:val="18"/>
              </w:rPr>
              <w:t xml:space="preserve"> </w:t>
            </w:r>
            <w:r>
              <w:rPr>
                <w:rFonts w:hint="eastAsia"/>
                <w:color w:val="000000"/>
                <w:sz w:val="18"/>
                <w:szCs w:val="18"/>
              </w:rPr>
              <w:t>省水利厅关于试行部分类别的施工总承包资质企业跨专业承接工程的通知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49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600" w:lineRule="exact"/>
              <w:jc w:val="center"/>
              <w:rPr>
                <w:color w:val="000000"/>
                <w:sz w:val="18"/>
                <w:szCs w:val="18"/>
              </w:rPr>
            </w:pPr>
            <w:r>
              <w:rPr>
                <w:rFonts w:hint="eastAsia"/>
                <w:color w:val="000000"/>
                <w:sz w:val="18"/>
                <w:szCs w:val="18"/>
              </w:rPr>
              <w:t>苏建规字〔</w:t>
            </w:r>
            <w:r>
              <w:rPr>
                <w:color w:val="000000"/>
                <w:sz w:val="18"/>
                <w:szCs w:val="18"/>
              </w:rPr>
              <w:t>2019</w:t>
            </w:r>
            <w:r>
              <w:rPr>
                <w:rFonts w:hint="eastAsia"/>
                <w:color w:val="000000"/>
                <w:sz w:val="18"/>
                <w:szCs w:val="18"/>
              </w:rPr>
              <w:t>〕</w:t>
            </w:r>
            <w:r>
              <w:rPr>
                <w:color w:val="000000"/>
                <w:sz w:val="18"/>
                <w:szCs w:val="18"/>
              </w:rPr>
              <w:t>4</w:t>
            </w:r>
            <w:r>
              <w:rPr>
                <w:rFonts w:hint="eastAsia"/>
                <w:color w:val="000000"/>
                <w:sz w:val="18"/>
                <w:szCs w:val="18"/>
              </w:rPr>
              <w:t>号</w:t>
            </w:r>
          </w:p>
          <w:p>
            <w:pPr>
              <w:spacing w:line="260" w:lineRule="exact"/>
              <w:jc w:val="center"/>
              <w:rPr>
                <w:color w:val="000000"/>
                <w:sz w:val="18"/>
                <w:szCs w:val="18"/>
              </w:rPr>
            </w:pP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关于印发《江苏省建筑工人实名制管理和工资支付保障实施办法（试行）》的通知</w:t>
            </w:r>
          </w:p>
          <w:p>
            <w:pPr>
              <w:spacing w:line="260" w:lineRule="exact"/>
              <w:rPr>
                <w:color w:val="00000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50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苏建建管〔</w:t>
            </w:r>
            <w:r>
              <w:rPr>
                <w:color w:val="000000"/>
                <w:sz w:val="18"/>
                <w:szCs w:val="18"/>
              </w:rPr>
              <w:t>2019</w:t>
            </w:r>
            <w:r>
              <w:rPr>
                <w:rFonts w:hint="eastAsia"/>
                <w:color w:val="000000"/>
                <w:sz w:val="18"/>
                <w:szCs w:val="18"/>
              </w:rPr>
              <w:t>〕</w:t>
            </w:r>
            <w:r>
              <w:rPr>
                <w:color w:val="000000"/>
                <w:sz w:val="18"/>
                <w:szCs w:val="18"/>
              </w:rPr>
              <w:t>204</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省住房城乡建设厅关于统一使用《江苏省建设工程监理现场用表（第六版）》的通知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51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苏建规字〔</w:t>
            </w:r>
            <w:r>
              <w:rPr>
                <w:color w:val="000000"/>
                <w:sz w:val="18"/>
                <w:szCs w:val="18"/>
              </w:rPr>
              <w:t>2015</w:t>
            </w:r>
            <w:r>
              <w:rPr>
                <w:rFonts w:hint="eastAsia"/>
                <w:color w:val="000000"/>
                <w:sz w:val="18"/>
                <w:szCs w:val="18"/>
              </w:rPr>
              <w:t>〕</w:t>
            </w:r>
            <w:r>
              <w:rPr>
                <w:color w:val="000000"/>
                <w:sz w:val="18"/>
                <w:szCs w:val="18"/>
              </w:rPr>
              <w:t>2</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省住房城乡建设厅关于印发《江苏省优质工程奖</w:t>
            </w:r>
            <w:r>
              <w:rPr>
                <w:color w:val="000000"/>
                <w:sz w:val="18"/>
                <w:szCs w:val="18"/>
              </w:rPr>
              <w:t>“</w:t>
            </w:r>
            <w:r>
              <w:rPr>
                <w:rFonts w:hint="eastAsia"/>
                <w:color w:val="000000"/>
                <w:sz w:val="18"/>
                <w:szCs w:val="18"/>
              </w:rPr>
              <w:t>扬子杯</w:t>
            </w:r>
            <w:r>
              <w:rPr>
                <w:color w:val="000000"/>
                <w:sz w:val="18"/>
                <w:szCs w:val="18"/>
              </w:rPr>
              <w:t>”</w:t>
            </w:r>
            <w:r>
              <w:rPr>
                <w:rFonts w:hint="eastAsia"/>
                <w:color w:val="000000"/>
                <w:sz w:val="18"/>
                <w:szCs w:val="18"/>
              </w:rPr>
              <w:t>评选办法》的通知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52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苏建审批〔</w:t>
            </w:r>
            <w:r>
              <w:rPr>
                <w:color w:val="000000"/>
                <w:sz w:val="18"/>
                <w:szCs w:val="18"/>
              </w:rPr>
              <w:t>2008</w:t>
            </w:r>
            <w:r>
              <w:rPr>
                <w:rFonts w:hint="eastAsia"/>
                <w:color w:val="000000"/>
                <w:sz w:val="18"/>
                <w:szCs w:val="18"/>
              </w:rPr>
              <w:t>〕</w:t>
            </w:r>
            <w:r>
              <w:rPr>
                <w:color w:val="000000"/>
                <w:sz w:val="18"/>
                <w:szCs w:val="18"/>
              </w:rPr>
              <w:t>271</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关于印发《江苏省房地产企业行政许可电子化工作实施细则（试行）》的通知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53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苏建教〔</w:t>
            </w:r>
            <w:r>
              <w:rPr>
                <w:color w:val="000000"/>
                <w:sz w:val="18"/>
                <w:szCs w:val="18"/>
              </w:rPr>
              <w:t>2017</w:t>
            </w:r>
            <w:r>
              <w:rPr>
                <w:rFonts w:hint="eastAsia"/>
                <w:color w:val="000000"/>
                <w:sz w:val="18"/>
                <w:szCs w:val="18"/>
              </w:rPr>
              <w:t>〕</w:t>
            </w:r>
            <w:r>
              <w:rPr>
                <w:color w:val="000000"/>
                <w:sz w:val="18"/>
                <w:szCs w:val="18"/>
              </w:rPr>
              <w:t>16</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省住房城乡建设厅关于开展燃气经营企业从业人员专业培训考核的通知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54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苏建教〔</w:t>
            </w:r>
            <w:r>
              <w:rPr>
                <w:color w:val="000000"/>
                <w:sz w:val="18"/>
                <w:szCs w:val="18"/>
              </w:rPr>
              <w:t>2017</w:t>
            </w:r>
            <w:r>
              <w:rPr>
                <w:rFonts w:hint="eastAsia"/>
                <w:color w:val="000000"/>
                <w:sz w:val="18"/>
                <w:szCs w:val="18"/>
              </w:rPr>
              <w:t>〕</w:t>
            </w:r>
            <w:r>
              <w:rPr>
                <w:color w:val="000000"/>
                <w:sz w:val="18"/>
                <w:szCs w:val="18"/>
              </w:rPr>
              <w:t>440</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省住房城乡建设厅关于进一步完善我省建筑施工企业主要负责人、项目负责人和专职安全生产管理人员安全生产知识考核管理工作的通知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55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苏建价〔</w:t>
            </w:r>
            <w:r>
              <w:rPr>
                <w:color w:val="000000"/>
                <w:sz w:val="18"/>
                <w:szCs w:val="18"/>
              </w:rPr>
              <w:t>2007</w:t>
            </w:r>
            <w:r>
              <w:rPr>
                <w:rFonts w:hint="eastAsia"/>
                <w:color w:val="000000"/>
                <w:sz w:val="18"/>
                <w:szCs w:val="18"/>
              </w:rPr>
              <w:t>〕</w:t>
            </w:r>
            <w:r>
              <w:rPr>
                <w:color w:val="000000"/>
                <w:sz w:val="18"/>
                <w:szCs w:val="18"/>
              </w:rPr>
              <w:t>355</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关于贯彻实施《江苏省仿古建筑与园林工程计价表》的通知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56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苏建价〔</w:t>
            </w:r>
            <w:r>
              <w:rPr>
                <w:color w:val="000000"/>
                <w:sz w:val="18"/>
                <w:szCs w:val="18"/>
              </w:rPr>
              <w:t>2008</w:t>
            </w:r>
            <w:r>
              <w:rPr>
                <w:rFonts w:hint="eastAsia"/>
                <w:color w:val="000000"/>
                <w:sz w:val="18"/>
                <w:szCs w:val="18"/>
              </w:rPr>
              <w:t>〕</w:t>
            </w:r>
            <w:r>
              <w:rPr>
                <w:color w:val="000000"/>
                <w:sz w:val="18"/>
                <w:szCs w:val="18"/>
              </w:rPr>
              <w:t>67</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关于加强建筑材料价格风险控制的指导意见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57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苏建价〔</w:t>
            </w:r>
            <w:r>
              <w:rPr>
                <w:color w:val="000000"/>
                <w:sz w:val="18"/>
                <w:szCs w:val="18"/>
              </w:rPr>
              <w:t>2012</w:t>
            </w:r>
            <w:r>
              <w:rPr>
                <w:rFonts w:hint="eastAsia"/>
                <w:color w:val="000000"/>
                <w:sz w:val="18"/>
                <w:szCs w:val="18"/>
              </w:rPr>
              <w:t>〕</w:t>
            </w:r>
            <w:r>
              <w:rPr>
                <w:color w:val="000000"/>
                <w:sz w:val="18"/>
                <w:szCs w:val="18"/>
              </w:rPr>
              <w:t>633</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省住房和城乡建设厅关于对建设工程人工工资单价实行动态管理的通知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sz w:val="18"/>
                <w:szCs w:val="18"/>
              </w:rPr>
            </w:pPr>
            <w:r>
              <w:rPr>
                <w:sz w:val="18"/>
                <w:szCs w:val="18"/>
              </w:rPr>
              <w:t>58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苏建价〔</w:t>
            </w:r>
            <w:r>
              <w:rPr>
                <w:color w:val="000000"/>
                <w:sz w:val="18"/>
                <w:szCs w:val="18"/>
              </w:rPr>
              <w:t>201</w:t>
            </w:r>
            <w:r>
              <w:rPr>
                <w:rFonts w:hint="eastAsia"/>
                <w:color w:val="000000"/>
                <w:sz w:val="18"/>
                <w:szCs w:val="18"/>
              </w:rPr>
              <w:t>4〕448号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sz w:val="18"/>
                <w:szCs w:val="18"/>
              </w:rPr>
            </w:pPr>
            <w:r>
              <w:rPr>
                <w:rFonts w:hint="eastAsia" w:ascii="Times New Roman" w:hAnsi="Times New Roman" w:cs="宋体"/>
                <w:spacing w:val="-6"/>
                <w:kern w:val="0"/>
                <w:sz w:val="18"/>
                <w:szCs w:val="18"/>
              </w:rPr>
              <w:t>省住房城乡建设厅关于&lt;建设工程工程量清单计价规范&gt;</w:t>
            </w:r>
            <w:r>
              <w:rPr>
                <w:rFonts w:hint="eastAsia"/>
                <w:color w:val="000000"/>
                <w:sz w:val="18"/>
                <w:szCs w:val="18"/>
              </w:rPr>
              <w:t>（GB50500-2013）</w:t>
            </w:r>
            <w:r>
              <w:rPr>
                <w:rFonts w:hint="eastAsia" w:ascii="Times New Roman" w:hAnsi="Times New Roman" w:cs="宋体"/>
                <w:spacing w:val="-6"/>
                <w:kern w:val="0"/>
                <w:sz w:val="18"/>
                <w:szCs w:val="18"/>
              </w:rPr>
              <w:t>及其9本工程量计算规范的贯彻意见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sz w:val="18"/>
                <w:szCs w:val="18"/>
              </w:rPr>
            </w:pPr>
            <w:r>
              <w:rPr>
                <w:sz w:val="18"/>
                <w:szCs w:val="18"/>
              </w:rPr>
              <w:t>59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苏建规字〔2014〕4号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sz w:val="18"/>
                <w:szCs w:val="18"/>
              </w:rPr>
            </w:pPr>
            <w:r>
              <w:rPr>
                <w:rFonts w:hint="eastAsia" w:ascii="Times New Roman" w:hAnsi="Times New Roman" w:cs="宋体"/>
                <w:spacing w:val="-6"/>
                <w:kern w:val="0"/>
                <w:sz w:val="18"/>
                <w:szCs w:val="18"/>
              </w:rPr>
              <w:t xml:space="preserve">江苏省房屋建筑和市政基础设施工程评标专家管理办法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60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苏建档〔</w:t>
            </w:r>
            <w:r>
              <w:rPr>
                <w:color w:val="000000"/>
                <w:sz w:val="18"/>
                <w:szCs w:val="18"/>
              </w:rPr>
              <w:t>2009</w:t>
            </w:r>
            <w:r>
              <w:rPr>
                <w:rFonts w:hint="eastAsia"/>
                <w:color w:val="000000"/>
                <w:sz w:val="18"/>
                <w:szCs w:val="18"/>
              </w:rPr>
              <w:t>〕</w:t>
            </w:r>
            <w:r>
              <w:rPr>
                <w:color w:val="000000"/>
                <w:sz w:val="18"/>
                <w:szCs w:val="18"/>
              </w:rPr>
              <w:t>262</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关于进一步加强村镇建设档案工作的通知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61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苏建档〔</w:t>
            </w:r>
            <w:r>
              <w:rPr>
                <w:color w:val="000000"/>
                <w:sz w:val="18"/>
                <w:szCs w:val="18"/>
              </w:rPr>
              <w:t>2009</w:t>
            </w:r>
            <w:r>
              <w:rPr>
                <w:rFonts w:hint="eastAsia"/>
                <w:color w:val="000000"/>
                <w:sz w:val="18"/>
                <w:szCs w:val="18"/>
              </w:rPr>
              <w:t>〕</w:t>
            </w:r>
            <w:r>
              <w:rPr>
                <w:color w:val="000000"/>
                <w:sz w:val="18"/>
                <w:szCs w:val="18"/>
              </w:rPr>
              <w:t>285</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关于进一步加强开发区建设档案管理工作的通知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62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苏建质〔</w:t>
            </w:r>
            <w:r>
              <w:rPr>
                <w:color w:val="000000"/>
                <w:sz w:val="18"/>
                <w:szCs w:val="18"/>
              </w:rPr>
              <w:t>2004</w:t>
            </w:r>
            <w:r>
              <w:rPr>
                <w:rFonts w:hint="eastAsia"/>
                <w:color w:val="000000"/>
                <w:sz w:val="18"/>
                <w:szCs w:val="18"/>
              </w:rPr>
              <w:t>〕</w:t>
            </w:r>
            <w:r>
              <w:rPr>
                <w:color w:val="000000"/>
                <w:sz w:val="18"/>
                <w:szCs w:val="18"/>
              </w:rPr>
              <w:t>372</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关于改变我省建设工程质量见证取样检测委托方有关事项的通知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63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苏建质〔</w:t>
            </w:r>
            <w:r>
              <w:rPr>
                <w:color w:val="000000"/>
                <w:sz w:val="18"/>
                <w:szCs w:val="18"/>
              </w:rPr>
              <w:t>2006</w:t>
            </w:r>
            <w:r>
              <w:rPr>
                <w:rFonts w:hint="eastAsia"/>
                <w:color w:val="000000"/>
                <w:sz w:val="18"/>
                <w:szCs w:val="18"/>
              </w:rPr>
              <w:t>〕</w:t>
            </w:r>
            <w:r>
              <w:rPr>
                <w:color w:val="000000"/>
                <w:sz w:val="18"/>
                <w:szCs w:val="18"/>
              </w:rPr>
              <w:t>487</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关于印发《江苏省建设工程质量检测机构与人员信用管理规定》的通知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64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苏建质安〔</w:t>
            </w:r>
            <w:r>
              <w:rPr>
                <w:color w:val="000000"/>
                <w:sz w:val="18"/>
                <w:szCs w:val="18"/>
              </w:rPr>
              <w:t>2016</w:t>
            </w:r>
            <w:r>
              <w:rPr>
                <w:rFonts w:hint="eastAsia"/>
                <w:color w:val="000000"/>
                <w:sz w:val="18"/>
                <w:szCs w:val="18"/>
              </w:rPr>
              <w:t>〕</w:t>
            </w:r>
            <w:r>
              <w:rPr>
                <w:color w:val="000000"/>
                <w:sz w:val="18"/>
                <w:szCs w:val="18"/>
              </w:rPr>
              <w:t>389</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关于加强建筑施工企业主要负责人、项目负责人和专职安全生产管理人员安全生产考核合格证书管理工作的通知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color w:val="000000"/>
                <w:sz w:val="18"/>
                <w:szCs w:val="18"/>
              </w:rPr>
              <w:t>65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color w:val="000000"/>
                <w:sz w:val="18"/>
                <w:szCs w:val="18"/>
              </w:rPr>
            </w:pPr>
            <w:r>
              <w:rPr>
                <w:rFonts w:hint="eastAsia"/>
                <w:color w:val="000000"/>
                <w:sz w:val="18"/>
                <w:szCs w:val="18"/>
              </w:rPr>
              <w:t>苏建规字〔</w:t>
            </w:r>
            <w:r>
              <w:rPr>
                <w:color w:val="000000"/>
                <w:sz w:val="18"/>
                <w:szCs w:val="18"/>
              </w:rPr>
              <w:t>2019</w:t>
            </w:r>
            <w:r>
              <w:rPr>
                <w:rFonts w:hint="eastAsia"/>
                <w:color w:val="000000"/>
                <w:sz w:val="18"/>
                <w:szCs w:val="18"/>
              </w:rPr>
              <w:t>〕</w:t>
            </w:r>
            <w:r>
              <w:rPr>
                <w:color w:val="000000"/>
                <w:sz w:val="18"/>
                <w:szCs w:val="18"/>
              </w:rPr>
              <w:t>3</w:t>
            </w:r>
            <w:r>
              <w:rPr>
                <w:rFonts w:hint="eastAsia"/>
                <w:color w:val="000000"/>
                <w:sz w:val="18"/>
                <w:szCs w:val="18"/>
              </w:rPr>
              <w:t>号</w:t>
            </w:r>
          </w:p>
        </w:tc>
        <w:tc>
          <w:tcPr>
            <w:tcW w:w="1091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color w:val="000000"/>
                <w:sz w:val="18"/>
                <w:szCs w:val="18"/>
              </w:rPr>
            </w:pPr>
            <w:r>
              <w:rPr>
                <w:rFonts w:hint="eastAsia"/>
                <w:color w:val="000000"/>
                <w:sz w:val="18"/>
                <w:szCs w:val="18"/>
              </w:rPr>
              <w:t>江苏省二级造价工程师职业资格考试实施办法</w:t>
            </w:r>
            <w:r>
              <w:rPr>
                <w:color w:val="000000"/>
                <w:sz w:val="18"/>
                <w:szCs w:val="18"/>
              </w:rPr>
              <w:t>(</w:t>
            </w:r>
            <w:r>
              <w:rPr>
                <w:rFonts w:hint="eastAsia"/>
                <w:color w:val="000000"/>
                <w:sz w:val="18"/>
                <w:szCs w:val="18"/>
              </w:rPr>
              <w:t>试行</w:t>
            </w:r>
            <w:r>
              <w:rPr>
                <w:color w:val="000000"/>
                <w:sz w:val="18"/>
                <w:szCs w:val="18"/>
              </w:rPr>
              <w:t>)</w:t>
            </w:r>
          </w:p>
        </w:tc>
      </w:tr>
    </w:tbl>
    <w:p>
      <w:pPr>
        <w:rPr>
          <w:rFonts w:hint="eastAsia"/>
          <w:color w:val="000000"/>
          <w:sz w:val="18"/>
          <w:szCs w:val="18"/>
        </w:rPr>
      </w:pPr>
    </w:p>
    <w:p>
      <w:pPr>
        <w:rPr>
          <w:rFonts w:ascii="Times New Roman" w:eastAsia="方正黑体_GBK"/>
          <w:color w:val="000000"/>
          <w:sz w:val="44"/>
          <w:szCs w:val="44"/>
        </w:rPr>
      </w:pPr>
      <w:r>
        <w:rPr>
          <w:color w:val="000000"/>
          <w:sz w:val="18"/>
          <w:szCs w:val="18"/>
        </w:rPr>
        <w:br w:type="column"/>
      </w:r>
      <w:r>
        <w:rPr>
          <w:rFonts w:hint="eastAsia" w:ascii="Times New Roman" w:eastAsia="方正黑体_GBK"/>
          <w:color w:val="000000"/>
          <w:sz w:val="32"/>
          <w:szCs w:val="32"/>
        </w:rPr>
        <w:t>附件2</w:t>
      </w:r>
    </w:p>
    <w:p>
      <w:pPr>
        <w:jc w:val="center"/>
        <w:rPr>
          <w:rFonts w:hint="eastAsia" w:ascii="Times New Roman" w:eastAsia="方正黑体_GBK"/>
          <w:color w:val="000000"/>
          <w:sz w:val="52"/>
          <w:szCs w:val="52"/>
        </w:rPr>
      </w:pPr>
      <w:r>
        <w:rPr>
          <w:rFonts w:hint="eastAsia" w:ascii="Times New Roman" w:eastAsia="方正小标宋_GBK"/>
          <w:color w:val="000000"/>
          <w:sz w:val="44"/>
          <w:szCs w:val="44"/>
        </w:rPr>
        <w:t>废止文件目录</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268"/>
        <w:gridCol w:w="110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黑体_GBK"/>
                <w:color w:val="000000"/>
                <w:sz w:val="18"/>
                <w:szCs w:val="18"/>
              </w:rPr>
            </w:pPr>
            <w:r>
              <w:rPr>
                <w:rFonts w:hint="eastAsia" w:eastAsia="方正黑体_GBK"/>
                <w:color w:val="000000"/>
                <w:sz w:val="18"/>
                <w:szCs w:val="18"/>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黑体_GBK"/>
                <w:color w:val="000000"/>
                <w:sz w:val="18"/>
                <w:szCs w:val="18"/>
              </w:rPr>
            </w:pPr>
            <w:r>
              <w:rPr>
                <w:rFonts w:hint="eastAsia" w:eastAsia="方正黑体_GBK"/>
                <w:color w:val="000000"/>
                <w:sz w:val="18"/>
                <w:szCs w:val="18"/>
              </w:rPr>
              <w:t>发文字号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黑体_GBK"/>
                <w:color w:val="000000"/>
                <w:sz w:val="18"/>
                <w:szCs w:val="18"/>
              </w:rPr>
            </w:pPr>
            <w:r>
              <w:rPr>
                <w:rFonts w:hint="eastAsia" w:eastAsia="方正黑体_GBK"/>
                <w:color w:val="000000"/>
                <w:sz w:val="18"/>
                <w:szCs w:val="18"/>
              </w:rPr>
              <w:t>规范性文件名称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苏建城〔</w:t>
            </w:r>
            <w:r>
              <w:rPr>
                <w:color w:val="000000"/>
                <w:sz w:val="18"/>
                <w:szCs w:val="18"/>
              </w:rPr>
              <w:t>2001</w:t>
            </w:r>
            <w:r>
              <w:rPr>
                <w:rFonts w:hint="eastAsia" w:hAnsi="Times New Roman"/>
                <w:color w:val="000000"/>
                <w:sz w:val="18"/>
                <w:szCs w:val="18"/>
              </w:rPr>
              <w:t>〕</w:t>
            </w:r>
            <w:r>
              <w:rPr>
                <w:color w:val="000000"/>
                <w:sz w:val="18"/>
                <w:szCs w:val="18"/>
              </w:rPr>
              <w:t>128</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关于认真贯彻《省政府关于切实加强城市供水节水与水污染防治工作的通知》的意见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苏建城〔</w:t>
            </w:r>
            <w:r>
              <w:rPr>
                <w:color w:val="000000"/>
                <w:sz w:val="18"/>
                <w:szCs w:val="18"/>
              </w:rPr>
              <w:t>2003</w:t>
            </w:r>
            <w:r>
              <w:rPr>
                <w:rFonts w:hint="eastAsia" w:hAnsi="Times New Roman"/>
                <w:color w:val="000000"/>
                <w:sz w:val="18"/>
                <w:szCs w:val="18"/>
              </w:rPr>
              <w:t>〕</w:t>
            </w:r>
            <w:r>
              <w:rPr>
                <w:color w:val="000000"/>
                <w:sz w:val="18"/>
                <w:szCs w:val="18"/>
              </w:rPr>
              <w:t>326</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关于进一步加强全省城市节约用水和保证供水安全工作的通知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苏建城〔</w:t>
            </w:r>
            <w:r>
              <w:rPr>
                <w:color w:val="000000"/>
                <w:sz w:val="18"/>
                <w:szCs w:val="18"/>
              </w:rPr>
              <w:t>2004</w:t>
            </w:r>
            <w:r>
              <w:rPr>
                <w:rFonts w:hint="eastAsia" w:hAnsi="Times New Roman"/>
                <w:color w:val="000000"/>
                <w:sz w:val="18"/>
                <w:szCs w:val="18"/>
              </w:rPr>
              <w:t>〕</w:t>
            </w:r>
            <w:r>
              <w:rPr>
                <w:color w:val="000000"/>
                <w:sz w:val="18"/>
                <w:szCs w:val="18"/>
              </w:rPr>
              <w:t>258</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关于印发江苏省城市供水、燃气、公共交通等行业服务公开内容的通知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苏建城〔</w:t>
            </w:r>
            <w:r>
              <w:rPr>
                <w:color w:val="000000"/>
                <w:sz w:val="18"/>
                <w:szCs w:val="18"/>
              </w:rPr>
              <w:t>2004</w:t>
            </w:r>
            <w:r>
              <w:rPr>
                <w:rFonts w:hint="eastAsia" w:hAnsi="Times New Roman"/>
                <w:color w:val="000000"/>
                <w:sz w:val="18"/>
                <w:szCs w:val="18"/>
              </w:rPr>
              <w:t>〕</w:t>
            </w:r>
            <w:r>
              <w:rPr>
                <w:color w:val="000000"/>
                <w:sz w:val="18"/>
                <w:szCs w:val="18"/>
              </w:rPr>
              <w:t>422</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关于贯彻落实《关于加强城市桥梁管理工作的通知》的通知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苏建城〔</w:t>
            </w:r>
            <w:r>
              <w:rPr>
                <w:color w:val="000000"/>
                <w:sz w:val="18"/>
                <w:szCs w:val="18"/>
              </w:rPr>
              <w:t>2006</w:t>
            </w:r>
            <w:r>
              <w:rPr>
                <w:rFonts w:hint="eastAsia" w:hAnsi="Times New Roman"/>
                <w:color w:val="000000"/>
                <w:sz w:val="18"/>
                <w:szCs w:val="18"/>
              </w:rPr>
              <w:t>〕</w:t>
            </w:r>
            <w:r>
              <w:rPr>
                <w:color w:val="000000"/>
                <w:sz w:val="18"/>
                <w:szCs w:val="18"/>
              </w:rPr>
              <w:t>24</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关于贯彻实施《城市供水水质标准》加强城市供水水质安全保障和督察工作的通知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苏建函城〔</w:t>
            </w:r>
            <w:r>
              <w:rPr>
                <w:color w:val="000000"/>
                <w:sz w:val="18"/>
                <w:szCs w:val="18"/>
              </w:rPr>
              <w:t>2007</w:t>
            </w:r>
            <w:r>
              <w:rPr>
                <w:rFonts w:hint="eastAsia" w:hAnsi="Times New Roman"/>
                <w:color w:val="000000"/>
                <w:sz w:val="18"/>
                <w:szCs w:val="18"/>
              </w:rPr>
              <w:t>〕</w:t>
            </w:r>
            <w:r>
              <w:rPr>
                <w:color w:val="000000"/>
                <w:sz w:val="18"/>
                <w:szCs w:val="18"/>
              </w:rPr>
              <w:t>425</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关于建立城市供水安全保供报告制度的通知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苏建函城〔</w:t>
            </w:r>
            <w:r>
              <w:rPr>
                <w:color w:val="000000"/>
                <w:sz w:val="18"/>
                <w:szCs w:val="18"/>
              </w:rPr>
              <w:t>2009</w:t>
            </w:r>
            <w:r>
              <w:rPr>
                <w:rFonts w:hint="eastAsia" w:hAnsi="Times New Roman"/>
                <w:color w:val="000000"/>
                <w:sz w:val="18"/>
                <w:szCs w:val="18"/>
              </w:rPr>
              <w:t>〕</w:t>
            </w:r>
            <w:r>
              <w:rPr>
                <w:color w:val="000000"/>
                <w:sz w:val="18"/>
                <w:szCs w:val="18"/>
              </w:rPr>
              <w:t>3</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关于转发建设部《关于印发供水、供气、供热等公用事业单位信息公开实施办法的通知》的通知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苏建城〔</w:t>
            </w:r>
            <w:r>
              <w:rPr>
                <w:color w:val="000000"/>
                <w:sz w:val="18"/>
                <w:szCs w:val="18"/>
              </w:rPr>
              <w:t>2013</w:t>
            </w:r>
            <w:r>
              <w:rPr>
                <w:rFonts w:hint="eastAsia" w:hAnsi="Times New Roman"/>
                <w:color w:val="000000"/>
                <w:sz w:val="18"/>
                <w:szCs w:val="18"/>
              </w:rPr>
              <w:t>〕</w:t>
            </w:r>
            <w:r>
              <w:rPr>
                <w:color w:val="000000"/>
                <w:sz w:val="18"/>
                <w:szCs w:val="18"/>
              </w:rPr>
              <w:t>451</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省住房城乡建设厅关于开展江苏省城市公共供水企业名录公告工作的通知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苏建村（</w:t>
            </w:r>
            <w:r>
              <w:rPr>
                <w:color w:val="000000"/>
                <w:sz w:val="18"/>
                <w:szCs w:val="18"/>
              </w:rPr>
              <w:t>2004</w:t>
            </w:r>
            <w:r>
              <w:rPr>
                <w:rFonts w:hint="eastAsia" w:hAnsi="Times New Roman"/>
                <w:color w:val="000000"/>
                <w:sz w:val="18"/>
                <w:szCs w:val="18"/>
              </w:rPr>
              <w:t>）</w:t>
            </w:r>
            <w:r>
              <w:rPr>
                <w:color w:val="000000"/>
                <w:sz w:val="18"/>
                <w:szCs w:val="18"/>
              </w:rPr>
              <w:t>157</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关于进一步加强村镇建设抗震防灾工作的意见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苏建办〔</w:t>
            </w:r>
            <w:r>
              <w:rPr>
                <w:color w:val="000000"/>
                <w:sz w:val="18"/>
                <w:szCs w:val="18"/>
              </w:rPr>
              <w:t>2010</w:t>
            </w:r>
            <w:r>
              <w:rPr>
                <w:rFonts w:hint="eastAsia" w:hAnsi="Times New Roman"/>
                <w:color w:val="000000"/>
                <w:sz w:val="18"/>
                <w:szCs w:val="18"/>
              </w:rPr>
              <w:t>〕</w:t>
            </w:r>
            <w:r>
              <w:rPr>
                <w:color w:val="000000"/>
                <w:sz w:val="18"/>
                <w:szCs w:val="18"/>
              </w:rPr>
              <w:t>242</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关于规范全省农民集中居住点房屋代建管理的意见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苏建村〔</w:t>
            </w:r>
            <w:r>
              <w:rPr>
                <w:color w:val="000000"/>
                <w:sz w:val="18"/>
                <w:szCs w:val="18"/>
              </w:rPr>
              <w:t>2012</w:t>
            </w:r>
            <w:r>
              <w:rPr>
                <w:rFonts w:hint="eastAsia" w:hAnsi="Times New Roman"/>
                <w:color w:val="000000"/>
                <w:sz w:val="18"/>
                <w:szCs w:val="18"/>
              </w:rPr>
              <w:t>〕</w:t>
            </w:r>
            <w:r>
              <w:rPr>
                <w:color w:val="000000"/>
                <w:sz w:val="18"/>
                <w:szCs w:val="18"/>
              </w:rPr>
              <w:t>201</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关于印发《江苏省康居乡村乐游农家创建评定实施办法（试行）》的通知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苏建科〔</w:t>
            </w:r>
            <w:r>
              <w:rPr>
                <w:color w:val="000000"/>
                <w:sz w:val="18"/>
                <w:szCs w:val="18"/>
              </w:rPr>
              <w:t>2008</w:t>
            </w:r>
            <w:r>
              <w:rPr>
                <w:rFonts w:hint="eastAsia" w:hAnsi="Times New Roman"/>
                <w:color w:val="000000"/>
                <w:sz w:val="18"/>
                <w:szCs w:val="18"/>
              </w:rPr>
              <w:t>〕</w:t>
            </w:r>
            <w:r>
              <w:rPr>
                <w:color w:val="000000"/>
                <w:sz w:val="18"/>
                <w:szCs w:val="18"/>
              </w:rPr>
              <w:t>206</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关于加强节能建筑墙体自保温推广应用的通知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苏建科〔</w:t>
            </w:r>
            <w:r>
              <w:rPr>
                <w:color w:val="000000"/>
                <w:sz w:val="18"/>
                <w:szCs w:val="18"/>
              </w:rPr>
              <w:t>2008</w:t>
            </w:r>
            <w:r>
              <w:rPr>
                <w:rFonts w:hint="eastAsia" w:hAnsi="Times New Roman"/>
                <w:color w:val="000000"/>
                <w:sz w:val="18"/>
                <w:szCs w:val="18"/>
              </w:rPr>
              <w:t>〕</w:t>
            </w:r>
            <w:r>
              <w:rPr>
                <w:color w:val="000000"/>
                <w:sz w:val="18"/>
                <w:szCs w:val="18"/>
              </w:rPr>
              <w:t>353</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关于进一步加强太阳能热水系统推广应用和管理的通知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苏建科〔</w:t>
            </w:r>
            <w:r>
              <w:rPr>
                <w:color w:val="000000"/>
                <w:sz w:val="18"/>
                <w:szCs w:val="18"/>
              </w:rPr>
              <w:t>2007</w:t>
            </w:r>
            <w:r>
              <w:rPr>
                <w:rFonts w:hint="eastAsia" w:hAnsi="Times New Roman"/>
                <w:color w:val="000000"/>
                <w:sz w:val="18"/>
                <w:szCs w:val="18"/>
              </w:rPr>
              <w:t>〕</w:t>
            </w:r>
            <w:r>
              <w:rPr>
                <w:color w:val="000000"/>
                <w:sz w:val="18"/>
                <w:szCs w:val="18"/>
              </w:rPr>
              <w:t>307</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关于印发《江苏省勘察设计企业诚信手册暂行管理办法》及《江苏省勘察设计企业诚信手册》的通知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苏建科〔</w:t>
            </w:r>
            <w:r>
              <w:rPr>
                <w:color w:val="000000"/>
                <w:sz w:val="18"/>
                <w:szCs w:val="18"/>
              </w:rPr>
              <w:t>2008</w:t>
            </w:r>
            <w:r>
              <w:rPr>
                <w:rFonts w:hint="eastAsia" w:hAnsi="Times New Roman"/>
                <w:color w:val="000000"/>
                <w:sz w:val="18"/>
                <w:szCs w:val="18"/>
              </w:rPr>
              <w:t>〕</w:t>
            </w:r>
            <w:r>
              <w:rPr>
                <w:color w:val="000000"/>
                <w:sz w:val="18"/>
                <w:szCs w:val="18"/>
              </w:rPr>
              <w:t>323</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关于印发《省外勘察设计企业进江苏承接工程项目资质核验办法》的通知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w:t>
            </w:r>
            <w:r>
              <w:rPr>
                <w:color w:val="000000"/>
                <w:sz w:val="18"/>
                <w:szCs w:val="18"/>
              </w:rPr>
              <w:t>2009</w:t>
            </w:r>
            <w:r>
              <w:rPr>
                <w:rFonts w:hint="eastAsia" w:hAnsi="Times New Roman"/>
                <w:color w:val="000000"/>
                <w:sz w:val="18"/>
                <w:szCs w:val="18"/>
              </w:rPr>
              <w:t>〕</w:t>
            </w:r>
            <w:r>
              <w:rPr>
                <w:color w:val="000000"/>
                <w:sz w:val="18"/>
                <w:szCs w:val="18"/>
              </w:rPr>
              <w:t>218</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关于印发《江苏省城市规划公示制度（</w:t>
            </w:r>
            <w:r>
              <w:rPr>
                <w:color w:val="000000"/>
                <w:sz w:val="18"/>
                <w:szCs w:val="18"/>
              </w:rPr>
              <w:t>2009</w:t>
            </w:r>
            <w:r>
              <w:rPr>
                <w:rFonts w:hint="eastAsia" w:hAnsi="Times New Roman"/>
                <w:color w:val="000000"/>
                <w:sz w:val="18"/>
                <w:szCs w:val="18"/>
              </w:rPr>
              <w:t>）》的通知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w:t>
            </w:r>
            <w:r>
              <w:rPr>
                <w:color w:val="000000"/>
                <w:sz w:val="18"/>
                <w:szCs w:val="18"/>
              </w:rPr>
              <w:t>2010</w:t>
            </w:r>
            <w:r>
              <w:rPr>
                <w:rFonts w:hint="eastAsia" w:hAnsi="Times New Roman"/>
                <w:color w:val="000000"/>
                <w:sz w:val="18"/>
                <w:szCs w:val="18"/>
              </w:rPr>
              <w:t>〕</w:t>
            </w:r>
            <w:r>
              <w:rPr>
                <w:color w:val="000000"/>
                <w:sz w:val="18"/>
                <w:szCs w:val="18"/>
              </w:rPr>
              <w:t>180</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关于加强城市地下空间规划和管理工作的通知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苏建函科〔</w:t>
            </w:r>
            <w:r>
              <w:rPr>
                <w:color w:val="000000"/>
                <w:sz w:val="18"/>
                <w:szCs w:val="18"/>
              </w:rPr>
              <w:t>2010</w:t>
            </w:r>
            <w:r>
              <w:rPr>
                <w:rFonts w:hint="eastAsia" w:hAnsi="Times New Roman"/>
                <w:color w:val="000000"/>
                <w:sz w:val="18"/>
                <w:szCs w:val="18"/>
              </w:rPr>
              <w:t>〕</w:t>
            </w:r>
            <w:r>
              <w:rPr>
                <w:color w:val="000000"/>
                <w:sz w:val="18"/>
                <w:szCs w:val="18"/>
              </w:rPr>
              <w:t>689</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关于实施建设工程勘察设计合同备案工作的通知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19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苏建规字〔</w:t>
            </w:r>
            <w:r>
              <w:rPr>
                <w:color w:val="000000"/>
                <w:sz w:val="18"/>
                <w:szCs w:val="18"/>
              </w:rPr>
              <w:t>2011</w:t>
            </w:r>
            <w:r>
              <w:rPr>
                <w:rFonts w:hint="eastAsia" w:hAnsi="Times New Roman"/>
                <w:color w:val="000000"/>
                <w:sz w:val="18"/>
                <w:szCs w:val="18"/>
              </w:rPr>
              <w:t>〕</w:t>
            </w:r>
            <w:r>
              <w:rPr>
                <w:color w:val="000000"/>
                <w:sz w:val="18"/>
                <w:szCs w:val="18"/>
              </w:rPr>
              <w:t>1</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关于进一步规范国家和省重大建设项目选址管理的通知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w:t>
            </w:r>
            <w:r>
              <w:rPr>
                <w:color w:val="000000"/>
                <w:sz w:val="18"/>
                <w:szCs w:val="18"/>
              </w:rPr>
              <w:t>2011</w:t>
            </w:r>
            <w:r>
              <w:rPr>
                <w:rFonts w:hint="eastAsia" w:hAnsi="Times New Roman"/>
                <w:color w:val="000000"/>
                <w:sz w:val="18"/>
                <w:szCs w:val="18"/>
              </w:rPr>
              <w:t>〕</w:t>
            </w:r>
            <w:r>
              <w:rPr>
                <w:color w:val="000000"/>
                <w:sz w:val="18"/>
                <w:szCs w:val="18"/>
              </w:rPr>
              <w:t>183</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关于加强户外广告设置规划编制和实施管理的通知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w:t>
            </w:r>
            <w:r>
              <w:rPr>
                <w:color w:val="000000"/>
                <w:sz w:val="18"/>
                <w:szCs w:val="18"/>
              </w:rPr>
              <w:t>2012</w:t>
            </w:r>
            <w:r>
              <w:rPr>
                <w:rFonts w:hint="eastAsia" w:hAnsi="Times New Roman"/>
                <w:color w:val="000000"/>
                <w:sz w:val="18"/>
                <w:szCs w:val="18"/>
              </w:rPr>
              <w:t>〕</w:t>
            </w:r>
            <w:r>
              <w:rPr>
                <w:color w:val="000000"/>
                <w:sz w:val="18"/>
                <w:szCs w:val="18"/>
              </w:rPr>
              <w:t>587</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省住房城乡建设厅、公安厅关于加强城市规划交通影响评价工作的通知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苏建规字〔</w:t>
            </w:r>
            <w:r>
              <w:rPr>
                <w:color w:val="000000"/>
                <w:sz w:val="18"/>
                <w:szCs w:val="18"/>
              </w:rPr>
              <w:t>2013</w:t>
            </w:r>
            <w:r>
              <w:rPr>
                <w:rFonts w:hint="eastAsia" w:hAnsi="Times New Roman"/>
                <w:color w:val="000000"/>
                <w:sz w:val="18"/>
                <w:szCs w:val="18"/>
              </w:rPr>
              <w:t>〕</w:t>
            </w:r>
            <w:r>
              <w:rPr>
                <w:color w:val="000000"/>
                <w:sz w:val="18"/>
                <w:szCs w:val="18"/>
              </w:rPr>
              <w:t>3</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省住房城乡建设厅关于进一步加强城乡规划编制市场管理的通知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苏建科〔</w:t>
            </w:r>
            <w:r>
              <w:rPr>
                <w:color w:val="000000"/>
                <w:sz w:val="18"/>
                <w:szCs w:val="18"/>
              </w:rPr>
              <w:t>2013</w:t>
            </w:r>
            <w:r>
              <w:rPr>
                <w:rFonts w:hint="eastAsia" w:hAnsi="Times New Roman"/>
                <w:color w:val="000000"/>
                <w:sz w:val="18"/>
                <w:szCs w:val="18"/>
              </w:rPr>
              <w:t>〕</w:t>
            </w:r>
            <w:r>
              <w:rPr>
                <w:color w:val="000000"/>
                <w:sz w:val="18"/>
                <w:szCs w:val="18"/>
              </w:rPr>
              <w:t>434</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省住房城乡建设厅关于下放省外勘察设计企业进江苏承接勘察设计业务单项工程资质核验工作的通知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苏建科〔</w:t>
            </w:r>
            <w:r>
              <w:rPr>
                <w:color w:val="000000"/>
                <w:sz w:val="18"/>
                <w:szCs w:val="18"/>
              </w:rPr>
              <w:t>2014</w:t>
            </w:r>
            <w:r>
              <w:rPr>
                <w:rFonts w:hint="eastAsia" w:hAnsi="Times New Roman"/>
                <w:color w:val="000000"/>
                <w:sz w:val="18"/>
                <w:szCs w:val="18"/>
              </w:rPr>
              <w:t>〕</w:t>
            </w:r>
            <w:r>
              <w:rPr>
                <w:color w:val="000000"/>
                <w:sz w:val="18"/>
                <w:szCs w:val="18"/>
              </w:rPr>
              <w:t>436</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住房城乡建设厅等部门关于加强养老服务设施规划建设工作的通知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苏建函规〔</w:t>
            </w:r>
            <w:r>
              <w:rPr>
                <w:color w:val="000000"/>
                <w:sz w:val="18"/>
                <w:szCs w:val="18"/>
              </w:rPr>
              <w:t>2014</w:t>
            </w:r>
            <w:r>
              <w:rPr>
                <w:rFonts w:hint="eastAsia" w:hAnsi="Times New Roman"/>
                <w:color w:val="000000"/>
                <w:sz w:val="18"/>
                <w:szCs w:val="18"/>
              </w:rPr>
              <w:t>〕</w:t>
            </w:r>
            <w:r>
              <w:rPr>
                <w:color w:val="000000"/>
                <w:sz w:val="18"/>
                <w:szCs w:val="18"/>
              </w:rPr>
              <w:t>633</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省住房和城乡建设厅关于加强易燃易爆设施规划管理工作的通知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苏建规字〔</w:t>
            </w:r>
            <w:r>
              <w:rPr>
                <w:color w:val="000000"/>
                <w:sz w:val="18"/>
                <w:szCs w:val="18"/>
              </w:rPr>
              <w:t>2010</w:t>
            </w:r>
            <w:r>
              <w:rPr>
                <w:rFonts w:hint="eastAsia" w:hAnsi="Times New Roman"/>
                <w:color w:val="000000"/>
                <w:sz w:val="18"/>
                <w:szCs w:val="18"/>
              </w:rPr>
              <w:t>〕</w:t>
            </w:r>
            <w:r>
              <w:rPr>
                <w:color w:val="000000"/>
                <w:sz w:val="18"/>
                <w:szCs w:val="18"/>
              </w:rPr>
              <w:t>7</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关于印发《江苏省省外建筑施工企业核验备案管理办法》的通知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苏建建管〔</w:t>
            </w:r>
            <w:r>
              <w:rPr>
                <w:color w:val="000000"/>
                <w:sz w:val="18"/>
                <w:szCs w:val="18"/>
              </w:rPr>
              <w:t>2012</w:t>
            </w:r>
            <w:r>
              <w:rPr>
                <w:rFonts w:hint="eastAsia" w:hAnsi="Times New Roman"/>
                <w:color w:val="000000"/>
                <w:sz w:val="18"/>
                <w:szCs w:val="18"/>
              </w:rPr>
              <w:t>〕</w:t>
            </w:r>
            <w:r>
              <w:rPr>
                <w:color w:val="000000"/>
                <w:sz w:val="18"/>
                <w:szCs w:val="18"/>
              </w:rPr>
              <w:t>640</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省住房城乡建设厅关于加强建设工程企业资质申报业绩核查工作的通知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苏建建管〔</w:t>
            </w:r>
            <w:r>
              <w:rPr>
                <w:color w:val="000000"/>
                <w:sz w:val="18"/>
                <w:szCs w:val="18"/>
              </w:rPr>
              <w:t>2012</w:t>
            </w:r>
            <w:r>
              <w:rPr>
                <w:rFonts w:hint="eastAsia" w:hAnsi="Times New Roman"/>
                <w:color w:val="000000"/>
                <w:sz w:val="18"/>
                <w:szCs w:val="18"/>
              </w:rPr>
              <w:t>〕</w:t>
            </w:r>
            <w:r>
              <w:rPr>
                <w:color w:val="000000"/>
                <w:sz w:val="18"/>
                <w:szCs w:val="18"/>
              </w:rPr>
              <w:t>690</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省住房城乡建设厅关于加强建设工程企业资质申报业绩核查工作的补充通知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29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苏建建管〔</w:t>
            </w:r>
            <w:r>
              <w:rPr>
                <w:color w:val="000000"/>
                <w:sz w:val="18"/>
                <w:szCs w:val="18"/>
              </w:rPr>
              <w:t>2013</w:t>
            </w:r>
            <w:r>
              <w:rPr>
                <w:rFonts w:hint="eastAsia" w:hAnsi="Times New Roman"/>
                <w:color w:val="000000"/>
                <w:sz w:val="18"/>
                <w:szCs w:val="18"/>
              </w:rPr>
              <w:t>〕</w:t>
            </w:r>
            <w:r>
              <w:rPr>
                <w:color w:val="000000"/>
                <w:sz w:val="18"/>
                <w:szCs w:val="18"/>
              </w:rPr>
              <w:t>534</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省住房城乡建设厅关于简化省内工程监理企业跨区域承接监理业务开具相关证明手续的通知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苏建建管〔</w:t>
            </w:r>
            <w:r>
              <w:rPr>
                <w:color w:val="000000"/>
                <w:sz w:val="18"/>
                <w:szCs w:val="18"/>
              </w:rPr>
              <w:t>2013</w:t>
            </w:r>
            <w:r>
              <w:rPr>
                <w:rFonts w:hint="eastAsia" w:hAnsi="Times New Roman"/>
                <w:color w:val="000000"/>
                <w:sz w:val="18"/>
                <w:szCs w:val="18"/>
              </w:rPr>
              <w:t>〕</w:t>
            </w:r>
            <w:r>
              <w:rPr>
                <w:color w:val="000000"/>
                <w:sz w:val="18"/>
                <w:szCs w:val="18"/>
              </w:rPr>
              <w:t>572</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省住房城乡建设厅关于调整省外建筑施工企业办理核验备案手续的通知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苏建建管〔</w:t>
            </w:r>
            <w:r>
              <w:rPr>
                <w:color w:val="000000"/>
                <w:sz w:val="18"/>
                <w:szCs w:val="18"/>
              </w:rPr>
              <w:t>2014</w:t>
            </w:r>
            <w:r>
              <w:rPr>
                <w:rFonts w:hint="eastAsia" w:hAnsi="Times New Roman"/>
                <w:color w:val="000000"/>
                <w:sz w:val="18"/>
                <w:szCs w:val="18"/>
              </w:rPr>
              <w:t>〕</w:t>
            </w:r>
            <w:r>
              <w:rPr>
                <w:color w:val="000000"/>
                <w:sz w:val="18"/>
                <w:szCs w:val="18"/>
              </w:rPr>
              <w:t>86</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省住房城乡建设厅关于进一步规范建筑业企业资质申报业绩核查工作的通知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苏建建管〔</w:t>
            </w:r>
            <w:r>
              <w:rPr>
                <w:color w:val="000000"/>
                <w:sz w:val="18"/>
                <w:szCs w:val="18"/>
              </w:rPr>
              <w:t>2014</w:t>
            </w:r>
            <w:r>
              <w:rPr>
                <w:rFonts w:hint="eastAsia" w:hAnsi="Times New Roman"/>
                <w:color w:val="000000"/>
                <w:sz w:val="18"/>
                <w:szCs w:val="18"/>
              </w:rPr>
              <w:t>〕</w:t>
            </w:r>
            <w:r>
              <w:rPr>
                <w:color w:val="000000"/>
                <w:sz w:val="18"/>
                <w:szCs w:val="18"/>
              </w:rPr>
              <w:t>701</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省住房城乡建设厅关于印发《江苏省建设工程施工项目经理部和项目监理机构主要管理人员配备办法》的通知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苏建规字〔</w:t>
            </w:r>
            <w:r>
              <w:rPr>
                <w:color w:val="000000"/>
                <w:sz w:val="18"/>
                <w:szCs w:val="18"/>
              </w:rPr>
              <w:t>2015</w:t>
            </w:r>
            <w:r>
              <w:rPr>
                <w:rFonts w:hint="eastAsia" w:hAnsi="Times New Roman"/>
                <w:color w:val="000000"/>
                <w:sz w:val="18"/>
                <w:szCs w:val="18"/>
              </w:rPr>
              <w:t>〕</w:t>
            </w:r>
            <w:r>
              <w:rPr>
                <w:color w:val="000000"/>
                <w:sz w:val="18"/>
                <w:szCs w:val="18"/>
              </w:rPr>
              <w:t>1</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省住房城乡建设厅关于印发《江苏省建筑工程施工合同备案管理办法》的通知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苏建函建管〔</w:t>
            </w:r>
            <w:r>
              <w:rPr>
                <w:color w:val="000000"/>
                <w:sz w:val="18"/>
                <w:szCs w:val="18"/>
              </w:rPr>
              <w:t>2015</w:t>
            </w:r>
            <w:r>
              <w:rPr>
                <w:rFonts w:hint="eastAsia" w:hAnsi="Times New Roman"/>
                <w:color w:val="000000"/>
                <w:sz w:val="18"/>
                <w:szCs w:val="18"/>
              </w:rPr>
              <w:t>〕</w:t>
            </w:r>
            <w:r>
              <w:rPr>
                <w:color w:val="000000"/>
                <w:sz w:val="18"/>
                <w:szCs w:val="18"/>
              </w:rPr>
              <w:t>482</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省住房城乡建设厅关于明确建筑工程施工合同网上备案管理几项具体工作的通知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苏建规字〔</w:t>
            </w:r>
            <w:r>
              <w:rPr>
                <w:color w:val="000000"/>
                <w:sz w:val="18"/>
                <w:szCs w:val="18"/>
              </w:rPr>
              <w:t>2010</w:t>
            </w:r>
            <w:r>
              <w:rPr>
                <w:rFonts w:hint="eastAsia" w:hAnsi="Times New Roman"/>
                <w:color w:val="000000"/>
                <w:sz w:val="18"/>
                <w:szCs w:val="18"/>
              </w:rPr>
              <w:t>〕</w:t>
            </w:r>
            <w:r>
              <w:rPr>
                <w:color w:val="000000"/>
                <w:sz w:val="18"/>
                <w:szCs w:val="18"/>
              </w:rPr>
              <w:t>4</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关于印发《江苏省工程造价从业人员信用管理办法》的通知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苏建招〔</w:t>
            </w:r>
            <w:r>
              <w:rPr>
                <w:color w:val="000000"/>
                <w:sz w:val="18"/>
                <w:szCs w:val="18"/>
              </w:rPr>
              <w:t>2013</w:t>
            </w:r>
            <w:r>
              <w:rPr>
                <w:rFonts w:hint="eastAsia" w:hAnsi="Times New Roman"/>
                <w:color w:val="000000"/>
                <w:sz w:val="18"/>
                <w:szCs w:val="18"/>
              </w:rPr>
              <w:t>〕</w:t>
            </w:r>
            <w:r>
              <w:rPr>
                <w:color w:val="000000"/>
                <w:sz w:val="18"/>
                <w:szCs w:val="18"/>
              </w:rPr>
              <w:t>493</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《省住房城乡建设厅关于调整招标代理机构管理方式的通知》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苏建规字〔</w:t>
            </w:r>
            <w:r>
              <w:rPr>
                <w:color w:val="000000"/>
                <w:sz w:val="18"/>
                <w:szCs w:val="18"/>
              </w:rPr>
              <w:t>2016</w:t>
            </w:r>
            <w:r>
              <w:rPr>
                <w:rFonts w:hint="eastAsia" w:hAnsi="Times New Roman"/>
                <w:color w:val="000000"/>
                <w:sz w:val="18"/>
                <w:szCs w:val="18"/>
              </w:rPr>
              <w:t>〕</w:t>
            </w:r>
            <w:r>
              <w:rPr>
                <w:color w:val="000000"/>
                <w:sz w:val="18"/>
                <w:szCs w:val="18"/>
              </w:rPr>
              <w:t>1</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省住房城乡建设厅关于印发《江苏省装配式建筑（混凝土结构）项目招标投标活动的暂行意见》的通知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苏建规字〔</w:t>
            </w:r>
            <w:r>
              <w:rPr>
                <w:color w:val="000000"/>
                <w:sz w:val="18"/>
                <w:szCs w:val="18"/>
              </w:rPr>
              <w:t>2016</w:t>
            </w:r>
            <w:r>
              <w:rPr>
                <w:rFonts w:hint="eastAsia" w:hAnsi="Times New Roman"/>
                <w:color w:val="000000"/>
                <w:sz w:val="18"/>
                <w:szCs w:val="18"/>
              </w:rPr>
              <w:t>〕</w:t>
            </w:r>
            <w:r>
              <w:rPr>
                <w:color w:val="000000"/>
                <w:sz w:val="18"/>
                <w:szCs w:val="18"/>
              </w:rPr>
              <w:t xml:space="preserve">3 </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省住房城乡建设厅关于印发《关于在工程建设项目招标投标中对省法院确定的失信被执行人实施联动惩戒的通知》的通知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39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苏建质〔</w:t>
            </w:r>
            <w:r>
              <w:rPr>
                <w:color w:val="000000"/>
                <w:sz w:val="18"/>
                <w:szCs w:val="18"/>
              </w:rPr>
              <w:t>2004</w:t>
            </w:r>
            <w:r>
              <w:rPr>
                <w:rFonts w:hint="eastAsia" w:hAnsi="Times New Roman"/>
                <w:color w:val="000000"/>
                <w:sz w:val="18"/>
                <w:szCs w:val="18"/>
              </w:rPr>
              <w:t>〕</w:t>
            </w:r>
            <w:r>
              <w:rPr>
                <w:color w:val="000000"/>
                <w:sz w:val="18"/>
                <w:szCs w:val="18"/>
              </w:rPr>
              <w:t>318</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关于进一步加强我省建设工程质量检测管理的若干意见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40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苏建工〔</w:t>
            </w:r>
            <w:r>
              <w:rPr>
                <w:color w:val="000000"/>
                <w:sz w:val="18"/>
                <w:szCs w:val="18"/>
              </w:rPr>
              <w:t>2009</w:t>
            </w:r>
            <w:r>
              <w:rPr>
                <w:rFonts w:hint="eastAsia" w:hAnsi="Times New Roman"/>
                <w:color w:val="000000"/>
                <w:sz w:val="18"/>
                <w:szCs w:val="18"/>
              </w:rPr>
              <w:t>〕</w:t>
            </w:r>
            <w:r>
              <w:rPr>
                <w:color w:val="000000"/>
                <w:sz w:val="18"/>
                <w:szCs w:val="18"/>
              </w:rPr>
              <w:t>139</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关于印发《江苏省地基基础工程检测机构资质管理实施意见》的通知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41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苏建管企〔</w:t>
            </w:r>
            <w:r>
              <w:rPr>
                <w:color w:val="000000"/>
                <w:sz w:val="18"/>
                <w:szCs w:val="18"/>
              </w:rPr>
              <w:t>2007</w:t>
            </w:r>
            <w:r>
              <w:rPr>
                <w:rFonts w:hint="eastAsia" w:hAnsi="Times New Roman"/>
                <w:color w:val="000000"/>
                <w:sz w:val="18"/>
                <w:szCs w:val="18"/>
              </w:rPr>
              <w:t>〕</w:t>
            </w:r>
            <w:r>
              <w:rPr>
                <w:color w:val="000000"/>
                <w:sz w:val="18"/>
                <w:szCs w:val="18"/>
              </w:rPr>
              <w:t>21</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关于对《做好我省一级建造师初始注册有关工作的通知》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42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苏建科〔</w:t>
            </w:r>
            <w:r>
              <w:rPr>
                <w:color w:val="000000"/>
                <w:sz w:val="18"/>
                <w:szCs w:val="18"/>
              </w:rPr>
              <w:t>2009</w:t>
            </w:r>
            <w:r>
              <w:rPr>
                <w:rFonts w:hint="eastAsia" w:hAnsi="Times New Roman"/>
                <w:color w:val="000000"/>
                <w:sz w:val="18"/>
                <w:szCs w:val="18"/>
              </w:rPr>
              <w:t>〕</w:t>
            </w:r>
            <w:r>
              <w:rPr>
                <w:color w:val="000000"/>
                <w:sz w:val="18"/>
                <w:szCs w:val="18"/>
              </w:rPr>
              <w:t>256</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关于转发住房和城乡建设部《关于印发</w:t>
            </w:r>
            <w:r>
              <w:rPr>
                <w:color w:val="000000"/>
                <w:sz w:val="18"/>
                <w:szCs w:val="18"/>
              </w:rPr>
              <w:t>&lt;</w:t>
            </w:r>
            <w:r>
              <w:rPr>
                <w:rFonts w:hint="eastAsia" w:hAnsi="Times New Roman"/>
                <w:color w:val="000000"/>
                <w:sz w:val="18"/>
                <w:szCs w:val="18"/>
              </w:rPr>
              <w:t>注册土木工程师（岩土）执业及管理工作暂行规定</w:t>
            </w:r>
            <w:r>
              <w:rPr>
                <w:color w:val="000000"/>
                <w:sz w:val="18"/>
                <w:szCs w:val="18"/>
              </w:rPr>
              <w:t>&gt;</w:t>
            </w:r>
            <w:r>
              <w:rPr>
                <w:rFonts w:hint="eastAsia" w:hAnsi="Times New Roman"/>
                <w:color w:val="000000"/>
                <w:sz w:val="18"/>
                <w:szCs w:val="18"/>
              </w:rPr>
              <w:t>的通知》的通知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75"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color w:val="000000"/>
                <w:sz w:val="18"/>
                <w:szCs w:val="18"/>
              </w:rPr>
              <w:t>43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hAnsi="Times New Roman"/>
                <w:color w:val="000000"/>
                <w:sz w:val="18"/>
                <w:szCs w:val="18"/>
              </w:rPr>
              <w:t>苏建规字〔</w:t>
            </w:r>
            <w:r>
              <w:rPr>
                <w:color w:val="000000"/>
                <w:sz w:val="18"/>
                <w:szCs w:val="18"/>
              </w:rPr>
              <w:t>2016</w:t>
            </w:r>
            <w:r>
              <w:rPr>
                <w:rFonts w:hint="eastAsia" w:hAnsi="Times New Roman"/>
                <w:color w:val="000000"/>
                <w:sz w:val="18"/>
                <w:szCs w:val="18"/>
              </w:rPr>
              <w:t>〕</w:t>
            </w:r>
            <w:r>
              <w:rPr>
                <w:color w:val="000000"/>
                <w:sz w:val="18"/>
                <w:szCs w:val="18"/>
              </w:rPr>
              <w:t>2</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color w:val="000000"/>
                <w:sz w:val="18"/>
                <w:szCs w:val="18"/>
              </w:rPr>
            </w:pPr>
            <w:r>
              <w:rPr>
                <w:rFonts w:hint="eastAsia" w:hAnsi="Times New Roman"/>
                <w:color w:val="000000"/>
                <w:sz w:val="18"/>
                <w:szCs w:val="18"/>
              </w:rPr>
              <w:t>省住房城乡建设厅关于印发《江苏省住房和城乡建设系统失信行为管理和惩戒办法（试行）》的通知</w:t>
            </w:r>
          </w:p>
        </w:tc>
      </w:tr>
    </w:tbl>
    <w:p>
      <w:pPr>
        <w:rPr>
          <w:rFonts w:hint="eastAsia" w:ascii="Times New Roman"/>
          <w:color w:val="000000"/>
          <w:sz w:val="18"/>
          <w:szCs w:val="18"/>
        </w:rPr>
      </w:pPr>
    </w:p>
    <w:p>
      <w:pPr>
        <w:widowControl/>
        <w:jc w:val="left"/>
        <w:rPr>
          <w:color w:val="000000"/>
          <w:sz w:val="18"/>
          <w:szCs w:val="18"/>
        </w:rPr>
        <w:sectPr>
          <w:pgSz w:w="16838" w:h="11906" w:orient="landscape"/>
          <w:pgMar w:top="1418" w:right="1440" w:bottom="1134" w:left="1440" w:header="851" w:footer="992" w:gutter="0"/>
          <w:pgNumType w:start="1"/>
          <w:cols w:space="720" w:num="1"/>
          <w:docGrid w:type="lines" w:linePitch="312" w:charSpace="0"/>
        </w:sectPr>
      </w:pPr>
    </w:p>
    <w:p>
      <w:pPr>
        <w:rPr>
          <w:rFonts w:hint="eastAsia" w:ascii="Times New Roman" w:eastAsia="方正黑体_GBK"/>
          <w:color w:val="000000"/>
          <w:sz w:val="32"/>
          <w:szCs w:val="32"/>
        </w:rPr>
      </w:pPr>
      <w:r>
        <w:rPr>
          <w:rFonts w:hint="eastAsia" w:ascii="Times New Roman" w:eastAsia="方正黑体_GBK"/>
          <w:color w:val="000000"/>
          <w:sz w:val="32"/>
          <w:szCs w:val="32"/>
        </w:rPr>
        <w:t xml:space="preserve">附件3 </w:t>
      </w:r>
    </w:p>
    <w:p>
      <w:pPr>
        <w:spacing w:line="500" w:lineRule="exact"/>
        <w:jc w:val="center"/>
        <w:rPr>
          <w:rFonts w:hint="eastAsia" w:ascii="Times New Roman" w:eastAsia="方正小标宋_GBK"/>
          <w:color w:val="000000"/>
          <w:sz w:val="44"/>
          <w:szCs w:val="44"/>
        </w:rPr>
      </w:pPr>
      <w:r>
        <w:rPr>
          <w:rFonts w:hint="eastAsia" w:ascii="Times New Roman" w:eastAsia="方正小标宋_GBK"/>
          <w:color w:val="000000"/>
          <w:sz w:val="44"/>
          <w:szCs w:val="44"/>
        </w:rPr>
        <w:t>修改文件目录</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8"/>
        <w:gridCol w:w="2268"/>
        <w:gridCol w:w="110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blHeader/>
          <w:jc w:val="center"/>
        </w:trPr>
        <w:tc>
          <w:tcPr>
            <w:tcW w:w="76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ind w:left="-42" w:leftChars="-20" w:right="-42" w:rightChars="-20"/>
              <w:jc w:val="center"/>
              <w:rPr>
                <w:rFonts w:ascii="Times New Roman" w:hAnsi="Times New Roman" w:eastAsia="方正黑体_GBK" w:cs="宋体"/>
                <w:bCs/>
                <w:color w:val="000000"/>
                <w:spacing w:val="-12"/>
                <w:kern w:val="0"/>
                <w:sz w:val="18"/>
                <w:szCs w:val="18"/>
              </w:rPr>
            </w:pPr>
            <w:r>
              <w:rPr>
                <w:rFonts w:hint="eastAsia" w:ascii="Times New Roman" w:hAnsi="Times New Roman" w:eastAsia="方正黑体_GBK" w:cs="宋体"/>
                <w:bCs/>
                <w:color w:val="000000"/>
                <w:spacing w:val="-12"/>
                <w:kern w:val="0"/>
                <w:sz w:val="18"/>
                <w:szCs w:val="18"/>
              </w:rPr>
              <w:t>序号</w:t>
            </w:r>
          </w:p>
        </w:tc>
        <w:tc>
          <w:tcPr>
            <w:tcW w:w="2268"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ind w:left="-42" w:leftChars="-20" w:right="-42" w:rightChars="-20"/>
              <w:jc w:val="center"/>
              <w:rPr>
                <w:rFonts w:ascii="Times New Roman" w:hAnsi="Times New Roman" w:eastAsia="方正黑体_GBK" w:cs="宋体"/>
                <w:bCs/>
                <w:color w:val="000000"/>
                <w:spacing w:val="-12"/>
                <w:kern w:val="0"/>
                <w:sz w:val="18"/>
                <w:szCs w:val="18"/>
              </w:rPr>
            </w:pPr>
            <w:r>
              <w:rPr>
                <w:rFonts w:hint="eastAsia" w:ascii="Times New Roman" w:hAnsi="Times New Roman" w:eastAsia="方正黑体_GBK" w:cs="宋体"/>
                <w:bCs/>
                <w:color w:val="000000"/>
                <w:spacing w:val="-12"/>
                <w:kern w:val="0"/>
                <w:sz w:val="18"/>
                <w:szCs w:val="18"/>
              </w:rPr>
              <w:t>发文字号</w:t>
            </w:r>
          </w:p>
        </w:tc>
        <w:tc>
          <w:tcPr>
            <w:tcW w:w="11057"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240" w:lineRule="exact"/>
              <w:ind w:left="-42" w:leftChars="-20" w:right="-42" w:rightChars="-20"/>
              <w:jc w:val="center"/>
              <w:rPr>
                <w:rFonts w:ascii="Times New Roman" w:hAnsi="Times New Roman" w:eastAsia="方正黑体_GBK" w:cs="宋体"/>
                <w:bCs/>
                <w:color w:val="000000"/>
                <w:spacing w:val="-12"/>
                <w:kern w:val="0"/>
                <w:sz w:val="18"/>
                <w:szCs w:val="18"/>
              </w:rPr>
            </w:pPr>
            <w:r>
              <w:rPr>
                <w:rFonts w:hint="eastAsia" w:ascii="Times New Roman" w:hAnsi="Times New Roman" w:eastAsia="方正黑体_GBK" w:cs="宋体"/>
                <w:bCs/>
                <w:color w:val="000000"/>
                <w:spacing w:val="-12"/>
                <w:kern w:val="0"/>
                <w:sz w:val="18"/>
                <w:szCs w:val="18"/>
              </w:rPr>
              <w:t>文件名称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 w:hRule="exact"/>
          <w:tblHeader/>
          <w:jc w:val="center"/>
        </w:trPr>
        <w:tc>
          <w:tcPr>
            <w:tcW w:w="76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Times New Roman" w:hAnsi="Times New Roman" w:eastAsia="方正黑体_GBK" w:cs="宋体"/>
                <w:bCs/>
                <w:color w:val="000000"/>
                <w:spacing w:val="-12"/>
                <w:kern w:val="0"/>
                <w:sz w:val="18"/>
                <w:szCs w:val="18"/>
              </w:rPr>
            </w:pPr>
          </w:p>
        </w:tc>
        <w:tc>
          <w:tcPr>
            <w:tcW w:w="226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Times New Roman" w:hAnsi="Times New Roman" w:eastAsia="方正黑体_GBK" w:cs="宋体"/>
                <w:bCs/>
                <w:color w:val="000000"/>
                <w:spacing w:val="-12"/>
                <w:kern w:val="0"/>
                <w:sz w:val="18"/>
                <w:szCs w:val="18"/>
              </w:rPr>
            </w:pPr>
          </w:p>
        </w:tc>
        <w:tc>
          <w:tcPr>
            <w:tcW w:w="1105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center"/>
              <w:rPr>
                <w:rFonts w:ascii="Times New Roman" w:hAnsi="Times New Roman" w:eastAsia="方正黑体_GBK" w:cs="宋体"/>
                <w:bCs/>
                <w:color w:val="000000"/>
                <w:spacing w:val="-12"/>
                <w:kern w:val="0"/>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苏建房</w:t>
            </w:r>
            <w:r>
              <w:rPr>
                <w:rFonts w:hint="eastAsia" w:ascii="Times New Roman" w:hAnsi="Times New Roman"/>
                <w:color w:val="000000"/>
                <w:sz w:val="18"/>
                <w:szCs w:val="18"/>
              </w:rPr>
              <w:t>〔</w:t>
            </w:r>
            <w:r>
              <w:rPr>
                <w:rFonts w:hint="eastAsia" w:hAnsi="Times New Roman"/>
                <w:color w:val="000000"/>
                <w:sz w:val="18"/>
                <w:szCs w:val="18"/>
              </w:rPr>
              <w:t>2001</w:t>
            </w:r>
            <w:r>
              <w:rPr>
                <w:rFonts w:hint="eastAsia" w:ascii="Times New Roman" w:hAnsi="Times New Roman"/>
                <w:color w:val="000000"/>
                <w:sz w:val="18"/>
                <w:szCs w:val="18"/>
              </w:rPr>
              <w:t>〕</w:t>
            </w:r>
            <w:r>
              <w:rPr>
                <w:rFonts w:hint="eastAsia" w:hAnsi="Times New Roman"/>
                <w:color w:val="000000"/>
                <w:sz w:val="18"/>
                <w:szCs w:val="18"/>
              </w:rPr>
              <w:t>250号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关于印发《江苏省实施&lt;房地产开发企业资质管理规定&gt;细则》的通知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苏建房</w:t>
            </w:r>
            <w:r>
              <w:rPr>
                <w:rFonts w:hint="eastAsia" w:ascii="Times New Roman" w:hAnsi="Times New Roman"/>
                <w:color w:val="000000"/>
                <w:sz w:val="18"/>
                <w:szCs w:val="18"/>
              </w:rPr>
              <w:t>〔</w:t>
            </w:r>
            <w:r>
              <w:rPr>
                <w:rFonts w:hint="eastAsia" w:hAnsi="Times New Roman"/>
                <w:color w:val="000000"/>
                <w:sz w:val="18"/>
                <w:szCs w:val="18"/>
              </w:rPr>
              <w:t>2009</w:t>
            </w:r>
            <w:r>
              <w:rPr>
                <w:rFonts w:hint="eastAsia" w:ascii="Times New Roman" w:hAnsi="Times New Roman"/>
                <w:color w:val="000000"/>
                <w:sz w:val="18"/>
                <w:szCs w:val="18"/>
              </w:rPr>
              <w:t>〕</w:t>
            </w:r>
            <w:r>
              <w:rPr>
                <w:rFonts w:hint="eastAsia" w:hAnsi="Times New Roman"/>
                <w:color w:val="000000"/>
                <w:sz w:val="18"/>
                <w:szCs w:val="18"/>
              </w:rPr>
              <w:t>164号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关于实施房地产开发（电子）项目手册制度的通知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苏建房管〔2013）432号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省住房城乡建设厅关于进一步加强商品房预售监管的通知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苏建房管</w:t>
            </w:r>
            <w:r>
              <w:rPr>
                <w:rFonts w:hint="eastAsia" w:ascii="Times New Roman" w:hAnsi="Times New Roman"/>
                <w:color w:val="000000"/>
                <w:sz w:val="18"/>
                <w:szCs w:val="18"/>
              </w:rPr>
              <w:t>〔</w:t>
            </w:r>
            <w:r>
              <w:rPr>
                <w:rFonts w:hint="eastAsia" w:hAnsi="Times New Roman"/>
                <w:color w:val="000000"/>
                <w:sz w:val="18"/>
                <w:szCs w:val="18"/>
              </w:rPr>
              <w:t>2014</w:t>
            </w:r>
            <w:r>
              <w:rPr>
                <w:rFonts w:hint="eastAsia" w:ascii="Times New Roman" w:hAnsi="Times New Roman"/>
                <w:color w:val="000000"/>
                <w:sz w:val="18"/>
                <w:szCs w:val="18"/>
              </w:rPr>
              <w:t>〕</w:t>
            </w:r>
            <w:r>
              <w:rPr>
                <w:rFonts w:hint="eastAsia" w:hAnsi="Times New Roman"/>
                <w:color w:val="000000"/>
                <w:sz w:val="18"/>
                <w:szCs w:val="18"/>
              </w:rPr>
              <w:t>208号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江苏省住宅专项维修资金管理办法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苏建城〔2006〕63号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关于印发《江苏省城市供水水质督察管理办法》的通知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苏建法〔2006〕279号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关于印发《江苏省燃气工程项目初步设计管理办法》、《江苏省管道燃气特许经营管理办法》、《江苏省燃气器具气源适配性检测管理办法》的通知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苏建城〔2007〕325号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关于印发《江苏省城市市政公用事业特许经营权招标投标制度》、《江苏省城市市政公用事业公益董事或监督员制度》、《江苏省城市市政公用事业公众参与监督制度》等制度的通知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苏建城〔2008〕198号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关于加强太湖流域城镇生活污水处理系统接纳工业废水管理的通知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苏建规字〔2010〕3号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关于印发《江苏省瓶装燃气送气服务管理规定》的通知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苏建规字〔2013〕2号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省住房城乡建设厅关于修改《江苏省燃气工程项目初步设计管理办法》有关条文的通知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苏建规字〔2014〕1号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省住房城乡建设厅关于规范城镇燃气设施建设和运行管理工作的若干意见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苏建城〔2015〕235号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 省物价局 省公安厅 省卫生计生委关于转发《关于加强和改进城镇居民二次供水设施建设与管理确保水质安全的通知》的通知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苏建城〔2012〕614号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关于进一步保障全省环卫行业职工合法权益的实施意见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苏建科</w:t>
            </w:r>
            <w:r>
              <w:rPr>
                <w:rFonts w:hint="eastAsia" w:ascii="Times New Roman" w:hAnsi="Times New Roman"/>
                <w:color w:val="000000"/>
                <w:sz w:val="18"/>
                <w:szCs w:val="18"/>
              </w:rPr>
              <w:t>〔</w:t>
            </w:r>
            <w:r>
              <w:rPr>
                <w:rFonts w:hint="eastAsia" w:hAnsi="Times New Roman"/>
                <w:color w:val="000000"/>
                <w:sz w:val="18"/>
                <w:szCs w:val="18"/>
              </w:rPr>
              <w:t>2004</w:t>
            </w:r>
            <w:r>
              <w:rPr>
                <w:rFonts w:hint="eastAsia" w:ascii="Times New Roman" w:hAnsi="Times New Roman"/>
                <w:color w:val="000000"/>
                <w:sz w:val="18"/>
                <w:szCs w:val="18"/>
              </w:rPr>
              <w:t>〕</w:t>
            </w:r>
            <w:r>
              <w:rPr>
                <w:rFonts w:hint="eastAsia" w:hAnsi="Times New Roman"/>
                <w:color w:val="000000"/>
                <w:sz w:val="18"/>
                <w:szCs w:val="18"/>
              </w:rPr>
              <w:t>433号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关于做好我省施工图设计文件审查机构及审查人员认定工作的通知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苏建科〔2005</w:t>
            </w:r>
            <w:r>
              <w:rPr>
                <w:rFonts w:hint="eastAsia" w:ascii="Times New Roman" w:hAnsi="Times New Roman"/>
                <w:color w:val="000000"/>
                <w:sz w:val="18"/>
                <w:szCs w:val="18"/>
              </w:rPr>
              <w:t>〕</w:t>
            </w:r>
            <w:r>
              <w:rPr>
                <w:rFonts w:hint="eastAsia" w:hAnsi="Times New Roman"/>
                <w:color w:val="000000"/>
                <w:sz w:val="18"/>
                <w:szCs w:val="18"/>
              </w:rPr>
              <w:t>226号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关于印发《江苏省房屋建筑和市政基础设施工程施工图设计文件审查管理实施意见》的通知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苏建函科﹝2008﹞186号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《关于进一步加强施工图审查档案管理工作的通知》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苏建科〔2010〕389号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关于印发《关于加强我省工程勘察市场及质量管理工作的实施意见》的通知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苏建科〔2013〕348号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省住房城乡建设厅、省通信管理局关于全面贯彻落实光纤到户国家标准的通知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19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苏建科〔2013〕623号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省住房城乡建设厅关于启用江苏省勘察设计行业管理信息系统的通知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苏建科〔2014〕705号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省住房城乡建设厅关于加强全省工程勘察设计市场动态核查工作的通知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苏建抗〔2015〕69号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省住房城乡建设厅关于印发《江苏省省级抗震加固专项资金项目绩效自评价办法》的通知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苏建函科〔2015〕483号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省住房和城乡建设厅关于对省勘察设计行业协会《关于对人防工程设计管理有关问题的建议》的复函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苏建科（2017）59号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关于印发《江苏省优秀工程勘察设计奖评选办法》《江苏省城乡建设系统优秀勘察设计奖评选办法》的通知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苏建法〔2004〕92号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关于印发《江苏省工程建设标准设计管理办法》的通知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苏建科〔2006〕363号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关于印发《江苏省工程建设地方标准管理办法》的通知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苏建工〔2007〕168号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关于进一步加强我省建设工程监理管理的若干意见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苏建建管〔2015〕227号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关于对省住房和城乡建设厅关于转发住房城乡建设部《建筑业企业资质管理规定和资质标准实施意见》的通知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苏建建管〔2015〕363号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省住房城乡建设厅转发住房城乡建设部关于取消建筑智能化等4个工程设计与施工资质有关事项的通知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29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苏建函建管〔2015〕674号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省住房城乡建设厅关于建立全省工程监理企业资质动态核查工作机制的通知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苏建质安〔2010〕351号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关于印发《江苏省房屋建筑和市政基础设施拆除开挖安全管理办法》的通知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苏建质安〔2011〕847号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关于加强全省建筑安全生产责任追究若干意见的通知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苏建质安〔2014〕533号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省住房城乡建设厅关于转发《住房城乡建设部关于印发 &lt;建筑工程五方责任主体项目负责人质量终身责任追究暂行办法&gt;的通知》的通知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苏建规字</w:t>
            </w:r>
            <w:r>
              <w:rPr>
                <w:rFonts w:hint="eastAsia" w:ascii="Times New Roman" w:hAnsi="Times New Roman"/>
                <w:color w:val="000000"/>
                <w:sz w:val="18"/>
                <w:szCs w:val="18"/>
              </w:rPr>
              <w:t>〔</w:t>
            </w:r>
            <w:r>
              <w:rPr>
                <w:rFonts w:hint="eastAsia" w:hAnsi="Times New Roman"/>
                <w:color w:val="000000"/>
                <w:sz w:val="18"/>
                <w:szCs w:val="18"/>
              </w:rPr>
              <w:t>2010</w:t>
            </w:r>
            <w:r>
              <w:rPr>
                <w:rFonts w:hint="eastAsia" w:ascii="Times New Roman" w:hAnsi="Times New Roman"/>
                <w:color w:val="000000"/>
                <w:sz w:val="18"/>
                <w:szCs w:val="18"/>
              </w:rPr>
              <w:t>〕</w:t>
            </w:r>
            <w:r>
              <w:rPr>
                <w:rFonts w:hint="eastAsia" w:hAnsi="Times New Roman"/>
                <w:color w:val="000000"/>
                <w:sz w:val="18"/>
                <w:szCs w:val="18"/>
              </w:rPr>
              <w:t>8号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关于印发《江苏省二级注册建造师继续教育管理暂行办法》的通知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苏建函教〔2015〕528号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省住房城乡建设厅关于做好全省建筑施工现场管理人员、技术工人证书信息采集工作的通知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苏建价〔2006〕383号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关于印发《江苏省建设工程计价解释与争议调解规定》的通知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苏建价〔2006〕433号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关于印发《江苏省〈工程造价咨询企业管理办法〉实施细则》的通知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苏建价〔2013〕501号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省住房城乡建设厅关于简化工程造价咨询企业设立分支机构备案程序等事项的通知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苏建规字〔2014〕2号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省住房城乡建设厅关于印发《江苏省房屋建筑和市政基础设施工程招标投标中串通投标和弄虚作假行为认定处理办法（试行）》的通知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39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苏建招〔</w:t>
            </w:r>
            <w:r>
              <w:rPr>
                <w:rFonts w:hAnsi="Times New Roman"/>
                <w:color w:val="000000"/>
                <w:sz w:val="18"/>
                <w:szCs w:val="18"/>
              </w:rPr>
              <w:t>2015</w:t>
            </w:r>
            <w:r>
              <w:rPr>
                <w:rFonts w:hint="eastAsia" w:hAnsi="Times New Roman"/>
                <w:color w:val="000000"/>
                <w:sz w:val="18"/>
                <w:szCs w:val="18"/>
              </w:rPr>
              <w:t>〕</w:t>
            </w:r>
            <w:r>
              <w:rPr>
                <w:rFonts w:hAnsi="Times New Roman"/>
                <w:color w:val="000000"/>
                <w:sz w:val="18"/>
                <w:szCs w:val="18"/>
              </w:rPr>
              <w:t>29</w:t>
            </w:r>
            <w:r>
              <w:rPr>
                <w:rFonts w:hint="eastAsia" w:hAnsi="Times New Roman"/>
                <w:color w:val="000000"/>
                <w:sz w:val="18"/>
                <w:szCs w:val="18"/>
              </w:rPr>
              <w:t>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江苏省住房和城乡建设厅关于明确非国有资金投资工程发包方式等有关问题的通知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40</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苏建规字〔2016〕4号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省住房城乡建设厅关于印发《江苏省房屋建筑和市政基础设施工程招标投标活动异议与投诉处理实施办法》的通知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苏建规字</w:t>
            </w:r>
            <w:r>
              <w:rPr>
                <w:rFonts w:hint="eastAsia" w:ascii="Times New Roman" w:hAnsi="Times New Roman"/>
                <w:color w:val="000000"/>
                <w:sz w:val="18"/>
                <w:szCs w:val="18"/>
              </w:rPr>
              <w:t>〔</w:t>
            </w:r>
            <w:r>
              <w:rPr>
                <w:rFonts w:hint="eastAsia" w:hAnsi="Times New Roman"/>
                <w:color w:val="000000"/>
                <w:sz w:val="18"/>
                <w:szCs w:val="18"/>
              </w:rPr>
              <w:t>2017</w:t>
            </w:r>
            <w:r>
              <w:rPr>
                <w:rFonts w:hint="eastAsia" w:ascii="Times New Roman" w:hAnsi="Times New Roman"/>
                <w:color w:val="000000"/>
                <w:sz w:val="18"/>
                <w:szCs w:val="18"/>
              </w:rPr>
              <w:t>〕</w:t>
            </w:r>
            <w:r>
              <w:rPr>
                <w:rFonts w:hint="eastAsia" w:hAnsi="Times New Roman"/>
                <w:color w:val="000000"/>
                <w:sz w:val="18"/>
                <w:szCs w:val="18"/>
              </w:rPr>
              <w:t>1号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《省住房和城乡建设厅关于改革和完善房屋建筑和市政基础设施工程招标投标制度的实施意见》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苏建规字〔2013〕1号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省住房城乡建设厅关于印发《江苏省建设工程声像档案管理办法（暂行）》的通知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43</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苏建函档〔2013〕81号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省住房城乡建设厅关于做好全省建设工程电子档案编报工作的通知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color w:val="000000"/>
                <w:sz w:val="18"/>
                <w:szCs w:val="18"/>
              </w:rPr>
            </w:pPr>
            <w:r>
              <w:rPr>
                <w:rFonts w:hint="eastAsia"/>
                <w:color w:val="000000"/>
                <w:sz w:val="18"/>
                <w:szCs w:val="18"/>
              </w:rPr>
              <w:t>44</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hAnsi="Times New Roman"/>
                <w:color w:val="000000"/>
                <w:sz w:val="18"/>
                <w:szCs w:val="18"/>
              </w:rPr>
            </w:pPr>
            <w:r>
              <w:rPr>
                <w:rFonts w:hint="eastAsia" w:hAnsi="Times New Roman"/>
                <w:color w:val="000000"/>
                <w:sz w:val="18"/>
                <w:szCs w:val="18"/>
              </w:rPr>
              <w:t>苏建法〔2006〕97号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int="eastAsia" w:hAnsi="Times New Roman"/>
                <w:color w:val="000000"/>
                <w:sz w:val="18"/>
                <w:szCs w:val="18"/>
              </w:rPr>
            </w:pPr>
            <w:r>
              <w:rPr>
                <w:rFonts w:hint="eastAsia" w:hAnsi="Times New Roman"/>
                <w:color w:val="000000"/>
                <w:sz w:val="18"/>
                <w:szCs w:val="18"/>
              </w:rPr>
              <w:t>关于印发《江苏省建设工程质量检测管理实施细则》的通知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45</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苏建工〔2008〕343号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关于进一步加强我省地基基础工程检测管理的若干意见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46</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苏建规字〔2011〕2号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关于印发《江苏省房屋建筑和市政基础设施工程质量监督工作实施细则》的通知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47</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苏建管企</w:t>
            </w:r>
            <w:r>
              <w:rPr>
                <w:rFonts w:hint="eastAsia" w:ascii="Times New Roman" w:hAnsi="Times New Roman"/>
                <w:color w:val="000000"/>
                <w:sz w:val="18"/>
                <w:szCs w:val="18"/>
              </w:rPr>
              <w:t>〔</w:t>
            </w:r>
            <w:r>
              <w:rPr>
                <w:rFonts w:hint="eastAsia" w:hAnsi="Times New Roman"/>
                <w:color w:val="000000"/>
                <w:sz w:val="18"/>
                <w:szCs w:val="18"/>
              </w:rPr>
              <w:t>2007</w:t>
            </w:r>
            <w:r>
              <w:rPr>
                <w:rFonts w:hint="eastAsia" w:ascii="Times New Roman" w:hAnsi="Times New Roman"/>
                <w:color w:val="000000"/>
                <w:sz w:val="18"/>
                <w:szCs w:val="18"/>
              </w:rPr>
              <w:t>〕</w:t>
            </w:r>
            <w:r>
              <w:rPr>
                <w:rFonts w:hint="eastAsia" w:hAnsi="Times New Roman"/>
                <w:color w:val="000000"/>
                <w:sz w:val="18"/>
                <w:szCs w:val="18"/>
              </w:rPr>
              <w:t>22号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关于《江苏省二级建造师注册实施办法》的通知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48</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苏建函注册</w:t>
            </w:r>
            <w:r>
              <w:rPr>
                <w:rFonts w:hint="eastAsia" w:ascii="Times New Roman" w:hAnsi="Times New Roman"/>
                <w:color w:val="000000"/>
                <w:sz w:val="18"/>
                <w:szCs w:val="18"/>
              </w:rPr>
              <w:t>〔</w:t>
            </w:r>
            <w:r>
              <w:rPr>
                <w:rFonts w:hint="eastAsia" w:hAnsi="Times New Roman"/>
                <w:color w:val="000000"/>
                <w:sz w:val="18"/>
                <w:szCs w:val="18"/>
              </w:rPr>
              <w:t>2016</w:t>
            </w:r>
            <w:r>
              <w:rPr>
                <w:rFonts w:hint="eastAsia" w:ascii="Times New Roman" w:hAnsi="Times New Roman"/>
                <w:color w:val="000000"/>
                <w:sz w:val="18"/>
                <w:szCs w:val="18"/>
              </w:rPr>
              <w:t>〕</w:t>
            </w:r>
            <w:r>
              <w:rPr>
                <w:rFonts w:hint="eastAsia" w:hAnsi="Times New Roman"/>
                <w:color w:val="000000"/>
                <w:sz w:val="18"/>
                <w:szCs w:val="18"/>
              </w:rPr>
              <w:t>385号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省住房和城乡建设厅关于开展二级注册结构工程师注册电子化审批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6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 w:val="18"/>
                <w:szCs w:val="18"/>
              </w:rPr>
            </w:pPr>
            <w:r>
              <w:rPr>
                <w:rFonts w:hint="eastAsia"/>
                <w:color w:val="000000"/>
                <w:sz w:val="18"/>
                <w:szCs w:val="18"/>
              </w:rPr>
              <w:t>49</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jc w:val="center"/>
              <w:rPr>
                <w:rFonts w:hAnsi="Times New Roman"/>
                <w:color w:val="000000"/>
                <w:sz w:val="18"/>
                <w:szCs w:val="18"/>
              </w:rPr>
            </w:pPr>
            <w:r>
              <w:rPr>
                <w:rFonts w:hint="eastAsia" w:hAnsi="Times New Roman"/>
                <w:color w:val="000000"/>
                <w:sz w:val="18"/>
                <w:szCs w:val="18"/>
              </w:rPr>
              <w:t>苏建函注册〔2018〕914号</w:t>
            </w:r>
          </w:p>
        </w:tc>
        <w:tc>
          <w:tcPr>
            <w:tcW w:w="11057" w:type="dxa"/>
            <w:tcBorders>
              <w:top w:val="single" w:color="auto" w:sz="4" w:space="0"/>
              <w:left w:val="single" w:color="auto" w:sz="4" w:space="0"/>
              <w:bottom w:val="single" w:color="auto" w:sz="4" w:space="0"/>
              <w:right w:val="single" w:color="auto" w:sz="4" w:space="0"/>
            </w:tcBorders>
            <w:noWrap w:val="0"/>
            <w:vAlign w:val="center"/>
          </w:tcPr>
          <w:p>
            <w:pPr>
              <w:rPr>
                <w:rFonts w:hAnsi="Times New Roman"/>
                <w:color w:val="000000"/>
                <w:sz w:val="18"/>
                <w:szCs w:val="18"/>
              </w:rPr>
            </w:pPr>
            <w:r>
              <w:rPr>
                <w:rFonts w:hint="eastAsia" w:hAnsi="Times New Roman"/>
                <w:color w:val="000000"/>
                <w:sz w:val="18"/>
                <w:szCs w:val="18"/>
              </w:rPr>
              <w:t>关于一级建造师执业资格注册有关事项通知</w:t>
            </w:r>
          </w:p>
        </w:tc>
      </w:tr>
    </w:tbl>
    <w:p>
      <w:pPr>
        <w:widowControl/>
        <w:jc w:val="left"/>
        <w:rPr>
          <w:color w:val="000000"/>
          <w:sz w:val="18"/>
          <w:szCs w:val="18"/>
        </w:rPr>
        <w:sectPr>
          <w:pgSz w:w="16838" w:h="11906" w:orient="landscape"/>
          <w:pgMar w:top="1418" w:right="1440" w:bottom="1134" w:left="1440" w:header="851" w:footer="992" w:gutter="0"/>
          <w:cols w:space="720" w:num="1"/>
          <w:docGrid w:type="lines" w:linePitch="312" w:charSpace="0"/>
        </w:sectPr>
      </w:pPr>
    </w:p>
    <w:p>
      <w:pPr>
        <w:spacing w:line="570" w:lineRule="exact"/>
        <w:rPr>
          <w:rFonts w:hint="eastAsia" w:ascii="Times New Roman" w:eastAsia="方正黑体_GBK"/>
          <w:snapToGrid w:val="0"/>
          <w:kern w:val="0"/>
          <w:sz w:val="32"/>
          <w:szCs w:val="20"/>
        </w:rPr>
      </w:pPr>
      <w:r>
        <w:rPr>
          <w:rFonts w:hint="eastAsia" w:ascii="Times New Roman" w:eastAsia="方正黑体_GBK"/>
          <w:snapToGrid w:val="0"/>
          <w:kern w:val="0"/>
          <w:sz w:val="32"/>
          <w:szCs w:val="20"/>
        </w:rPr>
        <w:t>附件4</w:t>
      </w:r>
    </w:p>
    <w:p>
      <w:pPr>
        <w:spacing w:line="570" w:lineRule="exact"/>
        <w:jc w:val="center"/>
        <w:rPr>
          <w:rFonts w:hint="eastAsia" w:ascii="Times New Roman" w:eastAsia="方正小标宋_GBK"/>
          <w:snapToGrid w:val="0"/>
          <w:kern w:val="0"/>
          <w:sz w:val="44"/>
          <w:szCs w:val="44"/>
        </w:rPr>
      </w:pPr>
    </w:p>
    <w:p>
      <w:pPr>
        <w:spacing w:line="570" w:lineRule="exact"/>
        <w:jc w:val="center"/>
        <w:rPr>
          <w:rFonts w:hint="eastAsia" w:ascii="Times New Roman" w:eastAsia="方正小标宋_GBK"/>
          <w:snapToGrid w:val="0"/>
          <w:kern w:val="0"/>
          <w:sz w:val="44"/>
          <w:szCs w:val="44"/>
        </w:rPr>
      </w:pPr>
      <w:r>
        <w:rPr>
          <w:rFonts w:hint="eastAsia" w:ascii="Times New Roman" w:eastAsia="方正小标宋_GBK"/>
          <w:snapToGrid w:val="0"/>
          <w:kern w:val="0"/>
          <w:sz w:val="44"/>
          <w:szCs w:val="44"/>
        </w:rPr>
        <w:t>江苏省住房和城乡建设厅清理后</w:t>
      </w:r>
    </w:p>
    <w:p>
      <w:pPr>
        <w:spacing w:line="570" w:lineRule="exact"/>
        <w:jc w:val="center"/>
        <w:rPr>
          <w:rFonts w:hint="eastAsia" w:ascii="Times New Roman" w:eastAsia="方正小标宋_GBK"/>
          <w:snapToGrid w:val="0"/>
          <w:kern w:val="0"/>
          <w:sz w:val="44"/>
          <w:szCs w:val="44"/>
        </w:rPr>
      </w:pPr>
      <w:r>
        <w:rPr>
          <w:rFonts w:hint="eastAsia" w:ascii="Times New Roman" w:eastAsia="方正小标宋_GBK"/>
          <w:snapToGrid w:val="0"/>
          <w:kern w:val="0"/>
          <w:sz w:val="44"/>
          <w:szCs w:val="44"/>
        </w:rPr>
        <w:t>有效规范性文件汇编</w:t>
      </w:r>
    </w:p>
    <w:p>
      <w:pPr>
        <w:spacing w:line="570" w:lineRule="exact"/>
        <w:jc w:val="center"/>
        <w:rPr>
          <w:rFonts w:hint="eastAsia"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p>
    <w:p>
      <w:pPr>
        <w:spacing w:line="570" w:lineRule="exact"/>
        <w:jc w:val="center"/>
        <w:rPr>
          <w:rFonts w:eastAsia="方正仿宋_GBK"/>
          <w:snapToGrid w:val="0"/>
          <w:kern w:val="0"/>
          <w:sz w:val="32"/>
          <w:szCs w:val="20"/>
        </w:rPr>
      </w:pPr>
      <w:r>
        <w:rPr>
          <w:rFonts w:eastAsia="方正仿宋_GBK"/>
          <w:snapToGrid w:val="0"/>
          <w:kern w:val="0"/>
          <w:sz w:val="32"/>
          <w:szCs w:val="20"/>
        </w:rPr>
        <w:t>(2019</w:t>
      </w:r>
      <w:r>
        <w:rPr>
          <w:rFonts w:hint="eastAsia" w:eastAsia="方正仿宋_GBK"/>
          <w:snapToGrid w:val="0"/>
          <w:kern w:val="0"/>
          <w:sz w:val="32"/>
          <w:szCs w:val="20"/>
        </w:rPr>
        <w:t>年度</w:t>
      </w:r>
      <w:r>
        <w:rPr>
          <w:rFonts w:eastAsia="方正仿宋_GBK"/>
          <w:snapToGrid w:val="0"/>
          <w:kern w:val="0"/>
          <w:sz w:val="32"/>
          <w:szCs w:val="20"/>
        </w:rPr>
        <w:t>)</w:t>
      </w:r>
    </w:p>
    <w:p>
      <w:pPr>
        <w:pStyle w:val="2"/>
        <w:spacing w:before="240" w:beforeLines="100" w:after="240" w:afterLines="100" w:line="240" w:lineRule="auto"/>
        <w:ind w:firstLine="720"/>
        <w:jc w:val="center"/>
        <w:rPr>
          <w:rFonts w:ascii="Times New Roman" w:eastAsia="方正小标宋_GBK"/>
          <w:b w:val="0"/>
          <w:sz w:val="36"/>
          <w:szCs w:val="36"/>
        </w:rPr>
      </w:pPr>
      <w:r>
        <w:rPr>
          <w:rFonts w:hint="eastAsia" w:ascii="Times New Roman" w:eastAsia="方正小标宋_GBK"/>
          <w:b w:val="0"/>
          <w:sz w:val="36"/>
          <w:szCs w:val="36"/>
        </w:rPr>
        <w:t>关于印发《江苏省实施〈房地产开发企业资质管理规定〉细则》的通知</w:t>
      </w:r>
    </w:p>
    <w:p>
      <w:pPr>
        <w:pStyle w:val="3"/>
        <w:spacing w:before="240" w:beforeLines="100" w:after="240" w:afterLines="100" w:line="240" w:lineRule="auto"/>
        <w:jc w:val="center"/>
        <w:rPr>
          <w:rFonts w:hint="eastAsia" w:ascii="Times New Roman" w:hAnsi="Times New Roman" w:eastAsia="方正楷体_GBK"/>
          <w:b w:val="0"/>
          <w:sz w:val="24"/>
          <w:szCs w:val="24"/>
        </w:rPr>
      </w:pPr>
      <w:r>
        <w:rPr>
          <w:rFonts w:hint="eastAsia" w:ascii="Times New Roman" w:hAnsi="Times New Roman" w:eastAsia="方正楷体_GBK"/>
          <w:b w:val="0"/>
          <w:sz w:val="24"/>
          <w:szCs w:val="24"/>
        </w:rPr>
        <w:t>苏建房</w:t>
      </w:r>
      <w:r>
        <w:rPr>
          <w:rFonts w:hint="eastAsia" w:ascii="Times New Roman" w:hAnsi="Times New Roman" w:eastAsia="方正楷体_GBK"/>
          <w:b w:val="0"/>
          <w:sz w:val="24"/>
          <w:szCs w:val="24"/>
          <w:lang w:eastAsia="zh-CN"/>
        </w:rPr>
        <w:t xml:space="preserve"> </w:t>
      </w:r>
      <w:r>
        <w:rPr>
          <w:rFonts w:hint="eastAsia" w:ascii="Times New Roman" w:hAnsi="Times New Roman" w:eastAsia="方正楷体_GBK"/>
          <w:b w:val="0"/>
          <w:sz w:val="24"/>
          <w:szCs w:val="24"/>
        </w:rPr>
        <w:t>〔</w:t>
      </w:r>
      <w:r>
        <w:rPr>
          <w:rFonts w:ascii="Times New Roman" w:hAnsi="Times New Roman" w:eastAsia="方正楷体_GBK"/>
          <w:b w:val="0"/>
          <w:sz w:val="24"/>
          <w:szCs w:val="24"/>
        </w:rPr>
        <w:t>2001</w:t>
      </w:r>
      <w:r>
        <w:rPr>
          <w:rFonts w:hint="eastAsia" w:ascii="Times New Roman" w:hAnsi="Times New Roman" w:eastAsia="方正楷体_GBK"/>
          <w:b w:val="0"/>
          <w:sz w:val="24"/>
          <w:szCs w:val="24"/>
        </w:rPr>
        <w:t>〕</w:t>
      </w:r>
      <w:r>
        <w:rPr>
          <w:rFonts w:ascii="Times New Roman" w:hAnsi="Times New Roman" w:eastAsia="方正楷体_GBK"/>
          <w:b w:val="0"/>
          <w:sz w:val="24"/>
          <w:szCs w:val="24"/>
        </w:rPr>
        <w:t>250</w:t>
      </w:r>
      <w:r>
        <w:rPr>
          <w:rFonts w:hint="eastAsia" w:ascii="Times New Roman" w:hAnsi="Times New Roman" w:eastAsia="方正楷体_GBK"/>
          <w:b w:val="0"/>
          <w:sz w:val="24"/>
          <w:szCs w:val="24"/>
        </w:rPr>
        <w:t>号</w:t>
      </w:r>
    </w:p>
    <w:p>
      <w:pPr>
        <w:spacing w:line="440" w:lineRule="exact"/>
        <w:jc w:val="left"/>
        <w:rPr>
          <w:rFonts w:eastAsia="方正仿宋_GBK"/>
          <w:color w:val="000000"/>
          <w:kern w:val="0"/>
          <w:sz w:val="24"/>
        </w:rPr>
      </w:pPr>
      <w:r>
        <w:rPr>
          <w:rFonts w:hint="eastAsia" w:eastAsia="方正仿宋_GBK"/>
          <w:color w:val="000000"/>
          <w:kern w:val="0"/>
          <w:sz w:val="24"/>
        </w:rPr>
        <w:t>各设区市建设局（委）、房管局</w:t>
      </w:r>
      <w:r>
        <w:rPr>
          <w:rFonts w:eastAsia="方正仿宋_GBK"/>
          <w:color w:val="000000"/>
          <w:kern w:val="0"/>
          <w:sz w:val="24"/>
        </w:rPr>
        <w:t>:</w:t>
      </w:r>
    </w:p>
    <w:p>
      <w:pPr>
        <w:spacing w:line="440" w:lineRule="exact"/>
        <w:ind w:firstLine="480" w:firstLineChars="200"/>
        <w:jc w:val="left"/>
        <w:rPr>
          <w:rFonts w:eastAsia="方正仿宋_GBK"/>
          <w:color w:val="000000"/>
          <w:kern w:val="0"/>
          <w:sz w:val="24"/>
        </w:rPr>
      </w:pPr>
      <w:r>
        <w:rPr>
          <w:rFonts w:hint="eastAsia" w:eastAsia="方正仿宋_GBK"/>
          <w:color w:val="000000"/>
          <w:kern w:val="0"/>
          <w:sz w:val="24"/>
        </w:rPr>
        <w:t>为贯彻</w:t>
      </w:r>
      <w:r>
        <w:rPr>
          <w:rFonts w:eastAsia="方正仿宋_GBK"/>
          <w:color w:val="000000"/>
          <w:kern w:val="0"/>
          <w:sz w:val="24"/>
        </w:rPr>
        <w:t xml:space="preserve"> </w:t>
      </w:r>
      <w:r>
        <w:rPr>
          <w:rFonts w:hint="eastAsia" w:eastAsia="方正仿宋_GBK"/>
          <w:color w:val="000000"/>
          <w:kern w:val="0"/>
          <w:sz w:val="24"/>
        </w:rPr>
        <w:t>住房和城乡建设部令第</w:t>
      </w:r>
      <w:r>
        <w:rPr>
          <w:rFonts w:eastAsia="方正仿宋_GBK"/>
          <w:color w:val="000000"/>
          <w:kern w:val="0"/>
          <w:sz w:val="24"/>
        </w:rPr>
        <w:t>24</w:t>
      </w:r>
      <w:r>
        <w:rPr>
          <w:rFonts w:hint="eastAsia" w:eastAsia="方正仿宋_GBK"/>
          <w:color w:val="000000"/>
          <w:kern w:val="0"/>
          <w:sz w:val="24"/>
        </w:rPr>
        <w:t>号《住房和城乡建设部关于修改</w:t>
      </w:r>
      <w:r>
        <w:rPr>
          <w:rFonts w:eastAsia="方正仿宋_GBK"/>
          <w:color w:val="000000"/>
          <w:kern w:val="0"/>
          <w:sz w:val="24"/>
        </w:rPr>
        <w:t>&lt;</w:t>
      </w:r>
      <w:r>
        <w:rPr>
          <w:rFonts w:hint="eastAsia" w:eastAsia="方正仿宋_GBK"/>
          <w:color w:val="000000"/>
          <w:kern w:val="0"/>
          <w:sz w:val="24"/>
        </w:rPr>
        <w:t>房地产开发企业资质管理规定</w:t>
      </w:r>
      <w:r>
        <w:rPr>
          <w:rFonts w:eastAsia="方正仿宋_GBK"/>
          <w:color w:val="000000"/>
          <w:kern w:val="0"/>
          <w:sz w:val="24"/>
        </w:rPr>
        <w:t>&gt;</w:t>
      </w:r>
      <w:r>
        <w:rPr>
          <w:rFonts w:hint="eastAsia" w:eastAsia="方正仿宋_GBK"/>
          <w:color w:val="000000"/>
          <w:kern w:val="0"/>
          <w:sz w:val="24"/>
        </w:rPr>
        <w:t>等部门规章的决定》，加强房地产开发企业管理，规范企业经营行为，现将《江苏省实施〈房地产开发企业资质管理规定〉细则》（以下简称《细则》</w:t>
      </w:r>
      <w:r>
        <w:rPr>
          <w:rFonts w:eastAsia="方正仿宋_GBK"/>
          <w:color w:val="000000"/>
          <w:kern w:val="0"/>
          <w:sz w:val="24"/>
        </w:rPr>
        <w:t>)</w:t>
      </w:r>
      <w:r>
        <w:rPr>
          <w:rFonts w:hint="eastAsia" w:eastAsia="方正仿宋_GBK"/>
          <w:color w:val="000000"/>
          <w:kern w:val="0"/>
          <w:sz w:val="24"/>
        </w:rPr>
        <w:t>印发给你们。请结合实际，认真贯彻落实。</w:t>
      </w:r>
      <w:r>
        <w:rPr>
          <w:rFonts w:eastAsia="方正仿宋_GBK"/>
          <w:color w:val="000000"/>
          <w:kern w:val="0"/>
          <w:sz w:val="24"/>
        </w:rPr>
        <w:t>  </w:t>
      </w:r>
    </w:p>
    <w:p>
      <w:pPr>
        <w:spacing w:line="440" w:lineRule="exact"/>
        <w:jc w:val="left"/>
        <w:rPr>
          <w:rFonts w:eastAsia="方正仿宋_GBK"/>
          <w:color w:val="000000"/>
          <w:kern w:val="0"/>
          <w:sz w:val="24"/>
        </w:rPr>
      </w:pPr>
      <w:r>
        <w:rPr>
          <w:rFonts w:eastAsia="方正仿宋_GBK"/>
          <w:color w:val="000000"/>
          <w:kern w:val="0"/>
          <w:sz w:val="24"/>
        </w:rPr>
        <w:t>  </w:t>
      </w:r>
      <w:r>
        <w:rPr>
          <w:rFonts w:hint="eastAsia" w:eastAsia="方正仿宋_GBK"/>
          <w:color w:val="000000"/>
          <w:kern w:val="0"/>
          <w:sz w:val="24"/>
        </w:rPr>
        <w:t>为进一步规范房地产开发企业的开发经营行为，贯彻落实《住房和城乡建设部关于进一步规范房地产开发企业经营行为维护房地产市场秩序的通知》（建房〔</w:t>
      </w:r>
      <w:r>
        <w:rPr>
          <w:rFonts w:eastAsia="方正仿宋_GBK"/>
          <w:color w:val="000000"/>
          <w:kern w:val="0"/>
          <w:sz w:val="24"/>
        </w:rPr>
        <w:t>2016</w:t>
      </w:r>
      <w:r>
        <w:rPr>
          <w:rFonts w:hint="eastAsia" w:eastAsia="方正仿宋_GBK"/>
          <w:color w:val="000000"/>
          <w:kern w:val="0"/>
          <w:sz w:val="24"/>
        </w:rPr>
        <w:t>〕</w:t>
      </w:r>
      <w:r>
        <w:rPr>
          <w:rFonts w:eastAsia="方正仿宋_GBK"/>
          <w:color w:val="000000"/>
          <w:kern w:val="0"/>
          <w:sz w:val="24"/>
        </w:rPr>
        <w:t>223</w:t>
      </w:r>
      <w:r>
        <w:rPr>
          <w:rFonts w:hint="eastAsia" w:eastAsia="方正仿宋_GBK"/>
          <w:color w:val="000000"/>
          <w:kern w:val="0"/>
          <w:sz w:val="24"/>
        </w:rPr>
        <w:t>号）文件精神，省住房和城乡建设厅每年将定期、不定期对全省房地产开发经营行为进行执法检查和督查，对有下列行为之一的企业，各地房地产开发主管部门应根据有关法律、法规和《细则》的规定，给予相应处罚</w:t>
      </w:r>
      <w:r>
        <w:rPr>
          <w:rFonts w:eastAsia="方正仿宋_GBK"/>
          <w:color w:val="000000"/>
          <w:kern w:val="0"/>
          <w:sz w:val="24"/>
        </w:rPr>
        <w:t>:</w:t>
      </w:r>
    </w:p>
    <w:p>
      <w:pPr>
        <w:spacing w:line="440" w:lineRule="exact"/>
        <w:ind w:firstLine="530" w:firstLineChars="221"/>
        <w:rPr>
          <w:rFonts w:eastAsia="方正仿宋_GBK"/>
          <w:color w:val="000000"/>
          <w:kern w:val="0"/>
          <w:sz w:val="24"/>
        </w:rPr>
      </w:pPr>
      <w:r>
        <w:rPr>
          <w:rFonts w:hint="eastAsia" w:eastAsia="方正仿宋_GBK"/>
          <w:color w:val="000000"/>
          <w:kern w:val="0"/>
          <w:sz w:val="24"/>
        </w:rPr>
        <w:t>（一）开发企业越级承担房地产开发经营业务的</w:t>
      </w:r>
      <w:r>
        <w:rPr>
          <w:rFonts w:eastAsia="方正仿宋_GBK"/>
          <w:color w:val="000000"/>
          <w:kern w:val="0"/>
          <w:sz w:val="24"/>
        </w:rPr>
        <w:t>;</w:t>
      </w:r>
    </w:p>
    <w:p>
      <w:pPr>
        <w:spacing w:line="440" w:lineRule="exact"/>
        <w:ind w:firstLine="530" w:firstLineChars="221"/>
        <w:rPr>
          <w:rFonts w:eastAsia="方正仿宋_GBK"/>
          <w:color w:val="000000"/>
          <w:sz w:val="24"/>
        </w:rPr>
      </w:pPr>
      <w:r>
        <w:rPr>
          <w:rFonts w:hint="eastAsia" w:eastAsia="方正仿宋_GBK"/>
          <w:color w:val="000000"/>
          <w:kern w:val="0"/>
          <w:sz w:val="24"/>
        </w:rPr>
        <w:t>（二）</w:t>
      </w:r>
      <w:r>
        <w:rPr>
          <w:rFonts w:eastAsia="方正仿宋_GBK"/>
          <w:color w:val="000000"/>
          <w:sz w:val="24"/>
        </w:rPr>
        <w:t xml:space="preserve"> </w:t>
      </w:r>
      <w:r>
        <w:rPr>
          <w:rFonts w:hint="eastAsia" w:eastAsia="方正仿宋_GBK"/>
          <w:color w:val="000000"/>
          <w:sz w:val="24"/>
        </w:rPr>
        <w:t>商品房销售中，未按照有关规定向购房人提供《住宅质量保证书》和《住宅使用说明书》，未按照《住宅质量保证书》承诺的内容对商品房进行保修的；</w:t>
      </w:r>
    </w:p>
    <w:p>
      <w:pPr>
        <w:spacing w:line="440" w:lineRule="exact"/>
        <w:ind w:firstLine="530" w:firstLineChars="221"/>
        <w:rPr>
          <w:rFonts w:eastAsia="方正仿宋_GBK"/>
          <w:color w:val="000000"/>
          <w:kern w:val="0"/>
          <w:sz w:val="24"/>
        </w:rPr>
      </w:pPr>
      <w:r>
        <w:rPr>
          <w:rFonts w:hint="eastAsia" w:eastAsia="方正仿宋_GBK"/>
          <w:color w:val="000000"/>
          <w:kern w:val="0"/>
          <w:sz w:val="24"/>
        </w:rPr>
        <w:t>（三）未按规定向房地产开发主管部门报送《房地产开发（电子）项目手册》，未按规定参加房地产开发企业年检的</w:t>
      </w:r>
      <w:r>
        <w:rPr>
          <w:rFonts w:eastAsia="方正仿宋_GBK"/>
          <w:color w:val="000000"/>
          <w:kern w:val="0"/>
          <w:sz w:val="24"/>
        </w:rPr>
        <w:t>;</w:t>
      </w:r>
    </w:p>
    <w:p>
      <w:pPr>
        <w:spacing w:line="440" w:lineRule="exact"/>
        <w:ind w:firstLine="530" w:firstLineChars="221"/>
        <w:rPr>
          <w:rFonts w:eastAsia="方正仿宋_GBK"/>
          <w:color w:val="000000"/>
          <w:sz w:val="24"/>
        </w:rPr>
      </w:pPr>
      <w:r>
        <w:rPr>
          <w:rFonts w:hint="eastAsia" w:eastAsia="方正仿宋_GBK"/>
          <w:color w:val="000000"/>
          <w:sz w:val="24"/>
        </w:rPr>
        <w:t>（四）未取得预售许可证销售商品房；不符合商品房销售条件，以认购、预订、排号、发卡等方式向买受人收取或者变相收取定金、预订款等费用，借机抬高价格；</w:t>
      </w:r>
    </w:p>
    <w:p>
      <w:pPr>
        <w:spacing w:line="440" w:lineRule="exact"/>
        <w:ind w:firstLine="530" w:firstLineChars="221"/>
        <w:rPr>
          <w:rFonts w:eastAsia="方正仿宋_GBK"/>
          <w:color w:val="000000"/>
          <w:sz w:val="24"/>
        </w:rPr>
      </w:pPr>
      <w:r>
        <w:rPr>
          <w:rFonts w:hint="eastAsia" w:eastAsia="方正仿宋_GBK"/>
          <w:color w:val="000000"/>
          <w:sz w:val="24"/>
        </w:rPr>
        <w:t>（五）捂盘惜售或者变相囤积房源；</w:t>
      </w:r>
    </w:p>
    <w:p>
      <w:pPr>
        <w:spacing w:line="440" w:lineRule="exact"/>
        <w:ind w:firstLine="530" w:firstLineChars="221"/>
        <w:rPr>
          <w:rFonts w:eastAsia="方正仿宋_GBK"/>
          <w:color w:val="000000"/>
          <w:sz w:val="24"/>
        </w:rPr>
      </w:pPr>
      <w:r>
        <w:rPr>
          <w:rFonts w:hint="eastAsia" w:eastAsia="方正仿宋_GBK"/>
          <w:color w:val="000000"/>
          <w:sz w:val="24"/>
        </w:rPr>
        <w:t>（六）商品房销售不予明码标价，在标价之外加价出售房屋或者收取未标明的费用，以捆绑搭售或者附加条件等限定方式，迫使购房人接受商品或者服务价格；</w:t>
      </w:r>
    </w:p>
    <w:p>
      <w:pPr>
        <w:spacing w:line="440" w:lineRule="exact"/>
        <w:ind w:firstLine="530" w:firstLineChars="221"/>
        <w:rPr>
          <w:rFonts w:eastAsia="方正仿宋_GBK"/>
          <w:color w:val="000000"/>
          <w:sz w:val="24"/>
        </w:rPr>
      </w:pPr>
      <w:r>
        <w:rPr>
          <w:rFonts w:hint="eastAsia" w:eastAsia="方正仿宋_GBK"/>
          <w:color w:val="000000"/>
          <w:sz w:val="24"/>
        </w:rPr>
        <w:t>（七）将已作为商品房销售合同标的物的商品房再销售给他人；</w:t>
      </w:r>
    </w:p>
    <w:p>
      <w:pPr>
        <w:spacing w:line="440" w:lineRule="exact"/>
        <w:ind w:firstLine="530" w:firstLineChars="221"/>
        <w:rPr>
          <w:rFonts w:eastAsia="方正仿宋_GBK"/>
          <w:color w:val="000000"/>
          <w:sz w:val="24"/>
        </w:rPr>
      </w:pPr>
      <w:r>
        <w:rPr>
          <w:rFonts w:hint="eastAsia" w:eastAsia="方正仿宋_GBK"/>
          <w:color w:val="000000"/>
          <w:sz w:val="24"/>
        </w:rPr>
        <w:t>（八）其他不正当经营行为。</w:t>
      </w:r>
    </w:p>
    <w:p>
      <w:pPr>
        <w:spacing w:line="440" w:lineRule="exact"/>
        <w:ind w:firstLine="530" w:firstLineChars="221"/>
        <w:rPr>
          <w:rFonts w:eastAsia="方正仿宋_GBK"/>
          <w:color w:val="000000"/>
          <w:kern w:val="0"/>
          <w:sz w:val="24"/>
        </w:rPr>
      </w:pPr>
      <w:r>
        <w:rPr>
          <w:rFonts w:hint="eastAsia" w:eastAsia="方正仿宋_GBK"/>
          <w:color w:val="000000"/>
          <w:kern w:val="0"/>
          <w:sz w:val="24"/>
        </w:rPr>
        <w:t>以上通知请一并贯彻执行。实施中有什么具体问题，请直接与省住房城乡建设厅房地产市场监管处联系。</w:t>
      </w:r>
    </w:p>
    <w:p>
      <w:pPr>
        <w:spacing w:line="440" w:lineRule="exact"/>
        <w:rPr>
          <w:rFonts w:eastAsia="黑体"/>
          <w:bCs/>
          <w:color w:val="000000"/>
          <w:kern w:val="36"/>
          <w:sz w:val="28"/>
          <w:szCs w:val="28"/>
        </w:rPr>
      </w:pPr>
      <w:r>
        <w:rPr>
          <w:rFonts w:eastAsia="方正仿宋_GBK"/>
          <w:color w:val="000000"/>
          <w:kern w:val="0"/>
          <w:sz w:val="24"/>
        </w:rPr>
        <w:br w:type="column"/>
      </w:r>
      <w:r>
        <w:rPr>
          <w:rFonts w:hint="eastAsia" w:eastAsia="黑体"/>
          <w:bCs/>
          <w:color w:val="000000"/>
          <w:kern w:val="36"/>
          <w:sz w:val="28"/>
          <w:szCs w:val="28"/>
        </w:rPr>
        <w:t>附件：</w:t>
      </w:r>
    </w:p>
    <w:p>
      <w:pPr>
        <w:shd w:val="clear" w:color="auto" w:fill="FFFFFF"/>
        <w:spacing w:line="460" w:lineRule="exact"/>
        <w:outlineLvl w:val="0"/>
        <w:rPr>
          <w:rFonts w:eastAsia="方正仿宋_GBK"/>
          <w:b/>
          <w:bCs/>
          <w:color w:val="000000"/>
          <w:kern w:val="36"/>
          <w:sz w:val="24"/>
        </w:rPr>
      </w:pPr>
    </w:p>
    <w:p>
      <w:pPr>
        <w:shd w:val="clear" w:color="auto" w:fill="FFFFFF"/>
        <w:spacing w:line="460" w:lineRule="exact"/>
        <w:jc w:val="center"/>
        <w:outlineLvl w:val="0"/>
        <w:rPr>
          <w:rFonts w:eastAsia="方正小标宋简体"/>
          <w:bCs/>
          <w:color w:val="000000"/>
          <w:kern w:val="36"/>
          <w:sz w:val="36"/>
          <w:szCs w:val="36"/>
        </w:rPr>
      </w:pPr>
      <w:bookmarkStart w:id="4" w:name="_Toc20667756"/>
      <w:bookmarkStart w:id="5" w:name="_Toc20726282"/>
      <w:bookmarkStart w:id="6" w:name="_Toc18315360"/>
      <w:r>
        <w:rPr>
          <w:rFonts w:hint="eastAsia" w:eastAsia="方正小标宋简体"/>
          <w:bCs/>
          <w:color w:val="000000"/>
          <w:kern w:val="36"/>
          <w:sz w:val="36"/>
          <w:szCs w:val="36"/>
        </w:rPr>
        <w:t>江苏省实施《房地产开发企业资质管理规定》细则</w:t>
      </w:r>
      <w:bookmarkEnd w:id="4"/>
      <w:bookmarkEnd w:id="5"/>
      <w:bookmarkEnd w:id="6"/>
    </w:p>
    <w:p>
      <w:pPr>
        <w:shd w:val="clear" w:color="auto" w:fill="FFFFFF"/>
        <w:spacing w:line="460" w:lineRule="exact"/>
        <w:ind w:firstLine="480" w:firstLineChars="200"/>
        <w:rPr>
          <w:rFonts w:eastAsia="方正仿宋_GBK"/>
          <w:color w:val="000000"/>
          <w:kern w:val="0"/>
          <w:sz w:val="24"/>
        </w:rPr>
      </w:pP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第一条</w:t>
      </w:r>
      <w:r>
        <w:rPr>
          <w:rFonts w:eastAsia="方正仿宋_GBK"/>
          <w:color w:val="000000"/>
          <w:kern w:val="0"/>
          <w:sz w:val="24"/>
        </w:rPr>
        <w:t xml:space="preserve"> </w:t>
      </w:r>
      <w:r>
        <w:rPr>
          <w:rFonts w:hint="eastAsia" w:eastAsia="方正仿宋_GBK"/>
          <w:color w:val="000000"/>
          <w:kern w:val="0"/>
          <w:sz w:val="24"/>
        </w:rPr>
        <w:t>为加强对房地产开发企业的资质管理，</w:t>
      </w:r>
      <w:r>
        <w:fldChar w:fldCharType="begin"/>
      </w:r>
      <w:r>
        <w:instrText xml:space="preserve"> </w:instrText>
      </w:r>
      <w:r>
        <w:rPr>
          <w:rFonts w:hint="eastAsia"/>
        </w:rPr>
        <w:instrText xml:space="preserve">HYPERLINK "http://www.jianshe99.com/web/zhuanyeziliao/biaozhunguifan/" \o "规范" \t "_blank"</w:instrText>
      </w:r>
      <w:r>
        <w:instrText xml:space="preserve"> </w:instrText>
      </w:r>
      <w:r>
        <w:fldChar w:fldCharType="separate"/>
      </w:r>
      <w:r>
        <w:rPr>
          <w:rStyle w:val="16"/>
          <w:rFonts w:hint="eastAsia" w:eastAsia="方正仿宋_GBK"/>
          <w:kern w:val="0"/>
          <w:sz w:val="24"/>
        </w:rPr>
        <w:t>规范</w:t>
      </w:r>
      <w:r>
        <w:fldChar w:fldCharType="end"/>
      </w:r>
      <w:r>
        <w:rPr>
          <w:rFonts w:hint="eastAsia" w:eastAsia="方正仿宋_GBK"/>
          <w:color w:val="000000"/>
          <w:kern w:val="0"/>
          <w:sz w:val="24"/>
        </w:rPr>
        <w:t>房地产开发企业经营行为，根据《房地产开发企业资质管理规定》（住房和城乡建设部〔</w:t>
      </w:r>
      <w:r>
        <w:rPr>
          <w:rFonts w:eastAsia="方正仿宋_GBK"/>
          <w:color w:val="000000"/>
          <w:kern w:val="0"/>
          <w:sz w:val="24"/>
        </w:rPr>
        <w:t>2015</w:t>
      </w:r>
      <w:r>
        <w:rPr>
          <w:rFonts w:hint="eastAsia" w:eastAsia="方正仿宋_GBK"/>
          <w:color w:val="000000"/>
          <w:kern w:val="0"/>
          <w:sz w:val="24"/>
        </w:rPr>
        <w:t>〕第</w:t>
      </w:r>
      <w:r>
        <w:rPr>
          <w:rFonts w:eastAsia="方正仿宋_GBK"/>
          <w:color w:val="000000"/>
          <w:kern w:val="0"/>
          <w:sz w:val="24"/>
        </w:rPr>
        <w:t>24</w:t>
      </w:r>
      <w:r>
        <w:rPr>
          <w:rFonts w:hint="eastAsia" w:eastAsia="方正仿宋_GBK"/>
          <w:color w:val="000000"/>
          <w:kern w:val="0"/>
          <w:sz w:val="24"/>
        </w:rPr>
        <w:t>号令）结合本省实际，制定本细则。</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第二条</w:t>
      </w:r>
      <w:r>
        <w:rPr>
          <w:rFonts w:eastAsia="方正仿宋_GBK"/>
          <w:color w:val="000000"/>
          <w:kern w:val="0"/>
          <w:sz w:val="24"/>
        </w:rPr>
        <w:t xml:space="preserve"> </w:t>
      </w:r>
      <w:r>
        <w:rPr>
          <w:rFonts w:hint="eastAsia" w:eastAsia="方正仿宋_GBK"/>
          <w:color w:val="000000"/>
          <w:kern w:val="0"/>
          <w:sz w:val="24"/>
        </w:rPr>
        <w:t>本细则所称房地产开发企业是指依法设立、具有企业法人资格的经济实体。</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第三条</w:t>
      </w:r>
      <w:r>
        <w:rPr>
          <w:rFonts w:eastAsia="方正仿宋_GBK"/>
          <w:color w:val="000000"/>
          <w:kern w:val="0"/>
          <w:sz w:val="24"/>
        </w:rPr>
        <w:t xml:space="preserve"> </w:t>
      </w:r>
      <w:r>
        <w:rPr>
          <w:rFonts w:hint="eastAsia" w:eastAsia="方正仿宋_GBK"/>
          <w:color w:val="000000"/>
          <w:kern w:val="0"/>
          <w:sz w:val="24"/>
        </w:rPr>
        <w:t>房地产开发企业应当按照本细则规定申请核定企业资质等级，领取房地产开发企业资质证书（以下简称资质证书），并按照核定的资质等级承担相应的房地产开发项目的开发经营业务。</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未取得资质证书的企业，不得从事房地产开发经营业务。</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第四条</w:t>
      </w:r>
      <w:r>
        <w:rPr>
          <w:rFonts w:eastAsia="方正仿宋_GBK"/>
          <w:color w:val="000000"/>
          <w:kern w:val="0"/>
          <w:sz w:val="24"/>
        </w:rPr>
        <w:t xml:space="preserve"> </w:t>
      </w:r>
      <w:r>
        <w:rPr>
          <w:rFonts w:hint="eastAsia" w:eastAsia="方正仿宋_GBK"/>
          <w:color w:val="000000"/>
          <w:kern w:val="0"/>
          <w:sz w:val="24"/>
        </w:rPr>
        <w:t>省建设行政主管部门负责全省房地产开发企业的资质管理工作。</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市、县（市）地方人民政府房地产开发主管部门负责本行政区域内房地产开发企业的资质管理工作。</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第五条</w:t>
      </w:r>
      <w:r>
        <w:rPr>
          <w:rFonts w:eastAsia="方正仿宋_GBK"/>
          <w:color w:val="000000"/>
          <w:kern w:val="0"/>
          <w:sz w:val="24"/>
        </w:rPr>
        <w:t xml:space="preserve"> </w:t>
      </w:r>
      <w:r>
        <w:rPr>
          <w:rFonts w:hint="eastAsia" w:eastAsia="方正仿宋_GBK"/>
          <w:color w:val="000000"/>
          <w:kern w:val="0"/>
          <w:sz w:val="24"/>
        </w:rPr>
        <w:t>房地产开发企业按照企业条件分为一、二、三、四四个资质等级。</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第六条</w:t>
      </w:r>
      <w:r>
        <w:rPr>
          <w:rFonts w:eastAsia="方正仿宋_GBK"/>
          <w:color w:val="000000"/>
          <w:kern w:val="0"/>
          <w:sz w:val="24"/>
        </w:rPr>
        <w:t xml:space="preserve"> </w:t>
      </w:r>
      <w:r>
        <w:rPr>
          <w:rFonts w:hint="eastAsia" w:eastAsia="方正仿宋_GBK"/>
          <w:color w:val="000000"/>
          <w:kern w:val="0"/>
          <w:sz w:val="24"/>
        </w:rPr>
        <w:t>申请一级资质的房地产开发企业必须符合下列条件：</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（一）从事房地产开发经营</w:t>
      </w:r>
      <w:r>
        <w:rPr>
          <w:rFonts w:eastAsia="方正仿宋_GBK"/>
          <w:color w:val="000000"/>
          <w:kern w:val="0"/>
          <w:sz w:val="24"/>
        </w:rPr>
        <w:t>5</w:t>
      </w:r>
      <w:r>
        <w:rPr>
          <w:rFonts w:hint="eastAsia" w:eastAsia="方正仿宋_GBK"/>
          <w:color w:val="000000"/>
          <w:kern w:val="0"/>
          <w:sz w:val="24"/>
        </w:rPr>
        <w:t>年以上；</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（二）近</w:t>
      </w:r>
      <w:r>
        <w:rPr>
          <w:rFonts w:eastAsia="方正仿宋_GBK"/>
          <w:color w:val="000000"/>
          <w:kern w:val="0"/>
          <w:sz w:val="24"/>
        </w:rPr>
        <w:t>3</w:t>
      </w:r>
      <w:r>
        <w:rPr>
          <w:rFonts w:hint="eastAsia" w:eastAsia="方正仿宋_GBK"/>
          <w:color w:val="000000"/>
          <w:kern w:val="0"/>
          <w:sz w:val="24"/>
        </w:rPr>
        <w:t>年房屋建筑面积累计竣工</w:t>
      </w:r>
      <w:r>
        <w:rPr>
          <w:rFonts w:eastAsia="方正仿宋_GBK"/>
          <w:color w:val="000000"/>
          <w:kern w:val="0"/>
          <w:sz w:val="24"/>
        </w:rPr>
        <w:t>30</w:t>
      </w:r>
      <w:r>
        <w:rPr>
          <w:rFonts w:hint="eastAsia" w:eastAsia="方正仿宋_GBK"/>
          <w:color w:val="000000"/>
          <w:kern w:val="0"/>
          <w:sz w:val="24"/>
        </w:rPr>
        <w:t>万平方米以上，或者累计完成房地产开发投资额</w:t>
      </w:r>
      <w:r>
        <w:rPr>
          <w:rFonts w:eastAsia="方正仿宋_GBK"/>
          <w:color w:val="000000"/>
          <w:kern w:val="0"/>
          <w:sz w:val="24"/>
        </w:rPr>
        <w:t>3</w:t>
      </w:r>
      <w:r>
        <w:rPr>
          <w:rFonts w:hint="eastAsia" w:eastAsia="方正仿宋_GBK"/>
          <w:color w:val="000000"/>
          <w:kern w:val="0"/>
          <w:sz w:val="24"/>
        </w:rPr>
        <w:t>亿元以上；</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（三）连续</w:t>
      </w:r>
      <w:r>
        <w:rPr>
          <w:rFonts w:eastAsia="方正仿宋_GBK"/>
          <w:color w:val="000000"/>
          <w:kern w:val="0"/>
          <w:sz w:val="24"/>
        </w:rPr>
        <w:t>5</w:t>
      </w:r>
      <w:r>
        <w:rPr>
          <w:rFonts w:hint="eastAsia" w:eastAsia="方正仿宋_GBK"/>
          <w:color w:val="000000"/>
          <w:kern w:val="0"/>
          <w:sz w:val="24"/>
        </w:rPr>
        <w:t>年建筑工程质量合格率达</w:t>
      </w:r>
      <w:r>
        <w:rPr>
          <w:rFonts w:eastAsia="方正仿宋_GBK"/>
          <w:color w:val="000000"/>
          <w:kern w:val="0"/>
          <w:sz w:val="24"/>
        </w:rPr>
        <w:t>100%</w:t>
      </w:r>
      <w:r>
        <w:rPr>
          <w:rFonts w:hint="eastAsia" w:eastAsia="方正仿宋_GBK"/>
          <w:color w:val="000000"/>
          <w:kern w:val="0"/>
          <w:sz w:val="24"/>
        </w:rPr>
        <w:t>；</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（四）上一年房屋建筑施工面积</w:t>
      </w:r>
      <w:r>
        <w:rPr>
          <w:rFonts w:eastAsia="方正仿宋_GBK"/>
          <w:color w:val="000000"/>
          <w:kern w:val="0"/>
          <w:sz w:val="24"/>
        </w:rPr>
        <w:t>15</w:t>
      </w:r>
      <w:r>
        <w:rPr>
          <w:rFonts w:hint="eastAsia" w:eastAsia="方正仿宋_GBK"/>
          <w:color w:val="000000"/>
          <w:kern w:val="0"/>
          <w:sz w:val="24"/>
        </w:rPr>
        <w:t>万平方米以上，或者完成房地产开发投资额</w:t>
      </w:r>
      <w:r>
        <w:rPr>
          <w:rFonts w:eastAsia="方正仿宋_GBK"/>
          <w:color w:val="000000"/>
          <w:kern w:val="0"/>
          <w:sz w:val="24"/>
        </w:rPr>
        <w:t>1</w:t>
      </w:r>
      <w:r>
        <w:rPr>
          <w:rFonts w:hint="eastAsia" w:eastAsia="方正仿宋_GBK"/>
          <w:color w:val="000000"/>
          <w:kern w:val="0"/>
          <w:sz w:val="24"/>
        </w:rPr>
        <w:t>亿</w:t>
      </w:r>
      <w:r>
        <w:rPr>
          <w:rFonts w:eastAsia="方正仿宋_GBK"/>
          <w:color w:val="000000"/>
          <w:kern w:val="0"/>
          <w:sz w:val="24"/>
        </w:rPr>
        <w:t>5</w:t>
      </w:r>
      <w:r>
        <w:rPr>
          <w:rFonts w:hint="eastAsia" w:eastAsia="方正仿宋_GBK"/>
          <w:color w:val="000000"/>
          <w:kern w:val="0"/>
          <w:sz w:val="24"/>
        </w:rPr>
        <w:t>千万元以上；</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（五）有专业技术职称的建筑、结构、财务、房地产及有关经济类的专业管理人员不少于</w:t>
      </w:r>
      <w:r>
        <w:rPr>
          <w:rFonts w:eastAsia="方正仿宋_GBK"/>
          <w:color w:val="000000"/>
          <w:kern w:val="0"/>
          <w:sz w:val="24"/>
        </w:rPr>
        <w:t>40</w:t>
      </w:r>
      <w:r>
        <w:rPr>
          <w:rFonts w:hint="eastAsia" w:eastAsia="方正仿宋_GBK"/>
          <w:color w:val="000000"/>
          <w:kern w:val="0"/>
          <w:sz w:val="24"/>
        </w:rPr>
        <w:t>人，其中具有中级以上职称的管理人员不少于</w:t>
      </w:r>
      <w:r>
        <w:rPr>
          <w:rFonts w:eastAsia="方正仿宋_GBK"/>
          <w:color w:val="000000"/>
          <w:kern w:val="0"/>
          <w:sz w:val="24"/>
        </w:rPr>
        <w:t>20</w:t>
      </w:r>
      <w:r>
        <w:rPr>
          <w:rFonts w:hint="eastAsia" w:eastAsia="方正仿宋_GBK"/>
          <w:color w:val="000000"/>
          <w:kern w:val="0"/>
          <w:sz w:val="24"/>
        </w:rPr>
        <w:t>人，持有资格证书的专职会计人员不少于</w:t>
      </w:r>
      <w:r>
        <w:rPr>
          <w:rFonts w:eastAsia="方正仿宋_GBK"/>
          <w:color w:val="000000"/>
          <w:kern w:val="0"/>
          <w:sz w:val="24"/>
        </w:rPr>
        <w:t>4</w:t>
      </w:r>
      <w:r>
        <w:rPr>
          <w:rFonts w:hint="eastAsia" w:eastAsia="方正仿宋_GBK"/>
          <w:color w:val="000000"/>
          <w:kern w:val="0"/>
          <w:sz w:val="24"/>
        </w:rPr>
        <w:t>人；</w:t>
      </w:r>
      <w:r>
        <w:rPr>
          <w:rFonts w:eastAsia="方正仿宋_GBK"/>
          <w:color w:val="000000"/>
          <w:kern w:val="0"/>
          <w:sz w:val="24"/>
        </w:rPr>
        <w:t>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（六）工程技术、财务、统计等业务负责人具有相应专业中级以上职称；</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（七）具有完善的质量保证体系，商品住宅销售中实行了《住宅质量保证书》和《住宅使用说明书》制度；</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（八）未发生过重大工程质量事故。</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第七条</w:t>
      </w:r>
      <w:r>
        <w:rPr>
          <w:rFonts w:eastAsia="方正仿宋_GBK"/>
          <w:color w:val="000000"/>
          <w:kern w:val="0"/>
          <w:sz w:val="24"/>
        </w:rPr>
        <w:t xml:space="preserve"> </w:t>
      </w:r>
      <w:r>
        <w:rPr>
          <w:rFonts w:hint="eastAsia" w:eastAsia="方正仿宋_GBK"/>
          <w:color w:val="000000"/>
          <w:kern w:val="0"/>
          <w:sz w:val="24"/>
        </w:rPr>
        <w:t>申请二级资质的房地产开发企业必须符合下列条件：</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（一）从事房地产开发经营</w:t>
      </w:r>
      <w:r>
        <w:rPr>
          <w:rFonts w:eastAsia="方正仿宋_GBK"/>
          <w:color w:val="000000"/>
          <w:kern w:val="0"/>
          <w:sz w:val="24"/>
        </w:rPr>
        <w:t>3</w:t>
      </w:r>
      <w:r>
        <w:rPr>
          <w:rFonts w:hint="eastAsia" w:eastAsia="方正仿宋_GBK"/>
          <w:color w:val="000000"/>
          <w:kern w:val="0"/>
          <w:sz w:val="24"/>
        </w:rPr>
        <w:t>年以上；</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（二）近</w:t>
      </w:r>
      <w:r>
        <w:rPr>
          <w:rFonts w:eastAsia="方正仿宋_GBK"/>
          <w:color w:val="000000"/>
          <w:kern w:val="0"/>
          <w:sz w:val="24"/>
        </w:rPr>
        <w:t>3</w:t>
      </w:r>
      <w:r>
        <w:rPr>
          <w:rFonts w:hint="eastAsia" w:eastAsia="方正仿宋_GBK"/>
          <w:color w:val="000000"/>
          <w:kern w:val="0"/>
          <w:sz w:val="24"/>
        </w:rPr>
        <w:t>年房屋建筑面积累计竣工</w:t>
      </w:r>
      <w:r>
        <w:rPr>
          <w:rFonts w:eastAsia="方正仿宋_GBK"/>
          <w:color w:val="000000"/>
          <w:kern w:val="0"/>
          <w:sz w:val="24"/>
        </w:rPr>
        <w:t>15</w:t>
      </w:r>
      <w:r>
        <w:rPr>
          <w:rFonts w:hint="eastAsia" w:eastAsia="方正仿宋_GBK"/>
          <w:color w:val="000000"/>
          <w:kern w:val="0"/>
          <w:sz w:val="24"/>
        </w:rPr>
        <w:t>万平方米以上，或者上一年房屋建设面积竣工</w:t>
      </w:r>
      <w:r>
        <w:rPr>
          <w:rFonts w:eastAsia="方正仿宋_GBK"/>
          <w:color w:val="000000"/>
          <w:kern w:val="0"/>
          <w:sz w:val="24"/>
        </w:rPr>
        <w:t>8</w:t>
      </w:r>
      <w:r>
        <w:rPr>
          <w:rFonts w:hint="eastAsia" w:eastAsia="方正仿宋_GBK"/>
          <w:color w:val="000000"/>
          <w:kern w:val="0"/>
          <w:sz w:val="24"/>
        </w:rPr>
        <w:t>万平方米以上；</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（三）近</w:t>
      </w:r>
      <w:r>
        <w:rPr>
          <w:rFonts w:eastAsia="方正仿宋_GBK"/>
          <w:color w:val="000000"/>
          <w:kern w:val="0"/>
          <w:sz w:val="24"/>
        </w:rPr>
        <w:t>3</w:t>
      </w:r>
      <w:r>
        <w:rPr>
          <w:rFonts w:hint="eastAsia" w:eastAsia="方正仿宋_GBK"/>
          <w:color w:val="000000"/>
          <w:kern w:val="0"/>
          <w:sz w:val="24"/>
        </w:rPr>
        <w:t>年累计完成房地产开发投资额</w:t>
      </w:r>
      <w:r>
        <w:rPr>
          <w:rFonts w:eastAsia="方正仿宋_GBK"/>
          <w:color w:val="000000"/>
          <w:kern w:val="0"/>
          <w:sz w:val="24"/>
        </w:rPr>
        <w:t>1</w:t>
      </w:r>
      <w:r>
        <w:rPr>
          <w:rFonts w:hint="eastAsia" w:eastAsia="方正仿宋_GBK"/>
          <w:color w:val="000000"/>
          <w:kern w:val="0"/>
          <w:sz w:val="24"/>
        </w:rPr>
        <w:t>亿</w:t>
      </w:r>
      <w:r>
        <w:rPr>
          <w:rFonts w:eastAsia="方正仿宋_GBK"/>
          <w:color w:val="000000"/>
          <w:kern w:val="0"/>
          <w:sz w:val="24"/>
        </w:rPr>
        <w:t>5</w:t>
      </w:r>
      <w:r>
        <w:rPr>
          <w:rFonts w:hint="eastAsia" w:eastAsia="方正仿宋_GBK"/>
          <w:color w:val="000000"/>
          <w:kern w:val="0"/>
          <w:sz w:val="24"/>
        </w:rPr>
        <w:t>千万元以上或者上一年完成房地产开发投资额</w:t>
      </w:r>
      <w:r>
        <w:rPr>
          <w:rFonts w:eastAsia="方正仿宋_GBK"/>
          <w:color w:val="000000"/>
          <w:kern w:val="0"/>
          <w:sz w:val="24"/>
        </w:rPr>
        <w:t>8000</w:t>
      </w:r>
      <w:r>
        <w:rPr>
          <w:rFonts w:hint="eastAsia" w:eastAsia="方正仿宋_GBK"/>
          <w:color w:val="000000"/>
          <w:kern w:val="0"/>
          <w:sz w:val="24"/>
        </w:rPr>
        <w:t>万元以上；</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（四）连续</w:t>
      </w:r>
      <w:r>
        <w:rPr>
          <w:rFonts w:eastAsia="方正仿宋_GBK"/>
          <w:color w:val="000000"/>
          <w:kern w:val="0"/>
          <w:sz w:val="24"/>
        </w:rPr>
        <w:t>3</w:t>
      </w:r>
      <w:r>
        <w:rPr>
          <w:rFonts w:hint="eastAsia" w:eastAsia="方正仿宋_GBK"/>
          <w:color w:val="000000"/>
          <w:kern w:val="0"/>
          <w:sz w:val="24"/>
        </w:rPr>
        <w:t>年建筑工程质量合格率达</w:t>
      </w:r>
      <w:r>
        <w:rPr>
          <w:rFonts w:eastAsia="方正仿宋_GBK"/>
          <w:color w:val="000000"/>
          <w:kern w:val="0"/>
          <w:sz w:val="24"/>
        </w:rPr>
        <w:t>100%</w:t>
      </w:r>
      <w:r>
        <w:rPr>
          <w:rFonts w:hint="eastAsia" w:eastAsia="方正仿宋_GBK"/>
          <w:color w:val="000000"/>
          <w:kern w:val="0"/>
          <w:sz w:val="24"/>
        </w:rPr>
        <w:t>；</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（五）有专业技术职称的建筑、结构、财务、房地产及有关经济类的专业管理人员不少于</w:t>
      </w:r>
      <w:r>
        <w:rPr>
          <w:rFonts w:eastAsia="方正仿宋_GBK"/>
          <w:color w:val="000000"/>
          <w:kern w:val="0"/>
          <w:sz w:val="24"/>
        </w:rPr>
        <w:t>20</w:t>
      </w:r>
      <w:r>
        <w:rPr>
          <w:rFonts w:hint="eastAsia" w:eastAsia="方正仿宋_GBK"/>
          <w:color w:val="000000"/>
          <w:kern w:val="0"/>
          <w:sz w:val="24"/>
        </w:rPr>
        <w:t>人，其中具有中级以上职称的管理人员不少于</w:t>
      </w:r>
      <w:r>
        <w:rPr>
          <w:rFonts w:eastAsia="方正仿宋_GBK"/>
          <w:color w:val="000000"/>
          <w:kern w:val="0"/>
          <w:sz w:val="24"/>
        </w:rPr>
        <w:t>10</w:t>
      </w:r>
      <w:r>
        <w:rPr>
          <w:rFonts w:hint="eastAsia" w:eastAsia="方正仿宋_GBK"/>
          <w:color w:val="000000"/>
          <w:kern w:val="0"/>
          <w:sz w:val="24"/>
        </w:rPr>
        <w:t>人，建筑、结构专业中级以上职称的管理人员不少于</w:t>
      </w:r>
      <w:r>
        <w:rPr>
          <w:rFonts w:eastAsia="方正仿宋_GBK"/>
          <w:color w:val="000000"/>
          <w:kern w:val="0"/>
          <w:sz w:val="24"/>
        </w:rPr>
        <w:t>4</w:t>
      </w:r>
      <w:r>
        <w:rPr>
          <w:rFonts w:hint="eastAsia" w:eastAsia="方正仿宋_GBK"/>
          <w:color w:val="000000"/>
          <w:kern w:val="0"/>
          <w:sz w:val="24"/>
        </w:rPr>
        <w:t>人，持有资格证书的专职会计人员不少于</w:t>
      </w:r>
      <w:r>
        <w:rPr>
          <w:rFonts w:eastAsia="方正仿宋_GBK"/>
          <w:color w:val="000000"/>
          <w:kern w:val="0"/>
          <w:sz w:val="24"/>
        </w:rPr>
        <w:t>3</w:t>
      </w:r>
      <w:r>
        <w:rPr>
          <w:rFonts w:hint="eastAsia" w:eastAsia="方正仿宋_GBK"/>
          <w:color w:val="000000"/>
          <w:kern w:val="0"/>
          <w:sz w:val="24"/>
        </w:rPr>
        <w:t>人；</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（六）工程技术、财务、统计等业务负责人具有相应专业中级以上职称；</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（七）具有完善的质量保证体系，商品住宅销售中实行了《住宅质量保证书》和《住宅使用说明书》制度；</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（八）未发生过重大工程质量事故。</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前款第（二）、第（三）项所列条件，房地产开发企业具备其中一项即可。</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第八条</w:t>
      </w:r>
      <w:r>
        <w:rPr>
          <w:rFonts w:eastAsia="方正仿宋_GBK"/>
          <w:color w:val="000000"/>
          <w:kern w:val="0"/>
          <w:sz w:val="24"/>
        </w:rPr>
        <w:t xml:space="preserve"> </w:t>
      </w:r>
      <w:r>
        <w:rPr>
          <w:rFonts w:hint="eastAsia" w:eastAsia="方正仿宋_GBK"/>
          <w:color w:val="000000"/>
          <w:kern w:val="0"/>
          <w:sz w:val="24"/>
        </w:rPr>
        <w:t>申请三级资质的房地产开发企业必须符合下列条件：</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（一）从事房地产开发经营</w:t>
      </w:r>
      <w:r>
        <w:rPr>
          <w:rFonts w:eastAsia="方正仿宋_GBK"/>
          <w:color w:val="000000"/>
          <w:kern w:val="0"/>
          <w:sz w:val="24"/>
        </w:rPr>
        <w:t>1</w:t>
      </w:r>
      <w:r>
        <w:rPr>
          <w:rFonts w:hint="eastAsia" w:eastAsia="方正仿宋_GBK"/>
          <w:color w:val="000000"/>
          <w:kern w:val="0"/>
          <w:sz w:val="24"/>
        </w:rPr>
        <w:t>年以上；</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（二）近</w:t>
      </w:r>
      <w:r>
        <w:rPr>
          <w:rFonts w:eastAsia="方正仿宋_GBK"/>
          <w:color w:val="000000"/>
          <w:kern w:val="0"/>
          <w:sz w:val="24"/>
        </w:rPr>
        <w:t>3</w:t>
      </w:r>
      <w:r>
        <w:rPr>
          <w:rFonts w:hint="eastAsia" w:eastAsia="方正仿宋_GBK"/>
          <w:color w:val="000000"/>
          <w:kern w:val="0"/>
          <w:sz w:val="24"/>
        </w:rPr>
        <w:t>年房屋建筑面积累计竣工</w:t>
      </w:r>
      <w:r>
        <w:rPr>
          <w:rFonts w:eastAsia="方正仿宋_GBK"/>
          <w:color w:val="000000"/>
          <w:kern w:val="0"/>
          <w:sz w:val="24"/>
        </w:rPr>
        <w:t>5</w:t>
      </w:r>
      <w:r>
        <w:rPr>
          <w:rFonts w:hint="eastAsia" w:eastAsia="方正仿宋_GBK"/>
          <w:color w:val="000000"/>
          <w:kern w:val="0"/>
          <w:sz w:val="24"/>
        </w:rPr>
        <w:t>万平方米以上，或者上一年房屋建筑面积竣工</w:t>
      </w:r>
      <w:r>
        <w:rPr>
          <w:rFonts w:eastAsia="方正仿宋_GBK"/>
          <w:color w:val="000000"/>
          <w:kern w:val="0"/>
          <w:sz w:val="24"/>
        </w:rPr>
        <w:t>3</w:t>
      </w:r>
      <w:r>
        <w:rPr>
          <w:rFonts w:hint="eastAsia" w:eastAsia="方正仿宋_GBK"/>
          <w:color w:val="000000"/>
          <w:kern w:val="0"/>
          <w:sz w:val="24"/>
        </w:rPr>
        <w:t>万平方米；</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（三）近</w:t>
      </w:r>
      <w:r>
        <w:rPr>
          <w:rFonts w:eastAsia="方正仿宋_GBK"/>
          <w:color w:val="000000"/>
          <w:kern w:val="0"/>
          <w:sz w:val="24"/>
        </w:rPr>
        <w:t>3</w:t>
      </w:r>
      <w:r>
        <w:rPr>
          <w:rFonts w:hint="eastAsia" w:eastAsia="方正仿宋_GBK"/>
          <w:color w:val="000000"/>
          <w:kern w:val="0"/>
          <w:sz w:val="24"/>
        </w:rPr>
        <w:t>年累计完成房地产开发投资额</w:t>
      </w:r>
      <w:r>
        <w:rPr>
          <w:rFonts w:eastAsia="方正仿宋_GBK"/>
          <w:color w:val="000000"/>
          <w:kern w:val="0"/>
          <w:sz w:val="24"/>
        </w:rPr>
        <w:t>5000</w:t>
      </w:r>
      <w:r>
        <w:rPr>
          <w:rFonts w:hint="eastAsia" w:eastAsia="方正仿宋_GBK"/>
          <w:color w:val="000000"/>
          <w:kern w:val="0"/>
          <w:sz w:val="24"/>
        </w:rPr>
        <w:t>万元以上或者上一年完成房地产开发投资额</w:t>
      </w:r>
      <w:r>
        <w:rPr>
          <w:rFonts w:eastAsia="方正仿宋_GBK"/>
          <w:color w:val="000000"/>
          <w:kern w:val="0"/>
          <w:sz w:val="24"/>
        </w:rPr>
        <w:t>3000</w:t>
      </w:r>
      <w:r>
        <w:rPr>
          <w:rFonts w:hint="eastAsia" w:eastAsia="方正仿宋_GBK"/>
          <w:color w:val="000000"/>
          <w:kern w:val="0"/>
          <w:sz w:val="24"/>
        </w:rPr>
        <w:t>万元以上；</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（四）已竣工的建筑工程质量合格率达</w:t>
      </w:r>
      <w:r>
        <w:rPr>
          <w:rFonts w:eastAsia="方正仿宋_GBK"/>
          <w:color w:val="000000"/>
          <w:kern w:val="0"/>
          <w:sz w:val="24"/>
        </w:rPr>
        <w:t>100%</w:t>
      </w:r>
      <w:r>
        <w:rPr>
          <w:rFonts w:hint="eastAsia" w:eastAsia="方正仿宋_GBK"/>
          <w:color w:val="000000"/>
          <w:kern w:val="0"/>
          <w:sz w:val="24"/>
        </w:rPr>
        <w:t>；</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（五）有专业技术职称的建筑、结构、财务、房地产及有关经济类的专业管理人员不少于</w:t>
      </w:r>
      <w:r>
        <w:rPr>
          <w:rFonts w:eastAsia="方正仿宋_GBK"/>
          <w:color w:val="000000"/>
          <w:kern w:val="0"/>
          <w:sz w:val="24"/>
        </w:rPr>
        <w:t>10</w:t>
      </w:r>
      <w:r>
        <w:rPr>
          <w:rFonts w:hint="eastAsia" w:eastAsia="方正仿宋_GBK"/>
          <w:color w:val="000000"/>
          <w:kern w:val="0"/>
          <w:sz w:val="24"/>
        </w:rPr>
        <w:t>人，其中具有中级以上职称的管理人员不少于</w:t>
      </w:r>
      <w:r>
        <w:rPr>
          <w:rFonts w:eastAsia="方正仿宋_GBK"/>
          <w:color w:val="000000"/>
          <w:kern w:val="0"/>
          <w:sz w:val="24"/>
        </w:rPr>
        <w:t>5</w:t>
      </w:r>
      <w:r>
        <w:rPr>
          <w:rFonts w:hint="eastAsia" w:eastAsia="方正仿宋_GBK"/>
          <w:color w:val="000000"/>
          <w:kern w:val="0"/>
          <w:sz w:val="24"/>
        </w:rPr>
        <w:t>人，建筑、结构专业中级以上职称的管理人员不于</w:t>
      </w:r>
      <w:r>
        <w:rPr>
          <w:rFonts w:eastAsia="方正仿宋_GBK"/>
          <w:color w:val="000000"/>
          <w:kern w:val="0"/>
          <w:sz w:val="24"/>
        </w:rPr>
        <w:t>2</w:t>
      </w:r>
      <w:r>
        <w:rPr>
          <w:rFonts w:hint="eastAsia" w:eastAsia="方正仿宋_GBK"/>
          <w:color w:val="000000"/>
          <w:kern w:val="0"/>
          <w:sz w:val="24"/>
        </w:rPr>
        <w:t>人，持有资格证书的专职会计人员不少于</w:t>
      </w:r>
      <w:r>
        <w:rPr>
          <w:rFonts w:eastAsia="方正仿宋_GBK"/>
          <w:color w:val="000000"/>
          <w:kern w:val="0"/>
          <w:sz w:val="24"/>
        </w:rPr>
        <w:t>2</w:t>
      </w:r>
      <w:r>
        <w:rPr>
          <w:rFonts w:hint="eastAsia" w:eastAsia="方正仿宋_GBK"/>
          <w:color w:val="000000"/>
          <w:kern w:val="0"/>
          <w:sz w:val="24"/>
        </w:rPr>
        <w:t>人；</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（六）工程技术、财务等业务负责人具有相应专业中级以上职称，统计业务负责人具有相应专业初级以上职称；</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（七）具有完善的质量保证体系，商品住宅销售中实行了《住宅质量保证书》和《住宅使用说明书》制度；</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（八）未发生过重大工程质量事故。</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前款第（二）、第（三）项所列条件，房地产开发企业具备其中一项即可。</w:t>
      </w:r>
      <w:r>
        <w:rPr>
          <w:rFonts w:eastAsia="方正仿宋_GBK"/>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第九条</w:t>
      </w:r>
      <w:r>
        <w:rPr>
          <w:rFonts w:eastAsia="方正仿宋_GBK"/>
          <w:color w:val="000000"/>
          <w:kern w:val="0"/>
          <w:sz w:val="24"/>
        </w:rPr>
        <w:t xml:space="preserve"> </w:t>
      </w:r>
      <w:r>
        <w:rPr>
          <w:rFonts w:hint="eastAsia" w:eastAsia="方正仿宋_GBK"/>
          <w:color w:val="000000"/>
          <w:kern w:val="0"/>
          <w:sz w:val="24"/>
        </w:rPr>
        <w:t>申请四级资质的房地产开发企业必须符合下列条件：</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（一）从事房地产开发经营</w:t>
      </w:r>
      <w:r>
        <w:rPr>
          <w:rFonts w:eastAsia="方正仿宋_GBK"/>
          <w:color w:val="000000"/>
          <w:kern w:val="0"/>
          <w:sz w:val="24"/>
        </w:rPr>
        <w:t>1</w:t>
      </w:r>
      <w:r>
        <w:rPr>
          <w:rFonts w:hint="eastAsia" w:eastAsia="方正仿宋_GBK"/>
          <w:color w:val="000000"/>
          <w:kern w:val="0"/>
          <w:sz w:val="24"/>
        </w:rPr>
        <w:t>年以上；</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（二）近</w:t>
      </w:r>
      <w:r>
        <w:rPr>
          <w:rFonts w:eastAsia="方正仿宋_GBK"/>
          <w:color w:val="000000"/>
          <w:kern w:val="0"/>
          <w:sz w:val="24"/>
        </w:rPr>
        <w:t>3</w:t>
      </w:r>
      <w:r>
        <w:rPr>
          <w:rFonts w:hint="eastAsia" w:eastAsia="方正仿宋_GBK"/>
          <w:color w:val="000000"/>
          <w:kern w:val="0"/>
          <w:sz w:val="24"/>
        </w:rPr>
        <w:t>年房屋建筑面积累计竣工</w:t>
      </w:r>
      <w:r>
        <w:rPr>
          <w:rFonts w:eastAsia="方正仿宋_GBK"/>
          <w:color w:val="000000"/>
          <w:kern w:val="0"/>
          <w:sz w:val="24"/>
        </w:rPr>
        <w:t>2</w:t>
      </w:r>
      <w:r>
        <w:rPr>
          <w:rFonts w:hint="eastAsia" w:eastAsia="方正仿宋_GBK"/>
          <w:color w:val="000000"/>
          <w:kern w:val="0"/>
          <w:sz w:val="24"/>
        </w:rPr>
        <w:t>万平方米以上，或者上一年房屋建筑面积竣工</w:t>
      </w:r>
      <w:r>
        <w:rPr>
          <w:rFonts w:eastAsia="方正仿宋_GBK"/>
          <w:color w:val="000000"/>
          <w:kern w:val="0"/>
          <w:sz w:val="24"/>
        </w:rPr>
        <w:t>1</w:t>
      </w:r>
      <w:r>
        <w:rPr>
          <w:rFonts w:hint="eastAsia" w:eastAsia="方正仿宋_GBK"/>
          <w:color w:val="000000"/>
          <w:kern w:val="0"/>
          <w:sz w:val="24"/>
        </w:rPr>
        <w:t>万平方米以上；</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（三）近</w:t>
      </w:r>
      <w:r>
        <w:rPr>
          <w:rFonts w:eastAsia="方正仿宋_GBK"/>
          <w:color w:val="000000"/>
          <w:kern w:val="0"/>
          <w:sz w:val="24"/>
        </w:rPr>
        <w:t>3</w:t>
      </w:r>
      <w:r>
        <w:rPr>
          <w:rFonts w:hint="eastAsia" w:eastAsia="方正仿宋_GBK"/>
          <w:color w:val="000000"/>
          <w:kern w:val="0"/>
          <w:sz w:val="24"/>
        </w:rPr>
        <w:t>年累计完成房地产开发投资额</w:t>
      </w:r>
      <w:r>
        <w:rPr>
          <w:rFonts w:eastAsia="方正仿宋_GBK"/>
          <w:color w:val="000000"/>
          <w:kern w:val="0"/>
          <w:sz w:val="24"/>
        </w:rPr>
        <w:t>2000</w:t>
      </w:r>
      <w:r>
        <w:rPr>
          <w:rFonts w:hint="eastAsia" w:eastAsia="方正仿宋_GBK"/>
          <w:color w:val="000000"/>
          <w:kern w:val="0"/>
          <w:sz w:val="24"/>
        </w:rPr>
        <w:t>万元以上或者上一年完成房地产开发投资额</w:t>
      </w:r>
      <w:r>
        <w:rPr>
          <w:rFonts w:eastAsia="方正仿宋_GBK"/>
          <w:color w:val="000000"/>
          <w:kern w:val="0"/>
          <w:sz w:val="24"/>
        </w:rPr>
        <w:t>1000</w:t>
      </w:r>
      <w:r>
        <w:rPr>
          <w:rFonts w:hint="eastAsia" w:eastAsia="方正仿宋_GBK"/>
          <w:color w:val="000000"/>
          <w:kern w:val="0"/>
          <w:sz w:val="24"/>
        </w:rPr>
        <w:t>万元以上；</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（四）已竣工的建筑工程质量合格率达</w:t>
      </w:r>
      <w:r>
        <w:rPr>
          <w:rFonts w:eastAsia="方正仿宋_GBK"/>
          <w:color w:val="000000"/>
          <w:kern w:val="0"/>
          <w:sz w:val="24"/>
        </w:rPr>
        <w:t>100%</w:t>
      </w:r>
      <w:r>
        <w:rPr>
          <w:rFonts w:hint="eastAsia" w:eastAsia="方正仿宋_GBK"/>
          <w:color w:val="000000"/>
          <w:kern w:val="0"/>
          <w:sz w:val="24"/>
        </w:rPr>
        <w:t>；</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（五）有专业技术职称的建筑、结构、财务、房地产及有关经济类的专业管理人员不少于</w:t>
      </w:r>
      <w:r>
        <w:rPr>
          <w:rFonts w:eastAsia="方正仿宋_GBK"/>
          <w:color w:val="000000"/>
          <w:kern w:val="0"/>
          <w:sz w:val="24"/>
        </w:rPr>
        <w:t>5</w:t>
      </w:r>
      <w:r>
        <w:rPr>
          <w:rFonts w:hint="eastAsia" w:eastAsia="方正仿宋_GBK"/>
          <w:color w:val="000000"/>
          <w:kern w:val="0"/>
          <w:sz w:val="24"/>
        </w:rPr>
        <w:t>人，持有资格证书的专职会计人员不少于</w:t>
      </w:r>
      <w:r>
        <w:rPr>
          <w:rFonts w:eastAsia="方正仿宋_GBK"/>
          <w:color w:val="000000"/>
          <w:kern w:val="0"/>
          <w:sz w:val="24"/>
        </w:rPr>
        <w:t>2</w:t>
      </w:r>
      <w:r>
        <w:rPr>
          <w:rFonts w:hint="eastAsia" w:eastAsia="方正仿宋_GBK"/>
          <w:color w:val="000000"/>
          <w:kern w:val="0"/>
          <w:sz w:val="24"/>
        </w:rPr>
        <w:t>人；</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（六）工程技术负责人具有相应专业中级以上职称，财务负责人具有相应专业初级以上职称，配有专业统计人员；</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（八）具有完善的质量保证体系，商品住宅销售中实行了《住宅质量保证书》和《住宅使用说明书》制度；</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（七）未发生过重大工程质量事故。</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前款第（二）、第（三）项所列条件，房地产开发企业具备其中一项即可。</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第十条</w:t>
      </w:r>
      <w:r>
        <w:rPr>
          <w:rFonts w:eastAsia="方正仿宋_GBK"/>
          <w:color w:val="000000"/>
          <w:kern w:val="0"/>
          <w:sz w:val="24"/>
        </w:rPr>
        <w:t xml:space="preserve"> </w:t>
      </w:r>
      <w:r>
        <w:rPr>
          <w:rFonts w:hint="eastAsia" w:eastAsia="方正仿宋_GBK"/>
          <w:color w:val="000000"/>
          <w:kern w:val="0"/>
          <w:sz w:val="24"/>
        </w:rPr>
        <w:t>临时聘用或者兼职的管理、技术人员不得列入企业管理、技术人员总数。</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第十一条</w:t>
      </w:r>
      <w:r>
        <w:rPr>
          <w:rFonts w:eastAsia="方正仿宋_GBK"/>
          <w:color w:val="000000"/>
          <w:kern w:val="0"/>
          <w:sz w:val="24"/>
        </w:rPr>
        <w:t xml:space="preserve"> </w:t>
      </w:r>
      <w:r>
        <w:rPr>
          <w:rFonts w:hint="eastAsia" w:eastAsia="方正仿宋_GBK"/>
          <w:color w:val="000000"/>
          <w:kern w:val="0"/>
          <w:sz w:val="24"/>
        </w:rPr>
        <w:t>新设立的房地产开发企业应当自领取营业执照之日起</w:t>
      </w:r>
      <w:r>
        <w:rPr>
          <w:rFonts w:eastAsia="方正仿宋_GBK"/>
          <w:color w:val="000000"/>
          <w:kern w:val="0"/>
          <w:sz w:val="24"/>
        </w:rPr>
        <w:t>30</w:t>
      </w:r>
      <w:r>
        <w:rPr>
          <w:rFonts w:hint="eastAsia" w:eastAsia="方正仿宋_GBK"/>
          <w:color w:val="000000"/>
          <w:kern w:val="0"/>
          <w:sz w:val="24"/>
        </w:rPr>
        <w:t>日内，持下列文件到登记机关所在地房地产开发主管部门申请办理备案手续；</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（一）房地产开发企业资质申请报告；</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（二）房地产开发企业资质申报表（</w:t>
      </w:r>
      <w:r>
        <w:rPr>
          <w:rFonts w:eastAsia="方正仿宋_GBK"/>
          <w:color w:val="000000"/>
          <w:kern w:val="0"/>
          <w:sz w:val="24"/>
        </w:rPr>
        <w:t>4</w:t>
      </w:r>
      <w:r>
        <w:rPr>
          <w:rFonts w:hint="eastAsia" w:eastAsia="方正仿宋_GBK"/>
          <w:color w:val="000000"/>
          <w:kern w:val="0"/>
          <w:sz w:val="24"/>
        </w:rPr>
        <w:t>份）；</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（三）营业执照；</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（四）企业章程；</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（五）企业法定代表人的个人简历；</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（六）企业董事会成员、部分负责人的任职文件、个人简历；</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（七）专业技术人员的职称证书、劳动</w:t>
      </w:r>
      <w:r>
        <w:fldChar w:fldCharType="begin"/>
      </w:r>
      <w:r>
        <w:instrText xml:space="preserve"> </w:instrText>
      </w:r>
      <w:r>
        <w:rPr>
          <w:rFonts w:hint="eastAsia"/>
        </w:rPr>
        <w:instrText xml:space="preserve">HYPERLINK "http://www.jianshe99.com/web/zhuanyeziliao/hetongfanben/" \o "合同" \t "_blank"</w:instrText>
      </w:r>
      <w:r>
        <w:instrText xml:space="preserve"> </w:instrText>
      </w:r>
      <w:r>
        <w:fldChar w:fldCharType="separate"/>
      </w:r>
      <w:r>
        <w:rPr>
          <w:rStyle w:val="16"/>
          <w:rFonts w:hint="eastAsia" w:eastAsia="方正仿宋_GBK"/>
          <w:kern w:val="0"/>
          <w:sz w:val="24"/>
        </w:rPr>
        <w:t>合同</w:t>
      </w:r>
      <w:r>
        <w:fldChar w:fldCharType="end"/>
      </w:r>
      <w:r>
        <w:rPr>
          <w:rFonts w:hint="eastAsia" w:eastAsia="方正仿宋_GBK"/>
          <w:color w:val="000000"/>
          <w:kern w:val="0"/>
          <w:sz w:val="24"/>
        </w:rPr>
        <w:t>；</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（八）拟开发项目相关文本文件。</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第十二条</w:t>
      </w:r>
      <w:r>
        <w:rPr>
          <w:rFonts w:eastAsia="方正仿宋_GBK"/>
          <w:color w:val="000000"/>
          <w:kern w:val="0"/>
          <w:sz w:val="24"/>
        </w:rPr>
        <w:t xml:space="preserve"> </w:t>
      </w:r>
      <w:r>
        <w:rPr>
          <w:rFonts w:hint="eastAsia" w:eastAsia="方正仿宋_GBK"/>
          <w:color w:val="000000"/>
          <w:kern w:val="0"/>
          <w:sz w:val="24"/>
        </w:rPr>
        <w:t>企业登记机关所在地的房地产开发主管部门应当在收到备案申请后</w:t>
      </w:r>
      <w:r>
        <w:rPr>
          <w:rFonts w:eastAsia="方正仿宋_GBK"/>
          <w:color w:val="000000"/>
          <w:kern w:val="0"/>
          <w:sz w:val="24"/>
        </w:rPr>
        <w:t>15</w:t>
      </w:r>
      <w:r>
        <w:rPr>
          <w:rFonts w:hint="eastAsia" w:eastAsia="方正仿宋_GBK"/>
          <w:color w:val="000000"/>
          <w:kern w:val="0"/>
          <w:sz w:val="24"/>
        </w:rPr>
        <w:t>个工作日内对申请备案的企业给予备案文件是否齐全的答复。备案文件齐全的企业经济设区的市房地产开发主管部门初审同意后，报送省建设行政主管部门核发相应等级</w:t>
      </w:r>
      <w:r>
        <w:fldChar w:fldCharType="begin"/>
      </w:r>
      <w:r>
        <w:instrText xml:space="preserve"> </w:instrText>
      </w:r>
      <w:r>
        <w:rPr>
          <w:rFonts w:hint="eastAsia"/>
        </w:rPr>
        <w:instrText xml:space="preserve">HYPERLINK "http://www.jianshe99.com/web/zhuanyeziliao/biaozhunguifan/" \o "标准" \t "_blank"</w:instrText>
      </w:r>
      <w:r>
        <w:instrText xml:space="preserve"> </w:instrText>
      </w:r>
      <w:r>
        <w:fldChar w:fldCharType="separate"/>
      </w:r>
      <w:r>
        <w:rPr>
          <w:rStyle w:val="16"/>
          <w:rFonts w:hint="eastAsia" w:eastAsia="方正仿宋_GBK"/>
          <w:kern w:val="0"/>
          <w:sz w:val="24"/>
        </w:rPr>
        <w:t>标准</w:t>
      </w:r>
      <w:r>
        <w:fldChar w:fldCharType="end"/>
      </w:r>
      <w:r>
        <w:rPr>
          <w:rFonts w:hint="eastAsia" w:eastAsia="方正仿宋_GBK"/>
          <w:color w:val="000000"/>
          <w:kern w:val="0"/>
          <w:sz w:val="24"/>
        </w:rPr>
        <w:t>的《暂定资质证书》。</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第十三条</w:t>
      </w:r>
      <w:r>
        <w:rPr>
          <w:rFonts w:eastAsia="方正仿宋_GBK"/>
          <w:color w:val="000000"/>
          <w:kern w:val="0"/>
          <w:sz w:val="24"/>
        </w:rPr>
        <w:t xml:space="preserve"> </w:t>
      </w:r>
      <w:r>
        <w:rPr>
          <w:rFonts w:hint="eastAsia" w:eastAsia="方正仿宋_GBK"/>
          <w:color w:val="000000"/>
          <w:kern w:val="0"/>
          <w:sz w:val="24"/>
        </w:rPr>
        <w:t>申请《暂定资质证书》的条件不得低于四级资质企业的条件。</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《暂定资质证书》有效期</w:t>
      </w:r>
      <w:r>
        <w:rPr>
          <w:rFonts w:eastAsia="方正仿宋_GBK"/>
          <w:color w:val="000000"/>
          <w:kern w:val="0"/>
          <w:sz w:val="24"/>
        </w:rPr>
        <w:t>1</w:t>
      </w:r>
      <w:r>
        <w:rPr>
          <w:rFonts w:hint="eastAsia" w:eastAsia="方正仿宋_GBK"/>
          <w:color w:val="000000"/>
          <w:kern w:val="0"/>
          <w:sz w:val="24"/>
        </w:rPr>
        <w:t>年。自领取《暂定资质证书》之日起</w:t>
      </w:r>
      <w:r>
        <w:rPr>
          <w:rFonts w:eastAsia="方正仿宋_GBK"/>
          <w:color w:val="000000"/>
          <w:kern w:val="0"/>
          <w:sz w:val="24"/>
        </w:rPr>
        <w:t>1</w:t>
      </w:r>
      <w:r>
        <w:rPr>
          <w:rFonts w:hint="eastAsia" w:eastAsia="方正仿宋_GBK"/>
          <w:color w:val="000000"/>
          <w:kern w:val="0"/>
          <w:sz w:val="24"/>
        </w:rPr>
        <w:t>年内无开发项目的《暂定资质证书》有效期不得延长。</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第十四条</w:t>
      </w:r>
      <w:r>
        <w:rPr>
          <w:rFonts w:eastAsia="方正仿宋_GBK"/>
          <w:color w:val="000000"/>
          <w:kern w:val="0"/>
          <w:sz w:val="24"/>
        </w:rPr>
        <w:t xml:space="preserve"> </w:t>
      </w:r>
      <w:r>
        <w:rPr>
          <w:rFonts w:hint="eastAsia" w:eastAsia="方正仿宋_GBK"/>
          <w:color w:val="000000"/>
          <w:kern w:val="0"/>
          <w:sz w:val="24"/>
        </w:rPr>
        <w:t>房地产开发企业应当在《暂定资质证书》有效期满前</w:t>
      </w:r>
      <w:r>
        <w:rPr>
          <w:rFonts w:eastAsia="方正仿宋_GBK"/>
          <w:color w:val="000000"/>
          <w:kern w:val="0"/>
          <w:sz w:val="24"/>
        </w:rPr>
        <w:t>1</w:t>
      </w:r>
      <w:r>
        <w:rPr>
          <w:rFonts w:hint="eastAsia" w:eastAsia="方正仿宋_GBK"/>
          <w:color w:val="000000"/>
          <w:kern w:val="0"/>
          <w:sz w:val="24"/>
        </w:rPr>
        <w:t>个月内，向登记机关所在地的房地产开发主管部门申请延长《暂定资质证书》有效期或核定资质等级。</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省建设行政主管部门应当根据设区的市房地产开发主管部门初审意见和企业开发经营情况给予企业延长《暂定资质证书》</w:t>
      </w:r>
      <w:r>
        <w:rPr>
          <w:rFonts w:eastAsia="方正仿宋_GBK"/>
          <w:color w:val="000000"/>
          <w:kern w:val="0"/>
          <w:sz w:val="24"/>
        </w:rPr>
        <w:t>1</w:t>
      </w:r>
      <w:r>
        <w:rPr>
          <w:rFonts w:hint="eastAsia" w:eastAsia="方正仿宋_GBK"/>
          <w:color w:val="000000"/>
          <w:kern w:val="0"/>
          <w:sz w:val="24"/>
        </w:rPr>
        <w:t>年有效期或核定相应的资质等级。</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第十五条</w:t>
      </w:r>
      <w:r>
        <w:rPr>
          <w:rFonts w:eastAsia="方正仿宋_GBK"/>
          <w:color w:val="000000"/>
          <w:kern w:val="0"/>
          <w:sz w:val="24"/>
        </w:rPr>
        <w:t xml:space="preserve"> </w:t>
      </w:r>
      <w:r>
        <w:rPr>
          <w:rFonts w:hint="eastAsia" w:eastAsia="方正仿宋_GBK"/>
          <w:color w:val="000000"/>
          <w:kern w:val="0"/>
          <w:sz w:val="24"/>
        </w:rPr>
        <w:t>申请延长《暂定资质证书》有效期的房地产开发企业应当提交下列证明文件：</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（一）企业申请延长有效期的报告；</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（二）房地产开发企业资质申报表（</w:t>
      </w:r>
      <w:r>
        <w:rPr>
          <w:rFonts w:eastAsia="方正仿宋_GBK"/>
          <w:color w:val="000000"/>
          <w:kern w:val="0"/>
          <w:sz w:val="24"/>
        </w:rPr>
        <w:t>4</w:t>
      </w:r>
      <w:r>
        <w:rPr>
          <w:rFonts w:hint="eastAsia" w:eastAsia="方正仿宋_GBK"/>
          <w:color w:val="000000"/>
          <w:kern w:val="0"/>
          <w:sz w:val="24"/>
        </w:rPr>
        <w:t>份）；</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（三）企业资产负债表和审计报告（原件留档）；</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（四）项目立项文件。</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第十六条</w:t>
      </w:r>
      <w:r>
        <w:rPr>
          <w:rFonts w:eastAsia="方正仿宋_GBK"/>
          <w:color w:val="000000"/>
          <w:kern w:val="0"/>
          <w:sz w:val="24"/>
        </w:rPr>
        <w:t xml:space="preserve"> </w:t>
      </w:r>
      <w:r>
        <w:rPr>
          <w:rFonts w:hint="eastAsia" w:eastAsia="方正仿宋_GBK"/>
          <w:color w:val="000000"/>
          <w:kern w:val="0"/>
          <w:sz w:val="24"/>
        </w:rPr>
        <w:t>申请核定资质等级的房地产开发企业应当提交下列证明文件：</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（一）企业申请核定资质等级报告；</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（二）房地产开发企业资质申报表（</w:t>
      </w:r>
      <w:r>
        <w:rPr>
          <w:rFonts w:eastAsia="方正仿宋_GBK"/>
          <w:color w:val="000000"/>
          <w:kern w:val="0"/>
          <w:sz w:val="24"/>
        </w:rPr>
        <w:t>4</w:t>
      </w:r>
      <w:r>
        <w:rPr>
          <w:rFonts w:hint="eastAsia" w:eastAsia="方正仿宋_GBK"/>
          <w:color w:val="000000"/>
          <w:kern w:val="0"/>
          <w:sz w:val="24"/>
        </w:rPr>
        <w:t>份）；</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（三）专业技术人员的职称证书、劳动合同和身份证；</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（四）已开发项目的立项、规划、土地批准文件及工程验收证明；</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（五）房地产开发项目手册及《住宅质量保证书》、《住宅使用说明书》执行情况报告。</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第十七条</w:t>
      </w:r>
      <w:r>
        <w:rPr>
          <w:rFonts w:eastAsia="方正仿宋_GBK"/>
          <w:color w:val="000000"/>
          <w:kern w:val="0"/>
          <w:sz w:val="24"/>
        </w:rPr>
        <w:t xml:space="preserve"> </w:t>
      </w:r>
      <w:r>
        <w:rPr>
          <w:rFonts w:hint="eastAsia" w:eastAsia="方正仿宋_GBK"/>
          <w:color w:val="000000"/>
          <w:kern w:val="0"/>
          <w:sz w:val="24"/>
        </w:rPr>
        <w:t>房地产开发企业资质等级实行分级审批。</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一级资质由省建设行政主管部门初审，报国务院建筑行政主管部门审批。</w:t>
      </w:r>
    </w:p>
    <w:p>
      <w:pPr>
        <w:spacing w:line="460" w:lineRule="exact"/>
        <w:ind w:firstLine="480" w:firstLineChars="200"/>
        <w:rPr>
          <w:rFonts w:eastAsia="方正仿宋_GBK"/>
          <w:color w:val="000000"/>
          <w:sz w:val="24"/>
        </w:rPr>
      </w:pPr>
      <w:r>
        <w:rPr>
          <w:rFonts w:eastAsia="方正仿宋_GBK"/>
          <w:color w:val="000000"/>
          <w:sz w:val="24"/>
        </w:rPr>
        <w:t xml:space="preserve"> “</w:t>
      </w:r>
      <w:r>
        <w:rPr>
          <w:rFonts w:hint="eastAsia" w:eastAsia="方正仿宋_GBK"/>
          <w:color w:val="000000"/>
          <w:sz w:val="24"/>
        </w:rPr>
        <w:t>二级资质和暂定二级资质由设区市房地产开发主管部门初审，报省建设行政主管部门审批，三、四级资质和暂定资质由设区市建设行政主管部门审批。</w:t>
      </w:r>
      <w:r>
        <w:rPr>
          <w:rFonts w:eastAsia="方正仿宋_GBK"/>
          <w:color w:val="000000"/>
          <w:sz w:val="24"/>
        </w:rPr>
        <w:t>”</w:t>
      </w:r>
      <w:r>
        <w:rPr>
          <w:rFonts w:hint="eastAsia" w:eastAsia="方正仿宋_GBK"/>
          <w:color w:val="000000"/>
          <w:sz w:val="24"/>
        </w:rPr>
        <w:t>经资质审查合格的企业，由资质审批部门发给相应等级的、由国务院建设行政主管部门统一制作的资质证书。</w:t>
      </w:r>
    </w:p>
    <w:p>
      <w:pPr>
        <w:spacing w:line="460" w:lineRule="exact"/>
        <w:ind w:firstLine="480" w:firstLineChars="200"/>
        <w:rPr>
          <w:rFonts w:eastAsia="方正仿宋_GBK"/>
          <w:color w:val="000000"/>
          <w:kern w:val="0"/>
          <w:sz w:val="24"/>
        </w:rPr>
      </w:pPr>
      <w:r>
        <w:rPr>
          <w:rFonts w:hint="eastAsia" w:eastAsia="方正黑体_GBK"/>
          <w:color w:val="000000"/>
          <w:kern w:val="0"/>
          <w:sz w:val="24"/>
        </w:rPr>
        <w:t>第十八条</w:t>
      </w:r>
      <w:r>
        <w:rPr>
          <w:rFonts w:eastAsia="方正仿宋_GBK"/>
          <w:color w:val="000000"/>
          <w:kern w:val="0"/>
          <w:sz w:val="24"/>
        </w:rPr>
        <w:t xml:space="preserve"> </w:t>
      </w:r>
      <w:r>
        <w:rPr>
          <w:rFonts w:hint="eastAsia" w:eastAsia="方正仿宋_GBK"/>
          <w:color w:val="000000"/>
          <w:kern w:val="0"/>
          <w:sz w:val="24"/>
        </w:rPr>
        <w:t>任何单位和个人不得涂改、出租、出借、转让、出卖资质证书。</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企业遗失资质证书，必须在新闻媒体上声明作废后，方可向原资质审批部门申请补领。</w:t>
      </w:r>
    </w:p>
    <w:p>
      <w:pPr>
        <w:spacing w:line="460" w:lineRule="exact"/>
        <w:ind w:firstLine="480" w:firstLineChars="200"/>
        <w:rPr>
          <w:rFonts w:eastAsia="方正仿宋_GBK"/>
          <w:color w:val="000000"/>
          <w:kern w:val="0"/>
          <w:sz w:val="24"/>
        </w:rPr>
      </w:pPr>
      <w:r>
        <w:rPr>
          <w:rFonts w:hint="eastAsia" w:eastAsia="方正黑体_GBK"/>
          <w:color w:val="000000"/>
          <w:kern w:val="0"/>
          <w:sz w:val="24"/>
        </w:rPr>
        <w:t>第十九条</w:t>
      </w:r>
      <w:r>
        <w:rPr>
          <w:rFonts w:eastAsia="方正仿宋_GBK"/>
          <w:color w:val="000000"/>
          <w:kern w:val="0"/>
          <w:sz w:val="24"/>
        </w:rPr>
        <w:t xml:space="preserve"> </w:t>
      </w:r>
      <w:r>
        <w:rPr>
          <w:rFonts w:hint="eastAsia" w:eastAsia="方正仿宋_GBK"/>
          <w:color w:val="000000"/>
          <w:kern w:val="0"/>
          <w:sz w:val="24"/>
        </w:rPr>
        <w:t>企业发生分立、合并的，应当在向工商行政管理部门输变更手续后的</w:t>
      </w:r>
      <w:r>
        <w:rPr>
          <w:rFonts w:eastAsia="方正仿宋_GBK"/>
          <w:color w:val="000000"/>
          <w:kern w:val="0"/>
          <w:sz w:val="24"/>
        </w:rPr>
        <w:t>30</w:t>
      </w:r>
      <w:r>
        <w:rPr>
          <w:rFonts w:hint="eastAsia" w:eastAsia="方正仿宋_GBK"/>
          <w:color w:val="000000"/>
          <w:kern w:val="0"/>
          <w:sz w:val="24"/>
        </w:rPr>
        <w:t>日内，到原资质审批部门申请办理资质证书注销手续。分立、合并后需要重新申领资质证书的企业，应当按照本细则的规定重新申领。</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第二十条</w:t>
      </w:r>
      <w:r>
        <w:rPr>
          <w:rFonts w:eastAsia="方正仿宋_GBK"/>
          <w:color w:val="000000"/>
          <w:kern w:val="0"/>
          <w:sz w:val="24"/>
        </w:rPr>
        <w:t xml:space="preserve"> </w:t>
      </w:r>
      <w:r>
        <w:rPr>
          <w:rFonts w:hint="eastAsia" w:eastAsia="方正仿宋_GBK"/>
          <w:color w:val="000000"/>
          <w:kern w:val="0"/>
          <w:sz w:val="24"/>
        </w:rPr>
        <w:t>企业变更名称、法定代表人和主要管理、技术负责人，应当在变更后</w:t>
      </w:r>
      <w:r>
        <w:rPr>
          <w:rFonts w:eastAsia="方正仿宋_GBK"/>
          <w:color w:val="000000"/>
          <w:kern w:val="0"/>
          <w:sz w:val="24"/>
        </w:rPr>
        <w:t>30</w:t>
      </w:r>
      <w:r>
        <w:rPr>
          <w:rFonts w:hint="eastAsia" w:eastAsia="方正仿宋_GBK"/>
          <w:color w:val="000000"/>
          <w:kern w:val="0"/>
          <w:sz w:val="24"/>
        </w:rPr>
        <w:t>个工作日内，向原资质审批部门申请办理相应事项的变更手续。</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第二十一条</w:t>
      </w:r>
      <w:r>
        <w:rPr>
          <w:rFonts w:eastAsia="方正仿宋_GBK"/>
          <w:color w:val="000000"/>
          <w:kern w:val="0"/>
          <w:sz w:val="24"/>
        </w:rPr>
        <w:t xml:space="preserve"> </w:t>
      </w:r>
      <w:r>
        <w:rPr>
          <w:rFonts w:hint="eastAsia" w:eastAsia="方正仿宋_GBK"/>
          <w:color w:val="000000"/>
          <w:kern w:val="0"/>
          <w:sz w:val="24"/>
        </w:rPr>
        <w:t>企业破产、歇业或者因其他原因终止业务时，应当在向工商行政管理部门办理注销营业执照后</w:t>
      </w:r>
      <w:r>
        <w:rPr>
          <w:rFonts w:eastAsia="方正仿宋_GBK"/>
          <w:color w:val="000000"/>
          <w:kern w:val="0"/>
          <w:sz w:val="24"/>
        </w:rPr>
        <w:t>15</w:t>
      </w:r>
      <w:r>
        <w:rPr>
          <w:rFonts w:hint="eastAsia" w:eastAsia="方正仿宋_GBK"/>
          <w:color w:val="000000"/>
          <w:kern w:val="0"/>
          <w:sz w:val="24"/>
        </w:rPr>
        <w:t>个工作日内，到原资质审批部门注销资质证书。</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第二十二条</w:t>
      </w:r>
      <w:r>
        <w:rPr>
          <w:rFonts w:eastAsia="方正仿宋_GBK"/>
          <w:color w:val="000000"/>
          <w:kern w:val="0"/>
          <w:sz w:val="24"/>
        </w:rPr>
        <w:t xml:space="preserve"> </w:t>
      </w:r>
      <w:r>
        <w:rPr>
          <w:rFonts w:hint="eastAsia" w:eastAsia="方正仿宋_GBK"/>
          <w:color w:val="000000"/>
          <w:kern w:val="0"/>
          <w:sz w:val="24"/>
        </w:rPr>
        <w:t>房地产开发企业的资质实行年检制度。</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房地产开发企业的资质年检按照《江苏省城市房地产开发企业资质年检管理办法》执行。</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对于年检中按条件应当予以升、降的企业，参照核定资质等级的程序和文件，经设区的市房地产开发主管部门初审，由省建设行政主管部门予以资质升、降级。</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房地产开发企业无正当理由不参加资质年检的视为年检不合格，经设区的市房地产开发主管部门初审，由省建设行政主管部门注销资质证书。</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各级房地产开发主管部门应当将房地产开发企业年检结果向社会公布。</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第二十三条</w:t>
      </w:r>
      <w:r>
        <w:rPr>
          <w:rFonts w:eastAsia="方正仿宋_GBK"/>
          <w:color w:val="000000"/>
          <w:kern w:val="0"/>
          <w:sz w:val="24"/>
        </w:rPr>
        <w:t xml:space="preserve"> </w:t>
      </w:r>
      <w:r>
        <w:rPr>
          <w:rFonts w:hint="eastAsia" w:eastAsia="方正仿宋_GBK"/>
          <w:color w:val="000000"/>
          <w:kern w:val="0"/>
          <w:sz w:val="24"/>
        </w:rPr>
        <w:t>一级资质的房地产开发企业承担房地产开发项目的建设规模不受限制，可以在全国范围承揽房地产开发项目。</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二级资质的房地产开发企业可以在全省范围承揽房地产开发项目，承担建筑面积</w:t>
      </w:r>
      <w:r>
        <w:rPr>
          <w:rFonts w:eastAsia="方正仿宋_GBK"/>
          <w:color w:val="000000"/>
          <w:kern w:val="0"/>
          <w:sz w:val="24"/>
        </w:rPr>
        <w:t>25</w:t>
      </w:r>
      <w:r>
        <w:rPr>
          <w:rFonts w:hint="eastAsia" w:eastAsia="方正仿宋_GBK"/>
          <w:color w:val="000000"/>
          <w:kern w:val="0"/>
          <w:sz w:val="24"/>
        </w:rPr>
        <w:t>万平方米以下的开发建设项目，建设楼层不受限制。</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三级资质的房地产开发企业可以在设区市范围承揽房地产开发项目，承担建筑面积</w:t>
      </w:r>
      <w:r>
        <w:rPr>
          <w:rFonts w:eastAsia="方正仿宋_GBK"/>
          <w:color w:val="000000"/>
          <w:kern w:val="0"/>
          <w:sz w:val="24"/>
        </w:rPr>
        <w:t>15</w:t>
      </w:r>
      <w:r>
        <w:rPr>
          <w:rFonts w:hint="eastAsia" w:eastAsia="方正仿宋_GBK"/>
          <w:color w:val="000000"/>
          <w:kern w:val="0"/>
          <w:sz w:val="24"/>
        </w:rPr>
        <w:t>万平方米以下的开发建设项目，不得承担十六层（含）以上的建筑物的建设。</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　四级资质的房地产开发企业限于在城市规划区以外的乡镇从事房地产开发企业，可以承担建筑面积</w:t>
      </w:r>
      <w:r>
        <w:rPr>
          <w:rFonts w:eastAsia="方正仿宋_GBK"/>
          <w:color w:val="000000"/>
          <w:kern w:val="0"/>
          <w:sz w:val="24"/>
        </w:rPr>
        <w:t>5</w:t>
      </w:r>
      <w:r>
        <w:rPr>
          <w:rFonts w:hint="eastAsia" w:eastAsia="方正仿宋_GBK"/>
          <w:color w:val="000000"/>
          <w:kern w:val="0"/>
          <w:sz w:val="24"/>
        </w:rPr>
        <w:t>万平方米以下的开发建设项目，不得承担七层（含）以上的建筑物的建设。</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仿宋_GBK"/>
          <w:color w:val="000000"/>
          <w:kern w:val="0"/>
          <w:sz w:val="24"/>
        </w:rPr>
        <w:t>领取《暂定资质证书》的房地产开发企业可以依据《暂定资质证书》核定的标准从事相应资质等级的开发建设项目。</w:t>
      </w:r>
      <w:r>
        <w:rPr>
          <w:rFonts w:hint="eastAsia" w:ascii="Times New Roman" w:hAnsi="Times New Roman" w:eastAsia="MingLiU_HKSCS" w:cs="MingLiU_HKSCS"/>
          <w:color w:val="000000"/>
          <w:kern w:val="0"/>
          <w:sz w:val="24"/>
        </w:rPr>
        <w:t xml:space="preserve"> </w:t>
      </w:r>
      <w:r>
        <w:rPr>
          <w:rFonts w:hint="eastAsia" w:eastAsia="方正仿宋_GBK"/>
          <w:color w:val="000000"/>
          <w:kern w:val="0"/>
          <w:sz w:val="24"/>
        </w:rPr>
        <w:t>　各资质等级企业应当在规定的业务范围内从事房地产开发业务，不得越级承担任务。</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第二十四条</w:t>
      </w:r>
      <w:r>
        <w:rPr>
          <w:rFonts w:eastAsia="方正仿宋_GBK"/>
          <w:color w:val="000000"/>
          <w:kern w:val="0"/>
          <w:sz w:val="24"/>
        </w:rPr>
        <w:t xml:space="preserve"> </w:t>
      </w:r>
      <w:r>
        <w:rPr>
          <w:rFonts w:hint="eastAsia" w:eastAsia="方正仿宋_GBK"/>
          <w:color w:val="000000"/>
          <w:kern w:val="0"/>
          <w:sz w:val="24"/>
        </w:rPr>
        <w:t>房地产开发企业跨省、跨地区（省辖市）从事房地产开发经营业务时，必须向当地房地产开发主管部门申请登记备案，按照本细则的规定从事房地产开发经营业务。</w:t>
      </w:r>
      <w:r>
        <w:rPr>
          <w:rFonts w:hint="eastAsia" w:ascii="Times New Roman" w:hAnsi="Times New Roman" w:eastAsia="MingLiU_HKSCS" w:cs="MingLiU_HKSCS"/>
          <w:color w:val="000000"/>
          <w:kern w:val="0"/>
          <w:sz w:val="24"/>
        </w:rPr>
        <w:t xml:space="preserve"> </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第二十五条</w:t>
      </w:r>
      <w:r>
        <w:rPr>
          <w:rFonts w:eastAsia="方正仿宋_GBK"/>
          <w:color w:val="000000"/>
          <w:kern w:val="0"/>
          <w:sz w:val="24"/>
        </w:rPr>
        <w:t xml:space="preserve"> </w:t>
      </w:r>
      <w:r>
        <w:rPr>
          <w:rFonts w:hint="eastAsia" w:eastAsia="方正仿宋_GBK"/>
          <w:color w:val="000000"/>
          <w:kern w:val="0"/>
          <w:sz w:val="24"/>
        </w:rPr>
        <w:t>违反本细则的行为，由房地产开发主管部门按照国家有关法律法规及住房和城乡建设部〔</w:t>
      </w:r>
      <w:r>
        <w:rPr>
          <w:rFonts w:eastAsia="方正仿宋_GBK"/>
          <w:color w:val="000000"/>
          <w:kern w:val="0"/>
          <w:sz w:val="24"/>
        </w:rPr>
        <w:t>2015</w:t>
      </w:r>
      <w:r>
        <w:rPr>
          <w:rFonts w:hint="eastAsia" w:eastAsia="方正仿宋_GBK"/>
          <w:color w:val="000000"/>
          <w:kern w:val="0"/>
          <w:sz w:val="24"/>
        </w:rPr>
        <w:t>〕第</w:t>
      </w:r>
      <w:r>
        <w:rPr>
          <w:rFonts w:eastAsia="方正仿宋_GBK"/>
          <w:color w:val="000000"/>
          <w:kern w:val="0"/>
          <w:sz w:val="24"/>
        </w:rPr>
        <w:t>24</w:t>
      </w:r>
      <w:r>
        <w:rPr>
          <w:rFonts w:hint="eastAsia" w:eastAsia="方正仿宋_GBK"/>
          <w:color w:val="000000"/>
          <w:kern w:val="0"/>
          <w:sz w:val="24"/>
        </w:rPr>
        <w:t>号令的有关规定进行处罚。第二十六条</w:t>
      </w:r>
      <w:r>
        <w:rPr>
          <w:rFonts w:eastAsia="方正仿宋_GBK"/>
          <w:color w:val="000000"/>
          <w:kern w:val="0"/>
          <w:sz w:val="24"/>
        </w:rPr>
        <w:t xml:space="preserve"> </w:t>
      </w:r>
      <w:r>
        <w:rPr>
          <w:rFonts w:hint="eastAsia" w:eastAsia="方正仿宋_GBK"/>
          <w:color w:val="000000"/>
          <w:kern w:val="0"/>
          <w:sz w:val="24"/>
        </w:rPr>
        <w:t>各级房地产主管部门工作人员在资质审批和管理中玩忽职守、滥用职权、徇私舞弊的，由其所在单位或者上级主管部门给予行政处分，构成犯罪的，由司法机关依法追究刑事责任。</w:t>
      </w:r>
    </w:p>
    <w:p>
      <w:pPr>
        <w:shd w:val="clear" w:color="auto" w:fill="FFFFFF"/>
        <w:spacing w:line="460" w:lineRule="exact"/>
        <w:ind w:firstLine="480" w:firstLineChars="200"/>
        <w:rPr>
          <w:rFonts w:eastAsia="方正仿宋_GBK"/>
          <w:color w:val="000000"/>
          <w:kern w:val="0"/>
          <w:sz w:val="24"/>
        </w:rPr>
      </w:pPr>
      <w:r>
        <w:rPr>
          <w:rFonts w:hint="eastAsia" w:eastAsia="方正黑体_GBK"/>
          <w:color w:val="000000"/>
          <w:kern w:val="0"/>
          <w:sz w:val="24"/>
        </w:rPr>
        <w:t>第二十七条</w:t>
      </w:r>
      <w:r>
        <w:rPr>
          <w:rFonts w:eastAsia="方正仿宋_GBK"/>
          <w:color w:val="000000"/>
          <w:kern w:val="0"/>
          <w:sz w:val="24"/>
        </w:rPr>
        <w:t xml:space="preserve"> </w:t>
      </w:r>
      <w:r>
        <w:rPr>
          <w:rFonts w:hint="eastAsia" w:eastAsia="方正仿宋_GBK"/>
          <w:color w:val="000000"/>
          <w:kern w:val="0"/>
          <w:sz w:val="24"/>
        </w:rPr>
        <w:t>本细则由省建设行政主管部门负责解释。</w:t>
      </w: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shd w:val="clear" w:color="auto" w:fill="FFFFFF"/>
        <w:spacing w:line="460" w:lineRule="exact"/>
        <w:jc w:val="left"/>
        <w:rPr>
          <w:rFonts w:eastAsia="方正黑体_GBK"/>
          <w:color w:val="000000"/>
          <w:kern w:val="0"/>
          <w:sz w:val="24"/>
        </w:rPr>
      </w:pPr>
    </w:p>
    <w:p>
      <w:pPr>
        <w:pStyle w:val="2"/>
        <w:spacing w:before="240" w:beforeLines="100" w:after="240" w:afterLines="100" w:line="240" w:lineRule="auto"/>
        <w:jc w:val="center"/>
        <w:rPr>
          <w:rFonts w:ascii="Times New Roman" w:eastAsia="方正小标宋_GBK"/>
          <w:b w:val="0"/>
          <w:sz w:val="36"/>
          <w:szCs w:val="36"/>
        </w:rPr>
      </w:pPr>
      <w:bookmarkStart w:id="7" w:name="_Toc20726283"/>
      <w:bookmarkStart w:id="8" w:name="_Toc18315361"/>
      <w:r>
        <w:rPr>
          <w:rFonts w:hint="eastAsia" w:ascii="Times New Roman" w:eastAsia="方正小标宋_GBK"/>
          <w:b w:val="0"/>
          <w:sz w:val="36"/>
          <w:szCs w:val="36"/>
        </w:rPr>
        <w:t>关于实施房地产开发（电子）项目手册制度的通知</w:t>
      </w:r>
      <w:bookmarkEnd w:id="7"/>
      <w:bookmarkEnd w:id="8"/>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9" w:name="_Toc20726284"/>
      <w:bookmarkStart w:id="10" w:name="_Toc18315362"/>
      <w:r>
        <w:rPr>
          <w:rFonts w:hint="eastAsia" w:ascii="Times New Roman" w:hAnsi="Times New Roman" w:eastAsia="方正楷体_GBK"/>
          <w:b w:val="0"/>
          <w:sz w:val="24"/>
          <w:szCs w:val="24"/>
        </w:rPr>
        <w:t>苏建房〔</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 xml:space="preserve">164 </w:t>
      </w:r>
      <w:r>
        <w:rPr>
          <w:rFonts w:hint="eastAsia" w:ascii="Times New Roman" w:hAnsi="Times New Roman" w:eastAsia="方正楷体_GBK"/>
          <w:b w:val="0"/>
          <w:sz w:val="24"/>
          <w:szCs w:val="24"/>
        </w:rPr>
        <w:t>号</w:t>
      </w:r>
      <w:bookmarkEnd w:id="9"/>
      <w:bookmarkEnd w:id="10"/>
    </w:p>
    <w:p>
      <w:pPr>
        <w:spacing w:line="460" w:lineRule="exact"/>
        <w:rPr>
          <w:rFonts w:eastAsia="方正仿宋_GBK"/>
          <w:color w:val="000000"/>
          <w:spacing w:val="-2"/>
          <w:sz w:val="24"/>
        </w:rPr>
      </w:pPr>
      <w:r>
        <w:rPr>
          <w:rFonts w:hint="eastAsia" w:eastAsia="方正仿宋_GBK"/>
          <w:color w:val="000000"/>
          <w:spacing w:val="-2"/>
          <w:sz w:val="24"/>
        </w:rPr>
        <w:t>各省辖市建设局（委）、房管局：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了进一步改进和完善房地产开发项目手册制度，切实加强对房地产开发项目全过程的监管，提高各级房地产开发行政主管部门的办事效率和服务质量，提升行业管理水平，促进房地产市场健康发展，经研究决定，从</w:t>
      </w:r>
      <w:r>
        <w:rPr>
          <w:rFonts w:eastAsia="方正仿宋_GBK"/>
          <w:color w:val="000000"/>
          <w:spacing w:val="-2"/>
          <w:sz w:val="24"/>
        </w:rPr>
        <w:t>2009</w:t>
      </w:r>
      <w:r>
        <w:rPr>
          <w:rFonts w:hint="eastAsia" w:eastAsia="方正仿宋_GBK"/>
          <w:color w:val="000000"/>
          <w:spacing w:val="-2"/>
          <w:sz w:val="24"/>
        </w:rPr>
        <w:t>年</w:t>
      </w:r>
      <w:r>
        <w:rPr>
          <w:rFonts w:eastAsia="方正仿宋_GBK"/>
          <w:color w:val="000000"/>
          <w:spacing w:val="-2"/>
          <w:sz w:val="24"/>
        </w:rPr>
        <w:t>8</w:t>
      </w:r>
      <w:r>
        <w:rPr>
          <w:rFonts w:hint="eastAsia" w:eastAsia="方正仿宋_GBK"/>
          <w:color w:val="000000"/>
          <w:spacing w:val="-2"/>
          <w:sz w:val="24"/>
        </w:rPr>
        <w:t>月起在全省范围内实施房地产开发（电子）项目手册制度。现将《江苏省房地产开发（电子）项目手册管理办法》印发给你们，并就有关事项通知如下：</w:t>
      </w:r>
    </w:p>
    <w:p>
      <w:pPr>
        <w:spacing w:line="460" w:lineRule="exact"/>
        <w:ind w:firstLine="472" w:firstLineChars="200"/>
        <w:rPr>
          <w:rFonts w:eastAsia="方正黑体_GBK"/>
          <w:color w:val="000000"/>
          <w:spacing w:val="-2"/>
          <w:sz w:val="24"/>
        </w:rPr>
      </w:pPr>
      <w:r>
        <w:rPr>
          <w:rFonts w:hint="eastAsia" w:eastAsia="方正黑体_GBK"/>
          <w:color w:val="000000"/>
          <w:spacing w:val="-2"/>
          <w:sz w:val="24"/>
        </w:rPr>
        <w:t>一、要充分认识实施房地产开发（电子）项目手册制度的重要意义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项目手册制度是根据《城市房地产开发经营管理条例》及其他有关法律法规规定而建立的一项管理制度，是开发（建设）管理部门对开发项目进行全过程动态监督管理的重要手段。近年来，全省各级房地产开发行政主管部门通过实施房地产开发项目手册，切实加强对房地产开发项目全过程的监管，房地产市场秩序得到好转，企业经营行为不断规范。随着市场经济的不断完善和信息技术在行业管理领域的应用，纸质项目手册已越来越不能适应形势发展的需要。因此，在全省范围内实施房地产开发（电子）项目手册制度，对于进一步提高房地产开发行政主管部门依法行政能力和服务水平，进一步加强对房地产开发项目全过程特别是商品房预售许可、预售资金、质量标准和交付使用等重点环节的监管，加快房地产市场动态监测系统建设和加强房地产市场监测分析，促进房地产市场健康发展具有十分重要的意义。</w:t>
      </w:r>
    </w:p>
    <w:p>
      <w:pPr>
        <w:spacing w:line="460" w:lineRule="exact"/>
        <w:ind w:firstLine="472" w:firstLineChars="200"/>
        <w:rPr>
          <w:rFonts w:eastAsia="方正黑体_GBK"/>
          <w:color w:val="000000"/>
          <w:spacing w:val="-2"/>
          <w:sz w:val="24"/>
        </w:rPr>
      </w:pPr>
      <w:r>
        <w:rPr>
          <w:rFonts w:hint="eastAsia" w:eastAsia="方正黑体_GBK"/>
          <w:color w:val="000000"/>
          <w:spacing w:val="-2"/>
          <w:sz w:val="24"/>
        </w:rPr>
        <w:t>二、要采取有效措施扎实推进房地产开发（电子）项目手册制度的实施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《江苏省房地产开发（电子）项目手册管理办法》自</w:t>
      </w:r>
      <w:r>
        <w:rPr>
          <w:rFonts w:eastAsia="方正仿宋_GBK"/>
          <w:color w:val="000000"/>
          <w:spacing w:val="-2"/>
          <w:sz w:val="24"/>
        </w:rPr>
        <w:t>2009</w:t>
      </w:r>
      <w:r>
        <w:rPr>
          <w:rFonts w:hint="eastAsia" w:eastAsia="方正仿宋_GBK"/>
          <w:color w:val="000000"/>
          <w:spacing w:val="-2"/>
          <w:sz w:val="24"/>
        </w:rPr>
        <w:t>年</w:t>
      </w:r>
      <w:r>
        <w:rPr>
          <w:rFonts w:eastAsia="方正仿宋_GBK"/>
          <w:color w:val="000000"/>
          <w:spacing w:val="-2"/>
          <w:sz w:val="24"/>
        </w:rPr>
        <w:t>8</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日起施行。江苏省房地产开发项目手册信息纳入《江苏省住房与房地产电子政务平台》进行统一管理。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凡在我省行政区域内从事房地产开发经营活动的房地产开发企业，必须按规定将房地产开发项目建设过程中的主要事项记录在房地产开发（电子）项目手册中。房地产开发主管部门要通过房地产开发（电子）项目手册对房地产开发项目实行全过程管理，对企业填报的情况进行定期查验和现场检查，并签署意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要切实提高房地产开发（电子）项目手册的使用效率。项目手册作为企业申请核定资质等级的证明材料之一。房地产开发建设过程中涉及施工许可、商品房预（销）售、工程竣工验收以及按规定要求向相关主管部门报送开发项目有关信息的，相关主管部门应当查验《项目手册》，并将《项目手册》记录与企业提供的材料进行校验。</w:t>
      </w:r>
      <w:r>
        <w:rPr>
          <w:rFonts w:eastAsia="方正仿宋_GBK"/>
          <w:color w:val="000000"/>
          <w:spacing w:val="-2"/>
          <w:sz w:val="24"/>
        </w:rPr>
        <w:t xml:space="preserve"> </w:t>
      </w:r>
      <w:r>
        <w:rPr>
          <w:rFonts w:hint="eastAsia" w:eastAsia="方正仿宋_GBK"/>
          <w:color w:val="000000"/>
          <w:spacing w:val="-2"/>
          <w:sz w:val="24"/>
        </w:rPr>
        <w:t>对企业填报有错误的或内容不全的，应当责令其更正、补全项目信息；对企业故意弄虚作假的，根据《房地产开发企业资质管理规定》、《城市商品房预销售管理办法》的规定给予处罚。</w:t>
      </w:r>
    </w:p>
    <w:p>
      <w:pPr>
        <w:spacing w:line="460" w:lineRule="exact"/>
        <w:ind w:firstLine="472" w:firstLineChars="200"/>
        <w:rPr>
          <w:rFonts w:eastAsia="方正黑体_GBK"/>
          <w:color w:val="000000"/>
          <w:spacing w:val="-2"/>
          <w:sz w:val="24"/>
        </w:rPr>
      </w:pPr>
      <w:r>
        <w:rPr>
          <w:rFonts w:hint="eastAsia" w:eastAsia="方正黑体_GBK"/>
          <w:color w:val="000000"/>
          <w:spacing w:val="-2"/>
          <w:sz w:val="24"/>
        </w:rPr>
        <w:t>三、切实加强房地产开发（电子）项目手册制度的组织领导</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级房地产主管部门要高度重视对房地产开发（电子）项目手册制度的管理，把房地产开发（电子）项目手册制度的实施作为一项常规性的监控措施，切实加强对房地产开发项目管理。要加强组织领导，明确专人负责，提供必要的工作条件。要加强宣传和指导，督促开发企业严格按照规定程序与时间认真填写（电子）项目手册。要把工程建设管理和房地产项目开发经营管理结合起来，完善相关管理制度，加强内部联动，主动加强与统计、金融、税务、国土等相关部门的沟通和配合，协调一致，共同把房地产开发（电子）项目手册制度真正落到实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电子）项目手册管理系统由省建设厅住房与房地产业促进中心免费统一提供。省建设厅住房与房地产业促进中心要制定好培训计划，做好培训服务和技术指导工作。各地在实施工程中如有问题，请及时向省建设厅房地产业处或省建设厅住房与房地产业促进中心反馈。</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附件：《江苏省房地产开发（电子）项目手册管理办法》</w:t>
      </w:r>
    </w:p>
    <w:p>
      <w:pPr>
        <w:spacing w:line="460" w:lineRule="exact"/>
        <w:ind w:firstLine="630"/>
        <w:rPr>
          <w:rFonts w:eastAsia="方正仿宋_GBK"/>
          <w:color w:val="000000"/>
          <w:spacing w:val="-2"/>
          <w:sz w:val="24"/>
        </w:rPr>
      </w:pPr>
    </w:p>
    <w:p>
      <w:pPr>
        <w:spacing w:line="460" w:lineRule="exact"/>
        <w:ind w:firstLine="6475" w:firstLineChars="2744"/>
        <w:rPr>
          <w:rFonts w:eastAsia="方正仿宋_GBK"/>
          <w:color w:val="000000"/>
          <w:spacing w:val="-2"/>
          <w:sz w:val="24"/>
        </w:rPr>
      </w:pPr>
      <w:r>
        <w:rPr>
          <w:rFonts w:hint="eastAsia" w:eastAsia="方正仿宋_GBK"/>
          <w:color w:val="000000"/>
          <w:spacing w:val="-2"/>
          <w:sz w:val="24"/>
        </w:rPr>
        <w:t>江苏省建设厅</w:t>
      </w:r>
    </w:p>
    <w:p>
      <w:pPr>
        <w:spacing w:line="460" w:lineRule="exact"/>
        <w:ind w:right="418" w:rightChars="199" w:firstLine="3528" w:firstLineChars="1495"/>
        <w:jc w:val="right"/>
        <w:rPr>
          <w:rFonts w:eastAsia="方正仿宋_GBK"/>
          <w:color w:val="000000"/>
          <w:spacing w:val="-2"/>
          <w:sz w:val="32"/>
          <w:szCs w:val="32"/>
        </w:rPr>
      </w:pPr>
      <w:r>
        <w:rPr>
          <w:rFonts w:hint="eastAsia" w:eastAsia="方正仿宋_GBK"/>
          <w:color w:val="000000"/>
          <w:spacing w:val="-2"/>
          <w:sz w:val="24"/>
        </w:rPr>
        <w:t>二〇〇九年五月二十六日</w:t>
      </w:r>
    </w:p>
    <w:p>
      <w:pPr>
        <w:spacing w:line="560" w:lineRule="exact"/>
        <w:rPr>
          <w:rFonts w:eastAsia="方正黑体_GBK"/>
          <w:color w:val="000000"/>
          <w:spacing w:val="-2"/>
          <w:sz w:val="28"/>
          <w:szCs w:val="28"/>
        </w:rPr>
      </w:pPr>
      <w:r>
        <w:rPr>
          <w:rFonts w:eastAsia="方正仿宋_GBK"/>
          <w:color w:val="000000"/>
          <w:spacing w:val="-2"/>
          <w:sz w:val="32"/>
          <w:szCs w:val="32"/>
        </w:rPr>
        <w:br w:type="column"/>
      </w:r>
      <w:r>
        <w:rPr>
          <w:rFonts w:hint="eastAsia" w:eastAsia="方正黑体_GBK"/>
          <w:color w:val="000000"/>
          <w:spacing w:val="-2"/>
          <w:sz w:val="28"/>
          <w:szCs w:val="28"/>
        </w:rPr>
        <w:t>附件：</w:t>
      </w:r>
    </w:p>
    <w:p>
      <w:pPr>
        <w:spacing w:line="460" w:lineRule="exact"/>
        <w:jc w:val="center"/>
        <w:rPr>
          <w:rFonts w:eastAsia="方正仿宋_GBK"/>
          <w:color w:val="000000"/>
          <w:spacing w:val="-2"/>
          <w:sz w:val="24"/>
        </w:rPr>
      </w:pPr>
    </w:p>
    <w:p>
      <w:pPr>
        <w:spacing w:line="460" w:lineRule="exact"/>
        <w:jc w:val="center"/>
        <w:rPr>
          <w:rFonts w:eastAsia="方正黑体_GBK"/>
          <w:color w:val="000000"/>
          <w:spacing w:val="-2"/>
          <w:sz w:val="36"/>
          <w:szCs w:val="36"/>
        </w:rPr>
      </w:pPr>
      <w:r>
        <w:rPr>
          <w:rFonts w:hint="eastAsia" w:eastAsia="方正黑体_GBK"/>
          <w:color w:val="000000"/>
          <w:spacing w:val="-2"/>
          <w:sz w:val="36"/>
          <w:szCs w:val="36"/>
        </w:rPr>
        <w:t>江苏省房地产开发（电子）项目手册管理办法</w:t>
      </w:r>
    </w:p>
    <w:p>
      <w:pPr>
        <w:spacing w:line="460" w:lineRule="exact"/>
        <w:jc w:val="center"/>
        <w:rPr>
          <w:rFonts w:eastAsia="方正仿宋_GBK"/>
          <w:b/>
          <w:color w:val="000000"/>
          <w:spacing w:val="-2"/>
          <w:sz w:val="24"/>
        </w:rPr>
      </w:pP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第一条</w:t>
      </w:r>
      <w:r>
        <w:rPr>
          <w:rFonts w:eastAsia="方正仿宋_GBK"/>
          <w:b/>
          <w:color w:val="000000"/>
          <w:spacing w:val="-2"/>
          <w:sz w:val="24"/>
        </w:rPr>
        <w:t xml:space="preserve">  </w:t>
      </w:r>
      <w:r>
        <w:rPr>
          <w:rFonts w:hint="eastAsia" w:eastAsia="方正仿宋_GBK"/>
          <w:color w:val="000000"/>
          <w:spacing w:val="-2"/>
          <w:sz w:val="24"/>
        </w:rPr>
        <w:t>为切实加强对房地产开发项目全过程的监管，规范房地产开发经营行为，根据国务院《城市房地产开发经营管理条例》和相关法规、规章，结合我省实际，制定本办法。</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本省实行《房地产开发（电子）项目手册》（以下简称《项目手册》）制度。凡在本省行政区域内从事房地产开发经营活动的房地产开发企业，均应当按照本办法规定将房地产开发项目建设过程中的主要事项记录在《现目手册》中。</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项目建设过程中的主要事项包括涉及房地产开发项目建设的各类行政许可、备案管理所核定、要求的内容。包括土地使用权证书或者使用土地批准文件、项目批准意见书、建设用地规划许可证、建设工程规划许可证、建筑工程施工许可证、商品房（预）销售许可证、工程质量竣工验收记录、各相关行政管理部门的批准文书以及按照规定需要向房地产行政主管部门报送的数据和材料。</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江苏省建设厅负责全省范围内实施《项目手册》制度的监督管理。市、县（市）房地产开发行政主管部门负责辖区内《项目手册》制度的实施与管理。</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第四条</w:t>
      </w:r>
      <w:r>
        <w:rPr>
          <w:rFonts w:eastAsia="方正仿宋_GBK"/>
          <w:b/>
          <w:color w:val="000000"/>
          <w:spacing w:val="-2"/>
          <w:sz w:val="24"/>
        </w:rPr>
        <w:t xml:space="preserve">  </w:t>
      </w:r>
      <w:r>
        <w:rPr>
          <w:rFonts w:hint="eastAsia" w:eastAsia="方正仿宋_GBK"/>
          <w:color w:val="000000"/>
          <w:spacing w:val="-2"/>
          <w:sz w:val="24"/>
        </w:rPr>
        <w:t>《项目手册》备案管理实行</w:t>
      </w:r>
      <w:r>
        <w:rPr>
          <w:rFonts w:eastAsia="方正仿宋_GBK"/>
          <w:color w:val="000000"/>
          <w:spacing w:val="-2"/>
          <w:sz w:val="24"/>
        </w:rPr>
        <w:t>“</w:t>
      </w:r>
      <w:r>
        <w:rPr>
          <w:rFonts w:hint="eastAsia" w:eastAsia="方正仿宋_GBK"/>
          <w:color w:val="000000"/>
          <w:spacing w:val="-2"/>
          <w:sz w:val="24"/>
        </w:rPr>
        <w:t>统一标准、统一要求、统一管理、资源共享</w:t>
      </w:r>
      <w:r>
        <w:rPr>
          <w:rFonts w:eastAsia="方正仿宋_GBK"/>
          <w:color w:val="000000"/>
          <w:spacing w:val="-2"/>
          <w:sz w:val="24"/>
        </w:rPr>
        <w:t xml:space="preserve">” </w:t>
      </w:r>
      <w:r>
        <w:rPr>
          <w:rFonts w:hint="eastAsia" w:eastAsia="方正仿宋_GBK"/>
          <w:color w:val="000000"/>
          <w:spacing w:val="-2"/>
          <w:sz w:val="24"/>
        </w:rPr>
        <w:t>的原则。</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第五条</w:t>
      </w:r>
      <w:r>
        <w:rPr>
          <w:rFonts w:eastAsia="方正仿宋_GBK"/>
          <w:b/>
          <w:color w:val="000000"/>
          <w:spacing w:val="-2"/>
          <w:sz w:val="24"/>
        </w:rPr>
        <w:t xml:space="preserve">  </w:t>
      </w:r>
      <w:r>
        <w:rPr>
          <w:rFonts w:hint="eastAsia" w:eastAsia="方正仿宋_GBK"/>
          <w:color w:val="000000"/>
          <w:spacing w:val="-2"/>
          <w:sz w:val="24"/>
        </w:rPr>
        <w:t>《项目手册》的备案管理包括网上核查和现场检查。</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第六条</w:t>
      </w:r>
      <w:r>
        <w:rPr>
          <w:rFonts w:eastAsia="方正仿宋_GBK"/>
          <w:b/>
          <w:color w:val="000000"/>
          <w:spacing w:val="-2"/>
          <w:sz w:val="24"/>
        </w:rPr>
        <w:t xml:space="preserve">  </w:t>
      </w:r>
      <w:r>
        <w:rPr>
          <w:rFonts w:hint="eastAsia" w:eastAsia="方正仿宋_GBK"/>
          <w:color w:val="000000"/>
          <w:spacing w:val="-2"/>
          <w:sz w:val="24"/>
        </w:rPr>
        <w:t>网上核查分为申领、核发、填报、验核、终止、归档等六个步骤。</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第七条</w:t>
      </w:r>
      <w:r>
        <w:rPr>
          <w:rFonts w:eastAsia="方正仿宋_GBK"/>
          <w:b/>
          <w:color w:val="000000"/>
          <w:spacing w:val="-2"/>
          <w:sz w:val="24"/>
        </w:rPr>
        <w:t xml:space="preserve">  </w:t>
      </w:r>
      <w:r>
        <w:rPr>
          <w:rFonts w:hint="eastAsia" w:eastAsia="方正仿宋_GBK"/>
          <w:color w:val="000000"/>
          <w:spacing w:val="-2"/>
          <w:sz w:val="24"/>
        </w:rPr>
        <w:t>房地产开发企业应当在签订《国有土地出让合同》或者取得土地使用权批准文件</w:t>
      </w:r>
      <w:r>
        <w:rPr>
          <w:rFonts w:eastAsia="方正仿宋_GBK"/>
          <w:color w:val="000000"/>
          <w:spacing w:val="-2"/>
          <w:sz w:val="24"/>
        </w:rPr>
        <w:t>15</w:t>
      </w:r>
      <w:r>
        <w:rPr>
          <w:rFonts w:hint="eastAsia" w:eastAsia="方正仿宋_GBK"/>
          <w:color w:val="000000"/>
          <w:spacing w:val="-2"/>
          <w:sz w:val="24"/>
        </w:rPr>
        <w:t>日内向项目所在地房地产开发主管部门申领《项目手册》。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房地产开发项目属联建的，由各参与联建的企业确定其中一家开发企业作为填报单位申领《项目手册》。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转让房地产开发项目，转让人和受让人向当地房地产开发主管部门办理备案手续时一并申请转让《项目手册》的信息填报主体。</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第八条</w:t>
      </w:r>
      <w:r>
        <w:rPr>
          <w:rFonts w:eastAsia="方正仿宋_GBK"/>
          <w:b/>
          <w:color w:val="000000"/>
          <w:spacing w:val="-2"/>
          <w:sz w:val="24"/>
        </w:rPr>
        <w:t xml:space="preserve">  </w:t>
      </w:r>
      <w:r>
        <w:rPr>
          <w:rFonts w:hint="eastAsia" w:eastAsia="方正仿宋_GBK"/>
          <w:color w:val="000000"/>
          <w:spacing w:val="-2"/>
          <w:sz w:val="24"/>
        </w:rPr>
        <w:t>房地产开发主管部门通过《江苏省住房与房地产电子政务平台》向申请人核发《项目手册》，建立编号，设定权限。</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转让房地产开发项目的，主管部门应当调整填报主体，转由受让人继续填报。</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房地产开发企业应当按照《江苏省房地产开发（电子）项目手册填报规范》，通过</w:t>
      </w:r>
      <w:r>
        <w:rPr>
          <w:rFonts w:eastAsia="方正仿宋_GBK"/>
          <w:color w:val="000000"/>
          <w:spacing w:val="-2"/>
          <w:sz w:val="24"/>
        </w:rPr>
        <w:t>“</w:t>
      </w:r>
      <w:r>
        <w:rPr>
          <w:rFonts w:hint="eastAsia" w:eastAsia="方正仿宋_GBK"/>
          <w:color w:val="000000"/>
          <w:spacing w:val="-2"/>
          <w:sz w:val="24"/>
        </w:rPr>
        <w:t>江苏省住房与房地产电子政务平台</w:t>
      </w:r>
      <w:r>
        <w:rPr>
          <w:rFonts w:eastAsia="方正仿宋_GBK"/>
          <w:color w:val="000000"/>
          <w:spacing w:val="-2"/>
          <w:sz w:val="24"/>
        </w:rPr>
        <w:t>”</w:t>
      </w:r>
      <w:r>
        <w:rPr>
          <w:rFonts w:hint="eastAsia" w:eastAsia="方正仿宋_GBK"/>
          <w:color w:val="000000"/>
          <w:spacing w:val="-2"/>
          <w:sz w:val="24"/>
        </w:rPr>
        <w:t>如实填报《项目手册》，并对填报信息的真实性、准确性负责。</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《项目手册》可按规定格式输出。</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第十条</w:t>
      </w:r>
      <w:r>
        <w:rPr>
          <w:rFonts w:eastAsia="方正仿宋_GBK"/>
          <w:b/>
          <w:color w:val="000000"/>
          <w:spacing w:val="-2"/>
          <w:sz w:val="24"/>
        </w:rPr>
        <w:t xml:space="preserve">  </w:t>
      </w:r>
      <w:r>
        <w:rPr>
          <w:rFonts w:hint="eastAsia" w:eastAsia="方正仿宋_GBK"/>
          <w:color w:val="000000"/>
          <w:spacing w:val="-2"/>
          <w:sz w:val="24"/>
        </w:rPr>
        <w:t>《项目手册》实行月度填报制度，房地产开发企业于每月底填报本月发生的事项。</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到期无必须填报事项时，房地产开发企业须使用</w:t>
      </w:r>
      <w:r>
        <w:rPr>
          <w:rFonts w:eastAsia="方正仿宋_GBK"/>
          <w:color w:val="000000"/>
          <w:spacing w:val="-2"/>
          <w:sz w:val="24"/>
        </w:rPr>
        <w:t>“</w:t>
      </w:r>
      <w:r>
        <w:rPr>
          <w:rFonts w:hint="eastAsia" w:eastAsia="方正仿宋_GBK"/>
          <w:color w:val="000000"/>
          <w:spacing w:val="-2"/>
          <w:sz w:val="24"/>
        </w:rPr>
        <w:t>零申报</w:t>
      </w:r>
      <w:r>
        <w:rPr>
          <w:rFonts w:eastAsia="方正仿宋_GBK"/>
          <w:color w:val="000000"/>
          <w:spacing w:val="-2"/>
          <w:sz w:val="24"/>
        </w:rPr>
        <w:t>”</w:t>
      </w:r>
      <w:r>
        <w:rPr>
          <w:rFonts w:hint="eastAsia" w:eastAsia="方正仿宋_GBK"/>
          <w:color w:val="000000"/>
          <w:spacing w:val="-2"/>
          <w:sz w:val="24"/>
        </w:rPr>
        <w:t>方式告知主管部门。</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开发建设项目情况发生行政许可内容、开发建设方式、规划设计条件等重要变更的，或者按照本办法第二条规定需要向房地产行政主管报送数据和材料的，房地产开发企业应将变更信息及时载入《项目手册》。</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sz w:val="24"/>
        </w:rPr>
        <w:t>第十一条</w:t>
      </w:r>
      <w:r>
        <w:rPr>
          <w:rFonts w:eastAsia="方正仿宋_GBK"/>
          <w:b/>
          <w:color w:val="000000"/>
          <w:spacing w:val="-2"/>
          <w:sz w:val="24"/>
        </w:rPr>
        <w:t xml:space="preserve">  </w:t>
      </w:r>
      <w:r>
        <w:rPr>
          <w:rFonts w:hint="eastAsia" w:eastAsia="方正仿宋_GBK"/>
          <w:color w:val="000000"/>
          <w:spacing w:val="-2"/>
          <w:kern w:val="0"/>
          <w:sz w:val="24"/>
        </w:rPr>
        <w:t>房地产开发主管部门每月对房地产开发企业所填报的</w:t>
      </w:r>
      <w:r>
        <w:rPr>
          <w:rFonts w:hint="eastAsia" w:eastAsia="方正仿宋_GBK"/>
          <w:color w:val="000000"/>
          <w:spacing w:val="-2"/>
          <w:sz w:val="24"/>
        </w:rPr>
        <w:t>《项目手册》</w:t>
      </w:r>
      <w:r>
        <w:rPr>
          <w:rFonts w:hint="eastAsia" w:eastAsia="方正仿宋_GBK"/>
          <w:color w:val="000000"/>
          <w:spacing w:val="-2"/>
          <w:kern w:val="0"/>
          <w:sz w:val="24"/>
        </w:rPr>
        <w:t>内容进行验核并签署意见。</w:t>
      </w:r>
    </w:p>
    <w:p>
      <w:pPr>
        <w:spacing w:line="440" w:lineRule="exact"/>
        <w:ind w:firstLine="472" w:firstLineChars="200"/>
        <w:jc w:val="left"/>
        <w:rPr>
          <w:rFonts w:eastAsia="方正仿宋_GBK"/>
          <w:color w:val="000000"/>
          <w:spacing w:val="-2"/>
          <w:sz w:val="24"/>
        </w:rPr>
      </w:pPr>
      <w:r>
        <w:rPr>
          <w:rFonts w:hint="eastAsia" w:eastAsia="方正仿宋_GBK"/>
          <w:color w:val="000000"/>
          <w:spacing w:val="-2"/>
          <w:sz w:val="24"/>
        </w:rPr>
        <w:t>房地产开发主管部门要按一定比例，对房地产开发企业的项目建设、经营情况进行现场检查并签署意见。</w:t>
      </w:r>
    </w:p>
    <w:p>
      <w:pPr>
        <w:spacing w:line="440" w:lineRule="exact"/>
        <w:ind w:firstLine="472" w:firstLineChars="200"/>
        <w:jc w:val="left"/>
        <w:rPr>
          <w:rFonts w:eastAsia="方正仿宋_GBK"/>
          <w:color w:val="000000"/>
          <w:spacing w:val="-2"/>
          <w:sz w:val="24"/>
        </w:rPr>
      </w:pPr>
      <w:r>
        <w:rPr>
          <w:rFonts w:hint="eastAsia" w:eastAsia="方正仿宋_GBK"/>
          <w:color w:val="000000"/>
          <w:spacing w:val="-2"/>
          <w:sz w:val="24"/>
        </w:rPr>
        <w:t>《项目手册》作为核定企业资质等级的证明材料之一。</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第十二条</w:t>
      </w:r>
      <w:r>
        <w:rPr>
          <w:rFonts w:eastAsia="方正仿宋_GBK"/>
          <w:b/>
          <w:color w:val="000000"/>
          <w:spacing w:val="-2"/>
          <w:sz w:val="24"/>
        </w:rPr>
        <w:t xml:space="preserve">  </w:t>
      </w:r>
      <w:r>
        <w:rPr>
          <w:rFonts w:hint="eastAsia" w:eastAsia="方正仿宋_GBK"/>
          <w:color w:val="000000"/>
          <w:spacing w:val="-2"/>
          <w:sz w:val="24"/>
        </w:rPr>
        <w:t>房地产开发项目正常或异常结束，由房地产开发企业填报终止申请，房地产开发行政主管部门终止对该《项目手册》的管理。</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第十三条</w:t>
      </w:r>
      <w:r>
        <w:rPr>
          <w:rFonts w:eastAsia="方正仿宋_GBK"/>
          <w:b/>
          <w:color w:val="000000"/>
          <w:spacing w:val="-2"/>
          <w:sz w:val="24"/>
        </w:rPr>
        <w:t xml:space="preserve">  </w:t>
      </w:r>
      <w:r>
        <w:rPr>
          <w:rFonts w:hint="eastAsia" w:eastAsia="方正仿宋_GBK"/>
          <w:color w:val="000000"/>
          <w:spacing w:val="-2"/>
          <w:sz w:val="24"/>
        </w:rPr>
        <w:t>项目终止后，由房地产开发行政主管部门对《项目手册》进行归档处理，并移交城建档案部门。</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第十四条</w:t>
      </w:r>
      <w:r>
        <w:rPr>
          <w:rFonts w:eastAsia="方正仿宋_GBK"/>
          <w:b/>
          <w:color w:val="000000"/>
          <w:spacing w:val="-2"/>
          <w:sz w:val="24"/>
        </w:rPr>
        <w:t xml:space="preserve"> </w:t>
      </w:r>
      <w:r>
        <w:rPr>
          <w:rFonts w:hint="eastAsia" w:eastAsia="方正仿宋_GBK"/>
          <w:color w:val="000000"/>
          <w:spacing w:val="-2"/>
          <w:sz w:val="24"/>
        </w:rPr>
        <w:t>房地产开发企业填报的《项目手册》的内容不全或者有错误的，责令其更正、补全项目信息；未按照本办法规定填报《项目手册》的，不予受理其核定资质等级的申请；弄虚作假填报《项目手册》的，根据《房地产开发企业资质管理规定》、《城市商品房预销售管理办法》的规定给予处罚。</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第十五条</w:t>
      </w:r>
      <w:r>
        <w:rPr>
          <w:rFonts w:eastAsia="方正仿宋_GBK"/>
          <w:b/>
          <w:color w:val="000000"/>
          <w:spacing w:val="-2"/>
          <w:sz w:val="24"/>
        </w:rPr>
        <w:t xml:space="preserve">  </w:t>
      </w:r>
      <w:r>
        <w:rPr>
          <w:rFonts w:hint="eastAsia" w:eastAsia="方正仿宋_GBK"/>
          <w:color w:val="000000"/>
          <w:spacing w:val="-2"/>
          <w:sz w:val="24"/>
        </w:rPr>
        <w:t>本办法由江苏省建设厅负责解释。</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第十六条</w:t>
      </w:r>
      <w:r>
        <w:rPr>
          <w:rFonts w:eastAsia="方正仿宋_GBK"/>
          <w:color w:val="000000"/>
          <w:spacing w:val="-2"/>
          <w:sz w:val="24"/>
        </w:rPr>
        <w:t xml:space="preserve">  </w:t>
      </w:r>
      <w:r>
        <w:rPr>
          <w:rFonts w:hint="eastAsia" w:eastAsia="方正仿宋_GBK"/>
          <w:color w:val="000000"/>
          <w:spacing w:val="-2"/>
          <w:sz w:val="24"/>
        </w:rPr>
        <w:t>本办法自</w:t>
      </w:r>
      <w:r>
        <w:rPr>
          <w:rFonts w:eastAsia="方正仿宋_GBK"/>
          <w:color w:val="000000"/>
          <w:spacing w:val="-2"/>
          <w:sz w:val="24"/>
        </w:rPr>
        <w:t>2009</w:t>
      </w:r>
      <w:r>
        <w:rPr>
          <w:rFonts w:hint="eastAsia" w:eastAsia="方正仿宋_GBK"/>
          <w:color w:val="000000"/>
          <w:spacing w:val="-2"/>
          <w:sz w:val="24"/>
        </w:rPr>
        <w:t>年</w:t>
      </w:r>
      <w:r>
        <w:rPr>
          <w:rFonts w:eastAsia="方正仿宋_GBK"/>
          <w:color w:val="000000"/>
          <w:spacing w:val="-2"/>
          <w:sz w:val="24"/>
        </w:rPr>
        <w:t>9</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日起施行。</w:t>
      </w:r>
    </w:p>
    <w:p>
      <w:pPr>
        <w:shd w:val="clear" w:color="auto" w:fill="FFFFFF"/>
        <w:spacing w:line="460" w:lineRule="exact"/>
        <w:jc w:val="left"/>
        <w:rPr>
          <w:color w:val="000000"/>
          <w:kern w:val="0"/>
          <w:sz w:val="24"/>
        </w:rPr>
      </w:pPr>
      <w:r>
        <w:rPr>
          <w:rFonts w:hint="eastAsia"/>
          <w:b/>
          <w:bCs/>
          <w:color w:val="000000"/>
          <w:kern w:val="0"/>
          <w:sz w:val="24"/>
        </w:rPr>
        <w:t>　</w:t>
      </w:r>
    </w:p>
    <w:p/>
    <w:p/>
    <w:p/>
    <w:p/>
    <w:p/>
    <w:p/>
    <w:p>
      <w:pPr>
        <w:pStyle w:val="2"/>
        <w:spacing w:before="240" w:beforeLines="100" w:after="240" w:afterLines="100" w:line="240" w:lineRule="auto"/>
        <w:jc w:val="center"/>
        <w:rPr>
          <w:rFonts w:ascii="Times New Roman" w:eastAsia="方正小标宋_GBK"/>
          <w:b w:val="0"/>
          <w:sz w:val="36"/>
          <w:szCs w:val="36"/>
        </w:rPr>
      </w:pPr>
      <w:bookmarkStart w:id="11" w:name="_Toc20726285"/>
      <w:bookmarkStart w:id="12" w:name="_Toc18315363"/>
      <w:r>
        <w:rPr>
          <w:rFonts w:hint="eastAsia" w:ascii="Times New Roman" w:eastAsia="方正小标宋_GBK"/>
          <w:b w:val="0"/>
          <w:sz w:val="36"/>
          <w:szCs w:val="36"/>
        </w:rPr>
        <w:t>关于进一步规范商品房预（销）售行为的通知</w:t>
      </w:r>
      <w:bookmarkEnd w:id="11"/>
      <w:bookmarkEnd w:id="12"/>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3" w:name="_Toc18315364"/>
      <w:bookmarkStart w:id="14" w:name="_Toc20726286"/>
      <w:r>
        <w:rPr>
          <w:rFonts w:hint="eastAsia" w:ascii="Times New Roman" w:hAnsi="Times New Roman" w:eastAsia="方正楷体_GBK"/>
          <w:b w:val="0"/>
          <w:sz w:val="24"/>
          <w:szCs w:val="24"/>
        </w:rPr>
        <w:t>苏建函房〔</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669</w:t>
      </w:r>
      <w:r>
        <w:rPr>
          <w:rFonts w:hint="eastAsia" w:ascii="Times New Roman" w:hAnsi="Times New Roman" w:eastAsia="方正楷体_GBK"/>
          <w:b w:val="0"/>
          <w:sz w:val="24"/>
          <w:szCs w:val="24"/>
        </w:rPr>
        <w:t>号</w:t>
      </w:r>
      <w:bookmarkEnd w:id="13"/>
      <w:bookmarkEnd w:id="14"/>
    </w:p>
    <w:p>
      <w:pPr>
        <w:spacing w:line="460" w:lineRule="exact"/>
        <w:rPr>
          <w:rFonts w:eastAsia="方正仿宋_GBK"/>
          <w:color w:val="000000"/>
          <w:spacing w:val="-2"/>
          <w:sz w:val="24"/>
        </w:rPr>
      </w:pPr>
      <w:r>
        <w:rPr>
          <w:rFonts w:hint="eastAsia" w:eastAsia="方正仿宋_GBK"/>
          <w:color w:val="000000"/>
          <w:spacing w:val="-2"/>
          <w:sz w:val="24"/>
        </w:rPr>
        <w:t>各市、县（市）建设局、房管局：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最近，住房和城乡建设部下发了《关于转发</w:t>
      </w:r>
      <w:r>
        <w:rPr>
          <w:rFonts w:hint="eastAsia" w:ascii="Times New Roman" w:hAnsi="Times New Roman"/>
          <w:color w:val="000000"/>
          <w:spacing w:val="-2"/>
          <w:sz w:val="24"/>
        </w:rPr>
        <w:t>&lt;</w:t>
      </w:r>
      <w:r>
        <w:rPr>
          <w:rFonts w:hint="eastAsia" w:eastAsia="方正仿宋_GBK"/>
          <w:color w:val="000000"/>
          <w:spacing w:val="-2"/>
          <w:sz w:val="24"/>
        </w:rPr>
        <w:t>上海市商品房销售方案备案管理暂行规定</w:t>
      </w:r>
      <w:r>
        <w:rPr>
          <w:rFonts w:hint="eastAsia" w:ascii="Times New Roman" w:hAnsi="Times New Roman"/>
          <w:color w:val="000000"/>
          <w:spacing w:val="-2"/>
          <w:sz w:val="24"/>
        </w:rPr>
        <w:t>&gt;</w:t>
      </w:r>
      <w:r>
        <w:rPr>
          <w:rFonts w:hint="eastAsia" w:eastAsia="方正仿宋_GBK"/>
          <w:color w:val="000000"/>
          <w:spacing w:val="-2"/>
          <w:sz w:val="24"/>
        </w:rPr>
        <w:t>的通知》（建办房函〔</w:t>
      </w:r>
      <w:r>
        <w:rPr>
          <w:rFonts w:eastAsia="方正仿宋_GBK"/>
          <w:color w:val="000000"/>
          <w:spacing w:val="-2"/>
          <w:sz w:val="24"/>
        </w:rPr>
        <w:t>2009)785</w:t>
      </w:r>
      <w:r>
        <w:rPr>
          <w:rFonts w:hint="eastAsia" w:eastAsia="方正仿宋_GBK"/>
          <w:color w:val="000000"/>
          <w:spacing w:val="-2"/>
          <w:sz w:val="24"/>
        </w:rPr>
        <w:t>号），并对进一步规范房地产销售行为有关问题提出了六点要求。现将该《通知》转发给你们，并结合我省实际，就进一步加强商品房预售管理、规范商品房预（销）售行为通知如下：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一是要加强商品房预售许可管理。</w:t>
      </w:r>
      <w:r>
        <w:rPr>
          <w:rFonts w:hint="eastAsia" w:eastAsia="方正仿宋_GBK"/>
          <w:color w:val="000000"/>
          <w:spacing w:val="-2"/>
          <w:sz w:val="24"/>
        </w:rPr>
        <w:t>各地要严格商品房预售许可条件。房地产开发企业预售商品房，原则上应当以项目为单位申请预售许可，不得分层、分单元申请预售许可；对开发建设规模较大、实行分期开发和分期交付的商品房项目，可按照分期开发的规模申请预售许可。</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二是要加强商品房预售方案管理。</w:t>
      </w:r>
      <w:r>
        <w:rPr>
          <w:rFonts w:hint="eastAsia" w:eastAsia="方正仿宋_GBK"/>
          <w:color w:val="000000"/>
          <w:spacing w:val="-2"/>
          <w:sz w:val="24"/>
        </w:rPr>
        <w:t>各地在核发预售许可证时，要加强对预售方案的审核。预售方案应当提供经有权部门批准的规划建设方案，详细说明项目基本情况、项目楼盘表、项目用于销售以及企业保留自有的情况、项目建设进度计划情况、落实预售资金监管情况、项目销售计划和销售方式、预售价格及价格调整方式等内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三是要规范开发企业推盘销售行为。</w:t>
      </w:r>
      <w:r>
        <w:rPr>
          <w:rFonts w:hint="eastAsia" w:eastAsia="方正仿宋_GBK"/>
          <w:color w:val="000000"/>
          <w:spacing w:val="-2"/>
          <w:sz w:val="24"/>
        </w:rPr>
        <w:t>房地产开发企业取得《商品房预售许可证》后，应当在规定的时间内销售商品房。开发企业应一次将取得预售许可的全部房源上网销售，不得以各种借口分批、分次销售，严禁捂盘惜售、囤积房源，不得进行虚假交易、炒卖房号。未取得商品房预售许可证的项目，房地产开发企业不得非法预售商品房，也不得以认购</w:t>
      </w:r>
      <w:r>
        <w:rPr>
          <w:rFonts w:eastAsia="方正仿宋_GBK"/>
          <w:color w:val="000000"/>
          <w:spacing w:val="-2"/>
          <w:sz w:val="24"/>
        </w:rPr>
        <w:t>(</w:t>
      </w:r>
      <w:r>
        <w:rPr>
          <w:rFonts w:hint="eastAsia" w:eastAsia="方正仿宋_GBK"/>
          <w:color w:val="000000"/>
          <w:spacing w:val="-2"/>
          <w:sz w:val="24"/>
        </w:rPr>
        <w:t>包括认定、登记、选号等）的名义收取预订款性质费用等各种方式变相预售商品房。</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四是要加强现场预售信息公示管理。</w:t>
      </w:r>
      <w:r>
        <w:rPr>
          <w:rFonts w:hint="eastAsia" w:eastAsia="方正仿宋_GBK"/>
          <w:color w:val="000000"/>
          <w:spacing w:val="-2"/>
          <w:sz w:val="24"/>
        </w:rPr>
        <w:t>房地产开发企业预售商品房应将预售方案中相关信息在销售现场醒目位置进行公示。现场公示的信息必须与申请预售许可时提供的信息、房产管理部门网上公示的信息保持一致。开发企业预售商品房后必须通过商品房预（销）售合同网上备案系统进行即时备案，并及时修改现场楼盘表中的相关信息。</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五是要加强商品房预售许可后的变更管理。</w:t>
      </w:r>
      <w:r>
        <w:rPr>
          <w:rFonts w:hint="eastAsia" w:eastAsia="方正仿宋_GBK"/>
          <w:color w:val="000000"/>
          <w:spacing w:val="-2"/>
          <w:sz w:val="24"/>
        </w:rPr>
        <w:t>取得商品房预售许可证后的在售商品房项目，如因规划等发生变更使申请预售许可时的相关内容和预售方案发生变化，房地产开发企业应持相关变更文件，及时到原商品房预售许可管理部门办理变更登记手续。商品房预售许可管理部门应根据有关部门批准的变更文件办理预售许可变更登记手续，并及时更新网上公示内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六是要落实房地产开发项目手册制度。</w:t>
      </w:r>
      <w:r>
        <w:rPr>
          <w:rFonts w:hint="eastAsia" w:eastAsia="方正仿宋_GBK"/>
          <w:color w:val="000000"/>
          <w:spacing w:val="-2"/>
          <w:sz w:val="24"/>
        </w:rPr>
        <w:t>各级房地产开发主管部门要加快推进房地产开发（电子</w:t>
      </w:r>
      <w:r>
        <w:rPr>
          <w:rFonts w:eastAsia="方正仿宋_GBK"/>
          <w:color w:val="000000"/>
          <w:spacing w:val="-2"/>
          <w:sz w:val="24"/>
        </w:rPr>
        <w:t>o</w:t>
      </w:r>
      <w:r>
        <w:rPr>
          <w:rFonts w:hint="eastAsia" w:eastAsia="方正仿宋_GBK"/>
          <w:color w:val="000000"/>
          <w:spacing w:val="-2"/>
          <w:sz w:val="24"/>
        </w:rPr>
        <w:t>）项目手册制度的实施，房地产开发企业在《房地产开发（</w:t>
      </w:r>
      <w:r>
        <w:rPr>
          <w:rFonts w:eastAsia="方正仿宋_GBK"/>
          <w:color w:val="000000"/>
          <w:spacing w:val="-2"/>
          <w:sz w:val="24"/>
        </w:rPr>
        <w:t>.</w:t>
      </w:r>
      <w:r>
        <w:rPr>
          <w:rFonts w:hint="eastAsia" w:eastAsia="方正仿宋_GBK"/>
          <w:color w:val="000000"/>
          <w:spacing w:val="-2"/>
          <w:sz w:val="24"/>
        </w:rPr>
        <w:t>电子）项目手册》上记录的内容必须真实反映项目开发建设状况，相关内容应与预售方案一致。</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七是要加强商品房预售资金监管。</w:t>
      </w:r>
      <w:r>
        <w:rPr>
          <w:rFonts w:hint="eastAsia" w:eastAsia="方正仿宋_GBK"/>
          <w:color w:val="000000"/>
          <w:spacing w:val="-2"/>
          <w:sz w:val="24"/>
        </w:rPr>
        <w:t>商品房预售资金必须专户存储，并专项用于购买开发建设必需的建筑材料、设备和支付项目建设的施工进度款、法定税费和其他相关费用，任何单位和个人不得挪用和违规使用商品房预售资金。</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八是要加强对违法违规行为的查处力度。</w:t>
      </w:r>
      <w:r>
        <w:rPr>
          <w:rFonts w:hint="eastAsia" w:eastAsia="方正仿宋_GBK"/>
          <w:color w:val="000000"/>
          <w:spacing w:val="-2"/>
          <w:sz w:val="24"/>
        </w:rPr>
        <w:t>要重点围绕房地产项目审批、开发、交易等环节，对在建并已进入预售环节的房地产开发项目定期开展执法检查，对违反商品房预售菅理有关规定的，要依法予以查处。要加快建立房地产开发企业、商品房预售代理机构和相关从业人员的信用档案制度，完善房地产市场诚信体系建设，对有关企业、从业人员在商品房预售活动中违反有关法律、法规、规章的，要记入信用档案并予以曝光。</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九是要建立和完善商品房预（销）售监管工作机制。</w:t>
      </w:r>
      <w:r>
        <w:rPr>
          <w:rFonts w:hint="eastAsia" w:eastAsia="方正仿宋_GBK"/>
          <w:color w:val="000000"/>
          <w:spacing w:val="-2"/>
          <w:sz w:val="24"/>
        </w:rPr>
        <w:t>各级房地产开发、房产管理部门要会同有关部门，根据职责分工，切实履行好监管职责。通过联合检查、会办和案件移交等方式建立部门联动机制，营造齐抓共管的良好局面，保持房地产市场持续稳定健康发展。</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附件：住房和城乡建设部关于转发《上海市商品房销售方案备案管理暂行规定》的通知（建办房函（</w:t>
      </w:r>
      <w:r>
        <w:rPr>
          <w:rFonts w:eastAsia="方正仿宋_GBK"/>
          <w:color w:val="000000"/>
          <w:spacing w:val="-2"/>
          <w:sz w:val="24"/>
        </w:rPr>
        <w:t>2009)785</w:t>
      </w:r>
      <w:r>
        <w:rPr>
          <w:rFonts w:hint="eastAsia" w:eastAsia="方正仿宋_GBK"/>
          <w:color w:val="000000"/>
          <w:spacing w:val="-2"/>
          <w:sz w:val="24"/>
        </w:rPr>
        <w:t>号</w:t>
      </w:r>
      <w:r>
        <w:rPr>
          <w:rFonts w:eastAsia="方正仿宋_GBK"/>
          <w:color w:val="000000"/>
          <w:spacing w:val="-2"/>
          <w:sz w:val="24"/>
        </w:rPr>
        <w:t>)</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p>
    <w:p>
      <w:pPr>
        <w:wordWrap w:val="0"/>
        <w:spacing w:line="460" w:lineRule="exact"/>
        <w:ind w:firstLine="472" w:firstLineChars="200"/>
        <w:jc w:val="right"/>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wordWrap w:val="0"/>
        <w:spacing w:line="460" w:lineRule="exact"/>
        <w:ind w:firstLine="472" w:firstLineChars="200"/>
        <w:jc w:val="right"/>
        <w:rPr>
          <w:rFonts w:eastAsia="方正仿宋_GBK"/>
          <w:color w:val="000000"/>
          <w:spacing w:val="-2"/>
          <w:sz w:val="24"/>
        </w:rPr>
      </w:pPr>
      <w:r>
        <w:rPr>
          <w:rFonts w:eastAsia="方正仿宋_GBK"/>
          <w:color w:val="000000"/>
          <w:spacing w:val="-2"/>
          <w:sz w:val="24"/>
        </w:rPr>
        <w:t xml:space="preserve">  2009</w:t>
      </w:r>
      <w:r>
        <w:rPr>
          <w:rFonts w:hint="eastAsia" w:eastAsia="方正仿宋_GBK"/>
          <w:color w:val="000000"/>
          <w:spacing w:val="-2"/>
          <w:sz w:val="24"/>
        </w:rPr>
        <w:t>年</w:t>
      </w:r>
      <w:r>
        <w:rPr>
          <w:rFonts w:eastAsia="方正仿宋_GBK"/>
          <w:color w:val="000000"/>
          <w:spacing w:val="-2"/>
          <w:sz w:val="24"/>
        </w:rPr>
        <w:t>10</w:t>
      </w:r>
      <w:r>
        <w:rPr>
          <w:rFonts w:hint="eastAsia" w:eastAsia="方正仿宋_GBK"/>
          <w:color w:val="000000"/>
          <w:spacing w:val="-2"/>
          <w:sz w:val="24"/>
        </w:rPr>
        <w:t>月</w:t>
      </w:r>
      <w:r>
        <w:rPr>
          <w:rFonts w:eastAsia="方正仿宋_GBK"/>
          <w:color w:val="000000"/>
          <w:spacing w:val="-2"/>
          <w:sz w:val="24"/>
        </w:rPr>
        <w:t>12</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w:t>
      </w:r>
    </w:p>
    <w:p>
      <w:pPr>
        <w:spacing w:line="460" w:lineRule="exact"/>
        <w:rPr>
          <w:rFonts w:hint="eastAsia"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关于转发《上海市商品房</w:t>
      </w: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销售方案备案管理暂行规定》的通知</w:t>
      </w:r>
    </w:p>
    <w:p>
      <w:pPr>
        <w:spacing w:line="460" w:lineRule="exact"/>
        <w:rPr>
          <w:rFonts w:hint="eastAsia" w:eastAsia="方正仿宋_GBK"/>
          <w:color w:val="000000"/>
          <w:spacing w:val="-2"/>
          <w:sz w:val="24"/>
        </w:rPr>
      </w:pPr>
    </w:p>
    <w:p>
      <w:pPr>
        <w:spacing w:line="460" w:lineRule="exact"/>
        <w:jc w:val="center"/>
        <w:rPr>
          <w:rFonts w:eastAsia="方正楷体_GBK"/>
          <w:color w:val="000000"/>
          <w:spacing w:val="-2"/>
          <w:sz w:val="24"/>
        </w:rPr>
      </w:pPr>
      <w:bookmarkStart w:id="15" w:name="_Toc18315365"/>
      <w:r>
        <w:rPr>
          <w:rFonts w:hint="eastAsia" w:eastAsia="方正楷体_GBK"/>
          <w:color w:val="000000"/>
          <w:spacing w:val="-2"/>
          <w:sz w:val="24"/>
        </w:rPr>
        <w:t>建办房函〔</w:t>
      </w:r>
      <w:r>
        <w:rPr>
          <w:rFonts w:eastAsia="方正楷体_GBK"/>
          <w:color w:val="000000"/>
          <w:spacing w:val="-2"/>
          <w:sz w:val="24"/>
        </w:rPr>
        <w:t>2009</w:t>
      </w:r>
      <w:r>
        <w:rPr>
          <w:rFonts w:hint="eastAsia" w:eastAsia="方正楷体_GBK"/>
          <w:color w:val="000000"/>
          <w:spacing w:val="-2"/>
          <w:sz w:val="24"/>
        </w:rPr>
        <w:t>〕</w:t>
      </w:r>
      <w:r>
        <w:rPr>
          <w:rFonts w:eastAsia="方正楷体_GBK"/>
          <w:color w:val="000000"/>
          <w:spacing w:val="-2"/>
          <w:sz w:val="24"/>
        </w:rPr>
        <w:t>785</w:t>
      </w:r>
      <w:r>
        <w:rPr>
          <w:rFonts w:hint="eastAsia" w:eastAsia="方正楷体_GBK"/>
          <w:color w:val="000000"/>
          <w:spacing w:val="-2"/>
          <w:sz w:val="24"/>
        </w:rPr>
        <w:t>号</w:t>
      </w:r>
      <w:bookmarkEnd w:id="15"/>
    </w:p>
    <w:p>
      <w:pPr>
        <w:spacing w:line="460" w:lineRule="exact"/>
        <w:rPr>
          <w:rFonts w:eastAsia="方正仿宋_GBK"/>
          <w:color w:val="000000"/>
          <w:spacing w:val="-2"/>
          <w:sz w:val="24"/>
        </w:rPr>
      </w:pPr>
    </w:p>
    <w:p>
      <w:pPr>
        <w:spacing w:line="460" w:lineRule="exact"/>
        <w:rPr>
          <w:rFonts w:eastAsia="方正仿宋_GBK"/>
          <w:color w:val="000000"/>
          <w:spacing w:val="-2"/>
          <w:sz w:val="24"/>
        </w:rPr>
      </w:pPr>
      <w:r>
        <w:rPr>
          <w:rFonts w:hint="eastAsia" w:eastAsia="方正仿宋_GBK"/>
          <w:color w:val="000000"/>
          <w:spacing w:val="-2"/>
          <w:sz w:val="24"/>
        </w:rPr>
        <w:t>各省、自治区住房和城乡建设厅，直辖市建委（房地局）：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近期，上海市为规范房地产市场秩序，根据当前市场变化和房价变动情况，制定了《上海市商品房销售方案备案管理暂行规定》，现转发给你们，供参考。同时就进一步规范房地产销售行为有关问题通知如下：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一、加大对违法违规行为的查处力度。</w:t>
      </w:r>
      <w:r>
        <w:rPr>
          <w:rFonts w:hint="eastAsia" w:eastAsia="方正仿宋_GBK"/>
          <w:color w:val="000000"/>
          <w:spacing w:val="-2"/>
          <w:sz w:val="24"/>
        </w:rPr>
        <w:t>今年以来，随着中央和地方一系列调控政策的实施，我国房地产市场逐步企稳回升，房地产业在扩大内需、保障民生、促进经济平稳较快发展中发挥了作用。但近期部分域市少数房地产开发企业捂盘惜售、囤积房源、哄抬房价等违法违规行为又有所抬头。各地要珍惜来之不易的好的发展势头，加大对违法违规行为的查处和公开曝光力度，坚持整顿规范和促进健康发展并重，保持房地产市场持续稳定健康发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二、加强商品房预售方案管理。</w:t>
      </w:r>
      <w:r>
        <w:rPr>
          <w:rFonts w:hint="eastAsia" w:eastAsia="方正仿宋_GBK"/>
          <w:color w:val="000000"/>
          <w:spacing w:val="-2"/>
          <w:sz w:val="24"/>
        </w:rPr>
        <w:t>各地要按照《城市房地产开发经营管理条例》有关规定，在核发预售许可证时，加强对方案的审核。商品房预售方案应明确商品房项目用于销售、租赁、企业保留自有的情况，明确预售价格及价格调整方式。对于预售方案确定保留自有和用于租赁的商品房，原则上在办理房屋所有权初始登记前不得销售已取得预售许可证的，应在规定时间上网销售。</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三、应结合实际，合理确定商品房项目的预售许可规模。</w:t>
      </w:r>
      <w:r>
        <w:rPr>
          <w:rFonts w:hint="eastAsia" w:eastAsia="方正仿宋_GBK"/>
          <w:color w:val="000000"/>
          <w:spacing w:val="-2"/>
          <w:sz w:val="24"/>
        </w:rPr>
        <w:t>商品住宅项目一般不得分层、分单元办理预售许可。对已经办理预售许可的，应一次将全部房源公开对并销售，不得分批、分次销售。</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四、各地住房城乡建设（房地产）主管部门要会同有关部门加强对在建项目的监管。</w:t>
      </w:r>
      <w:r>
        <w:rPr>
          <w:rFonts w:hint="eastAsia" w:eastAsia="方正仿宋_GBK"/>
          <w:color w:val="000000"/>
          <w:spacing w:val="-2"/>
          <w:sz w:val="24"/>
        </w:rPr>
        <w:t>要摸清底数，全面梳理检查已批未建</w:t>
      </w:r>
      <w:r>
        <w:rPr>
          <w:rFonts w:eastAsia="方正仿宋_GBK"/>
          <w:color w:val="000000"/>
          <w:spacing w:val="-2"/>
          <w:sz w:val="24"/>
        </w:rPr>
        <w:t>.</w:t>
      </w:r>
      <w:r>
        <w:rPr>
          <w:rFonts w:hint="eastAsia" w:eastAsia="方正仿宋_GBK"/>
          <w:color w:val="000000"/>
          <w:spacing w:val="-2"/>
          <w:sz w:val="24"/>
        </w:rPr>
        <w:t>、已批未售项目的情况督促已达到规定预售条件的项目及时申请预售并公开销售</w:t>
      </w:r>
      <w:r>
        <w:rPr>
          <w:rFonts w:eastAsia="方正仿宋_GBK"/>
          <w:color w:val="000000"/>
          <w:spacing w:val="-2"/>
          <w:sz w:val="24"/>
        </w:rPr>
        <w:t>;</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五、进一步推进商品房预（销）售合同网上登记备案制度和房地产交易信息公示制度。</w:t>
      </w:r>
      <w:r>
        <w:rPr>
          <w:rFonts w:hint="eastAsia" w:eastAsia="方正仿宋_GBK"/>
          <w:color w:val="000000"/>
          <w:spacing w:val="-2"/>
          <w:sz w:val="24"/>
        </w:rPr>
        <w:t>要通过建立楼盘表、网上备案，督促开发商即时公布商品房销售信息。主管部门要通过对商品房销售网上备案的监测，及时发现并查处开发商炒卖房号、捂盘惜售、囤积房源等违法违规行为。</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六、进一步加强预售款监管工作。确保预售资金专款专用，防止挪用和违规使用预售资金。</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附件：上海市商品房销售方案备案管理暂行规定</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p>
    <w:p>
      <w:pPr>
        <w:spacing w:line="460" w:lineRule="exac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w:t>
      </w:r>
    </w:p>
    <w:p>
      <w:pPr>
        <w:spacing w:line="460" w:lineRule="exact"/>
        <w:rPr>
          <w:rFonts w:hint="eastAsia"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上海市商品房销售方案备案管理暂行规定</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为规范商品房销售行为，维护当事人的合法权益，根据《城市房地产开发经营管理条例》、《上海市房地产登记条例》、《上海市房地产转让办法》、《商品房销售管理办法》，特制订本规定。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hint="eastAsia" w:eastAsia="方正仿宋_GBK"/>
          <w:color w:val="000000"/>
          <w:spacing w:val="-2"/>
          <w:sz w:val="24"/>
        </w:rPr>
        <w:t>（商品房销售方案备案）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应当按照规定及时销售商品房，并应当按照土地出让合同及规划批准的范围，制订商品房销售方案，明确上市销售进度，确定商品房项目中企业保留自有的房地产和用于销售的商品房，向房屋管理部门备案。</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hint="eastAsia" w:eastAsia="方正仿宋_GBK"/>
          <w:color w:val="000000"/>
          <w:spacing w:val="-2"/>
          <w:sz w:val="24"/>
        </w:rPr>
        <w:t>（商品房销售方案内容）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商品房销售方案应包括但不限于以下内容：</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、商品房项目的基本情况，包括项目名称、坐落，土地用途、项目总规模，容积率、绿地率等规划参数，前期物业管理服务合同，业主管理公约，业主共有房地产、商业配套设施和公益性公共服务设施的设置等。</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、商品房项目用于销售、租赁以及企业保留自有的情况。商品住房项目中保留自有的房地产应当符合</w:t>
      </w:r>
      <w:r>
        <w:rPr>
          <w:rFonts w:eastAsia="方正仿宋_GBK"/>
          <w:color w:val="000000"/>
          <w:spacing w:val="-2"/>
          <w:sz w:val="24"/>
        </w:rPr>
        <w:t>“</w:t>
      </w:r>
      <w:r>
        <w:rPr>
          <w:rFonts w:hint="eastAsia" w:eastAsia="方正仿宋_GBK"/>
          <w:color w:val="000000"/>
          <w:spacing w:val="-2"/>
          <w:sz w:val="24"/>
        </w:rPr>
        <w:t>少量、合理</w:t>
      </w:r>
      <w:r>
        <w:rPr>
          <w:rFonts w:eastAsia="方正仿宋_GBK"/>
          <w:color w:val="000000"/>
          <w:spacing w:val="-2"/>
          <w:sz w:val="24"/>
        </w:rPr>
        <w:t>”</w:t>
      </w:r>
      <w:r>
        <w:rPr>
          <w:rFonts w:hint="eastAsia" w:eastAsia="方正仿宋_GBK"/>
          <w:color w:val="000000"/>
          <w:spacing w:val="-2"/>
          <w:sz w:val="24"/>
        </w:rPr>
        <w:t>的原则。</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、商品房项目的建设情况，包括项目建设周期、各期计划和进度。</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、商品房项目销售广告、楼书、样板房、沙盘等宣传资料。</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、商品房销售计划与销售方式，包括每期开盘时间、地点，自行销售或代理销售，销售人员等相关情况。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、商品房销售价格（包括定价调价方式、方法），销售合同文本以及签约销售流程。</w:t>
      </w:r>
    </w:p>
    <w:p>
      <w:pPr>
        <w:spacing w:line="460" w:lineRule="exact"/>
        <w:ind w:firstLine="472" w:firstLineChars="200"/>
        <w:rPr>
          <w:rFonts w:eastAsia="方正仿宋_GBK"/>
          <w:color w:val="000000"/>
          <w:spacing w:val="-2"/>
          <w:sz w:val="24"/>
        </w:rPr>
      </w:pPr>
      <w:r>
        <w:rPr>
          <w:rFonts w:eastAsia="方正仿宋_GBK"/>
          <w:color w:val="000000"/>
          <w:spacing w:val="-2"/>
          <w:sz w:val="24"/>
        </w:rPr>
        <w:t>7</w:t>
      </w:r>
      <w:r>
        <w:rPr>
          <w:rFonts w:hint="eastAsia" w:eastAsia="方正仿宋_GBK"/>
          <w:color w:val="000000"/>
          <w:spacing w:val="-2"/>
          <w:sz w:val="24"/>
        </w:rPr>
        <w:t>、售楼处的各项规章制度；包括解决商品房销售纠纷的预案和制度，维护销售秩序的措施及突发事件的处理预案。</w:t>
      </w:r>
    </w:p>
    <w:p>
      <w:pPr>
        <w:spacing w:line="460" w:lineRule="exact"/>
        <w:ind w:firstLine="472" w:firstLineChars="200"/>
        <w:rPr>
          <w:rFonts w:eastAsia="方正仿宋_GBK"/>
          <w:color w:val="000000"/>
          <w:spacing w:val="-2"/>
          <w:sz w:val="24"/>
        </w:rPr>
      </w:pPr>
      <w:r>
        <w:rPr>
          <w:rFonts w:eastAsia="方正仿宋_GBK"/>
          <w:color w:val="000000"/>
          <w:spacing w:val="-2"/>
          <w:sz w:val="24"/>
        </w:rPr>
        <w:t>8</w:t>
      </w:r>
      <w:r>
        <w:rPr>
          <w:rFonts w:hint="eastAsia" w:eastAsia="方正仿宋_GBK"/>
          <w:color w:val="000000"/>
          <w:spacing w:val="-2"/>
          <w:sz w:val="24"/>
        </w:rPr>
        <w:t>、房地产开发企业认为需要制订的其他事项或房屋管理部门认为需要明确的其他事宜。</w:t>
      </w:r>
    </w:p>
    <w:p>
      <w:pPr>
        <w:spacing w:line="460" w:lineRule="exact"/>
        <w:ind w:firstLine="472" w:firstLineChars="200"/>
        <w:rPr>
          <w:rFonts w:eastAsia="方正仿宋_GBK"/>
          <w:color w:val="000000"/>
          <w:spacing w:val="-2"/>
          <w:sz w:val="24"/>
        </w:rPr>
      </w:pPr>
      <w:r>
        <w:rPr>
          <w:rFonts w:eastAsia="方正仿宋_GBK"/>
          <w:color w:val="000000"/>
          <w:spacing w:val="-2"/>
          <w:sz w:val="24"/>
        </w:rPr>
        <w:t>9</w:t>
      </w:r>
      <w:r>
        <w:rPr>
          <w:rFonts w:hint="eastAsia" w:eastAsia="方正仿宋_GBK"/>
          <w:color w:val="000000"/>
          <w:spacing w:val="-2"/>
          <w:sz w:val="24"/>
        </w:rPr>
        <w:t>、承诺遵守国家和本市商品房销售管理规定，达到预售标准及时申请预售，取得预售许可证后按时销售。</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hint="eastAsia" w:eastAsia="方正仿宋_GBK"/>
          <w:color w:val="000000"/>
          <w:spacing w:val="-2"/>
          <w:sz w:val="24"/>
        </w:rPr>
        <w:t>（商品房销售方案备案审核）</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区县房管部门应当按照下列规定，加强商品房销售方案的指导和审核：</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、房地产开发企业网上认证后，未在</w:t>
      </w:r>
      <w:r>
        <w:rPr>
          <w:rFonts w:eastAsia="方正仿宋_GBK"/>
          <w:color w:val="000000"/>
          <w:spacing w:val="-2"/>
          <w:sz w:val="24"/>
        </w:rPr>
        <w:t>30</w:t>
      </w:r>
      <w:r>
        <w:rPr>
          <w:rFonts w:hint="eastAsia" w:eastAsia="方正仿宋_GBK"/>
          <w:color w:val="000000"/>
          <w:spacing w:val="-2"/>
          <w:sz w:val="24"/>
        </w:rPr>
        <w:t>曰内申请办理商品房预售许可，应当重新办理网上认证。</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、已达到规定的条件、无理由长期不申请预售（或超过</w:t>
      </w:r>
      <w:r>
        <w:rPr>
          <w:rFonts w:eastAsia="方正仿宋_GBK"/>
          <w:color w:val="000000"/>
          <w:spacing w:val="-2"/>
          <w:sz w:val="24"/>
        </w:rPr>
        <w:t>"</w:t>
      </w:r>
      <w:r>
        <w:rPr>
          <w:rFonts w:hint="eastAsia" w:eastAsia="方正仿宋_GBK"/>
          <w:color w:val="000000"/>
          <w:spacing w:val="-2"/>
          <w:sz w:val="24"/>
        </w:rPr>
        <w:t>行政告知书</w:t>
      </w:r>
      <w:r>
        <w:rPr>
          <w:rFonts w:eastAsia="方正仿宋_GBK"/>
          <w:color w:val="000000"/>
          <w:spacing w:val="-2"/>
          <w:sz w:val="24"/>
        </w:rPr>
        <w:t>"</w:t>
      </w:r>
      <w:r>
        <w:rPr>
          <w:rFonts w:hint="eastAsia" w:eastAsia="方正仿宋_GBK"/>
          <w:color w:val="000000"/>
          <w:spacing w:val="-2"/>
          <w:sz w:val="24"/>
        </w:rPr>
        <w:t>规定时限，仍未申请预售）的，以及之前有取得商品房预售许可证后、未按规定时间将全部房源公开对外销售情况的，应当要求房地产开发企业整改，整改通过后重新申报备案。</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、商品住房项目中保留自有的房地产不符合</w:t>
      </w:r>
      <w:r>
        <w:rPr>
          <w:rFonts w:eastAsia="方正仿宋_GBK"/>
          <w:color w:val="000000"/>
          <w:spacing w:val="-2"/>
          <w:sz w:val="24"/>
        </w:rPr>
        <w:t>"</w:t>
      </w:r>
      <w:r>
        <w:rPr>
          <w:rFonts w:hint="eastAsia" w:eastAsia="方正仿宋_GBK"/>
          <w:color w:val="000000"/>
          <w:spacing w:val="-2"/>
          <w:sz w:val="24"/>
        </w:rPr>
        <w:t>少量、合理</w:t>
      </w:r>
      <w:r>
        <w:rPr>
          <w:rFonts w:eastAsia="方正仿宋_GBK"/>
          <w:color w:val="000000"/>
          <w:spacing w:val="-2"/>
          <w:sz w:val="24"/>
        </w:rPr>
        <w:t>"</w:t>
      </w:r>
      <w:r>
        <w:rPr>
          <w:rFonts w:hint="eastAsia" w:eastAsia="方正仿宋_GBK"/>
          <w:color w:val="000000"/>
          <w:spacing w:val="-2"/>
          <w:sz w:val="24"/>
        </w:rPr>
        <w:t>的原则、商品房定价不合理等，应当要求房地产开发企业修订销售方案，重新申报备案。</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hint="eastAsia" w:eastAsia="方正仿宋_GBK"/>
          <w:color w:val="000000"/>
          <w:spacing w:val="-2"/>
          <w:sz w:val="24"/>
        </w:rPr>
        <w:t>（预售商品房销售方案备案程序）</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房地产开发企业申请商品房预售时，应当持商品房销售方案及《上海市房地产转让办法》第三十二条规定的其他材料，一并向房屋所在地区县房屋管理部门申请办理商品房销售方案的备案手续。</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区县房屋管理部门应当在商品房预售许可的同时，办理商品房销售方案的备案，并开具《商品房销售方案备案证明》（样张见附件</w:t>
      </w:r>
      <w:r>
        <w:rPr>
          <w:rFonts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hint="eastAsia" w:eastAsia="方正仿宋_GBK"/>
          <w:color w:val="000000"/>
          <w:spacing w:val="-2"/>
          <w:sz w:val="24"/>
        </w:rPr>
        <w:t>（现售商品房销售方案备案程序）</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房地产开发企业现售商品房的，在申请新建商品房所有权初始登记前，应当持下列材料，向区县房屋管理部门申请办理商品房销售方案的备案手续。</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、商品房销售方案；</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、建设工程规划许可证、施工许可证及附图；</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、竣工验收证明和房屋勘测报告，其中商品住房项目还应提交住宅交付使用许可证；</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、物业管理方案和前期物业管理服务合同。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区县房屋管理部门应当自受理之曰起的十日内，办理商品房销售方案备案，并开具《商品房销售方案备案证明》。</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房地产开发企业凭《商品房销售方案备案证明》及经房屋所有权初始登记的房地产权证等材料，办理现售商品房销售合同网上认证手续。</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hint="eastAsia" w:eastAsia="方正仿宋_GBK"/>
          <w:color w:val="000000"/>
          <w:spacing w:val="-2"/>
          <w:sz w:val="24"/>
        </w:rPr>
        <w:t>（已备案商品房销售方案的信息公开）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商品房销售方案备案后，房地产开发企业应当将《商品房销售方案备案证明》和销售方案的相关信息予以公开披露。</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房地产开发企业应当将已备案的商品房销售方案，在售楼场所张贴公示。</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hint="eastAsia" w:eastAsia="方正仿宋_GBK"/>
          <w:color w:val="000000"/>
          <w:spacing w:val="-2"/>
          <w:sz w:val="24"/>
        </w:rPr>
        <w:t>（已备案商品房销售方案的效力）</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房地产开发企业应当按照已备案的商品房销售方案预售、现售（或出租）商品房。公开披露的商品房销售方案内容，应当作为合同附件。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房地产开发企业应当持已备案的商品房销售方案及上海市房地产登记条例规定的其他材料，向区县房地产登记机构办理新建商品房所有权初始登记。</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w:t>
      </w:r>
      <w:r>
        <w:rPr>
          <w:rFonts w:hint="eastAsia" w:eastAsia="方正仿宋_GBK"/>
          <w:color w:val="000000"/>
          <w:spacing w:val="-2"/>
          <w:sz w:val="24"/>
        </w:rPr>
        <w:t>（保留自有和用于租赁的房地产上市转让）</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在商品房销售方案内已确定保留自有和用于租赁的商品房，在房屋所有权初始登记前不得销售。房屋所有权初始登记后，房地产开发企业转让保留自有和用于租赁的房地产的，应当按照《关于存量房交易合同和经纪合同网上备案办法》办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hint="eastAsia" w:eastAsia="方正仿宋_GBK"/>
          <w:color w:val="000000"/>
          <w:spacing w:val="-2"/>
          <w:sz w:val="24"/>
        </w:rPr>
        <w:t>（已备案商品房销售方案的变更）</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已备案的销售方案，一般不得变更。因商品房项目的规划、建筑设计变更等原因，确需变更已备案的商品房销售方案的，应当按照商品房预售许可撤回和变更相关程序办理。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hint="eastAsia" w:eastAsia="方正仿宋_GBK"/>
          <w:color w:val="000000"/>
          <w:spacing w:val="-2"/>
          <w:sz w:val="24"/>
        </w:rPr>
        <w:t>（违反商品房销售方案的处理）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房地产开发企业违反商品房销售方案，预售、现售（或租赁</w:t>
      </w:r>
      <w:r>
        <w:rPr>
          <w:rFonts w:eastAsia="方正仿宋_GBK"/>
          <w:color w:val="000000"/>
          <w:spacing w:val="-2"/>
          <w:sz w:val="24"/>
        </w:rPr>
        <w:t>)</w:t>
      </w:r>
      <w:r>
        <w:rPr>
          <w:rFonts w:hint="eastAsia" w:eastAsia="方正仿宋_GBK"/>
          <w:color w:val="000000"/>
          <w:spacing w:val="-2"/>
          <w:sz w:val="24"/>
        </w:rPr>
        <w:t>商品房的，经查实后，市、县房屋管理部门可以要求该房地产开发企业限期改正，逾期未予改正，作为不良经营行为，记入该房地产开发企业的信用档案，按规定予以降低直至撤销资质处理。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hint="eastAsia" w:eastAsia="方正仿宋_GBK"/>
          <w:color w:val="000000"/>
          <w:spacing w:val="-2"/>
          <w:sz w:val="24"/>
        </w:rPr>
        <w:t>（未办理销售方案备案的处理）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房地产开发企业未按本规定办理商品房销售方案备案的，区县房屋管理部门不予办理商品房预售许可，区县房地产登记机构不予办理新建商品房所有权初始登记手续。</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hint="eastAsia" w:eastAsia="方正仿宋_GBK"/>
          <w:color w:val="000000"/>
          <w:spacing w:val="-2"/>
          <w:sz w:val="24"/>
        </w:rPr>
        <w:t>（实施日期）</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本规定自</w:t>
      </w:r>
      <w:r>
        <w:rPr>
          <w:rFonts w:eastAsia="方正仿宋_GBK"/>
          <w:color w:val="000000"/>
          <w:spacing w:val="-2"/>
          <w:sz w:val="24"/>
        </w:rPr>
        <w:t>2009</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曰起执行。本规定实施前，已取得的商品房预售许可证，可视作商品房销售方案备案证明；未取得商品房预售许可的，应按本规定办理商品房销售方案备案手续。</w:t>
      </w:r>
    </w:p>
    <w:p/>
    <w:p/>
    <w:p>
      <w:pPr>
        <w:pStyle w:val="2"/>
        <w:spacing w:before="240" w:beforeLines="100" w:after="240" w:afterLines="100" w:line="240" w:lineRule="auto"/>
        <w:jc w:val="center"/>
        <w:rPr>
          <w:rFonts w:ascii="Times New Roman" w:eastAsia="方正小标宋_GBK"/>
          <w:b w:val="0"/>
          <w:sz w:val="36"/>
          <w:szCs w:val="36"/>
        </w:rPr>
      </w:pPr>
      <w:bookmarkStart w:id="16" w:name="_Toc18315366"/>
      <w:bookmarkStart w:id="17" w:name="_Toc20726287"/>
      <w:r>
        <w:rPr>
          <w:rFonts w:hint="eastAsia" w:ascii="Times New Roman" w:eastAsia="方正小标宋_GBK"/>
          <w:b w:val="0"/>
          <w:sz w:val="36"/>
          <w:szCs w:val="36"/>
        </w:rPr>
        <w:t>省住房城乡建设厅关于</w:t>
      </w:r>
      <w:bookmarkEnd w:id="16"/>
      <w:bookmarkStart w:id="18" w:name="_Toc18315367"/>
      <w:r>
        <w:rPr>
          <w:rFonts w:hint="eastAsia" w:ascii="Times New Roman" w:eastAsia="方正小标宋_GBK"/>
          <w:b w:val="0"/>
          <w:sz w:val="36"/>
          <w:szCs w:val="36"/>
        </w:rPr>
        <w:t xml:space="preserve">                           进一步加强商品房预售监管的通知</w:t>
      </w:r>
      <w:bookmarkEnd w:id="17"/>
      <w:bookmarkEnd w:id="18"/>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9" w:name="_Toc20726288"/>
      <w:bookmarkStart w:id="20" w:name="_Toc18315368"/>
      <w:r>
        <w:rPr>
          <w:rFonts w:hint="eastAsia" w:ascii="Times New Roman" w:hAnsi="Times New Roman" w:eastAsia="方正楷体_GBK"/>
          <w:b w:val="0"/>
          <w:sz w:val="24"/>
          <w:szCs w:val="24"/>
        </w:rPr>
        <w:t>苏建房管〔</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432</w:t>
      </w:r>
      <w:r>
        <w:rPr>
          <w:rFonts w:hint="eastAsia" w:ascii="Times New Roman" w:hAnsi="Times New Roman" w:eastAsia="方正楷体_GBK"/>
          <w:b w:val="0"/>
          <w:sz w:val="24"/>
          <w:szCs w:val="24"/>
        </w:rPr>
        <w:t>号</w:t>
      </w:r>
      <w:bookmarkEnd w:id="19"/>
      <w:bookmarkEnd w:id="20"/>
    </w:p>
    <w:p>
      <w:pPr>
        <w:snapToGrid w:val="0"/>
        <w:spacing w:line="420" w:lineRule="exact"/>
        <w:rPr>
          <w:rFonts w:eastAsia="方正仿宋_GBK"/>
          <w:color w:val="000000"/>
          <w:spacing w:val="-2"/>
          <w:sz w:val="24"/>
        </w:rPr>
      </w:pPr>
      <w:r>
        <w:rPr>
          <w:rFonts w:hint="eastAsia" w:eastAsia="方正仿宋_GBK"/>
          <w:color w:val="000000"/>
          <w:spacing w:val="-2"/>
          <w:sz w:val="24"/>
        </w:rPr>
        <w:t>各省辖市建设局（委）、房产局，昆山市、沭阳县建设局，泰兴市房产局：</w:t>
      </w:r>
    </w:p>
    <w:p>
      <w:pPr>
        <w:snapToGrid w:val="0"/>
        <w:spacing w:line="420" w:lineRule="exact"/>
        <w:ind w:firstLine="448" w:firstLineChars="200"/>
        <w:rPr>
          <w:rFonts w:eastAsia="方正仿宋_GBK"/>
          <w:color w:val="000000"/>
          <w:spacing w:val="-8"/>
          <w:sz w:val="24"/>
        </w:rPr>
      </w:pPr>
      <w:r>
        <w:rPr>
          <w:rFonts w:hint="eastAsia" w:eastAsia="方正仿宋_GBK"/>
          <w:color w:val="000000"/>
          <w:spacing w:val="-8"/>
          <w:sz w:val="24"/>
        </w:rPr>
        <w:t>根据厅党组党的群众路线教育实践活动边征求意见边进行整改工作部署，为进一步加强商品房预售市场监管，规范商品房预售行为，整顿和规范房地产市场秩序，切实维护消费者的合法权益，防范市场风险，促进房地产市场健康发展，现就有关事项通知如下：</w:t>
      </w:r>
    </w:p>
    <w:p>
      <w:pPr>
        <w:spacing w:line="420" w:lineRule="exact"/>
        <w:ind w:firstLine="453" w:firstLineChars="192"/>
        <w:rPr>
          <w:rFonts w:ascii="Times New Roman" w:eastAsia="方正黑体_GBK"/>
          <w:color w:val="000000"/>
          <w:spacing w:val="-2"/>
          <w:sz w:val="24"/>
        </w:rPr>
      </w:pPr>
      <w:r>
        <w:rPr>
          <w:rFonts w:hint="eastAsia" w:ascii="Times New Roman" w:eastAsia="方正黑体_GBK"/>
          <w:color w:val="000000"/>
          <w:spacing w:val="-2"/>
          <w:sz w:val="24"/>
        </w:rPr>
        <w:t>一、严格执行商品房预售制度</w:t>
      </w:r>
    </w:p>
    <w:p>
      <w:pPr>
        <w:snapToGrid w:val="0"/>
        <w:spacing w:line="420" w:lineRule="exact"/>
        <w:ind w:firstLine="472" w:firstLineChars="200"/>
        <w:rPr>
          <w:rFonts w:hint="eastAsia" w:eastAsia="方正仿宋_GBK"/>
          <w:color w:val="000000"/>
          <w:spacing w:val="-2"/>
          <w:sz w:val="24"/>
        </w:rPr>
      </w:pPr>
      <w:r>
        <w:rPr>
          <w:rFonts w:hint="eastAsia" w:eastAsia="方正楷体_GBK"/>
          <w:color w:val="000000"/>
          <w:spacing w:val="-2"/>
          <w:sz w:val="24"/>
        </w:rPr>
        <w:t>（一）严格商品房预售许可管理。</w:t>
      </w:r>
      <w:r>
        <w:rPr>
          <w:rFonts w:hint="eastAsia" w:eastAsia="方正仿宋_GBK"/>
          <w:color w:val="000000"/>
          <w:spacing w:val="-2"/>
          <w:sz w:val="24"/>
        </w:rPr>
        <w:t>各地要严格执行商品房预售许可法定程序和许可条件，结合当地实际，进一步细化完善商品房预售许可最低规模和工程建设进度条件，商品住房预售许可的最低规模不得小于栋，不得分层、分单元办理预售许可。要进一步改进和优化商品房预售许可管理流程，对工程进展和资金投入等情况要进行现场核查，对开发企业的申报资料要依照法定条件和程序进行核查。要切实加强对预售方案的审核，预售方案不符合规定要求的项目，一律不予发放预售许可证书。各地可参照全省商品房预售方案参考文本（见附件</w:t>
      </w:r>
      <w:r>
        <w:rPr>
          <w:rFonts w:eastAsia="方正仿宋_GBK"/>
          <w:color w:val="000000"/>
          <w:spacing w:val="-2"/>
          <w:sz w:val="24"/>
        </w:rPr>
        <w:t>1</w:t>
      </w:r>
      <w:r>
        <w:rPr>
          <w:rFonts w:hint="eastAsia" w:eastAsia="方正仿宋_GBK"/>
          <w:color w:val="000000"/>
          <w:spacing w:val="-2"/>
          <w:sz w:val="24"/>
        </w:rPr>
        <w:t>），进一步规范开发企业预售方案的制定和申报，确保预销售管理各项规定得到有效落实。</w:t>
      </w:r>
    </w:p>
    <w:p>
      <w:pPr>
        <w:snapToGrid w:val="0"/>
        <w:spacing w:line="420" w:lineRule="exact"/>
        <w:ind w:firstLine="472" w:firstLineChars="200"/>
        <w:rPr>
          <w:rFonts w:eastAsia="方正仿宋_GBK"/>
          <w:color w:val="000000"/>
          <w:spacing w:val="-2"/>
          <w:sz w:val="24"/>
        </w:rPr>
      </w:pPr>
      <w:r>
        <w:rPr>
          <w:rFonts w:hint="eastAsia" w:eastAsia="方正楷体_GBK"/>
          <w:color w:val="000000"/>
          <w:spacing w:val="-2"/>
          <w:sz w:val="24"/>
        </w:rPr>
        <w:t>（二）规范商品房预售合同备案管理。</w:t>
      </w:r>
      <w:r>
        <w:rPr>
          <w:rFonts w:hint="eastAsia" w:eastAsia="方正仿宋_GBK"/>
          <w:color w:val="000000"/>
          <w:spacing w:val="-2"/>
          <w:sz w:val="24"/>
        </w:rPr>
        <w:t>各地要不断完善商品住房买卖合同示范文本，全面落实商品房预售合同网上签约即时备案制度，确保合同备案与商品房销售现场销售情况一致，防止一房多售现象发生。要严格执行商品房购房实名制，已签订商品房预售合同并网上备案、经双方协商一致需解除合同的，由房地产开发企业递交申请、说明理由，并对其申请材料实质内容的真实性负责，所退房源应当公开销售。</w:t>
      </w:r>
    </w:p>
    <w:p>
      <w:pPr>
        <w:snapToGrid w:val="0"/>
        <w:spacing w:line="420" w:lineRule="exact"/>
        <w:ind w:firstLine="472" w:firstLineChars="200"/>
        <w:rPr>
          <w:rFonts w:eastAsia="方正仿宋_GBK"/>
          <w:color w:val="000000"/>
          <w:spacing w:val="-2"/>
          <w:sz w:val="24"/>
        </w:rPr>
      </w:pPr>
      <w:r>
        <w:rPr>
          <w:rFonts w:hint="eastAsia" w:eastAsia="方正楷体_GBK"/>
          <w:color w:val="000000"/>
          <w:spacing w:val="-2"/>
          <w:sz w:val="24"/>
        </w:rPr>
        <w:t>（三）加强商品房预售资金监管。</w:t>
      </w:r>
      <w:r>
        <w:rPr>
          <w:rFonts w:hint="eastAsia" w:eastAsia="方正仿宋_GBK"/>
          <w:color w:val="000000"/>
          <w:spacing w:val="-2"/>
          <w:sz w:val="24"/>
        </w:rPr>
        <w:t>各地房地产主管部门要切实强化商品房预售资金监管，认真履行监管职责。没有建立商品房预售资金监管制度的地区，要在</w:t>
      </w:r>
      <w:r>
        <w:rPr>
          <w:rFonts w:eastAsia="方正仿宋_GBK"/>
          <w:color w:val="000000"/>
          <w:spacing w:val="-2"/>
          <w:sz w:val="24"/>
        </w:rPr>
        <w:t>10</w:t>
      </w:r>
      <w:r>
        <w:rPr>
          <w:rFonts w:hint="eastAsia" w:eastAsia="方正仿宋_GBK"/>
          <w:color w:val="000000"/>
          <w:spacing w:val="-2"/>
          <w:sz w:val="24"/>
        </w:rPr>
        <w:t>月底前建立该项制度。已经建立商品房预售资金监管制度的地区要根据当地实际，进一步优化监管程序，明确监管责任，改进监管措施。预售资金要全部纳入监管账户，专款专用，确保预售资金用于商品住房项目建设，保障买受人的购房权益。要掌握每个项目的监管账户资金情况，确保资金安全，并留有足够资金保证建设工程竣工交付。</w:t>
      </w:r>
    </w:p>
    <w:p>
      <w:pPr>
        <w:spacing w:line="420" w:lineRule="exact"/>
        <w:ind w:firstLine="453" w:firstLineChars="192"/>
        <w:rPr>
          <w:rFonts w:ascii="Times New Roman" w:eastAsia="方正黑体_GBK"/>
          <w:color w:val="000000"/>
          <w:spacing w:val="-2"/>
          <w:sz w:val="24"/>
        </w:rPr>
      </w:pPr>
      <w:r>
        <w:rPr>
          <w:rFonts w:hint="eastAsia" w:ascii="Times New Roman" w:eastAsia="方正黑体_GBK"/>
          <w:color w:val="000000"/>
          <w:spacing w:val="-2"/>
          <w:sz w:val="24"/>
        </w:rPr>
        <w:t>二、加强商品房销（预）售行为监管</w:t>
      </w:r>
    </w:p>
    <w:p>
      <w:pPr>
        <w:snapToGrid w:val="0"/>
        <w:spacing w:line="420" w:lineRule="exact"/>
        <w:ind w:firstLine="472" w:firstLineChars="200"/>
        <w:rPr>
          <w:rFonts w:hint="eastAsia" w:eastAsia="方正仿宋_GBK"/>
          <w:b/>
          <w:color w:val="000000"/>
          <w:spacing w:val="-2"/>
          <w:sz w:val="24"/>
        </w:rPr>
      </w:pPr>
      <w:r>
        <w:rPr>
          <w:rFonts w:hint="eastAsia" w:eastAsia="方正楷体_GBK"/>
          <w:color w:val="000000"/>
          <w:spacing w:val="-2"/>
          <w:sz w:val="24"/>
        </w:rPr>
        <w:t>（四）加强预售许可后的动态监管。</w:t>
      </w:r>
      <w:r>
        <w:rPr>
          <w:rFonts w:hint="eastAsia" w:eastAsia="方正仿宋_GBK"/>
          <w:color w:val="000000"/>
          <w:spacing w:val="-2"/>
          <w:sz w:val="24"/>
        </w:rPr>
        <w:t>要建立商品房预售许可动态监管机制，对预售方案的实施情况进行跟踪管理，开发企业必须按照商品房预售许可批准的预售方案进行预售，对违反预售方案的行为，要责成房地产开发企业限期整改，对拒不整改或整改不到位的，可暂停该项目合同网签备案资格。商品房预售方案不得随意变更，确需变更的，房地产开发企业要向原商品房预售许可机关重新申报预售方案，并办理预售许可变更手续。</w:t>
      </w:r>
    </w:p>
    <w:p>
      <w:pPr>
        <w:snapToGrid w:val="0"/>
        <w:spacing w:line="420" w:lineRule="exact"/>
        <w:ind w:firstLine="472" w:firstLineChars="200"/>
        <w:rPr>
          <w:rFonts w:eastAsia="方正仿宋_GBK"/>
          <w:color w:val="000000"/>
          <w:spacing w:val="-2"/>
          <w:sz w:val="24"/>
        </w:rPr>
      </w:pPr>
      <w:r>
        <w:rPr>
          <w:rFonts w:hint="eastAsia" w:eastAsia="方正楷体_GBK"/>
          <w:color w:val="000000"/>
          <w:spacing w:val="-2"/>
          <w:sz w:val="24"/>
        </w:rPr>
        <w:t>（五）规范商品房预售行为。</w:t>
      </w:r>
      <w:r>
        <w:rPr>
          <w:rFonts w:hint="eastAsia" w:eastAsia="方正仿宋_GBK"/>
          <w:color w:val="000000"/>
          <w:spacing w:val="-2"/>
          <w:sz w:val="24"/>
        </w:rPr>
        <w:t>凡预售商品房的项目，必须取得预售许可证后方可预售。房地产开发企业取得《商品房预售许可证》后，应当在</w:t>
      </w:r>
      <w:r>
        <w:rPr>
          <w:rFonts w:eastAsia="方正仿宋_GBK"/>
          <w:color w:val="000000"/>
          <w:spacing w:val="-2"/>
          <w:sz w:val="24"/>
        </w:rPr>
        <w:t>10</w:t>
      </w:r>
      <w:r>
        <w:rPr>
          <w:rFonts w:hint="eastAsia" w:eastAsia="方正仿宋_GBK"/>
          <w:color w:val="000000"/>
          <w:spacing w:val="-2"/>
          <w:sz w:val="24"/>
        </w:rPr>
        <w:t>日内一次性公开全部准售房源及每套房屋价格，并严格按照申报价格，明码标价对外销售。各地房地产主管部门要畅通渠道，为购房者提供信息查询服务，确保商品房销售现场公布的已售房源信息与网上备案系统信息保持一致，并为购房者提供商品房网上签约即时备案查询等服务。房地产开发企业不得通过签订虚假商品住房买卖合同等方式制造房源紧张的假象，不得采取返本销售、售后包租的方式预（销）售商品房。未取得预售许可的商品房项目，不得进行预售，不得以认购、预订、排号、发放</w:t>
      </w:r>
      <w:r>
        <w:rPr>
          <w:rFonts w:eastAsia="方正仿宋_GBK"/>
          <w:color w:val="000000"/>
          <w:spacing w:val="-2"/>
          <w:sz w:val="24"/>
        </w:rPr>
        <w:t>VIP</w:t>
      </w:r>
      <w:r>
        <w:rPr>
          <w:rFonts w:hint="eastAsia" w:eastAsia="方正仿宋_GBK"/>
          <w:color w:val="000000"/>
          <w:spacing w:val="-2"/>
          <w:sz w:val="24"/>
        </w:rPr>
        <w:t>卡等方式向买受人收取或变相收取定金、预定款等费用，不得参加任何展销（展示）活动。</w:t>
      </w:r>
    </w:p>
    <w:p>
      <w:pPr>
        <w:snapToGrid w:val="0"/>
        <w:spacing w:line="420" w:lineRule="exact"/>
        <w:ind w:firstLine="472" w:firstLineChars="200"/>
        <w:rPr>
          <w:rFonts w:eastAsia="方正仿宋_GBK"/>
          <w:color w:val="000000"/>
          <w:spacing w:val="-2"/>
          <w:sz w:val="24"/>
        </w:rPr>
      </w:pPr>
      <w:r>
        <w:rPr>
          <w:rFonts w:hint="eastAsia" w:eastAsia="方正楷体_GBK"/>
          <w:color w:val="000000"/>
          <w:spacing w:val="-2"/>
          <w:sz w:val="24"/>
        </w:rPr>
        <w:t>（六）强化销售代理和经纪机构的管理。</w:t>
      </w:r>
      <w:r>
        <w:rPr>
          <w:rFonts w:hint="eastAsia" w:eastAsia="方正仿宋_GBK"/>
          <w:color w:val="000000"/>
          <w:spacing w:val="-2"/>
          <w:sz w:val="24"/>
        </w:rPr>
        <w:t>实行代理销售商品房的，应该委托在房地产市场主管部门备案的经纪机构代理，对未办理备案的经纪机构，其居间代理业务不予网上备案和预售许可。房地产经纪机构应当将经纪服务项目、服务内容和收费标准在显著位置公示。房地产经纪机构和执业人员不得炒卖房号，不得在代理中赚取差价，不得通过签订</w:t>
      </w:r>
      <w:r>
        <w:rPr>
          <w:rFonts w:eastAsia="方正仿宋_GBK"/>
          <w:color w:val="000000"/>
          <w:spacing w:val="-2"/>
          <w:sz w:val="24"/>
        </w:rPr>
        <w:t>“</w:t>
      </w:r>
      <w:r>
        <w:rPr>
          <w:rFonts w:hint="eastAsia" w:eastAsia="方正仿宋_GBK"/>
          <w:color w:val="000000"/>
          <w:spacing w:val="-2"/>
          <w:sz w:val="24"/>
        </w:rPr>
        <w:t>阴阳合同</w:t>
      </w:r>
      <w:r>
        <w:rPr>
          <w:rFonts w:eastAsia="方正仿宋_GBK"/>
          <w:color w:val="000000"/>
          <w:spacing w:val="-2"/>
          <w:sz w:val="24"/>
        </w:rPr>
        <w:t>”</w:t>
      </w:r>
      <w:r>
        <w:rPr>
          <w:rFonts w:hint="eastAsia" w:eastAsia="方正仿宋_GBK"/>
          <w:color w:val="000000"/>
          <w:spacing w:val="-2"/>
          <w:sz w:val="24"/>
        </w:rPr>
        <w:t>违规交易，不得发布虚假信息或未经核实的信息，不得采取内部认购、雇人排队等手段制造销售旺盛的虚假氛围、误导和欺骗当事人。</w:t>
      </w:r>
    </w:p>
    <w:p>
      <w:pPr>
        <w:snapToGrid w:val="0"/>
        <w:spacing w:line="420" w:lineRule="exact"/>
        <w:ind w:firstLine="472" w:firstLineChars="200"/>
        <w:rPr>
          <w:rFonts w:eastAsia="方正仿宋_GBK"/>
          <w:color w:val="000000"/>
          <w:spacing w:val="-2"/>
          <w:sz w:val="24"/>
        </w:rPr>
      </w:pPr>
      <w:r>
        <w:rPr>
          <w:rFonts w:hint="eastAsia" w:eastAsia="方正楷体_GBK"/>
          <w:color w:val="000000"/>
          <w:spacing w:val="-2"/>
          <w:sz w:val="24"/>
        </w:rPr>
        <w:t>（七）加强商品房销售人员管理。</w:t>
      </w:r>
      <w:r>
        <w:rPr>
          <w:rFonts w:hint="eastAsia" w:eastAsia="方正仿宋_GBK"/>
          <w:color w:val="000000"/>
          <w:spacing w:val="-2"/>
          <w:sz w:val="24"/>
        </w:rPr>
        <w:t>各地房地产主管部门要加强商品房销（预）售人员相关法律法规、房地产专业知识和行业道德培训，并实行持证上岗。房地产经纪机构从业人员和房地产开发企业售楼人员的从业资格证书应当在商品房售楼场所公示。销售人员不得泄露或不当使用委托人的个人信息商业秘密，谋取不正当利益；不得为购房人弄虚作假、规避限购政策或者房屋交易税费等提供便利。</w:t>
      </w:r>
    </w:p>
    <w:p>
      <w:pPr>
        <w:snapToGrid w:val="0"/>
        <w:spacing w:line="420" w:lineRule="exact"/>
        <w:ind w:firstLine="472" w:firstLineChars="200"/>
        <w:rPr>
          <w:rFonts w:eastAsia="方正仿宋_GBK"/>
          <w:color w:val="000000"/>
          <w:spacing w:val="-2"/>
          <w:sz w:val="24"/>
        </w:rPr>
      </w:pPr>
      <w:r>
        <w:rPr>
          <w:rFonts w:hint="eastAsia" w:eastAsia="方正楷体_GBK"/>
          <w:color w:val="000000"/>
          <w:spacing w:val="-2"/>
          <w:sz w:val="24"/>
        </w:rPr>
        <w:t>（八）加强商品房销售现场管理。</w:t>
      </w:r>
      <w:r>
        <w:rPr>
          <w:rFonts w:hint="eastAsia" w:eastAsia="方正仿宋_GBK"/>
          <w:color w:val="000000"/>
          <w:spacing w:val="-2"/>
          <w:sz w:val="24"/>
        </w:rPr>
        <w:t>房地产主管部门要加强商品房销售现场信息公示管理，商品房销售现场应达到全省规范化标准的要求（见附件</w:t>
      </w:r>
      <w:r>
        <w:rPr>
          <w:rFonts w:eastAsia="方正仿宋_GBK"/>
          <w:color w:val="000000"/>
          <w:spacing w:val="-2"/>
          <w:sz w:val="24"/>
        </w:rPr>
        <w:t>2</w:t>
      </w:r>
      <w:r>
        <w:rPr>
          <w:rFonts w:hint="eastAsia" w:eastAsia="方正仿宋_GBK"/>
          <w:color w:val="000000"/>
          <w:spacing w:val="-2"/>
          <w:sz w:val="24"/>
        </w:rPr>
        <w:t>），各地要结合实际进一步规范和细化信息公示内容。销售现场除公示有关证件外，应将销售许可批准的商品房预售方案、一房一价、销售进度、预售资金监管协议、权利状态（如抵押、查封、限制）等信息在现场明显位置进行公示。由经纪机构代理销售商品房项目的，还应在售楼场所公示商品房销售委托书、营业执照、房地产经纪机构备案证明、销售人员从业资格证书等内容。</w:t>
      </w:r>
    </w:p>
    <w:p>
      <w:pPr>
        <w:spacing w:line="420" w:lineRule="exact"/>
        <w:ind w:firstLine="453" w:firstLineChars="192"/>
        <w:rPr>
          <w:rFonts w:ascii="Times New Roman" w:eastAsia="方正黑体_GBK"/>
          <w:color w:val="000000"/>
          <w:spacing w:val="-2"/>
          <w:sz w:val="24"/>
        </w:rPr>
      </w:pPr>
      <w:r>
        <w:rPr>
          <w:rFonts w:hint="eastAsia" w:ascii="Times New Roman" w:eastAsia="方正黑体_GBK"/>
          <w:color w:val="000000"/>
          <w:spacing w:val="-2"/>
          <w:sz w:val="24"/>
        </w:rPr>
        <w:t>三、完善房地产市场监管机制</w:t>
      </w:r>
    </w:p>
    <w:p>
      <w:pPr>
        <w:snapToGrid w:val="0"/>
        <w:spacing w:line="420" w:lineRule="exact"/>
        <w:ind w:firstLine="472" w:firstLineChars="200"/>
        <w:rPr>
          <w:rFonts w:hint="eastAsia" w:eastAsia="方正仿宋_GBK"/>
          <w:color w:val="000000"/>
          <w:spacing w:val="-2"/>
          <w:sz w:val="24"/>
        </w:rPr>
      </w:pPr>
      <w:r>
        <w:rPr>
          <w:rFonts w:hint="eastAsia" w:eastAsia="方正楷体_GBK"/>
          <w:color w:val="000000"/>
          <w:spacing w:val="-2"/>
          <w:sz w:val="24"/>
        </w:rPr>
        <w:t>（九）全面开展预售商品住房项目清理。</w:t>
      </w:r>
      <w:r>
        <w:rPr>
          <w:rFonts w:hint="eastAsia" w:eastAsia="方正仿宋_GBK"/>
          <w:color w:val="000000"/>
          <w:spacing w:val="-2"/>
          <w:sz w:val="24"/>
        </w:rPr>
        <w:t>各地近期要对所有在建的商品住房项目进行一次清理。对已取得预售许可的商品住房项目逐一排查，准确掌握已预售的商品住房数量、正在预售的商品住房数量和尚未开盘的商品住房数量等情况，并将清理情况向社会公开。</w:t>
      </w:r>
    </w:p>
    <w:p>
      <w:pPr>
        <w:snapToGrid w:val="0"/>
        <w:spacing w:line="420" w:lineRule="exact"/>
        <w:ind w:firstLine="472" w:firstLineChars="200"/>
        <w:rPr>
          <w:rFonts w:eastAsia="方正仿宋_GBK"/>
          <w:color w:val="000000"/>
          <w:spacing w:val="-2"/>
          <w:sz w:val="24"/>
        </w:rPr>
      </w:pPr>
      <w:r>
        <w:rPr>
          <w:rFonts w:hint="eastAsia" w:eastAsia="方正楷体_GBK"/>
          <w:color w:val="000000"/>
          <w:spacing w:val="-2"/>
          <w:sz w:val="24"/>
        </w:rPr>
        <w:t>（十）健全房地产信息公开机制。</w:t>
      </w:r>
      <w:r>
        <w:rPr>
          <w:rFonts w:hint="eastAsia" w:eastAsia="方正仿宋_GBK"/>
          <w:color w:val="000000"/>
          <w:spacing w:val="-2"/>
          <w:sz w:val="24"/>
        </w:rPr>
        <w:t>各地房地产主管部门要充分利用房地产市场信息系统，建立健全房地产市场信息公开机制，将批准的预售信息、可售楼盘及二手房源信息、房地产开发企业、中介机构、从业人员信用状况、违法违规行为查处情况等向社会公开。</w:t>
      </w:r>
    </w:p>
    <w:p>
      <w:pPr>
        <w:snapToGrid w:val="0"/>
        <w:spacing w:line="420" w:lineRule="exact"/>
        <w:ind w:firstLine="472" w:firstLineChars="200"/>
        <w:rPr>
          <w:rFonts w:eastAsia="方正仿宋_GBK"/>
          <w:color w:val="000000"/>
          <w:spacing w:val="-2"/>
          <w:sz w:val="24"/>
        </w:rPr>
      </w:pPr>
      <w:r>
        <w:rPr>
          <w:rFonts w:hint="eastAsia" w:eastAsia="方正楷体_GBK"/>
          <w:color w:val="000000"/>
          <w:spacing w:val="-2"/>
          <w:sz w:val="24"/>
        </w:rPr>
        <w:t>（十一）建立房地产开发和中介企业信用管理体系。</w:t>
      </w:r>
      <w:r>
        <w:rPr>
          <w:rFonts w:hint="eastAsia" w:eastAsia="方正仿宋_GBK"/>
          <w:color w:val="000000"/>
          <w:spacing w:val="-2"/>
          <w:sz w:val="24"/>
        </w:rPr>
        <w:t>各地要研究建立房地产开发和中介企业信用管理系统，积极拓展信用管理系统的功能和覆盖面，充分发挥信用管理系统作用，及时记录、公布和处理房地产开发和中介企业的违法违规行为，企业信用档案应当作为考核企业资质的依据。</w:t>
      </w:r>
    </w:p>
    <w:p>
      <w:pPr>
        <w:snapToGrid w:val="0"/>
        <w:spacing w:line="420" w:lineRule="exact"/>
        <w:ind w:firstLine="472" w:firstLineChars="200"/>
        <w:rPr>
          <w:rFonts w:eastAsia="方正仿宋_GBK"/>
          <w:color w:val="000000"/>
          <w:spacing w:val="-2"/>
          <w:sz w:val="24"/>
        </w:rPr>
      </w:pPr>
      <w:r>
        <w:rPr>
          <w:rFonts w:hint="eastAsia" w:eastAsia="方正楷体_GBK"/>
          <w:color w:val="000000"/>
          <w:spacing w:val="-2"/>
          <w:sz w:val="24"/>
        </w:rPr>
        <w:t>（十二）加大违法违规行为查处力度。</w:t>
      </w:r>
      <w:r>
        <w:rPr>
          <w:rFonts w:hint="eastAsia" w:eastAsia="方正仿宋_GBK"/>
          <w:color w:val="000000"/>
          <w:spacing w:val="-2"/>
          <w:sz w:val="24"/>
        </w:rPr>
        <w:t>各地要加强房地产市场监督检查，建立健全商品房预（销）售动态监管机制。要进一步畅通举报投诉渠道，加大房地产市场违法违规行为的曝光和处罚力度，对退房率高、价格异常以及消费者投诉集中的项目，要重点进行核查。对拒不整改的房地产企业和人员，要依据《城市房地产管理法》、《城市房地产开发经营管理条例》、《商品房销售管理办法》和《房地产经纪管理办法》等法律法规，依法从严追究相关责任。</w:t>
      </w:r>
    </w:p>
    <w:p>
      <w:pPr>
        <w:snapToGrid w:val="0"/>
        <w:spacing w:line="420" w:lineRule="exact"/>
        <w:ind w:firstLine="456" w:firstLineChars="200"/>
        <w:rPr>
          <w:rFonts w:eastAsia="方正仿宋_GBK"/>
          <w:color w:val="000000"/>
          <w:spacing w:val="-6"/>
          <w:sz w:val="24"/>
        </w:rPr>
      </w:pPr>
      <w:r>
        <w:rPr>
          <w:rFonts w:hint="eastAsia" w:eastAsia="方正仿宋_GBK"/>
          <w:color w:val="000000"/>
          <w:spacing w:val="-6"/>
          <w:sz w:val="24"/>
        </w:rPr>
        <w:t>省住房城乡建设厅将通过明察暗访等形式对各级主管部门和开发企业贯彻落实商品房预售管理相关规定和要求的情况进行监督检查，对发现的问题将依法予以处理。</w:t>
      </w:r>
    </w:p>
    <w:p>
      <w:pPr>
        <w:snapToGrid w:val="0"/>
        <w:spacing w:line="420" w:lineRule="exact"/>
        <w:ind w:firstLine="472" w:firstLineChars="200"/>
        <w:rPr>
          <w:rFonts w:eastAsia="方正仿宋_GBK"/>
          <w:color w:val="000000"/>
          <w:spacing w:val="-2"/>
          <w:sz w:val="24"/>
        </w:rPr>
      </w:pPr>
    </w:p>
    <w:p>
      <w:pPr>
        <w:snapToGrid w:val="0"/>
        <w:spacing w:line="420" w:lineRule="exact"/>
        <w:ind w:firstLine="472" w:firstLineChars="200"/>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cs" w:eastAsia="方正仿宋_GBK"/>
          <w:color w:val="000000"/>
          <w:spacing w:val="-2"/>
          <w:sz w:val="24"/>
          <w:cs/>
        </w:rPr>
        <w:t> </w:t>
      </w:r>
      <w:r>
        <w:rPr>
          <w:rFonts w:hint="eastAsia" w:eastAsia="方正仿宋_GBK"/>
          <w:color w:val="000000"/>
          <w:spacing w:val="-2"/>
          <w:sz w:val="24"/>
        </w:rPr>
        <w:t>江苏省商品房预售方案参考文本</w:t>
      </w:r>
    </w:p>
    <w:p>
      <w:pPr>
        <w:snapToGrid w:val="0"/>
        <w:spacing w:line="420" w:lineRule="exact"/>
        <w:ind w:firstLine="1191" w:firstLineChars="505"/>
        <w:rPr>
          <w:rFonts w:eastAsia="方正仿宋_GBK"/>
          <w:color w:val="000000"/>
          <w:spacing w:val="-2"/>
          <w:sz w:val="24"/>
        </w:rPr>
      </w:pPr>
      <w:r>
        <w:rPr>
          <w:rFonts w:eastAsia="方正仿宋_GBK"/>
          <w:color w:val="000000"/>
          <w:spacing w:val="-2"/>
          <w:sz w:val="24"/>
        </w:rPr>
        <w:t>2.</w:t>
      </w:r>
      <w:r>
        <w:rPr>
          <w:rFonts w:hint="cs" w:eastAsia="方正仿宋_GBK"/>
          <w:color w:val="000000"/>
          <w:spacing w:val="-2"/>
          <w:sz w:val="24"/>
          <w:cs/>
        </w:rPr>
        <w:t> </w:t>
      </w:r>
      <w:r>
        <w:rPr>
          <w:rFonts w:hint="eastAsia" w:eastAsia="方正仿宋_GBK"/>
          <w:color w:val="000000"/>
          <w:spacing w:val="-2"/>
          <w:sz w:val="24"/>
        </w:rPr>
        <w:t>江苏省商品房销售现场规范化标准（试行）</w:t>
      </w:r>
    </w:p>
    <w:p>
      <w:pPr>
        <w:spacing w:line="420" w:lineRule="exact"/>
        <w:rPr>
          <w:rFonts w:eastAsia="方正仿宋_GBK"/>
          <w:color w:val="000000"/>
          <w:spacing w:val="-2"/>
          <w:sz w:val="24"/>
        </w:rPr>
      </w:pPr>
    </w:p>
    <w:p>
      <w:pPr>
        <w:spacing w:line="420" w:lineRule="exact"/>
        <w:ind w:firstLine="2714" w:firstLineChars="1150"/>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20" w:lineRule="exact"/>
        <w:jc w:val="right"/>
        <w:rPr>
          <w:rFonts w:eastAsia="方正仿宋_GBK"/>
          <w:color w:val="000000"/>
          <w:spacing w:val="-2"/>
          <w:sz w:val="24"/>
        </w:rPr>
      </w:pPr>
      <w:r>
        <w:rPr>
          <w:rFonts w:eastAsia="方正仿宋_GBK"/>
          <w:color w:val="000000"/>
          <w:spacing w:val="-2"/>
          <w:sz w:val="24"/>
        </w:rPr>
        <w:t xml:space="preserve">                           2013</w:t>
      </w:r>
      <w:r>
        <w:rPr>
          <w:rFonts w:hint="eastAsia" w:eastAsia="方正仿宋_GBK"/>
          <w:color w:val="000000"/>
          <w:spacing w:val="-2"/>
          <w:sz w:val="24"/>
        </w:rPr>
        <w:t>年</w:t>
      </w:r>
      <w:r>
        <w:rPr>
          <w:rFonts w:eastAsia="方正仿宋_GBK"/>
          <w:color w:val="000000"/>
          <w:spacing w:val="-2"/>
          <w:sz w:val="24"/>
        </w:rPr>
        <w:t>9</w:t>
      </w:r>
      <w:r>
        <w:rPr>
          <w:rFonts w:hint="eastAsia" w:eastAsia="方正仿宋_GBK"/>
          <w:color w:val="000000"/>
          <w:spacing w:val="-2"/>
          <w:sz w:val="24"/>
        </w:rPr>
        <w:t>月</w:t>
      </w:r>
      <w:r>
        <w:rPr>
          <w:rFonts w:eastAsia="方正仿宋_GBK"/>
          <w:color w:val="000000"/>
          <w:spacing w:val="-2"/>
          <w:sz w:val="24"/>
        </w:rPr>
        <w:t>3</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rPr>
          <w:rFonts w:ascii="Times New Roman" w:eastAsia="方正黑体_GBK"/>
          <w:color w:val="000000"/>
          <w:spacing w:val="-2"/>
          <w:sz w:val="28"/>
          <w:szCs w:val="28"/>
        </w:rPr>
      </w:pPr>
      <w:r>
        <w:rPr>
          <w:rFonts w:eastAsia="方正仿宋_GBK"/>
          <w:color w:val="000000"/>
          <w:spacing w:val="-2"/>
          <w:sz w:val="28"/>
          <w:szCs w:val="28"/>
        </w:rPr>
        <w:br w:type="page"/>
      </w:r>
      <w:r>
        <w:rPr>
          <w:rFonts w:hint="eastAsia" w:ascii="Times New Roman" w:eastAsia="方正黑体_GBK"/>
          <w:color w:val="000000"/>
          <w:spacing w:val="-2"/>
          <w:sz w:val="28"/>
          <w:szCs w:val="28"/>
        </w:rPr>
        <w:t>附件1：</w:t>
      </w:r>
    </w:p>
    <w:p>
      <w:pPr>
        <w:spacing w:line="580" w:lineRule="exact"/>
        <w:rPr>
          <w:rFonts w:hint="eastAsia" w:eastAsia="仿宋_GB2312"/>
          <w:color w:val="000000"/>
          <w:spacing w:val="-2"/>
          <w:sz w:val="32"/>
          <w:szCs w:val="32"/>
        </w:rPr>
      </w:pPr>
    </w:p>
    <w:p>
      <w:pPr>
        <w:spacing w:line="580" w:lineRule="exact"/>
        <w:jc w:val="center"/>
        <w:rPr>
          <w:rFonts w:ascii="Times New Roman" w:hAnsi="Times New Roman"/>
          <w:b/>
          <w:color w:val="000000"/>
          <w:spacing w:val="-2"/>
          <w:sz w:val="36"/>
          <w:szCs w:val="36"/>
        </w:rPr>
      </w:pPr>
      <w:r>
        <w:rPr>
          <w:rFonts w:hint="eastAsia" w:ascii="Times New Roman" w:hAnsi="Times New Roman"/>
          <w:b/>
          <w:color w:val="000000"/>
          <w:spacing w:val="-2"/>
          <w:sz w:val="36"/>
          <w:szCs w:val="36"/>
        </w:rPr>
        <w:t>江苏省商品房预售方案参考文本</w:t>
      </w:r>
    </w:p>
    <w:p>
      <w:pPr>
        <w:spacing w:line="360" w:lineRule="auto"/>
        <w:rPr>
          <w:rFonts w:hint="eastAsia" w:eastAsia="仿宋_GB2312"/>
          <w:color w:val="000000"/>
          <w:spacing w:val="-2"/>
          <w:sz w:val="32"/>
          <w:szCs w:val="32"/>
        </w:rPr>
      </w:pPr>
    </w:p>
    <w:p>
      <w:pPr>
        <w:spacing w:line="360" w:lineRule="auto"/>
        <w:jc w:val="center"/>
        <w:rPr>
          <w:rFonts w:ascii="Times New Roman" w:hAnsi="Times New Roman" w:eastAsia="方正小标宋简体"/>
          <w:bCs/>
          <w:color w:val="000000"/>
          <w:spacing w:val="-2"/>
          <w:sz w:val="52"/>
          <w:szCs w:val="52"/>
        </w:rPr>
      </w:pPr>
      <w:r>
        <w:rPr>
          <w:rFonts w:hint="eastAsia" w:ascii="Times New Roman" w:eastAsia="方正小标宋简体"/>
          <w:bCs/>
          <w:color w:val="000000"/>
          <w:spacing w:val="-2"/>
          <w:sz w:val="52"/>
          <w:szCs w:val="52"/>
        </w:rPr>
        <w:t>江苏省商品房预售方案</w:t>
      </w:r>
    </w:p>
    <w:p>
      <w:pPr>
        <w:spacing w:line="360" w:lineRule="auto"/>
        <w:rPr>
          <w:rFonts w:hint="eastAsia"/>
          <w:b/>
          <w:bCs/>
          <w:color w:val="000000"/>
          <w:spacing w:val="-2"/>
          <w:sz w:val="48"/>
          <w:szCs w:val="22"/>
        </w:rPr>
      </w:pPr>
    </w:p>
    <w:p>
      <w:pPr>
        <w:spacing w:line="360" w:lineRule="auto"/>
        <w:rPr>
          <w:color w:val="000000"/>
          <w:spacing w:val="-2"/>
          <w:sz w:val="44"/>
        </w:rPr>
      </w:pPr>
    </w:p>
    <w:p>
      <w:pPr>
        <w:tabs>
          <w:tab w:val="left" w:pos="945"/>
        </w:tabs>
        <w:spacing w:line="360" w:lineRule="auto"/>
        <w:rPr>
          <w:color w:val="000000"/>
          <w:spacing w:val="-2"/>
          <w:sz w:val="44"/>
        </w:rPr>
      </w:pPr>
    </w:p>
    <w:p>
      <w:pPr>
        <w:spacing w:line="360" w:lineRule="auto"/>
        <w:ind w:left="630" w:leftChars="300"/>
        <w:rPr>
          <w:rFonts w:eastAsia="方正仿宋_GBK"/>
          <w:b/>
          <w:bCs/>
          <w:color w:val="000000"/>
          <w:spacing w:val="-2"/>
          <w:sz w:val="32"/>
          <w:szCs w:val="32"/>
          <w:u w:val="single"/>
        </w:rPr>
      </w:pPr>
      <w:r>
        <w:rPr>
          <w:rFonts w:hint="eastAsia" w:eastAsia="方正仿宋_GBK"/>
          <w:color w:val="000000"/>
          <w:spacing w:val="-2"/>
          <w:sz w:val="32"/>
          <w:szCs w:val="32"/>
        </w:rPr>
        <w:t>项目所在城市：</w:t>
      </w:r>
      <w:r>
        <w:rPr>
          <w:rFonts w:eastAsia="方正仿宋_GBK"/>
          <w:color w:val="000000"/>
          <w:spacing w:val="-2"/>
          <w:sz w:val="32"/>
          <w:szCs w:val="32"/>
          <w:u w:val="single"/>
        </w:rPr>
        <w:t xml:space="preserve">         </w:t>
      </w:r>
      <w:r>
        <w:rPr>
          <w:rFonts w:hint="eastAsia" w:eastAsia="方正仿宋_GBK"/>
          <w:color w:val="000000"/>
          <w:spacing w:val="-2"/>
          <w:sz w:val="32"/>
          <w:szCs w:val="32"/>
        </w:rPr>
        <w:t>市</w:t>
      </w:r>
      <w:r>
        <w:rPr>
          <w:rFonts w:eastAsia="方正仿宋_GBK"/>
          <w:color w:val="000000"/>
          <w:spacing w:val="-2"/>
          <w:sz w:val="32"/>
          <w:szCs w:val="32"/>
          <w:u w:val="single"/>
        </w:rPr>
        <w:t xml:space="preserve">         </w:t>
      </w:r>
      <w:r>
        <w:rPr>
          <w:rFonts w:hint="eastAsia" w:eastAsia="方正仿宋_GBK"/>
          <w:color w:val="000000"/>
          <w:spacing w:val="-2"/>
          <w:sz w:val="32"/>
          <w:szCs w:val="32"/>
        </w:rPr>
        <w:t>县（市）</w:t>
      </w:r>
    </w:p>
    <w:p>
      <w:pPr>
        <w:spacing w:line="360" w:lineRule="auto"/>
        <w:ind w:left="630" w:leftChars="300"/>
        <w:rPr>
          <w:rFonts w:eastAsia="方正仿宋_GBK"/>
          <w:b/>
          <w:bCs/>
          <w:color w:val="000000"/>
          <w:spacing w:val="-2"/>
          <w:sz w:val="32"/>
          <w:szCs w:val="32"/>
          <w:u w:val="single"/>
        </w:rPr>
      </w:pPr>
      <w:r>
        <w:rPr>
          <w:rFonts w:hint="eastAsia" w:eastAsia="方正仿宋_GBK"/>
          <w:color w:val="000000"/>
          <w:spacing w:val="-2"/>
          <w:sz w:val="32"/>
          <w:szCs w:val="32"/>
        </w:rPr>
        <w:t>项目名称：</w:t>
      </w:r>
      <w:r>
        <w:rPr>
          <w:rFonts w:eastAsia="方正仿宋_GBK"/>
          <w:color w:val="000000"/>
          <w:spacing w:val="-2"/>
          <w:sz w:val="32"/>
          <w:szCs w:val="32"/>
          <w:u w:val="single"/>
        </w:rPr>
        <w:t xml:space="preserve">                               </w:t>
      </w:r>
    </w:p>
    <w:p>
      <w:pPr>
        <w:spacing w:line="360" w:lineRule="auto"/>
        <w:ind w:left="630" w:leftChars="300"/>
        <w:rPr>
          <w:rFonts w:eastAsia="方正仿宋_GBK"/>
          <w:b/>
          <w:bCs/>
          <w:color w:val="000000"/>
          <w:spacing w:val="-2"/>
          <w:sz w:val="32"/>
          <w:szCs w:val="32"/>
          <w:u w:val="single"/>
        </w:rPr>
      </w:pPr>
      <w:r>
        <w:rPr>
          <w:rFonts w:hint="eastAsia" w:eastAsia="方正仿宋_GBK"/>
          <w:color w:val="000000"/>
          <w:spacing w:val="-2"/>
          <w:sz w:val="32"/>
          <w:szCs w:val="32"/>
        </w:rPr>
        <w:t>项目地址：</w:t>
      </w:r>
      <w:r>
        <w:rPr>
          <w:rFonts w:eastAsia="方正仿宋_GBK"/>
          <w:color w:val="000000"/>
          <w:spacing w:val="-2"/>
          <w:sz w:val="32"/>
          <w:szCs w:val="32"/>
          <w:u w:val="single"/>
        </w:rPr>
        <w:t xml:space="preserve">                               </w:t>
      </w:r>
    </w:p>
    <w:p>
      <w:pPr>
        <w:spacing w:line="360" w:lineRule="auto"/>
        <w:ind w:left="630" w:leftChars="300"/>
        <w:rPr>
          <w:rFonts w:eastAsia="方正仿宋_GBK"/>
          <w:color w:val="000000"/>
          <w:spacing w:val="-2"/>
          <w:sz w:val="32"/>
          <w:szCs w:val="32"/>
          <w:u w:val="single"/>
        </w:rPr>
      </w:pPr>
      <w:r>
        <w:rPr>
          <w:rFonts w:hint="eastAsia" w:eastAsia="方正仿宋_GBK"/>
          <w:color w:val="000000"/>
          <w:spacing w:val="-2"/>
          <w:sz w:val="32"/>
          <w:szCs w:val="32"/>
        </w:rPr>
        <w:t>申报单位（盖章）：</w:t>
      </w:r>
      <w:r>
        <w:rPr>
          <w:rFonts w:eastAsia="方正仿宋_GBK"/>
          <w:color w:val="000000"/>
          <w:spacing w:val="-2"/>
          <w:sz w:val="32"/>
          <w:szCs w:val="32"/>
          <w:u w:val="single"/>
        </w:rPr>
        <w:t xml:space="preserve">                        </w:t>
      </w:r>
    </w:p>
    <w:p>
      <w:pPr>
        <w:spacing w:line="360" w:lineRule="auto"/>
        <w:ind w:left="630" w:leftChars="300"/>
        <w:rPr>
          <w:rFonts w:eastAsia="方正仿宋_GBK"/>
          <w:color w:val="000000"/>
          <w:spacing w:val="-2"/>
          <w:sz w:val="32"/>
          <w:szCs w:val="32"/>
          <w:u w:val="single"/>
        </w:rPr>
      </w:pPr>
      <w:r>
        <w:rPr>
          <w:rFonts w:hint="eastAsia" w:eastAsia="方正仿宋_GBK"/>
          <w:color w:val="000000"/>
          <w:spacing w:val="-2"/>
          <w:sz w:val="32"/>
          <w:szCs w:val="32"/>
        </w:rPr>
        <w:t>申报日期：</w:t>
      </w:r>
      <w:r>
        <w:rPr>
          <w:rFonts w:eastAsia="方正仿宋_GBK"/>
          <w:color w:val="000000"/>
          <w:spacing w:val="-2"/>
          <w:sz w:val="32"/>
          <w:szCs w:val="32"/>
          <w:u w:val="single"/>
        </w:rPr>
        <w:t xml:space="preserve">                               </w:t>
      </w:r>
    </w:p>
    <w:p>
      <w:pPr>
        <w:spacing w:line="360" w:lineRule="auto"/>
        <w:ind w:left="630" w:leftChars="300"/>
        <w:rPr>
          <w:rFonts w:eastAsia="方正仿宋_GBK"/>
          <w:b/>
          <w:bCs/>
          <w:color w:val="000000"/>
          <w:spacing w:val="-2"/>
          <w:sz w:val="32"/>
          <w:szCs w:val="32"/>
        </w:rPr>
      </w:pPr>
      <w:r>
        <w:rPr>
          <w:rFonts w:hint="eastAsia" w:eastAsia="方正仿宋_GBK"/>
          <w:color w:val="000000"/>
          <w:spacing w:val="-2"/>
          <w:sz w:val="32"/>
          <w:szCs w:val="32"/>
        </w:rPr>
        <w:t>审批单位（盖章）：</w:t>
      </w:r>
      <w:r>
        <w:rPr>
          <w:rFonts w:eastAsia="方正仿宋_GBK"/>
          <w:color w:val="000000"/>
          <w:spacing w:val="-2"/>
          <w:sz w:val="32"/>
          <w:szCs w:val="32"/>
          <w:u w:val="single"/>
        </w:rPr>
        <w:t xml:space="preserve">                        </w:t>
      </w:r>
    </w:p>
    <w:p>
      <w:pPr>
        <w:spacing w:line="360" w:lineRule="auto"/>
        <w:ind w:left="630" w:leftChars="300"/>
        <w:rPr>
          <w:rFonts w:eastAsia="方正仿宋_GBK"/>
          <w:color w:val="000000"/>
          <w:spacing w:val="-2"/>
          <w:sz w:val="32"/>
          <w:szCs w:val="32"/>
          <w:u w:val="single"/>
        </w:rPr>
      </w:pPr>
      <w:r>
        <w:rPr>
          <w:rFonts w:hint="eastAsia" w:eastAsia="方正仿宋_GBK"/>
          <w:color w:val="000000"/>
          <w:spacing w:val="-2"/>
          <w:sz w:val="32"/>
          <w:szCs w:val="32"/>
        </w:rPr>
        <w:t>审批日期：</w:t>
      </w:r>
      <w:r>
        <w:rPr>
          <w:rFonts w:eastAsia="方正仿宋_GBK"/>
          <w:color w:val="000000"/>
          <w:spacing w:val="-2"/>
          <w:sz w:val="32"/>
          <w:szCs w:val="32"/>
          <w:u w:val="single"/>
        </w:rPr>
        <w:t xml:space="preserve">                               </w:t>
      </w:r>
    </w:p>
    <w:p>
      <w:pPr>
        <w:spacing w:line="360" w:lineRule="auto"/>
        <w:rPr>
          <w:rFonts w:ascii="Times New Roman"/>
          <w:b/>
          <w:bCs/>
          <w:color w:val="000000"/>
          <w:spacing w:val="-2"/>
          <w:sz w:val="36"/>
        </w:rPr>
      </w:pPr>
    </w:p>
    <w:p>
      <w:pPr>
        <w:spacing w:line="360" w:lineRule="auto"/>
        <w:rPr>
          <w:rFonts w:hint="eastAsia" w:ascii="Times New Roman" w:eastAsia="方正楷体_GBK"/>
          <w:b/>
          <w:bCs/>
          <w:color w:val="000000"/>
          <w:spacing w:val="-2"/>
          <w:sz w:val="32"/>
          <w:szCs w:val="32"/>
        </w:rPr>
      </w:pPr>
    </w:p>
    <w:p>
      <w:pPr>
        <w:spacing w:line="360" w:lineRule="auto"/>
        <w:jc w:val="center"/>
        <w:rPr>
          <w:rFonts w:hint="eastAsia" w:ascii="Times New Roman" w:eastAsia="方正楷体_GBK"/>
          <w:bCs/>
          <w:color w:val="000000"/>
          <w:spacing w:val="-2"/>
          <w:sz w:val="32"/>
          <w:szCs w:val="32"/>
        </w:rPr>
      </w:pPr>
      <w:r>
        <w:rPr>
          <w:rFonts w:hint="eastAsia" w:ascii="Times New Roman" w:hAnsi="Times New Roman" w:eastAsia="方正楷体_GBK"/>
          <w:bCs/>
          <w:color w:val="000000"/>
          <w:spacing w:val="-2"/>
          <w:sz w:val="32"/>
          <w:szCs w:val="32"/>
        </w:rPr>
        <w:t>江苏省住房和城乡建设厅制</w:t>
      </w:r>
    </w:p>
    <w:p>
      <w:pPr>
        <w:spacing w:line="360" w:lineRule="auto"/>
        <w:jc w:val="center"/>
        <w:rPr>
          <w:rFonts w:hint="eastAsia" w:ascii="Times New Roman"/>
          <w:b/>
          <w:bCs/>
          <w:color w:val="000000"/>
          <w:spacing w:val="-2"/>
          <w:sz w:val="36"/>
          <w:szCs w:val="22"/>
        </w:rPr>
      </w:pPr>
      <w:r>
        <w:rPr>
          <w:rFonts w:hint="eastAsia" w:ascii="Times New Roman"/>
          <w:b/>
          <w:bCs/>
          <w:color w:val="000000"/>
          <w:spacing w:val="-2"/>
          <w:sz w:val="36"/>
        </w:rPr>
        <w:br w:type="page"/>
      </w:r>
    </w:p>
    <w:p>
      <w:pPr>
        <w:spacing w:line="360" w:lineRule="auto"/>
        <w:jc w:val="center"/>
        <w:rPr>
          <w:rFonts w:hint="eastAsia" w:asci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填  写  说  明</w:t>
      </w:r>
    </w:p>
    <w:p>
      <w:pPr>
        <w:spacing w:line="360" w:lineRule="auto"/>
        <w:rPr>
          <w:rFonts w:hint="eastAsia" w:eastAsia="方正仿宋_GBK"/>
          <w:b/>
          <w:bCs/>
          <w:color w:val="000000"/>
          <w:spacing w:val="-2"/>
          <w:sz w:val="24"/>
        </w:rPr>
      </w:pPr>
    </w:p>
    <w:p>
      <w:pPr>
        <w:spacing w:line="360" w:lineRule="auto"/>
        <w:ind w:firstLine="472" w:firstLineChars="200"/>
        <w:rPr>
          <w:rFonts w:eastAsia="方正仿宋_GBK"/>
          <w:color w:val="000000"/>
          <w:spacing w:val="-2"/>
          <w:sz w:val="24"/>
        </w:rPr>
      </w:pPr>
      <w:r>
        <w:rPr>
          <w:rFonts w:eastAsia="方正仿宋_GBK"/>
          <w:color w:val="000000"/>
          <w:spacing w:val="-2"/>
          <w:sz w:val="24"/>
        </w:rPr>
        <w:t>1.</w:t>
      </w:r>
      <w:r>
        <w:rPr>
          <w:rFonts w:hint="cs" w:eastAsia="方正仿宋_GBK"/>
          <w:color w:val="000000"/>
          <w:spacing w:val="-2"/>
          <w:sz w:val="24"/>
          <w:cs/>
        </w:rPr>
        <w:t> </w:t>
      </w:r>
      <w:r>
        <w:rPr>
          <w:rFonts w:hint="eastAsia" w:eastAsia="方正仿宋_GBK"/>
          <w:color w:val="000000"/>
          <w:spacing w:val="-2"/>
          <w:sz w:val="24"/>
        </w:rPr>
        <w:t>本方案样表从江苏省住房和城乡建设厅网站（</w:t>
      </w:r>
      <w:r>
        <w:rPr>
          <w:rFonts w:eastAsia="方正仿宋_GBK"/>
          <w:bCs/>
          <w:color w:val="000000"/>
          <w:spacing w:val="-2"/>
          <w:kern w:val="0"/>
          <w:sz w:val="24"/>
        </w:rPr>
        <w:t>http://www.jscin.gov.cn</w:t>
      </w:r>
      <w:r>
        <w:rPr>
          <w:rFonts w:hint="eastAsia" w:eastAsia="方正仿宋_GBK"/>
          <w:bCs/>
          <w:color w:val="000000"/>
          <w:spacing w:val="-2"/>
          <w:kern w:val="0"/>
          <w:sz w:val="24"/>
        </w:rPr>
        <w:t>）</w:t>
      </w:r>
      <w:r>
        <w:rPr>
          <w:rFonts w:eastAsia="方正仿宋_GBK"/>
          <w:color w:val="000000"/>
          <w:spacing w:val="-2"/>
          <w:sz w:val="24"/>
        </w:rPr>
        <w:t>“</w:t>
      </w:r>
      <w:r>
        <w:rPr>
          <w:rFonts w:hint="eastAsia" w:eastAsia="方正仿宋_GBK"/>
          <w:color w:val="000000"/>
          <w:spacing w:val="-2"/>
          <w:sz w:val="24"/>
        </w:rPr>
        <w:t>房地产</w:t>
      </w:r>
      <w:r>
        <w:rPr>
          <w:rFonts w:eastAsia="方正仿宋_GBK"/>
          <w:color w:val="000000"/>
          <w:spacing w:val="-2"/>
          <w:sz w:val="24"/>
        </w:rPr>
        <w:t>/</w:t>
      </w:r>
      <w:r>
        <w:rPr>
          <w:rFonts w:hint="eastAsia" w:eastAsia="方正仿宋_GBK"/>
          <w:color w:val="000000"/>
          <w:spacing w:val="-2"/>
          <w:sz w:val="24"/>
        </w:rPr>
        <w:t>资料下载</w:t>
      </w:r>
      <w:r>
        <w:rPr>
          <w:rFonts w:eastAsia="方正仿宋_GBK"/>
          <w:color w:val="000000"/>
          <w:spacing w:val="-2"/>
          <w:sz w:val="24"/>
        </w:rPr>
        <w:t>”</w:t>
      </w:r>
      <w:r>
        <w:rPr>
          <w:rFonts w:hint="eastAsia" w:eastAsia="方正仿宋_GBK"/>
          <w:color w:val="000000"/>
          <w:spacing w:val="-2"/>
          <w:sz w:val="24"/>
        </w:rPr>
        <w:t>栏，直接下载填写，如有涂改应加盖公章。</w:t>
      </w:r>
    </w:p>
    <w:p>
      <w:pPr>
        <w:spacing w:line="360" w:lineRule="auto"/>
        <w:ind w:firstLine="472" w:firstLineChars="200"/>
        <w:rPr>
          <w:rFonts w:eastAsia="方正仿宋_GBK"/>
          <w:color w:val="000000"/>
          <w:spacing w:val="-2"/>
          <w:sz w:val="24"/>
        </w:rPr>
      </w:pPr>
      <w:r>
        <w:rPr>
          <w:rFonts w:eastAsia="方正仿宋_GBK"/>
          <w:color w:val="000000"/>
          <w:spacing w:val="-2"/>
          <w:sz w:val="24"/>
        </w:rPr>
        <w:t>2.</w:t>
      </w:r>
      <w:r>
        <w:rPr>
          <w:rFonts w:hint="cs" w:eastAsia="方正仿宋_GBK"/>
          <w:color w:val="000000"/>
          <w:spacing w:val="-2"/>
          <w:sz w:val="24"/>
          <w:cs/>
        </w:rPr>
        <w:t> </w:t>
      </w:r>
      <w:r>
        <w:rPr>
          <w:rFonts w:hint="eastAsia" w:eastAsia="方正仿宋_GBK"/>
          <w:color w:val="000000"/>
          <w:spacing w:val="-2"/>
          <w:sz w:val="24"/>
        </w:rPr>
        <w:t>本方案有关资料必须真实、合法有效。</w:t>
      </w:r>
    </w:p>
    <w:p>
      <w:pPr>
        <w:spacing w:line="360" w:lineRule="auto"/>
        <w:ind w:firstLine="472" w:firstLineChars="200"/>
        <w:rPr>
          <w:rFonts w:eastAsia="方正仿宋_GBK"/>
          <w:color w:val="000000"/>
          <w:spacing w:val="-2"/>
          <w:sz w:val="24"/>
        </w:rPr>
      </w:pPr>
      <w:r>
        <w:rPr>
          <w:rFonts w:eastAsia="方正仿宋_GBK"/>
          <w:color w:val="000000"/>
          <w:spacing w:val="-2"/>
          <w:sz w:val="24"/>
        </w:rPr>
        <w:t>3.</w:t>
      </w:r>
      <w:r>
        <w:rPr>
          <w:rFonts w:hint="cs" w:eastAsia="方正仿宋_GBK"/>
          <w:color w:val="000000"/>
          <w:spacing w:val="-2"/>
          <w:sz w:val="24"/>
          <w:cs/>
        </w:rPr>
        <w:t> </w:t>
      </w:r>
      <w:r>
        <w:rPr>
          <w:rFonts w:hint="eastAsia" w:eastAsia="方正仿宋_GBK"/>
          <w:color w:val="000000"/>
          <w:spacing w:val="-2"/>
          <w:sz w:val="24"/>
        </w:rPr>
        <w:t>本方案中提交的所有复印件，均应加盖申请人公章，由收件人员与原件核对后，在复印件上加盖</w:t>
      </w:r>
      <w:r>
        <w:rPr>
          <w:rFonts w:eastAsia="方正仿宋_GBK"/>
          <w:color w:val="000000"/>
          <w:spacing w:val="-2"/>
          <w:sz w:val="24"/>
        </w:rPr>
        <w:t>“</w:t>
      </w:r>
      <w:r>
        <w:rPr>
          <w:rFonts w:hint="eastAsia" w:eastAsia="方正仿宋_GBK"/>
          <w:color w:val="000000"/>
          <w:spacing w:val="-2"/>
          <w:sz w:val="24"/>
        </w:rPr>
        <w:t>与原件一致</w:t>
      </w:r>
      <w:r>
        <w:rPr>
          <w:rFonts w:eastAsia="方正仿宋_GBK"/>
          <w:color w:val="000000"/>
          <w:spacing w:val="-2"/>
          <w:sz w:val="24"/>
        </w:rPr>
        <w:t>”</w:t>
      </w:r>
      <w:r>
        <w:rPr>
          <w:rFonts w:hint="eastAsia" w:eastAsia="方正仿宋_GBK"/>
          <w:color w:val="000000"/>
          <w:spacing w:val="-2"/>
          <w:sz w:val="24"/>
        </w:rPr>
        <w:t>印章并签字后方可生效。</w:t>
      </w:r>
    </w:p>
    <w:p>
      <w:pPr>
        <w:spacing w:line="360" w:lineRule="auto"/>
        <w:jc w:val="center"/>
        <w:rPr>
          <w:rFonts w:ascii="Times New Roman" w:hAnsi="Times New Roman" w:eastAsia="方正黑体_GBK"/>
          <w:bCs/>
          <w:color w:val="000000"/>
          <w:spacing w:val="-2"/>
          <w:sz w:val="28"/>
          <w:szCs w:val="28"/>
        </w:rPr>
      </w:pPr>
      <w:r>
        <w:rPr>
          <w:rFonts w:hint="eastAsia" w:ascii="Times New Roman" w:eastAsia="黑体"/>
          <w:bCs/>
          <w:color w:val="000000"/>
          <w:spacing w:val="-2"/>
          <w:sz w:val="32"/>
          <w:szCs w:val="32"/>
        </w:rPr>
        <w:br w:type="page"/>
      </w:r>
      <w:r>
        <w:rPr>
          <w:rFonts w:hint="eastAsia" w:ascii="Times New Roman" w:hAnsi="Times New Roman" w:eastAsia="方正黑体_GBK"/>
          <w:bCs/>
          <w:color w:val="000000"/>
          <w:spacing w:val="-2"/>
          <w:sz w:val="28"/>
          <w:szCs w:val="28"/>
        </w:rPr>
        <w:t>商品房预售方案</w:t>
      </w:r>
    </w:p>
    <w:p>
      <w:pPr>
        <w:spacing w:line="460" w:lineRule="exact"/>
        <w:jc w:val="center"/>
        <w:rPr>
          <w:rFonts w:hint="eastAsia" w:eastAsia="方正仿宋_GBK"/>
          <w:b/>
          <w:bCs/>
          <w:color w:val="000000"/>
          <w:spacing w:val="-2"/>
          <w:sz w:val="24"/>
        </w:rPr>
      </w:pPr>
    </w:p>
    <w:p>
      <w:pPr>
        <w:spacing w:line="460" w:lineRule="exact"/>
        <w:ind w:firstLine="472" w:firstLineChars="200"/>
        <w:rPr>
          <w:rFonts w:eastAsia="方正仿宋_GBK"/>
          <w:color w:val="000000"/>
          <w:spacing w:val="-2"/>
          <w:kern w:val="0"/>
          <w:sz w:val="24"/>
        </w:rPr>
      </w:pPr>
      <w:r>
        <w:rPr>
          <w:rFonts w:hint="eastAsia" w:eastAsia="方正仿宋_GBK"/>
          <w:bCs/>
          <w:color w:val="000000"/>
          <w:spacing w:val="-2"/>
          <w:sz w:val="24"/>
        </w:rPr>
        <w:t>根据《</w:t>
      </w:r>
      <w:r>
        <w:rPr>
          <w:rFonts w:hint="eastAsia" w:eastAsia="方正仿宋_GBK"/>
          <w:bCs/>
          <w:smallCaps/>
          <w:color w:val="000000"/>
          <w:spacing w:val="-2"/>
          <w:kern w:val="0"/>
          <w:sz w:val="24"/>
        </w:rPr>
        <w:t>城市房地产管理法》、</w:t>
      </w:r>
      <w:r>
        <w:rPr>
          <w:rFonts w:hint="eastAsia" w:eastAsia="方正仿宋_GBK"/>
          <w:bCs/>
          <w:color w:val="000000"/>
          <w:spacing w:val="-2"/>
          <w:sz w:val="24"/>
        </w:rPr>
        <w:t>《</w:t>
      </w:r>
      <w:r>
        <w:rPr>
          <w:rFonts w:hint="eastAsia" w:eastAsia="方正仿宋_GBK"/>
          <w:bCs/>
          <w:smallCaps/>
          <w:color w:val="000000"/>
          <w:spacing w:val="-2"/>
          <w:kern w:val="0"/>
          <w:sz w:val="24"/>
        </w:rPr>
        <w:t>城市商品房预售管理办法》</w:t>
      </w:r>
      <w:r>
        <w:rPr>
          <w:rFonts w:hint="eastAsia" w:eastAsia="方正仿宋_GBK"/>
          <w:color w:val="000000"/>
          <w:spacing w:val="-2"/>
          <w:kern w:val="0"/>
          <w:sz w:val="24"/>
        </w:rPr>
        <w:t>等有关法律、法规的规定，特制定本方案。</w:t>
      </w:r>
    </w:p>
    <w:p>
      <w:pPr>
        <w:spacing w:line="460" w:lineRule="exact"/>
        <w:ind w:firstLine="472" w:firstLineChars="200"/>
        <w:outlineLvl w:val="0"/>
        <w:rPr>
          <w:rFonts w:eastAsia="方正仿宋_GBK"/>
          <w:color w:val="000000"/>
          <w:spacing w:val="-2"/>
          <w:kern w:val="0"/>
          <w:sz w:val="24"/>
        </w:rPr>
      </w:pPr>
      <w:bookmarkStart w:id="21" w:name="_Toc18315369"/>
      <w:bookmarkStart w:id="22" w:name="_Toc20667763"/>
      <w:bookmarkStart w:id="23" w:name="_Toc20726289"/>
      <w:r>
        <w:rPr>
          <w:rFonts w:hint="eastAsia" w:ascii="Times New Roman" w:eastAsia="方正黑体_GBK"/>
          <w:color w:val="000000"/>
          <w:spacing w:val="-2"/>
          <w:kern w:val="0"/>
          <w:sz w:val="24"/>
        </w:rPr>
        <w:t>第一条</w:t>
      </w:r>
      <w:r>
        <w:rPr>
          <w:rFonts w:eastAsia="方正仿宋_GBK"/>
          <w:color w:val="000000"/>
          <w:spacing w:val="-2"/>
          <w:kern w:val="0"/>
          <w:sz w:val="24"/>
        </w:rPr>
        <w:t xml:space="preserve">  </w:t>
      </w:r>
      <w:r>
        <w:rPr>
          <w:rFonts w:hint="eastAsia" w:eastAsia="方正仿宋_GBK"/>
          <w:color w:val="000000"/>
          <w:spacing w:val="-2"/>
          <w:kern w:val="0"/>
          <w:sz w:val="24"/>
        </w:rPr>
        <w:t>项目基本概况</w:t>
      </w:r>
      <w:bookmarkEnd w:id="21"/>
      <w:bookmarkEnd w:id="22"/>
      <w:bookmarkEnd w:id="23"/>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720"/>
        <w:gridCol w:w="1260"/>
        <w:gridCol w:w="167"/>
        <w:gridCol w:w="1093"/>
        <w:gridCol w:w="1440"/>
        <w:gridCol w:w="180"/>
        <w:gridCol w:w="900"/>
        <w:gridCol w:w="81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160" w:type="dxa"/>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开发企业名称</w:t>
            </w:r>
          </w:p>
        </w:tc>
        <w:tc>
          <w:tcPr>
            <w:tcW w:w="6570" w:type="dxa"/>
            <w:gridSpan w:val="8"/>
            <w:tcBorders>
              <w:top w:val="single" w:color="auto" w:sz="8"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16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办公地点</w:t>
            </w:r>
          </w:p>
        </w:tc>
        <w:tc>
          <w:tcPr>
            <w:tcW w:w="6570" w:type="dxa"/>
            <w:gridSpan w:val="8"/>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16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法人代表</w:t>
            </w:r>
          </w:p>
        </w:tc>
        <w:tc>
          <w:tcPr>
            <w:tcW w:w="214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p>
        </w:tc>
        <w:tc>
          <w:tcPr>
            <w:tcW w:w="253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联</w:t>
            </w:r>
            <w:r>
              <w:rPr>
                <w:rFonts w:eastAsia="方正仿宋_GBK"/>
                <w:bCs/>
                <w:color w:val="000000"/>
                <w:spacing w:val="-2"/>
                <w:szCs w:val="21"/>
              </w:rPr>
              <w:t xml:space="preserve">   </w:t>
            </w:r>
            <w:r>
              <w:rPr>
                <w:rFonts w:hint="eastAsia" w:eastAsia="方正仿宋_GBK"/>
                <w:bCs/>
                <w:color w:val="000000"/>
                <w:spacing w:val="-2"/>
                <w:szCs w:val="21"/>
              </w:rPr>
              <w:t>系</w:t>
            </w:r>
            <w:r>
              <w:rPr>
                <w:rFonts w:eastAsia="方正仿宋_GBK"/>
                <w:bCs/>
                <w:color w:val="000000"/>
                <w:spacing w:val="-2"/>
                <w:szCs w:val="21"/>
              </w:rPr>
              <w:t xml:space="preserve">  </w:t>
            </w:r>
            <w:r>
              <w:rPr>
                <w:rFonts w:hint="eastAsia" w:eastAsia="方正仿宋_GBK"/>
                <w:bCs/>
                <w:color w:val="000000"/>
                <w:spacing w:val="-2"/>
                <w:szCs w:val="21"/>
              </w:rPr>
              <w:t>电</w:t>
            </w:r>
            <w:r>
              <w:rPr>
                <w:rFonts w:eastAsia="方正仿宋_GBK"/>
                <w:bCs/>
                <w:color w:val="000000"/>
                <w:spacing w:val="-2"/>
                <w:szCs w:val="21"/>
              </w:rPr>
              <w:t xml:space="preserve">  </w:t>
            </w:r>
            <w:r>
              <w:rPr>
                <w:rFonts w:hint="eastAsia" w:eastAsia="方正仿宋_GBK"/>
                <w:bCs/>
                <w:color w:val="000000"/>
                <w:spacing w:val="-2"/>
                <w:szCs w:val="21"/>
              </w:rPr>
              <w:t>话</w:t>
            </w:r>
          </w:p>
        </w:tc>
        <w:tc>
          <w:tcPr>
            <w:tcW w:w="1890" w:type="dxa"/>
            <w:gridSpan w:val="3"/>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16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企业资质等级</w:t>
            </w:r>
          </w:p>
        </w:tc>
        <w:tc>
          <w:tcPr>
            <w:tcW w:w="2147"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p>
        </w:tc>
        <w:tc>
          <w:tcPr>
            <w:tcW w:w="253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营业执照编号</w:t>
            </w:r>
          </w:p>
        </w:tc>
        <w:tc>
          <w:tcPr>
            <w:tcW w:w="1890" w:type="dxa"/>
            <w:gridSpan w:val="3"/>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16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开发项目名称</w:t>
            </w:r>
          </w:p>
        </w:tc>
        <w:tc>
          <w:tcPr>
            <w:tcW w:w="6570" w:type="dxa"/>
            <w:gridSpan w:val="8"/>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16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项目座落</w:t>
            </w:r>
          </w:p>
        </w:tc>
        <w:tc>
          <w:tcPr>
            <w:tcW w:w="6570" w:type="dxa"/>
            <w:gridSpan w:val="8"/>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2160"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售楼处</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地</w:t>
            </w:r>
            <w:r>
              <w:rPr>
                <w:rFonts w:eastAsia="方正仿宋_GBK"/>
                <w:bCs/>
                <w:color w:val="000000"/>
                <w:spacing w:val="-2"/>
                <w:szCs w:val="21"/>
              </w:rPr>
              <w:t xml:space="preserve"> </w:t>
            </w:r>
            <w:r>
              <w:rPr>
                <w:rFonts w:hint="eastAsia" w:eastAsia="方正仿宋_GBK"/>
                <w:bCs/>
                <w:color w:val="000000"/>
                <w:spacing w:val="-2"/>
                <w:szCs w:val="21"/>
              </w:rPr>
              <w:t>址</w:t>
            </w:r>
          </w:p>
        </w:tc>
        <w:tc>
          <w:tcPr>
            <w:tcW w:w="4590" w:type="dxa"/>
            <w:gridSpan w:val="6"/>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216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负责人</w:t>
            </w:r>
          </w:p>
        </w:tc>
        <w:tc>
          <w:tcPr>
            <w:tcW w:w="12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联系电话</w:t>
            </w:r>
          </w:p>
        </w:tc>
        <w:tc>
          <w:tcPr>
            <w:tcW w:w="1890" w:type="dxa"/>
            <w:gridSpan w:val="3"/>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16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用地总面积</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p>
        </w:tc>
        <w:tc>
          <w:tcPr>
            <w:tcW w:w="12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用地取</w:t>
            </w:r>
          </w:p>
          <w:p>
            <w:pPr>
              <w:jc w:val="center"/>
              <w:rPr>
                <w:rFonts w:eastAsia="方正仿宋_GBK"/>
                <w:bCs/>
                <w:color w:val="000000"/>
                <w:spacing w:val="-2"/>
                <w:szCs w:val="21"/>
              </w:rPr>
            </w:pPr>
            <w:r>
              <w:rPr>
                <w:rFonts w:hint="eastAsia" w:eastAsia="方正仿宋_GBK"/>
                <w:bCs/>
                <w:color w:val="000000"/>
                <w:spacing w:val="-2"/>
                <w:szCs w:val="21"/>
              </w:rPr>
              <w:t>得方式</w:t>
            </w:r>
          </w:p>
        </w:tc>
        <w:tc>
          <w:tcPr>
            <w:tcW w:w="14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p>
        </w:tc>
        <w:tc>
          <w:tcPr>
            <w:tcW w:w="108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出让</w:t>
            </w:r>
          </w:p>
          <w:p>
            <w:pPr>
              <w:jc w:val="center"/>
              <w:rPr>
                <w:rFonts w:eastAsia="方正仿宋_GBK"/>
                <w:bCs/>
                <w:color w:val="000000"/>
                <w:spacing w:val="-2"/>
                <w:szCs w:val="21"/>
              </w:rPr>
            </w:pPr>
            <w:r>
              <w:rPr>
                <w:rFonts w:hint="eastAsia" w:eastAsia="方正仿宋_GBK"/>
                <w:bCs/>
                <w:color w:val="000000"/>
                <w:spacing w:val="-2"/>
                <w:szCs w:val="21"/>
              </w:rPr>
              <w:t>形式</w:t>
            </w:r>
          </w:p>
        </w:tc>
        <w:tc>
          <w:tcPr>
            <w:tcW w:w="81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16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土地使用权证</w:t>
            </w:r>
          </w:p>
          <w:p>
            <w:pPr>
              <w:jc w:val="center"/>
              <w:rPr>
                <w:rFonts w:eastAsia="方正仿宋_GBK"/>
                <w:bCs/>
                <w:color w:val="000000"/>
                <w:spacing w:val="-2"/>
                <w:szCs w:val="21"/>
              </w:rPr>
            </w:pPr>
            <w:r>
              <w:rPr>
                <w:rFonts w:hint="eastAsia" w:eastAsia="方正仿宋_GBK"/>
                <w:bCs/>
                <w:color w:val="000000"/>
                <w:spacing w:val="-2"/>
                <w:szCs w:val="21"/>
              </w:rPr>
              <w:t>证</w:t>
            </w:r>
            <w:r>
              <w:rPr>
                <w:rFonts w:eastAsia="方正仿宋_GBK"/>
                <w:bCs/>
                <w:color w:val="000000"/>
                <w:spacing w:val="-2"/>
                <w:szCs w:val="21"/>
              </w:rPr>
              <w:t xml:space="preserve">        </w:t>
            </w:r>
            <w:r>
              <w:rPr>
                <w:rFonts w:hint="eastAsia" w:eastAsia="方正仿宋_GBK"/>
                <w:bCs/>
                <w:color w:val="000000"/>
                <w:spacing w:val="-2"/>
                <w:szCs w:val="21"/>
              </w:rPr>
              <w:t>号</w:t>
            </w:r>
          </w:p>
        </w:tc>
        <w:tc>
          <w:tcPr>
            <w:tcW w:w="324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eastAsia="方正仿宋_GBK"/>
                <w:bCs/>
                <w:color w:val="000000"/>
                <w:spacing w:val="-2"/>
                <w:szCs w:val="21"/>
              </w:rPr>
              <w:t xml:space="preserve"> </w:t>
            </w:r>
          </w:p>
        </w:tc>
        <w:tc>
          <w:tcPr>
            <w:tcW w:w="252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土地使用年限</w:t>
            </w:r>
          </w:p>
        </w:tc>
        <w:tc>
          <w:tcPr>
            <w:tcW w:w="81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16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土地合同号</w:t>
            </w:r>
          </w:p>
        </w:tc>
        <w:tc>
          <w:tcPr>
            <w:tcW w:w="324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p>
        </w:tc>
        <w:tc>
          <w:tcPr>
            <w:tcW w:w="252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土地价格</w:t>
            </w:r>
          </w:p>
        </w:tc>
        <w:tc>
          <w:tcPr>
            <w:tcW w:w="81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2880" w:type="dxa"/>
            <w:gridSpan w:val="2"/>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规划建设总面积</w:t>
            </w:r>
          </w:p>
        </w:tc>
        <w:tc>
          <w:tcPr>
            <w:tcW w:w="252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p>
        </w:tc>
        <w:tc>
          <w:tcPr>
            <w:tcW w:w="162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容积率</w:t>
            </w:r>
          </w:p>
        </w:tc>
        <w:tc>
          <w:tcPr>
            <w:tcW w:w="1710"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2880" w:type="dxa"/>
            <w:gridSpan w:val="2"/>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建筑密度</w:t>
            </w:r>
          </w:p>
        </w:tc>
        <w:tc>
          <w:tcPr>
            <w:tcW w:w="252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p>
        </w:tc>
        <w:tc>
          <w:tcPr>
            <w:tcW w:w="162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绿地率</w:t>
            </w:r>
          </w:p>
        </w:tc>
        <w:tc>
          <w:tcPr>
            <w:tcW w:w="1710"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86" w:hRule="atLeast"/>
          <w:jc w:val="center"/>
        </w:trPr>
        <w:tc>
          <w:tcPr>
            <w:tcW w:w="2160"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bCs/>
                <w:color w:val="000000"/>
                <w:spacing w:val="-2"/>
                <w:szCs w:val="21"/>
              </w:rPr>
            </w:pPr>
            <w:r>
              <w:rPr>
                <w:rFonts w:hint="eastAsia" w:eastAsia="方正仿宋_GBK"/>
                <w:bCs/>
                <w:color w:val="000000"/>
                <w:spacing w:val="-2"/>
                <w:szCs w:val="21"/>
              </w:rPr>
              <w:t>小区总规划</w:t>
            </w:r>
          </w:p>
          <w:p>
            <w:pPr>
              <w:jc w:val="center"/>
              <w:rPr>
                <w:rFonts w:eastAsia="方正仿宋_GBK"/>
                <w:bCs/>
                <w:color w:val="000000"/>
                <w:spacing w:val="-2"/>
                <w:szCs w:val="21"/>
              </w:rPr>
            </w:pPr>
            <w:r>
              <w:rPr>
                <w:rFonts w:hint="eastAsia" w:eastAsia="方正仿宋_GBK"/>
                <w:bCs/>
                <w:color w:val="000000"/>
                <w:spacing w:val="-2"/>
                <w:szCs w:val="21"/>
              </w:rPr>
              <w:t>概</w:t>
            </w:r>
            <w:r>
              <w:rPr>
                <w:rFonts w:eastAsia="方正仿宋_GBK"/>
                <w:bCs/>
                <w:color w:val="000000"/>
                <w:spacing w:val="-2"/>
                <w:szCs w:val="21"/>
              </w:rPr>
              <w:t xml:space="preserve">    </w:t>
            </w:r>
            <w:r>
              <w:rPr>
                <w:rFonts w:hint="eastAsia" w:eastAsia="方正仿宋_GBK"/>
                <w:bCs/>
                <w:color w:val="000000"/>
                <w:spacing w:val="-2"/>
                <w:szCs w:val="21"/>
              </w:rPr>
              <w:t>述</w:t>
            </w:r>
          </w:p>
        </w:tc>
        <w:tc>
          <w:tcPr>
            <w:tcW w:w="6570" w:type="dxa"/>
            <w:gridSpan w:val="8"/>
            <w:tcBorders>
              <w:top w:val="single" w:color="auto" w:sz="4" w:space="0"/>
              <w:left w:val="single" w:color="auto" w:sz="4" w:space="0"/>
              <w:bottom w:val="single" w:color="auto" w:sz="8"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住宅</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rPr>
              <w:t xml:space="preserve">  </w:t>
            </w:r>
            <w:r>
              <w:rPr>
                <w:rFonts w:eastAsia="方正仿宋_GBK"/>
                <w:color w:val="000000"/>
                <w:spacing w:val="-2"/>
                <w:szCs w:val="21"/>
                <w:u w:val="single"/>
              </w:rPr>
              <w:t xml:space="preserve">     </w:t>
            </w:r>
            <w:r>
              <w:rPr>
                <w:rFonts w:eastAsia="方正仿宋_GBK"/>
                <w:color w:val="000000"/>
                <w:spacing w:val="-2"/>
                <w:szCs w:val="21"/>
              </w:rPr>
              <w:t xml:space="preserve"> </w:t>
            </w:r>
            <w:r>
              <w:rPr>
                <w:rFonts w:hint="eastAsia" w:eastAsia="方正仿宋_GBK"/>
                <w:color w:val="000000"/>
                <w:spacing w:val="-2"/>
                <w:szCs w:val="21"/>
              </w:rPr>
              <w:t>户；公寓</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u w:val="single"/>
              </w:rPr>
              <w:t xml:space="preserve">     </w:t>
            </w:r>
            <w:r>
              <w:rPr>
                <w:rFonts w:eastAsia="方正仿宋_GBK"/>
                <w:color w:val="000000"/>
                <w:spacing w:val="-2"/>
                <w:szCs w:val="21"/>
              </w:rPr>
              <w:t xml:space="preserve"> </w:t>
            </w:r>
            <w:r>
              <w:rPr>
                <w:rFonts w:hint="eastAsia" w:eastAsia="方正仿宋_GBK"/>
                <w:color w:val="000000"/>
                <w:spacing w:val="-2"/>
                <w:szCs w:val="21"/>
              </w:rPr>
              <w:t>间；</w:t>
            </w:r>
          </w:p>
          <w:p>
            <w:pPr>
              <w:rPr>
                <w:rFonts w:eastAsia="方正仿宋_GBK"/>
                <w:color w:val="000000"/>
                <w:spacing w:val="-2"/>
                <w:szCs w:val="21"/>
              </w:rPr>
            </w:pPr>
            <w:r>
              <w:rPr>
                <w:rFonts w:hint="eastAsia" w:eastAsia="方正仿宋_GBK"/>
                <w:color w:val="000000"/>
                <w:spacing w:val="-2"/>
                <w:szCs w:val="21"/>
              </w:rPr>
              <w:t>商业</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u w:val="single"/>
              </w:rPr>
              <w:t xml:space="preserve">     </w:t>
            </w:r>
            <w:r>
              <w:rPr>
                <w:rFonts w:hint="eastAsia" w:eastAsia="方正仿宋_GBK"/>
                <w:color w:val="000000"/>
                <w:spacing w:val="-2"/>
                <w:szCs w:val="21"/>
              </w:rPr>
              <w:t>间</w:t>
            </w:r>
            <w:r>
              <w:rPr>
                <w:rFonts w:eastAsia="方正仿宋_GBK"/>
                <w:color w:val="000000"/>
                <w:spacing w:val="-2"/>
                <w:szCs w:val="21"/>
              </w:rPr>
              <w:t xml:space="preserve"> </w:t>
            </w:r>
            <w:r>
              <w:rPr>
                <w:rFonts w:hint="eastAsia" w:eastAsia="方正仿宋_GBK"/>
                <w:color w:val="000000"/>
                <w:spacing w:val="-2"/>
                <w:szCs w:val="21"/>
              </w:rPr>
              <w:t>；办公</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u w:val="single"/>
              </w:rPr>
              <w:t xml:space="preserve">    </w:t>
            </w:r>
            <w:r>
              <w:rPr>
                <w:rFonts w:hint="eastAsia" w:eastAsia="方正仿宋_GBK"/>
                <w:color w:val="000000"/>
                <w:spacing w:val="-2"/>
                <w:szCs w:val="21"/>
              </w:rPr>
              <w:t>间</w:t>
            </w:r>
            <w:r>
              <w:rPr>
                <w:rFonts w:eastAsia="方正仿宋_GBK"/>
                <w:color w:val="000000"/>
                <w:spacing w:val="-2"/>
                <w:szCs w:val="21"/>
              </w:rPr>
              <w:t xml:space="preserve"> </w:t>
            </w:r>
            <w:r>
              <w:rPr>
                <w:rFonts w:hint="eastAsia" w:eastAsia="方正仿宋_GBK"/>
                <w:color w:val="000000"/>
                <w:spacing w:val="-2"/>
                <w:szCs w:val="21"/>
              </w:rPr>
              <w:t>；</w:t>
            </w:r>
          </w:p>
          <w:p>
            <w:pPr>
              <w:rPr>
                <w:rFonts w:eastAsia="方正仿宋_GBK"/>
                <w:color w:val="000000"/>
                <w:spacing w:val="-2"/>
                <w:szCs w:val="21"/>
              </w:rPr>
            </w:pPr>
            <w:r>
              <w:rPr>
                <w:rFonts w:hint="eastAsia" w:eastAsia="方正仿宋_GBK"/>
                <w:color w:val="000000"/>
                <w:spacing w:val="-2"/>
                <w:szCs w:val="21"/>
              </w:rPr>
              <w:t>物业服务用房</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u w:val="single"/>
              </w:rPr>
              <w:t xml:space="preserve">    </w:t>
            </w:r>
            <w:r>
              <w:rPr>
                <w:rFonts w:hint="eastAsia" w:eastAsia="方正仿宋_GBK"/>
                <w:color w:val="000000"/>
                <w:spacing w:val="-2"/>
                <w:szCs w:val="21"/>
              </w:rPr>
              <w:t>处；设备用房</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rPr>
              <w:t xml:space="preserve"> </w:t>
            </w:r>
            <w:r>
              <w:rPr>
                <w:rFonts w:eastAsia="方正仿宋_GBK"/>
                <w:color w:val="000000"/>
                <w:spacing w:val="-2"/>
                <w:szCs w:val="21"/>
                <w:u w:val="single"/>
              </w:rPr>
              <w:t xml:space="preserve">       </w:t>
            </w:r>
            <w:r>
              <w:rPr>
                <w:rFonts w:eastAsia="方正仿宋_GBK"/>
                <w:color w:val="000000"/>
                <w:spacing w:val="-2"/>
                <w:szCs w:val="21"/>
              </w:rPr>
              <w:t xml:space="preserve"> </w:t>
            </w:r>
            <w:r>
              <w:rPr>
                <w:rFonts w:hint="eastAsia" w:eastAsia="方正仿宋_GBK"/>
                <w:color w:val="000000"/>
                <w:spacing w:val="-2"/>
                <w:szCs w:val="21"/>
              </w:rPr>
              <w:t>处；</w:t>
            </w:r>
          </w:p>
          <w:p>
            <w:pPr>
              <w:rPr>
                <w:rFonts w:eastAsia="方正仿宋_GBK"/>
                <w:color w:val="000000"/>
                <w:spacing w:val="-2"/>
                <w:szCs w:val="21"/>
              </w:rPr>
            </w:pPr>
            <w:r>
              <w:rPr>
                <w:rFonts w:hint="eastAsia" w:eastAsia="方正仿宋_GBK"/>
                <w:color w:val="000000"/>
                <w:spacing w:val="-2"/>
                <w:szCs w:val="21"/>
              </w:rPr>
              <w:t>机动车库</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u w:val="single"/>
              </w:rPr>
              <w:t xml:space="preserve">   </w:t>
            </w:r>
            <w:r>
              <w:rPr>
                <w:rFonts w:hint="eastAsia" w:eastAsia="方正仿宋_GBK"/>
                <w:color w:val="000000"/>
                <w:spacing w:val="-2"/>
                <w:szCs w:val="21"/>
              </w:rPr>
              <w:t>个；非机动车位</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rPr>
              <w:t xml:space="preserve"> </w:t>
            </w:r>
          </w:p>
          <w:p>
            <w:pPr>
              <w:rPr>
                <w:rFonts w:eastAsia="方正仿宋_GBK"/>
                <w:color w:val="000000"/>
                <w:spacing w:val="-2"/>
                <w:szCs w:val="21"/>
              </w:rPr>
            </w:pPr>
            <w:r>
              <w:rPr>
                <w:rFonts w:hint="eastAsia" w:eastAsia="方正仿宋_GBK"/>
                <w:color w:val="000000"/>
                <w:spacing w:val="-2"/>
                <w:szCs w:val="21"/>
              </w:rPr>
              <w:t>社区用房</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rPr>
              <w:t xml:space="preserve"> </w:t>
            </w:r>
            <w:r>
              <w:rPr>
                <w:rFonts w:hint="eastAsia" w:eastAsia="方正仿宋_GBK"/>
                <w:color w:val="000000"/>
                <w:spacing w:val="-2"/>
                <w:szCs w:val="21"/>
              </w:rPr>
              <w:t>架空层</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rPr>
              <w:t xml:space="preserve"> </w:t>
            </w:r>
            <w:r>
              <w:rPr>
                <w:rFonts w:hint="eastAsia" w:eastAsia="方正仿宋_GBK"/>
                <w:color w:val="000000"/>
                <w:spacing w:val="-2"/>
                <w:szCs w:val="21"/>
              </w:rPr>
              <w:t>人防</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rPr>
              <w:t xml:space="preserve">    </w:t>
            </w:r>
            <w:r>
              <w:rPr>
                <w:rFonts w:hint="eastAsia" w:eastAsia="方正仿宋_GBK"/>
                <w:color w:val="000000"/>
                <w:spacing w:val="-2"/>
                <w:szCs w:val="21"/>
              </w:rPr>
              <w:t>会所</w:t>
            </w:r>
            <w:r>
              <w:rPr>
                <w:rFonts w:eastAsia="方正仿宋_GBK"/>
                <w:color w:val="000000"/>
                <w:spacing w:val="-2"/>
                <w:szCs w:val="21"/>
                <w:u w:val="single"/>
              </w:rPr>
              <w:t xml:space="preserve">        </w:t>
            </w:r>
            <w:r>
              <w:rPr>
                <w:rFonts w:hint="eastAsia" w:eastAsia="方正仿宋_GBK"/>
                <w:color w:val="000000"/>
                <w:spacing w:val="-2"/>
                <w:szCs w:val="21"/>
              </w:rPr>
              <w:t>㎡；其它</w:t>
            </w:r>
            <w:r>
              <w:rPr>
                <w:rFonts w:eastAsia="方正仿宋_GBK"/>
                <w:color w:val="000000"/>
                <w:spacing w:val="-2"/>
                <w:szCs w:val="21"/>
                <w:u w:val="single"/>
              </w:rPr>
              <w:t xml:space="preserve">         </w:t>
            </w:r>
            <w:r>
              <w:rPr>
                <w:rFonts w:hint="eastAsia" w:eastAsia="方正仿宋_GBK"/>
                <w:color w:val="000000"/>
                <w:spacing w:val="-2"/>
                <w:szCs w:val="21"/>
              </w:rPr>
              <w:t>㎡</w:t>
            </w:r>
            <w:r>
              <w:rPr>
                <w:rFonts w:eastAsia="方正仿宋_GBK"/>
                <w:color w:val="000000"/>
                <w:spacing w:val="-2"/>
                <w:szCs w:val="21"/>
              </w:rPr>
              <w:t xml:space="preserve">  </w:t>
            </w:r>
            <w:r>
              <w:rPr>
                <w:rFonts w:hint="eastAsia" w:eastAsia="方正仿宋_GBK"/>
                <w:color w:val="000000"/>
                <w:spacing w:val="-2"/>
                <w:szCs w:val="21"/>
              </w:rPr>
              <w:t>。</w:t>
            </w:r>
          </w:p>
          <w:p>
            <w:pPr>
              <w:rPr>
                <w:rFonts w:eastAsia="方正仿宋_GBK"/>
                <w:color w:val="000000"/>
                <w:spacing w:val="-2"/>
                <w:szCs w:val="21"/>
              </w:rPr>
            </w:pPr>
            <w:r>
              <w:rPr>
                <w:rFonts w:hint="eastAsia" w:eastAsia="方正仿宋_GBK"/>
                <w:color w:val="000000"/>
                <w:spacing w:val="-2"/>
                <w:szCs w:val="21"/>
              </w:rPr>
              <w:t>合计</w:t>
            </w:r>
            <w:r>
              <w:rPr>
                <w:rFonts w:eastAsia="方正仿宋_GBK"/>
                <w:color w:val="000000"/>
                <w:spacing w:val="-2"/>
                <w:szCs w:val="21"/>
                <w:u w:val="single"/>
              </w:rPr>
              <w:t xml:space="preserve">                </w:t>
            </w:r>
            <w:r>
              <w:rPr>
                <w:rFonts w:hint="eastAsia" w:eastAsia="方正仿宋_GBK"/>
                <w:color w:val="000000"/>
                <w:spacing w:val="-2"/>
                <w:szCs w:val="21"/>
              </w:rPr>
              <w:t>㎡。</w:t>
            </w:r>
          </w:p>
        </w:tc>
      </w:tr>
    </w:tbl>
    <w:p>
      <w:pPr>
        <w:spacing w:line="360" w:lineRule="auto"/>
        <w:ind w:firstLine="472" w:firstLineChars="200"/>
        <w:rPr>
          <w:rFonts w:eastAsia="方正仿宋_GBK"/>
          <w:color w:val="000000"/>
          <w:spacing w:val="-2"/>
          <w:sz w:val="24"/>
        </w:rPr>
      </w:pPr>
      <w:r>
        <w:rPr>
          <w:rFonts w:hint="eastAsia" w:ascii="Times New Roman" w:eastAsia="方正黑体_GBK"/>
          <w:color w:val="000000"/>
          <w:spacing w:val="-2"/>
          <w:kern w:val="0"/>
          <w:sz w:val="24"/>
        </w:rPr>
        <w:t>第二条</w:t>
      </w:r>
      <w:r>
        <w:rPr>
          <w:rFonts w:eastAsia="方正仿宋_GBK"/>
          <w:color w:val="000000"/>
          <w:spacing w:val="-2"/>
          <w:sz w:val="24"/>
        </w:rPr>
        <w:t xml:space="preserve">  </w:t>
      </w:r>
      <w:r>
        <w:rPr>
          <w:rFonts w:hint="eastAsia" w:eastAsia="方正仿宋_GBK"/>
          <w:color w:val="000000"/>
          <w:spacing w:val="-2"/>
          <w:sz w:val="24"/>
        </w:rPr>
        <w:t>申请预售商品房情况</w:t>
      </w:r>
    </w:p>
    <w:p>
      <w:pPr>
        <w:spacing w:line="420" w:lineRule="exact"/>
        <w:ind w:firstLine="472" w:firstLineChars="200"/>
        <w:rPr>
          <w:rFonts w:eastAsia="方正仿宋_GBK"/>
          <w:color w:val="000000"/>
          <w:spacing w:val="-2"/>
          <w:sz w:val="24"/>
          <w:u w:val="single"/>
        </w:rPr>
      </w:pPr>
      <w:r>
        <w:rPr>
          <w:rFonts w:hint="eastAsia" w:eastAsia="方正仿宋_GBK"/>
          <w:color w:val="000000"/>
          <w:spacing w:val="-2"/>
          <w:sz w:val="24"/>
        </w:rPr>
        <w:t>本次申请预售商品房共</w:t>
      </w:r>
      <w:r>
        <w:rPr>
          <w:rFonts w:eastAsia="方正仿宋_GBK"/>
          <w:color w:val="000000"/>
          <w:spacing w:val="-2"/>
          <w:sz w:val="24"/>
          <w:u w:val="single"/>
        </w:rPr>
        <w:t xml:space="preserve">   </w:t>
      </w:r>
      <w:r>
        <w:rPr>
          <w:rFonts w:hint="eastAsia" w:eastAsia="方正仿宋_GBK"/>
          <w:color w:val="000000"/>
          <w:spacing w:val="-2"/>
          <w:sz w:val="24"/>
        </w:rPr>
        <w:t>幢，总面积为</w:t>
      </w:r>
      <w:r>
        <w:rPr>
          <w:rFonts w:eastAsia="方正仿宋_GBK"/>
          <w:color w:val="000000"/>
          <w:spacing w:val="-2"/>
          <w:sz w:val="24"/>
          <w:u w:val="single"/>
        </w:rPr>
        <w:t xml:space="preserve">       </w:t>
      </w:r>
      <w:r>
        <w:rPr>
          <w:rFonts w:hint="eastAsia" w:eastAsia="方正仿宋_GBK"/>
          <w:color w:val="000000"/>
          <w:spacing w:val="-2"/>
          <w:sz w:val="24"/>
        </w:rPr>
        <w:t>㎡，其中</w:t>
      </w:r>
      <w:r>
        <w:rPr>
          <w:rFonts w:eastAsia="方正仿宋_GBK"/>
          <w:color w:val="000000"/>
          <w:spacing w:val="-2"/>
          <w:sz w:val="24"/>
          <w:u w:val="single"/>
        </w:rPr>
        <w:t xml:space="preserve">    </w:t>
      </w:r>
      <w:r>
        <w:rPr>
          <w:rFonts w:hint="eastAsia" w:eastAsia="方正仿宋_GBK"/>
          <w:color w:val="000000"/>
          <w:spacing w:val="-2"/>
          <w:sz w:val="24"/>
        </w:rPr>
        <w:t>幢，面积</w:t>
      </w:r>
      <w:r>
        <w:rPr>
          <w:rFonts w:eastAsia="方正仿宋_GBK"/>
          <w:color w:val="000000"/>
          <w:spacing w:val="-2"/>
          <w:sz w:val="24"/>
          <w:u w:val="single"/>
        </w:rPr>
        <w:t xml:space="preserve">     </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幢，面积</w:t>
      </w:r>
      <w:r>
        <w:rPr>
          <w:rFonts w:eastAsia="方正仿宋_GBK"/>
          <w:color w:val="000000"/>
          <w:spacing w:val="-2"/>
          <w:sz w:val="24"/>
          <w:u w:val="single"/>
        </w:rPr>
        <w:t xml:space="preserve">     </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幢，面积</w:t>
      </w:r>
      <w:r>
        <w:rPr>
          <w:rFonts w:eastAsia="方正仿宋_GBK"/>
          <w:color w:val="000000"/>
          <w:spacing w:val="-2"/>
          <w:sz w:val="24"/>
          <w:u w:val="single"/>
        </w:rPr>
        <w:t xml:space="preserve">     </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幢，面积</w:t>
      </w:r>
      <w:r>
        <w:rPr>
          <w:rFonts w:eastAsia="方正仿宋_GBK"/>
          <w:color w:val="000000"/>
          <w:spacing w:val="-2"/>
          <w:sz w:val="24"/>
          <w:u w:val="single"/>
        </w:rPr>
        <w:t xml:space="preserve">     </w:t>
      </w:r>
      <w:r>
        <w:rPr>
          <w:rFonts w:hint="eastAsia" w:eastAsia="方正仿宋_GBK"/>
          <w:color w:val="000000"/>
          <w:spacing w:val="-2"/>
          <w:sz w:val="24"/>
        </w:rPr>
        <w:t>㎡。</w:t>
      </w:r>
    </w:p>
    <w:p>
      <w:pPr>
        <w:spacing w:line="420" w:lineRule="exact"/>
        <w:ind w:firstLine="472" w:firstLineChars="200"/>
        <w:rPr>
          <w:rFonts w:eastAsia="方正仿宋_GBK"/>
          <w:color w:val="000000"/>
          <w:spacing w:val="-2"/>
          <w:sz w:val="24"/>
        </w:rPr>
      </w:pPr>
      <w:r>
        <w:rPr>
          <w:rFonts w:eastAsia="方正仿宋_GBK"/>
          <w:color w:val="000000"/>
          <w:spacing w:val="-2"/>
          <w:sz w:val="24"/>
        </w:rPr>
        <w:br w:type="column"/>
      </w:r>
      <w:r>
        <w:rPr>
          <w:rFonts w:eastAsia="方正仿宋_GBK"/>
          <w:color w:val="000000"/>
          <w:spacing w:val="-2"/>
          <w:sz w:val="24"/>
        </w:rPr>
        <w:t>1.</w:t>
      </w:r>
      <w:r>
        <w:rPr>
          <w:rFonts w:hint="eastAsia" w:eastAsia="方正仿宋_GBK"/>
          <w:color w:val="000000"/>
          <w:spacing w:val="-2"/>
          <w:sz w:val="24"/>
        </w:rPr>
        <w:t>分幢情况。</w:t>
      </w:r>
    </w:p>
    <w:tbl>
      <w:tblPr>
        <w:tblStyle w:val="12"/>
        <w:tblW w:w="0" w:type="auto"/>
        <w:tblInd w:w="124"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2"/>
        <w:gridCol w:w="1676"/>
        <w:gridCol w:w="1956"/>
        <w:gridCol w:w="323"/>
        <w:gridCol w:w="2119"/>
        <w:gridCol w:w="247"/>
        <w:gridCol w:w="200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7" w:hRule="atLeast"/>
        </w:trPr>
        <w:tc>
          <w:tcPr>
            <w:tcW w:w="8782" w:type="dxa"/>
            <w:gridSpan w:val="7"/>
            <w:tcBorders>
              <w:top w:val="single" w:color="auto" w:sz="8" w:space="0"/>
              <w:left w:val="single" w:color="auto" w:sz="8" w:space="0"/>
              <w:bottom w:val="single" w:color="auto" w:sz="4" w:space="0"/>
              <w:right w:val="single" w:color="auto" w:sz="8" w:space="0"/>
            </w:tcBorders>
            <w:noWrap w:val="0"/>
            <w:vAlign w:val="center"/>
          </w:tcPr>
          <w:p>
            <w:pPr>
              <w:spacing w:line="440" w:lineRule="exact"/>
              <w:jc w:val="center"/>
              <w:rPr>
                <w:rFonts w:eastAsia="方正仿宋_GBK"/>
                <w:b/>
                <w:color w:val="000000"/>
                <w:spacing w:val="-2"/>
                <w:sz w:val="24"/>
                <w:u w:val="single"/>
              </w:rPr>
            </w:pPr>
            <w:r>
              <w:rPr>
                <w:rFonts w:hint="eastAsia" w:eastAsia="方正仿宋_GBK"/>
                <w:b/>
                <w:color w:val="000000"/>
                <w:spacing w:val="-2"/>
                <w:sz w:val="24"/>
              </w:rPr>
              <w:t>房屋概况（幢号：</w:t>
            </w:r>
            <w:r>
              <w:rPr>
                <w:rFonts w:eastAsia="方正仿宋_GBK"/>
                <w:b/>
                <w:color w:val="000000"/>
                <w:spacing w:val="-2"/>
                <w:sz w:val="24"/>
                <w:u w:val="single"/>
              </w:rPr>
              <w:t xml:space="preserve">         </w:t>
            </w:r>
            <w:r>
              <w:rPr>
                <w:rFonts w:hint="eastAsia" w:eastAsia="方正仿宋_GBK"/>
                <w:b/>
                <w:color w:val="000000"/>
                <w:spacing w:val="-2"/>
                <w:sz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7" w:hRule="atLeast"/>
        </w:trPr>
        <w:tc>
          <w:tcPr>
            <w:tcW w:w="8782" w:type="dxa"/>
            <w:gridSpan w:val="7"/>
            <w:tcBorders>
              <w:top w:val="single" w:color="auto" w:sz="4" w:space="0"/>
              <w:left w:val="single" w:color="auto" w:sz="8" w:space="0"/>
              <w:bottom w:val="single" w:color="auto" w:sz="4" w:space="0"/>
              <w:right w:val="single" w:color="auto" w:sz="8" w:space="0"/>
            </w:tcBorders>
            <w:noWrap w:val="0"/>
            <w:vAlign w:val="center"/>
          </w:tcPr>
          <w:p>
            <w:pPr>
              <w:spacing w:line="440" w:lineRule="exact"/>
              <w:rPr>
                <w:rFonts w:eastAsia="方正仿宋_GBK"/>
                <w:color w:val="000000"/>
                <w:spacing w:val="-2"/>
                <w:sz w:val="24"/>
              </w:rPr>
            </w:pPr>
            <w:r>
              <w:rPr>
                <w:rFonts w:hint="eastAsia" w:eastAsia="方正仿宋_GBK"/>
                <w:color w:val="000000"/>
                <w:spacing w:val="-2"/>
                <w:sz w:val="24"/>
              </w:rPr>
              <w:t>总层数</w:t>
            </w:r>
            <w:r>
              <w:rPr>
                <w:rFonts w:eastAsia="方正仿宋_GBK"/>
                <w:color w:val="000000"/>
                <w:spacing w:val="-2"/>
                <w:sz w:val="24"/>
                <w:u w:val="single"/>
              </w:rPr>
              <w:t xml:space="preserve">         </w:t>
            </w:r>
            <w:r>
              <w:rPr>
                <w:rFonts w:hint="eastAsia" w:eastAsia="方正仿宋_GBK"/>
                <w:color w:val="000000"/>
                <w:spacing w:val="-2"/>
                <w:sz w:val="24"/>
              </w:rPr>
              <w:t>层（其中地上</w:t>
            </w:r>
            <w:r>
              <w:rPr>
                <w:rFonts w:eastAsia="方正仿宋_GBK"/>
                <w:color w:val="000000"/>
                <w:spacing w:val="-2"/>
                <w:sz w:val="24"/>
                <w:u w:val="single"/>
              </w:rPr>
              <w:t xml:space="preserve">             </w:t>
            </w:r>
            <w:r>
              <w:rPr>
                <w:rFonts w:hint="eastAsia" w:eastAsia="方正仿宋_GBK"/>
                <w:color w:val="000000"/>
                <w:spacing w:val="-2"/>
                <w:sz w:val="24"/>
              </w:rPr>
              <w:t>层，地下（含半地下）</w:t>
            </w:r>
            <w:r>
              <w:rPr>
                <w:rFonts w:eastAsia="方正仿宋_GBK"/>
                <w:color w:val="000000"/>
                <w:spacing w:val="-2"/>
                <w:sz w:val="24"/>
                <w:u w:val="single"/>
              </w:rPr>
              <w:t xml:space="preserve">              </w:t>
            </w:r>
            <w:r>
              <w:rPr>
                <w:rFonts w:hint="eastAsia" w:eastAsia="方正仿宋_GBK"/>
                <w:color w:val="000000"/>
                <w:spacing w:val="-2"/>
                <w:sz w:val="24"/>
              </w:rPr>
              <w:t>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452" w:type="dxa"/>
            <w:vMerge w:val="restart"/>
            <w:tcBorders>
              <w:top w:val="single" w:color="auto" w:sz="4" w:space="0"/>
              <w:left w:val="single" w:color="auto" w:sz="8"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bCs/>
                <w:color w:val="000000"/>
                <w:spacing w:val="-2"/>
                <w:sz w:val="24"/>
              </w:rPr>
              <w:t>权利受限情况</w:t>
            </w:r>
          </w:p>
        </w:tc>
        <w:tc>
          <w:tcPr>
            <w:tcW w:w="167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bCs/>
                <w:color w:val="000000"/>
                <w:spacing w:val="-2"/>
                <w:sz w:val="24"/>
              </w:rPr>
              <w:t>土地抵押情况</w:t>
            </w: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rPr>
                <w:rFonts w:eastAsia="方正仿宋_GBK"/>
                <w:bCs/>
                <w:color w:val="000000"/>
                <w:spacing w:val="-2"/>
                <w:sz w:val="24"/>
              </w:rPr>
            </w:pPr>
            <w:r>
              <w:rPr>
                <w:rFonts w:hint="eastAsia" w:eastAsia="方正仿宋_GBK"/>
                <w:color w:val="000000"/>
                <w:spacing w:val="-2"/>
                <w:sz w:val="24"/>
              </w:rPr>
              <w:t>有</w:t>
            </w:r>
            <w:r>
              <w:rPr>
                <w:rFonts w:hint="eastAsia" w:ascii="Times New Roman" w:hAnsi="Times New Roman"/>
                <w:color w:val="000000"/>
                <w:spacing w:val="-2"/>
                <w:sz w:val="24"/>
              </w:rPr>
              <w:t>□</w:t>
            </w:r>
            <w:r>
              <w:rPr>
                <w:rFonts w:eastAsia="方正仿宋_GBK"/>
                <w:color w:val="000000"/>
                <w:spacing w:val="-2"/>
                <w:sz w:val="24"/>
              </w:rPr>
              <w:t>,</w:t>
            </w:r>
            <w:r>
              <w:rPr>
                <w:rFonts w:hint="eastAsia" w:eastAsia="方正仿宋_GBK"/>
                <w:color w:val="000000"/>
                <w:spacing w:val="-2"/>
                <w:sz w:val="24"/>
              </w:rPr>
              <w:t>抵押权人：</w:t>
            </w:r>
            <w:r>
              <w:rPr>
                <w:rFonts w:eastAsia="方正仿宋_GBK"/>
                <w:color w:val="000000"/>
                <w:spacing w:val="-2"/>
                <w:sz w:val="24"/>
              </w:rPr>
              <w:t xml:space="preserve">             </w:t>
            </w:r>
            <w:r>
              <w:rPr>
                <w:rFonts w:hint="eastAsia" w:eastAsia="方正仿宋_GBK"/>
                <w:color w:val="000000"/>
                <w:spacing w:val="-2"/>
                <w:sz w:val="24"/>
              </w:rPr>
              <w:t>，抵押期限：</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09" w:hRule="atLeast"/>
        </w:trPr>
        <w:tc>
          <w:tcPr>
            <w:tcW w:w="45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 w:val="24"/>
              </w:rPr>
            </w:pPr>
          </w:p>
        </w:tc>
        <w:tc>
          <w:tcPr>
            <w:tcW w:w="167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bCs/>
                <w:color w:val="000000"/>
                <w:spacing w:val="-2"/>
                <w:sz w:val="24"/>
              </w:rPr>
            </w:pP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rPr>
                <w:rFonts w:eastAsia="方正仿宋_GBK"/>
                <w:color w:val="000000"/>
                <w:spacing w:val="-2"/>
                <w:sz w:val="24"/>
              </w:rPr>
            </w:pPr>
            <w:r>
              <w:rPr>
                <w:rFonts w:hint="eastAsia" w:eastAsia="方正仿宋_GBK"/>
                <w:color w:val="000000"/>
                <w:spacing w:val="-2"/>
                <w:sz w:val="24"/>
              </w:rPr>
              <w:t>无</w:t>
            </w:r>
            <w:r>
              <w:rPr>
                <w:rFonts w:hint="eastAsia" w:ascii="Times New Roman" w:hAnsi="Times New Roman"/>
                <w:color w:val="000000"/>
                <w:spacing w:val="-2"/>
                <w:sz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0" w:hRule="atLeast"/>
        </w:trPr>
        <w:tc>
          <w:tcPr>
            <w:tcW w:w="45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 w:val="24"/>
              </w:rPr>
            </w:pPr>
          </w:p>
        </w:tc>
        <w:tc>
          <w:tcPr>
            <w:tcW w:w="167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bCs/>
                <w:color w:val="000000"/>
                <w:spacing w:val="-2"/>
                <w:sz w:val="24"/>
              </w:rPr>
              <w:t>工程抵押情况</w:t>
            </w: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rPr>
                <w:rFonts w:eastAsia="方正仿宋_GBK"/>
                <w:bCs/>
                <w:color w:val="000000"/>
                <w:spacing w:val="-2"/>
                <w:sz w:val="24"/>
              </w:rPr>
            </w:pPr>
            <w:r>
              <w:rPr>
                <w:rFonts w:hint="eastAsia" w:eastAsia="方正仿宋_GBK"/>
                <w:color w:val="000000"/>
                <w:spacing w:val="-2"/>
                <w:sz w:val="24"/>
              </w:rPr>
              <w:t>有</w:t>
            </w:r>
            <w:r>
              <w:rPr>
                <w:rFonts w:hint="eastAsia" w:ascii="Times New Roman" w:hAnsi="Times New Roman"/>
                <w:color w:val="000000"/>
                <w:spacing w:val="-2"/>
                <w:sz w:val="24"/>
              </w:rPr>
              <w:t>□</w:t>
            </w:r>
            <w:r>
              <w:rPr>
                <w:rFonts w:eastAsia="方正仿宋_GBK"/>
                <w:color w:val="000000"/>
                <w:spacing w:val="-2"/>
                <w:sz w:val="24"/>
              </w:rPr>
              <w:t>,</w:t>
            </w:r>
            <w:r>
              <w:rPr>
                <w:rFonts w:hint="eastAsia" w:eastAsia="方正仿宋_GBK"/>
                <w:color w:val="000000"/>
                <w:spacing w:val="-2"/>
                <w:sz w:val="24"/>
              </w:rPr>
              <w:t>抵押权人：</w:t>
            </w:r>
            <w:r>
              <w:rPr>
                <w:rFonts w:eastAsia="方正仿宋_GBK"/>
                <w:color w:val="000000"/>
                <w:spacing w:val="-2"/>
                <w:sz w:val="24"/>
              </w:rPr>
              <w:t xml:space="preserve">             </w:t>
            </w:r>
            <w:r>
              <w:rPr>
                <w:rFonts w:hint="eastAsia" w:eastAsia="方正仿宋_GBK"/>
                <w:color w:val="000000"/>
                <w:spacing w:val="-2"/>
                <w:sz w:val="24"/>
              </w:rPr>
              <w:t>，抵押期限：</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0" w:hRule="atLeast"/>
        </w:trPr>
        <w:tc>
          <w:tcPr>
            <w:tcW w:w="45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 w:val="24"/>
              </w:rPr>
            </w:pPr>
          </w:p>
        </w:tc>
        <w:tc>
          <w:tcPr>
            <w:tcW w:w="167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bCs/>
                <w:color w:val="000000"/>
                <w:spacing w:val="-2"/>
                <w:sz w:val="24"/>
              </w:rPr>
            </w:pP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rPr>
                <w:rFonts w:eastAsia="方正仿宋_GBK"/>
                <w:color w:val="000000"/>
                <w:spacing w:val="-2"/>
                <w:sz w:val="24"/>
              </w:rPr>
            </w:pPr>
            <w:r>
              <w:rPr>
                <w:rFonts w:hint="eastAsia" w:eastAsia="方正仿宋_GBK"/>
                <w:color w:val="000000"/>
                <w:spacing w:val="-2"/>
                <w:sz w:val="24"/>
              </w:rPr>
              <w:t>无</w:t>
            </w:r>
            <w:r>
              <w:rPr>
                <w:rFonts w:hint="eastAsia" w:ascii="Times New Roman" w:hAnsi="Times New Roman"/>
                <w:color w:val="000000"/>
                <w:spacing w:val="-2"/>
                <w:sz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5" w:hRule="atLeast"/>
        </w:trPr>
        <w:tc>
          <w:tcPr>
            <w:tcW w:w="45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 w:val="24"/>
              </w:rPr>
            </w:pPr>
          </w:p>
        </w:tc>
        <w:tc>
          <w:tcPr>
            <w:tcW w:w="1676"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bCs/>
                <w:color w:val="000000"/>
                <w:spacing w:val="-2"/>
                <w:sz w:val="24"/>
              </w:rPr>
              <w:t>其他受限情况</w:t>
            </w: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rPr>
                <w:rFonts w:eastAsia="方正仿宋_GBK"/>
                <w:bCs/>
                <w:color w:val="000000"/>
                <w:spacing w:val="-2"/>
                <w:sz w:val="24"/>
              </w:rPr>
            </w:pPr>
            <w:r>
              <w:rPr>
                <w:rFonts w:hint="eastAsia" w:eastAsia="方正仿宋_GBK"/>
                <w:color w:val="000000"/>
                <w:spacing w:val="-2"/>
                <w:sz w:val="24"/>
              </w:rPr>
              <w:t>有</w:t>
            </w:r>
            <w:r>
              <w:rPr>
                <w:rFonts w:hint="eastAsia" w:ascii="Times New Roman" w:hAnsi="Times New Roman"/>
                <w:color w:val="000000"/>
                <w:spacing w:val="-2"/>
                <w:sz w:val="24"/>
              </w:rPr>
              <w:t>□</w:t>
            </w:r>
            <w:r>
              <w:rPr>
                <w:rFonts w:eastAsia="方正仿宋_GBK"/>
                <w:color w:val="000000"/>
                <w:spacing w:val="-2"/>
                <w:sz w:val="24"/>
              </w:rPr>
              <w:t>,</w:t>
            </w:r>
            <w:r>
              <w:rPr>
                <w:rFonts w:hint="eastAsia" w:eastAsia="方正仿宋_GBK"/>
                <w:color w:val="000000"/>
                <w:spacing w:val="-2"/>
                <w:sz w:val="24"/>
              </w:rPr>
              <w:t>抵押权人：</w:t>
            </w:r>
            <w:r>
              <w:rPr>
                <w:rFonts w:eastAsia="方正仿宋_GBK"/>
                <w:color w:val="000000"/>
                <w:spacing w:val="-2"/>
                <w:sz w:val="24"/>
              </w:rPr>
              <w:t xml:space="preserve">             </w:t>
            </w:r>
            <w:r>
              <w:rPr>
                <w:rFonts w:hint="eastAsia" w:eastAsia="方正仿宋_GBK"/>
                <w:color w:val="000000"/>
                <w:spacing w:val="-2"/>
                <w:sz w:val="24"/>
              </w:rPr>
              <w:t>，抵押期限：</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95" w:hRule="atLeast"/>
        </w:trPr>
        <w:tc>
          <w:tcPr>
            <w:tcW w:w="45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 w:val="24"/>
              </w:rPr>
            </w:pPr>
          </w:p>
        </w:tc>
        <w:tc>
          <w:tcPr>
            <w:tcW w:w="167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bCs/>
                <w:color w:val="000000"/>
                <w:spacing w:val="-2"/>
                <w:sz w:val="24"/>
              </w:rPr>
            </w:pP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rPr>
                <w:rFonts w:eastAsia="方正仿宋_GBK"/>
                <w:color w:val="000000"/>
                <w:spacing w:val="-2"/>
                <w:sz w:val="24"/>
              </w:rPr>
            </w:pPr>
            <w:r>
              <w:rPr>
                <w:rFonts w:hint="eastAsia" w:eastAsia="方正仿宋_GBK"/>
                <w:color w:val="000000"/>
                <w:spacing w:val="-2"/>
                <w:sz w:val="24"/>
              </w:rPr>
              <w:t>无</w:t>
            </w:r>
            <w:r>
              <w:rPr>
                <w:rFonts w:hint="eastAsia" w:ascii="Times New Roman" w:hAnsi="Times New Roman"/>
                <w:color w:val="000000"/>
                <w:spacing w:val="-2"/>
                <w:sz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2128" w:type="dxa"/>
            <w:gridSpan w:val="2"/>
            <w:tcBorders>
              <w:top w:val="single" w:color="auto" w:sz="4" w:space="0"/>
              <w:left w:val="single" w:color="auto" w:sz="8"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bCs/>
                <w:color w:val="000000"/>
                <w:spacing w:val="-2"/>
                <w:sz w:val="24"/>
              </w:rPr>
              <w:t>建设工程规划</w:t>
            </w:r>
          </w:p>
          <w:p>
            <w:pPr>
              <w:spacing w:line="440" w:lineRule="exact"/>
              <w:jc w:val="center"/>
              <w:rPr>
                <w:rFonts w:eastAsia="方正仿宋_GBK"/>
                <w:bCs/>
                <w:color w:val="000000"/>
                <w:spacing w:val="-2"/>
                <w:sz w:val="24"/>
              </w:rPr>
            </w:pPr>
            <w:r>
              <w:rPr>
                <w:rFonts w:hint="eastAsia" w:eastAsia="方正仿宋_GBK"/>
                <w:bCs/>
                <w:color w:val="000000"/>
                <w:spacing w:val="-2"/>
                <w:sz w:val="24"/>
              </w:rPr>
              <w:t>许可证号</w:t>
            </w:r>
          </w:p>
        </w:tc>
        <w:tc>
          <w:tcPr>
            <w:tcW w:w="2279"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p>
        </w:tc>
        <w:tc>
          <w:tcPr>
            <w:tcW w:w="211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color w:val="000000"/>
                <w:spacing w:val="-2"/>
                <w:sz w:val="24"/>
              </w:rPr>
              <w:t>规划批建面积</w:t>
            </w:r>
          </w:p>
        </w:tc>
        <w:tc>
          <w:tcPr>
            <w:tcW w:w="2256" w:type="dxa"/>
            <w:gridSpan w:val="2"/>
            <w:tcBorders>
              <w:top w:val="single" w:color="auto" w:sz="4" w:space="0"/>
              <w:left w:val="single" w:color="auto" w:sz="4" w:space="0"/>
              <w:bottom w:val="single" w:color="auto" w:sz="4" w:space="0"/>
              <w:right w:val="single" w:color="auto" w:sz="8" w:space="0"/>
            </w:tcBorders>
            <w:noWrap w:val="0"/>
            <w:vAlign w:val="center"/>
          </w:tcPr>
          <w:p>
            <w:pPr>
              <w:spacing w:line="440" w:lineRule="exact"/>
              <w:jc w:val="center"/>
              <w:rPr>
                <w:rFonts w:eastAsia="方正仿宋_GBK"/>
                <w:bCs/>
                <w:color w:val="000000"/>
                <w:spacing w:val="-2"/>
                <w:sz w:val="24"/>
              </w:rPr>
            </w:pPr>
            <w:r>
              <w:rPr>
                <w:rFonts w:eastAsia="方正仿宋_GBK"/>
                <w:color w:val="000000"/>
                <w:spacing w:val="-2"/>
                <w:sz w:val="24"/>
                <w:u w:val="single"/>
              </w:rPr>
              <w:t xml:space="preserve">                </w:t>
            </w:r>
            <w:r>
              <w:rPr>
                <w:rFonts w:hint="eastAsia" w:eastAsia="方正仿宋_GBK"/>
                <w:color w:val="000000"/>
                <w:spacing w:val="-2"/>
                <w:sz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2128" w:type="dxa"/>
            <w:gridSpan w:val="2"/>
            <w:tcBorders>
              <w:top w:val="single" w:color="auto" w:sz="4" w:space="0"/>
              <w:left w:val="single" w:color="auto" w:sz="8"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bCs/>
                <w:color w:val="000000"/>
                <w:spacing w:val="-2"/>
                <w:sz w:val="24"/>
              </w:rPr>
              <w:t>施工许可证号</w:t>
            </w:r>
          </w:p>
        </w:tc>
        <w:tc>
          <w:tcPr>
            <w:tcW w:w="2279"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p>
        </w:tc>
        <w:tc>
          <w:tcPr>
            <w:tcW w:w="211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bCs/>
                <w:color w:val="000000"/>
                <w:spacing w:val="-2"/>
                <w:sz w:val="24"/>
              </w:rPr>
              <w:t>施工合同号</w:t>
            </w:r>
          </w:p>
        </w:tc>
        <w:tc>
          <w:tcPr>
            <w:tcW w:w="2256" w:type="dxa"/>
            <w:gridSpan w:val="2"/>
            <w:tcBorders>
              <w:top w:val="single" w:color="auto" w:sz="4" w:space="0"/>
              <w:left w:val="single" w:color="auto" w:sz="4" w:space="0"/>
              <w:bottom w:val="single" w:color="auto" w:sz="4" w:space="0"/>
              <w:right w:val="single" w:color="auto" w:sz="8" w:space="0"/>
            </w:tcBorders>
            <w:noWrap w:val="0"/>
            <w:vAlign w:val="center"/>
          </w:tcPr>
          <w:p>
            <w:pPr>
              <w:spacing w:line="440" w:lineRule="exact"/>
              <w:jc w:val="center"/>
              <w:rPr>
                <w:rFonts w:eastAsia="方正仿宋_GBK"/>
                <w:bCs/>
                <w:color w:val="000000"/>
                <w:spacing w:val="-2"/>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2128" w:type="dxa"/>
            <w:gridSpan w:val="2"/>
            <w:tcBorders>
              <w:top w:val="single" w:color="auto" w:sz="4" w:space="0"/>
              <w:left w:val="single" w:color="auto" w:sz="8"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bCs/>
                <w:color w:val="000000"/>
                <w:spacing w:val="-2"/>
                <w:sz w:val="24"/>
              </w:rPr>
              <w:t>开工日期</w:t>
            </w:r>
          </w:p>
        </w:tc>
        <w:tc>
          <w:tcPr>
            <w:tcW w:w="2279" w:type="dxa"/>
            <w:gridSpan w:val="2"/>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p>
        </w:tc>
        <w:tc>
          <w:tcPr>
            <w:tcW w:w="2119"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bCs/>
                <w:color w:val="000000"/>
                <w:spacing w:val="-2"/>
                <w:sz w:val="24"/>
              </w:rPr>
              <w:t>竣工日期</w:t>
            </w:r>
          </w:p>
        </w:tc>
        <w:tc>
          <w:tcPr>
            <w:tcW w:w="2256" w:type="dxa"/>
            <w:gridSpan w:val="2"/>
            <w:tcBorders>
              <w:top w:val="single" w:color="auto" w:sz="4" w:space="0"/>
              <w:left w:val="single" w:color="auto" w:sz="4" w:space="0"/>
              <w:bottom w:val="single" w:color="auto" w:sz="4" w:space="0"/>
              <w:right w:val="single" w:color="auto" w:sz="8" w:space="0"/>
            </w:tcBorders>
            <w:noWrap w:val="0"/>
            <w:vAlign w:val="center"/>
          </w:tcPr>
          <w:p>
            <w:pPr>
              <w:spacing w:line="440" w:lineRule="exact"/>
              <w:jc w:val="center"/>
              <w:rPr>
                <w:rFonts w:eastAsia="方正仿宋_GBK"/>
                <w:bCs/>
                <w:color w:val="000000"/>
                <w:spacing w:val="-2"/>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2128" w:type="dxa"/>
            <w:gridSpan w:val="2"/>
            <w:tcBorders>
              <w:top w:val="single" w:color="auto" w:sz="4" w:space="0"/>
              <w:left w:val="single" w:color="auto" w:sz="8" w:space="0"/>
              <w:bottom w:val="single" w:color="auto" w:sz="4" w:space="0"/>
              <w:right w:val="single" w:color="auto" w:sz="4" w:space="0"/>
            </w:tcBorders>
            <w:noWrap w:val="0"/>
            <w:vAlign w:val="center"/>
          </w:tcPr>
          <w:p>
            <w:pPr>
              <w:spacing w:line="440" w:lineRule="exact"/>
              <w:jc w:val="center"/>
              <w:rPr>
                <w:rFonts w:eastAsia="方正仿宋_GBK"/>
                <w:bCs/>
                <w:color w:val="000000"/>
                <w:spacing w:val="-2"/>
                <w:sz w:val="24"/>
              </w:rPr>
            </w:pPr>
            <w:r>
              <w:rPr>
                <w:rFonts w:hint="eastAsia" w:eastAsia="方正仿宋_GBK"/>
                <w:color w:val="000000"/>
                <w:spacing w:val="-2"/>
                <w:sz w:val="24"/>
              </w:rPr>
              <w:t>保留用房面积（㎡）</w:t>
            </w: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jc w:val="center"/>
              <w:rPr>
                <w:rFonts w:eastAsia="方正仿宋_GBK"/>
                <w:bCs/>
                <w:color w:val="000000"/>
                <w:spacing w:val="-2"/>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70" w:hRule="atLeast"/>
        </w:trPr>
        <w:tc>
          <w:tcPr>
            <w:tcW w:w="2128" w:type="dxa"/>
            <w:gridSpan w:val="2"/>
            <w:tcBorders>
              <w:top w:val="single" w:color="auto" w:sz="4" w:space="0"/>
              <w:left w:val="single" w:color="auto" w:sz="8" w:space="0"/>
              <w:bottom w:val="single" w:color="auto" w:sz="4" w:space="0"/>
              <w:right w:val="single" w:color="auto" w:sz="4" w:space="0"/>
            </w:tcBorders>
            <w:noWrap w:val="0"/>
            <w:vAlign w:val="center"/>
          </w:tcPr>
          <w:p>
            <w:pPr>
              <w:spacing w:line="440" w:lineRule="exact"/>
              <w:rPr>
                <w:rFonts w:eastAsia="方正仿宋_GBK"/>
                <w:color w:val="000000"/>
                <w:spacing w:val="-2"/>
                <w:sz w:val="24"/>
              </w:rPr>
            </w:pPr>
            <w:r>
              <w:rPr>
                <w:rFonts w:hint="eastAsia" w:eastAsia="方正仿宋_GBK"/>
                <w:color w:val="000000"/>
                <w:spacing w:val="-2"/>
                <w:sz w:val="24"/>
              </w:rPr>
              <w:t>公建配套的具体部位及面积</w:t>
            </w: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rPr>
                <w:rFonts w:eastAsia="方正仿宋_GBK"/>
                <w:color w:val="000000"/>
                <w:spacing w:val="-2"/>
                <w:sz w:val="24"/>
              </w:rPr>
            </w:pPr>
          </w:p>
          <w:p>
            <w:pPr>
              <w:spacing w:line="440" w:lineRule="exact"/>
              <w:rPr>
                <w:rFonts w:eastAsia="方正仿宋_GBK"/>
                <w:color w:val="000000"/>
                <w:spacing w:val="-2"/>
                <w:sz w:val="24"/>
              </w:rPr>
            </w:pPr>
          </w:p>
          <w:p>
            <w:pPr>
              <w:spacing w:line="440" w:lineRule="exact"/>
              <w:rPr>
                <w:rFonts w:eastAsia="方正仿宋_GBK"/>
                <w:color w:val="000000"/>
                <w:spacing w:val="-2"/>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77" w:hRule="atLeast"/>
        </w:trPr>
        <w:tc>
          <w:tcPr>
            <w:tcW w:w="2128" w:type="dxa"/>
            <w:gridSpan w:val="2"/>
            <w:tcBorders>
              <w:top w:val="single" w:color="auto" w:sz="4" w:space="0"/>
              <w:left w:val="single" w:color="auto" w:sz="8" w:space="0"/>
              <w:bottom w:val="single" w:color="auto" w:sz="4" w:space="0"/>
              <w:right w:val="single" w:color="auto" w:sz="4" w:space="0"/>
            </w:tcBorders>
            <w:noWrap w:val="0"/>
            <w:vAlign w:val="center"/>
          </w:tcPr>
          <w:p>
            <w:pPr>
              <w:spacing w:line="440" w:lineRule="exact"/>
              <w:jc w:val="center"/>
              <w:rPr>
                <w:rFonts w:eastAsia="方正仿宋_GBK"/>
                <w:color w:val="000000"/>
                <w:spacing w:val="-2"/>
                <w:sz w:val="24"/>
              </w:rPr>
            </w:pPr>
            <w:r>
              <w:rPr>
                <w:rFonts w:hint="eastAsia" w:eastAsia="方正仿宋_GBK"/>
                <w:color w:val="000000"/>
                <w:spacing w:val="-2"/>
                <w:sz w:val="24"/>
              </w:rPr>
              <w:t>房屋结构</w:t>
            </w: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rPr>
                <w:rFonts w:eastAsia="方正仿宋_GBK"/>
                <w:color w:val="000000"/>
                <w:spacing w:val="-2"/>
                <w:sz w:val="24"/>
              </w:rPr>
            </w:pPr>
            <w:r>
              <w:rPr>
                <w:rFonts w:hint="eastAsia" w:eastAsia="方正仿宋_GBK"/>
                <w:color w:val="000000"/>
                <w:spacing w:val="-2"/>
                <w:sz w:val="24"/>
              </w:rPr>
              <w:t>依据施工许可证填写：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186" w:hRule="atLeast"/>
        </w:trPr>
        <w:tc>
          <w:tcPr>
            <w:tcW w:w="2128" w:type="dxa"/>
            <w:gridSpan w:val="2"/>
            <w:tcBorders>
              <w:top w:val="single" w:color="auto" w:sz="4" w:space="0"/>
              <w:left w:val="single" w:color="auto" w:sz="8" w:space="0"/>
              <w:bottom w:val="single" w:color="auto" w:sz="4" w:space="0"/>
              <w:right w:val="single" w:color="auto" w:sz="4" w:space="0"/>
            </w:tcBorders>
            <w:noWrap w:val="0"/>
            <w:vAlign w:val="center"/>
          </w:tcPr>
          <w:p>
            <w:pPr>
              <w:spacing w:line="440" w:lineRule="exact"/>
              <w:jc w:val="center"/>
              <w:rPr>
                <w:rFonts w:eastAsia="方正仿宋_GBK"/>
                <w:color w:val="000000"/>
                <w:spacing w:val="-2"/>
                <w:sz w:val="24"/>
              </w:rPr>
            </w:pPr>
            <w:r>
              <w:rPr>
                <w:rFonts w:hint="eastAsia" w:eastAsia="方正仿宋_GBK"/>
                <w:color w:val="000000"/>
                <w:spacing w:val="-2"/>
                <w:sz w:val="24"/>
              </w:rPr>
              <w:t>房屋统计</w:t>
            </w:r>
          </w:p>
        </w:tc>
        <w:tc>
          <w:tcPr>
            <w:tcW w:w="6654" w:type="dxa"/>
            <w:gridSpan w:val="5"/>
            <w:tcBorders>
              <w:top w:val="single" w:color="auto" w:sz="4" w:space="0"/>
              <w:left w:val="single" w:color="auto" w:sz="4" w:space="0"/>
              <w:bottom w:val="single" w:color="auto" w:sz="4" w:space="0"/>
              <w:right w:val="single" w:color="auto" w:sz="8" w:space="0"/>
            </w:tcBorders>
            <w:noWrap w:val="0"/>
            <w:vAlign w:val="center"/>
          </w:tcPr>
          <w:p>
            <w:pPr>
              <w:spacing w:line="440" w:lineRule="exact"/>
              <w:rPr>
                <w:rFonts w:eastAsia="方正仿宋_GBK"/>
                <w:color w:val="000000"/>
                <w:spacing w:val="-2"/>
                <w:sz w:val="24"/>
              </w:rPr>
            </w:pPr>
            <w:r>
              <w:rPr>
                <w:rFonts w:hint="eastAsia" w:eastAsia="方正仿宋_GBK"/>
                <w:color w:val="000000"/>
                <w:spacing w:val="-2"/>
                <w:sz w:val="24"/>
              </w:rPr>
              <w:t>（一）住宅共计</w:t>
            </w:r>
            <w:r>
              <w:rPr>
                <w:rFonts w:eastAsia="方正仿宋_GBK"/>
                <w:color w:val="000000"/>
                <w:spacing w:val="-2"/>
                <w:sz w:val="24"/>
                <w:u w:val="single"/>
              </w:rPr>
              <w:t xml:space="preserve">     </w:t>
            </w:r>
            <w:r>
              <w:rPr>
                <w:rFonts w:hint="eastAsia" w:eastAsia="方正仿宋_GBK"/>
                <w:color w:val="000000"/>
                <w:spacing w:val="-2"/>
                <w:sz w:val="24"/>
              </w:rPr>
              <w:t>套，其中：</w:t>
            </w:r>
          </w:p>
          <w:p>
            <w:pPr>
              <w:spacing w:line="440" w:lineRule="exact"/>
              <w:rPr>
                <w:rFonts w:eastAsia="方正仿宋_GBK"/>
                <w:color w:val="000000"/>
                <w:spacing w:val="-2"/>
                <w:sz w:val="24"/>
              </w:rPr>
            </w:pPr>
            <w:r>
              <w:rPr>
                <w:rFonts w:eastAsia="方正仿宋_GBK"/>
                <w:color w:val="000000"/>
                <w:spacing w:val="-2"/>
                <w:sz w:val="24"/>
              </w:rPr>
              <w:t>60</w:t>
            </w:r>
            <w:r>
              <w:rPr>
                <w:rFonts w:hint="eastAsia" w:eastAsia="方正仿宋_GBK"/>
                <w:color w:val="000000"/>
                <w:spacing w:val="-2"/>
                <w:sz w:val="24"/>
              </w:rPr>
              <w:t>㎡以下</w:t>
            </w:r>
            <w:r>
              <w:rPr>
                <w:rFonts w:eastAsia="方正仿宋_GBK"/>
                <w:color w:val="000000"/>
                <w:spacing w:val="-2"/>
                <w:sz w:val="24"/>
                <w:u w:val="single"/>
              </w:rPr>
              <w:t xml:space="preserve">      </w:t>
            </w:r>
            <w:r>
              <w:rPr>
                <w:rFonts w:hint="eastAsia" w:eastAsia="方正仿宋_GBK"/>
                <w:color w:val="000000"/>
                <w:spacing w:val="-2"/>
                <w:sz w:val="24"/>
              </w:rPr>
              <w:t>套</w:t>
            </w:r>
            <w:r>
              <w:rPr>
                <w:rFonts w:eastAsia="方正仿宋_GBK"/>
                <w:color w:val="000000"/>
                <w:spacing w:val="-2"/>
                <w:sz w:val="24"/>
              </w:rPr>
              <w:t xml:space="preserve"> </w:t>
            </w:r>
            <w:r>
              <w:rPr>
                <w:rFonts w:hint="eastAsia" w:eastAsia="方正仿宋_GBK"/>
                <w:color w:val="000000"/>
                <w:spacing w:val="-2"/>
                <w:sz w:val="24"/>
              </w:rPr>
              <w:t>；</w:t>
            </w:r>
            <w:r>
              <w:rPr>
                <w:rFonts w:eastAsia="方正仿宋_GBK"/>
                <w:color w:val="000000"/>
                <w:spacing w:val="-2"/>
                <w:sz w:val="24"/>
              </w:rPr>
              <w:t>60</w:t>
            </w:r>
            <w:r>
              <w:rPr>
                <w:rFonts w:hint="eastAsia" w:eastAsia="方正仿宋_GBK"/>
                <w:color w:val="000000"/>
                <w:spacing w:val="-2"/>
                <w:sz w:val="24"/>
              </w:rPr>
              <w:t>㎡～</w:t>
            </w:r>
            <w:r>
              <w:rPr>
                <w:rFonts w:eastAsia="方正仿宋_GBK"/>
                <w:color w:val="000000"/>
                <w:spacing w:val="-2"/>
                <w:sz w:val="24"/>
              </w:rPr>
              <w:t>90</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套；</w:t>
            </w:r>
            <w:r>
              <w:rPr>
                <w:rFonts w:eastAsia="方正仿宋_GBK"/>
                <w:color w:val="000000"/>
                <w:spacing w:val="-2"/>
                <w:sz w:val="24"/>
              </w:rPr>
              <w:t>90</w:t>
            </w:r>
            <w:r>
              <w:rPr>
                <w:rFonts w:hint="eastAsia" w:eastAsia="方正仿宋_GBK"/>
                <w:color w:val="000000"/>
                <w:spacing w:val="-2"/>
                <w:sz w:val="24"/>
              </w:rPr>
              <w:t>㎡～</w:t>
            </w:r>
            <w:r>
              <w:rPr>
                <w:rFonts w:eastAsia="方正仿宋_GBK"/>
                <w:color w:val="000000"/>
                <w:spacing w:val="-2"/>
                <w:sz w:val="24"/>
              </w:rPr>
              <w:t>120</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套；</w:t>
            </w:r>
            <w:r>
              <w:rPr>
                <w:rFonts w:eastAsia="方正仿宋_GBK"/>
                <w:color w:val="000000"/>
                <w:spacing w:val="-2"/>
                <w:sz w:val="24"/>
              </w:rPr>
              <w:t xml:space="preserve">    120</w:t>
            </w:r>
            <w:r>
              <w:rPr>
                <w:rFonts w:hint="eastAsia" w:eastAsia="方正仿宋_GBK"/>
                <w:color w:val="000000"/>
                <w:spacing w:val="-2"/>
                <w:sz w:val="24"/>
              </w:rPr>
              <w:t>㎡～</w:t>
            </w:r>
            <w:r>
              <w:rPr>
                <w:rFonts w:eastAsia="方正仿宋_GBK"/>
                <w:color w:val="000000"/>
                <w:spacing w:val="-2"/>
                <w:sz w:val="24"/>
              </w:rPr>
              <w:t>144</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套；</w:t>
            </w:r>
            <w:r>
              <w:rPr>
                <w:rFonts w:eastAsia="方正仿宋_GBK"/>
                <w:color w:val="000000"/>
                <w:spacing w:val="-2"/>
                <w:sz w:val="24"/>
              </w:rPr>
              <w:t>144</w:t>
            </w:r>
            <w:r>
              <w:rPr>
                <w:rFonts w:hint="eastAsia" w:eastAsia="方正仿宋_GBK"/>
                <w:color w:val="000000"/>
                <w:spacing w:val="-2"/>
                <w:sz w:val="24"/>
              </w:rPr>
              <w:t>㎡以上</w:t>
            </w:r>
            <w:r>
              <w:rPr>
                <w:rFonts w:eastAsia="方正仿宋_GBK"/>
                <w:color w:val="000000"/>
                <w:spacing w:val="-2"/>
                <w:sz w:val="24"/>
                <w:u w:val="single"/>
              </w:rPr>
              <w:t xml:space="preserve">      </w:t>
            </w:r>
            <w:r>
              <w:rPr>
                <w:rFonts w:hint="eastAsia" w:eastAsia="方正仿宋_GBK"/>
                <w:color w:val="000000"/>
                <w:spacing w:val="-2"/>
                <w:sz w:val="24"/>
              </w:rPr>
              <w:t>套。</w:t>
            </w:r>
          </w:p>
          <w:p>
            <w:pPr>
              <w:spacing w:line="440" w:lineRule="exact"/>
              <w:rPr>
                <w:rFonts w:eastAsia="方正仿宋_GBK"/>
                <w:color w:val="000000"/>
                <w:spacing w:val="-2"/>
                <w:sz w:val="24"/>
              </w:rPr>
            </w:pPr>
            <w:r>
              <w:rPr>
                <w:rFonts w:hint="eastAsia" w:eastAsia="方正仿宋_GBK"/>
                <w:color w:val="000000"/>
                <w:spacing w:val="-2"/>
                <w:sz w:val="24"/>
              </w:rPr>
              <w:t>（二）其它共计</w:t>
            </w:r>
            <w:r>
              <w:rPr>
                <w:rFonts w:eastAsia="方正仿宋_GBK"/>
                <w:color w:val="000000"/>
                <w:spacing w:val="-2"/>
                <w:sz w:val="24"/>
                <w:u w:val="single"/>
              </w:rPr>
              <w:t xml:space="preserve">     </w:t>
            </w:r>
            <w:r>
              <w:rPr>
                <w:rFonts w:hint="eastAsia" w:eastAsia="方正仿宋_GBK"/>
                <w:color w:val="000000"/>
                <w:spacing w:val="-2"/>
                <w:sz w:val="24"/>
              </w:rPr>
              <w:t>（间或个），其中：</w:t>
            </w:r>
          </w:p>
          <w:p>
            <w:pPr>
              <w:spacing w:line="440" w:lineRule="exact"/>
              <w:rPr>
                <w:rFonts w:eastAsia="方正仿宋_GBK"/>
                <w:color w:val="000000"/>
                <w:spacing w:val="-2"/>
                <w:sz w:val="24"/>
              </w:rPr>
            </w:pPr>
            <w:r>
              <w:rPr>
                <w:rFonts w:hint="eastAsia" w:eastAsia="方正仿宋_GBK"/>
                <w:color w:val="000000"/>
                <w:spacing w:val="-2"/>
                <w:sz w:val="24"/>
              </w:rPr>
              <w:t>商业</w:t>
            </w:r>
            <w:r>
              <w:rPr>
                <w:rFonts w:eastAsia="方正仿宋_GBK"/>
                <w:color w:val="000000"/>
                <w:spacing w:val="-2"/>
                <w:sz w:val="24"/>
                <w:u w:val="single"/>
              </w:rPr>
              <w:t xml:space="preserve">      </w:t>
            </w:r>
            <w:r>
              <w:rPr>
                <w:rFonts w:hint="eastAsia" w:eastAsia="方正仿宋_GBK"/>
                <w:color w:val="000000"/>
                <w:spacing w:val="-2"/>
                <w:sz w:val="24"/>
              </w:rPr>
              <w:t>间</w:t>
            </w:r>
            <w:r>
              <w:rPr>
                <w:rFonts w:eastAsia="方正仿宋_GBK"/>
                <w:color w:val="000000"/>
                <w:spacing w:val="-2"/>
                <w:sz w:val="24"/>
              </w:rPr>
              <w:t xml:space="preserve"> </w:t>
            </w:r>
            <w:r>
              <w:rPr>
                <w:rFonts w:hint="eastAsia" w:eastAsia="方正仿宋_GBK"/>
                <w:color w:val="000000"/>
                <w:spacing w:val="-2"/>
                <w:sz w:val="24"/>
              </w:rPr>
              <w:t>；办公</w:t>
            </w:r>
            <w:r>
              <w:rPr>
                <w:rFonts w:eastAsia="方正仿宋_GBK"/>
                <w:color w:val="000000"/>
                <w:spacing w:val="-2"/>
                <w:sz w:val="24"/>
                <w:u w:val="single"/>
              </w:rPr>
              <w:t xml:space="preserve">      </w:t>
            </w:r>
            <w:r>
              <w:rPr>
                <w:rFonts w:hint="eastAsia" w:eastAsia="方正仿宋_GBK"/>
                <w:color w:val="000000"/>
                <w:spacing w:val="-2"/>
                <w:sz w:val="24"/>
              </w:rPr>
              <w:t>间</w:t>
            </w:r>
            <w:r>
              <w:rPr>
                <w:rFonts w:eastAsia="方正仿宋_GBK"/>
                <w:color w:val="000000"/>
                <w:spacing w:val="-2"/>
                <w:sz w:val="24"/>
              </w:rPr>
              <w:t xml:space="preserve"> </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车（库、位）</w:t>
            </w:r>
            <w:r>
              <w:rPr>
                <w:rFonts w:eastAsia="方正仿宋_GBK"/>
                <w:color w:val="000000"/>
                <w:spacing w:val="-2"/>
                <w:sz w:val="24"/>
                <w:u w:val="single"/>
              </w:rPr>
              <w:t xml:space="preserve">      </w:t>
            </w:r>
            <w:r>
              <w:rPr>
                <w:rFonts w:hint="eastAsia" w:eastAsia="方正仿宋_GBK"/>
                <w:color w:val="000000"/>
                <w:spacing w:val="-2"/>
                <w:sz w:val="24"/>
              </w:rPr>
              <w:t>个；</w:t>
            </w:r>
          </w:p>
          <w:p>
            <w:pPr>
              <w:spacing w:line="440" w:lineRule="exact"/>
              <w:rPr>
                <w:rFonts w:eastAsia="方正仿宋_GBK"/>
                <w:color w:val="000000"/>
                <w:spacing w:val="-2"/>
                <w:sz w:val="24"/>
              </w:rPr>
            </w:pPr>
            <w:r>
              <w:rPr>
                <w:rFonts w:hint="eastAsia" w:eastAsia="方正仿宋_GBK"/>
                <w:color w:val="000000"/>
                <w:spacing w:val="-2"/>
                <w:sz w:val="24"/>
              </w:rPr>
              <w:t>物业服务用房</w:t>
            </w:r>
            <w:r>
              <w:rPr>
                <w:rFonts w:eastAsia="方正仿宋_GBK"/>
                <w:color w:val="000000"/>
                <w:spacing w:val="-2"/>
                <w:sz w:val="24"/>
                <w:u w:val="single"/>
              </w:rPr>
              <w:t xml:space="preserve">      </w:t>
            </w:r>
            <w:r>
              <w:rPr>
                <w:rFonts w:hint="eastAsia" w:eastAsia="方正仿宋_GBK"/>
                <w:color w:val="000000"/>
                <w:spacing w:val="-2"/>
                <w:sz w:val="24"/>
              </w:rPr>
              <w:t>间</w:t>
            </w:r>
            <w:r>
              <w:rPr>
                <w:rFonts w:eastAsia="方正仿宋_GBK"/>
                <w:color w:val="000000"/>
                <w:spacing w:val="-2"/>
                <w:sz w:val="24"/>
              </w:rPr>
              <w:t xml:space="preserve"> </w:t>
            </w:r>
            <w:r>
              <w:rPr>
                <w:rFonts w:hint="eastAsia" w:eastAsia="方正仿宋_GBK"/>
                <w:color w:val="000000"/>
                <w:spacing w:val="-2"/>
                <w:sz w:val="24"/>
              </w:rPr>
              <w:t>；设备用房</w:t>
            </w:r>
            <w:r>
              <w:rPr>
                <w:rFonts w:eastAsia="方正仿宋_GBK"/>
                <w:color w:val="000000"/>
                <w:spacing w:val="-2"/>
                <w:sz w:val="24"/>
                <w:u w:val="single"/>
              </w:rPr>
              <w:t xml:space="preserve">       </w:t>
            </w:r>
            <w:r>
              <w:rPr>
                <w:rFonts w:hint="eastAsia" w:eastAsia="方正仿宋_GBK"/>
                <w:color w:val="000000"/>
                <w:spacing w:val="-2"/>
                <w:sz w:val="24"/>
              </w:rPr>
              <w:t>间</w:t>
            </w:r>
            <w:r>
              <w:rPr>
                <w:rFonts w:eastAsia="方正仿宋_GBK"/>
                <w:color w:val="000000"/>
                <w:spacing w:val="-2"/>
                <w:sz w:val="24"/>
              </w:rPr>
              <w:t xml:space="preserve"> </w:t>
            </w:r>
            <w:r>
              <w:rPr>
                <w:rFonts w:hint="eastAsia" w:eastAsia="方正仿宋_GBK"/>
                <w:color w:val="000000"/>
                <w:spacing w:val="-2"/>
                <w:sz w:val="24"/>
              </w:rPr>
              <w:t>；社区用房</w:t>
            </w:r>
            <w:r>
              <w:rPr>
                <w:rFonts w:eastAsia="方正仿宋_GBK"/>
                <w:color w:val="000000"/>
                <w:spacing w:val="-2"/>
                <w:sz w:val="24"/>
                <w:u w:val="single"/>
              </w:rPr>
              <w:t xml:space="preserve">       </w:t>
            </w:r>
            <w:r>
              <w:rPr>
                <w:rFonts w:hint="eastAsia" w:eastAsia="方正仿宋_GBK"/>
                <w:color w:val="000000"/>
                <w:spacing w:val="-2"/>
                <w:sz w:val="24"/>
              </w:rPr>
              <w:t>间；其它（</w:t>
            </w:r>
            <w:r>
              <w:rPr>
                <w:rFonts w:eastAsia="方正仿宋_GBK"/>
                <w:color w:val="000000"/>
                <w:spacing w:val="-2"/>
                <w:sz w:val="24"/>
              </w:rPr>
              <w:t xml:space="preserve">                 </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3" w:hRule="atLeast"/>
        </w:trPr>
        <w:tc>
          <w:tcPr>
            <w:tcW w:w="2128" w:type="dxa"/>
            <w:gridSpan w:val="2"/>
            <w:tcBorders>
              <w:top w:val="single" w:color="auto" w:sz="4" w:space="0"/>
              <w:left w:val="single" w:color="auto" w:sz="8" w:space="0"/>
              <w:bottom w:val="single" w:color="auto" w:sz="4" w:space="0"/>
              <w:right w:val="single" w:color="auto" w:sz="4" w:space="0"/>
            </w:tcBorders>
            <w:noWrap w:val="0"/>
            <w:vAlign w:val="center"/>
          </w:tcPr>
          <w:p>
            <w:pPr>
              <w:spacing w:line="440" w:lineRule="exact"/>
              <w:jc w:val="center"/>
              <w:rPr>
                <w:rFonts w:eastAsia="方正仿宋_GBK"/>
                <w:color w:val="000000"/>
                <w:spacing w:val="-2"/>
                <w:sz w:val="24"/>
              </w:rPr>
            </w:pPr>
            <w:r>
              <w:rPr>
                <w:rFonts w:hint="eastAsia" w:eastAsia="方正仿宋_GBK"/>
                <w:color w:val="000000"/>
                <w:spacing w:val="-2"/>
                <w:sz w:val="24"/>
              </w:rPr>
              <w:t>已完成建筑面积</w:t>
            </w:r>
          </w:p>
        </w:tc>
        <w:tc>
          <w:tcPr>
            <w:tcW w:w="1956" w:type="dxa"/>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w:t>
            </w:r>
          </w:p>
        </w:tc>
        <w:tc>
          <w:tcPr>
            <w:tcW w:w="2689" w:type="dxa"/>
            <w:gridSpan w:val="3"/>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color w:val="000000"/>
                <w:spacing w:val="-2"/>
                <w:sz w:val="24"/>
              </w:rPr>
            </w:pPr>
            <w:r>
              <w:rPr>
                <w:rFonts w:hint="eastAsia" w:eastAsia="方正仿宋_GBK"/>
                <w:color w:val="000000"/>
                <w:spacing w:val="-2"/>
                <w:sz w:val="24"/>
              </w:rPr>
              <w:t>占预售面积比例</w:t>
            </w:r>
          </w:p>
        </w:tc>
        <w:tc>
          <w:tcPr>
            <w:tcW w:w="2009" w:type="dxa"/>
            <w:tcBorders>
              <w:top w:val="single" w:color="auto" w:sz="4" w:space="0"/>
              <w:left w:val="single" w:color="auto" w:sz="4" w:space="0"/>
              <w:bottom w:val="single" w:color="auto" w:sz="4" w:space="0"/>
              <w:right w:val="single" w:color="auto" w:sz="8" w:space="0"/>
            </w:tcBorders>
            <w:noWrap w:val="0"/>
            <w:vAlign w:val="center"/>
          </w:tcPr>
          <w:p>
            <w:pPr>
              <w:spacing w:line="440" w:lineRule="exact"/>
              <w:ind w:firstLine="354"/>
              <w:jc w:val="right"/>
              <w:rPr>
                <w:rFonts w:eastAsia="方正仿宋_GBK"/>
                <w:color w:val="000000"/>
                <w:spacing w:val="-2"/>
                <w:sz w:val="24"/>
              </w:rPr>
            </w:pPr>
            <w:r>
              <w:rPr>
                <w:rFonts w:eastAsia="方正仿宋_GBK"/>
                <w:color w:val="000000"/>
                <w:spacing w:val="-2"/>
                <w:sz w:val="24"/>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2128" w:type="dxa"/>
            <w:gridSpan w:val="2"/>
            <w:vMerge w:val="restart"/>
            <w:tcBorders>
              <w:top w:val="single" w:color="auto" w:sz="4" w:space="0"/>
              <w:left w:val="single" w:color="auto" w:sz="8" w:space="0"/>
              <w:bottom w:val="single" w:color="auto" w:sz="8" w:space="0"/>
              <w:right w:val="single" w:color="auto" w:sz="4" w:space="0"/>
            </w:tcBorders>
            <w:noWrap w:val="0"/>
            <w:vAlign w:val="center"/>
          </w:tcPr>
          <w:p>
            <w:pPr>
              <w:spacing w:line="440" w:lineRule="exact"/>
              <w:jc w:val="center"/>
              <w:rPr>
                <w:rFonts w:eastAsia="方正仿宋_GBK"/>
                <w:color w:val="000000"/>
                <w:spacing w:val="-2"/>
                <w:sz w:val="24"/>
              </w:rPr>
            </w:pPr>
            <w:r>
              <w:rPr>
                <w:rFonts w:hint="eastAsia" w:eastAsia="方正仿宋_GBK"/>
                <w:color w:val="000000"/>
                <w:spacing w:val="-2"/>
                <w:sz w:val="24"/>
              </w:rPr>
              <w:t>本次申请</w:t>
            </w:r>
          </w:p>
          <w:p>
            <w:pPr>
              <w:spacing w:line="440" w:lineRule="exact"/>
              <w:jc w:val="center"/>
              <w:rPr>
                <w:rFonts w:eastAsia="方正仿宋_GBK"/>
                <w:color w:val="000000"/>
                <w:spacing w:val="-2"/>
                <w:sz w:val="24"/>
              </w:rPr>
            </w:pPr>
            <w:r>
              <w:rPr>
                <w:rFonts w:hint="eastAsia" w:eastAsia="方正仿宋_GBK"/>
                <w:color w:val="000000"/>
                <w:spacing w:val="-2"/>
                <w:sz w:val="24"/>
              </w:rPr>
              <w:t>预售面积</w:t>
            </w:r>
          </w:p>
        </w:tc>
        <w:tc>
          <w:tcPr>
            <w:tcW w:w="1956" w:type="dxa"/>
            <w:vMerge w:val="restart"/>
            <w:tcBorders>
              <w:top w:val="single" w:color="auto" w:sz="4" w:space="0"/>
              <w:left w:val="single" w:color="auto" w:sz="4" w:space="0"/>
              <w:bottom w:val="single" w:color="auto" w:sz="8" w:space="0"/>
              <w:right w:val="single" w:color="auto" w:sz="4" w:space="0"/>
            </w:tcBorders>
            <w:noWrap w:val="0"/>
            <w:vAlign w:val="center"/>
          </w:tcPr>
          <w:p>
            <w:pPr>
              <w:spacing w:line="440" w:lineRule="exact"/>
              <w:jc w:val="right"/>
              <w:rPr>
                <w:rFonts w:eastAsia="方正仿宋_GBK"/>
                <w:color w:val="000000"/>
                <w:spacing w:val="-2"/>
                <w:sz w:val="24"/>
              </w:rPr>
            </w:pPr>
            <w:r>
              <w:rPr>
                <w:rFonts w:hint="eastAsia" w:eastAsia="方正仿宋_GBK"/>
                <w:color w:val="000000"/>
                <w:spacing w:val="-2"/>
                <w:sz w:val="24"/>
              </w:rPr>
              <w:t>㎡</w:t>
            </w:r>
          </w:p>
        </w:tc>
        <w:tc>
          <w:tcPr>
            <w:tcW w:w="2689" w:type="dxa"/>
            <w:gridSpan w:val="3"/>
            <w:tcBorders>
              <w:top w:val="single" w:color="auto" w:sz="4" w:space="0"/>
              <w:left w:val="single" w:color="auto" w:sz="4" w:space="0"/>
              <w:bottom w:val="single" w:color="auto" w:sz="4" w:space="0"/>
              <w:right w:val="single" w:color="auto" w:sz="4" w:space="0"/>
            </w:tcBorders>
            <w:noWrap w:val="0"/>
            <w:vAlign w:val="center"/>
          </w:tcPr>
          <w:p>
            <w:pPr>
              <w:spacing w:line="440" w:lineRule="exact"/>
              <w:jc w:val="center"/>
              <w:rPr>
                <w:rFonts w:eastAsia="方正仿宋_GBK"/>
                <w:color w:val="000000"/>
                <w:spacing w:val="-2"/>
                <w:sz w:val="24"/>
              </w:rPr>
            </w:pPr>
            <w:r>
              <w:rPr>
                <w:rFonts w:hint="eastAsia" w:eastAsia="方正仿宋_GBK"/>
                <w:color w:val="000000"/>
                <w:spacing w:val="-2"/>
                <w:sz w:val="24"/>
              </w:rPr>
              <w:t>开盘时间</w:t>
            </w:r>
          </w:p>
        </w:tc>
        <w:tc>
          <w:tcPr>
            <w:tcW w:w="2009" w:type="dxa"/>
            <w:tcBorders>
              <w:top w:val="single" w:color="auto" w:sz="4" w:space="0"/>
              <w:left w:val="single" w:color="auto" w:sz="4" w:space="0"/>
              <w:bottom w:val="single" w:color="auto" w:sz="4" w:space="0"/>
              <w:right w:val="single" w:color="auto" w:sz="8" w:space="0"/>
            </w:tcBorders>
            <w:noWrap w:val="0"/>
            <w:vAlign w:val="center"/>
          </w:tcPr>
          <w:p>
            <w:pPr>
              <w:spacing w:line="440" w:lineRule="exact"/>
              <w:ind w:firstLine="354"/>
              <w:jc w:val="center"/>
              <w:rPr>
                <w:rFonts w:eastAsia="方正仿宋_GBK"/>
                <w:color w:val="000000"/>
                <w:spacing w:val="-2"/>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35" w:hRule="atLeast"/>
        </w:trPr>
        <w:tc>
          <w:tcPr>
            <w:tcW w:w="2128" w:type="dxa"/>
            <w:gridSpan w:val="2"/>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 w:val="24"/>
              </w:rPr>
            </w:pPr>
          </w:p>
        </w:tc>
        <w:tc>
          <w:tcPr>
            <w:tcW w:w="1956"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sz w:val="24"/>
              </w:rPr>
            </w:pPr>
          </w:p>
        </w:tc>
        <w:tc>
          <w:tcPr>
            <w:tcW w:w="2689" w:type="dxa"/>
            <w:gridSpan w:val="3"/>
            <w:tcBorders>
              <w:top w:val="single" w:color="auto" w:sz="4" w:space="0"/>
              <w:left w:val="single" w:color="auto" w:sz="4" w:space="0"/>
              <w:bottom w:val="single" w:color="auto" w:sz="8" w:space="0"/>
              <w:right w:val="single" w:color="auto" w:sz="4" w:space="0"/>
            </w:tcBorders>
            <w:noWrap w:val="0"/>
            <w:vAlign w:val="center"/>
          </w:tcPr>
          <w:p>
            <w:pPr>
              <w:spacing w:line="440" w:lineRule="exact"/>
              <w:jc w:val="center"/>
              <w:rPr>
                <w:rFonts w:eastAsia="方正仿宋_GBK"/>
                <w:color w:val="000000"/>
                <w:spacing w:val="-2"/>
                <w:sz w:val="24"/>
              </w:rPr>
            </w:pPr>
            <w:r>
              <w:rPr>
                <w:rFonts w:hint="eastAsia" w:eastAsia="方正仿宋_GBK"/>
                <w:color w:val="000000"/>
                <w:spacing w:val="-2"/>
                <w:sz w:val="24"/>
              </w:rPr>
              <w:t>交房时间</w:t>
            </w:r>
          </w:p>
        </w:tc>
        <w:tc>
          <w:tcPr>
            <w:tcW w:w="2009" w:type="dxa"/>
            <w:tcBorders>
              <w:top w:val="single" w:color="auto" w:sz="4" w:space="0"/>
              <w:left w:val="single" w:color="auto" w:sz="4" w:space="0"/>
              <w:bottom w:val="single" w:color="auto" w:sz="8" w:space="0"/>
              <w:right w:val="single" w:color="auto" w:sz="8" w:space="0"/>
            </w:tcBorders>
            <w:noWrap w:val="0"/>
            <w:vAlign w:val="center"/>
          </w:tcPr>
          <w:p>
            <w:pPr>
              <w:spacing w:line="440" w:lineRule="exact"/>
              <w:ind w:firstLine="354"/>
              <w:jc w:val="center"/>
              <w:rPr>
                <w:rFonts w:eastAsia="方正仿宋_GBK"/>
                <w:color w:val="000000"/>
                <w:spacing w:val="-2"/>
                <w:sz w:val="24"/>
              </w:rPr>
            </w:pPr>
          </w:p>
        </w:tc>
      </w:tr>
    </w:tbl>
    <w:p>
      <w:pPr>
        <w:spacing w:line="360" w:lineRule="auto"/>
        <w:ind w:firstLine="472" w:firstLineChars="200"/>
        <w:rPr>
          <w:rFonts w:eastAsia="方正仿宋_GBK"/>
          <w:color w:val="000000"/>
          <w:spacing w:val="-2"/>
          <w:sz w:val="24"/>
        </w:rPr>
      </w:pPr>
    </w:p>
    <w:p>
      <w:pPr>
        <w:spacing w:line="360" w:lineRule="auto"/>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分户情况。</w:t>
      </w:r>
    </w:p>
    <w:p>
      <w:pPr>
        <w:spacing w:line="360" w:lineRule="auto"/>
        <w:ind w:firstLine="7080" w:firstLineChars="3000"/>
        <w:rPr>
          <w:rFonts w:eastAsia="方正仿宋_GBK"/>
          <w:color w:val="000000"/>
          <w:spacing w:val="-2"/>
          <w:sz w:val="24"/>
        </w:rPr>
      </w:pPr>
      <w:r>
        <w:rPr>
          <w:rFonts w:eastAsia="方正仿宋_GBK"/>
          <w:color w:val="000000"/>
          <w:spacing w:val="-2"/>
          <w:sz w:val="24"/>
          <w:u w:val="single"/>
        </w:rPr>
        <w:t xml:space="preserve">          </w:t>
      </w:r>
      <w:r>
        <w:rPr>
          <w:rFonts w:hint="eastAsia" w:eastAsia="方正仿宋_GBK"/>
          <w:color w:val="000000"/>
          <w:spacing w:val="-2"/>
          <w:sz w:val="24"/>
        </w:rPr>
        <w:t>幢</w:t>
      </w:r>
    </w:p>
    <w:tbl>
      <w:tblPr>
        <w:tblStyle w:val="12"/>
        <w:tblW w:w="0" w:type="auto"/>
        <w:tblInd w:w="124"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14"/>
        <w:gridCol w:w="526"/>
        <w:gridCol w:w="644"/>
        <w:gridCol w:w="697"/>
        <w:gridCol w:w="710"/>
        <w:gridCol w:w="885"/>
        <w:gridCol w:w="754"/>
        <w:gridCol w:w="696"/>
        <w:gridCol w:w="644"/>
        <w:gridCol w:w="871"/>
        <w:gridCol w:w="852"/>
        <w:gridCol w:w="83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8" w:space="0"/>
              <w:left w:val="single" w:color="auto" w:sz="8"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房号</w:t>
            </w:r>
          </w:p>
        </w:tc>
        <w:tc>
          <w:tcPr>
            <w:tcW w:w="526"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性质</w:t>
            </w:r>
          </w:p>
        </w:tc>
        <w:tc>
          <w:tcPr>
            <w:tcW w:w="644"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建筑</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面积</w:t>
            </w:r>
          </w:p>
        </w:tc>
        <w:tc>
          <w:tcPr>
            <w:tcW w:w="697"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套内</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面积</w:t>
            </w:r>
          </w:p>
        </w:tc>
        <w:tc>
          <w:tcPr>
            <w:tcW w:w="710"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公摊</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面积</w:t>
            </w:r>
          </w:p>
        </w:tc>
        <w:tc>
          <w:tcPr>
            <w:tcW w:w="885"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单价</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（元</w:t>
            </w:r>
            <w:r>
              <w:rPr>
                <w:rFonts w:eastAsia="方正黑体_GBK"/>
                <w:color w:val="000000"/>
                <w:spacing w:val="-2"/>
                <w:szCs w:val="21"/>
              </w:rPr>
              <w:t>/</w:t>
            </w:r>
            <w:r>
              <w:rPr>
                <w:rFonts w:hint="eastAsia" w:eastAsia="方正黑体_GBK"/>
                <w:color w:val="000000"/>
                <w:spacing w:val="-2"/>
                <w:szCs w:val="21"/>
              </w:rPr>
              <w:t>㎡）</w:t>
            </w:r>
          </w:p>
        </w:tc>
        <w:tc>
          <w:tcPr>
            <w:tcW w:w="754"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房价</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（元）</w:t>
            </w:r>
          </w:p>
        </w:tc>
        <w:tc>
          <w:tcPr>
            <w:tcW w:w="696"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车库</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序号</w:t>
            </w:r>
          </w:p>
        </w:tc>
        <w:tc>
          <w:tcPr>
            <w:tcW w:w="644"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车库</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面积</w:t>
            </w:r>
          </w:p>
        </w:tc>
        <w:tc>
          <w:tcPr>
            <w:tcW w:w="871"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单价</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（元</w:t>
            </w:r>
            <w:r>
              <w:rPr>
                <w:rFonts w:eastAsia="方正黑体_GBK"/>
                <w:color w:val="000000"/>
                <w:spacing w:val="-2"/>
                <w:szCs w:val="21"/>
              </w:rPr>
              <w:t>/</w:t>
            </w:r>
            <w:r>
              <w:rPr>
                <w:rFonts w:hint="eastAsia" w:eastAsia="方正黑体_GBK"/>
                <w:color w:val="000000"/>
                <w:spacing w:val="-2"/>
                <w:szCs w:val="21"/>
              </w:rPr>
              <w:t>㎡）</w:t>
            </w:r>
          </w:p>
        </w:tc>
        <w:tc>
          <w:tcPr>
            <w:tcW w:w="852" w:type="dxa"/>
            <w:tcBorders>
              <w:top w:val="single" w:color="auto" w:sz="8" w:space="0"/>
              <w:left w:val="single" w:color="auto" w:sz="4" w:space="0"/>
              <w:bottom w:val="single" w:color="auto" w:sz="4" w:space="0"/>
              <w:right w:val="single" w:color="auto" w:sz="4"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车库</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价（元）</w:t>
            </w:r>
          </w:p>
        </w:tc>
        <w:tc>
          <w:tcPr>
            <w:tcW w:w="833" w:type="dxa"/>
            <w:tcBorders>
              <w:top w:val="single" w:color="auto" w:sz="8" w:space="0"/>
              <w:left w:val="single" w:color="auto" w:sz="4" w:space="0"/>
              <w:bottom w:val="single" w:color="auto" w:sz="4" w:space="0"/>
              <w:right w:val="single" w:color="auto" w:sz="8" w:space="0"/>
            </w:tcBorders>
            <w:noWrap w:val="0"/>
            <w:vAlign w:val="center"/>
          </w:tcPr>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总价</w:t>
            </w:r>
          </w:p>
          <w:p>
            <w:pPr>
              <w:spacing w:line="300" w:lineRule="exact"/>
              <w:ind w:left="-105" w:leftChars="-50" w:right="-105" w:rightChars="-50"/>
              <w:jc w:val="center"/>
              <w:rPr>
                <w:rFonts w:eastAsia="方正黑体_GBK"/>
                <w:color w:val="000000"/>
                <w:spacing w:val="-2"/>
                <w:szCs w:val="21"/>
              </w:rPr>
            </w:pPr>
            <w:r>
              <w:rPr>
                <w:rFonts w:hint="eastAsia" w:eastAsia="方正黑体_GBK"/>
                <w:color w:val="000000"/>
                <w:spacing w:val="-2"/>
                <w:szCs w:val="21"/>
              </w:rPr>
              <w:t>（元）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614"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合计</w:t>
            </w:r>
          </w:p>
        </w:tc>
        <w:tc>
          <w:tcPr>
            <w:tcW w:w="52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7"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1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85"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75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96"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64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71"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eastAsia="方正仿宋_GBK"/>
                <w:color w:val="000000"/>
                <w:spacing w:val="-2"/>
                <w:szCs w:val="21"/>
              </w:rPr>
            </w:pPr>
          </w:p>
        </w:tc>
        <w:tc>
          <w:tcPr>
            <w:tcW w:w="833" w:type="dxa"/>
            <w:tcBorders>
              <w:top w:val="single" w:color="auto" w:sz="4" w:space="0"/>
              <w:left w:val="single" w:color="auto" w:sz="4" w:space="0"/>
              <w:bottom w:val="single" w:color="auto" w:sz="4" w:space="0"/>
              <w:right w:val="single" w:color="auto" w:sz="8" w:space="0"/>
            </w:tcBorders>
            <w:noWrap w:val="0"/>
            <w:vAlign w:val="top"/>
          </w:tcPr>
          <w:p>
            <w:pPr>
              <w:spacing w:line="360" w:lineRule="auto"/>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368" w:hRule="atLeast"/>
        </w:trPr>
        <w:tc>
          <w:tcPr>
            <w:tcW w:w="614" w:type="dxa"/>
            <w:tcBorders>
              <w:top w:val="single" w:color="auto" w:sz="4" w:space="0"/>
              <w:left w:val="single" w:color="auto" w:sz="8" w:space="0"/>
              <w:bottom w:val="single" w:color="auto" w:sz="8"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备注</w:t>
            </w:r>
          </w:p>
        </w:tc>
        <w:tc>
          <w:tcPr>
            <w:tcW w:w="8112" w:type="dxa"/>
            <w:gridSpan w:val="11"/>
            <w:tcBorders>
              <w:top w:val="single" w:color="auto" w:sz="4" w:space="0"/>
              <w:left w:val="single" w:color="auto" w:sz="4" w:space="0"/>
              <w:bottom w:val="single" w:color="auto" w:sz="8" w:space="0"/>
              <w:right w:val="single" w:color="auto" w:sz="8" w:space="0"/>
            </w:tcBorders>
            <w:noWrap w:val="0"/>
            <w:vAlign w:val="top"/>
          </w:tcPr>
          <w:p>
            <w:pPr>
              <w:spacing w:line="360" w:lineRule="auto"/>
              <w:rPr>
                <w:rFonts w:eastAsia="方正仿宋_GBK"/>
                <w:color w:val="000000"/>
                <w:spacing w:val="-2"/>
                <w:szCs w:val="21"/>
              </w:rPr>
            </w:pPr>
            <w:r>
              <w:rPr>
                <w:rFonts w:hint="eastAsia" w:eastAsia="方正仿宋_GBK"/>
                <w:color w:val="000000"/>
                <w:spacing w:val="-2"/>
                <w:szCs w:val="21"/>
              </w:rPr>
              <w:t>房屋单价、车库单价合计栏填写均价。</w:t>
            </w:r>
          </w:p>
        </w:tc>
      </w:tr>
    </w:tbl>
    <w:p>
      <w:pPr>
        <w:spacing w:line="360" w:lineRule="auto"/>
        <w:rPr>
          <w:rFonts w:eastAsia="方正楷体_GBK"/>
          <w:color w:val="000000"/>
          <w:spacing w:val="-2"/>
          <w:sz w:val="24"/>
        </w:rPr>
      </w:pPr>
      <w:r>
        <w:rPr>
          <w:rFonts w:hint="eastAsia" w:eastAsia="方正楷体_GBK"/>
          <w:color w:val="000000"/>
          <w:spacing w:val="-2"/>
          <w:sz w:val="24"/>
        </w:rPr>
        <w:t>（如一次同时申报多幢商品房预售，请按上述表格格式复制后粘贴）。</w:t>
      </w:r>
    </w:p>
    <w:p>
      <w:pPr>
        <w:spacing w:line="360" w:lineRule="auto"/>
        <w:ind w:firstLine="552" w:firstLineChars="200"/>
        <w:outlineLvl w:val="0"/>
        <w:rPr>
          <w:rFonts w:ascii="Times New Roman" w:hAnsi="Times New Roman" w:eastAsia="方正黑体_GBK"/>
          <w:color w:val="000000"/>
          <w:spacing w:val="-2"/>
          <w:sz w:val="24"/>
        </w:rPr>
      </w:pPr>
      <w:r>
        <w:rPr>
          <w:rFonts w:hint="eastAsia" w:ascii="Times New Roman" w:eastAsia="黑体"/>
          <w:color w:val="000000"/>
          <w:spacing w:val="-2"/>
          <w:sz w:val="28"/>
          <w:szCs w:val="28"/>
        </w:rPr>
        <w:br w:type="column"/>
      </w:r>
      <w:bookmarkStart w:id="24" w:name="_Toc20726290"/>
      <w:bookmarkStart w:id="25" w:name="_Toc20667764"/>
      <w:bookmarkStart w:id="26" w:name="_Toc18315370"/>
      <w:r>
        <w:rPr>
          <w:rFonts w:hint="eastAsia" w:ascii="Times New Roman" w:eastAsia="方正黑体_GBK"/>
          <w:color w:val="000000"/>
          <w:spacing w:val="-2"/>
          <w:sz w:val="24"/>
        </w:rPr>
        <w:t xml:space="preserve">第三条  </w:t>
      </w:r>
      <w:r>
        <w:rPr>
          <w:rFonts w:hint="eastAsia" w:ascii="Times New Roman" w:eastAsia="方正黑体_GBK"/>
          <w:bCs/>
          <w:color w:val="000000"/>
          <w:spacing w:val="-2"/>
          <w:sz w:val="24"/>
        </w:rPr>
        <w:t>小区配套用房情况</w:t>
      </w:r>
      <w:bookmarkEnd w:id="24"/>
      <w:bookmarkEnd w:id="25"/>
      <w:bookmarkEnd w:id="26"/>
    </w:p>
    <w:tbl>
      <w:tblPr>
        <w:tblStyle w:val="12"/>
        <w:tblW w:w="0" w:type="auto"/>
        <w:tblInd w:w="9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38"/>
        <w:gridCol w:w="532"/>
        <w:gridCol w:w="1389"/>
        <w:gridCol w:w="1412"/>
        <w:gridCol w:w="1417"/>
        <w:gridCol w:w="1115"/>
        <w:gridCol w:w="1404"/>
        <w:gridCol w:w="8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3" w:hRule="exact"/>
        </w:trPr>
        <w:tc>
          <w:tcPr>
            <w:tcW w:w="1170" w:type="dxa"/>
            <w:gridSpan w:val="2"/>
            <w:tcBorders>
              <w:top w:val="single" w:color="auto" w:sz="8" w:space="0"/>
              <w:left w:val="single" w:color="auto" w:sz="8" w:space="0"/>
              <w:bottom w:val="single" w:color="auto" w:sz="4" w:space="0"/>
              <w:right w:val="single" w:color="auto" w:sz="4" w:space="0"/>
            </w:tcBorders>
            <w:noWrap w:val="0"/>
            <w:vAlign w:val="center"/>
          </w:tcPr>
          <w:p>
            <w:pPr>
              <w:spacing w:line="360" w:lineRule="exact"/>
              <w:jc w:val="center"/>
              <w:rPr>
                <w:rFonts w:eastAsia="方正黑体_GBK"/>
                <w:bCs/>
                <w:color w:val="000000"/>
                <w:spacing w:val="-2"/>
                <w:szCs w:val="21"/>
              </w:rPr>
            </w:pPr>
            <w:r>
              <w:rPr>
                <w:rFonts w:hint="eastAsia" w:eastAsia="方正黑体_GBK"/>
                <w:bCs/>
                <w:color w:val="000000"/>
                <w:spacing w:val="-2"/>
                <w:szCs w:val="21"/>
              </w:rPr>
              <w:t>名</w:t>
            </w:r>
            <w:r>
              <w:rPr>
                <w:rFonts w:eastAsia="方正黑体_GBK"/>
                <w:bCs/>
                <w:color w:val="000000"/>
                <w:spacing w:val="-2"/>
                <w:szCs w:val="21"/>
              </w:rPr>
              <w:t xml:space="preserve">  </w:t>
            </w:r>
            <w:r>
              <w:rPr>
                <w:rFonts w:hint="eastAsia" w:eastAsia="方正黑体_GBK"/>
                <w:bCs/>
                <w:color w:val="000000"/>
                <w:spacing w:val="-2"/>
                <w:szCs w:val="21"/>
              </w:rPr>
              <w:t>称</w:t>
            </w:r>
          </w:p>
        </w:tc>
        <w:tc>
          <w:tcPr>
            <w:tcW w:w="1389" w:type="dxa"/>
            <w:tcBorders>
              <w:top w:val="single" w:color="auto" w:sz="8" w:space="0"/>
              <w:left w:val="single" w:color="auto" w:sz="4" w:space="0"/>
              <w:bottom w:val="single" w:color="auto" w:sz="4" w:space="0"/>
              <w:right w:val="single" w:color="auto" w:sz="4" w:space="0"/>
            </w:tcBorders>
            <w:noWrap w:val="0"/>
            <w:vAlign w:val="center"/>
          </w:tcPr>
          <w:p>
            <w:pPr>
              <w:spacing w:line="360" w:lineRule="exact"/>
              <w:jc w:val="center"/>
              <w:rPr>
                <w:rFonts w:eastAsia="方正黑体_GBK"/>
                <w:bCs/>
                <w:color w:val="000000"/>
                <w:spacing w:val="-2"/>
                <w:szCs w:val="21"/>
              </w:rPr>
            </w:pPr>
            <w:r>
              <w:rPr>
                <w:rFonts w:hint="eastAsia" w:eastAsia="方正黑体_GBK"/>
                <w:bCs/>
                <w:color w:val="000000"/>
                <w:spacing w:val="-2"/>
                <w:szCs w:val="21"/>
              </w:rPr>
              <w:t>规划面积</w:t>
            </w:r>
          </w:p>
        </w:tc>
        <w:tc>
          <w:tcPr>
            <w:tcW w:w="1412" w:type="dxa"/>
            <w:tcBorders>
              <w:top w:val="single" w:color="auto" w:sz="8" w:space="0"/>
              <w:left w:val="single" w:color="auto" w:sz="4" w:space="0"/>
              <w:bottom w:val="single" w:color="auto" w:sz="4" w:space="0"/>
              <w:right w:val="single" w:color="auto" w:sz="4" w:space="0"/>
            </w:tcBorders>
            <w:noWrap w:val="0"/>
            <w:vAlign w:val="center"/>
          </w:tcPr>
          <w:p>
            <w:pPr>
              <w:spacing w:line="360" w:lineRule="exact"/>
              <w:jc w:val="center"/>
              <w:rPr>
                <w:rFonts w:eastAsia="方正黑体_GBK"/>
                <w:bCs/>
                <w:color w:val="000000"/>
                <w:spacing w:val="-2"/>
                <w:szCs w:val="21"/>
              </w:rPr>
            </w:pPr>
            <w:r>
              <w:rPr>
                <w:rFonts w:hint="eastAsia" w:eastAsia="方正黑体_GBK"/>
                <w:bCs/>
                <w:color w:val="000000"/>
                <w:spacing w:val="-2"/>
                <w:szCs w:val="21"/>
              </w:rPr>
              <w:t>规划定位</w:t>
            </w:r>
          </w:p>
        </w:tc>
        <w:tc>
          <w:tcPr>
            <w:tcW w:w="1417" w:type="dxa"/>
            <w:tcBorders>
              <w:top w:val="single" w:color="auto" w:sz="8" w:space="0"/>
              <w:left w:val="single" w:color="auto" w:sz="4" w:space="0"/>
              <w:bottom w:val="single" w:color="auto" w:sz="4" w:space="0"/>
              <w:right w:val="single" w:color="auto" w:sz="4" w:space="0"/>
            </w:tcBorders>
            <w:noWrap w:val="0"/>
            <w:vAlign w:val="center"/>
          </w:tcPr>
          <w:p>
            <w:pPr>
              <w:spacing w:line="360" w:lineRule="exact"/>
              <w:jc w:val="center"/>
              <w:rPr>
                <w:rFonts w:eastAsia="方正黑体_GBK"/>
                <w:bCs/>
                <w:color w:val="000000"/>
                <w:spacing w:val="-2"/>
                <w:szCs w:val="21"/>
              </w:rPr>
            </w:pPr>
            <w:r>
              <w:rPr>
                <w:rFonts w:hint="eastAsia" w:eastAsia="方正黑体_GBK"/>
                <w:bCs/>
                <w:color w:val="000000"/>
                <w:spacing w:val="-2"/>
                <w:szCs w:val="21"/>
              </w:rPr>
              <w:t>建筑面积（</w:t>
            </w:r>
            <w:r>
              <w:rPr>
                <w:rFonts w:eastAsia="方正黑体_GBK"/>
                <w:bCs/>
                <w:color w:val="000000"/>
                <w:spacing w:val="-2"/>
                <w:szCs w:val="21"/>
              </w:rPr>
              <w:t>m</w:t>
            </w:r>
            <w:r>
              <w:rPr>
                <w:rFonts w:eastAsia="方正黑体_GBK"/>
                <w:bCs/>
                <w:color w:val="000000"/>
                <w:spacing w:val="-2"/>
                <w:szCs w:val="21"/>
                <w:vertAlign w:val="superscript"/>
              </w:rPr>
              <w:t>2</w:t>
            </w:r>
            <w:r>
              <w:rPr>
                <w:rFonts w:hint="eastAsia" w:eastAsia="方正黑体_GBK"/>
                <w:bCs/>
                <w:color w:val="000000"/>
                <w:spacing w:val="-2"/>
                <w:szCs w:val="21"/>
              </w:rPr>
              <w:t>）</w:t>
            </w:r>
          </w:p>
        </w:tc>
        <w:tc>
          <w:tcPr>
            <w:tcW w:w="1115" w:type="dxa"/>
            <w:tcBorders>
              <w:top w:val="single" w:color="auto" w:sz="8" w:space="0"/>
              <w:left w:val="single" w:color="auto" w:sz="4" w:space="0"/>
              <w:bottom w:val="single" w:color="auto" w:sz="4" w:space="0"/>
              <w:right w:val="single" w:color="auto" w:sz="4" w:space="0"/>
            </w:tcBorders>
            <w:noWrap w:val="0"/>
            <w:vAlign w:val="center"/>
          </w:tcPr>
          <w:p>
            <w:pPr>
              <w:spacing w:line="360" w:lineRule="exact"/>
              <w:jc w:val="center"/>
              <w:rPr>
                <w:rFonts w:eastAsia="方正黑体_GBK"/>
                <w:bCs/>
                <w:color w:val="000000"/>
                <w:spacing w:val="-2"/>
                <w:szCs w:val="21"/>
              </w:rPr>
            </w:pPr>
            <w:r>
              <w:rPr>
                <w:rFonts w:hint="eastAsia" w:eastAsia="方正黑体_GBK"/>
                <w:bCs/>
                <w:color w:val="000000"/>
                <w:spacing w:val="-2"/>
                <w:szCs w:val="21"/>
              </w:rPr>
              <w:t>预计交付</w:t>
            </w:r>
          </w:p>
          <w:p>
            <w:pPr>
              <w:spacing w:line="360" w:lineRule="exact"/>
              <w:jc w:val="center"/>
              <w:rPr>
                <w:rFonts w:eastAsia="方正黑体_GBK"/>
                <w:bCs/>
                <w:color w:val="000000"/>
                <w:spacing w:val="-2"/>
                <w:szCs w:val="21"/>
              </w:rPr>
            </w:pPr>
            <w:r>
              <w:rPr>
                <w:rFonts w:hint="eastAsia" w:eastAsia="方正黑体_GBK"/>
                <w:bCs/>
                <w:color w:val="000000"/>
                <w:spacing w:val="-2"/>
                <w:szCs w:val="21"/>
              </w:rPr>
              <w:t>时</w:t>
            </w:r>
            <w:r>
              <w:rPr>
                <w:rFonts w:eastAsia="方正黑体_GBK"/>
                <w:bCs/>
                <w:color w:val="000000"/>
                <w:spacing w:val="-2"/>
                <w:szCs w:val="21"/>
              </w:rPr>
              <w:t xml:space="preserve">  </w:t>
            </w:r>
            <w:r>
              <w:rPr>
                <w:rFonts w:hint="eastAsia" w:eastAsia="方正黑体_GBK"/>
                <w:bCs/>
                <w:color w:val="000000"/>
                <w:spacing w:val="-2"/>
                <w:szCs w:val="21"/>
              </w:rPr>
              <w:t>间</w:t>
            </w:r>
          </w:p>
        </w:tc>
        <w:tc>
          <w:tcPr>
            <w:tcW w:w="1404" w:type="dxa"/>
            <w:tcBorders>
              <w:top w:val="single" w:color="auto" w:sz="8" w:space="0"/>
              <w:left w:val="single" w:color="auto" w:sz="4" w:space="0"/>
              <w:bottom w:val="single" w:color="auto" w:sz="4" w:space="0"/>
              <w:right w:val="single" w:color="auto" w:sz="4" w:space="0"/>
            </w:tcBorders>
            <w:noWrap w:val="0"/>
            <w:vAlign w:val="center"/>
          </w:tcPr>
          <w:p>
            <w:pPr>
              <w:spacing w:line="360" w:lineRule="exact"/>
              <w:jc w:val="center"/>
              <w:rPr>
                <w:rFonts w:eastAsia="方正黑体_GBK"/>
                <w:bCs/>
                <w:color w:val="000000"/>
                <w:spacing w:val="-2"/>
                <w:szCs w:val="21"/>
              </w:rPr>
            </w:pPr>
            <w:r>
              <w:rPr>
                <w:rFonts w:hint="eastAsia" w:eastAsia="方正黑体_GBK"/>
                <w:bCs/>
                <w:color w:val="000000"/>
                <w:spacing w:val="-2"/>
                <w:szCs w:val="21"/>
              </w:rPr>
              <w:t>所有权归属</w:t>
            </w:r>
          </w:p>
        </w:tc>
        <w:tc>
          <w:tcPr>
            <w:tcW w:w="883" w:type="dxa"/>
            <w:tcBorders>
              <w:top w:val="single" w:color="auto" w:sz="8" w:space="0"/>
              <w:left w:val="single" w:color="auto" w:sz="4" w:space="0"/>
              <w:bottom w:val="single" w:color="auto" w:sz="4" w:space="0"/>
              <w:right w:val="single" w:color="auto" w:sz="8" w:space="0"/>
            </w:tcBorders>
            <w:noWrap w:val="0"/>
            <w:vAlign w:val="center"/>
          </w:tcPr>
          <w:p>
            <w:pPr>
              <w:spacing w:line="360" w:lineRule="exact"/>
              <w:jc w:val="center"/>
              <w:rPr>
                <w:rFonts w:eastAsia="方正黑体_GBK"/>
                <w:bCs/>
                <w:color w:val="000000"/>
                <w:spacing w:val="-2"/>
                <w:szCs w:val="21"/>
              </w:rPr>
            </w:pPr>
            <w:r>
              <w:rPr>
                <w:rFonts w:hint="eastAsia" w:eastAsia="方正黑体_GBK"/>
                <w:bCs/>
                <w:color w:val="000000"/>
                <w:spacing w:val="-2"/>
                <w:szCs w:val="21"/>
              </w:rPr>
              <w:t>备注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物业服务用房</w:t>
            </w: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社区用房</w:t>
            </w: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公共</w:t>
            </w:r>
          </w:p>
          <w:p>
            <w:pPr>
              <w:spacing w:line="360" w:lineRule="exact"/>
              <w:jc w:val="center"/>
              <w:rPr>
                <w:rFonts w:eastAsia="方正仿宋_GBK"/>
                <w:bCs/>
                <w:color w:val="000000"/>
                <w:spacing w:val="-2"/>
                <w:szCs w:val="21"/>
              </w:rPr>
            </w:pPr>
            <w:r>
              <w:rPr>
                <w:rFonts w:hint="eastAsia" w:eastAsia="方正仿宋_GBK"/>
                <w:bCs/>
                <w:color w:val="000000"/>
                <w:spacing w:val="-2"/>
                <w:szCs w:val="21"/>
              </w:rPr>
              <w:t>车场</w:t>
            </w: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公共</w:t>
            </w:r>
          </w:p>
          <w:p>
            <w:pPr>
              <w:spacing w:line="360" w:lineRule="exact"/>
              <w:jc w:val="center"/>
              <w:rPr>
                <w:rFonts w:eastAsia="方正仿宋_GBK"/>
                <w:bCs/>
                <w:color w:val="000000"/>
                <w:spacing w:val="-2"/>
                <w:szCs w:val="21"/>
              </w:rPr>
            </w:pPr>
            <w:r>
              <w:rPr>
                <w:rFonts w:hint="eastAsia" w:eastAsia="方正仿宋_GBK"/>
                <w:bCs/>
                <w:color w:val="000000"/>
                <w:spacing w:val="-2"/>
                <w:szCs w:val="21"/>
              </w:rPr>
              <w:t>车库</w:t>
            </w: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文体</w:t>
            </w:r>
          </w:p>
          <w:p>
            <w:pPr>
              <w:spacing w:line="360" w:lineRule="exact"/>
              <w:jc w:val="center"/>
              <w:rPr>
                <w:rFonts w:eastAsia="方正仿宋_GBK"/>
                <w:bCs/>
                <w:color w:val="000000"/>
                <w:spacing w:val="-2"/>
                <w:szCs w:val="21"/>
              </w:rPr>
            </w:pPr>
            <w:r>
              <w:rPr>
                <w:rFonts w:hint="eastAsia" w:eastAsia="方正仿宋_GBK"/>
                <w:bCs/>
                <w:color w:val="000000"/>
                <w:spacing w:val="-2"/>
                <w:szCs w:val="21"/>
              </w:rPr>
              <w:t>活动</w:t>
            </w:r>
          </w:p>
          <w:p>
            <w:pPr>
              <w:spacing w:line="360" w:lineRule="exact"/>
              <w:jc w:val="center"/>
              <w:rPr>
                <w:rFonts w:eastAsia="方正仿宋_GBK"/>
                <w:bCs/>
                <w:color w:val="000000"/>
                <w:spacing w:val="-2"/>
                <w:szCs w:val="21"/>
              </w:rPr>
            </w:pPr>
            <w:r>
              <w:rPr>
                <w:rFonts w:hint="eastAsia" w:eastAsia="方正仿宋_GBK"/>
                <w:bCs/>
                <w:color w:val="000000"/>
                <w:spacing w:val="-2"/>
                <w:szCs w:val="21"/>
              </w:rPr>
              <w:t>中心</w:t>
            </w:r>
            <w:r>
              <w:rPr>
                <w:rFonts w:eastAsia="方正仿宋_GBK"/>
                <w:bCs/>
                <w:color w:val="000000"/>
                <w:spacing w:val="-2"/>
                <w:szCs w:val="21"/>
              </w:rPr>
              <w:t xml:space="preserve">    </w:t>
            </w: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1</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2</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63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eastAsia="方正仿宋_GBK"/>
                <w:bCs/>
                <w:color w:val="000000"/>
                <w:spacing w:val="-2"/>
                <w:szCs w:val="21"/>
              </w:rPr>
              <w:t>3</w:t>
            </w: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38"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会所</w:t>
            </w: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0" w:hRule="exact"/>
        </w:trPr>
        <w:tc>
          <w:tcPr>
            <w:tcW w:w="638"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幼儿园</w:t>
            </w: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6" w:hRule="exact"/>
        </w:trPr>
        <w:tc>
          <w:tcPr>
            <w:tcW w:w="638"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集贸</w:t>
            </w:r>
          </w:p>
          <w:p>
            <w:pPr>
              <w:spacing w:line="360" w:lineRule="exact"/>
              <w:jc w:val="center"/>
              <w:rPr>
                <w:rFonts w:eastAsia="方正仿宋_GBK"/>
                <w:bCs/>
                <w:color w:val="000000"/>
                <w:spacing w:val="-2"/>
                <w:szCs w:val="21"/>
              </w:rPr>
            </w:pPr>
            <w:r>
              <w:rPr>
                <w:rFonts w:hint="eastAsia" w:eastAsia="方正仿宋_GBK"/>
                <w:bCs/>
                <w:color w:val="000000"/>
                <w:spacing w:val="-2"/>
                <w:szCs w:val="21"/>
              </w:rPr>
              <w:t>市场</w:t>
            </w: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38"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53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38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115"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140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p>
        </w:tc>
        <w:tc>
          <w:tcPr>
            <w:tcW w:w="883"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bCs/>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9" w:hRule="exact"/>
        </w:trPr>
        <w:tc>
          <w:tcPr>
            <w:tcW w:w="638"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封闭设施</w:t>
            </w:r>
          </w:p>
        </w:tc>
        <w:tc>
          <w:tcPr>
            <w:tcW w:w="8152" w:type="dxa"/>
            <w:gridSpan w:val="7"/>
            <w:tcBorders>
              <w:top w:val="single" w:color="auto" w:sz="4" w:space="0"/>
              <w:left w:val="single" w:color="auto" w:sz="4" w:space="0"/>
              <w:bottom w:val="single" w:color="auto" w:sz="4" w:space="0"/>
              <w:right w:val="single" w:color="auto" w:sz="8" w:space="0"/>
            </w:tcBorders>
            <w:noWrap w:val="0"/>
            <w:vAlign w:val="center"/>
          </w:tcPr>
          <w:p>
            <w:pPr>
              <w:spacing w:line="360" w:lineRule="exact"/>
              <w:rPr>
                <w:rFonts w:eastAsia="方正仿宋_GBK"/>
                <w:bCs/>
                <w:color w:val="000000"/>
                <w:spacing w:val="-2"/>
                <w:szCs w:val="21"/>
              </w:rPr>
            </w:pPr>
            <w:r>
              <w:rPr>
                <w:rFonts w:hint="eastAsia" w:eastAsia="方正仿宋_GBK"/>
                <w:bCs/>
                <w:color w:val="000000"/>
                <w:spacing w:val="-2"/>
                <w:szCs w:val="21"/>
              </w:rPr>
              <w:t>小区主入口</w:t>
            </w:r>
            <w:r>
              <w:rPr>
                <w:rFonts w:eastAsia="方正仿宋_GBK"/>
                <w:bCs/>
                <w:color w:val="000000"/>
                <w:spacing w:val="-2"/>
                <w:szCs w:val="21"/>
                <w:u w:val="single"/>
              </w:rPr>
              <w:t xml:space="preserve">      </w:t>
            </w:r>
            <w:r>
              <w:rPr>
                <w:rFonts w:hint="eastAsia" w:eastAsia="方正仿宋_GBK"/>
                <w:bCs/>
                <w:color w:val="000000"/>
                <w:spacing w:val="-2"/>
                <w:szCs w:val="21"/>
              </w:rPr>
              <w:t>（位置），小区次入口</w:t>
            </w:r>
            <w:r>
              <w:rPr>
                <w:rFonts w:eastAsia="方正仿宋_GBK"/>
                <w:bCs/>
                <w:color w:val="000000"/>
                <w:spacing w:val="-2"/>
                <w:szCs w:val="21"/>
                <w:u w:val="single"/>
              </w:rPr>
              <w:t xml:space="preserve">   </w:t>
            </w:r>
            <w:r>
              <w:rPr>
                <w:rFonts w:hint="eastAsia" w:eastAsia="方正仿宋_GBK"/>
                <w:bCs/>
                <w:color w:val="000000"/>
                <w:spacing w:val="-2"/>
                <w:szCs w:val="21"/>
              </w:rPr>
              <w:t>个</w:t>
            </w:r>
            <w:r>
              <w:rPr>
                <w:rFonts w:eastAsia="方正仿宋_GBK"/>
                <w:bCs/>
                <w:color w:val="000000"/>
                <w:spacing w:val="-2"/>
                <w:szCs w:val="21"/>
                <w:u w:val="single"/>
              </w:rPr>
              <w:t xml:space="preserve">         </w:t>
            </w:r>
            <w:r>
              <w:rPr>
                <w:rFonts w:hint="eastAsia" w:eastAsia="方正仿宋_GBK"/>
                <w:bCs/>
                <w:color w:val="000000"/>
                <w:spacing w:val="-2"/>
                <w:szCs w:val="21"/>
              </w:rPr>
              <w:t>（位置），值班室</w:t>
            </w:r>
            <w:r>
              <w:rPr>
                <w:rFonts w:eastAsia="方正仿宋_GBK"/>
                <w:bCs/>
                <w:color w:val="000000"/>
                <w:spacing w:val="-2"/>
                <w:szCs w:val="21"/>
                <w:u w:val="single"/>
              </w:rPr>
              <w:t xml:space="preserve">         </w:t>
            </w:r>
            <w:r>
              <w:rPr>
                <w:rFonts w:hint="eastAsia" w:eastAsia="方正仿宋_GBK"/>
                <w:bCs/>
                <w:color w:val="000000"/>
                <w:spacing w:val="-2"/>
                <w:szCs w:val="21"/>
              </w:rPr>
              <w:t>个，监控设施</w:t>
            </w:r>
            <w:r>
              <w:rPr>
                <w:rFonts w:eastAsia="方正仿宋_GBK"/>
                <w:bCs/>
                <w:color w:val="000000"/>
                <w:spacing w:val="-2"/>
                <w:szCs w:val="21"/>
                <w:u w:val="single"/>
              </w:rPr>
              <w:t xml:space="preserve">         </w:t>
            </w:r>
            <w:r>
              <w:rPr>
                <w:rFonts w:hint="eastAsia" w:eastAsia="方正仿宋_GBK"/>
                <w:bCs/>
                <w:color w:val="000000"/>
                <w:spacing w:val="-2"/>
                <w:szCs w:val="21"/>
              </w:rPr>
              <w:t>（有无）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638" w:type="dxa"/>
            <w:tcBorders>
              <w:top w:val="single" w:color="auto" w:sz="4" w:space="0"/>
              <w:left w:val="single" w:color="auto" w:sz="8" w:space="0"/>
              <w:bottom w:val="single" w:color="auto" w:sz="8" w:space="0"/>
              <w:right w:val="single" w:color="auto" w:sz="4" w:space="0"/>
            </w:tcBorders>
            <w:noWrap w:val="0"/>
            <w:vAlign w:val="center"/>
          </w:tcPr>
          <w:p>
            <w:pPr>
              <w:spacing w:line="360" w:lineRule="exact"/>
              <w:jc w:val="center"/>
              <w:rPr>
                <w:rFonts w:eastAsia="方正仿宋_GBK"/>
                <w:bCs/>
                <w:color w:val="000000"/>
                <w:spacing w:val="-2"/>
                <w:szCs w:val="21"/>
              </w:rPr>
            </w:pPr>
            <w:r>
              <w:rPr>
                <w:rFonts w:hint="eastAsia" w:eastAsia="方正仿宋_GBK"/>
                <w:bCs/>
                <w:color w:val="000000"/>
                <w:spacing w:val="-2"/>
                <w:szCs w:val="21"/>
              </w:rPr>
              <w:t>其它</w:t>
            </w:r>
          </w:p>
        </w:tc>
        <w:tc>
          <w:tcPr>
            <w:tcW w:w="8152" w:type="dxa"/>
            <w:gridSpan w:val="7"/>
            <w:tcBorders>
              <w:top w:val="single" w:color="auto" w:sz="4" w:space="0"/>
              <w:left w:val="single" w:color="auto" w:sz="4" w:space="0"/>
              <w:bottom w:val="single" w:color="auto" w:sz="8" w:space="0"/>
              <w:right w:val="single" w:color="auto" w:sz="8" w:space="0"/>
            </w:tcBorders>
            <w:noWrap w:val="0"/>
            <w:vAlign w:val="center"/>
          </w:tcPr>
          <w:p>
            <w:pPr>
              <w:spacing w:line="360" w:lineRule="exact"/>
              <w:rPr>
                <w:rFonts w:eastAsia="方正仿宋_GBK"/>
                <w:bCs/>
                <w:color w:val="000000"/>
                <w:spacing w:val="-2"/>
                <w:szCs w:val="21"/>
              </w:rPr>
            </w:pPr>
          </w:p>
        </w:tc>
      </w:tr>
    </w:tbl>
    <w:p>
      <w:pPr>
        <w:spacing w:line="460" w:lineRule="exact"/>
        <w:ind w:firstLine="472" w:firstLineChars="200"/>
        <w:rPr>
          <w:rFonts w:hint="eastAsia" w:ascii="Times New Roman" w:eastAsia="方正黑体_GBK"/>
          <w:color w:val="000000"/>
          <w:spacing w:val="-2"/>
          <w:sz w:val="24"/>
        </w:rPr>
      </w:pPr>
      <w:r>
        <w:rPr>
          <w:rFonts w:hint="eastAsia" w:ascii="Times New Roman" w:eastAsia="方正黑体_GBK"/>
          <w:color w:val="000000"/>
          <w:spacing w:val="-2"/>
          <w:sz w:val="24"/>
        </w:rPr>
        <w:t>第四条  价格管理</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本次申请预售商品房价格保持相对稳定，确需上浮申报价格的，履行相关手续后再作调整。</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本次申请预售商品房价格（均价）分别为：住宅</w:t>
      </w:r>
      <w:r>
        <w:rPr>
          <w:rFonts w:eastAsia="方正仿宋_GBK"/>
          <w:color w:val="000000"/>
          <w:spacing w:val="-2"/>
          <w:sz w:val="24"/>
          <w:u w:val="single"/>
        </w:rPr>
        <w:t xml:space="preserve">      </w:t>
      </w:r>
      <w:r>
        <w:rPr>
          <w:rFonts w:hint="eastAsia" w:eastAsia="方正仿宋_GBK"/>
          <w:color w:val="000000"/>
          <w:spacing w:val="-2"/>
          <w:sz w:val="24"/>
        </w:rPr>
        <w:t>元</w:t>
      </w:r>
      <w:r>
        <w:rPr>
          <w:rFonts w:eastAsia="方正仿宋_GBK"/>
          <w:color w:val="000000"/>
          <w:spacing w:val="-2"/>
          <w:sz w:val="24"/>
        </w:rPr>
        <w:t>/</w:t>
      </w:r>
      <w:r>
        <w:rPr>
          <w:rFonts w:hint="eastAsia" w:eastAsia="方正仿宋_GBK"/>
          <w:color w:val="000000"/>
          <w:spacing w:val="-2"/>
          <w:sz w:val="24"/>
        </w:rPr>
        <w:t>㎡、商业用房</w:t>
      </w:r>
      <w:r>
        <w:rPr>
          <w:rFonts w:eastAsia="方正仿宋_GBK"/>
          <w:color w:val="000000"/>
          <w:spacing w:val="-2"/>
          <w:sz w:val="24"/>
          <w:u w:val="single"/>
        </w:rPr>
        <w:t xml:space="preserve">       </w:t>
      </w:r>
      <w:r>
        <w:rPr>
          <w:rFonts w:hint="eastAsia" w:eastAsia="方正仿宋_GBK"/>
          <w:color w:val="000000"/>
          <w:spacing w:val="-2"/>
          <w:sz w:val="24"/>
        </w:rPr>
        <w:t>元</w:t>
      </w:r>
      <w:r>
        <w:rPr>
          <w:rFonts w:eastAsia="方正仿宋_GBK"/>
          <w:color w:val="000000"/>
          <w:spacing w:val="-2"/>
          <w:sz w:val="24"/>
        </w:rPr>
        <w:t>/</w:t>
      </w:r>
      <w:r>
        <w:rPr>
          <w:rFonts w:hint="eastAsia" w:eastAsia="方正仿宋_GBK"/>
          <w:color w:val="000000"/>
          <w:spacing w:val="-2"/>
          <w:sz w:val="24"/>
        </w:rPr>
        <w:t>㎡、车库</w:t>
      </w:r>
      <w:r>
        <w:rPr>
          <w:rFonts w:eastAsia="方正仿宋_GBK"/>
          <w:color w:val="000000"/>
          <w:spacing w:val="-2"/>
          <w:sz w:val="24"/>
          <w:u w:val="single"/>
        </w:rPr>
        <w:t xml:space="preserve">       </w:t>
      </w:r>
      <w:r>
        <w:rPr>
          <w:rFonts w:hint="eastAsia" w:eastAsia="方正仿宋_GBK"/>
          <w:color w:val="000000"/>
          <w:spacing w:val="-2"/>
          <w:sz w:val="24"/>
        </w:rPr>
        <w:t>元</w:t>
      </w:r>
      <w:r>
        <w:rPr>
          <w:rFonts w:eastAsia="方正仿宋_GBK"/>
          <w:color w:val="000000"/>
          <w:spacing w:val="-2"/>
          <w:sz w:val="24"/>
        </w:rPr>
        <w:t>/</w:t>
      </w:r>
      <w:r>
        <w:rPr>
          <w:rFonts w:hint="eastAsia" w:eastAsia="方正仿宋_GBK"/>
          <w:color w:val="000000"/>
          <w:spacing w:val="-2"/>
          <w:sz w:val="24"/>
        </w:rPr>
        <w:t>㎡、其它（</w:t>
      </w:r>
      <w:r>
        <w:rPr>
          <w:rFonts w:eastAsia="方正仿宋_GBK"/>
          <w:color w:val="000000"/>
          <w:spacing w:val="-2"/>
          <w:sz w:val="24"/>
        </w:rPr>
        <w:t xml:space="preserve">       </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元</w:t>
      </w:r>
      <w:r>
        <w:rPr>
          <w:rFonts w:eastAsia="方正仿宋_GBK"/>
          <w:color w:val="000000"/>
          <w:spacing w:val="-2"/>
          <w:sz w:val="24"/>
        </w:rPr>
        <w:t>/</w:t>
      </w:r>
      <w:r>
        <w:rPr>
          <w:rFonts w:hint="eastAsia" w:eastAsia="方正仿宋_GBK"/>
          <w:color w:val="000000"/>
          <w:spacing w:val="-2"/>
          <w:sz w:val="24"/>
        </w:rPr>
        <w:t>㎡、其它（</w:t>
      </w:r>
      <w:r>
        <w:rPr>
          <w:rFonts w:eastAsia="方正仿宋_GBK"/>
          <w:color w:val="000000"/>
          <w:spacing w:val="-2"/>
          <w:sz w:val="24"/>
        </w:rPr>
        <w:t xml:space="preserve">      </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元</w:t>
      </w:r>
      <w:r>
        <w:rPr>
          <w:rFonts w:eastAsia="方正仿宋_GBK"/>
          <w:color w:val="000000"/>
          <w:spacing w:val="-2"/>
          <w:sz w:val="24"/>
        </w:rPr>
        <w:t>/</w:t>
      </w:r>
      <w:r>
        <w:rPr>
          <w:rFonts w:hint="eastAsia" w:eastAsia="方正仿宋_GBK"/>
          <w:color w:val="000000"/>
          <w:spacing w:val="-2"/>
          <w:sz w:val="24"/>
        </w:rPr>
        <w:t>㎡、其它（</w:t>
      </w:r>
      <w:r>
        <w:rPr>
          <w:rFonts w:eastAsia="方正仿宋_GBK"/>
          <w:color w:val="000000"/>
          <w:spacing w:val="-2"/>
          <w:sz w:val="24"/>
        </w:rPr>
        <w:t xml:space="preserve">      </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元</w:t>
      </w:r>
      <w:r>
        <w:rPr>
          <w:rFonts w:eastAsia="方正仿宋_GBK"/>
          <w:color w:val="000000"/>
          <w:spacing w:val="-2"/>
          <w:sz w:val="24"/>
        </w:rPr>
        <w:t>/</w:t>
      </w:r>
      <w:r>
        <w:rPr>
          <w:rFonts w:hint="eastAsia" w:eastAsia="方正仿宋_GBK"/>
          <w:color w:val="000000"/>
          <w:spacing w:val="-2"/>
          <w:sz w:val="24"/>
        </w:rPr>
        <w:t>㎡。</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第五条  预售资金监管</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本次申报的商品房预售款监管银行分别是：</w:t>
      </w:r>
      <w:r>
        <w:rPr>
          <w:rFonts w:eastAsia="方正仿宋_GBK"/>
          <w:color w:val="000000"/>
          <w:spacing w:val="-2"/>
          <w:sz w:val="24"/>
          <w:u w:val="single"/>
        </w:rPr>
        <w:t xml:space="preserve">           </w:t>
      </w:r>
      <w:r>
        <w:rPr>
          <w:rFonts w:hint="eastAsia" w:eastAsia="方正仿宋_GBK"/>
          <w:color w:val="000000"/>
          <w:spacing w:val="-2"/>
          <w:sz w:val="24"/>
        </w:rPr>
        <w:t>幢</w:t>
      </w:r>
      <w:r>
        <w:rPr>
          <w:rFonts w:eastAsia="方正仿宋_GBK"/>
          <w:color w:val="000000"/>
          <w:spacing w:val="-2"/>
          <w:sz w:val="24"/>
        </w:rPr>
        <w:t>(</w:t>
      </w:r>
      <w:r>
        <w:rPr>
          <w:rFonts w:hint="eastAsia" w:eastAsia="方正仿宋_GBK"/>
          <w:color w:val="000000"/>
          <w:spacing w:val="-2"/>
          <w:sz w:val="24"/>
        </w:rPr>
        <w:t>楼</w:t>
      </w:r>
      <w:r>
        <w:rPr>
          <w:rFonts w:eastAsia="方正仿宋_GBK"/>
          <w:color w:val="000000"/>
          <w:spacing w:val="-2"/>
          <w:sz w:val="24"/>
        </w:rPr>
        <w:t xml:space="preserve">) </w:t>
      </w:r>
      <w:r>
        <w:rPr>
          <w:rFonts w:hint="eastAsia" w:eastAsia="方正仿宋_GBK"/>
          <w:color w:val="000000"/>
          <w:spacing w:val="-2"/>
          <w:sz w:val="24"/>
        </w:rPr>
        <w:t>为</w:t>
      </w:r>
      <w:r>
        <w:rPr>
          <w:rFonts w:eastAsia="方正仿宋_GBK"/>
          <w:color w:val="000000"/>
          <w:spacing w:val="-2"/>
          <w:sz w:val="24"/>
          <w:u w:val="single"/>
        </w:rPr>
        <w:t xml:space="preserve">                    </w:t>
      </w:r>
      <w:r>
        <w:rPr>
          <w:rFonts w:hint="eastAsia" w:eastAsia="方正仿宋_GBK"/>
          <w:color w:val="000000"/>
          <w:spacing w:val="-2"/>
          <w:sz w:val="24"/>
        </w:rPr>
        <w:t>银行</w:t>
      </w:r>
      <w:r>
        <w:rPr>
          <w:rFonts w:eastAsia="方正仿宋_GBK"/>
          <w:color w:val="000000"/>
          <w:spacing w:val="-2"/>
          <w:sz w:val="24"/>
        </w:rPr>
        <w:t>(</w:t>
      </w:r>
      <w:r>
        <w:rPr>
          <w:rFonts w:hint="eastAsia" w:eastAsia="方正仿宋_GBK"/>
          <w:color w:val="000000"/>
          <w:spacing w:val="-2"/>
          <w:sz w:val="24"/>
        </w:rPr>
        <w:t>监管帐号：</w:t>
      </w:r>
      <w:r>
        <w:rPr>
          <w:rFonts w:eastAsia="方正仿宋_GBK"/>
          <w:color w:val="000000"/>
          <w:spacing w:val="-2"/>
          <w:sz w:val="24"/>
        </w:rPr>
        <w:t xml:space="preserve">         ) </w:t>
      </w:r>
      <w:r>
        <w:rPr>
          <w:rFonts w:hint="eastAsia" w:eastAsia="方正仿宋_GBK"/>
          <w:color w:val="000000"/>
          <w:spacing w:val="-2"/>
          <w:sz w:val="24"/>
        </w:rPr>
        <w:t>；</w:t>
      </w:r>
      <w:r>
        <w:rPr>
          <w:rFonts w:eastAsia="方正仿宋_GBK"/>
          <w:color w:val="000000"/>
          <w:spacing w:val="-2"/>
          <w:sz w:val="24"/>
          <w:u w:val="single"/>
        </w:rPr>
        <w:t xml:space="preserve">   </w:t>
      </w:r>
      <w:r>
        <w:rPr>
          <w:rFonts w:hint="eastAsia" w:eastAsia="方正仿宋_GBK"/>
          <w:color w:val="000000"/>
          <w:spacing w:val="-2"/>
          <w:sz w:val="24"/>
        </w:rPr>
        <w:t>幢</w:t>
      </w:r>
      <w:r>
        <w:rPr>
          <w:rFonts w:eastAsia="方正仿宋_GBK"/>
          <w:color w:val="000000"/>
          <w:spacing w:val="-2"/>
          <w:sz w:val="24"/>
        </w:rPr>
        <w:t>(</w:t>
      </w:r>
      <w:r>
        <w:rPr>
          <w:rFonts w:hint="eastAsia" w:eastAsia="方正仿宋_GBK"/>
          <w:color w:val="000000"/>
          <w:spacing w:val="-2"/>
          <w:sz w:val="24"/>
        </w:rPr>
        <w:t>楼</w:t>
      </w:r>
      <w:r>
        <w:rPr>
          <w:rFonts w:eastAsia="方正仿宋_GBK"/>
          <w:color w:val="000000"/>
          <w:spacing w:val="-2"/>
          <w:sz w:val="24"/>
        </w:rPr>
        <w:t>)</w:t>
      </w:r>
      <w:r>
        <w:rPr>
          <w:rFonts w:hint="eastAsia" w:eastAsia="方正仿宋_GBK"/>
          <w:color w:val="000000"/>
          <w:spacing w:val="-2"/>
          <w:sz w:val="24"/>
        </w:rPr>
        <w:t>为</w:t>
      </w:r>
      <w:r>
        <w:rPr>
          <w:rFonts w:eastAsia="方正仿宋_GBK"/>
          <w:color w:val="000000"/>
          <w:spacing w:val="-2"/>
          <w:sz w:val="24"/>
          <w:u w:val="single"/>
        </w:rPr>
        <w:t xml:space="preserve">         </w:t>
      </w:r>
      <w:r>
        <w:rPr>
          <w:rFonts w:hint="eastAsia" w:eastAsia="方正仿宋_GBK"/>
          <w:color w:val="000000"/>
          <w:spacing w:val="-2"/>
          <w:sz w:val="24"/>
        </w:rPr>
        <w:t>银行</w:t>
      </w:r>
      <w:r>
        <w:rPr>
          <w:rFonts w:eastAsia="方正仿宋_GBK"/>
          <w:color w:val="000000"/>
          <w:spacing w:val="-2"/>
          <w:sz w:val="24"/>
        </w:rPr>
        <w:t>(</w:t>
      </w:r>
      <w:r>
        <w:rPr>
          <w:rFonts w:hint="eastAsia" w:eastAsia="方正仿宋_GBK"/>
          <w:color w:val="000000"/>
          <w:spacing w:val="-2"/>
          <w:sz w:val="24"/>
        </w:rPr>
        <w:t>监管帐号：</w:t>
      </w:r>
      <w:r>
        <w:rPr>
          <w:rFonts w:eastAsia="方正仿宋_GBK"/>
          <w:color w:val="000000"/>
          <w:spacing w:val="-2"/>
          <w:sz w:val="24"/>
        </w:rPr>
        <w:t xml:space="preserve">              )</w:t>
      </w:r>
      <w:r>
        <w:rPr>
          <w:rFonts w:hint="eastAsia" w:eastAsia="方正仿宋_GBK"/>
          <w:color w:val="000000"/>
          <w:spacing w:val="-2"/>
          <w:sz w:val="24"/>
        </w:rPr>
        <w:t>。</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第六条  前期物业服务</w:t>
      </w:r>
    </w:p>
    <w:p>
      <w:pPr>
        <w:spacing w:line="460" w:lineRule="exact"/>
        <w:ind w:left="1" w:firstLine="472" w:firstLineChars="200"/>
        <w:rPr>
          <w:rFonts w:hint="eastAsia" w:eastAsia="方正仿宋_GBK"/>
          <w:color w:val="000000"/>
          <w:spacing w:val="-2"/>
          <w:sz w:val="24"/>
        </w:rPr>
      </w:pPr>
      <w:r>
        <w:rPr>
          <w:rFonts w:hint="eastAsia" w:eastAsia="方正仿宋_GBK"/>
          <w:color w:val="000000"/>
          <w:spacing w:val="-2"/>
          <w:sz w:val="24"/>
        </w:rPr>
        <w:t>本项目的前期物业服务企业采用</w:t>
      </w:r>
      <w:r>
        <w:rPr>
          <w:rFonts w:eastAsia="方正仿宋_GBK"/>
          <w:color w:val="000000"/>
          <w:spacing w:val="-2"/>
          <w:sz w:val="24"/>
          <w:u w:val="single"/>
        </w:rPr>
        <w:t xml:space="preserve">                </w:t>
      </w:r>
      <w:r>
        <w:rPr>
          <w:rFonts w:hint="eastAsia" w:eastAsia="方正仿宋_GBK"/>
          <w:color w:val="000000"/>
          <w:spacing w:val="-2"/>
          <w:sz w:val="24"/>
        </w:rPr>
        <w:t>方式选聘，并向</w:t>
      </w:r>
      <w:r>
        <w:rPr>
          <w:rFonts w:eastAsia="方正仿宋_GBK"/>
          <w:color w:val="000000"/>
          <w:spacing w:val="-2"/>
          <w:sz w:val="24"/>
          <w:u w:val="single"/>
        </w:rPr>
        <w:t xml:space="preserve">                                </w:t>
      </w:r>
      <w:r>
        <w:rPr>
          <w:rFonts w:hint="eastAsia" w:eastAsia="方正仿宋_GBK"/>
          <w:color w:val="000000"/>
          <w:spacing w:val="-2"/>
          <w:sz w:val="24"/>
        </w:rPr>
        <w:t>进行备案，前期物业服务合同于</w:t>
      </w:r>
      <w:r>
        <w:rPr>
          <w:rFonts w:eastAsia="方正仿宋_GBK"/>
          <w:color w:val="000000"/>
          <w:spacing w:val="-2"/>
          <w:sz w:val="24"/>
          <w:u w:val="single"/>
        </w:rPr>
        <w:t xml:space="preserve">                                </w:t>
      </w:r>
      <w:r>
        <w:rPr>
          <w:rFonts w:hint="eastAsia" w:eastAsia="方正仿宋_GBK"/>
          <w:color w:val="000000"/>
          <w:spacing w:val="-2"/>
          <w:sz w:val="24"/>
        </w:rPr>
        <w:t>签订，前期的物业服务企业为</w:t>
      </w:r>
      <w:r>
        <w:rPr>
          <w:rFonts w:eastAsia="方正仿宋_GBK"/>
          <w:color w:val="000000"/>
          <w:spacing w:val="-2"/>
          <w:sz w:val="24"/>
          <w:u w:val="single"/>
        </w:rPr>
        <w:t xml:space="preserve">                   </w:t>
      </w:r>
      <w:r>
        <w:rPr>
          <w:rFonts w:hint="eastAsia" w:eastAsia="方正仿宋_GBK"/>
          <w:color w:val="000000"/>
          <w:spacing w:val="-2"/>
          <w:sz w:val="24"/>
        </w:rPr>
        <w:t>，其资质证号</w:t>
      </w:r>
      <w:r>
        <w:rPr>
          <w:rFonts w:eastAsia="方正仿宋_GBK"/>
          <w:color w:val="000000"/>
          <w:spacing w:val="-2"/>
          <w:sz w:val="24"/>
          <w:u w:val="single"/>
        </w:rPr>
        <w:t xml:space="preserve">                  </w:t>
      </w:r>
      <w:r>
        <w:rPr>
          <w:rFonts w:hint="eastAsia" w:eastAsia="方正仿宋_GBK"/>
          <w:color w:val="000000"/>
          <w:spacing w:val="-2"/>
          <w:sz w:val="24"/>
        </w:rPr>
        <w:t>。</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第七条  物业服务用房、社区用房</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本项目已按规定确认在网上限制物业服务用房</w:t>
      </w:r>
      <w:r>
        <w:rPr>
          <w:rFonts w:eastAsia="方正仿宋_GBK"/>
          <w:color w:val="000000"/>
          <w:spacing w:val="-2"/>
          <w:sz w:val="24"/>
          <w:u w:val="single"/>
        </w:rPr>
        <w:t xml:space="preserve">      </w:t>
      </w:r>
      <w:r>
        <w:rPr>
          <w:rFonts w:hint="eastAsia" w:eastAsia="方正仿宋_GBK"/>
          <w:color w:val="000000"/>
          <w:spacing w:val="-2"/>
          <w:sz w:val="24"/>
        </w:rPr>
        <w:t>㎡，房（幢）号：</w:t>
      </w:r>
      <w:r>
        <w:rPr>
          <w:rFonts w:eastAsia="方正仿宋_GBK"/>
          <w:color w:val="000000"/>
          <w:spacing w:val="-2"/>
          <w:sz w:val="24"/>
          <w:u w:val="single"/>
        </w:rPr>
        <w:t xml:space="preserve">        </w:t>
      </w:r>
      <w:r>
        <w:rPr>
          <w:rFonts w:hint="eastAsia" w:eastAsia="方正仿宋_GBK"/>
          <w:color w:val="000000"/>
          <w:spacing w:val="-2"/>
          <w:sz w:val="24"/>
        </w:rPr>
        <w:t>；社区用房</w:t>
      </w:r>
      <w:r>
        <w:rPr>
          <w:rFonts w:eastAsia="方正仿宋_GBK"/>
          <w:color w:val="000000"/>
          <w:spacing w:val="-2"/>
          <w:sz w:val="24"/>
        </w:rPr>
        <w:t xml:space="preserve"> </w:t>
      </w:r>
      <w:r>
        <w:rPr>
          <w:rFonts w:eastAsia="方正仿宋_GBK"/>
          <w:color w:val="000000"/>
          <w:spacing w:val="-2"/>
          <w:sz w:val="24"/>
          <w:u w:val="single"/>
        </w:rPr>
        <w:t xml:space="preserve">     </w:t>
      </w:r>
      <w:r>
        <w:rPr>
          <w:rFonts w:hint="eastAsia" w:eastAsia="方正仿宋_GBK"/>
          <w:color w:val="000000"/>
          <w:spacing w:val="-2"/>
          <w:sz w:val="24"/>
        </w:rPr>
        <w:t>㎡，房（幢）号：</w:t>
      </w:r>
      <w:r>
        <w:rPr>
          <w:rFonts w:eastAsia="方正仿宋_GBK"/>
          <w:color w:val="000000"/>
          <w:spacing w:val="-2"/>
          <w:sz w:val="24"/>
          <w:u w:val="single"/>
        </w:rPr>
        <w:t xml:space="preserve">       </w:t>
      </w:r>
      <w:r>
        <w:rPr>
          <w:rFonts w:eastAsia="方正仿宋_GBK"/>
          <w:color w:val="000000"/>
          <w:spacing w:val="-2"/>
          <w:sz w:val="24"/>
        </w:rPr>
        <w:t xml:space="preserve"> </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如不能同期建设，已经所辖市、县（市）房地产主管部门确认的同等比例并在网上已限制的临时物业服务用房</w:t>
      </w:r>
      <w:r>
        <w:rPr>
          <w:rFonts w:eastAsia="方正仿宋_GBK"/>
          <w:color w:val="000000"/>
          <w:spacing w:val="-2"/>
          <w:sz w:val="24"/>
          <w:u w:val="single"/>
        </w:rPr>
        <w:t xml:space="preserve">     </w:t>
      </w:r>
      <w:r>
        <w:rPr>
          <w:rFonts w:eastAsia="方正仿宋_GBK"/>
          <w:color w:val="000000"/>
          <w:spacing w:val="-2"/>
          <w:sz w:val="24"/>
        </w:rPr>
        <w:t xml:space="preserve"> </w:t>
      </w:r>
      <w:r>
        <w:rPr>
          <w:rFonts w:hint="eastAsia" w:eastAsia="方正仿宋_GBK"/>
          <w:color w:val="000000"/>
          <w:spacing w:val="-2"/>
          <w:sz w:val="24"/>
        </w:rPr>
        <w:t>㎡，房（幢）号：</w:t>
      </w:r>
      <w:r>
        <w:rPr>
          <w:rFonts w:eastAsia="方正仿宋_GBK"/>
          <w:color w:val="000000"/>
          <w:spacing w:val="-2"/>
          <w:sz w:val="24"/>
          <w:u w:val="single"/>
        </w:rPr>
        <w:t xml:space="preserve">       </w:t>
      </w:r>
      <w:r>
        <w:rPr>
          <w:rFonts w:eastAsia="方正仿宋_GBK"/>
          <w:color w:val="000000"/>
          <w:spacing w:val="-2"/>
          <w:sz w:val="24"/>
        </w:rPr>
        <w:t xml:space="preserve"> </w:t>
      </w:r>
      <w:r>
        <w:rPr>
          <w:rFonts w:hint="eastAsia" w:eastAsia="方正仿宋_GBK"/>
          <w:color w:val="000000"/>
          <w:spacing w:val="-2"/>
          <w:sz w:val="24"/>
        </w:rPr>
        <w:t>；临时社区用房</w:t>
      </w:r>
      <w:r>
        <w:rPr>
          <w:rFonts w:eastAsia="方正仿宋_GBK"/>
          <w:color w:val="000000"/>
          <w:spacing w:val="-2"/>
          <w:sz w:val="24"/>
          <w:u w:val="single"/>
        </w:rPr>
        <w:t xml:space="preserve">      </w:t>
      </w:r>
      <w:r>
        <w:rPr>
          <w:rFonts w:hint="eastAsia" w:eastAsia="方正仿宋_GBK"/>
          <w:color w:val="000000"/>
          <w:spacing w:val="-2"/>
          <w:sz w:val="24"/>
        </w:rPr>
        <w:t>㎡，房（幢）号：</w:t>
      </w:r>
      <w:r>
        <w:rPr>
          <w:rFonts w:eastAsia="方正仿宋_GBK"/>
          <w:color w:val="000000"/>
          <w:spacing w:val="-2"/>
          <w:sz w:val="24"/>
          <w:u w:val="single"/>
        </w:rPr>
        <w:t xml:space="preserve">        </w:t>
      </w:r>
      <w:r>
        <w:rPr>
          <w:rFonts w:hint="eastAsia" w:eastAsia="方正仿宋_GBK"/>
          <w:color w:val="000000"/>
          <w:spacing w:val="-2"/>
          <w:sz w:val="24"/>
        </w:rPr>
        <w:t>。</w:t>
      </w:r>
    </w:p>
    <w:p>
      <w:pPr>
        <w:spacing w:line="460" w:lineRule="exact"/>
        <w:ind w:firstLine="555"/>
        <w:rPr>
          <w:rFonts w:ascii="Times New Roman" w:eastAsia="方正黑体_GBK"/>
          <w:color w:val="000000"/>
          <w:spacing w:val="-2"/>
          <w:sz w:val="24"/>
        </w:rPr>
      </w:pPr>
      <w:r>
        <w:rPr>
          <w:rFonts w:hint="eastAsia" w:ascii="Times New Roman" w:eastAsia="方正黑体_GBK"/>
          <w:color w:val="000000"/>
          <w:spacing w:val="-2"/>
          <w:sz w:val="24"/>
        </w:rPr>
        <w:t>第八条  白蚁防治</w:t>
      </w:r>
    </w:p>
    <w:p>
      <w:pPr>
        <w:spacing w:line="460" w:lineRule="exact"/>
        <w:ind w:firstLine="472" w:firstLineChars="200"/>
        <w:rPr>
          <w:rFonts w:hint="eastAsia" w:eastAsia="方正仿宋_GBK"/>
          <w:color w:val="000000"/>
          <w:spacing w:val="-2"/>
          <w:sz w:val="24"/>
        </w:rPr>
      </w:pPr>
      <w:r>
        <w:rPr>
          <w:rFonts w:hint="eastAsia" w:eastAsia="方正仿宋_GBK"/>
          <w:bCs/>
          <w:color w:val="000000"/>
          <w:spacing w:val="-2"/>
          <w:sz w:val="24"/>
        </w:rPr>
        <w:t>本项目已签定《白蚁防治合同》，合同号为：</w:t>
      </w:r>
      <w:r>
        <w:rPr>
          <w:rFonts w:eastAsia="方正仿宋_GBK"/>
          <w:bCs/>
          <w:color w:val="000000"/>
          <w:spacing w:val="-2"/>
          <w:sz w:val="24"/>
          <w:u w:val="single"/>
        </w:rPr>
        <w:t xml:space="preserve">              </w:t>
      </w:r>
      <w:r>
        <w:rPr>
          <w:rFonts w:hint="eastAsia" w:eastAsia="方正仿宋_GBK"/>
          <w:bCs/>
          <w:color w:val="000000"/>
          <w:spacing w:val="-2"/>
          <w:sz w:val="24"/>
        </w:rPr>
        <w:t>，白蚁防治</w:t>
      </w:r>
      <w:r>
        <w:rPr>
          <w:rFonts w:eastAsia="方正仿宋_GBK"/>
          <w:bCs/>
          <w:color w:val="000000"/>
          <w:spacing w:val="-2"/>
          <w:sz w:val="24"/>
          <w:u w:val="single"/>
        </w:rPr>
        <w:t xml:space="preserve">      </w:t>
      </w:r>
      <w:r>
        <w:rPr>
          <w:rFonts w:eastAsia="方正仿宋_GBK"/>
          <w:bCs/>
          <w:color w:val="000000"/>
          <w:spacing w:val="-2"/>
          <w:sz w:val="24"/>
        </w:rPr>
        <w:t>m</w:t>
      </w:r>
      <w:r>
        <w:rPr>
          <w:rFonts w:eastAsia="方正仿宋_GBK"/>
          <w:bCs/>
          <w:color w:val="000000"/>
          <w:spacing w:val="-2"/>
          <w:sz w:val="24"/>
          <w:vertAlign w:val="superscript"/>
        </w:rPr>
        <w:t>2</w:t>
      </w:r>
      <w:r>
        <w:rPr>
          <w:rFonts w:hint="eastAsia" w:eastAsia="方正仿宋_GBK"/>
          <w:bCs/>
          <w:color w:val="000000"/>
          <w:spacing w:val="-2"/>
          <w:sz w:val="24"/>
        </w:rPr>
        <w:t>。</w:t>
      </w:r>
    </w:p>
    <w:p>
      <w:pPr>
        <w:spacing w:line="460" w:lineRule="exact"/>
        <w:ind w:firstLine="555"/>
        <w:rPr>
          <w:rFonts w:ascii="Times New Roman" w:eastAsia="方正黑体_GBK"/>
          <w:color w:val="000000"/>
          <w:spacing w:val="-2"/>
          <w:sz w:val="24"/>
        </w:rPr>
      </w:pPr>
      <w:r>
        <w:rPr>
          <w:rFonts w:hint="eastAsia" w:ascii="Times New Roman" w:eastAsia="方正黑体_GBK"/>
          <w:color w:val="000000"/>
          <w:spacing w:val="-2"/>
          <w:sz w:val="24"/>
        </w:rPr>
        <w:t>第九条  装饰和设备标准情况及其它节能、节材、节水措施</w:t>
      </w:r>
    </w:p>
    <w:p>
      <w:pPr>
        <w:spacing w:line="460" w:lineRule="exact"/>
        <w:ind w:firstLine="462" w:firstLineChars="196"/>
        <w:textAlignment w:val="baseline"/>
        <w:rPr>
          <w:rFonts w:hint="eastAsia" w:eastAsia="方正仿宋_GBK"/>
          <w:color w:val="000000"/>
          <w:spacing w:val="-2"/>
          <w:sz w:val="24"/>
          <w:shd w:val="clear" w:color="auto" w:fill="FFFFFF"/>
        </w:rPr>
      </w:pPr>
      <w:r>
        <w:rPr>
          <w:rFonts w:eastAsia="方正仿宋_GBK"/>
          <w:color w:val="000000"/>
          <w:spacing w:val="-2"/>
          <w:sz w:val="24"/>
          <w:shd w:val="clear" w:color="auto" w:fill="FFFFFF"/>
        </w:rPr>
        <w:t>1.</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采暖系统：</w:t>
      </w:r>
    </w:p>
    <w:p>
      <w:pPr>
        <w:spacing w:line="460" w:lineRule="exact"/>
        <w:ind w:left="561" w:leftChars="267"/>
        <w:jc w:val="left"/>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）集中采暖：【</w:t>
      </w:r>
      <w:r>
        <w:rPr>
          <w:rFonts w:eastAsia="方正仿宋_GBK"/>
          <w:color w:val="000000"/>
          <w:spacing w:val="-2"/>
          <w:sz w:val="24"/>
          <w:shd w:val="clear" w:color="auto" w:fill="FFFFFF"/>
        </w:rPr>
        <w:t xml:space="preserve"> _________________________</w:t>
      </w:r>
      <w:r>
        <w:rPr>
          <w:rFonts w:hint="eastAsia" w:eastAsia="方正仿宋_GBK"/>
          <w:color w:val="000000"/>
          <w:spacing w:val="-2"/>
          <w:sz w:val="24"/>
          <w:shd w:val="clear" w:color="auto" w:fill="FFFFFF"/>
        </w:rPr>
        <w:t>】；</w:t>
      </w:r>
    </w:p>
    <w:p>
      <w:pPr>
        <w:spacing w:line="460" w:lineRule="exact"/>
        <w:ind w:left="561" w:leftChars="267"/>
        <w:jc w:val="left"/>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2</w:t>
      </w:r>
      <w:r>
        <w:rPr>
          <w:rFonts w:hint="eastAsia" w:eastAsia="方正仿宋_GBK"/>
          <w:color w:val="000000"/>
          <w:spacing w:val="-2"/>
          <w:sz w:val="24"/>
          <w:shd w:val="clear" w:color="auto" w:fill="FFFFFF"/>
        </w:rPr>
        <w:t>）分户采暖：【</w:t>
      </w:r>
      <w:r>
        <w:rPr>
          <w:rFonts w:eastAsia="方正仿宋_GBK"/>
          <w:color w:val="000000"/>
          <w:spacing w:val="-2"/>
          <w:sz w:val="24"/>
          <w:shd w:val="clear" w:color="auto" w:fill="FFFFFF"/>
        </w:rPr>
        <w:t xml:space="preserve"> _________________________</w:t>
      </w:r>
      <w:r>
        <w:rPr>
          <w:rFonts w:hint="eastAsia" w:eastAsia="方正仿宋_GBK"/>
          <w:color w:val="000000"/>
          <w:spacing w:val="-2"/>
          <w:sz w:val="24"/>
          <w:shd w:val="clear" w:color="auto" w:fill="FFFFFF"/>
        </w:rPr>
        <w:t>】；</w:t>
      </w:r>
    </w:p>
    <w:p>
      <w:pPr>
        <w:spacing w:line="460" w:lineRule="exact"/>
        <w:ind w:left="561" w:leftChars="267"/>
        <w:jc w:val="left"/>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3</w:t>
      </w:r>
      <w:r>
        <w:rPr>
          <w:rFonts w:hint="eastAsia" w:eastAsia="方正仿宋_GBK"/>
          <w:color w:val="000000"/>
          <w:spacing w:val="-2"/>
          <w:sz w:val="24"/>
          <w:shd w:val="clear" w:color="auto" w:fill="FFFFFF"/>
        </w:rPr>
        <w:t>）采暖设备品牌：【</w:t>
      </w:r>
      <w:r>
        <w:rPr>
          <w:rFonts w:eastAsia="方正仿宋_GBK"/>
          <w:color w:val="000000"/>
          <w:spacing w:val="-2"/>
          <w:sz w:val="24"/>
          <w:shd w:val="clear" w:color="auto" w:fill="FFFFFF"/>
        </w:rPr>
        <w:t>______________________</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2.</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保温材料：</w:t>
      </w:r>
    </w:p>
    <w:p>
      <w:pPr>
        <w:spacing w:line="460" w:lineRule="exact"/>
        <w:ind w:firstLine="472" w:firstLineChars="200"/>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）外墙保温：【</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2</w:t>
      </w:r>
      <w:r>
        <w:rPr>
          <w:rFonts w:hint="eastAsia" w:eastAsia="方正仿宋_GBK"/>
          <w:color w:val="000000"/>
          <w:spacing w:val="-2"/>
          <w:sz w:val="24"/>
          <w:shd w:val="clear" w:color="auto" w:fill="FFFFFF"/>
        </w:rPr>
        <w:t>）内墙保温：【</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3.</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外墙装饰材料：【</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4.</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内墙装饰材料：【</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5.</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顶棚装饰材料：【</w:t>
      </w:r>
      <w:r>
        <w:rPr>
          <w:rFonts w:eastAsia="方正仿宋_GBK"/>
          <w:color w:val="000000"/>
          <w:spacing w:val="-2"/>
          <w:sz w:val="24"/>
          <w:shd w:val="clear" w:color="auto" w:fill="FFFFFF"/>
        </w:rPr>
        <w:t xml:space="preserve"> _____________________</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6.</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室内地面：【</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7.</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门窗：</w:t>
      </w:r>
    </w:p>
    <w:p>
      <w:pPr>
        <w:spacing w:line="460" w:lineRule="exact"/>
        <w:ind w:firstLine="472" w:firstLineChars="200"/>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）开启方向：【</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jc w:val="left"/>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2</w:t>
      </w:r>
      <w:r>
        <w:rPr>
          <w:rFonts w:hint="eastAsia" w:eastAsia="方正仿宋_GBK"/>
          <w:color w:val="000000"/>
          <w:spacing w:val="-2"/>
          <w:sz w:val="24"/>
          <w:shd w:val="clear" w:color="auto" w:fill="FFFFFF"/>
        </w:rPr>
        <w:t>）门窗型材：【</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8.</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厨房装修标准及设备：【</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9.</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卫生间装修标准及设备【</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10.</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阳台封闭情况及型村：【</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11.</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电梯：</w:t>
      </w:r>
    </w:p>
    <w:p>
      <w:pPr>
        <w:spacing w:line="460" w:lineRule="exact"/>
        <w:ind w:firstLine="354" w:firstLineChars="150"/>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）电梯品牌名称：【</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354" w:firstLineChars="150"/>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2</w:t>
      </w:r>
      <w:r>
        <w:rPr>
          <w:rFonts w:hint="eastAsia" w:eastAsia="方正仿宋_GBK"/>
          <w:color w:val="000000"/>
          <w:spacing w:val="-2"/>
          <w:sz w:val="24"/>
          <w:shd w:val="clear" w:color="auto" w:fill="FFFFFF"/>
        </w:rPr>
        <w:t>）电梯速度：【</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米</w:t>
      </w:r>
      <w:r>
        <w:rPr>
          <w:rFonts w:eastAsia="方正仿宋_GBK"/>
          <w:color w:val="000000"/>
          <w:spacing w:val="-2"/>
          <w:sz w:val="24"/>
          <w:shd w:val="clear" w:color="auto" w:fill="FFFFFF"/>
        </w:rPr>
        <w:t>/</w:t>
      </w:r>
      <w:r>
        <w:rPr>
          <w:rFonts w:hint="eastAsia" w:eastAsia="方正仿宋_GBK"/>
          <w:color w:val="000000"/>
          <w:spacing w:val="-2"/>
          <w:sz w:val="24"/>
          <w:shd w:val="clear" w:color="auto" w:fill="FFFFFF"/>
        </w:rPr>
        <w:t>秒】；</w:t>
      </w:r>
    </w:p>
    <w:p>
      <w:pPr>
        <w:spacing w:line="460" w:lineRule="exact"/>
        <w:ind w:firstLine="354" w:firstLineChars="150"/>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3</w:t>
      </w:r>
      <w:r>
        <w:rPr>
          <w:rFonts w:hint="eastAsia" w:eastAsia="方正仿宋_GBK"/>
          <w:color w:val="000000"/>
          <w:spacing w:val="-2"/>
          <w:sz w:val="24"/>
          <w:shd w:val="clear" w:color="auto" w:fill="FFFFFF"/>
        </w:rPr>
        <w:t>）电梯载重量：【</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千克】；</w:t>
      </w:r>
    </w:p>
    <w:p>
      <w:pPr>
        <w:spacing w:line="460" w:lineRule="exact"/>
        <w:ind w:firstLine="354" w:firstLineChars="150"/>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4</w:t>
      </w:r>
      <w:r>
        <w:rPr>
          <w:rFonts w:hint="eastAsia" w:eastAsia="方正仿宋_GBK"/>
          <w:color w:val="000000"/>
          <w:spacing w:val="-2"/>
          <w:sz w:val="24"/>
          <w:shd w:val="clear" w:color="auto" w:fill="FFFFFF"/>
        </w:rPr>
        <w:t>）其他：【</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12.</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太阳能：</w:t>
      </w:r>
    </w:p>
    <w:p>
      <w:pPr>
        <w:spacing w:line="460" w:lineRule="exact"/>
        <w:ind w:firstLine="354" w:firstLineChars="150"/>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）【有】【无】；</w:t>
      </w:r>
    </w:p>
    <w:p>
      <w:pPr>
        <w:spacing w:line="460" w:lineRule="exact"/>
        <w:ind w:firstLine="354" w:firstLineChars="150"/>
        <w:textAlignment w:val="baseline"/>
        <w:rPr>
          <w:rFonts w:eastAsia="方正仿宋_GBK"/>
          <w:color w:val="000000"/>
          <w:spacing w:val="-2"/>
          <w:sz w:val="24"/>
          <w:shd w:val="clear" w:color="auto" w:fill="FFFFFF"/>
        </w:rPr>
      </w:pP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2</w:t>
      </w:r>
      <w:r>
        <w:rPr>
          <w:rFonts w:hint="eastAsia" w:eastAsia="方正仿宋_GBK"/>
          <w:color w:val="000000"/>
          <w:spacing w:val="-2"/>
          <w:sz w:val="24"/>
          <w:shd w:val="clear" w:color="auto" w:fill="FFFFFF"/>
        </w:rPr>
        <w:t>）太阳能品牌【</w:t>
      </w:r>
      <w:r>
        <w:rPr>
          <w:rFonts w:eastAsia="方正仿宋_GBK"/>
          <w:color w:val="000000"/>
          <w:spacing w:val="-2"/>
          <w:sz w:val="24"/>
          <w:shd w:val="clear" w:color="auto" w:fill="FFFFFF"/>
        </w:rPr>
        <w:t>___________________________________</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13.</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入户门材料及品牌：【</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14.</w:t>
      </w:r>
      <w:r>
        <w:rPr>
          <w:rFonts w:hint="cs" w:eastAsia="方正仿宋_GBK"/>
          <w:color w:val="000000"/>
          <w:spacing w:val="-2"/>
          <w:sz w:val="24"/>
          <w:shd w:val="clear" w:color="auto" w:fill="FFFFFF"/>
          <w:cs/>
        </w:rPr>
        <w:t> </w:t>
      </w:r>
      <w:r>
        <w:rPr>
          <w:rFonts w:hint="eastAsia" w:eastAsia="方正仿宋_GBK"/>
          <w:color w:val="000000"/>
          <w:spacing w:val="-2"/>
          <w:sz w:val="24"/>
        </w:rPr>
        <w:t>单元对讲门类型及品牌：</w:t>
      </w:r>
      <w:r>
        <w:rPr>
          <w:rFonts w:hint="eastAsia" w:eastAsia="方正仿宋_GBK"/>
          <w:color w:val="000000"/>
          <w:spacing w:val="-2"/>
          <w:sz w:val="24"/>
          <w:shd w:val="clear" w:color="auto" w:fill="FFFFFF"/>
        </w:rPr>
        <w:t>【</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15.</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安防系统品牌及有关情况：【</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16.</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中央空调品牌：【</w:t>
      </w:r>
      <w:r>
        <w:rPr>
          <w:rFonts w:eastAsia="方正仿宋_GBK"/>
          <w:color w:val="000000"/>
          <w:spacing w:val="-2"/>
          <w:sz w:val="24"/>
          <w:u w:val="single"/>
          <w:shd w:val="clear" w:color="auto" w:fill="FFFFFF"/>
        </w:rPr>
        <w:t xml:space="preserve">                     </w:t>
      </w:r>
      <w:r>
        <w:rPr>
          <w:rFonts w:hint="eastAsia" w:eastAsia="方正仿宋_GBK"/>
          <w:color w:val="000000"/>
          <w:spacing w:val="-2"/>
          <w:sz w:val="24"/>
          <w:shd w:val="clear" w:color="auto" w:fill="FFFFFF"/>
        </w:rPr>
        <w:t>】。</w:t>
      </w:r>
    </w:p>
    <w:p>
      <w:pPr>
        <w:spacing w:line="460" w:lineRule="exact"/>
        <w:ind w:firstLine="472" w:firstLineChars="200"/>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17.</w:t>
      </w:r>
      <w:r>
        <w:rPr>
          <w:rFonts w:hint="cs" w:eastAsia="方正仿宋_GBK"/>
          <w:color w:val="000000"/>
          <w:spacing w:val="-2"/>
          <w:sz w:val="24"/>
          <w:shd w:val="clear" w:color="auto" w:fill="FFFFFF"/>
          <w:cs/>
        </w:rPr>
        <w:t> </w:t>
      </w:r>
      <w:r>
        <w:rPr>
          <w:rFonts w:hint="eastAsia" w:eastAsia="方正仿宋_GBK"/>
          <w:color w:val="000000"/>
          <w:spacing w:val="-2"/>
          <w:sz w:val="24"/>
          <w:shd w:val="clear" w:color="auto" w:fill="FFFFFF"/>
        </w:rPr>
        <w:t>其他设施：</w:t>
      </w:r>
    </w:p>
    <w:p>
      <w:pPr>
        <w:spacing w:line="460" w:lineRule="exact"/>
        <w:jc w:val="center"/>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_________________________________________________________</w:t>
      </w:r>
      <w:r>
        <w:rPr>
          <w:rFonts w:hint="eastAsia" w:eastAsia="方正仿宋_GBK"/>
          <w:color w:val="000000"/>
          <w:spacing w:val="-2"/>
          <w:sz w:val="24"/>
          <w:shd w:val="clear" w:color="auto" w:fill="FFFFFF"/>
        </w:rPr>
        <w:t>；</w:t>
      </w:r>
    </w:p>
    <w:p>
      <w:pPr>
        <w:spacing w:line="460" w:lineRule="exact"/>
        <w:jc w:val="center"/>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_________________________________________________________</w:t>
      </w:r>
      <w:r>
        <w:rPr>
          <w:rFonts w:hint="eastAsia" w:eastAsia="方正仿宋_GBK"/>
          <w:color w:val="000000"/>
          <w:spacing w:val="-2"/>
          <w:sz w:val="24"/>
          <w:shd w:val="clear" w:color="auto" w:fill="FFFFFF"/>
        </w:rPr>
        <w:t>；</w:t>
      </w:r>
    </w:p>
    <w:p>
      <w:pPr>
        <w:spacing w:line="460" w:lineRule="exact"/>
        <w:jc w:val="center"/>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_________________________________________________________</w:t>
      </w:r>
      <w:r>
        <w:rPr>
          <w:rFonts w:hint="eastAsia" w:eastAsia="方正仿宋_GBK"/>
          <w:color w:val="000000"/>
          <w:spacing w:val="-2"/>
          <w:sz w:val="24"/>
          <w:shd w:val="clear" w:color="auto" w:fill="FFFFFF"/>
        </w:rPr>
        <w:t>；</w:t>
      </w:r>
    </w:p>
    <w:p>
      <w:pPr>
        <w:spacing w:line="460" w:lineRule="exact"/>
        <w:jc w:val="center"/>
        <w:textAlignment w:val="baseline"/>
        <w:rPr>
          <w:rFonts w:eastAsia="方正仿宋_GBK"/>
          <w:color w:val="000000"/>
          <w:spacing w:val="-2"/>
          <w:sz w:val="24"/>
          <w:shd w:val="clear" w:color="auto" w:fill="FFFFFF"/>
        </w:rPr>
      </w:pPr>
      <w:r>
        <w:rPr>
          <w:rFonts w:eastAsia="方正仿宋_GBK"/>
          <w:color w:val="000000"/>
          <w:spacing w:val="-2"/>
          <w:sz w:val="24"/>
          <w:shd w:val="clear" w:color="auto" w:fill="FFFFFF"/>
        </w:rPr>
        <w:t>__________________________________________________________</w:t>
      </w:r>
      <w:r>
        <w:rPr>
          <w:rFonts w:hint="eastAsia" w:eastAsia="方正仿宋_GBK"/>
          <w:color w:val="000000"/>
          <w:spacing w:val="-2"/>
          <w:sz w:val="24"/>
          <w:shd w:val="clear" w:color="auto" w:fill="FFFFFF"/>
        </w:rPr>
        <w:t>。</w:t>
      </w:r>
    </w:p>
    <w:p>
      <w:pPr>
        <w:spacing w:line="460" w:lineRule="exact"/>
        <w:ind w:firstLine="555"/>
        <w:rPr>
          <w:rFonts w:ascii="Times New Roman" w:eastAsia="方正黑体_GBK"/>
          <w:color w:val="000000"/>
          <w:spacing w:val="-2"/>
          <w:sz w:val="24"/>
        </w:rPr>
      </w:pPr>
      <w:r>
        <w:rPr>
          <w:rFonts w:hint="eastAsia" w:ascii="Times New Roman" w:eastAsia="方正黑体_GBK"/>
          <w:color w:val="000000"/>
          <w:spacing w:val="-2"/>
          <w:sz w:val="24"/>
        </w:rPr>
        <w:br w:type="column"/>
      </w:r>
      <w:r>
        <w:rPr>
          <w:rFonts w:hint="eastAsia" w:ascii="Times New Roman" w:eastAsia="方正黑体_GBK"/>
          <w:color w:val="000000"/>
          <w:spacing w:val="-2"/>
          <w:sz w:val="24"/>
        </w:rPr>
        <w:t>第十条 预售行为承诺</w:t>
      </w:r>
    </w:p>
    <w:tbl>
      <w:tblPr>
        <w:tblStyle w:val="12"/>
        <w:tblW w:w="0" w:type="auto"/>
        <w:tblInd w:w="92" w:type="dxa"/>
        <w:tblBorders>
          <w:top w:val="single" w:color="auto" w:sz="8" w:space="0"/>
          <w:left w:val="single" w:color="auto" w:sz="8" w:space="0"/>
          <w:bottom w:val="single" w:color="auto" w:sz="8" w:space="0"/>
          <w:right w:val="single" w:color="auto" w:sz="8" w:space="0"/>
          <w:insideH w:val="none" w:color="auto" w:sz="0" w:space="0"/>
          <w:insideV w:val="none" w:color="auto" w:sz="0" w:space="0"/>
        </w:tblBorders>
        <w:tblLayout w:type="fixed"/>
        <w:tblCellMar>
          <w:top w:w="0" w:type="dxa"/>
          <w:left w:w="108" w:type="dxa"/>
          <w:bottom w:w="0" w:type="dxa"/>
          <w:right w:w="108" w:type="dxa"/>
        </w:tblCellMar>
      </w:tblPr>
      <w:tblGrid>
        <w:gridCol w:w="8746"/>
      </w:tblGrid>
      <w:tr>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c>
          <w:tcPr>
            <w:tcW w:w="8746" w:type="dxa"/>
            <w:tcBorders>
              <w:top w:val="single" w:color="auto" w:sz="8" w:space="0"/>
              <w:left w:val="single" w:color="auto" w:sz="8" w:space="0"/>
              <w:bottom w:val="single" w:color="auto" w:sz="8" w:space="0"/>
              <w:right w:val="single" w:color="auto" w:sz="8" w:space="0"/>
            </w:tcBorders>
            <w:noWrap w:val="0"/>
            <w:vAlign w:val="top"/>
          </w:tcPr>
          <w:p>
            <w:pPr>
              <w:spacing w:line="460" w:lineRule="exact"/>
              <w:rPr>
                <w:rFonts w:eastAsia="方正仿宋_GBK"/>
                <w:color w:val="000000"/>
                <w:spacing w:val="-2"/>
                <w:kern w:val="0"/>
                <w:sz w:val="24"/>
              </w:rPr>
            </w:pPr>
            <w:r>
              <w:rPr>
                <w:rFonts w:hint="eastAsia" w:eastAsia="方正仿宋_GBK"/>
                <w:bCs/>
                <w:color w:val="000000"/>
                <w:spacing w:val="-2"/>
                <w:sz w:val="24"/>
              </w:rPr>
              <w:t>本公司</w:t>
            </w:r>
            <w:r>
              <w:rPr>
                <w:rFonts w:hint="eastAsia" w:eastAsia="方正仿宋_GBK"/>
                <w:color w:val="000000"/>
                <w:spacing w:val="-2"/>
                <w:kern w:val="0"/>
                <w:sz w:val="24"/>
              </w:rPr>
              <w:t>承诺：</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（一）未取得预售许可不进行预售，不以认购、预订、排号、发放</w:t>
            </w:r>
            <w:r>
              <w:rPr>
                <w:rFonts w:eastAsia="方正仿宋_GBK"/>
                <w:color w:val="000000"/>
                <w:spacing w:val="-2"/>
                <w:kern w:val="0"/>
                <w:sz w:val="24"/>
              </w:rPr>
              <w:t>VIP</w:t>
            </w:r>
            <w:r>
              <w:rPr>
                <w:rFonts w:hint="eastAsia" w:eastAsia="方正仿宋_GBK"/>
                <w:color w:val="000000"/>
                <w:spacing w:val="-2"/>
                <w:kern w:val="0"/>
                <w:sz w:val="24"/>
              </w:rPr>
              <w:t>卡等方式向买受人收取或变相收取定金、预定款等性质的费用，不参加任何展销活动。</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（二）取得预售许可后，在</w:t>
            </w:r>
            <w:r>
              <w:rPr>
                <w:rFonts w:eastAsia="方正仿宋_GBK"/>
                <w:color w:val="000000"/>
                <w:spacing w:val="-2"/>
                <w:kern w:val="0"/>
                <w:sz w:val="24"/>
              </w:rPr>
              <w:t>10</w:t>
            </w:r>
            <w:r>
              <w:rPr>
                <w:rFonts w:hint="eastAsia" w:eastAsia="方正仿宋_GBK"/>
                <w:color w:val="000000"/>
                <w:spacing w:val="-2"/>
                <w:kern w:val="0"/>
                <w:sz w:val="24"/>
              </w:rPr>
              <w:t>日内一次性公开全部准售房源及每套房屋价格，并严格按照申报价格，明码标价对外销售。</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（三）不将企业自留房屋在房屋所有权初始登记前对外销售，不采取返本销售、售后包租的方式预售商品住房，不进行虚假交易。</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（四）不捂盘惜售、哄抬房价，不以畸高价格销售等方式人为制造房源紧张。</w:t>
            </w:r>
          </w:p>
          <w:p>
            <w:pPr>
              <w:spacing w:line="460" w:lineRule="exact"/>
              <w:ind w:firstLine="567"/>
              <w:rPr>
                <w:rFonts w:eastAsia="方正仿宋_GBK"/>
                <w:color w:val="000000"/>
                <w:spacing w:val="-2"/>
                <w:kern w:val="0"/>
                <w:sz w:val="24"/>
              </w:rPr>
            </w:pPr>
            <w:r>
              <w:rPr>
                <w:rFonts w:hint="eastAsia" w:eastAsia="方正仿宋_GBK"/>
                <w:color w:val="000000"/>
                <w:spacing w:val="-2"/>
                <w:kern w:val="0"/>
                <w:sz w:val="24"/>
              </w:rPr>
              <w:t>（五）严格执行商品房预售资金监管制度，商品房预售资金全部存入监管账户，用于商品房项目工程建设。</w:t>
            </w:r>
          </w:p>
          <w:p>
            <w:pPr>
              <w:spacing w:line="460" w:lineRule="exact"/>
              <w:ind w:firstLine="645"/>
              <w:rPr>
                <w:rFonts w:eastAsia="方正仿宋_GBK"/>
                <w:color w:val="000000"/>
                <w:spacing w:val="-2"/>
                <w:kern w:val="0"/>
                <w:sz w:val="24"/>
              </w:rPr>
            </w:pPr>
            <w:r>
              <w:rPr>
                <w:rFonts w:hint="eastAsia" w:eastAsia="方正仿宋_GBK"/>
                <w:color w:val="000000"/>
                <w:spacing w:val="-2"/>
                <w:kern w:val="0"/>
                <w:sz w:val="24"/>
              </w:rPr>
              <w:t>（六）统一使用财政专用票据代收业主物业维修资金，并按规定及时将资金存入市物业维修资金专户。</w:t>
            </w:r>
          </w:p>
          <w:p>
            <w:pPr>
              <w:spacing w:line="460" w:lineRule="exact"/>
              <w:ind w:firstLine="645"/>
              <w:rPr>
                <w:rFonts w:eastAsia="方正仿宋_GBK"/>
                <w:color w:val="000000"/>
                <w:spacing w:val="-2"/>
                <w:kern w:val="0"/>
                <w:sz w:val="24"/>
              </w:rPr>
            </w:pPr>
            <w:r>
              <w:rPr>
                <w:rFonts w:hint="eastAsia" w:eastAsia="方正仿宋_GBK"/>
                <w:color w:val="000000"/>
                <w:spacing w:val="-2"/>
                <w:kern w:val="0"/>
                <w:sz w:val="24"/>
              </w:rPr>
              <w:t>（七）严格按照本方案预售商品房。预售方案中主要内容发生变更时，及时报</w:t>
            </w:r>
            <w:r>
              <w:rPr>
                <w:rFonts w:hint="eastAsia" w:eastAsia="方正仿宋_GBK"/>
                <w:color w:val="000000"/>
                <w:spacing w:val="-2"/>
                <w:sz w:val="24"/>
              </w:rPr>
              <w:t>所辖市、县（市）房地产主管部门</w:t>
            </w:r>
            <w:r>
              <w:rPr>
                <w:rFonts w:hint="eastAsia" w:eastAsia="方正仿宋_GBK"/>
                <w:color w:val="000000"/>
                <w:spacing w:val="-2"/>
                <w:kern w:val="0"/>
                <w:sz w:val="24"/>
              </w:rPr>
              <w:t>备案并公示。</w:t>
            </w:r>
          </w:p>
          <w:p>
            <w:pPr>
              <w:spacing w:line="460" w:lineRule="exact"/>
              <w:ind w:firstLine="645"/>
              <w:rPr>
                <w:rFonts w:eastAsia="方正仿宋_GBK"/>
                <w:color w:val="000000"/>
                <w:spacing w:val="-2"/>
                <w:kern w:val="0"/>
                <w:sz w:val="24"/>
              </w:rPr>
            </w:pPr>
            <w:r>
              <w:rPr>
                <w:rFonts w:hint="eastAsia" w:eastAsia="方正仿宋_GBK"/>
                <w:color w:val="000000"/>
                <w:spacing w:val="-2"/>
                <w:kern w:val="0"/>
                <w:sz w:val="24"/>
              </w:rPr>
              <w:t>（八）提交的所有资料真实、合法。</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如违反以上承诺，本公司负全部责任。</w:t>
            </w:r>
          </w:p>
          <w:p>
            <w:pPr>
              <w:spacing w:line="460" w:lineRule="exact"/>
              <w:jc w:val="center"/>
              <w:rPr>
                <w:rFonts w:eastAsia="方正仿宋_GBK"/>
                <w:b/>
                <w:bCs/>
                <w:color w:val="000000"/>
                <w:spacing w:val="-2"/>
                <w:sz w:val="24"/>
              </w:rPr>
            </w:pPr>
          </w:p>
          <w:p>
            <w:pPr>
              <w:spacing w:line="460" w:lineRule="exact"/>
              <w:jc w:val="center"/>
              <w:rPr>
                <w:rFonts w:eastAsia="方正仿宋_GBK"/>
                <w:b/>
                <w:bCs/>
                <w:color w:val="000000"/>
                <w:spacing w:val="-2"/>
                <w:sz w:val="24"/>
              </w:rPr>
            </w:pPr>
          </w:p>
          <w:p>
            <w:pPr>
              <w:spacing w:line="460" w:lineRule="exact"/>
              <w:jc w:val="center"/>
              <w:rPr>
                <w:rFonts w:eastAsia="方正仿宋_GBK"/>
                <w:b/>
                <w:bCs/>
                <w:color w:val="000000"/>
                <w:spacing w:val="-2"/>
                <w:sz w:val="24"/>
              </w:rPr>
            </w:pPr>
            <w:r>
              <w:rPr>
                <w:rFonts w:eastAsia="方正仿宋_GBK"/>
                <w:bCs/>
                <w:color w:val="000000"/>
                <w:spacing w:val="-2"/>
                <w:sz w:val="24"/>
              </w:rPr>
              <w:t xml:space="preserve">               </w:t>
            </w:r>
            <w:r>
              <w:rPr>
                <w:rFonts w:hint="eastAsia" w:eastAsia="方正仿宋_GBK"/>
                <w:bCs/>
                <w:color w:val="000000"/>
                <w:spacing w:val="-2"/>
                <w:sz w:val="24"/>
              </w:rPr>
              <w:t>开发企业（盖章）</w:t>
            </w:r>
          </w:p>
          <w:p>
            <w:pPr>
              <w:spacing w:line="460" w:lineRule="exact"/>
              <w:jc w:val="center"/>
              <w:rPr>
                <w:rFonts w:eastAsia="方正仿宋_GBK"/>
                <w:bCs/>
                <w:color w:val="000000"/>
                <w:spacing w:val="-2"/>
                <w:sz w:val="24"/>
              </w:rPr>
            </w:pPr>
            <w:r>
              <w:rPr>
                <w:rFonts w:eastAsia="方正仿宋_GBK"/>
                <w:bCs/>
                <w:color w:val="000000"/>
                <w:spacing w:val="-2"/>
                <w:sz w:val="24"/>
              </w:rPr>
              <w:t xml:space="preserve">            </w:t>
            </w:r>
          </w:p>
          <w:p>
            <w:pPr>
              <w:spacing w:line="460" w:lineRule="exact"/>
              <w:jc w:val="center"/>
              <w:rPr>
                <w:rFonts w:eastAsia="方正仿宋_GBK"/>
                <w:bCs/>
                <w:color w:val="000000"/>
                <w:spacing w:val="-2"/>
                <w:sz w:val="24"/>
              </w:rPr>
            </w:pPr>
          </w:p>
          <w:p>
            <w:pPr>
              <w:spacing w:line="460" w:lineRule="exact"/>
              <w:jc w:val="center"/>
              <w:rPr>
                <w:rFonts w:eastAsia="方正仿宋_GBK"/>
                <w:bCs/>
                <w:color w:val="000000"/>
                <w:spacing w:val="-2"/>
                <w:sz w:val="24"/>
              </w:rPr>
            </w:pPr>
          </w:p>
          <w:p>
            <w:pPr>
              <w:spacing w:line="460" w:lineRule="exact"/>
              <w:jc w:val="center"/>
              <w:rPr>
                <w:rFonts w:eastAsia="方正仿宋_GBK"/>
                <w:bCs/>
                <w:color w:val="000000"/>
                <w:spacing w:val="-2"/>
                <w:sz w:val="24"/>
              </w:rPr>
            </w:pPr>
            <w:r>
              <w:rPr>
                <w:rFonts w:eastAsia="方正仿宋_GBK"/>
                <w:bCs/>
                <w:color w:val="000000"/>
                <w:spacing w:val="-2"/>
                <w:sz w:val="24"/>
              </w:rPr>
              <w:t xml:space="preserve">                  </w:t>
            </w:r>
            <w:r>
              <w:rPr>
                <w:rFonts w:hint="eastAsia" w:eastAsia="方正仿宋_GBK"/>
                <w:bCs/>
                <w:color w:val="000000"/>
                <w:spacing w:val="-2"/>
                <w:sz w:val="24"/>
              </w:rPr>
              <w:t>法定代表人（签字盖章）</w:t>
            </w:r>
          </w:p>
          <w:p>
            <w:pPr>
              <w:spacing w:line="460" w:lineRule="exact"/>
              <w:jc w:val="center"/>
              <w:rPr>
                <w:rFonts w:eastAsia="方正仿宋_GBK"/>
                <w:bCs/>
                <w:color w:val="000000"/>
                <w:spacing w:val="-2"/>
                <w:sz w:val="24"/>
              </w:rPr>
            </w:pPr>
            <w:r>
              <w:rPr>
                <w:rFonts w:eastAsia="方正仿宋_GBK"/>
                <w:bCs/>
                <w:color w:val="000000"/>
                <w:spacing w:val="-2"/>
                <w:sz w:val="24"/>
              </w:rPr>
              <w:t xml:space="preserve">                </w:t>
            </w:r>
          </w:p>
          <w:p>
            <w:pPr>
              <w:spacing w:line="460" w:lineRule="exact"/>
              <w:jc w:val="center"/>
              <w:rPr>
                <w:rFonts w:eastAsia="方正仿宋_GBK"/>
                <w:bCs/>
                <w:color w:val="000000"/>
                <w:spacing w:val="-2"/>
                <w:sz w:val="24"/>
              </w:rPr>
            </w:pPr>
            <w:r>
              <w:rPr>
                <w:rFonts w:eastAsia="方正仿宋_GBK"/>
                <w:bCs/>
                <w:color w:val="000000"/>
                <w:spacing w:val="-2"/>
                <w:sz w:val="24"/>
              </w:rPr>
              <w:t xml:space="preserve">               </w:t>
            </w:r>
            <w:r>
              <w:rPr>
                <w:rFonts w:hint="eastAsia" w:eastAsia="方正仿宋_GBK"/>
                <w:bCs/>
                <w:color w:val="000000"/>
                <w:spacing w:val="-2"/>
                <w:sz w:val="24"/>
              </w:rPr>
              <w:t>年</w:t>
            </w:r>
            <w:r>
              <w:rPr>
                <w:rFonts w:eastAsia="方正仿宋_GBK"/>
                <w:bCs/>
                <w:color w:val="000000"/>
                <w:spacing w:val="-2"/>
                <w:sz w:val="24"/>
              </w:rPr>
              <w:t xml:space="preserve">    </w:t>
            </w:r>
            <w:r>
              <w:rPr>
                <w:rFonts w:hint="eastAsia" w:eastAsia="方正仿宋_GBK"/>
                <w:bCs/>
                <w:color w:val="000000"/>
                <w:spacing w:val="-2"/>
                <w:sz w:val="24"/>
              </w:rPr>
              <w:t>月</w:t>
            </w:r>
            <w:r>
              <w:rPr>
                <w:rFonts w:eastAsia="方正仿宋_GBK"/>
                <w:bCs/>
                <w:color w:val="000000"/>
                <w:spacing w:val="-2"/>
                <w:sz w:val="24"/>
              </w:rPr>
              <w:t xml:space="preserve">   </w:t>
            </w:r>
            <w:r>
              <w:rPr>
                <w:rFonts w:hint="eastAsia" w:eastAsia="方正仿宋_GBK"/>
                <w:bCs/>
                <w:color w:val="000000"/>
                <w:spacing w:val="-2"/>
                <w:sz w:val="24"/>
              </w:rPr>
              <w:t>日</w:t>
            </w:r>
          </w:p>
          <w:p>
            <w:pPr>
              <w:spacing w:line="460" w:lineRule="exact"/>
              <w:jc w:val="center"/>
              <w:rPr>
                <w:rFonts w:eastAsia="方正仿宋_GBK"/>
                <w:bCs/>
                <w:color w:val="000000"/>
                <w:spacing w:val="-2"/>
                <w:sz w:val="24"/>
              </w:rPr>
            </w:pPr>
          </w:p>
        </w:tc>
      </w:tr>
    </w:tbl>
    <w:p>
      <w:pPr>
        <w:spacing w:line="460" w:lineRule="exact"/>
        <w:rPr>
          <w:rFonts w:hint="eastAsia" w:eastAsia="方正仿宋_GBK"/>
          <w:color w:val="000000"/>
          <w:spacing w:val="-2"/>
          <w:sz w:val="24"/>
        </w:rPr>
      </w:pPr>
    </w:p>
    <w:p>
      <w:pPr>
        <w:spacing w:line="460" w:lineRule="exact"/>
        <w:rPr>
          <w:rFonts w:ascii="Times New Roman" w:eastAsia="方正黑体_GBK"/>
          <w:color w:val="000000"/>
          <w:spacing w:val="-2"/>
          <w:sz w:val="28"/>
          <w:szCs w:val="28"/>
        </w:rPr>
      </w:pPr>
      <w:r>
        <w:rPr>
          <w:rFonts w:eastAsia="方正仿宋_GBK"/>
          <w:color w:val="000000"/>
          <w:spacing w:val="-2"/>
          <w:sz w:val="24"/>
        </w:rPr>
        <w:br w:type="page"/>
      </w:r>
      <w:r>
        <w:rPr>
          <w:rFonts w:hint="eastAsia" w:ascii="Times New Roman" w:eastAsia="方正黑体_GBK"/>
          <w:color w:val="000000"/>
          <w:spacing w:val="-2"/>
          <w:sz w:val="28"/>
          <w:szCs w:val="28"/>
        </w:rPr>
        <w:t>附件2：</w:t>
      </w:r>
    </w:p>
    <w:p>
      <w:pPr>
        <w:spacing w:line="460" w:lineRule="exact"/>
        <w:rPr>
          <w:rFonts w:hint="eastAsia"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kern w:val="0"/>
          <w:sz w:val="36"/>
          <w:szCs w:val="36"/>
        </w:rPr>
        <w:t>江苏省商品房销售现场规范化标准</w:t>
      </w:r>
    </w:p>
    <w:p>
      <w:pPr>
        <w:spacing w:line="460" w:lineRule="exact"/>
        <w:jc w:val="center"/>
        <w:rPr>
          <w:rFonts w:hint="eastAsia" w:ascii="Times New Roman" w:eastAsia="方正楷体_GBK"/>
          <w:color w:val="000000"/>
          <w:spacing w:val="-2"/>
          <w:sz w:val="24"/>
        </w:rPr>
      </w:pPr>
      <w:r>
        <w:rPr>
          <w:rFonts w:hint="eastAsia" w:ascii="Times New Roman" w:eastAsia="方正楷体_GBK"/>
          <w:color w:val="000000"/>
          <w:spacing w:val="-2"/>
          <w:sz w:val="24"/>
        </w:rPr>
        <w:t>（试行）</w:t>
      </w:r>
    </w:p>
    <w:p>
      <w:pPr>
        <w:spacing w:line="460" w:lineRule="exact"/>
        <w:ind w:firstLine="453" w:firstLineChars="192"/>
        <w:rPr>
          <w:rFonts w:hint="eastAsia" w:ascii="Times New Roman" w:eastAsia="方正黑体_GBK"/>
          <w:color w:val="000000"/>
          <w:spacing w:val="-2"/>
          <w:sz w:val="24"/>
        </w:rPr>
      </w:pPr>
    </w:p>
    <w:p>
      <w:pPr>
        <w:spacing w:line="460" w:lineRule="exact"/>
        <w:ind w:firstLine="472" w:firstLineChars="200"/>
        <w:rPr>
          <w:rFonts w:hint="eastAsia" w:ascii="Times New Roman" w:eastAsia="方正黑体_GBK"/>
          <w:color w:val="000000"/>
          <w:spacing w:val="-2"/>
          <w:sz w:val="24"/>
        </w:rPr>
      </w:pPr>
      <w:r>
        <w:rPr>
          <w:rFonts w:hint="eastAsia" w:ascii="Times New Roman" w:eastAsia="方正黑体_GBK"/>
          <w:color w:val="000000"/>
          <w:spacing w:val="-2"/>
          <w:sz w:val="24"/>
        </w:rPr>
        <w:t>一、现场信息披露的基本要求</w:t>
      </w:r>
    </w:p>
    <w:p>
      <w:pPr>
        <w:snapToGrid w:val="0"/>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、房地产企业商品房销售信息披露应当遵循准确、真实、有效原则。</w:t>
      </w:r>
    </w:p>
    <w:p>
      <w:pPr>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、房地产企业预售和现售商品房，应当在销售现场设立公示栏和信息查询台等，方便购房者了解该商品房项目的基本情况。</w:t>
      </w:r>
    </w:p>
    <w:p>
      <w:pPr>
        <w:snapToGrid w:val="0"/>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、公示栏、信息查询台应集中设在销售现场显著位置，并进行标识。摆放时间为从商品房预（销）售开始，直至售房结束。</w:t>
      </w:r>
    </w:p>
    <w:p>
      <w:pPr>
        <w:snapToGrid w:val="0"/>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、房地产企业在售楼现场公示的相关信息有变化的，应及时更新，并应保持销售现场公示的信息、房地产市场信息发布系统所公示的信息与实际情况相一致。</w:t>
      </w:r>
      <w:r>
        <w:rPr>
          <w:rFonts w:eastAsia="方正仿宋_GBK"/>
          <w:color w:val="000000"/>
          <w:spacing w:val="-2"/>
          <w:sz w:val="24"/>
        </w:rPr>
        <w:t xml:space="preserve"> </w:t>
      </w:r>
    </w:p>
    <w:p>
      <w:pPr>
        <w:snapToGrid w:val="0"/>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、公示栏相关内容应用喷绘或纸张等形式分别进行制作公示，规格为每张（幅）不小于</w:t>
      </w:r>
      <w:r>
        <w:rPr>
          <w:rFonts w:eastAsia="方正仿宋_GBK"/>
          <w:color w:val="000000"/>
          <w:spacing w:val="-2"/>
          <w:sz w:val="24"/>
        </w:rPr>
        <w:t>1000mm×600mm</w:t>
      </w:r>
      <w:r>
        <w:rPr>
          <w:rFonts w:hint="eastAsia" w:eastAsia="方正仿宋_GBK"/>
          <w:color w:val="000000"/>
          <w:spacing w:val="-2"/>
          <w:sz w:val="24"/>
        </w:rPr>
        <w:t>，便于购房者查询。</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二、信息披露的主要内容</w:t>
      </w:r>
    </w:p>
    <w:p>
      <w:pPr>
        <w:spacing w:line="460" w:lineRule="exact"/>
        <w:ind w:firstLine="474" w:firstLineChars="200"/>
        <w:rPr>
          <w:rFonts w:hint="eastAsia" w:eastAsia="方正仿宋_GBK"/>
          <w:b/>
          <w:color w:val="000000"/>
          <w:spacing w:val="-2"/>
          <w:sz w:val="24"/>
        </w:rPr>
      </w:pPr>
      <w:r>
        <w:rPr>
          <w:rFonts w:eastAsia="方正仿宋_GBK"/>
          <w:b/>
          <w:color w:val="000000"/>
          <w:spacing w:val="-2"/>
          <w:sz w:val="24"/>
        </w:rPr>
        <w:t>1</w:t>
      </w:r>
      <w:r>
        <w:rPr>
          <w:rFonts w:hint="eastAsia" w:eastAsia="方正仿宋_GBK"/>
          <w:b/>
          <w:color w:val="000000"/>
          <w:spacing w:val="-2"/>
          <w:sz w:val="24"/>
        </w:rPr>
        <w:t>、设立</w:t>
      </w:r>
      <w:r>
        <w:rPr>
          <w:rFonts w:hint="eastAsia" w:eastAsia="方正仿宋_GBK"/>
          <w:b/>
          <w:color w:val="000000"/>
          <w:spacing w:val="-2"/>
          <w:sz w:val="24"/>
          <w:u w:val="single"/>
        </w:rPr>
        <w:t>证件公示栏</w:t>
      </w:r>
      <w:r>
        <w:rPr>
          <w:rFonts w:hint="eastAsia" w:eastAsia="方正仿宋_GBK"/>
          <w:b/>
          <w:color w:val="000000"/>
          <w:spacing w:val="-2"/>
          <w:sz w:val="24"/>
        </w:rPr>
        <w:t>，公示如下证件或信息：</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）企业营业执照；</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）房地产开发企业资质证书；</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3</w:t>
      </w:r>
      <w:r>
        <w:rPr>
          <w:rFonts w:hint="eastAsia" w:eastAsia="方正仿宋_GBK"/>
          <w:color w:val="000000"/>
          <w:spacing w:val="-2"/>
          <w:sz w:val="24"/>
        </w:rPr>
        <w:t>）商品房预（销）售许可证或房屋所有权证；</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4</w:t>
      </w:r>
      <w:r>
        <w:rPr>
          <w:rFonts w:hint="eastAsia" w:eastAsia="方正仿宋_GBK"/>
          <w:color w:val="000000"/>
          <w:spacing w:val="-2"/>
          <w:sz w:val="24"/>
        </w:rPr>
        <w:t>）国有土地使用证；</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5</w:t>
      </w:r>
      <w:r>
        <w:rPr>
          <w:rFonts w:hint="eastAsia" w:eastAsia="方正仿宋_GBK"/>
          <w:color w:val="000000"/>
          <w:spacing w:val="-2"/>
          <w:sz w:val="24"/>
        </w:rPr>
        <w:t>）建设工程规划许可证；</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6</w:t>
      </w:r>
      <w:r>
        <w:rPr>
          <w:rFonts w:hint="eastAsia" w:eastAsia="方正仿宋_GBK"/>
          <w:color w:val="000000"/>
          <w:spacing w:val="-2"/>
          <w:sz w:val="24"/>
        </w:rPr>
        <w:t>）建筑工程施工许可证；</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7</w:t>
      </w:r>
      <w:r>
        <w:rPr>
          <w:rFonts w:hint="eastAsia" w:eastAsia="方正仿宋_GBK"/>
          <w:color w:val="000000"/>
          <w:spacing w:val="-2"/>
          <w:sz w:val="24"/>
        </w:rPr>
        <w:t>）商品房预（销）售委托书及房地产经纪咨询机构资质备案证书</w:t>
      </w:r>
      <w:r>
        <w:rPr>
          <w:rFonts w:eastAsia="方正仿宋_GBK"/>
          <w:color w:val="000000"/>
          <w:spacing w:val="-2"/>
          <w:sz w:val="24"/>
        </w:rPr>
        <w:t>(</w:t>
      </w:r>
      <w:r>
        <w:rPr>
          <w:rFonts w:hint="eastAsia" w:eastAsia="方正仿宋_GBK"/>
          <w:color w:val="000000"/>
          <w:spacing w:val="-2"/>
          <w:sz w:val="24"/>
        </w:rPr>
        <w:t>代理销售应公示</w:t>
      </w:r>
      <w:r>
        <w:rPr>
          <w:rFonts w:eastAsia="方正仿宋_GBK"/>
          <w:color w:val="000000"/>
          <w:spacing w:val="-2"/>
          <w:sz w:val="24"/>
        </w:rPr>
        <w:t>)</w:t>
      </w:r>
      <w:r>
        <w:rPr>
          <w:rFonts w:hint="eastAsia" w:eastAsia="方正仿宋_GBK"/>
          <w:color w:val="000000"/>
          <w:spacing w:val="-2"/>
          <w:sz w:val="24"/>
        </w:rPr>
        <w:t>；</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8</w:t>
      </w:r>
      <w:r>
        <w:rPr>
          <w:rFonts w:hint="eastAsia" w:eastAsia="方正仿宋_GBK"/>
          <w:color w:val="000000"/>
          <w:spacing w:val="-2"/>
          <w:sz w:val="24"/>
        </w:rPr>
        <w:t>）其他需要公示的相关证件。</w:t>
      </w:r>
    </w:p>
    <w:p>
      <w:pPr>
        <w:spacing w:line="460" w:lineRule="exact"/>
        <w:ind w:firstLine="474" w:firstLineChars="200"/>
        <w:rPr>
          <w:rFonts w:eastAsia="方正仿宋_GBK"/>
          <w:b/>
          <w:color w:val="000000"/>
          <w:spacing w:val="-2"/>
          <w:sz w:val="24"/>
        </w:rPr>
      </w:pPr>
      <w:r>
        <w:rPr>
          <w:rFonts w:eastAsia="方正仿宋_GBK"/>
          <w:b/>
          <w:color w:val="000000"/>
          <w:spacing w:val="-2"/>
          <w:sz w:val="24"/>
        </w:rPr>
        <w:t>2</w:t>
      </w:r>
      <w:r>
        <w:rPr>
          <w:rFonts w:hint="eastAsia" w:eastAsia="方正仿宋_GBK"/>
          <w:b/>
          <w:color w:val="000000"/>
          <w:spacing w:val="-2"/>
          <w:sz w:val="24"/>
        </w:rPr>
        <w:t>、设立</w:t>
      </w:r>
      <w:r>
        <w:rPr>
          <w:rFonts w:hint="eastAsia" w:eastAsia="方正仿宋_GBK"/>
          <w:b/>
          <w:color w:val="000000"/>
          <w:spacing w:val="-2"/>
          <w:sz w:val="24"/>
          <w:u w:val="single"/>
        </w:rPr>
        <w:t>文件公示栏</w:t>
      </w:r>
      <w:r>
        <w:rPr>
          <w:rFonts w:hint="eastAsia" w:eastAsia="方正仿宋_GBK"/>
          <w:b/>
          <w:color w:val="000000"/>
          <w:spacing w:val="-2"/>
          <w:sz w:val="24"/>
        </w:rPr>
        <w:t>，公示如下文件信息：</w:t>
      </w:r>
      <w:r>
        <w:rPr>
          <w:rFonts w:eastAsia="方正仿宋_GBK"/>
          <w:b/>
          <w:color w:val="000000"/>
          <w:spacing w:val="-2"/>
          <w:sz w:val="24"/>
        </w:rPr>
        <w:t xml:space="preserve"> </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）商品房预（销）售管理办法；</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）商品房预售方案；</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3</w:t>
      </w:r>
      <w:r>
        <w:rPr>
          <w:rFonts w:hint="eastAsia" w:eastAsia="方正仿宋_GBK"/>
          <w:color w:val="000000"/>
          <w:spacing w:val="-2"/>
          <w:sz w:val="24"/>
        </w:rPr>
        <w:t>）商品房定金合同、预（销）售合同示范文本及补充协议；</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4</w:t>
      </w:r>
      <w:r>
        <w:rPr>
          <w:rFonts w:hint="eastAsia" w:eastAsia="方正仿宋_GBK"/>
          <w:color w:val="000000"/>
          <w:spacing w:val="-2"/>
          <w:sz w:val="24"/>
        </w:rPr>
        <w:t>）建筑节能相关能耗、节能措施、保护要求、保温工程保修期等信息；</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5</w:t>
      </w:r>
      <w:r>
        <w:rPr>
          <w:rFonts w:hint="eastAsia" w:eastAsia="方正仿宋_GBK"/>
          <w:color w:val="000000"/>
          <w:spacing w:val="-2"/>
          <w:sz w:val="24"/>
        </w:rPr>
        <w:t>）所售房屋享受特殊政策或受政策限制情况；</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6</w:t>
      </w:r>
      <w:r>
        <w:rPr>
          <w:rFonts w:hint="eastAsia" w:eastAsia="方正仿宋_GBK"/>
          <w:color w:val="000000"/>
          <w:spacing w:val="-2"/>
          <w:sz w:val="24"/>
        </w:rPr>
        <w:t>）其他需要公示的相关文件。</w:t>
      </w:r>
    </w:p>
    <w:p>
      <w:pPr>
        <w:spacing w:line="460" w:lineRule="exact"/>
        <w:ind w:firstLine="474" w:firstLineChars="200"/>
        <w:rPr>
          <w:rFonts w:eastAsia="方正仿宋_GBK"/>
          <w:b/>
          <w:color w:val="000000"/>
          <w:spacing w:val="-2"/>
          <w:sz w:val="24"/>
        </w:rPr>
      </w:pPr>
      <w:r>
        <w:rPr>
          <w:rFonts w:eastAsia="方正仿宋_GBK"/>
          <w:b/>
          <w:color w:val="000000"/>
          <w:spacing w:val="-2"/>
          <w:sz w:val="24"/>
        </w:rPr>
        <w:t>3</w:t>
      </w:r>
      <w:r>
        <w:rPr>
          <w:rFonts w:hint="eastAsia" w:eastAsia="方正仿宋_GBK"/>
          <w:b/>
          <w:color w:val="000000"/>
          <w:spacing w:val="-2"/>
          <w:sz w:val="24"/>
        </w:rPr>
        <w:t>、设立</w:t>
      </w:r>
      <w:r>
        <w:rPr>
          <w:rFonts w:hint="eastAsia" w:eastAsia="方正仿宋_GBK"/>
          <w:b/>
          <w:color w:val="000000"/>
          <w:spacing w:val="-2"/>
          <w:sz w:val="24"/>
          <w:u w:val="single"/>
        </w:rPr>
        <w:t>可售房源信息公示栏</w:t>
      </w:r>
      <w:r>
        <w:rPr>
          <w:rFonts w:hint="eastAsia" w:eastAsia="方正仿宋_GBK"/>
          <w:b/>
          <w:color w:val="000000"/>
          <w:spacing w:val="-2"/>
          <w:sz w:val="24"/>
        </w:rPr>
        <w:t>，公示可售房源的面积、价格和销售动态信息：</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）批准预售当期和原有的可售房源总套数、建筑总面积、最高单价、最低单价和平均销售价格</w:t>
      </w:r>
      <w:r>
        <w:rPr>
          <w:rFonts w:eastAsia="方正仿宋_GBK"/>
          <w:color w:val="000000"/>
          <w:spacing w:val="-2"/>
          <w:sz w:val="24"/>
        </w:rPr>
        <w:t>(</w:t>
      </w:r>
      <w:r>
        <w:rPr>
          <w:rFonts w:hint="eastAsia" w:eastAsia="方正仿宋_GBK"/>
          <w:color w:val="000000"/>
          <w:spacing w:val="-2"/>
          <w:sz w:val="24"/>
        </w:rPr>
        <w:t>按建筑面积计算</w:t>
      </w:r>
      <w:r>
        <w:rPr>
          <w:rFonts w:eastAsia="方正仿宋_GBK"/>
          <w:color w:val="000000"/>
          <w:spacing w:val="-2"/>
          <w:sz w:val="24"/>
        </w:rPr>
        <w:t>)</w:t>
      </w:r>
      <w:r>
        <w:rPr>
          <w:rFonts w:hint="eastAsia" w:eastAsia="方正仿宋_GBK"/>
          <w:color w:val="000000"/>
          <w:spacing w:val="-2"/>
          <w:sz w:val="24"/>
        </w:rPr>
        <w:t>；</w:t>
      </w:r>
    </w:p>
    <w:p>
      <w:pPr>
        <w:snapToGrid w:val="0"/>
        <w:spacing w:line="460" w:lineRule="exact"/>
        <w:ind w:firstLine="472" w:firstLineChars="200"/>
        <w:outlineLvl w:val="0"/>
        <w:rPr>
          <w:rFonts w:eastAsia="方正仿宋_GBK"/>
          <w:color w:val="000000"/>
          <w:spacing w:val="-2"/>
          <w:sz w:val="24"/>
        </w:rPr>
      </w:pPr>
      <w:bookmarkStart w:id="27" w:name="_Toc20726291"/>
      <w:bookmarkStart w:id="28" w:name="_Toc18315371"/>
      <w:bookmarkStart w:id="29" w:name="_Toc20667765"/>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）每套商品房建筑面积</w:t>
      </w:r>
      <w:r>
        <w:rPr>
          <w:rFonts w:eastAsia="方正仿宋_GBK"/>
          <w:color w:val="000000"/>
          <w:spacing w:val="-2"/>
          <w:sz w:val="24"/>
        </w:rPr>
        <w:t>(</w:t>
      </w:r>
      <w:r>
        <w:rPr>
          <w:rFonts w:hint="eastAsia" w:eastAsia="方正仿宋_GBK"/>
          <w:color w:val="000000"/>
          <w:spacing w:val="-2"/>
          <w:sz w:val="24"/>
        </w:rPr>
        <w:t>含套内建筑面积、公摊面积</w:t>
      </w:r>
      <w:r>
        <w:rPr>
          <w:rFonts w:eastAsia="方正仿宋_GBK"/>
          <w:color w:val="000000"/>
          <w:spacing w:val="-2"/>
          <w:sz w:val="24"/>
        </w:rPr>
        <w:t>)</w:t>
      </w:r>
      <w:r>
        <w:rPr>
          <w:rFonts w:hint="eastAsia" w:eastAsia="方正仿宋_GBK"/>
          <w:color w:val="000000"/>
          <w:spacing w:val="-2"/>
          <w:sz w:val="24"/>
        </w:rPr>
        <w:t>；</w:t>
      </w:r>
      <w:bookmarkEnd w:id="27"/>
      <w:bookmarkEnd w:id="28"/>
      <w:bookmarkEnd w:id="29"/>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3</w:t>
      </w:r>
      <w:r>
        <w:rPr>
          <w:rFonts w:hint="eastAsia" w:eastAsia="方正仿宋_GBK"/>
          <w:color w:val="000000"/>
          <w:spacing w:val="-2"/>
          <w:sz w:val="24"/>
        </w:rPr>
        <w:t>）每套房屋的销售单价和总价；</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4</w:t>
      </w:r>
      <w:r>
        <w:rPr>
          <w:rFonts w:hint="eastAsia" w:eastAsia="方正仿宋_GBK"/>
          <w:color w:val="000000"/>
          <w:spacing w:val="-2"/>
          <w:sz w:val="24"/>
        </w:rPr>
        <w:t>）抵押相关信息；</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5</w:t>
      </w:r>
      <w:r>
        <w:rPr>
          <w:rFonts w:hint="eastAsia" w:eastAsia="方正仿宋_GBK"/>
          <w:color w:val="000000"/>
          <w:spacing w:val="-2"/>
          <w:sz w:val="24"/>
        </w:rPr>
        <w:t>）房地产企业应采用不同标记对商品房房源的限制销售、</w:t>
      </w:r>
      <w:r>
        <w:rPr>
          <w:rFonts w:eastAsia="方正仿宋_GBK"/>
          <w:color w:val="000000"/>
          <w:spacing w:val="-2"/>
          <w:sz w:val="24"/>
        </w:rPr>
        <w:t>“</w:t>
      </w:r>
      <w:r>
        <w:rPr>
          <w:rFonts w:hint="eastAsia" w:eastAsia="方正仿宋_GBK"/>
          <w:color w:val="000000"/>
          <w:spacing w:val="-2"/>
          <w:sz w:val="24"/>
        </w:rPr>
        <w:t>可售</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预定</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已售</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已登记</w:t>
      </w:r>
      <w:r>
        <w:rPr>
          <w:rFonts w:eastAsia="方正仿宋_GBK"/>
          <w:color w:val="000000"/>
          <w:spacing w:val="-2"/>
          <w:sz w:val="24"/>
        </w:rPr>
        <w:t>”</w:t>
      </w:r>
      <w:r>
        <w:rPr>
          <w:rFonts w:hint="eastAsia" w:eastAsia="方正仿宋_GBK"/>
          <w:color w:val="000000"/>
          <w:spacing w:val="-2"/>
          <w:sz w:val="24"/>
        </w:rPr>
        <w:t>等销售状态信息进行公示。</w:t>
      </w:r>
    </w:p>
    <w:p>
      <w:pPr>
        <w:spacing w:line="460" w:lineRule="exact"/>
        <w:ind w:firstLine="474" w:firstLineChars="200"/>
        <w:rPr>
          <w:rFonts w:eastAsia="方正仿宋_GBK"/>
          <w:b/>
          <w:color w:val="000000"/>
          <w:spacing w:val="-2"/>
          <w:sz w:val="24"/>
        </w:rPr>
      </w:pPr>
      <w:r>
        <w:rPr>
          <w:rFonts w:eastAsia="方正仿宋_GBK"/>
          <w:b/>
          <w:color w:val="000000"/>
          <w:spacing w:val="-2"/>
          <w:sz w:val="24"/>
        </w:rPr>
        <w:t>4</w:t>
      </w:r>
      <w:r>
        <w:rPr>
          <w:rFonts w:hint="eastAsia" w:eastAsia="方正仿宋_GBK"/>
          <w:b/>
          <w:color w:val="000000"/>
          <w:spacing w:val="-2"/>
          <w:sz w:val="24"/>
        </w:rPr>
        <w:t>、设立</w:t>
      </w:r>
      <w:r>
        <w:rPr>
          <w:rFonts w:hint="eastAsia" w:eastAsia="方正仿宋_GBK"/>
          <w:b/>
          <w:color w:val="000000"/>
          <w:spacing w:val="-2"/>
          <w:sz w:val="24"/>
          <w:u w:val="single"/>
        </w:rPr>
        <w:t>咨询服务电话公示栏</w:t>
      </w:r>
      <w:r>
        <w:rPr>
          <w:rFonts w:hint="eastAsia" w:eastAsia="方正仿宋_GBK"/>
          <w:b/>
          <w:color w:val="000000"/>
          <w:spacing w:val="-2"/>
          <w:sz w:val="24"/>
        </w:rPr>
        <w:t>：</w:t>
      </w:r>
    </w:p>
    <w:p>
      <w:pPr>
        <w:snapToGrid w:val="0"/>
        <w:spacing w:line="460" w:lineRule="exact"/>
        <w:ind w:firstLine="472" w:firstLineChars="200"/>
        <w:outlineLvl w:val="0"/>
        <w:rPr>
          <w:rFonts w:eastAsia="方正仿宋_GBK"/>
          <w:color w:val="000000"/>
          <w:spacing w:val="-2"/>
          <w:sz w:val="24"/>
        </w:rPr>
      </w:pPr>
      <w:bookmarkStart w:id="30" w:name="_Toc20726292"/>
      <w:bookmarkStart w:id="31" w:name="_Toc18315372"/>
      <w:bookmarkStart w:id="32" w:name="_Toc20667766"/>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）项目可否提供住房公积金贷款、公积金中心咨询电话；</w:t>
      </w:r>
      <w:bookmarkEnd w:id="30"/>
      <w:bookmarkEnd w:id="31"/>
      <w:bookmarkEnd w:id="32"/>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）建设、房管、物价等相关主管部门的监督举报电话；</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3</w:t>
      </w:r>
      <w:r>
        <w:rPr>
          <w:rFonts w:hint="eastAsia" w:eastAsia="方正仿宋_GBK"/>
          <w:color w:val="000000"/>
          <w:spacing w:val="-2"/>
          <w:sz w:val="24"/>
        </w:rPr>
        <w:t>）其他需要提供的咨询服务电话。</w:t>
      </w:r>
    </w:p>
    <w:p>
      <w:pPr>
        <w:spacing w:line="460" w:lineRule="exact"/>
        <w:ind w:firstLine="474" w:firstLineChars="200"/>
        <w:rPr>
          <w:rFonts w:eastAsia="方正仿宋_GBK"/>
          <w:b/>
          <w:color w:val="000000"/>
          <w:spacing w:val="-2"/>
          <w:sz w:val="24"/>
        </w:rPr>
      </w:pPr>
      <w:r>
        <w:rPr>
          <w:rFonts w:eastAsia="方正仿宋_GBK"/>
          <w:b/>
          <w:color w:val="000000"/>
          <w:spacing w:val="-2"/>
          <w:sz w:val="24"/>
        </w:rPr>
        <w:t>5</w:t>
      </w:r>
      <w:r>
        <w:rPr>
          <w:rFonts w:hint="eastAsia" w:eastAsia="方正仿宋_GBK"/>
          <w:b/>
          <w:color w:val="000000"/>
          <w:spacing w:val="-2"/>
          <w:sz w:val="24"/>
        </w:rPr>
        <w:t>、设立</w:t>
      </w:r>
      <w:r>
        <w:rPr>
          <w:rFonts w:hint="eastAsia" w:eastAsia="方正仿宋_GBK"/>
          <w:b/>
          <w:color w:val="000000"/>
          <w:spacing w:val="-2"/>
          <w:sz w:val="24"/>
          <w:u w:val="single"/>
        </w:rPr>
        <w:t>信息查询台</w:t>
      </w:r>
      <w:r>
        <w:rPr>
          <w:rFonts w:hint="eastAsia" w:eastAsia="方正仿宋_GBK"/>
          <w:b/>
          <w:color w:val="000000"/>
          <w:spacing w:val="-2"/>
          <w:sz w:val="24"/>
        </w:rPr>
        <w:t>，提供如下信息查询服务：</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）商品房预（销）售现场应提供电脑和网络等设备，可以免费查询现场公布的已售房源信息与网上备案系统是否一致，并为购房者提供商品房网上签约即时备案查询等服务；</w:t>
      </w:r>
    </w:p>
    <w:p>
      <w:pPr>
        <w:snapToGrid w:val="0"/>
        <w:spacing w:line="460" w:lineRule="exact"/>
        <w:ind w:firstLine="472" w:firstLineChars="200"/>
        <w:outlineLvl w:val="0"/>
        <w:rPr>
          <w:rFonts w:eastAsia="方正仿宋_GBK"/>
          <w:color w:val="000000"/>
          <w:spacing w:val="-2"/>
          <w:sz w:val="24"/>
        </w:rPr>
      </w:pPr>
      <w:bookmarkStart w:id="33" w:name="_Toc20726293"/>
      <w:bookmarkStart w:id="34" w:name="_Toc18315373"/>
      <w:bookmarkStart w:id="35" w:name="_Toc20667767"/>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）房产预测绘、实测绘成果报告；</w:t>
      </w:r>
      <w:bookmarkEnd w:id="33"/>
      <w:bookmarkEnd w:id="34"/>
      <w:bookmarkEnd w:id="35"/>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3</w:t>
      </w:r>
      <w:r>
        <w:rPr>
          <w:rFonts w:hint="eastAsia" w:eastAsia="方正仿宋_GBK"/>
          <w:color w:val="000000"/>
          <w:spacing w:val="-2"/>
          <w:sz w:val="24"/>
        </w:rPr>
        <w:t>）《白蚁预防合同》或实施房屋白蚁预防的证明文件；</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4</w:t>
      </w:r>
      <w:r>
        <w:rPr>
          <w:rFonts w:hint="eastAsia" w:eastAsia="方正仿宋_GBK"/>
          <w:color w:val="000000"/>
          <w:spacing w:val="-2"/>
          <w:sz w:val="24"/>
        </w:rPr>
        <w:t>）前期物业服务合同；</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5</w:t>
      </w:r>
      <w:r>
        <w:rPr>
          <w:rFonts w:hint="eastAsia" w:eastAsia="方正仿宋_GBK"/>
          <w:color w:val="000000"/>
          <w:spacing w:val="-2"/>
          <w:sz w:val="24"/>
        </w:rPr>
        <w:t>）物业共有部分清册；</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6</w:t>
      </w:r>
      <w:r>
        <w:rPr>
          <w:rFonts w:hint="eastAsia" w:eastAsia="方正仿宋_GBK"/>
          <w:color w:val="000000"/>
          <w:spacing w:val="-2"/>
          <w:sz w:val="24"/>
        </w:rPr>
        <w:t>）相关管理部门规定的其他需要提供查询的信息。</w:t>
      </w:r>
    </w:p>
    <w:p>
      <w:pPr>
        <w:snapToGrid w:val="0"/>
        <w:spacing w:line="460" w:lineRule="exact"/>
        <w:ind w:firstLine="472" w:firstLineChars="200"/>
        <w:rPr>
          <w:rFonts w:eastAsia="方正仿宋_GBK"/>
          <w:color w:val="000000"/>
          <w:spacing w:val="-2"/>
          <w:sz w:val="24"/>
        </w:rPr>
      </w:pPr>
    </w:p>
    <w:p>
      <w:pPr>
        <w:snapToGrid w:val="0"/>
        <w:spacing w:line="460" w:lineRule="exact"/>
        <w:ind w:firstLine="472" w:firstLineChars="200"/>
        <w:rPr>
          <w:rFonts w:eastAsia="方正仿宋_GBK"/>
          <w:color w:val="000000"/>
          <w:spacing w:val="-2"/>
          <w:sz w:val="24"/>
        </w:rPr>
      </w:pPr>
    </w:p>
    <w:p>
      <w:pPr>
        <w:snapToGrid w:val="0"/>
        <w:spacing w:line="460" w:lineRule="exact"/>
        <w:ind w:firstLine="472" w:firstLineChars="200"/>
        <w:rPr>
          <w:rFonts w:eastAsia="方正仿宋_GBK"/>
          <w:color w:val="000000"/>
          <w:spacing w:val="-2"/>
          <w:sz w:val="24"/>
        </w:rPr>
      </w:pPr>
    </w:p>
    <w:p/>
    <w:p/>
    <w:p/>
    <w:p/>
    <w:p/>
    <w:p>
      <w:pPr>
        <w:pStyle w:val="2"/>
        <w:spacing w:before="240" w:beforeLines="100" w:after="240" w:afterLines="100" w:line="240" w:lineRule="auto"/>
        <w:jc w:val="center"/>
        <w:rPr>
          <w:rFonts w:ascii="Times New Roman" w:eastAsia="方正小标宋_GBK"/>
          <w:b w:val="0"/>
          <w:sz w:val="36"/>
          <w:szCs w:val="36"/>
        </w:rPr>
      </w:pPr>
      <w:bookmarkStart w:id="36" w:name="_Toc20726294"/>
      <w:bookmarkStart w:id="37" w:name="_Toc18315374"/>
      <w:r>
        <w:rPr>
          <w:rFonts w:hint="eastAsia" w:ascii="Times New Roman" w:eastAsia="方正小标宋_GBK"/>
          <w:b w:val="0"/>
          <w:sz w:val="36"/>
          <w:szCs w:val="36"/>
        </w:rPr>
        <w:t>关于印发《江苏省住宅专项维修资金管理办法》的通知</w:t>
      </w:r>
      <w:bookmarkEnd w:id="36"/>
      <w:bookmarkEnd w:id="3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38" w:name="_Toc18315375"/>
      <w:bookmarkStart w:id="39" w:name="_Toc20726295"/>
      <w:r>
        <w:rPr>
          <w:rFonts w:hint="eastAsia" w:ascii="Times New Roman" w:hAnsi="Times New Roman" w:eastAsia="方正楷体_GBK"/>
          <w:b w:val="0"/>
          <w:sz w:val="24"/>
          <w:szCs w:val="24"/>
        </w:rPr>
        <w:t>苏建房管〔</w:t>
      </w:r>
      <w:r>
        <w:rPr>
          <w:rFonts w:ascii="Times New Roman" w:hAnsi="Times New Roman" w:eastAsia="方正楷体_GBK"/>
          <w:b w:val="0"/>
          <w:sz w:val="24"/>
          <w:szCs w:val="24"/>
        </w:rPr>
        <w:t>2014</w:t>
      </w:r>
      <w:r>
        <w:rPr>
          <w:rFonts w:hint="eastAsia" w:ascii="Times New Roman" w:hAnsi="Times New Roman" w:eastAsia="方正楷体_GBK"/>
          <w:b w:val="0"/>
          <w:sz w:val="24"/>
          <w:szCs w:val="24"/>
        </w:rPr>
        <w:t>〕</w:t>
      </w:r>
      <w:r>
        <w:rPr>
          <w:rFonts w:ascii="Times New Roman" w:hAnsi="Times New Roman" w:eastAsia="方正楷体_GBK"/>
          <w:b w:val="0"/>
          <w:sz w:val="24"/>
          <w:szCs w:val="24"/>
        </w:rPr>
        <w:t>208</w:t>
      </w:r>
      <w:r>
        <w:rPr>
          <w:rFonts w:hint="eastAsia" w:ascii="Times New Roman" w:hAnsi="Times New Roman" w:eastAsia="方正楷体_GBK"/>
          <w:b w:val="0"/>
          <w:sz w:val="24"/>
          <w:szCs w:val="24"/>
        </w:rPr>
        <w:t>号</w:t>
      </w:r>
      <w:bookmarkEnd w:id="38"/>
      <w:bookmarkEnd w:id="39"/>
    </w:p>
    <w:p>
      <w:pPr>
        <w:adjustRightInd w:val="0"/>
        <w:snapToGrid w:val="0"/>
        <w:spacing w:line="460" w:lineRule="exact"/>
        <w:rPr>
          <w:rFonts w:eastAsia="方正仿宋_GBK"/>
          <w:color w:val="000000"/>
          <w:spacing w:val="-2"/>
          <w:sz w:val="24"/>
        </w:rPr>
      </w:pPr>
      <w:r>
        <w:rPr>
          <w:rFonts w:hint="eastAsia" w:eastAsia="方正仿宋_GBK"/>
          <w:color w:val="000000"/>
          <w:spacing w:val="-2"/>
          <w:sz w:val="24"/>
        </w:rPr>
        <w:t>各省辖</w:t>
      </w:r>
      <w:r>
        <w:rPr>
          <w:rFonts w:hint="eastAsia" w:eastAsia="方正仿宋_GBK"/>
          <w:bCs/>
          <w:color w:val="000000"/>
          <w:spacing w:val="-2"/>
          <w:sz w:val="24"/>
        </w:rPr>
        <w:t>市建设局（委）、</w:t>
      </w:r>
      <w:r>
        <w:rPr>
          <w:rFonts w:hint="eastAsia" w:eastAsia="方正仿宋_GBK"/>
          <w:color w:val="000000"/>
          <w:spacing w:val="-2"/>
          <w:sz w:val="24"/>
        </w:rPr>
        <w:t>房产局，财政局：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现将《江苏省住宅专项维修资金管理办法》印发给你们，请认真贯彻执行。</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附件：江苏省住宅专项维修资金管理办法</w:t>
      </w:r>
    </w:p>
    <w:p>
      <w:pPr>
        <w:spacing w:line="460" w:lineRule="exact"/>
        <w:rPr>
          <w:rFonts w:eastAsia="方正仿宋_GBK"/>
          <w:color w:val="000000"/>
          <w:spacing w:val="-2"/>
          <w:sz w:val="24"/>
        </w:rPr>
      </w:pPr>
    </w:p>
    <w:p>
      <w:pPr>
        <w:wordWrap w:val="0"/>
        <w:spacing w:line="460" w:lineRule="exact"/>
        <w:ind w:firstLine="9" w:firstLineChars="4"/>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ind w:firstLine="19" w:firstLineChars="4"/>
        <w:jc w:val="right"/>
        <w:rPr>
          <w:rFonts w:eastAsia="方正仿宋_GBK"/>
          <w:color w:val="000000"/>
          <w:spacing w:val="-2"/>
          <w:sz w:val="24"/>
        </w:rPr>
      </w:pPr>
      <w:r>
        <w:rPr>
          <w:rFonts w:hint="eastAsia" w:eastAsia="方正仿宋_GBK"/>
          <w:color w:val="000000"/>
          <w:spacing w:val="120"/>
          <w:kern w:val="0"/>
          <w:sz w:val="24"/>
        </w:rPr>
        <w:t>江苏省财政</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ind w:right="320" w:firstLine="4361" w:firstLineChars="1848"/>
        <w:jc w:val="right"/>
        <w:rPr>
          <w:rFonts w:eastAsia="方正仿宋_GBK"/>
          <w:color w:val="000000"/>
          <w:spacing w:val="-2"/>
          <w:sz w:val="24"/>
        </w:rPr>
      </w:pPr>
      <w:r>
        <w:rPr>
          <w:rFonts w:eastAsia="方正仿宋_GBK"/>
          <w:color w:val="000000"/>
          <w:spacing w:val="-2"/>
          <w:sz w:val="24"/>
        </w:rPr>
        <w:t>2014</w:t>
      </w:r>
      <w:r>
        <w:rPr>
          <w:rFonts w:hint="eastAsia" w:eastAsia="方正仿宋_GBK"/>
          <w:color w:val="000000"/>
          <w:spacing w:val="-2"/>
          <w:sz w:val="24"/>
        </w:rPr>
        <w:t>年</w:t>
      </w:r>
      <w:r>
        <w:rPr>
          <w:rFonts w:eastAsia="方正仿宋_GBK"/>
          <w:color w:val="000000"/>
          <w:spacing w:val="-2"/>
          <w:sz w:val="24"/>
        </w:rPr>
        <w:t>5</w:t>
      </w:r>
      <w:r>
        <w:rPr>
          <w:rFonts w:hint="eastAsia" w:eastAsia="方正仿宋_GBK"/>
          <w:color w:val="000000"/>
          <w:spacing w:val="-2"/>
          <w:sz w:val="24"/>
        </w:rPr>
        <w:t>月</w:t>
      </w:r>
      <w:r>
        <w:rPr>
          <w:rFonts w:eastAsia="方正仿宋_GBK"/>
          <w:color w:val="000000"/>
          <w:spacing w:val="-2"/>
          <w:sz w:val="24"/>
        </w:rPr>
        <w:t>7</w:t>
      </w:r>
      <w:r>
        <w:rPr>
          <w:rFonts w:hint="eastAsia" w:eastAsia="方正仿宋_GBK"/>
          <w:color w:val="000000"/>
          <w:spacing w:val="-2"/>
          <w:sz w:val="24"/>
        </w:rPr>
        <w:t>日</w:t>
      </w:r>
      <w:r>
        <w:rPr>
          <w:rFonts w:eastAsia="方正仿宋_GBK"/>
          <w:color w:val="000000"/>
          <w:spacing w:val="-2"/>
          <w:sz w:val="24"/>
        </w:rPr>
        <w:t xml:space="preserve">     </w:t>
      </w:r>
    </w:p>
    <w:p>
      <w:pPr>
        <w:adjustRightInd w:val="0"/>
        <w:snapToGrid w:val="0"/>
        <w:spacing w:line="460" w:lineRule="exact"/>
        <w:rPr>
          <w:rFonts w:eastAsia="方正仿宋_GBK"/>
          <w:bCs/>
          <w:color w:val="000000"/>
          <w:spacing w:val="-2"/>
          <w:kern w:val="0"/>
          <w:sz w:val="24"/>
        </w:rPr>
      </w:pPr>
    </w:p>
    <w:p>
      <w:pPr>
        <w:adjustRightInd w:val="0"/>
        <w:snapToGrid w:val="0"/>
        <w:spacing w:line="460" w:lineRule="exact"/>
        <w:rPr>
          <w:rFonts w:eastAsia="方正仿宋_GBK"/>
          <w:bCs/>
          <w:color w:val="000000"/>
          <w:spacing w:val="-2"/>
          <w:kern w:val="0"/>
          <w:sz w:val="24"/>
        </w:rPr>
      </w:pPr>
    </w:p>
    <w:p>
      <w:pPr>
        <w:adjustRightInd w:val="0"/>
        <w:snapToGrid w:val="0"/>
        <w:spacing w:line="460" w:lineRule="exact"/>
        <w:jc w:val="center"/>
        <w:rPr>
          <w:rFonts w:ascii="Times New Roman" w:eastAsia="方正黑体_GBK"/>
          <w:bCs/>
          <w:color w:val="000000"/>
          <w:spacing w:val="-2"/>
          <w:kern w:val="0"/>
          <w:sz w:val="36"/>
          <w:szCs w:val="36"/>
        </w:rPr>
      </w:pPr>
      <w:r>
        <w:rPr>
          <w:rFonts w:hint="eastAsia" w:ascii="Times New Roman" w:eastAsia="方正黑体_GBK"/>
          <w:bCs/>
          <w:color w:val="000000"/>
          <w:spacing w:val="-2"/>
          <w:kern w:val="0"/>
          <w:sz w:val="36"/>
          <w:szCs w:val="36"/>
        </w:rPr>
        <w:t>江苏省住宅专项维修资金管理办法</w:t>
      </w:r>
    </w:p>
    <w:p>
      <w:pPr>
        <w:adjustRightInd w:val="0"/>
        <w:snapToGrid w:val="0"/>
        <w:spacing w:line="460" w:lineRule="exact"/>
        <w:rPr>
          <w:rFonts w:hint="eastAsia" w:eastAsia="方正仿宋_GBK"/>
          <w:color w:val="000000"/>
          <w:spacing w:val="-2"/>
          <w:sz w:val="24"/>
        </w:rPr>
      </w:pP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为加强住宅专项维修资金管理，促进其保值增值保障住宅共用部位、共用设施设备的维修和正常使用，维护业主合法利益，根据相关法律、行政法规和《江苏省物业管理条例》相关规定，制定本办法。</w:t>
      </w:r>
    </w:p>
    <w:p>
      <w:pPr>
        <w:adjustRightInd w:val="0"/>
        <w:snapToGrid w:val="0"/>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市、县物业管理行政主管部门会同同级财政行政主管部门</w:t>
      </w:r>
      <w:r>
        <w:rPr>
          <w:rFonts w:hint="eastAsia" w:eastAsia="方正仿宋_GBK"/>
          <w:color w:val="000000"/>
          <w:spacing w:val="-2"/>
          <w:kern w:val="0"/>
          <w:sz w:val="24"/>
        </w:rPr>
        <w:t>负责</w:t>
      </w:r>
      <w:r>
        <w:rPr>
          <w:rFonts w:hint="eastAsia" w:eastAsia="方正仿宋_GBK"/>
          <w:color w:val="000000"/>
          <w:spacing w:val="-2"/>
          <w:sz w:val="24"/>
        </w:rPr>
        <w:t>住宅专项</w:t>
      </w:r>
      <w:r>
        <w:rPr>
          <w:rFonts w:hint="eastAsia" w:eastAsia="方正仿宋_GBK"/>
          <w:color w:val="000000"/>
          <w:spacing w:val="-2"/>
          <w:kern w:val="0"/>
          <w:sz w:val="24"/>
        </w:rPr>
        <w:t>维修资金（以下简称维修资金）管理工作的指导和监督。</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区物业管理行政主管部门、街道办事处（乡镇人民政府）按照规定的职责分工，负责维修资金管理相关指导、协调、监督工作。</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业主大会（包括业主代表大会、物业管理委员会）成立前，维修资金由物业所在市、县（市）物业管理行政主管部门代</w:t>
      </w:r>
      <w:r>
        <w:rPr>
          <w:rFonts w:hint="eastAsia" w:eastAsia="方正仿宋_GBK"/>
          <w:color w:val="000000"/>
          <w:spacing w:val="-2"/>
          <w:kern w:val="0"/>
          <w:sz w:val="24"/>
        </w:rPr>
        <w:t>管（以下简称代管部门）</w:t>
      </w:r>
      <w:r>
        <w:rPr>
          <w:rFonts w:hint="eastAsia" w:eastAsia="方正仿宋_GBK"/>
          <w:color w:val="000000"/>
          <w:spacing w:val="-2"/>
          <w:sz w:val="24"/>
        </w:rPr>
        <w:t>。</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代管部门应依法依规履行好维修资金代管职责。</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黑体_GBK"/>
          <w:color w:val="000000"/>
          <w:spacing w:val="-2"/>
          <w:kern w:val="2"/>
        </w:rPr>
        <w:t>第四条</w:t>
      </w:r>
      <w:r>
        <w:rPr>
          <w:rFonts w:ascii="Times New Roman" w:hAnsi="Times New Roman" w:eastAsia="方正仿宋_GBK"/>
          <w:b/>
          <w:color w:val="000000"/>
          <w:spacing w:val="-2"/>
        </w:rPr>
        <w:t xml:space="preserve">  </w:t>
      </w:r>
      <w:r>
        <w:rPr>
          <w:rFonts w:hint="eastAsia" w:ascii="Times New Roman" w:hAnsi="Times New Roman" w:eastAsia="方正仿宋_GBK"/>
          <w:color w:val="000000"/>
          <w:spacing w:val="-2"/>
        </w:rPr>
        <w:t>代管部门应当通过竞争的方式，择优选择所在地政府认可的商业银行作为开立维修资金的专户管理银行。</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维修资金管理实行专户存储、分账核算，一个物业管理区域应分别设立总账、业主分户账、专项分账和统筹分账。</w:t>
      </w:r>
    </w:p>
    <w:p>
      <w:pPr>
        <w:adjustRightInd w:val="0"/>
        <w:snapToGrid w:val="0"/>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业主大会成立后</w:t>
      </w:r>
      <w:r>
        <w:rPr>
          <w:rFonts w:hint="eastAsia" w:eastAsia="方正仿宋_GBK"/>
          <w:color w:val="000000"/>
          <w:spacing w:val="-2"/>
          <w:kern w:val="0"/>
          <w:sz w:val="24"/>
        </w:rPr>
        <w:t>决定自行管理维修资金的，应当就下列事项进行表决：</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（一）维修资金自行管理的决议；</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（二）维修资金管理制度；</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（三）账目管理单位和维修资金账目责任人的决议；</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（四）</w:t>
      </w:r>
      <w:r>
        <w:rPr>
          <w:rFonts w:hint="eastAsia" w:eastAsia="方正仿宋_GBK"/>
          <w:color w:val="000000"/>
          <w:spacing w:val="-2"/>
          <w:sz w:val="24"/>
        </w:rPr>
        <w:t>维修资金保值增值及续交方案；</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（五）其他与维修资金有关的决议事项。</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以上事项应当经物业管理区域内专有部分占建筑物总面积</w:t>
      </w:r>
      <w:r>
        <w:rPr>
          <w:rFonts w:eastAsia="方正仿宋_GBK"/>
          <w:color w:val="000000"/>
          <w:spacing w:val="-2"/>
          <w:kern w:val="0"/>
          <w:sz w:val="24"/>
        </w:rPr>
        <w:t>2/3</w:t>
      </w:r>
      <w:r>
        <w:rPr>
          <w:rFonts w:hint="eastAsia" w:eastAsia="方正仿宋_GBK"/>
          <w:color w:val="000000"/>
          <w:spacing w:val="-2"/>
          <w:kern w:val="0"/>
          <w:sz w:val="24"/>
        </w:rPr>
        <w:t>以上的业主且占总人数</w:t>
      </w:r>
      <w:r>
        <w:rPr>
          <w:rFonts w:eastAsia="方正仿宋_GBK"/>
          <w:color w:val="000000"/>
          <w:spacing w:val="-2"/>
          <w:kern w:val="0"/>
          <w:sz w:val="24"/>
        </w:rPr>
        <w:t>2/3</w:t>
      </w:r>
      <w:r>
        <w:rPr>
          <w:rFonts w:hint="eastAsia" w:eastAsia="方正仿宋_GBK"/>
          <w:color w:val="000000"/>
          <w:spacing w:val="-2"/>
          <w:kern w:val="0"/>
          <w:sz w:val="24"/>
        </w:rPr>
        <w:t>以上的业主表决同意并签署书面意见。业主大会决议的事项及业主大会会议召开的情况在本物业管理区域内进行公示，公示期不得少于</w:t>
      </w:r>
      <w:r>
        <w:rPr>
          <w:rFonts w:eastAsia="方正仿宋_GBK"/>
          <w:color w:val="000000"/>
          <w:spacing w:val="-2"/>
          <w:kern w:val="0"/>
          <w:sz w:val="24"/>
        </w:rPr>
        <w:t>15</w:t>
      </w:r>
      <w:r>
        <w:rPr>
          <w:rFonts w:hint="eastAsia" w:eastAsia="方正仿宋_GBK"/>
          <w:color w:val="000000"/>
          <w:spacing w:val="-2"/>
          <w:kern w:val="0"/>
          <w:sz w:val="24"/>
        </w:rPr>
        <w:t>日。</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代管部门</w:t>
      </w:r>
      <w:r>
        <w:rPr>
          <w:rFonts w:hint="eastAsia" w:eastAsia="方正仿宋_GBK"/>
          <w:color w:val="000000"/>
          <w:spacing w:val="-2"/>
          <w:sz w:val="24"/>
        </w:rPr>
        <w:t>、区物业管理行政主管部门、</w:t>
      </w:r>
      <w:r>
        <w:rPr>
          <w:rFonts w:hint="eastAsia" w:eastAsia="方正仿宋_GBK"/>
          <w:color w:val="000000"/>
          <w:spacing w:val="-2"/>
          <w:kern w:val="0"/>
          <w:sz w:val="24"/>
        </w:rPr>
        <w:t>街道办事处（乡镇人民政府）应当对业主大会决议进行指导与监督。</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黑体_GBK"/>
          <w:color w:val="000000"/>
          <w:spacing w:val="-2"/>
          <w:kern w:val="2"/>
        </w:rPr>
        <w:t>第六条</w:t>
      </w:r>
      <w:r>
        <w:rPr>
          <w:rFonts w:ascii="Times New Roman" w:hAnsi="Times New Roman" w:eastAsia="方正仿宋_GBK"/>
          <w:color w:val="000000"/>
          <w:spacing w:val="-2"/>
        </w:rPr>
        <w:t xml:space="preserve">  </w:t>
      </w:r>
      <w:r>
        <w:rPr>
          <w:rFonts w:hint="eastAsia" w:ascii="Times New Roman" w:hAnsi="Times New Roman" w:eastAsia="方正仿宋_GBK"/>
          <w:color w:val="000000"/>
          <w:spacing w:val="-2"/>
        </w:rPr>
        <w:t>业主大会决定自行管理维修资金，应以业主大会实名按本办法第四条之规定开立账户，并同步纳入代管部门的维修资金管理系统，接受监管。</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kern w:val="0"/>
          <w:sz w:val="24"/>
        </w:rPr>
        <w:t>住宅物业和住宅小区内的非住宅物业的业主，应当在办理房屋入住手续或者房屋所有权登记时，将首期维修资金存入维修资金业主分户账。</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维修资金首期交存可以由建设单位代收代交，也可以约定由业主自行交存。</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物业所在地建立商品住宅维修资金制度后，业主未交存的，按所在地同期同类商品住宅首次交存标准交存。</w:t>
      </w:r>
      <w:r>
        <w:rPr>
          <w:rFonts w:hint="eastAsia" w:eastAsia="方正仿宋_GBK"/>
          <w:color w:val="000000"/>
          <w:spacing w:val="-2"/>
          <w:kern w:val="0"/>
          <w:sz w:val="24"/>
        </w:rPr>
        <w:t>维修资金</w:t>
      </w:r>
      <w:r>
        <w:rPr>
          <w:rFonts w:hint="eastAsia" w:eastAsia="方正仿宋_GBK"/>
          <w:color w:val="000000"/>
          <w:spacing w:val="-2"/>
          <w:sz w:val="24"/>
        </w:rPr>
        <w:t>业主分</w:t>
      </w:r>
      <w:r>
        <w:rPr>
          <w:rFonts w:hint="eastAsia" w:eastAsia="方正仿宋_GBK"/>
          <w:color w:val="000000"/>
          <w:spacing w:val="-2"/>
          <w:kern w:val="0"/>
          <w:sz w:val="24"/>
        </w:rPr>
        <w:t>户账余额不足首期交存金额</w:t>
      </w:r>
      <w:r>
        <w:rPr>
          <w:rFonts w:eastAsia="方正仿宋_GBK"/>
          <w:color w:val="000000"/>
          <w:spacing w:val="-2"/>
          <w:kern w:val="0"/>
          <w:sz w:val="24"/>
        </w:rPr>
        <w:t>30</w:t>
      </w:r>
      <w:r>
        <w:rPr>
          <w:rFonts w:hint="eastAsia" w:eastAsia="方正仿宋_GBK"/>
          <w:color w:val="000000"/>
          <w:spacing w:val="-2"/>
          <w:kern w:val="0"/>
          <w:sz w:val="24"/>
        </w:rPr>
        <w:t>％的，应当及时续交。</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代管部门应对建设单位</w:t>
      </w:r>
      <w:r>
        <w:rPr>
          <w:rFonts w:hint="eastAsia" w:eastAsia="方正仿宋_GBK"/>
          <w:color w:val="000000"/>
          <w:spacing w:val="-2"/>
          <w:kern w:val="0"/>
          <w:sz w:val="24"/>
        </w:rPr>
        <w:t>或物业服务企业</w:t>
      </w:r>
      <w:r>
        <w:rPr>
          <w:rFonts w:hint="eastAsia" w:eastAsia="方正仿宋_GBK"/>
          <w:color w:val="000000"/>
          <w:spacing w:val="-2"/>
          <w:sz w:val="24"/>
        </w:rPr>
        <w:t>代收代交未入账的维修资金进行清理与追缴，并建立明细账。</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具体清理、追缴、补建及续筹办法由各市、县制定。</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b/>
          <w:color w:val="000000"/>
          <w:spacing w:val="-2"/>
          <w:sz w:val="24"/>
        </w:rPr>
        <w:t xml:space="preserve">  </w:t>
      </w:r>
      <w:r>
        <w:rPr>
          <w:rFonts w:hint="eastAsia" w:eastAsia="方正仿宋_GBK"/>
          <w:color w:val="000000"/>
          <w:spacing w:val="-2"/>
          <w:sz w:val="24"/>
        </w:rPr>
        <w:t>《江苏省物业管理条例》施行后受让土地所建住宅物业需配置电梯的，建设单位应当在交付使用前按照建筑安装总费用</w:t>
      </w:r>
      <w:r>
        <w:rPr>
          <w:rFonts w:eastAsia="方正仿宋_GBK"/>
          <w:color w:val="000000"/>
          <w:spacing w:val="-2"/>
          <w:sz w:val="24"/>
        </w:rPr>
        <w:t>1%</w:t>
      </w:r>
      <w:r>
        <w:rPr>
          <w:rFonts w:hint="eastAsia" w:eastAsia="方正仿宋_GBK"/>
          <w:color w:val="000000"/>
          <w:spacing w:val="-2"/>
          <w:sz w:val="24"/>
        </w:rPr>
        <w:t>的比例标准交存电梯、消防等设施设备更新改造专项维修资金，或按物业所在城市同期同类业主拥有商品住宅建筑安装工程每平方米造价测算交存，设立维修资金专项分账，核算到栋，专项用于电梯、消防等设施设备保修期满后的更新和改造。</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color w:val="000000"/>
          <w:spacing w:val="-2"/>
          <w:sz w:val="24"/>
        </w:rPr>
        <w:t xml:space="preserve">  </w:t>
      </w:r>
      <w:r>
        <w:rPr>
          <w:rFonts w:hint="eastAsia" w:eastAsia="方正仿宋_GBK"/>
          <w:color w:val="000000"/>
          <w:spacing w:val="-2"/>
          <w:sz w:val="24"/>
        </w:rPr>
        <w:t>已售公有住房维修资金未纳入所在城市代管部门统一管理的，出售公有住房单位应建立住宅专项维修资金明细账，并承担维修资金的缴存、使用及保值增值等管理责任。已售公有住房单位拟将维修资金交由所在城市代管部门代管的，应对维修资金账目进行清理，未交的应负责追缴或补交。</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物业管理区域可以设立维修资金统筹分账。统筹维修资金主要用于物业区域内房屋共用部位和共用设施设备无法正常使用以及受益人为全体业主或无法界定受益人时的维修。</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物业管理区域内统筹维修资金由下列渠道筹集：</w:t>
      </w:r>
      <w:r>
        <w:rPr>
          <w:rFonts w:eastAsia="方正仿宋_GBK"/>
          <w:color w:val="000000"/>
          <w:spacing w:val="-2"/>
          <w:sz w:val="24"/>
        </w:rPr>
        <w:t xml:space="preserve"> </w:t>
      </w:r>
    </w:p>
    <w:p>
      <w:pPr>
        <w:adjustRightInd w:val="0"/>
        <w:snapToGrid w:val="0"/>
        <w:spacing w:line="460" w:lineRule="exact"/>
        <w:ind w:firstLine="660"/>
        <w:rPr>
          <w:rFonts w:eastAsia="方正仿宋_GBK"/>
          <w:color w:val="000000"/>
          <w:spacing w:val="-2"/>
          <w:sz w:val="24"/>
        </w:rPr>
      </w:pPr>
      <w:r>
        <w:rPr>
          <w:rFonts w:hint="eastAsia" w:eastAsia="方正仿宋_GBK"/>
          <w:color w:val="000000"/>
          <w:spacing w:val="-2"/>
          <w:sz w:val="24"/>
        </w:rPr>
        <w:t>（一）利用业主共用部位、共用或共有设施经营所得收益的</w:t>
      </w:r>
      <w:r>
        <w:rPr>
          <w:rFonts w:eastAsia="方正仿宋_GBK"/>
          <w:color w:val="000000"/>
          <w:spacing w:val="-2"/>
          <w:sz w:val="24"/>
        </w:rPr>
        <w:t>70%</w:t>
      </w:r>
      <w:r>
        <w:rPr>
          <w:rFonts w:hint="eastAsia" w:eastAsia="方正仿宋_GBK"/>
          <w:color w:val="000000"/>
          <w:spacing w:val="-2"/>
          <w:sz w:val="24"/>
        </w:rPr>
        <w:t>，但业主大会另有约定的，从其约定；</w:t>
      </w:r>
    </w:p>
    <w:p>
      <w:pPr>
        <w:pStyle w:val="17"/>
        <w:widowControl w:val="0"/>
        <w:adjustRightInd w:val="0"/>
        <w:snapToGrid w:val="0"/>
        <w:spacing w:before="0" w:after="0" w:line="460" w:lineRule="exact"/>
        <w:ind w:firstLine="472" w:firstLineChars="200"/>
        <w:jc w:val="both"/>
        <w:rPr>
          <w:rFonts w:ascii="Times New Roman" w:eastAsia="方正仿宋_GBK" w:cs="Times New Roman"/>
          <w:spacing w:val="-2"/>
        </w:rPr>
      </w:pPr>
      <w:r>
        <w:rPr>
          <w:rFonts w:hint="eastAsia" w:ascii="Times New Roman" w:eastAsia="方正仿宋_GBK" w:cs="Times New Roman"/>
          <w:spacing w:val="-2"/>
        </w:rPr>
        <w:t>（二）维修资金增值（孳息）部分支付业主房屋分户账滚存剩余</w:t>
      </w:r>
      <w:r>
        <w:rPr>
          <w:rFonts w:hint="eastAsia" w:ascii="Times New Roman" w:eastAsia="方正仿宋_GBK" w:cs="Times New Roman"/>
          <w:spacing w:val="-2"/>
          <w:shd w:val="clear" w:color="auto" w:fill="FFFFFF"/>
        </w:rPr>
        <w:t>的资金；</w:t>
      </w:r>
    </w:p>
    <w:p>
      <w:pPr>
        <w:adjustRightInd w:val="0"/>
        <w:snapToGrid w:val="0"/>
        <w:spacing w:line="460" w:lineRule="exact"/>
        <w:ind w:firstLine="660"/>
        <w:rPr>
          <w:rFonts w:eastAsia="方正仿宋_GBK"/>
          <w:color w:val="000000"/>
          <w:spacing w:val="-2"/>
          <w:sz w:val="24"/>
        </w:rPr>
      </w:pPr>
      <w:r>
        <w:rPr>
          <w:rFonts w:hint="eastAsia" w:eastAsia="方正仿宋_GBK"/>
          <w:color w:val="000000"/>
          <w:spacing w:val="-2"/>
          <w:sz w:val="24"/>
        </w:rPr>
        <w:t>（三）共用设施设备报废回收的残值；</w:t>
      </w:r>
    </w:p>
    <w:p>
      <w:pPr>
        <w:adjustRightInd w:val="0"/>
        <w:snapToGrid w:val="0"/>
        <w:spacing w:line="460" w:lineRule="exact"/>
        <w:ind w:firstLine="660"/>
        <w:rPr>
          <w:rFonts w:eastAsia="方正仿宋_GBK"/>
          <w:color w:val="000000"/>
          <w:spacing w:val="-2"/>
          <w:sz w:val="24"/>
        </w:rPr>
      </w:pPr>
      <w:r>
        <w:rPr>
          <w:rFonts w:hint="eastAsia" w:eastAsia="方正仿宋_GBK"/>
          <w:color w:val="000000"/>
          <w:spacing w:val="-2"/>
          <w:sz w:val="24"/>
          <w:shd w:val="clear" w:color="auto" w:fill="FFFFFF"/>
        </w:rPr>
        <w:t>（四）</w:t>
      </w:r>
      <w:r>
        <w:rPr>
          <w:rFonts w:hint="eastAsia" w:eastAsia="方正仿宋_GBK"/>
          <w:color w:val="000000"/>
          <w:spacing w:val="-2"/>
          <w:sz w:val="24"/>
        </w:rPr>
        <w:t>人民防空工程平战结合提取的资金；</w:t>
      </w:r>
    </w:p>
    <w:p>
      <w:pPr>
        <w:adjustRightInd w:val="0"/>
        <w:snapToGrid w:val="0"/>
        <w:spacing w:line="460" w:lineRule="exact"/>
        <w:ind w:firstLine="660"/>
        <w:rPr>
          <w:rFonts w:eastAsia="方正仿宋_GBK"/>
          <w:color w:val="000000"/>
          <w:spacing w:val="-2"/>
          <w:sz w:val="24"/>
        </w:rPr>
      </w:pPr>
      <w:r>
        <w:rPr>
          <w:rFonts w:hint="eastAsia" w:eastAsia="方正仿宋_GBK"/>
          <w:color w:val="000000"/>
          <w:spacing w:val="-2"/>
          <w:sz w:val="24"/>
          <w:shd w:val="clear" w:color="auto" w:fill="FFFFFF"/>
        </w:rPr>
        <w:t>（五）业主共同决定，以及其他应当计入的</w:t>
      </w:r>
      <w:r>
        <w:rPr>
          <w:rFonts w:hint="eastAsia" w:eastAsia="方正仿宋_GBK"/>
          <w:color w:val="000000"/>
          <w:spacing w:val="-2"/>
          <w:sz w:val="24"/>
        </w:rPr>
        <w:t>资金。</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shd w:val="clear" w:color="auto" w:fill="FFFFFF"/>
        </w:rPr>
      </w:pPr>
      <w:r>
        <w:rPr>
          <w:rFonts w:hint="eastAsia" w:ascii="Times New Roman" w:hAnsi="Times New Roman" w:eastAsia="方正黑体_GBK"/>
          <w:color w:val="000000"/>
          <w:spacing w:val="-2"/>
          <w:kern w:val="2"/>
        </w:rPr>
        <w:t>第十二条</w:t>
      </w:r>
      <w:r>
        <w:rPr>
          <w:rFonts w:ascii="Times New Roman" w:hAnsi="Times New Roman" w:eastAsia="方正仿宋_GBK"/>
          <w:color w:val="000000"/>
          <w:spacing w:val="-2"/>
        </w:rPr>
        <w:t xml:space="preserve">  </w:t>
      </w:r>
      <w:r>
        <w:rPr>
          <w:rFonts w:hint="eastAsia" w:ascii="Times New Roman" w:hAnsi="Times New Roman" w:eastAsia="方正仿宋_GBK"/>
          <w:color w:val="000000"/>
          <w:spacing w:val="-2"/>
        </w:rPr>
        <w:t>维修资金交存统一使用由省级财政部门监制的住宅专项维修资金专用票据。</w:t>
      </w:r>
    </w:p>
    <w:p>
      <w:pPr>
        <w:pStyle w:val="17"/>
        <w:widowControl w:val="0"/>
        <w:adjustRightInd w:val="0"/>
        <w:snapToGrid w:val="0"/>
        <w:spacing w:before="0" w:after="0" w:line="460" w:lineRule="exact"/>
        <w:ind w:firstLine="472" w:firstLineChars="200"/>
        <w:jc w:val="both"/>
        <w:rPr>
          <w:rFonts w:ascii="Times New Roman" w:eastAsia="方正仿宋_GBK" w:cs="Times New Roman"/>
          <w:spacing w:val="-2"/>
        </w:rPr>
      </w:pPr>
      <w:r>
        <w:rPr>
          <w:rFonts w:hint="eastAsia" w:ascii="Times New Roman" w:eastAsia="方正黑体_GBK" w:cs="Times New Roman"/>
          <w:spacing w:val="-2"/>
        </w:rPr>
        <w:t>第十三条</w:t>
      </w:r>
      <w:r>
        <w:rPr>
          <w:rFonts w:ascii="Times New Roman" w:eastAsia="方正仿宋_GBK" w:cs="Times New Roman"/>
          <w:spacing w:val="-2"/>
          <w:kern w:val="0"/>
        </w:rPr>
        <w:t xml:space="preserve">  </w:t>
      </w:r>
      <w:r>
        <w:rPr>
          <w:rFonts w:hint="eastAsia" w:ascii="Times New Roman" w:eastAsia="方正仿宋_GBK" w:cs="Times New Roman"/>
          <w:spacing w:val="-2"/>
        </w:rPr>
        <w:t>维修资金使用应当遵循方便快捷、公开透明、受益人和负担人相一致的原则。</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（一）可以经专有部分占建筑物总面积</w:t>
      </w:r>
      <w:r>
        <w:rPr>
          <w:rFonts w:eastAsia="方正仿宋_GBK"/>
          <w:color w:val="000000"/>
          <w:spacing w:val="-2"/>
          <w:kern w:val="0"/>
          <w:sz w:val="24"/>
        </w:rPr>
        <w:t>2/3</w:t>
      </w:r>
      <w:r>
        <w:rPr>
          <w:rFonts w:hint="eastAsia" w:eastAsia="方正仿宋_GBK"/>
          <w:color w:val="000000"/>
          <w:spacing w:val="-2"/>
          <w:kern w:val="0"/>
          <w:sz w:val="24"/>
        </w:rPr>
        <w:t>以上的业主且占总人数</w:t>
      </w:r>
      <w:r>
        <w:rPr>
          <w:rFonts w:eastAsia="方正仿宋_GBK"/>
          <w:color w:val="000000"/>
          <w:spacing w:val="-2"/>
          <w:kern w:val="0"/>
          <w:sz w:val="24"/>
        </w:rPr>
        <w:t>2/3</w:t>
      </w:r>
      <w:r>
        <w:rPr>
          <w:rFonts w:hint="eastAsia" w:eastAsia="方正仿宋_GBK"/>
          <w:color w:val="000000"/>
          <w:spacing w:val="-2"/>
          <w:kern w:val="0"/>
          <w:sz w:val="24"/>
        </w:rPr>
        <w:t>以上的业主一次性表决同意，由业主委员会在任期内执行。</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（二）可以区分所有，按照维修涉及利害关系的物业管理区域或栋或单元为单位，</w:t>
      </w:r>
      <w:r>
        <w:rPr>
          <w:rFonts w:hint="eastAsia" w:eastAsia="方正仿宋_GBK"/>
          <w:color w:val="000000"/>
          <w:spacing w:val="-2"/>
          <w:kern w:val="0"/>
          <w:sz w:val="24"/>
        </w:rPr>
        <w:t>经维修利害关系范围内专有部分占建筑物总面积</w:t>
      </w:r>
      <w:r>
        <w:rPr>
          <w:rFonts w:eastAsia="方正仿宋_GBK"/>
          <w:color w:val="000000"/>
          <w:spacing w:val="-2"/>
          <w:kern w:val="0"/>
          <w:sz w:val="24"/>
        </w:rPr>
        <w:t>2/3</w:t>
      </w:r>
      <w:r>
        <w:rPr>
          <w:rFonts w:hint="eastAsia" w:eastAsia="方正仿宋_GBK"/>
          <w:color w:val="000000"/>
          <w:spacing w:val="-2"/>
          <w:kern w:val="0"/>
          <w:sz w:val="24"/>
        </w:rPr>
        <w:t>以上的业主且占总人数</w:t>
      </w:r>
      <w:r>
        <w:rPr>
          <w:rFonts w:eastAsia="方正仿宋_GBK"/>
          <w:color w:val="000000"/>
          <w:spacing w:val="-2"/>
          <w:kern w:val="0"/>
          <w:sz w:val="24"/>
        </w:rPr>
        <w:t>2/3</w:t>
      </w:r>
      <w:r>
        <w:rPr>
          <w:rFonts w:hint="eastAsia" w:eastAsia="方正仿宋_GBK"/>
          <w:color w:val="000000"/>
          <w:spacing w:val="-2"/>
          <w:kern w:val="0"/>
          <w:sz w:val="24"/>
        </w:rPr>
        <w:t>以上的业主表决同意，</w:t>
      </w:r>
      <w:r>
        <w:rPr>
          <w:rFonts w:hint="eastAsia" w:eastAsia="方正仿宋_GBK"/>
          <w:color w:val="000000"/>
          <w:spacing w:val="-2"/>
          <w:sz w:val="24"/>
        </w:rPr>
        <w:t>决定维修资金使用。</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对发生危及房屋安全情形需应急维修、更新和改造动用维修资金，可以由物业服务企业、业主委员会、物业管理委员会、社区居（村）民委员会、相关业主提出申请，经代管部门组织相关专业人员现场确认，及时维修。</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kern w:val="2"/>
        </w:rPr>
      </w:pPr>
      <w:r>
        <w:rPr>
          <w:rFonts w:hint="eastAsia" w:ascii="Times New Roman" w:hAnsi="Times New Roman" w:eastAsia="方正黑体_GBK"/>
          <w:color w:val="000000"/>
          <w:spacing w:val="-2"/>
          <w:kern w:val="2"/>
        </w:rPr>
        <w:t>第十五条</w:t>
      </w:r>
      <w:r>
        <w:rPr>
          <w:rFonts w:ascii="Times New Roman" w:hAnsi="Times New Roman" w:eastAsia="方正仿宋_GBK"/>
          <w:color w:val="000000"/>
          <w:spacing w:val="-2"/>
          <w:kern w:val="2"/>
        </w:rPr>
        <w:t xml:space="preserve">  </w:t>
      </w:r>
      <w:r>
        <w:rPr>
          <w:rFonts w:hint="eastAsia" w:ascii="Times New Roman" w:hAnsi="Times New Roman" w:eastAsia="方正仿宋_GBK"/>
          <w:color w:val="000000"/>
          <w:spacing w:val="-2"/>
          <w:kern w:val="2"/>
        </w:rPr>
        <w:t>代管部门应当按照科学合理、规范高效、公开透明的原则，制定应急维修工作流程，并建立健全质量监督、招标投标、预决算和审计制度，加强监管。</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黑体_GBK"/>
          <w:color w:val="000000"/>
          <w:spacing w:val="-2"/>
          <w:kern w:val="2"/>
        </w:rPr>
        <w:t>第十六条</w:t>
      </w:r>
      <w:r>
        <w:rPr>
          <w:rFonts w:ascii="Times New Roman" w:hAnsi="Times New Roman" w:eastAsia="方正仿宋_GBK"/>
          <w:color w:val="000000"/>
          <w:spacing w:val="-2"/>
        </w:rPr>
        <w:t xml:space="preserve">  </w:t>
      </w:r>
      <w:r>
        <w:rPr>
          <w:rFonts w:hint="eastAsia" w:ascii="Times New Roman" w:hAnsi="Times New Roman" w:eastAsia="方正仿宋_GBK"/>
          <w:color w:val="000000"/>
          <w:spacing w:val="-2"/>
        </w:rPr>
        <w:t>应急单项维修费用在</w:t>
      </w:r>
      <w:r>
        <w:rPr>
          <w:rFonts w:ascii="Times New Roman" w:hAnsi="Times New Roman" w:eastAsia="方正仿宋_GBK"/>
          <w:color w:val="000000"/>
          <w:spacing w:val="-2"/>
        </w:rPr>
        <w:t>5000</w:t>
      </w:r>
      <w:r>
        <w:rPr>
          <w:rFonts w:hint="eastAsia" w:ascii="Times New Roman" w:hAnsi="Times New Roman" w:eastAsia="方正仿宋_GBK"/>
          <w:color w:val="000000"/>
          <w:spacing w:val="-2"/>
        </w:rPr>
        <w:t>元以上的，应当经过审计并向业主公示；</w:t>
      </w:r>
      <w:r>
        <w:rPr>
          <w:rFonts w:hint="eastAsia" w:ascii="Times New Roman" w:hAnsi="Times New Roman" w:eastAsia="方正仿宋_GBK"/>
          <w:color w:val="000000"/>
          <w:spacing w:val="-2"/>
          <w:shd w:val="clear" w:color="auto" w:fill="FFFFFF"/>
        </w:rPr>
        <w:t>应急单项维修费用不足</w:t>
      </w:r>
      <w:r>
        <w:rPr>
          <w:rFonts w:ascii="Times New Roman" w:hAnsi="Times New Roman" w:eastAsia="方正仿宋_GBK"/>
          <w:color w:val="000000"/>
          <w:spacing w:val="-2"/>
          <w:shd w:val="clear" w:color="auto" w:fill="FFFFFF"/>
        </w:rPr>
        <w:t>5000</w:t>
      </w:r>
      <w:r>
        <w:rPr>
          <w:rFonts w:hint="eastAsia" w:ascii="Times New Roman" w:hAnsi="Times New Roman" w:eastAsia="方正仿宋_GBK"/>
          <w:color w:val="000000"/>
          <w:spacing w:val="-2"/>
          <w:shd w:val="clear" w:color="auto" w:fill="FFFFFF"/>
        </w:rPr>
        <w:t>元的，可以经利害关系业主、业主委员会或物业管理委员会同意，委托代管部门采取审核结算并公示。</w:t>
      </w:r>
      <w:r>
        <w:rPr>
          <w:rFonts w:hint="eastAsia" w:ascii="Times New Roman" w:hAnsi="Times New Roman" w:eastAsia="方正仿宋_GBK"/>
          <w:color w:val="000000"/>
          <w:spacing w:val="-2"/>
        </w:rPr>
        <w:t>应急维修费用审核结算当事人合同另有约定的，从其约定。</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第十七条</w:t>
      </w:r>
      <w:r>
        <w:rPr>
          <w:rFonts w:eastAsia="方正仿宋_GBK"/>
          <w:color w:val="000000"/>
          <w:spacing w:val="-2"/>
          <w:sz w:val="24"/>
          <w:shd w:val="clear" w:color="auto" w:fill="FFFFFF"/>
        </w:rPr>
        <w:t xml:space="preserve">  </w:t>
      </w:r>
      <w:r>
        <w:rPr>
          <w:rFonts w:hint="eastAsia" w:eastAsia="方正仿宋_GBK"/>
          <w:color w:val="000000"/>
          <w:spacing w:val="-2"/>
          <w:sz w:val="24"/>
          <w:shd w:val="clear" w:color="auto" w:fill="FFFFFF"/>
        </w:rPr>
        <w:t>维修资金使用</w:t>
      </w:r>
      <w:r>
        <w:rPr>
          <w:rFonts w:hint="eastAsia" w:eastAsia="方正仿宋_GBK"/>
          <w:color w:val="000000"/>
          <w:spacing w:val="-2"/>
          <w:sz w:val="24"/>
        </w:rPr>
        <w:t>从</w:t>
      </w:r>
      <w:r>
        <w:rPr>
          <w:rFonts w:hint="eastAsia" w:eastAsia="方正仿宋_GBK"/>
          <w:color w:val="000000"/>
          <w:spacing w:val="-2"/>
          <w:kern w:val="0"/>
          <w:sz w:val="24"/>
        </w:rPr>
        <w:t>维修涉及范围内共有或者共用关系的业主</w:t>
      </w:r>
      <w:r>
        <w:rPr>
          <w:rFonts w:hint="eastAsia" w:eastAsia="方正仿宋_GBK"/>
          <w:color w:val="000000"/>
          <w:spacing w:val="-2"/>
          <w:sz w:val="24"/>
        </w:rPr>
        <w:t>交存的分户账中按照专有面积分摊列支。其中涉及已售公有住房的，从公有住房维修资金中列支；未售出的空置商品房，由建设单位按空置房屋专有面积分摊。</w:t>
      </w:r>
    </w:p>
    <w:p>
      <w:pPr>
        <w:adjustRightInd w:val="0"/>
        <w:snapToGrid w:val="0"/>
        <w:spacing w:line="460" w:lineRule="exact"/>
        <w:ind w:firstLine="472" w:firstLineChars="200"/>
        <w:rPr>
          <w:rFonts w:eastAsia="方正仿宋_GBK"/>
          <w:color w:val="000000"/>
          <w:spacing w:val="-2"/>
          <w:sz w:val="24"/>
          <w:shd w:val="clear" w:color="auto" w:fill="FFFFFF"/>
        </w:rPr>
      </w:pPr>
      <w:r>
        <w:rPr>
          <w:rFonts w:hint="eastAsia" w:eastAsia="方正仿宋_GBK"/>
          <w:color w:val="000000"/>
          <w:spacing w:val="-2"/>
          <w:sz w:val="24"/>
        </w:rPr>
        <w:t>物业管理区域特定地下空间</w:t>
      </w:r>
      <w:r>
        <w:rPr>
          <w:rFonts w:hint="eastAsia" w:eastAsia="方正仿宋_GBK"/>
          <w:color w:val="000000"/>
          <w:spacing w:val="-2"/>
          <w:sz w:val="24"/>
          <w:shd w:val="clear" w:color="auto" w:fill="FFFFFF"/>
        </w:rPr>
        <w:t>取得专有车位、摊位、库位</w:t>
      </w:r>
      <w:r>
        <w:rPr>
          <w:rFonts w:hint="eastAsia" w:eastAsia="方正仿宋_GBK"/>
          <w:color w:val="000000"/>
          <w:spacing w:val="-2"/>
          <w:sz w:val="24"/>
        </w:rPr>
        <w:t>发生维修，需动用维修资金的，由</w:t>
      </w:r>
      <w:r>
        <w:rPr>
          <w:rFonts w:hint="eastAsia" w:eastAsia="方正仿宋_GBK"/>
          <w:color w:val="000000"/>
          <w:spacing w:val="-2"/>
          <w:sz w:val="24"/>
          <w:shd w:val="clear" w:color="auto" w:fill="FFFFFF"/>
        </w:rPr>
        <w:t>专有车位、摊位、库位业主的房屋分户账中分摊列支。</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color w:val="000000"/>
          <w:spacing w:val="-2"/>
          <w:sz w:val="24"/>
        </w:rPr>
        <w:t xml:space="preserve">  </w:t>
      </w:r>
      <w:r>
        <w:rPr>
          <w:rFonts w:hint="eastAsia" w:eastAsia="方正仿宋_GBK"/>
          <w:color w:val="000000"/>
          <w:spacing w:val="-2"/>
          <w:sz w:val="24"/>
        </w:rPr>
        <w:t>维修资金代管部门应根据当地维修资金总额及使用计划等因素制定合理的保值增值方案，在确保维修资金安全的前提下，努力实现维修资金保值增值利益最大化。</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第十九条</w:t>
      </w:r>
      <w:r>
        <w:rPr>
          <w:rFonts w:eastAsia="方正仿宋_GBK"/>
          <w:color w:val="000000"/>
          <w:spacing w:val="-2"/>
          <w:sz w:val="24"/>
        </w:rPr>
        <w:t xml:space="preserve">  </w:t>
      </w:r>
      <w:r>
        <w:rPr>
          <w:rFonts w:hint="eastAsia" w:eastAsia="方正仿宋_GBK"/>
          <w:color w:val="000000"/>
          <w:spacing w:val="-2"/>
          <w:sz w:val="24"/>
        </w:rPr>
        <w:t>业主委员会可以向维修资金代管部门提出申请，将物业管理区域内的维修资金按不低于业主交存维修资金</w:t>
      </w:r>
      <w:r>
        <w:rPr>
          <w:rFonts w:eastAsia="方正仿宋_GBK"/>
          <w:color w:val="000000"/>
          <w:spacing w:val="-2"/>
          <w:sz w:val="24"/>
        </w:rPr>
        <w:t>80%</w:t>
      </w:r>
      <w:r>
        <w:rPr>
          <w:rFonts w:hint="eastAsia" w:eastAsia="方正仿宋_GBK"/>
          <w:color w:val="000000"/>
          <w:spacing w:val="-2"/>
          <w:sz w:val="24"/>
        </w:rPr>
        <w:t>的款项转存为超过一年以上的定期存款，维修资金代管部门应当自收到申请之日起</w:t>
      </w:r>
      <w:r>
        <w:rPr>
          <w:rFonts w:eastAsia="方正仿宋_GBK"/>
          <w:color w:val="000000"/>
          <w:spacing w:val="-2"/>
          <w:sz w:val="24"/>
        </w:rPr>
        <w:t>5</w:t>
      </w:r>
      <w:r>
        <w:rPr>
          <w:rFonts w:hint="eastAsia" w:eastAsia="方正仿宋_GBK"/>
          <w:color w:val="000000"/>
          <w:spacing w:val="-2"/>
          <w:sz w:val="24"/>
        </w:rPr>
        <w:t>个工作日内予以办理。具体申请办法由各省辖市制定。</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第二十条　</w:t>
      </w:r>
      <w:r>
        <w:rPr>
          <w:rFonts w:hint="eastAsia" w:eastAsia="方正仿宋_GBK"/>
          <w:color w:val="000000"/>
          <w:spacing w:val="-2"/>
          <w:sz w:val="24"/>
        </w:rPr>
        <w:t>在保证住宅专项维修资金正常使用的前提下，可以按照国家有关规定将住宅专项维修资金用于购买国债。投资收益归全体交存维修资金的业主所有，可优先划入本物业管理区域设立的维修资金统筹账户，用于本物业管理区域内房屋共用部位和共用设施设备的维修。业主大会另有约定的，从其约定。</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利用业主交存的住宅专项维修资金购买国债的，应当经业主大会同意；未成立业主大会的，应当经专有部分占建筑物总面积</w:t>
      </w:r>
      <w:r>
        <w:rPr>
          <w:rFonts w:eastAsia="方正仿宋_GBK"/>
          <w:color w:val="000000"/>
          <w:spacing w:val="-2"/>
          <w:kern w:val="0"/>
          <w:sz w:val="24"/>
        </w:rPr>
        <w:t>2/3</w:t>
      </w:r>
      <w:r>
        <w:rPr>
          <w:rFonts w:hint="eastAsia" w:eastAsia="方正仿宋_GBK"/>
          <w:color w:val="000000"/>
          <w:spacing w:val="-2"/>
          <w:sz w:val="24"/>
        </w:rPr>
        <w:t>以上的业主且占总人数</w:t>
      </w:r>
      <w:r>
        <w:rPr>
          <w:rFonts w:eastAsia="方正仿宋_GBK"/>
          <w:color w:val="000000"/>
          <w:spacing w:val="-2"/>
          <w:kern w:val="0"/>
          <w:sz w:val="24"/>
        </w:rPr>
        <w:t>2/3</w:t>
      </w:r>
      <w:r>
        <w:rPr>
          <w:rFonts w:hint="eastAsia" w:eastAsia="方正仿宋_GBK"/>
          <w:color w:val="000000"/>
          <w:spacing w:val="-2"/>
          <w:sz w:val="24"/>
        </w:rPr>
        <w:t>以上业主同意。</w:t>
      </w:r>
    </w:p>
    <w:p>
      <w:pPr>
        <w:adjustRightInd w:val="0"/>
        <w:snapToGrid w:val="0"/>
        <w:spacing w:line="460" w:lineRule="exact"/>
        <w:ind w:firstLine="472" w:firstLineChars="200"/>
        <w:rPr>
          <w:rFonts w:eastAsia="方正仿宋_GBK"/>
          <w:b/>
          <w:color w:val="000000"/>
          <w:spacing w:val="-2"/>
          <w:sz w:val="24"/>
        </w:rPr>
      </w:pPr>
      <w:r>
        <w:rPr>
          <w:rFonts w:hint="eastAsia" w:eastAsia="方正仿宋_GBK"/>
          <w:color w:val="000000"/>
          <w:spacing w:val="-2"/>
          <w:sz w:val="24"/>
        </w:rPr>
        <w:t>禁止利用住宅专项维修资金买卖股票、从事国债回购、委托理财业务、质押、抵押等担保行为。</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第二十一条</w:t>
      </w:r>
      <w:r>
        <w:rPr>
          <w:rFonts w:eastAsia="方正仿宋_GBK"/>
          <w:color w:val="000000"/>
          <w:spacing w:val="-2"/>
          <w:sz w:val="24"/>
        </w:rPr>
        <w:t xml:space="preserve">  </w:t>
      </w:r>
      <w:r>
        <w:rPr>
          <w:rFonts w:hint="eastAsia" w:eastAsia="方正仿宋_GBK"/>
          <w:color w:val="000000"/>
          <w:spacing w:val="-2"/>
          <w:sz w:val="24"/>
        </w:rPr>
        <w:t>代管部门应当将维修资金管理情况向业主公开，业主有权查询本人分户账的维修资金结存情况。</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shd w:val="clear" w:color="auto" w:fill="FFFFFF"/>
        </w:rPr>
      </w:pPr>
      <w:r>
        <w:rPr>
          <w:rFonts w:hint="eastAsia" w:ascii="Times New Roman" w:hAnsi="Times New Roman" w:eastAsia="方正仿宋_GBK"/>
          <w:color w:val="000000"/>
          <w:spacing w:val="-2"/>
        </w:rPr>
        <w:t>未成立业主大会的，代管部门应当定期将物业管理区域内业主交存的维修资金</w:t>
      </w:r>
      <w:r>
        <w:rPr>
          <w:rFonts w:hint="eastAsia" w:ascii="Times New Roman" w:hAnsi="Times New Roman" w:eastAsia="方正仿宋_GBK"/>
          <w:color w:val="000000"/>
          <w:spacing w:val="-2"/>
          <w:shd w:val="clear" w:color="auto" w:fill="FFFFFF"/>
        </w:rPr>
        <w:t>情况在物业管理区域公开。</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shd w:val="clear" w:color="auto" w:fill="FFFFFF"/>
        </w:rPr>
      </w:pPr>
      <w:r>
        <w:rPr>
          <w:rFonts w:hint="eastAsia" w:ascii="Times New Roman" w:hAnsi="Times New Roman" w:eastAsia="方正仿宋_GBK"/>
          <w:color w:val="000000"/>
          <w:spacing w:val="-2"/>
          <w:shd w:val="clear" w:color="auto" w:fill="FFFFFF"/>
        </w:rPr>
        <w:t>业主大会</w:t>
      </w:r>
      <w:r>
        <w:rPr>
          <w:rFonts w:hint="eastAsia" w:ascii="Times New Roman" w:hAnsi="Times New Roman" w:eastAsia="方正仿宋_GBK"/>
          <w:color w:val="000000"/>
          <w:spacing w:val="-2"/>
        </w:rPr>
        <w:t>或物业管理委员会</w:t>
      </w:r>
      <w:r>
        <w:rPr>
          <w:rFonts w:hint="eastAsia" w:ascii="Times New Roman" w:hAnsi="Times New Roman" w:eastAsia="方正仿宋_GBK"/>
          <w:color w:val="000000"/>
          <w:spacing w:val="-2"/>
          <w:shd w:val="clear" w:color="auto" w:fill="FFFFFF"/>
        </w:rPr>
        <w:t>成立时，</w:t>
      </w:r>
      <w:r>
        <w:rPr>
          <w:rFonts w:hint="eastAsia" w:ascii="Times New Roman" w:hAnsi="Times New Roman" w:eastAsia="方正仿宋_GBK"/>
          <w:color w:val="000000"/>
          <w:spacing w:val="-2"/>
        </w:rPr>
        <w:t>代管部门</w:t>
      </w:r>
      <w:r>
        <w:rPr>
          <w:rFonts w:hint="eastAsia" w:ascii="Times New Roman" w:hAnsi="Times New Roman" w:eastAsia="方正仿宋_GBK"/>
          <w:color w:val="000000"/>
          <w:spacing w:val="-2"/>
          <w:shd w:val="clear" w:color="auto" w:fill="FFFFFF"/>
        </w:rPr>
        <w:t>应当将物业管理区域内交存维修资金详细至分户</w:t>
      </w:r>
      <w:r>
        <w:rPr>
          <w:rFonts w:hint="eastAsia" w:ascii="Times New Roman" w:hAnsi="Times New Roman" w:eastAsia="方正仿宋_GBK"/>
          <w:color w:val="000000"/>
          <w:spacing w:val="-2"/>
        </w:rPr>
        <w:t>以及物业管理区域维修资金统筹分账户</w:t>
      </w:r>
      <w:r>
        <w:rPr>
          <w:rFonts w:hint="eastAsia" w:ascii="Times New Roman" w:hAnsi="Times New Roman" w:eastAsia="方正仿宋_GBK"/>
          <w:color w:val="000000"/>
          <w:spacing w:val="-2"/>
          <w:shd w:val="clear" w:color="auto" w:fill="FFFFFF"/>
        </w:rPr>
        <w:t>的情况，书面告知业主委员会</w:t>
      </w:r>
      <w:r>
        <w:rPr>
          <w:rFonts w:hint="eastAsia" w:ascii="Times New Roman" w:hAnsi="Times New Roman" w:eastAsia="方正仿宋_GBK"/>
          <w:color w:val="000000"/>
          <w:spacing w:val="-2"/>
        </w:rPr>
        <w:t>或物业管理委员会，</w:t>
      </w:r>
      <w:r>
        <w:rPr>
          <w:rFonts w:hint="eastAsia" w:ascii="Times New Roman" w:hAnsi="Times New Roman" w:eastAsia="方正仿宋_GBK"/>
          <w:color w:val="000000"/>
          <w:spacing w:val="-2"/>
          <w:shd w:val="clear" w:color="auto" w:fill="FFFFFF"/>
        </w:rPr>
        <w:t>并在物业管理区域内公开。</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第二十二条</w:t>
      </w:r>
      <w:r>
        <w:rPr>
          <w:rFonts w:eastAsia="方正仿宋_GBK"/>
          <w:color w:val="000000"/>
          <w:spacing w:val="-2"/>
          <w:sz w:val="24"/>
        </w:rPr>
        <w:t xml:space="preserve">  </w:t>
      </w:r>
      <w:r>
        <w:rPr>
          <w:rFonts w:hint="eastAsia" w:eastAsia="方正仿宋_GBK"/>
          <w:color w:val="000000"/>
          <w:spacing w:val="-2"/>
          <w:sz w:val="24"/>
        </w:rPr>
        <w:t>代管部门、业主委员会或物业管理委员会应当每年至少一次与专户管理银行核对维修资金账目，并向业主公布下列情况：</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（一）维修资金交存、使用、增值收益和结存的总额；</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（二）发生列支的项目、费用和分摊情况；</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（三）业主、公有住房售房单位分户账中维修资金交存、使用、增值收益和结存的金额；</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（四）其他有关维修资金使用和管理的情况。</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第二十三条</w:t>
      </w:r>
      <w:r>
        <w:rPr>
          <w:rFonts w:eastAsia="方正仿宋_GBK"/>
          <w:color w:val="000000"/>
          <w:spacing w:val="-2"/>
          <w:sz w:val="24"/>
        </w:rPr>
        <w:t xml:space="preserve">  </w:t>
      </w:r>
      <w:r>
        <w:rPr>
          <w:rFonts w:hint="eastAsia" w:eastAsia="方正仿宋_GBK"/>
          <w:color w:val="000000"/>
          <w:spacing w:val="-6"/>
          <w:sz w:val="24"/>
        </w:rPr>
        <w:t>代管部门、专户管理银行应当制定相关措施，提高应急维修处置效率与能力，方便业主、公有住房售房单位对维修资金使用、增值收益和账面余额的查询</w:t>
      </w:r>
      <w:r>
        <w:rPr>
          <w:rFonts w:hint="eastAsia" w:eastAsia="方正仿宋_GBK"/>
          <w:color w:val="000000"/>
          <w:spacing w:val="-2"/>
          <w:sz w:val="24"/>
        </w:rPr>
        <w:t>。</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黑体_GBK"/>
          <w:color w:val="000000"/>
          <w:spacing w:val="-2"/>
          <w:kern w:val="2"/>
        </w:rPr>
        <w:t>第二十四条</w:t>
      </w:r>
      <w:r>
        <w:rPr>
          <w:rFonts w:ascii="Times New Roman" w:hAnsi="Times New Roman" w:eastAsia="方正仿宋_GBK"/>
          <w:color w:val="000000"/>
          <w:spacing w:val="-2"/>
        </w:rPr>
        <w:t xml:space="preserve">  </w:t>
      </w:r>
      <w:r>
        <w:rPr>
          <w:rFonts w:hint="eastAsia" w:ascii="Times New Roman" w:hAnsi="Times New Roman" w:eastAsia="方正仿宋_GBK"/>
          <w:color w:val="000000"/>
          <w:spacing w:val="-2"/>
        </w:rPr>
        <w:t>代管部门应当加快信息化建设，建立健全涵盖交存、使用、查询等内容的维修资金监管系统，实现信息互通，公开透明，提高管理效率，接受监督。</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黑体_GBK"/>
          <w:color w:val="000000"/>
          <w:spacing w:val="-2"/>
          <w:kern w:val="2"/>
        </w:rPr>
        <w:t>第二十五条</w:t>
      </w:r>
      <w:r>
        <w:rPr>
          <w:rFonts w:ascii="Times New Roman" w:hAnsi="Times New Roman" w:eastAsia="方正仿宋_GBK"/>
          <w:color w:val="000000"/>
          <w:spacing w:val="-2"/>
        </w:rPr>
        <w:t xml:space="preserve">  </w:t>
      </w:r>
      <w:r>
        <w:rPr>
          <w:rFonts w:hint="eastAsia" w:ascii="Times New Roman" w:hAnsi="Times New Roman" w:eastAsia="方正仿宋_GBK"/>
          <w:color w:val="000000"/>
          <w:spacing w:val="-2"/>
        </w:rPr>
        <w:t>维修资金的管理和使用，应当依法接受审计部门的审计监督。代管部门</w:t>
      </w:r>
      <w:r>
        <w:rPr>
          <w:rFonts w:ascii="Times New Roman" w:hAnsi="Times New Roman" w:eastAsia="方正仿宋_GBK"/>
          <w:color w:val="000000"/>
          <w:spacing w:val="-2"/>
        </w:rPr>
        <w:t>3</w:t>
      </w:r>
      <w:r>
        <w:rPr>
          <w:rFonts w:hint="eastAsia" w:ascii="Times New Roman" w:hAnsi="Times New Roman" w:eastAsia="方正仿宋_GBK"/>
          <w:color w:val="000000"/>
          <w:spacing w:val="-2"/>
        </w:rPr>
        <w:t>年内委托政府专项审计不得少于一次，并公布审计报告，接受社会监督。对违反本办法相关规定的单位和个人，将按《财政违法行为处罚处分条例》等国家有关规定追究责任。</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第二十六条</w:t>
      </w:r>
      <w:r>
        <w:rPr>
          <w:rFonts w:eastAsia="方正仿宋_GBK"/>
          <w:color w:val="000000"/>
          <w:spacing w:val="-2"/>
          <w:sz w:val="24"/>
        </w:rPr>
        <w:t xml:space="preserve">  </w:t>
      </w:r>
      <w:r>
        <w:rPr>
          <w:rFonts w:hint="eastAsia" w:eastAsia="方正仿宋_GBK"/>
          <w:color w:val="000000"/>
          <w:spacing w:val="-2"/>
          <w:sz w:val="24"/>
        </w:rPr>
        <w:t>代管部门应当建立健全维修资金年度报告、投诉登记及信息公开等制度，推进维修资金标准化、规范化管理。省住房和城乡建设行政主管部门将会同财政行政主管部门不定期组织开展维修资金管理抽查或互审，通报监管情况。</w:t>
      </w:r>
    </w:p>
    <w:p>
      <w:pPr>
        <w:pStyle w:val="10"/>
        <w:widowControl w:val="0"/>
        <w:adjustRightInd w:val="0"/>
        <w:snapToGrid w:val="0"/>
        <w:spacing w:before="0" w:beforeAutospacing="0" w:after="0" w:afterAutospacing="0" w:line="46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黑体_GBK"/>
          <w:color w:val="000000"/>
          <w:spacing w:val="-2"/>
          <w:kern w:val="2"/>
        </w:rPr>
        <w:t>第二十七条</w:t>
      </w:r>
      <w:r>
        <w:rPr>
          <w:rFonts w:ascii="Times New Roman" w:hAnsi="Times New Roman" w:eastAsia="方正仿宋_GBK"/>
          <w:color w:val="000000"/>
          <w:spacing w:val="-2"/>
        </w:rPr>
        <w:t xml:space="preserve">  </w:t>
      </w:r>
      <w:r>
        <w:rPr>
          <w:rFonts w:hint="eastAsia" w:ascii="Times New Roman" w:hAnsi="Times New Roman" w:eastAsia="方正仿宋_GBK"/>
          <w:color w:val="000000"/>
          <w:spacing w:val="-2"/>
        </w:rPr>
        <w:t>非住宅物业实施维修资金专项管理的，参照本办法执行。</w:t>
      </w:r>
    </w:p>
    <w:p>
      <w:pPr>
        <w:adjustRightInd w:val="0"/>
        <w:snapToGrid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第二十八条</w:t>
      </w:r>
      <w:r>
        <w:rPr>
          <w:rFonts w:eastAsia="方正仿宋_GBK"/>
          <w:color w:val="000000"/>
          <w:spacing w:val="-2"/>
          <w:sz w:val="24"/>
        </w:rPr>
        <w:t xml:space="preserve">  </w:t>
      </w:r>
      <w:r>
        <w:rPr>
          <w:rFonts w:hint="eastAsia" w:eastAsia="方正仿宋_GBK"/>
          <w:color w:val="000000"/>
          <w:spacing w:val="-2"/>
          <w:sz w:val="24"/>
        </w:rPr>
        <w:t>各省辖市物业管理行政主管部门会同同级财政行政主管部门依据本办法制定实施细则。</w:t>
      </w:r>
    </w:p>
    <w:p>
      <w:pPr>
        <w:spacing w:line="440" w:lineRule="exact"/>
        <w:ind w:firstLine="420" w:firstLineChars="200"/>
      </w:pPr>
    </w:p>
    <w:p/>
    <w:p/>
    <w:p/>
    <w:p/>
    <w:p/>
    <w:p/>
    <w:p>
      <w:pPr>
        <w:pStyle w:val="2"/>
        <w:spacing w:before="240" w:beforeLines="100" w:after="240" w:afterLines="100" w:line="240" w:lineRule="auto"/>
        <w:jc w:val="center"/>
        <w:rPr>
          <w:rFonts w:ascii="Times New Roman" w:eastAsia="方正小标宋_GBK"/>
          <w:b w:val="0"/>
          <w:sz w:val="36"/>
          <w:szCs w:val="36"/>
        </w:rPr>
      </w:pPr>
      <w:bookmarkStart w:id="40" w:name="_Toc20726296"/>
      <w:bookmarkStart w:id="41" w:name="_Toc18315376"/>
      <w:r>
        <w:rPr>
          <w:rFonts w:hint="eastAsia" w:ascii="Times New Roman" w:eastAsia="方正小标宋_GBK"/>
          <w:b w:val="0"/>
          <w:sz w:val="36"/>
          <w:szCs w:val="36"/>
        </w:rPr>
        <w:t>关于在全省住宅装修行业开展放心消费创建活动的通知</w:t>
      </w:r>
      <w:bookmarkEnd w:id="40"/>
      <w:bookmarkEnd w:id="4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2" w:name="_Toc20726297"/>
      <w:bookmarkStart w:id="43" w:name="_Toc18315377"/>
      <w:r>
        <w:rPr>
          <w:rFonts w:hint="eastAsia" w:ascii="Times New Roman" w:hAnsi="Times New Roman" w:eastAsia="方正楷体_GBK"/>
          <w:b w:val="0"/>
          <w:sz w:val="24"/>
          <w:szCs w:val="24"/>
        </w:rPr>
        <w:t>苏建房管〔</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82</w:t>
      </w:r>
      <w:r>
        <w:rPr>
          <w:rFonts w:hint="eastAsia" w:ascii="Times New Roman" w:hAnsi="Times New Roman" w:eastAsia="方正楷体_GBK"/>
          <w:b w:val="0"/>
          <w:sz w:val="24"/>
          <w:szCs w:val="24"/>
        </w:rPr>
        <w:t>号</w:t>
      </w:r>
      <w:bookmarkEnd w:id="42"/>
      <w:bookmarkEnd w:id="43"/>
    </w:p>
    <w:p>
      <w:pPr>
        <w:spacing w:line="460" w:lineRule="exact"/>
        <w:rPr>
          <w:rFonts w:eastAsia="方正仿宋_GBK"/>
          <w:color w:val="000000"/>
          <w:spacing w:val="-2"/>
          <w:sz w:val="24"/>
        </w:rPr>
      </w:pPr>
      <w:r>
        <w:rPr>
          <w:rFonts w:hint="eastAsia" w:eastAsia="方正仿宋_GBK"/>
          <w:color w:val="000000"/>
          <w:spacing w:val="-2"/>
          <w:sz w:val="24"/>
        </w:rPr>
        <w:t>各省辖市建设局（委）、房产局，各省辖市放心消费创建活动办公室，昆山、泰兴、沭阳县（市）建设局、放心消费创建活动办公室：</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按照省政府办公厅《关于深入推进放心消费创建工作的意见》（苏政办发〔</w:t>
      </w:r>
      <w:r>
        <w:rPr>
          <w:rFonts w:eastAsia="方正仿宋_GBK"/>
          <w:color w:val="000000"/>
          <w:spacing w:val="-2"/>
          <w:sz w:val="24"/>
        </w:rPr>
        <w:t>2012</w:t>
      </w:r>
      <w:r>
        <w:rPr>
          <w:rFonts w:hint="eastAsia" w:eastAsia="方正仿宋_GBK"/>
          <w:color w:val="000000"/>
          <w:spacing w:val="-2"/>
          <w:sz w:val="24"/>
        </w:rPr>
        <w:t>〕</w:t>
      </w:r>
      <w:r>
        <w:rPr>
          <w:rFonts w:eastAsia="方正仿宋_GBK"/>
          <w:color w:val="000000"/>
          <w:spacing w:val="-2"/>
          <w:sz w:val="24"/>
        </w:rPr>
        <w:t>175</w:t>
      </w:r>
      <w:r>
        <w:rPr>
          <w:rFonts w:hint="eastAsia" w:eastAsia="方正仿宋_GBK"/>
          <w:color w:val="000000"/>
          <w:spacing w:val="-2"/>
          <w:sz w:val="24"/>
        </w:rPr>
        <w:t>号）文件要求，经研究，决定在全省住宅装修行业开展放心消费创建活动，现将《江苏省住宅装修行业开展放心消费创建活动实施方案》下发给你们，请各地认真贯彻执行。</w:t>
      </w:r>
    </w:p>
    <w:p>
      <w:pPr>
        <w:spacing w:line="460" w:lineRule="exact"/>
        <w:ind w:firstLine="645"/>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附件：江苏省住宅装修行业开展放心消费创建活动实施方案</w:t>
      </w:r>
    </w:p>
    <w:p>
      <w:pPr>
        <w:spacing w:line="460" w:lineRule="exact"/>
        <w:ind w:firstLine="645"/>
        <w:rPr>
          <w:rFonts w:eastAsia="方正仿宋_GBK"/>
          <w:color w:val="000000"/>
          <w:spacing w:val="-2"/>
          <w:sz w:val="24"/>
        </w:rPr>
      </w:pPr>
    </w:p>
    <w:p>
      <w:pPr>
        <w:spacing w:line="460" w:lineRule="exact"/>
        <w:ind w:right="458" w:rightChars="218"/>
        <w:jc w:val="righ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36"/>
          <w:kern w:val="0"/>
          <w:sz w:val="24"/>
        </w:rPr>
        <w:t>江苏省住房和城乡建设</w:t>
      </w:r>
      <w:r>
        <w:rPr>
          <w:rFonts w:hint="eastAsia" w:eastAsia="方正仿宋_GBK"/>
          <w:color w:val="000000"/>
          <w:kern w:val="0"/>
          <w:sz w:val="24"/>
        </w:rPr>
        <w:t>厅</w:t>
      </w:r>
      <w:r>
        <w:rPr>
          <w:rFonts w:eastAsia="方正仿宋_GBK"/>
          <w:color w:val="000000"/>
          <w:kern w:val="0"/>
          <w:sz w:val="24"/>
        </w:rPr>
        <w:t xml:space="preserve">    </w:t>
      </w:r>
    </w:p>
    <w:p>
      <w:pPr>
        <w:spacing w:line="460" w:lineRule="exact"/>
        <w:ind w:right="458" w:rightChars="218"/>
        <w:jc w:val="right"/>
        <w:rPr>
          <w:rFonts w:eastAsia="方正仿宋_GBK"/>
          <w:color w:val="000000"/>
          <w:spacing w:val="-2"/>
          <w:sz w:val="24"/>
        </w:rPr>
      </w:pPr>
      <w:r>
        <w:rPr>
          <w:rFonts w:hint="eastAsia" w:eastAsia="方正仿宋_GBK"/>
          <w:color w:val="000000"/>
          <w:spacing w:val="-2"/>
          <w:sz w:val="24"/>
        </w:rPr>
        <w:t>江苏省放心消费创建活动办公室</w:t>
      </w:r>
      <w:r>
        <w:rPr>
          <w:rFonts w:eastAsia="方正仿宋_GBK"/>
          <w:color w:val="000000"/>
          <w:spacing w:val="-2"/>
          <w:sz w:val="24"/>
        </w:rPr>
        <w:t xml:space="preserve">    </w:t>
      </w:r>
    </w:p>
    <w:p>
      <w:pPr>
        <w:spacing w:line="460" w:lineRule="exact"/>
        <w:ind w:right="1357" w:rightChars="646"/>
        <w:jc w:val="right"/>
        <w:rPr>
          <w:rFonts w:eastAsia="方正仿宋_GBK"/>
          <w:color w:val="000000"/>
          <w:spacing w:val="-2"/>
          <w:sz w:val="24"/>
        </w:rPr>
      </w:pP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2</w:t>
      </w:r>
      <w:r>
        <w:rPr>
          <w:rFonts w:hint="eastAsia" w:eastAsia="方正仿宋_GBK"/>
          <w:color w:val="000000"/>
          <w:spacing w:val="-2"/>
          <w:sz w:val="24"/>
        </w:rPr>
        <w:t>月</w:t>
      </w:r>
      <w:r>
        <w:rPr>
          <w:rFonts w:eastAsia="方正仿宋_GBK"/>
          <w:color w:val="000000"/>
          <w:spacing w:val="-2"/>
          <w:sz w:val="24"/>
        </w:rPr>
        <w:t>15</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br w:type="column"/>
      </w: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江苏省住宅装修行业开展放心消费创建活动</w:t>
      </w: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实施方案</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进一步规范住宅装修市场秩序，加强住宅装修管理，提高住宅装修质量，努力营造安全放心的住宅装修消费环境，经江苏省放心消费创建活动办公室和江苏省住房和城乡建设厅研究，决定在全省住宅装修行业开展放心消费创建活动，培育一批住宅装修放心消费创建优质、先进和示范企业，促进全省住宅装修行业健康、可持续发展。</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按照全省放心消费创建活动总目标要求，针对我省住宅装修行业的特点，制定江苏省住宅装修行业开展放心消费创建活动实施方案。</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一、指导思想</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以党的十八大和十八届三中、四中全会精神为指导，以规范全省住宅装修市场秩序，促进住宅产业转型升级和住宅产业现代化发展为目的，坚持政府主导、企业主体、行业自律、社会监督的创建工作原则，从提高行业工程质量和服务水平入手，着力提升全省住宅装修企业诚实守法信誉度、工程质量优良度、消费服务满意度、装修价格合理度、材料环保安全度、社会大众认同度，努力营造安全放心的住宅装修消费环境，为建设</w:t>
      </w:r>
      <w:r>
        <w:rPr>
          <w:rFonts w:eastAsia="方正仿宋_GBK"/>
          <w:color w:val="000000"/>
          <w:spacing w:val="-2"/>
          <w:sz w:val="24"/>
        </w:rPr>
        <w:t>“</w:t>
      </w:r>
      <w:r>
        <w:rPr>
          <w:rFonts w:hint="eastAsia" w:eastAsia="方正仿宋_GBK"/>
          <w:color w:val="000000"/>
          <w:spacing w:val="-2"/>
          <w:sz w:val="24"/>
        </w:rPr>
        <w:t>经济强、百姓富、环境美、社会文明程度高</w:t>
      </w:r>
      <w:r>
        <w:rPr>
          <w:rFonts w:eastAsia="方正仿宋_GBK"/>
          <w:color w:val="000000"/>
          <w:spacing w:val="-2"/>
          <w:sz w:val="24"/>
        </w:rPr>
        <w:t>”</w:t>
      </w:r>
      <w:r>
        <w:rPr>
          <w:rFonts w:hint="eastAsia" w:eastAsia="方正仿宋_GBK"/>
          <w:color w:val="000000"/>
          <w:spacing w:val="-2"/>
          <w:sz w:val="24"/>
        </w:rPr>
        <w:t>的新江苏做出积极贡献。</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二、工作目标</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经过三至五年的努力，推进绿色环保装修，住宅装修产业得到较大发展；优化住宅装修消费和维权环境，住宅装修质量和群众满意度得到较大幅度提升；树立诚实守信意识，住宅装修放心消费创建优质、先进和示范企业得到社会广泛认可；住宅装修市场更加规范，住宅装修工厂化生产、装配化施工比率大幅提升。</w:t>
      </w:r>
    </w:p>
    <w:p>
      <w:pPr>
        <w:spacing w:line="460" w:lineRule="exact"/>
        <w:ind w:firstLine="472" w:firstLineChars="200"/>
        <w:rPr>
          <w:rFonts w:eastAsia="方正仿宋_GBK"/>
          <w:color w:val="000000"/>
          <w:spacing w:val="-2"/>
          <w:sz w:val="24"/>
        </w:rPr>
      </w:pPr>
      <w:r>
        <w:rPr>
          <w:rFonts w:ascii="Times New Roman" w:eastAsia="方正楷体_GBK"/>
          <w:color w:val="000000"/>
          <w:spacing w:val="-2"/>
          <w:sz w:val="24"/>
        </w:rPr>
        <w:t>——</w:t>
      </w:r>
      <w:r>
        <w:rPr>
          <w:rFonts w:hint="eastAsia" w:ascii="Times New Roman" w:eastAsia="方正楷体_GBK"/>
          <w:color w:val="000000"/>
          <w:spacing w:val="-2"/>
          <w:sz w:val="24"/>
        </w:rPr>
        <w:t>绿色环保装修深入推进。</w:t>
      </w:r>
      <w:r>
        <w:rPr>
          <w:rFonts w:hint="eastAsia" w:eastAsia="方正仿宋_GBK"/>
          <w:color w:val="000000"/>
          <w:spacing w:val="-2"/>
          <w:sz w:val="24"/>
        </w:rPr>
        <w:t>通过推广工厂化生产、装配化施工、标准化服务，促进企业转型升级，推进成品住宅建设。住宅装修装配化率达</w:t>
      </w:r>
      <w:r>
        <w:rPr>
          <w:rFonts w:eastAsia="方正仿宋_GBK"/>
          <w:color w:val="000000"/>
          <w:spacing w:val="-2"/>
          <w:sz w:val="24"/>
        </w:rPr>
        <w:t>30%</w:t>
      </w:r>
      <w:r>
        <w:rPr>
          <w:rFonts w:hint="eastAsia" w:eastAsia="方正仿宋_GBK"/>
          <w:color w:val="000000"/>
          <w:spacing w:val="-2"/>
          <w:sz w:val="24"/>
        </w:rPr>
        <w:t>以上，省辖市中心城区成品住房建设比率达到</w:t>
      </w:r>
      <w:r>
        <w:rPr>
          <w:rFonts w:eastAsia="方正仿宋_GBK"/>
          <w:color w:val="000000"/>
          <w:spacing w:val="-2"/>
          <w:sz w:val="24"/>
        </w:rPr>
        <w:t>50%</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ascii="Times New Roman" w:eastAsia="方正楷体_GBK"/>
          <w:color w:val="000000"/>
          <w:spacing w:val="-2"/>
          <w:sz w:val="24"/>
        </w:rPr>
        <w:t>——</w:t>
      </w:r>
      <w:r>
        <w:rPr>
          <w:rFonts w:hint="eastAsia" w:ascii="Times New Roman" w:eastAsia="方正楷体_GBK"/>
          <w:color w:val="000000"/>
          <w:spacing w:val="-2"/>
          <w:sz w:val="24"/>
        </w:rPr>
        <w:t>住宅装修服务水平明显提高。</w:t>
      </w:r>
      <w:r>
        <w:rPr>
          <w:rFonts w:hint="eastAsia" w:eastAsia="方正仿宋_GBK"/>
          <w:color w:val="000000"/>
          <w:spacing w:val="-2"/>
          <w:sz w:val="24"/>
        </w:rPr>
        <w:t>通过制定和完善行业规范与服务标准，推进装修企业按规范操作，按标准服务；建立住宅装修企业自律制度，完善投诉处理机制，建立与</w:t>
      </w:r>
      <w:r>
        <w:rPr>
          <w:rFonts w:eastAsia="方正仿宋_GBK"/>
          <w:color w:val="000000"/>
          <w:spacing w:val="-2"/>
          <w:sz w:val="24"/>
        </w:rPr>
        <w:t>12315</w:t>
      </w:r>
      <w:r>
        <w:rPr>
          <w:rFonts w:hint="eastAsia" w:eastAsia="方正仿宋_GBK"/>
          <w:color w:val="000000"/>
          <w:spacing w:val="-2"/>
          <w:sz w:val="24"/>
        </w:rPr>
        <w:t>投诉维权热线以及各级消协组织消费纠纷处理案件有效衔接机制；一般企业对消费者有效投诉处理率达到</w:t>
      </w:r>
      <w:r>
        <w:rPr>
          <w:rFonts w:eastAsia="方正仿宋_GBK"/>
          <w:color w:val="000000"/>
          <w:spacing w:val="-2"/>
          <w:sz w:val="24"/>
        </w:rPr>
        <w:t>90%</w:t>
      </w:r>
      <w:r>
        <w:rPr>
          <w:rFonts w:hint="eastAsia" w:eastAsia="方正仿宋_GBK"/>
          <w:color w:val="000000"/>
          <w:spacing w:val="-2"/>
          <w:sz w:val="24"/>
        </w:rPr>
        <w:t>，消费者对投诉处理综合满意率达到</w:t>
      </w:r>
      <w:r>
        <w:rPr>
          <w:rFonts w:eastAsia="方正仿宋_GBK"/>
          <w:color w:val="000000"/>
          <w:spacing w:val="-2"/>
          <w:sz w:val="24"/>
        </w:rPr>
        <w:t>80%</w:t>
      </w:r>
      <w:r>
        <w:rPr>
          <w:rFonts w:hint="eastAsia" w:eastAsia="方正仿宋_GBK"/>
          <w:color w:val="000000"/>
          <w:spacing w:val="-2"/>
          <w:sz w:val="24"/>
        </w:rPr>
        <w:t>以上；创建优质、先进和示范企业对消费者有效投诉处理率达到</w:t>
      </w:r>
      <w:r>
        <w:rPr>
          <w:rFonts w:eastAsia="方正仿宋_GBK"/>
          <w:color w:val="000000"/>
          <w:spacing w:val="-2"/>
          <w:sz w:val="24"/>
        </w:rPr>
        <w:t>100%</w:t>
      </w:r>
      <w:r>
        <w:rPr>
          <w:rFonts w:hint="eastAsia" w:eastAsia="方正仿宋_GBK"/>
          <w:color w:val="000000"/>
          <w:spacing w:val="-2"/>
          <w:sz w:val="24"/>
        </w:rPr>
        <w:t>，消费者对有效投诉处理满意率达到</w:t>
      </w:r>
      <w:r>
        <w:rPr>
          <w:rFonts w:eastAsia="方正仿宋_GBK"/>
          <w:color w:val="000000"/>
          <w:spacing w:val="-2"/>
          <w:sz w:val="24"/>
        </w:rPr>
        <w:t>90%</w:t>
      </w:r>
      <w:r>
        <w:rPr>
          <w:rFonts w:hint="eastAsia" w:eastAsia="方正仿宋_GBK"/>
          <w:color w:val="000000"/>
          <w:spacing w:val="-2"/>
          <w:sz w:val="24"/>
        </w:rPr>
        <w:t>以上。</w:t>
      </w:r>
    </w:p>
    <w:p>
      <w:pPr>
        <w:spacing w:line="460" w:lineRule="exact"/>
        <w:ind w:firstLine="472" w:firstLineChars="200"/>
        <w:rPr>
          <w:rFonts w:eastAsia="方正仿宋_GBK"/>
          <w:color w:val="000000"/>
          <w:spacing w:val="-2"/>
          <w:sz w:val="24"/>
        </w:rPr>
      </w:pPr>
      <w:r>
        <w:rPr>
          <w:rFonts w:ascii="Times New Roman" w:eastAsia="方正楷体_GBK"/>
          <w:color w:val="000000"/>
          <w:spacing w:val="-2"/>
          <w:sz w:val="24"/>
        </w:rPr>
        <w:t>——</w:t>
      </w:r>
      <w:r>
        <w:rPr>
          <w:rFonts w:hint="eastAsia" w:ascii="Times New Roman" w:eastAsia="方正楷体_GBK"/>
          <w:color w:val="000000"/>
          <w:spacing w:val="-2"/>
          <w:sz w:val="24"/>
        </w:rPr>
        <w:t>住宅装修行业诚信体系初步建立。</w:t>
      </w:r>
      <w:r>
        <w:rPr>
          <w:rFonts w:hint="eastAsia" w:eastAsia="方正仿宋_GBK"/>
          <w:color w:val="000000"/>
          <w:spacing w:val="-2"/>
          <w:sz w:val="24"/>
        </w:rPr>
        <w:t>通过放心消费创建评价与考核，逐步建立一套符合我省装修行业特色的行业信用评价指标体系和信用监管信息系统，充分吸纳社会各方对装修企业的评价意见，努力营造诚实守信和社会各方监督的放心消费浓厚氛围，推进企业依法经营，规范服务。</w:t>
      </w:r>
    </w:p>
    <w:p>
      <w:pPr>
        <w:spacing w:line="460" w:lineRule="exact"/>
        <w:ind w:firstLine="472" w:firstLineChars="200"/>
        <w:rPr>
          <w:rFonts w:eastAsia="方正仿宋_GBK"/>
          <w:color w:val="000000"/>
          <w:spacing w:val="-2"/>
          <w:sz w:val="24"/>
        </w:rPr>
      </w:pPr>
      <w:r>
        <w:rPr>
          <w:rFonts w:ascii="Times New Roman" w:eastAsia="方正楷体_GBK"/>
          <w:color w:val="000000"/>
          <w:spacing w:val="-2"/>
          <w:sz w:val="24"/>
        </w:rPr>
        <w:t>——</w:t>
      </w:r>
      <w:r>
        <w:rPr>
          <w:rFonts w:hint="eastAsia" w:ascii="Times New Roman" w:eastAsia="方正楷体_GBK"/>
          <w:color w:val="000000"/>
          <w:spacing w:val="-2"/>
          <w:sz w:val="24"/>
        </w:rPr>
        <w:t>住宅装修市场进一步规范。</w:t>
      </w:r>
      <w:r>
        <w:rPr>
          <w:rFonts w:hint="eastAsia" w:eastAsia="方正仿宋_GBK"/>
          <w:color w:val="000000"/>
          <w:spacing w:val="-2"/>
          <w:sz w:val="24"/>
        </w:rPr>
        <w:t>通过开展放心消费创建活动，推进各地进一步健全监管机构，完善监管机制，加大对企业的诚实守信度、质量优良度、服务满意度、价格合理度、材料环保度的消费者满意度考评，使消费者对住宅装修满意度逐年提升，综合满意率达到</w:t>
      </w:r>
      <w:r>
        <w:rPr>
          <w:rFonts w:eastAsia="方正仿宋_GBK"/>
          <w:color w:val="000000"/>
          <w:spacing w:val="-2"/>
          <w:sz w:val="24"/>
        </w:rPr>
        <w:t>80%</w:t>
      </w:r>
      <w:r>
        <w:rPr>
          <w:rFonts w:hint="eastAsia" w:eastAsia="方正仿宋_GBK"/>
          <w:color w:val="000000"/>
          <w:spacing w:val="-2"/>
          <w:sz w:val="24"/>
        </w:rPr>
        <w:t>以上。</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三、组织领导</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创建工作本着</w:t>
      </w:r>
      <w:r>
        <w:rPr>
          <w:rFonts w:eastAsia="方正仿宋_GBK"/>
          <w:color w:val="000000"/>
          <w:spacing w:val="-2"/>
          <w:sz w:val="24"/>
        </w:rPr>
        <w:t>“</w:t>
      </w:r>
      <w:r>
        <w:rPr>
          <w:rFonts w:hint="eastAsia" w:eastAsia="方正仿宋_GBK"/>
          <w:color w:val="000000"/>
          <w:spacing w:val="-2"/>
          <w:sz w:val="24"/>
        </w:rPr>
        <w:t>政府主导、企业主体、行业自律、社会监督</w:t>
      </w:r>
      <w:r>
        <w:rPr>
          <w:rFonts w:eastAsia="方正仿宋_GBK"/>
          <w:color w:val="000000"/>
          <w:spacing w:val="-2"/>
          <w:sz w:val="24"/>
        </w:rPr>
        <w:t>”</w:t>
      </w:r>
      <w:r>
        <w:rPr>
          <w:rFonts w:hint="eastAsia" w:eastAsia="方正仿宋_GBK"/>
          <w:color w:val="000000"/>
          <w:spacing w:val="-2"/>
          <w:sz w:val="24"/>
        </w:rPr>
        <w:t>的原则进行。省放心消费创建办公室与省住房和城乡建设厅联合成立省住宅装修放心消费创建领导小组，两部门分管领导担任领导小组组长。领导小组下设创建办公室，创建办公室设在省住房和城乡建设厅装饰装修发展中心。创建办公室负责创建工作的组织协调、情况通报等工作。装饰装修行业协会受创建办委托，具体负责宣传动员、组织申报、材料审查、现场抽查考评等具体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市放心消费创建办公室与住宅装修行业行政主管部门也应成立相应组织，领导和统筹协调本地区住宅装修放心消费创建工作。市住宅装修行业行政主管部门应指定一位分管局领导具体负责，并设立或明确牵头处（科）室和具体联系人，负责本辖区住宅装修放心消费创建组织协调工作。</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四、工作步骤</w:t>
      </w:r>
    </w:p>
    <w:p>
      <w:pPr>
        <w:spacing w:line="460" w:lineRule="exact"/>
        <w:ind w:firstLine="472" w:firstLineChars="200"/>
        <w:rPr>
          <w:rFonts w:hint="eastAsia" w:eastAsia="方正仿宋_GBK"/>
          <w:color w:val="000000"/>
          <w:spacing w:val="-2"/>
          <w:sz w:val="24"/>
        </w:rPr>
      </w:pPr>
      <w:r>
        <w:rPr>
          <w:rFonts w:hint="eastAsia" w:ascii="Times New Roman" w:eastAsia="方正楷体_GBK"/>
          <w:color w:val="000000"/>
          <w:spacing w:val="-2"/>
          <w:sz w:val="24"/>
        </w:rPr>
        <w:t>（一）组织发动。</w:t>
      </w:r>
      <w:r>
        <w:rPr>
          <w:rFonts w:hint="eastAsia" w:eastAsia="方正仿宋_GBK"/>
          <w:color w:val="000000"/>
          <w:spacing w:val="-2"/>
          <w:sz w:val="24"/>
        </w:rPr>
        <w:t>住宅装修放心消费创建活动自</w:t>
      </w: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3</w:t>
      </w:r>
      <w:r>
        <w:rPr>
          <w:rFonts w:hint="eastAsia" w:eastAsia="方正仿宋_GBK"/>
          <w:color w:val="000000"/>
          <w:spacing w:val="-2"/>
          <w:sz w:val="24"/>
        </w:rPr>
        <w:t>月份开始。各市应结合本地实际，采取多种形式开展宣传、发动工作，组织住宅装修企业积极参与放心消费创建活动，并指导参创单位以不同形式向社会公开</w:t>
      </w:r>
      <w:r>
        <w:rPr>
          <w:rFonts w:eastAsia="方正仿宋_GBK"/>
          <w:color w:val="000000"/>
          <w:spacing w:val="-2"/>
          <w:sz w:val="24"/>
        </w:rPr>
        <w:t>“</w:t>
      </w:r>
      <w:r>
        <w:rPr>
          <w:rFonts w:hint="eastAsia" w:eastAsia="方正仿宋_GBK"/>
          <w:color w:val="000000"/>
          <w:spacing w:val="-2"/>
          <w:sz w:val="24"/>
        </w:rPr>
        <w:t>诚信经营、放心消费</w:t>
      </w:r>
      <w:r>
        <w:rPr>
          <w:rFonts w:eastAsia="方正仿宋_GBK"/>
          <w:color w:val="000000"/>
          <w:spacing w:val="-2"/>
          <w:sz w:val="24"/>
        </w:rPr>
        <w:t>”</w:t>
      </w:r>
      <w:r>
        <w:rPr>
          <w:rFonts w:hint="eastAsia" w:eastAsia="方正仿宋_GBK"/>
          <w:color w:val="000000"/>
          <w:spacing w:val="-2"/>
          <w:sz w:val="24"/>
        </w:rPr>
        <w:t>承诺，接受社会监督。</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（二）试点先行。</w:t>
      </w:r>
      <w:r>
        <w:rPr>
          <w:rFonts w:hint="eastAsia" w:eastAsia="方正仿宋_GBK"/>
          <w:color w:val="000000"/>
          <w:spacing w:val="-2"/>
          <w:sz w:val="24"/>
        </w:rPr>
        <w:t>各市在广泛动员和精心部署的前提下，组织辖区内住宅装修骨干企业或龙头企业，作为首批住宅装修放心消费创建试点单位参与创建，指导企业填写申报表，制定创建活动实施方案，并将相关材料报省装饰装修行业协会，由省住宅装修放心消费创建领导小组审核确定年度放心消费参创试点单位。</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（三）逐步推开。</w:t>
      </w:r>
      <w:r>
        <w:rPr>
          <w:rFonts w:hint="eastAsia" w:eastAsia="方正仿宋_GBK"/>
          <w:color w:val="000000"/>
          <w:spacing w:val="-2"/>
          <w:sz w:val="24"/>
        </w:rPr>
        <w:t>在开展创建试点的基础上，积极探索、总结创建试点经验，并通过召开创建工作讲评会、交流会和现场推进会等多种形式，有计划、有步骤地鼓励和引导其它企业积极参与创建，逐步实现创建工作全覆盖。</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（四）考核认定。</w:t>
      </w:r>
      <w:r>
        <w:rPr>
          <w:rFonts w:hint="eastAsia" w:eastAsia="方正仿宋_GBK"/>
          <w:color w:val="000000"/>
          <w:spacing w:val="-2"/>
          <w:sz w:val="24"/>
        </w:rPr>
        <w:t>各地住宅装修行业行政主管部门按照放心消费创建的要求和《江苏省住宅装修业放心消费创建标准》，协调行业协会组织对申报参创的企业进行考评，并将符合省级住宅装修放心消费创建标准的优质、先进和示范企业，上报省装饰装修协会。</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住宅装修放心消费创建办公室协调行业协会组织相关专家，采取抽查、验收等方式对申报企业创建情况进行复核，并将符合创建标准的企业在主要媒体进行公示，经公示无异议的，由省住宅装修放心消费创建领导小组予以正式认定与命名为省级放心消费创建优质企业、先进企业和示范企业，颁发相应证书与奖牌。</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五、工作措施</w:t>
      </w:r>
    </w:p>
    <w:p>
      <w:pPr>
        <w:spacing w:line="460" w:lineRule="exact"/>
        <w:ind w:firstLine="472" w:firstLineChars="200"/>
        <w:rPr>
          <w:rFonts w:hint="eastAsia" w:eastAsia="方正仿宋_GBK"/>
          <w:color w:val="000000"/>
          <w:spacing w:val="-2"/>
          <w:sz w:val="24"/>
        </w:rPr>
      </w:pPr>
      <w:r>
        <w:rPr>
          <w:rFonts w:hint="eastAsia" w:ascii="Times New Roman" w:eastAsia="方正楷体_GBK"/>
          <w:color w:val="000000"/>
          <w:spacing w:val="-2"/>
          <w:sz w:val="24"/>
        </w:rPr>
        <w:t>（一）建立住宅装修放心消费创建统筹协调机制。</w:t>
      </w:r>
      <w:r>
        <w:rPr>
          <w:rFonts w:hint="eastAsia" w:eastAsia="方正仿宋_GBK"/>
          <w:color w:val="000000"/>
          <w:spacing w:val="-2"/>
          <w:sz w:val="24"/>
        </w:rPr>
        <w:t>各省辖市放心消费创建办公室与各市住宅装修行业行政主管部门，应建立健全住宅装修行业放心消费创建联席会议、情况通报、检查考评等工作制度，完善统筹协调机制，加强对本市及所辖县（市、区）住宅装修企业放心消费创建工作的指导检查。</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（二）明确住宅装修放心消费创建各方职责。</w:t>
      </w:r>
      <w:r>
        <w:rPr>
          <w:rFonts w:hint="eastAsia" w:eastAsia="方正仿宋_GBK"/>
          <w:color w:val="000000"/>
          <w:spacing w:val="-2"/>
          <w:sz w:val="24"/>
        </w:rPr>
        <w:t>各市放心消费创建办公室负责对本地区住宅装修放心消费创建工作进行指导，鼓励、支持住宅装修企业积极参与创建；各级住宅装修行业行政主管部门具体负责创建组织协调工作，并通过不断创新创建方式、方法，努力提高创建整体水平；各地装饰装修行业协会要充分发挥桥梁纽带作用，协助行业行政主管部门做好住宅装修放心消费创建宣传发动、材料申报、现场检查考核等相关具体工作，并加强和改善行业协会在消费维权方面的作用；各参创企业应建立健全企业自律制度，落实创建责任分工，提高创建知晓度，主动接受社会监督。</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（三）鼓励和支持住宅装修企业依法按规经营。</w:t>
      </w:r>
      <w:r>
        <w:rPr>
          <w:rFonts w:hint="eastAsia" w:eastAsia="方正仿宋_GBK"/>
          <w:color w:val="000000"/>
          <w:spacing w:val="-2"/>
          <w:sz w:val="24"/>
        </w:rPr>
        <w:t>加大住宅装修企业违法、违规行为查处力度，特别是加大对以次充好，价格欺诈，虚假宣传等重难点问题的治理力度，严厉打击侵害消费者权益行为。对守法诚信经营企业，在相关政策上给予支持和扶持，努力营造安全放心住宅装修业消费环境，维护消费者合法权益；加强对参创企业投诉受（处）理机制及档案的指导，发现问题，及时帮助参创企业进行整改完善，努力提升参创企业自我化解矛盾纠纷能力。</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（四）加大住宅装修优质先进示范企业推荐力度。</w:t>
      </w:r>
      <w:r>
        <w:rPr>
          <w:rFonts w:hint="eastAsia" w:eastAsia="方正仿宋_GBK"/>
          <w:color w:val="000000"/>
          <w:spacing w:val="-2"/>
          <w:sz w:val="24"/>
        </w:rPr>
        <w:t>积极与新闻媒体及相关宣传机构沟通协调，大力宣传和推荐住宅装修放心消费创建优质、先进和示范企业，努力营造</w:t>
      </w:r>
      <w:r>
        <w:rPr>
          <w:rFonts w:eastAsia="方正仿宋_GBK"/>
          <w:color w:val="000000"/>
          <w:spacing w:val="-2"/>
          <w:sz w:val="24"/>
        </w:rPr>
        <w:t>“</w:t>
      </w:r>
      <w:r>
        <w:rPr>
          <w:rFonts w:hint="eastAsia" w:eastAsia="方正仿宋_GBK"/>
          <w:color w:val="000000"/>
          <w:spacing w:val="-2"/>
          <w:sz w:val="24"/>
        </w:rPr>
        <w:t>守信受益，失信惩戒</w:t>
      </w:r>
      <w:r>
        <w:rPr>
          <w:rFonts w:eastAsia="方正仿宋_GBK"/>
          <w:color w:val="000000"/>
          <w:spacing w:val="-2"/>
          <w:sz w:val="24"/>
        </w:rPr>
        <w:t>”</w:t>
      </w:r>
      <w:r>
        <w:rPr>
          <w:rFonts w:hint="eastAsia" w:eastAsia="方正仿宋_GBK"/>
          <w:color w:val="000000"/>
          <w:spacing w:val="-2"/>
          <w:sz w:val="24"/>
        </w:rPr>
        <w:t>的舆论氛围。加强政策研究，鼓励优质诚信企业做大、做强、做优，并充分发挥示范带头作用，做诚信的表率，有诺必践，取信于民，推进住宅装修行业健康发展。</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六、工作要求</w:t>
      </w:r>
    </w:p>
    <w:p>
      <w:pPr>
        <w:spacing w:line="460" w:lineRule="exact"/>
        <w:ind w:firstLine="472" w:firstLineChars="200"/>
        <w:rPr>
          <w:rFonts w:hint="eastAsia" w:eastAsia="方正仿宋_GBK"/>
          <w:color w:val="000000"/>
          <w:spacing w:val="-2"/>
          <w:sz w:val="24"/>
        </w:rPr>
      </w:pPr>
      <w:r>
        <w:rPr>
          <w:rFonts w:hint="eastAsia" w:ascii="Times New Roman" w:eastAsia="方正楷体_GBK"/>
          <w:color w:val="000000"/>
          <w:spacing w:val="-2"/>
          <w:sz w:val="24"/>
        </w:rPr>
        <w:t>（一）高度重视，切实加强对住宅装修放心消费创建工作的组织领导。</w:t>
      </w:r>
      <w:r>
        <w:rPr>
          <w:rFonts w:hint="eastAsia" w:eastAsia="方正仿宋_GBK"/>
          <w:color w:val="000000"/>
          <w:spacing w:val="-2"/>
          <w:sz w:val="24"/>
        </w:rPr>
        <w:t>放心消费创建是省委省政府为民办实事的重要内容，各地、各级住宅装修行业行政主管部门要高度重视，切实把创建活动作为规范住宅装修市场行为、提升消费需求、促进经济增长和保障改善民生的重要工作来抓，建立健全组织机构，明确责任分工，制定创建计划和实施方案，加强组织领导，确保创建各项任务落到实处。</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（二）突出重点，着力加大对住宅装修放心消费创建试点工作指导力度。</w:t>
      </w:r>
      <w:r>
        <w:rPr>
          <w:rFonts w:hint="eastAsia" w:eastAsia="方正仿宋_GBK"/>
          <w:color w:val="000000"/>
          <w:spacing w:val="-2"/>
          <w:sz w:val="24"/>
        </w:rPr>
        <w:t>对已确定的创建试点企业，各级放心消费创建办公室和住宅装修业主管部门要关口前移，靠前服务，帮助制定和落实创建工作方案、标准，并指导企业向社会进行公开放心消费承诺，接受社会和消费者的监督；要及时总结和宣传创建试点企业在规范经营行为、营造放心消费环境等方面所取得的成绩和好的经验做法，以点带面，积极推进住宅装修全行业放心消费创建工作。</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（三）注重培训，扎实提升住宅装修企业经营管理水平。</w:t>
      </w:r>
      <w:r>
        <w:rPr>
          <w:rFonts w:hint="eastAsia" w:eastAsia="方正仿宋_GBK"/>
          <w:color w:val="000000"/>
          <w:spacing w:val="-2"/>
          <w:sz w:val="24"/>
        </w:rPr>
        <w:t>要建立健全住宅装修从业人员教育培训制度，切实加强从业人员，特别是项目经理、设计师、工程监理师等骨干人员的职业道德和专业技术培训，树立诚信服务、高品质服务意识，健全亮证服务和诚信奖惩机制，努力提升从业人员综合素质；要加强放心消费创建试点企业全员诚信经营、放心消费宣传教育，建立员工诚信考核评价档案，完善内部自律制度，不断提升试点企业创建质量和水平。</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（四）严格质量，确保创建试点单位处于全行业领先水平。</w:t>
      </w:r>
      <w:r>
        <w:rPr>
          <w:rFonts w:hint="eastAsia" w:eastAsia="方正仿宋_GBK"/>
          <w:color w:val="000000"/>
          <w:spacing w:val="-2"/>
          <w:sz w:val="24"/>
        </w:rPr>
        <w:t>各级住宅装修行业行政主管部门在确定试点单位时，应会同当地放心消费创建办公室广泛征求社会各界意见和建议，深入了解企业经营、投诉处理以及广大业主反映情况，确保创建试点质量。每个省辖市确定并上报省级试点单位原则上不超过</w:t>
      </w:r>
      <w:r>
        <w:rPr>
          <w:rFonts w:eastAsia="方正仿宋_GBK"/>
          <w:color w:val="000000"/>
          <w:spacing w:val="-2"/>
          <w:sz w:val="24"/>
        </w:rPr>
        <w:t>5</w:t>
      </w:r>
      <w:r>
        <w:rPr>
          <w:rFonts w:hint="eastAsia" w:eastAsia="方正仿宋_GBK"/>
          <w:color w:val="000000"/>
          <w:spacing w:val="-2"/>
          <w:sz w:val="24"/>
        </w:rPr>
        <w:t>个，对基础条件较好的地区，数量可适当增加，但以不超过</w:t>
      </w:r>
      <w:r>
        <w:rPr>
          <w:rFonts w:eastAsia="方正仿宋_GBK"/>
          <w:color w:val="000000"/>
          <w:spacing w:val="-2"/>
          <w:sz w:val="24"/>
        </w:rPr>
        <w:t>8</w:t>
      </w:r>
      <w:r>
        <w:rPr>
          <w:rFonts w:hint="eastAsia" w:eastAsia="方正仿宋_GBK"/>
          <w:color w:val="000000"/>
          <w:spacing w:val="-2"/>
          <w:sz w:val="24"/>
        </w:rPr>
        <w:t>个为限。各地确定的本地区创建试点单位，经本级放心消费创建办公室审核确认，应及时向社会进行公布。</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（五）加强宣传，努力营造良好的创建舆论氛围。</w:t>
      </w:r>
      <w:r>
        <w:rPr>
          <w:rFonts w:hint="eastAsia" w:eastAsia="方正仿宋_GBK"/>
          <w:color w:val="000000"/>
          <w:spacing w:val="-2"/>
          <w:sz w:val="24"/>
        </w:rPr>
        <w:t>各级住宅装修业主管部门要主动会同当地放心消费创建办公室，协调住宅装饰装修行业协会，通过召开所在地区住宅装修放心消费创建活动动员会、组织消费维权活动、向所在地区群众发放创建宣传资料，在创建企业经营、服务场所和装修工地张贴放心消费创建标识和提示语，并利用创建企业现有的广告牌、宣传栏、橱窗等进行创建宣传，大力营造住宅装修放心消费创建活动的浓厚氛围，使消费者对住宅装修放心消费创建活动的知晓率、认同度达</w:t>
      </w:r>
      <w:r>
        <w:rPr>
          <w:rFonts w:eastAsia="方正仿宋_GBK"/>
          <w:color w:val="000000"/>
          <w:spacing w:val="-2"/>
          <w:sz w:val="24"/>
        </w:rPr>
        <w:t>80%</w:t>
      </w:r>
      <w:r>
        <w:rPr>
          <w:rFonts w:hint="eastAsia" w:eastAsia="方正仿宋_GBK"/>
          <w:color w:val="000000"/>
          <w:spacing w:val="-2"/>
          <w:sz w:val="24"/>
        </w:rPr>
        <w:t>以上。</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各市住宅装修行业行政主管部门于</w:t>
      </w: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3</w:t>
      </w:r>
      <w:r>
        <w:rPr>
          <w:rFonts w:hint="eastAsia" w:eastAsia="方正仿宋_GBK"/>
          <w:color w:val="000000"/>
          <w:spacing w:val="-2"/>
          <w:sz w:val="24"/>
        </w:rPr>
        <w:t>月</w:t>
      </w:r>
      <w:r>
        <w:rPr>
          <w:rFonts w:eastAsia="方正仿宋_GBK"/>
          <w:color w:val="000000"/>
          <w:spacing w:val="-2"/>
          <w:sz w:val="24"/>
        </w:rPr>
        <w:t>10</w:t>
      </w:r>
      <w:r>
        <w:rPr>
          <w:rFonts w:hint="eastAsia" w:eastAsia="方正仿宋_GBK"/>
          <w:color w:val="000000"/>
          <w:spacing w:val="-2"/>
          <w:sz w:val="24"/>
        </w:rPr>
        <w:t>日前，将住宅装修放心消费创建分管局领导、牵头处室负责人和具体联系人员名单、联系方式（见附件），报省住房和城乡建设厅住宅装修放心消费创建办公室。</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在实施过程中如有问题或者建议，请及时联系和反馈。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江苏省住房和城乡建设厅装饰装修发展中心</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联系人：高枫</w:t>
      </w:r>
      <w:r>
        <w:rPr>
          <w:rFonts w:eastAsia="方正仿宋_GBK"/>
          <w:color w:val="000000"/>
          <w:spacing w:val="-2"/>
          <w:sz w:val="24"/>
        </w:rPr>
        <w:t xml:space="preserve">       </w:t>
      </w:r>
      <w:r>
        <w:rPr>
          <w:rFonts w:hint="eastAsia" w:eastAsia="方正仿宋_GBK"/>
          <w:color w:val="000000"/>
          <w:spacing w:val="-2"/>
          <w:sz w:val="24"/>
        </w:rPr>
        <w:t>联系电话：</w:t>
      </w:r>
      <w:r>
        <w:rPr>
          <w:rFonts w:eastAsia="方正仿宋_GBK"/>
          <w:color w:val="000000"/>
          <w:spacing w:val="-2"/>
          <w:sz w:val="24"/>
        </w:rPr>
        <w:t xml:space="preserve">025--51868687 </w:t>
      </w:r>
      <w:r>
        <w:rPr>
          <w:rFonts w:hint="eastAsia" w:eastAsia="方正仿宋_GBK"/>
          <w:color w:val="000000"/>
          <w:spacing w:val="-2"/>
          <w:sz w:val="24"/>
        </w:rPr>
        <w:t>（传真）</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电子邮箱：</w:t>
      </w:r>
      <w:r>
        <w:fldChar w:fldCharType="begin"/>
      </w:r>
      <w:r>
        <w:instrText xml:space="preserve"> HYPERLINK "mailto:264420977@qq.com" </w:instrText>
      </w:r>
      <w:r>
        <w:fldChar w:fldCharType="separate"/>
      </w:r>
      <w:r>
        <w:rPr>
          <w:rStyle w:val="16"/>
          <w:rFonts w:eastAsia="方正仿宋_GBK"/>
          <w:spacing w:val="-2"/>
          <w:sz w:val="24"/>
        </w:rPr>
        <w:t>264420977@qq.com</w:t>
      </w:r>
      <w:r>
        <w:fldChar w:fldCharType="end"/>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江苏省放心消费创建活动办公室</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联系人：刘朝军</w:t>
      </w:r>
      <w:r>
        <w:rPr>
          <w:rFonts w:eastAsia="方正仿宋_GBK"/>
          <w:color w:val="000000"/>
          <w:spacing w:val="-2"/>
          <w:sz w:val="24"/>
        </w:rPr>
        <w:t xml:space="preserve">       </w:t>
      </w:r>
      <w:r>
        <w:rPr>
          <w:rFonts w:hint="eastAsia" w:eastAsia="方正仿宋_GBK"/>
          <w:color w:val="000000"/>
          <w:spacing w:val="-2"/>
          <w:sz w:val="24"/>
        </w:rPr>
        <w:t>联系电话：</w:t>
      </w:r>
      <w:r>
        <w:rPr>
          <w:rFonts w:eastAsia="方正仿宋_GBK"/>
          <w:color w:val="000000"/>
          <w:spacing w:val="-2"/>
          <w:sz w:val="24"/>
        </w:rPr>
        <w:t>025--83716897</w:t>
      </w:r>
    </w:p>
    <w:p>
      <w:pPr>
        <w:spacing w:line="460" w:lineRule="exact"/>
        <w:ind w:right="70" w:firstLine="480"/>
        <w:rPr>
          <w:rFonts w:eastAsia="方正仿宋_GBK"/>
          <w:color w:val="000000"/>
          <w:spacing w:val="-2"/>
          <w:sz w:val="24"/>
          <w:shd w:val="clear" w:color="auto" w:fill="FFFFFF"/>
        </w:rPr>
      </w:pPr>
      <w:r>
        <w:rPr>
          <w:rFonts w:hint="eastAsia" w:eastAsia="方正仿宋_GBK"/>
          <w:color w:val="000000"/>
          <w:spacing w:val="-2"/>
          <w:sz w:val="24"/>
        </w:rPr>
        <w:t>电子邮箱：</w:t>
      </w:r>
      <w:r>
        <w:fldChar w:fldCharType="begin"/>
      </w:r>
      <w:r>
        <w:instrText xml:space="preserve"> HYPERLINK "mailto:jscjb0521@sina.com" </w:instrText>
      </w:r>
      <w:r>
        <w:fldChar w:fldCharType="separate"/>
      </w:r>
      <w:r>
        <w:rPr>
          <w:rStyle w:val="16"/>
          <w:rFonts w:eastAsia="方正仿宋_GBK"/>
          <w:spacing w:val="-2"/>
          <w:sz w:val="24"/>
          <w:shd w:val="clear" w:color="auto" w:fill="FFFFFF"/>
        </w:rPr>
        <w:t>jscjb0521@sina.com</w:t>
      </w:r>
      <w:r>
        <w:fldChar w:fldCharType="end"/>
      </w:r>
    </w:p>
    <w:p>
      <w:pPr>
        <w:spacing w:line="460" w:lineRule="exact"/>
        <w:ind w:right="70" w:firstLine="48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附件：住宅装修放心消费创建活动联系表</w:t>
      </w:r>
    </w:p>
    <w:p>
      <w:pPr>
        <w:spacing w:line="460" w:lineRule="exact"/>
        <w:rPr>
          <w:rFonts w:eastAsia="方正仿宋_GBK"/>
          <w:color w:val="000000"/>
          <w:spacing w:val="-2"/>
          <w:sz w:val="24"/>
        </w:rPr>
      </w:pPr>
    </w:p>
    <w:p>
      <w:pPr>
        <w:spacing w:line="460" w:lineRule="exact"/>
        <w:ind w:firstLine="3422" w:firstLineChars="1450"/>
        <w:jc w:val="right"/>
        <w:rPr>
          <w:rFonts w:eastAsia="方正仿宋_GBK"/>
          <w:color w:val="000000"/>
          <w:spacing w:val="-2"/>
          <w:sz w:val="24"/>
        </w:rPr>
      </w:pPr>
      <w:r>
        <w:rPr>
          <w:rFonts w:hint="eastAsia" w:eastAsia="方正仿宋_GBK"/>
          <w:color w:val="000000"/>
          <w:spacing w:val="-2"/>
          <w:sz w:val="24"/>
        </w:rPr>
        <w:t>二〇一五年二月十五日</w:t>
      </w:r>
      <w:r>
        <w:rPr>
          <w:rFonts w:eastAsia="方正仿宋_GBK"/>
          <w:color w:val="000000"/>
          <w:spacing w:val="-2"/>
          <w:sz w:val="24"/>
        </w:rPr>
        <w:t xml:space="preserve">    </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w:t>
      </w:r>
    </w:p>
    <w:p>
      <w:pPr>
        <w:spacing w:line="500" w:lineRule="exact"/>
        <w:jc w:val="center"/>
        <w:rPr>
          <w:rFonts w:hint="eastAsia" w:eastAsia="黑体"/>
          <w:color w:val="000000"/>
          <w:spacing w:val="-2"/>
          <w:sz w:val="32"/>
          <w:szCs w:val="32"/>
        </w:rPr>
      </w:pPr>
      <w:r>
        <w:rPr>
          <w:rFonts w:hint="eastAsia" w:eastAsia="黑体"/>
          <w:color w:val="000000"/>
          <w:spacing w:val="-2"/>
          <w:sz w:val="32"/>
          <w:szCs w:val="32"/>
        </w:rPr>
        <w:t>住宅装修放心消费创建活动联系表</w:t>
      </w:r>
    </w:p>
    <w:p>
      <w:pPr>
        <w:spacing w:line="500" w:lineRule="exact"/>
        <w:rPr>
          <w:rFonts w:eastAsia="仿宋"/>
          <w:color w:val="000000"/>
          <w:spacing w:val="-2"/>
          <w:sz w:val="32"/>
          <w:szCs w:val="32"/>
        </w:rPr>
      </w:pP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286"/>
        <w:gridCol w:w="1399"/>
        <w:gridCol w:w="1440"/>
        <w:gridCol w:w="1541"/>
        <w:gridCol w:w="213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2286"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住宅装修行业行政主管部门</w:t>
            </w:r>
          </w:p>
        </w:tc>
        <w:tc>
          <w:tcPr>
            <w:tcW w:w="1399"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负责人</w:t>
            </w:r>
          </w:p>
        </w:tc>
        <w:tc>
          <w:tcPr>
            <w:tcW w:w="1440"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办公电话</w:t>
            </w:r>
          </w:p>
        </w:tc>
        <w:tc>
          <w:tcPr>
            <w:tcW w:w="1541"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手机</w:t>
            </w:r>
          </w:p>
        </w:tc>
        <w:tc>
          <w:tcPr>
            <w:tcW w:w="2133" w:type="dxa"/>
            <w:tcBorders>
              <w:top w:val="single" w:color="auto" w:sz="8" w:space="0"/>
              <w:left w:val="single" w:color="auto" w:sz="4" w:space="0"/>
              <w:bottom w:val="single" w:color="auto" w:sz="4" w:space="0"/>
              <w:right w:val="single" w:color="auto" w:sz="8"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邮箱</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2286"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仿宋_GB2312"/>
                <w:color w:val="000000"/>
                <w:spacing w:val="-2"/>
                <w:szCs w:val="21"/>
              </w:rPr>
            </w:pPr>
          </w:p>
        </w:tc>
        <w:tc>
          <w:tcPr>
            <w:tcW w:w="13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154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2133"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仿宋_GB2312"/>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2286"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仿宋_GB2312"/>
                <w:color w:val="000000"/>
                <w:spacing w:val="-2"/>
                <w:szCs w:val="21"/>
              </w:rPr>
            </w:pPr>
            <w:r>
              <w:rPr>
                <w:rFonts w:hint="eastAsia" w:eastAsia="仿宋_GB2312"/>
                <w:color w:val="000000"/>
                <w:spacing w:val="-2"/>
                <w:szCs w:val="21"/>
              </w:rPr>
              <w:t>住宅装修行业行政主管部门相关处室</w:t>
            </w:r>
          </w:p>
        </w:tc>
        <w:tc>
          <w:tcPr>
            <w:tcW w:w="13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负责人</w:t>
            </w: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办公电话</w:t>
            </w:r>
          </w:p>
        </w:tc>
        <w:tc>
          <w:tcPr>
            <w:tcW w:w="154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手机</w:t>
            </w:r>
          </w:p>
        </w:tc>
        <w:tc>
          <w:tcPr>
            <w:tcW w:w="2133"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邮箱</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2286"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仿宋_GB2312"/>
                <w:color w:val="000000"/>
                <w:spacing w:val="-2"/>
                <w:szCs w:val="21"/>
              </w:rPr>
            </w:pPr>
          </w:p>
        </w:tc>
        <w:tc>
          <w:tcPr>
            <w:tcW w:w="13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154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2133"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仿宋_GB2312"/>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2286"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仿宋_GB2312"/>
                <w:color w:val="000000"/>
                <w:spacing w:val="-2"/>
                <w:szCs w:val="21"/>
              </w:rPr>
            </w:pPr>
            <w:r>
              <w:rPr>
                <w:rFonts w:hint="eastAsia" w:eastAsia="仿宋_GB2312"/>
                <w:color w:val="000000"/>
                <w:spacing w:val="-2"/>
                <w:szCs w:val="21"/>
              </w:rPr>
              <w:t>装饰行业协会</w:t>
            </w:r>
          </w:p>
        </w:tc>
        <w:tc>
          <w:tcPr>
            <w:tcW w:w="13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负责人</w:t>
            </w: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办公电话</w:t>
            </w:r>
          </w:p>
        </w:tc>
        <w:tc>
          <w:tcPr>
            <w:tcW w:w="154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手机</w:t>
            </w:r>
          </w:p>
        </w:tc>
        <w:tc>
          <w:tcPr>
            <w:tcW w:w="2133"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邮箱</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2286"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仿宋_GB2312"/>
                <w:color w:val="000000"/>
                <w:spacing w:val="-2"/>
                <w:szCs w:val="21"/>
              </w:rPr>
            </w:pPr>
          </w:p>
        </w:tc>
        <w:tc>
          <w:tcPr>
            <w:tcW w:w="13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154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2133"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仿宋_GB2312"/>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2286"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仿宋_GB2312"/>
                <w:color w:val="000000"/>
                <w:spacing w:val="-2"/>
                <w:szCs w:val="21"/>
              </w:rPr>
            </w:pPr>
            <w:r>
              <w:rPr>
                <w:rFonts w:hint="eastAsia" w:eastAsia="仿宋_GB2312"/>
                <w:color w:val="000000"/>
                <w:spacing w:val="-2"/>
                <w:szCs w:val="21"/>
              </w:rPr>
              <w:t>放心消费创建办</w:t>
            </w:r>
          </w:p>
        </w:tc>
        <w:tc>
          <w:tcPr>
            <w:tcW w:w="13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负责人</w:t>
            </w: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办公电话</w:t>
            </w:r>
          </w:p>
        </w:tc>
        <w:tc>
          <w:tcPr>
            <w:tcW w:w="154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手机</w:t>
            </w:r>
          </w:p>
        </w:tc>
        <w:tc>
          <w:tcPr>
            <w:tcW w:w="2133"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邮箱</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2286"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仿宋_GB2312"/>
                <w:color w:val="000000"/>
                <w:spacing w:val="-2"/>
                <w:szCs w:val="21"/>
              </w:rPr>
            </w:pPr>
          </w:p>
        </w:tc>
        <w:tc>
          <w:tcPr>
            <w:tcW w:w="13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154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p>
        </w:tc>
        <w:tc>
          <w:tcPr>
            <w:tcW w:w="2133"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仿宋_GB2312"/>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3685" w:type="dxa"/>
            <w:gridSpan w:val="2"/>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仿宋_GB2312"/>
                <w:color w:val="000000"/>
                <w:spacing w:val="-2"/>
                <w:szCs w:val="21"/>
              </w:rPr>
            </w:pPr>
            <w:r>
              <w:rPr>
                <w:rFonts w:hint="eastAsia" w:eastAsia="仿宋_GB2312"/>
                <w:color w:val="000000"/>
                <w:spacing w:val="-2"/>
                <w:szCs w:val="21"/>
              </w:rPr>
              <w:t>具体联系人</w:t>
            </w: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办公电话</w:t>
            </w:r>
          </w:p>
        </w:tc>
        <w:tc>
          <w:tcPr>
            <w:tcW w:w="154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手机</w:t>
            </w:r>
          </w:p>
        </w:tc>
        <w:tc>
          <w:tcPr>
            <w:tcW w:w="2133"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邮箱</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64" w:hRule="exact"/>
          <w:jc w:val="center"/>
        </w:trPr>
        <w:tc>
          <w:tcPr>
            <w:tcW w:w="3685" w:type="dxa"/>
            <w:gridSpan w:val="2"/>
            <w:tcBorders>
              <w:top w:val="single" w:color="auto" w:sz="4" w:space="0"/>
              <w:left w:val="single" w:color="auto" w:sz="8" w:space="0"/>
              <w:bottom w:val="single" w:color="auto" w:sz="8" w:space="0"/>
              <w:right w:val="single" w:color="auto" w:sz="4" w:space="0"/>
            </w:tcBorders>
            <w:noWrap w:val="0"/>
            <w:vAlign w:val="top"/>
          </w:tcPr>
          <w:p>
            <w:pPr>
              <w:spacing w:line="240" w:lineRule="exact"/>
              <w:rPr>
                <w:rFonts w:eastAsia="仿宋_GB2312"/>
                <w:color w:val="000000"/>
                <w:spacing w:val="-2"/>
                <w:szCs w:val="21"/>
              </w:rPr>
            </w:pPr>
          </w:p>
        </w:tc>
        <w:tc>
          <w:tcPr>
            <w:tcW w:w="1440" w:type="dxa"/>
            <w:tcBorders>
              <w:top w:val="single" w:color="auto" w:sz="4" w:space="0"/>
              <w:left w:val="single" w:color="auto" w:sz="4" w:space="0"/>
              <w:bottom w:val="single" w:color="auto" w:sz="8" w:space="0"/>
              <w:right w:val="single" w:color="auto" w:sz="4" w:space="0"/>
            </w:tcBorders>
            <w:noWrap w:val="0"/>
            <w:vAlign w:val="top"/>
          </w:tcPr>
          <w:p>
            <w:pPr>
              <w:spacing w:line="240" w:lineRule="exact"/>
              <w:rPr>
                <w:rFonts w:eastAsia="仿宋_GB2312"/>
                <w:color w:val="000000"/>
                <w:spacing w:val="-2"/>
                <w:szCs w:val="21"/>
              </w:rPr>
            </w:pPr>
          </w:p>
        </w:tc>
        <w:tc>
          <w:tcPr>
            <w:tcW w:w="1541" w:type="dxa"/>
            <w:tcBorders>
              <w:top w:val="single" w:color="auto" w:sz="4" w:space="0"/>
              <w:left w:val="single" w:color="auto" w:sz="4" w:space="0"/>
              <w:bottom w:val="single" w:color="auto" w:sz="8" w:space="0"/>
              <w:right w:val="single" w:color="auto" w:sz="4" w:space="0"/>
            </w:tcBorders>
            <w:noWrap w:val="0"/>
            <w:vAlign w:val="top"/>
          </w:tcPr>
          <w:p>
            <w:pPr>
              <w:spacing w:line="240" w:lineRule="exact"/>
              <w:rPr>
                <w:rFonts w:eastAsia="仿宋_GB2312"/>
                <w:color w:val="000000"/>
                <w:spacing w:val="-2"/>
                <w:szCs w:val="21"/>
              </w:rPr>
            </w:pPr>
          </w:p>
        </w:tc>
        <w:tc>
          <w:tcPr>
            <w:tcW w:w="2133" w:type="dxa"/>
            <w:tcBorders>
              <w:top w:val="single" w:color="auto" w:sz="4" w:space="0"/>
              <w:left w:val="single" w:color="auto" w:sz="4" w:space="0"/>
              <w:bottom w:val="single" w:color="auto" w:sz="8" w:space="0"/>
              <w:right w:val="single" w:color="auto" w:sz="8" w:space="0"/>
            </w:tcBorders>
            <w:noWrap w:val="0"/>
            <w:vAlign w:val="top"/>
          </w:tcPr>
          <w:p>
            <w:pPr>
              <w:spacing w:line="240" w:lineRule="exact"/>
              <w:rPr>
                <w:rFonts w:eastAsia="仿宋_GB2312"/>
                <w:color w:val="000000"/>
                <w:spacing w:val="-2"/>
                <w:szCs w:val="21"/>
              </w:rPr>
            </w:pPr>
          </w:p>
        </w:tc>
      </w:tr>
    </w:tbl>
    <w:p>
      <w:pPr>
        <w:spacing w:line="500" w:lineRule="exact"/>
        <w:rPr>
          <w:rFonts w:eastAsia="仿宋"/>
          <w:color w:val="000000"/>
          <w:spacing w:val="-2"/>
          <w:sz w:val="32"/>
          <w:szCs w:val="32"/>
        </w:rPr>
      </w:pPr>
    </w:p>
    <w:p>
      <w:pPr>
        <w:spacing w:line="240" w:lineRule="exact"/>
        <w:rPr>
          <w:rFonts w:eastAsia="仿宋"/>
          <w:color w:val="000000"/>
          <w:spacing w:val="-2"/>
          <w:szCs w:val="21"/>
        </w:rPr>
      </w:pPr>
      <w:r>
        <w:rPr>
          <w:rFonts w:hint="eastAsia" w:eastAsia="仿宋"/>
          <w:color w:val="000000"/>
          <w:spacing w:val="-2"/>
          <w:szCs w:val="21"/>
        </w:rPr>
        <w:t>注：联系表填写后，请寄南京草场门大街</w:t>
      </w:r>
      <w:r>
        <w:rPr>
          <w:rFonts w:eastAsia="仿宋"/>
          <w:color w:val="000000"/>
          <w:spacing w:val="-2"/>
          <w:szCs w:val="21"/>
        </w:rPr>
        <w:t>88</w:t>
      </w:r>
      <w:r>
        <w:rPr>
          <w:rFonts w:hint="eastAsia" w:eastAsia="仿宋"/>
          <w:color w:val="000000"/>
          <w:spacing w:val="-2"/>
          <w:szCs w:val="21"/>
        </w:rPr>
        <w:t>号，江苏省住房和城乡建设厅装饰装修发展中心高枫收，邮编：</w:t>
      </w:r>
      <w:r>
        <w:rPr>
          <w:rFonts w:eastAsia="仿宋"/>
          <w:color w:val="000000"/>
          <w:spacing w:val="-2"/>
          <w:szCs w:val="21"/>
        </w:rPr>
        <w:t>210036</w:t>
      </w:r>
    </w:p>
    <w:p>
      <w:pPr>
        <w:spacing w:line="240" w:lineRule="exact"/>
        <w:rPr>
          <w:rFonts w:eastAsia="仿宋"/>
          <w:color w:val="000000"/>
          <w:spacing w:val="-2"/>
          <w:szCs w:val="21"/>
        </w:rPr>
      </w:pPr>
    </w:p>
    <w:p>
      <w:pPr>
        <w:spacing w:line="240" w:lineRule="exact"/>
        <w:rPr>
          <w:rFonts w:eastAsia="仿宋"/>
          <w:color w:val="000000"/>
          <w:spacing w:val="-2"/>
          <w:szCs w:val="21"/>
        </w:rPr>
      </w:pPr>
    </w:p>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pStyle w:val="2"/>
        <w:spacing w:before="240" w:beforeLines="100" w:after="240" w:afterLines="100" w:line="240" w:lineRule="auto"/>
        <w:jc w:val="center"/>
        <w:rPr>
          <w:rFonts w:ascii="Times New Roman" w:eastAsia="方正小标宋_GBK"/>
          <w:b w:val="0"/>
          <w:sz w:val="36"/>
          <w:szCs w:val="36"/>
        </w:rPr>
      </w:pPr>
      <w:bookmarkStart w:id="44" w:name="_Toc18315378"/>
      <w:bookmarkStart w:id="45" w:name="_Toc20726298"/>
      <w:r>
        <w:rPr>
          <w:rFonts w:hint="eastAsia" w:ascii="Times New Roman" w:eastAsia="方正小标宋_GBK"/>
          <w:b w:val="0"/>
          <w:sz w:val="36"/>
          <w:szCs w:val="36"/>
        </w:rPr>
        <w:t>关于组织申报创建</w:t>
      </w:r>
      <w:r>
        <w:rPr>
          <w:rFonts w:ascii="Times New Roman" w:eastAsia="方正小标宋_GBK"/>
          <w:b w:val="0"/>
          <w:sz w:val="36"/>
          <w:szCs w:val="36"/>
        </w:rPr>
        <w:t>“</w:t>
      </w:r>
      <w:r>
        <w:rPr>
          <w:rFonts w:hint="eastAsia" w:ascii="Times New Roman" w:eastAsia="方正小标宋_GBK"/>
          <w:b w:val="0"/>
          <w:sz w:val="36"/>
          <w:szCs w:val="36"/>
        </w:rPr>
        <w:t>江苏省住宅装修放心消费</w:t>
      </w:r>
      <w:r>
        <w:rPr>
          <w:rFonts w:ascii="Times New Roman" w:eastAsia="方正小标宋_GBK"/>
          <w:b w:val="0"/>
          <w:sz w:val="36"/>
          <w:szCs w:val="36"/>
        </w:rPr>
        <w:t>”</w:t>
      </w:r>
      <w:r>
        <w:rPr>
          <w:rFonts w:hint="eastAsia" w:ascii="Times New Roman" w:eastAsia="方正小标宋_GBK"/>
          <w:b w:val="0"/>
          <w:sz w:val="36"/>
          <w:szCs w:val="36"/>
        </w:rPr>
        <w:t xml:space="preserve">       优质企业试点的通知</w:t>
      </w:r>
      <w:bookmarkEnd w:id="44"/>
      <w:bookmarkEnd w:id="4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6" w:name="_Toc18315379"/>
      <w:bookmarkStart w:id="47" w:name="_Toc20726299"/>
      <w:r>
        <w:rPr>
          <w:rFonts w:hint="eastAsia" w:ascii="Times New Roman" w:hAnsi="Times New Roman" w:eastAsia="方正楷体_GBK"/>
          <w:b w:val="0"/>
          <w:sz w:val="24"/>
          <w:szCs w:val="24"/>
        </w:rPr>
        <w:t>苏建函房管〔</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369</w:t>
      </w:r>
      <w:r>
        <w:rPr>
          <w:rFonts w:hint="eastAsia" w:ascii="Times New Roman" w:hAnsi="Times New Roman" w:eastAsia="方正楷体_GBK"/>
          <w:b w:val="0"/>
          <w:sz w:val="24"/>
          <w:szCs w:val="24"/>
        </w:rPr>
        <w:t>号</w:t>
      </w:r>
      <w:bookmarkEnd w:id="46"/>
      <w:bookmarkEnd w:id="47"/>
    </w:p>
    <w:p>
      <w:pPr>
        <w:spacing w:line="460" w:lineRule="exact"/>
        <w:jc w:val="left"/>
        <w:rPr>
          <w:rFonts w:eastAsia="方正仿宋_GBK"/>
          <w:color w:val="000000"/>
          <w:spacing w:val="-2"/>
          <w:sz w:val="24"/>
        </w:rPr>
      </w:pPr>
      <w:r>
        <w:rPr>
          <w:rFonts w:hint="eastAsia" w:eastAsia="方正仿宋_GBK"/>
          <w:color w:val="000000"/>
          <w:spacing w:val="-2"/>
          <w:sz w:val="24"/>
        </w:rPr>
        <w:t>各省辖市建设局（委）、房产局、建工局，昆山市、泰兴市、沭阳县建设局：</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根据江苏省住房和城乡建设厅、江苏省放心消费创建活动办公室《关于在全省住宅装修行业开展放心消费创建活动的通知》（苏建房管〔</w:t>
      </w:r>
      <w:r>
        <w:rPr>
          <w:rFonts w:eastAsia="方正仿宋_GBK"/>
          <w:color w:val="000000"/>
          <w:spacing w:val="-2"/>
          <w:sz w:val="24"/>
        </w:rPr>
        <w:t>2015</w:t>
      </w:r>
      <w:r>
        <w:rPr>
          <w:rFonts w:hint="eastAsia" w:eastAsia="方正仿宋_GBK"/>
          <w:color w:val="000000"/>
          <w:spacing w:val="-2"/>
          <w:sz w:val="24"/>
        </w:rPr>
        <w:t>〕</w:t>
      </w:r>
      <w:r>
        <w:rPr>
          <w:rFonts w:eastAsia="方正仿宋_GBK"/>
          <w:color w:val="000000"/>
          <w:spacing w:val="-2"/>
          <w:sz w:val="24"/>
        </w:rPr>
        <w:t>82</w:t>
      </w:r>
      <w:r>
        <w:rPr>
          <w:rFonts w:hint="eastAsia" w:eastAsia="方正仿宋_GBK"/>
          <w:color w:val="000000"/>
          <w:spacing w:val="-2"/>
          <w:sz w:val="24"/>
        </w:rPr>
        <w:t>号）文件要求，现将《江苏省住宅装修放心消费优质企业评价办法》（试行）（附件：</w:t>
      </w:r>
      <w:r>
        <w:rPr>
          <w:rFonts w:eastAsia="方正仿宋_GBK"/>
          <w:color w:val="000000"/>
          <w:spacing w:val="-2"/>
          <w:sz w:val="24"/>
        </w:rPr>
        <w:t>1</w:t>
      </w:r>
      <w:r>
        <w:rPr>
          <w:rFonts w:hint="eastAsia" w:eastAsia="方正仿宋_GBK"/>
          <w:color w:val="000000"/>
          <w:spacing w:val="-2"/>
          <w:sz w:val="24"/>
        </w:rPr>
        <w:t>）印发给你们，请各地按《办法》的要求，认真组织开展创建和申报工作。为切实做好</w:t>
      </w:r>
      <w:r>
        <w:rPr>
          <w:rFonts w:eastAsia="方正仿宋_GBK"/>
          <w:color w:val="000000"/>
          <w:spacing w:val="-2"/>
          <w:sz w:val="24"/>
        </w:rPr>
        <w:t>2015</w:t>
      </w:r>
      <w:r>
        <w:rPr>
          <w:rFonts w:hint="eastAsia" w:eastAsia="方正仿宋_GBK"/>
          <w:color w:val="000000"/>
          <w:spacing w:val="-2"/>
          <w:sz w:val="24"/>
        </w:rPr>
        <w:t>年首批申报工作，现将有关事项通知如下：</w:t>
      </w:r>
    </w:p>
    <w:p>
      <w:pPr>
        <w:spacing w:line="460" w:lineRule="exact"/>
        <w:ind w:firstLine="472" w:firstLineChars="200"/>
        <w:jc w:val="left"/>
        <w:rPr>
          <w:rFonts w:ascii="Times New Roman" w:eastAsia="方正黑体_GBK"/>
          <w:color w:val="000000"/>
          <w:spacing w:val="-2"/>
          <w:sz w:val="24"/>
        </w:rPr>
      </w:pPr>
      <w:r>
        <w:rPr>
          <w:rFonts w:hint="eastAsia" w:ascii="Times New Roman" w:eastAsia="方正黑体_GBK"/>
          <w:color w:val="000000"/>
          <w:spacing w:val="-2"/>
          <w:sz w:val="24"/>
        </w:rPr>
        <w:t>一、申报原则</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遵循公开、公平、公正的原则，由企业自愿申报、自下而上推荐。</w:t>
      </w:r>
    </w:p>
    <w:p>
      <w:pPr>
        <w:spacing w:line="460" w:lineRule="exact"/>
        <w:ind w:firstLine="472" w:firstLineChars="200"/>
        <w:jc w:val="left"/>
        <w:rPr>
          <w:rFonts w:ascii="Times New Roman" w:eastAsia="方正黑体_GBK"/>
          <w:color w:val="000000"/>
          <w:spacing w:val="-2"/>
          <w:sz w:val="24"/>
        </w:rPr>
      </w:pPr>
      <w:r>
        <w:rPr>
          <w:rFonts w:hint="eastAsia" w:ascii="Times New Roman" w:eastAsia="方正黑体_GBK"/>
          <w:color w:val="000000"/>
          <w:spacing w:val="-2"/>
          <w:sz w:val="24"/>
        </w:rPr>
        <w:t>二、申报条件</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sz w:val="24"/>
        </w:rPr>
        <w:t>详见《江苏省住宅装修放心消费优质企业评价办法》（试行）（附件：</w:t>
      </w:r>
      <w:r>
        <w:rPr>
          <w:rFonts w:eastAsia="方正仿宋_GBK"/>
          <w:color w:val="000000"/>
          <w:spacing w:val="-2"/>
          <w:sz w:val="24"/>
        </w:rPr>
        <w:t>1</w:t>
      </w:r>
      <w:r>
        <w:rPr>
          <w:rFonts w:hint="eastAsia" w:eastAsia="方正仿宋_GBK"/>
          <w:color w:val="000000"/>
          <w:spacing w:val="-2"/>
          <w:sz w:val="24"/>
        </w:rPr>
        <w:t>）</w:t>
      </w:r>
    </w:p>
    <w:p>
      <w:pPr>
        <w:spacing w:line="460" w:lineRule="exact"/>
        <w:ind w:firstLine="472" w:firstLineChars="200"/>
        <w:jc w:val="left"/>
        <w:rPr>
          <w:rFonts w:ascii="Times New Roman" w:eastAsia="方正黑体_GBK"/>
          <w:color w:val="000000"/>
          <w:spacing w:val="-2"/>
          <w:sz w:val="24"/>
        </w:rPr>
      </w:pPr>
      <w:r>
        <w:rPr>
          <w:rFonts w:hint="eastAsia" w:ascii="Times New Roman" w:eastAsia="方正黑体_GBK"/>
          <w:color w:val="000000"/>
          <w:spacing w:val="-2"/>
          <w:sz w:val="24"/>
        </w:rPr>
        <w:t>三、申报材料</w:t>
      </w:r>
    </w:p>
    <w:p>
      <w:pPr>
        <w:spacing w:line="460" w:lineRule="exact"/>
        <w:ind w:firstLine="472"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、申报表（详见附件：</w:t>
      </w:r>
      <w:r>
        <w:rPr>
          <w:rFonts w:eastAsia="方正仿宋_GBK"/>
          <w:color w:val="000000"/>
          <w:spacing w:val="-2"/>
          <w:kern w:val="0"/>
          <w:sz w:val="24"/>
        </w:rPr>
        <w:t>3</w:t>
      </w:r>
      <w:r>
        <w:rPr>
          <w:rFonts w:hint="eastAsia" w:eastAsia="方正仿宋_GBK"/>
          <w:color w:val="000000"/>
          <w:spacing w:val="-2"/>
          <w:kern w:val="0"/>
          <w:sz w:val="24"/>
        </w:rPr>
        <w:t>）（一式四份）</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、附件材料（详见附件：</w:t>
      </w:r>
      <w:r>
        <w:rPr>
          <w:rFonts w:eastAsia="方正仿宋_GBK"/>
          <w:color w:val="000000"/>
          <w:spacing w:val="-2"/>
          <w:kern w:val="0"/>
          <w:sz w:val="24"/>
        </w:rPr>
        <w:t>2</w:t>
      </w:r>
      <w:r>
        <w:rPr>
          <w:rFonts w:hint="eastAsia" w:eastAsia="方正仿宋_GBK"/>
          <w:color w:val="000000"/>
          <w:spacing w:val="-2"/>
          <w:kern w:val="0"/>
          <w:sz w:val="24"/>
        </w:rPr>
        <w:t>）</w:t>
      </w:r>
    </w:p>
    <w:p>
      <w:pPr>
        <w:spacing w:line="460" w:lineRule="exact"/>
        <w:ind w:firstLine="472" w:firstLineChars="200"/>
        <w:jc w:val="left"/>
        <w:rPr>
          <w:rFonts w:ascii="Times New Roman" w:eastAsia="方正黑体_GBK"/>
          <w:color w:val="000000"/>
          <w:spacing w:val="-2"/>
          <w:sz w:val="24"/>
        </w:rPr>
      </w:pPr>
      <w:r>
        <w:rPr>
          <w:rFonts w:hint="eastAsia" w:ascii="Times New Roman" w:eastAsia="方正黑体_GBK"/>
          <w:color w:val="000000"/>
          <w:spacing w:val="-2"/>
          <w:sz w:val="24"/>
        </w:rPr>
        <w:t>四、申报名额</w:t>
      </w:r>
    </w:p>
    <w:p>
      <w:pPr>
        <w:spacing w:line="460" w:lineRule="exact"/>
        <w:ind w:left="420" w:leftChars="200"/>
        <w:rPr>
          <w:rFonts w:hint="eastAsia"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苏州、南京可申报</w:t>
      </w:r>
      <w:r>
        <w:rPr>
          <w:rFonts w:eastAsia="方正仿宋_GBK"/>
          <w:color w:val="000000"/>
          <w:spacing w:val="-2"/>
          <w:kern w:val="0"/>
          <w:sz w:val="24"/>
        </w:rPr>
        <w:t>8</w:t>
      </w:r>
      <w:r>
        <w:rPr>
          <w:rFonts w:hint="eastAsia" w:eastAsia="方正仿宋_GBK"/>
          <w:color w:val="000000"/>
          <w:spacing w:val="-2"/>
          <w:kern w:val="0"/>
          <w:sz w:val="24"/>
        </w:rPr>
        <w:t>家企业，其余各市可申报</w:t>
      </w:r>
      <w:r>
        <w:rPr>
          <w:rFonts w:eastAsia="方正仿宋_GBK"/>
          <w:color w:val="000000"/>
          <w:spacing w:val="-2"/>
          <w:kern w:val="0"/>
          <w:sz w:val="24"/>
        </w:rPr>
        <w:t>5</w:t>
      </w:r>
      <w:r>
        <w:rPr>
          <w:rFonts w:hint="eastAsia" w:eastAsia="方正仿宋_GBK"/>
          <w:color w:val="000000"/>
          <w:spacing w:val="-2"/>
          <w:kern w:val="0"/>
          <w:sz w:val="24"/>
        </w:rPr>
        <w:t>家企业。</w:t>
      </w:r>
    </w:p>
    <w:p>
      <w:pPr>
        <w:spacing w:line="460" w:lineRule="exact"/>
        <w:ind w:firstLine="472" w:firstLineChars="200"/>
        <w:jc w:val="left"/>
        <w:rPr>
          <w:rFonts w:ascii="Times New Roman" w:eastAsia="方正黑体_GBK"/>
          <w:color w:val="000000"/>
          <w:spacing w:val="-2"/>
          <w:sz w:val="24"/>
        </w:rPr>
      </w:pPr>
      <w:r>
        <w:rPr>
          <w:rFonts w:hint="eastAsia" w:ascii="Times New Roman" w:eastAsia="方正黑体_GBK"/>
          <w:color w:val="000000"/>
          <w:spacing w:val="-2"/>
          <w:sz w:val="24"/>
        </w:rPr>
        <w:t>五、申报方式</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企业填报申报表，并将所需材料交当地主管部门，经各地主管部门审核后，统一上报省住宅装修放心消费创建办公室。</w:t>
      </w:r>
    </w:p>
    <w:p>
      <w:pPr>
        <w:spacing w:line="460" w:lineRule="exact"/>
        <w:ind w:firstLine="472" w:firstLineChars="200"/>
        <w:jc w:val="left"/>
        <w:rPr>
          <w:rFonts w:ascii="Times New Roman" w:eastAsia="方正黑体_GBK"/>
          <w:color w:val="000000"/>
          <w:spacing w:val="-2"/>
          <w:sz w:val="24"/>
        </w:rPr>
      </w:pPr>
      <w:r>
        <w:rPr>
          <w:rFonts w:hint="eastAsia" w:ascii="Times New Roman" w:eastAsia="方正黑体_GBK"/>
          <w:color w:val="000000"/>
          <w:spacing w:val="-2"/>
          <w:sz w:val="24"/>
        </w:rPr>
        <w:t>六、时间安排</w:t>
      </w:r>
    </w:p>
    <w:p>
      <w:pPr>
        <w:spacing w:line="460" w:lineRule="exact"/>
        <w:ind w:firstLine="472" w:firstLineChars="200"/>
        <w:rPr>
          <w:rFonts w:hint="eastAsia" w:eastAsia="方正仿宋_GBK"/>
          <w:color w:val="000000"/>
          <w:spacing w:val="-2"/>
          <w:kern w:val="0"/>
          <w:sz w:val="24"/>
        </w:rPr>
      </w:pPr>
      <w:r>
        <w:rPr>
          <w:rFonts w:eastAsia="方正仿宋_GBK"/>
          <w:color w:val="000000"/>
          <w:spacing w:val="-2"/>
          <w:kern w:val="0"/>
          <w:sz w:val="24"/>
        </w:rPr>
        <w:t>2015</w:t>
      </w:r>
      <w:r>
        <w:rPr>
          <w:rFonts w:hint="eastAsia" w:eastAsia="方正仿宋_GBK"/>
          <w:color w:val="000000"/>
          <w:spacing w:val="-2"/>
          <w:kern w:val="0"/>
          <w:sz w:val="24"/>
        </w:rPr>
        <w:t>年申报截止时间为</w:t>
      </w:r>
      <w:r>
        <w:rPr>
          <w:rFonts w:eastAsia="方正仿宋_GBK"/>
          <w:color w:val="000000"/>
          <w:spacing w:val="-2"/>
          <w:kern w:val="0"/>
          <w:sz w:val="24"/>
        </w:rPr>
        <w:t>6</w:t>
      </w:r>
      <w:r>
        <w:rPr>
          <w:rFonts w:hint="eastAsia" w:eastAsia="方正仿宋_GBK"/>
          <w:color w:val="000000"/>
          <w:spacing w:val="-2"/>
          <w:kern w:val="0"/>
          <w:sz w:val="24"/>
        </w:rPr>
        <w:t>月</w:t>
      </w:r>
      <w:r>
        <w:rPr>
          <w:rFonts w:eastAsia="方正仿宋_GBK"/>
          <w:color w:val="000000"/>
          <w:spacing w:val="-2"/>
          <w:kern w:val="0"/>
          <w:sz w:val="24"/>
        </w:rPr>
        <w:t>30</w:t>
      </w:r>
      <w:r>
        <w:rPr>
          <w:rFonts w:hint="eastAsia" w:eastAsia="方正仿宋_GBK"/>
          <w:color w:val="000000"/>
          <w:spacing w:val="-2"/>
          <w:kern w:val="0"/>
          <w:sz w:val="24"/>
        </w:rPr>
        <w:t>日</w:t>
      </w:r>
    </w:p>
    <w:p>
      <w:pPr>
        <w:spacing w:line="460" w:lineRule="exact"/>
        <w:ind w:firstLine="472" w:firstLineChars="200"/>
        <w:jc w:val="left"/>
        <w:rPr>
          <w:rFonts w:ascii="Times New Roman" w:eastAsia="方正黑体_GBK"/>
          <w:color w:val="000000"/>
          <w:spacing w:val="-2"/>
          <w:sz w:val="24"/>
        </w:rPr>
      </w:pPr>
      <w:r>
        <w:rPr>
          <w:rFonts w:hint="eastAsia" w:ascii="Times New Roman" w:eastAsia="方正黑体_GBK"/>
          <w:color w:val="000000"/>
          <w:spacing w:val="-2"/>
          <w:sz w:val="24"/>
        </w:rPr>
        <w:t>七、联系方式</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江苏省装饰装修发展中心（江苏省住宅装修放心消费创建活动办公室），</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联系人：宋田田、王鹏</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联系电话：</w:t>
      </w:r>
      <w:r>
        <w:rPr>
          <w:rFonts w:eastAsia="方正仿宋_GBK"/>
          <w:color w:val="000000"/>
          <w:spacing w:val="-2"/>
          <w:kern w:val="0"/>
          <w:sz w:val="24"/>
        </w:rPr>
        <w:t>025--51868688</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联系地址：南京市草场门大街</w:t>
      </w:r>
      <w:r>
        <w:rPr>
          <w:rFonts w:eastAsia="方正仿宋_GBK"/>
          <w:color w:val="000000"/>
          <w:spacing w:val="-2"/>
          <w:kern w:val="0"/>
          <w:sz w:val="24"/>
        </w:rPr>
        <w:t>88</w:t>
      </w:r>
      <w:r>
        <w:rPr>
          <w:rFonts w:hint="eastAsia" w:eastAsia="方正仿宋_GBK"/>
          <w:color w:val="000000"/>
          <w:spacing w:val="-2"/>
          <w:kern w:val="0"/>
          <w:sz w:val="24"/>
        </w:rPr>
        <w:t>号</w:t>
      </w:r>
      <w:r>
        <w:rPr>
          <w:rFonts w:eastAsia="方正仿宋_GBK"/>
          <w:color w:val="000000"/>
          <w:spacing w:val="-2"/>
          <w:kern w:val="0"/>
          <w:sz w:val="24"/>
        </w:rPr>
        <w:t>1409</w:t>
      </w:r>
      <w:r>
        <w:rPr>
          <w:rFonts w:hint="eastAsia" w:eastAsia="方正仿宋_GBK"/>
          <w:color w:val="000000"/>
          <w:spacing w:val="-2"/>
          <w:kern w:val="0"/>
          <w:sz w:val="24"/>
        </w:rPr>
        <w:t>室，邮编：</w:t>
      </w:r>
      <w:r>
        <w:rPr>
          <w:rFonts w:eastAsia="方正仿宋_GBK"/>
          <w:color w:val="000000"/>
          <w:spacing w:val="-2"/>
          <w:kern w:val="0"/>
          <w:sz w:val="24"/>
        </w:rPr>
        <w:t>210036</w:t>
      </w:r>
    </w:p>
    <w:p>
      <w:pPr>
        <w:spacing w:line="460" w:lineRule="exact"/>
        <w:ind w:left="1346" w:leftChars="304" w:hanging="708" w:hangingChars="300"/>
        <w:rPr>
          <w:rFonts w:eastAsia="方正仿宋_GBK"/>
          <w:color w:val="000000"/>
          <w:spacing w:val="-2"/>
          <w:kern w:val="0"/>
          <w:sz w:val="24"/>
        </w:rPr>
      </w:pPr>
    </w:p>
    <w:p>
      <w:pPr>
        <w:spacing w:line="460" w:lineRule="exact"/>
        <w:ind w:left="1346" w:leftChars="304" w:hanging="708" w:hangingChars="300"/>
        <w:rPr>
          <w:rFonts w:eastAsia="方正仿宋_GBK"/>
          <w:color w:val="000000"/>
          <w:spacing w:val="-2"/>
          <w:kern w:val="0"/>
          <w:sz w:val="24"/>
        </w:rPr>
      </w:pPr>
      <w:r>
        <w:rPr>
          <w:rFonts w:hint="eastAsia" w:eastAsia="方正仿宋_GBK"/>
          <w:color w:val="000000"/>
          <w:spacing w:val="-2"/>
          <w:kern w:val="0"/>
          <w:sz w:val="24"/>
        </w:rPr>
        <w:t>附件：</w:t>
      </w:r>
      <w:r>
        <w:rPr>
          <w:rFonts w:eastAsia="方正仿宋_GBK"/>
          <w:color w:val="000000"/>
          <w:spacing w:val="-2"/>
          <w:kern w:val="0"/>
          <w:sz w:val="24"/>
        </w:rPr>
        <w:t>1.</w:t>
      </w:r>
      <w:r>
        <w:rPr>
          <w:rFonts w:hint="cs" w:eastAsia="方正仿宋_GBK"/>
          <w:color w:val="000000"/>
          <w:spacing w:val="-2"/>
          <w:kern w:val="0"/>
          <w:sz w:val="24"/>
          <w:cs/>
        </w:rPr>
        <w:t> </w:t>
      </w:r>
      <w:r>
        <w:rPr>
          <w:rFonts w:hint="eastAsia" w:eastAsia="方正仿宋_GBK"/>
          <w:color w:val="000000"/>
          <w:spacing w:val="-2"/>
          <w:kern w:val="0"/>
          <w:sz w:val="24"/>
        </w:rPr>
        <w:t>《江苏省住宅装修放心消费创建优质企业评价办法》（试行）</w:t>
      </w:r>
    </w:p>
    <w:p>
      <w:pPr>
        <w:spacing w:line="460" w:lineRule="exact"/>
        <w:ind w:firstLine="420" w:firstLineChars="178"/>
        <w:rPr>
          <w:rFonts w:eastAsia="方正仿宋_GBK"/>
          <w:color w:val="000000"/>
          <w:spacing w:val="-2"/>
          <w:kern w:val="0"/>
          <w:sz w:val="24"/>
        </w:rPr>
      </w:pPr>
      <w:r>
        <w:rPr>
          <w:rFonts w:eastAsia="方正仿宋_GBK"/>
          <w:color w:val="000000"/>
          <w:spacing w:val="-2"/>
          <w:kern w:val="0"/>
          <w:sz w:val="24"/>
        </w:rPr>
        <w:t xml:space="preserve">        2.</w:t>
      </w:r>
      <w:r>
        <w:rPr>
          <w:rFonts w:hint="cs" w:eastAsia="方正仿宋_GBK"/>
          <w:color w:val="000000"/>
          <w:spacing w:val="-2"/>
          <w:kern w:val="0"/>
          <w:sz w:val="24"/>
          <w:cs/>
        </w:rPr>
        <w:t> </w:t>
      </w:r>
      <w:r>
        <w:rPr>
          <w:rFonts w:hint="eastAsia" w:eastAsia="方正仿宋_GBK"/>
          <w:color w:val="000000"/>
          <w:spacing w:val="-2"/>
          <w:kern w:val="0"/>
          <w:sz w:val="24"/>
        </w:rPr>
        <w:t>申报附件材料</w:t>
      </w:r>
    </w:p>
    <w:p>
      <w:pPr>
        <w:spacing w:line="460" w:lineRule="exact"/>
        <w:ind w:firstLine="1361" w:firstLineChars="577"/>
        <w:rPr>
          <w:rFonts w:eastAsia="方正仿宋_GBK"/>
          <w:color w:val="000000"/>
          <w:spacing w:val="-2"/>
          <w:kern w:val="0"/>
          <w:sz w:val="24"/>
        </w:rPr>
      </w:pPr>
      <w:r>
        <w:rPr>
          <w:rFonts w:eastAsia="方正仿宋_GBK"/>
          <w:color w:val="000000"/>
          <w:spacing w:val="-2"/>
          <w:kern w:val="0"/>
          <w:sz w:val="24"/>
        </w:rPr>
        <w:t>3.</w:t>
      </w:r>
      <w:r>
        <w:rPr>
          <w:rFonts w:hint="cs" w:eastAsia="方正仿宋_GBK"/>
          <w:color w:val="000000"/>
          <w:spacing w:val="-2"/>
          <w:kern w:val="0"/>
          <w:sz w:val="24"/>
          <w:cs/>
        </w:rPr>
        <w:t> </w:t>
      </w:r>
      <w:r>
        <w:rPr>
          <w:rFonts w:hint="eastAsia" w:eastAsia="方正仿宋_GBK"/>
          <w:color w:val="000000"/>
          <w:spacing w:val="-2"/>
          <w:sz w:val="24"/>
        </w:rPr>
        <w:t>江苏省住宅装修放心消费优质企业</w:t>
      </w:r>
      <w:r>
        <w:rPr>
          <w:rFonts w:hint="eastAsia" w:eastAsia="方正仿宋_GBK"/>
          <w:color w:val="000000"/>
          <w:spacing w:val="-2"/>
          <w:kern w:val="0"/>
          <w:sz w:val="24"/>
        </w:rPr>
        <w:t>申报表</w:t>
      </w:r>
    </w:p>
    <w:p>
      <w:pPr>
        <w:spacing w:line="460" w:lineRule="exact"/>
        <w:rPr>
          <w:rFonts w:eastAsia="方正仿宋_GBK"/>
          <w:color w:val="000000"/>
          <w:spacing w:val="-2"/>
          <w:kern w:val="0"/>
          <w:sz w:val="24"/>
        </w:rPr>
      </w:pPr>
    </w:p>
    <w:p>
      <w:pPr>
        <w:spacing w:line="460" w:lineRule="exact"/>
        <w:ind w:right="437" w:rightChars="208" w:firstLine="472" w:firstLineChars="200"/>
        <w:jc w:val="righ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江苏省住房和城乡建设厅</w:t>
      </w:r>
      <w:r>
        <w:rPr>
          <w:rFonts w:eastAsia="方正仿宋_GBK"/>
          <w:color w:val="000000"/>
          <w:spacing w:val="-2"/>
          <w:kern w:val="0"/>
          <w:sz w:val="24"/>
        </w:rPr>
        <w:t xml:space="preserve">    </w:t>
      </w:r>
    </w:p>
    <w:p>
      <w:pPr>
        <w:spacing w:line="460" w:lineRule="exact"/>
        <w:ind w:right="897" w:rightChars="427" w:firstLine="472" w:firstLineChars="200"/>
        <w:jc w:val="right"/>
        <w:rPr>
          <w:rFonts w:eastAsia="方正仿宋_GBK"/>
          <w:color w:val="000000"/>
          <w:spacing w:val="-2"/>
          <w:kern w:val="0"/>
          <w:sz w:val="24"/>
        </w:rPr>
      </w:pPr>
      <w:r>
        <w:rPr>
          <w:rFonts w:eastAsia="方正仿宋_GBK"/>
          <w:color w:val="000000"/>
          <w:spacing w:val="-2"/>
          <w:kern w:val="0"/>
          <w:sz w:val="24"/>
        </w:rPr>
        <w:t xml:space="preserve">                            2015</w:t>
      </w:r>
      <w:r>
        <w:rPr>
          <w:rFonts w:hint="eastAsia" w:eastAsia="方正仿宋_GBK"/>
          <w:color w:val="000000"/>
          <w:spacing w:val="-2"/>
          <w:kern w:val="0"/>
          <w:sz w:val="24"/>
        </w:rPr>
        <w:t>年</w:t>
      </w:r>
      <w:r>
        <w:rPr>
          <w:rFonts w:eastAsia="方正仿宋_GBK"/>
          <w:color w:val="000000"/>
          <w:spacing w:val="-2"/>
          <w:kern w:val="0"/>
          <w:sz w:val="24"/>
        </w:rPr>
        <w:t>6</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w:t>
      </w:r>
      <w:r>
        <w:rPr>
          <w:rFonts w:eastAsia="方正仿宋_GBK"/>
          <w:color w:val="000000"/>
          <w:spacing w:val="-2"/>
          <w:kern w:val="0"/>
          <w:sz w:val="24"/>
        </w:rPr>
        <w:t xml:space="preserve">        </w:t>
      </w:r>
    </w:p>
    <w:p>
      <w:pPr>
        <w:spacing w:line="460" w:lineRule="exact"/>
        <w:ind w:firstLine="472" w:firstLineChars="200"/>
        <w:jc w:val="right"/>
        <w:rPr>
          <w:rFonts w:eastAsia="方正仿宋_GBK"/>
          <w:color w:val="000000"/>
          <w:spacing w:val="-2"/>
          <w:kern w:val="0"/>
          <w:sz w:val="24"/>
        </w:rPr>
      </w:pPr>
    </w:p>
    <w:p>
      <w:pPr>
        <w:spacing w:line="460" w:lineRule="exact"/>
        <w:rPr>
          <w:rFonts w:ascii="Times New Roman" w:eastAsia="方正黑体_GBK"/>
          <w:color w:val="000000"/>
          <w:spacing w:val="-2"/>
          <w:sz w:val="28"/>
          <w:szCs w:val="28"/>
        </w:rPr>
      </w:pPr>
      <w:r>
        <w:rPr>
          <w:rFonts w:eastAsia="方正仿宋_GBK"/>
          <w:color w:val="000000"/>
          <w:spacing w:val="-2"/>
          <w:kern w:val="0"/>
          <w:sz w:val="24"/>
        </w:rPr>
        <w:br w:type="column"/>
      </w:r>
      <w:r>
        <w:rPr>
          <w:rFonts w:hint="eastAsia" w:ascii="Times New Roman" w:eastAsia="方正黑体_GBK"/>
          <w:color w:val="000000"/>
          <w:spacing w:val="-2"/>
          <w:sz w:val="28"/>
          <w:szCs w:val="28"/>
        </w:rPr>
        <w:t>附件1</w:t>
      </w:r>
    </w:p>
    <w:p>
      <w:pPr>
        <w:spacing w:line="460" w:lineRule="exact"/>
        <w:rPr>
          <w:rFonts w:hint="eastAsia"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江苏省住宅装修放心消费优质企业</w:t>
      </w: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评价办法(试行)</w:t>
      </w:r>
    </w:p>
    <w:p>
      <w:pPr>
        <w:spacing w:line="460" w:lineRule="exact"/>
        <w:jc w:val="center"/>
        <w:rPr>
          <w:rFonts w:hint="eastAsia"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第一章  总    则</w:t>
      </w:r>
    </w:p>
    <w:p>
      <w:pPr>
        <w:spacing w:line="460" w:lineRule="exact"/>
        <w:ind w:firstLine="469" w:firstLineChars="198"/>
        <w:rPr>
          <w:rFonts w:hint="eastAsia" w:eastAsia="方正仿宋_GBK"/>
          <w:b/>
          <w:color w:val="000000"/>
          <w:spacing w:val="-2"/>
          <w:sz w:val="24"/>
        </w:rPr>
      </w:pP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帮助百姓选择放心消费优质的住宅装修企业，保障消费者合法权益，规范全省住宅装修市场秩序，促进住宅产业转型升级和住宅产业现代化发展，根据国家和省有关法律法规规定和诚信江苏建设、省放心消费活动相关要求，结合本省实际，制定本办法。</w:t>
      </w: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 xml:space="preserve">第二条 </w:t>
      </w:r>
      <w:r>
        <w:rPr>
          <w:rFonts w:eastAsia="方正仿宋_GBK"/>
          <w:color w:val="000000"/>
          <w:spacing w:val="-2"/>
          <w:sz w:val="24"/>
        </w:rPr>
        <w:t xml:space="preserve"> </w:t>
      </w:r>
      <w:r>
        <w:rPr>
          <w:rFonts w:hint="eastAsia" w:eastAsia="方正仿宋_GBK"/>
          <w:color w:val="000000"/>
          <w:spacing w:val="-2"/>
          <w:sz w:val="24"/>
        </w:rPr>
        <w:t>本办法所称</w:t>
      </w:r>
      <w:r>
        <w:rPr>
          <w:rFonts w:eastAsia="方正仿宋_GBK"/>
          <w:color w:val="000000"/>
          <w:spacing w:val="-2"/>
          <w:sz w:val="24"/>
        </w:rPr>
        <w:t>“</w:t>
      </w:r>
      <w:r>
        <w:rPr>
          <w:rFonts w:hint="eastAsia" w:eastAsia="方正仿宋_GBK"/>
          <w:color w:val="000000"/>
          <w:spacing w:val="-2"/>
          <w:sz w:val="24"/>
        </w:rPr>
        <w:t>住宅装修放心消费优质企业</w:t>
      </w:r>
      <w:r>
        <w:rPr>
          <w:rFonts w:eastAsia="方正仿宋_GBK"/>
          <w:color w:val="000000"/>
          <w:spacing w:val="-2"/>
          <w:sz w:val="24"/>
        </w:rPr>
        <w:t>”</w:t>
      </w:r>
      <w:r>
        <w:rPr>
          <w:rFonts w:hint="eastAsia" w:eastAsia="方正仿宋_GBK"/>
          <w:color w:val="000000"/>
          <w:spacing w:val="-2"/>
          <w:sz w:val="24"/>
        </w:rPr>
        <w:t>是指我省住宅装修行业中设计水平高、施工质量好、工程造价合理、服务行为规范、群众满意度高的住宅装修企业或其分支机构（即具有营业执照的分公司，以下简称企业）。</w:t>
      </w: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省住宅装修放心消费优质企业评价活动应本着企业自愿申报、由下而上推介、专家群众共评，倡导优秀设计、绿色环保、让消费者满意的理念，遵循公开、公平、公正、宁严毋宽的原则。</w:t>
      </w: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b/>
          <w:color w:val="000000"/>
          <w:spacing w:val="-2"/>
          <w:sz w:val="24"/>
        </w:rPr>
        <w:t xml:space="preserve">  </w:t>
      </w:r>
      <w:r>
        <w:rPr>
          <w:rFonts w:hint="eastAsia" w:eastAsia="方正仿宋_GBK"/>
          <w:color w:val="000000"/>
          <w:spacing w:val="-2"/>
          <w:sz w:val="24"/>
        </w:rPr>
        <w:t>省住宅装修放心消费优质企业评价活动接受省放心消费活动办公室、省住房和城乡建设厅的监督、指导。</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省装饰装修发展中心、省住房和城乡建设厅住宅与房地产业促进中心和省装饰装修行业协会联合组成</w:t>
      </w:r>
      <w:r>
        <w:rPr>
          <w:rFonts w:eastAsia="方正仿宋_GBK"/>
          <w:color w:val="000000"/>
          <w:spacing w:val="-2"/>
          <w:sz w:val="24"/>
        </w:rPr>
        <w:t>“</w:t>
      </w:r>
      <w:r>
        <w:rPr>
          <w:rFonts w:hint="eastAsia" w:eastAsia="方正仿宋_GBK"/>
          <w:color w:val="000000"/>
          <w:spacing w:val="-2"/>
          <w:sz w:val="24"/>
        </w:rPr>
        <w:t>省住宅装修放心消费优质企业评价小组</w:t>
      </w:r>
      <w:r>
        <w:rPr>
          <w:rFonts w:eastAsia="方正仿宋_GBK"/>
          <w:color w:val="000000"/>
          <w:spacing w:val="-2"/>
          <w:sz w:val="24"/>
        </w:rPr>
        <w:t>”</w:t>
      </w:r>
      <w:r>
        <w:rPr>
          <w:rFonts w:hint="eastAsia" w:eastAsia="方正仿宋_GBK"/>
          <w:color w:val="000000"/>
          <w:spacing w:val="-2"/>
          <w:sz w:val="24"/>
        </w:rPr>
        <w:t>（以下简称评价小组），负责评价活动的日常工作，办公室设在省装饰装修发展中心。</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省辖市住宅装修、房地产开发主管部门和行业协会积极配合开展相关评价工作。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省住宅装修放心消费优质企业评价活动每年开展一次，申报时间为每年的</w:t>
      </w:r>
      <w:r>
        <w:rPr>
          <w:rFonts w:eastAsia="方正仿宋_GBK"/>
          <w:color w:val="000000"/>
          <w:spacing w:val="-2"/>
          <w:sz w:val="24"/>
        </w:rPr>
        <w:t>3</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日至</w:t>
      </w:r>
      <w:r>
        <w:rPr>
          <w:rFonts w:eastAsia="方正仿宋_GBK"/>
          <w:color w:val="000000"/>
          <w:spacing w:val="-2"/>
          <w:sz w:val="24"/>
        </w:rPr>
        <w:t>3</w:t>
      </w:r>
      <w:r>
        <w:rPr>
          <w:rFonts w:hint="eastAsia" w:eastAsia="方正仿宋_GBK"/>
          <w:color w:val="000000"/>
          <w:spacing w:val="-2"/>
          <w:sz w:val="24"/>
        </w:rPr>
        <w:t>月</w:t>
      </w:r>
      <w:r>
        <w:rPr>
          <w:rFonts w:eastAsia="方正仿宋_GBK"/>
          <w:color w:val="000000"/>
          <w:spacing w:val="-2"/>
          <w:sz w:val="24"/>
        </w:rPr>
        <w:t>31</w:t>
      </w:r>
      <w:r>
        <w:rPr>
          <w:rFonts w:hint="eastAsia" w:eastAsia="方正仿宋_GBK"/>
          <w:color w:val="000000"/>
          <w:spacing w:val="-2"/>
          <w:sz w:val="24"/>
        </w:rPr>
        <w:t>日，评价发布受理核查时间为</w:t>
      </w:r>
      <w:r>
        <w:rPr>
          <w:rFonts w:eastAsia="方正仿宋_GBK"/>
          <w:color w:val="000000"/>
          <w:spacing w:val="-2"/>
          <w:sz w:val="24"/>
        </w:rPr>
        <w:t xml:space="preserve"> 4</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日至</w:t>
      </w:r>
      <w:r>
        <w:rPr>
          <w:rFonts w:eastAsia="方正仿宋_GBK"/>
          <w:color w:val="000000"/>
          <w:spacing w:val="-2"/>
          <w:sz w:val="24"/>
        </w:rPr>
        <w:t>10</w:t>
      </w:r>
      <w:r>
        <w:rPr>
          <w:rFonts w:hint="eastAsia" w:eastAsia="方正仿宋_GBK"/>
          <w:color w:val="000000"/>
          <w:spacing w:val="-2"/>
          <w:sz w:val="24"/>
        </w:rPr>
        <w:t>月</w:t>
      </w:r>
      <w:r>
        <w:rPr>
          <w:rFonts w:eastAsia="方正仿宋_GBK"/>
          <w:color w:val="000000"/>
          <w:spacing w:val="-2"/>
          <w:sz w:val="24"/>
        </w:rPr>
        <w:t>31</w:t>
      </w:r>
      <w:r>
        <w:rPr>
          <w:rFonts w:hint="eastAsia" w:eastAsia="方正仿宋_GBK"/>
          <w:color w:val="000000"/>
          <w:spacing w:val="-2"/>
          <w:sz w:val="24"/>
        </w:rPr>
        <w:t>日。每年的</w:t>
      </w:r>
      <w:r>
        <w:rPr>
          <w:rFonts w:eastAsia="方正仿宋_GBK"/>
          <w:color w:val="000000"/>
          <w:spacing w:val="-2"/>
          <w:sz w:val="24"/>
        </w:rPr>
        <w:t>9</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日至</w:t>
      </w:r>
      <w:r>
        <w:rPr>
          <w:rFonts w:eastAsia="方正仿宋_GBK"/>
          <w:color w:val="000000"/>
          <w:spacing w:val="-2"/>
          <w:sz w:val="24"/>
        </w:rPr>
        <w:t>12</w:t>
      </w:r>
      <w:r>
        <w:rPr>
          <w:rFonts w:hint="eastAsia" w:eastAsia="方正仿宋_GBK"/>
          <w:color w:val="000000"/>
          <w:spacing w:val="-2"/>
          <w:sz w:val="24"/>
        </w:rPr>
        <w:t>月</w:t>
      </w:r>
      <w:r>
        <w:rPr>
          <w:rFonts w:eastAsia="方正仿宋_GBK"/>
          <w:color w:val="000000"/>
          <w:spacing w:val="-2"/>
          <w:sz w:val="24"/>
        </w:rPr>
        <w:t>31</w:t>
      </w:r>
      <w:r>
        <w:rPr>
          <w:rFonts w:hint="eastAsia" w:eastAsia="方正仿宋_GBK"/>
          <w:color w:val="000000"/>
          <w:spacing w:val="-2"/>
          <w:sz w:val="24"/>
        </w:rPr>
        <w:t>日为预申报时间。</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评价活动分三个档次，即放心消费优质企业、先进企业和示范企业，逐年实施。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评价活动不收取任何费用。</w:t>
      </w: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第二章  申报条件</w:t>
      </w:r>
    </w:p>
    <w:p>
      <w:pPr>
        <w:spacing w:line="460" w:lineRule="exact"/>
        <w:ind w:firstLine="469" w:firstLineChars="198"/>
        <w:rPr>
          <w:rFonts w:hint="eastAsia" w:eastAsia="方正仿宋_GBK"/>
          <w:b/>
          <w:color w:val="000000"/>
          <w:spacing w:val="-2"/>
          <w:kern w:val="0"/>
          <w:sz w:val="24"/>
        </w:rPr>
      </w:pPr>
    </w:p>
    <w:p>
      <w:pPr>
        <w:spacing w:line="460" w:lineRule="exact"/>
        <w:ind w:firstLine="467" w:firstLineChars="198"/>
        <w:rPr>
          <w:rFonts w:eastAsia="方正仿宋_GBK"/>
          <w:color w:val="000000"/>
          <w:spacing w:val="-2"/>
          <w:kern w:val="0"/>
          <w:sz w:val="24"/>
        </w:rPr>
      </w:pPr>
      <w:r>
        <w:rPr>
          <w:rFonts w:hint="eastAsia" w:ascii="Times New Roman" w:eastAsia="方正黑体_GBK"/>
          <w:color w:val="000000"/>
          <w:spacing w:val="-2"/>
          <w:sz w:val="24"/>
        </w:rPr>
        <w:t>第六条</w:t>
      </w:r>
      <w:r>
        <w:rPr>
          <w:rFonts w:eastAsia="方正仿宋_GBK"/>
          <w:b/>
          <w:color w:val="000000"/>
          <w:spacing w:val="-2"/>
          <w:kern w:val="0"/>
          <w:sz w:val="24"/>
        </w:rPr>
        <w:t xml:space="preserve">  </w:t>
      </w:r>
      <w:r>
        <w:rPr>
          <w:rFonts w:hint="eastAsia" w:eastAsia="方正仿宋_GBK"/>
          <w:color w:val="000000"/>
          <w:spacing w:val="-2"/>
          <w:kern w:val="0"/>
          <w:sz w:val="24"/>
        </w:rPr>
        <w:t>申</w:t>
      </w:r>
      <w:r>
        <w:rPr>
          <w:rFonts w:hint="eastAsia" w:eastAsia="方正仿宋_GBK"/>
          <w:color w:val="000000"/>
          <w:spacing w:val="-2"/>
          <w:sz w:val="24"/>
        </w:rPr>
        <w:t>报企业为在江苏省行政区域内从事住宅装饰装修活动、有工商营业执照、有固定经营场所、具有建设行政主管部门核准的建筑装饰装修资质证书、正常经营三年以上的住宅装修企业。</w:t>
      </w:r>
    </w:p>
    <w:p>
      <w:pPr>
        <w:spacing w:line="460" w:lineRule="exact"/>
        <w:ind w:firstLine="467" w:firstLineChars="198"/>
        <w:rPr>
          <w:rFonts w:eastAsia="方正仿宋_GBK"/>
          <w:color w:val="000000"/>
          <w:spacing w:val="-2"/>
          <w:kern w:val="0"/>
          <w:sz w:val="24"/>
        </w:rPr>
      </w:pPr>
      <w:r>
        <w:rPr>
          <w:rFonts w:hint="eastAsia" w:ascii="Times New Roman" w:eastAsia="方正黑体_GBK"/>
          <w:color w:val="000000"/>
          <w:spacing w:val="-2"/>
          <w:sz w:val="24"/>
        </w:rPr>
        <w:t>第七条</w:t>
      </w:r>
      <w:r>
        <w:rPr>
          <w:rFonts w:eastAsia="方正仿宋_GBK"/>
          <w:b/>
          <w:color w:val="000000"/>
          <w:spacing w:val="-2"/>
          <w:kern w:val="0"/>
          <w:sz w:val="24"/>
        </w:rPr>
        <w:t xml:space="preserve">  </w:t>
      </w:r>
      <w:r>
        <w:rPr>
          <w:rFonts w:hint="eastAsia" w:eastAsia="方正仿宋_GBK"/>
          <w:color w:val="000000"/>
          <w:spacing w:val="-2"/>
          <w:kern w:val="0"/>
          <w:sz w:val="24"/>
        </w:rPr>
        <w:t>申报</w:t>
      </w:r>
      <w:r>
        <w:rPr>
          <w:rFonts w:hint="eastAsia" w:eastAsia="方正仿宋_GBK"/>
          <w:color w:val="000000"/>
          <w:spacing w:val="-2"/>
          <w:sz w:val="24"/>
        </w:rPr>
        <w:t>企业</w:t>
      </w:r>
      <w:r>
        <w:rPr>
          <w:rFonts w:hint="eastAsia" w:eastAsia="方正仿宋_GBK"/>
          <w:color w:val="000000"/>
          <w:spacing w:val="-2"/>
          <w:kern w:val="0"/>
          <w:sz w:val="24"/>
        </w:rPr>
        <w:t>近三年无重大质量、安全事故，无违反法律法规和行业自律公约的失信行为。</w:t>
      </w:r>
    </w:p>
    <w:p>
      <w:pPr>
        <w:spacing w:line="460" w:lineRule="exact"/>
        <w:ind w:firstLine="467" w:firstLineChars="198"/>
        <w:rPr>
          <w:rFonts w:eastAsia="方正仿宋_GBK"/>
          <w:color w:val="000000"/>
          <w:spacing w:val="-2"/>
          <w:kern w:val="0"/>
          <w:sz w:val="24"/>
        </w:rPr>
      </w:pPr>
      <w:r>
        <w:rPr>
          <w:rFonts w:hint="eastAsia" w:ascii="Times New Roman" w:eastAsia="方正黑体_GBK"/>
          <w:color w:val="000000"/>
          <w:spacing w:val="-2"/>
          <w:sz w:val="24"/>
        </w:rPr>
        <w:t>第八条</w:t>
      </w:r>
      <w:r>
        <w:rPr>
          <w:rFonts w:eastAsia="方正仿宋_GBK"/>
          <w:b/>
          <w:color w:val="000000"/>
          <w:spacing w:val="-2"/>
          <w:kern w:val="0"/>
          <w:sz w:val="24"/>
        </w:rPr>
        <w:t xml:space="preserve">  </w:t>
      </w:r>
      <w:r>
        <w:rPr>
          <w:rFonts w:hint="eastAsia" w:eastAsia="方正仿宋_GBK"/>
          <w:bCs/>
          <w:color w:val="000000"/>
          <w:spacing w:val="-2"/>
          <w:kern w:val="0"/>
          <w:sz w:val="24"/>
        </w:rPr>
        <w:t>使用由市主管部门制订，市工商局监制的</w:t>
      </w:r>
      <w:r>
        <w:rPr>
          <w:rFonts w:hint="eastAsia" w:eastAsia="方正仿宋_GBK"/>
          <w:color w:val="000000"/>
          <w:spacing w:val="-2"/>
          <w:sz w:val="24"/>
          <w:shd w:val="clear" w:color="auto" w:fill="FFFFFF"/>
        </w:rPr>
        <w:t>规范性合同，履约率高，</w:t>
      </w:r>
      <w:r>
        <w:rPr>
          <w:rFonts w:hint="eastAsia" w:eastAsia="方正仿宋_GBK"/>
          <w:color w:val="000000"/>
          <w:spacing w:val="-2"/>
          <w:kern w:val="0"/>
          <w:sz w:val="24"/>
        </w:rPr>
        <w:t>装修质量、服务水平得到行业主管部门和消费者认可和推荐。</w:t>
      </w:r>
    </w:p>
    <w:p>
      <w:pPr>
        <w:spacing w:line="460" w:lineRule="exact"/>
        <w:jc w:val="center"/>
        <w:rPr>
          <w:rFonts w:eastAsia="方正仿宋_GBK"/>
          <w:b/>
          <w:color w:val="000000"/>
          <w:spacing w:val="-2"/>
          <w:kern w:val="0"/>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第三章  评价标准</w:t>
      </w:r>
    </w:p>
    <w:p>
      <w:pPr>
        <w:spacing w:line="460" w:lineRule="exact"/>
        <w:ind w:firstLine="469" w:firstLineChars="198"/>
        <w:rPr>
          <w:rFonts w:hint="eastAsia" w:eastAsia="方正仿宋_GBK"/>
          <w:b/>
          <w:color w:val="000000"/>
          <w:spacing w:val="-2"/>
          <w:sz w:val="24"/>
        </w:rPr>
      </w:pP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b/>
          <w:color w:val="000000"/>
          <w:spacing w:val="-2"/>
          <w:sz w:val="24"/>
        </w:rPr>
        <w:t xml:space="preserve">  </w:t>
      </w:r>
      <w:r>
        <w:rPr>
          <w:rFonts w:hint="eastAsia" w:eastAsia="方正仿宋_GBK"/>
          <w:color w:val="000000"/>
          <w:spacing w:val="-2"/>
          <w:sz w:val="24"/>
        </w:rPr>
        <w:t>住宅装修放心消费优质企业在装修设计上根据以下标准进行评价：</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（一）设有专门的装修设计部门；</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（二）装修设计做到技术先进、经济合理、安全适用；</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（三）主要设计人员具备相应的专业技术职称；</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（四）能运用多媒体技术，为用户提供方便直观的设计空间体验；</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（五）装修设计获奖情况。（设计作品或设计师获得过市以上的奖励，含协会或媒体等）</w:t>
      </w:r>
    </w:p>
    <w:p>
      <w:pPr>
        <w:spacing w:line="460" w:lineRule="exact"/>
        <w:ind w:firstLine="467" w:firstLineChars="198"/>
        <w:rPr>
          <w:rFonts w:eastAsia="方正仿宋_GBK"/>
          <w:b/>
          <w:color w:val="000000"/>
          <w:spacing w:val="-2"/>
          <w:sz w:val="24"/>
        </w:rPr>
      </w:pPr>
      <w:r>
        <w:rPr>
          <w:rFonts w:hint="eastAsia" w:ascii="Times New Roman" w:eastAsia="方正黑体_GBK"/>
          <w:color w:val="000000"/>
          <w:spacing w:val="-2"/>
          <w:sz w:val="24"/>
        </w:rPr>
        <w:t xml:space="preserve">第十条 </w:t>
      </w:r>
      <w:r>
        <w:rPr>
          <w:rFonts w:eastAsia="方正仿宋_GBK"/>
          <w:b/>
          <w:color w:val="000000"/>
          <w:spacing w:val="-2"/>
          <w:sz w:val="24"/>
        </w:rPr>
        <w:t xml:space="preserve"> </w:t>
      </w:r>
      <w:r>
        <w:rPr>
          <w:rFonts w:hint="eastAsia" w:eastAsia="方正仿宋_GBK"/>
          <w:color w:val="000000"/>
          <w:spacing w:val="-2"/>
          <w:sz w:val="24"/>
        </w:rPr>
        <w:t>住宅装修放心消费优质企业工程质量上根据以下标准进行评价：</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（一）具有完善的质量管理制度和相关企业标准；</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（二）装修工程施工工艺方案合理，工程质量符合国家统一的质量验收标准，且业主满意；</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（三）主要工程技术人员具备执业资格或专业技术职称；</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（四）持有岗位证书的施工现场管理人员不少于</w:t>
      </w:r>
      <w:r>
        <w:rPr>
          <w:rFonts w:eastAsia="方正仿宋_GBK"/>
          <w:color w:val="000000"/>
          <w:spacing w:val="-2"/>
          <w:sz w:val="24"/>
        </w:rPr>
        <w:t>5</w:t>
      </w:r>
      <w:r>
        <w:rPr>
          <w:rFonts w:hint="eastAsia" w:eastAsia="方正仿宋_GBK"/>
          <w:color w:val="000000"/>
          <w:spacing w:val="-2"/>
          <w:sz w:val="24"/>
        </w:rPr>
        <w:t>人（施工员、质量员、安全员等）</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（五）具备较强的集成装修能力，施工技术先进，现场主要采用装配化施工方式。</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（六）工程质量获奖情况。（有工程获得过市以上协会的优质工程）</w:t>
      </w:r>
    </w:p>
    <w:p>
      <w:pPr>
        <w:spacing w:line="460" w:lineRule="exact"/>
        <w:ind w:firstLine="467" w:firstLineChars="198"/>
        <w:rPr>
          <w:rFonts w:eastAsia="方正仿宋_GBK"/>
          <w:b/>
          <w:color w:val="000000"/>
          <w:spacing w:val="-2"/>
          <w:sz w:val="24"/>
        </w:rPr>
      </w:pPr>
      <w:r>
        <w:rPr>
          <w:rFonts w:hint="eastAsia" w:ascii="Times New Roman" w:eastAsia="方正黑体_GBK"/>
          <w:color w:val="000000"/>
          <w:spacing w:val="-2"/>
          <w:sz w:val="24"/>
        </w:rPr>
        <w:t>第十一条</w:t>
      </w:r>
      <w:r>
        <w:rPr>
          <w:rFonts w:eastAsia="方正仿宋_GBK"/>
          <w:b/>
          <w:color w:val="000000"/>
          <w:spacing w:val="-2"/>
          <w:sz w:val="24"/>
        </w:rPr>
        <w:t xml:space="preserve">  </w:t>
      </w:r>
      <w:r>
        <w:rPr>
          <w:rFonts w:hint="eastAsia" w:eastAsia="方正仿宋_GBK"/>
          <w:color w:val="000000"/>
          <w:spacing w:val="-2"/>
          <w:sz w:val="24"/>
        </w:rPr>
        <w:t>住宅装修放心消费优质企业在材料使用上根据以下标准进行评价：</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（一）具有完善的材料进货和管理制度，进货验收手续齐全；</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（二）公司主要的装修材料有环保检测合格证明；</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（三）工程合同中能明确主要装修材料的品牌、规格和型号，装修工程施工无偷工减料行为；</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（四）具备较强的产业配套能力，主要装修材料和部品实现集中采购、统一供应。</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（五）积极采用新材料、新工艺、新技术。</w:t>
      </w: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住宅装修放心消费优质企业在装修服务上应当根据以下标准进行评价：</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（一）具有对消费者来电、来人的接听、接待礼仪制度，并严格执行；</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（二）装修设计服务规范，设计文件能充分体现消费者的个性需求，设计深度和图纸数量符合规定；</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（三）现场文明施工，材料堆放、场容场貌、成品保护、作业时间、业主沟通、邻里沟通、物业沟通上有严格的管理制度和要求；</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（四）有完善的售后保修制度，设有专门的</w:t>
      </w:r>
      <w:r>
        <w:rPr>
          <w:rFonts w:eastAsia="方正仿宋_GBK"/>
          <w:color w:val="000000"/>
          <w:spacing w:val="-2"/>
          <w:sz w:val="24"/>
        </w:rPr>
        <w:t>24</w:t>
      </w:r>
      <w:r>
        <w:rPr>
          <w:rFonts w:hint="eastAsia" w:eastAsia="方正仿宋_GBK"/>
          <w:color w:val="000000"/>
          <w:spacing w:val="-2"/>
          <w:sz w:val="24"/>
        </w:rPr>
        <w:t>小时维保修电话和专门的维保修人员，装修合同中明确电话号码、保修时限和售后服务承诺。</w:t>
      </w:r>
      <w:r>
        <w:rPr>
          <w:rFonts w:eastAsia="方正仿宋_GBK"/>
          <w:color w:val="000000"/>
          <w:spacing w:val="-2"/>
          <w:sz w:val="24"/>
        </w:rPr>
        <w:t xml:space="preserve"> </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（五）工程造价合理（甲乙双方认可的）。</w:t>
      </w:r>
    </w:p>
    <w:p>
      <w:pPr>
        <w:spacing w:line="460" w:lineRule="exact"/>
        <w:ind w:firstLine="354" w:firstLineChars="150"/>
        <w:rPr>
          <w:rFonts w:eastAsia="方正仿宋_GBK"/>
          <w:color w:val="000000"/>
          <w:spacing w:val="-2"/>
          <w:sz w:val="24"/>
        </w:rPr>
      </w:pPr>
      <w:r>
        <w:rPr>
          <w:rFonts w:hint="eastAsia" w:eastAsia="方正仿宋_GBK"/>
          <w:color w:val="000000"/>
          <w:spacing w:val="-2"/>
          <w:sz w:val="24"/>
        </w:rPr>
        <w:t>（六）设有公开的投诉举报电话，有效投诉处理率达</w:t>
      </w:r>
      <w:r>
        <w:rPr>
          <w:rFonts w:eastAsia="方正仿宋_GBK"/>
          <w:color w:val="000000"/>
          <w:spacing w:val="-2"/>
          <w:sz w:val="24"/>
        </w:rPr>
        <w:t>95%</w:t>
      </w:r>
      <w:r>
        <w:rPr>
          <w:rFonts w:hint="eastAsia" w:eastAsia="方正仿宋_GBK"/>
          <w:color w:val="000000"/>
          <w:spacing w:val="-2"/>
          <w:sz w:val="24"/>
        </w:rPr>
        <w:t>以上，客户满意度</w:t>
      </w:r>
      <w:r>
        <w:rPr>
          <w:rFonts w:eastAsia="方正仿宋_GBK"/>
          <w:color w:val="000000"/>
          <w:spacing w:val="-2"/>
          <w:sz w:val="24"/>
        </w:rPr>
        <w:t>90%</w:t>
      </w:r>
      <w:r>
        <w:rPr>
          <w:rFonts w:hint="eastAsia" w:eastAsia="方正仿宋_GBK"/>
          <w:color w:val="000000"/>
          <w:spacing w:val="-2"/>
          <w:sz w:val="24"/>
        </w:rPr>
        <w:t>以上。投诉处理回访制度健全，受理、处理情况记录和档案资料完整。</w:t>
      </w:r>
    </w:p>
    <w:p>
      <w:pPr>
        <w:spacing w:line="460" w:lineRule="exact"/>
        <w:jc w:val="center"/>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第四章  组织方法与公示发布</w:t>
      </w:r>
    </w:p>
    <w:p>
      <w:pPr>
        <w:spacing w:line="460" w:lineRule="exact"/>
        <w:ind w:firstLine="469" w:firstLineChars="198"/>
        <w:rPr>
          <w:rFonts w:hint="eastAsia" w:eastAsia="方正仿宋_GBK"/>
          <w:b/>
          <w:color w:val="000000"/>
          <w:spacing w:val="-2"/>
          <w:sz w:val="24"/>
        </w:rPr>
      </w:pP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 xml:space="preserve">第十三条 </w:t>
      </w:r>
      <w:r>
        <w:rPr>
          <w:rFonts w:eastAsia="方正仿宋_GBK"/>
          <w:color w:val="000000"/>
          <w:spacing w:val="-2"/>
          <w:sz w:val="24"/>
        </w:rPr>
        <w:t xml:space="preserve"> </w:t>
      </w:r>
      <w:r>
        <w:rPr>
          <w:rFonts w:hint="eastAsia" w:eastAsia="方正仿宋_GBK"/>
          <w:color w:val="000000"/>
          <w:spacing w:val="-2"/>
          <w:sz w:val="24"/>
        </w:rPr>
        <w:t>申报企业填写《江苏省住宅装修放心消费优质企业申报表》及规定要求的附件材料，</w:t>
      </w:r>
      <w:r>
        <w:rPr>
          <w:rFonts w:eastAsia="方正仿宋_GBK"/>
          <w:color w:val="000000"/>
          <w:spacing w:val="-2"/>
          <w:sz w:val="24"/>
        </w:rPr>
        <w:t>5</w:t>
      </w:r>
      <w:r>
        <w:rPr>
          <w:rFonts w:hint="eastAsia" w:eastAsia="方正仿宋_GBK"/>
          <w:color w:val="000000"/>
          <w:spacing w:val="-2"/>
          <w:sz w:val="24"/>
        </w:rPr>
        <w:t>户以上消费者推荐后，向企业所在地省辖市装饰协会申报，省辖市住房和建设主管部门负责监管，省辖市对上报受理材料进行初评后，统一报省装饰装修发展中心（江苏省住宅装修放心消费创建办公室）。</w:t>
      </w: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 xml:space="preserve">第十四条 </w:t>
      </w:r>
      <w:r>
        <w:rPr>
          <w:rFonts w:eastAsia="方正仿宋_GBK"/>
          <w:color w:val="000000"/>
          <w:spacing w:val="-2"/>
          <w:sz w:val="24"/>
        </w:rPr>
        <w:t xml:space="preserve"> </w:t>
      </w:r>
      <w:r>
        <w:rPr>
          <w:rFonts w:hint="eastAsia" w:eastAsia="方正仿宋_GBK"/>
          <w:color w:val="000000"/>
          <w:spacing w:val="-2"/>
          <w:sz w:val="24"/>
        </w:rPr>
        <w:t>省装饰装修发展中心（江苏省住宅装修放心消费创建办公室）及时召集评价小组，采用抽查、互查、暗访等形式对申报企业进行核实，依据本办法确定全省拟评企业名单。</w:t>
      </w:r>
    </w:p>
    <w:p>
      <w:pPr>
        <w:spacing w:line="460" w:lineRule="exact"/>
        <w:ind w:firstLine="467" w:firstLineChars="198"/>
        <w:rPr>
          <w:rFonts w:eastAsia="方正仿宋_GBK"/>
          <w:b/>
          <w:color w:val="000000"/>
          <w:spacing w:val="-2"/>
          <w:sz w:val="24"/>
        </w:rPr>
      </w:pPr>
      <w:r>
        <w:rPr>
          <w:rFonts w:hint="eastAsia" w:ascii="Times New Roman" w:eastAsia="方正黑体_GBK"/>
          <w:color w:val="000000"/>
          <w:spacing w:val="-2"/>
          <w:sz w:val="24"/>
        </w:rPr>
        <w:t xml:space="preserve">第十五条 </w:t>
      </w:r>
      <w:r>
        <w:rPr>
          <w:rFonts w:eastAsia="方正仿宋_GBK"/>
          <w:color w:val="000000"/>
          <w:spacing w:val="-2"/>
          <w:sz w:val="24"/>
        </w:rPr>
        <w:t xml:space="preserve"> </w:t>
      </w:r>
      <w:r>
        <w:rPr>
          <w:rFonts w:hint="eastAsia" w:eastAsia="方正仿宋_GBK"/>
          <w:color w:val="000000"/>
          <w:spacing w:val="-2"/>
          <w:sz w:val="24"/>
        </w:rPr>
        <w:t>对拟评企业名单在行业网站、有关媒体上公示</w:t>
      </w:r>
      <w:r>
        <w:rPr>
          <w:rFonts w:eastAsia="方正仿宋_GBK"/>
          <w:color w:val="000000"/>
          <w:spacing w:val="-2"/>
          <w:sz w:val="24"/>
        </w:rPr>
        <w:t>2</w:t>
      </w:r>
      <w:r>
        <w:rPr>
          <w:rFonts w:hint="eastAsia" w:eastAsia="方正仿宋_GBK"/>
          <w:color w:val="000000"/>
          <w:spacing w:val="-2"/>
          <w:sz w:val="24"/>
        </w:rPr>
        <w:t>个月，并同步公示投诉受理电话、电子邮箱等。公示期间，对于有投诉和举报的企业，经实地调查，情况属实的，一律从其名单中撤销。</w:t>
      </w: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 xml:space="preserve">第十六条 </w:t>
      </w:r>
      <w:r>
        <w:rPr>
          <w:rFonts w:eastAsia="方正仿宋_GBK"/>
          <w:b/>
          <w:color w:val="000000"/>
          <w:spacing w:val="-2"/>
          <w:sz w:val="24"/>
        </w:rPr>
        <w:t xml:space="preserve"> </w:t>
      </w:r>
      <w:r>
        <w:rPr>
          <w:rFonts w:hint="eastAsia" w:eastAsia="方正仿宋_GBK"/>
          <w:color w:val="000000"/>
          <w:spacing w:val="-2"/>
          <w:sz w:val="24"/>
        </w:rPr>
        <w:t>对公示无异议的企业，由省建设行政主管部门会同省放心消费创建活动办公室联合颁发</w:t>
      </w:r>
      <w:r>
        <w:rPr>
          <w:rFonts w:eastAsia="方正仿宋_GBK"/>
          <w:color w:val="000000"/>
          <w:spacing w:val="-2"/>
          <w:sz w:val="24"/>
        </w:rPr>
        <w:t>“</w:t>
      </w:r>
      <w:r>
        <w:rPr>
          <w:rFonts w:hint="eastAsia" w:eastAsia="方正仿宋_GBK"/>
          <w:color w:val="000000"/>
          <w:spacing w:val="-2"/>
          <w:sz w:val="24"/>
        </w:rPr>
        <w:t>江苏省住宅装修放心消费优质企业</w:t>
      </w:r>
      <w:r>
        <w:rPr>
          <w:rFonts w:eastAsia="方正仿宋_GBK"/>
          <w:color w:val="000000"/>
          <w:spacing w:val="-2"/>
          <w:sz w:val="24"/>
        </w:rPr>
        <w:t>”</w:t>
      </w:r>
      <w:r>
        <w:rPr>
          <w:rFonts w:hint="eastAsia" w:eastAsia="方正仿宋_GBK"/>
          <w:color w:val="000000"/>
          <w:spacing w:val="-2"/>
          <w:sz w:val="24"/>
        </w:rPr>
        <w:t>证书和标牌，及时在行业网站和有关媒体上发布。</w:t>
      </w:r>
    </w:p>
    <w:p>
      <w:pPr>
        <w:spacing w:line="460" w:lineRule="exact"/>
        <w:jc w:val="center"/>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第五章  附    则</w:t>
      </w:r>
    </w:p>
    <w:p>
      <w:pPr>
        <w:spacing w:line="460" w:lineRule="exact"/>
        <w:ind w:firstLine="467" w:firstLineChars="198"/>
        <w:rPr>
          <w:rFonts w:hint="eastAsia" w:ascii="Times New Roman" w:eastAsia="方正黑体_GBK"/>
          <w:color w:val="000000"/>
          <w:spacing w:val="-2"/>
          <w:sz w:val="24"/>
        </w:rPr>
      </w:pPr>
    </w:p>
    <w:p>
      <w:pPr>
        <w:spacing w:line="460" w:lineRule="exact"/>
        <w:ind w:firstLine="467" w:firstLineChars="198"/>
        <w:rPr>
          <w:rFonts w:hint="eastAsia" w:eastAsia="方正仿宋_GBK"/>
          <w:color w:val="000000"/>
          <w:spacing w:val="-2"/>
          <w:sz w:val="24"/>
        </w:rPr>
      </w:pPr>
      <w:r>
        <w:rPr>
          <w:rFonts w:hint="eastAsia" w:ascii="Times New Roman" w:eastAsia="方正黑体_GBK"/>
          <w:color w:val="000000"/>
          <w:spacing w:val="-2"/>
          <w:sz w:val="24"/>
        </w:rPr>
        <w:t>第十七条</w:t>
      </w:r>
      <w:r>
        <w:rPr>
          <w:rFonts w:eastAsia="方正仿宋_GBK"/>
          <w:color w:val="000000"/>
          <w:spacing w:val="-2"/>
          <w:sz w:val="24"/>
        </w:rPr>
        <w:t xml:space="preserve">  </w:t>
      </w:r>
      <w:r>
        <w:rPr>
          <w:rFonts w:hint="eastAsia" w:eastAsia="方正仿宋_GBK"/>
          <w:color w:val="000000"/>
          <w:spacing w:val="-2"/>
          <w:sz w:val="24"/>
        </w:rPr>
        <w:t>本办法由江苏省住房和城乡建设厅负责解释。</w:t>
      </w:r>
    </w:p>
    <w:p>
      <w:pPr>
        <w:spacing w:line="460" w:lineRule="exact"/>
        <w:ind w:firstLine="467" w:firstLineChars="198"/>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color w:val="000000"/>
          <w:spacing w:val="-2"/>
          <w:sz w:val="24"/>
        </w:rPr>
        <w:t xml:space="preserve">  </w:t>
      </w:r>
      <w:r>
        <w:rPr>
          <w:rFonts w:hint="eastAsia" w:eastAsia="方正仿宋_GBK"/>
          <w:color w:val="000000"/>
          <w:spacing w:val="-2"/>
          <w:sz w:val="24"/>
        </w:rPr>
        <w:t>本办法自</w:t>
      </w: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6</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日起试行。</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rPr>
          <w:rFonts w:ascii="Times New Roman" w:eastAsia="方正黑体_GBK"/>
          <w:color w:val="000000"/>
          <w:spacing w:val="-2"/>
          <w:sz w:val="28"/>
          <w:szCs w:val="28"/>
        </w:rPr>
      </w:pPr>
      <w:r>
        <w:rPr>
          <w:rFonts w:eastAsia="方正仿宋_GBK"/>
          <w:color w:val="000000"/>
          <w:spacing w:val="-2"/>
          <w:sz w:val="24"/>
        </w:rPr>
        <w:br w:type="page"/>
      </w:r>
      <w:r>
        <w:rPr>
          <w:rFonts w:hint="eastAsia" w:ascii="Times New Roman" w:eastAsia="方正黑体_GBK"/>
          <w:color w:val="000000"/>
          <w:spacing w:val="-2"/>
          <w:sz w:val="28"/>
          <w:szCs w:val="28"/>
        </w:rPr>
        <w:t xml:space="preserve">附件2 </w:t>
      </w:r>
    </w:p>
    <w:p>
      <w:pPr>
        <w:spacing w:line="460" w:lineRule="exact"/>
        <w:rPr>
          <w:rFonts w:hint="eastAsia" w:ascii="Times New Roman" w:eastAsia="方正黑体_GBK"/>
          <w:color w:val="000000"/>
          <w:spacing w:val="-2"/>
          <w:sz w:val="28"/>
          <w:szCs w:val="28"/>
        </w:rPr>
      </w:pP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申报附件材料</w:t>
      </w:r>
    </w:p>
    <w:p>
      <w:pPr>
        <w:spacing w:line="460" w:lineRule="exact"/>
        <w:ind w:firstLine="462" w:firstLineChars="196"/>
        <w:jc w:val="left"/>
        <w:rPr>
          <w:rFonts w:hint="eastAsia" w:eastAsia="方正仿宋_GBK"/>
          <w:color w:val="000000"/>
          <w:spacing w:val="-2"/>
          <w:sz w:val="24"/>
        </w:rPr>
      </w:pPr>
    </w:p>
    <w:p>
      <w:pPr>
        <w:spacing w:line="460" w:lineRule="exact"/>
        <w:ind w:firstLine="462" w:firstLineChars="196"/>
        <w:jc w:val="left"/>
        <w:rPr>
          <w:rFonts w:eastAsia="方正仿宋_GBK"/>
          <w:color w:val="000000"/>
          <w:spacing w:val="-2"/>
          <w:sz w:val="24"/>
        </w:rPr>
      </w:pPr>
      <w:r>
        <w:rPr>
          <w:rFonts w:hint="eastAsia" w:eastAsia="方正仿宋_GBK"/>
          <w:color w:val="000000"/>
          <w:spacing w:val="-2"/>
          <w:sz w:val="24"/>
        </w:rPr>
        <w:t>申报江苏省住宅装修放心消费优质企业应将以下材料装订成册：</w:t>
      </w:r>
    </w:p>
    <w:p>
      <w:pPr>
        <w:spacing w:line="460" w:lineRule="exact"/>
        <w:ind w:firstLine="462" w:firstLineChars="196"/>
        <w:jc w:val="left"/>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、企业创建活动实施方案；</w:t>
      </w:r>
    </w:p>
    <w:p>
      <w:pPr>
        <w:spacing w:line="460" w:lineRule="exact"/>
        <w:ind w:firstLine="462" w:firstLineChars="196"/>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、企业法定代表人申报材料真实性承诺书；</w:t>
      </w:r>
    </w:p>
    <w:p>
      <w:pPr>
        <w:spacing w:line="460" w:lineRule="exact"/>
        <w:ind w:firstLine="462" w:firstLineChars="196"/>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w:t>
      </w:r>
      <w:r>
        <w:rPr>
          <w:rFonts w:hint="eastAsia" w:eastAsia="方正仿宋_GBK"/>
          <w:color w:val="000000"/>
          <w:spacing w:val="-2"/>
          <w:sz w:val="24"/>
        </w:rPr>
        <w:t>工商营业执照和</w:t>
      </w:r>
      <w:r>
        <w:rPr>
          <w:rFonts w:hint="eastAsia" w:eastAsia="方正仿宋_GBK"/>
          <w:color w:val="000000"/>
          <w:spacing w:val="-2"/>
          <w:kern w:val="0"/>
          <w:sz w:val="24"/>
        </w:rPr>
        <w:t>建设行政主管部门颁发的资质证书复印件；</w:t>
      </w:r>
    </w:p>
    <w:p>
      <w:pPr>
        <w:spacing w:line="460" w:lineRule="exact"/>
        <w:ind w:firstLine="462" w:firstLineChars="196"/>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、行业主管部门开具的三年内有效投诉为零的证明；</w:t>
      </w:r>
    </w:p>
    <w:p>
      <w:pPr>
        <w:spacing w:line="460" w:lineRule="exact"/>
        <w:ind w:firstLine="472" w:firstLineChars="200"/>
        <w:rPr>
          <w:rFonts w:eastAsia="方正仿宋_GBK"/>
          <w:color w:val="000000"/>
          <w:spacing w:val="-2"/>
          <w:sz w:val="24"/>
        </w:rPr>
      </w:pPr>
      <w:r>
        <w:rPr>
          <w:rFonts w:eastAsia="方正仿宋_GBK"/>
          <w:color w:val="000000"/>
          <w:spacing w:val="-2"/>
          <w:kern w:val="0"/>
          <w:sz w:val="24"/>
        </w:rPr>
        <w:t>5</w:t>
      </w:r>
      <w:r>
        <w:rPr>
          <w:rFonts w:hint="eastAsia" w:eastAsia="方正仿宋_GBK"/>
          <w:color w:val="000000"/>
          <w:spacing w:val="-2"/>
          <w:kern w:val="0"/>
          <w:sz w:val="24"/>
        </w:rPr>
        <w:t>、</w:t>
      </w:r>
      <w:r>
        <w:rPr>
          <w:rFonts w:hint="eastAsia" w:eastAsia="方正仿宋_GBK"/>
          <w:color w:val="000000"/>
          <w:spacing w:val="-2"/>
          <w:sz w:val="24"/>
        </w:rPr>
        <w:t>获奖证明；</w:t>
      </w:r>
    </w:p>
    <w:p>
      <w:pPr>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、本企业各类管理制度，至少包括材料进货管理、装修设计管理、现场施工管理及验收管理等质量保证制度，客户接待、投诉受理及售前售后等服务制度；</w:t>
      </w:r>
    </w:p>
    <w:p>
      <w:pPr>
        <w:spacing w:line="460" w:lineRule="exact"/>
        <w:ind w:firstLine="472" w:firstLineChars="200"/>
        <w:rPr>
          <w:rFonts w:eastAsia="方正仿宋_GBK"/>
          <w:color w:val="000000"/>
          <w:spacing w:val="-2"/>
          <w:sz w:val="24"/>
        </w:rPr>
      </w:pPr>
      <w:r>
        <w:rPr>
          <w:rFonts w:eastAsia="方正仿宋_GBK"/>
          <w:color w:val="000000"/>
          <w:spacing w:val="-2"/>
          <w:sz w:val="24"/>
        </w:rPr>
        <w:t>7</w:t>
      </w:r>
      <w:r>
        <w:rPr>
          <w:rFonts w:hint="eastAsia" w:eastAsia="方正仿宋_GBK"/>
          <w:color w:val="000000"/>
          <w:spacing w:val="-2"/>
          <w:sz w:val="24"/>
        </w:rPr>
        <w:t>、提供近二年内至少</w:t>
      </w:r>
      <w:r>
        <w:rPr>
          <w:rFonts w:eastAsia="方正仿宋_GBK"/>
          <w:color w:val="000000"/>
          <w:spacing w:val="-2"/>
          <w:sz w:val="24"/>
        </w:rPr>
        <w:t>10</w:t>
      </w:r>
      <w:r>
        <w:rPr>
          <w:rFonts w:hint="eastAsia" w:eastAsia="方正仿宋_GBK"/>
          <w:color w:val="000000"/>
          <w:spacing w:val="-2"/>
          <w:sz w:val="24"/>
        </w:rPr>
        <w:t>项住宅装修工程业绩清单以备核查（至少含合同、工程造价书、设计平面图、设计和施工说明、业主验收评价）；</w:t>
      </w:r>
    </w:p>
    <w:p>
      <w:pPr>
        <w:spacing w:line="460" w:lineRule="exact"/>
        <w:ind w:firstLine="472" w:firstLineChars="200"/>
        <w:rPr>
          <w:rFonts w:eastAsia="方正仿宋_GBK"/>
          <w:color w:val="000000"/>
          <w:spacing w:val="-2"/>
          <w:sz w:val="24"/>
        </w:rPr>
      </w:pPr>
      <w:r>
        <w:rPr>
          <w:rFonts w:eastAsia="方正仿宋_GBK"/>
          <w:color w:val="000000"/>
          <w:spacing w:val="-2"/>
          <w:sz w:val="24"/>
        </w:rPr>
        <w:t>8</w:t>
      </w:r>
      <w:r>
        <w:rPr>
          <w:rFonts w:hint="eastAsia" w:eastAsia="方正仿宋_GBK"/>
          <w:color w:val="000000"/>
          <w:spacing w:val="-2"/>
          <w:sz w:val="24"/>
        </w:rPr>
        <w:t>、与材料供应商的供货协议、主要装修材料进货凭证、材料质量合格证明、环保检测合格证明复印件；</w:t>
      </w:r>
    </w:p>
    <w:p>
      <w:pPr>
        <w:spacing w:line="460" w:lineRule="exact"/>
        <w:ind w:firstLine="472" w:firstLineChars="200"/>
        <w:rPr>
          <w:rFonts w:eastAsia="方正仿宋_GBK"/>
          <w:color w:val="000000"/>
          <w:spacing w:val="-2"/>
          <w:sz w:val="24"/>
        </w:rPr>
      </w:pPr>
      <w:r>
        <w:rPr>
          <w:rFonts w:eastAsia="方正仿宋_GBK"/>
          <w:color w:val="000000"/>
          <w:spacing w:val="-2"/>
          <w:sz w:val="24"/>
        </w:rPr>
        <w:t>9</w:t>
      </w:r>
      <w:r>
        <w:rPr>
          <w:rFonts w:hint="eastAsia" w:eastAsia="方正仿宋_GBK"/>
          <w:color w:val="000000"/>
          <w:spacing w:val="-2"/>
          <w:sz w:val="24"/>
        </w:rPr>
        <w:t>、证明企业设计能力的多媒体设计软件界面图片、设计案例等；</w:t>
      </w:r>
    </w:p>
    <w:p>
      <w:pPr>
        <w:spacing w:line="460" w:lineRule="exact"/>
        <w:ind w:firstLine="472" w:firstLineChars="200"/>
        <w:rPr>
          <w:rFonts w:eastAsia="方正仿宋_GBK"/>
          <w:color w:val="000000"/>
          <w:spacing w:val="-2"/>
          <w:sz w:val="24"/>
        </w:rPr>
      </w:pPr>
      <w:r>
        <w:rPr>
          <w:rFonts w:eastAsia="方正仿宋_GBK"/>
          <w:color w:val="000000"/>
          <w:spacing w:val="-2"/>
          <w:sz w:val="24"/>
        </w:rPr>
        <w:t>10</w:t>
      </w:r>
      <w:r>
        <w:rPr>
          <w:rFonts w:hint="eastAsia" w:eastAsia="方正仿宋_GBK"/>
          <w:color w:val="000000"/>
          <w:spacing w:val="-2"/>
          <w:sz w:val="24"/>
        </w:rPr>
        <w:t>、证明企业产业配套能力的配套供应商合作协议书、工厂生产场景图片、现场装配施工流程及场景图片等。</w:t>
      </w:r>
    </w:p>
    <w:p>
      <w:pPr>
        <w:rPr>
          <w:rFonts w:ascii="Times New Roman" w:eastAsia="黑体"/>
          <w:color w:val="000000"/>
          <w:spacing w:val="-2"/>
          <w:sz w:val="28"/>
          <w:szCs w:val="28"/>
        </w:rPr>
      </w:pPr>
      <w:r>
        <w:rPr>
          <w:color w:val="000000"/>
          <w:spacing w:val="-2"/>
          <w:sz w:val="28"/>
          <w:szCs w:val="28"/>
        </w:rPr>
        <w:br w:type="page"/>
      </w:r>
      <w:r>
        <w:rPr>
          <w:rFonts w:hint="eastAsia" w:ascii="Times New Roman" w:eastAsia="黑体"/>
          <w:color w:val="000000"/>
          <w:spacing w:val="-2"/>
          <w:sz w:val="28"/>
          <w:szCs w:val="28"/>
        </w:rPr>
        <w:t>附件3</w:t>
      </w:r>
    </w:p>
    <w:p>
      <w:pPr>
        <w:rPr>
          <w:rFonts w:hint="eastAsia" w:ascii="Times New Roman" w:eastAsia="黑体"/>
          <w:color w:val="000000"/>
          <w:spacing w:val="-2"/>
          <w:sz w:val="32"/>
          <w:szCs w:val="32"/>
        </w:rPr>
      </w:pPr>
    </w:p>
    <w:p>
      <w:pPr>
        <w:rPr>
          <w:rFonts w:hint="eastAsia" w:ascii="Times New Roman" w:eastAsia="黑体"/>
          <w:color w:val="000000"/>
          <w:spacing w:val="-2"/>
          <w:sz w:val="32"/>
          <w:szCs w:val="32"/>
        </w:rPr>
      </w:pPr>
    </w:p>
    <w:p>
      <w:pPr>
        <w:rPr>
          <w:rFonts w:hint="eastAsia" w:ascii="Times New Roman" w:eastAsia="黑体"/>
          <w:color w:val="000000"/>
          <w:spacing w:val="-2"/>
          <w:sz w:val="32"/>
          <w:szCs w:val="32"/>
        </w:rPr>
      </w:pPr>
    </w:p>
    <w:p>
      <w:pPr>
        <w:rPr>
          <w:rFonts w:hint="eastAsia" w:ascii="Times New Roman" w:eastAsia="黑体"/>
          <w:color w:val="000000"/>
          <w:spacing w:val="-2"/>
          <w:sz w:val="32"/>
          <w:szCs w:val="32"/>
        </w:rPr>
      </w:pPr>
    </w:p>
    <w:p>
      <w:pPr>
        <w:jc w:val="center"/>
        <w:rPr>
          <w:rFonts w:hint="eastAsia"/>
          <w:color w:val="000000"/>
          <w:spacing w:val="-2"/>
          <w:sz w:val="44"/>
          <w:szCs w:val="44"/>
        </w:rPr>
      </w:pPr>
      <w:r>
        <w:rPr>
          <w:rFonts w:hint="eastAsia" w:hAnsi="Times New Roman"/>
          <w:color w:val="000000"/>
          <w:spacing w:val="-2"/>
          <w:sz w:val="44"/>
          <w:szCs w:val="44"/>
        </w:rPr>
        <w:t>江苏省住宅装修放心消费优质企业</w:t>
      </w:r>
    </w:p>
    <w:p>
      <w:pPr>
        <w:jc w:val="center"/>
        <w:rPr>
          <w:color w:val="000000"/>
          <w:spacing w:val="-2"/>
          <w:sz w:val="44"/>
          <w:szCs w:val="44"/>
        </w:rPr>
      </w:pPr>
      <w:r>
        <w:rPr>
          <w:rFonts w:hint="eastAsia" w:hAnsi="Times New Roman"/>
          <w:color w:val="000000"/>
          <w:spacing w:val="-2"/>
          <w:sz w:val="44"/>
          <w:szCs w:val="44"/>
        </w:rPr>
        <w:t>申</w:t>
      </w:r>
      <w:r>
        <w:rPr>
          <w:color w:val="000000"/>
          <w:spacing w:val="-2"/>
          <w:sz w:val="44"/>
          <w:szCs w:val="44"/>
        </w:rPr>
        <w:t xml:space="preserve"> </w:t>
      </w:r>
      <w:r>
        <w:rPr>
          <w:rFonts w:hint="eastAsia" w:hAnsi="Times New Roman"/>
          <w:color w:val="000000"/>
          <w:spacing w:val="-2"/>
          <w:sz w:val="44"/>
          <w:szCs w:val="44"/>
        </w:rPr>
        <w:t>报</w:t>
      </w:r>
      <w:r>
        <w:rPr>
          <w:color w:val="000000"/>
          <w:spacing w:val="-2"/>
          <w:sz w:val="44"/>
          <w:szCs w:val="44"/>
        </w:rPr>
        <w:t xml:space="preserve"> </w:t>
      </w:r>
      <w:r>
        <w:rPr>
          <w:rFonts w:hint="eastAsia" w:hAnsi="Times New Roman"/>
          <w:color w:val="000000"/>
          <w:spacing w:val="-2"/>
          <w:sz w:val="44"/>
          <w:szCs w:val="44"/>
        </w:rPr>
        <w:t>表</w:t>
      </w:r>
    </w:p>
    <w:p>
      <w:pPr>
        <w:rPr>
          <w:rFonts w:hAnsi="Times New Roman"/>
          <w:b/>
          <w:color w:val="000000"/>
          <w:spacing w:val="-2"/>
          <w:sz w:val="28"/>
          <w:szCs w:val="28"/>
        </w:rPr>
      </w:pPr>
      <w:r>
        <w:rPr>
          <w:rFonts w:hint="eastAsia" w:hAnsi="Times New Roman"/>
          <w:b/>
          <w:color w:val="000000"/>
          <w:spacing w:val="-2"/>
          <w:sz w:val="28"/>
          <w:szCs w:val="28"/>
        </w:rPr>
        <w:t>　　</w:t>
      </w:r>
    </w:p>
    <w:p>
      <w:pPr>
        <w:rPr>
          <w:rFonts w:hAnsi="Times New Roman"/>
          <w:b/>
          <w:color w:val="000000"/>
          <w:spacing w:val="-2"/>
          <w:sz w:val="28"/>
          <w:szCs w:val="28"/>
        </w:rPr>
      </w:pPr>
    </w:p>
    <w:p>
      <w:pPr>
        <w:rPr>
          <w:rFonts w:hAnsi="Times New Roman"/>
          <w:b/>
          <w:color w:val="000000"/>
          <w:spacing w:val="-2"/>
          <w:sz w:val="28"/>
          <w:szCs w:val="28"/>
        </w:rPr>
      </w:pPr>
    </w:p>
    <w:p>
      <w:pPr>
        <w:rPr>
          <w:rFonts w:hAnsi="Times New Roman"/>
          <w:b/>
          <w:color w:val="000000"/>
          <w:spacing w:val="-2"/>
          <w:sz w:val="28"/>
          <w:szCs w:val="28"/>
        </w:rPr>
      </w:pPr>
    </w:p>
    <w:p>
      <w:pPr>
        <w:rPr>
          <w:b/>
          <w:color w:val="000000"/>
          <w:spacing w:val="-2"/>
          <w:sz w:val="28"/>
          <w:szCs w:val="28"/>
        </w:rPr>
      </w:pPr>
    </w:p>
    <w:p>
      <w:pPr>
        <w:rPr>
          <w:b/>
          <w:color w:val="000000"/>
          <w:spacing w:val="-2"/>
          <w:sz w:val="28"/>
          <w:szCs w:val="28"/>
        </w:rPr>
      </w:pPr>
    </w:p>
    <w:p>
      <w:pPr>
        <w:ind w:firstLine="1352" w:firstLineChars="490"/>
        <w:jc w:val="left"/>
        <w:rPr>
          <w:color w:val="000000"/>
          <w:spacing w:val="-2"/>
          <w:sz w:val="28"/>
          <w:szCs w:val="28"/>
        </w:rPr>
      </w:pPr>
      <w:r>
        <w:rPr>
          <w:rFonts w:hint="eastAsia" w:hAnsi="Times New Roman"/>
          <w:color w:val="000000"/>
          <w:spacing w:val="-2"/>
          <w:sz w:val="28"/>
          <w:szCs w:val="28"/>
        </w:rPr>
        <w:t>申报单位全称（盖章）：</w:t>
      </w:r>
    </w:p>
    <w:p>
      <w:pPr>
        <w:ind w:firstLine="1352" w:firstLineChars="490"/>
        <w:jc w:val="left"/>
        <w:rPr>
          <w:color w:val="000000"/>
          <w:spacing w:val="-2"/>
          <w:sz w:val="28"/>
          <w:szCs w:val="28"/>
        </w:rPr>
      </w:pPr>
      <w:r>
        <w:rPr>
          <w:rFonts w:hint="eastAsia" w:hAnsi="Times New Roman"/>
          <w:color w:val="000000"/>
          <w:spacing w:val="-2"/>
          <w:sz w:val="28"/>
          <w:szCs w:val="28"/>
        </w:rPr>
        <w:t>　　</w:t>
      </w:r>
      <w:r>
        <w:rPr>
          <w:color w:val="000000"/>
          <w:spacing w:val="-2"/>
          <w:sz w:val="28"/>
          <w:szCs w:val="28"/>
        </w:rPr>
        <w:t xml:space="preserve">      </w:t>
      </w:r>
      <w:r>
        <w:rPr>
          <w:rFonts w:hint="eastAsia" w:hAnsi="Times New Roman"/>
          <w:color w:val="000000"/>
          <w:spacing w:val="-2"/>
          <w:sz w:val="28"/>
          <w:szCs w:val="28"/>
        </w:rPr>
        <w:t>地　址：</w:t>
      </w:r>
    </w:p>
    <w:p>
      <w:pPr>
        <w:ind w:firstLine="2729" w:firstLineChars="989"/>
        <w:jc w:val="left"/>
        <w:rPr>
          <w:color w:val="000000"/>
          <w:spacing w:val="-2"/>
          <w:sz w:val="28"/>
          <w:szCs w:val="28"/>
        </w:rPr>
      </w:pPr>
      <w:r>
        <w:rPr>
          <w:rFonts w:hint="eastAsia" w:hAnsi="Times New Roman"/>
          <w:color w:val="000000"/>
          <w:spacing w:val="-2"/>
          <w:sz w:val="28"/>
          <w:szCs w:val="28"/>
        </w:rPr>
        <w:t>邮</w:t>
      </w:r>
      <w:r>
        <w:rPr>
          <w:color w:val="000000"/>
          <w:spacing w:val="-2"/>
          <w:sz w:val="28"/>
          <w:szCs w:val="28"/>
        </w:rPr>
        <w:t xml:space="preserve">  </w:t>
      </w:r>
      <w:r>
        <w:rPr>
          <w:rFonts w:hint="eastAsia" w:hAnsi="Times New Roman"/>
          <w:color w:val="000000"/>
          <w:spacing w:val="-2"/>
          <w:sz w:val="28"/>
          <w:szCs w:val="28"/>
        </w:rPr>
        <w:t>编：</w:t>
      </w:r>
    </w:p>
    <w:p>
      <w:pPr>
        <w:ind w:firstLine="1352" w:firstLineChars="490"/>
        <w:jc w:val="left"/>
        <w:rPr>
          <w:color w:val="000000"/>
          <w:spacing w:val="-2"/>
          <w:sz w:val="28"/>
          <w:szCs w:val="28"/>
        </w:rPr>
      </w:pPr>
      <w:r>
        <w:rPr>
          <w:rFonts w:hint="eastAsia" w:hAnsi="Times New Roman"/>
          <w:color w:val="000000"/>
          <w:spacing w:val="-2"/>
          <w:sz w:val="28"/>
          <w:szCs w:val="28"/>
        </w:rPr>
        <w:t>　　</w:t>
      </w:r>
      <w:r>
        <w:rPr>
          <w:color w:val="000000"/>
          <w:spacing w:val="-2"/>
          <w:sz w:val="28"/>
          <w:szCs w:val="28"/>
        </w:rPr>
        <w:t xml:space="preserve">      </w:t>
      </w:r>
      <w:r>
        <w:rPr>
          <w:rFonts w:hint="eastAsia" w:hAnsi="Times New Roman"/>
          <w:color w:val="000000"/>
          <w:spacing w:val="-2"/>
          <w:sz w:val="28"/>
          <w:szCs w:val="28"/>
        </w:rPr>
        <w:t>电　话：</w:t>
      </w:r>
    </w:p>
    <w:p>
      <w:pPr>
        <w:ind w:firstLine="1352" w:firstLineChars="490"/>
        <w:jc w:val="left"/>
        <w:rPr>
          <w:color w:val="000000"/>
          <w:spacing w:val="-2"/>
          <w:sz w:val="28"/>
          <w:szCs w:val="28"/>
        </w:rPr>
      </w:pPr>
      <w:r>
        <w:rPr>
          <w:rFonts w:hint="eastAsia" w:hAnsi="Times New Roman"/>
          <w:color w:val="000000"/>
          <w:spacing w:val="-2"/>
          <w:sz w:val="28"/>
          <w:szCs w:val="28"/>
        </w:rPr>
        <w:t>　　</w:t>
      </w:r>
      <w:r>
        <w:rPr>
          <w:color w:val="000000"/>
          <w:spacing w:val="-2"/>
          <w:sz w:val="28"/>
          <w:szCs w:val="28"/>
        </w:rPr>
        <w:t xml:space="preserve">      </w:t>
      </w:r>
      <w:r>
        <w:rPr>
          <w:rFonts w:hint="eastAsia" w:hAnsi="Times New Roman"/>
          <w:color w:val="000000"/>
          <w:spacing w:val="-2"/>
          <w:sz w:val="28"/>
          <w:szCs w:val="28"/>
        </w:rPr>
        <w:t>传　真：</w:t>
      </w:r>
    </w:p>
    <w:p>
      <w:pPr>
        <w:ind w:firstLine="1352" w:firstLineChars="490"/>
        <w:jc w:val="left"/>
        <w:rPr>
          <w:color w:val="000000"/>
          <w:spacing w:val="-2"/>
          <w:sz w:val="28"/>
          <w:szCs w:val="28"/>
        </w:rPr>
      </w:pPr>
      <w:r>
        <w:rPr>
          <w:rFonts w:hint="eastAsia" w:hAnsi="Times New Roman"/>
          <w:color w:val="000000"/>
          <w:spacing w:val="-2"/>
          <w:sz w:val="28"/>
          <w:szCs w:val="28"/>
        </w:rPr>
        <w:t>　　</w:t>
      </w:r>
      <w:r>
        <w:rPr>
          <w:color w:val="000000"/>
          <w:spacing w:val="-2"/>
          <w:sz w:val="28"/>
          <w:szCs w:val="28"/>
        </w:rPr>
        <w:t xml:space="preserve">      </w:t>
      </w:r>
      <w:r>
        <w:rPr>
          <w:rFonts w:hint="eastAsia" w:hAnsi="Times New Roman"/>
          <w:color w:val="000000"/>
          <w:spacing w:val="-2"/>
          <w:sz w:val="28"/>
          <w:szCs w:val="28"/>
        </w:rPr>
        <w:t>联系人：</w:t>
      </w:r>
    </w:p>
    <w:p>
      <w:pPr>
        <w:ind w:firstLine="2691" w:firstLineChars="975"/>
        <w:jc w:val="left"/>
        <w:rPr>
          <w:color w:val="000000"/>
          <w:spacing w:val="-2"/>
          <w:sz w:val="28"/>
          <w:szCs w:val="28"/>
        </w:rPr>
      </w:pPr>
      <w:r>
        <w:rPr>
          <w:rFonts w:hint="eastAsia" w:hAnsi="Times New Roman"/>
          <w:color w:val="000000"/>
          <w:spacing w:val="-2"/>
          <w:sz w:val="28"/>
          <w:szCs w:val="28"/>
        </w:rPr>
        <w:t>联系人电话：</w:t>
      </w:r>
    </w:p>
    <w:p>
      <w:pPr>
        <w:jc w:val="left"/>
        <w:rPr>
          <w:color w:val="000000"/>
          <w:spacing w:val="-2"/>
          <w:sz w:val="28"/>
          <w:szCs w:val="28"/>
        </w:rPr>
      </w:pPr>
      <w:r>
        <w:rPr>
          <w:rFonts w:hint="eastAsia" w:hAnsi="Times New Roman"/>
          <w:color w:val="000000"/>
          <w:spacing w:val="-2"/>
          <w:sz w:val="28"/>
          <w:szCs w:val="28"/>
        </w:rPr>
        <w:t>　　　　　　　　　　　</w:t>
      </w:r>
    </w:p>
    <w:p>
      <w:pPr>
        <w:jc w:val="left"/>
        <w:rPr>
          <w:color w:val="000000"/>
          <w:spacing w:val="-2"/>
          <w:sz w:val="28"/>
          <w:szCs w:val="28"/>
        </w:rPr>
      </w:pPr>
    </w:p>
    <w:p>
      <w:pPr>
        <w:jc w:val="left"/>
        <w:rPr>
          <w:color w:val="000000"/>
          <w:spacing w:val="-2"/>
          <w:sz w:val="28"/>
          <w:szCs w:val="28"/>
        </w:rPr>
      </w:pPr>
      <w:r>
        <w:rPr>
          <w:rFonts w:hint="eastAsia" w:hAnsi="Times New Roman"/>
          <w:color w:val="000000"/>
          <w:spacing w:val="-2"/>
          <w:sz w:val="28"/>
          <w:szCs w:val="28"/>
        </w:rPr>
        <w:t>　　　　　　　　　　　　　　　　　　　　　　</w:t>
      </w:r>
    </w:p>
    <w:p>
      <w:pPr>
        <w:ind w:firstLine="2042" w:firstLineChars="740"/>
        <w:jc w:val="left"/>
        <w:rPr>
          <w:color w:val="000000"/>
          <w:spacing w:val="-2"/>
          <w:sz w:val="28"/>
          <w:szCs w:val="28"/>
        </w:rPr>
      </w:pPr>
      <w:r>
        <w:rPr>
          <w:rFonts w:hint="eastAsia" w:hAnsi="Times New Roman"/>
          <w:color w:val="000000"/>
          <w:spacing w:val="-2"/>
          <w:sz w:val="28"/>
          <w:szCs w:val="28"/>
        </w:rPr>
        <w:t>申报时间</w:t>
      </w:r>
      <w:r>
        <w:rPr>
          <w:color w:val="000000"/>
          <w:spacing w:val="-2"/>
          <w:sz w:val="28"/>
          <w:szCs w:val="28"/>
        </w:rPr>
        <w:t>:</w:t>
      </w:r>
      <w:r>
        <w:rPr>
          <w:rFonts w:hint="eastAsia" w:hAnsi="Times New Roman"/>
          <w:color w:val="000000"/>
          <w:spacing w:val="-2"/>
          <w:sz w:val="28"/>
          <w:szCs w:val="28"/>
        </w:rPr>
        <w:t>　　　年　　月　　日</w:t>
      </w:r>
    </w:p>
    <w:p>
      <w:pPr>
        <w:ind w:left="2318" w:hanging="2318" w:hangingChars="840"/>
        <w:rPr>
          <w:rFonts w:hAnsi="Times New Roman"/>
          <w:color w:val="000000"/>
          <w:spacing w:val="-2"/>
          <w:sz w:val="28"/>
          <w:szCs w:val="28"/>
        </w:rPr>
      </w:pPr>
      <w:r>
        <w:rPr>
          <w:rFonts w:hint="eastAsia" w:hAnsi="Times New Roman"/>
          <w:color w:val="000000"/>
          <w:spacing w:val="-2"/>
          <w:sz w:val="28"/>
          <w:szCs w:val="28"/>
        </w:rPr>
        <w:t>　　　　　　　　　　　　</w:t>
      </w:r>
    </w:p>
    <w:p>
      <w:pPr>
        <w:ind w:left="2318" w:hanging="2318" w:hangingChars="840"/>
        <w:rPr>
          <w:color w:val="000000"/>
          <w:spacing w:val="-2"/>
          <w:sz w:val="28"/>
          <w:szCs w:val="28"/>
        </w:rPr>
      </w:pPr>
    </w:p>
    <w:p>
      <w:pPr>
        <w:ind w:left="2318" w:hanging="2318" w:hangingChars="840"/>
        <w:rPr>
          <w:color w:val="000000"/>
          <w:spacing w:val="-2"/>
          <w:sz w:val="28"/>
          <w:szCs w:val="28"/>
        </w:rPr>
      </w:pPr>
    </w:p>
    <w:p>
      <w:pPr>
        <w:ind w:left="2318" w:hanging="2318" w:hangingChars="840"/>
        <w:rPr>
          <w:color w:val="000000"/>
          <w:spacing w:val="-2"/>
          <w:sz w:val="28"/>
          <w:szCs w:val="28"/>
        </w:rPr>
      </w:pPr>
    </w:p>
    <w:p>
      <w:pPr>
        <w:ind w:left="2318" w:hanging="2318" w:hangingChars="840"/>
        <w:rPr>
          <w:color w:val="000000"/>
          <w:spacing w:val="-2"/>
          <w:sz w:val="28"/>
          <w:szCs w:val="28"/>
        </w:rPr>
      </w:pPr>
    </w:p>
    <w:p>
      <w:pPr>
        <w:ind w:left="2318" w:hanging="2318" w:hangingChars="840"/>
        <w:rPr>
          <w:color w:val="000000"/>
          <w:spacing w:val="-2"/>
          <w:sz w:val="28"/>
          <w:szCs w:val="28"/>
        </w:rPr>
      </w:pPr>
    </w:p>
    <w:p>
      <w:pPr>
        <w:ind w:left="2318" w:hanging="2318" w:hangingChars="840"/>
        <w:rPr>
          <w:color w:val="000000"/>
          <w:spacing w:val="-2"/>
          <w:sz w:val="28"/>
          <w:szCs w:val="28"/>
        </w:rPr>
      </w:pPr>
    </w:p>
    <w:p>
      <w:pPr>
        <w:ind w:left="2318" w:hanging="2318" w:hangingChars="840"/>
        <w:rPr>
          <w:color w:val="000000"/>
          <w:spacing w:val="-2"/>
          <w:sz w:val="28"/>
          <w:szCs w:val="28"/>
        </w:rPr>
      </w:pPr>
    </w:p>
    <w:p>
      <w:pPr>
        <w:ind w:left="2318" w:hanging="2318" w:hangingChars="840"/>
        <w:rPr>
          <w:color w:val="000000"/>
          <w:spacing w:val="-2"/>
          <w:sz w:val="28"/>
          <w:szCs w:val="28"/>
        </w:rPr>
      </w:pPr>
    </w:p>
    <w:p>
      <w:pPr>
        <w:jc w:val="center"/>
        <w:rPr>
          <w:rFonts w:eastAsia="黑体"/>
          <w:color w:val="000000"/>
          <w:spacing w:val="-2"/>
          <w:sz w:val="32"/>
          <w:szCs w:val="32"/>
        </w:rPr>
      </w:pPr>
      <w:r>
        <w:rPr>
          <w:rFonts w:hint="eastAsia" w:eastAsia="黑体"/>
          <w:color w:val="000000"/>
          <w:spacing w:val="-2"/>
          <w:sz w:val="32"/>
          <w:szCs w:val="32"/>
        </w:rPr>
        <w:t>江苏省住宅装修放心消费创建办公室</w:t>
      </w:r>
    </w:p>
    <w:p>
      <w:pPr>
        <w:widowControl/>
        <w:jc w:val="left"/>
        <w:rPr>
          <w:rFonts w:eastAsia="黑体"/>
          <w:color w:val="000000"/>
          <w:spacing w:val="-2"/>
          <w:sz w:val="32"/>
          <w:szCs w:val="32"/>
        </w:rPr>
        <w:sectPr>
          <w:pgSz w:w="11905" w:h="16838"/>
          <w:pgMar w:top="1701" w:right="1587" w:bottom="1701" w:left="1587" w:header="850" w:footer="1361" w:gutter="0"/>
          <w:paperSrc w:first="4" w:other="4"/>
          <w:cols w:space="720" w:num="1"/>
        </w:sectPr>
      </w:pP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288"/>
        <w:gridCol w:w="141"/>
        <w:gridCol w:w="1564"/>
        <w:gridCol w:w="1800"/>
        <w:gridCol w:w="2098"/>
        <w:gridCol w:w="1492"/>
        <w:gridCol w:w="1129"/>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29" w:type="dxa"/>
            <w:gridSpan w:val="2"/>
            <w:tcBorders>
              <w:top w:val="single" w:color="auto" w:sz="8" w:space="0"/>
              <w:left w:val="single" w:color="auto" w:sz="8"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lang w:val="zh-CN"/>
              </w:rPr>
            </w:pPr>
            <w:r>
              <w:rPr>
                <w:rFonts w:hint="eastAsia" w:eastAsia="方正仿宋_GBK"/>
                <w:color w:val="000000"/>
                <w:spacing w:val="-2"/>
                <w:kern w:val="0"/>
                <w:szCs w:val="21"/>
                <w:lang w:val="zh-CN"/>
              </w:rPr>
              <w:t>单位名称</w:t>
            </w:r>
          </w:p>
        </w:tc>
        <w:tc>
          <w:tcPr>
            <w:tcW w:w="8083" w:type="dxa"/>
            <w:gridSpan w:val="5"/>
            <w:tcBorders>
              <w:top w:val="single" w:color="auto" w:sz="8" w:space="0"/>
              <w:left w:val="single" w:color="auto" w:sz="6" w:space="0"/>
              <w:bottom w:val="single" w:color="auto" w:sz="6" w:space="0"/>
              <w:right w:val="single" w:color="auto" w:sz="8" w:space="0"/>
            </w:tcBorders>
            <w:noWrap w:val="0"/>
            <w:vAlign w:val="center"/>
          </w:tcPr>
          <w:p>
            <w:pPr>
              <w:autoSpaceDE w:val="0"/>
              <w:autoSpaceDN w:val="0"/>
              <w:spacing w:line="240" w:lineRule="exact"/>
              <w:jc w:val="center"/>
              <w:rPr>
                <w:rFonts w:eastAsia="方正仿宋_GBK"/>
                <w:color w:val="000000"/>
                <w:spacing w:val="-2"/>
                <w:kern w:val="0"/>
                <w:szCs w:val="21"/>
                <w:lang w:val="zh-CN"/>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4" w:hRule="exact"/>
          <w:jc w:val="center"/>
        </w:trPr>
        <w:tc>
          <w:tcPr>
            <w:tcW w:w="1429" w:type="dxa"/>
            <w:gridSpan w:val="2"/>
            <w:tcBorders>
              <w:top w:val="single" w:color="auto" w:sz="6" w:space="0"/>
              <w:left w:val="single" w:color="auto" w:sz="8"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lang w:val="zh-CN"/>
              </w:rPr>
            </w:pPr>
            <w:r>
              <w:rPr>
                <w:rFonts w:hint="eastAsia" w:eastAsia="方正仿宋_GBK"/>
                <w:color w:val="000000"/>
                <w:spacing w:val="-2"/>
                <w:kern w:val="0"/>
                <w:szCs w:val="21"/>
                <w:lang w:val="zh-CN"/>
              </w:rPr>
              <w:t>法人代表人</w:t>
            </w:r>
          </w:p>
        </w:tc>
        <w:tc>
          <w:tcPr>
            <w:tcW w:w="1564"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lang w:val="zh-CN"/>
              </w:rPr>
            </w:pPr>
          </w:p>
        </w:tc>
        <w:tc>
          <w:tcPr>
            <w:tcW w:w="1800"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lang w:val="zh-CN"/>
              </w:rPr>
            </w:pPr>
            <w:r>
              <w:rPr>
                <w:rFonts w:hint="eastAsia" w:eastAsia="方正仿宋_GBK"/>
                <w:color w:val="000000"/>
                <w:spacing w:val="-2"/>
                <w:kern w:val="0"/>
                <w:szCs w:val="21"/>
                <w:lang w:val="zh-CN"/>
              </w:rPr>
              <w:t>资质等级</w:t>
            </w:r>
          </w:p>
        </w:tc>
        <w:tc>
          <w:tcPr>
            <w:tcW w:w="2098"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lang w:val="zh-CN"/>
              </w:rPr>
            </w:pPr>
          </w:p>
        </w:tc>
        <w:tc>
          <w:tcPr>
            <w:tcW w:w="1492"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lang w:val="zh-CN"/>
              </w:rPr>
            </w:pPr>
            <w:r>
              <w:rPr>
                <w:rFonts w:hint="eastAsia" w:eastAsia="方正仿宋_GBK"/>
                <w:color w:val="000000"/>
                <w:spacing w:val="-2"/>
                <w:kern w:val="0"/>
                <w:szCs w:val="21"/>
                <w:lang w:val="zh-CN"/>
              </w:rPr>
              <w:t>成立日期</w:t>
            </w:r>
          </w:p>
        </w:tc>
        <w:tc>
          <w:tcPr>
            <w:tcW w:w="1129" w:type="dxa"/>
            <w:tcBorders>
              <w:top w:val="single" w:color="auto" w:sz="6" w:space="0"/>
              <w:left w:val="single" w:color="auto" w:sz="6" w:space="0"/>
              <w:bottom w:val="single" w:color="auto" w:sz="6" w:space="0"/>
              <w:right w:val="single" w:color="auto" w:sz="8" w:space="0"/>
            </w:tcBorders>
            <w:noWrap w:val="0"/>
            <w:vAlign w:val="center"/>
          </w:tcPr>
          <w:p>
            <w:pPr>
              <w:autoSpaceDE w:val="0"/>
              <w:autoSpaceDN w:val="0"/>
              <w:spacing w:line="240" w:lineRule="exact"/>
              <w:jc w:val="center"/>
              <w:rPr>
                <w:rFonts w:eastAsia="方正仿宋_GBK"/>
                <w:color w:val="000000"/>
                <w:spacing w:val="-2"/>
                <w:kern w:val="0"/>
                <w:szCs w:val="21"/>
                <w:lang w:val="zh-CN"/>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5" w:hRule="atLeast"/>
          <w:jc w:val="center"/>
        </w:trPr>
        <w:tc>
          <w:tcPr>
            <w:tcW w:w="1429" w:type="dxa"/>
            <w:gridSpan w:val="2"/>
            <w:vMerge w:val="restart"/>
            <w:tcBorders>
              <w:top w:val="single" w:color="auto" w:sz="6" w:space="0"/>
              <w:left w:val="single" w:color="auto" w:sz="8"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lang w:val="zh-CN"/>
              </w:rPr>
            </w:pPr>
            <w:r>
              <w:rPr>
                <w:rFonts w:hint="eastAsia" w:eastAsia="方正仿宋_GBK"/>
                <w:color w:val="000000"/>
                <w:spacing w:val="-2"/>
                <w:kern w:val="0"/>
                <w:szCs w:val="21"/>
                <w:lang w:val="zh-CN"/>
              </w:rPr>
              <w:t>在册员工</w:t>
            </w:r>
          </w:p>
        </w:tc>
        <w:tc>
          <w:tcPr>
            <w:tcW w:w="1564" w:type="dxa"/>
            <w:vMerge w:val="restart"/>
            <w:tcBorders>
              <w:top w:val="single" w:color="auto" w:sz="6" w:space="0"/>
              <w:left w:val="single" w:color="auto" w:sz="6"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lang w:val="zh-CN"/>
              </w:rPr>
            </w:pP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名</w:t>
            </w:r>
          </w:p>
        </w:tc>
        <w:tc>
          <w:tcPr>
            <w:tcW w:w="3898"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lang w:val="zh-CN"/>
              </w:rPr>
            </w:pPr>
            <w:r>
              <w:rPr>
                <w:rFonts w:hint="eastAsia" w:eastAsia="方正仿宋_GBK"/>
                <w:color w:val="000000"/>
                <w:spacing w:val="-2"/>
                <w:kern w:val="0"/>
                <w:szCs w:val="21"/>
                <w:lang w:val="zh-CN"/>
              </w:rPr>
              <w:t>其中：技术、经济管理人员</w:t>
            </w:r>
          </w:p>
        </w:tc>
        <w:tc>
          <w:tcPr>
            <w:tcW w:w="2621" w:type="dxa"/>
            <w:gridSpan w:val="2"/>
            <w:tcBorders>
              <w:top w:val="single" w:color="auto" w:sz="6" w:space="0"/>
              <w:left w:val="single" w:color="auto" w:sz="6" w:space="0"/>
              <w:bottom w:val="single" w:color="auto" w:sz="6" w:space="0"/>
              <w:right w:val="single" w:color="auto" w:sz="8" w:space="0"/>
            </w:tcBorders>
            <w:noWrap w:val="0"/>
            <w:vAlign w:val="center"/>
          </w:tcPr>
          <w:p>
            <w:pPr>
              <w:autoSpaceDE w:val="0"/>
              <w:autoSpaceDN w:val="0"/>
              <w:spacing w:line="240" w:lineRule="exact"/>
              <w:jc w:val="right"/>
              <w:rPr>
                <w:rFonts w:eastAsia="方正仿宋_GBK"/>
                <w:color w:val="000000"/>
                <w:spacing w:val="-2"/>
                <w:kern w:val="0"/>
                <w:szCs w:val="21"/>
                <w:lang w:val="zh-CN"/>
              </w:rPr>
            </w:pP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名</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5" w:hRule="atLeast"/>
          <w:jc w:val="center"/>
        </w:trPr>
        <w:tc>
          <w:tcPr>
            <w:tcW w:w="1429" w:type="dxa"/>
            <w:gridSpan w:val="2"/>
            <w:vMerge w:val="continue"/>
            <w:tcBorders>
              <w:top w:val="single" w:color="auto" w:sz="6" w:space="0"/>
              <w:left w:val="single" w:color="auto" w:sz="8" w:space="0"/>
              <w:bottom w:val="single" w:color="auto" w:sz="6" w:space="0"/>
              <w:right w:val="single" w:color="auto" w:sz="6" w:space="0"/>
            </w:tcBorders>
            <w:noWrap w:val="0"/>
            <w:vAlign w:val="center"/>
          </w:tcPr>
          <w:p>
            <w:pPr>
              <w:widowControl/>
              <w:jc w:val="left"/>
              <w:rPr>
                <w:rFonts w:eastAsia="方正仿宋_GBK"/>
                <w:color w:val="000000"/>
                <w:spacing w:val="-2"/>
                <w:kern w:val="0"/>
                <w:szCs w:val="21"/>
                <w:lang w:val="zh-CN"/>
              </w:rPr>
            </w:pPr>
          </w:p>
        </w:tc>
        <w:tc>
          <w:tcPr>
            <w:tcW w:w="1564"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jc w:val="left"/>
              <w:rPr>
                <w:rFonts w:eastAsia="方正仿宋_GBK"/>
                <w:color w:val="000000"/>
                <w:spacing w:val="-2"/>
                <w:kern w:val="0"/>
                <w:szCs w:val="21"/>
                <w:lang w:val="zh-CN"/>
              </w:rPr>
            </w:pPr>
          </w:p>
        </w:tc>
        <w:tc>
          <w:tcPr>
            <w:tcW w:w="3898"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rPr>
            </w:pPr>
            <w:r>
              <w:rPr>
                <w:rFonts w:hint="eastAsia" w:eastAsia="方正仿宋_GBK"/>
                <w:color w:val="000000"/>
                <w:spacing w:val="-2"/>
                <w:kern w:val="0"/>
                <w:szCs w:val="21"/>
              </w:rPr>
              <w:t>施工员、持证上岗人数</w:t>
            </w:r>
          </w:p>
        </w:tc>
        <w:tc>
          <w:tcPr>
            <w:tcW w:w="2621" w:type="dxa"/>
            <w:gridSpan w:val="2"/>
            <w:tcBorders>
              <w:top w:val="single" w:color="auto" w:sz="6" w:space="0"/>
              <w:left w:val="single" w:color="auto" w:sz="6" w:space="0"/>
              <w:bottom w:val="single" w:color="auto" w:sz="6" w:space="0"/>
              <w:right w:val="single" w:color="auto" w:sz="8" w:space="0"/>
            </w:tcBorders>
            <w:noWrap w:val="0"/>
            <w:vAlign w:val="center"/>
          </w:tcPr>
          <w:p>
            <w:pPr>
              <w:autoSpaceDE w:val="0"/>
              <w:autoSpaceDN w:val="0"/>
              <w:spacing w:line="240" w:lineRule="exact"/>
              <w:jc w:val="right"/>
              <w:rPr>
                <w:rFonts w:eastAsia="方正仿宋_GBK"/>
                <w:color w:val="000000"/>
                <w:spacing w:val="-2"/>
                <w:kern w:val="0"/>
                <w:szCs w:val="21"/>
                <w:lang w:val="zh-CN"/>
              </w:rPr>
            </w:pP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名</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55" w:hRule="atLeast"/>
          <w:jc w:val="center"/>
        </w:trPr>
        <w:tc>
          <w:tcPr>
            <w:tcW w:w="1429" w:type="dxa"/>
            <w:gridSpan w:val="2"/>
            <w:vMerge w:val="continue"/>
            <w:tcBorders>
              <w:top w:val="single" w:color="auto" w:sz="6" w:space="0"/>
              <w:left w:val="single" w:color="auto" w:sz="8" w:space="0"/>
              <w:bottom w:val="single" w:color="auto" w:sz="6" w:space="0"/>
              <w:right w:val="single" w:color="auto" w:sz="6" w:space="0"/>
            </w:tcBorders>
            <w:noWrap w:val="0"/>
            <w:vAlign w:val="center"/>
          </w:tcPr>
          <w:p>
            <w:pPr>
              <w:widowControl/>
              <w:jc w:val="left"/>
              <w:rPr>
                <w:rFonts w:eastAsia="方正仿宋_GBK"/>
                <w:color w:val="000000"/>
                <w:spacing w:val="-2"/>
                <w:kern w:val="0"/>
                <w:szCs w:val="21"/>
                <w:lang w:val="zh-CN"/>
              </w:rPr>
            </w:pPr>
          </w:p>
        </w:tc>
        <w:tc>
          <w:tcPr>
            <w:tcW w:w="1564" w:type="dxa"/>
            <w:vMerge w:val="continue"/>
            <w:tcBorders>
              <w:top w:val="single" w:color="auto" w:sz="6" w:space="0"/>
              <w:left w:val="single" w:color="auto" w:sz="6" w:space="0"/>
              <w:bottom w:val="single" w:color="auto" w:sz="6" w:space="0"/>
              <w:right w:val="single" w:color="auto" w:sz="6" w:space="0"/>
            </w:tcBorders>
            <w:noWrap w:val="0"/>
            <w:vAlign w:val="center"/>
          </w:tcPr>
          <w:p>
            <w:pPr>
              <w:widowControl/>
              <w:jc w:val="left"/>
              <w:rPr>
                <w:rFonts w:eastAsia="方正仿宋_GBK"/>
                <w:color w:val="000000"/>
                <w:spacing w:val="-2"/>
                <w:kern w:val="0"/>
                <w:szCs w:val="21"/>
                <w:lang w:val="zh-CN"/>
              </w:rPr>
            </w:pPr>
          </w:p>
        </w:tc>
        <w:tc>
          <w:tcPr>
            <w:tcW w:w="3898" w:type="dxa"/>
            <w:gridSpan w:val="2"/>
            <w:tcBorders>
              <w:top w:val="single" w:color="auto" w:sz="6" w:space="0"/>
              <w:left w:val="single" w:color="auto" w:sz="6" w:space="0"/>
              <w:bottom w:val="single" w:color="auto" w:sz="6" w:space="0"/>
              <w:right w:val="single" w:color="auto" w:sz="6" w:space="0"/>
            </w:tcBorders>
            <w:noWrap w:val="0"/>
            <w:vAlign w:val="center"/>
          </w:tcPr>
          <w:p>
            <w:pPr>
              <w:autoSpaceDE w:val="0"/>
              <w:autoSpaceDN w:val="0"/>
              <w:spacing w:line="240" w:lineRule="exact"/>
              <w:jc w:val="center"/>
              <w:rPr>
                <w:rFonts w:eastAsia="方正仿宋_GBK"/>
                <w:color w:val="000000"/>
                <w:spacing w:val="-2"/>
                <w:kern w:val="0"/>
                <w:szCs w:val="21"/>
              </w:rPr>
            </w:pPr>
            <w:r>
              <w:rPr>
                <w:rFonts w:hint="eastAsia" w:eastAsia="方正仿宋_GBK"/>
                <w:color w:val="000000"/>
                <w:spacing w:val="-2"/>
                <w:kern w:val="0"/>
                <w:szCs w:val="21"/>
              </w:rPr>
              <w:t>一、二级建造师，小管师</w:t>
            </w:r>
          </w:p>
        </w:tc>
        <w:tc>
          <w:tcPr>
            <w:tcW w:w="2621" w:type="dxa"/>
            <w:gridSpan w:val="2"/>
            <w:tcBorders>
              <w:top w:val="single" w:color="auto" w:sz="6" w:space="0"/>
              <w:left w:val="single" w:color="auto" w:sz="6" w:space="0"/>
              <w:bottom w:val="single" w:color="auto" w:sz="6" w:space="0"/>
              <w:right w:val="single" w:color="auto" w:sz="8" w:space="0"/>
            </w:tcBorders>
            <w:noWrap w:val="0"/>
            <w:vAlign w:val="center"/>
          </w:tcPr>
          <w:p>
            <w:pPr>
              <w:autoSpaceDE w:val="0"/>
              <w:autoSpaceDN w:val="0"/>
              <w:spacing w:line="240" w:lineRule="exact"/>
              <w:jc w:val="right"/>
              <w:rPr>
                <w:rFonts w:eastAsia="方正仿宋_GBK"/>
                <w:color w:val="000000"/>
                <w:spacing w:val="-2"/>
                <w:kern w:val="0"/>
                <w:szCs w:val="21"/>
              </w:rPr>
            </w:pPr>
            <w:r>
              <w:rPr>
                <w:rFonts w:eastAsia="方正仿宋_GBK"/>
                <w:color w:val="000000"/>
                <w:spacing w:val="-2"/>
                <w:kern w:val="0"/>
                <w:szCs w:val="21"/>
              </w:rPr>
              <w:t xml:space="preserve">   </w:t>
            </w:r>
            <w:r>
              <w:rPr>
                <w:rFonts w:hint="eastAsia" w:eastAsia="方正仿宋_GBK"/>
                <w:color w:val="000000"/>
                <w:spacing w:val="-2"/>
                <w:kern w:val="0"/>
                <w:szCs w:val="21"/>
              </w:rPr>
              <w:t>名</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659" w:hRule="atLeast"/>
          <w:jc w:val="center"/>
        </w:trPr>
        <w:tc>
          <w:tcPr>
            <w:tcW w:w="9512" w:type="dxa"/>
            <w:gridSpan w:val="7"/>
            <w:tcBorders>
              <w:top w:val="single" w:color="auto" w:sz="6" w:space="0"/>
              <w:left w:val="single" w:color="auto" w:sz="8" w:space="0"/>
              <w:bottom w:val="single" w:color="auto" w:sz="6" w:space="0"/>
              <w:right w:val="single" w:color="auto" w:sz="8" w:space="0"/>
            </w:tcBorders>
            <w:noWrap w:val="0"/>
            <w:vAlign w:val="top"/>
          </w:tcPr>
          <w:p>
            <w:pPr>
              <w:autoSpaceDE w:val="0"/>
              <w:autoSpaceDN w:val="0"/>
              <w:spacing w:line="240" w:lineRule="exact"/>
              <w:jc w:val="left"/>
              <w:rPr>
                <w:rFonts w:eastAsia="方正仿宋_GBK"/>
                <w:color w:val="000000"/>
                <w:spacing w:val="-2"/>
                <w:kern w:val="0"/>
                <w:szCs w:val="21"/>
                <w:lang w:val="zh-CN"/>
              </w:rPr>
            </w:pPr>
            <w:r>
              <w:rPr>
                <w:rFonts w:hint="eastAsia" w:eastAsia="方正仿宋_GBK"/>
                <w:color w:val="000000"/>
                <w:spacing w:val="-2"/>
                <w:kern w:val="0"/>
                <w:szCs w:val="21"/>
                <w:lang w:val="zh-CN"/>
              </w:rPr>
              <w:t>主要业绩和申报理由：（可另附）</w:t>
            </w:r>
          </w:p>
          <w:p>
            <w:pPr>
              <w:autoSpaceDE w:val="0"/>
              <w:autoSpaceDN w:val="0"/>
              <w:spacing w:line="240" w:lineRule="exact"/>
              <w:ind w:firstLine="6489" w:firstLineChars="3150"/>
              <w:jc w:val="left"/>
              <w:rPr>
                <w:rFonts w:eastAsia="方正仿宋_GBK"/>
                <w:color w:val="000000"/>
                <w:spacing w:val="-2"/>
                <w:kern w:val="0"/>
                <w:szCs w:val="21"/>
                <w:lang w:val="zh-CN"/>
              </w:rPr>
            </w:pPr>
          </w:p>
          <w:p>
            <w:pPr>
              <w:autoSpaceDE w:val="0"/>
              <w:autoSpaceDN w:val="0"/>
              <w:spacing w:line="240" w:lineRule="exact"/>
              <w:ind w:firstLine="6489" w:firstLineChars="3150"/>
              <w:jc w:val="left"/>
              <w:rPr>
                <w:rFonts w:eastAsia="方正仿宋_GBK"/>
                <w:color w:val="000000"/>
                <w:spacing w:val="-2"/>
                <w:kern w:val="0"/>
                <w:szCs w:val="21"/>
                <w:lang w:val="zh-CN"/>
              </w:rPr>
            </w:pPr>
          </w:p>
          <w:p>
            <w:pPr>
              <w:autoSpaceDE w:val="0"/>
              <w:autoSpaceDN w:val="0"/>
              <w:spacing w:line="240" w:lineRule="exact"/>
              <w:ind w:firstLine="6262" w:firstLineChars="3040"/>
              <w:jc w:val="left"/>
              <w:rPr>
                <w:rFonts w:eastAsia="方正仿宋_GBK"/>
                <w:color w:val="000000"/>
                <w:spacing w:val="-2"/>
                <w:kern w:val="0"/>
                <w:szCs w:val="21"/>
                <w:lang w:val="zh-CN"/>
              </w:rPr>
            </w:pPr>
            <w:r>
              <w:rPr>
                <w:rFonts w:hint="eastAsia" w:eastAsia="方正仿宋_GBK"/>
                <w:color w:val="000000"/>
                <w:spacing w:val="-2"/>
                <w:kern w:val="0"/>
                <w:szCs w:val="21"/>
                <w:lang w:val="zh-CN"/>
              </w:rPr>
              <w:t>申报单位（盖章）</w:t>
            </w:r>
          </w:p>
          <w:p>
            <w:pPr>
              <w:autoSpaceDE w:val="0"/>
              <w:autoSpaceDN w:val="0"/>
              <w:spacing w:line="240" w:lineRule="exact"/>
              <w:ind w:firstLine="6365" w:firstLineChars="3090"/>
              <w:jc w:val="left"/>
              <w:rPr>
                <w:rFonts w:eastAsia="方正仿宋_GBK"/>
                <w:color w:val="000000"/>
                <w:spacing w:val="-2"/>
                <w:kern w:val="0"/>
                <w:szCs w:val="21"/>
                <w:lang w:val="zh-CN"/>
              </w:rPr>
            </w:pP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年</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月</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日</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639" w:hRule="atLeast"/>
          <w:jc w:val="center"/>
        </w:trPr>
        <w:tc>
          <w:tcPr>
            <w:tcW w:w="1288" w:type="dxa"/>
            <w:tcBorders>
              <w:top w:val="single" w:color="auto" w:sz="6" w:space="0"/>
              <w:left w:val="single" w:color="auto" w:sz="8" w:space="0"/>
              <w:bottom w:val="single" w:color="auto" w:sz="6" w:space="0"/>
              <w:right w:val="single" w:color="auto" w:sz="6" w:space="0"/>
            </w:tcBorders>
            <w:noWrap w:val="0"/>
            <w:vAlign w:val="center"/>
          </w:tcPr>
          <w:p>
            <w:pPr>
              <w:autoSpaceDE w:val="0"/>
              <w:autoSpaceDN w:val="0"/>
              <w:spacing w:line="240" w:lineRule="exact"/>
              <w:rPr>
                <w:rFonts w:eastAsia="方正仿宋_GBK"/>
                <w:color w:val="000000"/>
                <w:spacing w:val="-2"/>
                <w:kern w:val="0"/>
                <w:szCs w:val="21"/>
                <w:lang w:val="zh-CN"/>
              </w:rPr>
            </w:pPr>
            <w:r>
              <w:rPr>
                <w:rFonts w:hint="eastAsia" w:eastAsia="方正仿宋_GBK"/>
                <w:color w:val="000000"/>
                <w:spacing w:val="-2"/>
                <w:kern w:val="0"/>
                <w:szCs w:val="21"/>
                <w:lang w:val="zh-CN"/>
              </w:rPr>
              <w:t>社区或消费者推荐意见（五个以上消费者姓名、装修地址、联系电话）</w:t>
            </w:r>
          </w:p>
        </w:tc>
        <w:tc>
          <w:tcPr>
            <w:tcW w:w="8224" w:type="dxa"/>
            <w:gridSpan w:val="6"/>
            <w:tcBorders>
              <w:top w:val="single" w:color="auto" w:sz="6" w:space="0"/>
              <w:left w:val="single" w:color="auto" w:sz="6" w:space="0"/>
              <w:bottom w:val="single" w:color="auto" w:sz="6" w:space="0"/>
              <w:right w:val="single" w:color="auto" w:sz="8" w:space="0"/>
            </w:tcBorders>
            <w:noWrap w:val="0"/>
            <w:vAlign w:val="top"/>
          </w:tcPr>
          <w:p>
            <w:pPr>
              <w:autoSpaceDE w:val="0"/>
              <w:autoSpaceDN w:val="0"/>
              <w:spacing w:line="240" w:lineRule="exact"/>
              <w:ind w:right="480"/>
              <w:rPr>
                <w:rFonts w:eastAsia="方正仿宋_GBK"/>
                <w:color w:val="000000"/>
                <w:spacing w:val="-2"/>
                <w:kern w:val="0"/>
                <w:szCs w:val="21"/>
              </w:rPr>
            </w:pPr>
          </w:p>
          <w:p>
            <w:pPr>
              <w:autoSpaceDE w:val="0"/>
              <w:autoSpaceDN w:val="0"/>
              <w:spacing w:line="240" w:lineRule="exact"/>
              <w:ind w:right="480"/>
              <w:rPr>
                <w:rFonts w:eastAsia="方正仿宋_GBK"/>
                <w:color w:val="000000"/>
                <w:spacing w:val="-2"/>
                <w:kern w:val="0"/>
                <w:szCs w:val="21"/>
              </w:rPr>
            </w:pPr>
          </w:p>
          <w:p>
            <w:pPr>
              <w:autoSpaceDE w:val="0"/>
              <w:autoSpaceDN w:val="0"/>
              <w:spacing w:line="240" w:lineRule="exact"/>
              <w:ind w:right="480" w:firstLine="4305" w:firstLineChars="2090"/>
              <w:rPr>
                <w:rFonts w:eastAsia="方正仿宋_GBK"/>
                <w:color w:val="000000"/>
                <w:spacing w:val="-2"/>
                <w:kern w:val="0"/>
                <w:szCs w:val="21"/>
              </w:rPr>
            </w:pPr>
          </w:p>
          <w:p>
            <w:pPr>
              <w:autoSpaceDE w:val="0"/>
              <w:autoSpaceDN w:val="0"/>
              <w:spacing w:line="240" w:lineRule="exact"/>
              <w:ind w:right="480" w:firstLine="4305" w:firstLineChars="2090"/>
              <w:rPr>
                <w:rFonts w:eastAsia="方正仿宋_GBK"/>
                <w:color w:val="000000"/>
                <w:spacing w:val="-2"/>
                <w:kern w:val="0"/>
                <w:szCs w:val="21"/>
              </w:rPr>
            </w:pPr>
          </w:p>
          <w:p>
            <w:pPr>
              <w:autoSpaceDE w:val="0"/>
              <w:autoSpaceDN w:val="0"/>
              <w:spacing w:line="240" w:lineRule="exact"/>
              <w:ind w:right="480" w:firstLine="4305" w:firstLineChars="2090"/>
              <w:rPr>
                <w:rFonts w:eastAsia="方正仿宋_GBK"/>
                <w:color w:val="000000"/>
                <w:spacing w:val="-2"/>
                <w:kern w:val="0"/>
                <w:szCs w:val="21"/>
              </w:rPr>
            </w:pPr>
          </w:p>
          <w:p>
            <w:pPr>
              <w:autoSpaceDE w:val="0"/>
              <w:autoSpaceDN w:val="0"/>
              <w:spacing w:line="240" w:lineRule="exact"/>
              <w:ind w:right="480" w:firstLine="4305" w:firstLineChars="2090"/>
              <w:rPr>
                <w:rFonts w:eastAsia="方正仿宋_GBK"/>
                <w:color w:val="000000"/>
                <w:spacing w:val="-2"/>
                <w:kern w:val="0"/>
                <w:szCs w:val="21"/>
              </w:rPr>
            </w:pPr>
          </w:p>
          <w:p>
            <w:pPr>
              <w:autoSpaceDE w:val="0"/>
              <w:autoSpaceDN w:val="0"/>
              <w:spacing w:line="240" w:lineRule="exact"/>
              <w:ind w:right="480" w:firstLine="5129" w:firstLineChars="2490"/>
              <w:rPr>
                <w:rFonts w:eastAsia="方正仿宋_GBK"/>
                <w:color w:val="000000"/>
                <w:spacing w:val="-2"/>
                <w:kern w:val="0"/>
                <w:szCs w:val="21"/>
              </w:rPr>
            </w:pPr>
            <w:r>
              <w:rPr>
                <w:rFonts w:eastAsia="方正仿宋_GBK"/>
                <w:color w:val="000000"/>
                <w:spacing w:val="-2"/>
                <w:kern w:val="0"/>
                <w:szCs w:val="21"/>
              </w:rPr>
              <w:t xml:space="preserve"> </w:t>
            </w:r>
          </w:p>
          <w:p>
            <w:pPr>
              <w:autoSpaceDE w:val="0"/>
              <w:autoSpaceDN w:val="0"/>
              <w:spacing w:line="240" w:lineRule="exact"/>
              <w:ind w:right="480" w:firstLine="5129" w:firstLineChars="2490"/>
              <w:rPr>
                <w:rFonts w:eastAsia="方正仿宋_GBK"/>
                <w:color w:val="000000"/>
                <w:spacing w:val="-2"/>
                <w:kern w:val="0"/>
                <w:szCs w:val="21"/>
              </w:rPr>
            </w:pPr>
            <w:r>
              <w:rPr>
                <w:rFonts w:eastAsia="方正仿宋_GBK"/>
                <w:color w:val="000000"/>
                <w:spacing w:val="-2"/>
                <w:kern w:val="0"/>
                <w:szCs w:val="21"/>
              </w:rPr>
              <w:t xml:space="preserve"> </w:t>
            </w:r>
            <w:r>
              <w:rPr>
                <w:rFonts w:hint="eastAsia" w:eastAsia="方正仿宋_GBK"/>
                <w:color w:val="000000"/>
                <w:spacing w:val="-2"/>
                <w:kern w:val="0"/>
                <w:szCs w:val="21"/>
              </w:rPr>
              <w:t>签名（盖章）</w:t>
            </w:r>
            <w:r>
              <w:rPr>
                <w:rFonts w:eastAsia="方正仿宋_GBK"/>
                <w:color w:val="000000"/>
                <w:spacing w:val="-2"/>
                <w:kern w:val="0"/>
                <w:szCs w:val="21"/>
              </w:rPr>
              <w:t xml:space="preserve"> </w:t>
            </w:r>
          </w:p>
          <w:p>
            <w:pPr>
              <w:autoSpaceDE w:val="0"/>
              <w:autoSpaceDN w:val="0"/>
              <w:spacing w:line="240" w:lineRule="exact"/>
              <w:ind w:right="480" w:firstLine="5129" w:firstLineChars="2490"/>
              <w:rPr>
                <w:rFonts w:eastAsia="方正仿宋_GBK"/>
                <w:color w:val="000000"/>
                <w:spacing w:val="-2"/>
                <w:kern w:val="0"/>
                <w:szCs w:val="21"/>
                <w:lang w:val="zh-CN"/>
              </w:rPr>
            </w:pPr>
            <w:r>
              <w:rPr>
                <w:rFonts w:eastAsia="方正仿宋_GBK"/>
                <w:color w:val="000000"/>
                <w:spacing w:val="-2"/>
                <w:kern w:val="0"/>
                <w:szCs w:val="21"/>
              </w:rPr>
              <w:t xml:space="preserve">   </w:t>
            </w:r>
            <w:r>
              <w:rPr>
                <w:rFonts w:hint="eastAsia" w:eastAsia="方正仿宋_GBK"/>
                <w:color w:val="000000"/>
                <w:spacing w:val="-2"/>
                <w:kern w:val="0"/>
                <w:szCs w:val="21"/>
                <w:lang w:val="zh-CN"/>
              </w:rPr>
              <w:t>年</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月</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日</w:t>
            </w:r>
            <w:r>
              <w:rPr>
                <w:rFonts w:eastAsia="方正仿宋_GBK"/>
                <w:color w:val="000000"/>
                <w:spacing w:val="-2"/>
                <w:kern w:val="0"/>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464" w:hRule="atLeast"/>
          <w:jc w:val="center"/>
        </w:trPr>
        <w:tc>
          <w:tcPr>
            <w:tcW w:w="1288" w:type="dxa"/>
            <w:tcBorders>
              <w:top w:val="single" w:color="auto" w:sz="6" w:space="0"/>
              <w:left w:val="single" w:color="auto" w:sz="8" w:space="0"/>
              <w:bottom w:val="single" w:color="auto" w:sz="6" w:space="0"/>
              <w:right w:val="single" w:color="auto" w:sz="6" w:space="0"/>
            </w:tcBorders>
            <w:noWrap w:val="0"/>
            <w:vAlign w:val="center"/>
          </w:tcPr>
          <w:p>
            <w:pPr>
              <w:autoSpaceDE w:val="0"/>
              <w:autoSpaceDN w:val="0"/>
              <w:spacing w:line="240" w:lineRule="exact"/>
              <w:rPr>
                <w:rFonts w:eastAsia="方正仿宋_GBK"/>
                <w:color w:val="000000"/>
                <w:spacing w:val="-2"/>
                <w:kern w:val="0"/>
                <w:szCs w:val="21"/>
                <w:lang w:val="zh-CN"/>
              </w:rPr>
            </w:pPr>
            <w:r>
              <w:rPr>
                <w:rFonts w:hint="eastAsia" w:eastAsia="方正仿宋_GBK"/>
                <w:color w:val="000000"/>
                <w:spacing w:val="-2"/>
                <w:kern w:val="0"/>
                <w:szCs w:val="21"/>
                <w:lang w:val="zh-CN"/>
              </w:rPr>
              <w:t>省辖市装饰装修协会推荐意见</w:t>
            </w:r>
          </w:p>
        </w:tc>
        <w:tc>
          <w:tcPr>
            <w:tcW w:w="8224" w:type="dxa"/>
            <w:gridSpan w:val="6"/>
            <w:tcBorders>
              <w:top w:val="single" w:color="auto" w:sz="6" w:space="0"/>
              <w:left w:val="single" w:color="auto" w:sz="6" w:space="0"/>
              <w:bottom w:val="single" w:color="auto" w:sz="6" w:space="0"/>
              <w:right w:val="single" w:color="auto" w:sz="8" w:space="0"/>
            </w:tcBorders>
            <w:noWrap w:val="0"/>
            <w:vAlign w:val="top"/>
          </w:tcPr>
          <w:p>
            <w:pPr>
              <w:autoSpaceDE w:val="0"/>
              <w:autoSpaceDN w:val="0"/>
              <w:spacing w:line="240" w:lineRule="exact"/>
              <w:ind w:right="480"/>
              <w:jc w:val="left"/>
              <w:rPr>
                <w:rFonts w:eastAsia="方正仿宋_GBK"/>
                <w:color w:val="000000"/>
                <w:spacing w:val="-2"/>
                <w:kern w:val="0"/>
                <w:szCs w:val="21"/>
              </w:rPr>
            </w:pPr>
          </w:p>
          <w:p>
            <w:pPr>
              <w:autoSpaceDE w:val="0"/>
              <w:autoSpaceDN w:val="0"/>
              <w:spacing w:line="240" w:lineRule="exact"/>
              <w:ind w:right="480"/>
              <w:jc w:val="left"/>
              <w:rPr>
                <w:rFonts w:eastAsia="方正仿宋_GBK"/>
                <w:color w:val="000000"/>
                <w:spacing w:val="-2"/>
                <w:kern w:val="0"/>
                <w:szCs w:val="21"/>
              </w:rPr>
            </w:pPr>
          </w:p>
          <w:p>
            <w:pPr>
              <w:autoSpaceDE w:val="0"/>
              <w:autoSpaceDN w:val="0"/>
              <w:spacing w:line="240" w:lineRule="exact"/>
              <w:ind w:right="480"/>
              <w:jc w:val="left"/>
              <w:rPr>
                <w:rFonts w:eastAsia="方正仿宋_GBK"/>
                <w:color w:val="000000"/>
                <w:spacing w:val="-2"/>
                <w:kern w:val="0"/>
                <w:szCs w:val="21"/>
              </w:rPr>
            </w:pPr>
          </w:p>
          <w:p>
            <w:pPr>
              <w:autoSpaceDE w:val="0"/>
              <w:autoSpaceDN w:val="0"/>
              <w:spacing w:line="240" w:lineRule="exact"/>
              <w:ind w:right="480"/>
              <w:jc w:val="left"/>
              <w:rPr>
                <w:rFonts w:eastAsia="方正仿宋_GBK"/>
                <w:color w:val="000000"/>
                <w:spacing w:val="-2"/>
                <w:kern w:val="0"/>
                <w:szCs w:val="21"/>
              </w:rPr>
            </w:pPr>
          </w:p>
          <w:p>
            <w:pPr>
              <w:autoSpaceDE w:val="0"/>
              <w:autoSpaceDN w:val="0"/>
              <w:spacing w:line="240" w:lineRule="exact"/>
              <w:ind w:right="480"/>
              <w:jc w:val="left"/>
              <w:rPr>
                <w:rFonts w:eastAsia="方正仿宋_GBK"/>
                <w:color w:val="000000"/>
                <w:spacing w:val="-2"/>
                <w:kern w:val="0"/>
                <w:szCs w:val="21"/>
                <w:lang w:val="zh-CN"/>
              </w:rPr>
            </w:pPr>
            <w:r>
              <w:rPr>
                <w:rFonts w:eastAsia="方正仿宋_GBK"/>
                <w:color w:val="000000"/>
                <w:spacing w:val="-2"/>
                <w:kern w:val="0"/>
                <w:szCs w:val="21"/>
              </w:rPr>
              <w:t xml:space="preserve">                                         </w:t>
            </w:r>
          </w:p>
          <w:p>
            <w:pPr>
              <w:autoSpaceDE w:val="0"/>
              <w:autoSpaceDN w:val="0"/>
              <w:spacing w:line="240" w:lineRule="exact"/>
              <w:ind w:right="480" w:firstLine="4305" w:firstLineChars="2090"/>
              <w:rPr>
                <w:rFonts w:eastAsia="方正仿宋_GBK"/>
                <w:color w:val="000000"/>
                <w:spacing w:val="-2"/>
                <w:kern w:val="0"/>
                <w:szCs w:val="21"/>
                <w:lang w:val="zh-CN"/>
              </w:rPr>
            </w:pPr>
            <w:r>
              <w:rPr>
                <w:rFonts w:eastAsia="方正仿宋_GBK"/>
                <w:color w:val="000000"/>
                <w:spacing w:val="-2"/>
                <w:kern w:val="0"/>
                <w:szCs w:val="21"/>
              </w:rPr>
              <w:t xml:space="preserve">   </w:t>
            </w:r>
            <w:r>
              <w:rPr>
                <w:rFonts w:hint="eastAsia" w:eastAsia="方正仿宋_GBK"/>
                <w:color w:val="000000"/>
                <w:spacing w:val="-2"/>
                <w:kern w:val="0"/>
                <w:szCs w:val="21"/>
                <w:lang w:val="zh-CN"/>
              </w:rPr>
              <w:t>省辖市装饰装修协会（盖章）</w:t>
            </w:r>
          </w:p>
          <w:p>
            <w:pPr>
              <w:autoSpaceDE w:val="0"/>
              <w:autoSpaceDN w:val="0"/>
              <w:spacing w:line="240" w:lineRule="exact"/>
              <w:ind w:right="480" w:firstLine="4717" w:firstLineChars="2290"/>
              <w:rPr>
                <w:rFonts w:eastAsia="方正仿宋_GBK"/>
                <w:color w:val="000000"/>
                <w:spacing w:val="-2"/>
                <w:kern w:val="0"/>
                <w:szCs w:val="21"/>
                <w:lang w:val="zh-CN"/>
              </w:rPr>
            </w:pPr>
            <w:r>
              <w:rPr>
                <w:rFonts w:eastAsia="方正仿宋_GBK"/>
                <w:color w:val="000000"/>
                <w:spacing w:val="-2"/>
                <w:kern w:val="0"/>
                <w:szCs w:val="21"/>
              </w:rPr>
              <w:t xml:space="preserve">       </w:t>
            </w:r>
            <w:r>
              <w:rPr>
                <w:rFonts w:hint="eastAsia" w:eastAsia="方正仿宋_GBK"/>
                <w:color w:val="000000"/>
                <w:spacing w:val="-2"/>
                <w:kern w:val="0"/>
                <w:szCs w:val="21"/>
                <w:lang w:val="zh-CN"/>
              </w:rPr>
              <w:t>年</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月</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日</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514" w:hRule="atLeast"/>
          <w:jc w:val="center"/>
        </w:trPr>
        <w:tc>
          <w:tcPr>
            <w:tcW w:w="1288" w:type="dxa"/>
            <w:tcBorders>
              <w:top w:val="single" w:color="auto" w:sz="6" w:space="0"/>
              <w:left w:val="single" w:color="auto" w:sz="8" w:space="0"/>
              <w:bottom w:val="single" w:color="auto" w:sz="6" w:space="0"/>
              <w:right w:val="single" w:color="auto" w:sz="6" w:space="0"/>
            </w:tcBorders>
            <w:noWrap w:val="0"/>
            <w:vAlign w:val="center"/>
          </w:tcPr>
          <w:p>
            <w:pPr>
              <w:autoSpaceDE w:val="0"/>
              <w:autoSpaceDN w:val="0"/>
              <w:spacing w:line="240" w:lineRule="exact"/>
              <w:rPr>
                <w:rFonts w:eastAsia="方正仿宋_GBK"/>
                <w:color w:val="000000"/>
                <w:spacing w:val="-2"/>
                <w:kern w:val="0"/>
                <w:szCs w:val="21"/>
                <w:lang w:val="zh-CN"/>
              </w:rPr>
            </w:pPr>
            <w:r>
              <w:rPr>
                <w:rFonts w:hint="eastAsia" w:eastAsia="方正仿宋_GBK"/>
                <w:color w:val="000000"/>
                <w:spacing w:val="-2"/>
                <w:kern w:val="0"/>
                <w:szCs w:val="21"/>
                <w:lang w:val="zh-CN"/>
              </w:rPr>
              <w:t>省辖市住房和城乡建设部门推荐意见</w:t>
            </w:r>
          </w:p>
        </w:tc>
        <w:tc>
          <w:tcPr>
            <w:tcW w:w="8224" w:type="dxa"/>
            <w:gridSpan w:val="6"/>
            <w:tcBorders>
              <w:top w:val="single" w:color="auto" w:sz="6" w:space="0"/>
              <w:left w:val="single" w:color="auto" w:sz="6" w:space="0"/>
              <w:bottom w:val="single" w:color="auto" w:sz="6" w:space="0"/>
              <w:right w:val="single" w:color="auto" w:sz="8" w:space="0"/>
            </w:tcBorders>
            <w:noWrap w:val="0"/>
            <w:vAlign w:val="top"/>
          </w:tcPr>
          <w:p>
            <w:pPr>
              <w:autoSpaceDE w:val="0"/>
              <w:autoSpaceDN w:val="0"/>
              <w:spacing w:line="240" w:lineRule="exact"/>
              <w:ind w:right="480"/>
              <w:jc w:val="left"/>
              <w:rPr>
                <w:rFonts w:eastAsia="方正仿宋_GBK"/>
                <w:color w:val="000000"/>
                <w:spacing w:val="-2"/>
                <w:kern w:val="0"/>
                <w:szCs w:val="21"/>
              </w:rPr>
            </w:pPr>
          </w:p>
          <w:p>
            <w:pPr>
              <w:autoSpaceDE w:val="0"/>
              <w:autoSpaceDN w:val="0"/>
              <w:spacing w:line="240" w:lineRule="exact"/>
              <w:ind w:right="480"/>
              <w:jc w:val="left"/>
              <w:rPr>
                <w:rFonts w:eastAsia="方正仿宋_GBK"/>
                <w:color w:val="000000"/>
                <w:spacing w:val="-2"/>
                <w:kern w:val="0"/>
                <w:szCs w:val="21"/>
              </w:rPr>
            </w:pPr>
          </w:p>
          <w:p>
            <w:pPr>
              <w:autoSpaceDE w:val="0"/>
              <w:autoSpaceDN w:val="0"/>
              <w:spacing w:line="240" w:lineRule="exact"/>
              <w:ind w:right="480"/>
              <w:jc w:val="left"/>
              <w:rPr>
                <w:rFonts w:eastAsia="方正仿宋_GBK"/>
                <w:color w:val="000000"/>
                <w:spacing w:val="-2"/>
                <w:kern w:val="0"/>
                <w:szCs w:val="21"/>
              </w:rPr>
            </w:pPr>
          </w:p>
          <w:p>
            <w:pPr>
              <w:autoSpaceDE w:val="0"/>
              <w:autoSpaceDN w:val="0"/>
              <w:spacing w:line="240" w:lineRule="exact"/>
              <w:ind w:right="480" w:firstLine="4305" w:firstLineChars="2090"/>
              <w:rPr>
                <w:rFonts w:eastAsia="方正仿宋_GBK"/>
                <w:color w:val="000000"/>
                <w:spacing w:val="-2"/>
                <w:kern w:val="0"/>
                <w:szCs w:val="21"/>
              </w:rPr>
            </w:pPr>
          </w:p>
          <w:p>
            <w:pPr>
              <w:autoSpaceDE w:val="0"/>
              <w:autoSpaceDN w:val="0"/>
              <w:spacing w:line="240" w:lineRule="exact"/>
              <w:ind w:right="480" w:firstLine="4305" w:firstLineChars="2090"/>
              <w:rPr>
                <w:rFonts w:eastAsia="方正仿宋_GBK"/>
                <w:color w:val="000000"/>
                <w:spacing w:val="-2"/>
                <w:kern w:val="0"/>
                <w:szCs w:val="21"/>
                <w:lang w:val="zh-CN"/>
              </w:rPr>
            </w:pPr>
            <w:r>
              <w:rPr>
                <w:rFonts w:eastAsia="方正仿宋_GBK"/>
                <w:color w:val="000000"/>
                <w:spacing w:val="-2"/>
                <w:kern w:val="0"/>
                <w:szCs w:val="21"/>
              </w:rPr>
              <w:t xml:space="preserve">    </w:t>
            </w:r>
            <w:r>
              <w:rPr>
                <w:rFonts w:hint="eastAsia" w:eastAsia="方正仿宋_GBK"/>
                <w:color w:val="000000"/>
                <w:spacing w:val="-2"/>
                <w:kern w:val="0"/>
                <w:szCs w:val="21"/>
                <w:lang w:val="zh-CN"/>
              </w:rPr>
              <w:t>省辖市住房和城乡建设</w:t>
            </w:r>
          </w:p>
          <w:p>
            <w:pPr>
              <w:autoSpaceDE w:val="0"/>
              <w:autoSpaceDN w:val="0"/>
              <w:spacing w:line="240" w:lineRule="exact"/>
              <w:ind w:right="480" w:firstLine="4305" w:firstLineChars="2090"/>
              <w:rPr>
                <w:rFonts w:eastAsia="方正仿宋_GBK"/>
                <w:color w:val="000000"/>
                <w:spacing w:val="-2"/>
                <w:kern w:val="0"/>
                <w:szCs w:val="21"/>
                <w:lang w:val="zh-CN"/>
              </w:rPr>
            </w:pPr>
            <w:r>
              <w:rPr>
                <w:rFonts w:eastAsia="方正仿宋_GBK"/>
                <w:color w:val="000000"/>
                <w:spacing w:val="-2"/>
                <w:kern w:val="0"/>
                <w:szCs w:val="21"/>
              </w:rPr>
              <w:t xml:space="preserve">      </w:t>
            </w:r>
            <w:r>
              <w:rPr>
                <w:rFonts w:hint="eastAsia" w:eastAsia="方正仿宋_GBK"/>
                <w:color w:val="000000"/>
                <w:spacing w:val="-2"/>
                <w:kern w:val="0"/>
                <w:szCs w:val="21"/>
                <w:lang w:val="zh-CN"/>
              </w:rPr>
              <w:t>主管部门（盖章）</w:t>
            </w:r>
          </w:p>
          <w:p>
            <w:pPr>
              <w:autoSpaceDE w:val="0"/>
              <w:autoSpaceDN w:val="0"/>
              <w:spacing w:line="240" w:lineRule="exact"/>
              <w:ind w:right="480" w:firstLine="4841" w:firstLineChars="2350"/>
              <w:jc w:val="left"/>
              <w:rPr>
                <w:rFonts w:eastAsia="方正仿宋_GBK"/>
                <w:color w:val="000000"/>
                <w:spacing w:val="-2"/>
                <w:kern w:val="0"/>
                <w:szCs w:val="21"/>
              </w:rPr>
            </w:pPr>
            <w:r>
              <w:rPr>
                <w:rFonts w:eastAsia="方正仿宋_GBK"/>
                <w:color w:val="000000"/>
                <w:spacing w:val="-2"/>
                <w:kern w:val="0"/>
                <w:szCs w:val="21"/>
              </w:rPr>
              <w:t xml:space="preserve">      </w:t>
            </w:r>
            <w:r>
              <w:rPr>
                <w:rFonts w:hint="eastAsia" w:eastAsia="方正仿宋_GBK"/>
                <w:color w:val="000000"/>
                <w:spacing w:val="-2"/>
                <w:kern w:val="0"/>
                <w:szCs w:val="21"/>
                <w:lang w:val="zh-CN"/>
              </w:rPr>
              <w:t>年</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月</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日</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448" w:hRule="atLeast"/>
          <w:jc w:val="center"/>
        </w:trPr>
        <w:tc>
          <w:tcPr>
            <w:tcW w:w="1288" w:type="dxa"/>
            <w:tcBorders>
              <w:top w:val="single" w:color="auto" w:sz="6" w:space="0"/>
              <w:left w:val="single" w:color="auto" w:sz="8" w:space="0"/>
              <w:bottom w:val="single" w:color="auto" w:sz="6" w:space="0"/>
              <w:right w:val="single" w:color="auto" w:sz="6" w:space="0"/>
            </w:tcBorders>
            <w:noWrap w:val="0"/>
            <w:vAlign w:val="center"/>
          </w:tcPr>
          <w:p>
            <w:pPr>
              <w:autoSpaceDE w:val="0"/>
              <w:autoSpaceDN w:val="0"/>
              <w:spacing w:line="240" w:lineRule="exact"/>
              <w:rPr>
                <w:rFonts w:eastAsia="方正仿宋_GBK"/>
                <w:color w:val="000000"/>
                <w:spacing w:val="-2"/>
                <w:kern w:val="0"/>
                <w:szCs w:val="21"/>
                <w:lang w:val="zh-CN"/>
              </w:rPr>
            </w:pPr>
            <w:r>
              <w:rPr>
                <w:rFonts w:hint="eastAsia" w:eastAsia="方正仿宋_GBK"/>
                <w:color w:val="000000"/>
                <w:spacing w:val="-2"/>
                <w:kern w:val="0"/>
                <w:szCs w:val="21"/>
                <w:lang w:val="zh-CN"/>
              </w:rPr>
              <w:t>评价委员会审核意见</w:t>
            </w:r>
          </w:p>
        </w:tc>
        <w:tc>
          <w:tcPr>
            <w:tcW w:w="8224" w:type="dxa"/>
            <w:gridSpan w:val="6"/>
            <w:tcBorders>
              <w:top w:val="single" w:color="auto" w:sz="6" w:space="0"/>
              <w:left w:val="single" w:color="auto" w:sz="6" w:space="0"/>
              <w:bottom w:val="single" w:color="auto" w:sz="6" w:space="0"/>
              <w:right w:val="single" w:color="auto" w:sz="8" w:space="0"/>
            </w:tcBorders>
            <w:noWrap w:val="0"/>
            <w:vAlign w:val="top"/>
          </w:tcPr>
          <w:p>
            <w:pPr>
              <w:autoSpaceDE w:val="0"/>
              <w:autoSpaceDN w:val="0"/>
              <w:spacing w:line="240" w:lineRule="exact"/>
              <w:ind w:firstLine="4099" w:firstLineChars="1990"/>
              <w:jc w:val="left"/>
              <w:rPr>
                <w:rFonts w:eastAsia="方正仿宋_GBK"/>
                <w:color w:val="000000"/>
                <w:spacing w:val="-2"/>
                <w:kern w:val="0"/>
                <w:szCs w:val="21"/>
                <w:lang w:val="zh-CN"/>
              </w:rPr>
            </w:pPr>
          </w:p>
          <w:p>
            <w:pPr>
              <w:autoSpaceDE w:val="0"/>
              <w:autoSpaceDN w:val="0"/>
              <w:spacing w:line="240" w:lineRule="exact"/>
              <w:ind w:firstLine="4099" w:firstLineChars="1990"/>
              <w:jc w:val="left"/>
              <w:rPr>
                <w:rFonts w:eastAsia="方正仿宋_GBK"/>
                <w:color w:val="000000"/>
                <w:spacing w:val="-2"/>
                <w:kern w:val="0"/>
                <w:szCs w:val="21"/>
                <w:lang w:val="zh-CN"/>
              </w:rPr>
            </w:pPr>
          </w:p>
          <w:p>
            <w:pPr>
              <w:autoSpaceDE w:val="0"/>
              <w:autoSpaceDN w:val="0"/>
              <w:spacing w:line="240" w:lineRule="exact"/>
              <w:ind w:firstLine="4099" w:firstLineChars="1990"/>
              <w:jc w:val="left"/>
              <w:rPr>
                <w:rFonts w:eastAsia="方正仿宋_GBK"/>
                <w:color w:val="000000"/>
                <w:spacing w:val="-2"/>
                <w:kern w:val="0"/>
                <w:szCs w:val="21"/>
                <w:lang w:val="zh-CN"/>
              </w:rPr>
            </w:pPr>
          </w:p>
          <w:p>
            <w:pPr>
              <w:autoSpaceDE w:val="0"/>
              <w:autoSpaceDN w:val="0"/>
              <w:spacing w:line="240" w:lineRule="exact"/>
              <w:ind w:firstLine="4099" w:firstLineChars="1990"/>
              <w:jc w:val="left"/>
              <w:rPr>
                <w:rFonts w:eastAsia="方正仿宋_GBK"/>
                <w:color w:val="000000"/>
                <w:spacing w:val="-2"/>
                <w:kern w:val="0"/>
                <w:szCs w:val="21"/>
                <w:lang w:val="zh-CN"/>
              </w:rPr>
            </w:pPr>
          </w:p>
          <w:p>
            <w:pPr>
              <w:autoSpaceDE w:val="0"/>
              <w:autoSpaceDN w:val="0"/>
              <w:spacing w:line="240" w:lineRule="exact"/>
              <w:ind w:firstLine="4099" w:firstLineChars="1990"/>
              <w:jc w:val="left"/>
              <w:rPr>
                <w:rFonts w:eastAsia="方正仿宋_GBK"/>
                <w:color w:val="000000"/>
                <w:spacing w:val="-2"/>
                <w:kern w:val="0"/>
                <w:szCs w:val="21"/>
                <w:lang w:val="zh-CN"/>
              </w:rPr>
            </w:pPr>
          </w:p>
          <w:p>
            <w:pPr>
              <w:autoSpaceDE w:val="0"/>
              <w:autoSpaceDN w:val="0"/>
              <w:spacing w:line="240" w:lineRule="exact"/>
              <w:ind w:firstLine="4511" w:firstLineChars="2190"/>
              <w:jc w:val="left"/>
              <w:rPr>
                <w:rFonts w:eastAsia="方正仿宋_GBK"/>
                <w:color w:val="000000"/>
                <w:spacing w:val="-2"/>
                <w:kern w:val="0"/>
                <w:szCs w:val="21"/>
                <w:lang w:val="zh-CN"/>
              </w:rPr>
            </w:pPr>
            <w:r>
              <w:rPr>
                <w:rFonts w:eastAsia="方正仿宋_GBK"/>
                <w:color w:val="000000"/>
                <w:spacing w:val="-2"/>
                <w:kern w:val="0"/>
                <w:szCs w:val="21"/>
              </w:rPr>
              <w:t xml:space="preserve">    </w:t>
            </w:r>
            <w:r>
              <w:rPr>
                <w:rFonts w:hint="eastAsia" w:eastAsia="方正仿宋_GBK"/>
                <w:color w:val="000000"/>
                <w:spacing w:val="-2"/>
                <w:kern w:val="0"/>
                <w:szCs w:val="21"/>
                <w:lang w:val="zh-CN"/>
              </w:rPr>
              <w:t>评价委员会主任签章</w:t>
            </w:r>
          </w:p>
          <w:p>
            <w:pPr>
              <w:autoSpaceDE w:val="0"/>
              <w:autoSpaceDN w:val="0"/>
              <w:spacing w:line="240" w:lineRule="exact"/>
              <w:ind w:firstLine="4820" w:firstLineChars="2340"/>
              <w:jc w:val="left"/>
              <w:rPr>
                <w:rFonts w:eastAsia="方正仿宋_GBK"/>
                <w:color w:val="000000"/>
                <w:spacing w:val="-2"/>
                <w:kern w:val="0"/>
                <w:szCs w:val="21"/>
                <w:lang w:val="zh-CN"/>
              </w:rPr>
            </w:pPr>
            <w:r>
              <w:rPr>
                <w:rFonts w:eastAsia="方正仿宋_GBK"/>
                <w:color w:val="000000"/>
                <w:spacing w:val="-2"/>
                <w:kern w:val="0"/>
                <w:szCs w:val="21"/>
              </w:rPr>
              <w:t xml:space="preserve">      </w:t>
            </w:r>
            <w:r>
              <w:rPr>
                <w:rFonts w:hint="eastAsia" w:eastAsia="方正仿宋_GBK"/>
                <w:color w:val="000000"/>
                <w:spacing w:val="-2"/>
                <w:kern w:val="0"/>
                <w:szCs w:val="21"/>
                <w:lang w:val="zh-CN"/>
              </w:rPr>
              <w:t>年</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月</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日</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687" w:hRule="atLeast"/>
          <w:jc w:val="center"/>
        </w:trPr>
        <w:tc>
          <w:tcPr>
            <w:tcW w:w="1288" w:type="dxa"/>
            <w:tcBorders>
              <w:top w:val="single" w:color="auto" w:sz="6" w:space="0"/>
              <w:left w:val="single" w:color="auto" w:sz="8" w:space="0"/>
              <w:bottom w:val="single" w:color="auto" w:sz="8" w:space="0"/>
              <w:right w:val="single" w:color="auto" w:sz="6" w:space="0"/>
            </w:tcBorders>
            <w:noWrap w:val="0"/>
            <w:vAlign w:val="center"/>
          </w:tcPr>
          <w:p>
            <w:pPr>
              <w:autoSpaceDE w:val="0"/>
              <w:autoSpaceDN w:val="0"/>
              <w:spacing w:line="240" w:lineRule="exact"/>
              <w:rPr>
                <w:rFonts w:eastAsia="方正仿宋_GBK"/>
                <w:color w:val="000000"/>
                <w:spacing w:val="-2"/>
                <w:kern w:val="0"/>
                <w:szCs w:val="21"/>
                <w:lang w:val="zh-CN"/>
              </w:rPr>
            </w:pPr>
            <w:r>
              <w:rPr>
                <w:rFonts w:hint="eastAsia" w:eastAsia="方正仿宋_GBK"/>
                <w:color w:val="000000"/>
                <w:spacing w:val="-2"/>
                <w:kern w:val="0"/>
                <w:szCs w:val="21"/>
                <w:lang w:val="zh-CN"/>
              </w:rPr>
              <w:t>省级主管部门评审意见</w:t>
            </w:r>
          </w:p>
        </w:tc>
        <w:tc>
          <w:tcPr>
            <w:tcW w:w="8224" w:type="dxa"/>
            <w:gridSpan w:val="6"/>
            <w:tcBorders>
              <w:top w:val="single" w:color="auto" w:sz="6" w:space="0"/>
              <w:left w:val="single" w:color="auto" w:sz="6" w:space="0"/>
              <w:bottom w:val="single" w:color="auto" w:sz="8" w:space="0"/>
              <w:right w:val="single" w:color="auto" w:sz="8" w:space="0"/>
            </w:tcBorders>
            <w:noWrap w:val="0"/>
            <w:vAlign w:val="top"/>
          </w:tcPr>
          <w:p>
            <w:pPr>
              <w:autoSpaceDE w:val="0"/>
              <w:autoSpaceDN w:val="0"/>
              <w:spacing w:line="240" w:lineRule="exact"/>
              <w:jc w:val="left"/>
              <w:rPr>
                <w:rFonts w:eastAsia="方正仿宋_GBK"/>
                <w:color w:val="000000"/>
                <w:spacing w:val="-2"/>
                <w:kern w:val="0"/>
                <w:szCs w:val="21"/>
                <w:lang w:val="zh-CN"/>
              </w:rPr>
            </w:pPr>
          </w:p>
          <w:p>
            <w:pPr>
              <w:autoSpaceDE w:val="0"/>
              <w:autoSpaceDN w:val="0"/>
              <w:spacing w:line="240" w:lineRule="exact"/>
              <w:jc w:val="left"/>
              <w:rPr>
                <w:rFonts w:eastAsia="方正仿宋_GBK"/>
                <w:color w:val="000000"/>
                <w:spacing w:val="-2"/>
                <w:kern w:val="0"/>
                <w:szCs w:val="21"/>
                <w:lang w:val="zh-CN"/>
              </w:rPr>
            </w:pPr>
          </w:p>
          <w:p>
            <w:pPr>
              <w:autoSpaceDE w:val="0"/>
              <w:autoSpaceDN w:val="0"/>
              <w:spacing w:line="240" w:lineRule="exact"/>
              <w:jc w:val="left"/>
              <w:rPr>
                <w:rFonts w:eastAsia="方正仿宋_GBK"/>
                <w:color w:val="000000"/>
                <w:spacing w:val="-2"/>
                <w:kern w:val="0"/>
                <w:szCs w:val="21"/>
                <w:lang w:val="zh-CN"/>
              </w:rPr>
            </w:pPr>
          </w:p>
          <w:p>
            <w:pPr>
              <w:autoSpaceDE w:val="0"/>
              <w:autoSpaceDN w:val="0"/>
              <w:spacing w:line="240" w:lineRule="exact"/>
              <w:jc w:val="left"/>
              <w:rPr>
                <w:rFonts w:eastAsia="方正仿宋_GBK"/>
                <w:color w:val="000000"/>
                <w:spacing w:val="-2"/>
                <w:kern w:val="0"/>
                <w:szCs w:val="21"/>
                <w:lang w:val="zh-CN"/>
              </w:rPr>
            </w:pPr>
          </w:p>
          <w:p>
            <w:pPr>
              <w:autoSpaceDE w:val="0"/>
              <w:autoSpaceDN w:val="0"/>
              <w:spacing w:line="240" w:lineRule="exact"/>
              <w:jc w:val="left"/>
              <w:rPr>
                <w:rFonts w:eastAsia="方正仿宋_GBK"/>
                <w:color w:val="000000"/>
                <w:spacing w:val="-2"/>
                <w:kern w:val="0"/>
                <w:szCs w:val="21"/>
              </w:rPr>
            </w:pPr>
            <w:r>
              <w:rPr>
                <w:rFonts w:eastAsia="方正仿宋_GBK"/>
                <w:color w:val="000000"/>
                <w:spacing w:val="-2"/>
                <w:kern w:val="0"/>
                <w:szCs w:val="21"/>
              </w:rPr>
              <w:t xml:space="preserve">                                                </w:t>
            </w:r>
            <w:r>
              <w:rPr>
                <w:rFonts w:hint="eastAsia" w:eastAsia="方正仿宋_GBK"/>
                <w:color w:val="000000"/>
                <w:spacing w:val="-2"/>
                <w:kern w:val="0"/>
                <w:szCs w:val="21"/>
              </w:rPr>
              <w:t>省装饰装修发展中心、</w:t>
            </w:r>
          </w:p>
          <w:p>
            <w:pPr>
              <w:autoSpaceDE w:val="0"/>
              <w:autoSpaceDN w:val="0"/>
              <w:spacing w:line="240" w:lineRule="exact"/>
              <w:ind w:firstLine="4202" w:firstLineChars="2040"/>
              <w:jc w:val="left"/>
              <w:rPr>
                <w:rFonts w:eastAsia="方正仿宋_GBK"/>
                <w:color w:val="000000"/>
                <w:spacing w:val="-2"/>
                <w:kern w:val="0"/>
                <w:szCs w:val="21"/>
                <w:lang w:val="zh-CN"/>
              </w:rPr>
            </w:pPr>
            <w:r>
              <w:rPr>
                <w:rFonts w:eastAsia="方正仿宋_GBK"/>
                <w:color w:val="000000"/>
                <w:spacing w:val="-2"/>
                <w:kern w:val="0"/>
                <w:szCs w:val="21"/>
              </w:rPr>
              <w:t xml:space="preserve">       </w:t>
            </w:r>
            <w:r>
              <w:rPr>
                <w:rFonts w:hint="eastAsia" w:eastAsia="方正仿宋_GBK"/>
                <w:color w:val="000000"/>
                <w:spacing w:val="-2"/>
                <w:kern w:val="0"/>
                <w:szCs w:val="21"/>
                <w:lang w:val="zh-CN"/>
              </w:rPr>
              <w:t>省装协装修协会（盖章）</w:t>
            </w:r>
          </w:p>
          <w:p>
            <w:pPr>
              <w:autoSpaceDE w:val="0"/>
              <w:autoSpaceDN w:val="0"/>
              <w:spacing w:line="240" w:lineRule="exact"/>
              <w:ind w:firstLine="4717" w:firstLineChars="2290"/>
              <w:jc w:val="left"/>
              <w:rPr>
                <w:rFonts w:eastAsia="方正仿宋_GBK"/>
                <w:color w:val="000000"/>
                <w:spacing w:val="-2"/>
                <w:kern w:val="0"/>
                <w:szCs w:val="21"/>
                <w:lang w:val="zh-CN"/>
              </w:rPr>
            </w:pPr>
            <w:r>
              <w:rPr>
                <w:rFonts w:eastAsia="方正仿宋_GBK"/>
                <w:color w:val="000000"/>
                <w:spacing w:val="-2"/>
                <w:kern w:val="0"/>
                <w:szCs w:val="21"/>
              </w:rPr>
              <w:t xml:space="preserve">       </w:t>
            </w:r>
            <w:r>
              <w:rPr>
                <w:rFonts w:hint="eastAsia" w:eastAsia="方正仿宋_GBK"/>
                <w:color w:val="000000"/>
                <w:spacing w:val="-2"/>
                <w:kern w:val="0"/>
                <w:szCs w:val="21"/>
                <w:lang w:val="zh-CN"/>
              </w:rPr>
              <w:t>年</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月</w:t>
            </w:r>
            <w:r>
              <w:rPr>
                <w:rFonts w:eastAsia="方正仿宋_GBK"/>
                <w:color w:val="000000"/>
                <w:spacing w:val="-2"/>
                <w:kern w:val="0"/>
                <w:szCs w:val="21"/>
                <w:lang w:val="zh-CN"/>
              </w:rPr>
              <w:t xml:space="preserve">   </w:t>
            </w:r>
            <w:r>
              <w:rPr>
                <w:rFonts w:hint="eastAsia" w:eastAsia="方正仿宋_GBK"/>
                <w:color w:val="000000"/>
                <w:spacing w:val="-2"/>
                <w:kern w:val="0"/>
                <w:szCs w:val="21"/>
                <w:lang w:val="zh-CN"/>
              </w:rPr>
              <w:t>日</w:t>
            </w:r>
          </w:p>
        </w:tc>
      </w:tr>
    </w:tbl>
    <w:p/>
    <w:p>
      <w:pPr>
        <w:spacing w:line="460" w:lineRule="exact"/>
        <w:rPr>
          <w:rFonts w:eastAsia="方正仿宋_GBK"/>
          <w:color w:val="000000"/>
          <w:spacing w:val="-2"/>
          <w:sz w:val="24"/>
        </w:rPr>
      </w:pPr>
    </w:p>
    <w:p>
      <w:pPr>
        <w:pStyle w:val="2"/>
        <w:spacing w:before="240" w:beforeLines="100" w:after="240" w:afterLines="100" w:line="240" w:lineRule="auto"/>
        <w:jc w:val="center"/>
        <w:rPr>
          <w:rFonts w:ascii="Times New Roman" w:eastAsia="方正小标宋_GBK"/>
          <w:b w:val="0"/>
          <w:sz w:val="36"/>
          <w:szCs w:val="36"/>
        </w:rPr>
      </w:pPr>
      <w:bookmarkStart w:id="48" w:name="_Toc20726300"/>
      <w:bookmarkStart w:id="49" w:name="_Toc18315380"/>
      <w:r>
        <w:rPr>
          <w:rFonts w:hint="eastAsia" w:ascii="Times New Roman" w:eastAsia="方正小标宋_GBK"/>
          <w:b w:val="0"/>
          <w:sz w:val="36"/>
          <w:szCs w:val="36"/>
        </w:rPr>
        <w:t>关于无动力生活污水净化装置有关问题的通知</w:t>
      </w:r>
      <w:bookmarkEnd w:id="48"/>
      <w:bookmarkEnd w:id="4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50" w:name="_Toc18315381"/>
      <w:bookmarkStart w:id="51" w:name="_Toc20726301"/>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2001</w:t>
      </w:r>
      <w:r>
        <w:rPr>
          <w:rFonts w:hint="eastAsia" w:ascii="Times New Roman" w:hAnsi="Times New Roman" w:eastAsia="方正楷体_GBK"/>
          <w:b w:val="0"/>
          <w:sz w:val="24"/>
          <w:szCs w:val="24"/>
        </w:rPr>
        <w:t>〕</w:t>
      </w:r>
      <w:r>
        <w:rPr>
          <w:rFonts w:ascii="Times New Roman" w:hAnsi="Times New Roman" w:eastAsia="方正楷体_GBK"/>
          <w:b w:val="0"/>
          <w:sz w:val="24"/>
          <w:szCs w:val="24"/>
        </w:rPr>
        <w:t>127</w:t>
      </w:r>
      <w:r>
        <w:rPr>
          <w:rFonts w:hint="eastAsia" w:ascii="Times New Roman" w:hAnsi="Times New Roman" w:eastAsia="方正楷体_GBK"/>
          <w:b w:val="0"/>
          <w:sz w:val="24"/>
          <w:szCs w:val="24"/>
        </w:rPr>
        <w:t>号</w:t>
      </w:r>
      <w:bookmarkEnd w:id="50"/>
      <w:bookmarkEnd w:id="51"/>
    </w:p>
    <w:p>
      <w:pPr>
        <w:spacing w:line="460" w:lineRule="exact"/>
        <w:rPr>
          <w:rFonts w:eastAsia="方正仿宋_GBK"/>
          <w:color w:val="000000"/>
          <w:spacing w:val="-2"/>
          <w:sz w:val="24"/>
        </w:rPr>
      </w:pPr>
      <w:r>
        <w:rPr>
          <w:rFonts w:hint="eastAsia" w:eastAsia="方正仿宋_GBK"/>
          <w:color w:val="000000"/>
          <w:spacing w:val="-2"/>
          <w:sz w:val="24"/>
        </w:rPr>
        <w:t>各市建委、环保局、科委：</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无动力生活污水净化装置是九十年代初研制开发的。该</w:t>
      </w:r>
      <w:r>
        <w:rPr>
          <w:rFonts w:eastAsia="方正仿宋_GBK"/>
          <w:color w:val="000000"/>
          <w:spacing w:val="-2"/>
          <w:sz w:val="24"/>
        </w:rPr>
        <w:t>“</w:t>
      </w:r>
      <w:r>
        <w:rPr>
          <w:rFonts w:hint="eastAsia" w:eastAsia="方正仿宋_GBK"/>
          <w:color w:val="000000"/>
          <w:spacing w:val="-2"/>
          <w:sz w:val="24"/>
        </w:rPr>
        <w:t>装置</w:t>
      </w:r>
      <w:r>
        <w:rPr>
          <w:rFonts w:eastAsia="方正仿宋_GBK"/>
          <w:color w:val="000000"/>
          <w:spacing w:val="-2"/>
          <w:sz w:val="24"/>
        </w:rPr>
        <w:t>”</w:t>
      </w:r>
      <w:r>
        <w:rPr>
          <w:rFonts w:hint="eastAsia" w:eastAsia="方正仿宋_GBK"/>
          <w:color w:val="000000"/>
          <w:spacing w:val="-2"/>
          <w:sz w:val="24"/>
        </w:rPr>
        <w:t>对于削减生活污水污染物有一定的作用，但从实际使用情况来看，在技术工艺、运行管理和处理效果等方面还存在一定问题，为此，经过大量的调查研究和听取专家意见，并请示国家环保总局和建设部，现就该</w:t>
      </w:r>
      <w:r>
        <w:rPr>
          <w:rFonts w:eastAsia="方正仿宋_GBK"/>
          <w:color w:val="000000"/>
          <w:spacing w:val="-2"/>
          <w:sz w:val="24"/>
        </w:rPr>
        <w:t>“</w:t>
      </w:r>
      <w:r>
        <w:rPr>
          <w:rFonts w:hint="eastAsia" w:eastAsia="方正仿宋_GBK"/>
          <w:color w:val="000000"/>
          <w:spacing w:val="-2"/>
          <w:sz w:val="24"/>
        </w:rPr>
        <w:t>装置</w:t>
      </w:r>
      <w:r>
        <w:rPr>
          <w:rFonts w:eastAsia="方正仿宋_GBK"/>
          <w:color w:val="000000"/>
          <w:spacing w:val="-2"/>
          <w:sz w:val="24"/>
        </w:rPr>
        <w:t>”</w:t>
      </w:r>
      <w:r>
        <w:rPr>
          <w:rFonts w:hint="eastAsia" w:eastAsia="方正仿宋_GBK"/>
          <w:color w:val="000000"/>
          <w:spacing w:val="-2"/>
          <w:sz w:val="24"/>
        </w:rPr>
        <w:t>有关问题通知如下：</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城市污水处理必须坚持以集中建厂处理污水为主的原则。各地要认真贯彻执行《中华人民共和国水污染防治法》、《城市污水处理及污染防治技术政策》和国家有关城市排水产业政策，编制城市排水专业规划，切实加快城市污水处理工程建设步伐。为避免重复投资，今后，凡在已建或在建的城市污水处理厂服务区内新建居民住宅或公共建筑物，除餐饮业废水需建隔油池外，无需自行建设化粪池以及其他类似的生活污水处理设施，其污水可直接接入城市污水管道，送至城市污水处理厂进行处理。</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无动力生活污水净化装置为强化化粪池工艺，可以作为城市污水处理厂服务区以外的边远地区以及无集中处理条件、分散生活污水处理的辅助性过度处理措施，不能代替成熟的生物二级处理技术，各地不宜用行政手段强制推广使用该类技术。</w:t>
      </w:r>
    </w:p>
    <w:p>
      <w:pPr>
        <w:spacing w:line="460" w:lineRule="exact"/>
        <w:ind w:firstLine="472" w:firstLineChars="200"/>
        <w:rPr>
          <w:rFonts w:eastAsia="方正仿宋_GBK"/>
          <w:color w:val="000000"/>
          <w:spacing w:val="-4"/>
          <w:sz w:val="24"/>
        </w:rPr>
      </w:pPr>
      <w:r>
        <w:rPr>
          <w:rFonts w:eastAsia="方正仿宋_GBK"/>
          <w:color w:val="000000"/>
          <w:spacing w:val="-2"/>
          <w:sz w:val="24"/>
        </w:rPr>
        <w:t>3</w:t>
      </w:r>
      <w:r>
        <w:rPr>
          <w:rFonts w:hint="eastAsia" w:eastAsia="方正仿宋_GBK"/>
          <w:color w:val="000000"/>
          <w:spacing w:val="-2"/>
          <w:sz w:val="24"/>
        </w:rPr>
        <w:t>、</w:t>
      </w:r>
      <w:r>
        <w:rPr>
          <w:rFonts w:hint="eastAsia" w:eastAsia="方正仿宋_GBK"/>
          <w:color w:val="000000"/>
          <w:spacing w:val="-4"/>
          <w:sz w:val="24"/>
        </w:rPr>
        <w:t>要加强对分散型生活污水处理设施的科研和管理工作。各有关部门要组织技术力量和筹集科研经费，重点扶持研究先进、高效、经济实用的分散型生活污水处理技术和设施。要规范设计和施工市场管理，把好设计、施工质量关。要加强监督管理力度，近期，建设、环保、科技部门要对已建的各类分散型生活污水处理设施进行一次全面检查，凡建设不规范、特别是存在安全隐患的，要限期整改，确保设施正常运行。</w:t>
      </w:r>
    </w:p>
    <w:p>
      <w:pPr>
        <w:spacing w:line="460" w:lineRule="exact"/>
        <w:rPr>
          <w:rFonts w:eastAsia="方正仿宋_GBK"/>
          <w:color w:val="000000"/>
          <w:spacing w:val="-2"/>
          <w:sz w:val="24"/>
        </w:rPr>
      </w:pPr>
    </w:p>
    <w:p>
      <w:pPr>
        <w:pStyle w:val="18"/>
        <w:wordWrap w:val="0"/>
        <w:spacing w:line="460" w:lineRule="exact"/>
        <w:ind w:left="720" w:firstLine="0" w:firstLineChars="0"/>
        <w:jc w:val="right"/>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spacing w:line="440" w:lineRule="exact"/>
        <w:ind w:firstLine="472" w:firstLineChars="200"/>
        <w:jc w:val="center"/>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二〇〇一年四月二十三日</w:t>
      </w:r>
      <w:r>
        <w:rPr>
          <w:rFonts w:eastAsia="方正仿宋_GBK"/>
          <w:color w:val="000000"/>
          <w:spacing w:val="-2"/>
          <w:sz w:val="24"/>
        </w:rPr>
        <w:t xml:space="preserve">   </w:t>
      </w:r>
    </w:p>
    <w:p>
      <w:pPr>
        <w:pStyle w:val="2"/>
        <w:spacing w:before="240" w:beforeLines="100" w:after="240" w:afterLines="100" w:line="240" w:lineRule="auto"/>
        <w:jc w:val="center"/>
        <w:rPr>
          <w:rFonts w:ascii="Times New Roman" w:eastAsia="方正小标宋_GBK"/>
          <w:b w:val="0"/>
          <w:sz w:val="36"/>
          <w:szCs w:val="36"/>
        </w:rPr>
      </w:pPr>
      <w:r>
        <w:rPr>
          <w:rFonts w:eastAsia="方正仿宋_GBK"/>
          <w:b w:val="0"/>
          <w:color w:val="000000"/>
          <w:spacing w:val="-2"/>
          <w:sz w:val="24"/>
        </w:rPr>
        <w:br w:type="column"/>
      </w:r>
      <w:bookmarkStart w:id="52" w:name="_Toc20726414"/>
      <w:bookmarkStart w:id="53" w:name="_Toc18315497"/>
      <w:r>
        <w:rPr>
          <w:rFonts w:hint="eastAsia" w:ascii="Times New Roman" w:eastAsia="方正小标宋_GBK"/>
          <w:b w:val="0"/>
          <w:sz w:val="36"/>
          <w:szCs w:val="36"/>
        </w:rPr>
        <w:t>关于印发《江苏省瓶装燃气经营许可证和供应许可证   管理办法》的通知</w:t>
      </w:r>
      <w:bookmarkEnd w:id="52"/>
      <w:bookmarkEnd w:id="53"/>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54" w:name="_Toc20726415"/>
      <w:bookmarkStart w:id="55" w:name="_Toc18315498"/>
      <w:r>
        <w:rPr>
          <w:rFonts w:hint="eastAsia" w:ascii="Times New Roman" w:hAnsi="Times New Roman" w:eastAsia="方正楷体_GBK"/>
          <w:b w:val="0"/>
          <w:sz w:val="24"/>
          <w:szCs w:val="24"/>
        </w:rPr>
        <w:t>苏建法〔</w:t>
      </w:r>
      <w:r>
        <w:rPr>
          <w:rFonts w:ascii="Times New Roman" w:hAnsi="Times New Roman" w:eastAsia="方正楷体_GBK"/>
          <w:b w:val="0"/>
          <w:sz w:val="24"/>
          <w:szCs w:val="24"/>
        </w:rPr>
        <w:t>2005</w:t>
      </w:r>
      <w:r>
        <w:rPr>
          <w:rFonts w:hint="eastAsia" w:ascii="Times New Roman" w:hAnsi="Times New Roman" w:eastAsia="方正楷体_GBK"/>
          <w:b w:val="0"/>
          <w:sz w:val="24"/>
          <w:szCs w:val="24"/>
        </w:rPr>
        <w:t>〕</w:t>
      </w:r>
      <w:r>
        <w:rPr>
          <w:rFonts w:ascii="Times New Roman" w:hAnsi="Times New Roman" w:eastAsia="方正楷体_GBK"/>
          <w:b w:val="0"/>
          <w:sz w:val="24"/>
          <w:szCs w:val="24"/>
        </w:rPr>
        <w:t>256</w:t>
      </w:r>
      <w:r>
        <w:rPr>
          <w:rFonts w:hint="eastAsia" w:ascii="Times New Roman" w:hAnsi="Times New Roman" w:eastAsia="方正楷体_GBK"/>
          <w:b w:val="0"/>
          <w:sz w:val="24"/>
          <w:szCs w:val="24"/>
        </w:rPr>
        <w:t>号</w:t>
      </w:r>
      <w:bookmarkEnd w:id="54"/>
      <w:bookmarkEnd w:id="55"/>
    </w:p>
    <w:p>
      <w:pPr>
        <w:spacing w:line="460" w:lineRule="exact"/>
        <w:jc w:val="left"/>
        <w:rPr>
          <w:rFonts w:eastAsia="方正仿宋_GBK"/>
          <w:color w:val="000000"/>
          <w:spacing w:val="-2"/>
          <w:sz w:val="24"/>
        </w:rPr>
      </w:pPr>
      <w:r>
        <w:rPr>
          <w:rFonts w:hint="eastAsia" w:eastAsia="方正仿宋_GBK"/>
          <w:color w:val="000000"/>
          <w:spacing w:val="-2"/>
          <w:sz w:val="24"/>
        </w:rPr>
        <w:t>各市建设局、市政公用局：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了加强对瓶装燃气经营的安全运行管理，规范瓶装燃气经营市场秩序，保障人民群众生命、财产安全，根据《江苏省燃气管理条例》的规定，我厅制定了《江苏省瓶装燃气经营许可证和供应许可证管理办法》，已由厅第二十六次常务会议审议通过。现印发给你们，请结合实际贯彻执行。</w:t>
      </w:r>
    </w:p>
    <w:p>
      <w:pPr>
        <w:spacing w:line="460" w:lineRule="exact"/>
        <w:rPr>
          <w:rFonts w:eastAsia="方正仿宋_GBK"/>
          <w:color w:val="000000"/>
          <w:spacing w:val="-2"/>
          <w:sz w:val="24"/>
        </w:rPr>
      </w:pP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附件：《江苏省瓶装燃气经营许可证和供应许可证管理办法》</w:t>
      </w:r>
    </w:p>
    <w:p>
      <w:pPr>
        <w:spacing w:line="460" w:lineRule="exact"/>
        <w:ind w:firstLine="630"/>
        <w:jc w:val="left"/>
        <w:rPr>
          <w:rFonts w:eastAsia="方正仿宋_GBK"/>
          <w:color w:val="000000"/>
          <w:spacing w:val="-2"/>
          <w:sz w:val="24"/>
        </w:rPr>
      </w:pPr>
    </w:p>
    <w:p>
      <w:pPr>
        <w:wordWrap w:val="0"/>
        <w:spacing w:line="460" w:lineRule="exact"/>
        <w:ind w:firstLine="630"/>
        <w:jc w:val="right"/>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wordWrap w:val="0"/>
        <w:spacing w:line="460" w:lineRule="exact"/>
        <w:ind w:firstLine="630"/>
        <w:jc w:val="right"/>
        <w:rPr>
          <w:rFonts w:eastAsia="方正仿宋_GBK"/>
          <w:color w:val="000000"/>
          <w:spacing w:val="-2"/>
          <w:sz w:val="24"/>
        </w:rPr>
      </w:pPr>
      <w:r>
        <w:rPr>
          <w:rFonts w:hint="eastAsia" w:eastAsia="方正仿宋_GBK"/>
          <w:color w:val="000000"/>
          <w:spacing w:val="-2"/>
          <w:sz w:val="24"/>
        </w:rPr>
        <w:t>二</w:t>
      </w:r>
      <w:r>
        <w:rPr>
          <w:rFonts w:hint="eastAsia" w:eastAsia="方正仿宋_GBK"/>
          <w:bCs/>
          <w:snapToGrid w:val="0"/>
          <w:color w:val="000000"/>
          <w:spacing w:val="-2"/>
          <w:kern w:val="0"/>
          <w:sz w:val="24"/>
        </w:rPr>
        <w:t>○○</w:t>
      </w:r>
      <w:r>
        <w:rPr>
          <w:rFonts w:hint="eastAsia" w:eastAsia="方正仿宋_GBK"/>
          <w:color w:val="000000"/>
          <w:spacing w:val="-2"/>
          <w:sz w:val="24"/>
        </w:rPr>
        <w:t>五年八月五日</w:t>
      </w:r>
      <w:r>
        <w:rPr>
          <w:rFonts w:eastAsia="方正仿宋_GBK"/>
          <w:color w:val="000000"/>
          <w:spacing w:val="-2"/>
          <w:sz w:val="24"/>
        </w:rPr>
        <w:t xml:space="preserve">    </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江苏省瓶装燃气经营许可证和供应许可证管理办法</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了加强瓶装燃气安全管理，规范瓶装燃气经营市场秩序，保障人民群众生命、财产安全，根据《中华人民共和国行政许可法》、国务院《无照经营查处取缔办法》、《江苏省燃气管理条例》的规定，制定本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本省行政区域内瓶装燃气经营、供应以及相关的管理活动，均必须遵守本办法。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省建设主管部门负责对全省瓶装燃气经营许可证、瓶装燃气供应许可证发证审批工作的监督管理；设区市、县（市）建设（市政公用）主管部门（以下简称建设主管部门）按照《江苏省燃气管理条例》第十九条的规定具体负责本行政区域内许可证的发证及管理工作。</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从事瓶装燃气经营的企业必须取得设区市建设主管部门核发的《江苏省瓶装燃气经营许可证》后，方可从事瓶装燃气经营活动；从事瓶装燃气供应的站点必须取得所在地建设主管部门核发的《江苏省瓶装燃气供应许可证》后，方可从事瓶装燃气供应活动。</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瓶装燃气经营企业应当具备下列条件：</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仿宋_GBK"/>
          <w:spacing w:val="-2"/>
          <w:sz w:val="24"/>
          <w:szCs w:val="24"/>
        </w:rPr>
        <w:t>（一）有稳定的、符合国家标准的燃气气源；</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仿宋_GBK"/>
          <w:spacing w:val="-2"/>
          <w:sz w:val="24"/>
          <w:szCs w:val="24"/>
        </w:rPr>
        <w:t>（二）有符合国家标准的贮存、充装、供应设施，并取得省质量技术监督部门发的气瓶充装许可证；</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仿宋_GBK"/>
          <w:spacing w:val="-2"/>
          <w:sz w:val="24"/>
          <w:szCs w:val="24"/>
        </w:rPr>
        <w:t>（三）有与经营规模相适应的资金和管理、技术人员；注册资本金不得低于</w:t>
      </w:r>
      <w:r>
        <w:rPr>
          <w:rFonts w:ascii="Times New Roman" w:eastAsia="方正仿宋_GBK"/>
          <w:spacing w:val="-2"/>
          <w:sz w:val="24"/>
          <w:szCs w:val="24"/>
        </w:rPr>
        <w:t>50</w:t>
      </w:r>
      <w:r>
        <w:rPr>
          <w:rFonts w:hint="eastAsia" w:ascii="Times New Roman" w:eastAsia="方正仿宋_GBK"/>
          <w:spacing w:val="-2"/>
          <w:sz w:val="24"/>
          <w:szCs w:val="24"/>
        </w:rPr>
        <w:t>万元，技术负责人具有化工、燃气专业助理工程师以上职称，管理、技术、作业人员接受专门培训并考核合格；</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仿宋_GBK"/>
          <w:spacing w:val="-2"/>
          <w:sz w:val="24"/>
          <w:szCs w:val="24"/>
        </w:rPr>
        <w:t>（四）有固定的、符合消防等安全条件的经营场所；</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仿宋_GBK"/>
          <w:spacing w:val="-2"/>
          <w:sz w:val="24"/>
          <w:szCs w:val="24"/>
        </w:rPr>
        <w:t>（五）有相应的抢险抢修人员和设备；</w:t>
      </w:r>
    </w:p>
    <w:p>
      <w:pPr>
        <w:pStyle w:val="19"/>
        <w:spacing w:line="460" w:lineRule="exact"/>
        <w:ind w:firstLine="200"/>
        <w:rPr>
          <w:rFonts w:ascii="Times New Roman" w:eastAsia="方正仿宋_GBK"/>
          <w:spacing w:val="-2"/>
          <w:sz w:val="24"/>
          <w:szCs w:val="24"/>
        </w:rPr>
      </w:pPr>
      <w:r>
        <w:rPr>
          <w:rFonts w:ascii="Times New Roman" w:eastAsia="方正仿宋_GBK"/>
          <w:spacing w:val="-2"/>
          <w:sz w:val="24"/>
          <w:szCs w:val="24"/>
        </w:rPr>
        <w:t xml:space="preserve">  </w:t>
      </w:r>
      <w:r>
        <w:rPr>
          <w:rFonts w:hint="eastAsia" w:ascii="Times New Roman" w:eastAsia="方正仿宋_GBK"/>
          <w:spacing w:val="-2"/>
          <w:sz w:val="24"/>
          <w:szCs w:val="24"/>
        </w:rPr>
        <w:t>（六）有健全的安全管理和经营管理制度；</w:t>
      </w:r>
    </w:p>
    <w:p>
      <w:pPr>
        <w:pStyle w:val="19"/>
        <w:spacing w:line="460" w:lineRule="exact"/>
        <w:ind w:firstLine="200"/>
        <w:rPr>
          <w:rFonts w:ascii="Times New Roman" w:eastAsia="方正仿宋_GBK"/>
          <w:spacing w:val="-2"/>
          <w:sz w:val="24"/>
          <w:szCs w:val="24"/>
        </w:rPr>
      </w:pPr>
      <w:r>
        <w:rPr>
          <w:rFonts w:ascii="Times New Roman" w:eastAsia="方正仿宋_GBK"/>
          <w:spacing w:val="-2"/>
          <w:sz w:val="24"/>
          <w:szCs w:val="24"/>
        </w:rPr>
        <w:t xml:space="preserve">  </w:t>
      </w:r>
      <w:r>
        <w:rPr>
          <w:rFonts w:hint="eastAsia" w:ascii="Times New Roman" w:eastAsia="方正仿宋_GBK"/>
          <w:spacing w:val="-2"/>
          <w:sz w:val="24"/>
          <w:szCs w:val="24"/>
        </w:rPr>
        <w:t>（七）法律、法规规定的其他条件。</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 </w:t>
      </w: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申请瓶装燃气经营许可证的企业，应提供下列资料：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（一）江苏省瓶装燃气经营许可证申请表；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（二）企业法人代表和安全技术负责人的职务、职称等证明；</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（三）瓶装燃气经营设施的工程竣工验收备案材料（经当地建设主管部门备案认可）；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（四）气源来源情况；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（五）资产证明材料，管理、技术人员的配备情况（附劳动人事部门签证的劳动合同）；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（六）抢险抢修人员和设备的配备情况（附劳动人事部门签证的劳动合同）；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（七）企业安全生产管理制度，事故应急救援预案，企业章程和服务规范；</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（八）其他有关文件和证明。</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瓶装燃气供应站点应当具备下列条件：</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仿宋_GBK"/>
          <w:spacing w:val="-2"/>
          <w:sz w:val="24"/>
          <w:szCs w:val="24"/>
        </w:rPr>
        <w:t>（一）有与经营规模相适应的资金和管理、技术人员。注册资本金不得低于</w:t>
      </w:r>
      <w:r>
        <w:rPr>
          <w:rFonts w:ascii="Times New Roman" w:eastAsia="方正仿宋_GBK"/>
          <w:spacing w:val="-2"/>
          <w:sz w:val="24"/>
          <w:szCs w:val="24"/>
        </w:rPr>
        <w:t>10</w:t>
      </w:r>
      <w:r>
        <w:rPr>
          <w:rFonts w:hint="eastAsia" w:ascii="Times New Roman" w:eastAsia="方正仿宋_GBK"/>
          <w:spacing w:val="-2"/>
          <w:sz w:val="24"/>
          <w:szCs w:val="24"/>
        </w:rPr>
        <w:t>万元，管理、技术、作业人员接受专门培训并考核合格；</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仿宋_GBK"/>
          <w:spacing w:val="-2"/>
          <w:sz w:val="24"/>
          <w:szCs w:val="24"/>
        </w:rPr>
        <w:t>（二）有固定的、符合消防等安全条件的经营场所、瓶库及配套设施；</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仿宋_GBK"/>
          <w:spacing w:val="-2"/>
          <w:sz w:val="24"/>
          <w:szCs w:val="24"/>
        </w:rPr>
        <w:t>（三）有相应的抢险抢修人员和设备；</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仿宋_GBK"/>
          <w:spacing w:val="-2"/>
          <w:sz w:val="24"/>
          <w:szCs w:val="24"/>
        </w:rPr>
        <w:t>（四）有健全的安全管理和经营管理制度。</w:t>
      </w:r>
    </w:p>
    <w:p>
      <w:pPr>
        <w:pStyle w:val="19"/>
        <w:spacing w:line="460" w:lineRule="exact"/>
        <w:ind w:firstLine="472" w:firstLineChars="200"/>
        <w:rPr>
          <w:rFonts w:ascii="Times New Roman" w:eastAsia="方正仿宋_GBK"/>
          <w:spacing w:val="-2"/>
          <w:sz w:val="24"/>
          <w:szCs w:val="24"/>
        </w:rPr>
      </w:pPr>
      <w:r>
        <w:rPr>
          <w:rFonts w:hint="eastAsia" w:ascii="Times New Roman" w:eastAsia="方正黑体_GBK"/>
          <w:spacing w:val="-2"/>
          <w:sz w:val="24"/>
          <w:szCs w:val="24"/>
        </w:rPr>
        <w:t>第八条</w:t>
      </w:r>
      <w:r>
        <w:rPr>
          <w:rFonts w:ascii="Times New Roman" w:eastAsia="方正仿宋_GBK"/>
          <w:spacing w:val="-2"/>
          <w:sz w:val="24"/>
          <w:szCs w:val="24"/>
        </w:rPr>
        <w:t xml:space="preserve">  </w:t>
      </w:r>
      <w:r>
        <w:rPr>
          <w:rFonts w:hint="eastAsia" w:ascii="Times New Roman" w:eastAsia="方正仿宋_GBK"/>
          <w:spacing w:val="-2"/>
          <w:sz w:val="24"/>
          <w:szCs w:val="24"/>
        </w:rPr>
        <w:t>申请瓶装燃气供应许可证的站点，应提供下列资料：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（一）江苏省瓶装燃气供应许可证申请表；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（二）站点负责人和安全技术负责人的职务、职称等证明；</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（三）站点设施的核准文件；　　</w:t>
      </w:r>
    </w:p>
    <w:p>
      <w:pPr>
        <w:pStyle w:val="20"/>
        <w:spacing w:line="460" w:lineRule="exact"/>
        <w:ind w:left="0" w:firstLine="472" w:firstLineChars="200"/>
        <w:rPr>
          <w:rFonts w:eastAsia="方正仿宋_GBK"/>
          <w:spacing w:val="-2"/>
          <w:sz w:val="24"/>
          <w:szCs w:val="24"/>
        </w:rPr>
      </w:pPr>
      <w:r>
        <w:rPr>
          <w:rFonts w:hint="eastAsia" w:eastAsia="方正仿宋_GBK"/>
          <w:spacing w:val="-2"/>
          <w:sz w:val="24"/>
          <w:szCs w:val="24"/>
        </w:rPr>
        <w:t>（四）防泄漏、防火、防爆安全管理制度和营业制度；　　</w:t>
      </w:r>
    </w:p>
    <w:p>
      <w:pPr>
        <w:pStyle w:val="20"/>
        <w:spacing w:line="460" w:lineRule="exact"/>
        <w:ind w:left="0" w:firstLine="472" w:firstLineChars="200"/>
        <w:rPr>
          <w:rFonts w:eastAsia="方正仿宋_GBK"/>
          <w:spacing w:val="-2"/>
          <w:sz w:val="24"/>
          <w:szCs w:val="24"/>
        </w:rPr>
      </w:pPr>
      <w:r>
        <w:rPr>
          <w:rFonts w:hint="eastAsia" w:eastAsia="方正仿宋_GBK"/>
          <w:spacing w:val="-2"/>
          <w:sz w:val="24"/>
          <w:szCs w:val="24"/>
        </w:rPr>
        <w:t>（五）资产证明材料，管理、技术、作业人员的考核合格证明材料。</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建设主管部门接到瓶装燃气经营许可申请、瓶装燃气供应许可申请之日起二十个工作日内，对申请人提交的申请材料进行审查，对符合条件的，颁发《江苏省瓶装燃气经营许可证》或者《江苏省瓶装燃气供应许可证》；对不符合条件的，应当书面通知申请人并说明理由。二十个工作日内不能作出行政许可决定的，经发证机关负责人批准，可以延长十日，并将延长期限的理由告知申请人。</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color w:val="000000"/>
          <w:spacing w:val="-2"/>
          <w:sz w:val="24"/>
        </w:rPr>
        <w:t xml:space="preserve">  </w:t>
      </w:r>
      <w:r>
        <w:rPr>
          <w:rFonts w:hint="eastAsia" w:eastAsia="方正仿宋_GBK"/>
          <w:color w:val="000000"/>
          <w:spacing w:val="-2"/>
          <w:sz w:val="24"/>
        </w:rPr>
        <w:t>《江苏省瓶装燃气经营许可证》和《江苏省瓶装燃气供应许可证》由省建设厅统一组织印制。《江苏省瓶装燃气经营许可证》和《江苏省瓶装燃气供应许可证》分为正本和副本，正本和副本具有同等法律效力。</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江苏省瓶装燃气经营许可证》有效期为四年，《江苏省瓶装燃气供应许可证》有效期为二年。有效期满后，需继续从事瓶装燃气经营和供应活动的，应当在许可证有效期满前三个月内向原发证机关提出换证申请，经审查合格后换领新证。</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发证机关应加强对瓶装燃气经营许可证和瓶装燃气供应许可证的监督管理，定期检查瓶装燃气经营企业和供应站点的安全运行状况。发现不再具备安全生产条件，存在重大安全隐患的，应当责令限期整改，在规定限期内不改正或整改不彻底的，应当撤销原批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已取得《江苏省瓶装燃气经营许可证》、《江苏省瓶装燃气供应许可证》的经营企业或者供应站点发生分立、合并、转让的，应当在一个月内向原发证机关重新申请办理许可证件，原证件作废。</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发证机关应当坚持公开、公平、公正的原则，严格依照法律、法规、规章和标准规定的条件及程序，审批、发放许可证。</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2"/>
          <w:sz w:val="24"/>
        </w:rPr>
        <w:t>发证机关应当加强对经营许可证的监督管理，建立、健全经营许可证审批、发放档案管理制度。</w:t>
      </w:r>
    </w:p>
    <w:p>
      <w:pPr>
        <w:spacing w:line="460" w:lineRule="exact"/>
        <w:ind w:firstLine="472" w:firstLineChars="200"/>
        <w:rPr>
          <w:rFonts w:eastAsia="方正仿宋_GBK"/>
          <w:color w:val="000000"/>
          <w:spacing w:val="-2"/>
          <w:sz w:val="24"/>
        </w:rPr>
      </w:pPr>
      <w:r>
        <w:rPr>
          <w:rFonts w:eastAsia="方正仿宋_GBK"/>
          <w:color w:val="000000"/>
          <w:spacing w:val="-2"/>
          <w:sz w:val="24"/>
        </w:rPr>
        <w:t> </w:t>
      </w:r>
      <w:r>
        <w:rPr>
          <w:rFonts w:hint="eastAsia" w:ascii="Times New Roman" w:eastAsia="方正黑体_GBK"/>
          <w:color w:val="000000"/>
          <w:spacing w:val="-2"/>
          <w:sz w:val="24"/>
        </w:rPr>
        <w:t>第十六条</w:t>
      </w:r>
      <w:r>
        <w:rPr>
          <w:rFonts w:eastAsia="方正仿宋_GBK"/>
          <w:color w:val="000000"/>
          <w:spacing w:val="-2"/>
          <w:sz w:val="24"/>
        </w:rPr>
        <w:t xml:space="preserve">  </w:t>
      </w:r>
      <w:r>
        <w:rPr>
          <w:rFonts w:hint="eastAsia" w:eastAsia="方正仿宋_GBK"/>
          <w:color w:val="000000"/>
          <w:spacing w:val="-2"/>
          <w:sz w:val="24"/>
        </w:rPr>
        <w:t>建设主管部门应当将本行政区域内经营许可证、供应许可证的年度审批发证情况报上一级建设主管部门备案。</w:t>
      </w:r>
    </w:p>
    <w:p>
      <w:pPr>
        <w:spacing w:line="460" w:lineRule="exact"/>
        <w:ind w:firstLine="472" w:firstLineChars="200"/>
        <w:rPr>
          <w:rFonts w:eastAsia="方正仿宋_GBK"/>
          <w:color w:val="000000"/>
          <w:spacing w:val="-2"/>
          <w:sz w:val="24"/>
        </w:rPr>
      </w:pPr>
      <w:r>
        <w:rPr>
          <w:rFonts w:eastAsia="方正仿宋_GBK"/>
          <w:color w:val="000000"/>
          <w:spacing w:val="-2"/>
          <w:sz w:val="24"/>
        </w:rPr>
        <w:t> </w:t>
      </w:r>
      <w:r>
        <w:rPr>
          <w:rFonts w:hint="eastAsia" w:ascii="Times New Roman" w:eastAsia="方正黑体_GBK"/>
          <w:color w:val="000000"/>
          <w:spacing w:val="-2"/>
          <w:sz w:val="24"/>
        </w:rPr>
        <w:t>第十七条</w:t>
      </w:r>
      <w:r>
        <w:rPr>
          <w:rFonts w:eastAsia="方正仿宋_GBK"/>
          <w:color w:val="000000"/>
          <w:spacing w:val="-2"/>
          <w:sz w:val="24"/>
        </w:rPr>
        <w:t xml:space="preserve">  </w:t>
      </w:r>
      <w:r>
        <w:rPr>
          <w:rFonts w:hint="eastAsia" w:eastAsia="方正仿宋_GBK"/>
          <w:color w:val="000000"/>
          <w:spacing w:val="-2"/>
          <w:sz w:val="24"/>
        </w:rPr>
        <w:t>未取得瓶装燃气经营许可证或者供应许可证擅自从事瓶装燃气经营活动的，向无瓶装燃气经营许可证或者供应许可证的单位和个人供应用于销售的燃气的，由建设主管部门依照《江苏省燃气管理条例》第五十七条的规定予以处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color w:val="000000"/>
          <w:spacing w:val="-2"/>
          <w:sz w:val="24"/>
        </w:rPr>
        <w:t xml:space="preserve">   </w:t>
      </w:r>
      <w:r>
        <w:rPr>
          <w:rFonts w:hint="eastAsia" w:eastAsia="方正仿宋_GBK"/>
          <w:color w:val="000000"/>
          <w:spacing w:val="-2"/>
          <w:sz w:val="24"/>
        </w:rPr>
        <w:t>本办法自发文之日起施行。</w:t>
      </w:r>
    </w:p>
    <w:p>
      <w:pPr>
        <w:pStyle w:val="2"/>
        <w:spacing w:before="240" w:beforeLines="100" w:after="240" w:afterLines="100" w:line="240" w:lineRule="auto"/>
        <w:jc w:val="center"/>
        <w:rPr>
          <w:rFonts w:ascii="Times New Roman" w:eastAsia="方正小标宋_GBK"/>
          <w:b w:val="0"/>
          <w:sz w:val="36"/>
          <w:szCs w:val="36"/>
        </w:rPr>
      </w:pPr>
      <w:r>
        <w:rPr>
          <w:b w:val="0"/>
        </w:rPr>
        <w:br w:type="column"/>
      </w:r>
      <w:bookmarkStart w:id="56" w:name="_Toc20726310"/>
      <w:bookmarkStart w:id="57" w:name="_Toc18315390"/>
      <w:r>
        <w:rPr>
          <w:rFonts w:hint="eastAsia" w:ascii="Times New Roman" w:eastAsia="方正小标宋_GBK"/>
          <w:b w:val="0"/>
          <w:sz w:val="36"/>
          <w:szCs w:val="36"/>
        </w:rPr>
        <w:t>关于贯彻建设部《关于加强市政公用事业监管的意见》的通知</w:t>
      </w:r>
      <w:bookmarkEnd w:id="56"/>
      <w:bookmarkEnd w:id="5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58" w:name="_Toc18315391"/>
      <w:bookmarkStart w:id="59" w:name="_Toc20726311"/>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2005</w:t>
      </w:r>
      <w:r>
        <w:rPr>
          <w:rFonts w:hint="eastAsia" w:ascii="Times New Roman" w:hAnsi="Times New Roman" w:eastAsia="方正楷体_GBK"/>
          <w:b w:val="0"/>
          <w:sz w:val="24"/>
          <w:szCs w:val="24"/>
        </w:rPr>
        <w:t>〕</w:t>
      </w:r>
      <w:r>
        <w:rPr>
          <w:rFonts w:ascii="Times New Roman" w:hAnsi="Times New Roman" w:eastAsia="方正楷体_GBK"/>
          <w:b w:val="0"/>
          <w:sz w:val="24"/>
          <w:szCs w:val="24"/>
        </w:rPr>
        <w:t>591</w:t>
      </w:r>
      <w:r>
        <w:rPr>
          <w:rFonts w:hint="eastAsia" w:ascii="Times New Roman" w:hAnsi="Times New Roman" w:eastAsia="方正楷体_GBK"/>
          <w:b w:val="0"/>
          <w:sz w:val="24"/>
          <w:szCs w:val="24"/>
        </w:rPr>
        <w:t>号</w:t>
      </w:r>
      <w:bookmarkEnd w:id="58"/>
      <w:bookmarkEnd w:id="59"/>
    </w:p>
    <w:p>
      <w:pPr>
        <w:spacing w:line="460" w:lineRule="exact"/>
        <w:rPr>
          <w:rFonts w:eastAsia="方正仿宋_GBK"/>
          <w:color w:val="000000"/>
          <w:sz w:val="24"/>
        </w:rPr>
      </w:pPr>
      <w:r>
        <w:rPr>
          <w:rFonts w:hint="eastAsia" w:eastAsia="方正仿宋_GBK"/>
          <w:color w:val="000000"/>
          <w:sz w:val="24"/>
        </w:rPr>
        <w:t>各市、县（市）建设局（委）、市政公用局、城管（市容）局：</w:t>
      </w:r>
    </w:p>
    <w:p>
      <w:pPr>
        <w:spacing w:line="460" w:lineRule="exact"/>
        <w:ind w:firstLine="480" w:firstLineChars="200"/>
        <w:rPr>
          <w:rFonts w:eastAsia="方正仿宋_GBK"/>
          <w:color w:val="000000"/>
          <w:sz w:val="24"/>
        </w:rPr>
      </w:pPr>
      <w:r>
        <w:rPr>
          <w:rFonts w:hint="eastAsia" w:eastAsia="方正仿宋_GBK"/>
          <w:color w:val="000000"/>
          <w:sz w:val="24"/>
        </w:rPr>
        <w:t>现将建设部《关于加强市政公用事业监管的意见》</w:t>
      </w:r>
      <w:r>
        <w:rPr>
          <w:rFonts w:eastAsia="方正仿宋_GBK"/>
          <w:color w:val="000000"/>
          <w:sz w:val="24"/>
        </w:rPr>
        <w:t>(</w:t>
      </w:r>
      <w:r>
        <w:rPr>
          <w:rFonts w:hint="eastAsia" w:eastAsia="方正仿宋_GBK"/>
          <w:color w:val="000000"/>
          <w:sz w:val="24"/>
        </w:rPr>
        <w:t>建城〔</w:t>
      </w:r>
      <w:r>
        <w:rPr>
          <w:rFonts w:eastAsia="方正仿宋_GBK"/>
          <w:color w:val="000000"/>
          <w:sz w:val="24"/>
        </w:rPr>
        <w:t>2005</w:t>
      </w:r>
      <w:r>
        <w:rPr>
          <w:rFonts w:hint="eastAsia" w:eastAsia="方正仿宋_GBK"/>
          <w:color w:val="000000"/>
          <w:sz w:val="24"/>
        </w:rPr>
        <w:t>〕</w:t>
      </w:r>
      <w:r>
        <w:rPr>
          <w:rFonts w:eastAsia="方正仿宋_GBK"/>
          <w:color w:val="000000"/>
          <w:sz w:val="24"/>
        </w:rPr>
        <w:t>154</w:t>
      </w:r>
      <w:r>
        <w:rPr>
          <w:rFonts w:hint="eastAsia" w:eastAsia="方正仿宋_GBK"/>
          <w:color w:val="000000"/>
          <w:sz w:val="24"/>
        </w:rPr>
        <w:t>号</w:t>
      </w:r>
      <w:r>
        <w:rPr>
          <w:rFonts w:eastAsia="方正仿宋_GBK"/>
          <w:color w:val="000000"/>
          <w:sz w:val="24"/>
        </w:rPr>
        <w:t>)</w:t>
      </w:r>
      <w:r>
        <w:rPr>
          <w:rFonts w:hint="eastAsia" w:eastAsia="方正仿宋_GBK"/>
          <w:color w:val="000000"/>
          <w:sz w:val="24"/>
        </w:rPr>
        <w:t>转发给你们，为促进我省市政公用事业健康发展，结合我省实际，提出如下贯彻意见，请一并贯彻执行。</w:t>
      </w:r>
    </w:p>
    <w:p>
      <w:pPr>
        <w:spacing w:line="460" w:lineRule="exact"/>
        <w:ind w:firstLine="480" w:firstLineChars="200"/>
        <w:rPr>
          <w:rFonts w:eastAsia="方正仿宋_GBK"/>
          <w:color w:val="000000"/>
          <w:sz w:val="24"/>
        </w:rPr>
      </w:pPr>
      <w:r>
        <w:rPr>
          <w:rFonts w:hint="eastAsia" w:eastAsia="黑体"/>
          <w:color w:val="000000"/>
          <w:sz w:val="24"/>
        </w:rPr>
        <w:t>一、提高认识，增强对市政公用事业监管工作的责任感与使命感。</w:t>
      </w:r>
      <w:r>
        <w:rPr>
          <w:rFonts w:hint="eastAsia" w:eastAsia="方正仿宋_GBK"/>
          <w:color w:val="000000"/>
          <w:sz w:val="24"/>
        </w:rPr>
        <w:t>近年来，我省通过推进市场化改革，切实加快了市政公用事业发展步伐，市政公用各行业的管理水平与服务质量有了较大提高，但与全省社会、经济的发展要求相比、与人们群众的服务需求相比，市政公用事业的服务质量还有待提高。推进市场化改革后政府对市政公用事业的监管方式和要求也发生了变化，总体上来看，政府对于市政公用事业市场化的监管工作滞后于改革进程，影响了公平、公正市政公用事业市场的形成。加强政府监管是市政公用事业市场化的重要内容，健全的政府监管体系是推进市政公用事业市场化的重要保障。各地市政公用主管部门要进一步统一思想，充分认识在积极稳妥推进市政公用事业市场化前提下，加强监管的必要性和重要性。要按照既不越位、也不缺位的要求，转变管理方式，健全监管体系，加大监管力度，提高监管水平。</w:t>
      </w:r>
    </w:p>
    <w:p>
      <w:pPr>
        <w:spacing w:line="460" w:lineRule="exact"/>
        <w:ind w:firstLine="480" w:firstLineChars="200"/>
        <w:rPr>
          <w:rFonts w:eastAsia="方正仿宋_GBK"/>
          <w:color w:val="000000"/>
          <w:sz w:val="24"/>
        </w:rPr>
      </w:pPr>
      <w:r>
        <w:rPr>
          <w:rFonts w:hint="eastAsia" w:eastAsia="黑体"/>
          <w:color w:val="000000"/>
          <w:sz w:val="24"/>
        </w:rPr>
        <w:t>二、把握重点，认真抓好有关监管措施的落实</w:t>
      </w:r>
      <w:r>
        <w:rPr>
          <w:rFonts w:hint="eastAsia" w:eastAsia="方正仿宋_GBK"/>
          <w:color w:val="000000"/>
          <w:sz w:val="24"/>
        </w:rPr>
        <w:t>。对市政公用事业的监管是各级政府的职责，市政公用事业必须实施全过程和全流程监督，因此，监管工作量大、政策性强、责任性重，必须准确把握住重点，抓好有关监管措施的落实。</w:t>
      </w:r>
    </w:p>
    <w:p>
      <w:pPr>
        <w:spacing w:line="460" w:lineRule="exact"/>
        <w:ind w:firstLine="480" w:firstLineChars="200"/>
        <w:rPr>
          <w:rFonts w:eastAsia="方正仿宋_GBK"/>
          <w:color w:val="000000"/>
          <w:sz w:val="24"/>
        </w:rPr>
      </w:pPr>
      <w:r>
        <w:rPr>
          <w:rFonts w:hint="eastAsia" w:eastAsia="方正仿宋_GBK"/>
          <w:color w:val="000000"/>
          <w:sz w:val="24"/>
        </w:rPr>
        <w:t>（一）加快法制建设。市政公用事业监管包括市场准入、产品与服务质量、运行安全、价格与收费、管线网络系统以及市场竞争秩序等方面，加强市政公用事业监管，必须建立健全相应的行业管理法规体系。各地要在推进市政公用行业市场化进程中，结合市政公用各行业的特点，按照国家、省对市政公用事业监管的具体规定和要求，进一步制定市政公用各行业具体的监管实施办法，落实监管主体。要建立健全规范、系统、完善的监管实施规则，明确监管的事项、程序与措施要求，规定监管机构与监管人员的职责范围和监督方式，做到有法可依、依法行政、依法监管，保证市政公用事业的正常运转和健康有序发展。</w:t>
      </w:r>
    </w:p>
    <w:p>
      <w:pPr>
        <w:spacing w:line="460" w:lineRule="exact"/>
        <w:ind w:firstLine="480" w:firstLineChars="200"/>
        <w:rPr>
          <w:rFonts w:eastAsia="方正仿宋_GBK"/>
          <w:color w:val="000000"/>
          <w:sz w:val="24"/>
        </w:rPr>
      </w:pPr>
      <w:r>
        <w:rPr>
          <w:rFonts w:hint="eastAsia" w:eastAsia="方正仿宋_GBK"/>
          <w:color w:val="000000"/>
          <w:sz w:val="24"/>
        </w:rPr>
        <w:t>（二）进一步规范市场准入管理。对市政公用市场主体的进入和退出管理，是建立规范有序的市政公用市场的重要保证，也是市场主体加强自身管理、不断提高运行水平的重要前提。各地要按照《市政公用事业特许经营管理办法》的要求，结合本地实际和市政公用各行业的特点，制定市场进入条件和退出要求、程序，对进入市场的主体在法人资格、资本金与财务状况、银行资信、社会信誉、经营管理人员业绩等方面做出规定，把好市场准入关；对进入市政公用市场的主体在履行经营权义务、执行城市总体规划和市政公用行业专业规划、执行行业产品与服务质量标准、严格安全生产管理、履行普遍服务义务、企业社会信誉等方面作出规定，实施严格的市场清退制度。</w:t>
      </w:r>
    </w:p>
    <w:p>
      <w:pPr>
        <w:spacing w:line="460" w:lineRule="exact"/>
        <w:ind w:firstLine="480" w:firstLineChars="200"/>
        <w:rPr>
          <w:rFonts w:eastAsia="方正仿宋_GBK"/>
          <w:color w:val="000000"/>
          <w:sz w:val="24"/>
        </w:rPr>
      </w:pPr>
      <w:r>
        <w:rPr>
          <w:rFonts w:hint="eastAsia" w:eastAsia="方正仿宋_GBK"/>
          <w:color w:val="000000"/>
          <w:sz w:val="24"/>
        </w:rPr>
        <w:t>各地要按照市场准入条件和程序，以特许经营协议内容为招标主要条件、综合考虑成本、价格、经营方案、产品质量与服务承诺、特殊情况下的紧急措施等因素，制定特许经营实施方案，并报省建设厅备案。签订特许经营协议，授予特许经营权，应报省建设厅备案。</w:t>
      </w:r>
    </w:p>
    <w:p>
      <w:pPr>
        <w:spacing w:line="460" w:lineRule="exact"/>
        <w:ind w:firstLine="480" w:firstLineChars="200"/>
        <w:rPr>
          <w:rFonts w:eastAsia="方正仿宋_GBK"/>
          <w:color w:val="000000"/>
          <w:sz w:val="24"/>
        </w:rPr>
      </w:pPr>
      <w:r>
        <w:rPr>
          <w:rFonts w:hint="eastAsia" w:eastAsia="方正仿宋_GBK"/>
          <w:color w:val="000000"/>
          <w:sz w:val="24"/>
        </w:rPr>
        <w:t>对实施特许经营的市政公用行业，市场主体在经营期满前退出的，要按市场退出程序办理批准手续，并报省建设厅备案。</w:t>
      </w:r>
    </w:p>
    <w:p>
      <w:pPr>
        <w:spacing w:line="460" w:lineRule="exact"/>
        <w:ind w:firstLine="480" w:firstLineChars="200"/>
        <w:rPr>
          <w:rFonts w:eastAsia="方正仿宋_GBK"/>
          <w:color w:val="000000"/>
          <w:sz w:val="24"/>
        </w:rPr>
      </w:pPr>
      <w:r>
        <w:rPr>
          <w:rFonts w:hint="eastAsia" w:eastAsia="方正仿宋_GBK"/>
          <w:color w:val="000000"/>
          <w:sz w:val="24"/>
        </w:rPr>
        <w:t>（三）进一步完善特许经营管理制度。各地要按照《市政公用事业特许经营管理办法》的要求，具体落实市场准入和退出、特许经营权招投标、特许经营项目中期评估、特许情况下临时接管、对违规企业的披露、公众监督与参与、上级主管部门备案等规定，完善特许经营制度。</w:t>
      </w:r>
    </w:p>
    <w:p>
      <w:pPr>
        <w:spacing w:line="460" w:lineRule="exact"/>
        <w:ind w:firstLine="480" w:firstLineChars="200"/>
        <w:rPr>
          <w:rFonts w:eastAsia="方正仿宋_GBK"/>
          <w:color w:val="000000"/>
          <w:sz w:val="24"/>
        </w:rPr>
      </w:pPr>
      <w:r>
        <w:rPr>
          <w:rFonts w:hint="eastAsia" w:eastAsia="方正仿宋_GBK"/>
          <w:color w:val="000000"/>
          <w:sz w:val="24"/>
        </w:rPr>
        <w:t>要健全特许经营招标投标制度。各地要根据特许经营项目的特点，按照公开、公正、公平的原则，严格招标投标制度，严禁议标。对经营范围、期限、产品和服务质量标准、设施建设和维护、生产和作业安全、普遍服务、价格或付费、违约责任、争议解决、信息报告、市场退出和监管规定等主要内容设定详细条款，明确相关责任和义务，其核心内容应设定为招标的前置条件，从招标投标程序和内容两方面不断完善特许经营权招标投标制度。完善履约保证制度。各地要建立和完善履约保证制度，应要求投资、经营和作业者对其关于市政公用事业产品和服务质量标准、普遍服务和设施建设、维护等作业的承诺提供履约包函或保证金等履约保证，防止违约行为，降低履约风险；同时，政府应当严格按照协议或合同的约定履行义务，承担责任。建立公众参与监督制度。要按照政务事务公开的要求，将特许经营经营企业产品和服务质量信息、市政公用行业主管部门的监督信息，以适当的方式予以披露，自觉接受公众监督；要完善公众咨询、投诉和处理机制，尊重社会公众的知情权，鼓励公众参与监督。建立评估考核制度。市政公用行业主管部门应对特经营项目的设施建设、设施和设备、产品和服务质量、公众投诉及处理、成本控制、安全保障等有关情况建立评估制度。评估周期一般为两年，特殊情况可以实施年度评估。评估结果报省建设厅备案，并应与费用支付和价格调整挂钩，评估中发现的问题，要督促企业进行整改。特许经营企业应积极配合，如实提供有关资料，企业投资等重大事项的决策应及时向城市市政公用主管部门备案。建立独立董事和监督员制度。各地可以根据特许经营协议约定，委派独立董事进入市政公用特许经营企业的董事会，代表政府行使维护社会公共利益的责任，对可能损害公众利益或危及公共安全的行为要及时制止；委派监督员对特许经营供水、供气、污水和垃圾处理企业进行全流程监督。独立董事和监督员不应干预企业正常的生产和经营活动，并应定期实行轮换。</w:t>
      </w:r>
    </w:p>
    <w:p>
      <w:pPr>
        <w:spacing w:line="460" w:lineRule="exact"/>
        <w:ind w:firstLine="480" w:firstLineChars="200"/>
        <w:rPr>
          <w:rFonts w:eastAsia="方正仿宋_GBK"/>
          <w:color w:val="000000"/>
          <w:sz w:val="24"/>
        </w:rPr>
      </w:pPr>
      <w:r>
        <w:rPr>
          <w:rFonts w:hint="eastAsia" w:eastAsia="方正仿宋_GBK"/>
          <w:color w:val="000000"/>
          <w:sz w:val="24"/>
        </w:rPr>
        <w:t>各地实施特许经营的市政公用项目的必须签订特许经营协议，没有签订协议或协议不完善的，应按规定程序补充和完善特许经营协议。</w:t>
      </w:r>
    </w:p>
    <w:p>
      <w:pPr>
        <w:spacing w:line="460" w:lineRule="exact"/>
        <w:ind w:firstLine="480" w:firstLineChars="200"/>
        <w:rPr>
          <w:rFonts w:eastAsia="方正仿宋_GBK"/>
          <w:color w:val="000000"/>
          <w:sz w:val="24"/>
        </w:rPr>
      </w:pPr>
      <w:r>
        <w:rPr>
          <w:rFonts w:hint="eastAsia" w:eastAsia="方正仿宋_GBK"/>
          <w:color w:val="000000"/>
          <w:sz w:val="24"/>
        </w:rPr>
        <w:t>（四）加强产品和服务质量的监督。各城市市政公用行业主管部门既要对各行业的投资、建设、生产、运营者及其相关活动实施全程监督，更要突出对产品和服务质量、运行管理过程的重点监督检查、要按照国家和省有关产品与服务质量标准及监测检查要求，制定具体的监管实施办法，对产品质量实行定期监测检查和不定期抽查，对服务质量要实行定期、不定期检查和巡查，对监测检查中发现的问题要提出书面整改意见，并监督经营服务企业限期整改。对产品质量的监测结果要按规定报省建设厅。</w:t>
      </w:r>
    </w:p>
    <w:p>
      <w:pPr>
        <w:spacing w:line="460" w:lineRule="exact"/>
        <w:ind w:firstLine="480" w:firstLineChars="200"/>
        <w:rPr>
          <w:rFonts w:eastAsia="方正仿宋_GBK"/>
          <w:color w:val="000000"/>
          <w:sz w:val="24"/>
        </w:rPr>
      </w:pPr>
      <w:r>
        <w:rPr>
          <w:rFonts w:hint="eastAsia" w:eastAsia="方正仿宋_GBK"/>
          <w:color w:val="000000"/>
          <w:sz w:val="24"/>
        </w:rPr>
        <w:t>（五）建立应急预案和预警机制。市政公用事业的安全运行关系到公共利益、公共安全和社会的稳定，责任重大，对此，国家、省各级政府十分重视，正在制定完善有关应急预案和预警机制。各地市政公用主管部门要在城市政府应急预案体系中，建立有关市政公用应急预案。特许经营市场公用企业也制定企业的应急预案，建立预警机制，并与城市市政共用主管部门应急预案体系相衔接。</w:t>
      </w:r>
    </w:p>
    <w:p>
      <w:pPr>
        <w:spacing w:line="460" w:lineRule="exact"/>
        <w:ind w:firstLine="480" w:firstLineChars="200"/>
        <w:rPr>
          <w:rFonts w:eastAsia="方正仿宋_GBK"/>
          <w:color w:val="000000"/>
          <w:sz w:val="24"/>
        </w:rPr>
      </w:pPr>
      <w:r>
        <w:rPr>
          <w:rFonts w:hint="eastAsia" w:eastAsia="方正仿宋_GBK"/>
          <w:color w:val="000000"/>
          <w:sz w:val="24"/>
        </w:rPr>
        <w:t>要制定特殊情况下临时接管的应急预案，在出现重大安全隐患，危害公共安全、公共利益和社会稳定时，可由城市市政公用主管部门实施临时接管；实施临时接管必须报省建设厅备案，必要时省建设厅将跨区域组织技术力量，为临时接管提供支持和保障，确保市政公用企业生产、供应和服务的连续性、稳定性。</w:t>
      </w:r>
    </w:p>
    <w:p>
      <w:pPr>
        <w:spacing w:line="460" w:lineRule="exact"/>
        <w:ind w:firstLine="480" w:firstLineChars="200"/>
        <w:rPr>
          <w:rFonts w:eastAsia="方正仿宋_GBK"/>
          <w:color w:val="000000"/>
          <w:sz w:val="24"/>
        </w:rPr>
      </w:pPr>
      <w:r>
        <w:rPr>
          <w:rFonts w:hint="eastAsia" w:eastAsia="方正仿宋_GBK"/>
          <w:color w:val="000000"/>
          <w:sz w:val="24"/>
        </w:rPr>
        <w:t>（六）强化经营与作业成本监管。各地要建立健全特许经营市政公用行业经营与作业成本监管机制，为市政公用产品和服务价格调整或费用支付提供依据。各地要通过区域同行业成本比较，激励经营企业改进技术，降低成本；要建立市政公用行业产品和服务成本年度监审制度，掌握企业经营成本，为政府定价、作业定额标准调整及政府补偿提供依据，防止成本和价格不合理上涨。</w:t>
      </w:r>
    </w:p>
    <w:p>
      <w:pPr>
        <w:spacing w:line="460" w:lineRule="exact"/>
        <w:ind w:firstLine="480" w:firstLineChars="200"/>
        <w:rPr>
          <w:rFonts w:eastAsia="方正仿宋_GBK"/>
          <w:color w:val="000000"/>
          <w:sz w:val="24"/>
        </w:rPr>
      </w:pPr>
      <w:r>
        <w:rPr>
          <w:rFonts w:hint="eastAsia" w:eastAsia="方正仿宋_GBK"/>
          <w:color w:val="000000"/>
          <w:sz w:val="24"/>
        </w:rPr>
        <w:t>各地城市市政公用主管部门要配合价格、财政部门要推进价格与收费改革，努力形成科学合理的价格和费用形成机制。要加强污水、垃圾处理费的使用管理，确保处理费专项用于污水和生活垃圾的收集、运输和处理。</w:t>
      </w:r>
    </w:p>
    <w:p>
      <w:pPr>
        <w:spacing w:line="460" w:lineRule="exact"/>
        <w:ind w:firstLine="480" w:firstLineChars="200"/>
        <w:rPr>
          <w:rFonts w:eastAsia="方正仿宋_GBK"/>
          <w:color w:val="000000"/>
          <w:sz w:val="24"/>
        </w:rPr>
      </w:pPr>
      <w:r>
        <w:rPr>
          <w:rFonts w:hint="eastAsia" w:eastAsia="黑体"/>
          <w:color w:val="000000"/>
          <w:sz w:val="24"/>
        </w:rPr>
        <w:t>三、强化市政公用监管工作的监督实施</w:t>
      </w:r>
      <w:r>
        <w:rPr>
          <w:rFonts w:hint="eastAsia" w:eastAsia="方正仿宋_GBK"/>
          <w:color w:val="000000"/>
          <w:sz w:val="24"/>
        </w:rPr>
        <w:t>。明确落实监管工作，关键在监管程序、监管标准和监管措施等方面要落实到位。近年来，我省在建立市政公用各行业的监管程序与监管标准方面，通过强化法规、制定地方标准、印发文件规定等途径，逐步得到规范，下一步还将继续抓紧有关行业监管标准和制定工作。</w:t>
      </w:r>
    </w:p>
    <w:p>
      <w:pPr>
        <w:spacing w:line="460" w:lineRule="exact"/>
        <w:ind w:firstLine="480" w:firstLineChars="200"/>
        <w:rPr>
          <w:rFonts w:eastAsia="方正仿宋_GBK"/>
          <w:color w:val="000000"/>
          <w:sz w:val="24"/>
        </w:rPr>
      </w:pPr>
      <w:r>
        <w:rPr>
          <w:rFonts w:hint="eastAsia" w:eastAsia="方正仿宋_GBK"/>
          <w:color w:val="000000"/>
          <w:sz w:val="24"/>
        </w:rPr>
        <w:t>各城市市政公用主管部门要按照市政公用行业产品和服务质量要求，制定监管程序和措施，严格日常监管，市政公用各行业年度监管情况要报省建设厅。省建设厅将对市政公用各行业监管工作情况每两年检查一次，对特殊情况的城市实施年度检查。重点检查城市实施市政公用主管部门监管工作、特许经营协议执行情况，对产品和服务质量的监测和检查情况、经营和作业成本监管情况、应急预案和预警机制执行情况、公众对市政公用产品和服务的满意状况。</w:t>
      </w:r>
    </w:p>
    <w:p>
      <w:pPr>
        <w:spacing w:line="460" w:lineRule="exact"/>
        <w:ind w:firstLine="480" w:firstLineChars="200"/>
        <w:rPr>
          <w:rFonts w:eastAsia="方正仿宋_GBK"/>
          <w:color w:val="000000"/>
          <w:sz w:val="24"/>
        </w:rPr>
      </w:pPr>
      <w:r>
        <w:rPr>
          <w:rFonts w:hint="eastAsia" w:eastAsia="方正仿宋_GBK"/>
          <w:color w:val="000000"/>
          <w:sz w:val="24"/>
        </w:rPr>
        <w:t>特许经营市政公用企业要按照特许经营协议的约定，向城市市政公用主管部门上报年度生产、经营情况，特殊情况下要及时报告生产、经营情况。积极做好市政公用产品供应，努力提高服务质量。</w:t>
      </w:r>
    </w:p>
    <w:p>
      <w:pPr>
        <w:spacing w:line="460" w:lineRule="exact"/>
        <w:ind w:firstLine="480" w:firstLineChars="200"/>
        <w:rPr>
          <w:rFonts w:eastAsia="方正仿宋_GBK"/>
          <w:color w:val="000000"/>
          <w:sz w:val="24"/>
        </w:rPr>
      </w:pPr>
      <w:r>
        <w:rPr>
          <w:rFonts w:hint="eastAsia" w:eastAsia="黑体"/>
          <w:color w:val="000000"/>
          <w:sz w:val="24"/>
        </w:rPr>
        <w:t>四、切实加强对市政公用事业监管的组织领导</w:t>
      </w:r>
      <w:r>
        <w:rPr>
          <w:rFonts w:hint="eastAsia" w:eastAsia="方正仿宋_GBK"/>
          <w:color w:val="000000"/>
          <w:sz w:val="24"/>
        </w:rPr>
        <w:t>。市政公用事业监管是一项复杂的系统工程，涉及管理体制的改革创新，各地要切实加强组织领导，确保监管效果。</w:t>
      </w:r>
    </w:p>
    <w:p>
      <w:pPr>
        <w:spacing w:line="460" w:lineRule="exact"/>
        <w:ind w:firstLine="480" w:firstLineChars="200"/>
        <w:rPr>
          <w:rFonts w:eastAsia="方正仿宋_GBK"/>
          <w:color w:val="000000"/>
          <w:sz w:val="24"/>
        </w:rPr>
      </w:pPr>
      <w:r>
        <w:rPr>
          <w:rFonts w:hint="eastAsia" w:eastAsia="方正仿宋_GBK"/>
          <w:color w:val="000000"/>
          <w:sz w:val="24"/>
        </w:rPr>
        <w:t>（一）整合监管力量。各地要按照</w:t>
      </w:r>
      <w:r>
        <w:rPr>
          <w:rFonts w:eastAsia="方正仿宋_GBK"/>
          <w:color w:val="000000"/>
          <w:sz w:val="24"/>
        </w:rPr>
        <w:t>“</w:t>
      </w:r>
      <w:r>
        <w:rPr>
          <w:rFonts w:hint="eastAsia" w:eastAsia="方正仿宋_GBK"/>
          <w:color w:val="000000"/>
          <w:sz w:val="24"/>
        </w:rPr>
        <w:t>经济调节、市场监督、社会管理、公共服务</w:t>
      </w:r>
      <w:r>
        <w:rPr>
          <w:rFonts w:eastAsia="方正仿宋_GBK"/>
          <w:color w:val="000000"/>
          <w:sz w:val="24"/>
        </w:rPr>
        <w:t>”</w:t>
      </w:r>
      <w:r>
        <w:rPr>
          <w:rFonts w:hint="eastAsia" w:eastAsia="方正仿宋_GBK"/>
          <w:color w:val="000000"/>
          <w:sz w:val="24"/>
        </w:rPr>
        <w:t>的要求，切实转变政府职能，认真履行监管职责。要尽快从直接参与经营管理转向加强市场监督、完善公共服务，建立起完善的监管体系和工作机制。要根据当地实际，整合行政资源，对有关监管的机构、队伍进行综合管理，稳步推进综合监管体系建设，逐步建立起统一领导、统一法规、统一标准、统一监管的管理体制。</w:t>
      </w:r>
    </w:p>
    <w:p>
      <w:pPr>
        <w:spacing w:line="460" w:lineRule="exact"/>
        <w:ind w:firstLine="480" w:firstLineChars="200"/>
        <w:rPr>
          <w:rFonts w:eastAsia="方正仿宋_GBK"/>
          <w:color w:val="000000"/>
          <w:sz w:val="24"/>
        </w:rPr>
      </w:pPr>
      <w:r>
        <w:rPr>
          <w:rFonts w:hint="eastAsia" w:eastAsia="方正仿宋_GBK"/>
          <w:color w:val="000000"/>
          <w:sz w:val="24"/>
        </w:rPr>
        <w:t>（二）积极稳妥地推进改革。各地要按照省政府关于推进市政公用事业改革的有关文件要求，继续稳步地深化市政公用事业市场化改革，运用好、落实好有关改革配套政策，保障职工合法权益，保证国有资产不流失，确保行业稳定与社会安定。</w:t>
      </w:r>
    </w:p>
    <w:p>
      <w:pPr>
        <w:spacing w:line="460" w:lineRule="exact"/>
        <w:ind w:firstLine="480" w:firstLineChars="200"/>
        <w:rPr>
          <w:rFonts w:eastAsia="方正仿宋_GBK"/>
          <w:color w:val="000000"/>
          <w:sz w:val="24"/>
        </w:rPr>
      </w:pPr>
      <w:r>
        <w:rPr>
          <w:rFonts w:hint="eastAsia" w:eastAsia="方正仿宋_GBK"/>
          <w:color w:val="000000"/>
          <w:sz w:val="24"/>
        </w:rPr>
        <w:t>市政公用事业监管的涉及面广、专业性强、工作量大，主要工作和责任在城市人民政府。各城市市政公用公用事业主管部门要在当地政府统一领导下，认真履行职责，健全监管体系，落实监管责任，为构建和谐社会、促进经济发展做出贡献。</w:t>
      </w:r>
    </w:p>
    <w:p>
      <w:pPr>
        <w:spacing w:line="460" w:lineRule="exact"/>
        <w:ind w:firstLine="600" w:firstLineChars="250"/>
        <w:rPr>
          <w:rFonts w:eastAsia="方正仿宋_GBK"/>
          <w:color w:val="000000"/>
          <w:sz w:val="24"/>
        </w:rPr>
      </w:pPr>
    </w:p>
    <w:p>
      <w:pPr>
        <w:spacing w:line="460" w:lineRule="exact"/>
        <w:ind w:firstLine="600" w:firstLineChars="250"/>
        <w:rPr>
          <w:rFonts w:eastAsia="方正仿宋_GBK"/>
          <w:color w:val="000000"/>
          <w:sz w:val="24"/>
        </w:rPr>
      </w:pPr>
      <w:r>
        <w:rPr>
          <w:rFonts w:hint="eastAsia" w:eastAsia="方正仿宋_GBK"/>
          <w:color w:val="000000"/>
          <w:sz w:val="24"/>
        </w:rPr>
        <w:t>附件：建设部《关于加强市政公用事业监管的意见》</w:t>
      </w:r>
    </w:p>
    <w:p>
      <w:pPr>
        <w:spacing w:line="460" w:lineRule="exact"/>
        <w:rPr>
          <w:rFonts w:eastAsia="方正仿宋_GBK"/>
          <w:color w:val="000000"/>
          <w:sz w:val="24"/>
        </w:rPr>
      </w:pPr>
    </w:p>
    <w:p>
      <w:pPr>
        <w:spacing w:line="460" w:lineRule="exact"/>
        <w:ind w:firstLine="6372" w:firstLineChars="2700"/>
        <w:rPr>
          <w:rFonts w:eastAsia="方正仿宋_GBK"/>
          <w:color w:val="000000"/>
          <w:sz w:val="24"/>
        </w:rPr>
      </w:pPr>
      <w:r>
        <w:rPr>
          <w:rFonts w:hint="eastAsia" w:eastAsia="方正仿宋_GBK"/>
          <w:color w:val="000000"/>
          <w:spacing w:val="-2"/>
          <w:sz w:val="24"/>
        </w:rPr>
        <w:t>江苏省建设厅</w:t>
      </w:r>
    </w:p>
    <w:p>
      <w:pPr>
        <w:spacing w:line="460" w:lineRule="exact"/>
        <w:ind w:right="498" w:rightChars="237"/>
        <w:jc w:val="right"/>
        <w:rPr>
          <w:rFonts w:eastAsia="方正仿宋_GBK"/>
          <w:color w:val="000000"/>
          <w:sz w:val="24"/>
        </w:rPr>
      </w:pPr>
      <w:r>
        <w:rPr>
          <w:rFonts w:hint="eastAsia" w:eastAsia="方正仿宋_GBK"/>
          <w:color w:val="000000"/>
          <w:sz w:val="24"/>
        </w:rPr>
        <w:t>二〇〇五年十二月一日</w:t>
      </w:r>
    </w:p>
    <w:p>
      <w:pPr>
        <w:spacing w:line="460" w:lineRule="exact"/>
        <w:rPr>
          <w:rFonts w:ascii="Times New Roman" w:eastAsia="方正黑体_GBK"/>
          <w:color w:val="000000"/>
          <w:spacing w:val="-2"/>
          <w:sz w:val="24"/>
        </w:rPr>
      </w:pPr>
      <w:r>
        <w:rPr>
          <w:color w:val="000000"/>
        </w:rPr>
        <w:br w:type="column"/>
      </w:r>
      <w:r>
        <w:rPr>
          <w:rFonts w:hint="eastAsia" w:ascii="Times New Roman" w:eastAsia="方正黑体_GBK"/>
          <w:color w:val="000000"/>
          <w:spacing w:val="-2"/>
          <w:sz w:val="24"/>
        </w:rPr>
        <w:t>附件：</w:t>
      </w:r>
    </w:p>
    <w:p>
      <w:pPr>
        <w:spacing w:line="460" w:lineRule="exact"/>
        <w:rPr>
          <w:rFonts w:hint="eastAsia"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建设部关于加强市政公用事业监管的意见</w:t>
      </w:r>
    </w:p>
    <w:p>
      <w:pPr>
        <w:spacing w:line="460" w:lineRule="exact"/>
        <w:rPr>
          <w:rFonts w:hint="eastAsia" w:eastAsia="方正仿宋_GBK"/>
          <w:color w:val="000000"/>
          <w:spacing w:val="-2"/>
          <w:sz w:val="24"/>
        </w:rPr>
      </w:pPr>
    </w:p>
    <w:p>
      <w:pPr>
        <w:spacing w:line="460" w:lineRule="exact"/>
        <w:jc w:val="center"/>
        <w:rPr>
          <w:rFonts w:eastAsia="方正楷体_GBK"/>
          <w:color w:val="000000"/>
          <w:spacing w:val="-2"/>
          <w:sz w:val="24"/>
        </w:rPr>
      </w:pPr>
      <w:r>
        <w:rPr>
          <w:rFonts w:hint="eastAsia" w:eastAsia="方正楷体_GBK"/>
          <w:color w:val="000000"/>
          <w:spacing w:val="-2"/>
          <w:sz w:val="24"/>
        </w:rPr>
        <w:t>建城〔</w:t>
      </w:r>
      <w:r>
        <w:rPr>
          <w:rFonts w:eastAsia="方正楷体_GBK"/>
          <w:color w:val="000000"/>
          <w:spacing w:val="-2"/>
          <w:sz w:val="24"/>
        </w:rPr>
        <w:t>2005</w:t>
      </w:r>
      <w:r>
        <w:rPr>
          <w:rFonts w:hint="eastAsia" w:eastAsia="方正楷体_GBK"/>
          <w:color w:val="000000"/>
          <w:spacing w:val="-2"/>
          <w:sz w:val="24"/>
        </w:rPr>
        <w:t>〕</w:t>
      </w:r>
      <w:r>
        <w:rPr>
          <w:rFonts w:eastAsia="方正楷体_GBK"/>
          <w:color w:val="000000"/>
          <w:spacing w:val="-2"/>
          <w:sz w:val="24"/>
        </w:rPr>
        <w:t>154</w:t>
      </w:r>
      <w:r>
        <w:rPr>
          <w:rFonts w:hint="eastAsia" w:eastAsia="方正楷体_GBK"/>
          <w:color w:val="000000"/>
          <w:spacing w:val="-2"/>
          <w:sz w:val="24"/>
        </w:rPr>
        <w:t>号</w:t>
      </w:r>
    </w:p>
    <w:p>
      <w:pPr>
        <w:spacing w:line="460" w:lineRule="exact"/>
        <w:ind w:firstLine="472" w:firstLineChars="200"/>
        <w:rPr>
          <w:rFonts w:eastAsia="方正仿宋_GBK"/>
          <w:color w:val="000000"/>
          <w:spacing w:val="-2"/>
          <w:sz w:val="24"/>
        </w:rPr>
      </w:pPr>
    </w:p>
    <w:p>
      <w:pPr>
        <w:spacing w:line="460" w:lineRule="exact"/>
        <w:rPr>
          <w:rFonts w:eastAsia="方正仿宋_GBK"/>
          <w:color w:val="000000"/>
          <w:spacing w:val="-2"/>
          <w:sz w:val="24"/>
        </w:rPr>
      </w:pPr>
      <w:r>
        <w:rPr>
          <w:rFonts w:hint="eastAsia" w:eastAsia="方正仿宋_GBK"/>
          <w:color w:val="000000"/>
          <w:spacing w:val="-2"/>
          <w:sz w:val="24"/>
        </w:rPr>
        <w:t>各省、自治区建设厅，直辖市建委及有关部门，新疆生产建设兵团建设局：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为了加快推进市政公用事业市场化，促进市政公用事业健康发展，按照党中央、国务院关于</w:t>
      </w:r>
      <w:r>
        <w:rPr>
          <w:rFonts w:eastAsia="方正仿宋_GBK"/>
          <w:color w:val="000000"/>
          <w:spacing w:val="-2"/>
          <w:sz w:val="24"/>
        </w:rPr>
        <w:t>“</w:t>
      </w:r>
      <w:r>
        <w:rPr>
          <w:rFonts w:hint="eastAsia" w:eastAsia="方正仿宋_GBK"/>
          <w:color w:val="000000"/>
          <w:spacing w:val="-2"/>
          <w:sz w:val="24"/>
        </w:rPr>
        <w:t>推进供水、供气等市政公用事业市场化进程</w:t>
      </w:r>
      <w:r>
        <w:rPr>
          <w:rFonts w:eastAsia="方正仿宋_GBK"/>
          <w:color w:val="000000"/>
          <w:spacing w:val="-2"/>
          <w:sz w:val="24"/>
        </w:rPr>
        <w:t>”</w:t>
      </w:r>
      <w:r>
        <w:rPr>
          <w:rFonts w:hint="eastAsia" w:eastAsia="方正仿宋_GBK"/>
          <w:color w:val="000000"/>
          <w:spacing w:val="-2"/>
          <w:sz w:val="24"/>
        </w:rPr>
        <w:t>和</w:t>
      </w:r>
      <w:r>
        <w:rPr>
          <w:rFonts w:eastAsia="方正仿宋_GBK"/>
          <w:color w:val="000000"/>
          <w:spacing w:val="-2"/>
          <w:sz w:val="24"/>
        </w:rPr>
        <w:t>“</w:t>
      </w:r>
      <w:r>
        <w:rPr>
          <w:rFonts w:hint="eastAsia" w:eastAsia="方正仿宋_GBK"/>
          <w:color w:val="000000"/>
          <w:spacing w:val="-2"/>
          <w:sz w:val="24"/>
        </w:rPr>
        <w:t>对自然垄断业务要进行有效监管</w:t>
      </w:r>
      <w:r>
        <w:rPr>
          <w:rFonts w:eastAsia="方正仿宋_GBK"/>
          <w:color w:val="000000"/>
          <w:spacing w:val="-2"/>
          <w:sz w:val="24"/>
        </w:rPr>
        <w:t>”</w:t>
      </w:r>
      <w:r>
        <w:rPr>
          <w:rFonts w:hint="eastAsia" w:eastAsia="方正仿宋_GBK"/>
          <w:color w:val="000000"/>
          <w:spacing w:val="-2"/>
          <w:sz w:val="24"/>
        </w:rPr>
        <w:t>的要求，现就加强市政公用事业监管工作提出如下意见。</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一、充分认识加强市政公用事业监管的重要意义</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市政公用事业是为城镇居民生产生活提供必需的普遍服务的行业，主要包括城市供水排水和污水处理、供气、集中供热、城市道路和公共交通、环境卫生和垃圾处理以及园林绿化等。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政公用事业是城市重要的基础设施，是城市经济和社会发展的重要载体，直接关系到社会公众利益，关系到人民群众生活质量，关系到城市经济和社会的可持续发展，具有显著的基础性、先导性、公用性和自然垄断性。</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近几年来，各地认真贯彻落实《中共中央关于完善社会主义市场经济体制若干问题的决定》，加快市政公用事业的改革，积极推进市政公用事业市场化进程，取得了显著成就。市政公用事业市场全方位开放，行业垄断局面已经打破；竞争机制全面引入，多元化投资结构基本形成；产权制度改革促进了经营效率的提高，市场经济促进了市政公用事业的持续发展。但是，在推进市场化的进程中，一些地方认识上还有偏差；不重视公平、公开的竞争机制的建立；存在着监管意识不强，监管工作不落实，监管能力薄弱和监管效率不高等问题。</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政公用事业是自然垄断性行业。为维护人民群众的利益，保证市政公用事业的安全运行，城市人民政府必须切实加强对市政公用事业的监管。加强市政公用事业监管是推进市政公用事业市场化的重要内容，健全的市政公用事业监管体系是推进市场化的重要保障，市政公用事业监管应贯穿于市政公用事业市场化的全过程。各地要认真贯彻</w:t>
      </w:r>
      <w:r>
        <w:rPr>
          <w:rFonts w:eastAsia="方正仿宋_GBK"/>
          <w:color w:val="000000"/>
          <w:spacing w:val="-2"/>
          <w:sz w:val="24"/>
        </w:rPr>
        <w:t>“</w:t>
      </w:r>
      <w:r>
        <w:rPr>
          <w:rFonts w:hint="eastAsia" w:eastAsia="方正仿宋_GBK"/>
          <w:color w:val="000000"/>
          <w:spacing w:val="-2"/>
          <w:sz w:val="24"/>
        </w:rPr>
        <w:t>三个代表</w:t>
      </w:r>
      <w:r>
        <w:rPr>
          <w:rFonts w:eastAsia="方正仿宋_GBK"/>
          <w:color w:val="000000"/>
          <w:spacing w:val="-2"/>
          <w:sz w:val="24"/>
        </w:rPr>
        <w:t>”</w:t>
      </w:r>
      <w:r>
        <w:rPr>
          <w:rFonts w:hint="eastAsia" w:eastAsia="方正仿宋_GBK"/>
          <w:color w:val="000000"/>
          <w:spacing w:val="-2"/>
          <w:sz w:val="24"/>
        </w:rPr>
        <w:t>重要思想和</w:t>
      </w:r>
      <w:r>
        <w:rPr>
          <w:rFonts w:eastAsia="方正仿宋_GBK"/>
          <w:color w:val="000000"/>
          <w:spacing w:val="-2"/>
          <w:sz w:val="24"/>
        </w:rPr>
        <w:t>“</w:t>
      </w:r>
      <w:r>
        <w:rPr>
          <w:rFonts w:hint="eastAsia" w:eastAsia="方正仿宋_GBK"/>
          <w:color w:val="000000"/>
          <w:spacing w:val="-2"/>
          <w:sz w:val="24"/>
        </w:rPr>
        <w:t>立党为公、执政为民</w:t>
      </w:r>
      <w:r>
        <w:rPr>
          <w:rFonts w:eastAsia="方正仿宋_GBK"/>
          <w:color w:val="000000"/>
          <w:spacing w:val="-2"/>
          <w:sz w:val="24"/>
        </w:rPr>
        <w:t>”</w:t>
      </w:r>
      <w:r>
        <w:rPr>
          <w:rFonts w:hint="eastAsia" w:eastAsia="方正仿宋_GBK"/>
          <w:color w:val="000000"/>
          <w:spacing w:val="-2"/>
          <w:sz w:val="24"/>
        </w:rPr>
        <w:t>的要求，充分认识加强市政公用事业监管的重要意义，在推进市政公用事业市场化进程中，始终坚持代表最广大人民群众的根本利益，把加强市政公用事业监管摆到重要的议事日程，落实监管责任，抓好监管工作，促进市政公用事业的健康发展。</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二、认真抓好市政公用事业监管的有关工作</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市政公用事业监管是各地政府及其有关部门为维护社会公众利益和公共安全，依据有关法律法规对市政公用事业的投资、建设、生产、运营者及其相关活动实施的行政管理与监督。</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市政公用事业监管主要包括：市场进入与退出的监管、运行安全的监管、产品与服务质量的监管、价格与收费的监管、管线网络系统的监管、市场竞争秩序的监管等。当前要重点抓好以下几项工作：</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（一）规范市场准入</w:t>
      </w:r>
      <w:r>
        <w:rPr>
          <w:rFonts w:hint="eastAsia" w:eastAsia="方正仿宋_GBK"/>
          <w:color w:val="000000"/>
          <w:spacing w:val="-2"/>
          <w:sz w:val="24"/>
        </w:rPr>
        <w:t>。市场准入是市政公用事业监管的首要环节，必须科学制定标准，严格操作程序，把好市场准入关。</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省级建设主管部门要按照有关法律法规和《市政公用事业特许经营管理办法》的要求，结合本地实际情况和各行业的特点，明确市场准入条件，规定市场准入程序，坚持公开、公正、公平的竞争原则，完善招投标制度，并负责对实施情况监督检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城市市政公用事业主管部门要严格按照市场准入条件和程序，结合项目的特点，认真组织编制招标文件。要明确招标主体、招标范围、招标程序、开标、评标和中标规则，进行公开招标。要将特许经营协议的核心内容作为招标的基本条件，综合考虑成本、价格、经营方案、质量和服务承诺、特殊情况的紧急措施等因素，择优选择中标者。</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市政公用事业主管部门要及时同中标者签订特许经营协议，授予特许经营权，同时，报上一级主管部门备案。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各地要制定和完善市场退出规则，明确规定市场退出的申请和批准程序。经营期限届满，应按照准入程序和准入条件，重新进行招标。</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（二）完善特许经营制度。</w:t>
      </w:r>
      <w:r>
        <w:rPr>
          <w:rFonts w:hint="eastAsia" w:eastAsia="方正仿宋_GBK"/>
          <w:color w:val="000000"/>
          <w:spacing w:val="-2"/>
          <w:sz w:val="24"/>
        </w:rPr>
        <w:t>特许经营制度是市政公用事业市场化的主要实现形式，要逐步通过立法的形式明确特许经营的法律地位。要按照《市政公用事业特许经营管理办法》的要求，具体落实市场准入和退出、特许经营权招标投标、特许经营项目中期评估、特殊情况下临时接管、对违规企业的披露、公众监督与参与、上级主管部门备案等规定，完善特许经营制度。</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政公用事业特许经营协议是界定协议双方权利与义务的法律文件，是对特许经营行为进行监管的重要依据。实施特许经营的项目必须签订特许经营协议，没有签订协议或协议不完善的，要及时补签和完善特许经营协议。</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要充分发挥中介机构的作用。市政公用事业主管部门应组织或委托独立和符合条件的中介机构进行项目的招标、评估和产品质量检验、检测等。要引入竞争机制，择优选择中介机构。要加强对中介机构的监管，建立中介机构的评估制度，并及时向社会公布。</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（三）加强产品和服务质量的监督检查。</w:t>
      </w:r>
      <w:r>
        <w:rPr>
          <w:rFonts w:hint="eastAsia" w:eastAsia="方正仿宋_GBK"/>
          <w:color w:val="000000"/>
          <w:spacing w:val="-2"/>
          <w:sz w:val="24"/>
        </w:rPr>
        <w:t>产品和服务质量监管是市政公用事业监管的重要内容。市政公用事业主管部门应定期对市政公用事业的产品和服务质量进行检验、检测和检查。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城市市政公用事业主管部门要按照有关产品和服务质量标准的要求，建立市政公用事业产品和服务质量监测制度，对企业提供的产品和服务质量实施定点、定时监测。监测结果要按有关规定报上级主管部门。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要加强对特许经营项目的评估工作，建立定期评估机制。对评估中发现的产品和服务质量问题，要提出整改意见并监督企业限期整改。评估的结果应与费用支付和价格调整挂钩。评估结果要及时报上一级主管部门备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要尊重社会公众的知情权，鼓励公众参与监督，建立通畅的信息渠道，完善公众咨询、监督机制，及时将产品和服务质量检查、监测、评估结果和整改情况以适当的方式向社会公布。</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对于供水、供气、污水和垃圾处理等行业，市政公用事业主管部门可派遣人员驻场监管。监管员不应干预企业正常的生产和经营活动。</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（四）落实安全防范措施。</w:t>
      </w:r>
      <w:r>
        <w:rPr>
          <w:rFonts w:hint="eastAsia" w:eastAsia="方正仿宋_GBK"/>
          <w:color w:val="000000"/>
          <w:spacing w:val="-2"/>
          <w:sz w:val="24"/>
        </w:rPr>
        <w:t>市政公用事业的安全运行关系到公共安全和社会稳定，责任重大。市政公用事业主管部门要切实加强对生产运营和作业单位安全生产的监管，监督企业建立和完善各项安全保障制度，严格执行安全操作规程，确保市政公用事业生产、供应和服务的连续性、稳定性。</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市政公用事业主管部门要制定安全生产紧急情况应对预案，建立健全安全预警和应急救援工作机制。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要制定特殊情况下临时接管的应急预案。实施临时接管，必须报上一级主管部门批准。必要时，上一级主管部门可跨区域组织技术力量，为临时接管提供支持和保障。</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（五）强化成本监管。</w:t>
      </w:r>
      <w:r>
        <w:rPr>
          <w:rFonts w:hint="eastAsia" w:eastAsia="方正仿宋_GBK"/>
          <w:color w:val="000000"/>
          <w:spacing w:val="-2"/>
          <w:sz w:val="24"/>
        </w:rPr>
        <w:t>成本监管是合理确定市政公用事业价格，促进企业提高效率的重要手段。各地市政公用事业主管部门要加强对市政公用事业产品和服务的成本监管，配合物价管理部门加快供水、供气、供热等价格的改革，形成科学合理的价格形成机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要通过完善相关定额和标准、进行区域同行业成本比较和绩效评价、定期公布经营状况和成本信息等措施，建立健全成本约束机制，激励经营和作业者改进技术、开源节流、降低成本。要建立市政公用事业产品和服务成本定期监审制度，及时掌握企业经营成本状况，为政府定价提供基础依据，防止成本和价格不合理上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要完善污水、垃圾处理收费政策，提高收缴率。加强污水和生活垃圾处理费的使用管理，保证处理费专项用于污水和生活垃圾的收集、输送和处理。</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三、切实加强对市政公用事业监管的组织领导</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市政公用事业监管是一项复杂的系统工程，涉及到管理体制的改革创新。各地要切实加强对市政公用事业监管的组织领导。</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（一）转变管理方式，落实监管职责</w:t>
      </w:r>
      <w:r>
        <w:rPr>
          <w:rFonts w:hint="eastAsia" w:eastAsia="方正仿宋_GBK"/>
          <w:color w:val="000000"/>
          <w:spacing w:val="-2"/>
          <w:sz w:val="24"/>
        </w:rPr>
        <w:t>。各地要按照</w:t>
      </w:r>
      <w:r>
        <w:rPr>
          <w:rFonts w:eastAsia="方正仿宋_GBK"/>
          <w:color w:val="000000"/>
          <w:spacing w:val="-2"/>
          <w:sz w:val="24"/>
        </w:rPr>
        <w:t>“</w:t>
      </w:r>
      <w:r>
        <w:rPr>
          <w:rFonts w:hint="eastAsia" w:eastAsia="方正仿宋_GBK"/>
          <w:color w:val="000000"/>
          <w:spacing w:val="-2"/>
          <w:sz w:val="24"/>
        </w:rPr>
        <w:t>经济调节、市场监管、社会管理、公共服务</w:t>
      </w:r>
      <w:r>
        <w:rPr>
          <w:rFonts w:eastAsia="方正仿宋_GBK"/>
          <w:color w:val="000000"/>
          <w:spacing w:val="-2"/>
          <w:sz w:val="24"/>
        </w:rPr>
        <w:t>”</w:t>
      </w:r>
      <w:r>
        <w:rPr>
          <w:rFonts w:hint="eastAsia" w:eastAsia="方正仿宋_GBK"/>
          <w:color w:val="000000"/>
          <w:spacing w:val="-2"/>
          <w:sz w:val="24"/>
        </w:rPr>
        <w:t>的要求，切实转变政府职能，尽快从直接参与经营管理转向加强市场监管、完善公共服务，建立起完善的监管体系和工作机制。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各省、自治区建设行政主管部门负责本行政区域内的市政公用事业监管工作的指导和监督检查。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市、县人民政府市政公用事业主管部门是市政公用事业监管的具体执行机构，要认真履行监管职责，对本行政区域内市政公用事业准入、运营、退出的全过程进行有效监管。</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（二）完善法律法规，依法实施监管</w:t>
      </w:r>
      <w:r>
        <w:rPr>
          <w:rFonts w:hint="eastAsia" w:eastAsia="方正仿宋_GBK"/>
          <w:color w:val="000000"/>
          <w:spacing w:val="-2"/>
          <w:sz w:val="24"/>
        </w:rPr>
        <w:t>。要严格依据有关法律法规，制定监管程序、监管标准和监管措施，明确监管机构和人员的职责范围和监督方式，依法实施监管。</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要加快相关的法规和技术标准的研究和制定工作，为市政公用事业的监管工作提供法律保障和技术支撑。</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（三）健全监管机构，加强能力建设。</w:t>
      </w:r>
      <w:r>
        <w:rPr>
          <w:rFonts w:hint="eastAsia" w:eastAsia="方正仿宋_GBK"/>
          <w:color w:val="000000"/>
          <w:spacing w:val="-2"/>
          <w:sz w:val="24"/>
        </w:rPr>
        <w:t>城市市政公用事业是不可分割的整体，市政公用事业市场是统一的市场。城市人民政府要充分发挥市政公用事业主管部门在人才、技术、行业管理经验方面的优势，整合行政资源，逐步建立统一的市政公用事业监管机构，实行统一领导、统一法规、统一标准、统一监管的管理体制，切实解决机构重叠、职能交叉、效率低下、监管成本高的问题。</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市政公用事业主管部门要加强监管能力建设，完善监管手段，强化工作人员培训，不断提高业务素质和监管水平。</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对监管人员行政不作为或者渎职失职的，要给予纪律处分，情节严重的，要依法追究责任。</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（四）统筹兼顾，稳步推进产权制度改革</w:t>
      </w:r>
      <w:r>
        <w:rPr>
          <w:rFonts w:hint="eastAsia" w:eastAsia="方正仿宋_GBK"/>
          <w:color w:val="000000"/>
          <w:spacing w:val="-2"/>
          <w:sz w:val="24"/>
        </w:rPr>
        <w:t>。在推进市政公用事业市场化进程中，要正确处理改革、发展、稳定的关系，统筹兼顾职工利益、企业利益、公众利益和国家利益。实施市政公用事业国有企业产权制度改革，要按照《国务院办公厅转发＜国务院国有资产监督管理委员会关于规范国有企业改制工作意见＞的通知》要求，严格组织实施，确保职工的合法权益和国有资产不流失。转让国有产权的价款要优先用于原有职工的安置，剩余价款应主要用于市政公用事业的发展。</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政公用事业监管，涉及面广、专业性强、工作量大，监管的主要工作和责任在地方。各城市市政公用事业主管部门要按照地方党委、政府的统一部署，认真履行职责，健全监管体系，落实监管责任，加强市政公用事业监管，为构建和谐社会，促进经济和社会可持续发展做出贡献。</w:t>
      </w:r>
    </w:p>
    <w:p>
      <w:pPr>
        <w:pStyle w:val="2"/>
        <w:spacing w:before="240" w:beforeLines="100" w:after="240" w:afterLines="100" w:line="240" w:lineRule="auto"/>
        <w:jc w:val="center"/>
        <w:rPr>
          <w:rFonts w:ascii="Times New Roman" w:eastAsia="方正小标宋_GBK"/>
          <w:b w:val="0"/>
          <w:sz w:val="36"/>
          <w:szCs w:val="36"/>
        </w:rPr>
      </w:pPr>
      <w:r>
        <w:rPr>
          <w:rFonts w:eastAsia="方正仿宋_GBK"/>
          <w:b w:val="0"/>
          <w:color w:val="000000"/>
          <w:spacing w:val="-2"/>
          <w:sz w:val="24"/>
        </w:rPr>
        <w:br w:type="column"/>
      </w:r>
      <w:bookmarkStart w:id="60" w:name="_Toc20726314"/>
      <w:bookmarkStart w:id="61" w:name="_Toc18315394"/>
      <w:r>
        <w:rPr>
          <w:rFonts w:hint="eastAsia" w:ascii="Times New Roman" w:eastAsia="方正小标宋_GBK"/>
          <w:b w:val="0"/>
          <w:sz w:val="36"/>
          <w:szCs w:val="36"/>
        </w:rPr>
        <w:t>关于印发《江苏省城市供水水质督察管理办法》的通知</w:t>
      </w:r>
      <w:bookmarkEnd w:id="60"/>
      <w:bookmarkEnd w:id="6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2" w:name="_Toc18315395"/>
      <w:bookmarkStart w:id="63" w:name="_Toc20726315"/>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2006</w:t>
      </w:r>
      <w:r>
        <w:rPr>
          <w:rFonts w:hint="eastAsia" w:ascii="Times New Roman" w:hAnsi="Times New Roman" w:eastAsia="方正楷体_GBK"/>
          <w:b w:val="0"/>
          <w:sz w:val="24"/>
          <w:szCs w:val="24"/>
        </w:rPr>
        <w:t>〕</w:t>
      </w:r>
      <w:r>
        <w:rPr>
          <w:rFonts w:ascii="Times New Roman" w:hAnsi="Times New Roman" w:eastAsia="方正楷体_GBK"/>
          <w:b w:val="0"/>
          <w:sz w:val="24"/>
          <w:szCs w:val="24"/>
        </w:rPr>
        <w:t>63</w:t>
      </w:r>
      <w:r>
        <w:rPr>
          <w:rFonts w:hint="eastAsia" w:ascii="Times New Roman" w:hAnsi="Times New Roman" w:eastAsia="方正楷体_GBK"/>
          <w:b w:val="0"/>
          <w:sz w:val="24"/>
          <w:szCs w:val="24"/>
        </w:rPr>
        <w:t>号</w:t>
      </w:r>
      <w:bookmarkEnd w:id="62"/>
      <w:bookmarkEnd w:id="63"/>
    </w:p>
    <w:p>
      <w:pPr>
        <w:overflowPunct w:val="0"/>
        <w:topLinePunct/>
        <w:spacing w:line="460" w:lineRule="exact"/>
        <w:jc w:val="left"/>
        <w:rPr>
          <w:rFonts w:eastAsia="方正仿宋_GBK"/>
          <w:color w:val="000000"/>
          <w:spacing w:val="-2"/>
          <w:sz w:val="24"/>
        </w:rPr>
      </w:pPr>
      <w:r>
        <w:rPr>
          <w:rFonts w:hint="eastAsia" w:eastAsia="方正仿宋_GBK"/>
          <w:color w:val="000000"/>
          <w:spacing w:val="-2"/>
          <w:sz w:val="24"/>
        </w:rPr>
        <w:t>各市建设局（建委），市政公用局：</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为加强城市供水水质督察管理，保障城市供水水质安全，根据《城市供水水质管理规定》（建设部</w:t>
      </w:r>
      <w:r>
        <w:rPr>
          <w:rFonts w:eastAsia="方正仿宋_GBK"/>
          <w:color w:val="000000"/>
          <w:spacing w:val="-2"/>
          <w:sz w:val="24"/>
        </w:rPr>
        <w:t>67</w:t>
      </w:r>
      <w:r>
        <w:rPr>
          <w:rFonts w:hint="eastAsia" w:eastAsia="方正仿宋_GBK"/>
          <w:color w:val="000000"/>
          <w:spacing w:val="-2"/>
          <w:sz w:val="24"/>
        </w:rPr>
        <w:t>号令）有关要求，我厅制定了《江苏省城市供水水质督察管理办法》，现印发给你们，请遵照执行。</w:t>
      </w:r>
    </w:p>
    <w:p>
      <w:pPr>
        <w:overflowPunct w:val="0"/>
        <w:topLinePunct/>
        <w:spacing w:line="460" w:lineRule="exact"/>
        <w:ind w:firstLine="645"/>
        <w:jc w:val="left"/>
        <w:rPr>
          <w:rFonts w:eastAsia="方正仿宋_GBK"/>
          <w:color w:val="000000"/>
          <w:spacing w:val="-2"/>
          <w:sz w:val="24"/>
        </w:rPr>
      </w:pP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附件：《江苏省城市供水水质督察管理办法》</w:t>
      </w:r>
    </w:p>
    <w:p>
      <w:pPr>
        <w:overflowPunct w:val="0"/>
        <w:topLinePunct/>
        <w:spacing w:line="460" w:lineRule="exact"/>
        <w:ind w:firstLine="645"/>
        <w:jc w:val="left"/>
        <w:rPr>
          <w:rFonts w:eastAsia="方正仿宋_GBK"/>
          <w:color w:val="000000"/>
          <w:spacing w:val="-2"/>
          <w:sz w:val="24"/>
        </w:rPr>
      </w:pPr>
    </w:p>
    <w:p>
      <w:pPr>
        <w:wordWrap w:val="0"/>
        <w:overflowPunct w:val="0"/>
        <w:topLinePunct/>
        <w:spacing w:line="460" w:lineRule="exact"/>
        <w:ind w:firstLine="645"/>
        <w:jc w:val="right"/>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wordWrap w:val="0"/>
        <w:overflowPunct w:val="0"/>
        <w:topLinePunct/>
        <w:spacing w:line="460" w:lineRule="exact"/>
        <w:ind w:firstLine="645"/>
        <w:jc w:val="right"/>
        <w:rPr>
          <w:rFonts w:eastAsia="方正仿宋_GBK"/>
          <w:color w:val="000000"/>
          <w:spacing w:val="-2"/>
          <w:sz w:val="24"/>
        </w:rPr>
      </w:pPr>
      <w:r>
        <w:rPr>
          <w:rFonts w:hint="eastAsia" w:eastAsia="方正仿宋_GBK"/>
          <w:color w:val="000000"/>
          <w:spacing w:val="-2"/>
          <w:sz w:val="24"/>
        </w:rPr>
        <w:t>二</w:t>
      </w:r>
      <w:r>
        <w:rPr>
          <w:rFonts w:hint="eastAsia" w:eastAsia="方正仿宋_GBK"/>
          <w:bCs/>
          <w:snapToGrid w:val="0"/>
          <w:color w:val="000000"/>
          <w:spacing w:val="-2"/>
          <w:kern w:val="0"/>
          <w:sz w:val="24"/>
        </w:rPr>
        <w:t>○○</w:t>
      </w:r>
      <w:r>
        <w:rPr>
          <w:rFonts w:hint="eastAsia" w:eastAsia="方正仿宋_GBK"/>
          <w:color w:val="000000"/>
          <w:spacing w:val="-2"/>
          <w:sz w:val="24"/>
        </w:rPr>
        <w:t>六年二月二十四日</w:t>
      </w:r>
      <w:r>
        <w:rPr>
          <w:rFonts w:eastAsia="方正仿宋_GBK"/>
          <w:color w:val="000000"/>
          <w:spacing w:val="-2"/>
          <w:sz w:val="24"/>
        </w:rPr>
        <w:t xml:space="preserve">    </w:t>
      </w:r>
    </w:p>
    <w:p>
      <w:pPr>
        <w:overflowPunct w:val="0"/>
        <w:topLinePunct/>
        <w:spacing w:line="460" w:lineRule="exact"/>
        <w:jc w:val="left"/>
        <w:rPr>
          <w:rFonts w:eastAsia="方正仿宋_GBK"/>
          <w:color w:val="000000"/>
          <w:spacing w:val="-2"/>
          <w:sz w:val="24"/>
        </w:rPr>
      </w:pPr>
    </w:p>
    <w:p>
      <w:pPr>
        <w:overflowPunct w:val="0"/>
        <w:topLinePunct/>
        <w:spacing w:line="460" w:lineRule="exact"/>
        <w:jc w:val="left"/>
        <w:rPr>
          <w:rFonts w:eastAsia="方正仿宋_GBK"/>
          <w:color w:val="000000"/>
          <w:spacing w:val="-2"/>
          <w:sz w:val="24"/>
        </w:rPr>
      </w:pPr>
    </w:p>
    <w:p>
      <w:pPr>
        <w:overflowPunct w:val="0"/>
        <w:topLinePunct/>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江苏省城市供水水质督察管理办法</w:t>
      </w:r>
    </w:p>
    <w:p>
      <w:pPr>
        <w:overflowPunct w:val="0"/>
        <w:topLinePunct/>
        <w:spacing w:line="460" w:lineRule="exact"/>
        <w:jc w:val="left"/>
        <w:rPr>
          <w:rFonts w:hint="eastAsia" w:eastAsia="方正仿宋_GBK"/>
          <w:color w:val="000000"/>
          <w:spacing w:val="-2"/>
          <w:sz w:val="24"/>
        </w:rPr>
      </w:pPr>
      <w:r>
        <w:rPr>
          <w:rFonts w:eastAsia="方正仿宋_GBK"/>
          <w:color w:val="000000"/>
          <w:spacing w:val="-2"/>
          <w:sz w:val="24"/>
        </w:rPr>
        <w:t xml:space="preserve">   </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为加强我省城市供水水质管理，保障供水安全，根据建设部《城市供水水质管理规定》、《生活饮用水卫生标准》（</w:t>
      </w:r>
      <w:r>
        <w:rPr>
          <w:rFonts w:eastAsia="方正仿宋_GBK"/>
          <w:color w:val="000000"/>
          <w:spacing w:val="-2"/>
          <w:sz w:val="24"/>
        </w:rPr>
        <w:t>GB5749-2006</w:t>
      </w:r>
      <w:r>
        <w:rPr>
          <w:rFonts w:hint="eastAsia" w:eastAsia="方正仿宋_GBK"/>
          <w:color w:val="000000"/>
          <w:spacing w:val="-2"/>
          <w:sz w:val="24"/>
        </w:rPr>
        <w:t>）、《城市供水水质标准》（</w:t>
      </w:r>
      <w:r>
        <w:rPr>
          <w:rFonts w:eastAsia="方正仿宋_GBK"/>
          <w:color w:val="000000"/>
          <w:spacing w:val="-2"/>
          <w:sz w:val="24"/>
        </w:rPr>
        <w:t>CJ/T206-2005</w:t>
      </w:r>
      <w:r>
        <w:rPr>
          <w:rFonts w:hint="eastAsia" w:eastAsia="方正仿宋_GBK"/>
          <w:color w:val="000000"/>
          <w:spacing w:val="-2"/>
          <w:sz w:val="24"/>
        </w:rPr>
        <w:t>）和《关于加强城市供水水质督察工作的通知》要求，制定本办法。</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在本省行政区域内从事城市供水水质管理的单位和个人以及城市供水企业必须遵守本办法。</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省建设厅负责全省城市供水水质管理工作，负责城市供水水质督察制度的制定、实施与监督；对重大水质事件进行调查、取证、分析和评估；负责全省城市供水水质督察公报和相关水质报告的制定和发布。</w:t>
      </w:r>
    </w:p>
    <w:p>
      <w:pPr>
        <w:overflowPunct w:val="0"/>
        <w:topLinePunct/>
        <w:spacing w:line="460" w:lineRule="exact"/>
        <w:ind w:firstLine="200"/>
        <w:jc w:val="left"/>
        <w:rPr>
          <w:rFonts w:eastAsia="方正仿宋_GBK"/>
          <w:color w:val="000000"/>
          <w:spacing w:val="-2"/>
          <w:sz w:val="24"/>
        </w:rPr>
      </w:pPr>
      <w:r>
        <w:rPr>
          <w:rFonts w:hint="eastAsia" w:eastAsia="方正仿宋_GBK"/>
          <w:color w:val="000000"/>
          <w:spacing w:val="-2"/>
          <w:sz w:val="24"/>
        </w:rPr>
        <w:t>设区的市供水主管部门负责本行政区域内城市供水水质管理工作，并根据省建设厅制定的水质督察制度，实施本行政区内水质督察工作；配合对重大水质事件进行调查、取证、分析和评估；负责本行政区内城市供水水质督察公报和相关水质报告的制定和发布。</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省建设厅城市建设与管理处具体负责城市供水水质的督察工作，其主要工作职责是：</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（一）负责制定水质督察工作计划，编制实施方案与技术规程；</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（二）对地方执行供水水质督察计划的情况实施监督；</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（三）对地方开展水质督察工作给予指导；</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（四）对重大供水水质突发事件进行调查和处理；</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（五）对供水企业执行国家标准、规范、规程的情况进行监督；</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（六）对全省水质监测结果进行分析和建议，针对水质监测中出现的水质问题，提出改进工艺意见；</w:t>
      </w:r>
    </w:p>
    <w:p>
      <w:pPr>
        <w:overflowPunct w:val="0"/>
        <w:topLinePunct/>
        <w:spacing w:line="460" w:lineRule="exact"/>
        <w:ind w:firstLine="200"/>
        <w:jc w:val="lef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（七）编制全省城市供水水质督察公报及相关水质报告。</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城市供水水质监管实行政府督察和企业自检相结合的制度。建立供水企业负责、地方供水主管部门监管、省建设行政主管部门督察、社会公众参与的水质管理机制，逐步形成企业自检、行业监测、行政督察、公众监督的水质监管体系。</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城市供水主管部门鼓励各供水企业通过实施水厂改造、采用新型管材、科学的工艺运行方案等手段，提高供水水质。</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城市供水水质监测所需费用按《江苏省城市供水价格管理暂行办法》（苏价工〔</w:t>
      </w:r>
      <w:r>
        <w:rPr>
          <w:rFonts w:eastAsia="方正仿宋_GBK"/>
          <w:color w:val="000000"/>
          <w:spacing w:val="-2"/>
          <w:sz w:val="24"/>
        </w:rPr>
        <w:t>2000</w:t>
      </w:r>
      <w:r>
        <w:rPr>
          <w:rFonts w:hint="eastAsia" w:eastAsia="方正仿宋_GBK"/>
          <w:color w:val="000000"/>
          <w:spacing w:val="-2"/>
          <w:sz w:val="24"/>
        </w:rPr>
        <w:t>〕</w:t>
      </w:r>
      <w:r>
        <w:rPr>
          <w:rFonts w:eastAsia="方正仿宋_GBK"/>
          <w:color w:val="000000"/>
          <w:spacing w:val="-2"/>
          <w:sz w:val="24"/>
        </w:rPr>
        <w:t>407</w:t>
      </w:r>
      <w:r>
        <w:rPr>
          <w:rFonts w:hint="eastAsia" w:eastAsia="方正仿宋_GBK"/>
          <w:color w:val="000000"/>
          <w:spacing w:val="-2"/>
          <w:sz w:val="24"/>
        </w:rPr>
        <w:t>号），计入水价成本。</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城市供水主管部门应委托江苏省城市供水水质监测网（以下简称省网）成员单位通过定期与不定期监测、定点与不定点监测等多种监督手段，对供水水质进行监督，供水企业必须给予配合。</w:t>
      </w:r>
    </w:p>
    <w:p>
      <w:pPr>
        <w:overflowPunct w:val="0"/>
        <w:topLinePunct/>
        <w:spacing w:line="460" w:lineRule="exact"/>
        <w:ind w:firstLine="200"/>
        <w:jc w:val="left"/>
        <w:rPr>
          <w:rFonts w:eastAsia="方正仿宋_GBK"/>
          <w:color w:val="000000"/>
          <w:spacing w:val="-2"/>
          <w:sz w:val="24"/>
        </w:rPr>
      </w:pPr>
      <w:r>
        <w:rPr>
          <w:rFonts w:hint="eastAsia" w:eastAsia="方正仿宋_GBK"/>
          <w:color w:val="000000"/>
          <w:spacing w:val="-2"/>
          <w:sz w:val="24"/>
        </w:rPr>
        <w:t>省网中心站，每年丰水期</w:t>
      </w:r>
      <w:r>
        <w:rPr>
          <w:rFonts w:eastAsia="方正仿宋_GBK"/>
          <w:color w:val="000000"/>
          <w:spacing w:val="-2"/>
          <w:sz w:val="24"/>
        </w:rPr>
        <w:t>7-9</w:t>
      </w:r>
      <w:r>
        <w:rPr>
          <w:rFonts w:hint="eastAsia" w:eastAsia="方正仿宋_GBK"/>
          <w:color w:val="000000"/>
          <w:spacing w:val="-2"/>
          <w:sz w:val="24"/>
        </w:rPr>
        <w:t>月，枯水期</w:t>
      </w:r>
      <w:r>
        <w:rPr>
          <w:rFonts w:eastAsia="方正仿宋_GBK"/>
          <w:color w:val="000000"/>
          <w:spacing w:val="-2"/>
          <w:sz w:val="24"/>
        </w:rPr>
        <w:t>1-3</w:t>
      </w:r>
      <w:r>
        <w:rPr>
          <w:rFonts w:hint="eastAsia" w:eastAsia="方正仿宋_GBK"/>
          <w:color w:val="000000"/>
          <w:spacing w:val="-2"/>
          <w:sz w:val="24"/>
        </w:rPr>
        <w:t>月对设区城市及日供水能力在</w:t>
      </w:r>
      <w:r>
        <w:rPr>
          <w:rFonts w:eastAsia="方正仿宋_GBK"/>
          <w:color w:val="000000"/>
          <w:spacing w:val="-2"/>
          <w:sz w:val="24"/>
        </w:rPr>
        <w:t>20</w:t>
      </w:r>
      <w:r>
        <w:rPr>
          <w:rFonts w:hint="eastAsia" w:eastAsia="方正仿宋_GBK"/>
          <w:color w:val="000000"/>
          <w:spacing w:val="-2"/>
          <w:sz w:val="24"/>
        </w:rPr>
        <w:t>万立方米以上城市的</w:t>
      </w:r>
      <w:r>
        <w:rPr>
          <w:rFonts w:eastAsia="方正仿宋_GBK"/>
          <w:color w:val="000000"/>
          <w:spacing w:val="-2"/>
          <w:sz w:val="24"/>
        </w:rPr>
        <w:t>3</w:t>
      </w:r>
      <w:r>
        <w:rPr>
          <w:rFonts w:hint="eastAsia" w:eastAsia="方正仿宋_GBK"/>
          <w:color w:val="000000"/>
          <w:spacing w:val="-2"/>
          <w:sz w:val="24"/>
        </w:rPr>
        <w:t>个管网水监测点按</w:t>
      </w:r>
      <w:r>
        <w:rPr>
          <w:rFonts w:eastAsia="方正仿宋_GBK"/>
          <w:color w:val="000000"/>
          <w:spacing w:val="-2"/>
          <w:sz w:val="24"/>
        </w:rPr>
        <w:t>CJ/T206-2005</w:t>
      </w:r>
      <w:r>
        <w:rPr>
          <w:rFonts w:hint="eastAsia" w:eastAsia="方正仿宋_GBK"/>
          <w:color w:val="000000"/>
          <w:spacing w:val="-2"/>
          <w:sz w:val="24"/>
        </w:rPr>
        <w:t>水质</w:t>
      </w:r>
      <w:r>
        <w:rPr>
          <w:rFonts w:eastAsia="方正仿宋_GBK"/>
          <w:color w:val="000000"/>
          <w:spacing w:val="-2"/>
          <w:sz w:val="24"/>
        </w:rPr>
        <w:t>42</w:t>
      </w:r>
      <w:r>
        <w:rPr>
          <w:rFonts w:hint="eastAsia" w:eastAsia="方正仿宋_GBK"/>
          <w:color w:val="000000"/>
          <w:spacing w:val="-2"/>
          <w:sz w:val="24"/>
        </w:rPr>
        <w:t>项指标进行定点监测。</w:t>
      </w:r>
    </w:p>
    <w:p>
      <w:pPr>
        <w:overflowPunct w:val="0"/>
        <w:topLinePunct/>
        <w:spacing w:line="460" w:lineRule="exact"/>
        <w:ind w:firstLine="200"/>
        <w:jc w:val="left"/>
        <w:rPr>
          <w:rFonts w:eastAsia="方正仿宋_GBK"/>
          <w:color w:val="000000"/>
          <w:spacing w:val="-2"/>
          <w:sz w:val="24"/>
        </w:rPr>
      </w:pPr>
      <w:r>
        <w:rPr>
          <w:rFonts w:hint="eastAsia" w:eastAsia="方正仿宋_GBK"/>
          <w:color w:val="000000"/>
          <w:spacing w:val="-2"/>
          <w:sz w:val="24"/>
        </w:rPr>
        <w:t>省网各地方站，每年丰水期</w:t>
      </w:r>
      <w:r>
        <w:rPr>
          <w:rFonts w:eastAsia="方正仿宋_GBK"/>
          <w:color w:val="000000"/>
          <w:spacing w:val="-2"/>
          <w:sz w:val="24"/>
        </w:rPr>
        <w:t>7-9</w:t>
      </w:r>
      <w:r>
        <w:rPr>
          <w:rFonts w:hint="eastAsia" w:eastAsia="方正仿宋_GBK"/>
          <w:color w:val="000000"/>
          <w:spacing w:val="-2"/>
          <w:sz w:val="24"/>
        </w:rPr>
        <w:t>月，枯水期</w:t>
      </w:r>
      <w:r>
        <w:rPr>
          <w:rFonts w:eastAsia="方正仿宋_GBK"/>
          <w:color w:val="000000"/>
          <w:spacing w:val="-2"/>
          <w:sz w:val="24"/>
        </w:rPr>
        <w:t>1-3</w:t>
      </w:r>
      <w:r>
        <w:rPr>
          <w:rFonts w:hint="eastAsia" w:eastAsia="方正仿宋_GBK"/>
          <w:color w:val="000000"/>
          <w:spacing w:val="-2"/>
          <w:sz w:val="24"/>
        </w:rPr>
        <w:t>月对所辖地区（县级市、县管网水</w:t>
      </w:r>
      <w:r>
        <w:rPr>
          <w:rFonts w:eastAsia="方正仿宋_GBK"/>
          <w:color w:val="000000"/>
          <w:spacing w:val="-2"/>
          <w:sz w:val="24"/>
        </w:rPr>
        <w:t>2</w:t>
      </w:r>
      <w:r>
        <w:rPr>
          <w:rFonts w:hint="eastAsia" w:eastAsia="方正仿宋_GBK"/>
          <w:color w:val="000000"/>
          <w:spacing w:val="-2"/>
          <w:sz w:val="24"/>
        </w:rPr>
        <w:t>份，其他城市集中式供水单位管网水</w:t>
      </w:r>
      <w:r>
        <w:rPr>
          <w:rFonts w:eastAsia="方正仿宋_GBK"/>
          <w:color w:val="000000"/>
          <w:spacing w:val="-2"/>
          <w:sz w:val="24"/>
        </w:rPr>
        <w:t>1</w:t>
      </w:r>
      <w:r>
        <w:rPr>
          <w:rFonts w:hint="eastAsia" w:eastAsia="方正仿宋_GBK"/>
          <w:color w:val="000000"/>
          <w:spacing w:val="-2"/>
          <w:sz w:val="24"/>
        </w:rPr>
        <w:t>份）城市集中式供水单位的管网水按</w:t>
      </w:r>
      <w:r>
        <w:rPr>
          <w:rFonts w:eastAsia="方正仿宋_GBK"/>
          <w:color w:val="000000"/>
          <w:spacing w:val="-2"/>
          <w:sz w:val="24"/>
        </w:rPr>
        <w:t>CJ/T206-2005</w:t>
      </w:r>
      <w:r>
        <w:rPr>
          <w:rFonts w:hint="eastAsia" w:eastAsia="方正仿宋_GBK"/>
          <w:color w:val="000000"/>
          <w:spacing w:val="-2"/>
          <w:sz w:val="24"/>
        </w:rPr>
        <w:t>水质</w:t>
      </w:r>
      <w:r>
        <w:rPr>
          <w:rFonts w:eastAsia="方正仿宋_GBK"/>
          <w:color w:val="000000"/>
          <w:spacing w:val="-2"/>
          <w:sz w:val="24"/>
        </w:rPr>
        <w:t>42</w:t>
      </w:r>
      <w:r>
        <w:rPr>
          <w:rFonts w:hint="eastAsia" w:eastAsia="方正仿宋_GBK"/>
          <w:color w:val="000000"/>
          <w:spacing w:val="-2"/>
          <w:sz w:val="24"/>
        </w:rPr>
        <w:t>项指标进行定点监测。</w:t>
      </w:r>
    </w:p>
    <w:p>
      <w:pPr>
        <w:overflowPunct w:val="0"/>
        <w:topLinePunct/>
        <w:spacing w:line="460" w:lineRule="exact"/>
        <w:ind w:firstLine="200"/>
        <w:jc w:val="left"/>
        <w:rPr>
          <w:rFonts w:eastAsia="方正仿宋_GBK"/>
          <w:color w:val="000000"/>
          <w:spacing w:val="-2"/>
          <w:sz w:val="24"/>
        </w:rPr>
      </w:pPr>
      <w:r>
        <w:rPr>
          <w:rFonts w:eastAsia="方正仿宋_GBK"/>
          <w:color w:val="000000"/>
          <w:spacing w:val="-2"/>
          <w:sz w:val="24"/>
        </w:rPr>
        <w:t>CJ/T206-2005</w:t>
      </w:r>
      <w:r>
        <w:rPr>
          <w:rFonts w:hint="eastAsia" w:eastAsia="方正仿宋_GBK"/>
          <w:color w:val="000000"/>
          <w:spacing w:val="-2"/>
          <w:sz w:val="24"/>
        </w:rPr>
        <w:t>标准规定的半年度</w:t>
      </w:r>
      <w:r>
        <w:rPr>
          <w:rFonts w:eastAsia="方正仿宋_GBK"/>
          <w:color w:val="000000"/>
          <w:spacing w:val="-2"/>
          <w:sz w:val="24"/>
        </w:rPr>
        <w:t>51</w:t>
      </w:r>
      <w:r>
        <w:rPr>
          <w:rFonts w:hint="eastAsia" w:eastAsia="方正仿宋_GBK"/>
          <w:color w:val="000000"/>
          <w:spacing w:val="-2"/>
          <w:sz w:val="24"/>
        </w:rPr>
        <w:t>项指标，实行省水质督察办公室统一安排抽检工作，对各地水质进行监督。</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设区的市及日供水能力在</w:t>
      </w:r>
      <w:r>
        <w:rPr>
          <w:rFonts w:eastAsia="方正仿宋_GBK"/>
          <w:color w:val="000000"/>
          <w:spacing w:val="-2"/>
          <w:sz w:val="24"/>
        </w:rPr>
        <w:t>20</w:t>
      </w:r>
      <w:r>
        <w:rPr>
          <w:rFonts w:hint="eastAsia" w:eastAsia="方正仿宋_GBK"/>
          <w:color w:val="000000"/>
          <w:spacing w:val="-2"/>
          <w:sz w:val="24"/>
        </w:rPr>
        <w:t>万立方米以上的供水企业水质检测（管理）部门向省建设厅城市建设与管理处上报本地供水管网图与管网水质监测点，经双方协商，确定监测点。</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县（市、区）和其他城市集中式供水单位水质检测（管理）部门向设区城市供水主管部门上报当地的供水管网图与管网水质监测点，经双方协商，确定监测点。</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color w:val="000000"/>
          <w:spacing w:val="-2"/>
          <w:sz w:val="24"/>
        </w:rPr>
        <w:t xml:space="preserve">  </w:t>
      </w:r>
      <w:r>
        <w:rPr>
          <w:rFonts w:hint="eastAsia" w:eastAsia="方正仿宋_GBK"/>
          <w:color w:val="000000"/>
          <w:spacing w:val="-2"/>
          <w:sz w:val="24"/>
        </w:rPr>
        <w:t>供水企业应当建立水质全过程监控体系，确保供水安全。所有城市供水企业应具备</w:t>
      </w:r>
      <w:r>
        <w:rPr>
          <w:rFonts w:eastAsia="方正仿宋_GBK"/>
          <w:color w:val="000000"/>
          <w:spacing w:val="-2"/>
          <w:sz w:val="24"/>
        </w:rPr>
        <w:t>42</w:t>
      </w:r>
      <w:r>
        <w:rPr>
          <w:rFonts w:hint="eastAsia" w:eastAsia="方正仿宋_GBK"/>
          <w:color w:val="000000"/>
          <w:spacing w:val="-2"/>
          <w:sz w:val="24"/>
        </w:rPr>
        <w:t>项指标检测能力；设区城市应具备</w:t>
      </w:r>
      <w:r>
        <w:rPr>
          <w:rFonts w:eastAsia="方正仿宋_GBK"/>
          <w:color w:val="000000"/>
          <w:spacing w:val="-2"/>
          <w:sz w:val="24"/>
        </w:rPr>
        <w:t>92</w:t>
      </w:r>
      <w:r>
        <w:rPr>
          <w:rFonts w:hint="eastAsia" w:eastAsia="方正仿宋_GBK"/>
          <w:color w:val="000000"/>
          <w:spacing w:val="-2"/>
          <w:sz w:val="24"/>
        </w:rPr>
        <w:t>项指标检测能力。</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供水企业应当具备相关项目的水质检测能力不能自检的项目要委托具备相应检测能力的第三方检测机构承担。</w:t>
      </w:r>
    </w:p>
    <w:p>
      <w:pPr>
        <w:overflowPunct w:val="0"/>
        <w:topLinePunct/>
        <w:spacing w:line="460" w:lineRule="exact"/>
        <w:ind w:firstLine="200"/>
        <w:jc w:val="left"/>
        <w:rPr>
          <w:rFonts w:eastAsia="方正仿宋_GBK"/>
          <w:color w:val="000000"/>
          <w:spacing w:val="-2"/>
          <w:sz w:val="24"/>
        </w:rPr>
      </w:pPr>
      <w:r>
        <w:rPr>
          <w:rFonts w:hint="eastAsia" w:eastAsia="方正仿宋_GBK"/>
          <w:color w:val="000000"/>
          <w:spacing w:val="-2"/>
          <w:sz w:val="24"/>
        </w:rPr>
        <w:t>城市二次供水设施和自建设施供水产权单位或者其委托的管理单位，不能对水质进行常规检测的，应当按《标准》规定要求将水样送至省网地方站进行检测。</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供水企业应当严格执行水质报告制度。各城市供水企业要每月向所在地城市供水主管部门上报本月的水质检测数据和分析报告，出现水质事故的，应有专项的事故情况和分析报告。重大的水质事故发生后，应迅速报告当地城市供水主管部门并同时报告省建设厅。</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省网各地方站应当接受当地城市供水主管部门委托，做好汇总本地上季度各供水企业的检测资料、分析报告；水质事故情况和分析报告；水质定点检测督察情况报告等，并在每年的</w:t>
      </w:r>
      <w:r>
        <w:rPr>
          <w:rFonts w:eastAsia="方正仿宋_GBK"/>
          <w:color w:val="000000"/>
          <w:spacing w:val="-2"/>
          <w:sz w:val="24"/>
        </w:rPr>
        <w:t>6</w:t>
      </w:r>
      <w:r>
        <w:rPr>
          <w:rFonts w:hint="eastAsia" w:eastAsia="方正仿宋_GBK"/>
          <w:color w:val="000000"/>
          <w:spacing w:val="-2"/>
          <w:sz w:val="24"/>
        </w:rPr>
        <w:t>月、</w:t>
      </w:r>
      <w:r>
        <w:rPr>
          <w:rFonts w:eastAsia="方正仿宋_GBK"/>
          <w:color w:val="000000"/>
          <w:spacing w:val="-2"/>
          <w:sz w:val="24"/>
        </w:rPr>
        <w:t>12</w:t>
      </w:r>
      <w:r>
        <w:rPr>
          <w:rFonts w:hint="eastAsia" w:eastAsia="方正仿宋_GBK"/>
          <w:color w:val="000000"/>
          <w:spacing w:val="-2"/>
          <w:sz w:val="24"/>
        </w:rPr>
        <w:t>月</w:t>
      </w:r>
      <w:r>
        <w:rPr>
          <w:rFonts w:eastAsia="方正仿宋_GBK"/>
          <w:color w:val="000000"/>
          <w:spacing w:val="-2"/>
          <w:sz w:val="24"/>
        </w:rPr>
        <w:t>25</w:t>
      </w:r>
      <w:r>
        <w:rPr>
          <w:rFonts w:hint="eastAsia" w:eastAsia="方正仿宋_GBK"/>
          <w:color w:val="000000"/>
          <w:spacing w:val="-2"/>
          <w:sz w:val="24"/>
        </w:rPr>
        <w:t>日前报省建设厅城市建设与管理处。</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各级城市供水主管部门应重视水质数据的信息化管理工作，积极采用</w:t>
      </w:r>
      <w:r>
        <w:rPr>
          <w:rFonts w:eastAsia="方正仿宋_GBK"/>
          <w:color w:val="000000"/>
          <w:spacing w:val="-2"/>
          <w:sz w:val="24"/>
        </w:rPr>
        <w:t>“</w:t>
      </w:r>
      <w:r>
        <w:rPr>
          <w:rFonts w:hint="eastAsia" w:eastAsia="方正仿宋_GBK"/>
          <w:color w:val="000000"/>
          <w:spacing w:val="-2"/>
          <w:sz w:val="24"/>
        </w:rPr>
        <w:t>城市供水水质信息管理系统</w:t>
      </w:r>
      <w:r>
        <w:rPr>
          <w:rFonts w:eastAsia="方正仿宋_GBK"/>
          <w:color w:val="000000"/>
          <w:spacing w:val="-2"/>
          <w:sz w:val="24"/>
        </w:rPr>
        <w:t>”</w:t>
      </w:r>
      <w:r>
        <w:rPr>
          <w:rFonts w:hint="eastAsia" w:eastAsia="方正仿宋_GBK"/>
          <w:color w:val="000000"/>
          <w:spacing w:val="-2"/>
          <w:sz w:val="24"/>
        </w:rPr>
        <w:t>上报和管理水质检测数据。</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省网中心站汇总全省监测资料并形成督察报告，于每年的</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月</w:t>
      </w:r>
      <w:r>
        <w:rPr>
          <w:rFonts w:eastAsia="方正仿宋_GBK"/>
          <w:color w:val="000000"/>
          <w:spacing w:val="-2"/>
          <w:sz w:val="24"/>
        </w:rPr>
        <w:t>10</w:t>
      </w:r>
      <w:r>
        <w:rPr>
          <w:rFonts w:hint="eastAsia" w:eastAsia="方正仿宋_GBK"/>
          <w:color w:val="000000"/>
          <w:spacing w:val="-2"/>
          <w:sz w:val="24"/>
        </w:rPr>
        <w:t>日前报江苏省建设厅城市建设与管理处。</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省、市供水主管部门对水质督察监测结果依据《生活饮用水卫生标准》（</w:t>
      </w:r>
      <w:r>
        <w:rPr>
          <w:rFonts w:eastAsia="方正仿宋_GBK"/>
          <w:color w:val="000000"/>
          <w:spacing w:val="-2"/>
          <w:sz w:val="24"/>
        </w:rPr>
        <w:t>GB5749-2006</w:t>
      </w:r>
      <w:r>
        <w:rPr>
          <w:rFonts w:hint="eastAsia" w:eastAsia="方正仿宋_GBK"/>
          <w:color w:val="000000"/>
          <w:spacing w:val="-2"/>
          <w:sz w:val="24"/>
        </w:rPr>
        <w:t>）、《城市供水水质标准》（</w:t>
      </w:r>
      <w:r>
        <w:rPr>
          <w:rFonts w:eastAsia="方正仿宋_GBK"/>
          <w:color w:val="000000"/>
          <w:spacing w:val="-2"/>
          <w:sz w:val="24"/>
        </w:rPr>
        <w:t>CJ/T206-2005</w:t>
      </w:r>
      <w:r>
        <w:rPr>
          <w:rFonts w:hint="eastAsia" w:eastAsia="方正仿宋_GBK"/>
          <w:color w:val="000000"/>
          <w:spacing w:val="-2"/>
          <w:sz w:val="24"/>
        </w:rPr>
        <w:t>）进行考核。</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2"/>
          <w:sz w:val="24"/>
        </w:rPr>
        <w:t>公众对供水水质具有知情权。供水主管部门鼓励和支持社会公众对本地区水质管理工作进行监督，根据检测结果，每年至少两次在当地主要媒体公布城市供水水质。</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第十六条</w:t>
      </w:r>
      <w:r>
        <w:rPr>
          <w:rFonts w:eastAsia="方正仿宋_GBK"/>
          <w:color w:val="000000"/>
          <w:spacing w:val="-2"/>
          <w:sz w:val="24"/>
        </w:rPr>
        <w:t xml:space="preserve">  </w:t>
      </w:r>
      <w:r>
        <w:rPr>
          <w:rFonts w:hint="eastAsia" w:eastAsia="方正仿宋_GBK"/>
          <w:color w:val="000000"/>
          <w:spacing w:val="-2"/>
          <w:sz w:val="24"/>
        </w:rPr>
        <w:t>各级城市供水主管部门应定期召开供水水质例会，进行水质管理工作交流、净水工艺指导、检测数据汇总、水质事故分析等，各供水企业必须参加。</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第十七条</w:t>
      </w:r>
      <w:r>
        <w:rPr>
          <w:rFonts w:eastAsia="方正仿宋_GBK"/>
          <w:color w:val="000000"/>
          <w:spacing w:val="-2"/>
          <w:sz w:val="24"/>
        </w:rPr>
        <w:t xml:space="preserve">  </w:t>
      </w:r>
      <w:r>
        <w:rPr>
          <w:rFonts w:hint="eastAsia" w:eastAsia="方正仿宋_GBK"/>
          <w:color w:val="000000"/>
          <w:spacing w:val="-2"/>
          <w:sz w:val="24"/>
        </w:rPr>
        <w:t>为处理水质突发事件，供水主管部门有权进入突发事件现场进行调查、取证、采样和检测，任何单位与个人不得以任何理由予以拒绝。</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color w:val="000000"/>
          <w:spacing w:val="-2"/>
          <w:sz w:val="24"/>
        </w:rPr>
        <w:t xml:space="preserve">  </w:t>
      </w:r>
      <w:r>
        <w:rPr>
          <w:rFonts w:hint="eastAsia" w:eastAsia="方正仿宋_GBK"/>
          <w:color w:val="000000"/>
          <w:spacing w:val="-2"/>
          <w:sz w:val="24"/>
        </w:rPr>
        <w:t>城市供水水质监管不到位、检测不准确、报告不及时等，违反《城市供水水质管理规定》（建设部</w:t>
      </w:r>
      <w:r>
        <w:rPr>
          <w:rFonts w:eastAsia="方正仿宋_GBK"/>
          <w:color w:val="000000"/>
          <w:spacing w:val="-2"/>
          <w:sz w:val="24"/>
        </w:rPr>
        <w:t>67</w:t>
      </w:r>
      <w:r>
        <w:rPr>
          <w:rFonts w:hint="eastAsia" w:eastAsia="方正仿宋_GBK"/>
          <w:color w:val="000000"/>
          <w:spacing w:val="-2"/>
          <w:sz w:val="24"/>
        </w:rPr>
        <w:t>号令）的，按照《城市供水水质管理规定》分别追究供水主管部门、供水企业、检测机构等有关部门和个人的责任。</w:t>
      </w:r>
    </w:p>
    <w:p>
      <w:pPr>
        <w:overflowPunct w:val="0"/>
        <w:topLinePunct/>
        <w:spacing w:line="460" w:lineRule="exact"/>
        <w:ind w:firstLine="200"/>
        <w:jc w:val="left"/>
        <w:rPr>
          <w:rFonts w:eastAsia="方正仿宋_GBK"/>
          <w:color w:val="000000"/>
          <w:spacing w:val="-2"/>
          <w:sz w:val="24"/>
        </w:rPr>
      </w:pPr>
      <w:r>
        <w:rPr>
          <w:rFonts w:hint="eastAsia" w:eastAsia="方正仿宋_GBK"/>
          <w:color w:val="000000"/>
          <w:spacing w:val="-2"/>
          <w:sz w:val="24"/>
        </w:rPr>
        <w:t>在督察中发现供水单位所供水的水质不合格或者其运营管理会对水质造成不良影响的，应当制作处理意见书，通过当地城市人民政府要求供水单位限期整改，并报省建设厅备案。</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第十九条</w:t>
      </w:r>
      <w:r>
        <w:rPr>
          <w:rFonts w:eastAsia="方正仿宋_GBK"/>
          <w:color w:val="000000"/>
          <w:spacing w:val="-2"/>
          <w:sz w:val="24"/>
        </w:rPr>
        <w:t xml:space="preserve">  </w:t>
      </w:r>
      <w:r>
        <w:rPr>
          <w:rFonts w:hint="eastAsia" w:eastAsia="方正仿宋_GBK"/>
          <w:color w:val="000000"/>
          <w:spacing w:val="-2"/>
          <w:sz w:val="24"/>
        </w:rPr>
        <w:t>城市供水水质不符合国家标准的，城市供水主管部门应当责令供水单位限期整改，并依据《城市供水水质管理规定》处以罚款等处罚。</w:t>
      </w:r>
    </w:p>
    <w:p>
      <w:pPr>
        <w:overflowPunct w:val="0"/>
        <w:topLinePunct/>
        <w:spacing w:line="460" w:lineRule="exact"/>
        <w:ind w:firstLine="200"/>
        <w:jc w:val="left"/>
        <w:rPr>
          <w:rFonts w:eastAsia="方正仿宋_GBK"/>
          <w:color w:val="000000"/>
          <w:spacing w:val="-2"/>
          <w:sz w:val="24"/>
        </w:rPr>
      </w:pPr>
      <w:r>
        <w:rPr>
          <w:rFonts w:hint="eastAsia" w:eastAsia="方正仿宋_GBK"/>
          <w:color w:val="000000"/>
          <w:spacing w:val="-2"/>
          <w:sz w:val="24"/>
        </w:rPr>
        <w:t>供水单位因水质不合格，给用户造成损害的，应当依法承担民事责任。</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第二十条</w:t>
      </w:r>
      <w:r>
        <w:rPr>
          <w:rFonts w:eastAsia="方正仿宋_GBK"/>
          <w:color w:val="000000"/>
          <w:spacing w:val="-2"/>
          <w:sz w:val="24"/>
        </w:rPr>
        <w:t xml:space="preserve">  </w:t>
      </w:r>
      <w:r>
        <w:rPr>
          <w:rFonts w:hint="eastAsia" w:eastAsia="方正仿宋_GBK"/>
          <w:color w:val="000000"/>
          <w:spacing w:val="-2"/>
          <w:sz w:val="24"/>
        </w:rPr>
        <w:t>供水水质检测项目、检测频率等技术要求，根据国家和行业新发布的规定适时调整。</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第二十一条</w:t>
      </w:r>
      <w:r>
        <w:rPr>
          <w:rFonts w:eastAsia="方正仿宋_GBK"/>
          <w:color w:val="000000"/>
          <w:spacing w:val="-2"/>
          <w:sz w:val="24"/>
        </w:rPr>
        <w:t xml:space="preserve">  </w:t>
      </w:r>
      <w:r>
        <w:rPr>
          <w:rFonts w:hint="eastAsia" w:eastAsia="方正仿宋_GBK"/>
          <w:color w:val="000000"/>
          <w:spacing w:val="-2"/>
          <w:sz w:val="24"/>
        </w:rPr>
        <w:t>遇有特大洪涝、干旱、突发性原水污染、电力供应骤停、输配水系统人为破坏等特殊情况，致使城市供水水质标准不能达到国家标准时，供水单位经过所在地城市供水主管部门批准后，可以在特殊时段内适当降低供水水质。</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第二十二条</w:t>
      </w:r>
      <w:r>
        <w:rPr>
          <w:rFonts w:eastAsia="方正仿宋_GBK"/>
          <w:color w:val="000000"/>
          <w:spacing w:val="-2"/>
          <w:sz w:val="24"/>
        </w:rPr>
        <w:t xml:space="preserve">  </w:t>
      </w:r>
      <w:r>
        <w:rPr>
          <w:rFonts w:hint="eastAsia" w:eastAsia="方正仿宋_GBK"/>
          <w:color w:val="000000"/>
          <w:spacing w:val="-2"/>
          <w:sz w:val="24"/>
        </w:rPr>
        <w:t>本办法所引用的水质检测指标说明如下：</w:t>
      </w:r>
    </w:p>
    <w:p>
      <w:pPr>
        <w:overflowPunct w:val="0"/>
        <w:topLinePunct/>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一、“</w:t>
      </w:r>
      <w:r>
        <w:rPr>
          <w:rFonts w:eastAsia="方正仿宋_GBK"/>
          <w:color w:val="000000"/>
          <w:spacing w:val="-2"/>
          <w:sz w:val="24"/>
        </w:rPr>
        <w:t>42</w:t>
      </w:r>
      <w:r>
        <w:rPr>
          <w:rFonts w:hint="eastAsia" w:eastAsia="方正仿宋_GBK"/>
          <w:color w:val="000000"/>
          <w:spacing w:val="-2"/>
          <w:sz w:val="24"/>
        </w:rPr>
        <w:t>项指标”，指《生活饮用水卫生标准》（</w:t>
      </w:r>
      <w:r>
        <w:rPr>
          <w:rFonts w:eastAsia="方正仿宋_GBK"/>
          <w:color w:val="000000"/>
          <w:spacing w:val="-2"/>
          <w:sz w:val="24"/>
        </w:rPr>
        <w:t>GB5749-2006</w:t>
      </w:r>
      <w:r>
        <w:rPr>
          <w:rFonts w:hint="eastAsia" w:eastAsia="方正仿宋_GBK"/>
          <w:color w:val="000000"/>
          <w:spacing w:val="-2"/>
          <w:sz w:val="24"/>
        </w:rPr>
        <w:t>）规定的表</w:t>
      </w:r>
      <w:r>
        <w:rPr>
          <w:rFonts w:eastAsia="方正仿宋_GBK"/>
          <w:color w:val="000000"/>
          <w:spacing w:val="-2"/>
          <w:sz w:val="24"/>
        </w:rPr>
        <w:t>1</w:t>
      </w: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的常规</w:t>
      </w:r>
      <w:r>
        <w:rPr>
          <w:rFonts w:eastAsia="方正仿宋_GBK"/>
          <w:color w:val="000000"/>
          <w:spacing w:val="-2"/>
          <w:sz w:val="24"/>
        </w:rPr>
        <w:t>42</w:t>
      </w:r>
      <w:r>
        <w:rPr>
          <w:rFonts w:hint="eastAsia" w:eastAsia="方正仿宋_GBK"/>
          <w:color w:val="000000"/>
          <w:spacing w:val="-2"/>
          <w:sz w:val="24"/>
        </w:rPr>
        <w:t>项。</w:t>
      </w:r>
    </w:p>
    <w:p>
      <w:pPr>
        <w:overflowPunct w:val="0"/>
        <w:topLinePunct/>
        <w:spacing w:line="460" w:lineRule="exact"/>
        <w:ind w:firstLine="472" w:firstLineChars="200"/>
        <w:jc w:val="left"/>
        <w:rPr>
          <w:rFonts w:eastAsia="方正仿宋_GBK"/>
          <w:color w:val="000000"/>
          <w:spacing w:val="-8"/>
          <w:sz w:val="24"/>
        </w:rPr>
      </w:pPr>
      <w:r>
        <w:rPr>
          <w:rFonts w:hint="eastAsia" w:eastAsia="方正仿宋_GBK"/>
          <w:color w:val="000000"/>
          <w:spacing w:val="-2"/>
          <w:sz w:val="24"/>
        </w:rPr>
        <w:t>二、“</w:t>
      </w:r>
      <w:r>
        <w:rPr>
          <w:rFonts w:eastAsia="方正仿宋_GBK"/>
          <w:color w:val="000000"/>
          <w:spacing w:val="-2"/>
          <w:sz w:val="24"/>
        </w:rPr>
        <w:t>92</w:t>
      </w:r>
      <w:r>
        <w:rPr>
          <w:rFonts w:hint="eastAsia" w:eastAsia="方正仿宋_GBK"/>
          <w:color w:val="000000"/>
          <w:spacing w:val="-2"/>
          <w:sz w:val="24"/>
        </w:rPr>
        <w:t>项指标”，指《生活饮用水卫生标准》（</w:t>
      </w:r>
      <w:r>
        <w:rPr>
          <w:rFonts w:eastAsia="方正仿宋_GBK"/>
          <w:color w:val="000000"/>
          <w:spacing w:val="-2"/>
          <w:sz w:val="24"/>
        </w:rPr>
        <w:t>GB5749-2006</w:t>
      </w:r>
      <w:r>
        <w:rPr>
          <w:rFonts w:hint="eastAsia" w:eastAsia="方正仿宋_GBK"/>
          <w:color w:val="000000"/>
          <w:spacing w:val="-2"/>
          <w:sz w:val="24"/>
        </w:rPr>
        <w:t>）规定的表</w:t>
      </w:r>
      <w:r>
        <w:rPr>
          <w:rFonts w:eastAsia="方正仿宋_GBK"/>
          <w:color w:val="000000"/>
          <w:spacing w:val="-2"/>
          <w:sz w:val="24"/>
        </w:rPr>
        <w:t>1</w:t>
      </w: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的常规</w:t>
      </w:r>
      <w:r>
        <w:rPr>
          <w:rFonts w:eastAsia="方正仿宋_GBK"/>
          <w:color w:val="000000"/>
          <w:spacing w:val="-2"/>
          <w:sz w:val="24"/>
        </w:rPr>
        <w:t>42</w:t>
      </w:r>
      <w:r>
        <w:rPr>
          <w:rFonts w:hint="eastAsia" w:eastAsia="方正仿宋_GBK"/>
          <w:color w:val="000000"/>
          <w:spacing w:val="-2"/>
          <w:sz w:val="24"/>
        </w:rPr>
        <w:t>项，表</w:t>
      </w:r>
      <w:r>
        <w:rPr>
          <w:rFonts w:eastAsia="方正仿宋_GBK"/>
          <w:color w:val="000000"/>
          <w:spacing w:val="-2"/>
          <w:sz w:val="24"/>
        </w:rPr>
        <w:t>3</w:t>
      </w:r>
      <w:r>
        <w:rPr>
          <w:rFonts w:hint="eastAsia" w:eastAsia="方正仿宋_GBK"/>
          <w:color w:val="000000"/>
          <w:spacing w:val="-2"/>
          <w:sz w:val="24"/>
        </w:rPr>
        <w:t>的非常规项不少于</w:t>
      </w:r>
      <w:r>
        <w:rPr>
          <w:rFonts w:eastAsia="方正仿宋_GBK"/>
          <w:color w:val="000000"/>
          <w:spacing w:val="-2"/>
          <w:sz w:val="24"/>
        </w:rPr>
        <w:t>50</w:t>
      </w:r>
      <w:r>
        <w:rPr>
          <w:rFonts w:hint="eastAsia" w:eastAsia="方正仿宋_GBK"/>
          <w:color w:val="000000"/>
          <w:spacing w:val="-2"/>
          <w:sz w:val="24"/>
        </w:rPr>
        <w:t>项。</w:t>
      </w:r>
    </w:p>
    <w:p>
      <w:pPr>
        <w:overflowPunct w:val="0"/>
        <w:topLinePunct/>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第二十三条</w:t>
      </w:r>
      <w:r>
        <w:rPr>
          <w:rFonts w:eastAsia="方正仿宋_GBK"/>
          <w:color w:val="000000"/>
          <w:spacing w:val="-2"/>
          <w:sz w:val="24"/>
        </w:rPr>
        <w:t xml:space="preserve">  </w:t>
      </w:r>
      <w:r>
        <w:rPr>
          <w:rFonts w:hint="eastAsia" w:eastAsia="方正仿宋_GBK"/>
          <w:color w:val="000000"/>
          <w:spacing w:val="-2"/>
          <w:sz w:val="24"/>
        </w:rPr>
        <w:t>本办法自</w:t>
      </w:r>
      <w:r>
        <w:rPr>
          <w:rFonts w:eastAsia="方正仿宋_GBK"/>
          <w:color w:val="000000"/>
          <w:spacing w:val="-2"/>
          <w:sz w:val="24"/>
        </w:rPr>
        <w:t>2006</w:t>
      </w:r>
      <w:r>
        <w:rPr>
          <w:rFonts w:hint="eastAsia" w:eastAsia="方正仿宋_GBK"/>
          <w:color w:val="000000"/>
          <w:spacing w:val="-2"/>
          <w:sz w:val="24"/>
        </w:rPr>
        <w:t>年</w:t>
      </w:r>
      <w:r>
        <w:rPr>
          <w:rFonts w:eastAsia="方正仿宋_GBK"/>
          <w:color w:val="000000"/>
          <w:spacing w:val="-2"/>
          <w:sz w:val="24"/>
        </w:rPr>
        <w:t>4</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日起实施。原有规定与本办法不符的，以本办法为准。</w:t>
      </w:r>
    </w:p>
    <w:p>
      <w:pPr>
        <w:spacing w:line="460" w:lineRule="exact"/>
        <w:jc w:val="center"/>
        <w:rPr>
          <w:color w:val="000000"/>
        </w:rPr>
      </w:pPr>
    </w:p>
    <w:p>
      <w:pPr>
        <w:spacing w:line="460" w:lineRule="exact"/>
        <w:jc w:val="center"/>
        <w:rPr>
          <w:color w:val="000000"/>
        </w:rPr>
      </w:pPr>
    </w:p>
    <w:p>
      <w:pPr>
        <w:spacing w:line="460" w:lineRule="exact"/>
        <w:rPr>
          <w:rFonts w:eastAsia="仿宋"/>
          <w:color w:val="000000"/>
          <w:spacing w:val="-2"/>
          <w:szCs w:val="21"/>
        </w:rPr>
      </w:pPr>
    </w:p>
    <w:p/>
    <w:p/>
    <w:p/>
    <w:p>
      <w:pPr>
        <w:pStyle w:val="2"/>
        <w:spacing w:before="240" w:beforeLines="100" w:after="240" w:afterLines="100" w:line="240" w:lineRule="auto"/>
        <w:jc w:val="center"/>
        <w:rPr>
          <w:rFonts w:ascii="Times New Roman" w:eastAsia="方正小标宋_GBK"/>
          <w:b w:val="0"/>
          <w:sz w:val="36"/>
          <w:szCs w:val="36"/>
        </w:rPr>
      </w:pPr>
      <w:bookmarkStart w:id="64" w:name="_Toc20726416"/>
      <w:bookmarkStart w:id="65" w:name="_Toc18315499"/>
      <w:r>
        <w:rPr>
          <w:rFonts w:hint="eastAsia" w:ascii="Times New Roman" w:eastAsia="方正小标宋_GBK"/>
          <w:b w:val="0"/>
          <w:sz w:val="36"/>
          <w:szCs w:val="36"/>
        </w:rPr>
        <w:t>关于印发《江苏省燃气工程项目初步设计管理办法》《江苏省管道燃气特许经营管理办法》的通知</w:t>
      </w:r>
      <w:bookmarkEnd w:id="64"/>
      <w:bookmarkEnd w:id="6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6" w:name="_Toc20726417"/>
      <w:bookmarkStart w:id="67" w:name="_Toc18315500"/>
      <w:r>
        <w:rPr>
          <w:rFonts w:hint="eastAsia" w:ascii="Times New Roman" w:hAnsi="Times New Roman" w:eastAsia="方正楷体_GBK"/>
          <w:b w:val="0"/>
          <w:sz w:val="24"/>
          <w:szCs w:val="24"/>
        </w:rPr>
        <w:t>苏建法〔</w:t>
      </w:r>
      <w:r>
        <w:rPr>
          <w:rFonts w:ascii="Times New Roman" w:hAnsi="Times New Roman" w:eastAsia="方正楷体_GBK"/>
          <w:b w:val="0"/>
          <w:sz w:val="24"/>
          <w:szCs w:val="24"/>
        </w:rPr>
        <w:t>2006</w:t>
      </w:r>
      <w:r>
        <w:rPr>
          <w:rFonts w:hint="eastAsia" w:ascii="Times New Roman" w:hAnsi="Times New Roman" w:eastAsia="方正楷体_GBK"/>
          <w:b w:val="0"/>
          <w:sz w:val="24"/>
          <w:szCs w:val="24"/>
        </w:rPr>
        <w:t>〕</w:t>
      </w:r>
      <w:r>
        <w:rPr>
          <w:rFonts w:ascii="Times New Roman" w:hAnsi="Times New Roman" w:eastAsia="方正楷体_GBK"/>
          <w:b w:val="0"/>
          <w:sz w:val="24"/>
          <w:szCs w:val="24"/>
        </w:rPr>
        <w:t>279</w:t>
      </w:r>
      <w:r>
        <w:rPr>
          <w:rFonts w:hint="eastAsia" w:ascii="Times New Roman" w:hAnsi="Times New Roman" w:eastAsia="方正楷体_GBK"/>
          <w:b w:val="0"/>
          <w:sz w:val="24"/>
          <w:szCs w:val="24"/>
        </w:rPr>
        <w:t>号</w:t>
      </w:r>
      <w:bookmarkEnd w:id="66"/>
      <w:bookmarkEnd w:id="67"/>
    </w:p>
    <w:p>
      <w:pPr>
        <w:spacing w:line="460" w:lineRule="exact"/>
        <w:rPr>
          <w:rFonts w:eastAsia="方正仿宋_GBK"/>
          <w:color w:val="000000"/>
          <w:spacing w:val="-2"/>
          <w:sz w:val="24"/>
        </w:rPr>
      </w:pPr>
      <w:r>
        <w:rPr>
          <w:rFonts w:hint="eastAsia" w:eastAsia="方正仿宋_GBK"/>
          <w:color w:val="000000"/>
          <w:spacing w:val="-2"/>
          <w:sz w:val="24"/>
        </w:rPr>
        <w:t>各市建设局（委）、市政公用局：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加强燃气工程建设管理、规范燃气经营市场、保障燃气安全运营，根据《江苏省燃气管理条例》的有关规定，我厅制定了《江苏省燃气工程项目初步设计管理办法》和《江苏省管道燃气特许经营管理办法》。现印发给你们，请结合实际认真贯彻执行。</w:t>
      </w:r>
    </w:p>
    <w:p>
      <w:pPr>
        <w:spacing w:line="460" w:lineRule="exact"/>
        <w:ind w:firstLine="515"/>
        <w:rPr>
          <w:rFonts w:eastAsia="方正仿宋_GBK"/>
          <w:color w:val="000000"/>
          <w:spacing w:val="-2"/>
          <w:sz w:val="24"/>
        </w:rPr>
      </w:pPr>
    </w:p>
    <w:p>
      <w:pPr>
        <w:spacing w:line="460" w:lineRule="exact"/>
        <w:ind w:firstLine="645"/>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eastAsia" w:eastAsia="方正仿宋_GBK"/>
          <w:color w:val="000000"/>
          <w:spacing w:val="-2"/>
          <w:sz w:val="24"/>
        </w:rPr>
        <w:t>《江苏省燃气工程项目初步设计管理办法》</w:t>
      </w:r>
    </w:p>
    <w:p>
      <w:pPr>
        <w:spacing w:line="460" w:lineRule="exact"/>
        <w:ind w:firstLine="1416" w:firstLineChars="6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《江苏省管道燃气特许经营管理办法》</w:t>
      </w:r>
    </w:p>
    <w:p>
      <w:pPr>
        <w:spacing w:line="460" w:lineRule="exact"/>
        <w:ind w:firstLine="1180" w:firstLineChars="500"/>
        <w:jc w:val="right"/>
        <w:rPr>
          <w:rFonts w:eastAsia="方正仿宋_GBK"/>
          <w:color w:val="000000"/>
          <w:spacing w:val="-2"/>
          <w:sz w:val="24"/>
        </w:rPr>
      </w:pPr>
    </w:p>
    <w:p>
      <w:pPr>
        <w:spacing w:line="460" w:lineRule="exact"/>
        <w:ind w:firstLine="6591" w:firstLineChars="2793"/>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spacing w:line="460" w:lineRule="exact"/>
        <w:ind w:right="458" w:rightChars="218" w:firstLine="1180" w:firstLineChars="500"/>
        <w:jc w:val="right"/>
        <w:rPr>
          <w:rFonts w:eastAsia="方正仿宋_GBK"/>
          <w:color w:val="000000"/>
          <w:spacing w:val="-2"/>
          <w:sz w:val="24"/>
        </w:rPr>
      </w:pPr>
      <w:r>
        <w:rPr>
          <w:rFonts w:hint="eastAsia" w:eastAsia="方正仿宋_GBK"/>
          <w:color w:val="000000"/>
          <w:spacing w:val="-2"/>
          <w:sz w:val="24"/>
        </w:rPr>
        <w:t>二</w:t>
      </w:r>
      <w:r>
        <w:rPr>
          <w:rFonts w:hint="eastAsia" w:ascii="Times New Roman" w:hAnsi="Times New Roman"/>
          <w:color w:val="000000"/>
          <w:spacing w:val="-2"/>
          <w:sz w:val="24"/>
        </w:rPr>
        <w:t>○○</w:t>
      </w:r>
      <w:r>
        <w:rPr>
          <w:rFonts w:hint="eastAsia" w:eastAsia="方正仿宋_GBK"/>
          <w:color w:val="000000"/>
          <w:spacing w:val="-2"/>
          <w:sz w:val="24"/>
        </w:rPr>
        <w:t>六年七月五日</w:t>
      </w:r>
    </w:p>
    <w:p>
      <w:pPr>
        <w:spacing w:line="460" w:lineRule="exact"/>
        <w:ind w:firstLine="1180" w:firstLineChars="500"/>
        <w:jc w:val="right"/>
        <w:rPr>
          <w:rFonts w:eastAsia="方正仿宋_GBK"/>
          <w:color w:val="000000"/>
          <w:spacing w:val="-2"/>
          <w:sz w:val="24"/>
        </w:rPr>
      </w:pPr>
    </w:p>
    <w:p>
      <w:pPr>
        <w:spacing w:line="460" w:lineRule="exact"/>
        <w:ind w:firstLine="1180" w:firstLineChars="500"/>
        <w:jc w:val="right"/>
        <w:rPr>
          <w:rFonts w:eastAsia="方正仿宋_GBK"/>
          <w:color w:val="000000"/>
          <w:spacing w:val="-2"/>
          <w:sz w:val="24"/>
        </w:rPr>
      </w:pPr>
    </w:p>
    <w:p>
      <w:pPr>
        <w:spacing w:line="460" w:lineRule="exact"/>
        <w:jc w:val="lef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jc w:val="center"/>
        <w:rPr>
          <w:rFonts w:eastAsia="方正黑体_GBK"/>
          <w:color w:val="000000"/>
          <w:spacing w:val="-2"/>
          <w:sz w:val="28"/>
          <w:szCs w:val="28"/>
        </w:rPr>
      </w:pPr>
    </w:p>
    <w:p>
      <w:pPr>
        <w:overflowPunct w:val="0"/>
        <w:autoSpaceDE w:val="0"/>
        <w:autoSpaceDN w:val="0"/>
        <w:spacing w:line="460" w:lineRule="exact"/>
        <w:rPr>
          <w:rFonts w:eastAsia="方正黑体_GBK"/>
          <w:color w:val="000000"/>
          <w:spacing w:val="-2"/>
          <w:sz w:val="28"/>
          <w:szCs w:val="28"/>
        </w:rPr>
      </w:pPr>
    </w:p>
    <w:p>
      <w:pPr>
        <w:overflowPunct w:val="0"/>
        <w:autoSpaceDE w:val="0"/>
        <w:autoSpaceDN w:val="0"/>
        <w:spacing w:line="460" w:lineRule="exact"/>
        <w:rPr>
          <w:rFonts w:ascii="Times New Roman" w:eastAsia="方正黑体_GBK"/>
          <w:color w:val="000000"/>
          <w:spacing w:val="-2"/>
          <w:sz w:val="36"/>
          <w:szCs w:val="36"/>
        </w:rPr>
      </w:pPr>
      <w:r>
        <w:rPr>
          <w:rFonts w:hint="eastAsia" w:eastAsia="方正黑体_GBK"/>
          <w:color w:val="000000"/>
          <w:spacing w:val="-2"/>
          <w:sz w:val="28"/>
          <w:szCs w:val="28"/>
        </w:rPr>
        <w:t>附件</w:t>
      </w:r>
      <w:r>
        <w:rPr>
          <w:rFonts w:eastAsia="方正黑体_GBK"/>
          <w:color w:val="000000"/>
          <w:spacing w:val="-2"/>
          <w:sz w:val="28"/>
          <w:szCs w:val="28"/>
        </w:rPr>
        <w:t>1</w:t>
      </w:r>
    </w:p>
    <w:p>
      <w:pPr>
        <w:overflowPunct w:val="0"/>
        <w:autoSpaceDE w:val="0"/>
        <w:autoSpaceDN w:val="0"/>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江苏省燃气工程项目初步设计管理办法</w:t>
      </w:r>
    </w:p>
    <w:p>
      <w:pPr>
        <w:overflowPunct w:val="0"/>
        <w:autoSpaceDE w:val="0"/>
        <w:autoSpaceDN w:val="0"/>
        <w:spacing w:line="460" w:lineRule="exact"/>
        <w:ind w:firstLine="472" w:firstLineChars="200"/>
        <w:rPr>
          <w:rFonts w:hint="eastAsia" w:eastAsia="方正仿宋_GBK"/>
          <w:color w:val="000000"/>
          <w:spacing w:val="-2"/>
          <w:sz w:val="24"/>
        </w:rPr>
      </w:pP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为了加强燃气工程建设管理，保证燃气工程设计质量，根据国务院《建设工程质量管理条例》、《建设工程勘察设计管理条例》、《江苏省燃气管理条例》以及有关法律、法规、规章的规定，制定本办法。</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本办法所称燃气工程是指燃气生产、贮存、输配、销售设施以及工矿企业、事业单位自建燃气设施的新建、改建、扩建工程，包括：燃气场站（气源厂、液化气储灌场、气化站、汽车加气站）、管道输配设施以及工矿企业、事业单位自建的燃气设施等工程。</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第三条 </w:t>
      </w:r>
      <w:r>
        <w:rPr>
          <w:rFonts w:eastAsia="方正仿宋_GBK"/>
          <w:color w:val="000000"/>
          <w:spacing w:val="-2"/>
          <w:sz w:val="24"/>
        </w:rPr>
        <w:t xml:space="preserve"> </w:t>
      </w:r>
      <w:r>
        <w:rPr>
          <w:rFonts w:hint="eastAsia" w:eastAsia="方正仿宋_GBK"/>
          <w:color w:val="000000"/>
          <w:spacing w:val="-2"/>
          <w:sz w:val="24"/>
        </w:rPr>
        <w:t>省、市、县（市）建设（市政公用）行政主管部门（以下统称建设行政主管部门）负责非政府投资的燃气工程项目初步设计的审批管理工作。</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燃气工程初步设计文件实行分级审查管理。按规定由省核准项目以及城市燃气气源厂、总投资在</w:t>
      </w:r>
      <w:r>
        <w:rPr>
          <w:rFonts w:eastAsia="方正仿宋_GBK"/>
          <w:color w:val="000000"/>
          <w:spacing w:val="-2"/>
          <w:sz w:val="24"/>
        </w:rPr>
        <w:t>3000</w:t>
      </w:r>
      <w:r>
        <w:rPr>
          <w:rFonts w:hint="eastAsia" w:eastAsia="方正仿宋_GBK"/>
          <w:color w:val="000000"/>
          <w:spacing w:val="-2"/>
          <w:sz w:val="24"/>
        </w:rPr>
        <w:t>万元以上工程项目的初步设计文件由省建设行政主管部门负责审查批准；市核准项目以及液化气储灌工程的改建、扩建项目的初步设计文件由设区市建设行政主管部门负责审查批准；其它燃气工程项目的初步设计文件，由工程所在地建设行政主管部门负责审查批准。</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建设单位应持发改部门核发的《项目核准通知》，在落实相关外部条件的前提下，委托具有相应燃气设计资格的单位，在双方签署设计合同后，编制初步设计文件。</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初步设计文件深度必须符合建设部颁发的《市政公用工程设计文件编制深度规定》的有关要求。</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设计单位应当严格执行国家、省有关燃气工程建设法律、法规和工程建设强制性技术标准，对其承接的燃气工程设计质量负责。工程选用的设备、材料，应当符合国家标准、行业标准。</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第七条 </w:t>
      </w:r>
      <w:r>
        <w:rPr>
          <w:rFonts w:eastAsia="方正仿宋_GBK"/>
          <w:color w:val="000000"/>
          <w:spacing w:val="-2"/>
          <w:sz w:val="24"/>
        </w:rPr>
        <w:t xml:space="preserve"> </w:t>
      </w:r>
      <w:r>
        <w:rPr>
          <w:rFonts w:hint="eastAsia" w:eastAsia="方正仿宋_GBK"/>
          <w:color w:val="000000"/>
          <w:spacing w:val="-2"/>
          <w:sz w:val="24"/>
        </w:rPr>
        <w:t>初步设计文件编制完成后，建设单位应当按照项目审批权限向相应的审查批准机关提出初步设计审查申请并附需要送审的初步设计文件，送审材料须同时抄送项目所在地建设行政主管部门。</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审查机关在组织初步设计审查时应邀请设计、科研等单位的专家以及政府有关部门参加，组成专家审查委员会。专家审查委员会负责技术、经济审查，并提出书面审查意见。</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第九条 </w:t>
      </w:r>
      <w:r>
        <w:rPr>
          <w:rFonts w:eastAsia="方正仿宋_GBK"/>
          <w:color w:val="000000"/>
          <w:spacing w:val="-2"/>
          <w:sz w:val="24"/>
        </w:rPr>
        <w:t xml:space="preserve"> </w:t>
      </w:r>
      <w:r>
        <w:rPr>
          <w:rFonts w:hint="eastAsia" w:eastAsia="方正仿宋_GBK"/>
          <w:color w:val="000000"/>
          <w:spacing w:val="-2"/>
          <w:sz w:val="24"/>
        </w:rPr>
        <w:t>燃气工程初步设计审查的主要内容有：（一）工程设计是否符合核准的建设规模、建设标准、设计方案、投资估算等内容；（二）工程项目是否符合城市总体规划和燃气专业规划要求及规划部门对选址的具体意见；（三）设计文件是否达到了设计编制深度要求；（四）设计文件是否符合《城镇燃气设计规范》、《建筑设计防火规范》等有关燃气安全标准、规范、规定的要求；（五）工程项目是否按国家法律、法规规定完善了环保、安全评价等事项。</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第十条 </w:t>
      </w:r>
      <w:r>
        <w:rPr>
          <w:rFonts w:eastAsia="方正仿宋_GBK"/>
          <w:color w:val="000000"/>
          <w:spacing w:val="-2"/>
          <w:sz w:val="24"/>
        </w:rPr>
        <w:t xml:space="preserve"> </w:t>
      </w:r>
      <w:r>
        <w:rPr>
          <w:rFonts w:hint="eastAsia" w:eastAsia="方正仿宋_GBK"/>
          <w:color w:val="000000"/>
          <w:spacing w:val="-2"/>
          <w:sz w:val="24"/>
        </w:rPr>
        <w:t>初步设计审查后，建设单位应督促设计单位根据专家审查意见对初步设计文件进行修改、补充和完善，并向审查机关提交初步设计补充文件以及环境影响评价意见、安全评价报告书、规划选址意见书等相关附件材料。</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审查机关对初步设计补充文件及相关附件材料进行复审后，按规定时间向建设单位核发初步设计批复文件。</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燃气工程建设项目的安全评价由建设单位委托有相应等级的燃气生产及供应业或陆上石油和天然气开采业、管道运输业评价类别的安全评价单位进行。安全评价报告书须经负责审批初步设计的部门组织审查、修改完善后，报送相应的安全生产监督管理部门和建设行政主管部门备案。</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燃气工程建设项目的环境影响评价由建设单位委托有相应等级的环境影响评价资格的单位进行。环境影响报告书或者环境影响报告表须经负责审批初步设计的建设行政主管部门预审出具意见后，报有审批权的环境保护行政主管部门审批。</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经批准后的初步设计是建设项目实施的法定依据，设计单位必须按照批准的初步设计内容、工程量和建设标准进行施工图设计。</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对已批准的初步设计文件，如需对建设规模、建设内容、工艺路线、建设地址等主要设计内容进行调整的，建设单位应当按照原规定程序报请审查机关审批。未经审查批准的设计变更不得实施。</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建设单位在报审设计变更文件时，应当提交以下材料：</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（一）设计变更申请。包括变更的主要内容、变更的主要理由、变更设计的设计单位资格等；</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（二）设计变更的设计图纸及原设计相应图纸；</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（三）工程量、投资变化对照清单。</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2"/>
          <w:sz w:val="24"/>
        </w:rPr>
        <w:t>燃气工程项目的初步设计文件以及设计变更文件未经建设行政主管部门审查批准的，由建设行政主管部门按《江苏省燃气管理条例》第五十五条规定予以处罚。</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第十六条</w:t>
      </w:r>
      <w:r>
        <w:rPr>
          <w:rFonts w:eastAsia="方正仿宋_GBK"/>
          <w:color w:val="000000"/>
          <w:spacing w:val="-2"/>
          <w:sz w:val="24"/>
        </w:rPr>
        <w:t xml:space="preserve">  </w:t>
      </w:r>
      <w:r>
        <w:rPr>
          <w:rFonts w:hint="eastAsia" w:eastAsia="方正仿宋_GBK"/>
          <w:color w:val="000000"/>
          <w:spacing w:val="-2"/>
          <w:sz w:val="24"/>
        </w:rPr>
        <w:t>政府投资的燃气工程项目的初步设计文件审查按照国家和省有关规定执行。</w:t>
      </w:r>
    </w:p>
    <w:p>
      <w:pPr>
        <w:overflowPunct w:val="0"/>
        <w:autoSpaceDE w:val="0"/>
        <w:autoSpaceDN w:val="0"/>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第十七条</w:t>
      </w:r>
      <w:r>
        <w:rPr>
          <w:rFonts w:eastAsia="方正仿宋_GBK"/>
          <w:color w:val="000000"/>
          <w:spacing w:val="-2"/>
          <w:sz w:val="24"/>
        </w:rPr>
        <w:t xml:space="preserve">  </w:t>
      </w:r>
      <w:r>
        <w:rPr>
          <w:rFonts w:hint="eastAsia" w:eastAsia="方正仿宋_GBK"/>
          <w:color w:val="000000"/>
          <w:spacing w:val="-2"/>
          <w:sz w:val="24"/>
        </w:rPr>
        <w:t>本办法自发文之日起施行。</w:t>
      </w:r>
    </w:p>
    <w:p/>
    <w:p/>
    <w:p/>
    <w:p/>
    <w:p/>
    <w:p/>
    <w:p/>
    <w:p/>
    <w:p/>
    <w:p/>
    <w:p/>
    <w:p/>
    <w:p/>
    <w:p/>
    <w:p/>
    <w:p/>
    <w:p/>
    <w:p/>
    <w:p/>
    <w:p/>
    <w:p/>
    <w:p/>
    <w:p/>
    <w:p/>
    <w:p/>
    <w:p/>
    <w:p/>
    <w:p/>
    <w:p/>
    <w:p/>
    <w:p/>
    <w:p/>
    <w:p/>
    <w:p/>
    <w:p/>
    <w:p/>
    <w:p/>
    <w:p/>
    <w:p/>
    <w:p/>
    <w:p/>
    <w:p/>
    <w:p/>
    <w:p/>
    <w:p>
      <w:pPr>
        <w:overflowPunct w:val="0"/>
        <w:autoSpaceDE w:val="0"/>
        <w:autoSpaceDN w:val="0"/>
        <w:spacing w:line="460" w:lineRule="exact"/>
        <w:rPr>
          <w:rFonts w:eastAsia="方正仿宋_GBK"/>
          <w:color w:val="000000"/>
          <w:spacing w:val="-2"/>
          <w:sz w:val="24"/>
        </w:rPr>
      </w:pPr>
      <w:r>
        <w:rPr>
          <w:rFonts w:hint="eastAsia" w:eastAsia="方正黑体_GBK"/>
          <w:color w:val="000000"/>
          <w:spacing w:val="-2"/>
          <w:sz w:val="28"/>
          <w:szCs w:val="28"/>
        </w:rPr>
        <w:t>附件</w:t>
      </w:r>
      <w:r>
        <w:rPr>
          <w:rFonts w:eastAsia="方正黑体_GBK"/>
          <w:color w:val="000000"/>
          <w:spacing w:val="-2"/>
          <w:sz w:val="28"/>
          <w:szCs w:val="28"/>
        </w:rPr>
        <w:t>2</w:t>
      </w: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ind w:firstLine="712" w:firstLineChars="200"/>
        <w:jc w:val="center"/>
        <w:rPr>
          <w:rFonts w:eastAsia="方正黑体_GBK"/>
          <w:color w:val="000000"/>
          <w:spacing w:val="-2"/>
          <w:sz w:val="36"/>
          <w:szCs w:val="36"/>
        </w:rPr>
      </w:pPr>
      <w:r>
        <w:rPr>
          <w:rFonts w:hint="eastAsia" w:eastAsia="方正黑体_GBK"/>
          <w:color w:val="000000"/>
          <w:spacing w:val="-2"/>
          <w:sz w:val="36"/>
          <w:szCs w:val="36"/>
        </w:rPr>
        <w:t>江苏省管道燃气特许经营管理办法</w:t>
      </w:r>
    </w:p>
    <w:p>
      <w:pPr>
        <w:overflowPunct w:val="0"/>
        <w:autoSpaceDE w:val="0"/>
        <w:autoSpaceDN w:val="0"/>
        <w:spacing w:line="460" w:lineRule="exact"/>
        <w:ind w:firstLine="472" w:firstLineChars="200"/>
        <w:rPr>
          <w:rFonts w:eastAsia="方正仿宋_GBK"/>
          <w:color w:val="000000"/>
          <w:spacing w:val="-2"/>
          <w:sz w:val="24"/>
        </w:rPr>
      </w:pP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为规范管道燃气特许经营活动，保障社会公众利益和公共安全，根据《中华人民共和国行政许可法》、《江苏省燃气管理条例》以及建设部《市政公用事业特许经营管理办法》的规定，制定本办法。</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第二条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管道燃气特许经营，是指经营企业依照《江苏省燃气管理条例》规定取得特许经营权，并在一定期限和范围内从事管道燃气和相关服务的经营活动。</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第三条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省建设行政主管部门负责对全省管道燃气特许经营权的实施进行指导和监督。</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城市人民政府授权委托的设区市、县（市）建设（市政公用）行政主管部门（以下统称建设行政主管部门）负责本行政区域内管道燃气特许经营权的实施和对特许经营企业的监管工作。</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第四条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实施管道燃气特许经营的项目必须经设区市、县（市）人民政府批准。</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在具体实施管道燃气特许经营项目时，按照《江苏省燃气管理条例》规定，必须先制定管道燃气特许经营实施方案。</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实行管道燃气特许经营实施方案评审制度。实施方案由设区的市、县（市）建设行政主管部门在同级人民政府的领导下，组织相关部门共同研究制定。实施方案先经当地人民政府初步审查认可，再由组织制定方案的市、县（市）建设行政主管部门报上一级建设行政主管部门组织专家进行论证后，报请本级人民政府批准后实施。</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实施方案应当包括以下内容：</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（一）行业发展规划；</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（二）特许经营项目名称；</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（三）特许经营项目的主要内容及基本经济技术指标；</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（四）特许经营的方式；</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（五）特许经营期限；</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（六）经营者的选择方式及具体操作程序；</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（七）经营者应当具备的条件（资格预审条件、招标基本条件）；</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（八）经营产品和服务价格的收费及调整规则；</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（九）经营产品和服务质量要求；</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（十）政府监管内容及相关承诺；</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（十一）特许经营协议文本的主要内容；</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（十二）实行临时接管措施；</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（十三）经营期满后经营资产的处置；</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（十四）特许经营权费的收取标准及收取办法，经营权费的资金管理办法及用途；</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（十五）政府各相关职能部门的监管职责；</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（十六）特许经营方案的具体组织实施机构。</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管道燃气经营权的授予，应当按照《江苏省燃气管理条例》的规定，采取招标投标等公开、公平的方式，选择特许经营企业授予管道燃气经营权。</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经营权期限应当根据不同的规模、经营方式确定，经营期限最长不得超过</w:t>
      </w:r>
      <w:r>
        <w:rPr>
          <w:rFonts w:eastAsia="方正仿宋_GBK"/>
          <w:color w:val="000000"/>
          <w:spacing w:val="-2"/>
          <w:sz w:val="24"/>
        </w:rPr>
        <w:t>30</w:t>
      </w:r>
      <w:r>
        <w:rPr>
          <w:rFonts w:hint="eastAsia" w:eastAsia="方正仿宋_GBK"/>
          <w:color w:val="000000"/>
          <w:spacing w:val="-2"/>
          <w:sz w:val="24"/>
        </w:rPr>
        <w:t>年。</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管道燃气特许经营权的授予程序、特许经营协议内容、申请特许经营权的企业应当具备的条件、管道燃气经营企业应当履行的义务等按照《江苏省燃气管理条例》规定执行。</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设区的市、县（市）建设行政主管部门与经营企业签订的特许经营协议，应当报上一级主管部门备案，并根据需要发给经营企业经营权凭证。</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第十条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特许经营期间，经营内容需要变更的，协议双方必须在共同协商的基础上签订相关的补充协议，并按照本办法第九条第二款的规定备案。</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因经营企业原因，需要对经营内容作重大变更的，经营企业必须及时报当地建设行政主管部门予以确认。</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城市人民政府根据城市建设和社会经济发展需要，调整特许经营协议，对经营企业利益受损的，应当给予合理补偿。</w:t>
      </w:r>
    </w:p>
    <w:p>
      <w:pPr>
        <w:overflowPunct w:val="0"/>
        <w:autoSpaceDE w:val="0"/>
        <w:autoSpaceDN w:val="0"/>
        <w:spacing w:line="460" w:lineRule="exact"/>
        <w:ind w:firstLine="472" w:firstLineChars="200"/>
        <w:rPr>
          <w:rFonts w:eastAsia="方正仿宋_GBK"/>
          <w:color w:val="000000"/>
          <w:spacing w:val="-2"/>
          <w:sz w:val="24"/>
        </w:rPr>
      </w:pPr>
      <w:r>
        <w:rPr>
          <w:rFonts w:eastAsia="方正仿宋_GBK"/>
          <w:color w:val="000000"/>
          <w:spacing w:val="-2"/>
          <w:sz w:val="24"/>
        </w:rPr>
        <w:t xml:space="preserve"> </w:t>
      </w:r>
      <w:r>
        <w:rPr>
          <w:rFonts w:hint="eastAsia" w:eastAsia="方正黑体_GBK"/>
          <w:color w:val="000000"/>
          <w:spacing w:val="-2"/>
          <w:sz w:val="24"/>
        </w:rPr>
        <w:t>第十一条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特许经营期间，经营企业主动提出解除特许经营协议的，必须提前二个月报告当地建设主管部门，经当地建设主管部门报本级政府同意后，方可解除协议，终止经营，并报上一级主管部门备案。</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经营企业在提出终止经营的期间内，必须保证正常的产品和服务的经营，并承担政府重新按照程序确定新经营者所发生的一切费用。</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经营企业需要变更企业名称、法定地址、法定代表人，必须提前</w:t>
      </w:r>
      <w:r>
        <w:rPr>
          <w:rFonts w:eastAsia="方正仿宋_GBK"/>
          <w:color w:val="000000"/>
          <w:spacing w:val="-2"/>
          <w:sz w:val="24"/>
        </w:rPr>
        <w:t>15</w:t>
      </w:r>
      <w:r>
        <w:rPr>
          <w:rFonts w:hint="eastAsia" w:eastAsia="方正仿宋_GBK"/>
          <w:color w:val="000000"/>
          <w:spacing w:val="-2"/>
          <w:sz w:val="24"/>
        </w:rPr>
        <w:t>个工作日告知建设行政主管部门。</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依法取得的管道燃气特许经营权不得擅自处置。</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第十四条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管道燃气特许经营企业有下列行为之一的，设区的市、县（市）建设行政主管部门在报经本级人民政府批准，并报上一级建设行政主管部门备案后，可以终止特许经营协议，并实施临时接管。</w:t>
      </w:r>
    </w:p>
    <w:p>
      <w:pPr>
        <w:overflowPunct w:val="0"/>
        <w:autoSpaceDE w:val="0"/>
        <w:autoSpaceDN w:val="0"/>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（一）擅自转让、出租特许经营权的；</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（二）存在重大安全隐患且拒不整改的；</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（三）因管理不善，发生重大质量、生产安全事故的；</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（四）擅自停业、歇业，严重影响社会公共利益和公共安全的；</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（五）法律、法规规定可以终止特许经营协议的其他情形。</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取消经营权的决定由建设行政主管部门书面通知经营企业。经营企业可以在收到书面通知后</w:t>
      </w:r>
      <w:r>
        <w:rPr>
          <w:rFonts w:eastAsia="方正仿宋_GBK"/>
          <w:color w:val="000000"/>
          <w:spacing w:val="-2"/>
          <w:sz w:val="24"/>
        </w:rPr>
        <w:t>30</w:t>
      </w:r>
      <w:r>
        <w:rPr>
          <w:rFonts w:hint="eastAsia" w:eastAsia="方正仿宋_GBK"/>
          <w:color w:val="000000"/>
          <w:spacing w:val="-2"/>
          <w:sz w:val="24"/>
        </w:rPr>
        <w:t>个工作日内提出书面申辩或者要求举行听证会。</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2"/>
          <w:sz w:val="24"/>
        </w:rPr>
        <w:t>经营权发生变更或终止时，建设行政主管部门必须妥善做好资产处置等相关工作，保障管道燃气供应和服务的连续性、稳定性。</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第十六条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特许经营协议是经营企业从事管道燃气经营的法定依据。经营企业应当按照经营协议和经营凭证规定的权限、范围和期限等行使经营权。</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第十七条</w:t>
      </w:r>
      <w:r>
        <w:rPr>
          <w:rFonts w:eastAsia="方正仿宋_GBK"/>
          <w:color w:val="000000"/>
          <w:spacing w:val="-2"/>
          <w:sz w:val="24"/>
        </w:rPr>
        <w:t xml:space="preserve">  </w:t>
      </w:r>
      <w:r>
        <w:rPr>
          <w:rFonts w:hint="eastAsia" w:eastAsia="方正仿宋_GBK"/>
          <w:color w:val="000000"/>
          <w:spacing w:val="-2"/>
          <w:sz w:val="24"/>
        </w:rPr>
        <w:t>经营企业应当对管道燃气设施的技术档案及营运情况记录等资料进行收集、整理和归档，并完善信息化管理系统。</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经营期满时，经营企业应当将前款资料完整移交后续经营者或者建设主管部门。</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第十八条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城市人民政府及有关部门应当为经营企业创造良好的政策保障和经营环境，并为经营企业提供相应的服务，保障经营企业拥有自主经营的权利。</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第十九条</w:t>
      </w:r>
      <w:r>
        <w:rPr>
          <w:rFonts w:eastAsia="方正仿宋_GBK"/>
          <w:color w:val="000000"/>
          <w:spacing w:val="-2"/>
          <w:sz w:val="24"/>
        </w:rPr>
        <w:t xml:space="preserve">  </w:t>
      </w:r>
      <w:r>
        <w:rPr>
          <w:rFonts w:hint="eastAsia" w:eastAsia="方正仿宋_GBK"/>
          <w:color w:val="000000"/>
          <w:spacing w:val="-2"/>
          <w:sz w:val="24"/>
        </w:rPr>
        <w:t>建设行政主管部门应当依法对经营企业进行监督管理，每</w:t>
      </w:r>
      <w:r>
        <w:rPr>
          <w:rFonts w:eastAsia="方正仿宋_GBK"/>
          <w:color w:val="000000"/>
          <w:spacing w:val="-2"/>
          <w:sz w:val="24"/>
        </w:rPr>
        <w:t>2</w:t>
      </w:r>
      <w:r>
        <w:rPr>
          <w:rFonts w:hint="eastAsia" w:eastAsia="方正仿宋_GBK"/>
          <w:color w:val="000000"/>
          <w:spacing w:val="-2"/>
          <w:sz w:val="24"/>
        </w:rPr>
        <w:t>年进行一次中期评估，特殊情况下可以实施年度评估，评估结果应报上一级建设行政主管部门备案。发现管道燃气经营企业未按规定履行特许经营义务，不符合特许经营条件，或者有不合理收费等问题的，应当责令限期整改。</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第二十条</w:t>
      </w:r>
      <w:r>
        <w:rPr>
          <w:rFonts w:eastAsia="方正仿宋_GBK"/>
          <w:color w:val="000000"/>
          <w:spacing w:val="-2"/>
          <w:sz w:val="24"/>
        </w:rPr>
        <w:t xml:space="preserve">  </w:t>
      </w:r>
      <w:r>
        <w:rPr>
          <w:rFonts w:hint="eastAsia" w:eastAsia="方正仿宋_GBK"/>
          <w:color w:val="000000"/>
          <w:spacing w:val="-2"/>
          <w:sz w:val="24"/>
        </w:rPr>
        <w:t>建设行政主管部门应当按照协议内容加强对经营企业投资、建设、生产、运行及其相关活动的日常监督管理，对产品质量、服务质量实行定期和不定期地检测、检查。发现经营企业在产品和服务质量方面存在问题的，应当责令限期整改。</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第二十一条</w:t>
      </w:r>
      <w:r>
        <w:rPr>
          <w:rFonts w:eastAsia="方正仿宋_GBK"/>
          <w:color w:val="000000"/>
          <w:spacing w:val="-2"/>
          <w:sz w:val="24"/>
        </w:rPr>
        <w:t xml:space="preserve">  </w:t>
      </w:r>
      <w:r>
        <w:rPr>
          <w:rFonts w:hint="eastAsia" w:eastAsia="方正仿宋_GBK"/>
          <w:color w:val="000000"/>
          <w:spacing w:val="-2"/>
          <w:sz w:val="24"/>
        </w:rPr>
        <w:t>未取得特许经营权擅自从事管道燃气经营活动的，由建设行政主管部门依照《江苏省燃气管理条例》第五十六条的规定责令停止经营，并处十万元以上五十万元以下罚款。</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第二十二条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对在《条例》实施前已经从事管道燃气建设和经营但还没有实施特许经营制度的企业，应按《江苏省燃气管理条例》的有关规定，完善实施特许经营的相关制度，签订特许经营协议，明确特许经营的内容和要求，并报上一级建设行政主管部门备案。</w:t>
      </w:r>
    </w:p>
    <w:p>
      <w:pPr>
        <w:overflowPunct w:val="0"/>
        <w:autoSpaceDE w:val="0"/>
        <w:autoSpaceDN w:val="0"/>
        <w:spacing w:line="460" w:lineRule="exact"/>
        <w:ind w:firstLine="472" w:firstLineChars="200"/>
        <w:rPr>
          <w:rFonts w:eastAsia="方正仿宋_GBK"/>
          <w:color w:val="000000"/>
          <w:spacing w:val="-2"/>
          <w:sz w:val="24"/>
        </w:rPr>
      </w:pPr>
      <w:r>
        <w:rPr>
          <w:rFonts w:hint="eastAsia" w:eastAsia="方正黑体_GBK"/>
          <w:color w:val="000000"/>
          <w:spacing w:val="-2"/>
          <w:sz w:val="24"/>
        </w:rPr>
        <w:t>第二十三条</w:t>
      </w:r>
      <w:r>
        <w:rPr>
          <w:rFonts w:eastAsia="方正仿宋_GBK"/>
          <w:color w:val="000000"/>
          <w:spacing w:val="-2"/>
          <w:sz w:val="24"/>
        </w:rPr>
        <w:t xml:space="preserve">  </w:t>
      </w:r>
      <w:r>
        <w:rPr>
          <w:rFonts w:hint="eastAsia" w:eastAsia="方正仿宋_GBK"/>
          <w:color w:val="000000"/>
          <w:spacing w:val="-2"/>
          <w:sz w:val="24"/>
        </w:rPr>
        <w:t>本办法自发文之日起施行。</w:t>
      </w:r>
    </w:p>
    <w:p>
      <w:pPr>
        <w:overflowPunct w:val="0"/>
        <w:autoSpaceDE w:val="0"/>
        <w:autoSpaceDN w:val="0"/>
        <w:spacing w:line="460" w:lineRule="exact"/>
        <w:ind w:firstLine="472" w:firstLineChars="200"/>
        <w:rPr>
          <w:rFonts w:eastAsia="方正仿宋_GBK"/>
          <w:color w:val="000000"/>
          <w:spacing w:val="-2"/>
          <w:sz w:val="24"/>
        </w:rPr>
      </w:pPr>
    </w:p>
    <w:p>
      <w:pPr>
        <w:overflowPunct w:val="0"/>
        <w:autoSpaceDE w:val="0"/>
        <w:autoSpaceDN w:val="0"/>
        <w:spacing w:line="460" w:lineRule="exact"/>
        <w:ind w:firstLine="472" w:firstLineChars="200"/>
        <w:rPr>
          <w:rFonts w:eastAsia="方正仿宋_GBK"/>
          <w:color w:val="000000"/>
          <w:spacing w:val="-2"/>
          <w:sz w:val="24"/>
        </w:rPr>
      </w:pPr>
    </w:p>
    <w:p>
      <w:pPr>
        <w:overflowPunct w:val="0"/>
        <w:autoSpaceDE w:val="0"/>
        <w:autoSpaceDN w:val="0"/>
        <w:spacing w:line="460" w:lineRule="exact"/>
        <w:ind w:firstLine="472" w:firstLineChars="200"/>
        <w:rPr>
          <w:rFonts w:eastAsia="方正仿宋_GBK"/>
          <w:color w:val="000000"/>
          <w:spacing w:val="-2"/>
          <w:sz w:val="24"/>
        </w:rPr>
      </w:pPr>
    </w:p>
    <w:p/>
    <w:p/>
    <w:p/>
    <w:p/>
    <w:p/>
    <w:p/>
    <w:p/>
    <w:p/>
    <w:p/>
    <w:p/>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r>
        <w:rPr>
          <w:rFonts w:hint="eastAsia" w:ascii="Times New Roman" w:eastAsia="方正小标宋_GBK"/>
          <w:b w:val="0"/>
          <w:sz w:val="36"/>
          <w:szCs w:val="36"/>
        </w:rPr>
        <w:t>于进一步加强城市供水管理、保障供水安全的通知</w:t>
      </w:r>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8" w:name="_Toc20726317"/>
      <w:bookmarkStart w:id="69" w:name="_Toc18315397"/>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2007</w:t>
      </w:r>
      <w:r>
        <w:rPr>
          <w:rFonts w:hint="eastAsia" w:ascii="Times New Roman" w:hAnsi="Times New Roman" w:eastAsia="方正楷体_GBK"/>
          <w:b w:val="0"/>
          <w:sz w:val="24"/>
          <w:szCs w:val="24"/>
        </w:rPr>
        <w:t>〕</w:t>
      </w:r>
      <w:r>
        <w:rPr>
          <w:rFonts w:ascii="Times New Roman" w:hAnsi="Times New Roman" w:eastAsia="方正楷体_GBK"/>
          <w:b w:val="0"/>
          <w:sz w:val="24"/>
          <w:szCs w:val="24"/>
        </w:rPr>
        <w:t>205</w:t>
      </w:r>
      <w:r>
        <w:rPr>
          <w:rFonts w:hint="eastAsia" w:ascii="Times New Roman" w:hAnsi="Times New Roman" w:eastAsia="方正楷体_GBK"/>
          <w:b w:val="0"/>
          <w:sz w:val="24"/>
          <w:szCs w:val="24"/>
        </w:rPr>
        <w:t>号</w:t>
      </w:r>
      <w:bookmarkEnd w:id="68"/>
      <w:bookmarkEnd w:id="69"/>
    </w:p>
    <w:p>
      <w:pPr>
        <w:spacing w:line="460" w:lineRule="exact"/>
        <w:rPr>
          <w:rFonts w:eastAsia="方正仿宋_GBK"/>
          <w:color w:val="000000"/>
          <w:spacing w:val="-2"/>
          <w:sz w:val="24"/>
        </w:rPr>
      </w:pPr>
      <w:r>
        <w:rPr>
          <w:rFonts w:hint="eastAsia" w:eastAsia="方正仿宋_GBK"/>
          <w:color w:val="000000"/>
          <w:spacing w:val="-2"/>
          <w:sz w:val="24"/>
        </w:rPr>
        <w:t>各市、县（市）建设局（建委）</w:t>
      </w:r>
      <w:r>
        <w:rPr>
          <w:rFonts w:eastAsia="方正仿宋_GBK"/>
          <w:color w:val="000000"/>
          <w:spacing w:val="-2"/>
          <w:sz w:val="24"/>
        </w:rPr>
        <w:t>,</w:t>
      </w:r>
      <w:r>
        <w:rPr>
          <w:rFonts w:hint="eastAsia" w:eastAsia="方正仿宋_GBK"/>
          <w:color w:val="000000"/>
          <w:spacing w:val="-2"/>
          <w:sz w:val="24"/>
        </w:rPr>
        <w:t>市政公用局：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为推动《生活饮用水卫生标准》（</w:t>
      </w:r>
      <w:r>
        <w:rPr>
          <w:rFonts w:eastAsia="方正仿宋_GBK"/>
          <w:color w:val="000000"/>
          <w:spacing w:val="-2"/>
          <w:sz w:val="24"/>
        </w:rPr>
        <w:t>GB5749-2006</w:t>
      </w:r>
      <w:r>
        <w:rPr>
          <w:rFonts w:hint="eastAsia" w:eastAsia="方正仿宋_GBK"/>
          <w:color w:val="000000"/>
          <w:spacing w:val="-2"/>
          <w:sz w:val="24"/>
        </w:rPr>
        <w:t>）实施，进一步加强城市供水水质管理，保障夏季全省城市供水安全，结合我省实际，现就加强城市供水管理、保障城市供水安全等工作通知如下：</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一、密切配合，切实加强城市供水水源地的保护和监管工作</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水源是城市供水的基础，水源安全是城市供水安全的前提。省委、省政府高度重视城市供水水源地保护工作，</w:t>
      </w:r>
      <w:r>
        <w:rPr>
          <w:rFonts w:eastAsia="方正仿宋_GBK"/>
          <w:color w:val="000000"/>
          <w:spacing w:val="-2"/>
          <w:sz w:val="24"/>
        </w:rPr>
        <w:t>2005</w:t>
      </w:r>
      <w:r>
        <w:rPr>
          <w:rFonts w:hint="eastAsia" w:eastAsia="方正仿宋_GBK"/>
          <w:color w:val="000000"/>
          <w:spacing w:val="-2"/>
          <w:sz w:val="24"/>
        </w:rPr>
        <w:t>年，省政府专门召开了全省集中式饮用水水源地专项整治现场会，印发了《关于印发全省集中式饮用水源地专项行动方案的通知》，对全省集中式饮用水源地进行全面整治，严厉打击了一批饮用水源地保护区内的环境违法行为，水源地保护工作得到了加强。但是，我省地处长江、淮河下游，进入主汛期后，水源地水质容易遭受上游客水污染，部分城市水源地存在着较大的安全隐患，水源地水质污染事件时有发生。为此，各级城市供水主管部门必须高度重视，在城市人民政府的统一领导下，积极配合环保、水利等部门，共同做好城市供水水源地的保护和安全监管工作，确保城市供水安全渡夏。</w:t>
      </w:r>
      <w:r>
        <w:rPr>
          <w:rFonts w:eastAsia="方正仿宋_GBK"/>
          <w:color w:val="000000"/>
          <w:spacing w:val="-2"/>
          <w:sz w:val="24"/>
        </w:rPr>
        <w:t xml:space="preserve"> </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二、加强城市供水各环节的管理，保障供水水质安全</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为保障供水水质安全，必须对水源、净水厂、配水管网到二次供水设施各个生产、输配环节实施全过程管理。</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w:t>
      </w:r>
      <w:r>
        <w:rPr>
          <w:rFonts w:hint="eastAsia" w:ascii="Times New Roman" w:eastAsia="方正楷体_GBK"/>
          <w:color w:val="000000"/>
          <w:spacing w:val="-2"/>
          <w:sz w:val="24"/>
        </w:rPr>
        <w:t>加强城市供水水源地水质保护</w:t>
      </w:r>
      <w:r>
        <w:rPr>
          <w:rFonts w:hint="eastAsia" w:eastAsia="方正仿宋_GBK"/>
          <w:color w:val="000000"/>
          <w:spacing w:val="-2"/>
          <w:sz w:val="24"/>
        </w:rPr>
        <w:t>。按照</w:t>
      </w:r>
      <w:r>
        <w:rPr>
          <w:rFonts w:eastAsia="方正仿宋_GBK"/>
          <w:color w:val="000000"/>
          <w:spacing w:val="-2"/>
          <w:sz w:val="24"/>
        </w:rPr>
        <w:t>“</w:t>
      </w:r>
      <w:r>
        <w:rPr>
          <w:rFonts w:hint="eastAsia" w:eastAsia="方正仿宋_GBK"/>
          <w:color w:val="000000"/>
          <w:spacing w:val="-2"/>
          <w:sz w:val="24"/>
        </w:rPr>
        <w:t>谁管理、谁负责</w:t>
      </w:r>
      <w:r>
        <w:rPr>
          <w:rFonts w:eastAsia="方正仿宋_GBK"/>
          <w:color w:val="000000"/>
          <w:spacing w:val="-2"/>
          <w:sz w:val="24"/>
        </w:rPr>
        <w:t>”</w:t>
      </w:r>
      <w:r>
        <w:rPr>
          <w:rFonts w:hint="eastAsia" w:eastAsia="方正仿宋_GBK"/>
          <w:color w:val="000000"/>
          <w:spacing w:val="-2"/>
          <w:sz w:val="24"/>
        </w:rPr>
        <w:t>的原则，对城市供水水源存在的安全隐患进行排查和整改。各级城市供水主管部门要抓紧会同环保、水利等有关部门对城市供水水源地保护区内外污染源情况开展详细的调查，摸清城市供水水源汇水区、引水沟（渠）、水库（井）周边等范围内的工业、生活、农业、禽畜养殖等污染源，对各类排污口和排放的主要污染物登记造册，及时掌握污染隐患的情况。存在安全隐患的，要立即向当地城市人民政府汇报有关情况，提出整改和防范措施，对于因整改措施不到位而发生事故的，要严肃追究有关人员的责任。</w:t>
      </w:r>
    </w:p>
    <w:p>
      <w:pPr>
        <w:pStyle w:val="21"/>
        <w:widowControl w:val="0"/>
        <w:spacing w:line="460" w:lineRule="exact"/>
        <w:ind w:firstLine="472" w:firstLineChars="200"/>
        <w:rPr>
          <w:rFonts w:ascii="Times New Roman" w:eastAsia="方正仿宋_GBK"/>
          <w:spacing w:val="-2"/>
          <w:sz w:val="24"/>
          <w:szCs w:val="24"/>
        </w:rPr>
      </w:pPr>
      <w:r>
        <w:rPr>
          <w:rFonts w:ascii="Times New Roman" w:eastAsia="方正仿宋_GBK"/>
          <w:spacing w:val="-2"/>
          <w:sz w:val="24"/>
          <w:szCs w:val="24"/>
        </w:rPr>
        <w:t>2</w:t>
      </w:r>
      <w:r>
        <w:rPr>
          <w:rFonts w:hint="eastAsia" w:ascii="Times New Roman" w:eastAsia="方正仿宋_GBK"/>
          <w:spacing w:val="-2"/>
          <w:sz w:val="24"/>
          <w:szCs w:val="24"/>
        </w:rPr>
        <w:t>、</w:t>
      </w:r>
      <w:r>
        <w:rPr>
          <w:rFonts w:hint="eastAsia" w:ascii="Times New Roman" w:eastAsia="方正楷体_GBK"/>
          <w:spacing w:val="-2"/>
          <w:sz w:val="24"/>
          <w:szCs w:val="24"/>
        </w:rPr>
        <w:t>加强净水厂构筑物设施维护保养工作</w:t>
      </w:r>
      <w:r>
        <w:rPr>
          <w:rFonts w:hint="eastAsia" w:ascii="Times New Roman" w:eastAsia="方正仿宋_GBK"/>
          <w:spacing w:val="-2"/>
          <w:sz w:val="24"/>
          <w:szCs w:val="24"/>
        </w:rPr>
        <w:t>，保障供水的连续性。在夏季高峰供水前，各供水企业要全面对净水厂各生产构筑物进行全面的维护保养工作，保证生产正常运行；对净水厂和增压站的机电设备、电源、自控等设施全面检查和保养，并保证一定的备用台套，防止大面积停水事件的发生；制水用混凝剂、消毒剂要确保充足库存；开展岗位责任、安全教育培训工作，确保各项操作按规范、规程操作。向城市输水的主管道原则上应敷设两条，重要供水设施的供电应采用双回路。</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w:t>
      </w:r>
      <w:r>
        <w:rPr>
          <w:rFonts w:hint="eastAsia" w:ascii="Times New Roman" w:eastAsia="方正楷体_GBK"/>
          <w:color w:val="000000"/>
          <w:spacing w:val="-2"/>
          <w:sz w:val="24"/>
        </w:rPr>
        <w:t>加快城市供水管网改造</w:t>
      </w:r>
      <w:r>
        <w:rPr>
          <w:rFonts w:hint="eastAsia" w:eastAsia="方正仿宋_GBK"/>
          <w:color w:val="000000"/>
          <w:spacing w:val="-2"/>
          <w:sz w:val="24"/>
        </w:rPr>
        <w:t>。要即时更换供水安全性不高的管网和启闭不灵的阀门，确保供水管网正常运行。加快城市供水管网的优化改造，力争在</w:t>
      </w:r>
      <w:r>
        <w:rPr>
          <w:rFonts w:eastAsia="方正仿宋_GBK"/>
          <w:color w:val="000000"/>
          <w:spacing w:val="-2"/>
          <w:sz w:val="24"/>
        </w:rPr>
        <w:t>2008</w:t>
      </w:r>
      <w:r>
        <w:rPr>
          <w:rFonts w:hint="eastAsia" w:eastAsia="方正仿宋_GBK"/>
          <w:color w:val="000000"/>
          <w:spacing w:val="-2"/>
          <w:sz w:val="24"/>
        </w:rPr>
        <w:t>年底前完成设市城市老旧供水管网改造工作，使城市供水管网漏损率及早控制在国家规定标准以内。改造工程中，应当推广使用新型环保、卫生管材，严禁使用灰口铸铁管和镀锌钢管，避免管道结垢。</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w:t>
      </w:r>
      <w:r>
        <w:rPr>
          <w:rFonts w:hint="eastAsia" w:ascii="Times New Roman" w:eastAsia="方正楷体_GBK"/>
          <w:color w:val="000000"/>
          <w:spacing w:val="-2"/>
          <w:sz w:val="24"/>
        </w:rPr>
        <w:t>加强二次供水和自建供水设施管理</w:t>
      </w:r>
      <w:r>
        <w:rPr>
          <w:rFonts w:hint="eastAsia" w:eastAsia="方正仿宋_GBK"/>
          <w:color w:val="000000"/>
          <w:spacing w:val="-2"/>
          <w:sz w:val="24"/>
        </w:rPr>
        <w:t>。各级城市供水主管部门应建立健全二次供水设施的运行、清洗、消毒和安全保障管理制度，明确二次供水设施管理单位，确保水质安全；</w:t>
      </w:r>
      <w:r>
        <w:rPr>
          <w:rFonts w:eastAsia="方正仿宋_GBK"/>
          <w:color w:val="000000"/>
          <w:spacing w:val="-2"/>
          <w:sz w:val="24"/>
        </w:rPr>
        <w:t>6</w:t>
      </w:r>
      <w:r>
        <w:rPr>
          <w:rFonts w:hint="eastAsia" w:eastAsia="方正仿宋_GBK"/>
          <w:color w:val="000000"/>
          <w:spacing w:val="-2"/>
          <w:sz w:val="24"/>
        </w:rPr>
        <w:t>月底前，二次供水设施要全面消毒一次，以后每半年应至少清洗消毒一次，并定期接受供水和卫生主管部门的水质检查。要加强自建供水设施水质监督，确保供水水质达标。</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三、加快供水设施建设和改造，提高城市供水安全保障能力</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w:t>
      </w:r>
      <w:r>
        <w:rPr>
          <w:rFonts w:hint="eastAsia" w:ascii="Times New Roman" w:eastAsia="方正楷体_GBK"/>
          <w:color w:val="000000"/>
          <w:spacing w:val="-2"/>
          <w:sz w:val="24"/>
        </w:rPr>
        <w:t>推进区域供水之间的管网沟通</w:t>
      </w:r>
      <w:r>
        <w:rPr>
          <w:rFonts w:hint="eastAsia" w:eastAsia="方正仿宋_GBK"/>
          <w:color w:val="000000"/>
          <w:spacing w:val="-2"/>
          <w:sz w:val="24"/>
        </w:rPr>
        <w:t>，</w:t>
      </w:r>
      <w:r>
        <w:rPr>
          <w:rFonts w:hint="eastAsia" w:ascii="Times New Roman" w:eastAsia="方正楷体_GBK"/>
          <w:color w:val="000000"/>
          <w:spacing w:val="-2"/>
          <w:sz w:val="24"/>
        </w:rPr>
        <w:t>实现互联互供</w:t>
      </w:r>
      <w:r>
        <w:rPr>
          <w:rFonts w:hint="eastAsia" w:eastAsia="方正仿宋_GBK"/>
          <w:color w:val="000000"/>
          <w:spacing w:val="-2"/>
          <w:sz w:val="24"/>
        </w:rPr>
        <w:t>。为有效化解水源地突发污染等事件而引起的城市供水危机，对已经实施区域供水的地区，做好区域供水之间管网联通规划和建设工作，做到管网联网互备。在有条件的地区，鼓励开发第二水源作为城市备用水源。</w:t>
      </w:r>
    </w:p>
    <w:p>
      <w:pPr>
        <w:pStyle w:val="21"/>
        <w:widowControl w:val="0"/>
        <w:spacing w:line="460" w:lineRule="exact"/>
        <w:ind w:firstLine="472" w:firstLineChars="200"/>
        <w:rPr>
          <w:rFonts w:ascii="Times New Roman" w:eastAsia="方正仿宋_GBK"/>
          <w:spacing w:val="-2"/>
          <w:sz w:val="24"/>
          <w:szCs w:val="24"/>
        </w:rPr>
      </w:pPr>
      <w:r>
        <w:rPr>
          <w:rFonts w:ascii="Times New Roman" w:eastAsia="方正仿宋_GBK"/>
          <w:spacing w:val="-2"/>
          <w:sz w:val="24"/>
          <w:szCs w:val="24"/>
        </w:rPr>
        <w:t>2</w:t>
      </w:r>
      <w:r>
        <w:rPr>
          <w:rFonts w:hint="eastAsia" w:ascii="Times New Roman" w:eastAsia="方正仿宋_GBK"/>
          <w:spacing w:val="-2"/>
          <w:sz w:val="24"/>
          <w:szCs w:val="24"/>
        </w:rPr>
        <w:t>、</w:t>
      </w:r>
      <w:r>
        <w:rPr>
          <w:rFonts w:hint="eastAsia" w:ascii="Times New Roman" w:eastAsia="方正楷体_GBK"/>
          <w:spacing w:val="-2"/>
          <w:sz w:val="24"/>
          <w:szCs w:val="24"/>
        </w:rPr>
        <w:t>改进制水处理工艺</w:t>
      </w:r>
      <w:r>
        <w:rPr>
          <w:rFonts w:hint="eastAsia" w:ascii="Times New Roman" w:eastAsia="方正仿宋_GBK"/>
          <w:spacing w:val="-2"/>
          <w:sz w:val="24"/>
          <w:szCs w:val="24"/>
        </w:rPr>
        <w:t>。各地必须在</w:t>
      </w:r>
      <w:r>
        <w:rPr>
          <w:rFonts w:ascii="Times New Roman" w:eastAsia="方正仿宋_GBK"/>
          <w:spacing w:val="-2"/>
          <w:sz w:val="24"/>
          <w:szCs w:val="24"/>
        </w:rPr>
        <w:t>2007</w:t>
      </w:r>
      <w:r>
        <w:rPr>
          <w:rFonts w:hint="eastAsia" w:ascii="Times New Roman" w:eastAsia="方正仿宋_GBK"/>
          <w:spacing w:val="-2"/>
          <w:sz w:val="24"/>
          <w:szCs w:val="24"/>
        </w:rPr>
        <w:t>年底以前摸清丰、枯水期原水、出厂水水质情况，在科学分析和充分论证的基础上，提出适合本地的工艺改造计划，总体目标是：到</w:t>
      </w:r>
      <w:r>
        <w:rPr>
          <w:rFonts w:ascii="Times New Roman" w:eastAsia="方正仿宋_GBK"/>
          <w:spacing w:val="-2"/>
          <w:sz w:val="24"/>
          <w:szCs w:val="24"/>
        </w:rPr>
        <w:t>2010</w:t>
      </w:r>
      <w:r>
        <w:rPr>
          <w:rFonts w:hint="eastAsia" w:ascii="Times New Roman" w:eastAsia="方正仿宋_GBK"/>
          <w:spacing w:val="-2"/>
          <w:sz w:val="24"/>
          <w:szCs w:val="24"/>
        </w:rPr>
        <w:t>年底前，全省所有自来水供水企业的供水水质要达到《生活饮用水卫生标准》规定的全部项目。</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w:t>
      </w:r>
      <w:r>
        <w:rPr>
          <w:rFonts w:hint="eastAsia" w:ascii="Times New Roman" w:eastAsia="方正楷体_GBK"/>
          <w:color w:val="000000"/>
          <w:spacing w:val="-2"/>
          <w:sz w:val="24"/>
        </w:rPr>
        <w:t>加强水质检测能力建设</w:t>
      </w:r>
      <w:r>
        <w:rPr>
          <w:rFonts w:hint="eastAsia" w:eastAsia="方正仿宋_GBK"/>
          <w:color w:val="000000"/>
          <w:spacing w:val="-2"/>
          <w:sz w:val="24"/>
        </w:rPr>
        <w:t>。按照政府监督、行业监测、企业自检的要求，全面落实水质监管工作。加快行业监测机构和能力建设，定期监测供水水质，为政府决策提供依据。各供水企业要按照《城市供水水质标准》规定的采样地点、频率和项目进行水样的检测。要特别注意加强对源水的检测，根据存在的安全隐患情况，加大对特征污染物的检测频率；建设水源地取水口水质在线检测仪表，建立水质预警制度。</w:t>
      </w:r>
      <w:r>
        <w:rPr>
          <w:rFonts w:eastAsia="方正仿宋_GBK"/>
          <w:color w:val="000000"/>
          <w:spacing w:val="-2"/>
          <w:sz w:val="24"/>
        </w:rPr>
        <w:t xml:space="preserve"> </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四、完善城市供水系统重大事故应急预案</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各地城市供水主管部门和供水企业要从政府和企业两个层面编制和完善适宜当地实际的城市供水应急预案。城市政府制定的城市供水重大事故应急预案应在今年年底前全部编制完成并正式发布。已经完成的城市供水企业重大事故应急预案，要尽快报省建设厅备案。要重点研究有机物、农药、重金属和致病微生物等</w:t>
      </w:r>
      <w:r>
        <w:rPr>
          <w:rFonts w:eastAsia="方正仿宋_GBK"/>
          <w:color w:val="000000"/>
          <w:spacing w:val="-2"/>
          <w:sz w:val="24"/>
        </w:rPr>
        <w:t>4</w:t>
      </w:r>
      <w:r>
        <w:rPr>
          <w:rFonts w:hint="eastAsia" w:eastAsia="方正仿宋_GBK"/>
          <w:color w:val="000000"/>
          <w:spacing w:val="-2"/>
          <w:sz w:val="24"/>
        </w:rPr>
        <w:t>大类突发性污染事故的应对措施，提高供水安全的技术保障能力。要切实落实预案要求的物资储备，建设一支稳定的、专业化的抢险、抢修队伍，做好演练、演习工作，提高各级领导和从业人员的安全意识和技术水平，增强应急能力和控制事故的能力。</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五、完善制度，明确责任，全面落实城市供水安全保障体系</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各地城市供水主管部门和城市供水企业要按照日常预防为主、应急处置为辅、安全屏障前移的原则，建立、健全安全生产管理制度。要落实安全生产目标责任制，强化责任落实情况的监督检查和考核，加强日常管理和巡查，发现隐患及时排除。在发生突发性事故可能影响城市供水安全时，城市供水企业应迅速启动应急预案，采取果断措施，把影响控制在最小范围内，并由当地政府及时向社会进行公告。各设区城市供水主管部门要认真履行行业管理职责，加强对所辖县（市、区）公共供水安全的监督检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城市供水水源安全涉及环保、水利、农业、卫生、国土等多个部门，关系到人民群众的生产生活，是一项复杂的系统工程。要坚持政府统一领导，部门相互配合的原则，建立健全管理制度，全面落实安全责任制，确保城市供水安全。</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各城市在工作中有何问题（建议）以及好的经验、做法，请及时报省建设厅城建处。</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p>
    <w:p>
      <w:pPr>
        <w:wordWrap w:val="0"/>
        <w:spacing w:line="460" w:lineRule="exact"/>
        <w:ind w:firstLine="435"/>
        <w:jc w:val="right"/>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wordWrap w:val="0"/>
        <w:spacing w:line="460" w:lineRule="exact"/>
        <w:ind w:firstLine="435"/>
        <w:jc w:val="right"/>
        <w:rPr>
          <w:rFonts w:eastAsia="方正仿宋_GBK"/>
          <w:color w:val="000000"/>
          <w:spacing w:val="-2"/>
          <w:sz w:val="24"/>
        </w:rPr>
      </w:pPr>
      <w:r>
        <w:rPr>
          <w:rFonts w:hint="eastAsia" w:eastAsia="方正仿宋_GBK"/>
          <w:color w:val="000000"/>
          <w:spacing w:val="-2"/>
          <w:sz w:val="24"/>
        </w:rPr>
        <w:t>二</w:t>
      </w:r>
      <w:r>
        <w:rPr>
          <w:rFonts w:hint="eastAsia" w:eastAsia="方正仿宋_GBK"/>
          <w:bCs/>
          <w:snapToGrid w:val="0"/>
          <w:color w:val="000000"/>
          <w:spacing w:val="-2"/>
          <w:kern w:val="0"/>
          <w:sz w:val="24"/>
        </w:rPr>
        <w:t>○○</w:t>
      </w:r>
      <w:r>
        <w:rPr>
          <w:rFonts w:hint="eastAsia" w:eastAsia="方正仿宋_GBK"/>
          <w:color w:val="000000"/>
          <w:spacing w:val="-2"/>
          <w:sz w:val="24"/>
        </w:rPr>
        <w:t>七年六月十九日</w:t>
      </w:r>
      <w:r>
        <w:rPr>
          <w:rFonts w:eastAsia="方正仿宋_GBK"/>
          <w:color w:val="000000"/>
          <w:spacing w:val="-2"/>
          <w:sz w:val="24"/>
        </w:rPr>
        <w:t xml:space="preserve">    </w:t>
      </w:r>
    </w:p>
    <w:p>
      <w:pPr>
        <w:spacing w:line="460" w:lineRule="exact"/>
        <w:jc w:val="left"/>
        <w:rPr>
          <w:rFonts w:eastAsia="方正仿宋_GBK"/>
          <w:color w:val="000000"/>
          <w:spacing w:val="-2"/>
          <w:sz w:val="24"/>
        </w:rPr>
      </w:pPr>
    </w:p>
    <w:p>
      <w:pPr>
        <w:spacing w:line="460" w:lineRule="exact"/>
        <w:jc w:val="center"/>
        <w:rPr>
          <w:color w:val="000000"/>
        </w:rPr>
      </w:pPr>
    </w:p>
    <w:p>
      <w:pPr>
        <w:spacing w:line="460" w:lineRule="exact"/>
        <w:jc w:val="center"/>
        <w:rPr>
          <w:color w:val="000000"/>
        </w:rPr>
      </w:pPr>
    </w:p>
    <w:p/>
    <w:p/>
    <w:p>
      <w:pPr>
        <w:pStyle w:val="2"/>
        <w:spacing w:before="240" w:beforeLines="100" w:after="240" w:afterLines="100" w:line="240" w:lineRule="auto"/>
        <w:jc w:val="center"/>
        <w:rPr>
          <w:rFonts w:ascii="Times New Roman" w:eastAsia="方正小标宋_GBK"/>
          <w:b w:val="0"/>
          <w:sz w:val="36"/>
          <w:szCs w:val="36"/>
        </w:rPr>
      </w:pPr>
      <w:bookmarkStart w:id="70" w:name="_Toc20726318"/>
      <w:bookmarkStart w:id="71" w:name="_Toc18315398"/>
      <w:r>
        <w:rPr>
          <w:rFonts w:hint="eastAsia" w:ascii="Times New Roman" w:eastAsia="方正小标宋_GBK"/>
          <w:b w:val="0"/>
          <w:sz w:val="36"/>
          <w:szCs w:val="36"/>
        </w:rPr>
        <w:t>关于印发《江苏省城市市政公用事业公益董事或监督员制度》、《江苏省城市市政公用事业公众参与监督制度》等制度的通知</w:t>
      </w:r>
      <w:bookmarkEnd w:id="70"/>
      <w:bookmarkEnd w:id="7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72" w:name="_Toc18315399"/>
      <w:bookmarkStart w:id="73" w:name="_Toc20726319"/>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2007</w:t>
      </w:r>
      <w:r>
        <w:rPr>
          <w:rFonts w:hint="eastAsia" w:ascii="Times New Roman" w:hAnsi="Times New Roman" w:eastAsia="方正楷体_GBK"/>
          <w:b w:val="0"/>
          <w:sz w:val="24"/>
          <w:szCs w:val="24"/>
        </w:rPr>
        <w:t>〕</w:t>
      </w:r>
      <w:r>
        <w:rPr>
          <w:rFonts w:ascii="Times New Roman" w:hAnsi="Times New Roman" w:eastAsia="方正楷体_GBK"/>
          <w:b w:val="0"/>
          <w:sz w:val="24"/>
          <w:szCs w:val="24"/>
        </w:rPr>
        <w:t>325</w:t>
      </w:r>
      <w:r>
        <w:rPr>
          <w:rFonts w:hint="eastAsia" w:ascii="Times New Roman" w:hAnsi="Times New Roman" w:eastAsia="方正楷体_GBK"/>
          <w:b w:val="0"/>
          <w:sz w:val="24"/>
          <w:szCs w:val="24"/>
        </w:rPr>
        <w:t>号</w:t>
      </w:r>
      <w:bookmarkEnd w:id="72"/>
      <w:bookmarkEnd w:id="73"/>
    </w:p>
    <w:p>
      <w:pPr>
        <w:spacing w:line="460" w:lineRule="exact"/>
        <w:rPr>
          <w:rFonts w:eastAsia="方正仿宋_GBK"/>
          <w:color w:val="000000"/>
          <w:sz w:val="24"/>
        </w:rPr>
      </w:pPr>
      <w:r>
        <w:rPr>
          <w:rFonts w:hint="eastAsia" w:eastAsia="方正仿宋_GBK"/>
          <w:color w:val="000000"/>
          <w:sz w:val="24"/>
        </w:rPr>
        <w:t>各市建设局（委）、市政公用局、城管局（市容局）：</w:t>
      </w:r>
    </w:p>
    <w:p>
      <w:pPr>
        <w:spacing w:line="460" w:lineRule="exact"/>
        <w:ind w:firstLine="480" w:firstLineChars="200"/>
        <w:rPr>
          <w:rFonts w:eastAsia="方正仿宋_GBK"/>
          <w:color w:val="000000"/>
          <w:sz w:val="24"/>
        </w:rPr>
      </w:pPr>
      <w:r>
        <w:rPr>
          <w:rFonts w:hint="eastAsia" w:eastAsia="方正仿宋_GBK"/>
          <w:color w:val="000000"/>
          <w:sz w:val="24"/>
        </w:rPr>
        <w:t>为加快推进城市市政公用事业改革和发展，规范城市市政公用行业的经营行为，有效履行政府行政管理与监督职责，维护社会公众利益和公共安全，根据国家有关规定，我厅制定了《江苏省城市市政公用事业公益董事或监督员制度》、《江苏省城市市政公用事业公众参与监督制度》、《江苏省城市市政公用事业特许经营权临时接管制度》、《江苏省城市市政公用事业特许经营市场退出制度》、《江苏省城市市政公用事业履约保证制度》、《江苏省城市市政公用事业经营成本监管制度》、《江苏省城市市政公用事业产品和服务质量监管制度》、《江苏省城市市政公用事业特许经营中期评估制度》。现印发给你们，请结合实际认真贯彻执行。执行过程中遇到的问题，请及时与我厅城建处联系。</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r>
        <w:rPr>
          <w:rFonts w:hint="eastAsia" w:eastAsia="方正仿宋_GBK"/>
          <w:color w:val="000000"/>
          <w:sz w:val="24"/>
        </w:rPr>
        <w:t>附件：</w:t>
      </w:r>
      <w:r>
        <w:rPr>
          <w:rFonts w:eastAsia="方正仿宋_GBK"/>
          <w:color w:val="000000"/>
          <w:sz w:val="24"/>
        </w:rPr>
        <w:t>1. </w:t>
      </w:r>
      <w:r>
        <w:rPr>
          <w:rFonts w:hint="eastAsia" w:eastAsia="方正仿宋_GBK"/>
          <w:color w:val="000000"/>
          <w:sz w:val="24"/>
        </w:rPr>
        <w:t>《江苏省城市市政公用事业公益董事或监督员制度》；</w:t>
      </w:r>
    </w:p>
    <w:p>
      <w:pPr>
        <w:spacing w:line="460" w:lineRule="exact"/>
        <w:ind w:firstLine="1171" w:firstLineChars="488"/>
        <w:rPr>
          <w:rFonts w:eastAsia="方正仿宋_GBK"/>
          <w:color w:val="000000"/>
          <w:sz w:val="24"/>
        </w:rPr>
      </w:pPr>
      <w:r>
        <w:rPr>
          <w:rFonts w:eastAsia="方正仿宋_GBK"/>
          <w:color w:val="000000"/>
          <w:sz w:val="24"/>
        </w:rPr>
        <w:t>2. </w:t>
      </w:r>
      <w:r>
        <w:rPr>
          <w:rFonts w:hint="eastAsia" w:eastAsia="方正仿宋_GBK"/>
          <w:color w:val="000000"/>
          <w:sz w:val="24"/>
        </w:rPr>
        <w:t>《江苏省城市市政公用事业公众参与监督制度》；</w:t>
      </w:r>
    </w:p>
    <w:p>
      <w:pPr>
        <w:spacing w:line="460" w:lineRule="exact"/>
        <w:ind w:firstLine="1171" w:firstLineChars="488"/>
        <w:rPr>
          <w:rFonts w:eastAsia="方正仿宋_GBK"/>
          <w:color w:val="000000"/>
          <w:sz w:val="24"/>
        </w:rPr>
      </w:pPr>
      <w:r>
        <w:rPr>
          <w:rFonts w:eastAsia="方正仿宋_GBK"/>
          <w:color w:val="000000"/>
          <w:sz w:val="24"/>
        </w:rPr>
        <w:t>3. </w:t>
      </w:r>
      <w:r>
        <w:rPr>
          <w:rFonts w:hint="eastAsia" w:eastAsia="方正仿宋_GBK"/>
          <w:color w:val="000000"/>
          <w:sz w:val="24"/>
        </w:rPr>
        <w:t>《江苏省城市市政公用事业特许经营权临时接管制度》；</w:t>
      </w:r>
    </w:p>
    <w:p>
      <w:pPr>
        <w:spacing w:line="460" w:lineRule="exact"/>
        <w:ind w:firstLine="1171" w:firstLineChars="488"/>
        <w:rPr>
          <w:rFonts w:eastAsia="方正仿宋_GBK"/>
          <w:color w:val="000000"/>
          <w:sz w:val="24"/>
        </w:rPr>
      </w:pPr>
      <w:r>
        <w:rPr>
          <w:rFonts w:eastAsia="方正仿宋_GBK"/>
          <w:color w:val="000000"/>
          <w:sz w:val="24"/>
        </w:rPr>
        <w:t>4. </w:t>
      </w:r>
      <w:r>
        <w:rPr>
          <w:rFonts w:hint="eastAsia" w:eastAsia="方正仿宋_GBK"/>
          <w:color w:val="000000"/>
          <w:sz w:val="24"/>
        </w:rPr>
        <w:t>《江苏省城市市政公用事业特许经营市场退出制度》；</w:t>
      </w:r>
    </w:p>
    <w:p>
      <w:pPr>
        <w:spacing w:line="460" w:lineRule="exact"/>
        <w:ind w:firstLine="1171" w:firstLineChars="488"/>
        <w:rPr>
          <w:rFonts w:eastAsia="方正仿宋_GBK"/>
          <w:color w:val="000000"/>
          <w:sz w:val="24"/>
        </w:rPr>
      </w:pPr>
      <w:r>
        <w:rPr>
          <w:rFonts w:eastAsia="方正仿宋_GBK"/>
          <w:color w:val="000000"/>
          <w:sz w:val="24"/>
        </w:rPr>
        <w:t>5. </w:t>
      </w:r>
      <w:r>
        <w:rPr>
          <w:rFonts w:hint="eastAsia" w:eastAsia="方正仿宋_GBK"/>
          <w:color w:val="000000"/>
          <w:sz w:val="24"/>
        </w:rPr>
        <w:t>《江苏省城市市政公用事业履约保证制度》；</w:t>
      </w:r>
    </w:p>
    <w:p>
      <w:pPr>
        <w:spacing w:line="460" w:lineRule="exact"/>
        <w:ind w:firstLine="1171" w:firstLineChars="488"/>
        <w:rPr>
          <w:rFonts w:eastAsia="方正仿宋_GBK"/>
          <w:color w:val="000000"/>
          <w:sz w:val="24"/>
        </w:rPr>
      </w:pPr>
      <w:r>
        <w:rPr>
          <w:rFonts w:eastAsia="方正仿宋_GBK"/>
          <w:color w:val="000000"/>
          <w:sz w:val="24"/>
        </w:rPr>
        <w:t>6. </w:t>
      </w:r>
      <w:r>
        <w:rPr>
          <w:rFonts w:hint="eastAsia" w:eastAsia="方正仿宋_GBK"/>
          <w:color w:val="000000"/>
          <w:sz w:val="24"/>
        </w:rPr>
        <w:t>《江苏省城市市政公用事业经营成本监管制度》；</w:t>
      </w:r>
    </w:p>
    <w:p>
      <w:pPr>
        <w:spacing w:line="460" w:lineRule="exact"/>
        <w:ind w:firstLine="1171" w:firstLineChars="488"/>
        <w:rPr>
          <w:rFonts w:eastAsia="方正仿宋_GBK"/>
          <w:color w:val="000000"/>
          <w:sz w:val="24"/>
        </w:rPr>
      </w:pPr>
      <w:r>
        <w:rPr>
          <w:rFonts w:eastAsia="方正仿宋_GBK"/>
          <w:color w:val="000000"/>
          <w:sz w:val="24"/>
        </w:rPr>
        <w:t>7. </w:t>
      </w:r>
      <w:r>
        <w:rPr>
          <w:rFonts w:hint="eastAsia" w:eastAsia="方正仿宋_GBK"/>
          <w:color w:val="000000"/>
          <w:sz w:val="24"/>
        </w:rPr>
        <w:t>《江苏省城市市政公用事业产品和服务质量监管制度》；</w:t>
      </w:r>
    </w:p>
    <w:p>
      <w:pPr>
        <w:spacing w:line="460" w:lineRule="exact"/>
        <w:ind w:firstLine="1171" w:firstLineChars="488"/>
        <w:rPr>
          <w:rFonts w:eastAsia="方正仿宋_GBK"/>
          <w:color w:val="000000"/>
          <w:sz w:val="24"/>
        </w:rPr>
      </w:pPr>
      <w:r>
        <w:rPr>
          <w:rFonts w:eastAsia="方正仿宋_GBK"/>
          <w:color w:val="000000"/>
          <w:sz w:val="24"/>
        </w:rPr>
        <w:t>8. </w:t>
      </w:r>
      <w:r>
        <w:rPr>
          <w:rFonts w:hint="eastAsia" w:eastAsia="方正仿宋_GBK"/>
          <w:color w:val="000000"/>
          <w:sz w:val="24"/>
        </w:rPr>
        <w:t>《江苏省城市市政公用事业特许经营中期评估制度》。</w:t>
      </w:r>
    </w:p>
    <w:p>
      <w:pPr>
        <w:spacing w:line="460" w:lineRule="exact"/>
        <w:ind w:firstLine="480" w:firstLineChars="200"/>
        <w:jc w:val="right"/>
        <w:rPr>
          <w:rFonts w:eastAsia="方正仿宋_GBK"/>
          <w:color w:val="000000"/>
          <w:sz w:val="24"/>
        </w:rPr>
      </w:pPr>
    </w:p>
    <w:p>
      <w:pPr>
        <w:spacing w:line="460" w:lineRule="exact"/>
        <w:ind w:firstLine="480" w:firstLineChars="200"/>
        <w:jc w:val="right"/>
        <w:rPr>
          <w:rFonts w:eastAsia="方正仿宋_GBK"/>
          <w:color w:val="000000"/>
          <w:sz w:val="24"/>
        </w:rPr>
      </w:pPr>
      <w:r>
        <w:rPr>
          <w:rFonts w:eastAsia="方正仿宋_GBK"/>
          <w:color w:val="000000"/>
          <w:sz w:val="24"/>
        </w:rPr>
        <w:t xml:space="preserve">                           </w:t>
      </w:r>
      <w:r>
        <w:rPr>
          <w:rFonts w:hint="eastAsia" w:eastAsia="方正仿宋_GBK"/>
          <w:color w:val="000000"/>
          <w:sz w:val="24"/>
        </w:rPr>
        <w:t>二</w:t>
      </w:r>
      <w:r>
        <w:rPr>
          <w:rFonts w:hint="eastAsia" w:ascii="Times New Roman" w:hAnsi="Times New Roman"/>
          <w:color w:val="000000"/>
          <w:sz w:val="24"/>
        </w:rPr>
        <w:t>○○</w:t>
      </w:r>
      <w:r>
        <w:rPr>
          <w:rFonts w:hint="eastAsia" w:eastAsia="方正仿宋_GBK"/>
          <w:color w:val="000000"/>
          <w:sz w:val="24"/>
        </w:rPr>
        <w:t>七年七月十二日</w:t>
      </w:r>
    </w:p>
    <w:p>
      <w:pPr>
        <w:tabs>
          <w:tab w:val="left" w:pos="720"/>
          <w:tab w:val="left" w:pos="900"/>
        </w:tabs>
        <w:spacing w:line="460" w:lineRule="exact"/>
        <w:rPr>
          <w:rFonts w:eastAsia="黑体"/>
          <w:color w:val="000000"/>
          <w:sz w:val="28"/>
          <w:szCs w:val="28"/>
        </w:rPr>
      </w:pPr>
    </w:p>
    <w:p>
      <w:pPr>
        <w:tabs>
          <w:tab w:val="left" w:pos="720"/>
          <w:tab w:val="left" w:pos="900"/>
        </w:tabs>
        <w:spacing w:line="460" w:lineRule="exact"/>
        <w:rPr>
          <w:rFonts w:eastAsia="黑体"/>
          <w:color w:val="000000"/>
          <w:sz w:val="28"/>
          <w:szCs w:val="28"/>
        </w:rPr>
      </w:pPr>
    </w:p>
    <w:p>
      <w:pPr>
        <w:tabs>
          <w:tab w:val="left" w:pos="720"/>
          <w:tab w:val="left" w:pos="900"/>
        </w:tabs>
        <w:spacing w:line="460" w:lineRule="exact"/>
        <w:rPr>
          <w:rFonts w:eastAsia="黑体"/>
          <w:color w:val="000000"/>
          <w:sz w:val="28"/>
          <w:szCs w:val="28"/>
        </w:rPr>
      </w:pPr>
      <w:r>
        <w:rPr>
          <w:rFonts w:hint="eastAsia" w:eastAsia="黑体"/>
          <w:color w:val="000000"/>
          <w:sz w:val="28"/>
          <w:szCs w:val="28"/>
        </w:rPr>
        <w:t>附件</w:t>
      </w:r>
      <w:r>
        <w:rPr>
          <w:rFonts w:eastAsia="黑体"/>
          <w:color w:val="000000"/>
          <w:sz w:val="28"/>
          <w:szCs w:val="28"/>
        </w:rPr>
        <w:t>1</w:t>
      </w:r>
      <w:r>
        <w:rPr>
          <w:rFonts w:hint="eastAsia" w:eastAsia="黑体"/>
          <w:color w:val="000000"/>
          <w:sz w:val="28"/>
          <w:szCs w:val="28"/>
        </w:rPr>
        <w:t>：</w:t>
      </w:r>
    </w:p>
    <w:p>
      <w:pPr>
        <w:tabs>
          <w:tab w:val="left" w:pos="720"/>
          <w:tab w:val="left" w:pos="900"/>
        </w:tabs>
        <w:spacing w:line="460" w:lineRule="exact"/>
        <w:ind w:firstLine="480" w:firstLineChars="200"/>
        <w:rPr>
          <w:rFonts w:eastAsia="方正仿宋_GBK"/>
          <w:color w:val="000000"/>
          <w:sz w:val="24"/>
        </w:rPr>
      </w:pPr>
    </w:p>
    <w:p>
      <w:pPr>
        <w:spacing w:line="460" w:lineRule="exact"/>
        <w:jc w:val="center"/>
        <w:rPr>
          <w:rFonts w:eastAsia="方正小标宋简体"/>
          <w:color w:val="000000"/>
          <w:sz w:val="36"/>
          <w:szCs w:val="36"/>
        </w:rPr>
      </w:pPr>
      <w:r>
        <w:rPr>
          <w:rFonts w:hint="eastAsia" w:eastAsia="方正小标宋简体"/>
          <w:color w:val="000000"/>
          <w:sz w:val="36"/>
          <w:szCs w:val="36"/>
        </w:rPr>
        <w:t>江苏省城市市政公用事业公益董事或监督员制度</w:t>
      </w:r>
    </w:p>
    <w:p>
      <w:pPr>
        <w:spacing w:line="460" w:lineRule="exact"/>
        <w:ind w:firstLine="480" w:firstLineChars="200"/>
        <w:rPr>
          <w:rFonts w:eastAsia="方正仿宋_GBK"/>
          <w:color w:val="000000"/>
          <w:sz w:val="24"/>
        </w:rPr>
      </w:pPr>
      <w:r>
        <w:rPr>
          <w:rFonts w:eastAsia="方正仿宋_GBK"/>
          <w:color w:val="000000"/>
          <w:sz w:val="24"/>
        </w:rPr>
        <w:t xml:space="preserve">    </w:t>
      </w:r>
    </w:p>
    <w:p>
      <w:pPr>
        <w:spacing w:line="460" w:lineRule="exact"/>
        <w:ind w:firstLine="480" w:firstLineChars="200"/>
        <w:rPr>
          <w:rFonts w:eastAsia="方正仿宋_GBK"/>
          <w:color w:val="000000"/>
          <w:sz w:val="24"/>
        </w:rPr>
      </w:pPr>
      <w:r>
        <w:rPr>
          <w:rFonts w:hint="eastAsia" w:eastAsia="黑体"/>
          <w:color w:val="000000"/>
          <w:sz w:val="24"/>
        </w:rPr>
        <w:t>第一条</w:t>
      </w:r>
      <w:r>
        <w:rPr>
          <w:rFonts w:eastAsia="方正仿宋_GBK"/>
          <w:color w:val="000000"/>
          <w:sz w:val="24"/>
        </w:rPr>
        <w:t xml:space="preserve">  </w:t>
      </w:r>
      <w:r>
        <w:rPr>
          <w:rFonts w:hint="eastAsia" w:eastAsia="方正仿宋_GBK"/>
          <w:color w:val="000000"/>
          <w:sz w:val="24"/>
        </w:rPr>
        <w:t>为保障社会公众利益和公共安全，及时掌握城市市政公用事业特许经营协议的执行情况，特制定本制度。</w:t>
      </w:r>
    </w:p>
    <w:p>
      <w:pPr>
        <w:spacing w:line="460" w:lineRule="exact"/>
        <w:ind w:firstLine="480" w:firstLineChars="200"/>
        <w:rPr>
          <w:rFonts w:eastAsia="方正仿宋_GBK"/>
          <w:color w:val="000000"/>
          <w:sz w:val="24"/>
        </w:rPr>
      </w:pPr>
      <w:r>
        <w:rPr>
          <w:rFonts w:hint="eastAsia" w:eastAsia="黑体"/>
          <w:color w:val="000000"/>
          <w:sz w:val="24"/>
        </w:rPr>
        <w:t>第二条</w:t>
      </w:r>
      <w:r>
        <w:rPr>
          <w:rFonts w:eastAsia="方正仿宋_GBK"/>
          <w:color w:val="000000"/>
          <w:sz w:val="24"/>
        </w:rPr>
        <w:t xml:space="preserve">  </w:t>
      </w:r>
      <w:r>
        <w:rPr>
          <w:rFonts w:hint="eastAsia" w:eastAsia="方正仿宋_GBK"/>
          <w:color w:val="000000"/>
          <w:sz w:val="24"/>
        </w:rPr>
        <w:t>全省行政区域内已实施市政公用市场化改革和已实施市政公用事业特许经营管理的城市供水、供气（管道燃气）、污水处理、垃圾处理等行业适用本制度。</w:t>
      </w:r>
    </w:p>
    <w:p>
      <w:pPr>
        <w:spacing w:line="460" w:lineRule="exact"/>
        <w:ind w:firstLine="480" w:firstLineChars="200"/>
        <w:rPr>
          <w:rFonts w:eastAsia="方正仿宋_GBK"/>
          <w:color w:val="000000"/>
          <w:sz w:val="24"/>
        </w:rPr>
      </w:pPr>
      <w:r>
        <w:rPr>
          <w:rFonts w:hint="eastAsia" w:eastAsia="黑体"/>
          <w:color w:val="000000"/>
          <w:sz w:val="24"/>
        </w:rPr>
        <w:t>第三条</w:t>
      </w:r>
      <w:r>
        <w:rPr>
          <w:rFonts w:eastAsia="方正仿宋_GBK"/>
          <w:color w:val="000000"/>
          <w:sz w:val="24"/>
        </w:rPr>
        <w:t xml:space="preserve">  </w:t>
      </w:r>
      <w:r>
        <w:rPr>
          <w:rFonts w:hint="eastAsia" w:eastAsia="方正仿宋_GBK"/>
          <w:color w:val="000000"/>
          <w:sz w:val="24"/>
        </w:rPr>
        <w:t>省级建设行政主管部门负责全省行政区域内市政公用事业公益董事或监督员制度的指导工作。</w:t>
      </w:r>
    </w:p>
    <w:p>
      <w:pPr>
        <w:spacing w:line="460" w:lineRule="exact"/>
        <w:ind w:firstLine="480" w:firstLineChars="200"/>
        <w:rPr>
          <w:rFonts w:eastAsia="方正仿宋_GBK"/>
          <w:color w:val="000000"/>
          <w:sz w:val="24"/>
        </w:rPr>
      </w:pPr>
      <w:r>
        <w:rPr>
          <w:rFonts w:hint="eastAsia" w:eastAsia="方正仿宋_GBK"/>
          <w:color w:val="000000"/>
          <w:sz w:val="24"/>
        </w:rPr>
        <w:t>市、县人民政府市政公用事业主管部门受本级人民政府授权具体负责本行政区域内城市市政公用事业公益董事或监督员制度的实施。</w:t>
      </w:r>
    </w:p>
    <w:p>
      <w:pPr>
        <w:spacing w:line="460" w:lineRule="exact"/>
        <w:ind w:firstLine="480" w:firstLineChars="200"/>
        <w:rPr>
          <w:rFonts w:eastAsia="方正仿宋_GBK"/>
          <w:color w:val="000000"/>
          <w:sz w:val="24"/>
        </w:rPr>
      </w:pPr>
      <w:r>
        <w:rPr>
          <w:rFonts w:hint="eastAsia" w:eastAsia="黑体"/>
          <w:color w:val="000000"/>
          <w:sz w:val="24"/>
        </w:rPr>
        <w:t>第四条</w:t>
      </w:r>
      <w:r>
        <w:rPr>
          <w:rFonts w:eastAsia="方正仿宋_GBK"/>
          <w:color w:val="000000"/>
          <w:sz w:val="24"/>
        </w:rPr>
        <w:t xml:space="preserve">  </w:t>
      </w:r>
      <w:r>
        <w:rPr>
          <w:rFonts w:hint="eastAsia" w:eastAsia="方正仿宋_GBK"/>
          <w:color w:val="000000"/>
          <w:sz w:val="24"/>
        </w:rPr>
        <w:t>特许经营协议中应明确建立公益董事或监督员制度，对公益董事或监督员的权利、责任以及职责行使的方式与范围等应在协议中有明确约定。原则上由市政公用事业主管部门向企业委派公益董事或监督员。</w:t>
      </w:r>
    </w:p>
    <w:p>
      <w:pPr>
        <w:spacing w:line="460" w:lineRule="exact"/>
        <w:ind w:firstLine="480" w:firstLineChars="200"/>
        <w:rPr>
          <w:rFonts w:eastAsia="方正仿宋_GBK"/>
          <w:color w:val="000000"/>
          <w:sz w:val="24"/>
        </w:rPr>
      </w:pPr>
      <w:r>
        <w:rPr>
          <w:rFonts w:hint="eastAsia" w:eastAsia="黑体"/>
          <w:color w:val="000000"/>
          <w:sz w:val="24"/>
        </w:rPr>
        <w:t>第五条</w:t>
      </w:r>
      <w:r>
        <w:rPr>
          <w:rFonts w:eastAsia="方正仿宋_GBK"/>
          <w:color w:val="000000"/>
          <w:sz w:val="24"/>
        </w:rPr>
        <w:t xml:space="preserve">  </w:t>
      </w:r>
      <w:r>
        <w:rPr>
          <w:rFonts w:hint="eastAsia" w:eastAsia="方正仿宋_GBK"/>
          <w:color w:val="000000"/>
          <w:sz w:val="24"/>
        </w:rPr>
        <w:t>对城市供水、供气（管道燃气）等特许经营企业，应委派公益董事进入企业董事会，代表主管部门承担维护社会公共利益的责任。对城市污水厂、垃圾处理厂等特许经营企业，可以委派监督员，对企业的运营状况进行监督。公益董事或监督员的薪酬由委派单位支付。</w:t>
      </w:r>
    </w:p>
    <w:p>
      <w:pPr>
        <w:spacing w:line="460" w:lineRule="exact"/>
        <w:ind w:firstLine="480" w:firstLineChars="200"/>
        <w:rPr>
          <w:rFonts w:eastAsia="方正仿宋_GBK"/>
          <w:color w:val="000000"/>
          <w:sz w:val="24"/>
        </w:rPr>
      </w:pPr>
      <w:r>
        <w:rPr>
          <w:rFonts w:hint="eastAsia" w:eastAsia="黑体"/>
          <w:color w:val="000000"/>
          <w:sz w:val="24"/>
        </w:rPr>
        <w:t>第六条</w:t>
      </w:r>
      <w:r>
        <w:rPr>
          <w:rFonts w:eastAsia="方正仿宋_GBK"/>
          <w:color w:val="000000"/>
          <w:sz w:val="24"/>
        </w:rPr>
        <w:t xml:space="preserve">  </w:t>
      </w:r>
      <w:r>
        <w:rPr>
          <w:rFonts w:hint="eastAsia" w:eastAsia="方正仿宋_GBK"/>
          <w:color w:val="000000"/>
          <w:sz w:val="24"/>
        </w:rPr>
        <w:t>公益董事或监督员的任用条件</w:t>
      </w:r>
    </w:p>
    <w:p>
      <w:pPr>
        <w:spacing w:line="460" w:lineRule="exact"/>
        <w:ind w:firstLine="480" w:firstLineChars="200"/>
        <w:rPr>
          <w:rFonts w:eastAsia="方正仿宋_GBK"/>
          <w:color w:val="000000"/>
          <w:sz w:val="24"/>
        </w:rPr>
      </w:pPr>
      <w:r>
        <w:rPr>
          <w:rFonts w:hint="eastAsia" w:eastAsia="方正仿宋_GBK"/>
          <w:color w:val="000000"/>
          <w:sz w:val="24"/>
        </w:rPr>
        <w:t>（一）有大专以上的学历；</w:t>
      </w:r>
    </w:p>
    <w:p>
      <w:pPr>
        <w:spacing w:line="460" w:lineRule="exact"/>
        <w:ind w:firstLine="480" w:firstLineChars="200"/>
        <w:rPr>
          <w:rFonts w:eastAsia="方正仿宋_GBK"/>
          <w:color w:val="000000"/>
          <w:sz w:val="24"/>
        </w:rPr>
      </w:pPr>
      <w:r>
        <w:rPr>
          <w:rFonts w:hint="eastAsia" w:eastAsia="方正仿宋_GBK"/>
          <w:color w:val="000000"/>
          <w:sz w:val="24"/>
        </w:rPr>
        <w:t>（二）熟悉特许经营企业的经营情况和工艺流程；</w:t>
      </w:r>
    </w:p>
    <w:p>
      <w:pPr>
        <w:spacing w:line="460" w:lineRule="exact"/>
        <w:ind w:firstLine="480" w:firstLineChars="200"/>
        <w:rPr>
          <w:rFonts w:eastAsia="方正仿宋_GBK"/>
          <w:color w:val="000000"/>
          <w:sz w:val="24"/>
        </w:rPr>
      </w:pPr>
      <w:r>
        <w:rPr>
          <w:rFonts w:hint="eastAsia" w:eastAsia="方正仿宋_GBK"/>
          <w:color w:val="000000"/>
          <w:sz w:val="24"/>
        </w:rPr>
        <w:t>（三）掌握公用事业管理的政策法规；</w:t>
      </w:r>
    </w:p>
    <w:p>
      <w:pPr>
        <w:spacing w:line="460" w:lineRule="exact"/>
        <w:ind w:firstLine="480" w:firstLineChars="200"/>
        <w:rPr>
          <w:rFonts w:eastAsia="方正仿宋_GBK"/>
          <w:color w:val="000000"/>
          <w:sz w:val="24"/>
        </w:rPr>
      </w:pPr>
      <w:r>
        <w:rPr>
          <w:rFonts w:hint="eastAsia" w:eastAsia="方正仿宋_GBK"/>
          <w:color w:val="000000"/>
          <w:sz w:val="24"/>
        </w:rPr>
        <w:t>（四）能够切实维护社会公共利益，承担运营监管责任。</w:t>
      </w:r>
    </w:p>
    <w:p>
      <w:pPr>
        <w:spacing w:line="460" w:lineRule="exact"/>
        <w:ind w:firstLine="480" w:firstLineChars="200"/>
        <w:rPr>
          <w:rFonts w:eastAsia="方正仿宋_GBK"/>
          <w:color w:val="000000"/>
          <w:sz w:val="24"/>
        </w:rPr>
      </w:pPr>
      <w:r>
        <w:rPr>
          <w:rFonts w:hint="eastAsia" w:eastAsia="黑体"/>
          <w:color w:val="000000"/>
          <w:sz w:val="24"/>
        </w:rPr>
        <w:t>第七条</w:t>
      </w:r>
      <w:r>
        <w:rPr>
          <w:rFonts w:eastAsia="方正仿宋_GBK"/>
          <w:color w:val="000000"/>
          <w:sz w:val="24"/>
        </w:rPr>
        <w:t xml:space="preserve">  </w:t>
      </w:r>
      <w:r>
        <w:rPr>
          <w:rFonts w:hint="eastAsia" w:eastAsia="方正仿宋_GBK"/>
          <w:color w:val="000000"/>
          <w:sz w:val="24"/>
        </w:rPr>
        <w:t>公益董事或监督员的权力</w:t>
      </w:r>
    </w:p>
    <w:p>
      <w:pPr>
        <w:spacing w:line="460" w:lineRule="exact"/>
        <w:ind w:firstLine="480" w:firstLineChars="200"/>
        <w:rPr>
          <w:rFonts w:eastAsia="方正仿宋_GBK"/>
          <w:color w:val="000000"/>
          <w:sz w:val="24"/>
        </w:rPr>
      </w:pPr>
      <w:r>
        <w:rPr>
          <w:rFonts w:hint="eastAsia" w:eastAsia="方正仿宋_GBK"/>
          <w:color w:val="000000"/>
          <w:sz w:val="24"/>
        </w:rPr>
        <w:t>（一）公益董事有权参加特许经营企业董事会；</w:t>
      </w:r>
    </w:p>
    <w:p>
      <w:pPr>
        <w:spacing w:line="460" w:lineRule="exact"/>
        <w:ind w:firstLine="480" w:firstLineChars="200"/>
        <w:rPr>
          <w:rFonts w:eastAsia="方正仿宋_GBK"/>
          <w:color w:val="000000"/>
          <w:sz w:val="24"/>
        </w:rPr>
      </w:pPr>
      <w:r>
        <w:rPr>
          <w:rFonts w:hint="eastAsia" w:eastAsia="方正仿宋_GBK"/>
          <w:color w:val="000000"/>
          <w:sz w:val="24"/>
        </w:rPr>
        <w:t>（二）公益董事对企业可能影响社会公共利益或社会公共安全的重大决策及经营活动可以行使一票否决权；</w:t>
      </w:r>
    </w:p>
    <w:p>
      <w:pPr>
        <w:spacing w:line="460" w:lineRule="exact"/>
        <w:ind w:firstLine="480" w:firstLineChars="200"/>
        <w:rPr>
          <w:rFonts w:eastAsia="方正仿宋_GBK"/>
          <w:color w:val="000000"/>
          <w:sz w:val="24"/>
        </w:rPr>
      </w:pPr>
      <w:r>
        <w:rPr>
          <w:rFonts w:hint="eastAsia" w:eastAsia="方正仿宋_GBK"/>
          <w:color w:val="000000"/>
          <w:sz w:val="24"/>
        </w:rPr>
        <w:t>（三）监督员有权随时进入特许经营企业进行监督检查，企业不得以任何理由干涉阻挠。</w:t>
      </w:r>
    </w:p>
    <w:p>
      <w:pPr>
        <w:spacing w:line="460" w:lineRule="exact"/>
        <w:ind w:firstLine="480" w:firstLineChars="200"/>
        <w:rPr>
          <w:rFonts w:eastAsia="方正仿宋_GBK"/>
          <w:color w:val="000000"/>
          <w:sz w:val="24"/>
        </w:rPr>
      </w:pPr>
      <w:r>
        <w:rPr>
          <w:rFonts w:hint="eastAsia" w:eastAsia="黑体"/>
          <w:color w:val="000000"/>
          <w:sz w:val="24"/>
        </w:rPr>
        <w:t>第八条</w:t>
      </w:r>
      <w:r>
        <w:rPr>
          <w:rFonts w:eastAsia="方正仿宋_GBK"/>
          <w:color w:val="000000"/>
          <w:sz w:val="24"/>
        </w:rPr>
        <w:t xml:space="preserve">  </w:t>
      </w:r>
      <w:r>
        <w:rPr>
          <w:rFonts w:hint="eastAsia" w:eastAsia="方正仿宋_GBK"/>
          <w:color w:val="000000"/>
          <w:sz w:val="24"/>
        </w:rPr>
        <w:t>公益董事或监督员应正确履行特许经营协议约定的监督职责，主要应包含以下内容：</w:t>
      </w:r>
    </w:p>
    <w:p>
      <w:pPr>
        <w:spacing w:line="460" w:lineRule="exact"/>
        <w:ind w:firstLine="480" w:firstLineChars="200"/>
        <w:rPr>
          <w:rFonts w:eastAsia="方正仿宋_GBK"/>
          <w:color w:val="000000"/>
          <w:sz w:val="24"/>
        </w:rPr>
      </w:pPr>
      <w:r>
        <w:rPr>
          <w:rFonts w:hint="eastAsia" w:eastAsia="方正仿宋_GBK"/>
          <w:color w:val="000000"/>
          <w:sz w:val="24"/>
        </w:rPr>
        <w:t>公益董事负责了解企业的正常生产、经营情况；监督企业的重要经营活动和重大决策；代表委派方对特许经营企业出具年度评价报表；根据委派方要求，定期述职。</w:t>
      </w:r>
    </w:p>
    <w:p>
      <w:pPr>
        <w:spacing w:line="460" w:lineRule="exact"/>
        <w:ind w:firstLine="480" w:firstLineChars="200"/>
        <w:rPr>
          <w:rFonts w:eastAsia="方正仿宋_GBK"/>
          <w:color w:val="000000"/>
          <w:sz w:val="24"/>
        </w:rPr>
      </w:pPr>
      <w:r>
        <w:rPr>
          <w:rFonts w:hint="eastAsia" w:eastAsia="方正仿宋_GBK"/>
          <w:color w:val="000000"/>
          <w:sz w:val="24"/>
        </w:rPr>
        <w:t>监督员负责了解企业的正常生产、经营情况；查阅企业的各类生产运营资料；监督协议规定的经营指标的执行情况；监督委派方所发出的整改意见的落实情况；根据委派方要求，定期述职。</w:t>
      </w:r>
    </w:p>
    <w:p>
      <w:pPr>
        <w:spacing w:line="460" w:lineRule="exact"/>
        <w:ind w:right="-70" w:firstLine="480" w:firstLineChars="200"/>
        <w:rPr>
          <w:rFonts w:eastAsia="方正仿宋_GBK"/>
          <w:color w:val="000000"/>
          <w:sz w:val="24"/>
        </w:rPr>
      </w:pPr>
      <w:r>
        <w:rPr>
          <w:rFonts w:hint="eastAsia" w:eastAsia="黑体"/>
          <w:color w:val="000000"/>
          <w:sz w:val="24"/>
        </w:rPr>
        <w:t>第九条</w:t>
      </w:r>
      <w:r>
        <w:rPr>
          <w:rFonts w:eastAsia="方正仿宋_GBK"/>
          <w:color w:val="000000"/>
          <w:sz w:val="24"/>
        </w:rPr>
        <w:t xml:space="preserve">  </w:t>
      </w:r>
      <w:r>
        <w:rPr>
          <w:rFonts w:hint="eastAsia" w:eastAsia="方正仿宋_GBK"/>
          <w:color w:val="000000"/>
          <w:sz w:val="24"/>
        </w:rPr>
        <w:t>公益董事或监督员必须忠于职守，认真履行职责，不得接受特许经营企业的宴请、馈赠，不得以公务名义到特许经营企业报销费用。</w:t>
      </w:r>
    </w:p>
    <w:p>
      <w:pPr>
        <w:spacing w:line="460" w:lineRule="exact"/>
        <w:ind w:right="-70" w:firstLine="480" w:firstLineChars="200"/>
        <w:rPr>
          <w:rFonts w:eastAsia="方正仿宋_GBK"/>
          <w:color w:val="000000"/>
          <w:sz w:val="24"/>
        </w:rPr>
      </w:pPr>
      <w:r>
        <w:rPr>
          <w:rFonts w:hint="eastAsia" w:eastAsia="黑体"/>
          <w:color w:val="000000"/>
          <w:sz w:val="24"/>
        </w:rPr>
        <w:t>第十条</w:t>
      </w:r>
      <w:r>
        <w:rPr>
          <w:rFonts w:eastAsia="方正仿宋_GBK"/>
          <w:color w:val="000000"/>
          <w:sz w:val="24"/>
        </w:rPr>
        <w:t xml:space="preserve">  </w:t>
      </w:r>
      <w:r>
        <w:rPr>
          <w:rFonts w:hint="eastAsia" w:eastAsia="方正仿宋_GBK"/>
          <w:color w:val="000000"/>
          <w:sz w:val="24"/>
        </w:rPr>
        <w:t>委派方对公益董事或监督员履行职责情况进行定期考核，考核合格的可继续聘任，考核不合格的应当立即解聘。公益董事或监督员在聘用期间玩忽职守、滥用职权、徇私舞弊，构成犯罪的，应当移交司法机关追究刑事责任；尚不构成犯罪的，依法给予行政处分。</w:t>
      </w:r>
    </w:p>
    <w:p>
      <w:pPr>
        <w:spacing w:line="460" w:lineRule="exact"/>
        <w:ind w:right="640"/>
        <w:rPr>
          <w:rFonts w:eastAsia="黑体"/>
          <w:color w:val="000000"/>
          <w:sz w:val="28"/>
          <w:szCs w:val="28"/>
        </w:rPr>
      </w:pPr>
      <w:r>
        <w:rPr>
          <w:rFonts w:eastAsia="方正仿宋_GBK"/>
          <w:color w:val="000000"/>
          <w:sz w:val="24"/>
        </w:rPr>
        <w:br w:type="column"/>
      </w:r>
      <w:r>
        <w:rPr>
          <w:rFonts w:hint="eastAsia" w:eastAsia="黑体"/>
          <w:color w:val="000000"/>
          <w:sz w:val="28"/>
          <w:szCs w:val="28"/>
        </w:rPr>
        <w:t>附件</w:t>
      </w:r>
      <w:r>
        <w:rPr>
          <w:rFonts w:eastAsia="黑体"/>
          <w:color w:val="000000"/>
          <w:sz w:val="28"/>
          <w:szCs w:val="28"/>
        </w:rPr>
        <w:t>2</w:t>
      </w:r>
      <w:r>
        <w:rPr>
          <w:rFonts w:hint="eastAsia" w:eastAsia="黑体"/>
          <w:color w:val="000000"/>
          <w:sz w:val="28"/>
          <w:szCs w:val="28"/>
        </w:rPr>
        <w:t>：</w:t>
      </w:r>
    </w:p>
    <w:p>
      <w:pPr>
        <w:spacing w:line="460" w:lineRule="exact"/>
        <w:ind w:right="640" w:firstLine="480" w:firstLineChars="200"/>
        <w:rPr>
          <w:rFonts w:eastAsia="方正仿宋_GBK"/>
          <w:color w:val="000000"/>
          <w:sz w:val="24"/>
        </w:rPr>
      </w:pPr>
    </w:p>
    <w:p>
      <w:pPr>
        <w:spacing w:line="460" w:lineRule="exact"/>
        <w:jc w:val="center"/>
        <w:rPr>
          <w:rFonts w:eastAsia="方正小标宋简体"/>
          <w:color w:val="000000"/>
          <w:sz w:val="36"/>
          <w:szCs w:val="36"/>
        </w:rPr>
      </w:pPr>
      <w:r>
        <w:rPr>
          <w:rFonts w:hint="eastAsia" w:eastAsia="方正小标宋简体"/>
          <w:color w:val="000000"/>
          <w:sz w:val="36"/>
          <w:szCs w:val="36"/>
        </w:rPr>
        <w:t>江苏省城市市政公用事业公众参与监督制度</w:t>
      </w:r>
    </w:p>
    <w:p>
      <w:pPr>
        <w:spacing w:line="440" w:lineRule="exact"/>
        <w:ind w:firstLine="480" w:firstLineChars="200"/>
        <w:rPr>
          <w:rFonts w:eastAsia="方正仿宋_GBK"/>
          <w:color w:val="000000"/>
          <w:sz w:val="24"/>
        </w:rPr>
      </w:pPr>
    </w:p>
    <w:p>
      <w:pPr>
        <w:spacing w:line="440" w:lineRule="exact"/>
        <w:ind w:firstLine="480" w:firstLineChars="200"/>
        <w:rPr>
          <w:rFonts w:eastAsia="方正仿宋_GBK"/>
          <w:color w:val="000000"/>
          <w:sz w:val="24"/>
        </w:rPr>
      </w:pPr>
      <w:r>
        <w:rPr>
          <w:rFonts w:hint="eastAsia" w:eastAsia="黑体"/>
          <w:color w:val="000000"/>
          <w:sz w:val="24"/>
        </w:rPr>
        <w:t>第一条</w:t>
      </w:r>
      <w:r>
        <w:rPr>
          <w:rFonts w:eastAsia="方正仿宋_GBK"/>
          <w:color w:val="000000"/>
          <w:sz w:val="24"/>
        </w:rPr>
        <w:t xml:space="preserve">  </w:t>
      </w:r>
      <w:r>
        <w:rPr>
          <w:rFonts w:hint="eastAsia" w:eastAsia="方正仿宋_GBK"/>
          <w:color w:val="000000"/>
          <w:sz w:val="24"/>
        </w:rPr>
        <w:t>为了维护社会公众利益和公共安全，有效履行政府行政管理与监督职责，充分吸收社会公众对市政公用行业的意见和建议，尊重公众的知情权，鼓励公众参与监督和接受公众监督，特制定本制度。</w:t>
      </w:r>
      <w:r>
        <w:rPr>
          <w:rFonts w:eastAsia="方正仿宋_GBK"/>
          <w:color w:val="000000"/>
          <w:sz w:val="24"/>
        </w:rPr>
        <w:t xml:space="preserve"> </w:t>
      </w:r>
    </w:p>
    <w:p>
      <w:pPr>
        <w:spacing w:line="440" w:lineRule="exact"/>
        <w:ind w:firstLine="480" w:firstLineChars="200"/>
        <w:rPr>
          <w:rFonts w:eastAsia="方正仿宋_GBK"/>
          <w:color w:val="000000"/>
          <w:sz w:val="24"/>
        </w:rPr>
      </w:pPr>
      <w:r>
        <w:rPr>
          <w:rFonts w:hint="eastAsia" w:eastAsia="黑体"/>
          <w:color w:val="000000"/>
          <w:sz w:val="24"/>
        </w:rPr>
        <w:t>第二条</w:t>
      </w:r>
      <w:r>
        <w:rPr>
          <w:rFonts w:eastAsia="方正仿宋_GBK"/>
          <w:color w:val="000000"/>
          <w:sz w:val="24"/>
        </w:rPr>
        <w:t xml:space="preserve">  </w:t>
      </w:r>
      <w:r>
        <w:rPr>
          <w:rFonts w:hint="eastAsia" w:eastAsia="方正仿宋_GBK"/>
          <w:color w:val="000000"/>
          <w:sz w:val="24"/>
        </w:rPr>
        <w:t>全省行政区域内已实施市政公用市场化改革和已实施市政公用事业特许经营管理的城市供水、供气（管道燃气）、污水处理、垃圾处理等行业适用本制度。</w:t>
      </w:r>
    </w:p>
    <w:p>
      <w:pPr>
        <w:spacing w:line="440" w:lineRule="exact"/>
        <w:ind w:firstLine="480" w:firstLineChars="200"/>
        <w:rPr>
          <w:rFonts w:eastAsia="方正仿宋_GBK"/>
          <w:color w:val="000000"/>
          <w:sz w:val="24"/>
        </w:rPr>
      </w:pPr>
      <w:r>
        <w:rPr>
          <w:rFonts w:hint="eastAsia" w:eastAsia="黑体"/>
          <w:color w:val="000000"/>
          <w:sz w:val="24"/>
        </w:rPr>
        <w:t>第三条</w:t>
      </w:r>
      <w:r>
        <w:rPr>
          <w:rFonts w:eastAsia="方正仿宋_GBK"/>
          <w:color w:val="000000"/>
          <w:sz w:val="24"/>
        </w:rPr>
        <w:t xml:space="preserve">  </w:t>
      </w:r>
      <w:r>
        <w:rPr>
          <w:rFonts w:hint="eastAsia" w:eastAsia="方正仿宋_GBK"/>
          <w:color w:val="000000"/>
          <w:sz w:val="24"/>
        </w:rPr>
        <w:t>省建设行政主管部门负责全省行政区域内城市市政公用事业公众参与活动的指导和监督工作。</w:t>
      </w:r>
    </w:p>
    <w:p>
      <w:pPr>
        <w:spacing w:line="440" w:lineRule="exact"/>
        <w:ind w:firstLine="480" w:firstLineChars="200"/>
        <w:rPr>
          <w:rFonts w:eastAsia="方正仿宋_GBK"/>
          <w:color w:val="000000"/>
          <w:kern w:val="0"/>
          <w:sz w:val="24"/>
        </w:rPr>
      </w:pPr>
      <w:r>
        <w:rPr>
          <w:rFonts w:hint="eastAsia" w:eastAsia="方正仿宋_GBK"/>
          <w:color w:val="000000"/>
          <w:kern w:val="0"/>
          <w:sz w:val="24"/>
        </w:rPr>
        <w:t>市、县人民政府市政公用事业主管部门受本级人民政府授权具体负责实施本行政区域内城市市政公用事业的公众参与监督工作。</w:t>
      </w:r>
    </w:p>
    <w:p>
      <w:pPr>
        <w:spacing w:line="440" w:lineRule="exact"/>
        <w:ind w:firstLine="480" w:firstLineChars="200"/>
        <w:rPr>
          <w:rFonts w:eastAsia="方正仿宋_GBK"/>
          <w:color w:val="000000"/>
          <w:sz w:val="24"/>
        </w:rPr>
      </w:pPr>
      <w:r>
        <w:rPr>
          <w:rFonts w:hint="eastAsia" w:eastAsia="黑体"/>
          <w:color w:val="000000"/>
          <w:sz w:val="24"/>
        </w:rPr>
        <w:t>第四条</w:t>
      </w:r>
      <w:r>
        <w:rPr>
          <w:rFonts w:eastAsia="方正仿宋_GBK"/>
          <w:color w:val="000000"/>
          <w:sz w:val="24"/>
        </w:rPr>
        <w:t xml:space="preserve">  </w:t>
      </w:r>
      <w:r>
        <w:rPr>
          <w:rFonts w:hint="eastAsia" w:eastAsia="方正仿宋_GBK"/>
          <w:color w:val="000000"/>
          <w:sz w:val="24"/>
        </w:rPr>
        <w:t>各级市政公用事业主管部门负责组织公众参与监督的工作；负责违反法定事项的事件处理工作。</w:t>
      </w:r>
    </w:p>
    <w:p>
      <w:pPr>
        <w:spacing w:line="440" w:lineRule="exact"/>
        <w:ind w:firstLine="480" w:firstLineChars="200"/>
        <w:rPr>
          <w:rFonts w:eastAsia="方正仿宋_GBK"/>
          <w:color w:val="000000"/>
          <w:sz w:val="24"/>
        </w:rPr>
      </w:pPr>
      <w:r>
        <w:rPr>
          <w:rFonts w:hint="eastAsia" w:eastAsia="黑体"/>
          <w:color w:val="000000"/>
          <w:sz w:val="24"/>
        </w:rPr>
        <w:t>第五条</w:t>
      </w:r>
      <w:r>
        <w:rPr>
          <w:rFonts w:eastAsia="方正仿宋_GBK"/>
          <w:color w:val="000000"/>
          <w:sz w:val="24"/>
        </w:rPr>
        <w:t xml:space="preserve">  </w:t>
      </w:r>
      <w:r>
        <w:rPr>
          <w:rFonts w:hint="eastAsia" w:eastAsia="方正仿宋_GBK"/>
          <w:color w:val="000000"/>
          <w:sz w:val="24"/>
        </w:rPr>
        <w:t>为便于公众监督，市政公用事业主管部门和市政公用企业应及时公开市政公用事业发展、建设和相关经营管理信息，其内容为：</w:t>
      </w:r>
    </w:p>
    <w:p>
      <w:pPr>
        <w:spacing w:line="440" w:lineRule="exact"/>
        <w:ind w:firstLine="480" w:firstLineChars="200"/>
        <w:rPr>
          <w:rFonts w:eastAsia="方正仿宋_GBK"/>
          <w:color w:val="000000"/>
          <w:sz w:val="24"/>
        </w:rPr>
      </w:pPr>
      <w:r>
        <w:rPr>
          <w:rFonts w:hint="eastAsia" w:eastAsia="方正仿宋_GBK"/>
          <w:color w:val="000000"/>
          <w:sz w:val="24"/>
        </w:rPr>
        <w:t>供水企业：年度生产经营计划、销售与服务网点分布、销售量及构成情况、建设投资情况、水源和管网水质检测数据和分析报告、管网水压情况、水价及构成情况、配合实施专项规划情况、安全生产工作情况等；</w:t>
      </w:r>
    </w:p>
    <w:p>
      <w:pPr>
        <w:spacing w:line="440" w:lineRule="exact"/>
        <w:ind w:firstLine="480" w:firstLineChars="200"/>
        <w:rPr>
          <w:rFonts w:eastAsia="方正仿宋_GBK"/>
          <w:color w:val="000000"/>
          <w:sz w:val="24"/>
        </w:rPr>
      </w:pPr>
      <w:r>
        <w:rPr>
          <w:rFonts w:hint="eastAsia" w:eastAsia="方正仿宋_GBK"/>
          <w:color w:val="000000"/>
          <w:sz w:val="24"/>
        </w:rPr>
        <w:t>供气（管道燃气）企业：年度生产经营计划、销售与服务网点分布、建设投资情况、管网气质情况、气价及构成情况、配合实施专项规划情况、安全生产工作情况等；</w:t>
      </w:r>
    </w:p>
    <w:p>
      <w:pPr>
        <w:spacing w:line="440" w:lineRule="exact"/>
        <w:ind w:firstLine="480" w:firstLineChars="200"/>
        <w:rPr>
          <w:rFonts w:eastAsia="方正仿宋_GBK"/>
          <w:color w:val="000000"/>
          <w:sz w:val="24"/>
        </w:rPr>
      </w:pPr>
      <w:r>
        <w:rPr>
          <w:rFonts w:hint="eastAsia" w:eastAsia="方正仿宋_GBK"/>
          <w:color w:val="000000"/>
          <w:sz w:val="24"/>
        </w:rPr>
        <w:t>污水处理企业：进厂出厂水质、进厂出厂水量、污泥处置情况、建设投资情况、水处理服务费及构成情况、配合实施专项规划情况、安全生产工作情况等；</w:t>
      </w:r>
      <w:r>
        <w:rPr>
          <w:rFonts w:eastAsia="方正仿宋_GBK"/>
          <w:color w:val="000000"/>
          <w:sz w:val="24"/>
        </w:rPr>
        <w:t xml:space="preserve"> </w:t>
      </w:r>
    </w:p>
    <w:p>
      <w:pPr>
        <w:spacing w:line="440" w:lineRule="exact"/>
        <w:ind w:firstLine="480" w:firstLineChars="200"/>
        <w:rPr>
          <w:rFonts w:eastAsia="方正仿宋_GBK"/>
          <w:color w:val="000000"/>
          <w:sz w:val="24"/>
        </w:rPr>
      </w:pPr>
      <w:r>
        <w:rPr>
          <w:rFonts w:hint="eastAsia" w:eastAsia="方正仿宋_GBK"/>
          <w:color w:val="000000"/>
          <w:sz w:val="24"/>
        </w:rPr>
        <w:t>垃圾处理企业：城市垃圾无害化处理情况、建设投资情况、垃圾处理服务费及构成情况、配合实施专项规划情况、安全生产工作情况等；</w:t>
      </w:r>
    </w:p>
    <w:p>
      <w:pPr>
        <w:spacing w:line="440" w:lineRule="exact"/>
        <w:ind w:firstLine="480" w:firstLineChars="200"/>
        <w:rPr>
          <w:rFonts w:eastAsia="方正仿宋_GBK"/>
          <w:color w:val="000000"/>
          <w:sz w:val="24"/>
        </w:rPr>
      </w:pPr>
      <w:r>
        <w:rPr>
          <w:rFonts w:hint="eastAsia" w:eastAsia="黑体"/>
          <w:color w:val="000000"/>
          <w:sz w:val="24"/>
        </w:rPr>
        <w:t>第六条</w:t>
      </w:r>
      <w:r>
        <w:rPr>
          <w:rFonts w:eastAsia="方正仿宋_GBK"/>
          <w:color w:val="000000"/>
          <w:sz w:val="24"/>
        </w:rPr>
        <w:t xml:space="preserve">  </w:t>
      </w:r>
      <w:r>
        <w:rPr>
          <w:rFonts w:hint="eastAsia" w:eastAsia="方正仿宋_GBK"/>
          <w:color w:val="000000"/>
          <w:sz w:val="24"/>
        </w:rPr>
        <w:t>社会公众依据相关法律、法规、标准以及政府的规范性文件对市政公用行业进行监督，其监督的主要内容为：</w:t>
      </w:r>
    </w:p>
    <w:p>
      <w:pPr>
        <w:spacing w:line="440" w:lineRule="exact"/>
        <w:ind w:firstLine="480" w:firstLineChars="200"/>
        <w:rPr>
          <w:rFonts w:eastAsia="方正仿宋_GBK"/>
          <w:color w:val="000000"/>
          <w:sz w:val="24"/>
        </w:rPr>
      </w:pPr>
      <w:r>
        <w:rPr>
          <w:rFonts w:hint="eastAsia" w:eastAsia="方正仿宋_GBK"/>
          <w:color w:val="000000"/>
          <w:sz w:val="24"/>
        </w:rPr>
        <w:t>（一）市政公用企业产品质量与服务质量情况；</w:t>
      </w:r>
    </w:p>
    <w:p>
      <w:pPr>
        <w:spacing w:line="440" w:lineRule="exact"/>
        <w:ind w:firstLine="480" w:firstLineChars="200"/>
        <w:rPr>
          <w:rFonts w:eastAsia="方正仿宋_GBK"/>
          <w:color w:val="000000"/>
          <w:sz w:val="24"/>
        </w:rPr>
      </w:pPr>
      <w:r>
        <w:rPr>
          <w:rFonts w:hint="eastAsia" w:eastAsia="方正仿宋_GBK"/>
          <w:color w:val="000000"/>
          <w:sz w:val="24"/>
        </w:rPr>
        <w:t>（二）公众投诉意见建议的处理情况；</w:t>
      </w:r>
    </w:p>
    <w:p>
      <w:pPr>
        <w:spacing w:line="440" w:lineRule="exact"/>
        <w:ind w:firstLine="480" w:firstLineChars="200"/>
        <w:rPr>
          <w:rFonts w:eastAsia="方正仿宋_GBK"/>
          <w:color w:val="000000"/>
          <w:sz w:val="24"/>
        </w:rPr>
      </w:pPr>
      <w:r>
        <w:rPr>
          <w:rFonts w:hint="eastAsia" w:eastAsia="方正仿宋_GBK"/>
          <w:color w:val="000000"/>
          <w:sz w:val="24"/>
        </w:rPr>
        <w:t>（三）安全生产工作情况、运行事故的调查分析处理情况；</w:t>
      </w:r>
    </w:p>
    <w:p>
      <w:pPr>
        <w:spacing w:line="440" w:lineRule="exact"/>
        <w:ind w:firstLine="480" w:firstLineChars="200"/>
        <w:rPr>
          <w:rFonts w:eastAsia="方正仿宋_GBK"/>
          <w:color w:val="000000"/>
          <w:sz w:val="24"/>
        </w:rPr>
      </w:pPr>
      <w:r>
        <w:rPr>
          <w:rFonts w:hint="eastAsia" w:eastAsia="方正仿宋_GBK"/>
          <w:color w:val="000000"/>
          <w:sz w:val="24"/>
        </w:rPr>
        <w:t>（四）市政公用事业单位产品与服务价格情况、建设投资情况；</w:t>
      </w:r>
    </w:p>
    <w:p>
      <w:pPr>
        <w:spacing w:line="440" w:lineRule="exact"/>
        <w:ind w:firstLine="480" w:firstLineChars="200"/>
        <w:rPr>
          <w:rFonts w:eastAsia="方正仿宋_GBK"/>
          <w:color w:val="000000"/>
          <w:sz w:val="24"/>
        </w:rPr>
      </w:pPr>
      <w:r>
        <w:rPr>
          <w:rFonts w:hint="eastAsia" w:eastAsia="方正仿宋_GBK"/>
          <w:color w:val="000000"/>
          <w:sz w:val="24"/>
        </w:rPr>
        <w:t>（五）执行法律法规规章情况和履行社会服务承诺情况。</w:t>
      </w:r>
    </w:p>
    <w:p>
      <w:pPr>
        <w:spacing w:line="440" w:lineRule="exact"/>
        <w:ind w:firstLine="480" w:firstLineChars="200"/>
        <w:rPr>
          <w:rFonts w:eastAsia="方正仿宋_GBK"/>
          <w:color w:val="000000"/>
          <w:sz w:val="24"/>
        </w:rPr>
      </w:pPr>
      <w:r>
        <w:rPr>
          <w:rFonts w:hint="eastAsia" w:eastAsia="黑体"/>
          <w:color w:val="000000"/>
          <w:sz w:val="24"/>
        </w:rPr>
        <w:t>第七条</w:t>
      </w:r>
      <w:r>
        <w:rPr>
          <w:rFonts w:eastAsia="方正仿宋_GBK"/>
          <w:color w:val="000000"/>
          <w:sz w:val="24"/>
        </w:rPr>
        <w:t xml:space="preserve">  </w:t>
      </w:r>
      <w:r>
        <w:rPr>
          <w:rFonts w:hint="eastAsia" w:eastAsia="方正仿宋_GBK"/>
          <w:color w:val="000000"/>
          <w:sz w:val="24"/>
        </w:rPr>
        <w:t>为确保社会公众的知情权，各级市政公用事业主管部门依照相关法律法规规定定期或不定期地向社会公众发布行业监管信息和监管结论（含中期评估结论）。第六条第（一）、（二）项内容的公布周期为</w:t>
      </w:r>
      <w:r>
        <w:rPr>
          <w:rFonts w:eastAsia="方正仿宋_GBK"/>
          <w:color w:val="000000"/>
          <w:sz w:val="24"/>
        </w:rPr>
        <w:t>1</w:t>
      </w:r>
      <w:r>
        <w:rPr>
          <w:rFonts w:hint="eastAsia" w:eastAsia="方正仿宋_GBK"/>
          <w:color w:val="000000"/>
          <w:sz w:val="24"/>
        </w:rPr>
        <w:t>个月，第（三）项内容的公布时间为事故处理结束后的</w:t>
      </w:r>
      <w:r>
        <w:rPr>
          <w:rFonts w:eastAsia="方正仿宋_GBK"/>
          <w:color w:val="000000"/>
          <w:sz w:val="24"/>
        </w:rPr>
        <w:t>1</w:t>
      </w:r>
      <w:r>
        <w:rPr>
          <w:rFonts w:hint="eastAsia" w:eastAsia="方正仿宋_GBK"/>
          <w:color w:val="000000"/>
          <w:sz w:val="24"/>
        </w:rPr>
        <w:t>个月内，第（四）、（五）项内容的公布周期为</w:t>
      </w:r>
      <w:r>
        <w:rPr>
          <w:rFonts w:eastAsia="方正仿宋_GBK"/>
          <w:color w:val="000000"/>
          <w:sz w:val="24"/>
        </w:rPr>
        <w:t>1</w:t>
      </w:r>
      <w:r>
        <w:rPr>
          <w:rFonts w:hint="eastAsia" w:eastAsia="方正仿宋_GBK"/>
          <w:color w:val="000000"/>
          <w:sz w:val="24"/>
        </w:rPr>
        <w:t>年。法律、法规对公布周期另有规定的，从其规定。</w:t>
      </w:r>
    </w:p>
    <w:p>
      <w:pPr>
        <w:spacing w:line="440" w:lineRule="exact"/>
        <w:ind w:firstLine="480" w:firstLineChars="200"/>
        <w:rPr>
          <w:rFonts w:eastAsia="方正仿宋_GBK"/>
          <w:color w:val="000000"/>
          <w:sz w:val="24"/>
        </w:rPr>
      </w:pPr>
      <w:r>
        <w:rPr>
          <w:rFonts w:hint="eastAsia" w:eastAsia="黑体"/>
          <w:color w:val="000000"/>
          <w:sz w:val="24"/>
        </w:rPr>
        <w:t>第八条</w:t>
      </w:r>
      <w:r>
        <w:rPr>
          <w:rFonts w:eastAsia="方正仿宋_GBK"/>
          <w:color w:val="000000"/>
          <w:sz w:val="24"/>
        </w:rPr>
        <w:t xml:space="preserve">  </w:t>
      </w:r>
      <w:r>
        <w:rPr>
          <w:rFonts w:hint="eastAsia" w:eastAsia="方正仿宋_GBK"/>
          <w:color w:val="000000"/>
          <w:sz w:val="24"/>
        </w:rPr>
        <w:t>社会公众可以参与监督市政公用行业、企业的服务与经营行为。其监督的方式可以是来信、来电、来人直接反映，也可以通过人大建议、政协提案、政府信访、政府电子网络等方式间接反映。</w:t>
      </w:r>
    </w:p>
    <w:p>
      <w:pPr>
        <w:spacing w:line="440" w:lineRule="exact"/>
        <w:ind w:firstLine="480" w:firstLineChars="200"/>
        <w:rPr>
          <w:rFonts w:eastAsia="方正仿宋_GBK"/>
          <w:color w:val="000000"/>
          <w:sz w:val="24"/>
        </w:rPr>
      </w:pPr>
      <w:r>
        <w:rPr>
          <w:rFonts w:hint="eastAsia" w:eastAsia="方正仿宋_GBK"/>
          <w:color w:val="000000"/>
          <w:sz w:val="24"/>
        </w:rPr>
        <w:t>各级市政公用事业主管部门应当及时掌握实情，核实其企业披露信息的真实性，对照法律法规和标准规范，确定性质，给出结论，督导有关企业的整改工作。</w:t>
      </w:r>
    </w:p>
    <w:p>
      <w:pPr>
        <w:spacing w:line="440" w:lineRule="exact"/>
        <w:ind w:firstLine="480" w:firstLineChars="200"/>
        <w:rPr>
          <w:rFonts w:eastAsia="方正仿宋_GBK"/>
          <w:color w:val="000000"/>
          <w:sz w:val="24"/>
        </w:rPr>
      </w:pPr>
      <w:r>
        <w:rPr>
          <w:rFonts w:hint="eastAsia" w:eastAsia="黑体"/>
          <w:color w:val="000000"/>
          <w:sz w:val="24"/>
        </w:rPr>
        <w:t>第九条</w:t>
      </w:r>
      <w:r>
        <w:rPr>
          <w:rFonts w:eastAsia="方正仿宋_GBK"/>
          <w:color w:val="000000"/>
          <w:sz w:val="24"/>
        </w:rPr>
        <w:t xml:space="preserve">  </w:t>
      </w:r>
      <w:r>
        <w:rPr>
          <w:rFonts w:hint="eastAsia" w:eastAsia="方正仿宋_GBK"/>
          <w:color w:val="000000"/>
          <w:sz w:val="24"/>
        </w:rPr>
        <w:t>市政公用企业应执行国家、省相关的法律法规、标准规范和社会服务承诺条款。</w:t>
      </w:r>
    </w:p>
    <w:p>
      <w:pPr>
        <w:spacing w:line="440" w:lineRule="exact"/>
        <w:ind w:firstLine="480" w:firstLineChars="200"/>
        <w:rPr>
          <w:rFonts w:eastAsia="方正仿宋_GBK"/>
          <w:color w:val="000000"/>
          <w:sz w:val="24"/>
        </w:rPr>
      </w:pPr>
      <w:r>
        <w:rPr>
          <w:rFonts w:hint="eastAsia" w:eastAsia="黑体"/>
          <w:color w:val="000000"/>
          <w:sz w:val="24"/>
        </w:rPr>
        <w:t>第十条</w:t>
      </w:r>
      <w:r>
        <w:rPr>
          <w:rFonts w:eastAsia="方正仿宋_GBK"/>
          <w:color w:val="000000"/>
          <w:sz w:val="24"/>
        </w:rPr>
        <w:t xml:space="preserve">  </w:t>
      </w:r>
      <w:r>
        <w:rPr>
          <w:rFonts w:hint="eastAsia" w:eastAsia="方正仿宋_GBK"/>
          <w:color w:val="000000"/>
          <w:sz w:val="24"/>
        </w:rPr>
        <w:t>各级市政公用事业主管部门应通过多种方式征询收集社会公众的意见和反映；应定期组织社会满意度调查；可以召开新闻发布会、发布告示公报和通知、公布行业（企业）服务承诺等方式发布行业监管信息。</w:t>
      </w:r>
    </w:p>
    <w:p>
      <w:pPr>
        <w:spacing w:line="440" w:lineRule="exact"/>
        <w:ind w:firstLine="480" w:firstLineChars="200"/>
        <w:rPr>
          <w:rFonts w:eastAsia="方正仿宋_GBK"/>
          <w:color w:val="000000"/>
          <w:sz w:val="24"/>
        </w:rPr>
      </w:pPr>
      <w:r>
        <w:rPr>
          <w:rFonts w:hint="eastAsia" w:eastAsia="黑体"/>
          <w:color w:val="000000"/>
          <w:sz w:val="24"/>
        </w:rPr>
        <w:t>第十一条</w:t>
      </w:r>
      <w:r>
        <w:rPr>
          <w:rFonts w:eastAsia="方正仿宋_GBK"/>
          <w:color w:val="000000"/>
          <w:sz w:val="24"/>
        </w:rPr>
        <w:t xml:space="preserve">  </w:t>
      </w:r>
      <w:r>
        <w:rPr>
          <w:rFonts w:hint="eastAsia" w:eastAsia="方正仿宋_GBK"/>
          <w:color w:val="000000"/>
          <w:sz w:val="24"/>
        </w:rPr>
        <w:t>各项市政公用事业特许经营管理协议中必须包含</w:t>
      </w:r>
      <w:r>
        <w:rPr>
          <w:rFonts w:eastAsia="方正仿宋_GBK"/>
          <w:color w:val="000000"/>
          <w:sz w:val="24"/>
        </w:rPr>
        <w:t>“</w:t>
      </w:r>
      <w:r>
        <w:rPr>
          <w:rFonts w:hint="eastAsia" w:eastAsia="方正仿宋_GBK"/>
          <w:color w:val="000000"/>
          <w:sz w:val="24"/>
        </w:rPr>
        <w:t>市政公用企业及时向市政公用事业主管部门提供的法定披露信息</w:t>
      </w:r>
      <w:r>
        <w:rPr>
          <w:rFonts w:eastAsia="方正仿宋_GBK"/>
          <w:color w:val="000000"/>
          <w:sz w:val="24"/>
        </w:rPr>
        <w:t>”</w:t>
      </w:r>
      <w:r>
        <w:rPr>
          <w:rFonts w:hint="eastAsia" w:eastAsia="方正仿宋_GBK"/>
          <w:color w:val="000000"/>
          <w:sz w:val="24"/>
        </w:rPr>
        <w:t>、</w:t>
      </w:r>
      <w:r>
        <w:rPr>
          <w:rFonts w:eastAsia="方正仿宋_GBK"/>
          <w:color w:val="000000"/>
          <w:sz w:val="24"/>
        </w:rPr>
        <w:t>“</w:t>
      </w:r>
      <w:r>
        <w:rPr>
          <w:rFonts w:hint="eastAsia" w:eastAsia="方正仿宋_GBK"/>
          <w:color w:val="000000"/>
          <w:sz w:val="24"/>
        </w:rPr>
        <w:t>接受处理社会公众参与监督意见</w:t>
      </w:r>
      <w:r>
        <w:rPr>
          <w:rFonts w:eastAsia="方正仿宋_GBK"/>
          <w:color w:val="000000"/>
          <w:sz w:val="24"/>
        </w:rPr>
        <w:t>”</w:t>
      </w:r>
      <w:r>
        <w:rPr>
          <w:rFonts w:hint="eastAsia" w:eastAsia="方正仿宋_GBK"/>
          <w:color w:val="000000"/>
          <w:sz w:val="24"/>
        </w:rPr>
        <w:t>、</w:t>
      </w:r>
      <w:r>
        <w:rPr>
          <w:rFonts w:eastAsia="方正仿宋_GBK"/>
          <w:color w:val="000000"/>
          <w:sz w:val="24"/>
        </w:rPr>
        <w:t>“</w:t>
      </w:r>
      <w:r>
        <w:rPr>
          <w:rFonts w:hint="eastAsia" w:eastAsia="方正仿宋_GBK"/>
          <w:color w:val="000000"/>
          <w:sz w:val="24"/>
        </w:rPr>
        <w:t>实现普遍服务义务</w:t>
      </w:r>
      <w:r>
        <w:rPr>
          <w:rFonts w:eastAsia="方正仿宋_GBK"/>
          <w:color w:val="000000"/>
          <w:sz w:val="24"/>
        </w:rPr>
        <w:t>”</w:t>
      </w:r>
      <w:r>
        <w:rPr>
          <w:rFonts w:hint="eastAsia" w:eastAsia="方正仿宋_GBK"/>
          <w:color w:val="000000"/>
          <w:sz w:val="24"/>
        </w:rPr>
        <w:t>、</w:t>
      </w:r>
      <w:r>
        <w:rPr>
          <w:rFonts w:eastAsia="方正仿宋_GBK"/>
          <w:color w:val="000000"/>
          <w:sz w:val="24"/>
        </w:rPr>
        <w:t>“</w:t>
      </w:r>
      <w:r>
        <w:rPr>
          <w:rFonts w:hint="eastAsia" w:eastAsia="方正仿宋_GBK"/>
          <w:color w:val="000000"/>
          <w:sz w:val="24"/>
        </w:rPr>
        <w:t>提高社会满意度</w:t>
      </w:r>
      <w:r>
        <w:rPr>
          <w:rFonts w:eastAsia="方正仿宋_GBK"/>
          <w:color w:val="000000"/>
          <w:sz w:val="24"/>
        </w:rPr>
        <w:t>”</w:t>
      </w:r>
      <w:r>
        <w:rPr>
          <w:rFonts w:hint="eastAsia" w:eastAsia="方正仿宋_GBK"/>
          <w:color w:val="000000"/>
          <w:sz w:val="24"/>
        </w:rPr>
        <w:t>等内容，由所辖管理权的市政公用事业主管部门负责考核。</w:t>
      </w:r>
    </w:p>
    <w:p>
      <w:pPr>
        <w:spacing w:line="440" w:lineRule="exact"/>
        <w:ind w:firstLine="480" w:firstLineChars="200"/>
        <w:rPr>
          <w:rFonts w:eastAsia="方正仿宋_GBK"/>
          <w:color w:val="000000"/>
          <w:sz w:val="24"/>
        </w:rPr>
      </w:pPr>
      <w:r>
        <w:rPr>
          <w:rFonts w:hint="eastAsia" w:eastAsia="方正仿宋_GBK"/>
          <w:color w:val="000000"/>
          <w:sz w:val="24"/>
        </w:rPr>
        <w:t>各项市政公用事业特许经营管理协议中必须包含各级市政公用事业主管部门依照相关法律法规规定，定期或不定期地向社会公众发布行业监管信息、接受处理社会公众参与监督意见，提高社会满意度等内容，由所辖管理权的市政公用事业主管部门的上级主管部门负责考核。</w:t>
      </w:r>
    </w:p>
    <w:p>
      <w:pPr>
        <w:spacing w:line="440" w:lineRule="exact"/>
        <w:rPr>
          <w:rFonts w:eastAsia="黑体"/>
          <w:color w:val="000000"/>
          <w:sz w:val="28"/>
          <w:szCs w:val="28"/>
        </w:rPr>
      </w:pPr>
      <w:r>
        <w:rPr>
          <w:rFonts w:eastAsia="方正仿宋_GBK"/>
          <w:color w:val="000000"/>
          <w:sz w:val="24"/>
        </w:rPr>
        <w:br w:type="column"/>
      </w:r>
      <w:r>
        <w:rPr>
          <w:rFonts w:hint="eastAsia" w:eastAsia="黑体"/>
          <w:color w:val="000000"/>
          <w:sz w:val="28"/>
          <w:szCs w:val="28"/>
        </w:rPr>
        <w:t>附件</w:t>
      </w:r>
      <w:r>
        <w:rPr>
          <w:rFonts w:eastAsia="黑体"/>
          <w:color w:val="000000"/>
          <w:sz w:val="28"/>
          <w:szCs w:val="28"/>
        </w:rPr>
        <w:t>3</w:t>
      </w:r>
      <w:r>
        <w:rPr>
          <w:rFonts w:hint="eastAsia" w:eastAsia="黑体"/>
          <w:color w:val="000000"/>
          <w:sz w:val="28"/>
          <w:szCs w:val="28"/>
        </w:rPr>
        <w:t>：</w:t>
      </w:r>
    </w:p>
    <w:p>
      <w:pPr>
        <w:spacing w:line="460" w:lineRule="exact"/>
        <w:ind w:right="640" w:firstLine="480" w:firstLineChars="200"/>
        <w:rPr>
          <w:rFonts w:eastAsia="方正仿宋_GBK"/>
          <w:color w:val="000000"/>
          <w:sz w:val="24"/>
        </w:rPr>
      </w:pPr>
    </w:p>
    <w:p>
      <w:pPr>
        <w:spacing w:line="460" w:lineRule="exact"/>
        <w:jc w:val="center"/>
        <w:rPr>
          <w:rFonts w:eastAsia="方正小标宋简体"/>
          <w:color w:val="000000"/>
          <w:sz w:val="36"/>
          <w:szCs w:val="36"/>
        </w:rPr>
      </w:pPr>
      <w:r>
        <w:rPr>
          <w:rFonts w:hint="eastAsia" w:eastAsia="方正小标宋简体"/>
          <w:color w:val="000000"/>
          <w:sz w:val="36"/>
          <w:szCs w:val="36"/>
        </w:rPr>
        <w:t>江苏省城市市政公用事业特许经营权临时接管制度</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r>
        <w:rPr>
          <w:rFonts w:hint="eastAsia" w:eastAsia="黑体"/>
          <w:color w:val="000000"/>
          <w:sz w:val="24"/>
        </w:rPr>
        <w:t>第一条</w:t>
      </w:r>
      <w:r>
        <w:rPr>
          <w:rFonts w:eastAsia="方正仿宋_GBK"/>
          <w:color w:val="000000"/>
          <w:sz w:val="24"/>
        </w:rPr>
        <w:t xml:space="preserve">  </w:t>
      </w:r>
      <w:r>
        <w:rPr>
          <w:rFonts w:hint="eastAsia" w:eastAsia="方正仿宋_GBK"/>
          <w:color w:val="000000"/>
          <w:sz w:val="24"/>
        </w:rPr>
        <w:t>为了规范城市市政公用事业特许经营权临时接管（以下简称临时接管）行为，保障社会公共利益和公共安全，维护社会稳定，特制定本制度。</w:t>
      </w:r>
    </w:p>
    <w:p>
      <w:pPr>
        <w:spacing w:line="460" w:lineRule="exact"/>
        <w:ind w:firstLine="480" w:firstLineChars="200"/>
        <w:rPr>
          <w:rFonts w:eastAsia="方正仿宋_GBK"/>
          <w:color w:val="000000"/>
          <w:sz w:val="24"/>
        </w:rPr>
      </w:pPr>
      <w:r>
        <w:rPr>
          <w:rFonts w:hint="eastAsia" w:eastAsia="黑体"/>
          <w:color w:val="000000"/>
          <w:sz w:val="24"/>
        </w:rPr>
        <w:t>第二条</w:t>
      </w:r>
      <w:r>
        <w:rPr>
          <w:rFonts w:eastAsia="方正仿宋_GBK"/>
          <w:color w:val="000000"/>
          <w:sz w:val="24"/>
        </w:rPr>
        <w:t xml:space="preserve">  </w:t>
      </w:r>
      <w:r>
        <w:rPr>
          <w:rFonts w:hint="eastAsia" w:eastAsia="方正仿宋_GBK"/>
          <w:color w:val="000000"/>
          <w:sz w:val="24"/>
        </w:rPr>
        <w:t>全省行政区域内已实施市政公用市场化改革和已实施市政公用事业特许经营管理的城市供水、供气（管道燃气）、污水处理、垃圾处理等行业适用本制度。</w:t>
      </w:r>
    </w:p>
    <w:p>
      <w:pPr>
        <w:spacing w:line="460" w:lineRule="exact"/>
        <w:ind w:firstLine="480" w:firstLineChars="200"/>
        <w:rPr>
          <w:rFonts w:eastAsia="方正仿宋_GBK"/>
          <w:color w:val="000000"/>
          <w:sz w:val="24"/>
        </w:rPr>
      </w:pPr>
      <w:r>
        <w:rPr>
          <w:rFonts w:hint="eastAsia" w:eastAsia="黑体"/>
          <w:color w:val="000000"/>
          <w:sz w:val="24"/>
        </w:rPr>
        <w:t>第三条</w:t>
      </w:r>
      <w:r>
        <w:rPr>
          <w:rFonts w:eastAsia="方正仿宋_GBK"/>
          <w:color w:val="000000"/>
          <w:sz w:val="24"/>
        </w:rPr>
        <w:t xml:space="preserve">  </w:t>
      </w:r>
      <w:r>
        <w:rPr>
          <w:rFonts w:hint="eastAsia" w:eastAsia="方正仿宋_GBK"/>
          <w:color w:val="000000"/>
          <w:sz w:val="24"/>
        </w:rPr>
        <w:t>省建设行政主管部门负责全省行政区域内城市市政公用事业特许经营权临时接管活动的指导和监督工作。</w:t>
      </w:r>
    </w:p>
    <w:p>
      <w:pPr>
        <w:spacing w:line="460" w:lineRule="exact"/>
        <w:ind w:firstLine="480" w:firstLineChars="200"/>
        <w:rPr>
          <w:rFonts w:eastAsia="方正仿宋_GBK"/>
          <w:color w:val="000000"/>
          <w:sz w:val="24"/>
        </w:rPr>
      </w:pPr>
      <w:r>
        <w:rPr>
          <w:rFonts w:hint="eastAsia" w:eastAsia="方正仿宋_GBK"/>
          <w:color w:val="000000"/>
          <w:sz w:val="24"/>
        </w:rPr>
        <w:t>市、县人民政府市政公用事业主管部门受本级人民政府授权具体负责实施本行政区域内城市市政公用事业特许经营权的临时接管。</w:t>
      </w:r>
    </w:p>
    <w:p>
      <w:pPr>
        <w:spacing w:line="460" w:lineRule="exact"/>
        <w:ind w:firstLine="480" w:firstLineChars="200"/>
        <w:rPr>
          <w:rFonts w:eastAsia="方正仿宋_GBK"/>
          <w:color w:val="000000"/>
          <w:sz w:val="24"/>
        </w:rPr>
      </w:pPr>
      <w:r>
        <w:rPr>
          <w:rFonts w:hint="eastAsia" w:eastAsia="方正仿宋_GBK"/>
          <w:color w:val="000000"/>
          <w:sz w:val="24"/>
        </w:rPr>
        <w:t>特许经营企业违反法律、行政法规和国家强制性标准，严重危害公共利益，或者造成重大质量、安全事故或者突发环境事件的，市、县市政公用事业主管部门应当责令限期改正；拒不改正、情节严重的，可以终止特许经营协议，并实施临时接管。构成犯罪的，依法追究刑事责任。</w:t>
      </w:r>
    </w:p>
    <w:p>
      <w:pPr>
        <w:spacing w:line="460" w:lineRule="exact"/>
        <w:ind w:firstLine="480" w:firstLineChars="200"/>
        <w:rPr>
          <w:rFonts w:eastAsia="方正仿宋_GBK"/>
          <w:color w:val="000000"/>
          <w:sz w:val="24"/>
        </w:rPr>
      </w:pPr>
      <w:r>
        <w:rPr>
          <w:rFonts w:hint="eastAsia" w:eastAsia="黑体"/>
          <w:color w:val="000000"/>
          <w:sz w:val="24"/>
        </w:rPr>
        <w:t>第四条</w:t>
      </w:r>
      <w:r>
        <w:rPr>
          <w:rFonts w:eastAsia="方正仿宋_GBK"/>
          <w:color w:val="000000"/>
          <w:sz w:val="24"/>
        </w:rPr>
        <w:t xml:space="preserve"> </w:t>
      </w:r>
      <w:r>
        <w:rPr>
          <w:rFonts w:hint="eastAsia" w:eastAsia="方正仿宋_GBK"/>
          <w:color w:val="000000"/>
          <w:sz w:val="24"/>
        </w:rPr>
        <w:t>市政公用事业主管部门应当制定城市市政公用事业临时接管应急预案报本级人民政府批准，并报上级主管部门备案。</w:t>
      </w:r>
    </w:p>
    <w:p>
      <w:pPr>
        <w:spacing w:line="460" w:lineRule="exact"/>
        <w:ind w:firstLine="480" w:firstLineChars="200"/>
        <w:rPr>
          <w:rFonts w:eastAsia="方正仿宋_GBK"/>
          <w:color w:val="000000"/>
          <w:sz w:val="24"/>
        </w:rPr>
      </w:pPr>
      <w:r>
        <w:rPr>
          <w:rFonts w:hint="eastAsia" w:eastAsia="黑体"/>
          <w:color w:val="000000"/>
          <w:sz w:val="24"/>
        </w:rPr>
        <w:t>第五条</w:t>
      </w:r>
      <w:r>
        <w:rPr>
          <w:rFonts w:eastAsia="方正仿宋_GBK"/>
          <w:color w:val="000000"/>
          <w:sz w:val="24"/>
        </w:rPr>
        <w:t xml:space="preserve">  </w:t>
      </w:r>
      <w:r>
        <w:rPr>
          <w:rFonts w:hint="eastAsia" w:eastAsia="方正仿宋_GBK"/>
          <w:color w:val="000000"/>
          <w:sz w:val="24"/>
        </w:rPr>
        <w:t>临时接管应急预案应明确成立政府负责、相关部门参加的临时接管机构，负责被接管企业的临时运行管理，保障城市市政公用产品和服务的供给。</w:t>
      </w:r>
    </w:p>
    <w:p>
      <w:pPr>
        <w:spacing w:line="460" w:lineRule="exact"/>
        <w:ind w:firstLine="480" w:firstLineChars="200"/>
        <w:rPr>
          <w:rFonts w:eastAsia="方正仿宋_GBK"/>
          <w:color w:val="000000"/>
          <w:sz w:val="24"/>
        </w:rPr>
      </w:pPr>
      <w:r>
        <w:rPr>
          <w:rFonts w:hint="eastAsia" w:eastAsia="黑体"/>
          <w:color w:val="000000"/>
          <w:sz w:val="24"/>
        </w:rPr>
        <w:t>第六条</w:t>
      </w:r>
      <w:r>
        <w:rPr>
          <w:rFonts w:eastAsia="方正仿宋_GBK"/>
          <w:color w:val="000000"/>
          <w:sz w:val="24"/>
        </w:rPr>
        <w:t xml:space="preserve">  </w:t>
      </w:r>
      <w:r>
        <w:rPr>
          <w:rFonts w:hint="eastAsia" w:eastAsia="方正仿宋_GBK"/>
          <w:color w:val="000000"/>
          <w:sz w:val="24"/>
        </w:rPr>
        <w:t>临时接管应按下列步骤进行：</w:t>
      </w:r>
    </w:p>
    <w:p>
      <w:pPr>
        <w:spacing w:line="460" w:lineRule="exact"/>
        <w:ind w:firstLine="480" w:firstLineChars="200"/>
        <w:rPr>
          <w:rFonts w:eastAsia="方正仿宋_GBK"/>
          <w:color w:val="000000"/>
          <w:sz w:val="24"/>
        </w:rPr>
      </w:pPr>
      <w:r>
        <w:rPr>
          <w:rFonts w:hint="eastAsia" w:eastAsia="方正仿宋_GBK"/>
          <w:color w:val="000000"/>
          <w:sz w:val="24"/>
        </w:rPr>
        <w:t>（一）市政公用事业主管部门向本级人民政府报告所发生的重大事项，并提出临时接管申请；同时应当告知被接管企业有要求举行听证的权利，被接管企业要求听证的，应当组织听证；</w:t>
      </w:r>
    </w:p>
    <w:p>
      <w:pPr>
        <w:spacing w:line="460" w:lineRule="exact"/>
        <w:ind w:firstLine="480" w:firstLineChars="200"/>
        <w:rPr>
          <w:rFonts w:eastAsia="方正仿宋_GBK"/>
          <w:color w:val="000000"/>
          <w:sz w:val="24"/>
        </w:rPr>
      </w:pPr>
      <w:r>
        <w:rPr>
          <w:rFonts w:hint="eastAsia" w:eastAsia="方正仿宋_GBK"/>
          <w:color w:val="000000"/>
          <w:sz w:val="24"/>
        </w:rPr>
        <w:t>（二）人民政府批准同意后，正式启动临时接管应急预案；</w:t>
      </w:r>
    </w:p>
    <w:p>
      <w:pPr>
        <w:spacing w:line="460" w:lineRule="exact"/>
        <w:ind w:firstLine="480" w:firstLineChars="200"/>
        <w:rPr>
          <w:rFonts w:eastAsia="方正仿宋_GBK"/>
          <w:color w:val="000000"/>
          <w:sz w:val="24"/>
        </w:rPr>
      </w:pPr>
      <w:r>
        <w:rPr>
          <w:rFonts w:hint="eastAsia" w:eastAsia="方正仿宋_GBK"/>
          <w:color w:val="000000"/>
          <w:sz w:val="24"/>
        </w:rPr>
        <w:t>（三）临时接管机构向特许经营企业根据批准文件，进驻特许经营企业实施接管；</w:t>
      </w:r>
    </w:p>
    <w:p>
      <w:pPr>
        <w:spacing w:line="460" w:lineRule="exact"/>
        <w:ind w:firstLine="480" w:firstLineChars="200"/>
        <w:rPr>
          <w:rFonts w:eastAsia="方正仿宋_GBK"/>
          <w:color w:val="000000"/>
          <w:sz w:val="24"/>
        </w:rPr>
      </w:pPr>
      <w:r>
        <w:rPr>
          <w:rFonts w:hint="eastAsia" w:eastAsia="方正仿宋_GBK"/>
          <w:color w:val="000000"/>
          <w:sz w:val="24"/>
        </w:rPr>
        <w:t>（四）临时接管期间，建设部门负责组织正常生产，其他部门按预案分工协作；</w:t>
      </w:r>
    </w:p>
    <w:p>
      <w:pPr>
        <w:spacing w:line="460" w:lineRule="exact"/>
        <w:ind w:firstLine="480" w:firstLineChars="200"/>
        <w:rPr>
          <w:rFonts w:eastAsia="方正仿宋_GBK"/>
          <w:color w:val="000000"/>
          <w:sz w:val="24"/>
        </w:rPr>
      </w:pPr>
      <w:r>
        <w:rPr>
          <w:rFonts w:hint="eastAsia" w:eastAsia="方正仿宋_GBK"/>
          <w:color w:val="000000"/>
          <w:sz w:val="24"/>
        </w:rPr>
        <w:t>（五）在临时接管的同时，市政公用事业主管部门应与特许经营企业进行谈判，对同意及时整改、接受处罚、承担违约责任，并能挽回影响的，可以继续经营；对拒不整改、无能力恢复正常生产的，按法定程序终止特许经营协议，取消其特许经营权，重新招标择优选择后续特许经营者。</w:t>
      </w:r>
    </w:p>
    <w:p>
      <w:pPr>
        <w:spacing w:line="460" w:lineRule="exact"/>
        <w:ind w:firstLine="480" w:firstLineChars="200"/>
        <w:rPr>
          <w:rFonts w:eastAsia="方正仿宋_GBK"/>
          <w:color w:val="000000"/>
          <w:sz w:val="24"/>
        </w:rPr>
      </w:pPr>
      <w:r>
        <w:rPr>
          <w:rFonts w:hint="eastAsia" w:eastAsia="黑体"/>
          <w:color w:val="000000"/>
          <w:sz w:val="24"/>
        </w:rPr>
        <w:t>第七条</w:t>
      </w:r>
      <w:r>
        <w:rPr>
          <w:rFonts w:eastAsia="方正仿宋_GBK"/>
          <w:color w:val="000000"/>
          <w:sz w:val="24"/>
        </w:rPr>
        <w:t xml:space="preserve">  </w:t>
      </w:r>
      <w:r>
        <w:rPr>
          <w:rFonts w:hint="eastAsia" w:eastAsia="方正仿宋_GBK"/>
          <w:color w:val="000000"/>
          <w:sz w:val="24"/>
        </w:rPr>
        <w:t>接管机构应在人民政府和上级主管部门指导下，严格按预案组织运作，保障城市供应和员工队伍稳定。</w:t>
      </w:r>
    </w:p>
    <w:p>
      <w:pPr>
        <w:spacing w:line="460" w:lineRule="exact"/>
        <w:ind w:firstLine="480" w:firstLineChars="200"/>
        <w:rPr>
          <w:rFonts w:eastAsia="方正仿宋_GBK"/>
          <w:color w:val="000000"/>
          <w:sz w:val="24"/>
        </w:rPr>
      </w:pPr>
      <w:r>
        <w:rPr>
          <w:rFonts w:hint="eastAsia" w:eastAsia="黑体"/>
          <w:color w:val="000000"/>
          <w:sz w:val="24"/>
        </w:rPr>
        <w:t>第八条</w:t>
      </w:r>
      <w:r>
        <w:rPr>
          <w:rFonts w:eastAsia="方正仿宋_GBK"/>
          <w:color w:val="000000"/>
          <w:sz w:val="24"/>
        </w:rPr>
        <w:t xml:space="preserve">  </w:t>
      </w:r>
      <w:r>
        <w:rPr>
          <w:rFonts w:hint="eastAsia" w:eastAsia="方正仿宋_GBK"/>
          <w:color w:val="000000"/>
          <w:sz w:val="24"/>
        </w:rPr>
        <w:t>临时接管所发生的费用由被接管的城市市政公用事业经营企业承担，被接管企业拒不承担的，从特许经营权终止后的资产补偿费用中扣除。</w:t>
      </w:r>
    </w:p>
    <w:p>
      <w:pPr>
        <w:spacing w:line="460" w:lineRule="exact"/>
        <w:ind w:firstLine="480" w:firstLineChars="200"/>
        <w:rPr>
          <w:rFonts w:eastAsia="方正仿宋_GBK"/>
          <w:color w:val="000000"/>
          <w:sz w:val="24"/>
        </w:rPr>
      </w:pPr>
      <w:r>
        <w:rPr>
          <w:rFonts w:hint="eastAsia" w:eastAsia="黑体"/>
          <w:color w:val="000000"/>
          <w:sz w:val="24"/>
        </w:rPr>
        <w:t>第九条</w:t>
      </w:r>
      <w:r>
        <w:rPr>
          <w:rFonts w:eastAsia="方正仿宋_GBK"/>
          <w:color w:val="000000"/>
          <w:sz w:val="24"/>
        </w:rPr>
        <w:t xml:space="preserve">  </w:t>
      </w:r>
      <w:r>
        <w:rPr>
          <w:rFonts w:hint="eastAsia" w:eastAsia="方正仿宋_GBK"/>
          <w:color w:val="000000"/>
          <w:sz w:val="24"/>
        </w:rPr>
        <w:t>被临时接管并终止特许经营权的企业，未整改到位的，不得参加本省行政区域内其他公用事业特许经营项目的招投标。</w:t>
      </w:r>
    </w:p>
    <w:p>
      <w:pPr>
        <w:spacing w:line="460" w:lineRule="exact"/>
        <w:ind w:firstLine="480" w:firstLineChars="200"/>
        <w:rPr>
          <w:rFonts w:eastAsia="方正仿宋_GBK"/>
          <w:color w:val="000000"/>
          <w:sz w:val="24"/>
        </w:rPr>
      </w:pPr>
    </w:p>
    <w:p>
      <w:pPr>
        <w:spacing w:line="460" w:lineRule="exact"/>
        <w:ind w:right="640"/>
        <w:rPr>
          <w:rFonts w:eastAsia="黑体"/>
          <w:color w:val="000000"/>
          <w:sz w:val="28"/>
          <w:szCs w:val="28"/>
        </w:rPr>
      </w:pPr>
      <w:r>
        <w:rPr>
          <w:rFonts w:eastAsia="方正仿宋_GBK"/>
          <w:color w:val="000000"/>
          <w:sz w:val="24"/>
        </w:rPr>
        <w:br w:type="column"/>
      </w:r>
      <w:r>
        <w:rPr>
          <w:rFonts w:hint="eastAsia" w:eastAsia="黑体"/>
          <w:color w:val="000000"/>
          <w:sz w:val="28"/>
          <w:szCs w:val="28"/>
        </w:rPr>
        <w:t>附件</w:t>
      </w:r>
      <w:r>
        <w:rPr>
          <w:rFonts w:eastAsia="黑体"/>
          <w:color w:val="000000"/>
          <w:sz w:val="28"/>
          <w:szCs w:val="28"/>
        </w:rPr>
        <w:t>4</w:t>
      </w:r>
      <w:r>
        <w:rPr>
          <w:rFonts w:hint="eastAsia" w:eastAsia="黑体"/>
          <w:color w:val="000000"/>
          <w:sz w:val="28"/>
          <w:szCs w:val="28"/>
        </w:rPr>
        <w:t>：</w:t>
      </w:r>
    </w:p>
    <w:p>
      <w:pPr>
        <w:spacing w:line="460" w:lineRule="exact"/>
        <w:ind w:right="640" w:firstLine="480" w:firstLineChars="200"/>
        <w:rPr>
          <w:rFonts w:eastAsia="方正仿宋_GBK"/>
          <w:color w:val="000000"/>
          <w:sz w:val="24"/>
        </w:rPr>
      </w:pPr>
    </w:p>
    <w:p>
      <w:pPr>
        <w:spacing w:line="460" w:lineRule="exact"/>
        <w:jc w:val="center"/>
        <w:rPr>
          <w:rFonts w:eastAsia="方正小标宋简体"/>
          <w:color w:val="000000"/>
          <w:sz w:val="36"/>
          <w:szCs w:val="36"/>
        </w:rPr>
      </w:pPr>
      <w:r>
        <w:rPr>
          <w:rFonts w:hint="eastAsia" w:eastAsia="方正小标宋简体"/>
          <w:color w:val="000000"/>
          <w:sz w:val="36"/>
          <w:szCs w:val="36"/>
        </w:rPr>
        <w:t>江苏省城市市政公用事业特许经营市场退出制度</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r>
        <w:rPr>
          <w:rFonts w:hint="eastAsia" w:eastAsia="黑体"/>
          <w:color w:val="000000"/>
          <w:sz w:val="24"/>
        </w:rPr>
        <w:t>第一条</w:t>
      </w:r>
      <w:r>
        <w:rPr>
          <w:rFonts w:eastAsia="方正仿宋_GBK"/>
          <w:color w:val="000000"/>
          <w:sz w:val="24"/>
        </w:rPr>
        <w:t xml:space="preserve">  </w:t>
      </w:r>
      <w:r>
        <w:rPr>
          <w:rFonts w:hint="eastAsia" w:eastAsia="方正仿宋_GBK"/>
          <w:color w:val="000000"/>
          <w:sz w:val="24"/>
        </w:rPr>
        <w:t>为了规范城市市政公用事业特许经营市场退出（以下简称市场退出）活动，保障社会公共利益和特许经营权人的合法权益，维护社会稳定，特制定本制度。</w:t>
      </w:r>
    </w:p>
    <w:p>
      <w:pPr>
        <w:spacing w:line="460" w:lineRule="exact"/>
        <w:ind w:firstLine="480" w:firstLineChars="200"/>
        <w:rPr>
          <w:rFonts w:eastAsia="方正仿宋_GBK"/>
          <w:color w:val="000000"/>
          <w:sz w:val="24"/>
        </w:rPr>
      </w:pPr>
      <w:r>
        <w:rPr>
          <w:rFonts w:hint="eastAsia" w:eastAsia="黑体"/>
          <w:color w:val="000000"/>
          <w:sz w:val="24"/>
        </w:rPr>
        <w:t>第二条</w:t>
      </w:r>
      <w:r>
        <w:rPr>
          <w:rFonts w:eastAsia="方正仿宋_GBK"/>
          <w:color w:val="000000"/>
          <w:sz w:val="24"/>
        </w:rPr>
        <w:t xml:space="preserve">  </w:t>
      </w:r>
      <w:r>
        <w:rPr>
          <w:rFonts w:hint="eastAsia" w:eastAsia="方正仿宋_GBK"/>
          <w:color w:val="000000"/>
          <w:sz w:val="24"/>
        </w:rPr>
        <w:t>全省行政区域内已实施市政公用市场化改革和已实施市政公用事业特许经营管理的城市供水、供气（管道燃气）、污水处理、垃圾处理等行业适用本制度。</w:t>
      </w:r>
    </w:p>
    <w:p>
      <w:pPr>
        <w:spacing w:line="460" w:lineRule="exact"/>
        <w:ind w:firstLine="480" w:firstLineChars="200"/>
        <w:rPr>
          <w:rFonts w:eastAsia="方正仿宋_GBK"/>
          <w:color w:val="000000"/>
          <w:sz w:val="24"/>
        </w:rPr>
      </w:pPr>
      <w:r>
        <w:rPr>
          <w:rFonts w:hint="eastAsia" w:eastAsia="黑体"/>
          <w:color w:val="000000"/>
          <w:sz w:val="24"/>
        </w:rPr>
        <w:t>第三条</w:t>
      </w:r>
      <w:r>
        <w:rPr>
          <w:rFonts w:eastAsia="方正仿宋_GBK"/>
          <w:color w:val="000000"/>
          <w:sz w:val="24"/>
        </w:rPr>
        <w:t xml:space="preserve">  </w:t>
      </w:r>
      <w:r>
        <w:rPr>
          <w:rFonts w:hint="eastAsia" w:eastAsia="方正仿宋_GBK"/>
          <w:color w:val="000000"/>
          <w:sz w:val="24"/>
        </w:rPr>
        <w:t>省建设行政主管部门负责全省行政区域内城市市政公用事业特许经营市场退出活动的指导和监督工作。</w:t>
      </w:r>
    </w:p>
    <w:p>
      <w:pPr>
        <w:spacing w:line="460" w:lineRule="exact"/>
        <w:ind w:firstLine="480" w:firstLineChars="200"/>
        <w:rPr>
          <w:rFonts w:eastAsia="方正仿宋_GBK"/>
          <w:color w:val="000000"/>
          <w:sz w:val="24"/>
        </w:rPr>
      </w:pPr>
      <w:r>
        <w:rPr>
          <w:rFonts w:hint="eastAsia" w:eastAsia="方正仿宋_GBK"/>
          <w:color w:val="000000"/>
          <w:sz w:val="24"/>
        </w:rPr>
        <w:t>市、县人民政府市政公用事业主管部门受本级人民政府的授权，具体负责实施本行政区域内城市市政公用事业特许经营市场退出活动。</w:t>
      </w:r>
    </w:p>
    <w:p>
      <w:pPr>
        <w:spacing w:line="460" w:lineRule="exact"/>
        <w:ind w:firstLine="480" w:firstLineChars="200"/>
        <w:rPr>
          <w:rFonts w:eastAsia="方正仿宋_GBK"/>
          <w:color w:val="000000"/>
          <w:sz w:val="24"/>
        </w:rPr>
      </w:pPr>
      <w:r>
        <w:rPr>
          <w:rFonts w:hint="eastAsia" w:eastAsia="黑体"/>
          <w:color w:val="000000"/>
          <w:sz w:val="24"/>
        </w:rPr>
        <w:t>第四条</w:t>
      </w:r>
      <w:r>
        <w:rPr>
          <w:rFonts w:eastAsia="方正仿宋_GBK"/>
          <w:color w:val="000000"/>
          <w:sz w:val="24"/>
        </w:rPr>
        <w:t xml:space="preserve">  </w:t>
      </w:r>
      <w:r>
        <w:rPr>
          <w:rFonts w:hint="eastAsia" w:eastAsia="方正仿宋_GBK"/>
          <w:color w:val="000000"/>
          <w:sz w:val="24"/>
        </w:rPr>
        <w:t>出现以下情况之一者，应按本制度规定退出：</w:t>
      </w:r>
    </w:p>
    <w:p>
      <w:pPr>
        <w:spacing w:line="460" w:lineRule="exact"/>
        <w:ind w:firstLine="480" w:firstLineChars="200"/>
        <w:rPr>
          <w:rFonts w:eastAsia="方正仿宋_GBK"/>
          <w:color w:val="000000"/>
          <w:sz w:val="24"/>
        </w:rPr>
      </w:pPr>
      <w:r>
        <w:rPr>
          <w:rFonts w:hint="eastAsia" w:eastAsia="方正仿宋_GBK"/>
          <w:color w:val="000000"/>
          <w:sz w:val="24"/>
        </w:rPr>
        <w:t>（一）特许经营期限届满，且未依法或依照特许经营协议提出延期申请；</w:t>
      </w:r>
    </w:p>
    <w:p>
      <w:pPr>
        <w:spacing w:line="460" w:lineRule="exact"/>
        <w:ind w:firstLine="480" w:firstLineChars="200"/>
        <w:rPr>
          <w:rFonts w:eastAsia="方正仿宋_GBK"/>
          <w:color w:val="000000"/>
          <w:sz w:val="24"/>
        </w:rPr>
      </w:pPr>
      <w:r>
        <w:rPr>
          <w:rFonts w:hint="eastAsia" w:eastAsia="方正仿宋_GBK"/>
          <w:color w:val="000000"/>
          <w:sz w:val="24"/>
        </w:rPr>
        <w:t>（二）特许经营协议签定双方就提前终止特许经营权达成协议；</w:t>
      </w:r>
    </w:p>
    <w:p>
      <w:pPr>
        <w:spacing w:line="460" w:lineRule="exact"/>
        <w:ind w:firstLine="480" w:firstLineChars="200"/>
        <w:rPr>
          <w:rFonts w:eastAsia="方正仿宋_GBK"/>
          <w:color w:val="000000"/>
          <w:sz w:val="24"/>
        </w:rPr>
      </w:pPr>
      <w:r>
        <w:rPr>
          <w:rFonts w:hint="eastAsia" w:eastAsia="方正仿宋_GBK"/>
          <w:color w:val="000000"/>
          <w:sz w:val="24"/>
        </w:rPr>
        <w:t>（三）特许经营企业被依法或依照特许经营协议提前终止特许经营权。</w:t>
      </w:r>
    </w:p>
    <w:p>
      <w:pPr>
        <w:spacing w:line="460" w:lineRule="exact"/>
        <w:ind w:firstLine="480" w:firstLineChars="200"/>
        <w:rPr>
          <w:rFonts w:eastAsia="方正仿宋_GBK"/>
          <w:color w:val="000000"/>
          <w:sz w:val="24"/>
        </w:rPr>
      </w:pPr>
      <w:r>
        <w:rPr>
          <w:rFonts w:hint="eastAsia" w:eastAsia="黑体"/>
          <w:color w:val="000000"/>
          <w:sz w:val="24"/>
        </w:rPr>
        <w:t>第五条</w:t>
      </w:r>
      <w:r>
        <w:rPr>
          <w:rFonts w:eastAsia="方正仿宋_GBK"/>
          <w:color w:val="000000"/>
          <w:sz w:val="24"/>
        </w:rPr>
        <w:t xml:space="preserve">  </w:t>
      </w:r>
      <w:r>
        <w:rPr>
          <w:rFonts w:hint="eastAsia" w:eastAsia="方正仿宋_GBK"/>
          <w:color w:val="000000"/>
          <w:sz w:val="24"/>
        </w:rPr>
        <w:t>因本制度第四条（一）项之情况需退出的，特许经营企业应于届满前</w:t>
      </w:r>
      <w:r>
        <w:rPr>
          <w:rFonts w:eastAsia="方正仿宋_GBK"/>
          <w:color w:val="000000"/>
          <w:sz w:val="24"/>
        </w:rPr>
        <w:t>2</w:t>
      </w:r>
      <w:r>
        <w:rPr>
          <w:rFonts w:hint="eastAsia" w:eastAsia="方正仿宋_GBK"/>
          <w:color w:val="000000"/>
          <w:sz w:val="24"/>
        </w:rPr>
        <w:t>年向市政公用事业主管部门提出申请，并提交下列材料：</w:t>
      </w:r>
    </w:p>
    <w:p>
      <w:pPr>
        <w:spacing w:line="460" w:lineRule="exact"/>
        <w:ind w:firstLine="480" w:firstLineChars="200"/>
        <w:rPr>
          <w:rFonts w:eastAsia="方正仿宋_GBK"/>
          <w:color w:val="000000"/>
          <w:sz w:val="24"/>
        </w:rPr>
      </w:pPr>
      <w:r>
        <w:rPr>
          <w:rFonts w:hint="eastAsia" w:eastAsia="方正仿宋_GBK"/>
          <w:color w:val="000000"/>
          <w:sz w:val="24"/>
        </w:rPr>
        <w:t>（一）申请理由；</w:t>
      </w:r>
    </w:p>
    <w:p>
      <w:pPr>
        <w:spacing w:line="460" w:lineRule="exact"/>
        <w:ind w:firstLine="480" w:firstLineChars="200"/>
        <w:rPr>
          <w:rFonts w:eastAsia="方正仿宋_GBK"/>
          <w:color w:val="000000"/>
          <w:sz w:val="24"/>
        </w:rPr>
      </w:pPr>
      <w:r>
        <w:rPr>
          <w:rFonts w:hint="eastAsia" w:eastAsia="方正仿宋_GBK"/>
          <w:color w:val="000000"/>
          <w:sz w:val="24"/>
        </w:rPr>
        <w:t>（二）资产交接清单；</w:t>
      </w:r>
    </w:p>
    <w:p>
      <w:pPr>
        <w:spacing w:line="460" w:lineRule="exact"/>
        <w:ind w:firstLine="480" w:firstLineChars="200"/>
        <w:rPr>
          <w:rFonts w:eastAsia="方正仿宋_GBK"/>
          <w:color w:val="000000"/>
          <w:sz w:val="24"/>
        </w:rPr>
      </w:pPr>
      <w:r>
        <w:rPr>
          <w:rFonts w:hint="eastAsia" w:eastAsia="方正仿宋_GBK"/>
          <w:color w:val="000000"/>
          <w:sz w:val="24"/>
        </w:rPr>
        <w:t>（三）资产处置方案及依据；</w:t>
      </w:r>
    </w:p>
    <w:p>
      <w:pPr>
        <w:spacing w:line="460" w:lineRule="exact"/>
        <w:ind w:firstLine="480" w:firstLineChars="200"/>
        <w:rPr>
          <w:rFonts w:eastAsia="方正仿宋_GBK"/>
          <w:color w:val="000000"/>
          <w:sz w:val="24"/>
        </w:rPr>
      </w:pPr>
      <w:r>
        <w:rPr>
          <w:rFonts w:hint="eastAsia" w:eastAsia="方正仿宋_GBK"/>
          <w:color w:val="000000"/>
          <w:sz w:val="24"/>
        </w:rPr>
        <w:t>（四）业务、技术、用户资料等档案；</w:t>
      </w:r>
    </w:p>
    <w:p>
      <w:pPr>
        <w:spacing w:line="460" w:lineRule="exact"/>
        <w:ind w:firstLine="480" w:firstLineChars="200"/>
        <w:rPr>
          <w:rFonts w:eastAsia="方正仿宋_GBK"/>
          <w:color w:val="000000"/>
          <w:sz w:val="24"/>
        </w:rPr>
      </w:pPr>
      <w:r>
        <w:rPr>
          <w:rFonts w:hint="eastAsia" w:eastAsia="方正仿宋_GBK"/>
          <w:color w:val="000000"/>
          <w:sz w:val="24"/>
        </w:rPr>
        <w:t>（五）员工征询意见；</w:t>
      </w:r>
    </w:p>
    <w:p>
      <w:pPr>
        <w:spacing w:line="460" w:lineRule="exact"/>
        <w:ind w:firstLine="480" w:firstLineChars="200"/>
        <w:rPr>
          <w:rFonts w:eastAsia="方正仿宋_GBK"/>
          <w:color w:val="000000"/>
          <w:sz w:val="24"/>
        </w:rPr>
      </w:pPr>
      <w:r>
        <w:rPr>
          <w:rFonts w:hint="eastAsia" w:eastAsia="方正仿宋_GBK"/>
          <w:color w:val="000000"/>
          <w:sz w:val="24"/>
        </w:rPr>
        <w:t>（六）业务交接方案。</w:t>
      </w:r>
    </w:p>
    <w:p>
      <w:pPr>
        <w:spacing w:line="460" w:lineRule="exact"/>
        <w:ind w:firstLine="480" w:firstLineChars="200"/>
        <w:rPr>
          <w:rFonts w:eastAsia="方正仿宋_GBK"/>
          <w:color w:val="000000"/>
          <w:sz w:val="24"/>
        </w:rPr>
      </w:pPr>
      <w:r>
        <w:rPr>
          <w:rFonts w:hint="eastAsia" w:eastAsia="方正仿宋_GBK"/>
          <w:color w:val="000000"/>
          <w:sz w:val="24"/>
        </w:rPr>
        <w:t>市政公用事业主管部门应于</w:t>
      </w:r>
      <w:r>
        <w:rPr>
          <w:rFonts w:eastAsia="方正仿宋_GBK"/>
          <w:color w:val="000000"/>
          <w:sz w:val="24"/>
        </w:rPr>
        <w:t>2</w:t>
      </w:r>
      <w:r>
        <w:rPr>
          <w:rFonts w:hint="eastAsia" w:eastAsia="方正仿宋_GBK"/>
          <w:color w:val="000000"/>
          <w:sz w:val="24"/>
        </w:rPr>
        <w:t>个月内与特许经营企业就是否延长特许经营期限形成共识；对决定不延长特许经营期的，应于</w:t>
      </w:r>
      <w:r>
        <w:rPr>
          <w:rFonts w:eastAsia="方正仿宋_GBK"/>
          <w:color w:val="000000"/>
          <w:sz w:val="24"/>
        </w:rPr>
        <w:t>6</w:t>
      </w:r>
      <w:r>
        <w:rPr>
          <w:rFonts w:hint="eastAsia" w:eastAsia="方正仿宋_GBK"/>
          <w:color w:val="000000"/>
          <w:sz w:val="24"/>
        </w:rPr>
        <w:t>个月内对特许经营企业的申报材料进行审查（包括委托中介机构对移交资产进行评估），并作出答复；答复后</w:t>
      </w:r>
      <w:r>
        <w:rPr>
          <w:rFonts w:eastAsia="方正仿宋_GBK"/>
          <w:color w:val="000000"/>
          <w:sz w:val="24"/>
        </w:rPr>
        <w:t>1</w:t>
      </w:r>
      <w:r>
        <w:rPr>
          <w:rFonts w:hint="eastAsia" w:eastAsia="方正仿宋_GBK"/>
          <w:color w:val="000000"/>
          <w:sz w:val="24"/>
        </w:rPr>
        <w:t>年内应依法重新进行招标择优选择后续特许经营者。</w:t>
      </w:r>
    </w:p>
    <w:p>
      <w:pPr>
        <w:spacing w:line="460" w:lineRule="exact"/>
        <w:ind w:firstLine="480" w:firstLineChars="200"/>
        <w:rPr>
          <w:rFonts w:eastAsia="方正仿宋_GBK"/>
          <w:color w:val="000000"/>
          <w:sz w:val="24"/>
        </w:rPr>
      </w:pPr>
      <w:r>
        <w:rPr>
          <w:rFonts w:hint="eastAsia" w:eastAsia="黑体"/>
          <w:color w:val="000000"/>
          <w:sz w:val="24"/>
        </w:rPr>
        <w:t>第六条</w:t>
      </w:r>
      <w:r>
        <w:rPr>
          <w:rFonts w:eastAsia="方正仿宋_GBK"/>
          <w:color w:val="000000"/>
          <w:sz w:val="24"/>
        </w:rPr>
        <w:t xml:space="preserve">  </w:t>
      </w:r>
      <w:r>
        <w:rPr>
          <w:rFonts w:hint="eastAsia" w:eastAsia="方正仿宋_GBK"/>
          <w:color w:val="000000"/>
          <w:sz w:val="24"/>
        </w:rPr>
        <w:t>因本制度第四条（二）项之情况需退出的，特许经营企业应在协定时间内向市政公用事业主管部门提交本制度第五条规定的（二）、（三）、（四）、（五）、（六）项材料。</w:t>
      </w:r>
    </w:p>
    <w:p>
      <w:pPr>
        <w:spacing w:line="460" w:lineRule="exact"/>
        <w:ind w:firstLine="480" w:firstLineChars="200"/>
        <w:rPr>
          <w:rFonts w:eastAsia="方正仿宋_GBK"/>
          <w:color w:val="000000"/>
          <w:sz w:val="24"/>
        </w:rPr>
      </w:pPr>
      <w:r>
        <w:rPr>
          <w:rFonts w:hint="eastAsia" w:eastAsia="方正仿宋_GBK"/>
          <w:color w:val="000000"/>
          <w:sz w:val="24"/>
        </w:rPr>
        <w:t>市政公用事业主管部门应在收到材料后的</w:t>
      </w:r>
      <w:r>
        <w:rPr>
          <w:rFonts w:eastAsia="方正仿宋_GBK"/>
          <w:color w:val="000000"/>
          <w:sz w:val="24"/>
        </w:rPr>
        <w:t>6</w:t>
      </w:r>
      <w:r>
        <w:rPr>
          <w:rFonts w:hint="eastAsia" w:eastAsia="方正仿宋_GBK"/>
          <w:color w:val="000000"/>
          <w:sz w:val="24"/>
        </w:rPr>
        <w:t>个月内完成审查（包括委托中介机构对移交资产进行评估），审查后</w:t>
      </w:r>
      <w:r>
        <w:rPr>
          <w:rFonts w:eastAsia="方正仿宋_GBK"/>
          <w:color w:val="000000"/>
          <w:sz w:val="24"/>
        </w:rPr>
        <w:t>1</w:t>
      </w:r>
      <w:r>
        <w:rPr>
          <w:rFonts w:hint="eastAsia" w:eastAsia="方正仿宋_GBK"/>
          <w:color w:val="000000"/>
          <w:sz w:val="24"/>
        </w:rPr>
        <w:t>年内应依法重新进行招标择优选择后续特许经营者。</w:t>
      </w:r>
    </w:p>
    <w:p>
      <w:pPr>
        <w:spacing w:line="460" w:lineRule="exact"/>
        <w:ind w:firstLine="480" w:firstLineChars="200"/>
        <w:rPr>
          <w:rFonts w:eastAsia="方正仿宋_GBK"/>
          <w:color w:val="000000"/>
          <w:sz w:val="24"/>
        </w:rPr>
      </w:pPr>
      <w:r>
        <w:rPr>
          <w:rFonts w:hint="eastAsia" w:eastAsia="黑体"/>
          <w:color w:val="000000"/>
          <w:sz w:val="24"/>
        </w:rPr>
        <w:t>第七条</w:t>
      </w:r>
      <w:r>
        <w:rPr>
          <w:rFonts w:eastAsia="方正仿宋_GBK"/>
          <w:color w:val="000000"/>
          <w:sz w:val="24"/>
        </w:rPr>
        <w:t xml:space="preserve">  </w:t>
      </w:r>
      <w:r>
        <w:rPr>
          <w:rFonts w:hint="eastAsia" w:eastAsia="方正仿宋_GBK"/>
          <w:color w:val="000000"/>
          <w:sz w:val="24"/>
        </w:rPr>
        <w:t>因本制度第四条（三）项之情况需退出的，市政公用事业主管部门应报本级政府批准后书面告知特许经营企业。</w:t>
      </w:r>
    </w:p>
    <w:p>
      <w:pPr>
        <w:spacing w:line="460" w:lineRule="exact"/>
        <w:ind w:firstLine="480" w:firstLineChars="200"/>
        <w:rPr>
          <w:rFonts w:eastAsia="方正仿宋_GBK"/>
          <w:color w:val="000000"/>
          <w:sz w:val="24"/>
        </w:rPr>
      </w:pPr>
      <w:r>
        <w:rPr>
          <w:rFonts w:hint="eastAsia" w:eastAsia="方正仿宋_GBK"/>
          <w:color w:val="000000"/>
          <w:sz w:val="24"/>
        </w:rPr>
        <w:t>特许经营企业应在被告知后的</w:t>
      </w:r>
      <w:r>
        <w:rPr>
          <w:rFonts w:eastAsia="方正仿宋_GBK"/>
          <w:color w:val="000000"/>
          <w:sz w:val="24"/>
        </w:rPr>
        <w:t>1</w:t>
      </w:r>
      <w:r>
        <w:rPr>
          <w:rFonts w:hint="eastAsia" w:eastAsia="方正仿宋_GBK"/>
          <w:color w:val="000000"/>
          <w:sz w:val="24"/>
        </w:rPr>
        <w:t>周内向市政公用事业主管部门提交本制度第五条规定的（二）、（三）、（四）、（五）、（六）项材料。</w:t>
      </w:r>
    </w:p>
    <w:p>
      <w:pPr>
        <w:spacing w:line="460" w:lineRule="exact"/>
        <w:ind w:firstLine="480" w:firstLineChars="200"/>
        <w:rPr>
          <w:rFonts w:eastAsia="方正仿宋_GBK"/>
          <w:color w:val="000000"/>
          <w:sz w:val="24"/>
        </w:rPr>
      </w:pPr>
      <w:r>
        <w:rPr>
          <w:rFonts w:hint="eastAsia" w:eastAsia="方正仿宋_GBK"/>
          <w:color w:val="000000"/>
          <w:sz w:val="24"/>
        </w:rPr>
        <w:t>市政公用事业主管部门应在收到材料后的</w:t>
      </w:r>
      <w:r>
        <w:rPr>
          <w:rFonts w:eastAsia="方正仿宋_GBK"/>
          <w:color w:val="000000"/>
          <w:sz w:val="24"/>
        </w:rPr>
        <w:t>6</w:t>
      </w:r>
      <w:r>
        <w:rPr>
          <w:rFonts w:hint="eastAsia" w:eastAsia="方正仿宋_GBK"/>
          <w:color w:val="000000"/>
          <w:sz w:val="24"/>
        </w:rPr>
        <w:t>个月内完成审查（包括委托中介机构对移交资产进行评估），审查后</w:t>
      </w:r>
      <w:r>
        <w:rPr>
          <w:rFonts w:eastAsia="方正仿宋_GBK"/>
          <w:color w:val="000000"/>
          <w:sz w:val="24"/>
        </w:rPr>
        <w:t>1</w:t>
      </w:r>
      <w:r>
        <w:rPr>
          <w:rFonts w:hint="eastAsia" w:eastAsia="方正仿宋_GBK"/>
          <w:color w:val="000000"/>
          <w:sz w:val="24"/>
        </w:rPr>
        <w:t>年内应依法重新进行招标择优选择后续特许经营者。</w:t>
      </w:r>
    </w:p>
    <w:p>
      <w:pPr>
        <w:spacing w:line="460" w:lineRule="exact"/>
        <w:ind w:firstLine="480" w:firstLineChars="200"/>
        <w:rPr>
          <w:rFonts w:eastAsia="方正仿宋_GBK"/>
          <w:color w:val="000000"/>
          <w:sz w:val="24"/>
        </w:rPr>
      </w:pPr>
      <w:r>
        <w:rPr>
          <w:rFonts w:hint="eastAsia" w:eastAsia="黑体"/>
          <w:color w:val="000000"/>
          <w:sz w:val="24"/>
        </w:rPr>
        <w:t>第八条</w:t>
      </w:r>
      <w:r>
        <w:rPr>
          <w:rFonts w:eastAsia="方正仿宋_GBK"/>
          <w:color w:val="000000"/>
          <w:sz w:val="24"/>
        </w:rPr>
        <w:t xml:space="preserve">  </w:t>
      </w:r>
      <w:r>
        <w:rPr>
          <w:rFonts w:hint="eastAsia" w:eastAsia="方正仿宋_GBK"/>
          <w:color w:val="000000"/>
          <w:sz w:val="24"/>
        </w:rPr>
        <w:t>市政公用事业主管部门应及时与特许经营企业签定协议，终止特许经营权，并报上级市政公用事业主管部门备案。</w:t>
      </w:r>
    </w:p>
    <w:p>
      <w:pPr>
        <w:spacing w:line="460" w:lineRule="exact"/>
        <w:ind w:firstLine="480" w:firstLineChars="200"/>
        <w:rPr>
          <w:rFonts w:eastAsia="方正仿宋_GBK"/>
          <w:color w:val="000000"/>
          <w:sz w:val="24"/>
        </w:rPr>
      </w:pPr>
      <w:r>
        <w:rPr>
          <w:rFonts w:hint="eastAsia" w:eastAsia="黑体"/>
          <w:color w:val="000000"/>
          <w:sz w:val="24"/>
        </w:rPr>
        <w:t>第九条</w:t>
      </w:r>
      <w:r>
        <w:rPr>
          <w:rFonts w:eastAsia="方正仿宋_GBK"/>
          <w:color w:val="000000"/>
          <w:sz w:val="24"/>
        </w:rPr>
        <w:t xml:space="preserve">  </w:t>
      </w:r>
      <w:r>
        <w:rPr>
          <w:rFonts w:hint="eastAsia" w:eastAsia="方正仿宋_GBK"/>
          <w:color w:val="000000"/>
          <w:sz w:val="24"/>
        </w:rPr>
        <w:t>特许经营权终止后，在市政公用事业主管部门或其指定的单位完成接管前，特许经营企业应按照市政公用事业主管部门的要求，善意履行看守职责，继续维持正常的经营服务。</w:t>
      </w:r>
    </w:p>
    <w:p>
      <w:pPr>
        <w:spacing w:line="460" w:lineRule="exact"/>
        <w:ind w:firstLine="480" w:firstLineChars="200"/>
        <w:rPr>
          <w:rFonts w:eastAsia="方正仿宋_GBK"/>
          <w:color w:val="000000"/>
          <w:sz w:val="24"/>
        </w:rPr>
      </w:pPr>
      <w:r>
        <w:rPr>
          <w:rFonts w:hint="eastAsia" w:eastAsia="黑体"/>
          <w:color w:val="000000"/>
          <w:sz w:val="24"/>
        </w:rPr>
        <w:t>第十条</w:t>
      </w:r>
      <w:r>
        <w:rPr>
          <w:rFonts w:eastAsia="方正仿宋_GBK"/>
          <w:color w:val="000000"/>
          <w:sz w:val="24"/>
        </w:rPr>
        <w:t xml:space="preserve">  </w:t>
      </w:r>
      <w:r>
        <w:rPr>
          <w:rFonts w:hint="eastAsia" w:eastAsia="方正仿宋_GBK"/>
          <w:color w:val="000000"/>
          <w:sz w:val="24"/>
        </w:rPr>
        <w:t>按本制度规定终止特许经营权的，市政公用事业主管部门应按照特许经营协议规定对特许经营企业移交的资产进行处置。</w:t>
      </w:r>
    </w:p>
    <w:p>
      <w:pPr>
        <w:spacing w:line="460" w:lineRule="exact"/>
        <w:ind w:right="640"/>
        <w:rPr>
          <w:rFonts w:eastAsia="黑体"/>
          <w:color w:val="000000"/>
          <w:sz w:val="28"/>
          <w:szCs w:val="28"/>
        </w:rPr>
      </w:pPr>
      <w:r>
        <w:rPr>
          <w:rFonts w:eastAsia="方正仿宋_GBK"/>
          <w:color w:val="000000"/>
          <w:sz w:val="24"/>
        </w:rPr>
        <w:br w:type="column"/>
      </w:r>
      <w:r>
        <w:rPr>
          <w:rFonts w:hint="eastAsia" w:eastAsia="黑体"/>
          <w:color w:val="000000"/>
          <w:sz w:val="28"/>
          <w:szCs w:val="28"/>
        </w:rPr>
        <w:t>附件</w:t>
      </w:r>
      <w:r>
        <w:rPr>
          <w:rFonts w:eastAsia="黑体"/>
          <w:color w:val="000000"/>
          <w:sz w:val="28"/>
          <w:szCs w:val="28"/>
        </w:rPr>
        <w:t>5</w:t>
      </w:r>
      <w:r>
        <w:rPr>
          <w:rFonts w:hint="eastAsia" w:eastAsia="黑体"/>
          <w:color w:val="000000"/>
          <w:sz w:val="28"/>
          <w:szCs w:val="28"/>
        </w:rPr>
        <w:t>：</w:t>
      </w:r>
    </w:p>
    <w:p>
      <w:pPr>
        <w:spacing w:line="460" w:lineRule="exact"/>
        <w:ind w:right="640" w:firstLine="480" w:firstLineChars="200"/>
        <w:rPr>
          <w:rFonts w:eastAsia="方正仿宋_GBK"/>
          <w:color w:val="000000"/>
          <w:sz w:val="24"/>
        </w:rPr>
      </w:pPr>
    </w:p>
    <w:p>
      <w:pPr>
        <w:spacing w:line="460" w:lineRule="exact"/>
        <w:jc w:val="center"/>
        <w:rPr>
          <w:rFonts w:eastAsia="方正小标宋简体"/>
          <w:color w:val="000000"/>
          <w:sz w:val="36"/>
          <w:szCs w:val="36"/>
        </w:rPr>
      </w:pPr>
      <w:r>
        <w:rPr>
          <w:rFonts w:hint="eastAsia" w:eastAsia="方正小标宋简体"/>
          <w:color w:val="000000"/>
          <w:sz w:val="36"/>
          <w:szCs w:val="36"/>
        </w:rPr>
        <w:t>江苏省城市市政公用事业履约保证制度</w:t>
      </w:r>
    </w:p>
    <w:p>
      <w:pPr>
        <w:snapToGrid w:val="0"/>
        <w:spacing w:line="460" w:lineRule="exact"/>
        <w:ind w:firstLine="480" w:firstLineChars="200"/>
        <w:rPr>
          <w:rFonts w:eastAsia="方正仿宋_GBK"/>
          <w:color w:val="000000"/>
          <w:sz w:val="24"/>
        </w:rPr>
      </w:pPr>
      <w:r>
        <w:rPr>
          <w:rFonts w:eastAsia="方正仿宋_GBK"/>
          <w:color w:val="000000"/>
          <w:sz w:val="24"/>
        </w:rPr>
        <w:t xml:space="preserve">  </w:t>
      </w:r>
    </w:p>
    <w:p>
      <w:pPr>
        <w:snapToGrid w:val="0"/>
        <w:spacing w:line="460" w:lineRule="exact"/>
        <w:ind w:firstLine="480" w:firstLineChars="200"/>
        <w:rPr>
          <w:rFonts w:eastAsia="方正仿宋_GBK"/>
          <w:color w:val="000000"/>
          <w:sz w:val="24"/>
        </w:rPr>
      </w:pPr>
      <w:r>
        <w:rPr>
          <w:rFonts w:hint="eastAsia" w:eastAsia="黑体"/>
          <w:color w:val="000000"/>
          <w:sz w:val="24"/>
        </w:rPr>
        <w:t>第一条</w:t>
      </w:r>
      <w:r>
        <w:rPr>
          <w:rFonts w:eastAsia="方正仿宋_GBK"/>
          <w:color w:val="000000"/>
          <w:sz w:val="24"/>
        </w:rPr>
        <w:t xml:space="preserve">  </w:t>
      </w:r>
      <w:r>
        <w:rPr>
          <w:rFonts w:hint="eastAsia" w:eastAsia="方正仿宋_GBK"/>
          <w:color w:val="000000"/>
          <w:sz w:val="24"/>
        </w:rPr>
        <w:t>为确保特许经营协议的有效执行，及时制止特许经营企业的违约行为，特制定本制度。</w:t>
      </w:r>
    </w:p>
    <w:p>
      <w:pPr>
        <w:snapToGrid w:val="0"/>
        <w:spacing w:line="460" w:lineRule="exact"/>
        <w:ind w:firstLine="480" w:firstLineChars="200"/>
        <w:rPr>
          <w:rFonts w:eastAsia="方正仿宋_GBK"/>
          <w:color w:val="000000"/>
          <w:sz w:val="24"/>
        </w:rPr>
      </w:pPr>
      <w:r>
        <w:rPr>
          <w:rFonts w:hint="eastAsia" w:eastAsia="黑体"/>
          <w:color w:val="000000"/>
          <w:sz w:val="24"/>
        </w:rPr>
        <w:t>第二条</w:t>
      </w:r>
      <w:r>
        <w:rPr>
          <w:rFonts w:eastAsia="方正仿宋_GBK"/>
          <w:color w:val="000000"/>
          <w:sz w:val="24"/>
        </w:rPr>
        <w:t xml:space="preserve">  </w:t>
      </w:r>
      <w:r>
        <w:rPr>
          <w:rFonts w:hint="eastAsia" w:eastAsia="方正仿宋_GBK"/>
          <w:color w:val="000000"/>
          <w:sz w:val="24"/>
        </w:rPr>
        <w:t>全省行政区域内已实施市政公用市场化改革和已实施市政公用事业特许经营管理的城市供水、供气（管道燃气）、污水处理、垃圾处理等行业适用本制度。</w:t>
      </w:r>
    </w:p>
    <w:p>
      <w:pPr>
        <w:snapToGrid w:val="0"/>
        <w:spacing w:line="460" w:lineRule="exact"/>
        <w:ind w:firstLine="480" w:firstLineChars="200"/>
        <w:rPr>
          <w:rFonts w:eastAsia="方正仿宋_GBK"/>
          <w:color w:val="000000"/>
          <w:sz w:val="24"/>
        </w:rPr>
      </w:pPr>
      <w:r>
        <w:rPr>
          <w:rFonts w:hint="eastAsia" w:eastAsia="黑体"/>
          <w:color w:val="000000"/>
          <w:sz w:val="24"/>
        </w:rPr>
        <w:t>第三条</w:t>
      </w:r>
      <w:r>
        <w:rPr>
          <w:rFonts w:eastAsia="方正仿宋_GBK"/>
          <w:color w:val="000000"/>
          <w:sz w:val="24"/>
        </w:rPr>
        <w:t xml:space="preserve">  </w:t>
      </w:r>
      <w:r>
        <w:rPr>
          <w:rFonts w:hint="eastAsia" w:eastAsia="方正仿宋_GBK"/>
          <w:color w:val="000000"/>
          <w:sz w:val="24"/>
        </w:rPr>
        <w:t>省建设行政主管部门负责全省行政区域内城市市政公用事业履约保证的指导和监督工作。</w:t>
      </w:r>
    </w:p>
    <w:p>
      <w:pPr>
        <w:snapToGrid w:val="0"/>
        <w:spacing w:line="460" w:lineRule="exact"/>
        <w:ind w:firstLine="480" w:firstLineChars="200"/>
        <w:rPr>
          <w:rFonts w:eastAsia="方正仿宋_GBK"/>
          <w:color w:val="000000"/>
          <w:sz w:val="24"/>
        </w:rPr>
      </w:pPr>
      <w:r>
        <w:rPr>
          <w:rFonts w:hint="eastAsia" w:eastAsia="方正仿宋_GBK"/>
          <w:color w:val="000000"/>
          <w:sz w:val="24"/>
        </w:rPr>
        <w:t>市、县人民政府市政公用事业主管部门受本级人民政府的授权具体负责本行政区域内市政公用事业履约保证制度的实施。</w:t>
      </w:r>
    </w:p>
    <w:p>
      <w:pPr>
        <w:snapToGrid w:val="0"/>
        <w:spacing w:line="460" w:lineRule="exact"/>
        <w:ind w:firstLine="480" w:firstLineChars="200"/>
        <w:rPr>
          <w:rFonts w:eastAsia="方正仿宋_GBK"/>
          <w:color w:val="000000"/>
          <w:sz w:val="24"/>
        </w:rPr>
      </w:pPr>
      <w:r>
        <w:rPr>
          <w:rFonts w:hint="eastAsia" w:eastAsia="黑体"/>
          <w:color w:val="000000"/>
          <w:sz w:val="24"/>
        </w:rPr>
        <w:t>第四条</w:t>
      </w:r>
      <w:r>
        <w:rPr>
          <w:rFonts w:eastAsia="方正仿宋_GBK"/>
          <w:color w:val="000000"/>
          <w:sz w:val="24"/>
        </w:rPr>
        <w:t xml:space="preserve">  </w:t>
      </w:r>
      <w:r>
        <w:rPr>
          <w:rFonts w:hint="eastAsia" w:eastAsia="方正仿宋_GBK"/>
          <w:color w:val="000000"/>
          <w:sz w:val="24"/>
        </w:rPr>
        <w:t>特许经营协议中应明确履约担保内容。履约担保形式包括提供履约保函或履约保证金。</w:t>
      </w:r>
    </w:p>
    <w:p>
      <w:pPr>
        <w:snapToGrid w:val="0"/>
        <w:spacing w:line="460" w:lineRule="exact"/>
        <w:ind w:firstLine="480" w:firstLineChars="200"/>
        <w:rPr>
          <w:rFonts w:eastAsia="方正仿宋_GBK"/>
          <w:color w:val="000000"/>
          <w:sz w:val="24"/>
        </w:rPr>
      </w:pPr>
      <w:r>
        <w:rPr>
          <w:rFonts w:hint="eastAsia" w:eastAsia="黑体"/>
          <w:color w:val="000000"/>
          <w:sz w:val="24"/>
        </w:rPr>
        <w:t>第五条</w:t>
      </w:r>
      <w:r>
        <w:rPr>
          <w:rFonts w:eastAsia="方正仿宋_GBK"/>
          <w:color w:val="000000"/>
          <w:sz w:val="24"/>
        </w:rPr>
        <w:t xml:space="preserve">  </w:t>
      </w:r>
      <w:r>
        <w:rPr>
          <w:rFonts w:hint="eastAsia" w:eastAsia="方正仿宋_GBK"/>
          <w:color w:val="000000"/>
          <w:sz w:val="24"/>
        </w:rPr>
        <w:t>履约保函或提供保证金的协议由市政公用事业主管部门和特许经营企业双方法定代表人或委托代理人负责签署，其内容包括：</w:t>
      </w:r>
    </w:p>
    <w:p>
      <w:pPr>
        <w:snapToGrid w:val="0"/>
        <w:spacing w:line="460" w:lineRule="exact"/>
        <w:ind w:firstLine="480" w:firstLineChars="200"/>
        <w:rPr>
          <w:rFonts w:eastAsia="方正仿宋_GBK"/>
          <w:color w:val="000000"/>
          <w:sz w:val="24"/>
        </w:rPr>
      </w:pPr>
      <w:r>
        <w:rPr>
          <w:rFonts w:hint="eastAsia" w:eastAsia="方正仿宋_GBK"/>
          <w:color w:val="000000"/>
          <w:sz w:val="24"/>
        </w:rPr>
        <w:t>（一）协议应明确保函或保证金的金额；</w:t>
      </w:r>
    </w:p>
    <w:p>
      <w:pPr>
        <w:snapToGrid w:val="0"/>
        <w:spacing w:line="460" w:lineRule="exact"/>
        <w:ind w:firstLine="480" w:firstLineChars="200"/>
        <w:rPr>
          <w:rFonts w:eastAsia="方正仿宋_GBK"/>
          <w:color w:val="000000"/>
          <w:sz w:val="24"/>
        </w:rPr>
      </w:pPr>
      <w:r>
        <w:rPr>
          <w:rFonts w:hint="eastAsia" w:eastAsia="方正仿宋_GBK"/>
          <w:color w:val="000000"/>
          <w:sz w:val="24"/>
        </w:rPr>
        <w:t>（二）协议应明确市政公用事业主管部门的权利；</w:t>
      </w:r>
    </w:p>
    <w:p>
      <w:pPr>
        <w:snapToGrid w:val="0"/>
        <w:spacing w:line="460" w:lineRule="exact"/>
        <w:ind w:firstLine="480" w:firstLineChars="200"/>
        <w:rPr>
          <w:rFonts w:eastAsia="方正仿宋_GBK"/>
          <w:color w:val="000000"/>
          <w:spacing w:val="-6"/>
          <w:sz w:val="24"/>
        </w:rPr>
      </w:pPr>
      <w:r>
        <w:rPr>
          <w:rFonts w:hint="eastAsia" w:eastAsia="方正仿宋_GBK"/>
          <w:color w:val="000000"/>
          <w:sz w:val="24"/>
        </w:rPr>
        <w:t>（三）</w:t>
      </w:r>
      <w:r>
        <w:rPr>
          <w:rFonts w:hint="eastAsia" w:eastAsia="方正仿宋_GBK"/>
          <w:color w:val="000000"/>
          <w:spacing w:val="-6"/>
          <w:sz w:val="24"/>
        </w:rPr>
        <w:t>协议应明确市政公用事业主管部门提取保函或保证金范围内索偿款的条件。</w:t>
      </w:r>
    </w:p>
    <w:p>
      <w:pPr>
        <w:snapToGrid w:val="0"/>
        <w:spacing w:line="460" w:lineRule="exact"/>
        <w:ind w:firstLine="480" w:firstLineChars="200"/>
        <w:rPr>
          <w:rFonts w:eastAsia="方正仿宋_GBK"/>
          <w:color w:val="000000"/>
          <w:sz w:val="24"/>
        </w:rPr>
      </w:pPr>
      <w:r>
        <w:rPr>
          <w:rFonts w:hint="eastAsia" w:eastAsia="黑体"/>
          <w:color w:val="000000"/>
          <w:sz w:val="24"/>
        </w:rPr>
        <w:t>第六条</w:t>
      </w:r>
      <w:r>
        <w:rPr>
          <w:rFonts w:eastAsia="方正仿宋_GBK"/>
          <w:color w:val="000000"/>
          <w:sz w:val="24"/>
        </w:rPr>
        <w:t xml:space="preserve">  </w:t>
      </w:r>
      <w:r>
        <w:rPr>
          <w:rFonts w:hint="eastAsia" w:eastAsia="方正仿宋_GBK"/>
          <w:color w:val="000000"/>
          <w:sz w:val="24"/>
        </w:rPr>
        <w:t>履约保证协议应当明确，当特许经营企业有下列行为发生时，市政公用事业主管部门可以从保证金中扣除违约金：</w:t>
      </w:r>
    </w:p>
    <w:p>
      <w:pPr>
        <w:snapToGrid w:val="0"/>
        <w:spacing w:line="460" w:lineRule="exact"/>
        <w:ind w:firstLine="480" w:firstLineChars="200"/>
        <w:rPr>
          <w:rFonts w:eastAsia="方正仿宋_GBK"/>
          <w:color w:val="000000"/>
          <w:sz w:val="24"/>
        </w:rPr>
      </w:pPr>
      <w:r>
        <w:rPr>
          <w:rFonts w:hint="eastAsia" w:eastAsia="方正仿宋_GBK"/>
          <w:color w:val="000000"/>
          <w:sz w:val="24"/>
        </w:rPr>
        <w:t>（一）擅自转让、出租、抵押特许经营权的；</w:t>
      </w:r>
    </w:p>
    <w:p>
      <w:pPr>
        <w:snapToGrid w:val="0"/>
        <w:spacing w:line="460" w:lineRule="exact"/>
        <w:ind w:firstLine="480" w:firstLineChars="200"/>
        <w:rPr>
          <w:rFonts w:eastAsia="方正仿宋_GBK"/>
          <w:color w:val="000000"/>
          <w:sz w:val="24"/>
        </w:rPr>
      </w:pPr>
      <w:r>
        <w:rPr>
          <w:rFonts w:hint="eastAsia" w:eastAsia="方正仿宋_GBK"/>
          <w:color w:val="000000"/>
          <w:sz w:val="24"/>
        </w:rPr>
        <w:t>（二）存在重大安全隐患且拒不整改的；</w:t>
      </w:r>
    </w:p>
    <w:p>
      <w:pPr>
        <w:snapToGrid w:val="0"/>
        <w:spacing w:line="460" w:lineRule="exact"/>
        <w:ind w:firstLine="480" w:firstLineChars="200"/>
        <w:rPr>
          <w:rFonts w:eastAsia="方正仿宋_GBK"/>
          <w:color w:val="000000"/>
          <w:sz w:val="24"/>
        </w:rPr>
      </w:pPr>
      <w:r>
        <w:rPr>
          <w:rFonts w:hint="eastAsia" w:eastAsia="方正仿宋_GBK"/>
          <w:color w:val="000000"/>
          <w:sz w:val="24"/>
        </w:rPr>
        <w:t>（三）因企业管理不善，导致不能正常生产和提供服务的；</w:t>
      </w:r>
    </w:p>
    <w:p>
      <w:pPr>
        <w:snapToGrid w:val="0"/>
        <w:spacing w:line="460" w:lineRule="exact"/>
        <w:ind w:firstLine="480" w:firstLineChars="200"/>
        <w:rPr>
          <w:rFonts w:eastAsia="方正仿宋_GBK"/>
          <w:color w:val="000000"/>
          <w:sz w:val="24"/>
        </w:rPr>
      </w:pPr>
      <w:r>
        <w:rPr>
          <w:rFonts w:hint="eastAsia" w:eastAsia="方正仿宋_GBK"/>
          <w:color w:val="000000"/>
          <w:sz w:val="24"/>
        </w:rPr>
        <w:t>（四）擅自停业、歇业，严重影响社会公共利益和安全的；</w:t>
      </w:r>
    </w:p>
    <w:p>
      <w:pPr>
        <w:snapToGrid w:val="0"/>
        <w:spacing w:line="460" w:lineRule="exact"/>
        <w:ind w:firstLine="480" w:firstLineChars="200"/>
        <w:rPr>
          <w:rFonts w:eastAsia="方正仿宋_GBK"/>
          <w:color w:val="000000"/>
          <w:sz w:val="24"/>
        </w:rPr>
      </w:pPr>
      <w:r>
        <w:rPr>
          <w:rFonts w:hint="eastAsia" w:eastAsia="方正仿宋_GBK"/>
          <w:color w:val="000000"/>
          <w:sz w:val="24"/>
        </w:rPr>
        <w:t>（五）未按特许经营协议要求保障正常运行的；</w:t>
      </w:r>
    </w:p>
    <w:p>
      <w:pPr>
        <w:snapToGrid w:val="0"/>
        <w:spacing w:line="460" w:lineRule="exact"/>
        <w:ind w:firstLine="480" w:firstLineChars="200"/>
        <w:rPr>
          <w:rFonts w:eastAsia="方正仿宋_GBK"/>
          <w:color w:val="000000"/>
          <w:sz w:val="24"/>
        </w:rPr>
      </w:pPr>
      <w:r>
        <w:rPr>
          <w:rFonts w:hint="eastAsia" w:eastAsia="方正仿宋_GBK"/>
          <w:color w:val="000000"/>
          <w:sz w:val="24"/>
        </w:rPr>
        <w:t>（六）未按特许经营协议要求进行设施的新建和改造的；</w:t>
      </w:r>
    </w:p>
    <w:p>
      <w:pPr>
        <w:snapToGrid w:val="0"/>
        <w:spacing w:line="460" w:lineRule="exact"/>
        <w:ind w:firstLine="480" w:firstLineChars="200"/>
        <w:rPr>
          <w:rFonts w:eastAsia="方正仿宋_GBK"/>
          <w:color w:val="000000"/>
          <w:sz w:val="24"/>
        </w:rPr>
      </w:pPr>
      <w:r>
        <w:rPr>
          <w:rFonts w:hint="eastAsia" w:eastAsia="方正仿宋_GBK"/>
          <w:color w:val="000000"/>
          <w:sz w:val="24"/>
        </w:rPr>
        <w:t>（七）未按特许经营协议要求的标准提供服务和产品质量的。</w:t>
      </w:r>
    </w:p>
    <w:p>
      <w:pPr>
        <w:spacing w:line="460" w:lineRule="exact"/>
        <w:ind w:right="640"/>
        <w:rPr>
          <w:rFonts w:eastAsia="黑体"/>
          <w:color w:val="000000"/>
          <w:sz w:val="28"/>
          <w:szCs w:val="28"/>
        </w:rPr>
      </w:pPr>
      <w:r>
        <w:rPr>
          <w:rFonts w:eastAsia="方正仿宋_GBK"/>
          <w:color w:val="000000"/>
          <w:sz w:val="24"/>
        </w:rPr>
        <w:br w:type="column"/>
      </w:r>
      <w:r>
        <w:rPr>
          <w:rFonts w:hint="eastAsia" w:eastAsia="黑体"/>
          <w:color w:val="000000"/>
          <w:sz w:val="28"/>
          <w:szCs w:val="28"/>
        </w:rPr>
        <w:t>附件</w:t>
      </w:r>
      <w:r>
        <w:rPr>
          <w:rFonts w:eastAsia="黑体"/>
          <w:color w:val="000000"/>
          <w:sz w:val="28"/>
          <w:szCs w:val="28"/>
        </w:rPr>
        <w:t>6</w:t>
      </w:r>
      <w:r>
        <w:rPr>
          <w:rFonts w:hint="eastAsia" w:eastAsia="黑体"/>
          <w:color w:val="000000"/>
          <w:sz w:val="28"/>
          <w:szCs w:val="28"/>
        </w:rPr>
        <w:t>：</w:t>
      </w:r>
    </w:p>
    <w:p>
      <w:pPr>
        <w:spacing w:line="460" w:lineRule="exact"/>
        <w:ind w:right="640" w:firstLine="480" w:firstLineChars="200"/>
        <w:rPr>
          <w:rFonts w:eastAsia="方正仿宋_GBK"/>
          <w:color w:val="000000"/>
          <w:sz w:val="24"/>
        </w:rPr>
      </w:pPr>
    </w:p>
    <w:p>
      <w:pPr>
        <w:spacing w:line="460" w:lineRule="exact"/>
        <w:jc w:val="center"/>
        <w:rPr>
          <w:rFonts w:eastAsia="方正小标宋简体"/>
          <w:color w:val="000000"/>
          <w:sz w:val="36"/>
          <w:szCs w:val="36"/>
        </w:rPr>
      </w:pPr>
      <w:r>
        <w:rPr>
          <w:rFonts w:hint="eastAsia" w:eastAsia="方正小标宋简体"/>
          <w:color w:val="000000"/>
          <w:sz w:val="36"/>
          <w:szCs w:val="36"/>
        </w:rPr>
        <w:t>江苏省城市市政公用事业经营成本监管制度</w:t>
      </w:r>
    </w:p>
    <w:p>
      <w:pPr>
        <w:autoSpaceDE w:val="0"/>
        <w:autoSpaceDN w:val="0"/>
        <w:spacing w:line="460" w:lineRule="exact"/>
        <w:ind w:firstLine="480" w:firstLineChars="200"/>
        <w:rPr>
          <w:rFonts w:eastAsia="方正仿宋_GBK"/>
          <w:color w:val="000000"/>
          <w:sz w:val="24"/>
        </w:rPr>
      </w:pP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第一条</w:t>
      </w:r>
      <w:r>
        <w:rPr>
          <w:rFonts w:eastAsia="方正仿宋_GBK"/>
          <w:color w:val="000000"/>
          <w:sz w:val="24"/>
        </w:rPr>
        <w:t xml:space="preserve">  </w:t>
      </w:r>
      <w:r>
        <w:rPr>
          <w:rFonts w:hint="eastAsia" w:eastAsia="方正仿宋_GBK"/>
          <w:color w:val="000000"/>
          <w:sz w:val="24"/>
        </w:rPr>
        <w:t>为了维护社会公众利益和公共安全，有效履行政府行政管理与监督职责，合理确定市政公用行业产品和服务成本，为市政公用产品和服务价格调整或费用支付提供依据，特制定本制度。</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第二条</w:t>
      </w:r>
      <w:r>
        <w:rPr>
          <w:rFonts w:eastAsia="方正仿宋_GBK"/>
          <w:color w:val="000000"/>
          <w:sz w:val="24"/>
        </w:rPr>
        <w:t xml:space="preserve">  </w:t>
      </w:r>
      <w:r>
        <w:rPr>
          <w:rFonts w:hint="eastAsia" w:eastAsia="方正仿宋_GBK"/>
          <w:color w:val="000000"/>
          <w:sz w:val="24"/>
        </w:rPr>
        <w:t>全省行政区域内已实施市政公用市场化改革和已实施市政公用事业特许经营管理的城市供水、供气（管道燃气）、污水处理、垃圾处理等行业适用本制度。</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第三条</w:t>
      </w:r>
      <w:r>
        <w:rPr>
          <w:rFonts w:eastAsia="方正仿宋_GBK"/>
          <w:color w:val="000000"/>
          <w:sz w:val="24"/>
        </w:rPr>
        <w:t xml:space="preserve">  </w:t>
      </w:r>
      <w:r>
        <w:rPr>
          <w:rFonts w:hint="eastAsia" w:eastAsia="方正仿宋_GBK"/>
          <w:color w:val="000000"/>
          <w:sz w:val="24"/>
        </w:rPr>
        <w:t>省建设行政主管部门负责全省行政区域内城市市政公用事业经营成本监管的指导和监督工作。</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市、县人民政府市政公用事业主管部门受本级人民政府授权具体负责实施本行政区域内城市市政公用事业的经营成本的监管工作。</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第四条</w:t>
      </w:r>
      <w:r>
        <w:rPr>
          <w:rFonts w:eastAsia="方正仿宋_GBK"/>
          <w:color w:val="000000"/>
          <w:sz w:val="24"/>
        </w:rPr>
        <w:t xml:space="preserve">  </w:t>
      </w:r>
      <w:r>
        <w:rPr>
          <w:rFonts w:hint="eastAsia" w:eastAsia="方正仿宋_GBK"/>
          <w:color w:val="000000"/>
          <w:sz w:val="24"/>
        </w:rPr>
        <w:t>各级市政公用事业主管部门应当履行法定职责，负责监督和审查市政公用企业产品（服务）成本的构成内涵；负责配合处理违反市政公用产品（服务）价格管理的事件。</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第五条</w:t>
      </w:r>
      <w:r>
        <w:rPr>
          <w:rFonts w:eastAsia="方正仿宋_GBK"/>
          <w:color w:val="000000"/>
          <w:sz w:val="24"/>
        </w:rPr>
        <w:t xml:space="preserve">  </w:t>
      </w:r>
      <w:r>
        <w:rPr>
          <w:rFonts w:hint="eastAsia" w:eastAsia="方正仿宋_GBK"/>
          <w:color w:val="000000"/>
          <w:sz w:val="24"/>
        </w:rPr>
        <w:t>各级市政公用事业主管部门应依照国家财政主管部门颁发的《企业财务通则》和《企业会计准则》等有关规定，结合中期评估，组织相关人员，定期或不定期地监测（抽查）和督导市政公用企业的产品</w:t>
      </w:r>
      <w:r>
        <w:rPr>
          <w:rFonts w:eastAsia="方正仿宋_GBK"/>
          <w:color w:val="000000"/>
          <w:sz w:val="24"/>
        </w:rPr>
        <w:t>(</w:t>
      </w:r>
      <w:r>
        <w:rPr>
          <w:rFonts w:hint="eastAsia" w:eastAsia="方正仿宋_GBK"/>
          <w:color w:val="000000"/>
          <w:sz w:val="24"/>
        </w:rPr>
        <w:t>服务</w:t>
      </w:r>
      <w:r>
        <w:rPr>
          <w:rFonts w:eastAsia="方正仿宋_GBK"/>
          <w:color w:val="000000"/>
          <w:sz w:val="24"/>
        </w:rPr>
        <w:t>)</w:t>
      </w:r>
      <w:r>
        <w:rPr>
          <w:rFonts w:hint="eastAsia" w:eastAsia="方正仿宋_GBK"/>
          <w:color w:val="000000"/>
          <w:sz w:val="24"/>
        </w:rPr>
        <w:t>成本，其内容为：</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（一）城市供水成本包含供水生产过程中发生的原水费、电费、净化消毒材料费、资产折旧费、修理费、直接工资、水质检测、监测费、输水、配水等环节的合理水损及其他应计入供水成本的直接费用。</w:t>
      </w:r>
      <w:r>
        <w:rPr>
          <w:rFonts w:eastAsia="方正仿宋_GBK"/>
          <w:color w:val="000000"/>
          <w:sz w:val="24"/>
        </w:rPr>
        <w:t xml:space="preserve"> </w:t>
      </w:r>
      <w:r>
        <w:rPr>
          <w:rFonts w:hint="eastAsia" w:eastAsia="方正仿宋_GBK"/>
          <w:color w:val="000000"/>
          <w:sz w:val="24"/>
        </w:rPr>
        <w:t>费用包含组织和管理供水生产经营所发生的销售费用、管理费用和财务费用。</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（二）城市供气（管道燃气）成本包含供气生产过程中发生的购气费、电费、原材料费、资产折旧费、修理费、直接工资、气质检测、监测费、输配环节的合理气损及其他应计入供气成本的直接费用。</w:t>
      </w:r>
      <w:r>
        <w:rPr>
          <w:rFonts w:eastAsia="方正仿宋_GBK"/>
          <w:color w:val="000000"/>
          <w:sz w:val="24"/>
        </w:rPr>
        <w:t xml:space="preserve"> </w:t>
      </w:r>
      <w:r>
        <w:rPr>
          <w:rFonts w:hint="eastAsia" w:eastAsia="方正仿宋_GBK"/>
          <w:color w:val="000000"/>
          <w:sz w:val="24"/>
        </w:rPr>
        <w:t>费用包含组织和管理供气生产经营所发生的销售费用、管理费用和财务费用。</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（三）污水处理成本包含污水处理厂的运行维护成本，包含污水处理生产过程中电费、净化消毒材料费、资产折旧费、修理费、直接工资、水质检测、监测费、及其他应计入水处理成本的直接费用。</w:t>
      </w:r>
      <w:r>
        <w:rPr>
          <w:rFonts w:eastAsia="方正仿宋_GBK"/>
          <w:color w:val="000000"/>
          <w:sz w:val="24"/>
        </w:rPr>
        <w:t xml:space="preserve"> </w:t>
      </w:r>
      <w:r>
        <w:rPr>
          <w:rFonts w:hint="eastAsia" w:eastAsia="方正仿宋_GBK"/>
          <w:color w:val="000000"/>
          <w:sz w:val="24"/>
        </w:rPr>
        <w:t>费用包含组织和管理污水处理所发生的销售费用、管理费用和财务费用。</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（四）垃圾处理成本包括运输费、工具费、材料费、动力费、维修费、资产折旧费、人工工资及福利费和税金等。</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第六条</w:t>
      </w:r>
      <w:r>
        <w:rPr>
          <w:rFonts w:eastAsia="方正仿宋_GBK"/>
          <w:color w:val="000000"/>
          <w:sz w:val="24"/>
        </w:rPr>
        <w:t xml:space="preserve">  </w:t>
      </w:r>
      <w:r>
        <w:rPr>
          <w:rFonts w:hint="eastAsia" w:eastAsia="方正仿宋_GBK"/>
          <w:color w:val="000000"/>
          <w:sz w:val="24"/>
        </w:rPr>
        <w:t>各级市政公用事业主管部门负责公用产品（服务）成本的日常监管，其程序为：</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（一）完善相关作业定额和标准；</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（二）加强成本监测工作，监督企业如实申报有关生产经营情况；成本构成、价格变化情况；进行区域同行业成本比较；</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（三）进行绩效评价、及时掌握企业经营成本状况，定期公布经营状况和成本信息；</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（四）建立服务成本定期监审制度，健全成本约束机制，激励经营者改进技术、开源节流、降低成本。</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第七条</w:t>
      </w:r>
      <w:r>
        <w:rPr>
          <w:rFonts w:eastAsia="方正仿宋_GBK"/>
          <w:color w:val="000000"/>
          <w:sz w:val="24"/>
        </w:rPr>
        <w:t xml:space="preserve">  </w:t>
      </w:r>
      <w:r>
        <w:rPr>
          <w:rFonts w:hint="eastAsia" w:eastAsia="方正仿宋_GBK"/>
          <w:color w:val="000000"/>
          <w:sz w:val="24"/>
        </w:rPr>
        <w:t>市政公用事业主管部门依照国家相关的法律法规、标准规范，监管市政公用行业、企业的产品（服务）成本。</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第八条</w:t>
      </w:r>
      <w:r>
        <w:rPr>
          <w:rFonts w:eastAsia="方正仿宋_GBK"/>
          <w:color w:val="000000"/>
          <w:sz w:val="24"/>
        </w:rPr>
        <w:t xml:space="preserve">  </w:t>
      </w:r>
      <w:r>
        <w:rPr>
          <w:rFonts w:hint="eastAsia" w:eastAsia="方正仿宋_GBK"/>
          <w:color w:val="000000"/>
          <w:sz w:val="24"/>
        </w:rPr>
        <w:t>建立日常监管检查考核制度。监管部门组织定期与不定期的作业成本抽查。内容包括处理量、消耗、投入量、产出量；现场检查是否规范、达标；处理设施设备是否完好、运营正常；生产运营记录台帐、环境监测报告是否属实、齐全。定期检查为每半年考核一次，及年终综合考核。</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市政公用事业主管部门通过制度审查、企业管理和成本信息审查、监测抽查运行成本、派遣人员驻场监管、公布成本信息等方式监管。</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第九条</w:t>
      </w:r>
      <w:r>
        <w:rPr>
          <w:rFonts w:eastAsia="方正仿宋_GBK"/>
          <w:color w:val="000000"/>
          <w:sz w:val="24"/>
        </w:rPr>
        <w:t xml:space="preserve">  </w:t>
      </w:r>
      <w:r>
        <w:rPr>
          <w:rFonts w:hint="eastAsia" w:eastAsia="方正仿宋_GBK"/>
          <w:color w:val="000000"/>
          <w:sz w:val="24"/>
        </w:rPr>
        <w:t>各级市政公用事业主管部门可以根据特许经营协议，经检查发现市政公用企业谎报实际运行数据以及制造虚假数据，应当责令其限期整改；经检查发现公用企业产品（服务）成本严重失实的，可以从履约保证金中扣除违约金。</w:t>
      </w:r>
    </w:p>
    <w:p>
      <w:pPr>
        <w:spacing w:line="460" w:lineRule="exact"/>
        <w:ind w:right="640"/>
        <w:rPr>
          <w:rFonts w:eastAsia="黑体"/>
          <w:color w:val="000000"/>
          <w:sz w:val="28"/>
          <w:szCs w:val="28"/>
        </w:rPr>
      </w:pPr>
      <w:r>
        <w:rPr>
          <w:rFonts w:eastAsia="方正仿宋_GBK"/>
          <w:color w:val="000000"/>
          <w:sz w:val="24"/>
        </w:rPr>
        <w:br w:type="column"/>
      </w:r>
      <w:r>
        <w:rPr>
          <w:rFonts w:hint="eastAsia" w:eastAsia="黑体"/>
          <w:color w:val="000000"/>
          <w:sz w:val="28"/>
          <w:szCs w:val="28"/>
        </w:rPr>
        <w:t>附件</w:t>
      </w:r>
      <w:r>
        <w:rPr>
          <w:rFonts w:eastAsia="黑体"/>
          <w:color w:val="000000"/>
          <w:sz w:val="28"/>
          <w:szCs w:val="28"/>
        </w:rPr>
        <w:t>7</w:t>
      </w:r>
      <w:r>
        <w:rPr>
          <w:rFonts w:hint="eastAsia" w:eastAsia="黑体"/>
          <w:color w:val="000000"/>
          <w:sz w:val="28"/>
          <w:szCs w:val="28"/>
        </w:rPr>
        <w:t>：</w:t>
      </w:r>
    </w:p>
    <w:p>
      <w:pPr>
        <w:spacing w:line="460" w:lineRule="exact"/>
        <w:ind w:right="640" w:firstLine="480" w:firstLineChars="200"/>
        <w:rPr>
          <w:rFonts w:eastAsia="方正仿宋_GBK"/>
          <w:color w:val="000000"/>
          <w:sz w:val="24"/>
        </w:rPr>
      </w:pPr>
    </w:p>
    <w:p>
      <w:pPr>
        <w:spacing w:line="460" w:lineRule="exact"/>
        <w:jc w:val="center"/>
        <w:rPr>
          <w:rFonts w:eastAsia="方正小标宋简体"/>
          <w:color w:val="000000"/>
          <w:sz w:val="36"/>
          <w:szCs w:val="36"/>
        </w:rPr>
      </w:pPr>
      <w:r>
        <w:rPr>
          <w:rFonts w:hint="eastAsia" w:eastAsia="方正小标宋简体"/>
          <w:color w:val="000000"/>
          <w:sz w:val="36"/>
          <w:szCs w:val="36"/>
        </w:rPr>
        <w:t>江苏省城市市政公用事业产品和服务质量监管制度</w:t>
      </w:r>
    </w:p>
    <w:p>
      <w:pPr>
        <w:autoSpaceDE w:val="0"/>
        <w:autoSpaceDN w:val="0"/>
        <w:spacing w:line="460" w:lineRule="exact"/>
        <w:ind w:firstLine="480" w:firstLineChars="200"/>
        <w:rPr>
          <w:rFonts w:eastAsia="方正仿宋_GBK"/>
          <w:color w:val="000000"/>
          <w:sz w:val="24"/>
        </w:rPr>
      </w:pP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第一条</w:t>
      </w:r>
      <w:r>
        <w:rPr>
          <w:rFonts w:eastAsia="方正仿宋_GBK"/>
          <w:color w:val="000000"/>
          <w:sz w:val="24"/>
        </w:rPr>
        <w:t xml:space="preserve">  </w:t>
      </w:r>
      <w:r>
        <w:rPr>
          <w:rFonts w:hint="eastAsia" w:eastAsia="方正仿宋_GBK"/>
          <w:color w:val="000000"/>
          <w:sz w:val="24"/>
        </w:rPr>
        <w:t>为了维护社会公众利益和公共安全，有效履行政府行政管理与监督职责，确保市政公用行业产品和服务质量，特制定本制度。</w:t>
      </w:r>
      <w:r>
        <w:rPr>
          <w:rFonts w:eastAsia="方正仿宋_GBK"/>
          <w:color w:val="000000"/>
          <w:sz w:val="24"/>
        </w:rPr>
        <w:t xml:space="preserve"> </w:t>
      </w:r>
    </w:p>
    <w:p>
      <w:pPr>
        <w:snapToGrid w:val="0"/>
        <w:spacing w:line="460" w:lineRule="exact"/>
        <w:ind w:firstLine="480" w:firstLineChars="200"/>
        <w:rPr>
          <w:rFonts w:eastAsia="方正仿宋_GBK"/>
          <w:color w:val="000000"/>
          <w:sz w:val="24"/>
        </w:rPr>
      </w:pPr>
      <w:r>
        <w:rPr>
          <w:rFonts w:hint="eastAsia" w:eastAsia="黑体"/>
          <w:color w:val="000000"/>
          <w:sz w:val="24"/>
        </w:rPr>
        <w:t>第二条</w:t>
      </w:r>
      <w:r>
        <w:rPr>
          <w:rFonts w:eastAsia="方正仿宋_GBK"/>
          <w:color w:val="000000"/>
          <w:sz w:val="24"/>
        </w:rPr>
        <w:t xml:space="preserve">  </w:t>
      </w:r>
      <w:r>
        <w:rPr>
          <w:rFonts w:hint="eastAsia" w:eastAsia="方正仿宋_GBK"/>
          <w:color w:val="000000"/>
          <w:sz w:val="24"/>
        </w:rPr>
        <w:t>全省行政区域内已实施市政公用市场化改革和已实施市政公用事业特许经营管理的城市供水、供气（管道燃气）、污水处理、垃圾处理等行业适用本制度。</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第三条</w:t>
      </w:r>
      <w:r>
        <w:rPr>
          <w:rFonts w:eastAsia="方正仿宋_GBK"/>
          <w:color w:val="000000"/>
          <w:sz w:val="24"/>
        </w:rPr>
        <w:t xml:space="preserve">  </w:t>
      </w:r>
      <w:r>
        <w:rPr>
          <w:rFonts w:hint="eastAsia" w:eastAsia="方正仿宋_GBK"/>
          <w:color w:val="000000"/>
          <w:sz w:val="24"/>
        </w:rPr>
        <w:t>省建设行政主管部门负责全省行政区域内城市市政公用事业产品和服务质量监管的指导和监督工作。</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市、县人民政府市政公用事业主管部门受本级人民政府的授权具体负责实施本行政区域内城市市政公用事业的产品和服务质量的监管工作。</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第四条</w:t>
      </w:r>
      <w:r>
        <w:rPr>
          <w:rFonts w:eastAsia="方正仿宋_GBK"/>
          <w:color w:val="000000"/>
          <w:sz w:val="24"/>
        </w:rPr>
        <w:t xml:space="preserve">  </w:t>
      </w:r>
      <w:r>
        <w:rPr>
          <w:rFonts w:hint="eastAsia" w:eastAsia="方正仿宋_GBK"/>
          <w:color w:val="000000"/>
          <w:sz w:val="24"/>
        </w:rPr>
        <w:t>各级市政公用事业主管部门应负责监测和督查市政公用企业的产品质量，负责督查市政公用企业的服务质量；负责行业监管信息发布工作；负责处理违反市政公用事业产品质量和服务质量的事件。</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第五条</w:t>
      </w:r>
      <w:r>
        <w:rPr>
          <w:rFonts w:eastAsia="方正仿宋_GBK"/>
          <w:color w:val="000000"/>
          <w:sz w:val="24"/>
        </w:rPr>
        <w:t xml:space="preserve">  </w:t>
      </w:r>
      <w:r>
        <w:rPr>
          <w:rFonts w:hint="eastAsia" w:eastAsia="方正仿宋_GBK"/>
          <w:color w:val="000000"/>
          <w:sz w:val="24"/>
        </w:rPr>
        <w:t>各级市政公用事业主管部门依照相关法律法规和国家、省有关市政公用行业服务质量标准的规定，定期或不定期地监测（抽查）和督查市政公用企业的产品质量和服务质量，其内容为：</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供水企业：水源和管网水质、管网水压、销售与服务网点分布、销售量及构成情况、执行供水价格及公用事业服务价格情况、安全生产情况、抢修及时率、抄表准确率、管网漏损率、配合实施专项规划、执行《城镇供水厂运行、维护及安全技术规程》等规程情况等；</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供气（管道燃气）企业：管网气质、民用户灶前压力、销售与服务网点分布、执行燃气价格及公用事业服务价格情况、安全生产情况、抢修及时率、抄表准确率、管网漏损率、配合实施专项规划、执行《城镇燃气设施运行、维护和抢修安全技术规程》等规程情况等；</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污水处理企业：进厂出厂水质、进厂出厂水量、出厂污泥质量数量、污泥处置情况、执行水处理服务费情况、安全生产情况、配合实施专项规划、执行《城镇污水处理厂运行、维护及其安全技术规程》、《城镇排水管渠与泵站维护技术规程》等规程情况等；</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垃圾处理企业：进厂垃圾量和特征、焚烧厂出厂灰渣和烟气排放情况、执行垃圾处理收费情况、渗沥液处理排放情况、环境监测情况、安全生产情况、配合实施专项规划、执行《生活垃圾卫生填埋技术规范》、《城市生活垃圾卫生填埋场运行维护技术规程》、《生活垃圾焚烧处理工程技术规范》等规程情况等；</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第六条</w:t>
      </w:r>
      <w:r>
        <w:rPr>
          <w:rFonts w:eastAsia="方正仿宋_GBK"/>
          <w:color w:val="000000"/>
          <w:sz w:val="24"/>
        </w:rPr>
        <w:t xml:space="preserve">  </w:t>
      </w:r>
      <w:r>
        <w:rPr>
          <w:rFonts w:hint="eastAsia" w:eastAsia="方正仿宋_GBK"/>
          <w:color w:val="000000"/>
          <w:sz w:val="24"/>
        </w:rPr>
        <w:t>各级市政公用事业主管部门负责市政公用企业产品质量和服务质量的日常监管，其程序为：</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（一）与市政公用企业签订特许经营协议，并按协议进行考核；没有签订特许经营协议的，按有关规定签订责任考核状；</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（二）审查市政公用企业拟订的《作业标准》、《现场管理制度》是否符合国家相关的法律法规、标准规范，是否符合项目审批部门的审批意见，并监督其实施；</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（三）审查市政公用企业拟订的《安全生产制度》及实施方案是否符合国家相关的法律法规、标准规范，是否结合本企业实际，是否符合项目审批部门的审批意见，并监督其实施；</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四）审查市政公用企业拟订的《质量管理制度》及实施方案是否符合国家相关的法律法规、标准规范，是否结合本地本企业实际，服务与便民措施是否落实，是否符合项目审批部门的审批意见；备案市政公用企业公布的社会服务承诺内容，并监督其实施；</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五）审查市政公用企业拟订的《环保制度》及实施方案是否符合国家相关的法律法规、标准规范，是否结合本企业实际，是否符合项目审批部门的审批意见；是否按有关规定妥善处理直至达标排放并尽量减少对设施、建筑物和居民区的妨害，并监督其实施；</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六）各级市政公用事业主管部门建立日常监管检查考核制度，组织定期与不定期的作业质量检查。内容包括：是否按核定的工作量进行，是否擅自停业；现场检查是否规范、达标，设施设备是否完好、运营正常；生产运营记录台帐、环境监测报告是否属实、齐全；应急预案措施是否落实等。定期检查分季度考核和年终综合考核。</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第七条</w:t>
      </w:r>
      <w:r>
        <w:rPr>
          <w:rFonts w:eastAsia="方正仿宋_GBK"/>
          <w:color w:val="000000"/>
          <w:sz w:val="24"/>
        </w:rPr>
        <w:t xml:space="preserve">  </w:t>
      </w:r>
      <w:r>
        <w:rPr>
          <w:rFonts w:hint="eastAsia" w:eastAsia="方正仿宋_GBK"/>
          <w:color w:val="000000"/>
          <w:sz w:val="24"/>
        </w:rPr>
        <w:t>各级市政公用事业主管部门按照国家和省相关的法律、法规、标准、规范，监管市政公用行业、企业的产品和服务质量。</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第八条</w:t>
      </w:r>
      <w:r>
        <w:rPr>
          <w:rFonts w:eastAsia="方正仿宋_GBK"/>
          <w:color w:val="000000"/>
          <w:sz w:val="24"/>
        </w:rPr>
        <w:t xml:space="preserve">  </w:t>
      </w:r>
      <w:r>
        <w:rPr>
          <w:rFonts w:hint="eastAsia" w:eastAsia="方正仿宋_GBK"/>
          <w:color w:val="000000"/>
          <w:sz w:val="24"/>
        </w:rPr>
        <w:t>各级市政公用事业主管部门通过制度审查、企业管理信息审查、产品质量监测、服务质量抽查、驻场运行监管、在线监测等进行实时监测、监管。</w:t>
      </w:r>
    </w:p>
    <w:p>
      <w:pPr>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各市政公用企业应建立提前告知制度。至少提前一个月将本企业安排设备检修等减停产计划情况，应一并上报市政公用事业主管部门，不得擅自停业、歇业。</w:t>
      </w:r>
    </w:p>
    <w:p>
      <w:pPr>
        <w:autoSpaceDE w:val="0"/>
        <w:autoSpaceDN w:val="0"/>
        <w:spacing w:line="460" w:lineRule="exact"/>
        <w:ind w:firstLine="480" w:firstLineChars="200"/>
        <w:rPr>
          <w:rFonts w:eastAsia="方正仿宋_GBK"/>
          <w:color w:val="000000"/>
          <w:sz w:val="24"/>
        </w:rPr>
      </w:pPr>
      <w:r>
        <w:rPr>
          <w:rFonts w:hint="eastAsia" w:eastAsia="黑体"/>
          <w:color w:val="000000"/>
          <w:sz w:val="24"/>
        </w:rPr>
        <w:t>第九条</w:t>
      </w:r>
      <w:r>
        <w:rPr>
          <w:rFonts w:eastAsia="方正仿宋_GBK"/>
          <w:color w:val="000000"/>
          <w:sz w:val="24"/>
        </w:rPr>
        <w:t xml:space="preserve">  </w:t>
      </w:r>
      <w:r>
        <w:rPr>
          <w:rFonts w:hint="eastAsia" w:eastAsia="方正仿宋_GBK"/>
          <w:color w:val="000000"/>
          <w:sz w:val="24"/>
        </w:rPr>
        <w:t>各级市政公用事业主管部门可以根据特许经营协议或相关责任考核状，经检查发现公用企业产品服务质量不达标、不按规定要求执行的，各级市政公用事业主管部门应向企业发出整改通知书，责令其限期改正，督促其履行义务；造成后果的，可以视程度从履约保证金中扣除违约金。</w:t>
      </w:r>
      <w:r>
        <w:rPr>
          <w:rFonts w:eastAsia="方正仿宋_GBK"/>
          <w:color w:val="000000"/>
          <w:sz w:val="24"/>
        </w:rPr>
        <w:t xml:space="preserve"> </w:t>
      </w:r>
    </w:p>
    <w:p>
      <w:pPr>
        <w:spacing w:line="460" w:lineRule="exact"/>
        <w:ind w:right="640" w:firstLine="480" w:firstLineChars="200"/>
        <w:rPr>
          <w:rFonts w:eastAsia="方正仿宋_GBK"/>
          <w:color w:val="000000"/>
          <w:sz w:val="24"/>
        </w:rPr>
      </w:pPr>
      <w:r>
        <w:rPr>
          <w:rFonts w:eastAsia="方正仿宋_GBK"/>
          <w:color w:val="000000"/>
          <w:sz w:val="24"/>
        </w:rPr>
        <w:t xml:space="preserve">    </w:t>
      </w:r>
    </w:p>
    <w:p>
      <w:pPr>
        <w:spacing w:line="460" w:lineRule="exact"/>
        <w:ind w:right="640" w:firstLine="480" w:firstLineChars="200"/>
        <w:rPr>
          <w:rFonts w:eastAsia="方正仿宋_GBK"/>
          <w:color w:val="000000"/>
          <w:sz w:val="24"/>
        </w:rPr>
      </w:pPr>
    </w:p>
    <w:p>
      <w:pPr>
        <w:spacing w:line="460" w:lineRule="exact"/>
        <w:ind w:right="640" w:firstLine="480" w:firstLineChars="200"/>
        <w:rPr>
          <w:rFonts w:eastAsia="方正仿宋_GBK"/>
          <w:color w:val="000000"/>
          <w:sz w:val="24"/>
        </w:rPr>
      </w:pPr>
    </w:p>
    <w:p>
      <w:pPr>
        <w:spacing w:line="460" w:lineRule="exact"/>
        <w:ind w:right="640" w:firstLine="480" w:firstLineChars="200"/>
        <w:rPr>
          <w:rFonts w:eastAsia="方正仿宋_GBK"/>
          <w:color w:val="000000"/>
          <w:sz w:val="24"/>
        </w:rPr>
      </w:pPr>
    </w:p>
    <w:p>
      <w:pPr>
        <w:spacing w:line="460" w:lineRule="exact"/>
        <w:ind w:right="640" w:firstLine="480" w:firstLineChars="200"/>
        <w:rPr>
          <w:rFonts w:eastAsia="方正仿宋_GBK"/>
          <w:color w:val="000000"/>
          <w:sz w:val="24"/>
        </w:rPr>
      </w:pPr>
    </w:p>
    <w:p>
      <w:pPr>
        <w:spacing w:line="460" w:lineRule="exact"/>
        <w:ind w:right="640" w:firstLine="480" w:firstLineChars="200"/>
        <w:rPr>
          <w:rFonts w:eastAsia="方正仿宋_GBK"/>
          <w:color w:val="000000"/>
          <w:sz w:val="24"/>
        </w:rPr>
      </w:pPr>
    </w:p>
    <w:p>
      <w:pPr>
        <w:spacing w:line="460" w:lineRule="exact"/>
        <w:ind w:right="640" w:firstLine="480" w:firstLineChars="200"/>
        <w:rPr>
          <w:rFonts w:eastAsia="方正仿宋_GBK"/>
          <w:color w:val="000000"/>
          <w:sz w:val="24"/>
        </w:rPr>
      </w:pPr>
    </w:p>
    <w:p>
      <w:pPr>
        <w:spacing w:line="460" w:lineRule="exact"/>
        <w:ind w:right="640"/>
        <w:rPr>
          <w:rFonts w:eastAsia="黑体"/>
          <w:color w:val="000000"/>
          <w:sz w:val="28"/>
          <w:szCs w:val="28"/>
        </w:rPr>
      </w:pPr>
      <w:r>
        <w:rPr>
          <w:rFonts w:eastAsia="方正仿宋_GBK"/>
          <w:color w:val="000000"/>
          <w:sz w:val="24"/>
        </w:rPr>
        <w:br w:type="column"/>
      </w:r>
      <w:r>
        <w:rPr>
          <w:rFonts w:hint="eastAsia" w:eastAsia="黑体"/>
          <w:color w:val="000000"/>
          <w:sz w:val="28"/>
          <w:szCs w:val="28"/>
        </w:rPr>
        <w:t>附件</w:t>
      </w:r>
      <w:r>
        <w:rPr>
          <w:rFonts w:eastAsia="黑体"/>
          <w:color w:val="000000"/>
          <w:sz w:val="28"/>
          <w:szCs w:val="28"/>
        </w:rPr>
        <w:t>8</w:t>
      </w:r>
      <w:r>
        <w:rPr>
          <w:rFonts w:hint="eastAsia" w:eastAsia="黑体"/>
          <w:color w:val="000000"/>
          <w:sz w:val="28"/>
          <w:szCs w:val="28"/>
        </w:rPr>
        <w:t>：</w:t>
      </w:r>
    </w:p>
    <w:p>
      <w:pPr>
        <w:spacing w:line="460" w:lineRule="exact"/>
        <w:ind w:right="640" w:firstLine="480" w:firstLineChars="200"/>
        <w:rPr>
          <w:rFonts w:eastAsia="方正仿宋_GBK"/>
          <w:color w:val="000000"/>
          <w:sz w:val="24"/>
        </w:rPr>
      </w:pPr>
    </w:p>
    <w:p>
      <w:pPr>
        <w:spacing w:line="460" w:lineRule="exact"/>
        <w:jc w:val="center"/>
        <w:rPr>
          <w:rFonts w:eastAsia="方正小标宋简体"/>
          <w:color w:val="000000"/>
          <w:sz w:val="36"/>
          <w:szCs w:val="36"/>
        </w:rPr>
      </w:pPr>
      <w:r>
        <w:rPr>
          <w:rFonts w:hint="eastAsia" w:eastAsia="方正小标宋简体"/>
          <w:color w:val="000000"/>
          <w:sz w:val="36"/>
          <w:szCs w:val="36"/>
        </w:rPr>
        <w:t>江苏省城市市政公用事业特许经营中期评估制度</w:t>
      </w:r>
    </w:p>
    <w:p>
      <w:pPr>
        <w:snapToGrid w:val="0"/>
        <w:spacing w:line="460" w:lineRule="exact"/>
        <w:ind w:firstLine="480" w:firstLineChars="200"/>
        <w:rPr>
          <w:rFonts w:eastAsia="方正仿宋_GBK"/>
          <w:color w:val="000000"/>
          <w:sz w:val="24"/>
        </w:rPr>
      </w:pPr>
    </w:p>
    <w:p>
      <w:pPr>
        <w:snapToGrid w:val="0"/>
        <w:spacing w:line="460" w:lineRule="exact"/>
        <w:ind w:firstLine="480" w:firstLineChars="200"/>
        <w:rPr>
          <w:rFonts w:eastAsia="方正仿宋_GBK"/>
          <w:color w:val="000000"/>
          <w:sz w:val="24"/>
        </w:rPr>
      </w:pPr>
      <w:r>
        <w:rPr>
          <w:rFonts w:hint="eastAsia" w:eastAsia="黑体"/>
          <w:color w:val="000000"/>
          <w:sz w:val="24"/>
        </w:rPr>
        <w:t>第一条</w:t>
      </w:r>
      <w:r>
        <w:rPr>
          <w:rFonts w:eastAsia="方正仿宋_GBK"/>
          <w:color w:val="000000"/>
          <w:sz w:val="24"/>
        </w:rPr>
        <w:t xml:space="preserve">  </w:t>
      </w:r>
      <w:r>
        <w:rPr>
          <w:rFonts w:hint="eastAsia" w:eastAsia="方正仿宋_GBK"/>
          <w:color w:val="000000"/>
          <w:sz w:val="24"/>
        </w:rPr>
        <w:t>为规范市政公用事业特许经营项目的正常运行，切实加强政府的监管，进一步健全和完善市政公用事业监管体系，按照建设部《市政公用事业特许经营管理办法》，对获得特许经营权的企业经营情况应建立中期评估制度的规定，特制定本制度</w:t>
      </w:r>
      <w:r>
        <w:rPr>
          <w:rFonts w:eastAsia="方正仿宋_GBK"/>
          <w:color w:val="000000"/>
          <w:sz w:val="24"/>
        </w:rPr>
        <w:t xml:space="preserve"> </w:t>
      </w:r>
    </w:p>
    <w:p>
      <w:pPr>
        <w:snapToGrid w:val="0"/>
        <w:spacing w:line="460" w:lineRule="exact"/>
        <w:ind w:firstLine="480" w:firstLineChars="200"/>
        <w:rPr>
          <w:rFonts w:eastAsia="方正仿宋_GBK"/>
          <w:color w:val="000000"/>
          <w:sz w:val="24"/>
        </w:rPr>
      </w:pPr>
      <w:r>
        <w:rPr>
          <w:rFonts w:hint="eastAsia" w:eastAsia="黑体"/>
          <w:color w:val="000000"/>
          <w:sz w:val="24"/>
        </w:rPr>
        <w:t>第二条</w:t>
      </w:r>
      <w:r>
        <w:rPr>
          <w:rFonts w:eastAsia="方正仿宋_GBK"/>
          <w:color w:val="000000"/>
          <w:sz w:val="24"/>
        </w:rPr>
        <w:t xml:space="preserve">  </w:t>
      </w:r>
      <w:r>
        <w:rPr>
          <w:rFonts w:hint="eastAsia" w:eastAsia="方正仿宋_GBK"/>
          <w:color w:val="000000"/>
          <w:sz w:val="24"/>
        </w:rPr>
        <w:t>全省行政区域内已实施市政公用市场化改革和已实施市政公用事业特许经营管理的城市供水、供气（管道燃气）、污水处理、垃圾处理等行业适用本制度。</w:t>
      </w:r>
    </w:p>
    <w:p>
      <w:pPr>
        <w:autoSpaceDE w:val="0"/>
        <w:autoSpaceDN w:val="0"/>
        <w:snapToGrid w:val="0"/>
        <w:spacing w:line="460" w:lineRule="exact"/>
        <w:ind w:firstLine="480" w:firstLineChars="200"/>
        <w:rPr>
          <w:rFonts w:eastAsia="方正仿宋_GBK"/>
          <w:color w:val="000000"/>
          <w:sz w:val="24"/>
        </w:rPr>
      </w:pPr>
      <w:r>
        <w:rPr>
          <w:rFonts w:hint="eastAsia" w:eastAsia="黑体"/>
          <w:color w:val="000000"/>
          <w:sz w:val="24"/>
        </w:rPr>
        <w:t>第三条</w:t>
      </w:r>
      <w:r>
        <w:rPr>
          <w:rFonts w:eastAsia="方正仿宋_GBK"/>
          <w:color w:val="000000"/>
          <w:sz w:val="24"/>
        </w:rPr>
        <w:t xml:space="preserve">  </w:t>
      </w:r>
      <w:r>
        <w:rPr>
          <w:rFonts w:hint="eastAsia" w:eastAsia="方正仿宋_GBK"/>
          <w:color w:val="000000"/>
          <w:sz w:val="24"/>
        </w:rPr>
        <w:t>省建设行政主管部门负责全省行政区域内城市市政公用事业特许经营中期评估的指导和监督工作。</w:t>
      </w:r>
    </w:p>
    <w:p>
      <w:pPr>
        <w:snapToGrid w:val="0"/>
        <w:spacing w:line="460" w:lineRule="exact"/>
        <w:ind w:firstLine="480" w:firstLineChars="200"/>
        <w:rPr>
          <w:rFonts w:eastAsia="方正仿宋_GBK"/>
          <w:color w:val="000000"/>
          <w:sz w:val="24"/>
        </w:rPr>
      </w:pPr>
      <w:r>
        <w:rPr>
          <w:rFonts w:hint="eastAsia" w:eastAsia="方正仿宋_GBK"/>
          <w:color w:val="000000"/>
          <w:sz w:val="24"/>
        </w:rPr>
        <w:t>市、县人民政府市政公用事业主管部门受本级人民政府授权具体负责实施本行政区域内城市市政公用事业特许经营中期评估工作。</w:t>
      </w:r>
    </w:p>
    <w:p>
      <w:pPr>
        <w:snapToGrid w:val="0"/>
        <w:spacing w:line="460" w:lineRule="exact"/>
        <w:ind w:firstLine="480" w:firstLineChars="200"/>
        <w:rPr>
          <w:rFonts w:eastAsia="方正仿宋_GBK"/>
          <w:color w:val="000000"/>
          <w:sz w:val="24"/>
        </w:rPr>
      </w:pPr>
      <w:r>
        <w:rPr>
          <w:rFonts w:hint="eastAsia" w:eastAsia="黑体"/>
          <w:color w:val="000000"/>
          <w:sz w:val="24"/>
        </w:rPr>
        <w:t>第四条</w:t>
      </w:r>
      <w:r>
        <w:rPr>
          <w:rFonts w:eastAsia="方正仿宋_GBK"/>
          <w:color w:val="000000"/>
          <w:sz w:val="24"/>
        </w:rPr>
        <w:t xml:space="preserve">  </w:t>
      </w:r>
      <w:r>
        <w:rPr>
          <w:rFonts w:hint="eastAsia" w:eastAsia="方正仿宋_GBK"/>
          <w:color w:val="000000"/>
          <w:sz w:val="24"/>
        </w:rPr>
        <w:t>中期评估由市政公用事业主管部门组织实施，评估方式可以聘请中介机构实施，也可以组织相关的专家、人员开展中期评估，并形成中期评估报告。</w:t>
      </w:r>
    </w:p>
    <w:p>
      <w:pPr>
        <w:snapToGrid w:val="0"/>
        <w:spacing w:line="460" w:lineRule="exact"/>
        <w:ind w:firstLine="480" w:firstLineChars="200"/>
        <w:rPr>
          <w:rFonts w:eastAsia="方正仿宋_GBK"/>
          <w:color w:val="000000"/>
          <w:sz w:val="24"/>
        </w:rPr>
      </w:pPr>
      <w:r>
        <w:rPr>
          <w:rFonts w:hint="eastAsia" w:eastAsia="黑体"/>
          <w:color w:val="000000"/>
          <w:sz w:val="24"/>
        </w:rPr>
        <w:t>第五条</w:t>
      </w:r>
      <w:r>
        <w:rPr>
          <w:rFonts w:eastAsia="方正仿宋_GBK"/>
          <w:color w:val="000000"/>
          <w:sz w:val="24"/>
        </w:rPr>
        <w:t xml:space="preserve">  </w:t>
      </w:r>
      <w:r>
        <w:rPr>
          <w:rFonts w:hint="eastAsia" w:eastAsia="方正仿宋_GBK"/>
          <w:color w:val="000000"/>
          <w:sz w:val="24"/>
        </w:rPr>
        <w:t>中期评估应包括以下主要内容：</w:t>
      </w:r>
    </w:p>
    <w:p>
      <w:pPr>
        <w:snapToGrid w:val="0"/>
        <w:spacing w:line="460" w:lineRule="exact"/>
        <w:ind w:firstLine="480" w:firstLineChars="200"/>
        <w:rPr>
          <w:rFonts w:eastAsia="方正仿宋_GBK"/>
          <w:color w:val="000000"/>
          <w:sz w:val="24"/>
        </w:rPr>
      </w:pPr>
      <w:r>
        <w:rPr>
          <w:rFonts w:hint="eastAsia" w:eastAsia="方正仿宋_GBK"/>
          <w:color w:val="000000"/>
          <w:sz w:val="24"/>
        </w:rPr>
        <w:t>（一）市政公用设施的建设与改造是否依据规定的基本建设程序和规划要求执行；</w:t>
      </w:r>
    </w:p>
    <w:p>
      <w:pPr>
        <w:snapToGrid w:val="0"/>
        <w:spacing w:line="460" w:lineRule="exact"/>
        <w:ind w:firstLine="480" w:firstLineChars="200"/>
        <w:rPr>
          <w:rFonts w:eastAsia="方正仿宋_GBK"/>
          <w:color w:val="000000"/>
          <w:sz w:val="24"/>
        </w:rPr>
      </w:pPr>
      <w:r>
        <w:rPr>
          <w:rFonts w:hint="eastAsia" w:eastAsia="方正仿宋_GBK"/>
          <w:color w:val="000000"/>
          <w:sz w:val="24"/>
        </w:rPr>
        <w:t>（二）行业发展和投资是否满足城市功能的需求；</w:t>
      </w:r>
    </w:p>
    <w:p>
      <w:pPr>
        <w:snapToGrid w:val="0"/>
        <w:spacing w:line="460" w:lineRule="exact"/>
        <w:ind w:firstLine="480" w:firstLineChars="200"/>
        <w:rPr>
          <w:rFonts w:eastAsia="方正仿宋_GBK"/>
          <w:color w:val="000000"/>
          <w:sz w:val="24"/>
        </w:rPr>
      </w:pPr>
      <w:r>
        <w:rPr>
          <w:rFonts w:hint="eastAsia" w:eastAsia="方正仿宋_GBK"/>
          <w:color w:val="000000"/>
          <w:sz w:val="24"/>
        </w:rPr>
        <w:t>（三）提供的产品和服务是否满足各类标准和规范的要求；</w:t>
      </w:r>
    </w:p>
    <w:p>
      <w:pPr>
        <w:snapToGrid w:val="0"/>
        <w:spacing w:line="460" w:lineRule="exact"/>
        <w:ind w:firstLine="480" w:firstLineChars="200"/>
        <w:rPr>
          <w:rFonts w:eastAsia="方正仿宋_GBK"/>
          <w:color w:val="000000"/>
          <w:sz w:val="24"/>
        </w:rPr>
      </w:pPr>
      <w:r>
        <w:rPr>
          <w:rFonts w:hint="eastAsia" w:eastAsia="方正仿宋_GBK"/>
          <w:color w:val="000000"/>
          <w:sz w:val="24"/>
        </w:rPr>
        <w:t>（四）行业服务质量和用户投诉处理情况；</w:t>
      </w:r>
    </w:p>
    <w:p>
      <w:pPr>
        <w:snapToGrid w:val="0"/>
        <w:spacing w:line="460" w:lineRule="exact"/>
        <w:ind w:firstLine="480" w:firstLineChars="200"/>
        <w:rPr>
          <w:rFonts w:eastAsia="方正仿宋_GBK"/>
          <w:color w:val="000000"/>
          <w:sz w:val="24"/>
        </w:rPr>
      </w:pPr>
      <w:r>
        <w:rPr>
          <w:rFonts w:hint="eastAsia" w:eastAsia="方正仿宋_GBK"/>
          <w:color w:val="000000"/>
          <w:sz w:val="24"/>
        </w:rPr>
        <w:t>（五）应急预案的制定、执行情况；</w:t>
      </w:r>
    </w:p>
    <w:p>
      <w:pPr>
        <w:snapToGrid w:val="0"/>
        <w:spacing w:line="460" w:lineRule="exact"/>
        <w:ind w:firstLine="480" w:firstLineChars="200"/>
        <w:rPr>
          <w:rFonts w:eastAsia="方正仿宋_GBK"/>
          <w:color w:val="000000"/>
          <w:sz w:val="24"/>
        </w:rPr>
      </w:pPr>
      <w:r>
        <w:rPr>
          <w:rFonts w:hint="eastAsia" w:eastAsia="方正仿宋_GBK"/>
          <w:color w:val="000000"/>
          <w:sz w:val="24"/>
        </w:rPr>
        <w:t>（六）成本、价格的控制和执行情况；</w:t>
      </w:r>
    </w:p>
    <w:p>
      <w:pPr>
        <w:snapToGrid w:val="0"/>
        <w:spacing w:line="460" w:lineRule="exact"/>
        <w:ind w:firstLine="480" w:firstLineChars="200"/>
        <w:rPr>
          <w:rFonts w:eastAsia="方正仿宋_GBK"/>
          <w:color w:val="000000"/>
          <w:sz w:val="24"/>
        </w:rPr>
      </w:pPr>
      <w:r>
        <w:rPr>
          <w:rFonts w:hint="eastAsia" w:eastAsia="方正仿宋_GBK"/>
          <w:color w:val="000000"/>
          <w:sz w:val="24"/>
        </w:rPr>
        <w:t>（七）行业规划和年度计划的制定、执行情况；</w:t>
      </w:r>
    </w:p>
    <w:p>
      <w:pPr>
        <w:snapToGrid w:val="0"/>
        <w:spacing w:line="460" w:lineRule="exact"/>
        <w:ind w:firstLine="480" w:firstLineChars="200"/>
        <w:rPr>
          <w:rFonts w:eastAsia="方正仿宋_GBK"/>
          <w:color w:val="000000"/>
          <w:sz w:val="24"/>
        </w:rPr>
      </w:pPr>
      <w:r>
        <w:rPr>
          <w:rFonts w:hint="eastAsia" w:eastAsia="方正仿宋_GBK"/>
          <w:color w:val="000000"/>
          <w:sz w:val="24"/>
        </w:rPr>
        <w:t>（八）重要设备、设施的完好情况；</w:t>
      </w:r>
    </w:p>
    <w:p>
      <w:pPr>
        <w:snapToGrid w:val="0"/>
        <w:spacing w:line="460" w:lineRule="exact"/>
        <w:ind w:firstLine="480" w:firstLineChars="200"/>
        <w:rPr>
          <w:rFonts w:eastAsia="方正仿宋_GBK"/>
          <w:color w:val="000000"/>
          <w:sz w:val="24"/>
        </w:rPr>
      </w:pPr>
      <w:r>
        <w:rPr>
          <w:rFonts w:hint="eastAsia" w:eastAsia="方正仿宋_GBK"/>
          <w:color w:val="000000"/>
          <w:sz w:val="24"/>
        </w:rPr>
        <w:t>（九）安全生产和管理情况；</w:t>
      </w:r>
      <w:r>
        <w:rPr>
          <w:rFonts w:eastAsia="方正仿宋_GBK"/>
          <w:color w:val="000000"/>
          <w:sz w:val="24"/>
        </w:rPr>
        <w:t xml:space="preserve"> </w:t>
      </w:r>
    </w:p>
    <w:p>
      <w:pPr>
        <w:snapToGrid w:val="0"/>
        <w:spacing w:line="460" w:lineRule="exact"/>
        <w:ind w:firstLine="480" w:firstLineChars="200"/>
        <w:rPr>
          <w:rFonts w:eastAsia="方正仿宋_GBK"/>
          <w:color w:val="000000"/>
          <w:sz w:val="24"/>
        </w:rPr>
      </w:pPr>
      <w:r>
        <w:rPr>
          <w:rFonts w:hint="eastAsia" w:eastAsia="方正仿宋_GBK"/>
          <w:color w:val="000000"/>
          <w:sz w:val="24"/>
        </w:rPr>
        <w:t>（十）社会公益性义务的执行情况；</w:t>
      </w:r>
      <w:r>
        <w:rPr>
          <w:rFonts w:eastAsia="方正仿宋_GBK"/>
          <w:color w:val="000000"/>
          <w:sz w:val="24"/>
        </w:rPr>
        <w:t xml:space="preserve"> </w:t>
      </w:r>
    </w:p>
    <w:p>
      <w:pPr>
        <w:snapToGrid w:val="0"/>
        <w:spacing w:line="460" w:lineRule="exact"/>
        <w:ind w:firstLine="480" w:firstLineChars="200"/>
        <w:rPr>
          <w:rFonts w:eastAsia="方正仿宋_GBK"/>
          <w:color w:val="000000"/>
          <w:sz w:val="24"/>
        </w:rPr>
      </w:pPr>
      <w:r>
        <w:rPr>
          <w:rFonts w:hint="eastAsia" w:eastAsia="方正仿宋_GBK"/>
          <w:color w:val="000000"/>
          <w:sz w:val="24"/>
        </w:rPr>
        <w:t>（十一）特许经营授权人认为需要评估的其他事项。</w:t>
      </w:r>
    </w:p>
    <w:p>
      <w:pPr>
        <w:snapToGrid w:val="0"/>
        <w:spacing w:line="460" w:lineRule="exact"/>
        <w:ind w:firstLine="480" w:firstLineChars="200"/>
        <w:rPr>
          <w:rFonts w:eastAsia="方正仿宋_GBK"/>
          <w:color w:val="000000"/>
          <w:sz w:val="24"/>
        </w:rPr>
      </w:pPr>
      <w:r>
        <w:rPr>
          <w:rFonts w:hint="eastAsia" w:eastAsia="黑体"/>
          <w:color w:val="000000"/>
          <w:sz w:val="24"/>
        </w:rPr>
        <w:t>第六条</w:t>
      </w:r>
      <w:r>
        <w:rPr>
          <w:rFonts w:eastAsia="方正仿宋_GBK"/>
          <w:color w:val="000000"/>
          <w:sz w:val="24"/>
        </w:rPr>
        <w:t xml:space="preserve">  </w:t>
      </w:r>
      <w:r>
        <w:rPr>
          <w:rFonts w:hint="eastAsia" w:eastAsia="方正仿宋_GBK"/>
          <w:color w:val="000000"/>
          <w:sz w:val="24"/>
        </w:rPr>
        <w:t>中期评估的周期一般不得低于</w:t>
      </w:r>
      <w:r>
        <w:rPr>
          <w:rFonts w:eastAsia="方正仿宋_GBK"/>
          <w:color w:val="000000"/>
          <w:sz w:val="24"/>
        </w:rPr>
        <w:t>2</w:t>
      </w:r>
      <w:r>
        <w:rPr>
          <w:rFonts w:hint="eastAsia" w:eastAsia="方正仿宋_GBK"/>
          <w:color w:val="000000"/>
          <w:sz w:val="24"/>
        </w:rPr>
        <w:t>年，特殊情况下可以实施年度评估。</w:t>
      </w:r>
    </w:p>
    <w:p>
      <w:pPr>
        <w:snapToGrid w:val="0"/>
        <w:spacing w:line="460" w:lineRule="exact"/>
        <w:ind w:firstLine="480" w:firstLineChars="200"/>
        <w:rPr>
          <w:rFonts w:eastAsia="方正仿宋_GBK"/>
          <w:color w:val="000000"/>
          <w:sz w:val="24"/>
        </w:rPr>
      </w:pPr>
      <w:r>
        <w:rPr>
          <w:rFonts w:hint="eastAsia" w:eastAsia="黑体"/>
          <w:color w:val="000000"/>
          <w:sz w:val="24"/>
        </w:rPr>
        <w:t>第七条</w:t>
      </w:r>
      <w:r>
        <w:rPr>
          <w:rFonts w:eastAsia="方正仿宋_GBK"/>
          <w:color w:val="000000"/>
          <w:sz w:val="24"/>
        </w:rPr>
        <w:t xml:space="preserve">  </w:t>
      </w:r>
      <w:r>
        <w:rPr>
          <w:rFonts w:hint="eastAsia" w:eastAsia="方正仿宋_GBK"/>
          <w:color w:val="000000"/>
          <w:sz w:val="24"/>
        </w:rPr>
        <w:t>特许经营协议应明确中期评估方案。开展中期评估应当按照以下程序执行：</w:t>
      </w:r>
    </w:p>
    <w:p>
      <w:pPr>
        <w:snapToGrid w:val="0"/>
        <w:spacing w:line="460" w:lineRule="exact"/>
        <w:ind w:firstLine="480" w:firstLineChars="200"/>
        <w:rPr>
          <w:rFonts w:eastAsia="方正仿宋_GBK"/>
          <w:color w:val="000000"/>
          <w:sz w:val="24"/>
        </w:rPr>
      </w:pPr>
      <w:r>
        <w:rPr>
          <w:rFonts w:hint="eastAsia" w:eastAsia="方正仿宋_GBK"/>
          <w:color w:val="000000"/>
          <w:sz w:val="24"/>
        </w:rPr>
        <w:t>（一）负责中期评估的市政公用事业主管部门在每一个中期评估前</w:t>
      </w:r>
      <w:r>
        <w:rPr>
          <w:rFonts w:eastAsia="方正仿宋_GBK"/>
          <w:color w:val="000000"/>
          <w:sz w:val="24"/>
        </w:rPr>
        <w:t>1</w:t>
      </w:r>
      <w:r>
        <w:rPr>
          <w:rFonts w:hint="eastAsia" w:eastAsia="方正仿宋_GBK"/>
          <w:color w:val="000000"/>
          <w:sz w:val="24"/>
        </w:rPr>
        <w:t>个月向特许经营企业发出中期评估通知；</w:t>
      </w:r>
    </w:p>
    <w:p>
      <w:pPr>
        <w:snapToGrid w:val="0"/>
        <w:spacing w:line="460" w:lineRule="exact"/>
        <w:ind w:firstLine="480" w:firstLineChars="200"/>
        <w:rPr>
          <w:rFonts w:eastAsia="方正仿宋_GBK"/>
          <w:color w:val="000000"/>
          <w:sz w:val="24"/>
        </w:rPr>
      </w:pPr>
      <w:r>
        <w:rPr>
          <w:rFonts w:hint="eastAsia" w:eastAsia="方正仿宋_GBK"/>
          <w:color w:val="000000"/>
          <w:sz w:val="24"/>
        </w:rPr>
        <w:t>（二）特许经营企业在收到通知后的</w:t>
      </w:r>
      <w:r>
        <w:rPr>
          <w:rFonts w:eastAsia="方正仿宋_GBK"/>
          <w:color w:val="000000"/>
          <w:sz w:val="24"/>
        </w:rPr>
        <w:t>1</w:t>
      </w:r>
      <w:r>
        <w:rPr>
          <w:rFonts w:hint="eastAsia" w:eastAsia="方正仿宋_GBK"/>
          <w:color w:val="000000"/>
          <w:sz w:val="24"/>
        </w:rPr>
        <w:t>个月内负责准备和报送涉及中期评估内容的相关资料，包括中期评估周期内的年度经营计划及执行情况、各类财务报表、生产运行过程中的各类报表、服务及投诉处理的各类报表、建设和投资情况说明、保障正常运行的情况说明、普遍服务和公益性义务的执行情况以及服务对象满意度调查情况等；</w:t>
      </w:r>
    </w:p>
    <w:p>
      <w:pPr>
        <w:snapToGrid w:val="0"/>
        <w:spacing w:line="460" w:lineRule="exact"/>
        <w:ind w:firstLine="480" w:firstLineChars="200"/>
        <w:rPr>
          <w:rFonts w:eastAsia="方正仿宋_GBK"/>
          <w:color w:val="000000"/>
          <w:sz w:val="24"/>
        </w:rPr>
      </w:pPr>
      <w:r>
        <w:rPr>
          <w:rFonts w:hint="eastAsia" w:eastAsia="方正仿宋_GBK"/>
          <w:color w:val="000000"/>
          <w:sz w:val="24"/>
        </w:rPr>
        <w:t>（三）市政公用事业主管部门应在发出中期评估通知后的三个月内组织专门人员完成中期评估工作，并向特许经营企业出具中期评估报告；</w:t>
      </w:r>
    </w:p>
    <w:p>
      <w:pPr>
        <w:snapToGrid w:val="0"/>
        <w:spacing w:line="460" w:lineRule="exact"/>
        <w:ind w:firstLine="480" w:firstLineChars="200"/>
        <w:rPr>
          <w:rFonts w:eastAsia="方正仿宋_GBK"/>
          <w:color w:val="000000"/>
          <w:sz w:val="24"/>
        </w:rPr>
      </w:pPr>
      <w:r>
        <w:rPr>
          <w:rFonts w:hint="eastAsia" w:eastAsia="方正仿宋_GBK"/>
          <w:color w:val="000000"/>
          <w:sz w:val="24"/>
        </w:rPr>
        <w:t>（四）对中期评估报告中的部分内容，市政公用事业主管部门有权以适当的方式予以公示。</w:t>
      </w:r>
    </w:p>
    <w:p>
      <w:pPr>
        <w:snapToGrid w:val="0"/>
        <w:spacing w:line="460" w:lineRule="exact"/>
        <w:ind w:firstLine="480" w:firstLineChars="200"/>
        <w:rPr>
          <w:rFonts w:eastAsia="方正仿宋_GBK"/>
          <w:color w:val="000000"/>
          <w:sz w:val="24"/>
        </w:rPr>
      </w:pPr>
      <w:r>
        <w:rPr>
          <w:rFonts w:hint="eastAsia" w:eastAsia="黑体"/>
          <w:color w:val="000000"/>
          <w:sz w:val="24"/>
        </w:rPr>
        <w:t>第八条</w:t>
      </w:r>
      <w:r>
        <w:rPr>
          <w:rFonts w:eastAsia="方正仿宋_GBK"/>
          <w:color w:val="000000"/>
          <w:sz w:val="24"/>
        </w:rPr>
        <w:t xml:space="preserve">  </w:t>
      </w:r>
      <w:r>
        <w:rPr>
          <w:rFonts w:hint="eastAsia" w:eastAsia="方正仿宋_GBK"/>
          <w:color w:val="000000"/>
          <w:sz w:val="24"/>
        </w:rPr>
        <w:t>对中期评估过程中发现属企业经营过程中的问题，市政公用事业主管部门应责令特许经营企业逐一予以整改。</w:t>
      </w:r>
    </w:p>
    <w:p>
      <w:pPr>
        <w:spacing w:line="460" w:lineRule="exact"/>
        <w:ind w:right="1280" w:firstLine="480" w:firstLineChars="200"/>
        <w:rPr>
          <w:rFonts w:eastAsia="方正仿宋_GBK"/>
          <w:color w:val="000000"/>
          <w:sz w:val="24"/>
        </w:rPr>
      </w:pPr>
    </w:p>
    <w:p>
      <w:pPr>
        <w:pStyle w:val="2"/>
        <w:spacing w:before="240" w:beforeLines="100" w:after="240" w:afterLines="100" w:line="240" w:lineRule="auto"/>
        <w:jc w:val="center"/>
        <w:rPr>
          <w:rFonts w:ascii="Times New Roman" w:eastAsia="方正小标宋_GBK"/>
          <w:b w:val="0"/>
          <w:sz w:val="36"/>
          <w:szCs w:val="36"/>
        </w:rPr>
      </w:pPr>
      <w:r>
        <w:rPr>
          <w:b w:val="0"/>
          <w:color w:val="000000"/>
        </w:rPr>
        <w:br w:type="column"/>
      </w:r>
      <w:bookmarkStart w:id="74" w:name="_Toc18315402"/>
      <w:bookmarkStart w:id="75" w:name="_Toc20726322"/>
      <w:r>
        <w:rPr>
          <w:rFonts w:hint="eastAsia" w:ascii="Times New Roman" w:eastAsia="方正小标宋_GBK"/>
          <w:b w:val="0"/>
          <w:sz w:val="36"/>
          <w:szCs w:val="36"/>
        </w:rPr>
        <w:t>关于加强太湖流域城镇生活污水处理系统接纳       工业废水管理的通知</w:t>
      </w:r>
      <w:bookmarkEnd w:id="74"/>
      <w:bookmarkEnd w:id="7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76" w:name="_Toc18315403"/>
      <w:bookmarkStart w:id="77" w:name="_Toc20726323"/>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2008</w:t>
      </w:r>
      <w:r>
        <w:rPr>
          <w:rFonts w:hint="eastAsia" w:ascii="Times New Roman" w:hAnsi="Times New Roman" w:eastAsia="方正楷体_GBK"/>
          <w:b w:val="0"/>
          <w:sz w:val="24"/>
          <w:szCs w:val="24"/>
        </w:rPr>
        <w:t>〕</w:t>
      </w:r>
      <w:r>
        <w:rPr>
          <w:rFonts w:ascii="Times New Roman" w:hAnsi="Times New Roman" w:eastAsia="方正楷体_GBK"/>
          <w:b w:val="0"/>
          <w:sz w:val="24"/>
          <w:szCs w:val="24"/>
        </w:rPr>
        <w:t>198</w:t>
      </w:r>
      <w:r>
        <w:rPr>
          <w:rFonts w:hint="eastAsia" w:ascii="Times New Roman" w:hAnsi="Times New Roman" w:eastAsia="方正楷体_GBK"/>
          <w:b w:val="0"/>
          <w:sz w:val="24"/>
          <w:szCs w:val="24"/>
        </w:rPr>
        <w:t>号</w:t>
      </w:r>
      <w:bookmarkEnd w:id="76"/>
      <w:bookmarkEnd w:id="77"/>
    </w:p>
    <w:p>
      <w:pPr>
        <w:spacing w:line="440" w:lineRule="exact"/>
        <w:rPr>
          <w:rFonts w:eastAsia="方正仿宋_GBK"/>
          <w:color w:val="000000"/>
          <w:spacing w:val="-2"/>
          <w:sz w:val="24"/>
        </w:rPr>
      </w:pPr>
      <w:r>
        <w:rPr>
          <w:rFonts w:hint="eastAsia" w:eastAsia="方正仿宋_GBK"/>
          <w:color w:val="000000"/>
          <w:spacing w:val="-2"/>
          <w:sz w:val="24"/>
        </w:rPr>
        <w:t>太湖流域各市、县（市）建设局、环保局，有关市、县（市）水务局（办）：</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根据国家和省委、省政府有关规定和要求，为切实落实城镇生活污水处理厂达标排放责任和各级城镇排水主管部门监管责任，保证城镇生活污水处理厂稳定运行、尾水达标排放，现就加强城镇生活污水处理系统</w:t>
      </w:r>
      <w:r>
        <w:rPr>
          <w:rFonts w:hint="eastAsia" w:eastAsia="方正仿宋_GBK"/>
          <w:color w:val="000000"/>
          <w:spacing w:val="-2"/>
          <w:sz w:val="24"/>
        </w:rPr>
        <w:t>接纳工业废水管理工作，作如下通知：</w:t>
      </w:r>
    </w:p>
    <w:p>
      <w:pPr>
        <w:spacing w:line="440" w:lineRule="exact"/>
        <w:ind w:firstLine="472" w:firstLineChars="200"/>
        <w:rPr>
          <w:rFonts w:eastAsia="方正黑体_GBK"/>
          <w:color w:val="000000"/>
          <w:spacing w:val="-2"/>
          <w:sz w:val="24"/>
        </w:rPr>
      </w:pPr>
      <w:r>
        <w:rPr>
          <w:rFonts w:hint="eastAsia" w:eastAsia="方正黑体_GBK"/>
          <w:color w:val="000000"/>
          <w:spacing w:val="-2"/>
          <w:kern w:val="0"/>
          <w:sz w:val="24"/>
        </w:rPr>
        <w:t>一、进一步提高对加强</w:t>
      </w:r>
      <w:r>
        <w:rPr>
          <w:rFonts w:hint="eastAsia" w:eastAsia="方正黑体_GBK"/>
          <w:color w:val="000000"/>
          <w:spacing w:val="-2"/>
          <w:sz w:val="24"/>
        </w:rPr>
        <w:t>城镇污水处理系统接纳工业废水管理工作重要性与紧迫性的认识</w:t>
      </w:r>
    </w:p>
    <w:p>
      <w:pPr>
        <w:spacing w:line="440" w:lineRule="exact"/>
        <w:ind w:firstLine="472" w:firstLineChars="200"/>
        <w:rPr>
          <w:rFonts w:eastAsia="方正仿宋_GBK"/>
          <w:color w:val="000000"/>
          <w:spacing w:val="-2"/>
          <w:sz w:val="24"/>
        </w:rPr>
      </w:pPr>
      <w:r>
        <w:rPr>
          <w:rFonts w:hint="eastAsia" w:eastAsia="方正仿宋_GBK"/>
          <w:color w:val="000000"/>
          <w:spacing w:val="-2"/>
          <w:kern w:val="0"/>
          <w:sz w:val="24"/>
        </w:rPr>
        <w:t>城镇生活污水处理系统是保护城镇水环境、保障城镇功能的基础设施，对提高人民群众生活质量、促进城镇可持续发展具有十分重要的作用。</w:t>
      </w:r>
      <w:r>
        <w:rPr>
          <w:rFonts w:eastAsia="方正仿宋_GBK"/>
          <w:color w:val="000000"/>
          <w:spacing w:val="-2"/>
          <w:kern w:val="0"/>
          <w:sz w:val="24"/>
        </w:rPr>
        <w:t>“</w:t>
      </w:r>
      <w:r>
        <w:rPr>
          <w:rFonts w:hint="eastAsia" w:eastAsia="方正仿宋_GBK"/>
          <w:color w:val="000000"/>
          <w:spacing w:val="-2"/>
          <w:kern w:val="0"/>
          <w:sz w:val="24"/>
        </w:rPr>
        <w:t>九五</w:t>
      </w:r>
      <w:r>
        <w:rPr>
          <w:rFonts w:eastAsia="方正仿宋_GBK"/>
          <w:color w:val="000000"/>
          <w:spacing w:val="-2"/>
          <w:kern w:val="0"/>
          <w:sz w:val="24"/>
        </w:rPr>
        <w:t>”</w:t>
      </w:r>
      <w:r>
        <w:rPr>
          <w:rFonts w:hint="eastAsia" w:eastAsia="方正仿宋_GBK"/>
          <w:color w:val="000000"/>
          <w:spacing w:val="-2"/>
          <w:kern w:val="0"/>
          <w:sz w:val="24"/>
        </w:rPr>
        <w:t>以来，</w:t>
      </w:r>
      <w:r>
        <w:rPr>
          <w:rFonts w:hint="eastAsia" w:eastAsia="方正仿宋_GBK"/>
          <w:color w:val="000000"/>
          <w:spacing w:val="-2"/>
          <w:sz w:val="24"/>
        </w:rPr>
        <w:t>随着国家</w:t>
      </w:r>
      <w:r>
        <w:rPr>
          <w:rFonts w:eastAsia="方正仿宋_GBK"/>
          <w:color w:val="000000"/>
          <w:spacing w:val="-2"/>
          <w:sz w:val="24"/>
        </w:rPr>
        <w:t>“</w:t>
      </w:r>
      <w:r>
        <w:rPr>
          <w:rFonts w:hint="eastAsia" w:eastAsia="方正仿宋_GBK"/>
          <w:color w:val="000000"/>
          <w:spacing w:val="-2"/>
          <w:sz w:val="24"/>
        </w:rPr>
        <w:t>三河三湖</w:t>
      </w:r>
      <w:r>
        <w:rPr>
          <w:rFonts w:eastAsia="方正仿宋_GBK"/>
          <w:color w:val="000000"/>
          <w:spacing w:val="-2"/>
          <w:sz w:val="24"/>
        </w:rPr>
        <w:t>”</w:t>
      </w:r>
      <w:r>
        <w:rPr>
          <w:rFonts w:hint="eastAsia" w:eastAsia="方正仿宋_GBK"/>
          <w:color w:val="000000"/>
          <w:spacing w:val="-2"/>
          <w:sz w:val="24"/>
        </w:rPr>
        <w:t>水污染防治规划的实施，我省太湖流域建成了一批城镇生活污水处理设施，对防治水污染、改善太湖水环境发挥了重要作用。但是我省太湖流域一些地方和单位将不达标排放的工业废水直接接入城镇生活污水处理系统，造成城镇生活污水处理厂无法正常运行，尾水不能达标排放，直接影响了国家环境保护目标和太湖流域水污染防治目标的实现。各地城镇排水、环境保护主管部门必须从确保实现太湖流域水污染治理目标的高度，充分认识加强城镇污水处理系统接纳工业废水管理工作的重要性和紧迫性，进一步增强责任感，紧密协作，严格监管，采取切实有力措施，落实工业废水接入城镇生活污水处理系统相关工作要求。</w:t>
      </w:r>
    </w:p>
    <w:p>
      <w:pPr>
        <w:spacing w:line="440" w:lineRule="exact"/>
        <w:ind w:firstLine="472" w:firstLineChars="200"/>
        <w:rPr>
          <w:rFonts w:eastAsia="方正黑体_GBK"/>
          <w:color w:val="000000"/>
          <w:spacing w:val="-2"/>
          <w:kern w:val="0"/>
          <w:sz w:val="24"/>
        </w:rPr>
      </w:pPr>
      <w:r>
        <w:rPr>
          <w:rFonts w:hint="eastAsia" w:eastAsia="方正黑体_GBK"/>
          <w:color w:val="000000"/>
          <w:spacing w:val="-2"/>
          <w:kern w:val="0"/>
          <w:sz w:val="24"/>
        </w:rPr>
        <w:t>二、严格执行城镇排水许可、排污许可管理制度，规范工业废水排放行为</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认真贯彻落实《城镇排水与污水处理条例》、《城镇污水排入排水管网许可管理办法》和《污水排入城镇下水道水质标准》（</w:t>
      </w:r>
      <w:r>
        <w:rPr>
          <w:rFonts w:eastAsia="方正仿宋_GBK"/>
          <w:color w:val="000000"/>
          <w:spacing w:val="-2"/>
          <w:kern w:val="0"/>
          <w:sz w:val="24"/>
        </w:rPr>
        <w:t>GB/T 31962-2015</w:t>
      </w:r>
      <w:r>
        <w:rPr>
          <w:rFonts w:hint="eastAsia" w:eastAsia="方正仿宋_GBK"/>
          <w:color w:val="000000"/>
          <w:spacing w:val="-2"/>
          <w:kern w:val="0"/>
          <w:sz w:val="24"/>
        </w:rPr>
        <w:t>），排入城镇生活污水处理系统的工业废水必须符合水质等级标准。凡工业废水需接入城镇生活污水处理系统的排水单位，必须依法申领《城镇污水排入排水管网许可证》；未领取《城镇污水排入排水管网许可证》的排水户，一律不得将工业废水接入城镇生活污水处理系统。医疗卫生、生物制品、科学研究、肉类加工等含有病源体的废水必须经过严格消毒处理，除满足城</w:t>
      </w:r>
      <w:r>
        <w:rPr>
          <w:rFonts w:hint="eastAsia" w:eastAsia="方正仿宋_GBK"/>
          <w:color w:val="000000"/>
          <w:spacing w:val="-2"/>
          <w:sz w:val="24"/>
        </w:rPr>
        <w:t>镇</w:t>
      </w:r>
      <w:r>
        <w:rPr>
          <w:rFonts w:hint="eastAsia" w:eastAsia="方正仿宋_GBK"/>
          <w:color w:val="000000"/>
          <w:spacing w:val="-2"/>
          <w:kern w:val="0"/>
          <w:sz w:val="24"/>
        </w:rPr>
        <w:t>污水处理系统接纳标准外，还必须符合专业水质排放标准。对含有毒有害、易燃易爆物质的废水，含重金属、油脂或者其他难以生化降解物质的废水，含强酸、强碱等腐蚀性物质的废水，以及其他应当进行预处理后方可排入城镇排水设施的废水，排水户应当进行预处理，达到水质等级标准后方可排放。对生化性好，超过污水接纳标准但不致对城</w:t>
      </w:r>
      <w:r>
        <w:rPr>
          <w:rFonts w:hint="eastAsia" w:eastAsia="方正仿宋_GBK"/>
          <w:color w:val="000000"/>
          <w:spacing w:val="-2"/>
          <w:sz w:val="24"/>
        </w:rPr>
        <w:t>镇</w:t>
      </w:r>
      <w:r>
        <w:rPr>
          <w:rFonts w:hint="eastAsia" w:eastAsia="方正仿宋_GBK"/>
          <w:color w:val="000000"/>
          <w:spacing w:val="-2"/>
          <w:kern w:val="0"/>
          <w:sz w:val="24"/>
        </w:rPr>
        <w:t>排水与污水处理设施造成损害的，须与污水处理企业协商一致并报经城</w:t>
      </w:r>
      <w:r>
        <w:rPr>
          <w:rFonts w:hint="eastAsia" w:eastAsia="方正仿宋_GBK"/>
          <w:color w:val="000000"/>
          <w:spacing w:val="-2"/>
          <w:sz w:val="24"/>
        </w:rPr>
        <w:t>镇</w:t>
      </w:r>
      <w:r>
        <w:rPr>
          <w:rFonts w:hint="eastAsia" w:eastAsia="方正仿宋_GBK"/>
          <w:color w:val="000000"/>
          <w:spacing w:val="-2"/>
          <w:kern w:val="0"/>
          <w:sz w:val="24"/>
        </w:rPr>
        <w:t>排水、环境保护主管部门同意后，方可向城镇生活污水处理系统排放污水，同时增缴一定的污水处理费。对纺织染整、化工、造纸、钢铁、电镀、食品制造等工业排水户，应当自行建设污水处理设施，尾水排放必须严格执行国家和地方规定的水污染物排放标准。</w:t>
      </w:r>
    </w:p>
    <w:p>
      <w:pPr>
        <w:spacing w:line="440" w:lineRule="exact"/>
        <w:ind w:firstLine="472" w:firstLineChars="200"/>
        <w:rPr>
          <w:rFonts w:eastAsia="方正黑体_GBK"/>
          <w:color w:val="000000"/>
          <w:spacing w:val="-2"/>
          <w:kern w:val="0"/>
          <w:sz w:val="24"/>
        </w:rPr>
      </w:pPr>
      <w:r>
        <w:rPr>
          <w:rFonts w:hint="eastAsia" w:eastAsia="方正黑体_GBK"/>
          <w:color w:val="000000"/>
          <w:spacing w:val="-2"/>
          <w:kern w:val="0"/>
          <w:sz w:val="24"/>
        </w:rPr>
        <w:t>三、完善工业废水排放检测、监控设施，增强监督管理的科学性、规范性</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sz w:val="24"/>
        </w:rPr>
        <w:t>对</w:t>
      </w:r>
      <w:r>
        <w:rPr>
          <w:rFonts w:hint="eastAsia" w:eastAsia="方正仿宋_GBK"/>
          <w:color w:val="000000"/>
          <w:spacing w:val="-2"/>
          <w:kern w:val="0"/>
          <w:sz w:val="24"/>
        </w:rPr>
        <w:t>工业废水排入城镇生活污水处理系统的排放单位，只允许设置</w:t>
      </w:r>
      <w:r>
        <w:rPr>
          <w:rFonts w:eastAsia="方正仿宋_GBK"/>
          <w:color w:val="000000"/>
          <w:spacing w:val="-2"/>
          <w:kern w:val="0"/>
          <w:sz w:val="24"/>
        </w:rPr>
        <w:t>1</w:t>
      </w:r>
      <w:r>
        <w:rPr>
          <w:rFonts w:hint="eastAsia" w:eastAsia="方正仿宋_GBK"/>
          <w:color w:val="000000"/>
          <w:spacing w:val="-2"/>
          <w:kern w:val="0"/>
          <w:sz w:val="24"/>
        </w:rPr>
        <w:t>个污水排放口，因特殊情况需增设的，必须报请城</w:t>
      </w:r>
      <w:r>
        <w:rPr>
          <w:rFonts w:hint="eastAsia" w:eastAsia="方正仿宋_GBK"/>
          <w:color w:val="000000"/>
          <w:spacing w:val="-2"/>
          <w:sz w:val="24"/>
        </w:rPr>
        <w:t>镇</w:t>
      </w:r>
      <w:r>
        <w:rPr>
          <w:rFonts w:hint="eastAsia" w:eastAsia="方正仿宋_GBK"/>
          <w:color w:val="000000"/>
          <w:spacing w:val="-2"/>
          <w:kern w:val="0"/>
          <w:sz w:val="24"/>
        </w:rPr>
        <w:t>排水、环境保护主管部门同意。排水口设置应做到位置合理、标志明显，便于计量监测。所有工业废水排放口必须设置具有格栅和闸门等设施的专用检查井，安装污水水量计量装置和水质在线监测仪表等，并与城</w:t>
      </w:r>
      <w:r>
        <w:rPr>
          <w:rFonts w:hint="eastAsia" w:eastAsia="方正仿宋_GBK"/>
          <w:color w:val="000000"/>
          <w:spacing w:val="-2"/>
          <w:sz w:val="24"/>
        </w:rPr>
        <w:t>镇</w:t>
      </w:r>
      <w:r>
        <w:rPr>
          <w:rFonts w:hint="eastAsia" w:eastAsia="方正仿宋_GBK"/>
          <w:color w:val="000000"/>
          <w:spacing w:val="-2"/>
          <w:kern w:val="0"/>
          <w:sz w:val="24"/>
        </w:rPr>
        <w:t>排水、环境保护主管部门联网。</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各地城</w:t>
      </w:r>
      <w:r>
        <w:rPr>
          <w:rFonts w:hint="eastAsia" w:eastAsia="方正仿宋_GBK"/>
          <w:color w:val="000000"/>
          <w:spacing w:val="-2"/>
          <w:sz w:val="24"/>
        </w:rPr>
        <w:t>镇</w:t>
      </w:r>
      <w:r>
        <w:rPr>
          <w:rFonts w:hint="eastAsia" w:eastAsia="方正仿宋_GBK"/>
          <w:color w:val="000000"/>
          <w:spacing w:val="-2"/>
          <w:kern w:val="0"/>
          <w:sz w:val="24"/>
        </w:rPr>
        <w:t>排水主管部门要建立专门档案，对工业废水排入城镇生活污水处理系统的排放单位进行归类管理，对可能出现超标工业废水排入城镇生活污水处理系统的排放单位进行重点监测监管，被监测单位应当予以配合。实行水质水量报告制度，接管排放单位应按要求将排入城镇生活污水处理系统的废水水质和水量报告城</w:t>
      </w:r>
      <w:r>
        <w:rPr>
          <w:rFonts w:hint="eastAsia" w:eastAsia="方正仿宋_GBK"/>
          <w:color w:val="000000"/>
          <w:spacing w:val="-2"/>
          <w:sz w:val="24"/>
        </w:rPr>
        <w:t>镇</w:t>
      </w:r>
      <w:r>
        <w:rPr>
          <w:rFonts w:hint="eastAsia" w:eastAsia="方正仿宋_GBK"/>
          <w:color w:val="000000"/>
          <w:spacing w:val="-2"/>
          <w:kern w:val="0"/>
          <w:sz w:val="24"/>
        </w:rPr>
        <w:t>排水主管部门；对工业废水预处理后排入城镇生活污水处理系统的单位，应一并报送污水预处理设施运转状况和排放水质化验资料。</w:t>
      </w:r>
    </w:p>
    <w:p>
      <w:pPr>
        <w:spacing w:line="440" w:lineRule="exact"/>
        <w:ind w:firstLine="472" w:firstLineChars="200"/>
        <w:rPr>
          <w:rFonts w:eastAsia="方正黑体_GBK"/>
          <w:color w:val="000000"/>
          <w:spacing w:val="-2"/>
          <w:kern w:val="0"/>
          <w:sz w:val="24"/>
        </w:rPr>
      </w:pPr>
      <w:r>
        <w:rPr>
          <w:rFonts w:hint="eastAsia" w:eastAsia="方正黑体_GBK"/>
          <w:color w:val="000000"/>
          <w:spacing w:val="-2"/>
          <w:kern w:val="0"/>
          <w:sz w:val="24"/>
        </w:rPr>
        <w:t>四、加强监督检查，严厉查处工业废水违法排放行为</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各地城</w:t>
      </w:r>
      <w:r>
        <w:rPr>
          <w:rFonts w:hint="eastAsia" w:eastAsia="方正仿宋_GBK"/>
          <w:color w:val="000000"/>
          <w:spacing w:val="-2"/>
          <w:sz w:val="24"/>
        </w:rPr>
        <w:t>镇</w:t>
      </w:r>
      <w:r>
        <w:rPr>
          <w:rFonts w:hint="eastAsia" w:eastAsia="方正仿宋_GBK"/>
          <w:color w:val="000000"/>
          <w:spacing w:val="-2"/>
          <w:kern w:val="0"/>
          <w:sz w:val="24"/>
        </w:rPr>
        <w:t>排水、环境保护主管部门要严格执行国家与地方水污染防治法律法规规定，</w:t>
      </w:r>
      <w:r>
        <w:rPr>
          <w:rFonts w:hint="eastAsia" w:eastAsia="方正仿宋_GBK"/>
          <w:color w:val="000000"/>
          <w:spacing w:val="-2"/>
          <w:sz w:val="24"/>
        </w:rPr>
        <w:t>建立</w:t>
      </w:r>
      <w:r>
        <w:rPr>
          <w:rFonts w:hint="eastAsia" w:eastAsia="方正仿宋_GBK"/>
          <w:color w:val="000000"/>
          <w:spacing w:val="-2"/>
          <w:kern w:val="0"/>
          <w:sz w:val="24"/>
        </w:rPr>
        <w:t>监督检查制度，定期和不定期开展巡查，发现工业废水超标排入城镇生活污水处理系统的，立即责令排放单位限期整改并按规定进行处罚，同时采取限制、禁止排放等管制措施，确保排入城镇生活污水处理系统的工业废水符合要求。要建立部门联动机制，各地城</w:t>
      </w:r>
      <w:r>
        <w:rPr>
          <w:rFonts w:hint="eastAsia" w:eastAsia="方正仿宋_GBK"/>
          <w:color w:val="000000"/>
          <w:spacing w:val="-2"/>
          <w:sz w:val="24"/>
        </w:rPr>
        <w:t>镇</w:t>
      </w:r>
      <w:r>
        <w:rPr>
          <w:rFonts w:hint="eastAsia" w:eastAsia="方正仿宋_GBK"/>
          <w:color w:val="000000"/>
          <w:spacing w:val="-2"/>
          <w:kern w:val="0"/>
          <w:sz w:val="24"/>
        </w:rPr>
        <w:t>排水主管部门与环境保护主管部门要实行检测数据共享、检查情况互报（送）制度。采用联合执法方式，一旦发现排放单位有超标排放行为的，环境保护主管部门依据有关法律法规，加大处罚力度；城</w:t>
      </w:r>
      <w:r>
        <w:rPr>
          <w:rFonts w:hint="eastAsia" w:eastAsia="方正仿宋_GBK"/>
          <w:color w:val="000000"/>
          <w:spacing w:val="-2"/>
          <w:sz w:val="24"/>
        </w:rPr>
        <w:t>镇</w:t>
      </w:r>
      <w:r>
        <w:rPr>
          <w:rFonts w:hint="eastAsia" w:eastAsia="方正仿宋_GBK"/>
          <w:color w:val="000000"/>
          <w:spacing w:val="-2"/>
          <w:kern w:val="0"/>
          <w:sz w:val="24"/>
        </w:rPr>
        <w:t>排水主管部门采取关（封）闭闸门的强制措施，坚决杜绝超标工业废水接入城镇生活污水处理系统，确保城镇生活污水处理厂正常运行。</w:t>
      </w:r>
    </w:p>
    <w:p>
      <w:pPr>
        <w:spacing w:line="440" w:lineRule="exact"/>
        <w:ind w:firstLine="472" w:firstLineChars="200"/>
        <w:rPr>
          <w:rFonts w:eastAsia="方正黑体_GBK"/>
          <w:color w:val="000000"/>
          <w:spacing w:val="-2"/>
          <w:kern w:val="0"/>
          <w:sz w:val="24"/>
        </w:rPr>
      </w:pPr>
      <w:r>
        <w:rPr>
          <w:rFonts w:hint="eastAsia" w:eastAsia="方正黑体_GBK"/>
          <w:color w:val="000000"/>
          <w:spacing w:val="-2"/>
          <w:kern w:val="0"/>
          <w:sz w:val="24"/>
        </w:rPr>
        <w:t>五、建立责任考核机制，落实责任追究制度</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建立</w:t>
      </w:r>
      <w:r>
        <w:rPr>
          <w:rFonts w:eastAsia="方正仿宋_GBK"/>
          <w:color w:val="000000"/>
          <w:spacing w:val="-2"/>
          <w:sz w:val="24"/>
        </w:rPr>
        <w:t>“</w:t>
      </w:r>
      <w:r>
        <w:rPr>
          <w:rFonts w:hint="eastAsia" w:eastAsia="方正仿宋_GBK"/>
          <w:color w:val="000000"/>
          <w:spacing w:val="-2"/>
          <w:sz w:val="24"/>
        </w:rPr>
        <w:t>谁接管，谁负责</w:t>
      </w:r>
      <w:r>
        <w:rPr>
          <w:rFonts w:eastAsia="方正仿宋_GBK"/>
          <w:color w:val="000000"/>
          <w:spacing w:val="-2"/>
          <w:sz w:val="24"/>
        </w:rPr>
        <w:t>”</w:t>
      </w:r>
      <w:r>
        <w:rPr>
          <w:rFonts w:hint="eastAsia" w:eastAsia="方正仿宋_GBK"/>
          <w:color w:val="000000"/>
          <w:spacing w:val="-2"/>
          <w:sz w:val="24"/>
        </w:rPr>
        <w:t>的责任追究制度，严禁超标工业废水接入城镇生活污水处理系统。城镇排水管理人员违规发放排水许可证的，要依照有关法律法规规定进行处分，构成犯罪的，依法追究刑事责任。建立城镇生活污水处理厂尾水达标排放责任制，严禁城镇污水处理厂尾水超标排放。城镇生活污水处理厂擅自接纳超标工业废水，致使城镇生活污水处理系统不能正常运行或导致尾水不能达标排放的，要依法追究污水处理企业和法定代表人责任，并扣除或追缴相应的污水处理费用。各地</w:t>
      </w:r>
      <w:r>
        <w:rPr>
          <w:rFonts w:hint="eastAsia" w:eastAsia="方正仿宋_GBK"/>
          <w:color w:val="000000"/>
          <w:spacing w:val="-2"/>
          <w:kern w:val="0"/>
          <w:sz w:val="24"/>
        </w:rPr>
        <w:t>城</w:t>
      </w:r>
      <w:r>
        <w:rPr>
          <w:rFonts w:hint="eastAsia" w:eastAsia="方正仿宋_GBK"/>
          <w:color w:val="000000"/>
          <w:spacing w:val="-2"/>
          <w:sz w:val="24"/>
        </w:rPr>
        <w:t>镇</w:t>
      </w:r>
      <w:r>
        <w:rPr>
          <w:rFonts w:hint="eastAsia" w:eastAsia="方正仿宋_GBK"/>
          <w:color w:val="000000"/>
          <w:spacing w:val="-2"/>
          <w:kern w:val="0"/>
          <w:sz w:val="24"/>
        </w:rPr>
        <w:t>排水主管部门</w:t>
      </w:r>
      <w:r>
        <w:rPr>
          <w:rFonts w:hint="eastAsia" w:eastAsia="方正仿宋_GBK"/>
          <w:color w:val="000000"/>
          <w:spacing w:val="-2"/>
          <w:sz w:val="24"/>
        </w:rPr>
        <w:t>要加强对污水处理系统的维护与运行监管，督促城镇生活污水处理厂完善内部管理，及时报送污水处理厂进、出水的水质水量情况与运行质量情况，并按规定要求向上级主管部门报送。</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地城镇排水主管部门要会同当地财政部门，研究建立运营服务费核拨管理办法，实行运营服务费的核拨与污水处理厂出水水质挂钩。对出水不达标的污水处理厂，依照规定扣减运营服务费，同时要责令限期整改。整改后仍然不符合规定要求，采取通报批评、追讨运营服务费等惩处措施。为督促各地城镇污水处理厂正常运行、达标排放，省住房城乡建设厅、环保厅将定期组织专项检查，发现城镇污水处理厂运行不正常、排放不达标的地区，对当地主管部门及有关责任人实行通报批评，情况严重的，将按照相关规定追究主管部门和污水处理企业的责任，并扣减该地区污水处理设施建设中央、省级专项补助资金，等等。</w:t>
      </w:r>
    </w:p>
    <w:p>
      <w:pPr>
        <w:spacing w:line="440" w:lineRule="exact"/>
        <w:ind w:firstLine="496" w:firstLineChars="200"/>
        <w:rPr>
          <w:rFonts w:eastAsia="方正仿宋_GBK"/>
          <w:color w:val="000000"/>
          <w:spacing w:val="4"/>
          <w:sz w:val="24"/>
        </w:rPr>
      </w:pPr>
      <w:r>
        <w:rPr>
          <w:rFonts w:hint="eastAsia" w:eastAsia="方正仿宋_GBK"/>
          <w:color w:val="000000"/>
          <w:spacing w:val="4"/>
          <w:sz w:val="24"/>
        </w:rPr>
        <w:t>各地</w:t>
      </w:r>
      <w:r>
        <w:rPr>
          <w:rFonts w:hint="eastAsia" w:eastAsia="方正仿宋_GBK"/>
          <w:color w:val="000000"/>
          <w:spacing w:val="4"/>
          <w:kern w:val="0"/>
          <w:sz w:val="24"/>
        </w:rPr>
        <w:t>城</w:t>
      </w:r>
      <w:r>
        <w:rPr>
          <w:rFonts w:hint="eastAsia" w:eastAsia="方正仿宋_GBK"/>
          <w:color w:val="000000"/>
          <w:spacing w:val="-2"/>
          <w:sz w:val="24"/>
        </w:rPr>
        <w:t>镇</w:t>
      </w:r>
      <w:r>
        <w:rPr>
          <w:rFonts w:hint="eastAsia" w:eastAsia="方正仿宋_GBK"/>
          <w:color w:val="000000"/>
          <w:spacing w:val="4"/>
          <w:kern w:val="0"/>
          <w:sz w:val="24"/>
        </w:rPr>
        <w:t>排水、环境保护主管部门</w:t>
      </w:r>
      <w:r>
        <w:rPr>
          <w:rFonts w:hint="eastAsia" w:eastAsia="方正仿宋_GBK"/>
          <w:color w:val="000000"/>
          <w:spacing w:val="4"/>
          <w:sz w:val="24"/>
        </w:rPr>
        <w:t>要根据本通知精神，认真排查城镇污水处理系统接纳工业废水情况，发现不符合接纳标准的，坚决不予接纳，由排水户自行建设污水处理设施，达标排放。对符合接纳标准的，要实行排水许可制度，由排水户申领城镇污水排入排水管网许可证，排水口设置专用检查井，并安装污水计量装置和水质在线监测仪表。</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各地执行过程中遇到的问题时请及时与省住房城乡建设厅、环保厅联系。</w:t>
      </w:r>
    </w:p>
    <w:p>
      <w:pPr>
        <w:spacing w:line="440" w:lineRule="exact"/>
        <w:ind w:firstLine="472" w:firstLineChars="200"/>
        <w:rPr>
          <w:rFonts w:eastAsia="方正仿宋_GBK"/>
          <w:color w:val="000000"/>
          <w:spacing w:val="-2"/>
          <w:sz w:val="24"/>
        </w:rPr>
      </w:pPr>
    </w:p>
    <w:p>
      <w:pPr>
        <w:spacing w:line="460" w:lineRule="exact"/>
        <w:ind w:right="-22"/>
        <w:jc w:val="center"/>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江苏省住房城乡建设厅</w:t>
      </w:r>
    </w:p>
    <w:p>
      <w:pPr>
        <w:spacing w:line="460" w:lineRule="exact"/>
        <w:ind w:right="399" w:firstLine="5989" w:firstLineChars="2538"/>
        <w:jc w:val="distribute"/>
        <w:rPr>
          <w:rFonts w:eastAsia="方正仿宋_GBK"/>
          <w:color w:val="000000"/>
          <w:spacing w:val="-2"/>
          <w:sz w:val="24"/>
        </w:rPr>
      </w:pPr>
      <w:r>
        <w:rPr>
          <w:rFonts w:hint="eastAsia" w:eastAsia="方正仿宋_GBK"/>
          <w:color w:val="000000"/>
          <w:spacing w:val="-2"/>
          <w:sz w:val="24"/>
        </w:rPr>
        <w:t>江苏省环境保护厅</w:t>
      </w:r>
    </w:p>
    <w:p>
      <w:pPr>
        <w:spacing w:line="460" w:lineRule="exact"/>
        <w:ind w:firstLine="6136" w:firstLineChars="2600"/>
        <w:rPr>
          <w:rFonts w:eastAsia="方正仿宋_GBK"/>
          <w:color w:val="000000"/>
          <w:spacing w:val="-2"/>
          <w:sz w:val="24"/>
        </w:rPr>
      </w:pPr>
      <w:r>
        <w:rPr>
          <w:rFonts w:hint="eastAsia" w:eastAsia="方正仿宋_GBK"/>
          <w:color w:val="000000"/>
          <w:spacing w:val="-2"/>
          <w:sz w:val="24"/>
        </w:rPr>
        <w:t>二〇〇八年七月一日</w:t>
      </w:r>
    </w:p>
    <w:p/>
    <w:p/>
    <w:p/>
    <w:p>
      <w:pPr>
        <w:pStyle w:val="2"/>
        <w:spacing w:before="240" w:beforeLines="100" w:after="240" w:afterLines="100" w:line="240" w:lineRule="auto"/>
        <w:jc w:val="center"/>
        <w:rPr>
          <w:rFonts w:ascii="Times New Roman" w:eastAsia="方正小标宋_GBK"/>
          <w:b w:val="0"/>
          <w:sz w:val="36"/>
          <w:szCs w:val="36"/>
        </w:rPr>
      </w:pPr>
      <w:bookmarkStart w:id="78" w:name="_Toc20726324"/>
      <w:bookmarkStart w:id="79" w:name="_Toc18315404"/>
      <w:r>
        <w:rPr>
          <w:rFonts w:hint="eastAsia" w:ascii="Times New Roman" w:eastAsia="方正小标宋_GBK"/>
          <w:b w:val="0"/>
          <w:sz w:val="36"/>
          <w:szCs w:val="36"/>
        </w:rPr>
        <w:t>关于印发《江苏省城市供水水质管理办法（试行）》的通知</w:t>
      </w:r>
      <w:bookmarkEnd w:id="78"/>
      <w:bookmarkEnd w:id="7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80" w:name="_Toc20726325"/>
      <w:bookmarkStart w:id="81" w:name="_Toc18315405"/>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1</w:t>
      </w:r>
      <w:r>
        <w:rPr>
          <w:rFonts w:hint="eastAsia" w:ascii="Times New Roman" w:hAnsi="Times New Roman" w:eastAsia="方正楷体_GBK"/>
          <w:b w:val="0"/>
          <w:sz w:val="24"/>
          <w:szCs w:val="24"/>
        </w:rPr>
        <w:t>号</w:t>
      </w:r>
      <w:bookmarkEnd w:id="80"/>
      <w:bookmarkEnd w:id="81"/>
    </w:p>
    <w:p>
      <w:pPr>
        <w:spacing w:line="460" w:lineRule="exact"/>
        <w:rPr>
          <w:rFonts w:eastAsia="方正仿宋_GBK"/>
          <w:color w:val="000000"/>
          <w:spacing w:val="-2"/>
          <w:sz w:val="24"/>
        </w:rPr>
      </w:pPr>
      <w:r>
        <w:rPr>
          <w:rFonts w:hint="eastAsia" w:eastAsia="方正仿宋_GBK"/>
          <w:color w:val="000000"/>
          <w:spacing w:val="-2"/>
          <w:sz w:val="24"/>
        </w:rPr>
        <w:t>各市建设局、市政公用局，苏州、宿迁市水务局：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为加强城市供水水质管理，规范水质信息报告行为，确保城市饮用水安全，依据《城市供水水质管理规定》（建设部第</w:t>
      </w:r>
      <w:r>
        <w:rPr>
          <w:rFonts w:eastAsia="方正仿宋_GBK"/>
          <w:color w:val="000000"/>
          <w:spacing w:val="-2"/>
          <w:sz w:val="24"/>
        </w:rPr>
        <w:t>67</w:t>
      </w:r>
      <w:r>
        <w:rPr>
          <w:rFonts w:hint="eastAsia" w:eastAsia="方正仿宋_GBK"/>
          <w:color w:val="000000"/>
          <w:spacing w:val="-2"/>
          <w:sz w:val="24"/>
        </w:rPr>
        <w:t>号令）以及相关标准和规范要求，我厅制定了《江苏省城市供水水质管理办法（试行）》，现印发给你们，请遵照执行。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在执行过程中如有意见和建议，请与我厅城市建设与管理处联系。联系人：林国峰，</w:t>
      </w:r>
      <w:r>
        <w:rPr>
          <w:rFonts w:eastAsia="方正仿宋_GBK"/>
          <w:color w:val="000000"/>
          <w:spacing w:val="-2"/>
          <w:sz w:val="24"/>
        </w:rPr>
        <w:t>025-51868567</w:t>
      </w:r>
      <w:r>
        <w:rPr>
          <w:rFonts w:hint="eastAsia" w:eastAsia="方正仿宋_GBK"/>
          <w:color w:val="000000"/>
          <w:spacing w:val="-2"/>
          <w:sz w:val="24"/>
        </w:rPr>
        <w:t>。</w:t>
      </w:r>
    </w:p>
    <w:p>
      <w:pPr>
        <w:spacing w:line="460" w:lineRule="exact"/>
        <w:ind w:firstLine="645"/>
        <w:rPr>
          <w:rFonts w:eastAsia="方正仿宋_GBK"/>
          <w:color w:val="000000"/>
          <w:spacing w:val="-2"/>
          <w:sz w:val="24"/>
        </w:rPr>
      </w:pPr>
    </w:p>
    <w:p>
      <w:pPr>
        <w:spacing w:line="460" w:lineRule="exact"/>
        <w:ind w:firstLine="645"/>
        <w:rPr>
          <w:rFonts w:eastAsia="方正仿宋_GBK"/>
          <w:color w:val="000000"/>
          <w:spacing w:val="-2"/>
          <w:sz w:val="24"/>
        </w:rPr>
      </w:pPr>
      <w:r>
        <w:rPr>
          <w:rFonts w:hint="eastAsia" w:eastAsia="方正仿宋_GBK"/>
          <w:color w:val="000000"/>
          <w:spacing w:val="-2"/>
          <w:sz w:val="24"/>
        </w:rPr>
        <w:t>附件：《江苏省城市供水水质管理办法（试行）》</w:t>
      </w:r>
    </w:p>
    <w:p>
      <w:pPr>
        <w:spacing w:line="460" w:lineRule="exact"/>
        <w:ind w:firstLine="645"/>
        <w:rPr>
          <w:rFonts w:eastAsia="方正仿宋_GBK"/>
          <w:color w:val="000000"/>
          <w:spacing w:val="-2"/>
          <w:sz w:val="24"/>
        </w:rPr>
      </w:pPr>
    </w:p>
    <w:p>
      <w:pPr>
        <w:wordWrap w:val="0"/>
        <w:spacing w:line="460" w:lineRule="exact"/>
        <w:ind w:firstLine="645"/>
        <w:jc w:val="righ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江苏省建设厅</w:t>
      </w:r>
      <w:r>
        <w:rPr>
          <w:rFonts w:eastAsia="方正仿宋_GBK"/>
          <w:color w:val="000000"/>
          <w:spacing w:val="-2"/>
          <w:sz w:val="24"/>
        </w:rPr>
        <w:t xml:space="preserve">         </w:t>
      </w:r>
    </w:p>
    <w:p>
      <w:pPr>
        <w:wordWrap w:val="0"/>
        <w:spacing w:line="460" w:lineRule="exact"/>
        <w:ind w:firstLine="645"/>
        <w:jc w:val="right"/>
        <w:rPr>
          <w:rFonts w:eastAsia="方正仿宋_GBK"/>
          <w:color w:val="000000"/>
          <w:spacing w:val="-2"/>
          <w:sz w:val="24"/>
        </w:rPr>
      </w:pPr>
      <w:r>
        <w:rPr>
          <w:rFonts w:hint="eastAsia" w:eastAsia="方正仿宋_GBK"/>
          <w:color w:val="000000"/>
          <w:spacing w:val="-2"/>
          <w:sz w:val="24"/>
        </w:rPr>
        <w:t>二○○九年七月十四日</w:t>
      </w:r>
      <w:r>
        <w:rPr>
          <w:rFonts w:eastAsia="方正仿宋_GBK"/>
          <w:color w:val="000000"/>
          <w:spacing w:val="-2"/>
          <w:sz w:val="24"/>
        </w:rPr>
        <w:t xml:space="preserve">    </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江苏省城市供水水质管理办法（试行）</w:t>
      </w:r>
    </w:p>
    <w:p>
      <w:pPr>
        <w:spacing w:line="460" w:lineRule="exact"/>
        <w:jc w:val="center"/>
        <w:rPr>
          <w:rFonts w:hint="eastAsia" w:eastAsia="方正仿宋_GBK"/>
          <w:b/>
          <w:bCs/>
          <w:color w:val="000000"/>
          <w:spacing w:val="-2"/>
          <w:sz w:val="24"/>
        </w:rPr>
      </w:pPr>
    </w:p>
    <w:p>
      <w:pPr>
        <w:spacing w:line="460" w:lineRule="exact"/>
        <w:ind w:firstLine="472" w:firstLineChars="200"/>
        <w:outlineLvl w:val="1"/>
        <w:rPr>
          <w:rFonts w:eastAsia="方正仿宋_GBK"/>
          <w:color w:val="000000"/>
          <w:spacing w:val="-2"/>
          <w:sz w:val="24"/>
        </w:rPr>
      </w:pPr>
      <w:bookmarkStart w:id="82" w:name="_Toc20726326"/>
      <w:bookmarkStart w:id="83" w:name="_Toc18315406"/>
      <w:bookmarkStart w:id="84" w:name="_Toc20667800"/>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为加强城市供水水质管理，确保城市饮用水安全，规范水质信息报告行为，依据《城市供水水质管理规定》以及相关标准和规范要求，制定本办法。</w:t>
      </w:r>
      <w:bookmarkEnd w:id="82"/>
      <w:bookmarkEnd w:id="83"/>
      <w:bookmarkEnd w:id="84"/>
    </w:p>
    <w:p>
      <w:pPr>
        <w:spacing w:line="460" w:lineRule="exact"/>
        <w:ind w:firstLine="472" w:firstLineChars="200"/>
        <w:outlineLvl w:val="1"/>
        <w:rPr>
          <w:rFonts w:eastAsia="方正仿宋_GBK"/>
          <w:color w:val="000000"/>
          <w:spacing w:val="-2"/>
          <w:sz w:val="24"/>
        </w:rPr>
      </w:pPr>
      <w:bookmarkStart w:id="85" w:name="_Toc20726327"/>
      <w:bookmarkStart w:id="86" w:name="_Toc18315407"/>
      <w:bookmarkStart w:id="87" w:name="_Toc20667801"/>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本办法适用于本省范围内原水供水企业、公共供水企业、自建设施供水企业等城市供水企业水质的内部管理和城市供水主管部门监督管理。</w:t>
      </w:r>
      <w:bookmarkEnd w:id="85"/>
      <w:bookmarkEnd w:id="86"/>
      <w:bookmarkEnd w:id="87"/>
    </w:p>
    <w:p>
      <w:pPr>
        <w:spacing w:line="460" w:lineRule="exact"/>
        <w:ind w:firstLine="472" w:firstLineChars="200"/>
        <w:outlineLvl w:val="1"/>
        <w:rPr>
          <w:rFonts w:eastAsia="方正仿宋_GBK"/>
          <w:color w:val="000000"/>
          <w:spacing w:val="-2"/>
          <w:sz w:val="24"/>
        </w:rPr>
      </w:pPr>
      <w:bookmarkStart w:id="88" w:name="_Toc20667802"/>
      <w:bookmarkStart w:id="89" w:name="_Toc18315408"/>
      <w:bookmarkStart w:id="90" w:name="_Toc20726328"/>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省建设厅是本省城市供水行政主管部门，负责对本省城市供水水质的监督管理；省建设厅委托具有资格的水质检测机构对各市、县（市）供水水质实行监督抽查。</w:t>
      </w:r>
      <w:bookmarkEnd w:id="88"/>
      <w:bookmarkEnd w:id="89"/>
      <w:bookmarkEnd w:id="90"/>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市、县（市）城市供水行政主管部门负责本市、县（市）所属范围内的供水水质的监督管理。</w:t>
      </w:r>
    </w:p>
    <w:p>
      <w:pPr>
        <w:spacing w:line="460" w:lineRule="exact"/>
        <w:ind w:firstLine="472" w:firstLineChars="200"/>
        <w:outlineLvl w:val="1"/>
        <w:rPr>
          <w:rFonts w:eastAsia="方正仿宋_GBK"/>
          <w:b/>
          <w:bCs/>
          <w:color w:val="000000"/>
          <w:spacing w:val="-2"/>
          <w:sz w:val="24"/>
        </w:rPr>
      </w:pPr>
      <w:bookmarkStart w:id="91" w:name="_Toc20726329"/>
      <w:bookmarkStart w:id="92" w:name="_Toc20667803"/>
      <w:bookmarkStart w:id="93" w:name="_Toc18315409"/>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城市供水水质管理是指根据现行的国家标准、规程和规范性文件规定对供水质量进行全过程控制，并按本办法所规定的检测项目和频次，按照水质标准检验方法开展水质检测工作，从而保证出厂水和管网水符合《生活饮用水卫生标准》（</w:t>
      </w:r>
      <w:r>
        <w:rPr>
          <w:rFonts w:eastAsia="方正仿宋_GBK"/>
          <w:color w:val="000000"/>
          <w:spacing w:val="-2"/>
          <w:sz w:val="24"/>
        </w:rPr>
        <w:t>GB5749-2006</w:t>
      </w:r>
      <w:r>
        <w:rPr>
          <w:rFonts w:hint="eastAsia" w:eastAsia="方正仿宋_GBK"/>
          <w:color w:val="000000"/>
          <w:spacing w:val="-2"/>
          <w:sz w:val="24"/>
        </w:rPr>
        <w:t>）。</w:t>
      </w:r>
      <w:bookmarkEnd w:id="91"/>
      <w:bookmarkEnd w:id="92"/>
      <w:bookmarkEnd w:id="93"/>
      <w:r>
        <w:rPr>
          <w:rFonts w:eastAsia="方正仿宋_GBK"/>
          <w:b/>
          <w:bCs/>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供水水质的检测包括对原水、生产过程水、出厂水、管网水、管网末梢水等的全过程检测。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城市供水质量实行企业法人负责制，全面负责本企业供水范围内水质安全。</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城市供水质量控制点和水质检测点的设置，水质检验检测网络、三级检验的基本要求和水质检测的项目、频次和信息报告应当执行本办法的规定。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在地表水源地一、二级和准保护区范围内，应当设立原水水质监测点，并针对当地原水水质特点确定水质监测项目，定期按《地表水环境质量标准》（</w:t>
      </w:r>
      <w:r>
        <w:rPr>
          <w:rFonts w:eastAsia="方正仿宋_GBK"/>
          <w:color w:val="000000"/>
          <w:spacing w:val="-2"/>
          <w:sz w:val="24"/>
        </w:rPr>
        <w:t>GB3838-2002</w:t>
      </w:r>
      <w:r>
        <w:rPr>
          <w:rFonts w:hint="eastAsia" w:eastAsia="方正仿宋_GBK"/>
          <w:color w:val="000000"/>
          <w:spacing w:val="-2"/>
          <w:sz w:val="24"/>
        </w:rPr>
        <w:t>）要求进行原水水质检测。取水口应当安装在线水质监测仪器并与供水企业中控室联网。</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净水厂在原水、沉淀水、滤后水和出厂水分别设置四个水质监督管理环节和水质控制点，并按照规定的检测项目和频次要求开展检测工作。供水企业应当在工艺流程中确定相应水质内控标准，在质量控制点应当设置在线监测仪器。</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出厂水浑浊度、耗氧量、游离余氯、总氯内控标准由供水企业按照高于《生活饮用水卫生标准》（</w:t>
      </w:r>
      <w:r>
        <w:rPr>
          <w:rFonts w:eastAsia="方正仿宋_GBK"/>
          <w:color w:val="000000"/>
          <w:spacing w:val="-2"/>
          <w:sz w:val="24"/>
        </w:rPr>
        <w:t>GB5749-2006</w:t>
      </w:r>
      <w:r>
        <w:rPr>
          <w:rFonts w:hint="eastAsia" w:eastAsia="方正仿宋_GBK"/>
          <w:color w:val="000000"/>
          <w:spacing w:val="-2"/>
          <w:sz w:val="24"/>
        </w:rPr>
        <w:t>）限值统一制定，其它指标按《生活饮用水卫生标准》（</w:t>
      </w:r>
      <w:r>
        <w:rPr>
          <w:rFonts w:eastAsia="方正仿宋_GBK"/>
          <w:color w:val="000000"/>
          <w:spacing w:val="-2"/>
          <w:sz w:val="24"/>
        </w:rPr>
        <w:t>GB5749-2006</w:t>
      </w:r>
      <w:r>
        <w:rPr>
          <w:rFonts w:hint="eastAsia" w:eastAsia="方正仿宋_GBK"/>
          <w:color w:val="000000"/>
          <w:spacing w:val="-2"/>
          <w:sz w:val="24"/>
        </w:rPr>
        <w:t>）执行。</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color w:val="000000"/>
          <w:spacing w:val="-2"/>
          <w:sz w:val="24"/>
        </w:rPr>
        <w:t xml:space="preserve">  </w:t>
      </w:r>
      <w:r>
        <w:rPr>
          <w:rFonts w:hint="eastAsia" w:eastAsia="方正仿宋_GBK"/>
          <w:color w:val="000000"/>
          <w:spacing w:val="-2"/>
          <w:sz w:val="24"/>
        </w:rPr>
        <w:t>管网水和管网末梢水水质监测点根据《生活饮用水卫生标准》（</w:t>
      </w:r>
      <w:r>
        <w:rPr>
          <w:rFonts w:eastAsia="方正仿宋_GBK"/>
          <w:color w:val="000000"/>
          <w:spacing w:val="-2"/>
          <w:sz w:val="24"/>
        </w:rPr>
        <w:t>GB5749-2006</w:t>
      </w:r>
      <w:r>
        <w:rPr>
          <w:rFonts w:hint="eastAsia" w:eastAsia="方正仿宋_GBK"/>
          <w:color w:val="000000"/>
          <w:spacing w:val="-2"/>
          <w:sz w:val="24"/>
        </w:rPr>
        <w:t>）的规定设置。</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市、县（市）供水企业应当具备规定的水质检测能力；无能力自检的，可委托通过市级以上计量认证并具有相关项目检测资格的机构进行检测。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供水企业应当依据《生活饮用水卫生标准》（</w:t>
      </w:r>
      <w:r>
        <w:rPr>
          <w:rFonts w:eastAsia="方正仿宋_GBK"/>
          <w:color w:val="000000"/>
          <w:spacing w:val="-2"/>
          <w:sz w:val="24"/>
        </w:rPr>
        <w:t>GB5749-2006</w:t>
      </w:r>
      <w:r>
        <w:rPr>
          <w:rFonts w:hint="eastAsia" w:eastAsia="方正仿宋_GBK"/>
          <w:color w:val="000000"/>
          <w:spacing w:val="-2"/>
          <w:sz w:val="24"/>
        </w:rPr>
        <w:t>）判断限值、计算合格率。当检测结果超标时，应当立即重复检测，并增加检测频率。检测结果连续超标时，应当查明原因，采取有效措施，防止水质事故的发生。</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供水企业在饮用水生产和输配过程中，与水直接接触的材料和化学物质等应当符合国家、行业及地方标准。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鼓励供水企业采用先进的工艺、材料、设备等进行科技创新，提高供水水质。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鼓励供水企业配置在线浊度仪和余氯仪，建立管网水质在线监测点。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2"/>
          <w:sz w:val="24"/>
        </w:rPr>
        <w:t>以地表水为集中式饮用水源的各水样水质检测要求按下表执行。</w:t>
      </w:r>
    </w:p>
    <w:tbl>
      <w:tblPr>
        <w:tblStyle w:val="12"/>
        <w:tblW w:w="0" w:type="auto"/>
        <w:tblInd w:w="9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15"/>
        <w:gridCol w:w="1083"/>
        <w:gridCol w:w="1197"/>
        <w:gridCol w:w="2219"/>
        <w:gridCol w:w="1800"/>
        <w:gridCol w:w="151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15" w:type="dxa"/>
            <w:tcBorders>
              <w:top w:val="single" w:color="auto" w:sz="8" w:space="0"/>
              <w:left w:val="single" w:color="auto" w:sz="8" w:space="0"/>
              <w:bottom w:val="single" w:color="auto" w:sz="4" w:space="0"/>
              <w:right w:val="single" w:color="auto" w:sz="4" w:space="0"/>
            </w:tcBorders>
            <w:noWrap w:val="0"/>
            <w:vAlign w:val="center"/>
          </w:tcPr>
          <w:p>
            <w:pPr>
              <w:jc w:val="center"/>
              <w:rPr>
                <w:rFonts w:eastAsia="方正黑体_GBK"/>
                <w:color w:val="000000"/>
                <w:spacing w:val="-2"/>
              </w:rPr>
            </w:pPr>
            <w:r>
              <w:rPr>
                <w:rFonts w:hint="eastAsia" w:eastAsia="方正黑体_GBK"/>
                <w:color w:val="000000"/>
                <w:spacing w:val="-2"/>
              </w:rPr>
              <w:t>水样</w:t>
            </w:r>
          </w:p>
          <w:p>
            <w:pPr>
              <w:jc w:val="center"/>
              <w:rPr>
                <w:rFonts w:eastAsia="方正黑体_GBK"/>
                <w:color w:val="000000"/>
                <w:spacing w:val="-2"/>
              </w:rPr>
            </w:pPr>
            <w:r>
              <w:rPr>
                <w:rFonts w:hint="eastAsia" w:eastAsia="方正黑体_GBK"/>
                <w:color w:val="000000"/>
                <w:spacing w:val="-2"/>
              </w:rPr>
              <w:t>类型</w:t>
            </w:r>
          </w:p>
        </w:tc>
        <w:tc>
          <w:tcPr>
            <w:tcW w:w="1083" w:type="dxa"/>
            <w:tcBorders>
              <w:top w:val="single" w:color="auto" w:sz="8" w:space="0"/>
              <w:left w:val="single" w:color="auto" w:sz="4" w:space="0"/>
              <w:bottom w:val="single" w:color="auto" w:sz="4" w:space="0"/>
              <w:right w:val="single" w:color="auto" w:sz="4" w:space="0"/>
            </w:tcBorders>
            <w:noWrap w:val="0"/>
            <w:vAlign w:val="center"/>
          </w:tcPr>
          <w:p>
            <w:pPr>
              <w:jc w:val="center"/>
              <w:rPr>
                <w:rFonts w:eastAsia="方正黑体_GBK"/>
                <w:color w:val="000000"/>
                <w:spacing w:val="-2"/>
              </w:rPr>
            </w:pPr>
            <w:r>
              <w:rPr>
                <w:rFonts w:hint="eastAsia" w:eastAsia="方正黑体_GBK"/>
                <w:color w:val="000000"/>
                <w:spacing w:val="-2"/>
              </w:rPr>
              <w:t>每小时</w:t>
            </w:r>
          </w:p>
          <w:p>
            <w:pPr>
              <w:jc w:val="center"/>
              <w:rPr>
                <w:rFonts w:eastAsia="方正黑体_GBK"/>
                <w:color w:val="000000"/>
                <w:spacing w:val="-2"/>
              </w:rPr>
            </w:pPr>
            <w:r>
              <w:rPr>
                <w:rFonts w:hint="eastAsia" w:eastAsia="方正黑体_GBK"/>
                <w:color w:val="000000"/>
                <w:spacing w:val="-2"/>
              </w:rPr>
              <w:t>检测项目</w:t>
            </w:r>
          </w:p>
        </w:tc>
        <w:tc>
          <w:tcPr>
            <w:tcW w:w="1197" w:type="dxa"/>
            <w:tcBorders>
              <w:top w:val="single" w:color="auto" w:sz="8" w:space="0"/>
              <w:left w:val="single" w:color="auto" w:sz="4" w:space="0"/>
              <w:bottom w:val="single" w:color="auto" w:sz="4" w:space="0"/>
              <w:right w:val="single" w:color="auto" w:sz="4" w:space="0"/>
            </w:tcBorders>
            <w:noWrap w:val="0"/>
            <w:vAlign w:val="center"/>
          </w:tcPr>
          <w:p>
            <w:pPr>
              <w:jc w:val="center"/>
              <w:rPr>
                <w:rFonts w:eastAsia="方正黑体_GBK"/>
                <w:color w:val="000000"/>
                <w:spacing w:val="-2"/>
              </w:rPr>
            </w:pPr>
            <w:r>
              <w:rPr>
                <w:rFonts w:hint="eastAsia" w:eastAsia="方正黑体_GBK"/>
                <w:color w:val="000000"/>
                <w:spacing w:val="-2"/>
              </w:rPr>
              <w:t>每</w:t>
            </w:r>
            <w:r>
              <w:rPr>
                <w:rFonts w:eastAsia="方正黑体_GBK"/>
                <w:color w:val="000000"/>
                <w:spacing w:val="-2"/>
              </w:rPr>
              <w:t>2</w:t>
            </w:r>
            <w:r>
              <w:rPr>
                <w:rFonts w:hint="eastAsia" w:eastAsia="方正黑体_GBK"/>
                <w:color w:val="000000"/>
                <w:spacing w:val="-2"/>
              </w:rPr>
              <w:t>小时检测项目</w:t>
            </w:r>
          </w:p>
        </w:tc>
        <w:tc>
          <w:tcPr>
            <w:tcW w:w="2219" w:type="dxa"/>
            <w:tcBorders>
              <w:top w:val="single" w:color="auto" w:sz="8" w:space="0"/>
              <w:left w:val="single" w:color="auto" w:sz="4" w:space="0"/>
              <w:bottom w:val="single" w:color="auto" w:sz="4" w:space="0"/>
              <w:right w:val="single" w:color="auto" w:sz="4" w:space="0"/>
            </w:tcBorders>
            <w:noWrap w:val="0"/>
            <w:vAlign w:val="center"/>
          </w:tcPr>
          <w:p>
            <w:pPr>
              <w:jc w:val="center"/>
              <w:rPr>
                <w:rFonts w:eastAsia="方正黑体_GBK"/>
                <w:color w:val="000000"/>
                <w:spacing w:val="-2"/>
              </w:rPr>
            </w:pPr>
            <w:r>
              <w:rPr>
                <w:rFonts w:hint="eastAsia" w:eastAsia="方正黑体_GBK"/>
                <w:color w:val="000000"/>
                <w:spacing w:val="-2"/>
              </w:rPr>
              <w:t>每天至少</w:t>
            </w:r>
          </w:p>
          <w:p>
            <w:pPr>
              <w:jc w:val="center"/>
              <w:rPr>
                <w:rFonts w:eastAsia="方正黑体_GBK"/>
                <w:color w:val="000000"/>
                <w:spacing w:val="-2"/>
              </w:rPr>
            </w:pPr>
            <w:r>
              <w:rPr>
                <w:rFonts w:hint="eastAsia" w:eastAsia="方正黑体_GBK"/>
                <w:color w:val="000000"/>
                <w:spacing w:val="-2"/>
              </w:rPr>
              <w:t>检测</w:t>
            </w:r>
            <w:r>
              <w:rPr>
                <w:rFonts w:eastAsia="方正黑体_GBK"/>
                <w:color w:val="000000"/>
                <w:spacing w:val="-2"/>
              </w:rPr>
              <w:t>1</w:t>
            </w:r>
            <w:r>
              <w:rPr>
                <w:rFonts w:hint="eastAsia" w:eastAsia="方正黑体_GBK"/>
                <w:color w:val="000000"/>
                <w:spacing w:val="-2"/>
              </w:rPr>
              <w:t>次项目</w:t>
            </w:r>
          </w:p>
        </w:tc>
        <w:tc>
          <w:tcPr>
            <w:tcW w:w="1800" w:type="dxa"/>
            <w:tcBorders>
              <w:top w:val="single" w:color="auto" w:sz="8" w:space="0"/>
              <w:left w:val="single" w:color="auto" w:sz="4" w:space="0"/>
              <w:bottom w:val="single" w:color="auto" w:sz="4" w:space="0"/>
              <w:right w:val="single" w:color="auto" w:sz="4" w:space="0"/>
            </w:tcBorders>
            <w:noWrap w:val="0"/>
            <w:vAlign w:val="center"/>
          </w:tcPr>
          <w:p>
            <w:pPr>
              <w:jc w:val="center"/>
              <w:rPr>
                <w:rFonts w:eastAsia="方正黑体_GBK"/>
                <w:color w:val="000000"/>
                <w:spacing w:val="-2"/>
              </w:rPr>
            </w:pPr>
            <w:r>
              <w:rPr>
                <w:rFonts w:hint="eastAsia" w:eastAsia="方正黑体_GBK"/>
                <w:color w:val="000000"/>
                <w:spacing w:val="-2"/>
              </w:rPr>
              <w:t>每月检测</w:t>
            </w:r>
          </w:p>
          <w:p>
            <w:pPr>
              <w:jc w:val="center"/>
              <w:rPr>
                <w:rFonts w:eastAsia="方正黑体_GBK"/>
                <w:color w:val="000000"/>
                <w:spacing w:val="-2"/>
              </w:rPr>
            </w:pPr>
            <w:r>
              <w:rPr>
                <w:rFonts w:eastAsia="方正黑体_GBK"/>
                <w:color w:val="000000"/>
                <w:spacing w:val="-2"/>
              </w:rPr>
              <w:t>1</w:t>
            </w:r>
            <w:r>
              <w:rPr>
                <w:rFonts w:hint="eastAsia" w:eastAsia="方正黑体_GBK"/>
                <w:color w:val="000000"/>
                <w:spacing w:val="-2"/>
              </w:rPr>
              <w:t>次项目</w:t>
            </w:r>
          </w:p>
        </w:tc>
        <w:tc>
          <w:tcPr>
            <w:tcW w:w="1518" w:type="dxa"/>
            <w:tcBorders>
              <w:top w:val="single" w:color="auto" w:sz="8" w:space="0"/>
              <w:left w:val="single" w:color="auto" w:sz="4" w:space="0"/>
              <w:bottom w:val="single" w:color="auto" w:sz="4" w:space="0"/>
              <w:right w:val="single" w:color="auto" w:sz="8" w:space="0"/>
            </w:tcBorders>
            <w:noWrap w:val="0"/>
            <w:vAlign w:val="center"/>
          </w:tcPr>
          <w:p>
            <w:pPr>
              <w:jc w:val="center"/>
              <w:rPr>
                <w:rFonts w:eastAsia="方正黑体_GBK"/>
                <w:color w:val="000000"/>
                <w:spacing w:val="-2"/>
              </w:rPr>
            </w:pPr>
            <w:r>
              <w:rPr>
                <w:rFonts w:hint="eastAsia" w:eastAsia="方正黑体_GBK"/>
                <w:color w:val="000000"/>
                <w:spacing w:val="-2"/>
              </w:rPr>
              <w:t>每半年检测</w:t>
            </w:r>
          </w:p>
          <w:p>
            <w:pPr>
              <w:jc w:val="center"/>
              <w:rPr>
                <w:rFonts w:eastAsia="方正黑体_GBK"/>
                <w:color w:val="000000"/>
                <w:spacing w:val="-2"/>
              </w:rPr>
            </w:pPr>
            <w:r>
              <w:rPr>
                <w:rFonts w:hint="eastAsia" w:eastAsia="方正黑体_GBK"/>
                <w:color w:val="000000"/>
                <w:spacing w:val="-2"/>
              </w:rPr>
              <w:t>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15"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原水</w:t>
            </w:r>
          </w:p>
        </w:tc>
        <w:tc>
          <w:tcPr>
            <w:tcW w:w="1083"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臭和味、色度、浑浊度、溶解氧（记录格式见附表</w:t>
            </w:r>
            <w:r>
              <w:rPr>
                <w:rFonts w:eastAsia="方正仿宋_GBK"/>
                <w:color w:val="000000"/>
                <w:spacing w:val="-2"/>
              </w:rPr>
              <w:t>1</w:t>
            </w:r>
            <w:r>
              <w:rPr>
                <w:rFonts w:hint="eastAsia" w:eastAsia="方正仿宋_GBK"/>
                <w:color w:val="000000"/>
                <w:spacing w:val="-2"/>
              </w:rPr>
              <w:t>）。</w:t>
            </w:r>
          </w:p>
        </w:tc>
        <w:tc>
          <w:tcPr>
            <w:tcW w:w="1197"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eastAsia="方正仿宋_GBK"/>
                <w:color w:val="000000"/>
                <w:spacing w:val="-2"/>
              </w:rPr>
              <w:t>COD</w:t>
            </w:r>
            <w:r>
              <w:rPr>
                <w:rFonts w:eastAsia="方正仿宋_GBK"/>
                <w:color w:val="000000"/>
                <w:spacing w:val="-2"/>
                <w:vertAlign w:val="subscript"/>
              </w:rPr>
              <w:t>Mn</w:t>
            </w:r>
            <w:r>
              <w:rPr>
                <w:rFonts w:hint="eastAsia" w:eastAsia="方正仿宋_GBK"/>
                <w:color w:val="000000"/>
                <w:spacing w:val="-2"/>
              </w:rPr>
              <w:t>、</w:t>
            </w:r>
            <w:r>
              <w:rPr>
                <w:rFonts w:eastAsia="方正仿宋_GBK"/>
                <w:color w:val="000000"/>
                <w:spacing w:val="-2"/>
              </w:rPr>
              <w:t>pH</w:t>
            </w:r>
            <w:r>
              <w:rPr>
                <w:rFonts w:hint="eastAsia" w:eastAsia="方正仿宋_GBK"/>
                <w:color w:val="000000"/>
                <w:spacing w:val="-2"/>
              </w:rPr>
              <w:t>（记录格式见附表</w:t>
            </w:r>
            <w:r>
              <w:rPr>
                <w:rFonts w:eastAsia="方正仿宋_GBK"/>
                <w:color w:val="000000"/>
                <w:spacing w:val="-2"/>
              </w:rPr>
              <w:t>1</w:t>
            </w:r>
            <w:r>
              <w:rPr>
                <w:rFonts w:hint="eastAsia" w:eastAsia="方正仿宋_GBK"/>
                <w:color w:val="000000"/>
                <w:spacing w:val="-2"/>
              </w:rPr>
              <w:t>）。</w:t>
            </w:r>
          </w:p>
        </w:tc>
        <w:tc>
          <w:tcPr>
            <w:tcW w:w="2219"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色度、臭和味、肉眼可见物、浑浊度、</w:t>
            </w:r>
            <w:r>
              <w:rPr>
                <w:rFonts w:eastAsia="方正仿宋_GBK"/>
                <w:color w:val="000000"/>
                <w:spacing w:val="-2"/>
              </w:rPr>
              <w:t>pH</w:t>
            </w:r>
            <w:r>
              <w:rPr>
                <w:rFonts w:hint="eastAsia" w:eastAsia="方正仿宋_GBK"/>
                <w:color w:val="000000"/>
                <w:spacing w:val="-2"/>
              </w:rPr>
              <w:t>、</w:t>
            </w:r>
            <w:r>
              <w:rPr>
                <w:rFonts w:eastAsia="方正仿宋_GBK"/>
                <w:color w:val="000000"/>
                <w:spacing w:val="-2"/>
              </w:rPr>
              <w:t>COD</w:t>
            </w:r>
            <w:r>
              <w:rPr>
                <w:rFonts w:eastAsia="方正仿宋_GBK"/>
                <w:color w:val="000000"/>
                <w:spacing w:val="-2"/>
                <w:vertAlign w:val="subscript"/>
              </w:rPr>
              <w:t>Mn</w:t>
            </w:r>
            <w:r>
              <w:rPr>
                <w:rFonts w:hint="eastAsia" w:eastAsia="方正仿宋_GBK"/>
                <w:color w:val="000000"/>
                <w:spacing w:val="-2"/>
              </w:rPr>
              <w:t>、氨氮、细菌总数、总大肠菌群、粪（耐热）大肠菌群（记录格式见附表</w:t>
            </w:r>
            <w:r>
              <w:rPr>
                <w:rFonts w:eastAsia="方正仿宋_GBK"/>
                <w:color w:val="000000"/>
                <w:spacing w:val="-2"/>
              </w:rPr>
              <w:t>2</w:t>
            </w:r>
            <w:r>
              <w:rPr>
                <w:rFonts w:hint="eastAsia" w:eastAsia="方正仿宋_GBK"/>
                <w:color w:val="000000"/>
                <w:spacing w:val="-2"/>
              </w:rPr>
              <w:t>）。</w:t>
            </w:r>
          </w:p>
        </w:tc>
        <w:tc>
          <w:tcPr>
            <w:tcW w:w="1800"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w:t>
            </w:r>
            <w:r>
              <w:rPr>
                <w:rFonts w:eastAsia="方正仿宋_GBK"/>
                <w:color w:val="000000"/>
                <w:spacing w:val="-2"/>
              </w:rPr>
              <w:t>GB3838-2002</w:t>
            </w:r>
            <w:r>
              <w:rPr>
                <w:rFonts w:hint="eastAsia" w:eastAsia="方正仿宋_GBK"/>
                <w:color w:val="000000"/>
                <w:spacing w:val="-2"/>
              </w:rPr>
              <w:t>）表</w:t>
            </w:r>
            <w:r>
              <w:rPr>
                <w:rFonts w:eastAsia="方正仿宋_GBK"/>
                <w:color w:val="000000"/>
                <w:spacing w:val="-2"/>
              </w:rPr>
              <w:t>1</w:t>
            </w:r>
            <w:r>
              <w:rPr>
                <w:rFonts w:hint="eastAsia" w:eastAsia="方正仿宋_GBK"/>
                <w:color w:val="000000"/>
                <w:spacing w:val="-2"/>
              </w:rPr>
              <w:t>、表</w:t>
            </w:r>
            <w:r>
              <w:rPr>
                <w:rFonts w:eastAsia="方正仿宋_GBK"/>
                <w:color w:val="000000"/>
                <w:spacing w:val="-2"/>
              </w:rPr>
              <w:t>2</w:t>
            </w:r>
            <w:r>
              <w:rPr>
                <w:rFonts w:hint="eastAsia" w:eastAsia="方正仿宋_GBK"/>
                <w:color w:val="000000"/>
                <w:spacing w:val="-2"/>
              </w:rPr>
              <w:t>和表</w:t>
            </w:r>
            <w:r>
              <w:rPr>
                <w:rFonts w:eastAsia="方正仿宋_GBK"/>
                <w:color w:val="000000"/>
                <w:spacing w:val="-2"/>
              </w:rPr>
              <w:t>3</w:t>
            </w:r>
            <w:r>
              <w:rPr>
                <w:rFonts w:hint="eastAsia" w:eastAsia="方正仿宋_GBK"/>
                <w:color w:val="000000"/>
                <w:spacing w:val="-2"/>
              </w:rPr>
              <w:t>中选测项目及特征污染物（如藻类）。</w:t>
            </w:r>
          </w:p>
        </w:tc>
        <w:tc>
          <w:tcPr>
            <w:tcW w:w="1518"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63" w:hRule="atLeast"/>
        </w:trPr>
        <w:tc>
          <w:tcPr>
            <w:tcW w:w="915"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沉淀水</w:t>
            </w:r>
          </w:p>
          <w:p>
            <w:pPr>
              <w:jc w:val="center"/>
              <w:rPr>
                <w:rFonts w:eastAsia="方正仿宋_GBK"/>
                <w:color w:val="000000"/>
                <w:spacing w:val="-2"/>
              </w:rPr>
            </w:pPr>
            <w:r>
              <w:rPr>
                <w:rFonts w:hint="eastAsia" w:eastAsia="方正仿宋_GBK"/>
                <w:color w:val="000000"/>
                <w:spacing w:val="-2"/>
              </w:rPr>
              <w:t>和</w:t>
            </w:r>
          </w:p>
          <w:p>
            <w:pPr>
              <w:jc w:val="center"/>
              <w:rPr>
                <w:rFonts w:eastAsia="方正仿宋_GBK"/>
                <w:color w:val="000000"/>
                <w:spacing w:val="-2"/>
              </w:rPr>
            </w:pPr>
            <w:r>
              <w:rPr>
                <w:rFonts w:hint="eastAsia" w:eastAsia="方正仿宋_GBK"/>
                <w:color w:val="000000"/>
                <w:spacing w:val="-2"/>
              </w:rPr>
              <w:t>滤后水</w:t>
            </w:r>
          </w:p>
        </w:tc>
        <w:tc>
          <w:tcPr>
            <w:tcW w:w="1083"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臭和味、色度、浑浊度、余氯（记录格式见附表</w:t>
            </w:r>
            <w:r>
              <w:rPr>
                <w:rFonts w:eastAsia="方正仿宋_GBK"/>
                <w:color w:val="000000"/>
                <w:spacing w:val="-2"/>
              </w:rPr>
              <w:t>1</w:t>
            </w:r>
            <w:r>
              <w:rPr>
                <w:rFonts w:hint="eastAsia" w:eastAsia="方正仿宋_GBK"/>
                <w:color w:val="000000"/>
                <w:spacing w:val="-2"/>
              </w:rPr>
              <w:t>）。</w:t>
            </w:r>
          </w:p>
        </w:tc>
        <w:tc>
          <w:tcPr>
            <w:tcW w:w="1197"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p>
        </w:tc>
        <w:tc>
          <w:tcPr>
            <w:tcW w:w="2219"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p>
        </w:tc>
        <w:tc>
          <w:tcPr>
            <w:tcW w:w="1800"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p>
        </w:tc>
        <w:tc>
          <w:tcPr>
            <w:tcW w:w="1518"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15"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出厂水</w:t>
            </w:r>
          </w:p>
        </w:tc>
        <w:tc>
          <w:tcPr>
            <w:tcW w:w="1083"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臭和味、色度、浑浊度、余氯（记录格式见附表</w:t>
            </w:r>
            <w:r>
              <w:rPr>
                <w:rFonts w:eastAsia="方正仿宋_GBK"/>
                <w:color w:val="000000"/>
                <w:spacing w:val="-2"/>
              </w:rPr>
              <w:t>1</w:t>
            </w:r>
            <w:r>
              <w:rPr>
                <w:rFonts w:hint="eastAsia" w:eastAsia="方正仿宋_GBK"/>
                <w:color w:val="000000"/>
                <w:spacing w:val="-2"/>
              </w:rPr>
              <w:t>）。</w:t>
            </w:r>
          </w:p>
        </w:tc>
        <w:tc>
          <w:tcPr>
            <w:tcW w:w="1197"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每</w:t>
            </w:r>
            <w:r>
              <w:rPr>
                <w:rFonts w:eastAsia="方正仿宋_GBK"/>
                <w:color w:val="000000"/>
                <w:spacing w:val="-2"/>
              </w:rPr>
              <w:t>4</w:t>
            </w:r>
            <w:r>
              <w:rPr>
                <w:rFonts w:hint="eastAsia" w:eastAsia="方正仿宋_GBK"/>
                <w:color w:val="000000"/>
                <w:spacing w:val="-2"/>
              </w:rPr>
              <w:t>小时检测项目：</w:t>
            </w:r>
            <w:r>
              <w:rPr>
                <w:rFonts w:eastAsia="方正仿宋_GBK"/>
                <w:color w:val="000000"/>
                <w:spacing w:val="-2"/>
              </w:rPr>
              <w:t>COD</w:t>
            </w:r>
            <w:r>
              <w:rPr>
                <w:rFonts w:eastAsia="方正仿宋_GBK"/>
                <w:color w:val="000000"/>
                <w:spacing w:val="-2"/>
                <w:vertAlign w:val="subscript"/>
              </w:rPr>
              <w:t>Mn</w:t>
            </w:r>
            <w:r>
              <w:rPr>
                <w:rFonts w:hint="eastAsia" w:eastAsia="方正仿宋_GBK"/>
                <w:color w:val="000000"/>
                <w:spacing w:val="-2"/>
              </w:rPr>
              <w:t>（记录格式见附表</w:t>
            </w:r>
            <w:r>
              <w:rPr>
                <w:rFonts w:eastAsia="方正仿宋_GBK"/>
                <w:color w:val="000000"/>
                <w:spacing w:val="-2"/>
              </w:rPr>
              <w:t>1</w:t>
            </w:r>
            <w:r>
              <w:rPr>
                <w:rFonts w:hint="eastAsia" w:eastAsia="方正仿宋_GBK"/>
                <w:color w:val="000000"/>
                <w:spacing w:val="-2"/>
              </w:rPr>
              <w:t>）。</w:t>
            </w:r>
          </w:p>
        </w:tc>
        <w:tc>
          <w:tcPr>
            <w:tcW w:w="2219"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eastAsia="方正仿宋_GBK"/>
                <w:color w:val="000000"/>
                <w:spacing w:val="-2"/>
              </w:rPr>
              <w:t>pH</w:t>
            </w:r>
            <w:r>
              <w:rPr>
                <w:rFonts w:hint="eastAsia" w:eastAsia="方正仿宋_GBK"/>
                <w:color w:val="000000"/>
                <w:spacing w:val="-2"/>
              </w:rPr>
              <w:t>、氨氮、色度、臭和味、肉眼可见物、浑浊度、</w:t>
            </w:r>
            <w:r>
              <w:rPr>
                <w:rFonts w:eastAsia="方正仿宋_GBK"/>
                <w:color w:val="000000"/>
                <w:spacing w:val="-2"/>
              </w:rPr>
              <w:t>COD</w:t>
            </w:r>
            <w:r>
              <w:rPr>
                <w:rFonts w:eastAsia="方正仿宋_GBK"/>
                <w:color w:val="000000"/>
                <w:spacing w:val="-2"/>
                <w:vertAlign w:val="subscript"/>
              </w:rPr>
              <w:t>Mn</w:t>
            </w:r>
            <w:r>
              <w:rPr>
                <w:rFonts w:hint="eastAsia" w:eastAsia="方正仿宋_GBK"/>
                <w:color w:val="000000"/>
                <w:spacing w:val="-2"/>
              </w:rPr>
              <w:t>、细菌总数、总大肠菌群、粪（耐热）大肠菌群、余氯（报表格式见附表</w:t>
            </w:r>
            <w:r>
              <w:rPr>
                <w:rFonts w:eastAsia="方正仿宋_GBK"/>
                <w:color w:val="000000"/>
                <w:spacing w:val="-2"/>
              </w:rPr>
              <w:t>2</w:t>
            </w:r>
            <w:r>
              <w:rPr>
                <w:rFonts w:hint="eastAsia" w:eastAsia="方正仿宋_GBK"/>
                <w:color w:val="000000"/>
                <w:spacing w:val="-2"/>
              </w:rPr>
              <w:t>）。</w:t>
            </w:r>
          </w:p>
        </w:tc>
        <w:tc>
          <w:tcPr>
            <w:tcW w:w="1800"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《生活饮用水卫生标准》</w:t>
            </w:r>
            <w:r>
              <w:rPr>
                <w:rFonts w:eastAsia="方正仿宋_GBK"/>
                <w:color w:val="000000"/>
                <w:spacing w:val="-2"/>
              </w:rPr>
              <w:t>GB5749-2006</w:t>
            </w:r>
            <w:r>
              <w:rPr>
                <w:rFonts w:hint="eastAsia" w:eastAsia="方正仿宋_GBK"/>
                <w:color w:val="000000"/>
                <w:spacing w:val="-2"/>
              </w:rPr>
              <w:t>表</w:t>
            </w:r>
            <w:r>
              <w:rPr>
                <w:rFonts w:eastAsia="方正仿宋_GBK"/>
                <w:color w:val="000000"/>
                <w:spacing w:val="-2"/>
              </w:rPr>
              <w:t>1</w:t>
            </w:r>
            <w:r>
              <w:rPr>
                <w:rFonts w:hint="eastAsia" w:eastAsia="方正仿宋_GBK"/>
                <w:color w:val="000000"/>
                <w:spacing w:val="-2"/>
              </w:rPr>
              <w:t>和表</w:t>
            </w:r>
            <w:r>
              <w:rPr>
                <w:rFonts w:eastAsia="方正仿宋_GBK"/>
                <w:color w:val="000000"/>
                <w:spacing w:val="-2"/>
              </w:rPr>
              <w:t>2</w:t>
            </w:r>
            <w:r>
              <w:rPr>
                <w:rFonts w:hint="eastAsia" w:eastAsia="方正仿宋_GBK"/>
                <w:color w:val="000000"/>
                <w:spacing w:val="-2"/>
              </w:rPr>
              <w:t>项目。</w:t>
            </w:r>
          </w:p>
        </w:tc>
        <w:tc>
          <w:tcPr>
            <w:tcW w:w="1518"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rPr>
            </w:pPr>
            <w:r>
              <w:rPr>
                <w:rFonts w:hint="eastAsia" w:eastAsia="方正仿宋_GBK"/>
                <w:color w:val="000000"/>
                <w:spacing w:val="-2"/>
              </w:rPr>
              <w:t>《生活饮用水卫生标准》</w:t>
            </w:r>
            <w:r>
              <w:rPr>
                <w:rFonts w:eastAsia="方正仿宋_GBK"/>
                <w:color w:val="000000"/>
                <w:spacing w:val="-2"/>
              </w:rPr>
              <w:t>GB5749-2006</w:t>
            </w:r>
            <w:r>
              <w:rPr>
                <w:rFonts w:hint="eastAsia" w:eastAsia="方正仿宋_GBK"/>
                <w:color w:val="000000"/>
                <w:spacing w:val="-2"/>
              </w:rPr>
              <w:t>表</w:t>
            </w:r>
            <w:r>
              <w:rPr>
                <w:rFonts w:eastAsia="方正仿宋_GBK"/>
                <w:color w:val="000000"/>
                <w:spacing w:val="-2"/>
              </w:rPr>
              <w:t>1</w:t>
            </w:r>
            <w:r>
              <w:rPr>
                <w:rFonts w:hint="eastAsia" w:eastAsia="方正仿宋_GBK"/>
                <w:color w:val="000000"/>
                <w:spacing w:val="-2"/>
              </w:rPr>
              <w:t>、</w:t>
            </w:r>
            <w:r>
              <w:rPr>
                <w:rFonts w:eastAsia="方正仿宋_GBK"/>
                <w:color w:val="000000"/>
                <w:spacing w:val="-2"/>
              </w:rPr>
              <w:t>2</w:t>
            </w:r>
            <w:r>
              <w:rPr>
                <w:rFonts w:hint="eastAsia" w:eastAsia="方正仿宋_GBK"/>
                <w:color w:val="000000"/>
                <w:spacing w:val="-2"/>
              </w:rPr>
              <w:t>、</w:t>
            </w:r>
            <w:r>
              <w:rPr>
                <w:rFonts w:eastAsia="方正仿宋_GBK"/>
                <w:color w:val="000000"/>
                <w:spacing w:val="-2"/>
              </w:rPr>
              <w:t>3</w:t>
            </w:r>
            <w:r>
              <w:rPr>
                <w:rFonts w:hint="eastAsia" w:eastAsia="方正仿宋_GBK"/>
                <w:color w:val="000000"/>
                <w:spacing w:val="-2"/>
              </w:rPr>
              <w:t>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15"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管网水</w:t>
            </w:r>
          </w:p>
        </w:tc>
        <w:tc>
          <w:tcPr>
            <w:tcW w:w="1083"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p>
        </w:tc>
        <w:tc>
          <w:tcPr>
            <w:tcW w:w="1197"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p>
        </w:tc>
        <w:tc>
          <w:tcPr>
            <w:tcW w:w="2219"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p>
        </w:tc>
        <w:tc>
          <w:tcPr>
            <w:tcW w:w="1800"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浑浊度、色度、臭和味、余氯、细菌总数、总大肠菌群、</w:t>
            </w:r>
            <w:r>
              <w:rPr>
                <w:rFonts w:eastAsia="方正仿宋_GBK"/>
                <w:color w:val="000000"/>
                <w:spacing w:val="-2"/>
              </w:rPr>
              <w:t>COD</w:t>
            </w:r>
            <w:r>
              <w:rPr>
                <w:rFonts w:eastAsia="方正仿宋_GBK"/>
                <w:color w:val="000000"/>
                <w:spacing w:val="-2"/>
                <w:vertAlign w:val="subscript"/>
              </w:rPr>
              <w:t>Mn</w:t>
            </w:r>
            <w:r>
              <w:rPr>
                <w:rFonts w:hint="eastAsia" w:eastAsia="方正仿宋_GBK"/>
                <w:color w:val="000000"/>
                <w:spacing w:val="-2"/>
              </w:rPr>
              <w:t>（管网末梢代表点）。</w:t>
            </w:r>
          </w:p>
        </w:tc>
        <w:tc>
          <w:tcPr>
            <w:tcW w:w="1518"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15"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管网末梢水</w:t>
            </w:r>
          </w:p>
        </w:tc>
        <w:tc>
          <w:tcPr>
            <w:tcW w:w="1083" w:type="dxa"/>
            <w:tcBorders>
              <w:top w:val="single" w:color="auto" w:sz="4" w:space="0"/>
              <w:left w:val="single" w:color="auto" w:sz="4" w:space="0"/>
              <w:bottom w:val="single" w:color="auto" w:sz="8" w:space="0"/>
              <w:right w:val="single" w:color="auto" w:sz="4" w:space="0"/>
            </w:tcBorders>
            <w:noWrap w:val="0"/>
            <w:vAlign w:val="center"/>
          </w:tcPr>
          <w:p>
            <w:pPr>
              <w:rPr>
                <w:rFonts w:eastAsia="方正仿宋_GBK"/>
                <w:color w:val="000000"/>
                <w:spacing w:val="-2"/>
              </w:rPr>
            </w:pPr>
          </w:p>
        </w:tc>
        <w:tc>
          <w:tcPr>
            <w:tcW w:w="1197" w:type="dxa"/>
            <w:tcBorders>
              <w:top w:val="single" w:color="auto" w:sz="4" w:space="0"/>
              <w:left w:val="single" w:color="auto" w:sz="4" w:space="0"/>
              <w:bottom w:val="single" w:color="auto" w:sz="8" w:space="0"/>
              <w:right w:val="single" w:color="auto" w:sz="4" w:space="0"/>
            </w:tcBorders>
            <w:noWrap w:val="0"/>
            <w:vAlign w:val="center"/>
          </w:tcPr>
          <w:p>
            <w:pPr>
              <w:rPr>
                <w:rFonts w:eastAsia="方正仿宋_GBK"/>
                <w:color w:val="000000"/>
                <w:spacing w:val="-2"/>
              </w:rPr>
            </w:pPr>
          </w:p>
        </w:tc>
        <w:tc>
          <w:tcPr>
            <w:tcW w:w="2219" w:type="dxa"/>
            <w:tcBorders>
              <w:top w:val="single" w:color="auto" w:sz="4" w:space="0"/>
              <w:left w:val="single" w:color="auto" w:sz="4" w:space="0"/>
              <w:bottom w:val="single" w:color="auto" w:sz="8" w:space="0"/>
              <w:right w:val="single" w:color="auto" w:sz="4" w:space="0"/>
            </w:tcBorders>
            <w:noWrap w:val="0"/>
            <w:vAlign w:val="center"/>
          </w:tcPr>
          <w:p>
            <w:pPr>
              <w:rPr>
                <w:rFonts w:eastAsia="方正仿宋_GBK"/>
                <w:color w:val="000000"/>
                <w:spacing w:val="-2"/>
              </w:rPr>
            </w:pPr>
          </w:p>
        </w:tc>
        <w:tc>
          <w:tcPr>
            <w:tcW w:w="1800" w:type="dxa"/>
            <w:tcBorders>
              <w:top w:val="single" w:color="auto" w:sz="4" w:space="0"/>
              <w:left w:val="single" w:color="auto" w:sz="4" w:space="0"/>
              <w:bottom w:val="single" w:color="auto" w:sz="8"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《生活饮用水卫生标准》（</w:t>
            </w:r>
            <w:r>
              <w:rPr>
                <w:rFonts w:eastAsia="方正仿宋_GBK"/>
                <w:color w:val="000000"/>
                <w:spacing w:val="-2"/>
              </w:rPr>
              <w:t>GB5749-2006</w:t>
            </w:r>
            <w:r>
              <w:rPr>
                <w:rFonts w:hint="eastAsia" w:eastAsia="方正仿宋_GBK"/>
                <w:color w:val="000000"/>
                <w:spacing w:val="-2"/>
              </w:rPr>
              <w:t>）表</w:t>
            </w:r>
            <w:r>
              <w:rPr>
                <w:rFonts w:eastAsia="方正仿宋_GBK"/>
                <w:color w:val="000000"/>
                <w:spacing w:val="-2"/>
              </w:rPr>
              <w:t>1</w:t>
            </w:r>
            <w:r>
              <w:rPr>
                <w:rFonts w:hint="eastAsia" w:eastAsia="方正仿宋_GBK"/>
                <w:color w:val="000000"/>
                <w:spacing w:val="-2"/>
              </w:rPr>
              <w:t>、表</w:t>
            </w:r>
            <w:r>
              <w:rPr>
                <w:rFonts w:eastAsia="方正仿宋_GBK"/>
                <w:color w:val="000000"/>
                <w:spacing w:val="-2"/>
              </w:rPr>
              <w:t>2</w:t>
            </w:r>
            <w:r>
              <w:rPr>
                <w:rFonts w:hint="eastAsia" w:eastAsia="方正仿宋_GBK"/>
                <w:color w:val="000000"/>
                <w:spacing w:val="-2"/>
              </w:rPr>
              <w:t>及特征污染物指标。</w:t>
            </w:r>
          </w:p>
        </w:tc>
        <w:tc>
          <w:tcPr>
            <w:tcW w:w="1518" w:type="dxa"/>
            <w:tcBorders>
              <w:top w:val="single" w:color="auto" w:sz="4" w:space="0"/>
              <w:left w:val="single" w:color="auto" w:sz="4" w:space="0"/>
              <w:bottom w:val="single" w:color="auto" w:sz="8" w:space="0"/>
              <w:right w:val="single" w:color="auto" w:sz="8" w:space="0"/>
            </w:tcBorders>
            <w:noWrap w:val="0"/>
            <w:vAlign w:val="center"/>
          </w:tcPr>
          <w:p>
            <w:pPr>
              <w:rPr>
                <w:rFonts w:eastAsia="方正仿宋_GBK"/>
                <w:color w:val="000000"/>
                <w:spacing w:val="-2"/>
              </w:rPr>
            </w:pPr>
          </w:p>
        </w:tc>
      </w:tr>
    </w:tbl>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以地下水为集中式饮用水源的水质检测工作按照《生活饮用水卫生标准》（</w:t>
      </w:r>
      <w:r>
        <w:rPr>
          <w:rFonts w:eastAsia="方正仿宋_GBK"/>
          <w:color w:val="000000"/>
          <w:spacing w:val="-2"/>
          <w:sz w:val="24"/>
        </w:rPr>
        <w:t>GB5749-2006</w:t>
      </w:r>
      <w:r>
        <w:rPr>
          <w:rFonts w:hint="eastAsia" w:eastAsia="方正仿宋_GBK"/>
          <w:color w:val="000000"/>
          <w:spacing w:val="-2"/>
          <w:sz w:val="24"/>
        </w:rPr>
        <w:t>）规定执行。</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第十六条</w:t>
      </w:r>
      <w:r>
        <w:rPr>
          <w:rFonts w:eastAsia="方正仿宋_GBK"/>
          <w:color w:val="000000"/>
          <w:spacing w:val="-2"/>
          <w:sz w:val="24"/>
        </w:rPr>
        <w:t xml:space="preserve">  </w:t>
      </w:r>
      <w:r>
        <w:rPr>
          <w:rFonts w:hint="eastAsia" w:eastAsia="方正仿宋_GBK"/>
          <w:color w:val="000000"/>
          <w:spacing w:val="-2"/>
          <w:sz w:val="24"/>
        </w:rPr>
        <w:t>以地表水为水源的，每月至少做</w:t>
      </w:r>
      <w:r>
        <w:rPr>
          <w:rFonts w:eastAsia="方正仿宋_GBK"/>
          <w:color w:val="000000"/>
          <w:spacing w:val="-2"/>
          <w:sz w:val="24"/>
        </w:rPr>
        <w:t>2</w:t>
      </w:r>
      <w:r>
        <w:rPr>
          <w:rFonts w:hint="eastAsia" w:eastAsia="方正仿宋_GBK"/>
          <w:color w:val="000000"/>
          <w:spacing w:val="-2"/>
          <w:sz w:val="24"/>
        </w:rPr>
        <w:t>次小型烧杯搅拌试验（记录格式见附表</w:t>
      </w:r>
      <w:r>
        <w:rPr>
          <w:rFonts w:eastAsia="方正仿宋_GBK"/>
          <w:color w:val="000000"/>
          <w:spacing w:val="-2"/>
          <w:sz w:val="24"/>
        </w:rPr>
        <w:t>3</w:t>
      </w:r>
      <w:r>
        <w:rPr>
          <w:rFonts w:hint="eastAsia" w:eastAsia="方正仿宋_GBK"/>
          <w:color w:val="000000"/>
          <w:spacing w:val="-2"/>
          <w:sz w:val="24"/>
        </w:rPr>
        <w:t>），记录同时期实际生产数据，及时进行比对。对取水口原水水质变化较大的净水厂，应加密试验指导生产。</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每年至少做一次滤料含泥率分析和筛分析。（记录格式见附表</w:t>
      </w:r>
      <w:r>
        <w:rPr>
          <w:rFonts w:eastAsia="方正仿宋_GBK"/>
          <w:color w:val="000000"/>
          <w:spacing w:val="-2"/>
          <w:sz w:val="24"/>
        </w:rPr>
        <w:t>4</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第十七条</w:t>
      </w:r>
      <w:r>
        <w:rPr>
          <w:rFonts w:eastAsia="方正仿宋_GBK"/>
          <w:color w:val="000000"/>
          <w:spacing w:val="-2"/>
          <w:sz w:val="24"/>
        </w:rPr>
        <w:t xml:space="preserve">  </w:t>
      </w:r>
      <w:r>
        <w:rPr>
          <w:rFonts w:hint="eastAsia" w:eastAsia="方正仿宋_GBK"/>
          <w:color w:val="000000"/>
          <w:spacing w:val="-2"/>
          <w:sz w:val="24"/>
        </w:rPr>
        <w:t>用于供水的新设备、新管网投产前或者原有设备、管网改造后，应当严格进行清洗消毒，经检测合格后方可投入使用。</w:t>
      </w:r>
    </w:p>
    <w:p>
      <w:pPr>
        <w:spacing w:line="460" w:lineRule="exact"/>
        <w:ind w:firstLine="464" w:firstLineChars="200"/>
        <w:rPr>
          <w:rFonts w:eastAsia="方正仿宋_GBK"/>
          <w:color w:val="000000"/>
          <w:spacing w:val="-4"/>
          <w:sz w:val="24"/>
        </w:rPr>
      </w:pPr>
      <w:r>
        <w:rPr>
          <w:rFonts w:hint="eastAsia" w:eastAsia="方正仿宋_GBK"/>
          <w:color w:val="000000"/>
          <w:spacing w:val="-4"/>
          <w:sz w:val="24"/>
        </w:rPr>
        <w:t>每批次对所使用的水处理药剂主要指标进行质量检测；每季度对所使用的水处理药剂依据《饮用水化学处理剂卫生安全性评价》（</w:t>
      </w:r>
      <w:r>
        <w:rPr>
          <w:rFonts w:eastAsia="方正仿宋_GBK"/>
          <w:color w:val="000000"/>
          <w:spacing w:val="-4"/>
          <w:sz w:val="24"/>
        </w:rPr>
        <w:t>GB/T17218-1998</w:t>
      </w:r>
      <w:r>
        <w:rPr>
          <w:rFonts w:hint="eastAsia" w:eastAsia="方正仿宋_GBK"/>
          <w:color w:val="000000"/>
          <w:spacing w:val="-4"/>
          <w:sz w:val="24"/>
        </w:rPr>
        <w:t>）标准要求进行抽检。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对供水企业所使用的其他涉水产品等进行定期抽检。</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color w:val="000000"/>
          <w:spacing w:val="-2"/>
          <w:sz w:val="24"/>
        </w:rPr>
        <w:t xml:space="preserve">  </w:t>
      </w:r>
      <w:r>
        <w:rPr>
          <w:rFonts w:hint="eastAsia" w:eastAsia="方正仿宋_GBK"/>
          <w:color w:val="000000"/>
          <w:spacing w:val="-2"/>
          <w:sz w:val="24"/>
        </w:rPr>
        <w:t>水质信息按本办法向城市供水主管部门报告。</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日检测报告：每日</w:t>
      </w:r>
      <w:r>
        <w:rPr>
          <w:rFonts w:eastAsia="方正仿宋_GBK"/>
          <w:color w:val="000000"/>
          <w:spacing w:val="-2"/>
          <w:sz w:val="24"/>
        </w:rPr>
        <w:t>18:00</w:t>
      </w:r>
      <w:r>
        <w:rPr>
          <w:rFonts w:hint="eastAsia" w:eastAsia="方正仿宋_GBK"/>
          <w:color w:val="000000"/>
          <w:spacing w:val="-2"/>
          <w:sz w:val="24"/>
        </w:rPr>
        <w:t>前通过江苏省城市供水水质上报系统报送省建设厅和当地城市供水主管部门。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周统计报告：正常情况下，每周五</w:t>
      </w:r>
      <w:r>
        <w:rPr>
          <w:rFonts w:eastAsia="方正仿宋_GBK"/>
          <w:color w:val="000000"/>
          <w:spacing w:val="-2"/>
          <w:sz w:val="24"/>
        </w:rPr>
        <w:t>24:00</w:t>
      </w:r>
      <w:r>
        <w:rPr>
          <w:rFonts w:hint="eastAsia" w:eastAsia="方正仿宋_GBK"/>
          <w:color w:val="000000"/>
          <w:spacing w:val="-2"/>
          <w:sz w:val="24"/>
        </w:rPr>
        <w:t>前将上一周（上周五至本周四）的数据按报表要求报送省建设厅和当地供水主管部门。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月检测报告和半年度检测报告：形成报告后</w:t>
      </w:r>
      <w:r>
        <w:rPr>
          <w:rFonts w:eastAsia="方正仿宋_GBK"/>
          <w:color w:val="000000"/>
          <w:spacing w:val="-2"/>
          <w:sz w:val="24"/>
        </w:rPr>
        <w:t>5</w:t>
      </w:r>
      <w:r>
        <w:rPr>
          <w:rFonts w:hint="eastAsia" w:eastAsia="方正仿宋_GBK"/>
          <w:color w:val="000000"/>
          <w:spacing w:val="-2"/>
          <w:sz w:val="24"/>
        </w:rPr>
        <w:t>个工作日内通过江苏省城市供水水质上报系统报送省建设厅和当地城市供水主管部门。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应急情况下，每</w:t>
      </w:r>
      <w:r>
        <w:rPr>
          <w:rFonts w:eastAsia="方正仿宋_GBK"/>
          <w:color w:val="000000"/>
          <w:spacing w:val="-2"/>
          <w:sz w:val="24"/>
        </w:rPr>
        <w:t>2</w:t>
      </w:r>
      <w:r>
        <w:rPr>
          <w:rFonts w:hint="eastAsia" w:eastAsia="方正仿宋_GBK"/>
          <w:color w:val="000000"/>
          <w:spacing w:val="-2"/>
          <w:sz w:val="24"/>
        </w:rPr>
        <w:t>小时向省建设厅和当地供水主管部门报告一次水质情况。</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第十九条</w:t>
      </w:r>
      <w:r>
        <w:rPr>
          <w:rFonts w:eastAsia="方正仿宋_GBK"/>
          <w:color w:val="000000"/>
          <w:spacing w:val="-2"/>
          <w:sz w:val="24"/>
        </w:rPr>
        <w:t xml:space="preserve">  </w:t>
      </w:r>
      <w:r>
        <w:rPr>
          <w:rFonts w:hint="eastAsia" w:eastAsia="方正仿宋_GBK"/>
          <w:color w:val="000000"/>
          <w:spacing w:val="-2"/>
          <w:sz w:val="24"/>
        </w:rPr>
        <w:t>水质统计结果按本办法向城市供水主管部门报告。</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月</w:t>
      </w:r>
      <w:r>
        <w:rPr>
          <w:rFonts w:eastAsia="方正仿宋_GBK"/>
          <w:color w:val="000000"/>
          <w:spacing w:val="-2"/>
          <w:sz w:val="24"/>
        </w:rPr>
        <w:t>9</w:t>
      </w:r>
      <w:r>
        <w:rPr>
          <w:rFonts w:hint="eastAsia" w:eastAsia="方正仿宋_GBK"/>
          <w:color w:val="000000"/>
          <w:spacing w:val="-2"/>
          <w:sz w:val="24"/>
        </w:rPr>
        <w:t>项统计报告在次月</w:t>
      </w:r>
      <w:r>
        <w:rPr>
          <w:rFonts w:eastAsia="方正仿宋_GBK"/>
          <w:color w:val="000000"/>
          <w:spacing w:val="-2"/>
          <w:sz w:val="24"/>
        </w:rPr>
        <w:t>10</w:t>
      </w:r>
      <w:r>
        <w:rPr>
          <w:rFonts w:hint="eastAsia" w:eastAsia="方正仿宋_GBK"/>
          <w:color w:val="000000"/>
          <w:spacing w:val="-2"/>
          <w:sz w:val="24"/>
        </w:rPr>
        <w:t>个工作日内报送至省建设厅和当地供水主管部门（项目与格式详见附表</w:t>
      </w:r>
      <w:r>
        <w:rPr>
          <w:rFonts w:eastAsia="方正仿宋_GBK"/>
          <w:color w:val="000000"/>
          <w:spacing w:val="-2"/>
          <w:sz w:val="24"/>
        </w:rPr>
        <w:t>5</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月度合格率统计表在次月</w:t>
      </w:r>
      <w:r>
        <w:rPr>
          <w:rFonts w:eastAsia="方正仿宋_GBK"/>
          <w:color w:val="000000"/>
          <w:spacing w:val="-2"/>
          <w:sz w:val="24"/>
        </w:rPr>
        <w:t>10</w:t>
      </w:r>
      <w:r>
        <w:rPr>
          <w:rFonts w:hint="eastAsia" w:eastAsia="方正仿宋_GBK"/>
          <w:color w:val="000000"/>
          <w:spacing w:val="-2"/>
          <w:sz w:val="24"/>
        </w:rPr>
        <w:t>个工作日内报送至省建设厅和当地供水主管部门（项目与格式详见附表</w:t>
      </w:r>
      <w:r>
        <w:rPr>
          <w:rFonts w:eastAsia="方正仿宋_GBK"/>
          <w:color w:val="000000"/>
          <w:spacing w:val="-2"/>
          <w:sz w:val="24"/>
        </w:rPr>
        <w:t>6</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第二十条</w:t>
      </w:r>
      <w:r>
        <w:rPr>
          <w:rFonts w:eastAsia="方正仿宋_GBK"/>
          <w:color w:val="000000"/>
          <w:spacing w:val="-2"/>
          <w:sz w:val="24"/>
        </w:rPr>
        <w:t xml:space="preserve">  </w:t>
      </w:r>
      <w:r>
        <w:rPr>
          <w:rFonts w:hint="eastAsia" w:eastAsia="方正仿宋_GBK"/>
          <w:color w:val="000000"/>
          <w:spacing w:val="-2"/>
          <w:sz w:val="24"/>
        </w:rPr>
        <w:t>城市供水企业应当按照本办法，建立、完善并有效运行城市供水质量监督管理体系。</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第二十一条</w:t>
      </w:r>
      <w:r>
        <w:rPr>
          <w:rFonts w:eastAsia="方正仿宋_GBK"/>
          <w:color w:val="000000"/>
          <w:spacing w:val="-2"/>
          <w:sz w:val="24"/>
        </w:rPr>
        <w:t xml:space="preserve">  </w:t>
      </w:r>
      <w:r>
        <w:rPr>
          <w:rFonts w:hint="eastAsia" w:eastAsia="方正仿宋_GBK"/>
          <w:color w:val="000000"/>
          <w:spacing w:val="-2"/>
          <w:sz w:val="24"/>
        </w:rPr>
        <w:t>供水水质监测和检测项目及频率将根据国家和行业新颁布的相关标准和规定适时调整。</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第二十二条</w:t>
      </w:r>
      <w:r>
        <w:rPr>
          <w:rFonts w:eastAsia="方正仿宋_GBK"/>
          <w:color w:val="000000"/>
          <w:spacing w:val="-2"/>
          <w:sz w:val="24"/>
        </w:rPr>
        <w:t xml:space="preserve">  </w:t>
      </w:r>
      <w:r>
        <w:rPr>
          <w:rFonts w:hint="eastAsia" w:eastAsia="方正仿宋_GBK"/>
          <w:color w:val="000000"/>
          <w:spacing w:val="-2"/>
          <w:sz w:val="24"/>
        </w:rPr>
        <w:t>本办法由省建设厅负责解释。本办法自</w:t>
      </w:r>
      <w:r>
        <w:rPr>
          <w:rFonts w:eastAsia="方正仿宋_GBK"/>
          <w:color w:val="000000"/>
          <w:spacing w:val="-2"/>
          <w:sz w:val="24"/>
        </w:rPr>
        <w:t>2009</w:t>
      </w:r>
      <w:r>
        <w:rPr>
          <w:rFonts w:hint="eastAsia" w:eastAsia="方正仿宋_GBK"/>
          <w:color w:val="000000"/>
          <w:spacing w:val="-2"/>
          <w:sz w:val="24"/>
        </w:rPr>
        <w:t>年</w:t>
      </w:r>
      <w:r>
        <w:rPr>
          <w:rFonts w:eastAsia="方正仿宋_GBK"/>
          <w:color w:val="000000"/>
          <w:spacing w:val="-2"/>
          <w:sz w:val="24"/>
        </w:rPr>
        <w:t>9</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日起实施。</w:t>
      </w:r>
    </w:p>
    <w:p>
      <w:pPr>
        <w:spacing w:line="460" w:lineRule="exact"/>
        <w:rPr>
          <w:rFonts w:ascii="Times New Roman" w:eastAsia="方正黑体_GBK"/>
          <w:color w:val="000000"/>
          <w:spacing w:val="-2"/>
          <w:sz w:val="28"/>
          <w:szCs w:val="28"/>
        </w:rPr>
      </w:pPr>
      <w:r>
        <w:rPr>
          <w:rFonts w:eastAsia="仿宋_GB2312"/>
          <w:color w:val="000000"/>
          <w:spacing w:val="-2"/>
          <w:sz w:val="32"/>
          <w:szCs w:val="32"/>
        </w:rPr>
        <w:br w:type="page"/>
      </w:r>
      <w:r>
        <w:rPr>
          <w:rFonts w:hint="eastAsia" w:ascii="Times New Roman" w:eastAsia="方正黑体_GBK"/>
          <w:color w:val="000000"/>
          <w:spacing w:val="-2"/>
          <w:sz w:val="28"/>
          <w:szCs w:val="28"/>
        </w:rPr>
        <w:t>附表1</w:t>
      </w:r>
    </w:p>
    <w:p>
      <w:pPr>
        <w:spacing w:line="360" w:lineRule="auto"/>
        <w:ind w:firstLine="1518" w:firstLineChars="550"/>
        <w:rPr>
          <w:rFonts w:hint="eastAsia" w:ascii="Times New Roman" w:eastAsia="方正黑体_GBK"/>
          <w:color w:val="000000"/>
          <w:spacing w:val="-2"/>
          <w:sz w:val="28"/>
          <w:szCs w:val="28"/>
        </w:rPr>
      </w:pPr>
      <w:r>
        <w:rPr>
          <w:rFonts w:hint="eastAsia" w:ascii="Times New Roman" w:eastAsia="方正黑体_GBK"/>
          <w:color w:val="000000"/>
          <w:spacing w:val="-2"/>
          <w:sz w:val="28"/>
          <w:szCs w:val="28"/>
          <w:u w:val="single"/>
        </w:rPr>
        <w:t xml:space="preserve">              </w:t>
      </w:r>
      <w:r>
        <w:rPr>
          <w:rFonts w:hint="eastAsia" w:ascii="Times New Roman" w:eastAsia="方正黑体_GBK"/>
          <w:color w:val="000000"/>
          <w:spacing w:val="-2"/>
          <w:sz w:val="28"/>
          <w:szCs w:val="28"/>
        </w:rPr>
        <w:t>水厂生产运行水质检测报表</w:t>
      </w:r>
    </w:p>
    <w:p>
      <w:pPr>
        <w:rPr>
          <w:rFonts w:hint="eastAsia" w:eastAsia="方正仿宋_GBK"/>
          <w:color w:val="000000"/>
          <w:spacing w:val="-2"/>
          <w:szCs w:val="21"/>
        </w:rPr>
      </w:pPr>
      <w:r>
        <w:rPr>
          <w:rFonts w:hint="eastAsia" w:eastAsia="方正仿宋_GBK"/>
          <w:color w:val="000000"/>
          <w:spacing w:val="-2"/>
          <w:szCs w:val="21"/>
        </w:rPr>
        <w:t>班组：</w:t>
      </w:r>
      <w:r>
        <w:rPr>
          <w:rFonts w:eastAsia="方正仿宋_GBK"/>
          <w:color w:val="000000"/>
          <w:spacing w:val="-2"/>
          <w:szCs w:val="21"/>
        </w:rPr>
        <w:t xml:space="preserve">                                                      </w:t>
      </w:r>
      <w:r>
        <w:rPr>
          <w:rFonts w:hint="eastAsia" w:eastAsia="方正仿宋_GBK"/>
          <w:color w:val="000000"/>
          <w:spacing w:val="-2"/>
          <w:szCs w:val="21"/>
        </w:rPr>
        <w:t>日期：</w:t>
      </w:r>
    </w:p>
    <w:tbl>
      <w:tblPr>
        <w:tblStyle w:val="12"/>
        <w:tblW w:w="0" w:type="auto"/>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866"/>
        <w:gridCol w:w="1114"/>
        <w:gridCol w:w="1080"/>
        <w:gridCol w:w="1110"/>
        <w:gridCol w:w="1189"/>
        <w:gridCol w:w="938"/>
        <w:gridCol w:w="127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188" w:type="dxa"/>
            <w:tcBorders>
              <w:top w:val="single" w:color="auto" w:sz="8" w:space="0"/>
              <w:left w:val="single" w:color="auto" w:sz="8" w:space="0"/>
              <w:bottom w:val="single" w:color="auto" w:sz="4" w:space="0"/>
              <w:right w:val="single" w:color="auto" w:sz="4" w:space="0"/>
            </w:tcBorders>
            <w:noWrap w:val="0"/>
            <w:vAlign w:val="center"/>
          </w:tcPr>
          <w:p>
            <w:pPr>
              <w:pBdr>
                <w:bottom w:val="single" w:color="auto" w:sz="6" w:space="1"/>
              </w:pBdr>
              <w:tabs>
                <w:tab w:val="center" w:pos="4153"/>
                <w:tab w:val="right" w:pos="8306"/>
              </w:tabs>
              <w:snapToGrid w:val="0"/>
              <w:jc w:val="center"/>
              <w:rPr>
                <w:rFonts w:eastAsia="方正仿宋_GBK"/>
                <w:color w:val="000000"/>
                <w:spacing w:val="-2"/>
                <w:szCs w:val="21"/>
              </w:rPr>
            </w:pPr>
            <w:r>
              <w:rPr>
                <w:rFonts w:hint="eastAsia" w:eastAsia="方正仿宋_GBK"/>
                <w:color w:val="000000"/>
                <w:spacing w:val="-2"/>
                <w:szCs w:val="21"/>
              </w:rPr>
              <w:t>检测时间</w:t>
            </w:r>
          </w:p>
        </w:tc>
        <w:tc>
          <w:tcPr>
            <w:tcW w:w="866" w:type="dxa"/>
            <w:tcBorders>
              <w:top w:val="single" w:color="auto" w:sz="8" w:space="0"/>
              <w:left w:val="single" w:color="auto" w:sz="4" w:space="0"/>
              <w:bottom w:val="single" w:color="auto" w:sz="4" w:space="0"/>
              <w:right w:val="single" w:color="auto" w:sz="4" w:space="0"/>
            </w:tcBorders>
            <w:noWrap w:val="0"/>
            <w:vAlign w:val="center"/>
          </w:tcPr>
          <w:p>
            <w:pPr>
              <w:pBdr>
                <w:bottom w:val="single" w:color="auto" w:sz="6" w:space="1"/>
              </w:pBdr>
              <w:tabs>
                <w:tab w:val="center" w:pos="4153"/>
                <w:tab w:val="right" w:pos="8306"/>
              </w:tabs>
              <w:snapToGrid w:val="0"/>
              <w:jc w:val="center"/>
              <w:rPr>
                <w:rFonts w:eastAsia="方正仿宋_GBK"/>
                <w:color w:val="000000"/>
                <w:spacing w:val="-2"/>
                <w:szCs w:val="21"/>
              </w:rPr>
            </w:pPr>
            <w:r>
              <w:rPr>
                <w:rFonts w:hint="eastAsia" w:eastAsia="方正仿宋_GBK"/>
                <w:color w:val="000000"/>
                <w:spacing w:val="-2"/>
                <w:szCs w:val="21"/>
              </w:rPr>
              <w:t>色度（度）</w:t>
            </w:r>
          </w:p>
        </w:tc>
        <w:tc>
          <w:tcPr>
            <w:tcW w:w="1114" w:type="dxa"/>
            <w:tcBorders>
              <w:top w:val="single" w:color="auto" w:sz="8" w:space="0"/>
              <w:left w:val="single" w:color="auto" w:sz="4" w:space="0"/>
              <w:bottom w:val="single" w:color="auto" w:sz="4" w:space="0"/>
              <w:right w:val="single" w:color="auto" w:sz="4" w:space="0"/>
            </w:tcBorders>
            <w:noWrap w:val="0"/>
            <w:vAlign w:val="center"/>
          </w:tcPr>
          <w:p>
            <w:pPr>
              <w:pBdr>
                <w:bottom w:val="single" w:color="auto" w:sz="6" w:space="1"/>
              </w:pBdr>
              <w:tabs>
                <w:tab w:val="center" w:pos="4153"/>
                <w:tab w:val="right" w:pos="8306"/>
              </w:tabs>
              <w:snapToGrid w:val="0"/>
              <w:jc w:val="center"/>
              <w:rPr>
                <w:rFonts w:eastAsia="方正仿宋_GBK"/>
                <w:color w:val="000000"/>
                <w:spacing w:val="-2"/>
                <w:szCs w:val="21"/>
              </w:rPr>
            </w:pPr>
            <w:r>
              <w:rPr>
                <w:rFonts w:hint="eastAsia" w:eastAsia="方正仿宋_GBK"/>
                <w:color w:val="000000"/>
                <w:spacing w:val="-2"/>
                <w:szCs w:val="21"/>
              </w:rPr>
              <w:t>臭和味</w:t>
            </w:r>
          </w:p>
        </w:tc>
        <w:tc>
          <w:tcPr>
            <w:tcW w:w="1080" w:type="dxa"/>
            <w:tcBorders>
              <w:top w:val="single" w:color="auto" w:sz="8" w:space="0"/>
              <w:left w:val="single" w:color="auto" w:sz="4" w:space="0"/>
              <w:bottom w:val="single" w:color="auto" w:sz="4" w:space="0"/>
              <w:right w:val="single" w:color="auto" w:sz="4" w:space="0"/>
            </w:tcBorders>
            <w:noWrap w:val="0"/>
            <w:vAlign w:val="center"/>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pH</w:t>
            </w:r>
            <w:r>
              <w:rPr>
                <w:rFonts w:hint="eastAsia" w:eastAsia="方正仿宋_GBK"/>
                <w:color w:val="000000"/>
                <w:spacing w:val="-2"/>
                <w:szCs w:val="21"/>
              </w:rPr>
              <w:t>值</w:t>
            </w:r>
          </w:p>
        </w:tc>
        <w:tc>
          <w:tcPr>
            <w:tcW w:w="1110" w:type="dxa"/>
            <w:tcBorders>
              <w:top w:val="single" w:color="auto" w:sz="8" w:space="0"/>
              <w:left w:val="single" w:color="auto" w:sz="4" w:space="0"/>
              <w:bottom w:val="single" w:color="auto" w:sz="4" w:space="0"/>
              <w:right w:val="single" w:color="auto" w:sz="4" w:space="0"/>
            </w:tcBorders>
            <w:noWrap w:val="0"/>
            <w:vAlign w:val="center"/>
          </w:tcPr>
          <w:p>
            <w:pPr>
              <w:pBdr>
                <w:bottom w:val="single" w:color="auto" w:sz="6" w:space="1"/>
              </w:pBdr>
              <w:tabs>
                <w:tab w:val="center" w:pos="4153"/>
                <w:tab w:val="right" w:pos="8306"/>
              </w:tabs>
              <w:snapToGrid w:val="0"/>
              <w:jc w:val="center"/>
              <w:rPr>
                <w:rFonts w:eastAsia="方正仿宋_GBK"/>
                <w:color w:val="000000"/>
                <w:spacing w:val="-2"/>
                <w:szCs w:val="21"/>
              </w:rPr>
            </w:pPr>
            <w:r>
              <w:rPr>
                <w:rFonts w:hint="eastAsia" w:eastAsia="方正仿宋_GBK"/>
                <w:color w:val="000000"/>
                <w:spacing w:val="-2"/>
                <w:szCs w:val="21"/>
              </w:rPr>
              <w:t>溶解氧（</w:t>
            </w:r>
            <w:r>
              <w:rPr>
                <w:rFonts w:eastAsia="方正仿宋_GBK"/>
                <w:color w:val="000000"/>
                <w:spacing w:val="-2"/>
                <w:szCs w:val="21"/>
              </w:rPr>
              <w:t>mg/L</w:t>
            </w:r>
            <w:r>
              <w:rPr>
                <w:rFonts w:hint="eastAsia" w:eastAsia="方正仿宋_GBK"/>
                <w:color w:val="000000"/>
                <w:spacing w:val="-2"/>
                <w:szCs w:val="21"/>
              </w:rPr>
              <w:t>）</w:t>
            </w:r>
          </w:p>
        </w:tc>
        <w:tc>
          <w:tcPr>
            <w:tcW w:w="1189" w:type="dxa"/>
            <w:tcBorders>
              <w:top w:val="single" w:color="auto" w:sz="8" w:space="0"/>
              <w:left w:val="single" w:color="auto" w:sz="4" w:space="0"/>
              <w:bottom w:val="single" w:color="auto" w:sz="4" w:space="0"/>
              <w:right w:val="single" w:color="auto" w:sz="4" w:space="0"/>
            </w:tcBorders>
            <w:noWrap w:val="0"/>
            <w:vAlign w:val="center"/>
          </w:tcPr>
          <w:p>
            <w:pPr>
              <w:pBdr>
                <w:bottom w:val="single" w:color="auto" w:sz="6" w:space="1"/>
              </w:pBdr>
              <w:tabs>
                <w:tab w:val="center" w:pos="4153"/>
                <w:tab w:val="right" w:pos="8306"/>
              </w:tabs>
              <w:snapToGrid w:val="0"/>
              <w:jc w:val="center"/>
              <w:rPr>
                <w:rFonts w:eastAsia="方正仿宋_GBK"/>
                <w:color w:val="000000"/>
                <w:spacing w:val="-2"/>
                <w:szCs w:val="21"/>
              </w:rPr>
            </w:pPr>
            <w:r>
              <w:rPr>
                <w:rFonts w:hint="eastAsia" w:eastAsia="方正仿宋_GBK"/>
                <w:color w:val="000000"/>
                <w:spacing w:val="-2"/>
                <w:szCs w:val="21"/>
              </w:rPr>
              <w:t>耗氧量（</w:t>
            </w:r>
            <w:r>
              <w:rPr>
                <w:rFonts w:eastAsia="方正仿宋_GBK"/>
                <w:color w:val="000000"/>
                <w:spacing w:val="-2"/>
                <w:szCs w:val="21"/>
              </w:rPr>
              <w:t>mg/L</w:t>
            </w:r>
            <w:r>
              <w:rPr>
                <w:rFonts w:hint="eastAsia" w:eastAsia="方正仿宋_GBK"/>
                <w:color w:val="000000"/>
                <w:spacing w:val="-2"/>
                <w:szCs w:val="21"/>
              </w:rPr>
              <w:t>）</w:t>
            </w:r>
          </w:p>
        </w:tc>
        <w:tc>
          <w:tcPr>
            <w:tcW w:w="938" w:type="dxa"/>
            <w:tcBorders>
              <w:top w:val="single" w:color="auto" w:sz="8" w:space="0"/>
              <w:left w:val="single" w:color="auto" w:sz="4" w:space="0"/>
              <w:bottom w:val="single" w:color="auto" w:sz="4" w:space="0"/>
              <w:right w:val="single" w:color="auto" w:sz="4" w:space="0"/>
            </w:tcBorders>
            <w:noWrap w:val="0"/>
            <w:vAlign w:val="center"/>
          </w:tcPr>
          <w:p>
            <w:pPr>
              <w:pBdr>
                <w:bottom w:val="single" w:color="auto" w:sz="6" w:space="1"/>
              </w:pBdr>
              <w:tabs>
                <w:tab w:val="center" w:pos="4153"/>
                <w:tab w:val="right" w:pos="8306"/>
              </w:tabs>
              <w:snapToGrid w:val="0"/>
              <w:jc w:val="center"/>
              <w:rPr>
                <w:rFonts w:eastAsia="方正仿宋_GBK"/>
                <w:color w:val="000000"/>
                <w:spacing w:val="-2"/>
                <w:szCs w:val="21"/>
              </w:rPr>
            </w:pPr>
            <w:r>
              <w:rPr>
                <w:rFonts w:hint="eastAsia" w:eastAsia="方正仿宋_GBK"/>
                <w:color w:val="000000"/>
                <w:spacing w:val="-2"/>
                <w:szCs w:val="21"/>
              </w:rPr>
              <w:t>浑浊度</w:t>
            </w:r>
          </w:p>
        </w:tc>
        <w:tc>
          <w:tcPr>
            <w:tcW w:w="1274" w:type="dxa"/>
            <w:tcBorders>
              <w:top w:val="single" w:color="auto" w:sz="8" w:space="0"/>
              <w:left w:val="single" w:color="auto" w:sz="4" w:space="0"/>
              <w:bottom w:val="single" w:color="auto" w:sz="4" w:space="0"/>
              <w:right w:val="single" w:color="auto" w:sz="8" w:space="0"/>
            </w:tcBorders>
            <w:noWrap w:val="0"/>
            <w:vAlign w:val="center"/>
          </w:tcPr>
          <w:p>
            <w:pPr>
              <w:pBdr>
                <w:bottom w:val="single" w:color="auto" w:sz="6" w:space="1"/>
              </w:pBdr>
              <w:tabs>
                <w:tab w:val="center" w:pos="4153"/>
                <w:tab w:val="right" w:pos="8306"/>
              </w:tabs>
              <w:snapToGrid w:val="0"/>
              <w:jc w:val="center"/>
              <w:rPr>
                <w:rFonts w:eastAsia="方正仿宋_GBK"/>
                <w:color w:val="000000"/>
                <w:spacing w:val="-2"/>
                <w:szCs w:val="21"/>
              </w:rPr>
            </w:pPr>
            <w:r>
              <w:rPr>
                <w:rFonts w:hint="eastAsia" w:eastAsia="方正仿宋_GBK"/>
                <w:color w:val="000000"/>
                <w:spacing w:val="-2"/>
                <w:szCs w:val="21"/>
              </w:rPr>
              <w:t>余氯（</w:t>
            </w:r>
            <w:r>
              <w:rPr>
                <w:rFonts w:eastAsia="方正仿宋_GBK"/>
                <w:color w:val="000000"/>
                <w:spacing w:val="-2"/>
                <w:szCs w:val="21"/>
              </w:rPr>
              <w:t>mg/L</w:t>
            </w:r>
            <w:r>
              <w:rPr>
                <w:rFonts w:hint="eastAsia"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0</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3</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4</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5</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6</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7</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8</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9</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11</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12</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13</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14</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15</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16</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17</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18</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19</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20</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21</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22</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23</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1188" w:type="dxa"/>
            <w:tcBorders>
              <w:top w:val="single" w:color="auto" w:sz="4" w:space="0"/>
              <w:left w:val="single" w:color="auto" w:sz="8"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r>
              <w:rPr>
                <w:rFonts w:eastAsia="方正仿宋_GBK"/>
                <w:color w:val="000000"/>
                <w:spacing w:val="-2"/>
                <w:szCs w:val="21"/>
              </w:rPr>
              <w:t>24</w:t>
            </w:r>
            <w:r>
              <w:rPr>
                <w:rFonts w:hint="eastAsia" w:eastAsia="方正仿宋_GBK"/>
                <w:color w:val="000000"/>
                <w:spacing w:val="-2"/>
                <w:szCs w:val="21"/>
              </w:rPr>
              <w:t>：</w:t>
            </w:r>
            <w:r>
              <w:rPr>
                <w:rFonts w:eastAsia="方正仿宋_GBK"/>
                <w:color w:val="000000"/>
                <w:spacing w:val="-2"/>
                <w:szCs w:val="21"/>
              </w:rPr>
              <w:t>00</w:t>
            </w:r>
          </w:p>
        </w:tc>
        <w:tc>
          <w:tcPr>
            <w:tcW w:w="866"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4"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10"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189"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938" w:type="dxa"/>
            <w:tcBorders>
              <w:top w:val="single" w:color="auto" w:sz="4" w:space="0"/>
              <w:left w:val="single" w:color="auto" w:sz="4" w:space="0"/>
              <w:bottom w:val="single" w:color="auto" w:sz="4" w:space="0"/>
              <w:right w:val="single" w:color="auto" w:sz="4"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c>
          <w:tcPr>
            <w:tcW w:w="1274" w:type="dxa"/>
            <w:tcBorders>
              <w:top w:val="single" w:color="auto" w:sz="4" w:space="0"/>
              <w:left w:val="single" w:color="auto" w:sz="4" w:space="0"/>
              <w:bottom w:val="single" w:color="auto" w:sz="4" w:space="0"/>
              <w:right w:val="single" w:color="auto" w:sz="8" w:space="0"/>
            </w:tcBorders>
            <w:noWrap w:val="0"/>
            <w:vAlign w:val="top"/>
          </w:tcPr>
          <w:p>
            <w:pPr>
              <w:pBdr>
                <w:bottom w:val="single" w:color="auto" w:sz="6" w:space="1"/>
              </w:pBdr>
              <w:tabs>
                <w:tab w:val="center" w:pos="4153"/>
                <w:tab w:val="right" w:pos="8306"/>
              </w:tabs>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0" w:hRule="atLeast"/>
        </w:trPr>
        <w:tc>
          <w:tcPr>
            <w:tcW w:w="1188" w:type="dxa"/>
            <w:tcBorders>
              <w:top w:val="single" w:color="auto" w:sz="4" w:space="0"/>
              <w:left w:val="single" w:color="auto" w:sz="8" w:space="0"/>
              <w:bottom w:val="single" w:color="auto" w:sz="8" w:space="0"/>
              <w:right w:val="single" w:color="auto" w:sz="4" w:space="0"/>
            </w:tcBorders>
            <w:noWrap w:val="0"/>
            <w:vAlign w:val="center"/>
          </w:tcPr>
          <w:p>
            <w:pPr>
              <w:pBdr>
                <w:bottom w:val="single" w:color="auto" w:sz="6" w:space="1"/>
              </w:pBdr>
              <w:tabs>
                <w:tab w:val="center" w:pos="4153"/>
                <w:tab w:val="right" w:pos="8306"/>
              </w:tabs>
              <w:snapToGrid w:val="0"/>
              <w:jc w:val="center"/>
              <w:rPr>
                <w:rFonts w:eastAsia="方正仿宋_GBK"/>
                <w:color w:val="000000"/>
                <w:spacing w:val="-2"/>
                <w:szCs w:val="21"/>
              </w:rPr>
            </w:pPr>
            <w:r>
              <w:rPr>
                <w:rFonts w:hint="eastAsia" w:eastAsia="方正仿宋_GBK"/>
                <w:color w:val="000000"/>
                <w:spacing w:val="-2"/>
                <w:szCs w:val="21"/>
              </w:rPr>
              <w:t>备注</w:t>
            </w:r>
          </w:p>
        </w:tc>
        <w:tc>
          <w:tcPr>
            <w:tcW w:w="7571" w:type="dxa"/>
            <w:gridSpan w:val="7"/>
            <w:tcBorders>
              <w:top w:val="single" w:color="auto" w:sz="4" w:space="0"/>
              <w:left w:val="single" w:color="auto" w:sz="4" w:space="0"/>
              <w:bottom w:val="single" w:color="auto" w:sz="8" w:space="0"/>
              <w:right w:val="single" w:color="auto" w:sz="8" w:space="0"/>
            </w:tcBorders>
            <w:noWrap w:val="0"/>
            <w:vAlign w:val="top"/>
          </w:tcPr>
          <w:p>
            <w:pPr>
              <w:pBdr>
                <w:bottom w:val="single" w:color="auto" w:sz="6" w:space="1"/>
              </w:pBdr>
              <w:tabs>
                <w:tab w:val="center" w:pos="4153"/>
                <w:tab w:val="right" w:pos="8306"/>
              </w:tabs>
              <w:snapToGrid w:val="0"/>
              <w:jc w:val="left"/>
              <w:rPr>
                <w:rFonts w:eastAsia="方正仿宋_GBK"/>
                <w:color w:val="000000"/>
                <w:spacing w:val="-2"/>
                <w:szCs w:val="21"/>
              </w:rPr>
            </w:pPr>
            <w:r>
              <w:rPr>
                <w:rFonts w:hint="eastAsia" w:eastAsia="方正仿宋_GBK"/>
                <w:color w:val="000000"/>
                <w:spacing w:val="-2"/>
                <w:szCs w:val="21"/>
              </w:rPr>
              <w:t>（对原水和水厂运行过程的描述，特别是原水水质突变或水厂生产事故时。）</w:t>
            </w:r>
          </w:p>
        </w:tc>
      </w:tr>
    </w:tbl>
    <w:p>
      <w:pPr>
        <w:rPr>
          <w:color w:val="000000"/>
          <w:spacing w:val="-2"/>
          <w:sz w:val="24"/>
        </w:rPr>
      </w:pPr>
    </w:p>
    <w:p>
      <w:pPr>
        <w:rPr>
          <w:rFonts w:ascii="Times New Roman" w:eastAsia="方正仿宋_GBK"/>
          <w:color w:val="000000"/>
          <w:spacing w:val="-2"/>
          <w:szCs w:val="21"/>
          <w:u w:val="single"/>
        </w:rPr>
      </w:pPr>
      <w:r>
        <w:rPr>
          <w:rFonts w:hint="eastAsia" w:ascii="Times New Roman" w:eastAsia="方正仿宋_GBK"/>
          <w:color w:val="000000"/>
          <w:spacing w:val="-2"/>
          <w:szCs w:val="21"/>
        </w:rPr>
        <w:t>检测人：</w:t>
      </w:r>
      <w:r>
        <w:rPr>
          <w:rFonts w:hint="eastAsia" w:ascii="Times New Roman" w:eastAsia="方正仿宋_GBK"/>
          <w:color w:val="000000"/>
          <w:spacing w:val="-2"/>
          <w:szCs w:val="21"/>
          <w:u w:val="single"/>
        </w:rPr>
        <w:t xml:space="preserve">                                       </w:t>
      </w:r>
      <w:r>
        <w:rPr>
          <w:rFonts w:hint="eastAsia" w:ascii="Times New Roman" w:eastAsia="方正仿宋_GBK"/>
          <w:color w:val="000000"/>
          <w:spacing w:val="-2"/>
          <w:szCs w:val="21"/>
        </w:rPr>
        <w:t xml:space="preserve">     审核：</w:t>
      </w:r>
      <w:r>
        <w:rPr>
          <w:rFonts w:hint="eastAsia" w:ascii="Times New Roman" w:eastAsia="方正仿宋_GBK"/>
          <w:color w:val="000000"/>
          <w:spacing w:val="-2"/>
          <w:szCs w:val="21"/>
          <w:u w:val="single"/>
        </w:rPr>
        <w:t xml:space="preserve">                 </w:t>
      </w:r>
    </w:p>
    <w:p>
      <w:pPr>
        <w:spacing w:line="460" w:lineRule="exact"/>
        <w:rPr>
          <w:rFonts w:hint="eastAsia" w:ascii="Times New Roman" w:eastAsia="方正黑体_GBK"/>
          <w:color w:val="000000"/>
          <w:spacing w:val="-2"/>
          <w:sz w:val="28"/>
          <w:szCs w:val="28"/>
        </w:rPr>
      </w:pPr>
      <w:r>
        <w:rPr>
          <w:rFonts w:eastAsia="仿宋_GB2312"/>
          <w:color w:val="000000"/>
          <w:spacing w:val="-2"/>
          <w:sz w:val="32"/>
          <w:szCs w:val="32"/>
        </w:rPr>
        <w:br w:type="column"/>
      </w:r>
      <w:r>
        <w:rPr>
          <w:rFonts w:hint="eastAsia" w:ascii="Times New Roman" w:eastAsia="方正黑体_GBK"/>
          <w:color w:val="000000"/>
          <w:spacing w:val="-2"/>
          <w:sz w:val="28"/>
          <w:szCs w:val="28"/>
        </w:rPr>
        <w:t>附表2：</w:t>
      </w:r>
    </w:p>
    <w:p>
      <w:pPr>
        <w:spacing w:line="360" w:lineRule="auto"/>
        <w:jc w:val="center"/>
        <w:rPr>
          <w:rFonts w:hint="eastAsia" w:ascii="Times New Roman" w:eastAsia="方正黑体_GBK"/>
          <w:color w:val="000000"/>
          <w:spacing w:val="-2"/>
          <w:sz w:val="28"/>
          <w:szCs w:val="28"/>
        </w:rPr>
      </w:pPr>
      <w:r>
        <w:rPr>
          <w:rFonts w:hint="eastAsia" w:ascii="Times New Roman" w:hAnsi="Times New Roman" w:eastAsia="方正黑体_GBK"/>
          <w:bCs/>
          <w:color w:val="000000"/>
          <w:spacing w:val="-2"/>
          <w:kern w:val="0"/>
          <w:sz w:val="28"/>
          <w:szCs w:val="28"/>
        </w:rPr>
        <w:t>公司化验室检测日报表</w:t>
      </w:r>
    </w:p>
    <w:p>
      <w:pPr>
        <w:rPr>
          <w:rFonts w:hint="eastAsia"/>
        </w:rPr>
      </w:pPr>
      <w:r>
        <w:rPr>
          <w:rFonts w:hint="eastAsia" w:eastAsia="方正仿宋_GBK"/>
          <w:color w:val="000000"/>
          <w:spacing w:val="-2"/>
          <w:kern w:val="0"/>
          <w:szCs w:val="21"/>
        </w:rPr>
        <w:t>日期：</w:t>
      </w:r>
      <w:r>
        <w:rPr>
          <w:rFonts w:eastAsia="方正仿宋_GBK"/>
          <w:color w:val="000000"/>
          <w:spacing w:val="-2"/>
          <w:kern w:val="0"/>
          <w:szCs w:val="21"/>
        </w:rPr>
        <w:t xml:space="preserve">                                                    </w:t>
      </w:r>
      <w:r>
        <w:rPr>
          <w:rFonts w:hint="eastAsia" w:eastAsia="方正仿宋_GBK"/>
          <w:color w:val="000000"/>
          <w:spacing w:val="-2"/>
          <w:kern w:val="0"/>
          <w:szCs w:val="21"/>
        </w:rPr>
        <w:t>星期：</w:t>
      </w:r>
    </w:p>
    <w:tbl>
      <w:tblPr>
        <w:tblStyle w:val="12"/>
        <w:tblW w:w="0" w:type="auto"/>
        <w:tblInd w:w="108" w:type="dxa"/>
        <w:tblLayout w:type="fixed"/>
        <w:tblCellMar>
          <w:top w:w="0" w:type="dxa"/>
          <w:left w:w="108" w:type="dxa"/>
          <w:bottom w:w="0" w:type="dxa"/>
          <w:right w:w="108" w:type="dxa"/>
        </w:tblCellMar>
      </w:tblPr>
      <w:tblGrid>
        <w:gridCol w:w="495"/>
        <w:gridCol w:w="1681"/>
        <w:gridCol w:w="222"/>
        <w:gridCol w:w="741"/>
        <w:gridCol w:w="523"/>
        <w:gridCol w:w="78"/>
        <w:gridCol w:w="1872"/>
        <w:gridCol w:w="165"/>
        <w:gridCol w:w="900"/>
        <w:gridCol w:w="535"/>
        <w:gridCol w:w="1534"/>
      </w:tblGrid>
      <w:tr>
        <w:tblPrEx>
          <w:tblCellMar>
            <w:top w:w="0" w:type="dxa"/>
            <w:left w:w="108" w:type="dxa"/>
            <w:bottom w:w="0" w:type="dxa"/>
            <w:right w:w="108" w:type="dxa"/>
          </w:tblCellMar>
        </w:tblPrEx>
        <w:trPr>
          <w:trHeight w:val="600" w:hRule="atLeast"/>
        </w:trPr>
        <w:tc>
          <w:tcPr>
            <w:tcW w:w="495" w:type="dxa"/>
            <w:tcBorders>
              <w:top w:val="single" w:color="auto" w:sz="8"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编号</w:t>
            </w:r>
          </w:p>
        </w:tc>
        <w:tc>
          <w:tcPr>
            <w:tcW w:w="1681" w:type="dxa"/>
            <w:tcBorders>
              <w:top w:val="single" w:color="auto" w:sz="8"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项目</w:t>
            </w:r>
          </w:p>
        </w:tc>
        <w:tc>
          <w:tcPr>
            <w:tcW w:w="963" w:type="dxa"/>
            <w:gridSpan w:val="2"/>
            <w:tcBorders>
              <w:top w:val="single" w:color="auto" w:sz="8"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单位</w:t>
            </w:r>
          </w:p>
        </w:tc>
        <w:tc>
          <w:tcPr>
            <w:tcW w:w="523" w:type="dxa"/>
            <w:tcBorders>
              <w:top w:val="single" w:color="auto" w:sz="8"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原水</w:t>
            </w:r>
          </w:p>
        </w:tc>
        <w:tc>
          <w:tcPr>
            <w:tcW w:w="2115" w:type="dxa"/>
            <w:gridSpan w:val="3"/>
            <w:tcBorders>
              <w:top w:val="single" w:color="auto" w:sz="8"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rPr>
              <w:t>地表水环境质量标准（</w:t>
            </w:r>
            <w:r>
              <w:rPr>
                <w:rFonts w:eastAsia="方正仿宋_GBK"/>
                <w:color w:val="000000"/>
                <w:spacing w:val="-2"/>
              </w:rPr>
              <w:t>GB3838</w:t>
            </w:r>
            <w:r>
              <w:rPr>
                <w:rFonts w:hint="eastAsia" w:eastAsia="方正仿宋_GBK"/>
                <w:color w:val="000000"/>
                <w:spacing w:val="-2"/>
              </w:rPr>
              <w:t>－</w:t>
            </w:r>
            <w:r>
              <w:rPr>
                <w:rFonts w:eastAsia="方正仿宋_GBK"/>
                <w:color w:val="000000"/>
                <w:spacing w:val="-2"/>
              </w:rPr>
              <w:t>2002</w:t>
            </w:r>
            <w:r>
              <w:rPr>
                <w:rFonts w:hint="eastAsia" w:eastAsia="方正仿宋_GBK"/>
                <w:color w:val="000000"/>
                <w:spacing w:val="-2"/>
              </w:rPr>
              <w:t>）（</w:t>
            </w:r>
            <w:r>
              <w:rPr>
                <w:rFonts w:hint="eastAsia" w:ascii="Times New Roman" w:hAnsi="Times New Roman" w:cs="宋体"/>
                <w:color w:val="000000"/>
                <w:spacing w:val="-2"/>
              </w:rPr>
              <w:t>Ⅱ</w:t>
            </w:r>
            <w:r>
              <w:rPr>
                <w:rFonts w:hint="eastAsia" w:eastAsia="方正仿宋_GBK"/>
                <w:color w:val="000000"/>
                <w:spacing w:val="-2"/>
              </w:rPr>
              <w:t>类）</w:t>
            </w:r>
          </w:p>
        </w:tc>
        <w:tc>
          <w:tcPr>
            <w:tcW w:w="900" w:type="dxa"/>
            <w:tcBorders>
              <w:top w:val="single" w:color="auto" w:sz="8"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出厂水</w:t>
            </w:r>
          </w:p>
        </w:tc>
        <w:tc>
          <w:tcPr>
            <w:tcW w:w="2069" w:type="dxa"/>
            <w:gridSpan w:val="2"/>
            <w:tcBorders>
              <w:top w:val="single" w:color="auto" w:sz="8"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生活饮用水卫生标准</w:t>
            </w:r>
            <w:r>
              <w:rPr>
                <w:rFonts w:eastAsia="方正仿宋_GBK"/>
                <w:color w:val="000000"/>
                <w:spacing w:val="-2"/>
                <w:kern w:val="0"/>
                <w:szCs w:val="21"/>
              </w:rPr>
              <w:t>(GB5749-2006)</w:t>
            </w:r>
          </w:p>
        </w:tc>
      </w:tr>
      <w:tr>
        <w:tblPrEx>
          <w:tblCellMar>
            <w:top w:w="0" w:type="dxa"/>
            <w:left w:w="108" w:type="dxa"/>
            <w:bottom w:w="0" w:type="dxa"/>
            <w:right w:w="108" w:type="dxa"/>
          </w:tblCellMar>
        </w:tblPrEx>
        <w:trPr>
          <w:trHeight w:val="600"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色度</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度</w:t>
            </w:r>
          </w:p>
        </w:tc>
        <w:tc>
          <w:tcPr>
            <w:tcW w:w="523"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115" w:type="dxa"/>
            <w:gridSpan w:val="3"/>
            <w:tcBorders>
              <w:top w:val="single" w:color="auto" w:sz="4" w:space="0"/>
              <w:left w:val="single" w:color="auto" w:sz="4" w:space="0"/>
              <w:bottom w:val="single" w:color="auto" w:sz="4" w:space="0"/>
              <w:right w:val="nil"/>
            </w:tcBorders>
            <w:noWrap w:val="0"/>
            <w:vAlign w:val="center"/>
          </w:tcPr>
          <w:p>
            <w:pPr>
              <w:jc w:val="right"/>
              <w:rPr>
                <w:rFonts w:eastAsia="方正仿宋_GBK"/>
                <w:color w:val="000000"/>
                <w:spacing w:val="-2"/>
                <w:kern w:val="0"/>
                <w:szCs w:val="21"/>
              </w:rPr>
            </w:pPr>
            <w:r>
              <w:rPr>
                <w:rFonts w:hint="eastAsia" w:eastAsia="方正仿宋_GBK"/>
                <w:color w:val="000000"/>
                <w:spacing w:val="-2"/>
                <w:kern w:val="0"/>
                <w:szCs w:val="21"/>
              </w:rPr>
              <w:t>　</w:t>
            </w:r>
          </w:p>
        </w:tc>
        <w:tc>
          <w:tcPr>
            <w:tcW w:w="900"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r>
              <w:rPr>
                <w:rFonts w:hint="eastAsia" w:eastAsia="方正仿宋_GBK"/>
                <w:color w:val="000000"/>
                <w:spacing w:val="-2"/>
                <w:kern w:val="0"/>
                <w:szCs w:val="21"/>
              </w:rPr>
              <w:t>　</w:t>
            </w: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15</w:t>
            </w:r>
          </w:p>
        </w:tc>
      </w:tr>
      <w:tr>
        <w:tblPrEx>
          <w:tblCellMar>
            <w:top w:w="0" w:type="dxa"/>
            <w:left w:w="108" w:type="dxa"/>
            <w:bottom w:w="0" w:type="dxa"/>
            <w:right w:w="108" w:type="dxa"/>
          </w:tblCellMar>
        </w:tblPrEx>
        <w:trPr>
          <w:trHeight w:val="600"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2</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浑浊度</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NTU</w:t>
            </w:r>
          </w:p>
        </w:tc>
        <w:tc>
          <w:tcPr>
            <w:tcW w:w="523" w:type="dxa"/>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900"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r>
              <w:rPr>
                <w:rFonts w:hint="eastAsia" w:eastAsia="方正仿宋_GBK"/>
                <w:color w:val="000000"/>
                <w:spacing w:val="-2"/>
                <w:kern w:val="0"/>
                <w:szCs w:val="21"/>
              </w:rPr>
              <w:t>　</w:t>
            </w: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w:t>
            </w:r>
            <w:r>
              <w:rPr>
                <w:rFonts w:hint="eastAsia" w:eastAsia="方正仿宋_GBK"/>
                <w:color w:val="000000"/>
                <w:spacing w:val="-2"/>
                <w:kern w:val="0"/>
                <w:szCs w:val="21"/>
              </w:rPr>
              <w:t>，水源与净水技术条件限制时为</w:t>
            </w:r>
            <w:r>
              <w:rPr>
                <w:rFonts w:eastAsia="方正仿宋_GBK"/>
                <w:color w:val="000000"/>
                <w:spacing w:val="-2"/>
                <w:kern w:val="0"/>
                <w:szCs w:val="21"/>
              </w:rPr>
              <w:t>3</w:t>
            </w:r>
          </w:p>
        </w:tc>
      </w:tr>
      <w:tr>
        <w:tblPrEx>
          <w:tblCellMar>
            <w:top w:w="0" w:type="dxa"/>
            <w:left w:w="108" w:type="dxa"/>
            <w:bottom w:w="0" w:type="dxa"/>
            <w:right w:w="108" w:type="dxa"/>
          </w:tblCellMar>
        </w:tblPrEx>
        <w:trPr>
          <w:trHeight w:val="600"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3</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臭和味</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w:t>
            </w:r>
          </w:p>
        </w:tc>
        <w:tc>
          <w:tcPr>
            <w:tcW w:w="523"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115" w:type="dxa"/>
            <w:gridSpan w:val="3"/>
            <w:tcBorders>
              <w:top w:val="single" w:color="auto" w:sz="4" w:space="0"/>
              <w:left w:val="single" w:color="auto" w:sz="4" w:space="0"/>
              <w:bottom w:val="single" w:color="auto" w:sz="4" w:space="0"/>
              <w:right w:val="nil"/>
            </w:tcBorders>
            <w:noWrap w:val="0"/>
            <w:vAlign w:val="center"/>
          </w:tcPr>
          <w:p>
            <w:pPr>
              <w:jc w:val="right"/>
              <w:rPr>
                <w:rFonts w:eastAsia="方正仿宋_GBK"/>
                <w:color w:val="000000"/>
                <w:spacing w:val="-2"/>
                <w:kern w:val="0"/>
                <w:szCs w:val="21"/>
              </w:rPr>
            </w:pPr>
            <w:r>
              <w:rPr>
                <w:rFonts w:hint="eastAsia" w:eastAsia="方正仿宋_GBK"/>
                <w:color w:val="000000"/>
                <w:spacing w:val="-2"/>
                <w:kern w:val="0"/>
                <w:szCs w:val="21"/>
              </w:rPr>
              <w:t>　</w:t>
            </w:r>
          </w:p>
        </w:tc>
        <w:tc>
          <w:tcPr>
            <w:tcW w:w="900"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r>
              <w:rPr>
                <w:rFonts w:hint="eastAsia" w:eastAsia="方正仿宋_GBK"/>
                <w:color w:val="000000"/>
                <w:spacing w:val="-2"/>
                <w:kern w:val="0"/>
                <w:szCs w:val="21"/>
              </w:rPr>
              <w:t>　</w:t>
            </w: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无异臭、异味</w:t>
            </w:r>
          </w:p>
        </w:tc>
      </w:tr>
      <w:tr>
        <w:tblPrEx>
          <w:tblCellMar>
            <w:top w:w="0" w:type="dxa"/>
            <w:left w:w="108" w:type="dxa"/>
            <w:bottom w:w="0" w:type="dxa"/>
            <w:right w:w="108" w:type="dxa"/>
          </w:tblCellMar>
        </w:tblPrEx>
        <w:trPr>
          <w:trHeight w:val="397" w:hRule="exac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4</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肉眼可见物</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w:t>
            </w:r>
          </w:p>
        </w:tc>
        <w:tc>
          <w:tcPr>
            <w:tcW w:w="523"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center"/>
          </w:tcPr>
          <w:p>
            <w:pPr>
              <w:jc w:val="right"/>
              <w:rPr>
                <w:rFonts w:eastAsia="方正仿宋_GBK"/>
                <w:color w:val="000000"/>
                <w:spacing w:val="-2"/>
                <w:kern w:val="0"/>
                <w:szCs w:val="21"/>
              </w:rPr>
            </w:pPr>
            <w:r>
              <w:rPr>
                <w:rFonts w:hint="eastAsia" w:eastAsia="方正仿宋_GBK"/>
                <w:color w:val="000000"/>
                <w:spacing w:val="-2"/>
                <w:kern w:val="0"/>
                <w:szCs w:val="21"/>
              </w:rPr>
              <w:t>　</w:t>
            </w:r>
          </w:p>
        </w:tc>
        <w:tc>
          <w:tcPr>
            <w:tcW w:w="900"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r>
              <w:rPr>
                <w:rFonts w:hint="eastAsia" w:eastAsia="方正仿宋_GBK"/>
                <w:color w:val="000000"/>
                <w:spacing w:val="-2"/>
                <w:kern w:val="0"/>
                <w:szCs w:val="21"/>
              </w:rPr>
              <w:t>　</w:t>
            </w: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无</w:t>
            </w:r>
          </w:p>
        </w:tc>
      </w:tr>
      <w:tr>
        <w:tblPrEx>
          <w:tblCellMar>
            <w:top w:w="0" w:type="dxa"/>
            <w:left w:w="108" w:type="dxa"/>
            <w:bottom w:w="0" w:type="dxa"/>
            <w:right w:w="108" w:type="dxa"/>
          </w:tblCellMar>
        </w:tblPrEx>
        <w:trPr>
          <w:trHeight w:val="397" w:hRule="exac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5</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pH</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w:t>
            </w:r>
          </w:p>
        </w:tc>
        <w:tc>
          <w:tcPr>
            <w:tcW w:w="523" w:type="dxa"/>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900"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p>
        </w:tc>
      </w:tr>
      <w:tr>
        <w:tblPrEx>
          <w:tblCellMar>
            <w:top w:w="0" w:type="dxa"/>
            <w:left w:w="108" w:type="dxa"/>
            <w:bottom w:w="0" w:type="dxa"/>
            <w:right w:w="108" w:type="dxa"/>
          </w:tblCellMar>
        </w:tblPrEx>
        <w:trPr>
          <w:trHeight w:val="397" w:hRule="exac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6</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氨氮</w:t>
            </w:r>
            <w:r>
              <w:rPr>
                <w:rFonts w:eastAsia="方正仿宋_GBK"/>
                <w:color w:val="000000"/>
                <w:spacing w:val="-2"/>
                <w:kern w:val="0"/>
                <w:szCs w:val="21"/>
              </w:rPr>
              <w:t>(</w:t>
            </w:r>
            <w:r>
              <w:rPr>
                <w:rFonts w:hint="eastAsia" w:eastAsia="方正仿宋_GBK"/>
                <w:color w:val="000000"/>
                <w:spacing w:val="-2"/>
                <w:kern w:val="0"/>
                <w:szCs w:val="21"/>
              </w:rPr>
              <w:t>以</w:t>
            </w:r>
            <w:r>
              <w:rPr>
                <w:rFonts w:eastAsia="方正仿宋_GBK"/>
                <w:color w:val="000000"/>
                <w:spacing w:val="-2"/>
                <w:kern w:val="0"/>
                <w:szCs w:val="21"/>
              </w:rPr>
              <w:t>N</w:t>
            </w:r>
            <w:r>
              <w:rPr>
                <w:rFonts w:hint="eastAsia" w:eastAsia="方正仿宋_GBK"/>
                <w:color w:val="000000"/>
                <w:spacing w:val="-2"/>
                <w:kern w:val="0"/>
                <w:szCs w:val="21"/>
              </w:rPr>
              <w:t>计</w:t>
            </w:r>
            <w:r>
              <w:rPr>
                <w:rFonts w:eastAsia="方正仿宋_GBK"/>
                <w:color w:val="000000"/>
                <w:spacing w:val="-2"/>
                <w:kern w:val="0"/>
                <w:szCs w:val="21"/>
              </w:rPr>
              <w:t>)</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mg/L</w:t>
            </w:r>
          </w:p>
        </w:tc>
        <w:tc>
          <w:tcPr>
            <w:tcW w:w="523" w:type="dxa"/>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900"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r>
              <w:rPr>
                <w:rFonts w:hint="eastAsia" w:eastAsia="方正仿宋_GBK"/>
                <w:color w:val="000000"/>
                <w:spacing w:val="-2"/>
                <w:kern w:val="0"/>
                <w:szCs w:val="21"/>
              </w:rPr>
              <w:t>　</w:t>
            </w: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0.5</w:t>
            </w:r>
          </w:p>
        </w:tc>
      </w:tr>
      <w:tr>
        <w:tblPrEx>
          <w:tblCellMar>
            <w:top w:w="0" w:type="dxa"/>
            <w:left w:w="108" w:type="dxa"/>
            <w:bottom w:w="0" w:type="dxa"/>
            <w:right w:w="108" w:type="dxa"/>
          </w:tblCellMar>
        </w:tblPrEx>
        <w:trPr>
          <w:trHeight w:val="600"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7</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耗氧量</w:t>
            </w:r>
            <w:r>
              <w:rPr>
                <w:rFonts w:eastAsia="方正仿宋_GBK"/>
                <w:color w:val="000000"/>
                <w:spacing w:val="-2"/>
                <w:kern w:val="0"/>
                <w:szCs w:val="21"/>
              </w:rPr>
              <w:t>(</w:t>
            </w:r>
            <w:r>
              <w:rPr>
                <w:rFonts w:hint="eastAsia" w:eastAsia="方正仿宋_GBK"/>
                <w:color w:val="000000"/>
                <w:spacing w:val="-2"/>
                <w:kern w:val="0"/>
                <w:szCs w:val="21"/>
              </w:rPr>
              <w:t>以</w:t>
            </w:r>
            <w:r>
              <w:rPr>
                <w:rFonts w:eastAsia="方正仿宋_GBK"/>
                <w:color w:val="000000"/>
                <w:spacing w:val="-2"/>
                <w:kern w:val="0"/>
                <w:szCs w:val="21"/>
              </w:rPr>
              <w:t>O</w:t>
            </w:r>
            <w:r>
              <w:rPr>
                <w:rFonts w:eastAsia="方正仿宋_GBK"/>
                <w:color w:val="000000"/>
                <w:spacing w:val="-2"/>
                <w:kern w:val="0"/>
                <w:szCs w:val="21"/>
                <w:vertAlign w:val="subscript"/>
              </w:rPr>
              <w:t>2</w:t>
            </w:r>
            <w:r>
              <w:rPr>
                <w:rFonts w:hint="eastAsia" w:eastAsia="方正仿宋_GBK"/>
                <w:color w:val="000000"/>
                <w:spacing w:val="-2"/>
                <w:kern w:val="0"/>
                <w:szCs w:val="21"/>
              </w:rPr>
              <w:t>计</w:t>
            </w:r>
            <w:r>
              <w:rPr>
                <w:rFonts w:eastAsia="方正仿宋_GBK"/>
                <w:color w:val="000000"/>
                <w:spacing w:val="-2"/>
                <w:kern w:val="0"/>
                <w:szCs w:val="21"/>
              </w:rPr>
              <w:t>)</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mg/L</w:t>
            </w:r>
          </w:p>
        </w:tc>
        <w:tc>
          <w:tcPr>
            <w:tcW w:w="523"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center"/>
          </w:tcPr>
          <w:p>
            <w:pPr>
              <w:jc w:val="right"/>
              <w:rPr>
                <w:rFonts w:eastAsia="方正仿宋_GBK"/>
                <w:color w:val="000000"/>
                <w:spacing w:val="-2"/>
                <w:kern w:val="0"/>
                <w:szCs w:val="21"/>
              </w:rPr>
            </w:pPr>
            <w:r>
              <w:rPr>
                <w:rFonts w:hint="eastAsia" w:eastAsia="方正仿宋_GBK"/>
                <w:color w:val="000000"/>
                <w:spacing w:val="-2"/>
                <w:kern w:val="0"/>
                <w:szCs w:val="21"/>
              </w:rPr>
              <w:t>　</w:t>
            </w:r>
          </w:p>
        </w:tc>
        <w:tc>
          <w:tcPr>
            <w:tcW w:w="900"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r>
              <w:rPr>
                <w:rFonts w:hint="eastAsia" w:eastAsia="方正仿宋_GBK"/>
                <w:color w:val="000000"/>
                <w:spacing w:val="-2"/>
                <w:kern w:val="0"/>
                <w:szCs w:val="21"/>
              </w:rPr>
              <w:t>　</w:t>
            </w: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3</w:t>
            </w:r>
            <w:r>
              <w:rPr>
                <w:rFonts w:hint="eastAsia" w:eastAsia="方正仿宋_GBK"/>
                <w:color w:val="000000"/>
                <w:spacing w:val="-2"/>
                <w:kern w:val="0"/>
                <w:szCs w:val="21"/>
              </w:rPr>
              <w:t>，水源限制，原水耗氧量</w:t>
            </w:r>
            <w:r>
              <w:rPr>
                <w:rFonts w:eastAsia="方正仿宋_GBK"/>
                <w:color w:val="000000"/>
                <w:spacing w:val="-2"/>
                <w:kern w:val="0"/>
                <w:szCs w:val="21"/>
              </w:rPr>
              <w:t>&gt;6mg/L</w:t>
            </w:r>
            <w:r>
              <w:rPr>
                <w:rFonts w:hint="eastAsia" w:eastAsia="方正仿宋_GBK"/>
                <w:color w:val="000000"/>
                <w:spacing w:val="-2"/>
                <w:kern w:val="0"/>
                <w:szCs w:val="21"/>
              </w:rPr>
              <w:t>时为</w:t>
            </w:r>
            <w:r>
              <w:rPr>
                <w:rFonts w:eastAsia="方正仿宋_GBK"/>
                <w:color w:val="000000"/>
                <w:spacing w:val="-2"/>
                <w:kern w:val="0"/>
                <w:szCs w:val="21"/>
              </w:rPr>
              <w:t>5</w:t>
            </w:r>
          </w:p>
        </w:tc>
      </w:tr>
      <w:tr>
        <w:tblPrEx>
          <w:tblCellMar>
            <w:top w:w="0" w:type="dxa"/>
            <w:left w:w="108" w:type="dxa"/>
            <w:bottom w:w="0" w:type="dxa"/>
            <w:right w:w="108" w:type="dxa"/>
          </w:tblCellMar>
        </w:tblPrEx>
        <w:trPr>
          <w:trHeight w:val="600"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8</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余氯</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mg/L</w:t>
            </w:r>
          </w:p>
        </w:tc>
        <w:tc>
          <w:tcPr>
            <w:tcW w:w="523"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w:t>
            </w:r>
          </w:p>
        </w:tc>
        <w:tc>
          <w:tcPr>
            <w:tcW w:w="2115" w:type="dxa"/>
            <w:gridSpan w:val="3"/>
            <w:tcBorders>
              <w:top w:val="single" w:color="auto" w:sz="4" w:space="0"/>
              <w:left w:val="single" w:color="auto" w:sz="4" w:space="0"/>
              <w:bottom w:val="single" w:color="auto" w:sz="4" w:space="0"/>
              <w:right w:val="nil"/>
            </w:tcBorders>
            <w:noWrap w:val="0"/>
            <w:vAlign w:val="center"/>
          </w:tcPr>
          <w:p>
            <w:pPr>
              <w:jc w:val="right"/>
              <w:rPr>
                <w:rFonts w:eastAsia="方正仿宋_GBK"/>
                <w:color w:val="000000"/>
                <w:spacing w:val="-2"/>
                <w:kern w:val="0"/>
                <w:szCs w:val="21"/>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r>
              <w:rPr>
                <w:rFonts w:hint="eastAsia" w:eastAsia="方正仿宋_GBK"/>
                <w:color w:val="000000"/>
                <w:spacing w:val="-2"/>
                <w:kern w:val="0"/>
                <w:szCs w:val="21"/>
              </w:rPr>
              <w:t>　</w:t>
            </w: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在与水接触</w:t>
            </w:r>
            <w:r>
              <w:rPr>
                <w:rFonts w:eastAsia="方正仿宋_GBK"/>
                <w:color w:val="000000"/>
                <w:spacing w:val="-2"/>
                <w:kern w:val="0"/>
                <w:szCs w:val="21"/>
              </w:rPr>
              <w:t>30min</w:t>
            </w:r>
            <w:r>
              <w:rPr>
                <w:rFonts w:hint="eastAsia" w:eastAsia="方正仿宋_GBK"/>
                <w:color w:val="000000"/>
                <w:spacing w:val="-2"/>
                <w:kern w:val="0"/>
                <w:szCs w:val="21"/>
              </w:rPr>
              <w:t>后，出厂水中余氯</w:t>
            </w:r>
            <w:r>
              <w:rPr>
                <w:rFonts w:eastAsia="方正仿宋_GBK"/>
                <w:color w:val="000000"/>
                <w:spacing w:val="-2"/>
                <w:kern w:val="0"/>
                <w:szCs w:val="21"/>
              </w:rPr>
              <w:t>≥0.3mg/L</w:t>
            </w:r>
          </w:p>
        </w:tc>
      </w:tr>
      <w:tr>
        <w:tblPrEx>
          <w:tblCellMar>
            <w:top w:w="0" w:type="dxa"/>
            <w:left w:w="108" w:type="dxa"/>
            <w:bottom w:w="0" w:type="dxa"/>
            <w:right w:w="108" w:type="dxa"/>
          </w:tblCellMar>
        </w:tblPrEx>
        <w:trPr>
          <w:trHeight w:val="600"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9</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菌落总数</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CFU/mL</w:t>
            </w:r>
          </w:p>
        </w:tc>
        <w:tc>
          <w:tcPr>
            <w:tcW w:w="523" w:type="dxa"/>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r>
              <w:rPr>
                <w:rFonts w:hint="eastAsia" w:eastAsia="方正仿宋_GBK"/>
                <w:color w:val="000000"/>
                <w:spacing w:val="-2"/>
                <w:kern w:val="0"/>
                <w:szCs w:val="21"/>
              </w:rPr>
              <w:t>　</w:t>
            </w:r>
          </w:p>
        </w:tc>
        <w:tc>
          <w:tcPr>
            <w:tcW w:w="2115" w:type="dxa"/>
            <w:gridSpan w:val="3"/>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900"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r>
              <w:rPr>
                <w:rFonts w:hint="eastAsia" w:eastAsia="方正仿宋_GBK"/>
                <w:color w:val="000000"/>
                <w:spacing w:val="-2"/>
                <w:kern w:val="0"/>
                <w:szCs w:val="21"/>
              </w:rPr>
              <w:t>　</w:t>
            </w: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100</w:t>
            </w:r>
          </w:p>
        </w:tc>
      </w:tr>
      <w:tr>
        <w:tblPrEx>
          <w:tblCellMar>
            <w:top w:w="0" w:type="dxa"/>
            <w:left w:w="108" w:type="dxa"/>
            <w:bottom w:w="0" w:type="dxa"/>
            <w:right w:w="108" w:type="dxa"/>
          </w:tblCellMar>
        </w:tblPrEx>
        <w:trPr>
          <w:trHeight w:val="600"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总大肠菌群</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　</w:t>
            </w:r>
          </w:p>
        </w:tc>
        <w:tc>
          <w:tcPr>
            <w:tcW w:w="523"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center"/>
          </w:tcPr>
          <w:p>
            <w:pPr>
              <w:jc w:val="right"/>
              <w:rPr>
                <w:rFonts w:eastAsia="方正仿宋_GBK"/>
                <w:color w:val="000000"/>
                <w:spacing w:val="-2"/>
                <w:kern w:val="0"/>
                <w:szCs w:val="21"/>
              </w:rPr>
            </w:pPr>
            <w:r>
              <w:rPr>
                <w:rFonts w:hint="eastAsia" w:eastAsia="方正仿宋_GBK"/>
                <w:color w:val="000000"/>
                <w:spacing w:val="-2"/>
                <w:kern w:val="0"/>
                <w:szCs w:val="21"/>
              </w:rPr>
              <w:t>　</w:t>
            </w:r>
          </w:p>
        </w:tc>
        <w:tc>
          <w:tcPr>
            <w:tcW w:w="900" w:type="dxa"/>
            <w:tcBorders>
              <w:top w:val="single" w:color="auto" w:sz="4" w:space="0"/>
              <w:left w:val="nil"/>
              <w:bottom w:val="single" w:color="auto" w:sz="4" w:space="0"/>
              <w:right w:val="single" w:color="auto" w:sz="4" w:space="0"/>
            </w:tcBorders>
            <w:noWrap w:val="0"/>
            <w:vAlign w:val="center"/>
          </w:tcPr>
          <w:p>
            <w:pPr>
              <w:widowControl/>
              <w:ind w:right="420"/>
              <w:rPr>
                <w:rFonts w:eastAsia="方正仿宋_GBK"/>
                <w:color w:val="000000"/>
                <w:spacing w:val="-2"/>
                <w:kern w:val="0"/>
                <w:szCs w:val="21"/>
              </w:rPr>
            </w:pPr>
            <w:r>
              <w:rPr>
                <w:rFonts w:hint="eastAsia" w:eastAsia="方正仿宋_GBK"/>
                <w:color w:val="000000"/>
                <w:spacing w:val="-2"/>
                <w:kern w:val="0"/>
                <w:szCs w:val="21"/>
              </w:rPr>
              <w:t>　</w:t>
            </w: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不得检出</w:t>
            </w:r>
          </w:p>
        </w:tc>
      </w:tr>
      <w:tr>
        <w:tblPrEx>
          <w:tblCellMar>
            <w:top w:w="0" w:type="dxa"/>
            <w:left w:w="108" w:type="dxa"/>
            <w:bottom w:w="0" w:type="dxa"/>
            <w:right w:w="108" w:type="dxa"/>
          </w:tblCellMar>
        </w:tblPrEx>
        <w:trPr>
          <w:trHeight w:val="600"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11</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耐热大肠菌群</w:t>
            </w:r>
            <w:r>
              <w:rPr>
                <w:rFonts w:eastAsia="方正仿宋_GBK"/>
                <w:color w:val="000000"/>
                <w:spacing w:val="-2"/>
                <w:kern w:val="0"/>
                <w:szCs w:val="21"/>
              </w:rPr>
              <w:t>(</w:t>
            </w:r>
            <w:r>
              <w:rPr>
                <w:rFonts w:hint="eastAsia" w:eastAsia="方正仿宋_GBK"/>
                <w:color w:val="000000"/>
                <w:spacing w:val="-2"/>
                <w:kern w:val="0"/>
                <w:szCs w:val="21"/>
              </w:rPr>
              <w:t>粪大肠菌群</w:t>
            </w:r>
            <w:r>
              <w:rPr>
                <w:rFonts w:eastAsia="方正仿宋_GBK"/>
                <w:color w:val="000000"/>
                <w:spacing w:val="-2"/>
                <w:kern w:val="0"/>
                <w:szCs w:val="21"/>
              </w:rPr>
              <w:t>)</w:t>
            </w: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　</w:t>
            </w:r>
          </w:p>
        </w:tc>
        <w:tc>
          <w:tcPr>
            <w:tcW w:w="523"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center"/>
          </w:tcPr>
          <w:p>
            <w:pPr>
              <w:jc w:val="right"/>
              <w:rPr>
                <w:rFonts w:eastAsia="方正仿宋_GBK"/>
                <w:color w:val="000000"/>
                <w:spacing w:val="-2"/>
                <w:kern w:val="0"/>
                <w:szCs w:val="21"/>
              </w:rPr>
            </w:pPr>
            <w:r>
              <w:rPr>
                <w:rFonts w:hint="eastAsia" w:eastAsia="方正仿宋_GBK"/>
                <w:color w:val="000000"/>
                <w:spacing w:val="-2"/>
                <w:kern w:val="0"/>
                <w:szCs w:val="21"/>
              </w:rPr>
              <w:t>　</w:t>
            </w:r>
          </w:p>
        </w:tc>
        <w:tc>
          <w:tcPr>
            <w:tcW w:w="900" w:type="dxa"/>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不得检出</w:t>
            </w:r>
          </w:p>
        </w:tc>
      </w:tr>
      <w:tr>
        <w:tblPrEx>
          <w:tblCellMar>
            <w:top w:w="0" w:type="dxa"/>
            <w:left w:w="108" w:type="dxa"/>
            <w:bottom w:w="0" w:type="dxa"/>
            <w:right w:w="108" w:type="dxa"/>
          </w:tblCellMar>
        </w:tblPrEx>
        <w:trPr>
          <w:trHeight w:val="567"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12</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523"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900"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p>
        </w:tc>
      </w:tr>
      <w:tr>
        <w:tblPrEx>
          <w:tblCellMar>
            <w:top w:w="0" w:type="dxa"/>
            <w:left w:w="108" w:type="dxa"/>
            <w:bottom w:w="0" w:type="dxa"/>
            <w:right w:w="108" w:type="dxa"/>
          </w:tblCellMar>
        </w:tblPrEx>
        <w:trPr>
          <w:trHeight w:val="567"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13</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523" w:type="dxa"/>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900"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p>
        </w:tc>
      </w:tr>
      <w:tr>
        <w:tblPrEx>
          <w:tblCellMar>
            <w:top w:w="0" w:type="dxa"/>
            <w:left w:w="108" w:type="dxa"/>
            <w:bottom w:w="0" w:type="dxa"/>
            <w:right w:w="108" w:type="dxa"/>
          </w:tblCellMar>
        </w:tblPrEx>
        <w:trPr>
          <w:trHeight w:val="567"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14</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523"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900" w:type="dxa"/>
            <w:tcBorders>
              <w:top w:val="single" w:color="auto" w:sz="4" w:space="0"/>
              <w:left w:val="nil"/>
              <w:bottom w:val="single" w:color="auto" w:sz="4" w:space="0"/>
              <w:right w:val="single" w:color="auto" w:sz="4" w:space="0"/>
            </w:tcBorders>
            <w:noWrap w:val="0"/>
            <w:vAlign w:val="center"/>
          </w:tcPr>
          <w:p>
            <w:pPr>
              <w:widowControl/>
              <w:ind w:right="420"/>
              <w:rPr>
                <w:rFonts w:eastAsia="方正仿宋_GBK"/>
                <w:color w:val="000000"/>
                <w:spacing w:val="-2"/>
                <w:kern w:val="0"/>
                <w:szCs w:val="21"/>
              </w:rPr>
            </w:pPr>
          </w:p>
        </w:tc>
        <w:tc>
          <w:tcPr>
            <w:tcW w:w="2069" w:type="dxa"/>
            <w:gridSpan w:val="2"/>
            <w:tcBorders>
              <w:top w:val="single" w:color="auto" w:sz="4" w:space="0"/>
              <w:left w:val="nil"/>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p>
        </w:tc>
      </w:tr>
      <w:tr>
        <w:tblPrEx>
          <w:tblCellMar>
            <w:top w:w="0" w:type="dxa"/>
            <w:left w:w="108" w:type="dxa"/>
            <w:bottom w:w="0" w:type="dxa"/>
            <w:right w:w="108" w:type="dxa"/>
          </w:tblCellMar>
        </w:tblPrEx>
        <w:trPr>
          <w:trHeight w:val="567"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15</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523" w:type="dxa"/>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2115" w:type="dxa"/>
            <w:gridSpan w:val="3"/>
            <w:tcBorders>
              <w:top w:val="single" w:color="auto" w:sz="4" w:space="0"/>
              <w:left w:val="nil"/>
              <w:bottom w:val="single" w:color="auto" w:sz="4" w:space="0"/>
              <w:right w:val="single" w:color="auto" w:sz="4" w:space="0"/>
            </w:tcBorders>
            <w:noWrap w:val="0"/>
            <w:vAlign w:val="center"/>
          </w:tcPr>
          <w:p>
            <w:pPr>
              <w:widowControl/>
              <w:jc w:val="right"/>
              <w:rPr>
                <w:rFonts w:eastAsia="方正仿宋_GBK"/>
                <w:color w:val="000000"/>
                <w:spacing w:val="-2"/>
                <w:kern w:val="0"/>
                <w:szCs w:val="21"/>
              </w:rPr>
            </w:pPr>
          </w:p>
        </w:tc>
        <w:tc>
          <w:tcPr>
            <w:tcW w:w="900" w:type="dxa"/>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2069" w:type="dxa"/>
            <w:gridSpan w:val="2"/>
            <w:tcBorders>
              <w:top w:val="single" w:color="auto" w:sz="4" w:space="0"/>
              <w:left w:val="single" w:color="auto" w:sz="4" w:space="0"/>
              <w:bottom w:val="single" w:color="auto" w:sz="4" w:space="0"/>
              <w:right w:val="single" w:color="auto" w:sz="8" w:space="0"/>
            </w:tcBorders>
            <w:noWrap w:val="0"/>
            <w:vAlign w:val="center"/>
          </w:tcPr>
          <w:p>
            <w:pPr>
              <w:widowControl/>
              <w:jc w:val="center"/>
              <w:rPr>
                <w:rFonts w:eastAsia="方正仿宋_GBK"/>
                <w:color w:val="000000"/>
                <w:spacing w:val="-2"/>
                <w:kern w:val="0"/>
                <w:szCs w:val="21"/>
              </w:rPr>
            </w:pPr>
          </w:p>
        </w:tc>
      </w:tr>
      <w:tr>
        <w:tblPrEx>
          <w:tblCellMar>
            <w:top w:w="0" w:type="dxa"/>
            <w:left w:w="108" w:type="dxa"/>
            <w:bottom w:w="0" w:type="dxa"/>
            <w:right w:w="108" w:type="dxa"/>
          </w:tblCellMar>
        </w:tblPrEx>
        <w:trPr>
          <w:trHeight w:val="567" w:hRule="atLeast"/>
        </w:trPr>
        <w:tc>
          <w:tcPr>
            <w:tcW w:w="495" w:type="dxa"/>
            <w:tcBorders>
              <w:top w:val="single" w:color="auto" w:sz="4" w:space="0"/>
              <w:left w:val="single" w:color="auto" w:sz="8" w:space="0"/>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16</w:t>
            </w:r>
          </w:p>
        </w:tc>
        <w:tc>
          <w:tcPr>
            <w:tcW w:w="1681" w:type="dxa"/>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963" w:type="dxa"/>
            <w:gridSpan w:val="2"/>
            <w:tcBorders>
              <w:top w:val="single" w:color="auto" w:sz="4" w:space="0"/>
              <w:left w:val="nil"/>
              <w:bottom w:val="single" w:color="auto" w:sz="4" w:space="0"/>
              <w:right w:val="single" w:color="auto" w:sz="4" w:space="0"/>
            </w:tcBorders>
            <w:noWrap w:val="0"/>
            <w:vAlign w:val="center"/>
          </w:tcPr>
          <w:p>
            <w:pPr>
              <w:widowControl/>
              <w:jc w:val="center"/>
              <w:rPr>
                <w:rFonts w:eastAsia="方正仿宋_GBK"/>
                <w:color w:val="000000"/>
                <w:spacing w:val="-2"/>
                <w:kern w:val="0"/>
                <w:szCs w:val="21"/>
              </w:rPr>
            </w:pPr>
          </w:p>
        </w:tc>
        <w:tc>
          <w:tcPr>
            <w:tcW w:w="523" w:type="dxa"/>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r>
              <w:rPr>
                <w:rFonts w:hint="eastAsia" w:eastAsia="方正仿宋_GBK"/>
                <w:color w:val="000000"/>
                <w:spacing w:val="-2"/>
                <w:kern w:val="0"/>
                <w:szCs w:val="21"/>
              </w:rPr>
              <w:t>　</w:t>
            </w:r>
          </w:p>
        </w:tc>
        <w:tc>
          <w:tcPr>
            <w:tcW w:w="2115" w:type="dxa"/>
            <w:gridSpan w:val="3"/>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900" w:type="dxa"/>
            <w:tcBorders>
              <w:top w:val="single" w:color="auto" w:sz="4" w:space="0"/>
              <w:left w:val="nil"/>
              <w:bottom w:val="single" w:color="auto" w:sz="4" w:space="0"/>
              <w:right w:val="single" w:color="auto" w:sz="4" w:space="0"/>
            </w:tcBorders>
            <w:noWrap w:val="0"/>
            <w:vAlign w:val="bottom"/>
          </w:tcPr>
          <w:p>
            <w:pPr>
              <w:widowControl/>
              <w:jc w:val="left"/>
              <w:rPr>
                <w:rFonts w:eastAsia="方正仿宋_GBK"/>
                <w:color w:val="000000"/>
                <w:spacing w:val="-2"/>
                <w:kern w:val="0"/>
                <w:szCs w:val="21"/>
              </w:rPr>
            </w:pPr>
          </w:p>
        </w:tc>
        <w:tc>
          <w:tcPr>
            <w:tcW w:w="2069" w:type="dxa"/>
            <w:gridSpan w:val="2"/>
            <w:tcBorders>
              <w:top w:val="single" w:color="auto" w:sz="4" w:space="0"/>
              <w:left w:val="nil"/>
              <w:bottom w:val="single" w:color="auto" w:sz="4" w:space="0"/>
              <w:right w:val="single" w:color="auto" w:sz="8" w:space="0"/>
            </w:tcBorders>
            <w:noWrap w:val="0"/>
            <w:vAlign w:val="bottom"/>
          </w:tcPr>
          <w:p>
            <w:pPr>
              <w:widowControl/>
              <w:jc w:val="left"/>
              <w:rPr>
                <w:rFonts w:eastAsia="方正仿宋_GBK"/>
                <w:color w:val="000000"/>
                <w:spacing w:val="-2"/>
                <w:kern w:val="0"/>
                <w:szCs w:val="21"/>
              </w:rPr>
            </w:pPr>
          </w:p>
        </w:tc>
      </w:tr>
      <w:tr>
        <w:tblPrEx>
          <w:tblCellMar>
            <w:top w:w="0" w:type="dxa"/>
            <w:left w:w="108" w:type="dxa"/>
            <w:bottom w:w="0" w:type="dxa"/>
            <w:right w:w="108" w:type="dxa"/>
          </w:tblCellMar>
        </w:tblPrEx>
        <w:trPr>
          <w:trHeight w:val="669" w:hRule="atLeast"/>
        </w:trPr>
        <w:tc>
          <w:tcPr>
            <w:tcW w:w="8746" w:type="dxa"/>
            <w:gridSpan w:val="11"/>
            <w:tcBorders>
              <w:top w:val="single" w:color="auto" w:sz="4" w:space="0"/>
              <w:left w:val="single" w:color="auto" w:sz="8" w:space="0"/>
              <w:bottom w:val="single" w:color="auto" w:sz="8" w:space="0"/>
              <w:right w:val="single" w:color="auto" w:sz="8" w:space="0"/>
            </w:tcBorders>
            <w:noWrap w:val="0"/>
            <w:vAlign w:val="top"/>
          </w:tcPr>
          <w:p>
            <w:pPr>
              <w:widowControl/>
              <w:jc w:val="left"/>
              <w:rPr>
                <w:rFonts w:eastAsia="方正仿宋_GBK"/>
                <w:color w:val="000000"/>
                <w:spacing w:val="-2"/>
                <w:kern w:val="0"/>
                <w:szCs w:val="21"/>
              </w:rPr>
            </w:pPr>
            <w:r>
              <w:rPr>
                <w:rFonts w:hint="eastAsia" w:eastAsia="方正仿宋_GBK"/>
                <w:color w:val="000000"/>
                <w:spacing w:val="-2"/>
                <w:kern w:val="0"/>
                <w:szCs w:val="21"/>
              </w:rPr>
              <w:t>备注：（对原水和出厂水情况的描述。）</w:t>
            </w:r>
          </w:p>
        </w:tc>
      </w:tr>
      <w:tr>
        <w:tblPrEx>
          <w:tblCellMar>
            <w:top w:w="0" w:type="dxa"/>
            <w:left w:w="108" w:type="dxa"/>
            <w:bottom w:w="0" w:type="dxa"/>
            <w:right w:w="108" w:type="dxa"/>
          </w:tblCellMar>
        </w:tblPrEx>
        <w:trPr>
          <w:trHeight w:val="312" w:hRule="atLeast"/>
        </w:trPr>
        <w:tc>
          <w:tcPr>
            <w:tcW w:w="495" w:type="dxa"/>
            <w:tcBorders>
              <w:top w:val="single" w:color="auto" w:sz="8" w:space="0"/>
              <w:left w:val="single" w:color="auto" w:sz="8" w:space="0"/>
              <w:bottom w:val="nil"/>
              <w:right w:val="nil"/>
            </w:tcBorders>
            <w:noWrap w:val="0"/>
            <w:vAlign w:val="bottom"/>
          </w:tcPr>
          <w:p>
            <w:pPr>
              <w:widowControl/>
              <w:jc w:val="left"/>
              <w:rPr>
                <w:rFonts w:eastAsia="方正仿宋_GBK"/>
                <w:color w:val="000000"/>
                <w:spacing w:val="-2"/>
                <w:kern w:val="0"/>
                <w:sz w:val="22"/>
                <w:szCs w:val="22"/>
              </w:rPr>
            </w:pPr>
          </w:p>
        </w:tc>
        <w:tc>
          <w:tcPr>
            <w:tcW w:w="1903" w:type="dxa"/>
            <w:gridSpan w:val="2"/>
            <w:tcBorders>
              <w:top w:val="single" w:color="auto" w:sz="8" w:space="0"/>
              <w:left w:val="nil"/>
              <w:bottom w:val="nil"/>
              <w:right w:val="nil"/>
            </w:tcBorders>
            <w:noWrap w:val="0"/>
            <w:vAlign w:val="bottom"/>
          </w:tcPr>
          <w:p>
            <w:pPr>
              <w:widowControl/>
              <w:jc w:val="left"/>
              <w:rPr>
                <w:rFonts w:eastAsia="方正仿宋_GBK"/>
                <w:color w:val="000000"/>
                <w:spacing w:val="-2"/>
                <w:kern w:val="0"/>
                <w:sz w:val="22"/>
                <w:szCs w:val="22"/>
              </w:rPr>
            </w:pPr>
          </w:p>
        </w:tc>
        <w:tc>
          <w:tcPr>
            <w:tcW w:w="1342" w:type="dxa"/>
            <w:gridSpan w:val="3"/>
            <w:tcBorders>
              <w:top w:val="single" w:color="auto" w:sz="8" w:space="0"/>
              <w:left w:val="nil"/>
              <w:bottom w:val="nil"/>
              <w:right w:val="nil"/>
            </w:tcBorders>
            <w:noWrap w:val="0"/>
            <w:vAlign w:val="bottom"/>
          </w:tcPr>
          <w:p>
            <w:pPr>
              <w:widowControl/>
              <w:jc w:val="left"/>
              <w:rPr>
                <w:rFonts w:eastAsia="方正仿宋_GBK"/>
                <w:color w:val="000000"/>
                <w:spacing w:val="-2"/>
                <w:kern w:val="0"/>
                <w:sz w:val="22"/>
                <w:szCs w:val="22"/>
              </w:rPr>
            </w:pPr>
          </w:p>
        </w:tc>
        <w:tc>
          <w:tcPr>
            <w:tcW w:w="1872" w:type="dxa"/>
            <w:tcBorders>
              <w:top w:val="single" w:color="auto" w:sz="8" w:space="0"/>
              <w:left w:val="nil"/>
              <w:bottom w:val="nil"/>
              <w:right w:val="nil"/>
            </w:tcBorders>
            <w:noWrap w:val="0"/>
            <w:vAlign w:val="bottom"/>
          </w:tcPr>
          <w:p>
            <w:pPr>
              <w:widowControl/>
              <w:jc w:val="left"/>
              <w:rPr>
                <w:rFonts w:eastAsia="方正仿宋_GBK"/>
                <w:color w:val="000000"/>
                <w:spacing w:val="-2"/>
                <w:kern w:val="0"/>
                <w:sz w:val="22"/>
                <w:szCs w:val="22"/>
              </w:rPr>
            </w:pPr>
          </w:p>
        </w:tc>
        <w:tc>
          <w:tcPr>
            <w:tcW w:w="1600" w:type="dxa"/>
            <w:gridSpan w:val="3"/>
            <w:tcBorders>
              <w:top w:val="single" w:color="auto" w:sz="8" w:space="0"/>
              <w:left w:val="nil"/>
              <w:bottom w:val="nil"/>
              <w:right w:val="nil"/>
            </w:tcBorders>
            <w:noWrap w:val="0"/>
            <w:vAlign w:val="bottom"/>
          </w:tcPr>
          <w:p>
            <w:pPr>
              <w:widowControl/>
              <w:jc w:val="left"/>
              <w:rPr>
                <w:rFonts w:eastAsia="方正仿宋_GBK"/>
                <w:color w:val="000000"/>
                <w:spacing w:val="-2"/>
                <w:kern w:val="0"/>
                <w:sz w:val="22"/>
                <w:szCs w:val="22"/>
              </w:rPr>
            </w:pPr>
          </w:p>
        </w:tc>
        <w:tc>
          <w:tcPr>
            <w:tcW w:w="1534" w:type="dxa"/>
            <w:tcBorders>
              <w:top w:val="single" w:color="auto" w:sz="8" w:space="0"/>
              <w:left w:val="nil"/>
              <w:bottom w:val="nil"/>
              <w:right w:val="single" w:color="auto" w:sz="8" w:space="0"/>
            </w:tcBorders>
            <w:noWrap w:val="0"/>
            <w:vAlign w:val="bottom"/>
          </w:tcPr>
          <w:p>
            <w:pPr>
              <w:widowControl/>
              <w:jc w:val="left"/>
              <w:rPr>
                <w:rFonts w:eastAsia="方正仿宋_GBK"/>
                <w:color w:val="000000"/>
                <w:spacing w:val="-2"/>
                <w:kern w:val="0"/>
                <w:sz w:val="22"/>
                <w:szCs w:val="22"/>
              </w:rPr>
            </w:pPr>
          </w:p>
        </w:tc>
      </w:tr>
      <w:tr>
        <w:tblPrEx>
          <w:tblCellMar>
            <w:top w:w="0" w:type="dxa"/>
            <w:left w:w="108" w:type="dxa"/>
            <w:bottom w:w="0" w:type="dxa"/>
            <w:right w:w="108" w:type="dxa"/>
          </w:tblCellMar>
        </w:tblPrEx>
        <w:trPr>
          <w:trHeight w:val="312" w:hRule="atLeast"/>
        </w:trPr>
        <w:tc>
          <w:tcPr>
            <w:tcW w:w="495" w:type="dxa"/>
            <w:tcBorders>
              <w:top w:val="nil"/>
              <w:left w:val="single" w:color="auto" w:sz="8" w:space="0"/>
              <w:bottom w:val="single" w:color="auto" w:sz="8" w:space="0"/>
              <w:right w:val="nil"/>
            </w:tcBorders>
            <w:noWrap w:val="0"/>
            <w:vAlign w:val="bottom"/>
          </w:tcPr>
          <w:p>
            <w:pPr>
              <w:widowControl/>
              <w:jc w:val="left"/>
              <w:rPr>
                <w:rFonts w:eastAsia="方正仿宋_GBK"/>
                <w:color w:val="000000"/>
                <w:spacing w:val="-2"/>
                <w:kern w:val="0"/>
                <w:sz w:val="24"/>
              </w:rPr>
            </w:pPr>
          </w:p>
        </w:tc>
        <w:tc>
          <w:tcPr>
            <w:tcW w:w="1903" w:type="dxa"/>
            <w:gridSpan w:val="2"/>
            <w:tcBorders>
              <w:top w:val="nil"/>
              <w:left w:val="nil"/>
              <w:bottom w:val="single" w:color="auto" w:sz="8" w:space="0"/>
              <w:right w:val="nil"/>
            </w:tcBorders>
            <w:noWrap w:val="0"/>
            <w:vAlign w:val="center"/>
          </w:tcPr>
          <w:p>
            <w:pPr>
              <w:widowControl/>
              <w:jc w:val="left"/>
              <w:rPr>
                <w:rFonts w:eastAsia="方正仿宋_GBK"/>
                <w:color w:val="000000"/>
                <w:spacing w:val="-2"/>
                <w:kern w:val="0"/>
                <w:sz w:val="22"/>
                <w:szCs w:val="22"/>
              </w:rPr>
            </w:pPr>
            <w:r>
              <w:rPr>
                <w:rFonts w:hint="eastAsia" w:eastAsia="方正仿宋_GBK"/>
                <w:color w:val="000000"/>
                <w:spacing w:val="-2"/>
                <w:kern w:val="0"/>
                <w:sz w:val="22"/>
                <w:szCs w:val="22"/>
              </w:rPr>
              <w:t>编制人：</w:t>
            </w:r>
          </w:p>
        </w:tc>
        <w:tc>
          <w:tcPr>
            <w:tcW w:w="1342" w:type="dxa"/>
            <w:gridSpan w:val="3"/>
            <w:tcBorders>
              <w:top w:val="nil"/>
              <w:left w:val="nil"/>
              <w:bottom w:val="single" w:color="auto" w:sz="8" w:space="0"/>
              <w:right w:val="nil"/>
            </w:tcBorders>
            <w:noWrap w:val="0"/>
            <w:vAlign w:val="center"/>
          </w:tcPr>
          <w:p>
            <w:pPr>
              <w:widowControl/>
              <w:jc w:val="left"/>
              <w:rPr>
                <w:rFonts w:eastAsia="方正仿宋_GBK"/>
                <w:color w:val="000000"/>
                <w:spacing w:val="-2"/>
                <w:kern w:val="0"/>
                <w:sz w:val="22"/>
                <w:szCs w:val="22"/>
              </w:rPr>
            </w:pPr>
          </w:p>
        </w:tc>
        <w:tc>
          <w:tcPr>
            <w:tcW w:w="5006" w:type="dxa"/>
            <w:gridSpan w:val="5"/>
            <w:tcBorders>
              <w:top w:val="nil"/>
              <w:left w:val="nil"/>
              <w:bottom w:val="single" w:color="auto" w:sz="8" w:space="0"/>
              <w:right w:val="single" w:color="auto" w:sz="8" w:space="0"/>
            </w:tcBorders>
            <w:noWrap w:val="0"/>
            <w:vAlign w:val="center"/>
          </w:tcPr>
          <w:p>
            <w:pPr>
              <w:widowControl/>
              <w:jc w:val="left"/>
              <w:rPr>
                <w:rFonts w:eastAsia="方正仿宋_GBK"/>
                <w:color w:val="000000"/>
                <w:spacing w:val="-2"/>
                <w:kern w:val="0"/>
                <w:sz w:val="22"/>
                <w:szCs w:val="22"/>
              </w:rPr>
            </w:pPr>
            <w:r>
              <w:rPr>
                <w:rFonts w:eastAsia="方正仿宋_GBK"/>
                <w:color w:val="000000"/>
                <w:spacing w:val="-2"/>
                <w:kern w:val="0"/>
                <w:sz w:val="22"/>
                <w:szCs w:val="22"/>
              </w:rPr>
              <w:t xml:space="preserve">                   </w:t>
            </w:r>
            <w:r>
              <w:rPr>
                <w:rFonts w:hint="eastAsia" w:eastAsia="方正仿宋_GBK"/>
                <w:color w:val="000000"/>
                <w:spacing w:val="-2"/>
                <w:kern w:val="0"/>
                <w:sz w:val="22"/>
                <w:szCs w:val="22"/>
              </w:rPr>
              <w:t>审核人：</w:t>
            </w:r>
          </w:p>
        </w:tc>
      </w:tr>
    </w:tbl>
    <w:p>
      <w:pPr>
        <w:spacing w:line="460" w:lineRule="exact"/>
        <w:rPr>
          <w:rFonts w:ascii="Times New Roman" w:eastAsia="方正黑体_GBK"/>
          <w:color w:val="000000"/>
          <w:spacing w:val="-2"/>
          <w:sz w:val="28"/>
          <w:szCs w:val="28"/>
        </w:rPr>
      </w:pPr>
      <w:r>
        <w:rPr>
          <w:rFonts w:eastAsia="仿宋_GB2312"/>
          <w:color w:val="000000"/>
          <w:spacing w:val="-2"/>
          <w:sz w:val="32"/>
          <w:szCs w:val="32"/>
        </w:rPr>
        <w:br w:type="column"/>
      </w:r>
      <w:r>
        <w:rPr>
          <w:rFonts w:hint="eastAsia" w:ascii="Times New Roman" w:eastAsia="方正黑体_GBK"/>
          <w:color w:val="000000"/>
          <w:spacing w:val="-2"/>
          <w:sz w:val="28"/>
          <w:szCs w:val="28"/>
        </w:rPr>
        <w:t>附表3：</w:t>
      </w:r>
    </w:p>
    <w:p>
      <w:pPr>
        <w:spacing w:line="360" w:lineRule="auto"/>
        <w:jc w:val="center"/>
        <w:rPr>
          <w:rFonts w:hint="eastAsia" w:ascii="Times New Roman" w:hAnsi="Times New Roman" w:eastAsia="方正黑体_GBK"/>
          <w:bCs/>
          <w:color w:val="000000"/>
          <w:spacing w:val="-2"/>
          <w:kern w:val="0"/>
          <w:sz w:val="28"/>
          <w:szCs w:val="28"/>
        </w:rPr>
      </w:pPr>
      <w:r>
        <w:rPr>
          <w:rFonts w:hint="eastAsia" w:ascii="Times New Roman" w:hAnsi="Times New Roman" w:eastAsia="方正黑体_GBK"/>
          <w:bCs/>
          <w:color w:val="000000"/>
          <w:spacing w:val="-2"/>
          <w:kern w:val="0"/>
          <w:sz w:val="28"/>
          <w:szCs w:val="28"/>
        </w:rPr>
        <w:t>水厂烧杯搅拌试验记录</w:t>
      </w:r>
    </w:p>
    <w:p>
      <w:pPr>
        <w:autoSpaceDE w:val="0"/>
        <w:autoSpaceDN w:val="0"/>
        <w:adjustRightInd w:val="0"/>
        <w:snapToGrid w:val="0"/>
        <w:spacing w:line="360" w:lineRule="auto"/>
        <w:ind w:firstLine="1888" w:firstLineChars="800"/>
        <w:jc w:val="right"/>
        <w:rPr>
          <w:rFonts w:hint="eastAsia" w:eastAsia="方正仿宋_GBK"/>
          <w:color w:val="000000"/>
          <w:spacing w:val="-2"/>
        </w:rPr>
      </w:pPr>
      <w:r>
        <w:rPr>
          <w:rFonts w:eastAsia="方正仿宋_GBK"/>
          <w:color w:val="000000"/>
          <w:spacing w:val="-2"/>
          <w:kern w:val="0"/>
          <w:sz w:val="24"/>
        </w:rPr>
        <w:t xml:space="preserve">                        </w:t>
      </w:r>
      <w:r>
        <w:rPr>
          <w:rFonts w:hint="eastAsia" w:eastAsia="方正仿宋_GBK"/>
          <w:color w:val="000000"/>
          <w:spacing w:val="-2"/>
          <w:kern w:val="0"/>
        </w:rPr>
        <w:t>第</w:t>
      </w:r>
      <w:r>
        <w:rPr>
          <w:rFonts w:eastAsia="方正仿宋_GBK"/>
          <w:color w:val="000000"/>
          <w:spacing w:val="-2"/>
          <w:kern w:val="0"/>
        </w:rPr>
        <w:t xml:space="preserve">  </w:t>
      </w:r>
      <w:r>
        <w:rPr>
          <w:rFonts w:hint="eastAsia" w:eastAsia="方正仿宋_GBK"/>
          <w:color w:val="000000"/>
          <w:spacing w:val="-2"/>
          <w:kern w:val="0"/>
        </w:rPr>
        <w:t>页共</w:t>
      </w:r>
      <w:r>
        <w:rPr>
          <w:rFonts w:eastAsia="方正仿宋_GBK"/>
          <w:color w:val="000000"/>
          <w:spacing w:val="-2"/>
          <w:kern w:val="0"/>
        </w:rPr>
        <w:t xml:space="preserve">  </w:t>
      </w:r>
      <w:r>
        <w:rPr>
          <w:rFonts w:hint="eastAsia" w:eastAsia="方正仿宋_GBK"/>
          <w:color w:val="000000"/>
          <w:spacing w:val="-2"/>
          <w:kern w:val="0"/>
        </w:rPr>
        <w:t>页</w:t>
      </w:r>
    </w:p>
    <w:tbl>
      <w:tblPr>
        <w:tblStyle w:val="12"/>
        <w:tblW w:w="0" w:type="auto"/>
        <w:tblInd w:w="92" w:type="dxa"/>
        <w:tblLayout w:type="fixed"/>
        <w:tblCellMar>
          <w:top w:w="0" w:type="dxa"/>
          <w:left w:w="108" w:type="dxa"/>
          <w:bottom w:w="0" w:type="dxa"/>
          <w:right w:w="108" w:type="dxa"/>
        </w:tblCellMar>
      </w:tblPr>
      <w:tblGrid>
        <w:gridCol w:w="1036"/>
        <w:gridCol w:w="1099"/>
        <w:gridCol w:w="1106"/>
        <w:gridCol w:w="1107"/>
        <w:gridCol w:w="625"/>
        <w:gridCol w:w="482"/>
        <w:gridCol w:w="562"/>
        <w:gridCol w:w="545"/>
        <w:gridCol w:w="1107"/>
        <w:gridCol w:w="1107"/>
      </w:tblGrid>
      <w:tr>
        <w:tblPrEx>
          <w:tblCellMar>
            <w:top w:w="0" w:type="dxa"/>
            <w:left w:w="108" w:type="dxa"/>
            <w:bottom w:w="0" w:type="dxa"/>
            <w:right w:w="108" w:type="dxa"/>
          </w:tblCellMar>
        </w:tblPrEx>
        <w:trPr>
          <w:trHeight w:val="576" w:hRule="atLeast"/>
        </w:trPr>
        <w:tc>
          <w:tcPr>
            <w:tcW w:w="2135" w:type="dxa"/>
            <w:gridSpan w:val="2"/>
            <w:tcBorders>
              <w:top w:val="single" w:color="auto" w:sz="8" w:space="0"/>
              <w:left w:val="single" w:color="auto" w:sz="8"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r>
              <w:rPr>
                <w:rFonts w:hint="eastAsia" w:eastAsia="方正仿宋_GBK"/>
                <w:color w:val="000000"/>
                <w:spacing w:val="-2"/>
                <w:kern w:val="0"/>
              </w:rPr>
              <w:t>净水剂样品编号</w:t>
            </w:r>
          </w:p>
        </w:tc>
        <w:tc>
          <w:tcPr>
            <w:tcW w:w="2838" w:type="dxa"/>
            <w:gridSpan w:val="3"/>
            <w:tcBorders>
              <w:top w:val="single" w:color="auto" w:sz="8" w:space="0"/>
              <w:left w:val="single" w:color="auto" w:sz="6" w:space="0"/>
              <w:bottom w:val="single" w:color="auto" w:sz="6" w:space="0"/>
              <w:right w:val="single" w:color="auto" w:sz="4" w:space="0"/>
            </w:tcBorders>
            <w:noWrap w:val="0"/>
            <w:vAlign w:val="center"/>
          </w:tcPr>
          <w:p>
            <w:pPr>
              <w:spacing w:line="400" w:lineRule="exact"/>
              <w:ind w:left="-90"/>
              <w:jc w:val="center"/>
              <w:rPr>
                <w:rFonts w:eastAsia="方正仿宋_GBK"/>
                <w:color w:val="000000"/>
                <w:spacing w:val="-2"/>
              </w:rPr>
            </w:pPr>
          </w:p>
        </w:tc>
        <w:tc>
          <w:tcPr>
            <w:tcW w:w="1044" w:type="dxa"/>
            <w:gridSpan w:val="2"/>
            <w:tcBorders>
              <w:top w:val="single" w:color="auto" w:sz="8" w:space="0"/>
              <w:left w:val="single" w:color="auto" w:sz="4" w:space="0"/>
              <w:bottom w:val="single" w:color="auto" w:sz="6" w:space="0"/>
              <w:right w:val="single" w:color="auto" w:sz="4" w:space="0"/>
            </w:tcBorders>
            <w:noWrap w:val="0"/>
            <w:vAlign w:val="center"/>
          </w:tcPr>
          <w:p>
            <w:pPr>
              <w:spacing w:line="400" w:lineRule="exact"/>
              <w:ind w:left="-90"/>
              <w:jc w:val="center"/>
              <w:rPr>
                <w:rFonts w:eastAsia="方正仿宋_GBK"/>
                <w:color w:val="000000"/>
                <w:spacing w:val="-2"/>
              </w:rPr>
            </w:pPr>
            <w:r>
              <w:rPr>
                <w:rFonts w:hint="eastAsia" w:eastAsia="方正仿宋_GBK"/>
                <w:color w:val="000000"/>
                <w:spacing w:val="-2"/>
                <w:kern w:val="0"/>
              </w:rPr>
              <w:t>水样名称</w:t>
            </w:r>
          </w:p>
        </w:tc>
        <w:tc>
          <w:tcPr>
            <w:tcW w:w="2759" w:type="dxa"/>
            <w:gridSpan w:val="3"/>
            <w:tcBorders>
              <w:top w:val="single" w:color="auto" w:sz="8" w:space="0"/>
              <w:left w:val="single" w:color="auto" w:sz="4"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81" w:hRule="atLeas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r>
              <w:rPr>
                <w:rFonts w:hint="eastAsia" w:eastAsia="方正仿宋_GBK"/>
                <w:color w:val="000000"/>
                <w:spacing w:val="-2"/>
                <w:kern w:val="0"/>
              </w:rPr>
              <w:t>净水剂名称</w:t>
            </w:r>
          </w:p>
        </w:tc>
        <w:tc>
          <w:tcPr>
            <w:tcW w:w="2838" w:type="dxa"/>
            <w:gridSpan w:val="3"/>
            <w:tcBorders>
              <w:top w:val="single" w:color="auto" w:sz="6" w:space="0"/>
              <w:left w:val="single" w:color="auto" w:sz="6" w:space="0"/>
              <w:bottom w:val="single" w:color="auto" w:sz="6" w:space="0"/>
              <w:right w:val="single" w:color="auto" w:sz="4" w:space="0"/>
            </w:tcBorders>
            <w:noWrap w:val="0"/>
            <w:vAlign w:val="center"/>
          </w:tcPr>
          <w:p>
            <w:pPr>
              <w:spacing w:line="400" w:lineRule="exact"/>
              <w:ind w:left="-90"/>
              <w:jc w:val="center"/>
              <w:rPr>
                <w:rFonts w:eastAsia="方正仿宋_GBK"/>
                <w:color w:val="000000"/>
                <w:spacing w:val="-2"/>
              </w:rPr>
            </w:pPr>
          </w:p>
        </w:tc>
        <w:tc>
          <w:tcPr>
            <w:tcW w:w="1044" w:type="dxa"/>
            <w:gridSpan w:val="2"/>
            <w:tcBorders>
              <w:top w:val="single" w:color="auto" w:sz="6" w:space="0"/>
              <w:left w:val="single" w:color="auto" w:sz="4" w:space="0"/>
              <w:bottom w:val="single" w:color="auto" w:sz="6" w:space="0"/>
              <w:right w:val="single" w:color="auto" w:sz="4" w:space="0"/>
            </w:tcBorders>
            <w:noWrap w:val="0"/>
            <w:vAlign w:val="center"/>
          </w:tcPr>
          <w:p>
            <w:pPr>
              <w:spacing w:line="400" w:lineRule="exact"/>
              <w:ind w:left="-90"/>
              <w:jc w:val="center"/>
              <w:rPr>
                <w:rFonts w:eastAsia="方正仿宋_GBK"/>
                <w:color w:val="000000"/>
                <w:spacing w:val="-2"/>
              </w:rPr>
            </w:pPr>
            <w:r>
              <w:rPr>
                <w:rFonts w:hint="eastAsia" w:eastAsia="方正仿宋_GBK"/>
                <w:color w:val="000000"/>
                <w:spacing w:val="-2"/>
                <w:kern w:val="0"/>
              </w:rPr>
              <w:t>净水剂浓度</w:t>
            </w:r>
          </w:p>
        </w:tc>
        <w:tc>
          <w:tcPr>
            <w:tcW w:w="2759" w:type="dxa"/>
            <w:gridSpan w:val="3"/>
            <w:tcBorders>
              <w:top w:val="single" w:color="auto" w:sz="6" w:space="0"/>
              <w:left w:val="single" w:color="auto" w:sz="4"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cantSplit/>
          <w:trHeight w:val="935" w:hRule="atLeast"/>
        </w:trPr>
        <w:tc>
          <w:tcPr>
            <w:tcW w:w="2135" w:type="dxa"/>
            <w:gridSpan w:val="2"/>
            <w:tcBorders>
              <w:top w:val="single" w:color="auto" w:sz="6" w:space="0"/>
              <w:left w:val="single" w:color="auto" w:sz="8" w:space="0"/>
              <w:bottom w:val="nil"/>
              <w:right w:val="single" w:color="auto" w:sz="4" w:space="0"/>
            </w:tcBorders>
            <w:noWrap w:val="0"/>
            <w:vAlign w:val="center"/>
          </w:tcPr>
          <w:p>
            <w:pPr>
              <w:spacing w:line="400" w:lineRule="exact"/>
              <w:jc w:val="center"/>
              <w:rPr>
                <w:rFonts w:eastAsia="方正仿宋_GBK"/>
                <w:color w:val="000000"/>
                <w:spacing w:val="-2"/>
                <w:kern w:val="0"/>
              </w:rPr>
            </w:pPr>
            <w:r>
              <w:rPr>
                <w:rFonts w:hint="eastAsia" w:eastAsia="方正仿宋_GBK"/>
                <w:color w:val="000000"/>
                <w:spacing w:val="-2"/>
                <w:kern w:val="0"/>
              </w:rPr>
              <w:t>试验原水</w:t>
            </w:r>
          </w:p>
          <w:p>
            <w:pPr>
              <w:spacing w:line="400" w:lineRule="exact"/>
              <w:jc w:val="center"/>
              <w:rPr>
                <w:rFonts w:eastAsia="方正仿宋_GBK"/>
                <w:color w:val="000000"/>
                <w:spacing w:val="-2"/>
              </w:rPr>
            </w:pPr>
            <w:r>
              <w:rPr>
                <w:rFonts w:hint="eastAsia" w:eastAsia="方正仿宋_GBK"/>
                <w:color w:val="000000"/>
                <w:spacing w:val="-2"/>
                <w:kern w:val="0"/>
              </w:rPr>
              <w:t>水质情况</w:t>
            </w:r>
          </w:p>
        </w:tc>
        <w:tc>
          <w:tcPr>
            <w:tcW w:w="6641" w:type="dxa"/>
            <w:gridSpan w:val="8"/>
            <w:tcBorders>
              <w:top w:val="single" w:color="auto" w:sz="6" w:space="0"/>
              <w:left w:val="single" w:color="auto" w:sz="4" w:space="0"/>
              <w:bottom w:val="nil"/>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67" w:hRule="atLeas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1"/>
              <w:jc w:val="center"/>
              <w:rPr>
                <w:rFonts w:eastAsia="方正仿宋_GBK"/>
                <w:color w:val="000000"/>
                <w:spacing w:val="-2"/>
                <w:kern w:val="0"/>
              </w:rPr>
            </w:pPr>
            <w:r>
              <w:rPr>
                <w:rFonts w:hint="eastAsia" w:eastAsia="方正仿宋_GBK"/>
                <w:color w:val="000000"/>
                <w:spacing w:val="-2"/>
                <w:kern w:val="0"/>
              </w:rPr>
              <w:t>搅拌实验条件</w:t>
            </w:r>
          </w:p>
          <w:p>
            <w:pPr>
              <w:spacing w:line="400" w:lineRule="exact"/>
              <w:ind w:left="-91"/>
              <w:jc w:val="center"/>
              <w:rPr>
                <w:rFonts w:eastAsia="方正仿宋_GBK"/>
                <w:color w:val="000000"/>
                <w:spacing w:val="-2"/>
                <w:kern w:val="0"/>
              </w:rPr>
            </w:pPr>
            <w:r>
              <w:rPr>
                <w:rFonts w:eastAsia="方正仿宋_GBK"/>
                <w:color w:val="000000"/>
                <w:spacing w:val="-2"/>
                <w:kern w:val="0"/>
              </w:rPr>
              <w:t>(</w:t>
            </w:r>
            <w:r>
              <w:rPr>
                <w:rFonts w:hint="eastAsia" w:eastAsia="方正仿宋_GBK"/>
                <w:color w:val="000000"/>
                <w:spacing w:val="-2"/>
                <w:kern w:val="0"/>
              </w:rPr>
              <w:t>分</w:t>
            </w:r>
            <w:r>
              <w:rPr>
                <w:rFonts w:eastAsia="方正仿宋_GBK"/>
                <w:color w:val="000000"/>
                <w:spacing w:val="-2"/>
                <w:kern w:val="0"/>
              </w:rPr>
              <w:t>*</w:t>
            </w:r>
            <w:r>
              <w:rPr>
                <w:rFonts w:hint="eastAsia" w:eastAsia="方正仿宋_GBK"/>
                <w:color w:val="000000"/>
                <w:spacing w:val="-2"/>
                <w:kern w:val="0"/>
              </w:rPr>
              <w:t>转</w:t>
            </w:r>
            <w:r>
              <w:rPr>
                <w:rFonts w:eastAsia="方正仿宋_GBK"/>
                <w:color w:val="000000"/>
                <w:spacing w:val="-2"/>
                <w:kern w:val="0"/>
              </w:rPr>
              <w:t>/</w:t>
            </w:r>
            <w:r>
              <w:rPr>
                <w:rFonts w:hint="eastAsia" w:eastAsia="方正仿宋_GBK"/>
                <w:color w:val="000000"/>
                <w:spacing w:val="-2"/>
                <w:kern w:val="0"/>
              </w:rPr>
              <w:t>分</w:t>
            </w:r>
            <w:r>
              <w:rPr>
                <w:rFonts w:eastAsia="方正仿宋_GBK"/>
                <w:color w:val="000000"/>
                <w:spacing w:val="-2"/>
                <w:kern w:val="0"/>
              </w:rPr>
              <w:t>)</w:t>
            </w:r>
          </w:p>
        </w:tc>
        <w:tc>
          <w:tcPr>
            <w:tcW w:w="6641" w:type="dxa"/>
            <w:gridSpan w:val="8"/>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67" w:hRule="atLeas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r>
              <w:rPr>
                <w:rFonts w:eastAsia="方正仿宋_GBK"/>
                <w:color w:val="000000"/>
                <w:spacing w:val="-2"/>
                <w:kern w:val="0"/>
              </w:rPr>
              <w:t>GT</w:t>
            </w:r>
            <w:r>
              <w:rPr>
                <w:rFonts w:hint="eastAsia" w:eastAsia="方正仿宋_GBK"/>
                <w:color w:val="000000"/>
                <w:spacing w:val="-2"/>
                <w:kern w:val="0"/>
              </w:rPr>
              <w:t>值</w:t>
            </w:r>
          </w:p>
        </w:tc>
        <w:tc>
          <w:tcPr>
            <w:tcW w:w="1106"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67" w:hRule="atLeas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r>
              <w:rPr>
                <w:rFonts w:hint="eastAsia" w:eastAsia="方正仿宋_GBK"/>
                <w:color w:val="000000"/>
                <w:spacing w:val="-2"/>
                <w:kern w:val="0"/>
              </w:rPr>
              <w:t>杯罐号</w:t>
            </w:r>
          </w:p>
        </w:tc>
        <w:tc>
          <w:tcPr>
            <w:tcW w:w="1106"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bCs/>
                <w:color w:val="000000"/>
                <w:spacing w:val="-2"/>
              </w:rPr>
            </w:pPr>
            <w:r>
              <w:rPr>
                <w:rFonts w:eastAsia="方正仿宋_GBK"/>
                <w:bCs/>
                <w:color w:val="000000"/>
                <w:spacing w:val="-2"/>
                <w:kern w:val="0"/>
              </w:rPr>
              <w:t>1</w:t>
            </w: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bCs/>
                <w:color w:val="000000"/>
                <w:spacing w:val="-2"/>
              </w:rPr>
            </w:pPr>
            <w:r>
              <w:rPr>
                <w:rFonts w:eastAsia="方正仿宋_GBK"/>
                <w:bCs/>
                <w:color w:val="000000"/>
                <w:spacing w:val="-2"/>
                <w:kern w:val="0"/>
              </w:rPr>
              <w:t>2</w:t>
            </w: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bCs/>
                <w:color w:val="000000"/>
                <w:spacing w:val="-2"/>
              </w:rPr>
            </w:pPr>
            <w:r>
              <w:rPr>
                <w:rFonts w:eastAsia="方正仿宋_GBK"/>
                <w:bCs/>
                <w:color w:val="000000"/>
                <w:spacing w:val="-2"/>
                <w:kern w:val="0"/>
              </w:rPr>
              <w:t>3</w:t>
            </w: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bCs/>
                <w:color w:val="000000"/>
                <w:spacing w:val="-2"/>
              </w:rPr>
            </w:pPr>
            <w:r>
              <w:rPr>
                <w:rFonts w:eastAsia="方正仿宋_GBK"/>
                <w:bCs/>
                <w:color w:val="000000"/>
                <w:spacing w:val="-2"/>
                <w:kern w:val="0"/>
              </w:rPr>
              <w:t>4</w:t>
            </w: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330"/>
              <w:jc w:val="center"/>
              <w:rPr>
                <w:rFonts w:eastAsia="方正仿宋_GBK"/>
                <w:bCs/>
                <w:color w:val="000000"/>
                <w:spacing w:val="-2"/>
              </w:rPr>
            </w:pPr>
            <w:r>
              <w:rPr>
                <w:rFonts w:eastAsia="方正仿宋_GBK"/>
                <w:bCs/>
                <w:color w:val="000000"/>
                <w:spacing w:val="-2"/>
                <w:kern w:val="0"/>
              </w:rPr>
              <w:t>5</w:t>
            </w:r>
          </w:p>
        </w:tc>
        <w:tc>
          <w:tcPr>
            <w:tcW w:w="1107" w:type="dxa"/>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bCs/>
                <w:color w:val="000000"/>
                <w:spacing w:val="-2"/>
              </w:rPr>
            </w:pPr>
            <w:r>
              <w:rPr>
                <w:rFonts w:eastAsia="方正仿宋_GBK"/>
                <w:bCs/>
                <w:color w:val="000000"/>
                <w:spacing w:val="-2"/>
                <w:kern w:val="0"/>
              </w:rPr>
              <w:t>6</w:t>
            </w:r>
          </w:p>
        </w:tc>
      </w:tr>
      <w:tr>
        <w:tblPrEx>
          <w:tblCellMar>
            <w:top w:w="0" w:type="dxa"/>
            <w:left w:w="108" w:type="dxa"/>
            <w:bottom w:w="0" w:type="dxa"/>
            <w:right w:w="108" w:type="dxa"/>
          </w:tblCellMar>
        </w:tblPrEx>
        <w:trPr>
          <w:trHeight w:val="510" w:hRule="exact"/>
        </w:trPr>
        <w:tc>
          <w:tcPr>
            <w:tcW w:w="1036" w:type="dxa"/>
            <w:vMerge w:val="restart"/>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kern w:val="0"/>
              </w:rPr>
            </w:pPr>
            <w:r>
              <w:rPr>
                <w:rFonts w:hint="eastAsia" w:eastAsia="方正仿宋_GBK"/>
                <w:color w:val="000000"/>
                <w:spacing w:val="-2"/>
                <w:kern w:val="0"/>
              </w:rPr>
              <w:t>投加量</w:t>
            </w:r>
            <w:r>
              <w:rPr>
                <w:rFonts w:eastAsia="方正仿宋_GBK"/>
                <w:color w:val="000000"/>
                <w:spacing w:val="-2"/>
                <w:kern w:val="0"/>
                <w:sz w:val="18"/>
                <w:szCs w:val="18"/>
              </w:rPr>
              <w:t>(mg/L)</w:t>
            </w:r>
          </w:p>
        </w:tc>
        <w:tc>
          <w:tcPr>
            <w:tcW w:w="1099"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6" w:type="dxa"/>
            <w:tcBorders>
              <w:top w:val="single" w:color="auto" w:sz="6"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4"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10" w:hRule="exact"/>
        </w:trPr>
        <w:tc>
          <w:tcPr>
            <w:tcW w:w="1036" w:type="dxa"/>
            <w:vMerge w:val="continue"/>
            <w:tcBorders>
              <w:top w:val="single" w:color="auto" w:sz="6" w:space="0"/>
              <w:left w:val="single" w:color="auto" w:sz="8" w:space="0"/>
              <w:bottom w:val="single" w:color="auto" w:sz="6" w:space="0"/>
              <w:right w:val="single" w:color="auto" w:sz="6" w:space="0"/>
            </w:tcBorders>
            <w:noWrap w:val="0"/>
            <w:vAlign w:val="center"/>
          </w:tcPr>
          <w:p>
            <w:pPr>
              <w:widowControl/>
              <w:jc w:val="left"/>
              <w:rPr>
                <w:rFonts w:eastAsia="方正仿宋_GBK"/>
                <w:color w:val="000000"/>
                <w:spacing w:val="-2"/>
                <w:kern w:val="0"/>
              </w:rPr>
            </w:pPr>
          </w:p>
        </w:tc>
        <w:tc>
          <w:tcPr>
            <w:tcW w:w="1099"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kern w:val="0"/>
              </w:rPr>
            </w:pPr>
          </w:p>
        </w:tc>
        <w:tc>
          <w:tcPr>
            <w:tcW w:w="1106" w:type="dxa"/>
            <w:tcBorders>
              <w:top w:val="single" w:color="auto" w:sz="4"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4"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4"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4"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4" w:space="0"/>
              <w:left w:val="single" w:color="auto" w:sz="6" w:space="0"/>
              <w:bottom w:val="single" w:color="auto" w:sz="4"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4" w:space="0"/>
              <w:left w:val="single" w:color="auto" w:sz="6" w:space="0"/>
              <w:bottom w:val="single" w:color="auto" w:sz="4"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10" w:hRule="exact"/>
        </w:trPr>
        <w:tc>
          <w:tcPr>
            <w:tcW w:w="1036" w:type="dxa"/>
            <w:vMerge w:val="continue"/>
            <w:tcBorders>
              <w:top w:val="single" w:color="auto" w:sz="6" w:space="0"/>
              <w:left w:val="single" w:color="auto" w:sz="8" w:space="0"/>
              <w:bottom w:val="single" w:color="auto" w:sz="6" w:space="0"/>
              <w:right w:val="single" w:color="auto" w:sz="6" w:space="0"/>
            </w:tcBorders>
            <w:noWrap w:val="0"/>
            <w:vAlign w:val="center"/>
          </w:tcPr>
          <w:p>
            <w:pPr>
              <w:widowControl/>
              <w:jc w:val="left"/>
              <w:rPr>
                <w:rFonts w:eastAsia="方正仿宋_GBK"/>
                <w:color w:val="000000"/>
                <w:spacing w:val="-2"/>
                <w:kern w:val="0"/>
              </w:rPr>
            </w:pPr>
          </w:p>
        </w:tc>
        <w:tc>
          <w:tcPr>
            <w:tcW w:w="1099"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kern w:val="0"/>
              </w:rPr>
            </w:pPr>
          </w:p>
        </w:tc>
        <w:tc>
          <w:tcPr>
            <w:tcW w:w="1106" w:type="dxa"/>
            <w:tcBorders>
              <w:top w:val="single" w:color="auto" w:sz="4"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4"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4"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4"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4"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4"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1037" w:hRule="atLeas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kern w:val="0"/>
              </w:rPr>
            </w:pPr>
            <w:r>
              <w:rPr>
                <w:rFonts w:hint="eastAsia" w:eastAsia="方正仿宋_GBK"/>
                <w:color w:val="000000"/>
                <w:spacing w:val="-2"/>
                <w:kern w:val="0"/>
              </w:rPr>
              <w:t>出现絮体时间</w:t>
            </w:r>
          </w:p>
          <w:p>
            <w:pPr>
              <w:spacing w:line="400" w:lineRule="exact"/>
              <w:ind w:left="-90"/>
              <w:jc w:val="center"/>
              <w:rPr>
                <w:rFonts w:eastAsia="方正仿宋_GBK"/>
                <w:color w:val="000000"/>
                <w:spacing w:val="-2"/>
              </w:rPr>
            </w:pPr>
            <w:r>
              <w:rPr>
                <w:rFonts w:hint="eastAsia" w:eastAsia="方正仿宋_GBK"/>
                <w:color w:val="000000"/>
                <w:spacing w:val="-2"/>
                <w:kern w:val="0"/>
              </w:rPr>
              <w:t>及一般描述</w:t>
            </w:r>
          </w:p>
        </w:tc>
        <w:tc>
          <w:tcPr>
            <w:tcW w:w="1106"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70" w:hRule="atLeas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r>
              <w:rPr>
                <w:rFonts w:hint="eastAsia" w:eastAsia="方正仿宋_GBK"/>
                <w:color w:val="000000"/>
                <w:spacing w:val="-2"/>
                <w:kern w:val="0"/>
              </w:rPr>
              <w:t>浑浊度</w:t>
            </w:r>
            <w:r>
              <w:rPr>
                <w:rFonts w:eastAsia="方正仿宋_GBK"/>
                <w:color w:val="000000"/>
                <w:spacing w:val="-2"/>
                <w:kern w:val="0"/>
              </w:rPr>
              <w:t xml:space="preserve"> (NTU)</w:t>
            </w:r>
          </w:p>
        </w:tc>
        <w:tc>
          <w:tcPr>
            <w:tcW w:w="1106"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10" w:hRule="exac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r>
              <w:rPr>
                <w:rFonts w:hint="eastAsia" w:eastAsia="方正仿宋_GBK"/>
                <w:color w:val="000000"/>
                <w:spacing w:val="-2"/>
              </w:rPr>
              <w:t>（以下需要再填）</w:t>
            </w:r>
          </w:p>
        </w:tc>
        <w:tc>
          <w:tcPr>
            <w:tcW w:w="1106"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10" w:hRule="exac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0"/>
              <w:rPr>
                <w:rFonts w:eastAsia="方正仿宋_GBK"/>
                <w:color w:val="000000"/>
                <w:spacing w:val="-2"/>
              </w:rPr>
            </w:pPr>
          </w:p>
        </w:tc>
        <w:tc>
          <w:tcPr>
            <w:tcW w:w="1106"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10" w:hRule="exac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rPr>
                <w:rFonts w:eastAsia="方正仿宋_GBK"/>
                <w:color w:val="000000"/>
                <w:spacing w:val="-2"/>
              </w:rPr>
            </w:pPr>
          </w:p>
        </w:tc>
        <w:tc>
          <w:tcPr>
            <w:tcW w:w="1106"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510" w:hRule="exac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rPr>
                <w:rFonts w:eastAsia="方正仿宋_GBK"/>
                <w:color w:val="000000"/>
                <w:spacing w:val="-2"/>
              </w:rPr>
            </w:pPr>
          </w:p>
        </w:tc>
        <w:tc>
          <w:tcPr>
            <w:tcW w:w="1106"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gridSpan w:val="2"/>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p>
        </w:tc>
        <w:tc>
          <w:tcPr>
            <w:tcW w:w="1107" w:type="dxa"/>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661" w:hRule="exact"/>
        </w:trPr>
        <w:tc>
          <w:tcPr>
            <w:tcW w:w="2135" w:type="dxa"/>
            <w:gridSpan w:val="2"/>
            <w:tcBorders>
              <w:top w:val="single" w:color="auto" w:sz="6" w:space="0"/>
              <w:left w:val="single" w:color="auto" w:sz="8" w:space="0"/>
              <w:bottom w:val="single" w:color="auto" w:sz="6" w:space="0"/>
              <w:right w:val="single" w:color="auto" w:sz="6" w:space="0"/>
            </w:tcBorders>
            <w:noWrap w:val="0"/>
            <w:vAlign w:val="center"/>
          </w:tcPr>
          <w:p>
            <w:pPr>
              <w:spacing w:line="400" w:lineRule="exact"/>
              <w:ind w:left="-90"/>
              <w:jc w:val="center"/>
              <w:rPr>
                <w:rFonts w:eastAsia="方正仿宋_GBK"/>
                <w:color w:val="000000"/>
                <w:spacing w:val="-2"/>
              </w:rPr>
            </w:pPr>
            <w:r>
              <w:rPr>
                <w:rFonts w:hint="eastAsia" w:eastAsia="方正仿宋_GBK"/>
                <w:color w:val="000000"/>
                <w:spacing w:val="-2"/>
                <w:kern w:val="0"/>
              </w:rPr>
              <w:t>试验最佳投矾量</w:t>
            </w:r>
          </w:p>
        </w:tc>
        <w:tc>
          <w:tcPr>
            <w:tcW w:w="6641" w:type="dxa"/>
            <w:gridSpan w:val="8"/>
            <w:tcBorders>
              <w:top w:val="single" w:color="auto" w:sz="6" w:space="0"/>
              <w:left w:val="single" w:color="auto" w:sz="6" w:space="0"/>
              <w:bottom w:val="single" w:color="auto" w:sz="6" w:space="0"/>
              <w:right w:val="single" w:color="auto" w:sz="8" w:space="0"/>
            </w:tcBorders>
            <w:noWrap w:val="0"/>
            <w:vAlign w:val="center"/>
          </w:tcPr>
          <w:p>
            <w:pPr>
              <w:spacing w:line="400" w:lineRule="exact"/>
              <w:ind w:left="-90"/>
              <w:jc w:val="center"/>
              <w:rPr>
                <w:rFonts w:eastAsia="方正仿宋_GBK"/>
                <w:color w:val="000000"/>
                <w:spacing w:val="-2"/>
              </w:rPr>
            </w:pPr>
          </w:p>
        </w:tc>
      </w:tr>
      <w:tr>
        <w:tblPrEx>
          <w:tblCellMar>
            <w:top w:w="0" w:type="dxa"/>
            <w:left w:w="108" w:type="dxa"/>
            <w:bottom w:w="0" w:type="dxa"/>
            <w:right w:w="108" w:type="dxa"/>
          </w:tblCellMar>
        </w:tblPrEx>
        <w:trPr>
          <w:trHeight w:val="391" w:hRule="atLeast"/>
        </w:trPr>
        <w:tc>
          <w:tcPr>
            <w:tcW w:w="2135" w:type="dxa"/>
            <w:gridSpan w:val="2"/>
            <w:tcBorders>
              <w:top w:val="single" w:color="auto" w:sz="6" w:space="0"/>
              <w:left w:val="single" w:color="auto" w:sz="8" w:space="0"/>
              <w:bottom w:val="single" w:color="auto" w:sz="8" w:space="0"/>
              <w:right w:val="single" w:color="auto" w:sz="6" w:space="0"/>
            </w:tcBorders>
            <w:noWrap w:val="0"/>
            <w:vAlign w:val="center"/>
          </w:tcPr>
          <w:p>
            <w:pPr>
              <w:spacing w:line="400" w:lineRule="exact"/>
              <w:ind w:left="-90"/>
              <w:jc w:val="center"/>
              <w:rPr>
                <w:rFonts w:eastAsia="方正仿宋_GBK"/>
                <w:color w:val="000000"/>
                <w:spacing w:val="-2"/>
                <w:kern w:val="0"/>
              </w:rPr>
            </w:pPr>
            <w:r>
              <w:rPr>
                <w:rFonts w:hint="eastAsia" w:eastAsia="方正仿宋_GBK"/>
                <w:color w:val="000000"/>
                <w:spacing w:val="-2"/>
                <w:kern w:val="0"/>
              </w:rPr>
              <w:t>备注</w:t>
            </w:r>
          </w:p>
        </w:tc>
        <w:tc>
          <w:tcPr>
            <w:tcW w:w="6641" w:type="dxa"/>
            <w:gridSpan w:val="8"/>
            <w:tcBorders>
              <w:top w:val="single" w:color="auto" w:sz="6" w:space="0"/>
              <w:left w:val="single" w:color="auto" w:sz="6" w:space="0"/>
              <w:bottom w:val="single" w:color="auto" w:sz="8" w:space="0"/>
              <w:right w:val="single" w:color="auto" w:sz="8" w:space="0"/>
            </w:tcBorders>
            <w:noWrap w:val="0"/>
            <w:vAlign w:val="center"/>
          </w:tcPr>
          <w:p>
            <w:pPr>
              <w:spacing w:line="400" w:lineRule="exact"/>
              <w:ind w:left="-90"/>
              <w:jc w:val="center"/>
              <w:rPr>
                <w:rFonts w:eastAsia="方正仿宋_GBK"/>
                <w:color w:val="000000"/>
                <w:spacing w:val="-2"/>
              </w:rPr>
            </w:pPr>
          </w:p>
          <w:p>
            <w:pPr>
              <w:spacing w:line="400" w:lineRule="exact"/>
              <w:ind w:left="-90"/>
              <w:jc w:val="center"/>
              <w:rPr>
                <w:rFonts w:eastAsia="方正仿宋_GBK"/>
                <w:color w:val="000000"/>
                <w:spacing w:val="-2"/>
              </w:rPr>
            </w:pPr>
          </w:p>
        </w:tc>
      </w:tr>
    </w:tbl>
    <w:p>
      <w:pPr>
        <w:autoSpaceDE w:val="0"/>
        <w:autoSpaceDN w:val="0"/>
        <w:adjustRightInd w:val="0"/>
        <w:snapToGrid w:val="0"/>
        <w:spacing w:line="240" w:lineRule="atLeast"/>
        <w:rPr>
          <w:color w:val="000000"/>
          <w:spacing w:val="-2"/>
          <w:kern w:val="0"/>
        </w:rPr>
      </w:pPr>
    </w:p>
    <w:p>
      <w:pPr>
        <w:autoSpaceDE w:val="0"/>
        <w:autoSpaceDN w:val="0"/>
        <w:adjustRightInd w:val="0"/>
        <w:snapToGrid w:val="0"/>
        <w:spacing w:line="240" w:lineRule="atLeast"/>
        <w:ind w:firstLine="206" w:firstLineChars="100"/>
        <w:rPr>
          <w:rFonts w:eastAsia="方正仿宋_GBK"/>
          <w:color w:val="000000"/>
          <w:spacing w:val="-2"/>
          <w:kern w:val="0"/>
        </w:rPr>
      </w:pPr>
      <w:r>
        <w:rPr>
          <w:rFonts w:hint="eastAsia" w:eastAsia="方正仿宋_GBK"/>
          <w:color w:val="000000"/>
          <w:spacing w:val="-2"/>
          <w:kern w:val="0"/>
        </w:rPr>
        <w:t>检测人：</w:t>
      </w:r>
      <w:r>
        <w:rPr>
          <w:rFonts w:eastAsia="方正仿宋_GBK"/>
          <w:color w:val="000000"/>
          <w:spacing w:val="-2"/>
          <w:kern w:val="0"/>
        </w:rPr>
        <w:t xml:space="preserve">              </w:t>
      </w:r>
      <w:r>
        <w:rPr>
          <w:rFonts w:hint="eastAsia" w:eastAsia="方正仿宋_GBK"/>
          <w:color w:val="000000"/>
          <w:spacing w:val="-2"/>
          <w:kern w:val="0"/>
        </w:rPr>
        <w:t>检测日期：</w:t>
      </w:r>
      <w:r>
        <w:rPr>
          <w:rFonts w:eastAsia="方正仿宋_GBK"/>
          <w:color w:val="000000"/>
          <w:spacing w:val="-2"/>
          <w:kern w:val="0"/>
        </w:rPr>
        <w:t xml:space="preserve">             </w:t>
      </w:r>
      <w:r>
        <w:rPr>
          <w:rFonts w:hint="eastAsia" w:eastAsia="方正仿宋_GBK"/>
          <w:color w:val="000000"/>
          <w:spacing w:val="-2"/>
          <w:kern w:val="0"/>
        </w:rPr>
        <w:t>校核人：</w:t>
      </w:r>
      <w:r>
        <w:rPr>
          <w:rFonts w:eastAsia="方正仿宋_GBK"/>
          <w:color w:val="000000"/>
          <w:spacing w:val="-2"/>
          <w:kern w:val="0"/>
        </w:rPr>
        <w:t xml:space="preserve">         </w:t>
      </w:r>
      <w:r>
        <w:rPr>
          <w:rFonts w:hint="eastAsia" w:eastAsia="方正仿宋_GBK"/>
          <w:color w:val="000000"/>
          <w:spacing w:val="-2"/>
          <w:kern w:val="0"/>
        </w:rPr>
        <w:t>校核日期：</w:t>
      </w:r>
    </w:p>
    <w:p>
      <w:pPr>
        <w:spacing w:line="460" w:lineRule="exact"/>
        <w:rPr>
          <w:rFonts w:ascii="Times New Roman" w:eastAsia="方正黑体_GBK"/>
          <w:color w:val="000000"/>
          <w:spacing w:val="-2"/>
          <w:sz w:val="28"/>
          <w:szCs w:val="28"/>
        </w:rPr>
      </w:pPr>
      <w:r>
        <w:rPr>
          <w:rFonts w:eastAsia="仿宋_GB2312"/>
          <w:color w:val="000000"/>
          <w:spacing w:val="-2"/>
          <w:sz w:val="32"/>
          <w:szCs w:val="32"/>
        </w:rPr>
        <w:br w:type="column"/>
      </w:r>
      <w:r>
        <w:rPr>
          <w:rFonts w:hint="eastAsia" w:ascii="Times New Roman" w:eastAsia="方正黑体_GBK"/>
          <w:color w:val="000000"/>
          <w:spacing w:val="-2"/>
          <w:sz w:val="28"/>
          <w:szCs w:val="28"/>
        </w:rPr>
        <w:t>附表4：</w:t>
      </w:r>
    </w:p>
    <w:p>
      <w:pPr>
        <w:spacing w:line="360" w:lineRule="auto"/>
        <w:jc w:val="center"/>
        <w:rPr>
          <w:rFonts w:hint="eastAsia" w:ascii="Times New Roman" w:hAnsi="Times New Roman" w:eastAsia="方正黑体_GBK"/>
          <w:bCs/>
          <w:color w:val="000000"/>
          <w:spacing w:val="-2"/>
          <w:kern w:val="0"/>
          <w:sz w:val="28"/>
          <w:szCs w:val="28"/>
        </w:rPr>
      </w:pPr>
      <w:r>
        <w:rPr>
          <w:rFonts w:hint="eastAsia" w:ascii="Times New Roman" w:hAnsi="Times New Roman" w:eastAsia="方正黑体_GBK"/>
          <w:bCs/>
          <w:color w:val="000000"/>
          <w:spacing w:val="-2"/>
          <w:kern w:val="0"/>
          <w:sz w:val="28"/>
          <w:szCs w:val="28"/>
        </w:rPr>
        <w:t>滤 料 筛 分 析 原 始 记 录</w:t>
      </w:r>
    </w:p>
    <w:tbl>
      <w:tblPr>
        <w:tblStyle w:val="12"/>
        <w:tblW w:w="0" w:type="auto"/>
        <w:tblInd w:w="9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138"/>
        <w:gridCol w:w="434"/>
        <w:gridCol w:w="949"/>
        <w:gridCol w:w="825"/>
        <w:gridCol w:w="448"/>
        <w:gridCol w:w="1108"/>
        <w:gridCol w:w="38"/>
        <w:gridCol w:w="646"/>
        <w:gridCol w:w="548"/>
        <w:gridCol w:w="38"/>
        <w:gridCol w:w="187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1858" w:type="dxa"/>
            <w:gridSpan w:val="2"/>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收样日期</w:t>
            </w:r>
          </w:p>
        </w:tc>
        <w:tc>
          <w:tcPr>
            <w:tcW w:w="2208" w:type="dxa"/>
            <w:gridSpan w:val="3"/>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2240" w:type="dxa"/>
            <w:gridSpan w:val="4"/>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环境温</w:t>
            </w:r>
            <w:r>
              <w:rPr>
                <w:rFonts w:eastAsia="方正仿宋_GBK"/>
                <w:color w:val="000000"/>
                <w:spacing w:val="-2"/>
                <w:szCs w:val="21"/>
              </w:rPr>
              <w:t>/</w:t>
            </w:r>
            <w:r>
              <w:rPr>
                <w:rFonts w:hint="eastAsia" w:eastAsia="方正仿宋_GBK"/>
                <w:color w:val="000000"/>
                <w:spacing w:val="-2"/>
                <w:szCs w:val="21"/>
              </w:rPr>
              <w:t>湿度</w:t>
            </w:r>
          </w:p>
        </w:tc>
        <w:tc>
          <w:tcPr>
            <w:tcW w:w="2456" w:type="dxa"/>
            <w:gridSpan w:val="3"/>
            <w:tcBorders>
              <w:top w:val="single" w:color="auto" w:sz="8" w:space="0"/>
              <w:left w:val="single" w:color="auto" w:sz="4" w:space="0"/>
              <w:bottom w:val="single" w:color="auto" w:sz="4" w:space="0"/>
              <w:right w:val="single" w:color="auto" w:sz="8" w:space="0"/>
            </w:tcBorders>
            <w:noWrap w:val="0"/>
            <w:vAlign w:val="center"/>
          </w:tcPr>
          <w:p>
            <w:pPr>
              <w:ind w:firstLine="412" w:firstLineChars="200"/>
              <w:jc w:val="center"/>
              <w:rPr>
                <w:rFonts w:eastAsia="方正仿宋_GBK"/>
                <w:color w:val="000000"/>
                <w:spacing w:val="-2"/>
                <w:szCs w:val="21"/>
              </w:rPr>
            </w:pPr>
            <w:r>
              <w:rPr>
                <w:rFonts w:hint="eastAsia" w:ascii="Times New Roman" w:hAnsi="Times New Roman" w:cs="宋体"/>
                <w:color w:val="000000"/>
                <w:spacing w:val="-2"/>
                <w:szCs w:val="21"/>
              </w:rPr>
              <w:t>℃</w:t>
            </w:r>
            <w:r>
              <w:rPr>
                <w:rFonts w:eastAsia="方正仿宋_GBK"/>
                <w:color w:val="000000"/>
                <w:spacing w:val="-2"/>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1858" w:type="dxa"/>
            <w:gridSpan w:val="2"/>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样品编号</w:t>
            </w:r>
          </w:p>
        </w:tc>
        <w:tc>
          <w:tcPr>
            <w:tcW w:w="220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2240"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恒重温度</w:t>
            </w:r>
          </w:p>
        </w:tc>
        <w:tc>
          <w:tcPr>
            <w:tcW w:w="2456" w:type="dxa"/>
            <w:gridSpan w:val="3"/>
            <w:tcBorders>
              <w:top w:val="single" w:color="auto" w:sz="4" w:space="0"/>
              <w:left w:val="single" w:color="auto" w:sz="4" w:space="0"/>
              <w:bottom w:val="single" w:color="auto" w:sz="4" w:space="0"/>
              <w:right w:val="single" w:color="auto" w:sz="8" w:space="0"/>
            </w:tcBorders>
            <w:noWrap w:val="0"/>
            <w:vAlign w:val="center"/>
          </w:tcPr>
          <w:p>
            <w:pPr>
              <w:ind w:firstLine="824" w:firstLineChars="400"/>
              <w:jc w:val="center"/>
              <w:rPr>
                <w:rFonts w:eastAsia="方正仿宋_GBK"/>
                <w:color w:val="000000"/>
                <w:spacing w:val="-2"/>
                <w:szCs w:val="21"/>
              </w:rPr>
            </w:pPr>
            <w:r>
              <w:rPr>
                <w:rFonts w:hint="eastAsia" w:ascii="Times New Roman" w:hAnsi="Times New Roman" w:cs="宋体"/>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方正仿宋_GBK"/>
                <w:color w:val="000000"/>
                <w:spacing w:val="-2"/>
                <w:szCs w:val="21"/>
              </w:rPr>
            </w:pPr>
            <w:r>
              <w:rPr>
                <w:rFonts w:hint="eastAsia" w:eastAsia="方正仿宋_GBK"/>
                <w:color w:val="000000"/>
                <w:spacing w:val="-2"/>
                <w:szCs w:val="21"/>
              </w:rPr>
              <w:t>天平</w:t>
            </w:r>
          </w:p>
          <w:p>
            <w:pPr>
              <w:spacing w:line="240" w:lineRule="exact"/>
              <w:rPr>
                <w:rFonts w:eastAsia="方正仿宋_GBK"/>
                <w:color w:val="000000"/>
                <w:spacing w:val="-2"/>
                <w:szCs w:val="21"/>
              </w:rPr>
            </w:pPr>
            <w:r>
              <w:rPr>
                <w:rFonts w:hint="eastAsia" w:eastAsia="方正仿宋_GBK"/>
                <w:color w:val="000000"/>
                <w:spacing w:val="-2"/>
                <w:szCs w:val="21"/>
              </w:rPr>
              <w:t>型号</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1383"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eastAsia="方正仿宋_GBK"/>
                <w:color w:val="000000"/>
                <w:spacing w:val="-2"/>
                <w:szCs w:val="21"/>
              </w:rPr>
            </w:pPr>
            <w:r>
              <w:rPr>
                <w:rFonts w:hint="eastAsia" w:eastAsia="方正仿宋_GBK"/>
                <w:color w:val="000000"/>
                <w:spacing w:val="-2"/>
                <w:szCs w:val="21"/>
              </w:rPr>
              <w:t>天平编号</w:t>
            </w:r>
          </w:p>
        </w:tc>
        <w:tc>
          <w:tcPr>
            <w:tcW w:w="1273"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2340" w:type="dxa"/>
            <w:gridSpan w:val="4"/>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r>
              <w:rPr>
                <w:rFonts w:hint="eastAsia" w:eastAsia="方正仿宋_GBK"/>
                <w:color w:val="000000"/>
                <w:spacing w:val="-2"/>
                <w:szCs w:val="21"/>
              </w:rPr>
              <w:t>试样质量（</w:t>
            </w:r>
            <w:r>
              <w:rPr>
                <w:rFonts w:eastAsia="方正仿宋_GBK"/>
                <w:color w:val="000000"/>
                <w:spacing w:val="-2"/>
                <w:szCs w:val="21"/>
              </w:rPr>
              <w:t>g</w:t>
            </w:r>
            <w:r>
              <w:rPr>
                <w:rFonts w:hint="eastAsia" w:eastAsia="方正仿宋_GBK"/>
                <w:color w:val="000000"/>
                <w:spacing w:val="-2"/>
                <w:szCs w:val="21"/>
              </w:rPr>
              <w:t>）</w:t>
            </w: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firstLine="618" w:firstLineChars="30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720"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序号</w:t>
            </w:r>
          </w:p>
        </w:tc>
        <w:tc>
          <w:tcPr>
            <w:tcW w:w="1138" w:type="dxa"/>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筛孔径</w:t>
            </w:r>
          </w:p>
          <w:p>
            <w:pPr>
              <w:spacing w:line="360" w:lineRule="auto"/>
              <w:jc w:val="center"/>
              <w:rPr>
                <w:rFonts w:eastAsia="方正仿宋_GBK"/>
                <w:color w:val="000000"/>
                <w:spacing w:val="-2"/>
                <w:szCs w:val="21"/>
              </w:rPr>
            </w:pPr>
            <w:r>
              <w:rPr>
                <w:rFonts w:eastAsia="方正仿宋_GBK"/>
                <w:color w:val="000000"/>
                <w:spacing w:val="-2"/>
                <w:szCs w:val="21"/>
              </w:rPr>
              <w:t>(mm)</w:t>
            </w:r>
          </w:p>
        </w:tc>
        <w:tc>
          <w:tcPr>
            <w:tcW w:w="3764"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r>
              <w:rPr>
                <w:rFonts w:hint="eastAsia" w:eastAsia="方正仿宋_GBK"/>
                <w:color w:val="000000"/>
                <w:spacing w:val="-2"/>
                <w:szCs w:val="21"/>
              </w:rPr>
              <w:t>截留在筛上的试样质量（</w:t>
            </w:r>
            <w:r>
              <w:rPr>
                <w:rFonts w:eastAsia="方正仿宋_GBK"/>
                <w:color w:val="000000"/>
                <w:spacing w:val="-2"/>
                <w:szCs w:val="21"/>
              </w:rPr>
              <w:t>g</w:t>
            </w:r>
            <w:r>
              <w:rPr>
                <w:rFonts w:hint="eastAsia" w:eastAsia="方正仿宋_GBK"/>
                <w:color w:val="000000"/>
                <w:spacing w:val="-2"/>
                <w:szCs w:val="21"/>
              </w:rPr>
              <w:t>）</w:t>
            </w:r>
          </w:p>
        </w:tc>
        <w:tc>
          <w:tcPr>
            <w:tcW w:w="3140" w:type="dxa"/>
            <w:gridSpan w:val="5"/>
            <w:tcBorders>
              <w:top w:val="single" w:color="auto" w:sz="4" w:space="0"/>
              <w:left w:val="single" w:color="auto" w:sz="4" w:space="0"/>
              <w:bottom w:val="single" w:color="auto" w:sz="4" w:space="0"/>
              <w:right w:val="single" w:color="auto" w:sz="8" w:space="0"/>
            </w:tcBorders>
            <w:noWrap w:val="0"/>
            <w:vAlign w:val="center"/>
          </w:tcPr>
          <w:p>
            <w:pPr>
              <w:spacing w:line="360" w:lineRule="auto"/>
              <w:ind w:left="420"/>
              <w:jc w:val="center"/>
              <w:rPr>
                <w:rFonts w:eastAsia="方正仿宋_GBK"/>
                <w:color w:val="000000"/>
                <w:spacing w:val="-2"/>
                <w:szCs w:val="21"/>
              </w:rPr>
            </w:pPr>
            <w:r>
              <w:rPr>
                <w:rFonts w:hint="eastAsia" w:eastAsia="方正仿宋_GBK"/>
                <w:color w:val="000000"/>
                <w:spacing w:val="-2"/>
                <w:szCs w:val="21"/>
              </w:rPr>
              <w:t>通过筛子的试样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13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3764"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eastAsia="方正仿宋_GBK"/>
                <w:color w:val="000000"/>
                <w:spacing w:val="-2"/>
                <w:szCs w:val="21"/>
              </w:rPr>
            </w:pPr>
            <w:r>
              <w:rPr>
                <w:rFonts w:hint="eastAsia" w:eastAsia="方正仿宋_GBK"/>
                <w:color w:val="000000"/>
                <w:spacing w:val="-2"/>
                <w:szCs w:val="21"/>
              </w:rPr>
              <w:t>质量（</w:t>
            </w:r>
            <w:r>
              <w:rPr>
                <w:rFonts w:eastAsia="方正仿宋_GBK"/>
                <w:color w:val="000000"/>
                <w:spacing w:val="-2"/>
                <w:szCs w:val="21"/>
              </w:rPr>
              <w:t>g</w:t>
            </w:r>
            <w:r>
              <w:rPr>
                <w:rFonts w:hint="eastAsia" w:eastAsia="方正仿宋_GBK"/>
                <w:color w:val="000000"/>
                <w:spacing w:val="-2"/>
                <w:szCs w:val="21"/>
              </w:rPr>
              <w:t>）</w:t>
            </w:r>
          </w:p>
        </w:tc>
        <w:tc>
          <w:tcPr>
            <w:tcW w:w="1908" w:type="dxa"/>
            <w:gridSpan w:val="2"/>
            <w:tcBorders>
              <w:top w:val="single" w:color="auto" w:sz="4" w:space="0"/>
              <w:left w:val="single" w:color="auto" w:sz="4" w:space="0"/>
              <w:bottom w:val="single" w:color="auto" w:sz="4" w:space="0"/>
              <w:right w:val="single" w:color="auto" w:sz="8" w:space="0"/>
            </w:tcBorders>
            <w:noWrap w:val="0"/>
            <w:vAlign w:val="center"/>
          </w:tcPr>
          <w:p>
            <w:pPr>
              <w:spacing w:line="360" w:lineRule="auto"/>
              <w:rPr>
                <w:rFonts w:eastAsia="方正仿宋_GBK"/>
                <w:color w:val="000000"/>
                <w:spacing w:val="-2"/>
                <w:szCs w:val="21"/>
              </w:rPr>
            </w:pPr>
            <w:r>
              <w:rPr>
                <w:rFonts w:hint="eastAsia" w:eastAsia="方正仿宋_GBK"/>
                <w:color w:val="000000"/>
                <w:spacing w:val="-2"/>
                <w:szCs w:val="21"/>
              </w:rPr>
              <w:t>百分数（</w:t>
            </w:r>
            <w:r>
              <w:rPr>
                <w:rFonts w:eastAsia="方正仿宋_GBK"/>
                <w:color w:val="000000"/>
                <w:spacing w:val="-2"/>
                <w:szCs w:val="21"/>
              </w:rPr>
              <w:t>%</w:t>
            </w:r>
            <w:r>
              <w:rPr>
                <w:rFonts w:hint="eastAsia"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1</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2</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3</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4</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5</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6</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7</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8</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9</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10</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11</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12</w:t>
            </w:r>
          </w:p>
        </w:tc>
        <w:tc>
          <w:tcPr>
            <w:tcW w:w="113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3764" w:type="dxa"/>
            <w:gridSpan w:val="5"/>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32"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908" w:type="dxa"/>
            <w:gridSpan w:val="2"/>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720"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eastAsia="方正仿宋_GBK"/>
                <w:color w:val="000000"/>
                <w:spacing w:val="-2"/>
                <w:szCs w:val="21"/>
              </w:rPr>
              <w:t>d</w:t>
            </w:r>
            <w:r>
              <w:rPr>
                <w:rFonts w:eastAsia="方正仿宋_GBK"/>
                <w:color w:val="000000"/>
                <w:spacing w:val="-2"/>
                <w:szCs w:val="21"/>
                <w:vertAlign w:val="subscript"/>
              </w:rPr>
              <w:t>10</w:t>
            </w:r>
            <w:r>
              <w:rPr>
                <w:rFonts w:eastAsia="方正仿宋_GBK"/>
                <w:color w:val="000000"/>
                <w:spacing w:val="-2"/>
                <w:szCs w:val="21"/>
              </w:rPr>
              <w:t>=</w:t>
            </w:r>
          </w:p>
        </w:tc>
        <w:tc>
          <w:tcPr>
            <w:tcW w:w="1572"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r>
              <w:rPr>
                <w:rFonts w:eastAsia="方正仿宋_GBK"/>
                <w:color w:val="000000"/>
                <w:spacing w:val="-2"/>
                <w:szCs w:val="21"/>
              </w:rPr>
              <w:t>d</w:t>
            </w:r>
            <w:r>
              <w:rPr>
                <w:rFonts w:eastAsia="方正仿宋_GBK"/>
                <w:color w:val="000000"/>
                <w:spacing w:val="-2"/>
                <w:szCs w:val="21"/>
                <w:vertAlign w:val="subscript"/>
              </w:rPr>
              <w:t>50</w:t>
            </w:r>
            <w:r>
              <w:rPr>
                <w:rFonts w:eastAsia="方正仿宋_GBK"/>
                <w:color w:val="000000"/>
                <w:spacing w:val="-2"/>
                <w:szCs w:val="21"/>
              </w:rPr>
              <w:t>=</w:t>
            </w:r>
          </w:p>
        </w:tc>
        <w:tc>
          <w:tcPr>
            <w:tcW w:w="1774"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r>
              <w:rPr>
                <w:rFonts w:eastAsia="方正仿宋_GBK"/>
                <w:color w:val="000000"/>
                <w:spacing w:val="-2"/>
                <w:szCs w:val="21"/>
              </w:rPr>
              <w:t>d</w:t>
            </w:r>
            <w:r>
              <w:rPr>
                <w:rFonts w:eastAsia="方正仿宋_GBK"/>
                <w:color w:val="000000"/>
                <w:spacing w:val="-2"/>
                <w:szCs w:val="21"/>
                <w:vertAlign w:val="subscript"/>
              </w:rPr>
              <w:t>60</w:t>
            </w:r>
            <w:r>
              <w:rPr>
                <w:rFonts w:eastAsia="方正仿宋_GBK"/>
                <w:color w:val="000000"/>
                <w:spacing w:val="-2"/>
                <w:szCs w:val="21"/>
              </w:rPr>
              <w:t>=</w:t>
            </w:r>
          </w:p>
        </w:tc>
        <w:tc>
          <w:tcPr>
            <w:tcW w:w="1594"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r>
              <w:rPr>
                <w:rFonts w:eastAsia="方正仿宋_GBK"/>
                <w:color w:val="000000"/>
                <w:spacing w:val="-2"/>
                <w:szCs w:val="21"/>
              </w:rPr>
              <w:t>d</w:t>
            </w:r>
            <w:r>
              <w:rPr>
                <w:rFonts w:eastAsia="方正仿宋_GBK"/>
                <w:color w:val="000000"/>
                <w:spacing w:val="-2"/>
                <w:szCs w:val="21"/>
                <w:vertAlign w:val="subscript"/>
              </w:rPr>
              <w:t>80</w:t>
            </w:r>
            <w:r>
              <w:rPr>
                <w:rFonts w:eastAsia="方正仿宋_GBK"/>
                <w:color w:val="000000"/>
                <w:spacing w:val="-2"/>
                <w:szCs w:val="21"/>
              </w:rPr>
              <w:t>=</w:t>
            </w:r>
          </w:p>
        </w:tc>
        <w:tc>
          <w:tcPr>
            <w:tcW w:w="1232"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r>
              <w:rPr>
                <w:rFonts w:eastAsia="方正仿宋_GBK"/>
                <w:color w:val="000000"/>
                <w:spacing w:val="-2"/>
                <w:szCs w:val="21"/>
              </w:rPr>
              <w:t>k</w:t>
            </w:r>
            <w:r>
              <w:rPr>
                <w:rFonts w:eastAsia="方正仿宋_GBK"/>
                <w:color w:val="000000"/>
                <w:spacing w:val="-2"/>
                <w:szCs w:val="21"/>
                <w:vertAlign w:val="subscript"/>
              </w:rPr>
              <w:t>80</w:t>
            </w:r>
            <w:r>
              <w:rPr>
                <w:rFonts w:eastAsia="方正仿宋_GBK"/>
                <w:color w:val="000000"/>
                <w:spacing w:val="-2"/>
                <w:szCs w:val="21"/>
              </w:rPr>
              <w:t>=</w:t>
            </w:r>
          </w:p>
        </w:tc>
        <w:tc>
          <w:tcPr>
            <w:tcW w:w="1870" w:type="dxa"/>
            <w:tcBorders>
              <w:top w:val="single" w:color="auto" w:sz="4" w:space="0"/>
              <w:left w:val="single" w:color="auto" w:sz="4" w:space="0"/>
              <w:bottom w:val="single" w:color="auto" w:sz="4" w:space="0"/>
              <w:right w:val="single" w:color="auto" w:sz="8" w:space="0"/>
            </w:tcBorders>
            <w:noWrap w:val="0"/>
            <w:vAlign w:val="center"/>
          </w:tcPr>
          <w:p>
            <w:pPr>
              <w:spacing w:line="360" w:lineRule="auto"/>
              <w:ind w:left="420"/>
              <w:jc w:val="center"/>
              <w:rPr>
                <w:rFonts w:eastAsia="方正仿宋_GBK"/>
                <w:color w:val="000000"/>
                <w:spacing w:val="-2"/>
                <w:szCs w:val="21"/>
              </w:rPr>
            </w:pPr>
            <w:r>
              <w:rPr>
                <w:rFonts w:eastAsia="方正仿宋_GBK"/>
                <w:color w:val="000000"/>
                <w:spacing w:val="-2"/>
                <w:szCs w:val="21"/>
              </w:rPr>
              <w:t>k</w:t>
            </w:r>
            <w:r>
              <w:rPr>
                <w:rFonts w:eastAsia="方正仿宋_GBK"/>
                <w:color w:val="000000"/>
                <w:spacing w:val="-2"/>
                <w:szCs w:val="21"/>
                <w:vertAlign w:val="subscript"/>
              </w:rPr>
              <w:t>60</w:t>
            </w: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720" w:type="dxa"/>
            <w:tcBorders>
              <w:top w:val="single" w:color="auto" w:sz="4" w:space="0"/>
              <w:left w:val="single" w:color="auto" w:sz="8" w:space="0"/>
              <w:bottom w:val="single" w:color="auto" w:sz="8"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备</w:t>
            </w:r>
            <w:r>
              <w:rPr>
                <w:rFonts w:eastAsia="方正仿宋_GBK"/>
                <w:color w:val="000000"/>
                <w:spacing w:val="-2"/>
                <w:szCs w:val="21"/>
              </w:rPr>
              <w:t xml:space="preserve">  </w:t>
            </w:r>
            <w:r>
              <w:rPr>
                <w:rFonts w:hint="eastAsia" w:eastAsia="方正仿宋_GBK"/>
                <w:color w:val="000000"/>
                <w:spacing w:val="-2"/>
                <w:szCs w:val="21"/>
              </w:rPr>
              <w:t>注</w:t>
            </w:r>
          </w:p>
        </w:tc>
        <w:tc>
          <w:tcPr>
            <w:tcW w:w="8042" w:type="dxa"/>
            <w:gridSpan w:val="11"/>
            <w:tcBorders>
              <w:top w:val="single" w:color="auto" w:sz="4" w:space="0"/>
              <w:left w:val="single" w:color="auto" w:sz="4" w:space="0"/>
              <w:bottom w:val="single" w:color="auto" w:sz="8" w:space="0"/>
              <w:right w:val="single" w:color="auto" w:sz="8" w:space="0"/>
            </w:tcBorders>
            <w:noWrap w:val="0"/>
            <w:vAlign w:val="top"/>
          </w:tcPr>
          <w:p>
            <w:pPr>
              <w:spacing w:line="360" w:lineRule="auto"/>
              <w:ind w:left="420"/>
              <w:rPr>
                <w:rFonts w:eastAsia="方正仿宋_GBK"/>
                <w:color w:val="000000"/>
                <w:spacing w:val="-2"/>
                <w:szCs w:val="21"/>
              </w:rPr>
            </w:pPr>
          </w:p>
          <w:p>
            <w:pPr>
              <w:spacing w:line="360" w:lineRule="auto"/>
              <w:ind w:left="420"/>
              <w:rPr>
                <w:rFonts w:eastAsia="方正仿宋_GBK"/>
                <w:color w:val="000000"/>
                <w:spacing w:val="-2"/>
                <w:szCs w:val="21"/>
              </w:rPr>
            </w:pPr>
          </w:p>
        </w:tc>
      </w:tr>
    </w:tbl>
    <w:p>
      <w:pPr>
        <w:rPr>
          <w:rFonts w:hint="eastAsia" w:eastAsia="方正仿宋_GBK"/>
          <w:color w:val="000000"/>
          <w:spacing w:val="-2"/>
          <w:szCs w:val="21"/>
        </w:rPr>
      </w:pPr>
      <w:r>
        <w:rPr>
          <w:rFonts w:hint="eastAsia" w:eastAsia="方正仿宋_GBK"/>
          <w:color w:val="000000"/>
          <w:spacing w:val="-2"/>
          <w:szCs w:val="21"/>
        </w:rPr>
        <w:t>校核人：</w:t>
      </w:r>
      <w:r>
        <w:rPr>
          <w:rFonts w:eastAsia="方正仿宋_GBK"/>
          <w:color w:val="000000"/>
          <w:spacing w:val="-2"/>
          <w:szCs w:val="21"/>
        </w:rPr>
        <w:t xml:space="preserve">                        </w:t>
      </w:r>
      <w:r>
        <w:rPr>
          <w:rFonts w:hint="eastAsia" w:eastAsia="方正仿宋_GBK"/>
          <w:color w:val="000000"/>
          <w:spacing w:val="-2"/>
          <w:szCs w:val="21"/>
        </w:rPr>
        <w:t>检测人：</w:t>
      </w:r>
      <w:r>
        <w:rPr>
          <w:rFonts w:eastAsia="方正仿宋_GBK"/>
          <w:color w:val="000000"/>
          <w:spacing w:val="-2"/>
          <w:szCs w:val="21"/>
        </w:rPr>
        <w:t xml:space="preserve">                 </w:t>
      </w:r>
      <w:r>
        <w:rPr>
          <w:rFonts w:hint="eastAsia" w:eastAsia="方正仿宋_GBK"/>
          <w:color w:val="000000"/>
          <w:spacing w:val="-2"/>
          <w:szCs w:val="21"/>
        </w:rPr>
        <w:t>检测日期：</w:t>
      </w:r>
    </w:p>
    <w:p>
      <w:pPr>
        <w:spacing w:line="460" w:lineRule="exact"/>
        <w:rPr>
          <w:rFonts w:ascii="Times New Roman" w:eastAsia="方正黑体_GBK"/>
          <w:color w:val="000000"/>
          <w:spacing w:val="-2"/>
          <w:sz w:val="28"/>
          <w:szCs w:val="28"/>
        </w:rPr>
      </w:pPr>
      <w:r>
        <w:rPr>
          <w:rFonts w:eastAsia="仿宋_GB2312"/>
          <w:color w:val="000000"/>
          <w:spacing w:val="-2"/>
          <w:sz w:val="32"/>
          <w:szCs w:val="32"/>
        </w:rPr>
        <w:br w:type="column"/>
      </w:r>
      <w:r>
        <w:rPr>
          <w:rFonts w:hint="eastAsia" w:ascii="Times New Roman" w:eastAsia="方正黑体_GBK"/>
          <w:color w:val="000000"/>
          <w:spacing w:val="-2"/>
          <w:sz w:val="28"/>
          <w:szCs w:val="28"/>
        </w:rPr>
        <w:t>附表5：</w:t>
      </w:r>
    </w:p>
    <w:p>
      <w:pPr>
        <w:spacing w:line="360" w:lineRule="auto"/>
        <w:jc w:val="center"/>
        <w:rPr>
          <w:rFonts w:hint="eastAsia" w:ascii="Times New Roman" w:hAnsi="Times New Roman" w:eastAsia="方正黑体_GBK"/>
          <w:bCs/>
          <w:color w:val="000000"/>
          <w:spacing w:val="-2"/>
          <w:kern w:val="0"/>
          <w:sz w:val="28"/>
          <w:szCs w:val="28"/>
        </w:rPr>
      </w:pPr>
      <w:r>
        <w:rPr>
          <w:rFonts w:hint="eastAsia" w:ascii="Times New Roman" w:hAnsi="Times New Roman" w:eastAsia="方正黑体_GBK"/>
          <w:bCs/>
          <w:color w:val="000000"/>
          <w:spacing w:val="-2"/>
          <w:kern w:val="0"/>
          <w:sz w:val="28"/>
          <w:szCs w:val="28"/>
        </w:rPr>
        <w:t>滤 料 分 析 原 始 记 录</w:t>
      </w:r>
    </w:p>
    <w:tbl>
      <w:tblPr>
        <w:tblStyle w:val="12"/>
        <w:tblW w:w="0" w:type="auto"/>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87"/>
        <w:gridCol w:w="754"/>
        <w:gridCol w:w="490"/>
        <w:gridCol w:w="286"/>
        <w:gridCol w:w="821"/>
        <w:gridCol w:w="818"/>
        <w:gridCol w:w="364"/>
        <w:gridCol w:w="1250"/>
        <w:gridCol w:w="498"/>
        <w:gridCol w:w="818"/>
        <w:gridCol w:w="156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841" w:type="dxa"/>
            <w:gridSpan w:val="2"/>
            <w:tcBorders>
              <w:top w:val="single" w:color="auto" w:sz="8"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收样日期</w:t>
            </w:r>
          </w:p>
        </w:tc>
        <w:tc>
          <w:tcPr>
            <w:tcW w:w="2415" w:type="dxa"/>
            <w:gridSpan w:val="4"/>
            <w:tcBorders>
              <w:top w:val="single" w:color="auto" w:sz="8"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p>
        </w:tc>
        <w:tc>
          <w:tcPr>
            <w:tcW w:w="2112" w:type="dxa"/>
            <w:gridSpan w:val="3"/>
            <w:tcBorders>
              <w:top w:val="single" w:color="auto" w:sz="8"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环境温</w:t>
            </w:r>
            <w:r>
              <w:rPr>
                <w:rFonts w:eastAsia="方正仿宋_GBK"/>
                <w:color w:val="000000"/>
                <w:spacing w:val="-2"/>
                <w:szCs w:val="21"/>
              </w:rPr>
              <w:t>/</w:t>
            </w:r>
            <w:r>
              <w:rPr>
                <w:rFonts w:hint="eastAsia" w:eastAsia="方正仿宋_GBK"/>
                <w:color w:val="000000"/>
                <w:spacing w:val="-2"/>
                <w:szCs w:val="21"/>
              </w:rPr>
              <w:t>湿度</w:t>
            </w:r>
          </w:p>
        </w:tc>
        <w:tc>
          <w:tcPr>
            <w:tcW w:w="2378" w:type="dxa"/>
            <w:gridSpan w:val="2"/>
            <w:tcBorders>
              <w:top w:val="single" w:color="auto" w:sz="8" w:space="0"/>
              <w:left w:val="single" w:color="auto" w:sz="4" w:space="0"/>
              <w:bottom w:val="single" w:color="auto" w:sz="4" w:space="0"/>
              <w:right w:val="single" w:color="auto" w:sz="8" w:space="0"/>
            </w:tcBorders>
            <w:noWrap w:val="0"/>
            <w:vAlign w:val="center"/>
          </w:tcPr>
          <w:p>
            <w:pPr>
              <w:spacing w:line="360" w:lineRule="auto"/>
              <w:ind w:left="420"/>
              <w:jc w:val="center"/>
              <w:rPr>
                <w:rFonts w:eastAsia="方正仿宋_GBK"/>
                <w:color w:val="000000"/>
                <w:spacing w:val="-2"/>
                <w:szCs w:val="21"/>
              </w:rPr>
            </w:pPr>
            <w:r>
              <w:rPr>
                <w:rFonts w:hint="eastAsia" w:ascii="Times New Roman" w:hAnsi="Times New Roman" w:cs="宋体"/>
                <w:color w:val="000000"/>
                <w:spacing w:val="-2"/>
                <w:szCs w:val="21"/>
              </w:rPr>
              <w:t>℃</w:t>
            </w:r>
            <w:r>
              <w:rPr>
                <w:rFonts w:eastAsia="方正仿宋_GBK"/>
                <w:color w:val="000000"/>
                <w:spacing w:val="-2"/>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1841" w:type="dxa"/>
            <w:gridSpan w:val="2"/>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分析项目</w:t>
            </w:r>
          </w:p>
        </w:tc>
        <w:tc>
          <w:tcPr>
            <w:tcW w:w="2415" w:type="dxa"/>
            <w:gridSpan w:val="4"/>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p>
        </w:tc>
        <w:tc>
          <w:tcPr>
            <w:tcW w:w="2112"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恒重温度</w:t>
            </w:r>
          </w:p>
        </w:tc>
        <w:tc>
          <w:tcPr>
            <w:tcW w:w="2378" w:type="dxa"/>
            <w:gridSpan w:val="2"/>
            <w:tcBorders>
              <w:top w:val="single" w:color="auto" w:sz="4" w:space="0"/>
              <w:left w:val="single" w:color="auto" w:sz="4" w:space="0"/>
              <w:bottom w:val="single" w:color="auto" w:sz="4" w:space="0"/>
              <w:right w:val="single" w:color="auto" w:sz="8" w:space="0"/>
            </w:tcBorders>
            <w:noWrap w:val="0"/>
            <w:vAlign w:val="center"/>
          </w:tcPr>
          <w:p>
            <w:pPr>
              <w:spacing w:line="360" w:lineRule="auto"/>
              <w:ind w:left="420"/>
              <w:jc w:val="center"/>
              <w:rPr>
                <w:rFonts w:eastAsia="方正仿宋_GBK"/>
                <w:color w:val="000000"/>
                <w:spacing w:val="-2"/>
                <w:szCs w:val="21"/>
              </w:rPr>
            </w:pPr>
            <w:r>
              <w:rPr>
                <w:rFonts w:eastAsia="方正仿宋_GBK"/>
                <w:color w:val="000000"/>
                <w:spacing w:val="-2"/>
                <w:szCs w:val="21"/>
              </w:rPr>
              <w:t xml:space="preserve">   </w:t>
            </w:r>
            <w:r>
              <w:rPr>
                <w:rFonts w:hint="eastAsia" w:ascii="Times New Roman" w:hAnsi="Times New Roman" w:cs="宋体"/>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1087" w:type="dxa"/>
            <w:tcBorders>
              <w:top w:val="single" w:color="auto" w:sz="4" w:space="0"/>
              <w:left w:val="single" w:color="auto" w:sz="8" w:space="0"/>
              <w:bottom w:val="single" w:color="auto" w:sz="4" w:space="0"/>
              <w:right w:val="single" w:color="auto" w:sz="4" w:space="0"/>
            </w:tcBorders>
            <w:noWrap w:val="0"/>
            <w:vAlign w:val="center"/>
          </w:tcPr>
          <w:p>
            <w:pPr>
              <w:spacing w:line="360" w:lineRule="auto"/>
              <w:rPr>
                <w:rFonts w:eastAsia="方正仿宋_GBK"/>
                <w:color w:val="000000"/>
                <w:spacing w:val="-2"/>
                <w:szCs w:val="21"/>
              </w:rPr>
            </w:pPr>
            <w:r>
              <w:rPr>
                <w:rFonts w:hint="eastAsia" w:eastAsia="方正仿宋_GBK"/>
                <w:color w:val="000000"/>
                <w:spacing w:val="-2"/>
                <w:szCs w:val="21"/>
              </w:rPr>
              <w:t>天平型号</w:t>
            </w:r>
          </w:p>
        </w:tc>
        <w:tc>
          <w:tcPr>
            <w:tcW w:w="1530"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1639"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r>
              <w:rPr>
                <w:rFonts w:hint="eastAsia" w:eastAsia="方正仿宋_GBK"/>
                <w:color w:val="000000"/>
                <w:spacing w:val="-2"/>
                <w:szCs w:val="21"/>
              </w:rPr>
              <w:t>天平编号</w:t>
            </w:r>
          </w:p>
        </w:tc>
        <w:tc>
          <w:tcPr>
            <w:tcW w:w="1614"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ind w:left="420"/>
              <w:jc w:val="center"/>
              <w:rPr>
                <w:rFonts w:eastAsia="方正仿宋_GBK"/>
                <w:color w:val="000000"/>
                <w:spacing w:val="-2"/>
                <w:szCs w:val="21"/>
              </w:rPr>
            </w:pPr>
          </w:p>
        </w:tc>
        <w:tc>
          <w:tcPr>
            <w:tcW w:w="1316"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eastAsia="方正仿宋_GBK"/>
                <w:color w:val="000000"/>
                <w:spacing w:val="-2"/>
                <w:szCs w:val="21"/>
              </w:rPr>
            </w:pPr>
            <w:r>
              <w:rPr>
                <w:rFonts w:hint="eastAsia" w:eastAsia="方正仿宋_GBK"/>
                <w:color w:val="000000"/>
                <w:spacing w:val="-2"/>
                <w:szCs w:val="21"/>
              </w:rPr>
              <w:t>天平感量</w:t>
            </w:r>
          </w:p>
        </w:tc>
        <w:tc>
          <w:tcPr>
            <w:tcW w:w="1560" w:type="dxa"/>
            <w:tcBorders>
              <w:top w:val="single" w:color="auto" w:sz="4" w:space="0"/>
              <w:left w:val="single" w:color="auto" w:sz="4" w:space="0"/>
              <w:bottom w:val="single" w:color="auto" w:sz="4" w:space="0"/>
              <w:right w:val="single" w:color="auto" w:sz="8" w:space="0"/>
            </w:tcBorders>
            <w:noWrap w:val="0"/>
            <w:vAlign w:val="center"/>
          </w:tcPr>
          <w:p>
            <w:pPr>
              <w:spacing w:line="360" w:lineRule="auto"/>
              <w:ind w:left="42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9" w:hRule="atLeast"/>
        </w:trPr>
        <w:tc>
          <w:tcPr>
            <w:tcW w:w="1087" w:type="dxa"/>
            <w:tcBorders>
              <w:top w:val="single" w:color="auto" w:sz="4" w:space="0"/>
              <w:left w:val="single" w:color="auto" w:sz="8" w:space="0"/>
              <w:bottom w:val="single" w:color="auto" w:sz="4" w:space="0"/>
              <w:right w:val="single" w:color="auto" w:sz="4" w:space="0"/>
            </w:tcBorders>
            <w:noWrap w:val="0"/>
            <w:vAlign w:val="center"/>
          </w:tcPr>
          <w:p>
            <w:pPr>
              <w:spacing w:line="360" w:lineRule="auto"/>
              <w:rPr>
                <w:rFonts w:eastAsia="方正仿宋_GBK"/>
                <w:color w:val="000000"/>
                <w:spacing w:val="-2"/>
                <w:szCs w:val="21"/>
              </w:rPr>
            </w:pPr>
            <w:r>
              <w:rPr>
                <w:rFonts w:hint="eastAsia" w:eastAsia="方正仿宋_GBK"/>
                <w:color w:val="000000"/>
                <w:spacing w:val="-2"/>
                <w:szCs w:val="21"/>
              </w:rPr>
              <w:t>样品编号</w:t>
            </w:r>
          </w:p>
        </w:tc>
        <w:tc>
          <w:tcPr>
            <w:tcW w:w="1244"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洗前重量</w:t>
            </w:r>
            <w:r>
              <w:rPr>
                <w:rFonts w:eastAsia="方正仿宋_GBK"/>
                <w:color w:val="000000"/>
                <w:spacing w:val="-2"/>
                <w:szCs w:val="21"/>
              </w:rPr>
              <w:t>G(g)</w:t>
            </w:r>
          </w:p>
        </w:tc>
        <w:tc>
          <w:tcPr>
            <w:tcW w:w="1107"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洗后重量</w:t>
            </w:r>
          </w:p>
          <w:p>
            <w:pPr>
              <w:spacing w:line="360" w:lineRule="auto"/>
              <w:jc w:val="center"/>
              <w:rPr>
                <w:rFonts w:eastAsia="方正仿宋_GBK"/>
                <w:color w:val="000000"/>
                <w:spacing w:val="-2"/>
                <w:szCs w:val="21"/>
              </w:rPr>
            </w:pPr>
            <w:r>
              <w:rPr>
                <w:rFonts w:eastAsia="方正仿宋_GBK"/>
                <w:color w:val="000000"/>
                <w:spacing w:val="-2"/>
                <w:szCs w:val="21"/>
              </w:rPr>
              <w:t>G</w:t>
            </w:r>
            <w:r>
              <w:rPr>
                <w:rFonts w:eastAsia="方正仿宋_GBK"/>
                <w:color w:val="000000"/>
                <w:spacing w:val="-2"/>
                <w:szCs w:val="21"/>
                <w:vertAlign w:val="subscript"/>
              </w:rPr>
              <w:t>1</w:t>
            </w:r>
            <w:r>
              <w:rPr>
                <w:rFonts w:eastAsia="方正仿宋_GBK"/>
                <w:color w:val="000000"/>
                <w:spacing w:val="-2"/>
                <w:szCs w:val="21"/>
              </w:rPr>
              <w:t xml:space="preserve"> (g)</w:t>
            </w:r>
          </w:p>
        </w:tc>
        <w:tc>
          <w:tcPr>
            <w:tcW w:w="1182"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含泥量</w:t>
            </w:r>
          </w:p>
          <w:p>
            <w:pPr>
              <w:spacing w:line="360" w:lineRule="auto"/>
              <w:jc w:val="center"/>
              <w:rPr>
                <w:rFonts w:eastAsia="方正仿宋_GBK"/>
                <w:color w:val="000000"/>
                <w:spacing w:val="-2"/>
                <w:szCs w:val="21"/>
              </w:rPr>
            </w:pPr>
            <w:r>
              <w:rPr>
                <w:rFonts w:hint="eastAsia" w:eastAsia="方正仿宋_GBK"/>
                <w:color w:val="000000"/>
                <w:spacing w:val="-2"/>
                <w:szCs w:val="21"/>
              </w:rPr>
              <w:t>（</w:t>
            </w:r>
            <w:r>
              <w:rPr>
                <w:rFonts w:eastAsia="方正仿宋_GBK"/>
                <w:color w:val="000000"/>
                <w:spacing w:val="-2"/>
                <w:szCs w:val="21"/>
              </w:rPr>
              <w:t>%</w:t>
            </w:r>
            <w:r>
              <w:rPr>
                <w:rFonts w:hint="eastAsia" w:eastAsia="方正仿宋_GBK"/>
                <w:color w:val="000000"/>
                <w:spacing w:val="-2"/>
                <w:szCs w:val="21"/>
              </w:rPr>
              <w:t>）</w:t>
            </w:r>
          </w:p>
        </w:tc>
        <w:tc>
          <w:tcPr>
            <w:tcW w:w="12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加酸前砂重</w:t>
            </w:r>
            <w:r>
              <w:rPr>
                <w:rFonts w:eastAsia="方正仿宋_GBK"/>
                <w:color w:val="000000"/>
                <w:spacing w:val="-2"/>
                <w:szCs w:val="21"/>
              </w:rPr>
              <w:t>M(g)</w:t>
            </w:r>
          </w:p>
        </w:tc>
        <w:tc>
          <w:tcPr>
            <w:tcW w:w="1316"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加酸后砂重</w:t>
            </w:r>
            <w:r>
              <w:rPr>
                <w:rFonts w:eastAsia="方正仿宋_GBK"/>
                <w:color w:val="000000"/>
                <w:spacing w:val="-2"/>
                <w:szCs w:val="21"/>
              </w:rPr>
              <w:t>M</w:t>
            </w:r>
            <w:r>
              <w:rPr>
                <w:rFonts w:eastAsia="方正仿宋_GBK"/>
                <w:color w:val="000000"/>
                <w:spacing w:val="-2"/>
                <w:szCs w:val="21"/>
                <w:vertAlign w:val="subscript"/>
              </w:rPr>
              <w:t xml:space="preserve">1 </w:t>
            </w:r>
            <w:r>
              <w:rPr>
                <w:rFonts w:eastAsia="方正仿宋_GBK"/>
                <w:color w:val="000000"/>
                <w:spacing w:val="-2"/>
                <w:szCs w:val="21"/>
              </w:rPr>
              <w:t>(g)</w:t>
            </w:r>
          </w:p>
        </w:tc>
        <w:tc>
          <w:tcPr>
            <w:tcW w:w="1560" w:type="dxa"/>
            <w:tcBorders>
              <w:top w:val="single" w:color="auto" w:sz="4" w:space="0"/>
              <w:left w:val="single" w:color="auto" w:sz="4" w:space="0"/>
              <w:bottom w:val="single" w:color="auto" w:sz="4" w:space="0"/>
              <w:right w:val="single" w:color="auto" w:sz="8"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盐酸可溶率</w:t>
            </w:r>
            <w:r>
              <w:rPr>
                <w:rFonts w:eastAsia="方正仿宋_GBK"/>
                <w:color w:val="000000"/>
                <w:spacing w:val="-2"/>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1087" w:type="dxa"/>
            <w:tcBorders>
              <w:top w:val="single" w:color="auto" w:sz="4" w:space="0"/>
              <w:left w:val="single" w:color="auto" w:sz="8"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4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0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82"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50"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316"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560" w:type="dxa"/>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1087" w:type="dxa"/>
            <w:tcBorders>
              <w:top w:val="single" w:color="auto" w:sz="4" w:space="0"/>
              <w:left w:val="single" w:color="auto" w:sz="8"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4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0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82"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50"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316"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560" w:type="dxa"/>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1087" w:type="dxa"/>
            <w:tcBorders>
              <w:top w:val="single" w:color="auto" w:sz="4" w:space="0"/>
              <w:left w:val="single" w:color="auto" w:sz="8"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4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0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82"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50"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316"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560" w:type="dxa"/>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1087" w:type="dxa"/>
            <w:tcBorders>
              <w:top w:val="single" w:color="auto" w:sz="4" w:space="0"/>
              <w:left w:val="single" w:color="auto" w:sz="8"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4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0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82"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50"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316"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560" w:type="dxa"/>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1087" w:type="dxa"/>
            <w:tcBorders>
              <w:top w:val="single" w:color="auto" w:sz="4" w:space="0"/>
              <w:left w:val="single" w:color="auto" w:sz="8"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4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0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82"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50"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316"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560" w:type="dxa"/>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1087" w:type="dxa"/>
            <w:tcBorders>
              <w:top w:val="single" w:color="auto" w:sz="4" w:space="0"/>
              <w:left w:val="single" w:color="auto" w:sz="8"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4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0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82"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50"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316"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560" w:type="dxa"/>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1087" w:type="dxa"/>
            <w:tcBorders>
              <w:top w:val="single" w:color="auto" w:sz="4" w:space="0"/>
              <w:left w:val="single" w:color="auto" w:sz="8"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4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0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82"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50"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316"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560" w:type="dxa"/>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3" w:hRule="atLeast"/>
        </w:trPr>
        <w:tc>
          <w:tcPr>
            <w:tcW w:w="1087" w:type="dxa"/>
            <w:tcBorders>
              <w:top w:val="single" w:color="auto" w:sz="4" w:space="0"/>
              <w:left w:val="single" w:color="auto" w:sz="8"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4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07"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182"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250" w:type="dxa"/>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316"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auto"/>
              <w:ind w:left="420"/>
              <w:rPr>
                <w:rFonts w:eastAsia="方正仿宋_GBK"/>
                <w:color w:val="000000"/>
                <w:spacing w:val="-2"/>
                <w:szCs w:val="21"/>
              </w:rPr>
            </w:pPr>
          </w:p>
        </w:tc>
        <w:tc>
          <w:tcPr>
            <w:tcW w:w="1560" w:type="dxa"/>
            <w:tcBorders>
              <w:top w:val="single" w:color="auto" w:sz="4" w:space="0"/>
              <w:left w:val="single" w:color="auto" w:sz="4" w:space="0"/>
              <w:bottom w:val="single" w:color="auto" w:sz="4" w:space="0"/>
              <w:right w:val="single" w:color="auto" w:sz="8" w:space="0"/>
            </w:tcBorders>
            <w:noWrap w:val="0"/>
            <w:vAlign w:val="top"/>
          </w:tcPr>
          <w:p>
            <w:pPr>
              <w:spacing w:line="360" w:lineRule="auto"/>
              <w:ind w:left="42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4" w:hRule="atLeast"/>
        </w:trPr>
        <w:tc>
          <w:tcPr>
            <w:tcW w:w="8746" w:type="dxa"/>
            <w:gridSpan w:val="11"/>
            <w:tcBorders>
              <w:top w:val="single" w:color="auto" w:sz="4" w:space="0"/>
              <w:left w:val="single" w:color="auto" w:sz="8" w:space="0"/>
              <w:bottom w:val="single" w:color="auto" w:sz="4" w:space="0"/>
              <w:right w:val="single" w:color="auto" w:sz="8" w:space="0"/>
            </w:tcBorders>
            <w:noWrap w:val="0"/>
            <w:vAlign w:val="center"/>
          </w:tcPr>
          <w:p>
            <w:pPr>
              <w:spacing w:line="360" w:lineRule="auto"/>
              <w:ind w:left="420"/>
              <w:jc w:val="center"/>
              <w:rPr>
                <w:rFonts w:eastAsia="方正仿宋_GBK"/>
                <w:color w:val="000000"/>
                <w:spacing w:val="-2"/>
                <w:szCs w:val="21"/>
              </w:rPr>
            </w:pPr>
            <w:r>
              <w:rPr>
                <w:rFonts w:hint="eastAsia" w:eastAsia="方正仿宋_GBK"/>
                <w:color w:val="000000"/>
                <w:spacing w:val="-2"/>
                <w:szCs w:val="21"/>
              </w:rPr>
              <w:t>含</w:t>
            </w:r>
            <w:r>
              <w:rPr>
                <w:rFonts w:eastAsia="方正仿宋_GBK"/>
                <w:color w:val="000000"/>
                <w:spacing w:val="-2"/>
                <w:szCs w:val="21"/>
              </w:rPr>
              <w:t xml:space="preserve">  </w:t>
            </w:r>
            <w:r>
              <w:rPr>
                <w:rFonts w:hint="eastAsia" w:eastAsia="方正仿宋_GBK"/>
                <w:color w:val="000000"/>
                <w:spacing w:val="-2"/>
                <w:szCs w:val="21"/>
              </w:rPr>
              <w:t>泥</w:t>
            </w:r>
            <w:r>
              <w:rPr>
                <w:rFonts w:eastAsia="方正仿宋_GBK"/>
                <w:color w:val="000000"/>
                <w:spacing w:val="-2"/>
                <w:szCs w:val="21"/>
              </w:rPr>
              <w:t xml:space="preserve">  </w:t>
            </w:r>
            <w:r>
              <w:rPr>
                <w:rFonts w:hint="eastAsia" w:eastAsia="方正仿宋_GBK"/>
                <w:color w:val="000000"/>
                <w:spacing w:val="-2"/>
                <w:szCs w:val="21"/>
              </w:rPr>
              <w:t>量（</w:t>
            </w:r>
            <w:r>
              <w:rPr>
                <w:rFonts w:eastAsia="方正仿宋_GBK"/>
                <w:color w:val="000000"/>
                <w:spacing w:val="-2"/>
                <w:szCs w:val="21"/>
              </w:rPr>
              <w:t>%</w:t>
            </w:r>
            <w:r>
              <w:rPr>
                <w:rFonts w:hint="eastAsia" w:eastAsia="方正仿宋_GBK"/>
                <w:color w:val="000000"/>
                <w:spacing w:val="-2"/>
                <w:szCs w:val="21"/>
              </w:rPr>
              <w:t>）</w:t>
            </w:r>
            <w:r>
              <w:rPr>
                <w:rFonts w:eastAsia="方正仿宋_GBK"/>
                <w:color w:val="000000"/>
                <w:spacing w:val="-2"/>
                <w:szCs w:val="21"/>
              </w:rPr>
              <w:t>=</w:t>
            </w:r>
            <w:r>
              <w:rPr>
                <w:rFonts w:hint="eastAsia" w:eastAsia="方正仿宋_GBK"/>
                <w:color w:val="000000"/>
                <w:spacing w:val="-2"/>
                <w:szCs w:val="21"/>
              </w:rPr>
              <w:t>〔（</w:t>
            </w:r>
            <w:r>
              <w:rPr>
                <w:rFonts w:eastAsia="方正仿宋_GBK"/>
                <w:color w:val="000000"/>
                <w:spacing w:val="-2"/>
                <w:szCs w:val="21"/>
              </w:rPr>
              <w:t>G-G</w:t>
            </w:r>
            <w:r>
              <w:rPr>
                <w:rFonts w:eastAsia="方正仿宋_GBK"/>
                <w:color w:val="000000"/>
                <w:spacing w:val="-2"/>
                <w:szCs w:val="21"/>
                <w:vertAlign w:val="subscript"/>
              </w:rPr>
              <w:t>1</w:t>
            </w:r>
            <w:r>
              <w:rPr>
                <w:rFonts w:hint="eastAsia" w:eastAsia="方正仿宋_GBK"/>
                <w:color w:val="000000"/>
                <w:spacing w:val="-2"/>
                <w:szCs w:val="21"/>
              </w:rPr>
              <w:t>）</w:t>
            </w:r>
            <w:r>
              <w:rPr>
                <w:rFonts w:eastAsia="方正仿宋_GBK"/>
                <w:color w:val="000000"/>
                <w:spacing w:val="-2"/>
                <w:szCs w:val="21"/>
              </w:rPr>
              <w:t>/G</w:t>
            </w:r>
            <w:r>
              <w:rPr>
                <w:rFonts w:hint="eastAsia" w:eastAsia="方正仿宋_GBK"/>
                <w:color w:val="000000"/>
                <w:spacing w:val="-2"/>
                <w:szCs w:val="21"/>
              </w:rPr>
              <w:t>〕</w:t>
            </w:r>
            <w:r>
              <w:rPr>
                <w:rFonts w:eastAsia="方正仿宋_GBK"/>
                <w:color w:val="000000"/>
                <w:spacing w:val="-2"/>
                <w:szCs w:val="21"/>
              </w:rPr>
              <w:t>×100</w:t>
            </w:r>
          </w:p>
          <w:p>
            <w:pPr>
              <w:spacing w:line="360" w:lineRule="auto"/>
              <w:ind w:left="420"/>
              <w:jc w:val="center"/>
              <w:rPr>
                <w:rFonts w:eastAsia="方正仿宋_GBK"/>
                <w:color w:val="000000"/>
                <w:spacing w:val="-2"/>
                <w:szCs w:val="21"/>
              </w:rPr>
            </w:pPr>
            <w:r>
              <w:rPr>
                <w:rFonts w:hint="eastAsia" w:eastAsia="方正仿宋_GBK"/>
                <w:color w:val="000000"/>
                <w:spacing w:val="-2"/>
                <w:szCs w:val="21"/>
              </w:rPr>
              <w:t>盐酸可溶率（</w:t>
            </w:r>
            <w:r>
              <w:rPr>
                <w:rFonts w:eastAsia="方正仿宋_GBK"/>
                <w:color w:val="000000"/>
                <w:spacing w:val="-2"/>
                <w:szCs w:val="21"/>
              </w:rPr>
              <w:t>%</w:t>
            </w:r>
            <w:r>
              <w:rPr>
                <w:rFonts w:hint="eastAsia" w:eastAsia="方正仿宋_GBK"/>
                <w:color w:val="000000"/>
                <w:spacing w:val="-2"/>
                <w:szCs w:val="21"/>
              </w:rPr>
              <w:t>）</w:t>
            </w:r>
            <w:r>
              <w:rPr>
                <w:rFonts w:eastAsia="方正仿宋_GBK"/>
                <w:color w:val="000000"/>
                <w:spacing w:val="-2"/>
                <w:szCs w:val="21"/>
              </w:rPr>
              <w:t>=</w:t>
            </w:r>
            <w:r>
              <w:rPr>
                <w:rFonts w:hint="eastAsia" w:eastAsia="方正仿宋_GBK"/>
                <w:color w:val="000000"/>
                <w:spacing w:val="-2"/>
                <w:szCs w:val="21"/>
              </w:rPr>
              <w:t>〔（</w:t>
            </w:r>
            <w:r>
              <w:rPr>
                <w:rFonts w:eastAsia="方正仿宋_GBK"/>
                <w:color w:val="000000"/>
                <w:spacing w:val="-2"/>
                <w:szCs w:val="21"/>
              </w:rPr>
              <w:t>M-M</w:t>
            </w:r>
            <w:r>
              <w:rPr>
                <w:rFonts w:eastAsia="方正仿宋_GBK"/>
                <w:color w:val="000000"/>
                <w:spacing w:val="-2"/>
                <w:szCs w:val="21"/>
                <w:vertAlign w:val="subscript"/>
              </w:rPr>
              <w:t>1</w:t>
            </w:r>
            <w:r>
              <w:rPr>
                <w:rFonts w:hint="eastAsia" w:eastAsia="方正仿宋_GBK"/>
                <w:color w:val="000000"/>
                <w:spacing w:val="-2"/>
                <w:szCs w:val="21"/>
              </w:rPr>
              <w:t>）</w:t>
            </w:r>
            <w:r>
              <w:rPr>
                <w:rFonts w:eastAsia="方正仿宋_GBK"/>
                <w:color w:val="000000"/>
                <w:spacing w:val="-2"/>
                <w:szCs w:val="21"/>
              </w:rPr>
              <w:t>/M</w:t>
            </w:r>
            <w:r>
              <w:rPr>
                <w:rFonts w:hint="eastAsia" w:eastAsia="方正仿宋_GBK"/>
                <w:color w:val="000000"/>
                <w:spacing w:val="-2"/>
                <w:szCs w:val="21"/>
              </w:rPr>
              <w:t>〕</w:t>
            </w:r>
            <w:r>
              <w:rPr>
                <w:rFonts w:eastAsia="方正仿宋_GBK"/>
                <w:color w:val="000000"/>
                <w:spacing w:val="-2"/>
                <w:szCs w:val="21"/>
              </w:rPr>
              <w:t>×100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4" w:hRule="atLeast"/>
        </w:trPr>
        <w:tc>
          <w:tcPr>
            <w:tcW w:w="1087" w:type="dxa"/>
            <w:tcBorders>
              <w:top w:val="single" w:color="auto" w:sz="4" w:space="0"/>
              <w:left w:val="single" w:color="auto" w:sz="8" w:space="0"/>
              <w:bottom w:val="single" w:color="auto" w:sz="8"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备</w:t>
            </w:r>
            <w:r>
              <w:rPr>
                <w:rFonts w:eastAsia="方正仿宋_GBK"/>
                <w:color w:val="000000"/>
                <w:spacing w:val="-2"/>
                <w:szCs w:val="21"/>
              </w:rPr>
              <w:t xml:space="preserve">  </w:t>
            </w:r>
            <w:r>
              <w:rPr>
                <w:rFonts w:hint="eastAsia" w:eastAsia="方正仿宋_GBK"/>
                <w:color w:val="000000"/>
                <w:spacing w:val="-2"/>
                <w:szCs w:val="21"/>
              </w:rPr>
              <w:t>注</w:t>
            </w:r>
          </w:p>
        </w:tc>
        <w:tc>
          <w:tcPr>
            <w:tcW w:w="7659" w:type="dxa"/>
            <w:gridSpan w:val="10"/>
            <w:tcBorders>
              <w:top w:val="single" w:color="auto" w:sz="4" w:space="0"/>
              <w:left w:val="single" w:color="auto" w:sz="4" w:space="0"/>
              <w:bottom w:val="single" w:color="auto" w:sz="8" w:space="0"/>
              <w:right w:val="single" w:color="auto" w:sz="8" w:space="0"/>
            </w:tcBorders>
            <w:noWrap w:val="0"/>
            <w:vAlign w:val="top"/>
          </w:tcPr>
          <w:p>
            <w:pPr>
              <w:spacing w:line="360" w:lineRule="auto"/>
              <w:ind w:left="420"/>
              <w:rPr>
                <w:rFonts w:eastAsia="方正仿宋_GBK"/>
                <w:color w:val="000000"/>
                <w:spacing w:val="-2"/>
                <w:szCs w:val="21"/>
              </w:rPr>
            </w:pPr>
          </w:p>
        </w:tc>
      </w:tr>
    </w:tbl>
    <w:p>
      <w:pPr>
        <w:rPr>
          <w:rFonts w:hint="eastAsia" w:ascii="Times New Roman" w:eastAsia="方正仿宋_GBK"/>
          <w:color w:val="000000"/>
          <w:spacing w:val="-2"/>
          <w:szCs w:val="21"/>
        </w:rPr>
      </w:pPr>
      <w:r>
        <w:rPr>
          <w:rFonts w:hint="eastAsia" w:ascii="Times New Roman" w:eastAsia="方正仿宋_GBK"/>
          <w:color w:val="000000"/>
          <w:spacing w:val="-2"/>
          <w:szCs w:val="21"/>
        </w:rPr>
        <w:t>校核：                      检测：                     检测日期：</w:t>
      </w:r>
    </w:p>
    <w:p>
      <w:pPr>
        <w:widowControl/>
        <w:jc w:val="left"/>
        <w:rPr>
          <w:rFonts w:ascii="Times New Roman" w:eastAsia="方正仿宋_GBK"/>
          <w:color w:val="000000"/>
          <w:spacing w:val="-2"/>
          <w:szCs w:val="21"/>
        </w:rPr>
        <w:sectPr>
          <w:pgSz w:w="11906" w:h="16838"/>
          <w:pgMar w:top="1701" w:right="1588" w:bottom="1701" w:left="1588" w:header="851" w:footer="1361" w:gutter="0"/>
          <w:paperSrc w:first="7" w:other="7"/>
          <w:cols w:space="720" w:num="1"/>
        </w:sectPr>
      </w:pPr>
    </w:p>
    <w:p>
      <w:pPr>
        <w:spacing w:line="460" w:lineRule="exact"/>
        <w:rPr>
          <w:rFonts w:hint="eastAsia" w:ascii="Times New Roman" w:eastAsia="方正黑体_GBK"/>
          <w:color w:val="000000"/>
          <w:spacing w:val="-2"/>
          <w:sz w:val="28"/>
          <w:szCs w:val="28"/>
        </w:rPr>
      </w:pPr>
      <w:r>
        <w:rPr>
          <w:rFonts w:hint="eastAsia" w:ascii="Times New Roman" w:eastAsia="方正黑体_GBK"/>
          <w:color w:val="000000"/>
          <w:spacing w:val="-2"/>
          <w:sz w:val="28"/>
          <w:szCs w:val="28"/>
        </w:rPr>
        <w:t>附表6：</w:t>
      </w:r>
    </w:p>
    <w:p>
      <w:pPr>
        <w:spacing w:line="360" w:lineRule="auto"/>
        <w:jc w:val="center"/>
        <w:rPr>
          <w:rFonts w:hint="eastAsia" w:eastAsia="方正黑体_GBK"/>
          <w:color w:val="000000"/>
          <w:spacing w:val="-2"/>
          <w:sz w:val="28"/>
          <w:szCs w:val="28"/>
        </w:rPr>
      </w:pPr>
      <w:r>
        <w:rPr>
          <w:rFonts w:eastAsia="方正黑体_GBK"/>
          <w:color w:val="000000"/>
          <w:spacing w:val="-2"/>
          <w:sz w:val="28"/>
          <w:szCs w:val="28"/>
          <w:u w:val="single"/>
        </w:rPr>
        <w:t xml:space="preserve">         </w:t>
      </w:r>
      <w:r>
        <w:rPr>
          <w:rFonts w:hint="eastAsia" w:eastAsia="方正黑体_GBK"/>
          <w:color w:val="000000"/>
          <w:spacing w:val="-2"/>
          <w:sz w:val="28"/>
          <w:szCs w:val="28"/>
        </w:rPr>
        <w:t>年</w:t>
      </w:r>
      <w:r>
        <w:rPr>
          <w:rFonts w:hint="eastAsia" w:eastAsia="方正黑体_GBK"/>
          <w:color w:val="000000"/>
          <w:spacing w:val="-2"/>
          <w:sz w:val="28"/>
          <w:szCs w:val="28"/>
          <w:u w:val="single"/>
        </w:rPr>
        <w:t>　　</w:t>
      </w:r>
      <w:r>
        <w:rPr>
          <w:rFonts w:hint="eastAsia" w:eastAsia="方正黑体_GBK"/>
          <w:color w:val="000000"/>
          <w:spacing w:val="-2"/>
          <w:sz w:val="28"/>
          <w:szCs w:val="28"/>
        </w:rPr>
        <w:t>月</w:t>
      </w:r>
      <w:r>
        <w:rPr>
          <w:rFonts w:hint="eastAsia" w:eastAsia="方正黑体_GBK"/>
          <w:color w:val="000000"/>
          <w:spacing w:val="-2"/>
          <w:sz w:val="28"/>
          <w:szCs w:val="28"/>
          <w:u w:val="single"/>
        </w:rPr>
        <w:t>　　　　</w:t>
      </w:r>
      <w:r>
        <w:rPr>
          <w:rFonts w:hint="eastAsia" w:eastAsia="方正黑体_GBK"/>
          <w:color w:val="000000"/>
          <w:spacing w:val="-2"/>
          <w:sz w:val="28"/>
          <w:szCs w:val="28"/>
        </w:rPr>
        <w:t>水厂出厂水九项指标检测情况汇总表</w:t>
      </w:r>
    </w:p>
    <w:p>
      <w:pPr>
        <w:spacing w:line="360" w:lineRule="auto"/>
        <w:jc w:val="center"/>
        <w:rPr>
          <w:color w:val="000000"/>
          <w:spacing w:val="-2"/>
          <w:sz w:val="24"/>
        </w:rPr>
      </w:pPr>
      <w:r>
        <w:rPr>
          <w:color w:val="000000"/>
          <w:spacing w:val="-2"/>
          <w:sz w:val="24"/>
        </w:rPr>
        <w:t xml:space="preserve">                                              </w:t>
      </w:r>
    </w:p>
    <w:tbl>
      <w:tblPr>
        <w:tblStyle w:val="12"/>
        <w:tblW w:w="0" w:type="auto"/>
        <w:tblInd w:w="9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22"/>
        <w:gridCol w:w="1483"/>
        <w:gridCol w:w="1483"/>
        <w:gridCol w:w="1483"/>
        <w:gridCol w:w="1483"/>
        <w:gridCol w:w="1483"/>
        <w:gridCol w:w="1483"/>
        <w:gridCol w:w="1483"/>
        <w:gridCol w:w="14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22" w:type="dxa"/>
            <w:tcBorders>
              <w:top w:val="single" w:color="auto" w:sz="8" w:space="0"/>
              <w:left w:val="single" w:color="auto" w:sz="8" w:space="0"/>
              <w:bottom w:val="single" w:color="auto" w:sz="4" w:space="0"/>
              <w:right w:val="single" w:color="auto" w:sz="4" w:space="0"/>
            </w:tcBorders>
            <w:noWrap w:val="0"/>
            <w:vAlign w:val="center"/>
          </w:tcPr>
          <w:p>
            <w:pPr>
              <w:jc w:val="center"/>
              <w:rPr>
                <w:rFonts w:ascii="Times New Roman" w:eastAsia="方正黑体_GBK"/>
                <w:szCs w:val="21"/>
              </w:rPr>
            </w:pPr>
            <w:r>
              <w:rPr>
                <w:rFonts w:hint="eastAsia" w:ascii="Times New Roman" w:eastAsia="方正黑体_GBK"/>
                <w:szCs w:val="21"/>
              </w:rPr>
              <w:t>检测项目</w:t>
            </w:r>
          </w:p>
        </w:tc>
        <w:tc>
          <w:tcPr>
            <w:tcW w:w="1483"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szCs w:val="21"/>
              </w:rPr>
            </w:pPr>
            <w:r>
              <w:rPr>
                <w:rFonts w:hint="eastAsia" w:ascii="Times New Roman" w:eastAsia="方正黑体_GBK"/>
                <w:szCs w:val="21"/>
              </w:rPr>
              <w:t>应检次数</w:t>
            </w:r>
          </w:p>
        </w:tc>
        <w:tc>
          <w:tcPr>
            <w:tcW w:w="1483"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szCs w:val="21"/>
              </w:rPr>
            </w:pPr>
            <w:r>
              <w:rPr>
                <w:rFonts w:hint="eastAsia" w:ascii="Times New Roman" w:eastAsia="方正黑体_GBK"/>
                <w:szCs w:val="21"/>
              </w:rPr>
              <w:t>实检次数</w:t>
            </w:r>
          </w:p>
        </w:tc>
        <w:tc>
          <w:tcPr>
            <w:tcW w:w="1483"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szCs w:val="21"/>
              </w:rPr>
            </w:pPr>
            <w:r>
              <w:rPr>
                <w:rFonts w:hint="eastAsia" w:ascii="Times New Roman" w:eastAsia="方正黑体_GBK"/>
                <w:szCs w:val="21"/>
              </w:rPr>
              <w:t>合格次数</w:t>
            </w:r>
          </w:p>
        </w:tc>
        <w:tc>
          <w:tcPr>
            <w:tcW w:w="1483"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szCs w:val="21"/>
              </w:rPr>
            </w:pPr>
            <w:r>
              <w:rPr>
                <w:rFonts w:hint="eastAsia" w:ascii="Times New Roman" w:eastAsia="方正黑体_GBK"/>
                <w:szCs w:val="21"/>
              </w:rPr>
              <w:t>检测率</w:t>
            </w:r>
          </w:p>
        </w:tc>
        <w:tc>
          <w:tcPr>
            <w:tcW w:w="1483"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szCs w:val="21"/>
              </w:rPr>
            </w:pPr>
            <w:r>
              <w:rPr>
                <w:rFonts w:hint="eastAsia" w:ascii="Times New Roman" w:eastAsia="方正黑体_GBK"/>
                <w:szCs w:val="21"/>
              </w:rPr>
              <w:t>最高</w:t>
            </w:r>
          </w:p>
        </w:tc>
        <w:tc>
          <w:tcPr>
            <w:tcW w:w="1483"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szCs w:val="21"/>
              </w:rPr>
            </w:pPr>
            <w:r>
              <w:rPr>
                <w:rFonts w:hint="eastAsia" w:ascii="Times New Roman" w:eastAsia="方正黑体_GBK"/>
                <w:szCs w:val="21"/>
              </w:rPr>
              <w:t>最低</w:t>
            </w:r>
          </w:p>
        </w:tc>
        <w:tc>
          <w:tcPr>
            <w:tcW w:w="1483"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szCs w:val="21"/>
              </w:rPr>
            </w:pPr>
            <w:r>
              <w:rPr>
                <w:rFonts w:hint="eastAsia" w:ascii="Times New Roman" w:eastAsia="方正黑体_GBK"/>
                <w:szCs w:val="21"/>
              </w:rPr>
              <w:t>平均</w:t>
            </w:r>
          </w:p>
        </w:tc>
        <w:tc>
          <w:tcPr>
            <w:tcW w:w="1483" w:type="dxa"/>
            <w:tcBorders>
              <w:top w:val="single" w:color="auto" w:sz="8" w:space="0"/>
              <w:left w:val="single" w:color="auto" w:sz="4" w:space="0"/>
              <w:bottom w:val="single" w:color="auto" w:sz="4" w:space="0"/>
              <w:right w:val="single" w:color="auto" w:sz="8" w:space="0"/>
            </w:tcBorders>
            <w:noWrap w:val="0"/>
            <w:vAlign w:val="center"/>
          </w:tcPr>
          <w:p>
            <w:pPr>
              <w:jc w:val="center"/>
              <w:rPr>
                <w:rFonts w:ascii="Times New Roman" w:eastAsia="方正黑体_GBK"/>
                <w:szCs w:val="21"/>
              </w:rPr>
            </w:pPr>
            <w:r>
              <w:rPr>
                <w:rFonts w:hint="eastAsia" w:ascii="Times New Roman" w:eastAsia="方正黑体_GBK"/>
                <w:szCs w:val="21"/>
              </w:rPr>
              <w:t>合格率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hint="eastAsia" w:eastAsia="方正仿宋_GBK"/>
                <w:szCs w:val="21"/>
              </w:rPr>
              <w:t>色度</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hint="eastAsia" w:eastAsia="方正仿宋_GBK"/>
                <w:szCs w:val="21"/>
              </w:rPr>
              <w:t>臭和味</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hint="eastAsia" w:eastAsia="方正仿宋_GBK"/>
                <w:szCs w:val="21"/>
              </w:rPr>
              <w:t>肉眼可见物</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hint="eastAsia" w:eastAsia="方正仿宋_GBK"/>
                <w:szCs w:val="21"/>
              </w:rPr>
              <w:t>浑浊度</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hint="eastAsia" w:eastAsia="方正仿宋_GBK"/>
                <w:szCs w:val="21"/>
              </w:rPr>
              <w:t>余氯</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eastAsia="方正仿宋_GBK"/>
                <w:szCs w:val="21"/>
              </w:rPr>
              <w:t>CODMn</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hint="eastAsia" w:eastAsia="方正仿宋_GBK"/>
                <w:szCs w:val="21"/>
              </w:rPr>
              <w:t>细菌总数</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hint="eastAsia" w:eastAsia="方正仿宋_GBK"/>
                <w:szCs w:val="21"/>
              </w:rPr>
              <w:t>总大肠菌群</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hint="eastAsia" w:eastAsia="方正仿宋_GBK"/>
                <w:szCs w:val="21"/>
              </w:rPr>
              <w:t>粪（耐热）大肠菌群</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62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szCs w:val="21"/>
              </w:rPr>
            </w:pPr>
            <w:r>
              <w:rPr>
                <w:rFonts w:hint="eastAsia" w:eastAsia="方正仿宋_GBK"/>
                <w:szCs w:val="21"/>
              </w:rPr>
              <w:t>九项综合</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szCs w:val="21"/>
              </w:rPr>
            </w:pPr>
          </w:p>
        </w:tc>
        <w:tc>
          <w:tcPr>
            <w:tcW w:w="148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1" w:hRule="atLeast"/>
        </w:trPr>
        <w:tc>
          <w:tcPr>
            <w:tcW w:w="13486" w:type="dxa"/>
            <w:gridSpan w:val="9"/>
            <w:tcBorders>
              <w:top w:val="single" w:color="auto" w:sz="4" w:space="0"/>
              <w:left w:val="single" w:color="auto" w:sz="8" w:space="0"/>
              <w:bottom w:val="single" w:color="auto" w:sz="8" w:space="0"/>
              <w:right w:val="single" w:color="auto" w:sz="8" w:space="0"/>
            </w:tcBorders>
            <w:noWrap w:val="0"/>
            <w:vAlign w:val="center"/>
          </w:tcPr>
          <w:p>
            <w:pPr>
              <w:rPr>
                <w:rFonts w:eastAsia="方正仿宋_GBK"/>
                <w:szCs w:val="21"/>
              </w:rPr>
            </w:pPr>
            <w:r>
              <w:rPr>
                <w:rFonts w:hint="eastAsia" w:eastAsia="方正仿宋_GBK"/>
                <w:szCs w:val="21"/>
              </w:rPr>
              <w:t>注：余氯为最小值，其他项目为最大值。</w:t>
            </w:r>
          </w:p>
        </w:tc>
      </w:tr>
    </w:tbl>
    <w:p>
      <w:pPr>
        <w:spacing w:line="360" w:lineRule="auto"/>
        <w:ind w:firstLine="480"/>
        <w:rPr>
          <w:rFonts w:ascii="Times New Roman" w:eastAsia="方正仿宋_GBK"/>
          <w:color w:val="000000"/>
          <w:spacing w:val="-2"/>
          <w:szCs w:val="21"/>
        </w:rPr>
      </w:pPr>
      <w:r>
        <w:rPr>
          <w:rFonts w:hint="eastAsia" w:ascii="Times New Roman" w:eastAsia="方正仿宋_GBK"/>
          <w:color w:val="000000"/>
          <w:spacing w:val="-2"/>
          <w:szCs w:val="21"/>
        </w:rPr>
        <w:t>制表：                                                      审核：</w:t>
      </w:r>
    </w:p>
    <w:p>
      <w:pPr>
        <w:widowControl/>
        <w:spacing w:line="360" w:lineRule="auto"/>
        <w:jc w:val="left"/>
        <w:rPr>
          <w:rFonts w:ascii="Times New Roman" w:eastAsia="方正仿宋_GBK"/>
          <w:color w:val="000000"/>
          <w:spacing w:val="-2"/>
          <w:szCs w:val="21"/>
        </w:rPr>
        <w:sectPr>
          <w:pgSz w:w="16838" w:h="11906" w:orient="landscape"/>
          <w:pgMar w:top="1588" w:right="1701" w:bottom="1588" w:left="1701" w:header="851" w:footer="1361" w:gutter="0"/>
          <w:paperSrc w:first="7" w:other="7"/>
          <w:cols w:space="720" w:num="1"/>
        </w:sectPr>
      </w:pPr>
    </w:p>
    <w:p>
      <w:pPr>
        <w:spacing w:line="460" w:lineRule="exact"/>
        <w:rPr>
          <w:rFonts w:hint="eastAsia" w:ascii="Times New Roman" w:eastAsia="方正黑体_GBK"/>
          <w:color w:val="000000"/>
          <w:spacing w:val="-2"/>
          <w:sz w:val="28"/>
          <w:szCs w:val="28"/>
        </w:rPr>
      </w:pPr>
      <w:r>
        <w:rPr>
          <w:rFonts w:hint="eastAsia" w:ascii="Times New Roman" w:eastAsia="方正黑体_GBK"/>
          <w:color w:val="000000"/>
          <w:spacing w:val="-2"/>
          <w:sz w:val="28"/>
          <w:szCs w:val="28"/>
        </w:rPr>
        <w:t xml:space="preserve">表7： </w:t>
      </w:r>
    </w:p>
    <w:p>
      <w:pPr>
        <w:spacing w:line="480" w:lineRule="auto"/>
        <w:ind w:firstLine="2050" w:firstLineChars="743"/>
        <w:rPr>
          <w:rFonts w:hint="eastAsia" w:eastAsia="方正黑体_GBK"/>
          <w:bCs/>
          <w:color w:val="000000"/>
          <w:spacing w:val="-2"/>
          <w:sz w:val="28"/>
          <w:szCs w:val="28"/>
        </w:rPr>
      </w:pPr>
      <w:r>
        <w:rPr>
          <w:rFonts w:eastAsia="方正黑体_GBK"/>
          <w:bCs/>
          <w:color w:val="000000"/>
          <w:spacing w:val="-2"/>
          <w:kern w:val="0"/>
          <w:sz w:val="28"/>
          <w:szCs w:val="28"/>
          <w:u w:val="single"/>
        </w:rPr>
        <w:t xml:space="preserve">        </w:t>
      </w:r>
      <w:r>
        <w:rPr>
          <w:rFonts w:hint="eastAsia" w:eastAsia="方正黑体_GBK"/>
          <w:bCs/>
          <w:color w:val="000000"/>
          <w:spacing w:val="-2"/>
          <w:sz w:val="28"/>
          <w:szCs w:val="28"/>
        </w:rPr>
        <w:t>年</w:t>
      </w:r>
      <w:r>
        <w:rPr>
          <w:rFonts w:eastAsia="方正黑体_GBK"/>
          <w:bCs/>
          <w:color w:val="000000"/>
          <w:spacing w:val="-2"/>
          <w:sz w:val="28"/>
          <w:szCs w:val="28"/>
          <w:u w:val="single"/>
        </w:rPr>
        <w:t xml:space="preserve"> </w:t>
      </w:r>
      <w:r>
        <w:rPr>
          <w:rFonts w:hint="eastAsia" w:eastAsia="方正黑体_GBK"/>
          <w:bCs/>
          <w:color w:val="000000"/>
          <w:spacing w:val="-2"/>
          <w:sz w:val="28"/>
          <w:szCs w:val="28"/>
          <w:u w:val="single"/>
        </w:rPr>
        <w:t>　</w:t>
      </w:r>
      <w:r>
        <w:rPr>
          <w:rFonts w:hint="eastAsia" w:eastAsia="方正黑体_GBK"/>
          <w:bCs/>
          <w:color w:val="000000"/>
          <w:spacing w:val="-2"/>
          <w:sz w:val="28"/>
          <w:szCs w:val="28"/>
        </w:rPr>
        <w:t>月</w:t>
      </w:r>
      <w:r>
        <w:rPr>
          <w:rFonts w:hint="eastAsia" w:eastAsia="方正黑体_GBK"/>
          <w:color w:val="000000"/>
          <w:spacing w:val="-2"/>
          <w:sz w:val="28"/>
          <w:szCs w:val="28"/>
        </w:rPr>
        <w:t>水质合格率统计表</w:t>
      </w:r>
    </w:p>
    <w:p>
      <w:pPr>
        <w:pStyle w:val="8"/>
        <w:jc w:val="both"/>
        <w:rPr>
          <w:rFonts w:eastAsia="方正仿宋_GBK"/>
          <w:color w:val="000000"/>
          <w:spacing w:val="-2"/>
          <w:sz w:val="21"/>
          <w:szCs w:val="21"/>
        </w:rPr>
      </w:pPr>
    </w:p>
    <w:p>
      <w:pPr>
        <w:pStyle w:val="8"/>
        <w:spacing w:line="360" w:lineRule="auto"/>
        <w:jc w:val="both"/>
        <w:rPr>
          <w:rFonts w:eastAsia="方正仿宋_GBK"/>
          <w:color w:val="000000"/>
          <w:spacing w:val="-2"/>
          <w:sz w:val="21"/>
          <w:szCs w:val="21"/>
          <w:u w:val="single"/>
        </w:rPr>
      </w:pPr>
      <w:r>
        <w:rPr>
          <w:rFonts w:hint="eastAsia" w:eastAsia="方正仿宋_GBK"/>
          <w:color w:val="000000"/>
          <w:spacing w:val="-2"/>
          <w:sz w:val="21"/>
          <w:szCs w:val="21"/>
        </w:rPr>
        <w:t>填报单位：</w:t>
      </w:r>
      <w:r>
        <w:rPr>
          <w:rFonts w:eastAsia="方正仿宋_GBK"/>
          <w:color w:val="000000"/>
          <w:spacing w:val="-2"/>
          <w:sz w:val="21"/>
          <w:szCs w:val="21"/>
          <w:u w:val="single"/>
        </w:rPr>
        <w:t xml:space="preserve">                            </w:t>
      </w:r>
    </w:p>
    <w:tbl>
      <w:tblPr>
        <w:tblStyle w:val="12"/>
        <w:tblW w:w="0" w:type="auto"/>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40"/>
        <w:gridCol w:w="540"/>
        <w:gridCol w:w="1440"/>
        <w:gridCol w:w="1080"/>
        <w:gridCol w:w="1080"/>
        <w:gridCol w:w="810"/>
        <w:gridCol w:w="750"/>
        <w:gridCol w:w="714"/>
        <w:gridCol w:w="995"/>
        <w:gridCol w:w="7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37" w:hRule="atLeast"/>
        </w:trPr>
        <w:tc>
          <w:tcPr>
            <w:tcW w:w="540" w:type="dxa"/>
            <w:tcBorders>
              <w:top w:val="single" w:color="auto" w:sz="8" w:space="0"/>
              <w:left w:val="single" w:color="auto" w:sz="8" w:space="0"/>
              <w:bottom w:val="single" w:color="auto" w:sz="4" w:space="0"/>
              <w:right w:val="single" w:color="auto" w:sz="4" w:space="0"/>
            </w:tcBorders>
            <w:noWrap w:val="0"/>
            <w:vAlign w:val="center"/>
          </w:tcPr>
          <w:p>
            <w:pPr>
              <w:jc w:val="center"/>
              <w:rPr>
                <w:rFonts w:ascii="Times New Roman" w:eastAsia="方正黑体_GBK"/>
                <w:bCs/>
                <w:color w:val="000000"/>
                <w:spacing w:val="-2"/>
                <w:szCs w:val="21"/>
              </w:rPr>
            </w:pPr>
            <w:r>
              <w:rPr>
                <w:rFonts w:hint="eastAsia" w:ascii="Times New Roman" w:eastAsia="方正黑体_GBK"/>
                <w:bCs/>
                <w:color w:val="000000"/>
                <w:spacing w:val="-2"/>
                <w:szCs w:val="21"/>
              </w:rPr>
              <w:t>序号</w:t>
            </w:r>
          </w:p>
        </w:tc>
        <w:tc>
          <w:tcPr>
            <w:tcW w:w="1980" w:type="dxa"/>
            <w:gridSpan w:val="2"/>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Cs w:val="21"/>
              </w:rPr>
            </w:pPr>
            <w:r>
              <w:rPr>
                <w:rFonts w:hint="eastAsia" w:ascii="Times New Roman" w:eastAsia="方正黑体_GBK"/>
                <w:bCs/>
                <w:color w:val="000000"/>
                <w:spacing w:val="-2"/>
                <w:szCs w:val="21"/>
              </w:rPr>
              <w:t>指标名称</w:t>
            </w:r>
          </w:p>
        </w:tc>
        <w:tc>
          <w:tcPr>
            <w:tcW w:w="1080"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Cs w:val="21"/>
              </w:rPr>
            </w:pPr>
            <w:r>
              <w:rPr>
                <w:rFonts w:hint="eastAsia" w:ascii="Times New Roman" w:eastAsia="方正黑体_GBK"/>
                <w:bCs/>
                <w:color w:val="000000"/>
                <w:spacing w:val="-2"/>
                <w:szCs w:val="21"/>
              </w:rPr>
              <w:t>公司考核（%）</w:t>
            </w:r>
          </w:p>
        </w:tc>
        <w:tc>
          <w:tcPr>
            <w:tcW w:w="1080"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Cs w:val="21"/>
              </w:rPr>
            </w:pPr>
            <w:r>
              <w:rPr>
                <w:rFonts w:hint="eastAsia" w:ascii="Times New Roman" w:eastAsia="方正黑体_GBK"/>
                <w:bCs/>
                <w:color w:val="000000"/>
                <w:spacing w:val="-2"/>
                <w:szCs w:val="21"/>
              </w:rPr>
              <w:t>标准考核（%）</w:t>
            </w:r>
          </w:p>
        </w:tc>
        <w:tc>
          <w:tcPr>
            <w:tcW w:w="810"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Cs w:val="21"/>
              </w:rPr>
            </w:pPr>
            <w:r>
              <w:rPr>
                <w:rFonts w:hint="eastAsia" w:ascii="Times New Roman" w:eastAsia="方正黑体_GBK"/>
                <w:bCs/>
                <w:color w:val="000000"/>
                <w:spacing w:val="-2"/>
                <w:szCs w:val="21"/>
              </w:rPr>
              <w:t>应检次数</w:t>
            </w:r>
          </w:p>
        </w:tc>
        <w:tc>
          <w:tcPr>
            <w:tcW w:w="750"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Cs w:val="21"/>
              </w:rPr>
            </w:pPr>
            <w:r>
              <w:rPr>
                <w:rFonts w:hint="eastAsia" w:ascii="Times New Roman" w:eastAsia="方正黑体_GBK"/>
                <w:bCs/>
                <w:color w:val="000000"/>
                <w:spacing w:val="-2"/>
                <w:szCs w:val="21"/>
              </w:rPr>
              <w:t>实检次数</w:t>
            </w:r>
          </w:p>
        </w:tc>
        <w:tc>
          <w:tcPr>
            <w:tcW w:w="714"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Cs w:val="21"/>
              </w:rPr>
            </w:pPr>
            <w:r>
              <w:rPr>
                <w:rFonts w:hint="eastAsia" w:ascii="Times New Roman" w:eastAsia="方正黑体_GBK"/>
                <w:bCs/>
                <w:color w:val="000000"/>
                <w:spacing w:val="-2"/>
                <w:szCs w:val="21"/>
              </w:rPr>
              <w:t>合格次数</w:t>
            </w:r>
          </w:p>
        </w:tc>
        <w:tc>
          <w:tcPr>
            <w:tcW w:w="995"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Cs w:val="21"/>
              </w:rPr>
            </w:pPr>
            <w:r>
              <w:rPr>
                <w:rFonts w:hint="eastAsia" w:ascii="Times New Roman" w:eastAsia="方正黑体_GBK"/>
                <w:bCs/>
                <w:color w:val="000000"/>
                <w:spacing w:val="-2"/>
                <w:szCs w:val="21"/>
              </w:rPr>
              <w:t>合格率（%）</w:t>
            </w:r>
          </w:p>
        </w:tc>
        <w:tc>
          <w:tcPr>
            <w:tcW w:w="765" w:type="dxa"/>
            <w:tcBorders>
              <w:top w:val="single" w:color="auto" w:sz="8" w:space="0"/>
              <w:left w:val="single" w:color="auto" w:sz="4" w:space="0"/>
              <w:bottom w:val="single" w:color="auto" w:sz="4" w:space="0"/>
              <w:right w:val="single" w:color="auto" w:sz="8" w:space="0"/>
            </w:tcBorders>
            <w:noWrap w:val="0"/>
            <w:vAlign w:val="center"/>
          </w:tcPr>
          <w:p>
            <w:pPr>
              <w:jc w:val="center"/>
              <w:rPr>
                <w:rFonts w:ascii="Times New Roman" w:eastAsia="方正黑体_GBK"/>
                <w:bCs/>
                <w:color w:val="000000"/>
                <w:spacing w:val="-2"/>
                <w:szCs w:val="21"/>
              </w:rPr>
            </w:pPr>
            <w:r>
              <w:rPr>
                <w:rFonts w:hint="eastAsia" w:ascii="Times New Roman" w:eastAsia="方正黑体_GBK"/>
                <w:bCs/>
                <w:color w:val="000000"/>
                <w:spacing w:val="-2"/>
                <w:szCs w:val="21"/>
              </w:rPr>
              <w:t>备注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w:t>
            </w:r>
          </w:p>
        </w:tc>
        <w:tc>
          <w:tcPr>
            <w:tcW w:w="54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p>
            <w:pPr>
              <w:spacing w:line="240" w:lineRule="exact"/>
              <w:jc w:val="center"/>
              <w:rPr>
                <w:rFonts w:eastAsia="方正仿宋_GBK"/>
                <w:color w:val="000000"/>
                <w:spacing w:val="-2"/>
                <w:szCs w:val="21"/>
              </w:rPr>
            </w:pPr>
            <w:r>
              <w:rPr>
                <w:rFonts w:hint="eastAsia" w:eastAsia="方正仿宋_GBK"/>
                <w:color w:val="000000"/>
                <w:spacing w:val="-2"/>
                <w:szCs w:val="21"/>
              </w:rPr>
              <w:t>管网水单项合格率</w:t>
            </w: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right="42" w:rightChars="20"/>
              <w:jc w:val="center"/>
              <w:rPr>
                <w:rFonts w:eastAsia="方正仿宋_GBK"/>
                <w:color w:val="000000"/>
                <w:spacing w:val="-2"/>
                <w:szCs w:val="21"/>
              </w:rPr>
            </w:pPr>
            <w:r>
              <w:rPr>
                <w:rFonts w:hint="eastAsia" w:eastAsia="方正仿宋_GBK"/>
                <w:color w:val="000000"/>
                <w:spacing w:val="-2"/>
                <w:szCs w:val="21"/>
              </w:rPr>
              <w:t>浑浊度</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2</w:t>
            </w:r>
          </w:p>
        </w:tc>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色度</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3</w:t>
            </w:r>
          </w:p>
        </w:tc>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臭和味</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4</w:t>
            </w:r>
          </w:p>
        </w:tc>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游离余氯</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5</w:t>
            </w:r>
          </w:p>
        </w:tc>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细菌总数</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6</w:t>
            </w:r>
          </w:p>
        </w:tc>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总大肠菌</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7</w:t>
            </w:r>
          </w:p>
        </w:tc>
        <w:tc>
          <w:tcPr>
            <w:tcW w:w="54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COD</w:t>
            </w:r>
            <w:r>
              <w:rPr>
                <w:rFonts w:hint="eastAsia" w:eastAsia="方正仿宋_GBK"/>
                <w:color w:val="000000"/>
                <w:spacing w:val="-2"/>
                <w:szCs w:val="21"/>
              </w:rPr>
              <w:t>（</w:t>
            </w:r>
            <w:r>
              <w:rPr>
                <w:rFonts w:eastAsia="方正仿宋_GBK"/>
                <w:color w:val="000000"/>
                <w:spacing w:val="-2"/>
                <w:szCs w:val="21"/>
                <w:vertAlign w:val="subscript"/>
              </w:rPr>
              <w:t>Mn</w:t>
            </w:r>
            <w:r>
              <w:rPr>
                <w:rFonts w:hint="eastAsia" w:eastAsia="方正仿宋_GBK"/>
                <w:color w:val="000000"/>
                <w:spacing w:val="-2"/>
                <w:szCs w:val="21"/>
              </w:rPr>
              <w:t>）</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8</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管网末梢水</w:t>
            </w:r>
            <w:r>
              <w:rPr>
                <w:rFonts w:eastAsia="方正仿宋_GBK"/>
                <w:color w:val="000000"/>
                <w:spacing w:val="-2"/>
                <w:szCs w:val="21"/>
              </w:rPr>
              <w:t>42</w:t>
            </w:r>
            <w:r>
              <w:rPr>
                <w:rFonts w:hint="eastAsia" w:eastAsia="方正仿宋_GBK"/>
                <w:color w:val="000000"/>
                <w:spacing w:val="-2"/>
                <w:szCs w:val="21"/>
              </w:rPr>
              <w:t>项</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9</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出厂水</w:t>
            </w:r>
            <w:r>
              <w:rPr>
                <w:rFonts w:eastAsia="方正仿宋_GBK"/>
                <w:color w:val="000000"/>
                <w:spacing w:val="-2"/>
                <w:szCs w:val="21"/>
              </w:rPr>
              <w:t>9</w:t>
            </w:r>
            <w:r>
              <w:rPr>
                <w:rFonts w:hint="eastAsia" w:eastAsia="方正仿宋_GBK"/>
                <w:color w:val="000000"/>
                <w:spacing w:val="-2"/>
                <w:szCs w:val="21"/>
              </w:rPr>
              <w:t>项</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103" w:firstLineChars="50"/>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10</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出厂水</w:t>
            </w:r>
            <w:r>
              <w:rPr>
                <w:rFonts w:eastAsia="方正仿宋_GBK"/>
                <w:color w:val="000000"/>
                <w:spacing w:val="-2"/>
                <w:szCs w:val="21"/>
              </w:rPr>
              <w:t>42</w:t>
            </w:r>
            <w:r>
              <w:rPr>
                <w:rFonts w:hint="eastAsia" w:eastAsia="方正仿宋_GBK"/>
                <w:color w:val="000000"/>
                <w:spacing w:val="-2"/>
                <w:szCs w:val="21"/>
              </w:rPr>
              <w:t>项</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81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14"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0"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11</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水质综合合格率</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olor w:val="000000"/>
                <w:spacing w:val="-2"/>
                <w:szCs w:val="21"/>
              </w:rPr>
            </w:pPr>
            <w:r>
              <w:rPr>
                <w:rFonts w:hint="eastAsia" w:ascii="Times New Roman" w:hAnsi="Times New Roman"/>
                <w:color w:val="000000"/>
                <w:spacing w:val="-2"/>
                <w:szCs w:val="21"/>
              </w:rPr>
              <w:t>≥95</w:t>
            </w:r>
          </w:p>
        </w:tc>
        <w:tc>
          <w:tcPr>
            <w:tcW w:w="2274"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w:t>
            </w:r>
          </w:p>
        </w:tc>
        <w:tc>
          <w:tcPr>
            <w:tcW w:w="99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p>
        </w:tc>
        <w:tc>
          <w:tcPr>
            <w:tcW w:w="76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785" w:hRule="atLeast"/>
        </w:trPr>
        <w:tc>
          <w:tcPr>
            <w:tcW w:w="540"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备</w:t>
            </w: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r>
              <w:rPr>
                <w:rFonts w:hint="eastAsia" w:eastAsia="方正仿宋_GBK"/>
                <w:color w:val="000000"/>
                <w:spacing w:val="-2"/>
                <w:szCs w:val="21"/>
              </w:rPr>
              <w:t>注</w:t>
            </w:r>
          </w:p>
        </w:tc>
        <w:tc>
          <w:tcPr>
            <w:tcW w:w="8174" w:type="dxa"/>
            <w:gridSpan w:val="9"/>
            <w:tcBorders>
              <w:top w:val="single" w:color="auto" w:sz="4" w:space="0"/>
              <w:left w:val="single" w:color="auto" w:sz="4" w:space="0"/>
              <w:bottom w:val="single" w:color="auto" w:sz="8" w:space="0"/>
              <w:right w:val="single" w:color="auto" w:sz="8" w:space="0"/>
            </w:tcBorders>
            <w:noWrap w:val="0"/>
            <w:vAlign w:val="center"/>
          </w:tcPr>
          <w:p>
            <w:pPr>
              <w:spacing w:line="320" w:lineRule="exact"/>
              <w:rPr>
                <w:rFonts w:eastAsia="方正仿宋_GBK"/>
                <w:color w:val="000000"/>
                <w:spacing w:val="-2"/>
                <w:szCs w:val="21"/>
              </w:rPr>
            </w:pPr>
            <w:r>
              <w:rPr>
                <w:rFonts w:eastAsia="方正仿宋_GBK"/>
                <w:color w:val="000000"/>
                <w:spacing w:val="-2"/>
                <w:szCs w:val="21"/>
              </w:rPr>
              <w:t>(1)</w:t>
            </w:r>
            <w:r>
              <w:rPr>
                <w:rFonts w:hint="eastAsia" w:eastAsia="方正仿宋_GBK"/>
                <w:color w:val="000000"/>
                <w:spacing w:val="-2"/>
                <w:szCs w:val="21"/>
              </w:rPr>
              <w:t>管网水各单项合格率（</w:t>
            </w:r>
            <w:r>
              <w:rPr>
                <w:rFonts w:eastAsia="方正仿宋_GBK"/>
                <w:color w:val="000000"/>
                <w:spacing w:val="-2"/>
                <w:szCs w:val="21"/>
              </w:rPr>
              <w:t>%</w:t>
            </w:r>
            <w:r>
              <w:rPr>
                <w:rFonts w:hint="eastAsia" w:eastAsia="方正仿宋_GBK"/>
                <w:color w:val="000000"/>
                <w:spacing w:val="-2"/>
                <w:szCs w:val="21"/>
              </w:rPr>
              <w:t>）</w:t>
            </w:r>
            <w:r>
              <w:rPr>
                <w:rFonts w:eastAsia="方正仿宋_GBK"/>
                <w:color w:val="000000"/>
                <w:spacing w:val="-2"/>
                <w:szCs w:val="21"/>
              </w:rPr>
              <w:t xml:space="preserve">= </w:t>
            </w:r>
            <w:r>
              <w:rPr>
                <w:rFonts w:hint="eastAsia" w:eastAsia="方正仿宋_GBK"/>
                <w:color w:val="000000"/>
                <w:spacing w:val="-2"/>
                <w:szCs w:val="21"/>
              </w:rPr>
              <w:t>单项检验合格次数</w:t>
            </w:r>
            <w:r>
              <w:rPr>
                <w:rFonts w:eastAsia="方正仿宋_GBK"/>
                <w:color w:val="000000"/>
                <w:spacing w:val="-2"/>
                <w:szCs w:val="21"/>
              </w:rPr>
              <w:t>/</w:t>
            </w:r>
            <w:r>
              <w:rPr>
                <w:rFonts w:hint="eastAsia" w:eastAsia="方正仿宋_GBK"/>
                <w:color w:val="000000"/>
                <w:spacing w:val="-2"/>
                <w:szCs w:val="21"/>
              </w:rPr>
              <w:t>单项检验总次数</w:t>
            </w:r>
            <w:r>
              <w:rPr>
                <w:rFonts w:eastAsia="方正仿宋_GBK"/>
                <w:color w:val="000000"/>
                <w:spacing w:val="-2"/>
                <w:szCs w:val="21"/>
              </w:rPr>
              <w:t>*100%</w:t>
            </w:r>
          </w:p>
          <w:p>
            <w:pPr>
              <w:spacing w:line="320" w:lineRule="exact"/>
              <w:rPr>
                <w:rFonts w:eastAsia="方正仿宋_GBK"/>
                <w:color w:val="000000"/>
                <w:spacing w:val="-2"/>
                <w:szCs w:val="21"/>
              </w:rPr>
            </w:pPr>
            <w:r>
              <w:rPr>
                <w:rFonts w:eastAsia="方正仿宋_GBK"/>
                <w:color w:val="000000"/>
                <w:spacing w:val="-2"/>
                <w:szCs w:val="21"/>
              </w:rPr>
              <w:t xml:space="preserve">(2) </w:t>
            </w:r>
            <w:r>
              <w:rPr>
                <w:rFonts w:hint="eastAsia" w:eastAsia="方正仿宋_GBK"/>
                <w:color w:val="000000"/>
                <w:spacing w:val="-2"/>
                <w:szCs w:val="21"/>
              </w:rPr>
              <w:t>管网水末梢</w:t>
            </w:r>
            <w:r>
              <w:rPr>
                <w:rFonts w:eastAsia="方正仿宋_GBK"/>
                <w:color w:val="000000"/>
                <w:spacing w:val="-2"/>
                <w:szCs w:val="21"/>
              </w:rPr>
              <w:t>42</w:t>
            </w:r>
            <w:r>
              <w:rPr>
                <w:rFonts w:hint="eastAsia" w:eastAsia="方正仿宋_GBK"/>
                <w:color w:val="000000"/>
                <w:spacing w:val="-2"/>
                <w:szCs w:val="21"/>
              </w:rPr>
              <w:t>项合格率（</w:t>
            </w:r>
            <w:r>
              <w:rPr>
                <w:rFonts w:eastAsia="方正仿宋_GBK"/>
                <w:color w:val="000000"/>
                <w:spacing w:val="-2"/>
                <w:szCs w:val="21"/>
              </w:rPr>
              <w:t>%</w:t>
            </w:r>
            <w:r>
              <w:rPr>
                <w:rFonts w:hint="eastAsia" w:eastAsia="方正仿宋_GBK"/>
                <w:color w:val="000000"/>
                <w:spacing w:val="-2"/>
                <w:szCs w:val="21"/>
              </w:rPr>
              <w:t>）是指检测中心按</w:t>
            </w:r>
            <w:r>
              <w:rPr>
                <w:rFonts w:eastAsia="方正仿宋_GBK"/>
                <w:color w:val="000000"/>
                <w:spacing w:val="-2"/>
                <w:szCs w:val="21"/>
              </w:rPr>
              <w:t>GB5749-2006</w:t>
            </w:r>
            <w:r>
              <w:rPr>
                <w:rFonts w:hint="eastAsia" w:eastAsia="方正仿宋_GBK"/>
                <w:color w:val="000000"/>
                <w:spacing w:val="-2"/>
                <w:szCs w:val="21"/>
              </w:rPr>
              <w:t>标准每月对管网末梢点检测项目的合格率之和</w:t>
            </w:r>
          </w:p>
          <w:p>
            <w:pPr>
              <w:spacing w:line="320" w:lineRule="exact"/>
              <w:rPr>
                <w:rFonts w:eastAsia="方正仿宋_GBK"/>
                <w:color w:val="000000"/>
                <w:spacing w:val="-2"/>
                <w:szCs w:val="21"/>
              </w:rPr>
            </w:pPr>
            <w:r>
              <w:rPr>
                <w:rFonts w:eastAsia="方正仿宋_GBK"/>
                <w:color w:val="000000"/>
                <w:spacing w:val="-2"/>
                <w:szCs w:val="21"/>
              </w:rPr>
              <w:t xml:space="preserve">(3) </w:t>
            </w:r>
            <w:r>
              <w:rPr>
                <w:rFonts w:hint="eastAsia" w:eastAsia="方正仿宋_GBK"/>
                <w:color w:val="000000"/>
                <w:spacing w:val="-2"/>
                <w:szCs w:val="21"/>
              </w:rPr>
              <w:t>出厂水</w:t>
            </w:r>
            <w:r>
              <w:rPr>
                <w:rFonts w:eastAsia="方正仿宋_GBK"/>
                <w:color w:val="000000"/>
                <w:spacing w:val="-2"/>
                <w:szCs w:val="21"/>
              </w:rPr>
              <w:t>9</w:t>
            </w:r>
            <w:r>
              <w:rPr>
                <w:rFonts w:hint="eastAsia" w:eastAsia="方正仿宋_GBK"/>
                <w:color w:val="000000"/>
                <w:spacing w:val="-2"/>
                <w:szCs w:val="21"/>
              </w:rPr>
              <w:t>项合格率（</w:t>
            </w:r>
            <w:r>
              <w:rPr>
                <w:rFonts w:eastAsia="方正仿宋_GBK"/>
                <w:color w:val="000000"/>
                <w:spacing w:val="-2"/>
                <w:szCs w:val="21"/>
              </w:rPr>
              <w:t>%</w:t>
            </w:r>
            <w:r>
              <w:rPr>
                <w:rFonts w:hint="eastAsia" w:eastAsia="方正仿宋_GBK"/>
                <w:color w:val="000000"/>
                <w:spacing w:val="-2"/>
                <w:szCs w:val="21"/>
              </w:rPr>
              <w:t>）是指按</w:t>
            </w:r>
            <w:r>
              <w:rPr>
                <w:rFonts w:eastAsia="方正仿宋_GBK"/>
                <w:color w:val="000000"/>
                <w:spacing w:val="-2"/>
                <w:szCs w:val="21"/>
              </w:rPr>
              <w:t xml:space="preserve"> GB5749-2006</w:t>
            </w:r>
            <w:r>
              <w:rPr>
                <w:rFonts w:hint="eastAsia" w:eastAsia="方正仿宋_GBK"/>
                <w:color w:val="000000"/>
                <w:spacing w:val="-2"/>
                <w:szCs w:val="21"/>
              </w:rPr>
              <w:t>标准每日检测项目的合格率之和</w:t>
            </w:r>
          </w:p>
          <w:p>
            <w:pPr>
              <w:spacing w:line="320" w:lineRule="exact"/>
              <w:rPr>
                <w:rFonts w:eastAsia="方正仿宋_GBK"/>
                <w:color w:val="000000"/>
                <w:spacing w:val="-2"/>
                <w:szCs w:val="21"/>
              </w:rPr>
            </w:pPr>
            <w:r>
              <w:rPr>
                <w:rFonts w:eastAsia="方正仿宋_GBK"/>
                <w:color w:val="000000"/>
                <w:spacing w:val="-2"/>
                <w:szCs w:val="21"/>
              </w:rPr>
              <w:t xml:space="preserve">(4) </w:t>
            </w:r>
            <w:r>
              <w:rPr>
                <w:rFonts w:hint="eastAsia" w:eastAsia="方正仿宋_GBK"/>
                <w:color w:val="000000"/>
                <w:spacing w:val="-2"/>
                <w:szCs w:val="21"/>
              </w:rPr>
              <w:t>出厂水</w:t>
            </w:r>
            <w:r>
              <w:rPr>
                <w:rFonts w:eastAsia="方正仿宋_GBK"/>
                <w:color w:val="000000"/>
                <w:spacing w:val="-2"/>
                <w:szCs w:val="21"/>
              </w:rPr>
              <w:t>42</w:t>
            </w:r>
            <w:r>
              <w:rPr>
                <w:rFonts w:hint="eastAsia" w:eastAsia="方正仿宋_GBK"/>
                <w:color w:val="000000"/>
                <w:spacing w:val="-2"/>
                <w:szCs w:val="21"/>
              </w:rPr>
              <w:t>项合格率（</w:t>
            </w:r>
            <w:r>
              <w:rPr>
                <w:rFonts w:eastAsia="方正仿宋_GBK"/>
                <w:color w:val="000000"/>
                <w:spacing w:val="-2"/>
                <w:szCs w:val="21"/>
              </w:rPr>
              <w:t>%</w:t>
            </w:r>
            <w:r>
              <w:rPr>
                <w:rFonts w:hint="eastAsia" w:eastAsia="方正仿宋_GBK"/>
                <w:color w:val="000000"/>
                <w:spacing w:val="-2"/>
                <w:szCs w:val="21"/>
              </w:rPr>
              <w:t>）是指按</w:t>
            </w:r>
            <w:r>
              <w:rPr>
                <w:rFonts w:eastAsia="方正仿宋_GBK"/>
                <w:color w:val="000000"/>
                <w:spacing w:val="-2"/>
                <w:szCs w:val="21"/>
              </w:rPr>
              <w:t>GB5749-2006</w:t>
            </w:r>
            <w:r>
              <w:rPr>
                <w:rFonts w:hint="eastAsia" w:eastAsia="方正仿宋_GBK"/>
                <w:color w:val="000000"/>
                <w:spacing w:val="-2"/>
                <w:szCs w:val="21"/>
              </w:rPr>
              <w:t>标准每月对出厂水检测项目的合格率之和</w:t>
            </w:r>
          </w:p>
          <w:p>
            <w:pPr>
              <w:spacing w:line="320" w:lineRule="exact"/>
              <w:rPr>
                <w:rFonts w:eastAsia="方正仿宋_GBK"/>
                <w:color w:val="000000"/>
                <w:spacing w:val="-2"/>
                <w:szCs w:val="21"/>
              </w:rPr>
            </w:pPr>
            <w:r>
              <w:rPr>
                <w:rFonts w:eastAsia="方正仿宋_GBK"/>
                <w:color w:val="000000"/>
                <w:spacing w:val="-2"/>
                <w:szCs w:val="21"/>
              </w:rPr>
              <w:t>(6)</w:t>
            </w:r>
            <w:r>
              <w:rPr>
                <w:rFonts w:hint="eastAsia" w:eastAsia="方正仿宋_GBK"/>
                <w:color w:val="000000"/>
                <w:spacing w:val="-2"/>
                <w:szCs w:val="21"/>
              </w:rPr>
              <w:t>水质综合合格率（</w:t>
            </w:r>
            <w:r>
              <w:rPr>
                <w:rFonts w:eastAsia="方正仿宋_GBK"/>
                <w:color w:val="000000"/>
                <w:spacing w:val="-2"/>
                <w:szCs w:val="21"/>
              </w:rPr>
              <w:t>%</w:t>
            </w:r>
            <w:r>
              <w:rPr>
                <w:rFonts w:hint="eastAsia" w:eastAsia="方正仿宋_GBK"/>
                <w:color w:val="000000"/>
                <w:spacing w:val="-2"/>
                <w:szCs w:val="21"/>
              </w:rPr>
              <w:t>）</w:t>
            </w:r>
            <w:r>
              <w:rPr>
                <w:rFonts w:eastAsia="方正仿宋_GBK"/>
                <w:color w:val="000000"/>
                <w:spacing w:val="-2"/>
                <w:szCs w:val="21"/>
              </w:rPr>
              <w:t xml:space="preserve">= </w:t>
            </w:r>
            <w:r>
              <w:rPr>
                <w:rFonts w:hint="eastAsia" w:eastAsia="方正仿宋_GBK"/>
                <w:color w:val="000000"/>
                <w:spacing w:val="-2"/>
                <w:szCs w:val="21"/>
              </w:rPr>
              <w:t>（</w:t>
            </w:r>
            <w:r>
              <w:rPr>
                <w:rFonts w:eastAsia="方正仿宋_GBK"/>
                <w:color w:val="000000"/>
                <w:spacing w:val="-2"/>
                <w:szCs w:val="21"/>
              </w:rPr>
              <w:t>1+2+3+4+5+6+7+8+9+10</w:t>
            </w:r>
            <w:r>
              <w:rPr>
                <w:rFonts w:hint="eastAsia" w:eastAsia="方正仿宋_GBK"/>
                <w:color w:val="000000"/>
                <w:spacing w:val="-2"/>
                <w:szCs w:val="21"/>
              </w:rPr>
              <w:t>）合格率</w:t>
            </w:r>
            <w:r>
              <w:rPr>
                <w:rFonts w:eastAsia="方正仿宋_GBK"/>
                <w:color w:val="000000"/>
                <w:spacing w:val="-2"/>
                <w:szCs w:val="21"/>
              </w:rPr>
              <w:t>/10</w:t>
            </w:r>
          </w:p>
          <w:p>
            <w:pPr>
              <w:spacing w:line="320" w:lineRule="exact"/>
              <w:rPr>
                <w:rFonts w:eastAsia="方正仿宋_GBK"/>
                <w:color w:val="000000"/>
                <w:spacing w:val="-2"/>
                <w:szCs w:val="21"/>
              </w:rPr>
            </w:pPr>
            <w:r>
              <w:rPr>
                <w:rFonts w:hint="eastAsia" w:eastAsia="方正仿宋_GBK"/>
                <w:bCs/>
                <w:color w:val="000000"/>
                <w:spacing w:val="-2"/>
                <w:szCs w:val="21"/>
              </w:rPr>
              <w:t>〔</w:t>
            </w:r>
            <w:r>
              <w:rPr>
                <w:rFonts w:eastAsia="方正仿宋_GBK"/>
                <w:bCs/>
                <w:color w:val="000000"/>
                <w:spacing w:val="-2"/>
                <w:szCs w:val="21"/>
              </w:rPr>
              <w:t>9</w:t>
            </w:r>
            <w:r>
              <w:rPr>
                <w:rFonts w:hint="eastAsia" w:eastAsia="方正仿宋_GBK"/>
                <w:bCs/>
                <w:color w:val="000000"/>
                <w:spacing w:val="-2"/>
                <w:szCs w:val="21"/>
              </w:rPr>
              <w:t>项〕</w:t>
            </w:r>
            <w:r>
              <w:rPr>
                <w:rFonts w:eastAsia="方正仿宋_GBK"/>
                <w:color w:val="000000"/>
                <w:spacing w:val="-2"/>
                <w:szCs w:val="21"/>
              </w:rPr>
              <w:t xml:space="preserve"> </w:t>
            </w:r>
            <w:r>
              <w:rPr>
                <w:rFonts w:hint="eastAsia" w:eastAsia="方正仿宋_GBK"/>
                <w:color w:val="000000"/>
                <w:spacing w:val="-2"/>
                <w:szCs w:val="21"/>
              </w:rPr>
              <w:t>为</w:t>
            </w:r>
            <w:r>
              <w:rPr>
                <w:rFonts w:eastAsia="方正仿宋_GBK"/>
                <w:color w:val="000000"/>
                <w:spacing w:val="-2"/>
                <w:szCs w:val="21"/>
              </w:rPr>
              <w:t>GB5749-2006</w:t>
            </w:r>
            <w:r>
              <w:rPr>
                <w:rFonts w:hint="eastAsia" w:eastAsia="方正仿宋_GBK"/>
                <w:color w:val="000000"/>
                <w:spacing w:val="-2"/>
                <w:szCs w:val="21"/>
              </w:rPr>
              <w:t>标准要求的日检项目</w:t>
            </w:r>
          </w:p>
          <w:p>
            <w:pPr>
              <w:spacing w:line="320" w:lineRule="exact"/>
              <w:rPr>
                <w:rFonts w:eastAsia="方正仿宋_GBK"/>
                <w:color w:val="000000"/>
                <w:spacing w:val="-2"/>
                <w:szCs w:val="21"/>
              </w:rPr>
            </w:pPr>
            <w:r>
              <w:rPr>
                <w:rFonts w:hint="eastAsia" w:eastAsia="方正仿宋_GBK"/>
                <w:bCs/>
                <w:color w:val="000000"/>
                <w:spacing w:val="-2"/>
                <w:szCs w:val="21"/>
              </w:rPr>
              <w:t>〔</w:t>
            </w:r>
            <w:r>
              <w:rPr>
                <w:rFonts w:eastAsia="方正仿宋_GBK"/>
                <w:bCs/>
                <w:color w:val="000000"/>
                <w:spacing w:val="-2"/>
                <w:szCs w:val="21"/>
              </w:rPr>
              <w:t>42</w:t>
            </w:r>
            <w:r>
              <w:rPr>
                <w:rFonts w:hint="eastAsia" w:eastAsia="方正仿宋_GBK"/>
                <w:bCs/>
                <w:color w:val="000000"/>
                <w:spacing w:val="-2"/>
                <w:szCs w:val="21"/>
              </w:rPr>
              <w:t>项〕</w:t>
            </w:r>
            <w:r>
              <w:rPr>
                <w:rFonts w:eastAsia="方正仿宋_GBK"/>
                <w:color w:val="000000"/>
                <w:spacing w:val="-2"/>
                <w:szCs w:val="21"/>
              </w:rPr>
              <w:t xml:space="preserve"> </w:t>
            </w:r>
            <w:r>
              <w:rPr>
                <w:rFonts w:hint="eastAsia" w:eastAsia="方正仿宋_GBK"/>
                <w:color w:val="000000"/>
                <w:spacing w:val="-2"/>
                <w:szCs w:val="21"/>
              </w:rPr>
              <w:t>为</w:t>
            </w:r>
            <w:r>
              <w:rPr>
                <w:rFonts w:eastAsia="方正仿宋_GBK"/>
                <w:color w:val="000000"/>
                <w:spacing w:val="-2"/>
                <w:szCs w:val="21"/>
              </w:rPr>
              <w:t>GB5749-2006</w:t>
            </w:r>
            <w:r>
              <w:rPr>
                <w:rFonts w:hint="eastAsia" w:eastAsia="方正仿宋_GBK"/>
                <w:color w:val="000000"/>
                <w:spacing w:val="-2"/>
                <w:szCs w:val="21"/>
              </w:rPr>
              <w:t>标准表</w:t>
            </w:r>
            <w:r>
              <w:rPr>
                <w:rFonts w:eastAsia="方正仿宋_GBK"/>
                <w:color w:val="000000"/>
                <w:spacing w:val="-2"/>
                <w:szCs w:val="21"/>
              </w:rPr>
              <w:t>1</w:t>
            </w:r>
            <w:r>
              <w:rPr>
                <w:rFonts w:hint="eastAsia" w:eastAsia="方正仿宋_GBK"/>
                <w:color w:val="000000"/>
                <w:spacing w:val="-2"/>
                <w:szCs w:val="21"/>
              </w:rPr>
              <w:t>和表</w:t>
            </w:r>
            <w:r>
              <w:rPr>
                <w:rFonts w:eastAsia="方正仿宋_GBK"/>
                <w:color w:val="000000"/>
                <w:spacing w:val="-2"/>
                <w:szCs w:val="21"/>
              </w:rPr>
              <w:t>2</w:t>
            </w:r>
            <w:r>
              <w:rPr>
                <w:rFonts w:hint="eastAsia" w:eastAsia="方正仿宋_GBK"/>
                <w:color w:val="000000"/>
                <w:spacing w:val="-2"/>
                <w:szCs w:val="21"/>
              </w:rPr>
              <w:t>中</w:t>
            </w:r>
            <w:r>
              <w:rPr>
                <w:rFonts w:eastAsia="方正仿宋_GBK"/>
                <w:color w:val="000000"/>
                <w:spacing w:val="-2"/>
                <w:szCs w:val="21"/>
              </w:rPr>
              <w:t>42</w:t>
            </w:r>
            <w:r>
              <w:rPr>
                <w:rFonts w:hint="eastAsia" w:eastAsia="方正仿宋_GBK"/>
                <w:color w:val="000000"/>
                <w:spacing w:val="-2"/>
                <w:szCs w:val="21"/>
              </w:rPr>
              <w:t>项</w:t>
            </w:r>
            <w:r>
              <w:rPr>
                <w:rFonts w:eastAsia="方正仿宋_GBK"/>
                <w:color w:val="000000"/>
                <w:spacing w:val="-2"/>
                <w:szCs w:val="21"/>
              </w:rPr>
              <w:t>(</w:t>
            </w:r>
            <w:r>
              <w:rPr>
                <w:rFonts w:hint="eastAsia" w:eastAsia="方正仿宋_GBK"/>
                <w:color w:val="000000"/>
                <w:spacing w:val="-2"/>
                <w:szCs w:val="21"/>
              </w:rPr>
              <w:t>需根据采用的消毒剂品种调整检测项目</w:t>
            </w:r>
            <w:r>
              <w:rPr>
                <w:rFonts w:eastAsia="方正仿宋_GBK"/>
                <w:color w:val="000000"/>
                <w:spacing w:val="-2"/>
                <w:szCs w:val="21"/>
              </w:rPr>
              <w:t>)</w:t>
            </w:r>
          </w:p>
        </w:tc>
      </w:tr>
    </w:tbl>
    <w:p>
      <w:pPr>
        <w:rPr>
          <w:rFonts w:eastAsia="方正仿宋_GBK"/>
          <w:color w:val="000000"/>
          <w:spacing w:val="-2"/>
          <w:szCs w:val="21"/>
        </w:rPr>
      </w:pPr>
    </w:p>
    <w:p>
      <w:pPr>
        <w:rPr>
          <w:rFonts w:eastAsia="方正仿宋_GBK"/>
          <w:color w:val="000000"/>
          <w:spacing w:val="-2"/>
          <w:sz w:val="24"/>
        </w:rPr>
      </w:pPr>
      <w:r>
        <w:rPr>
          <w:rFonts w:hint="eastAsia" w:eastAsia="方正仿宋_GBK"/>
          <w:bCs/>
          <w:color w:val="000000"/>
          <w:spacing w:val="-2"/>
          <w:szCs w:val="21"/>
        </w:rPr>
        <w:t>制表</w:t>
      </w:r>
      <w:r>
        <w:rPr>
          <w:rFonts w:eastAsia="方正仿宋_GBK"/>
          <w:bCs/>
          <w:color w:val="000000"/>
          <w:spacing w:val="-2"/>
          <w:szCs w:val="21"/>
          <w:u w:val="single"/>
        </w:rPr>
        <w:t xml:space="preserve">               </w:t>
      </w:r>
      <w:r>
        <w:rPr>
          <w:rFonts w:eastAsia="方正仿宋_GBK"/>
          <w:bCs/>
          <w:color w:val="000000"/>
          <w:spacing w:val="-2"/>
          <w:szCs w:val="21"/>
        </w:rPr>
        <w:t xml:space="preserve">          </w:t>
      </w:r>
      <w:r>
        <w:rPr>
          <w:rFonts w:hint="eastAsia" w:eastAsia="方正仿宋_GBK"/>
          <w:bCs/>
          <w:color w:val="000000"/>
          <w:spacing w:val="-2"/>
          <w:szCs w:val="21"/>
        </w:rPr>
        <w:t>　　　　　　　　　　　　　审核</w:t>
      </w:r>
      <w:r>
        <w:rPr>
          <w:rFonts w:eastAsia="方正仿宋_GBK"/>
          <w:bCs/>
          <w:color w:val="000000"/>
          <w:spacing w:val="-2"/>
          <w:szCs w:val="21"/>
          <w:u w:val="single"/>
        </w:rPr>
        <w:t xml:space="preserve">             </w:t>
      </w:r>
    </w:p>
    <w:p>
      <w:pPr>
        <w:pStyle w:val="2"/>
        <w:spacing w:before="240" w:beforeLines="100" w:after="240" w:afterLines="100" w:line="240" w:lineRule="auto"/>
        <w:jc w:val="center"/>
        <w:rPr>
          <w:rFonts w:ascii="Times New Roman" w:eastAsia="方正小标宋_GBK"/>
          <w:b w:val="0"/>
          <w:sz w:val="36"/>
          <w:szCs w:val="36"/>
        </w:rPr>
      </w:pPr>
      <w:bookmarkStart w:id="94" w:name="_Toc20726332"/>
      <w:bookmarkStart w:id="95" w:name="_Toc18315413"/>
      <w:r>
        <w:rPr>
          <w:rFonts w:hint="eastAsia" w:ascii="Times New Roman" w:eastAsia="方正小标宋_GBK"/>
          <w:b w:val="0"/>
          <w:sz w:val="36"/>
          <w:szCs w:val="36"/>
        </w:rPr>
        <w:t>关于进一步加强城市供水水质检测确保             城市安全供水的通知</w:t>
      </w:r>
      <w:bookmarkEnd w:id="94"/>
      <w:bookmarkEnd w:id="9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96" w:name="_Toc20726333"/>
      <w:bookmarkStart w:id="97" w:name="_Toc18315414"/>
      <w:r>
        <w:rPr>
          <w:rFonts w:hint="eastAsia" w:ascii="Times New Roman" w:hAnsi="Times New Roman" w:eastAsia="方正楷体_GBK"/>
          <w:b w:val="0"/>
          <w:sz w:val="24"/>
          <w:szCs w:val="24"/>
        </w:rPr>
        <w:t>苏建函城〔</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139</w:t>
      </w:r>
      <w:r>
        <w:rPr>
          <w:rFonts w:hint="eastAsia" w:ascii="Times New Roman" w:hAnsi="Times New Roman" w:eastAsia="方正楷体_GBK"/>
          <w:b w:val="0"/>
          <w:sz w:val="24"/>
          <w:szCs w:val="24"/>
        </w:rPr>
        <w:t>号</w:t>
      </w:r>
      <w:bookmarkEnd w:id="96"/>
      <w:bookmarkEnd w:id="97"/>
    </w:p>
    <w:p>
      <w:pPr>
        <w:spacing w:line="460" w:lineRule="exact"/>
        <w:rPr>
          <w:rFonts w:eastAsia="方正仿宋_GBK"/>
          <w:color w:val="000000"/>
          <w:spacing w:val="-2"/>
          <w:sz w:val="24"/>
        </w:rPr>
      </w:pPr>
      <w:r>
        <w:rPr>
          <w:rFonts w:hint="eastAsia" w:eastAsia="方正仿宋_GBK"/>
          <w:color w:val="000000"/>
          <w:spacing w:val="-2"/>
          <w:sz w:val="24"/>
        </w:rPr>
        <w:t>各市</w:t>
      </w:r>
      <w:r>
        <w:rPr>
          <w:rFonts w:hint="eastAsia" w:eastAsia="方正仿宋_GBK"/>
          <w:color w:val="000000"/>
          <w:spacing w:val="-2"/>
          <w:w w:val="66"/>
          <w:sz w:val="24"/>
        </w:rPr>
        <w:t>、</w:t>
      </w:r>
      <w:r>
        <w:rPr>
          <w:rFonts w:hint="eastAsia" w:eastAsia="方正仿宋_GBK"/>
          <w:color w:val="000000"/>
          <w:spacing w:val="-2"/>
          <w:sz w:val="24"/>
        </w:rPr>
        <w:t>县建设局</w:t>
      </w:r>
      <w:r>
        <w:rPr>
          <w:rFonts w:hint="eastAsia" w:eastAsia="方正仿宋_GBK"/>
          <w:color w:val="000000"/>
          <w:spacing w:val="-2"/>
          <w:w w:val="66"/>
          <w:sz w:val="24"/>
        </w:rPr>
        <w:t>（</w:t>
      </w:r>
      <w:r>
        <w:rPr>
          <w:rFonts w:hint="eastAsia" w:eastAsia="方正仿宋_GBK"/>
          <w:color w:val="000000"/>
          <w:spacing w:val="-2"/>
          <w:sz w:val="24"/>
        </w:rPr>
        <w:t>委</w:t>
      </w:r>
      <w:r>
        <w:rPr>
          <w:rFonts w:hint="eastAsia" w:eastAsia="方正仿宋_GBK"/>
          <w:color w:val="000000"/>
          <w:spacing w:val="-2"/>
          <w:w w:val="66"/>
          <w:sz w:val="24"/>
        </w:rPr>
        <w:t>）</w:t>
      </w:r>
      <w:r>
        <w:rPr>
          <w:rFonts w:hint="eastAsia" w:eastAsia="方正仿宋_GBK"/>
          <w:color w:val="000000"/>
          <w:spacing w:val="-2"/>
          <w:sz w:val="24"/>
        </w:rPr>
        <w:t>，市政公用局，有关市</w:t>
      </w:r>
      <w:r>
        <w:rPr>
          <w:rFonts w:hint="eastAsia" w:eastAsia="方正仿宋_GBK"/>
          <w:color w:val="000000"/>
          <w:spacing w:val="-2"/>
          <w:w w:val="66"/>
          <w:sz w:val="24"/>
        </w:rPr>
        <w:t>、</w:t>
      </w:r>
      <w:r>
        <w:rPr>
          <w:rFonts w:hint="eastAsia" w:eastAsia="方正仿宋_GBK"/>
          <w:color w:val="000000"/>
          <w:spacing w:val="-2"/>
          <w:sz w:val="24"/>
        </w:rPr>
        <w:t>县水务局：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为严格落实省委省政府提出的</w:t>
      </w:r>
      <w:r>
        <w:rPr>
          <w:rFonts w:eastAsia="方正仿宋_GBK"/>
          <w:color w:val="000000"/>
          <w:spacing w:val="-2"/>
          <w:sz w:val="24"/>
        </w:rPr>
        <w:t>“</w:t>
      </w:r>
      <w:r>
        <w:rPr>
          <w:rFonts w:hint="eastAsia" w:eastAsia="方正仿宋_GBK"/>
          <w:color w:val="000000"/>
          <w:spacing w:val="-2"/>
          <w:sz w:val="24"/>
        </w:rPr>
        <w:t>不合格的水不出厂、不达标的水不进管网</w:t>
      </w:r>
      <w:r>
        <w:rPr>
          <w:rFonts w:eastAsia="方正仿宋_GBK"/>
          <w:color w:val="000000"/>
          <w:spacing w:val="-2"/>
          <w:sz w:val="24"/>
        </w:rPr>
        <w:t>”</w:t>
      </w:r>
      <w:r>
        <w:rPr>
          <w:rFonts w:hint="eastAsia" w:eastAsia="方正仿宋_GBK"/>
          <w:color w:val="000000"/>
          <w:spacing w:val="-2"/>
          <w:sz w:val="24"/>
        </w:rPr>
        <w:t>的要求，确保城市安全供水，现就进一步加强城市供水水质检测等有关工作提出如下要求，请各地结合实际贯彻落实。</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一、进一步加强原水和生产过程水质监控。</w:t>
      </w:r>
      <w:r>
        <w:rPr>
          <w:rFonts w:hint="eastAsia" w:eastAsia="方正仿宋_GBK"/>
          <w:color w:val="000000"/>
          <w:spacing w:val="-2"/>
          <w:sz w:val="24"/>
        </w:rPr>
        <w:t>针对当前我省城市集中式饮用水源地保护和供水安全状况，经研究，在全省城市供水厂实施严于国家标准和规程规定的水质检测工作要求，对以下水样的水质检测，除执行</w:t>
      </w:r>
      <w:r>
        <w:rPr>
          <w:rFonts w:eastAsia="方正仿宋_GBK"/>
          <w:color w:val="000000"/>
          <w:spacing w:val="-2"/>
          <w:sz w:val="24"/>
        </w:rPr>
        <w:t>GB5749</w:t>
      </w:r>
      <w:r>
        <w:rPr>
          <w:rFonts w:hint="eastAsia" w:eastAsia="方正仿宋_GBK"/>
          <w:color w:val="000000"/>
          <w:spacing w:val="-2"/>
          <w:sz w:val="24"/>
        </w:rPr>
        <w:t>和《城镇供水厂运行、维护及安全技术规程》</w:t>
      </w:r>
      <w:r>
        <w:rPr>
          <w:rFonts w:eastAsia="方正仿宋_GBK"/>
          <w:color w:val="000000"/>
          <w:spacing w:val="-2"/>
          <w:sz w:val="24"/>
        </w:rPr>
        <w:t>CJJ58—94</w:t>
      </w:r>
      <w:r>
        <w:rPr>
          <w:rFonts w:hint="eastAsia" w:eastAsia="方正仿宋_GBK"/>
          <w:color w:val="000000"/>
          <w:spacing w:val="-2"/>
          <w:sz w:val="24"/>
        </w:rPr>
        <w:t>规定的检测频次和项目外，适当增加检测项目和检测频次，在水厂生产过程中建立新的水质检测报表制度。增加的检测项目和检测频次为：</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水源水检测项目：臭和味、色度、</w:t>
      </w:r>
      <w:r>
        <w:rPr>
          <w:rFonts w:eastAsia="方正仿宋_GBK"/>
          <w:color w:val="000000"/>
          <w:spacing w:val="-2"/>
          <w:sz w:val="24"/>
        </w:rPr>
        <w:t>COD</w:t>
      </w:r>
      <w:r>
        <w:rPr>
          <w:rFonts w:eastAsia="方正仿宋_GBK"/>
          <w:color w:val="000000"/>
          <w:spacing w:val="-2"/>
          <w:sz w:val="24"/>
          <w:vertAlign w:val="subscript"/>
        </w:rPr>
        <w:t>Mn</w:t>
      </w:r>
      <w:r>
        <w:rPr>
          <w:rFonts w:hint="eastAsia" w:eastAsia="方正仿宋_GBK"/>
          <w:color w:val="000000"/>
          <w:spacing w:val="-2"/>
          <w:sz w:val="24"/>
        </w:rPr>
        <w:t>、溶解氧、</w:t>
      </w:r>
      <w:r>
        <w:rPr>
          <w:rFonts w:eastAsia="方正仿宋_GBK"/>
          <w:color w:val="000000"/>
          <w:spacing w:val="-2"/>
          <w:sz w:val="24"/>
        </w:rPr>
        <w:t>pH</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沉淀水、滤后水和清水库检测项目：臭和味、浑浊度、余氯、色度；</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出厂水检测项目：臭和味、色度、</w:t>
      </w:r>
      <w:r>
        <w:rPr>
          <w:rFonts w:eastAsia="方正仿宋_GBK"/>
          <w:color w:val="000000"/>
          <w:spacing w:val="-2"/>
          <w:sz w:val="24"/>
        </w:rPr>
        <w:t>COD</w:t>
      </w:r>
      <w:r>
        <w:rPr>
          <w:rFonts w:eastAsia="方正仿宋_GBK"/>
          <w:color w:val="000000"/>
          <w:spacing w:val="-2"/>
          <w:sz w:val="24"/>
          <w:vertAlign w:val="subscript"/>
        </w:rPr>
        <w:t>Mn</w:t>
      </w:r>
      <w:r>
        <w:rPr>
          <w:rFonts w:hint="eastAsia" w:eastAsia="方正仿宋_GBK"/>
          <w:color w:val="000000"/>
          <w:spacing w:val="-2"/>
          <w:sz w:val="24"/>
        </w:rPr>
        <w:t>、浑浊度、余氯。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以上项目中</w:t>
      </w:r>
      <w:r>
        <w:rPr>
          <w:rFonts w:eastAsia="方正仿宋_GBK"/>
          <w:color w:val="000000"/>
          <w:spacing w:val="-2"/>
          <w:sz w:val="24"/>
        </w:rPr>
        <w:t>COD</w:t>
      </w:r>
      <w:r>
        <w:rPr>
          <w:rFonts w:eastAsia="方正仿宋_GBK"/>
          <w:color w:val="000000"/>
          <w:spacing w:val="-2"/>
          <w:sz w:val="24"/>
          <w:vertAlign w:val="subscript"/>
        </w:rPr>
        <w:t>Mn</w:t>
      </w:r>
      <w:r>
        <w:rPr>
          <w:rFonts w:hint="eastAsia" w:eastAsia="方正仿宋_GBK"/>
          <w:color w:val="000000"/>
          <w:spacing w:val="-2"/>
          <w:sz w:val="24"/>
        </w:rPr>
        <w:t>每</w:t>
      </w:r>
      <w:r>
        <w:rPr>
          <w:rFonts w:eastAsia="方正仿宋_GBK"/>
          <w:color w:val="000000"/>
          <w:spacing w:val="-2"/>
          <w:sz w:val="24"/>
        </w:rPr>
        <w:t>2</w:t>
      </w:r>
      <w:r>
        <w:rPr>
          <w:rFonts w:hint="eastAsia" w:eastAsia="方正仿宋_GBK"/>
          <w:color w:val="000000"/>
          <w:spacing w:val="-2"/>
          <w:sz w:val="24"/>
        </w:rPr>
        <w:t>小时检测一次，其他项目每</w:t>
      </w:r>
      <w:r>
        <w:rPr>
          <w:rFonts w:eastAsia="方正仿宋_GBK"/>
          <w:color w:val="000000"/>
          <w:spacing w:val="-2"/>
          <w:sz w:val="24"/>
        </w:rPr>
        <w:t>1</w:t>
      </w:r>
      <w:r>
        <w:rPr>
          <w:rFonts w:hint="eastAsia" w:eastAsia="方正仿宋_GBK"/>
          <w:color w:val="000000"/>
          <w:spacing w:val="-2"/>
          <w:sz w:val="24"/>
        </w:rPr>
        <w:t>小时检测一次，必要时可加密检测。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二、强化水源污染隐患的排查和监测。</w:t>
      </w:r>
      <w:r>
        <w:rPr>
          <w:rFonts w:hint="eastAsia" w:eastAsia="方正仿宋_GBK"/>
          <w:color w:val="000000"/>
          <w:spacing w:val="-2"/>
          <w:sz w:val="24"/>
        </w:rPr>
        <w:t>各地供水主管部门和企业立即组织力量，积极配合当地环保部门对有可能影响水源地水质的污染源进行调查，并将调查结果报送当地政府。对可能影响水源水质的重大污染隐患，要提请当地政府采取有效措施坚决清除。同时，供水企业要对调查中发现的可能污染物，适当增加检测项目和频次，加强动态监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三、切实做好自来水厂在线检测仪器的维护和管理。</w:t>
      </w:r>
      <w:r>
        <w:rPr>
          <w:rFonts w:hint="eastAsia" w:eastAsia="方正仿宋_GBK"/>
          <w:color w:val="000000"/>
          <w:spacing w:val="-2"/>
          <w:sz w:val="24"/>
        </w:rPr>
        <w:t>各地供水企业要立即对已经安装的在线检测仪器进行维护，确保正常使用；一些尚未对出厂水实现浊度和余氯在线检测的供水企业，要严格按照规定的频次和要求加强手工检测，并做好记录。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四、建立齐抓共管、各负其责的水源水质监测机制。</w:t>
      </w:r>
      <w:r>
        <w:rPr>
          <w:rFonts w:hint="eastAsia" w:eastAsia="方正仿宋_GBK"/>
          <w:color w:val="000000"/>
          <w:spacing w:val="-2"/>
          <w:sz w:val="24"/>
        </w:rPr>
        <w:t>根据省人大常委会《关于加强饮用水源地保护的决定》的要求，提请当地政府明确相关部门在饮用水源地环境质量和水量、水质监测的职责，分工负责，建立起严密的水质监测长效机制。并互相通报水源地环境和水文、水质状况，共同做好集中式饮用水源地的保护工作。</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五、实行水源水质变化预警制度。</w:t>
      </w:r>
      <w:r>
        <w:rPr>
          <w:rFonts w:hint="eastAsia" w:eastAsia="方正仿宋_GBK"/>
          <w:color w:val="000000"/>
          <w:spacing w:val="-2"/>
          <w:sz w:val="24"/>
        </w:rPr>
        <w:t>各地要与当地环保、水利等部门建立水质监测信息、调水信息沟通制度，适时掌握水源水文、水质变化情况，提前做好应急准备工作。各地供水企业在发现水源水质异常时，要立即按规定上报，有重大污染时要同时通知下游供水企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六、严格执行停水程序。</w:t>
      </w:r>
      <w:r>
        <w:rPr>
          <w:rFonts w:hint="eastAsia" w:eastAsia="方正仿宋_GBK"/>
          <w:color w:val="000000"/>
          <w:spacing w:val="-2"/>
          <w:sz w:val="24"/>
        </w:rPr>
        <w:t>当原水水质遭受突发污染，致使出厂水毒理学指标严重超标直接危及人的生命健康时，供水企业应立即停止供水并同时向主管部门和政府报告；感官性状等指标超标时，供水企业应立即向主管部门报告，由当地政府决定是否停止生产。</w:t>
      </w:r>
    </w:p>
    <w:p>
      <w:pPr>
        <w:spacing w:line="460" w:lineRule="exact"/>
        <w:ind w:firstLine="472" w:firstLineChars="200"/>
        <w:rPr>
          <w:rFonts w:eastAsia="方正仿宋_GBK"/>
          <w:color w:val="000000"/>
          <w:spacing w:val="-2"/>
          <w:sz w:val="24"/>
        </w:rPr>
      </w:pPr>
    </w:p>
    <w:p>
      <w:pPr>
        <w:wordWrap w:val="0"/>
        <w:spacing w:line="460" w:lineRule="exact"/>
        <w:ind w:firstLine="472" w:firstLineChars="200"/>
        <w:jc w:val="right"/>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wordWrap w:val="0"/>
        <w:spacing w:line="460" w:lineRule="exact"/>
        <w:ind w:firstLine="472" w:firstLineChars="200"/>
        <w:jc w:val="right"/>
        <w:rPr>
          <w:rFonts w:eastAsia="方正仿宋_GBK"/>
          <w:color w:val="000000"/>
          <w:spacing w:val="-2"/>
          <w:sz w:val="24"/>
        </w:rPr>
      </w:pPr>
      <w:r>
        <w:rPr>
          <w:rFonts w:hint="eastAsia" w:eastAsia="方正仿宋_GBK"/>
          <w:color w:val="000000"/>
          <w:spacing w:val="-2"/>
          <w:sz w:val="24"/>
        </w:rPr>
        <w:t>二○○九年三月三日</w:t>
      </w:r>
      <w:r>
        <w:rPr>
          <w:rFonts w:eastAsia="方正仿宋_GBK"/>
          <w:color w:val="000000"/>
          <w:spacing w:val="-2"/>
          <w:sz w:val="24"/>
        </w:rPr>
        <w:t xml:space="preserve">    </w:t>
      </w:r>
    </w:p>
    <w:p/>
    <w:p/>
    <w:p/>
    <w:p/>
    <w:p/>
    <w:p/>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98" w:name="_Toc18315415"/>
      <w:bookmarkStart w:id="99" w:name="_Toc20726334"/>
      <w:r>
        <w:rPr>
          <w:rFonts w:hint="eastAsia" w:ascii="Times New Roman" w:eastAsia="方正小标宋_GBK"/>
          <w:b w:val="0"/>
          <w:sz w:val="36"/>
          <w:szCs w:val="36"/>
        </w:rPr>
        <w:t>关于印发《江苏省瓶装燃气送气服务管理规定》的通知</w:t>
      </w:r>
      <w:bookmarkEnd w:id="98"/>
      <w:bookmarkEnd w:id="9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00" w:name="_Toc18315416"/>
      <w:bookmarkStart w:id="101" w:name="_Toc20726335"/>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2010</w:t>
      </w:r>
      <w:r>
        <w:rPr>
          <w:rFonts w:hint="eastAsia" w:ascii="Times New Roman" w:hAnsi="Times New Roman" w:eastAsia="方正楷体_GBK"/>
          <w:b w:val="0"/>
          <w:sz w:val="24"/>
          <w:szCs w:val="24"/>
        </w:rPr>
        <w:t>〕</w:t>
      </w:r>
      <w:r>
        <w:rPr>
          <w:rFonts w:ascii="Times New Roman" w:hAnsi="Times New Roman" w:eastAsia="方正楷体_GBK"/>
          <w:b w:val="0"/>
          <w:sz w:val="24"/>
          <w:szCs w:val="24"/>
        </w:rPr>
        <w:t>3</w:t>
      </w:r>
      <w:r>
        <w:rPr>
          <w:rFonts w:hint="eastAsia" w:ascii="Times New Roman" w:hAnsi="Times New Roman" w:eastAsia="方正楷体_GBK"/>
          <w:b w:val="0"/>
          <w:sz w:val="24"/>
          <w:szCs w:val="24"/>
        </w:rPr>
        <w:t>号</w:t>
      </w:r>
      <w:bookmarkEnd w:id="100"/>
      <w:bookmarkEnd w:id="101"/>
    </w:p>
    <w:p>
      <w:pPr>
        <w:spacing w:line="460" w:lineRule="exact"/>
        <w:rPr>
          <w:rFonts w:eastAsia="方正仿宋_GBK"/>
          <w:color w:val="000000"/>
          <w:spacing w:val="-2"/>
          <w:sz w:val="24"/>
        </w:rPr>
      </w:pPr>
      <w:r>
        <w:rPr>
          <w:rFonts w:hint="eastAsia" w:eastAsia="方正仿宋_GBK"/>
          <w:color w:val="000000"/>
          <w:spacing w:val="-2"/>
          <w:sz w:val="24"/>
        </w:rPr>
        <w:t>各省辖市建设局（委）、市政（园林）局：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加强瓶装燃气送气服务管理，维护瓶装燃气经营市场秩序，根据《中华人民共和国安全生产法》、《江苏省燃气管理条例》等法律法规规定，我厅制定了《江苏省瓶装燃气送气服务管理规定》。现印发给你们，请结合实际认真贯彻执行。</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附件：《江苏省瓶装燃气送气服务管理规定》。</w:t>
      </w:r>
    </w:p>
    <w:p>
      <w:pPr>
        <w:spacing w:line="460" w:lineRule="exact"/>
        <w:ind w:firstLine="645"/>
        <w:rPr>
          <w:rFonts w:eastAsia="方正仿宋_GBK"/>
          <w:color w:val="000000"/>
          <w:spacing w:val="-2"/>
          <w:sz w:val="24"/>
        </w:rPr>
      </w:pPr>
    </w:p>
    <w:p>
      <w:pPr>
        <w:wordWrap w:val="0"/>
        <w:spacing w:line="460" w:lineRule="exact"/>
        <w:ind w:firstLine="645"/>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ind w:firstLine="645"/>
        <w:jc w:val="right"/>
        <w:rPr>
          <w:rFonts w:eastAsia="方正仿宋_GBK"/>
          <w:color w:val="000000"/>
          <w:spacing w:val="-2"/>
          <w:sz w:val="24"/>
        </w:rPr>
      </w:pPr>
      <w:r>
        <w:rPr>
          <w:rFonts w:hint="eastAsia" w:eastAsia="方正仿宋_GBK"/>
          <w:color w:val="000000"/>
          <w:spacing w:val="-2"/>
          <w:sz w:val="24"/>
        </w:rPr>
        <w:t>二○一○年七月二十七日</w:t>
      </w:r>
      <w:r>
        <w:rPr>
          <w:rFonts w:eastAsia="方正仿宋_GBK"/>
          <w:color w:val="000000"/>
          <w:spacing w:val="-2"/>
          <w:sz w:val="24"/>
        </w:rPr>
        <w:t xml:space="preserve">    </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ind w:firstLine="645"/>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江苏省瓶装燃气送气服务管理规定</w:t>
      </w:r>
    </w:p>
    <w:p>
      <w:pPr>
        <w:spacing w:line="460" w:lineRule="exact"/>
        <w:ind w:firstLine="645"/>
        <w:jc w:val="center"/>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为规范瓶装燃气的送气服务行为，维护瓶装燃气经营市场秩序，保障社会公共安全和燃气用户的使用安全，根据《中华人民共和国安全生产法》、《江苏省燃气管理条例》等有关法律、法规的规定，制定本规定。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本规定所称送气服务是指取得《江苏省瓶装燃气经营许可证》、《江苏省瓶装燃气供应许可证》的瓶装燃气经营企业、供应站点（以下简称瓶装燃气企业）根据用户要求，将本企业供应的瓶装燃气由企业服务人员送气到户的活动。</w:t>
      </w:r>
    </w:p>
    <w:p>
      <w:pPr>
        <w:spacing w:line="460" w:lineRule="exact"/>
        <w:ind w:firstLine="472" w:firstLineChars="200"/>
        <w:rPr>
          <w:rFonts w:eastAsia="方正仿宋_GBK"/>
          <w:color w:val="000000"/>
          <w:spacing w:val="-8"/>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8"/>
          <w:sz w:val="24"/>
        </w:rPr>
        <w:t>本规定适用于本省行政区域内从事瓶装燃气送气服务及其相关的管理活动。</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省、设区市、县（市）建设（市政公用）主管部门（以下简称建设主管部门）负责本行政区域内瓶装燃气送气服务的监督管理，其所属的燃气管理机构负责瓶装燃气服务的日常监管工作。</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瓶装燃气企业的送气服务范围为企业所在地的市、县行政区域；需要跨市、县实行异地经营服务的，企业应当向异地的建设主管部门申请设立瓶装燃气供应站点，由供应站点的服务人员进行送气服务；不得利用送气车辆直接向异地用户提供瓶装燃气送气服务。</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瓶装燃气企业应当与送气服务人员签订劳动用工合同，并定期安排其参加由建设主管部门组织的岗位培训，考试合格后方可从事送气服务。</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sz w:val="24"/>
        </w:rPr>
        <w:t>瓶装燃气企业应当及时将已签订用工合同的在册送气服务人员名单报送建设主管部门备案；送气服务人员合同期满未续签、合同期内离职或者严重违法、违章被开除的，企业应当及时收回其从业相关证件，并告知建设主管部门。</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第七条 </w:t>
      </w:r>
      <w:r>
        <w:rPr>
          <w:rFonts w:eastAsia="方正仿宋_GBK"/>
          <w:color w:val="000000"/>
          <w:spacing w:val="-2"/>
          <w:sz w:val="24"/>
        </w:rPr>
        <w:t xml:space="preserve"> </w:t>
      </w:r>
      <w:r>
        <w:rPr>
          <w:rFonts w:hint="eastAsia" w:eastAsia="方正仿宋_GBK"/>
          <w:color w:val="000000"/>
          <w:spacing w:val="-2"/>
          <w:sz w:val="24"/>
        </w:rPr>
        <w:t>瓶装燃气送气服务人员应当遵守下列规定：</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（一）送气服务时必须统一穿着企业识别服，随身佩戴岗位从业证（牌）、送气配送单。从业证（牌）应包含：瓶装燃气企业名称、本人工号、照片、岗位名称。送气配送单</w:t>
      </w:r>
      <w:r>
        <w:rPr>
          <w:rFonts w:hint="eastAsia" w:eastAsia="方正仿宋_GBK"/>
          <w:color w:val="000000"/>
          <w:spacing w:val="-2"/>
          <w:kern w:val="0"/>
          <w:sz w:val="24"/>
        </w:rPr>
        <w:t>应注明送气对象、送气地址、送气数量、送气人员、收费价格、气瓶编号、塑封套流水号、用户签收等事项</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（二）应按企业的承诺时限直接送气到用户，并接受建设主管部门的监督检查；</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sz w:val="24"/>
        </w:rPr>
        <w:t>（三）</w:t>
      </w:r>
      <w:r>
        <w:rPr>
          <w:rFonts w:hint="eastAsia" w:eastAsia="方正仿宋_GBK"/>
          <w:color w:val="000000"/>
          <w:spacing w:val="-2"/>
          <w:kern w:val="0"/>
          <w:sz w:val="24"/>
        </w:rPr>
        <w:t>向用户收取的售气款及送气服务费，必须严格执行</w:t>
      </w:r>
      <w:r>
        <w:rPr>
          <w:rFonts w:hint="eastAsia" w:eastAsia="方正仿宋_GBK"/>
          <w:color w:val="000000"/>
          <w:spacing w:val="-2"/>
          <w:sz w:val="24"/>
        </w:rPr>
        <w:t>瓶装燃气企业</w:t>
      </w:r>
      <w:r>
        <w:rPr>
          <w:rFonts w:hint="eastAsia" w:eastAsia="方正仿宋_GBK"/>
          <w:color w:val="000000"/>
          <w:spacing w:val="-2"/>
          <w:kern w:val="0"/>
          <w:sz w:val="24"/>
        </w:rPr>
        <w:t>向社会公布的统一价格，不得有任何价格欺骗行为，不得以任何形式向用户索取额外费用。</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sz w:val="24"/>
        </w:rPr>
        <w:t>第八条</w:t>
      </w:r>
      <w:r>
        <w:rPr>
          <w:rFonts w:eastAsia="方正仿宋_GBK"/>
          <w:color w:val="000000"/>
          <w:spacing w:val="-2"/>
          <w:kern w:val="0"/>
          <w:sz w:val="24"/>
        </w:rPr>
        <w:t xml:space="preserve">  </w:t>
      </w:r>
      <w:r>
        <w:rPr>
          <w:rFonts w:hint="eastAsia" w:eastAsia="方正仿宋_GBK"/>
          <w:color w:val="000000"/>
          <w:spacing w:val="-2"/>
          <w:sz w:val="24"/>
        </w:rPr>
        <w:t>瓶装燃气企业应完善送气服务网络，配备与经营规模相适应的送气服务人员，并制定送气服务管理制度；</w:t>
      </w:r>
      <w:r>
        <w:rPr>
          <w:rFonts w:hint="eastAsia" w:eastAsia="方正仿宋_GBK"/>
          <w:color w:val="000000"/>
          <w:spacing w:val="-2"/>
          <w:kern w:val="0"/>
          <w:sz w:val="24"/>
        </w:rPr>
        <w:t>加强对所属送气服务人员的安全教育和管理，</w:t>
      </w:r>
      <w:r>
        <w:rPr>
          <w:rFonts w:hint="eastAsia" w:eastAsia="方正仿宋_GBK"/>
          <w:color w:val="000000"/>
          <w:spacing w:val="-2"/>
          <w:sz w:val="24"/>
        </w:rPr>
        <w:t>对</w:t>
      </w:r>
      <w:r>
        <w:rPr>
          <w:rFonts w:hint="eastAsia" w:eastAsia="方正仿宋_GBK"/>
          <w:color w:val="000000"/>
          <w:spacing w:val="-2"/>
          <w:kern w:val="0"/>
          <w:sz w:val="24"/>
        </w:rPr>
        <w:t>送气服务人员在送气</w:t>
      </w:r>
      <w:r>
        <w:rPr>
          <w:rFonts w:hint="eastAsia" w:eastAsia="方正仿宋_GBK"/>
          <w:color w:val="000000"/>
          <w:spacing w:val="-2"/>
          <w:sz w:val="24"/>
        </w:rPr>
        <w:t>服务过程中涉及的违法行为、服务质量及安全事故等承担相应的安全、管理责任。</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瓶装燃气送气服务人员在从事送气服务时应当遵守下列规定：</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（一）不得擅自撕启钢瓶塑封标识和警示标签；</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（二）不得私自在家中、租用房屋等未经核准的场地存放已装液化石油气的气瓶。未能及时送出的</w:t>
      </w:r>
      <w:r>
        <w:rPr>
          <w:rFonts w:hint="eastAsia" w:eastAsia="方正仿宋_GBK"/>
          <w:color w:val="000000"/>
          <w:spacing w:val="-2"/>
          <w:kern w:val="0"/>
          <w:sz w:val="24"/>
        </w:rPr>
        <w:t>气瓶</w:t>
      </w:r>
      <w:r>
        <w:rPr>
          <w:rFonts w:hint="eastAsia" w:eastAsia="方正仿宋_GBK"/>
          <w:color w:val="000000"/>
          <w:spacing w:val="-2"/>
          <w:sz w:val="24"/>
        </w:rPr>
        <w:t>应及时送回瓶装燃气企业存放；</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（三）未经所在企业允许，不得在用户家中从事液化石油气瓶、器具的维修及与送气业务无关的工作；</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（四）不得进行气瓶间相互倒灌、掺杂使假和</w:t>
      </w:r>
      <w:r>
        <w:rPr>
          <w:rFonts w:hint="eastAsia" w:eastAsia="方正仿宋_GBK"/>
          <w:color w:val="000000"/>
          <w:spacing w:val="-2"/>
          <w:kern w:val="0"/>
          <w:sz w:val="24"/>
        </w:rPr>
        <w:t>随意倾倒</w:t>
      </w:r>
      <w:r>
        <w:rPr>
          <w:rFonts w:hint="eastAsia" w:eastAsia="方正仿宋_GBK"/>
          <w:color w:val="000000"/>
          <w:spacing w:val="-2"/>
          <w:sz w:val="24"/>
        </w:rPr>
        <w:t>液化石油气残液；</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（五）不得擅自处理超期、漏气等不合格气瓶；发现气瓶漏气，应及时送回瓶装燃气企业处理。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第十条 </w:t>
      </w:r>
      <w:r>
        <w:rPr>
          <w:rFonts w:eastAsia="方正仿宋_GBK"/>
          <w:color w:val="000000"/>
          <w:spacing w:val="-2"/>
          <w:sz w:val="24"/>
        </w:rPr>
        <w:t xml:space="preserve"> </w:t>
      </w:r>
      <w:r>
        <w:rPr>
          <w:rFonts w:hint="eastAsia" w:eastAsia="方正仿宋_GBK"/>
          <w:color w:val="000000"/>
          <w:spacing w:val="-2"/>
          <w:sz w:val="24"/>
        </w:rPr>
        <w:t>瓶装燃气企业应当加强对气瓶的流转管理，对已配送出的充满液化石油气的实气瓶和从用户家收回的空气瓶应当做好流转登记，防止送气服务人员私自从事非法经营行为和违反安全管理规定的行为。</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禁止向无瓶装燃气经营许可证、瓶装燃气供应许可证的单位和个人供应用于销售的燃气。</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6"/>
          <w:kern w:val="0"/>
          <w:sz w:val="24"/>
        </w:rPr>
        <w:t>瓶装燃气企业应当配备或者委托符合安全运输要求的车辆运输配送</w:t>
      </w:r>
      <w:r>
        <w:rPr>
          <w:rFonts w:hint="eastAsia" w:eastAsia="方正仿宋_GBK"/>
          <w:color w:val="000000"/>
          <w:spacing w:val="-6"/>
          <w:sz w:val="24"/>
        </w:rPr>
        <w:t>液化石油气</w:t>
      </w:r>
      <w:r>
        <w:rPr>
          <w:rFonts w:hint="eastAsia" w:eastAsia="方正仿宋_GBK"/>
          <w:color w:val="000000"/>
          <w:spacing w:val="-6"/>
          <w:kern w:val="0"/>
          <w:sz w:val="24"/>
        </w:rPr>
        <w:t>气瓶，不得使用厢体封闭等不符合安全要求的车辆运输装有</w:t>
      </w:r>
      <w:r>
        <w:rPr>
          <w:rFonts w:hint="eastAsia" w:eastAsia="方正仿宋_GBK"/>
          <w:color w:val="000000"/>
          <w:spacing w:val="-6"/>
          <w:sz w:val="24"/>
        </w:rPr>
        <w:t>液化石油气</w:t>
      </w:r>
      <w:r>
        <w:rPr>
          <w:rFonts w:hint="eastAsia" w:eastAsia="方正仿宋_GBK"/>
          <w:color w:val="000000"/>
          <w:spacing w:val="-6"/>
          <w:kern w:val="0"/>
          <w:sz w:val="24"/>
        </w:rPr>
        <w:t>的气瓶</w:t>
      </w:r>
      <w:r>
        <w:rPr>
          <w:rFonts w:hint="eastAsia" w:eastAsia="方正仿宋_GBK"/>
          <w:color w:val="000000"/>
          <w:spacing w:val="-2"/>
          <w:kern w:val="0"/>
          <w:sz w:val="24"/>
        </w:rPr>
        <w:t>。</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瓶装燃气企业向居民用户送气使用的车辆及其装载的气瓶数量应当符合相应的安全要求。气瓶在运送过程中应保持单层直立码放，严禁气瓶倒置和厢体外挂。</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sz w:val="24"/>
        </w:rPr>
        <w:t xml:space="preserve">第十二条 </w:t>
      </w:r>
      <w:r>
        <w:rPr>
          <w:rFonts w:eastAsia="方正仿宋_GBK"/>
          <w:color w:val="000000"/>
          <w:spacing w:val="-2"/>
          <w:sz w:val="24"/>
        </w:rPr>
        <w:t xml:space="preserve"> </w:t>
      </w:r>
      <w:r>
        <w:rPr>
          <w:rFonts w:hint="eastAsia" w:eastAsia="方正仿宋_GBK"/>
          <w:color w:val="000000"/>
          <w:spacing w:val="-2"/>
          <w:sz w:val="24"/>
        </w:rPr>
        <w:t>建设主管部门</w:t>
      </w:r>
      <w:r>
        <w:rPr>
          <w:rFonts w:hint="eastAsia" w:eastAsia="方正仿宋_GBK"/>
          <w:color w:val="000000"/>
          <w:spacing w:val="-2"/>
          <w:kern w:val="0"/>
          <w:sz w:val="24"/>
        </w:rPr>
        <w:t>应当加强对</w:t>
      </w:r>
      <w:r>
        <w:rPr>
          <w:rFonts w:hint="eastAsia" w:eastAsia="方正仿宋_GBK"/>
          <w:color w:val="000000"/>
          <w:spacing w:val="-2"/>
          <w:sz w:val="24"/>
        </w:rPr>
        <w:t>瓶装燃气企业送气服务的监督管理，</w:t>
      </w:r>
      <w:r>
        <w:rPr>
          <w:rFonts w:hint="eastAsia" w:eastAsia="方正仿宋_GBK"/>
          <w:color w:val="000000"/>
          <w:spacing w:val="-2"/>
          <w:kern w:val="0"/>
          <w:sz w:val="24"/>
        </w:rPr>
        <w:t>定期公布本地区企业送气服务人员名册，接受社会的监督。定期组织送气服务人员进行燃气安全管理规定的培训。</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建设主管部门</w:t>
      </w:r>
      <w:r>
        <w:rPr>
          <w:rFonts w:hint="eastAsia" w:eastAsia="方正仿宋_GBK"/>
          <w:color w:val="000000"/>
          <w:spacing w:val="-2"/>
          <w:kern w:val="0"/>
          <w:sz w:val="24"/>
        </w:rPr>
        <w:t>应当</w:t>
      </w:r>
      <w:r>
        <w:rPr>
          <w:rFonts w:hint="eastAsia" w:eastAsia="方正仿宋_GBK"/>
          <w:color w:val="000000"/>
          <w:spacing w:val="-2"/>
          <w:sz w:val="24"/>
        </w:rPr>
        <w:t>组织力量依法查处非法经营站点以及无合法经营站点流动经销瓶装燃气的非法经营行为。</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sz w:val="24"/>
        </w:rPr>
        <w:t>第十四条</w:t>
      </w:r>
      <w:r>
        <w:rPr>
          <w:rFonts w:eastAsia="方正仿宋_GBK"/>
          <w:color w:val="000000"/>
          <w:spacing w:val="-2"/>
          <w:kern w:val="0"/>
          <w:sz w:val="24"/>
        </w:rPr>
        <w:t xml:space="preserve">  </w:t>
      </w:r>
      <w:r>
        <w:rPr>
          <w:rFonts w:hint="eastAsia" w:eastAsia="方正仿宋_GBK"/>
          <w:color w:val="000000"/>
          <w:spacing w:val="-2"/>
          <w:kern w:val="0"/>
          <w:sz w:val="24"/>
        </w:rPr>
        <w:t>对发现送气服务人员未</w:t>
      </w:r>
      <w:r>
        <w:rPr>
          <w:rFonts w:hint="eastAsia" w:eastAsia="方正仿宋_GBK"/>
          <w:color w:val="000000"/>
          <w:spacing w:val="-2"/>
          <w:sz w:val="24"/>
        </w:rPr>
        <w:t>穿着识别服、未佩戴岗位从业证（牌）、未随身携带送气配送单等涉嫌无证经营行为的，建设主管部门可依法暂扣气瓶；经查实确实为无证经营行为的，应当依照《江苏省燃气管理条例》的有关规定</w:t>
      </w:r>
      <w:r>
        <w:rPr>
          <w:rFonts w:hint="eastAsia" w:eastAsia="方正仿宋_GBK"/>
          <w:color w:val="000000"/>
          <w:spacing w:val="-2"/>
          <w:kern w:val="0"/>
          <w:sz w:val="24"/>
        </w:rPr>
        <w:t>予以处罚。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第十五条</w:t>
      </w:r>
      <w:r>
        <w:rPr>
          <w:rFonts w:eastAsia="方正仿宋_GBK"/>
          <w:color w:val="000000"/>
          <w:spacing w:val="-2"/>
          <w:kern w:val="0"/>
          <w:sz w:val="24"/>
        </w:rPr>
        <w:t xml:space="preserve">  </w:t>
      </w:r>
      <w:r>
        <w:rPr>
          <w:rFonts w:hint="eastAsia" w:eastAsia="方正仿宋_GBK"/>
          <w:color w:val="000000"/>
          <w:spacing w:val="-2"/>
          <w:kern w:val="0"/>
          <w:sz w:val="24"/>
        </w:rPr>
        <w:t>对</w:t>
      </w:r>
      <w:r>
        <w:rPr>
          <w:rFonts w:hint="eastAsia" w:eastAsia="方正仿宋_GBK"/>
          <w:color w:val="000000"/>
          <w:spacing w:val="-2"/>
          <w:sz w:val="24"/>
        </w:rPr>
        <w:t>瓶装燃气企业</w:t>
      </w:r>
      <w:r>
        <w:rPr>
          <w:rFonts w:hint="eastAsia" w:eastAsia="方正仿宋_GBK"/>
          <w:color w:val="000000"/>
          <w:spacing w:val="-2"/>
          <w:kern w:val="0"/>
          <w:sz w:val="24"/>
        </w:rPr>
        <w:t>违法向无证经营单位和个人供应销售燃气的，建设主管部门应按照</w:t>
      </w:r>
      <w:r>
        <w:rPr>
          <w:rFonts w:hint="eastAsia" w:eastAsia="方正仿宋_GBK"/>
          <w:color w:val="000000"/>
          <w:spacing w:val="-2"/>
          <w:sz w:val="24"/>
        </w:rPr>
        <w:t>《江苏省燃气管理条例》规定进行查处。</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第十六条</w:t>
      </w:r>
      <w:r>
        <w:rPr>
          <w:rFonts w:eastAsia="方正仿宋_GBK"/>
          <w:color w:val="000000"/>
          <w:spacing w:val="-2"/>
          <w:kern w:val="0"/>
          <w:sz w:val="24"/>
        </w:rPr>
        <w:t xml:space="preserve">  </w:t>
      </w:r>
      <w:r>
        <w:rPr>
          <w:rFonts w:hint="eastAsia" w:eastAsia="方正仿宋_GBK"/>
          <w:color w:val="000000"/>
          <w:spacing w:val="-2"/>
          <w:sz w:val="24"/>
        </w:rPr>
        <w:t>瓶装燃气企业</w:t>
      </w:r>
      <w:r>
        <w:rPr>
          <w:rFonts w:hint="eastAsia" w:eastAsia="方正仿宋_GBK"/>
          <w:color w:val="000000"/>
          <w:spacing w:val="-2"/>
          <w:kern w:val="0"/>
          <w:sz w:val="24"/>
        </w:rPr>
        <w:t>没有按规定要求对送气服务人员进行送气服务管理，一年中有三次以上违反送气服务规定被有关部门查处的，建设主管部门</w:t>
      </w:r>
      <w:r>
        <w:rPr>
          <w:rFonts w:hint="eastAsia" w:eastAsia="方正仿宋_GBK"/>
          <w:color w:val="000000"/>
          <w:spacing w:val="-2"/>
          <w:sz w:val="24"/>
        </w:rPr>
        <w:t>可以</w:t>
      </w:r>
      <w:r>
        <w:rPr>
          <w:rFonts w:hint="eastAsia" w:eastAsia="方正仿宋_GBK"/>
          <w:color w:val="000000"/>
          <w:spacing w:val="-2"/>
          <w:kern w:val="0"/>
          <w:sz w:val="24"/>
        </w:rPr>
        <w:t>按照</w:t>
      </w:r>
      <w:r>
        <w:rPr>
          <w:rFonts w:hint="eastAsia" w:eastAsia="方正仿宋_GBK"/>
          <w:color w:val="000000"/>
          <w:spacing w:val="-2"/>
          <w:sz w:val="24"/>
        </w:rPr>
        <w:t>《江苏省燃气管理条例》规定吊销其燃气企业经营许可证或供应许可证。</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sz w:val="24"/>
        </w:rPr>
        <w:t>第十七条</w:t>
      </w:r>
      <w:r>
        <w:rPr>
          <w:rFonts w:eastAsia="方正仿宋_GBK"/>
          <w:color w:val="000000"/>
          <w:spacing w:val="-2"/>
          <w:kern w:val="0"/>
          <w:sz w:val="24"/>
        </w:rPr>
        <w:t xml:space="preserve">  </w:t>
      </w:r>
      <w:r>
        <w:rPr>
          <w:rFonts w:hint="eastAsia" w:eastAsia="方正仿宋_GBK"/>
          <w:color w:val="000000"/>
          <w:spacing w:val="-2"/>
          <w:kern w:val="0"/>
          <w:sz w:val="24"/>
        </w:rPr>
        <w:t>送气服务人员违反安全管理规定并造成严重后果的，有关部门应当按照有关法律法规给予查处。</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color w:val="000000"/>
          <w:spacing w:val="-2"/>
          <w:kern w:val="0"/>
          <w:sz w:val="24"/>
        </w:rPr>
        <w:t xml:space="preserve">  </w:t>
      </w:r>
      <w:r>
        <w:rPr>
          <w:rFonts w:hint="eastAsia" w:eastAsia="方正仿宋_GBK"/>
          <w:color w:val="000000"/>
          <w:spacing w:val="-2"/>
          <w:sz w:val="24"/>
        </w:rPr>
        <w:t>本规定于</w:t>
      </w:r>
      <w:r>
        <w:rPr>
          <w:rFonts w:eastAsia="方正仿宋_GBK"/>
          <w:color w:val="000000"/>
          <w:spacing w:val="-2"/>
          <w:sz w:val="24"/>
        </w:rPr>
        <w:t>2010</w:t>
      </w:r>
      <w:r>
        <w:rPr>
          <w:rFonts w:hint="eastAsia" w:eastAsia="方正仿宋_GBK"/>
          <w:color w:val="000000"/>
          <w:spacing w:val="-2"/>
          <w:sz w:val="24"/>
        </w:rPr>
        <w:t>年</w:t>
      </w:r>
      <w:r>
        <w:rPr>
          <w:rFonts w:eastAsia="方正仿宋_GBK"/>
          <w:color w:val="000000"/>
          <w:spacing w:val="-2"/>
          <w:sz w:val="24"/>
        </w:rPr>
        <w:t>9</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日施行。</w:t>
      </w:r>
    </w:p>
    <w:p>
      <w:pPr>
        <w:spacing w:line="500" w:lineRule="exact"/>
        <w:ind w:left="-10" w:leftChars="-8" w:hanging="7" w:hangingChars="3"/>
        <w:jc w:val="center"/>
        <w:rPr>
          <w:rFonts w:eastAsia="方正仿宋_GBK"/>
          <w:color w:val="000000"/>
          <w:sz w:val="24"/>
        </w:rPr>
      </w:pPr>
    </w:p>
    <w:p>
      <w:pPr>
        <w:pStyle w:val="2"/>
        <w:spacing w:before="240" w:beforeLines="100" w:after="240" w:afterLines="100" w:line="240" w:lineRule="auto"/>
        <w:jc w:val="center"/>
        <w:rPr>
          <w:rFonts w:ascii="Times New Roman" w:eastAsia="方正小标宋_GBK"/>
          <w:b w:val="0"/>
          <w:sz w:val="36"/>
          <w:szCs w:val="36"/>
        </w:rPr>
      </w:pPr>
      <w:r>
        <w:rPr>
          <w:rFonts w:hint="eastAsia" w:ascii="Times New Roman" w:eastAsia="方正小标宋简体"/>
          <w:b w:val="0"/>
          <w:color w:val="000000"/>
          <w:sz w:val="36"/>
          <w:szCs w:val="36"/>
        </w:rPr>
        <w:br w:type="column"/>
      </w:r>
      <w:bookmarkStart w:id="102" w:name="_Toc20726336"/>
      <w:bookmarkStart w:id="103" w:name="_Toc18315417"/>
      <w:r>
        <w:rPr>
          <w:rFonts w:hint="eastAsia" w:ascii="Times New Roman" w:eastAsia="方正小标宋_GBK"/>
          <w:b w:val="0"/>
          <w:sz w:val="36"/>
          <w:szCs w:val="36"/>
        </w:rPr>
        <w:t>关于进一步加强城乡饮用水安全保障工作的通知</w:t>
      </w:r>
      <w:bookmarkEnd w:id="102"/>
      <w:bookmarkEnd w:id="103"/>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04" w:name="_Toc20726337"/>
      <w:bookmarkStart w:id="105" w:name="_Toc18315418"/>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2010</w:t>
      </w:r>
      <w:r>
        <w:rPr>
          <w:rFonts w:hint="eastAsia" w:ascii="Times New Roman" w:hAnsi="Times New Roman" w:eastAsia="方正楷体_GBK"/>
          <w:b w:val="0"/>
          <w:sz w:val="24"/>
          <w:szCs w:val="24"/>
        </w:rPr>
        <w:t>〕</w:t>
      </w:r>
      <w:r>
        <w:rPr>
          <w:rFonts w:ascii="Times New Roman" w:hAnsi="Times New Roman" w:eastAsia="方正楷体_GBK"/>
          <w:b w:val="0"/>
          <w:sz w:val="24"/>
          <w:szCs w:val="24"/>
        </w:rPr>
        <w:t>95</w:t>
      </w:r>
      <w:r>
        <w:rPr>
          <w:rFonts w:hint="eastAsia" w:ascii="Times New Roman" w:hAnsi="Times New Roman" w:eastAsia="方正楷体_GBK"/>
          <w:b w:val="0"/>
          <w:sz w:val="24"/>
          <w:szCs w:val="24"/>
        </w:rPr>
        <w:t>号</w:t>
      </w:r>
      <w:bookmarkEnd w:id="104"/>
      <w:bookmarkEnd w:id="105"/>
    </w:p>
    <w:p>
      <w:pPr>
        <w:spacing w:line="460" w:lineRule="exact"/>
        <w:rPr>
          <w:rFonts w:eastAsia="方正仿宋_GBK"/>
          <w:color w:val="000000"/>
          <w:spacing w:val="-2"/>
          <w:sz w:val="24"/>
        </w:rPr>
      </w:pPr>
      <w:r>
        <w:rPr>
          <w:rFonts w:hint="eastAsia" w:eastAsia="方正仿宋_GBK"/>
          <w:color w:val="000000"/>
          <w:spacing w:val="-2"/>
          <w:sz w:val="24"/>
        </w:rPr>
        <w:t>各市住房和城乡建设局，无锡市市政和园林局，徐州、苏州、宿迁市水务局：</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近年来，全省各地普遍加大了城乡饮用水安全保障工作力度，建设了一批饮用水安全保供工程，制定实施了一系列行之有效的管理措施，有力保证了城乡居民饮用水安全。但是，我省水生态环境总体上比较脆弱，特别是随着工业化、城市化的加快推进，城乡饮用水安全问题依然十分突出。为进一步加强城乡饮用水安全保障工作，现就有关事项通知如下：</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一、充分认识加强城市饮用水安全保障工作的重要性和紧迫性。</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我省地处长江、淮河下游，城市集中式饮用水源地原水水质容易遭受上游客水、汛期农业面源污染和本地突发水污染的影响，饮用水源地水质安全得不到保障；苏中、苏北和里下河地区部分城市供水设施老化，技术管理和水质检测能力薄弱，不能适应原水水质变化和《生活饮用水卫生标准》的实施；乡镇和农村供水安全问题突出；部分城市应急水源尚未建成，城乡饮用水安全的形势不容乐观。保障饮用水安全，提高饮用水水质，直接关系到广大人民群众身体健康和社会稳定，各地要从实践科学发展观和执政为民的高度，充分认识保障城乡居民饮用水安全工作的重要性和紧迫性，切实加强组织领导，全面落实各项供水安全保障措施。</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二、加强供水全过程管理，保障城乡饮用水安全</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城乡饮用水安全保障工作涉及水源、自来水厂、输配水管网和二次供水等各个环节，各地要切实加强从源头到龙头的管理，全面保障城乡饮用水安全。</w:t>
      </w:r>
    </w:p>
    <w:p>
      <w:pPr>
        <w:spacing w:line="460" w:lineRule="exact"/>
        <w:ind w:firstLine="472" w:firstLineChars="200"/>
        <w:rPr>
          <w:rFonts w:eastAsia="方正仿宋_GBK"/>
          <w:color w:val="000000"/>
          <w:spacing w:val="-2"/>
          <w:sz w:val="24"/>
        </w:rPr>
      </w:pPr>
      <w:r>
        <w:rPr>
          <w:rFonts w:eastAsia="方正楷体_GBK"/>
          <w:color w:val="000000"/>
          <w:spacing w:val="-2"/>
          <w:sz w:val="24"/>
        </w:rPr>
        <w:t>1</w:t>
      </w:r>
      <w:r>
        <w:rPr>
          <w:rFonts w:hint="eastAsia" w:eastAsia="方正楷体_GBK"/>
          <w:color w:val="000000"/>
          <w:spacing w:val="-2"/>
          <w:sz w:val="24"/>
        </w:rPr>
        <w:t>、加强城市供水水源地水质保护。</w:t>
      </w:r>
      <w:r>
        <w:rPr>
          <w:rFonts w:hint="eastAsia" w:eastAsia="方正仿宋_GBK"/>
          <w:color w:val="000000"/>
          <w:spacing w:val="-2"/>
          <w:sz w:val="24"/>
        </w:rPr>
        <w:t>按照</w:t>
      </w:r>
      <w:r>
        <w:rPr>
          <w:rFonts w:eastAsia="方正仿宋_GBK"/>
          <w:color w:val="000000"/>
          <w:spacing w:val="-2"/>
          <w:sz w:val="24"/>
        </w:rPr>
        <w:t>“</w:t>
      </w:r>
      <w:r>
        <w:rPr>
          <w:rFonts w:hint="eastAsia" w:eastAsia="方正仿宋_GBK"/>
          <w:color w:val="000000"/>
          <w:spacing w:val="-2"/>
          <w:sz w:val="24"/>
        </w:rPr>
        <w:t>谁管理、谁负责</w:t>
      </w:r>
      <w:r>
        <w:rPr>
          <w:rFonts w:eastAsia="方正仿宋_GBK"/>
          <w:color w:val="000000"/>
          <w:spacing w:val="-2"/>
          <w:sz w:val="24"/>
        </w:rPr>
        <w:t>”</w:t>
      </w:r>
      <w:r>
        <w:rPr>
          <w:rFonts w:hint="eastAsia" w:eastAsia="方正仿宋_GBK"/>
          <w:color w:val="000000"/>
          <w:spacing w:val="-2"/>
          <w:sz w:val="24"/>
        </w:rPr>
        <w:t>的原则，对城市供水水源存在的安全隐患进行排查和整改。各级城市供水主管部门要抓紧会同环保、水利等有关部门和供水企业对城市供水水源地保护区内外污染源情况开展详细的调查，摸清城市供水水源汇水区、引水沟（渠）、水库（井）等周边范围内的工业、生活、农业、禽畜养殖等污染源，对各类排污口和排放的主要污染物登记造册，全面掌握污染隐患的情况。</w:t>
      </w:r>
    </w:p>
    <w:p>
      <w:pPr>
        <w:spacing w:line="460" w:lineRule="exact"/>
        <w:ind w:firstLine="472" w:firstLineChars="200"/>
        <w:rPr>
          <w:rFonts w:eastAsia="方正仿宋_GBK"/>
          <w:color w:val="000000"/>
          <w:spacing w:val="-2"/>
          <w:sz w:val="24"/>
        </w:rPr>
      </w:pPr>
      <w:r>
        <w:rPr>
          <w:rFonts w:eastAsia="方正楷体_GBK"/>
          <w:color w:val="000000"/>
          <w:spacing w:val="-2"/>
          <w:sz w:val="24"/>
        </w:rPr>
        <w:t>2</w:t>
      </w:r>
      <w:r>
        <w:rPr>
          <w:rFonts w:hint="eastAsia" w:eastAsia="方正楷体_GBK"/>
          <w:color w:val="000000"/>
          <w:spacing w:val="-2"/>
          <w:sz w:val="24"/>
        </w:rPr>
        <w:t>、加强水质检测能力建设。近</w:t>
      </w:r>
      <w:r>
        <w:rPr>
          <w:rFonts w:hint="eastAsia" w:eastAsia="方正仿宋_GBK"/>
          <w:color w:val="000000"/>
          <w:spacing w:val="-2"/>
          <w:sz w:val="24"/>
        </w:rPr>
        <w:t>年来，突发性水污染事件严重威胁到我省城乡供水安全，对当地经济社会发展和稳定带来不利影响；现行的《生活饮用水卫生标准》检测指标达</w:t>
      </w:r>
      <w:r>
        <w:rPr>
          <w:rFonts w:eastAsia="方正仿宋_GBK"/>
          <w:color w:val="000000"/>
          <w:spacing w:val="-2"/>
          <w:sz w:val="24"/>
        </w:rPr>
        <w:t>106</w:t>
      </w:r>
      <w:r>
        <w:rPr>
          <w:rFonts w:hint="eastAsia" w:eastAsia="方正仿宋_GBK"/>
          <w:color w:val="000000"/>
          <w:spacing w:val="-2"/>
          <w:sz w:val="24"/>
        </w:rPr>
        <w:t>项，原水污染物浓度和种类也在逐年增加。因此，城市供水企业必须加强水质检测能力建设，全力做好水质检测工作，掌握原水水质及其变化情况，及时调整处理工艺和参数。各地要对照《江苏省城市供水企业水质检测实验室等级能力建设指导手册》要求，在规定时间内建立起与供水规模相适应的水质等级化验室。</w:t>
      </w:r>
    </w:p>
    <w:p>
      <w:pPr>
        <w:spacing w:line="460" w:lineRule="exact"/>
        <w:ind w:firstLine="472" w:firstLineChars="200"/>
        <w:rPr>
          <w:rFonts w:eastAsia="方正仿宋_GBK"/>
          <w:color w:val="000000"/>
          <w:spacing w:val="-2"/>
          <w:sz w:val="24"/>
        </w:rPr>
      </w:pPr>
      <w:r>
        <w:rPr>
          <w:rFonts w:eastAsia="方正楷体_GBK"/>
          <w:color w:val="000000"/>
          <w:spacing w:val="-2"/>
          <w:sz w:val="24"/>
        </w:rPr>
        <w:t>3</w:t>
      </w:r>
      <w:r>
        <w:rPr>
          <w:rFonts w:hint="eastAsia" w:eastAsia="方正楷体_GBK"/>
          <w:color w:val="000000"/>
          <w:spacing w:val="-2"/>
          <w:sz w:val="24"/>
        </w:rPr>
        <w:t>、强化城市供水水质检测工作。</w:t>
      </w:r>
      <w:r>
        <w:rPr>
          <w:rFonts w:hint="eastAsia" w:eastAsia="方正仿宋_GBK"/>
          <w:color w:val="000000"/>
          <w:spacing w:val="-2"/>
          <w:sz w:val="24"/>
        </w:rPr>
        <w:t>各地要督促供水企业严格按照《关于进一步加强城市供水水质检测确保城市安全供水的通知》（苏建函城〔</w:t>
      </w:r>
      <w:r>
        <w:rPr>
          <w:rFonts w:eastAsia="方正仿宋_GBK"/>
          <w:color w:val="000000"/>
          <w:spacing w:val="-2"/>
          <w:sz w:val="24"/>
        </w:rPr>
        <w:t>2009</w:t>
      </w:r>
      <w:r>
        <w:rPr>
          <w:rFonts w:hint="eastAsia" w:eastAsia="方正仿宋_GBK"/>
          <w:color w:val="000000"/>
          <w:spacing w:val="-2"/>
          <w:sz w:val="24"/>
        </w:rPr>
        <w:t>〕</w:t>
      </w:r>
      <w:r>
        <w:rPr>
          <w:rFonts w:eastAsia="方正仿宋_GBK"/>
          <w:color w:val="000000"/>
          <w:spacing w:val="-2"/>
          <w:sz w:val="24"/>
        </w:rPr>
        <w:t>139</w:t>
      </w:r>
      <w:r>
        <w:rPr>
          <w:rFonts w:hint="eastAsia" w:eastAsia="方正仿宋_GBK"/>
          <w:color w:val="000000"/>
          <w:spacing w:val="-2"/>
          <w:sz w:val="24"/>
        </w:rPr>
        <w:t>号）文件要求，对原水、沉淀水、滤后水、清水库、出厂水工艺过程的嗅和味、</w:t>
      </w:r>
      <w:r>
        <w:rPr>
          <w:rFonts w:eastAsia="方正仿宋_GBK"/>
          <w:color w:val="000000"/>
          <w:spacing w:val="-2"/>
          <w:sz w:val="24"/>
        </w:rPr>
        <w:t>pH</w:t>
      </w:r>
      <w:r>
        <w:rPr>
          <w:rFonts w:hint="eastAsia" w:eastAsia="方正仿宋_GBK"/>
          <w:color w:val="000000"/>
          <w:spacing w:val="-2"/>
          <w:sz w:val="24"/>
        </w:rPr>
        <w:t>、浊度、余氯、高锰酸盐指数等主要水质指标进行全流程、高频次监测，做到及时发现水质异常，及时做好应急处理工作。</w:t>
      </w:r>
    </w:p>
    <w:p>
      <w:pPr>
        <w:spacing w:line="460" w:lineRule="exact"/>
        <w:ind w:firstLine="472" w:firstLineChars="200"/>
        <w:rPr>
          <w:rFonts w:eastAsia="方正仿宋_GBK"/>
          <w:color w:val="000000"/>
          <w:spacing w:val="-2"/>
          <w:sz w:val="24"/>
        </w:rPr>
      </w:pPr>
      <w:r>
        <w:rPr>
          <w:rFonts w:eastAsia="方正楷体_GBK"/>
          <w:color w:val="000000"/>
          <w:spacing w:val="-2"/>
          <w:sz w:val="24"/>
        </w:rPr>
        <w:t>4</w:t>
      </w:r>
      <w:r>
        <w:rPr>
          <w:rFonts w:hint="eastAsia" w:eastAsia="方正楷体_GBK"/>
          <w:color w:val="000000"/>
          <w:spacing w:val="-2"/>
          <w:sz w:val="24"/>
        </w:rPr>
        <w:t>、落实和完善应急措施</w:t>
      </w:r>
      <w:r>
        <w:rPr>
          <w:rFonts w:hint="eastAsia" w:eastAsia="方正仿宋_GBK"/>
          <w:color w:val="000000"/>
          <w:spacing w:val="-2"/>
          <w:sz w:val="24"/>
        </w:rPr>
        <w:t>。各地要根据可能发生的各类供水安全事故，进一步完善和落实应急处理预案，做好应急处理设备的维护保养、应急处理药剂的储备，备足备齐各类抢修物资，确保一旦发生影响供水安全的事故，能够立即启动。加快应急水源建设，对具备不同水系、有条件建设多水源的城市，必须在今年内建成应急水源并建设必要的取水、净水设施和输水管道，实现净水厂之间的原水互供；对受当地水源条件限制的不具备建设应急水源的城市，按满足居民和重要用水户生活用水量的需求，通过相邻城市的清水管网联通或开采深井水等方式，来保证居民饮用水安全需要。</w:t>
      </w:r>
    </w:p>
    <w:p>
      <w:pPr>
        <w:spacing w:line="460" w:lineRule="exact"/>
        <w:ind w:firstLine="472" w:firstLineChars="200"/>
        <w:rPr>
          <w:rFonts w:eastAsia="方正仿宋_GBK"/>
          <w:color w:val="000000"/>
          <w:spacing w:val="-2"/>
          <w:sz w:val="24"/>
        </w:rPr>
      </w:pPr>
      <w:r>
        <w:rPr>
          <w:rFonts w:eastAsia="方正楷体_GBK"/>
          <w:color w:val="000000"/>
          <w:spacing w:val="-2"/>
          <w:sz w:val="24"/>
        </w:rPr>
        <w:t>5</w:t>
      </w:r>
      <w:r>
        <w:rPr>
          <w:rFonts w:hint="eastAsia" w:eastAsia="方正楷体_GBK"/>
          <w:color w:val="000000"/>
          <w:spacing w:val="-2"/>
          <w:sz w:val="24"/>
        </w:rPr>
        <w:t>、建立完善部门联动机制。</w:t>
      </w:r>
      <w:r>
        <w:rPr>
          <w:rFonts w:hint="eastAsia" w:eastAsia="方正仿宋_GBK"/>
          <w:color w:val="000000"/>
          <w:spacing w:val="-2"/>
          <w:sz w:val="24"/>
        </w:rPr>
        <w:t>各地城市供水主管部门要密切与环保、水利部门的协调和配合，在水源地保护区内外和取水口安装的水质在线检测仪器要联网，实现水质监测信息实时共享；配合环保等部门做好集中式饮用水源地保护区内外水质污染风险的排查，根据存在的安全隐患情况，制定相应的应急处理方案；建立水源地日常巡查机制，加大对特征污染物的检测频率，争取做到早监测、早发现、早告知、早处理。</w:t>
      </w:r>
    </w:p>
    <w:p>
      <w:pPr>
        <w:spacing w:line="460" w:lineRule="exact"/>
        <w:ind w:firstLine="472" w:firstLineChars="200"/>
        <w:rPr>
          <w:rFonts w:eastAsia="方正仿宋_GBK"/>
          <w:color w:val="000000"/>
          <w:spacing w:val="-2"/>
          <w:sz w:val="24"/>
        </w:rPr>
      </w:pPr>
      <w:r>
        <w:rPr>
          <w:rFonts w:eastAsia="方正楷体_GBK"/>
          <w:color w:val="000000"/>
          <w:spacing w:val="-2"/>
          <w:sz w:val="24"/>
        </w:rPr>
        <w:t>6</w:t>
      </w:r>
      <w:r>
        <w:rPr>
          <w:rFonts w:hint="eastAsia" w:eastAsia="方正楷体_GBK"/>
          <w:color w:val="000000"/>
          <w:spacing w:val="-2"/>
          <w:sz w:val="24"/>
        </w:rPr>
        <w:t>、严格供水安全值班和报告制度。</w:t>
      </w:r>
      <w:r>
        <w:rPr>
          <w:rFonts w:hint="eastAsia" w:eastAsia="方正仿宋_GBK"/>
          <w:color w:val="000000"/>
          <w:spacing w:val="-2"/>
          <w:sz w:val="24"/>
        </w:rPr>
        <w:t>各地要严格落实供水安全值班和报告制度，在重要节假日和重大活动期间，各级分管领导和供水企业领导要亲自带班，遇到突发供水安全事故，要立即按规定程序上报。各级供水主管部门会同环保、公安、海事、水利、交通等部门和供水企业建立联动预警机制，加强信息沟通和合作，做好供水安全的反恐防范和应急处理工作，确保城市供水安全。</w:t>
      </w:r>
    </w:p>
    <w:p>
      <w:pPr>
        <w:spacing w:line="460" w:lineRule="exact"/>
        <w:ind w:firstLine="472" w:firstLineChars="200"/>
        <w:rPr>
          <w:rFonts w:eastAsia="方正仿宋_GBK"/>
          <w:color w:val="000000"/>
          <w:spacing w:val="-2"/>
          <w:sz w:val="24"/>
        </w:rPr>
      </w:pPr>
      <w:r>
        <w:rPr>
          <w:rFonts w:eastAsia="方正楷体_GBK"/>
          <w:color w:val="000000"/>
          <w:spacing w:val="-2"/>
          <w:sz w:val="24"/>
        </w:rPr>
        <w:t>7</w:t>
      </w:r>
      <w:r>
        <w:rPr>
          <w:rFonts w:hint="eastAsia" w:eastAsia="方正楷体_GBK"/>
          <w:color w:val="000000"/>
          <w:spacing w:val="-2"/>
          <w:sz w:val="24"/>
        </w:rPr>
        <w:t>、加快供水设施的改造步伐</w:t>
      </w:r>
      <w:r>
        <w:rPr>
          <w:rFonts w:hint="eastAsia" w:eastAsia="方正仿宋_GBK"/>
          <w:color w:val="000000"/>
          <w:spacing w:val="-2"/>
          <w:sz w:val="24"/>
        </w:rPr>
        <w:t>。各地要对照实施《生活饮用水卫生标准》要求，对现有水处理工艺、设施处理能力和输配水管网进行评估，特别是苏中里下河地区、苏北地区以内河水为原水的城市，必须立即开展自来水深度处理工艺改造和处理能力建设，提高供水水质；积极开展城市供水管网的建设和改造，减少供水管网漏损和二次供水污染，增强供水的稳定性。同时，加强对城市供水重要设施的巡查，重点做好水源地、水厂、增压泵站、主要输水管线等重要供水设施的巡查和保护工作，落实和完善防护措施，强化安保管理制度，提高安全防范能力。</w:t>
      </w:r>
    </w:p>
    <w:p>
      <w:pPr>
        <w:spacing w:line="460" w:lineRule="exact"/>
        <w:ind w:firstLine="472" w:firstLineChars="200"/>
        <w:rPr>
          <w:rFonts w:eastAsia="方正仿宋_GBK"/>
          <w:color w:val="000000"/>
          <w:spacing w:val="-2"/>
          <w:sz w:val="24"/>
        </w:rPr>
      </w:pPr>
      <w:r>
        <w:rPr>
          <w:rFonts w:eastAsia="方正楷体_GBK"/>
          <w:color w:val="000000"/>
          <w:spacing w:val="-2"/>
          <w:sz w:val="24"/>
        </w:rPr>
        <w:t>8</w:t>
      </w:r>
      <w:r>
        <w:rPr>
          <w:rFonts w:hint="eastAsia" w:eastAsia="方正楷体_GBK"/>
          <w:color w:val="000000"/>
          <w:spacing w:val="-2"/>
          <w:sz w:val="24"/>
        </w:rPr>
        <w:t>、加快推进区域供水规划的实施</w:t>
      </w:r>
      <w:r>
        <w:rPr>
          <w:rFonts w:hint="eastAsia" w:eastAsia="方正仿宋_GBK"/>
          <w:color w:val="000000"/>
          <w:spacing w:val="-2"/>
          <w:sz w:val="24"/>
        </w:rPr>
        <w:t>。区域供水是解决乡镇和农村饮用水安全的根本出路，各地要按照环境基础设施建设目标责任状的要求，结合实施</w:t>
      </w:r>
      <w:r>
        <w:rPr>
          <w:rFonts w:eastAsia="方正仿宋_GBK"/>
          <w:color w:val="000000"/>
          <w:spacing w:val="-2"/>
          <w:sz w:val="24"/>
        </w:rPr>
        <w:t>“</w:t>
      </w:r>
      <w:r>
        <w:rPr>
          <w:rFonts w:hint="eastAsia" w:eastAsia="方正仿宋_GBK"/>
          <w:color w:val="000000"/>
          <w:spacing w:val="-2"/>
          <w:sz w:val="24"/>
        </w:rPr>
        <w:t>农村饮用水安全工程</w:t>
      </w:r>
      <w:r>
        <w:rPr>
          <w:rFonts w:eastAsia="方正仿宋_GBK"/>
          <w:color w:val="000000"/>
          <w:spacing w:val="-2"/>
          <w:sz w:val="24"/>
        </w:rPr>
        <w:t>”</w:t>
      </w:r>
      <w:r>
        <w:rPr>
          <w:rFonts w:hint="eastAsia" w:eastAsia="方正仿宋_GBK"/>
          <w:color w:val="000000"/>
          <w:spacing w:val="-2"/>
          <w:sz w:val="24"/>
        </w:rPr>
        <w:t>，继续加快实施区域供水规划，加快推进区域集中供水设施和管网建设，以城带乡扩大镇村受益范围，不断提高区域集中供水的覆盖面。</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三、切实加强对饮用水安全保障工作的组织领导</w:t>
      </w:r>
    </w:p>
    <w:p>
      <w:pPr>
        <w:spacing w:line="460" w:lineRule="exact"/>
        <w:ind w:firstLine="462" w:firstLineChars="196"/>
        <w:rPr>
          <w:rFonts w:hint="eastAsia" w:eastAsia="方正仿宋_GBK"/>
          <w:color w:val="000000"/>
          <w:spacing w:val="-2"/>
          <w:sz w:val="24"/>
        </w:rPr>
      </w:pPr>
      <w:r>
        <w:rPr>
          <w:rFonts w:hint="eastAsia" w:eastAsia="方正仿宋_GBK"/>
          <w:color w:val="000000"/>
          <w:spacing w:val="-2"/>
          <w:sz w:val="24"/>
        </w:rPr>
        <w:t>坚持政府统一领导，部门相互配合的工作原则。饮用水安全管理涉及环保、建设、水利、卫生、交通等多个部门，关系到当地人民群众的生产生活和社会稳定。各地要切实加强对这项工作的组织领导，严格落实饮用水安全保障工作责任制，按照《省政府办公厅关于切实加强饮用水安全监管工作的通知》（苏政办发〔</w:t>
      </w:r>
      <w:r>
        <w:rPr>
          <w:rFonts w:eastAsia="方正仿宋_GBK"/>
          <w:color w:val="000000"/>
          <w:spacing w:val="-2"/>
          <w:sz w:val="24"/>
        </w:rPr>
        <w:t>2009</w:t>
      </w:r>
      <w:r>
        <w:rPr>
          <w:rFonts w:hint="eastAsia" w:eastAsia="方正仿宋_GBK"/>
          <w:color w:val="000000"/>
          <w:spacing w:val="-2"/>
          <w:sz w:val="24"/>
        </w:rPr>
        <w:t>〕</w:t>
      </w:r>
      <w:r>
        <w:rPr>
          <w:rFonts w:eastAsia="方正仿宋_GBK"/>
          <w:color w:val="000000"/>
          <w:spacing w:val="-2"/>
          <w:sz w:val="24"/>
        </w:rPr>
        <w:t>54</w:t>
      </w:r>
      <w:r>
        <w:rPr>
          <w:rFonts w:hint="eastAsia" w:eastAsia="方正仿宋_GBK"/>
          <w:color w:val="000000"/>
          <w:spacing w:val="-2"/>
          <w:sz w:val="24"/>
        </w:rPr>
        <w:t>号）文件要求，紧密结合本地实际，建立健全管理制度，形成政府统一领导、部门各负其责的工作机制，全面落实饮用水安全的各项目标。各有关职能部门要密切配合，相互协作，真正形成保障饮用水安全的合力，共同做好饮用水安全保障工作。</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各地城市供水主管部门和城市供水企业要建立饮用水安全责任制，按照日常预防为主、应急处置为辅、监测预警前移的原则，建立、健全安全生产管理制度；配合相关职能部门，对饮用水各个环节中存在的安全隐患进行全面排查，对存在安全隐患的，要尽快提出整改和防范措施。对于因管理责任不落实、整改措施不到位而发生事故的，要严肃追究有关人员的责任。</w:t>
      </w:r>
    </w:p>
    <w:p>
      <w:pPr>
        <w:spacing w:line="460" w:lineRule="exact"/>
        <w:ind w:firstLine="462" w:firstLineChars="196"/>
        <w:jc w:val="right"/>
        <w:rPr>
          <w:rFonts w:eastAsia="方正仿宋_GBK"/>
          <w:color w:val="000000"/>
          <w:spacing w:val="-2"/>
          <w:sz w:val="24"/>
        </w:rPr>
      </w:pPr>
    </w:p>
    <w:p>
      <w:pPr>
        <w:wordWrap w:val="0"/>
        <w:spacing w:line="460" w:lineRule="exact"/>
        <w:ind w:firstLine="462" w:firstLineChars="196"/>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ind w:firstLine="462" w:firstLineChars="196"/>
        <w:jc w:val="right"/>
        <w:rPr>
          <w:rFonts w:eastAsia="方正仿宋_GBK"/>
          <w:color w:val="000000"/>
          <w:spacing w:val="-2"/>
          <w:sz w:val="24"/>
        </w:rPr>
      </w:pPr>
      <w:r>
        <w:rPr>
          <w:rFonts w:hint="eastAsia" w:eastAsia="方正仿宋_GBK"/>
          <w:color w:val="000000"/>
          <w:spacing w:val="-2"/>
          <w:sz w:val="24"/>
        </w:rPr>
        <w:t>二○一○年三月二十二日</w:t>
      </w:r>
      <w:r>
        <w:rPr>
          <w:rFonts w:eastAsia="方正仿宋_GBK"/>
          <w:color w:val="000000"/>
          <w:spacing w:val="-2"/>
          <w:sz w:val="24"/>
        </w:rPr>
        <w:t xml:space="preserve">   </w:t>
      </w:r>
    </w:p>
    <w:p>
      <w:pPr>
        <w:spacing w:line="460" w:lineRule="exact"/>
        <w:ind w:firstLine="462" w:firstLineChars="196"/>
        <w:rPr>
          <w:rFonts w:eastAsia="方正仿宋_GBK"/>
          <w:color w:val="000000"/>
          <w:spacing w:val="-2"/>
          <w:sz w:val="24"/>
        </w:rPr>
      </w:pPr>
    </w:p>
    <w:p>
      <w:pPr>
        <w:spacing w:line="440" w:lineRule="exact"/>
        <w:rPr>
          <w:rFonts w:eastAsia="方正仿宋_GBK"/>
          <w:color w:val="000000"/>
          <w:spacing w:val="-2"/>
          <w:sz w:val="24"/>
        </w:rPr>
      </w:pPr>
    </w:p>
    <w:p>
      <w:pPr>
        <w:pStyle w:val="2"/>
        <w:spacing w:before="240" w:beforeLines="100" w:after="240" w:afterLines="100" w:line="240" w:lineRule="auto"/>
        <w:jc w:val="center"/>
        <w:rPr>
          <w:rFonts w:ascii="Times New Roman" w:eastAsia="方正小标宋_GBK"/>
          <w:b w:val="0"/>
          <w:sz w:val="36"/>
          <w:szCs w:val="36"/>
        </w:rPr>
      </w:pPr>
      <w:bookmarkStart w:id="106" w:name="_Toc20726338"/>
      <w:bookmarkStart w:id="107" w:name="_Toc18315419"/>
      <w:r>
        <w:rPr>
          <w:rFonts w:hint="eastAsia" w:ascii="Times New Roman" w:eastAsia="方正小标宋_GBK"/>
          <w:b w:val="0"/>
          <w:sz w:val="36"/>
          <w:szCs w:val="36"/>
        </w:rPr>
        <w:t>关于进一步规范管道燃气用户设施安全检查工作的通知</w:t>
      </w:r>
      <w:bookmarkEnd w:id="106"/>
      <w:bookmarkEnd w:id="10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08" w:name="_Toc18315420"/>
      <w:bookmarkStart w:id="109" w:name="_Toc20726339"/>
      <w:r>
        <w:rPr>
          <w:rFonts w:hint="eastAsia" w:ascii="Times New Roman" w:hAnsi="Times New Roman" w:eastAsia="方正楷体_GBK"/>
          <w:b w:val="0"/>
          <w:sz w:val="24"/>
          <w:szCs w:val="24"/>
        </w:rPr>
        <w:t>苏建函城〔</w:t>
      </w:r>
      <w:r>
        <w:rPr>
          <w:rFonts w:ascii="Times New Roman" w:hAnsi="Times New Roman" w:eastAsia="方正楷体_GBK"/>
          <w:b w:val="0"/>
          <w:sz w:val="24"/>
          <w:szCs w:val="24"/>
        </w:rPr>
        <w:t>2010</w:t>
      </w:r>
      <w:r>
        <w:rPr>
          <w:rFonts w:hint="eastAsia" w:ascii="Times New Roman" w:hAnsi="Times New Roman" w:eastAsia="方正楷体_GBK"/>
          <w:b w:val="0"/>
          <w:sz w:val="24"/>
          <w:szCs w:val="24"/>
        </w:rPr>
        <w:t>〕</w:t>
      </w:r>
      <w:r>
        <w:rPr>
          <w:rFonts w:ascii="Times New Roman" w:hAnsi="Times New Roman" w:eastAsia="方正楷体_GBK"/>
          <w:b w:val="0"/>
          <w:sz w:val="24"/>
          <w:szCs w:val="24"/>
        </w:rPr>
        <w:t>176</w:t>
      </w:r>
      <w:r>
        <w:rPr>
          <w:rFonts w:hint="eastAsia" w:ascii="Times New Roman" w:hAnsi="Times New Roman" w:eastAsia="方正楷体_GBK"/>
          <w:b w:val="0"/>
          <w:sz w:val="24"/>
          <w:szCs w:val="24"/>
        </w:rPr>
        <w:t>号</w:t>
      </w:r>
      <w:bookmarkEnd w:id="108"/>
      <w:bookmarkEnd w:id="109"/>
    </w:p>
    <w:p>
      <w:pPr>
        <w:spacing w:line="460" w:lineRule="exact"/>
        <w:rPr>
          <w:rFonts w:eastAsia="方正仿宋_GBK"/>
          <w:color w:val="000000"/>
          <w:spacing w:val="-2"/>
          <w:sz w:val="24"/>
        </w:rPr>
      </w:pPr>
      <w:r>
        <w:rPr>
          <w:rFonts w:hint="eastAsia" w:eastAsia="方正仿宋_GBK"/>
          <w:color w:val="000000"/>
          <w:spacing w:val="-2"/>
          <w:sz w:val="24"/>
        </w:rPr>
        <w:t>各市、县建设局（委）、市政（园林）局：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贯彻落实国家和省有关管道燃气用户设施安全检查制度，规范管道燃气供应企业的安检行为，确保燃气用户的使用安全，保障人民生命财产安全，现就进一步加强管道燃气用户设施安全检查工作提出如下意见，请各地结合实际贯彻落实。</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一、强化燃气用户设施的定期检查。</w:t>
      </w:r>
      <w:r>
        <w:rPr>
          <w:rFonts w:hint="eastAsia" w:eastAsia="方正仿宋_GBK"/>
          <w:color w:val="000000"/>
          <w:spacing w:val="-2"/>
          <w:sz w:val="24"/>
        </w:rPr>
        <w:t>根据《江苏省燃气管理条例》、《城镇燃气设施运行、维护和抢修安全技术规程》（</w:t>
      </w:r>
      <w:r>
        <w:rPr>
          <w:rFonts w:eastAsia="方正仿宋_GBK"/>
          <w:color w:val="000000"/>
          <w:spacing w:val="-2"/>
          <w:sz w:val="24"/>
        </w:rPr>
        <w:t>CJJ51</w:t>
      </w:r>
      <w:r>
        <w:rPr>
          <w:rFonts w:hint="eastAsia" w:eastAsia="方正仿宋_GBK"/>
          <w:color w:val="000000"/>
          <w:spacing w:val="-2"/>
          <w:sz w:val="24"/>
        </w:rPr>
        <w:t>）、《江苏省城镇燃气服务质量标准》的规定，各地燃气行政主管部门应督促管道燃气供应企业强化对燃气计量仪表、管道及其附属设施、燃气器具等燃气用户设施使用情况的定期检查工作。对商业用户、工业用户等非居民用户的检查每年不得少于</w:t>
      </w:r>
      <w:r>
        <w:rPr>
          <w:rFonts w:eastAsia="方正仿宋_GBK"/>
          <w:color w:val="000000"/>
          <w:spacing w:val="-2"/>
          <w:sz w:val="24"/>
        </w:rPr>
        <w:t>1</w:t>
      </w:r>
      <w:r>
        <w:rPr>
          <w:rFonts w:hint="eastAsia" w:eastAsia="方正仿宋_GBK"/>
          <w:color w:val="000000"/>
          <w:spacing w:val="-2"/>
          <w:sz w:val="24"/>
        </w:rPr>
        <w:t>次，对居民用户的检查每</w:t>
      </w:r>
      <w:r>
        <w:rPr>
          <w:rFonts w:eastAsia="方正仿宋_GBK"/>
          <w:color w:val="000000"/>
          <w:spacing w:val="-2"/>
          <w:sz w:val="24"/>
        </w:rPr>
        <w:t>2</w:t>
      </w:r>
      <w:r>
        <w:rPr>
          <w:rFonts w:hint="eastAsia" w:eastAsia="方正仿宋_GBK"/>
          <w:color w:val="000000"/>
          <w:spacing w:val="-2"/>
          <w:sz w:val="24"/>
        </w:rPr>
        <w:t>年不得少于</w:t>
      </w:r>
      <w:r>
        <w:rPr>
          <w:rFonts w:eastAsia="方正仿宋_GBK"/>
          <w:color w:val="000000"/>
          <w:spacing w:val="-2"/>
          <w:sz w:val="24"/>
        </w:rPr>
        <w:t>1</w:t>
      </w:r>
      <w:r>
        <w:rPr>
          <w:rFonts w:hint="eastAsia" w:eastAsia="方正仿宋_GBK"/>
          <w:color w:val="000000"/>
          <w:spacing w:val="-2"/>
          <w:sz w:val="24"/>
        </w:rPr>
        <w:t>次。管道燃气供应企业应按规定的检查频率要求，制定入户安全检查的年度计划、月度计划，并报送当地燃气行政主管部门。为提高入户安检率，企业应提前将分片检查的具体日程安排在居民小区适当的位置或报纸等媒体上发布，做到事先通知；对未能按时完成安检工作的用户，要通过书面通知或其他方式告知再行检查，确保安全检查制度的全面落实。</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二、完善入户检查内容。</w:t>
      </w:r>
      <w:r>
        <w:rPr>
          <w:rFonts w:hint="eastAsia" w:eastAsia="方正仿宋_GBK"/>
          <w:color w:val="000000"/>
          <w:spacing w:val="-2"/>
          <w:sz w:val="24"/>
        </w:rPr>
        <w:t>根据《城镇燃气设施运行、维护和抢修安全技术规程》（</w:t>
      </w:r>
      <w:r>
        <w:rPr>
          <w:rFonts w:eastAsia="方正仿宋_GBK"/>
          <w:color w:val="000000"/>
          <w:spacing w:val="-2"/>
          <w:sz w:val="24"/>
        </w:rPr>
        <w:t>CJJ51</w:t>
      </w:r>
      <w:r>
        <w:rPr>
          <w:rFonts w:hint="eastAsia" w:eastAsia="方正仿宋_GBK"/>
          <w:color w:val="000000"/>
          <w:spacing w:val="-2"/>
          <w:sz w:val="24"/>
        </w:rPr>
        <w:t>）的规定，结合近年来我省燃气用户使用事故的原因分析，管道燃气供应企业入户检查应当包含以下内容：</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、确认用户设施完好，不得有燃气泄漏；</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、管道不应被擅自改动、暗埋；</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、管道无锈蚀、重物搭挂；</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、连接软管应安装牢固，不应超长、老化，并在有效期内使用；</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、阀门应完好有效，操作方便、灵活；</w:t>
      </w:r>
    </w:p>
    <w:p>
      <w:pPr>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、用气设备应符合安装、使用规定，燃气灶具和热水器应在国家规定的使用期内，排烟烟道和热水器的连接可靠、排烟通畅，禁止使用直排式热水器；</w:t>
      </w:r>
    </w:p>
    <w:p>
      <w:pPr>
        <w:spacing w:line="460" w:lineRule="exact"/>
        <w:ind w:firstLine="472" w:firstLineChars="200"/>
        <w:rPr>
          <w:rFonts w:eastAsia="方正仿宋_GBK"/>
          <w:color w:val="000000"/>
          <w:spacing w:val="-2"/>
          <w:sz w:val="24"/>
        </w:rPr>
      </w:pPr>
      <w:r>
        <w:rPr>
          <w:rFonts w:eastAsia="方正仿宋_GBK"/>
          <w:color w:val="000000"/>
          <w:spacing w:val="-2"/>
          <w:sz w:val="24"/>
        </w:rPr>
        <w:t>7</w:t>
      </w:r>
      <w:r>
        <w:rPr>
          <w:rFonts w:hint="eastAsia" w:eastAsia="方正仿宋_GBK"/>
          <w:color w:val="000000"/>
          <w:spacing w:val="-2"/>
          <w:sz w:val="24"/>
        </w:rPr>
        <w:t>、计量仪表完好。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为便于各地开展好此项工作，我厅根据国家规定细化并确定了管道燃气居民用户安全检查的主要内容（见附件），请各地结合实际补充完善，制定规范的入户安全检查记录表。</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三、规范入户检查行为。</w:t>
      </w:r>
      <w:r>
        <w:rPr>
          <w:rFonts w:hint="eastAsia" w:eastAsia="方正仿宋_GBK"/>
          <w:color w:val="000000"/>
          <w:spacing w:val="-2"/>
          <w:sz w:val="24"/>
        </w:rPr>
        <w:t>为做好入户安检工作，管道燃气供应企业应配备经过专业培训、熟知安检内容和安检要求的入户安检人员。安检人员入户检查时应佩带有效证件，配备必要的检查仪器、工具；做好入户安检记录，安检记录表中的每一项内容都必须认真填写，不得漏记、少记或不记，记录表一式两份，经安检人员和用户签字确认后，一份交用户保存，一份由企业留存。安检人员在做好用户设施安全检查的同时，应向用户宣传必须遵守的有关法律、规范、规程的规定。发现用户违反安全用气规定的，应当及时劝阻、制止，避免燃气事故的发生。</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四、加大用户设施安全隐患的整治力度。</w:t>
      </w:r>
      <w:r>
        <w:rPr>
          <w:rFonts w:hint="eastAsia" w:eastAsia="方正仿宋_GBK"/>
          <w:color w:val="000000"/>
          <w:spacing w:val="-2"/>
          <w:sz w:val="24"/>
        </w:rPr>
        <w:t>对在入户安全检查中发现的安全隐患，应根据《江苏省燃气管理条例》第三十二条的规定及时维护、更新。凡属企业维护、更新的设施，燃气企业应安排专业维修人员及时修复到位；对属用户维护、更新的设施，燃气企业应及时下达隐患限期整改通知书，整改通知书一式两份，由用户签收备查。安检中发现用户设施有燃气泄漏的，必须立即处理；未作处理，安检人员不得离开。各地燃气行政主管部门应督促管道燃气供应企业定期汇总分析用户设施安全检查情况，及时跟踪用户隐患整改情况；对未按规定期限整改的用户，要进一步采取措施确保隐患整改落实到位。</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五、做好安全用气的宣传教育。</w:t>
      </w:r>
      <w:r>
        <w:rPr>
          <w:rFonts w:hint="eastAsia" w:eastAsia="方正仿宋_GBK"/>
          <w:color w:val="000000"/>
          <w:spacing w:val="-2"/>
          <w:sz w:val="24"/>
        </w:rPr>
        <w:t>各地燃气主管部门和燃气企业要充分利用橱窗、报刊、电视等各种舆论工具和抄表收费安全告知单，切实做好用户安全用气的宣传教育。要向用户宣传必须遵守的安全管理规定，教育用户正确使用户内燃气设施、正确选择燃气用具、出现异常情况和意外事故时应采取的紧急处理措施，普及用户安全使用常识，增强用户遵章守纪的自觉性和自我保护的意识，保障城市燃气使用安全。</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附件：管道燃气居民用户安检主要内容。</w:t>
      </w:r>
    </w:p>
    <w:p>
      <w:pPr>
        <w:spacing w:line="460" w:lineRule="exact"/>
        <w:ind w:firstLine="660"/>
        <w:rPr>
          <w:rFonts w:eastAsia="方正仿宋_GBK"/>
          <w:color w:val="000000"/>
          <w:spacing w:val="-2"/>
          <w:sz w:val="24"/>
        </w:rPr>
      </w:pPr>
    </w:p>
    <w:p>
      <w:pPr>
        <w:wordWrap w:val="0"/>
        <w:spacing w:line="460" w:lineRule="exact"/>
        <w:ind w:right="38"/>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ind w:right="38"/>
        <w:jc w:val="right"/>
        <w:rPr>
          <w:rFonts w:eastAsia="方正仿宋_GBK"/>
          <w:color w:val="000000"/>
          <w:spacing w:val="-2"/>
          <w:sz w:val="24"/>
        </w:rPr>
      </w:pPr>
      <w:r>
        <w:rPr>
          <w:rFonts w:hint="eastAsia" w:eastAsia="方正仿宋_GBK"/>
          <w:color w:val="000000"/>
          <w:spacing w:val="-2"/>
          <w:sz w:val="24"/>
        </w:rPr>
        <w:t>二○一○年三月十七日</w:t>
      </w:r>
      <w:r>
        <w:rPr>
          <w:rFonts w:eastAsia="方正仿宋_GBK"/>
          <w:color w:val="000000"/>
          <w:spacing w:val="-2"/>
          <w:sz w:val="24"/>
        </w:rPr>
        <w:t xml:space="preserve">     </w:t>
      </w:r>
    </w:p>
    <w:p>
      <w:pPr>
        <w:spacing w:line="460" w:lineRule="exac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w:t>
      </w:r>
    </w:p>
    <w:p>
      <w:pPr>
        <w:spacing w:line="460" w:lineRule="exact"/>
        <w:rPr>
          <w:rFonts w:hint="eastAsia" w:ascii="Times New Roman" w:eastAsia="黑体"/>
          <w:color w:val="000000"/>
          <w:spacing w:val="-2"/>
          <w:sz w:val="32"/>
          <w:szCs w:val="32"/>
        </w:rPr>
      </w:pPr>
    </w:p>
    <w:p>
      <w:pPr>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管道燃气居民用户安检主要内容</w:t>
      </w:r>
    </w:p>
    <w:p>
      <w:pPr>
        <w:jc w:val="center"/>
        <w:rPr>
          <w:rFonts w:hint="eastAsia" w:eastAsia="仿宋_GB2312"/>
          <w:b/>
          <w:color w:val="000000"/>
          <w:spacing w:val="-2"/>
          <w:sz w:val="32"/>
          <w:szCs w:val="32"/>
        </w:rPr>
      </w:pPr>
    </w:p>
    <w:p>
      <w:pPr>
        <w:spacing w:line="460" w:lineRule="exact"/>
        <w:ind w:left="472"/>
        <w:rPr>
          <w:rFonts w:ascii="Times New Roman" w:eastAsia="方正黑体_GBK"/>
          <w:color w:val="000000"/>
          <w:spacing w:val="-2"/>
          <w:sz w:val="24"/>
        </w:rPr>
      </w:pPr>
      <w:r>
        <w:rPr>
          <w:rFonts w:hint="eastAsia" w:ascii="Times New Roman" w:eastAsia="方正黑体_GBK"/>
          <w:color w:val="000000"/>
          <w:spacing w:val="-2"/>
          <w:sz w:val="24"/>
        </w:rPr>
        <w:t>一、户内管道</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、表前管道（如有）：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明设</w:t>
      </w:r>
      <w:r>
        <w:rPr>
          <w:rFonts w:hint="eastAsia" w:ascii="Times New Roman" w:hAnsi="Times New Roman"/>
          <w:color w:val="000000"/>
          <w:spacing w:val="-2"/>
          <w:sz w:val="24"/>
        </w:rPr>
        <w:t>□</w:t>
      </w:r>
      <w:r>
        <w:rPr>
          <w:rFonts w:hint="eastAsia" w:eastAsia="方正仿宋_GBK"/>
          <w:color w:val="000000"/>
          <w:spacing w:val="-2"/>
          <w:sz w:val="24"/>
        </w:rPr>
        <w:t>；暗设</w:t>
      </w:r>
      <w:r>
        <w:rPr>
          <w:rFonts w:hint="eastAsia" w:ascii="Times New Roman" w:hAnsi="Times New Roman"/>
          <w:color w:val="000000"/>
          <w:spacing w:val="-2"/>
          <w:sz w:val="24"/>
        </w:rPr>
        <w:t>□</w:t>
      </w:r>
      <w:r>
        <w:rPr>
          <w:rFonts w:hint="eastAsia" w:eastAsia="方正仿宋_GBK"/>
          <w:color w:val="000000"/>
          <w:spacing w:val="-2"/>
          <w:sz w:val="24"/>
        </w:rPr>
        <w:t>；暗埋</w:t>
      </w:r>
      <w:r>
        <w:rPr>
          <w:rFonts w:hint="eastAsia" w:ascii="Times New Roman" w:hAnsi="Times New Roman"/>
          <w:color w:val="000000"/>
          <w:spacing w:val="-2"/>
          <w:sz w:val="24"/>
        </w:rPr>
        <w:t>□</w:t>
      </w:r>
      <w:r>
        <w:rPr>
          <w:rFonts w:hint="eastAsia" w:eastAsia="方正仿宋_GBK"/>
          <w:color w:val="000000"/>
          <w:spacing w:val="-2"/>
          <w:sz w:val="24"/>
        </w:rPr>
        <w:t>；半明暗</w:t>
      </w:r>
      <w:r>
        <w:rPr>
          <w:rFonts w:hint="eastAsia" w:ascii="Times New Roman" w:hAnsi="Times New Roman"/>
          <w:color w:val="000000"/>
          <w:spacing w:val="-2"/>
          <w:sz w:val="24"/>
        </w:rPr>
        <w:t>□</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、表后管道：</w:t>
      </w:r>
    </w:p>
    <w:p>
      <w:pPr>
        <w:spacing w:line="460" w:lineRule="exact"/>
        <w:ind w:firstLine="472" w:firstLineChars="200"/>
        <w:rPr>
          <w:rFonts w:eastAsia="方正仿宋_GBK"/>
          <w:color w:val="000000"/>
          <w:spacing w:val="-2"/>
          <w:sz w:val="24"/>
        </w:rPr>
      </w:pPr>
      <w:r>
        <w:rPr>
          <w:rFonts w:eastAsia="方正仿宋_GBK"/>
          <w:color w:val="000000"/>
          <w:spacing w:val="-2"/>
          <w:sz w:val="24"/>
        </w:rPr>
        <w:t>A</w:t>
      </w:r>
      <w:r>
        <w:rPr>
          <w:rFonts w:hint="eastAsia" w:eastAsia="方正仿宋_GBK"/>
          <w:color w:val="000000"/>
          <w:spacing w:val="-2"/>
          <w:sz w:val="24"/>
        </w:rPr>
        <w:t>：管道材质：</w:t>
      </w:r>
    </w:p>
    <w:p>
      <w:pPr>
        <w:spacing w:line="460" w:lineRule="exact"/>
        <w:ind w:firstLine="472" w:firstLineChars="200"/>
        <w:rPr>
          <w:rFonts w:eastAsia="方正仿宋_GBK"/>
          <w:color w:val="000000"/>
          <w:spacing w:val="-2"/>
          <w:sz w:val="24"/>
          <w:u w:val="single"/>
        </w:rPr>
      </w:pPr>
      <w:r>
        <w:rPr>
          <w:rFonts w:hint="eastAsia" w:eastAsia="方正仿宋_GBK"/>
          <w:color w:val="000000"/>
          <w:spacing w:val="-2"/>
          <w:sz w:val="24"/>
        </w:rPr>
        <w:t>镀锌管</w:t>
      </w:r>
      <w:r>
        <w:rPr>
          <w:rFonts w:hint="eastAsia" w:ascii="Times New Roman" w:hAnsi="Times New Roman"/>
          <w:color w:val="000000"/>
          <w:spacing w:val="-2"/>
          <w:sz w:val="24"/>
        </w:rPr>
        <w:t>□</w:t>
      </w:r>
      <w:r>
        <w:rPr>
          <w:rFonts w:hint="eastAsia" w:eastAsia="方正仿宋_GBK"/>
          <w:color w:val="000000"/>
          <w:spacing w:val="-2"/>
          <w:sz w:val="24"/>
        </w:rPr>
        <w:t>；铝塑管</w:t>
      </w:r>
      <w:r>
        <w:rPr>
          <w:rFonts w:hint="eastAsia" w:ascii="Times New Roman" w:hAnsi="Times New Roman"/>
          <w:color w:val="000000"/>
          <w:spacing w:val="-2"/>
          <w:sz w:val="24"/>
        </w:rPr>
        <w:t>□</w:t>
      </w:r>
      <w:r>
        <w:rPr>
          <w:rFonts w:hint="eastAsia" w:eastAsia="方正仿宋_GBK"/>
          <w:color w:val="000000"/>
          <w:spacing w:val="-2"/>
          <w:sz w:val="24"/>
        </w:rPr>
        <w:t>；胶管</w:t>
      </w:r>
      <w:r>
        <w:rPr>
          <w:rFonts w:hint="eastAsia" w:ascii="Times New Roman" w:hAnsi="Times New Roman"/>
          <w:color w:val="000000"/>
          <w:spacing w:val="-2"/>
          <w:sz w:val="24"/>
        </w:rPr>
        <w:t>□</w:t>
      </w:r>
      <w:r>
        <w:rPr>
          <w:rFonts w:hint="eastAsia" w:eastAsia="方正仿宋_GBK"/>
          <w:color w:val="000000"/>
          <w:spacing w:val="-2"/>
          <w:sz w:val="24"/>
        </w:rPr>
        <w:t>；不锈钢波纹管</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B</w:t>
      </w:r>
      <w:r>
        <w:rPr>
          <w:rFonts w:hint="eastAsia" w:eastAsia="方正仿宋_GBK"/>
          <w:color w:val="000000"/>
          <w:spacing w:val="-2"/>
          <w:sz w:val="24"/>
        </w:rPr>
        <w:t>：管道敷设：</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明设</w:t>
      </w:r>
      <w:r>
        <w:rPr>
          <w:rFonts w:hint="eastAsia" w:ascii="Times New Roman" w:hAnsi="Times New Roman"/>
          <w:color w:val="000000"/>
          <w:spacing w:val="-2"/>
          <w:sz w:val="24"/>
        </w:rPr>
        <w:t>□</w:t>
      </w:r>
      <w:r>
        <w:rPr>
          <w:rFonts w:hint="eastAsia" w:eastAsia="方正仿宋_GBK"/>
          <w:color w:val="000000"/>
          <w:spacing w:val="-2"/>
          <w:sz w:val="24"/>
        </w:rPr>
        <w:t>；暗设</w:t>
      </w:r>
      <w:r>
        <w:rPr>
          <w:rFonts w:hint="eastAsia" w:ascii="Times New Roman" w:hAnsi="Times New Roman"/>
          <w:color w:val="000000"/>
          <w:spacing w:val="-2"/>
          <w:sz w:val="24"/>
        </w:rPr>
        <w:t>□</w:t>
      </w:r>
      <w:r>
        <w:rPr>
          <w:rFonts w:hint="eastAsia" w:eastAsia="方正仿宋_GBK"/>
          <w:color w:val="000000"/>
          <w:spacing w:val="-2"/>
          <w:sz w:val="24"/>
        </w:rPr>
        <w:t>；暗埋</w:t>
      </w:r>
      <w:r>
        <w:rPr>
          <w:rFonts w:hint="eastAsia" w:ascii="Times New Roman" w:hAnsi="Times New Roman"/>
          <w:color w:val="000000"/>
          <w:spacing w:val="-2"/>
          <w:sz w:val="24"/>
        </w:rPr>
        <w:t>□</w:t>
      </w:r>
      <w:r>
        <w:rPr>
          <w:rFonts w:hint="eastAsia" w:eastAsia="方正仿宋_GBK"/>
          <w:color w:val="000000"/>
          <w:spacing w:val="-2"/>
          <w:sz w:val="24"/>
        </w:rPr>
        <w:t>；半明暗</w:t>
      </w:r>
      <w:r>
        <w:rPr>
          <w:rFonts w:hint="eastAsia" w:ascii="Times New Roman" w:hAnsi="Times New Roman"/>
          <w:color w:val="000000"/>
          <w:spacing w:val="-2"/>
          <w:sz w:val="24"/>
        </w:rPr>
        <w:t>□</w:t>
      </w:r>
      <w:r>
        <w:rPr>
          <w:rFonts w:hint="eastAsia" w:eastAsia="方正仿宋_GBK"/>
          <w:color w:val="000000"/>
          <w:spacing w:val="-2"/>
          <w:sz w:val="24"/>
        </w:rPr>
        <w:t>；经过卧室</w:t>
      </w:r>
      <w:r>
        <w:rPr>
          <w:rFonts w:hint="eastAsia" w:ascii="Times New Roman" w:hAnsi="Times New Roman"/>
          <w:color w:val="000000"/>
          <w:spacing w:val="-2"/>
          <w:sz w:val="24"/>
        </w:rPr>
        <w:t>□</w:t>
      </w:r>
      <w:r>
        <w:rPr>
          <w:rFonts w:hint="eastAsia" w:eastAsia="方正仿宋_GBK"/>
          <w:color w:val="000000"/>
          <w:spacing w:val="-2"/>
          <w:sz w:val="24"/>
        </w:rPr>
        <w:t>；卫生间</w:t>
      </w:r>
      <w:r>
        <w:rPr>
          <w:rFonts w:hint="eastAsia" w:ascii="Times New Roman" w:hAnsi="Times New Roman"/>
          <w:color w:val="000000"/>
          <w:spacing w:val="-2"/>
          <w:sz w:val="24"/>
        </w:rPr>
        <w:t>□</w:t>
      </w:r>
      <w:r>
        <w:rPr>
          <w:rFonts w:hint="eastAsia" w:eastAsia="方正仿宋_GBK"/>
          <w:color w:val="000000"/>
          <w:spacing w:val="-2"/>
          <w:sz w:val="24"/>
        </w:rPr>
        <w:t>；客厅</w:t>
      </w:r>
      <w:r>
        <w:rPr>
          <w:rFonts w:hint="eastAsia" w:ascii="Times New Roman" w:hAnsi="Times New Roman"/>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、管道腐蚀：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完好</w:t>
      </w:r>
      <w:r>
        <w:rPr>
          <w:rFonts w:hint="eastAsia" w:ascii="Times New Roman" w:hAnsi="Times New Roman"/>
          <w:color w:val="000000"/>
          <w:spacing w:val="-2"/>
          <w:sz w:val="24"/>
        </w:rPr>
        <w:t>□</w:t>
      </w:r>
      <w:r>
        <w:rPr>
          <w:rFonts w:hint="eastAsia" w:eastAsia="方正仿宋_GBK"/>
          <w:color w:val="000000"/>
          <w:spacing w:val="-2"/>
          <w:sz w:val="24"/>
        </w:rPr>
        <w:t>；轻微</w:t>
      </w:r>
      <w:r>
        <w:rPr>
          <w:rFonts w:hint="eastAsia" w:ascii="Times New Roman" w:hAnsi="Times New Roman"/>
          <w:color w:val="000000"/>
          <w:spacing w:val="-2"/>
          <w:sz w:val="24"/>
        </w:rPr>
        <w:t>□</w:t>
      </w:r>
      <w:r>
        <w:rPr>
          <w:rFonts w:hint="eastAsia" w:eastAsia="方正仿宋_GBK"/>
          <w:color w:val="000000"/>
          <w:spacing w:val="-2"/>
          <w:sz w:val="24"/>
        </w:rPr>
        <w:t>；中度</w:t>
      </w:r>
      <w:r>
        <w:rPr>
          <w:rFonts w:hint="eastAsia" w:ascii="Times New Roman" w:hAnsi="Times New Roman"/>
          <w:color w:val="000000"/>
          <w:spacing w:val="-2"/>
          <w:sz w:val="24"/>
        </w:rPr>
        <w:t>□</w:t>
      </w:r>
      <w:r>
        <w:rPr>
          <w:rFonts w:hint="eastAsia" w:eastAsia="方正仿宋_GBK"/>
          <w:color w:val="000000"/>
          <w:spacing w:val="-2"/>
          <w:sz w:val="24"/>
        </w:rPr>
        <w:t>；较严重</w:t>
      </w:r>
      <w:r>
        <w:rPr>
          <w:rFonts w:hint="eastAsia" w:ascii="Times New Roman" w:hAnsi="Times New Roman"/>
          <w:color w:val="000000"/>
          <w:spacing w:val="-2"/>
          <w:sz w:val="24"/>
        </w:rPr>
        <w:t>□</w:t>
      </w:r>
      <w:r>
        <w:rPr>
          <w:rFonts w:hint="eastAsia" w:eastAsia="方正仿宋_GBK"/>
          <w:color w:val="000000"/>
          <w:spacing w:val="-2"/>
          <w:sz w:val="24"/>
        </w:rPr>
        <w:t>；严重</w:t>
      </w:r>
      <w:r>
        <w:rPr>
          <w:rFonts w:hint="eastAsia" w:ascii="Times New Roman" w:hAnsi="Times New Roman"/>
          <w:color w:val="000000"/>
          <w:spacing w:val="-2"/>
          <w:sz w:val="24"/>
        </w:rPr>
        <w:t>□</w:t>
      </w:r>
      <w:r>
        <w:rPr>
          <w:rFonts w:hint="eastAsia" w:eastAsia="方正仿宋_GBK"/>
          <w:color w:val="000000"/>
          <w:spacing w:val="-2"/>
          <w:sz w:val="24"/>
        </w:rPr>
        <w:t>；</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腐蚀部位：</w:t>
      </w:r>
      <w:r>
        <w:rPr>
          <w:rFonts w:eastAsia="方正仿宋_GBK"/>
          <w:color w:val="000000"/>
          <w:spacing w:val="-2"/>
          <w:sz w:val="24"/>
          <w:u w:val="single"/>
        </w:rPr>
        <w:t xml:space="preserve">       </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、管道使用：</w:t>
      </w:r>
    </w:p>
    <w:p>
      <w:pPr>
        <w:spacing w:line="460" w:lineRule="exact"/>
        <w:ind w:firstLine="472" w:firstLineChars="200"/>
        <w:rPr>
          <w:rFonts w:eastAsia="方正仿宋_GBK"/>
          <w:color w:val="000000"/>
          <w:spacing w:val="-2"/>
          <w:sz w:val="24"/>
          <w:u w:val="single"/>
        </w:rPr>
      </w:pPr>
      <w:r>
        <w:rPr>
          <w:rFonts w:hint="eastAsia" w:eastAsia="方正仿宋_GBK"/>
          <w:color w:val="000000"/>
          <w:spacing w:val="-2"/>
          <w:sz w:val="24"/>
        </w:rPr>
        <w:t>擅自改动：有</w:t>
      </w:r>
      <w:r>
        <w:rPr>
          <w:rFonts w:hint="eastAsia" w:ascii="Times New Roman" w:hAnsi="Times New Roman"/>
          <w:color w:val="000000"/>
          <w:spacing w:val="-2"/>
          <w:sz w:val="24"/>
        </w:rPr>
        <w:t>□</w:t>
      </w:r>
      <w:r>
        <w:rPr>
          <w:rFonts w:hint="eastAsia" w:eastAsia="方正仿宋_GBK"/>
          <w:color w:val="000000"/>
          <w:spacing w:val="-2"/>
          <w:sz w:val="24"/>
        </w:rPr>
        <w:t>，无</w:t>
      </w:r>
      <w:r>
        <w:rPr>
          <w:rFonts w:hint="eastAsia" w:ascii="Times New Roman" w:hAnsi="Times New Roman"/>
          <w:color w:val="000000"/>
          <w:spacing w:val="-2"/>
          <w:sz w:val="24"/>
        </w:rPr>
        <w:t>□</w:t>
      </w:r>
      <w:r>
        <w:rPr>
          <w:rFonts w:hint="eastAsia" w:eastAsia="方正仿宋_GBK"/>
          <w:color w:val="000000"/>
          <w:spacing w:val="-2"/>
          <w:sz w:val="24"/>
        </w:rPr>
        <w:t>；作为电器接地线使用：有</w:t>
      </w:r>
      <w:r>
        <w:rPr>
          <w:rFonts w:hint="eastAsia" w:ascii="Times New Roman" w:hAnsi="Times New Roman"/>
          <w:color w:val="000000"/>
          <w:spacing w:val="-2"/>
          <w:sz w:val="24"/>
        </w:rPr>
        <w:t>□</w:t>
      </w:r>
      <w:r>
        <w:rPr>
          <w:rFonts w:hint="eastAsia" w:eastAsia="方正仿宋_GBK"/>
          <w:color w:val="000000"/>
          <w:spacing w:val="-2"/>
          <w:sz w:val="24"/>
        </w:rPr>
        <w:t>，无</w:t>
      </w:r>
      <w:r>
        <w:rPr>
          <w:rFonts w:hint="eastAsia" w:ascii="Times New Roman" w:hAnsi="Times New Roman"/>
          <w:color w:val="000000"/>
          <w:spacing w:val="-2"/>
          <w:sz w:val="24"/>
        </w:rPr>
        <w:t>□</w:t>
      </w:r>
      <w:r>
        <w:rPr>
          <w:rFonts w:hint="eastAsia" w:eastAsia="方正仿宋_GBK"/>
          <w:color w:val="000000"/>
          <w:spacing w:val="-2"/>
          <w:sz w:val="24"/>
        </w:rPr>
        <w:t>；重物搭挂：有</w:t>
      </w:r>
      <w:r>
        <w:rPr>
          <w:rFonts w:hint="eastAsia" w:ascii="Times New Roman" w:hAnsi="Times New Roman"/>
          <w:color w:val="000000"/>
          <w:spacing w:val="-2"/>
          <w:sz w:val="24"/>
        </w:rPr>
        <w:t>□</w:t>
      </w:r>
      <w:r>
        <w:rPr>
          <w:rFonts w:hint="eastAsia" w:eastAsia="方正仿宋_GBK"/>
          <w:color w:val="000000"/>
          <w:spacing w:val="-2"/>
          <w:sz w:val="24"/>
        </w:rPr>
        <w:t>，无</w:t>
      </w:r>
      <w:r>
        <w:rPr>
          <w:rFonts w:hint="eastAsia" w:ascii="Times New Roman" w:hAnsi="Times New Roman"/>
          <w:color w:val="000000"/>
          <w:spacing w:val="-2"/>
          <w:sz w:val="24"/>
        </w:rPr>
        <w:t>□</w:t>
      </w:r>
      <w:r>
        <w:rPr>
          <w:rFonts w:hint="eastAsia" w:eastAsia="方正仿宋_GBK"/>
          <w:color w:val="000000"/>
          <w:spacing w:val="-2"/>
          <w:sz w:val="24"/>
        </w:rPr>
        <w:t>；搭挂部位：</w:t>
      </w:r>
      <w:r>
        <w:rPr>
          <w:rFonts w:eastAsia="方正仿宋_GBK"/>
          <w:color w:val="000000"/>
          <w:spacing w:val="-2"/>
          <w:sz w:val="24"/>
          <w:u w:val="single"/>
        </w:rPr>
        <w:t xml:space="preserve">       </w:t>
      </w:r>
      <w:r>
        <w:rPr>
          <w:rFonts w:eastAsia="方正仿宋_GBK"/>
          <w:color w:val="000000"/>
          <w:spacing w:val="-2"/>
          <w:sz w:val="24"/>
        </w:rPr>
        <w:t xml:space="preserve"> </w:t>
      </w:r>
    </w:p>
    <w:p>
      <w:pPr>
        <w:spacing w:line="460" w:lineRule="exact"/>
        <w:ind w:left="472"/>
        <w:rPr>
          <w:rFonts w:ascii="Times New Roman" w:eastAsia="方正黑体_GBK"/>
          <w:color w:val="000000"/>
          <w:spacing w:val="-2"/>
          <w:sz w:val="24"/>
        </w:rPr>
      </w:pPr>
      <w:r>
        <w:rPr>
          <w:rFonts w:hint="eastAsia" w:ascii="Times New Roman" w:eastAsia="方正黑体_GBK"/>
          <w:color w:val="000000"/>
          <w:spacing w:val="-2"/>
          <w:sz w:val="24"/>
        </w:rPr>
        <w:t>二：表前总阀（如有）</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：阀门类型：</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球阀</w:t>
      </w:r>
      <w:r>
        <w:rPr>
          <w:rFonts w:hint="eastAsia" w:ascii="Times New Roman" w:hAnsi="Times New Roman"/>
          <w:color w:val="000000"/>
          <w:spacing w:val="-2"/>
          <w:sz w:val="24"/>
        </w:rPr>
        <w:t>□</w:t>
      </w:r>
      <w:r>
        <w:rPr>
          <w:rFonts w:hint="eastAsia" w:eastAsia="方正仿宋_GBK"/>
          <w:color w:val="000000"/>
          <w:spacing w:val="-2"/>
          <w:sz w:val="24"/>
        </w:rPr>
        <w:t>；旋塞阀</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：开关操作：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正常</w:t>
      </w:r>
      <w:r>
        <w:rPr>
          <w:rFonts w:hint="eastAsia" w:ascii="Times New Roman" w:hAnsi="Times New Roman"/>
          <w:color w:val="000000"/>
          <w:spacing w:val="-2"/>
          <w:sz w:val="24"/>
        </w:rPr>
        <w:t>□</w:t>
      </w:r>
      <w:r>
        <w:rPr>
          <w:rFonts w:hint="eastAsia" w:eastAsia="方正仿宋_GBK"/>
          <w:color w:val="000000"/>
          <w:spacing w:val="-2"/>
          <w:sz w:val="24"/>
        </w:rPr>
        <w:t>；不正常</w:t>
      </w:r>
      <w:r>
        <w:rPr>
          <w:rFonts w:hint="eastAsia" w:ascii="Times New Roman" w:hAnsi="Times New Roman"/>
          <w:color w:val="000000"/>
          <w:spacing w:val="-2"/>
          <w:sz w:val="24"/>
        </w:rPr>
        <w:t>□</w:t>
      </w:r>
      <w:r>
        <w:rPr>
          <w:rFonts w:hint="eastAsia" w:eastAsia="方正仿宋_GBK"/>
          <w:color w:val="000000"/>
          <w:spacing w:val="-2"/>
          <w:sz w:val="24"/>
        </w:rPr>
        <w:t>（包裹</w:t>
      </w:r>
      <w:r>
        <w:rPr>
          <w:rFonts w:hint="eastAsia" w:ascii="Times New Roman" w:hAnsi="Times New Roman"/>
          <w:color w:val="000000"/>
          <w:spacing w:val="-2"/>
          <w:sz w:val="24"/>
        </w:rPr>
        <w:t>□</w:t>
      </w:r>
      <w:r>
        <w:rPr>
          <w:rFonts w:hint="eastAsia" w:eastAsia="方正仿宋_GBK"/>
          <w:color w:val="000000"/>
          <w:spacing w:val="-2"/>
          <w:sz w:val="24"/>
        </w:rPr>
        <w:t>；无法正常开关</w:t>
      </w:r>
      <w:r>
        <w:rPr>
          <w:rFonts w:hint="eastAsia" w:ascii="Times New Roman" w:hAnsi="Times New Roman"/>
          <w:color w:val="000000"/>
          <w:spacing w:val="-2"/>
          <w:sz w:val="24"/>
        </w:rPr>
        <w:t>□</w:t>
      </w:r>
      <w:r>
        <w:rPr>
          <w:rFonts w:hint="eastAsia" w:eastAsia="方正仿宋_GBK"/>
          <w:color w:val="000000"/>
          <w:spacing w:val="-2"/>
          <w:sz w:val="24"/>
        </w:rPr>
        <w:t>；无手柄</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r>
        <w:rPr>
          <w:rFonts w:hint="eastAsia" w:eastAsia="方正仿宋_GBK"/>
          <w:color w:val="000000"/>
          <w:spacing w:val="-2"/>
          <w:sz w:val="24"/>
        </w:rPr>
        <w:t>）</w:t>
      </w:r>
    </w:p>
    <w:p>
      <w:pPr>
        <w:spacing w:line="460" w:lineRule="exact"/>
        <w:ind w:left="472"/>
        <w:rPr>
          <w:rFonts w:ascii="Times New Roman" w:eastAsia="方正黑体_GBK"/>
          <w:color w:val="000000"/>
          <w:spacing w:val="-2"/>
          <w:sz w:val="24"/>
        </w:rPr>
      </w:pPr>
      <w:r>
        <w:rPr>
          <w:rFonts w:hint="eastAsia" w:ascii="Times New Roman" w:eastAsia="方正黑体_GBK"/>
          <w:color w:val="000000"/>
          <w:spacing w:val="-2"/>
          <w:sz w:val="24"/>
        </w:rPr>
        <w:t>三、计量仪表</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：安装位置：</w:t>
      </w:r>
    </w:p>
    <w:p>
      <w:pPr>
        <w:spacing w:line="460" w:lineRule="exact"/>
        <w:ind w:firstLine="472" w:firstLineChars="200"/>
        <w:rPr>
          <w:rFonts w:eastAsia="方正仿宋_GBK"/>
          <w:color w:val="000000"/>
          <w:spacing w:val="-2"/>
          <w:sz w:val="24"/>
          <w:u w:val="single"/>
        </w:rPr>
      </w:pPr>
      <w:r>
        <w:rPr>
          <w:rFonts w:hint="eastAsia" w:eastAsia="方正仿宋_GBK"/>
          <w:color w:val="000000"/>
          <w:spacing w:val="-2"/>
          <w:sz w:val="24"/>
        </w:rPr>
        <w:t>厨房</w:t>
      </w:r>
      <w:r>
        <w:rPr>
          <w:rFonts w:hint="eastAsia" w:ascii="Times New Roman" w:hAnsi="Times New Roman"/>
          <w:color w:val="000000"/>
          <w:spacing w:val="-2"/>
          <w:sz w:val="24"/>
        </w:rPr>
        <w:t>□</w:t>
      </w:r>
      <w:r>
        <w:rPr>
          <w:rFonts w:hint="eastAsia" w:eastAsia="方正仿宋_GBK"/>
          <w:color w:val="000000"/>
          <w:spacing w:val="-2"/>
          <w:sz w:val="24"/>
        </w:rPr>
        <w:t>；客厅</w:t>
      </w:r>
      <w:r>
        <w:rPr>
          <w:rFonts w:hint="eastAsia" w:ascii="Times New Roman" w:hAnsi="Times New Roman"/>
          <w:color w:val="000000"/>
          <w:spacing w:val="-2"/>
          <w:sz w:val="24"/>
        </w:rPr>
        <w:t>□</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卫生间</w:t>
      </w:r>
      <w:r>
        <w:rPr>
          <w:rFonts w:hint="eastAsia" w:ascii="Times New Roman" w:hAnsi="Times New Roman"/>
          <w:color w:val="000000"/>
          <w:spacing w:val="-2"/>
          <w:sz w:val="24"/>
        </w:rPr>
        <w:t>□</w:t>
      </w:r>
      <w:r>
        <w:rPr>
          <w:rFonts w:hint="eastAsia" w:eastAsia="方正仿宋_GBK"/>
          <w:color w:val="000000"/>
          <w:spacing w:val="-2"/>
          <w:sz w:val="24"/>
        </w:rPr>
        <w:t>；阳台</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：通风情况：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敞开</w:t>
      </w:r>
      <w:r>
        <w:rPr>
          <w:rFonts w:hint="eastAsia" w:ascii="Times New Roman" w:hAnsi="Times New Roman"/>
          <w:color w:val="000000"/>
          <w:spacing w:val="-2"/>
          <w:sz w:val="24"/>
        </w:rPr>
        <w:t>□</w:t>
      </w:r>
      <w:r>
        <w:rPr>
          <w:rFonts w:hint="eastAsia" w:eastAsia="方正仿宋_GBK"/>
          <w:color w:val="000000"/>
          <w:spacing w:val="-2"/>
          <w:sz w:val="24"/>
        </w:rPr>
        <w:t>；橱柜内</w:t>
      </w:r>
      <w:r>
        <w:rPr>
          <w:rFonts w:hint="eastAsia" w:ascii="Times New Roman" w:hAnsi="Times New Roman"/>
          <w:color w:val="000000"/>
          <w:spacing w:val="-2"/>
          <w:sz w:val="24"/>
        </w:rPr>
        <w:t>□</w:t>
      </w:r>
      <w:r>
        <w:rPr>
          <w:rFonts w:hint="eastAsia" w:eastAsia="方正仿宋_GBK"/>
          <w:color w:val="000000"/>
          <w:spacing w:val="-2"/>
          <w:sz w:val="24"/>
        </w:rPr>
        <w:t>：无通风孔</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：表具使用情况：损坏</w:t>
      </w:r>
      <w:r>
        <w:rPr>
          <w:rFonts w:hint="eastAsia" w:ascii="Times New Roman" w:hAnsi="Times New Roman"/>
          <w:color w:val="000000"/>
          <w:spacing w:val="-2"/>
          <w:sz w:val="24"/>
        </w:rPr>
        <w:t>□</w:t>
      </w:r>
      <w:r>
        <w:rPr>
          <w:rFonts w:hint="eastAsia" w:eastAsia="方正仿宋_GBK"/>
          <w:color w:val="000000"/>
          <w:spacing w:val="-2"/>
          <w:sz w:val="24"/>
        </w:rPr>
        <w:t>；轻微腐蚀</w:t>
      </w:r>
      <w:r>
        <w:rPr>
          <w:rFonts w:hint="eastAsia" w:ascii="Times New Roman" w:hAnsi="Times New Roman"/>
          <w:color w:val="000000"/>
          <w:spacing w:val="-2"/>
          <w:sz w:val="24"/>
        </w:rPr>
        <w:t>□</w:t>
      </w:r>
      <w:r>
        <w:rPr>
          <w:rFonts w:hint="eastAsia" w:eastAsia="方正仿宋_GBK"/>
          <w:color w:val="000000"/>
          <w:spacing w:val="-2"/>
          <w:sz w:val="24"/>
        </w:rPr>
        <w:t>；严重腐蚀</w:t>
      </w:r>
      <w:r>
        <w:rPr>
          <w:rFonts w:hint="eastAsia" w:ascii="Times New Roman" w:hAnsi="Times New Roman"/>
          <w:color w:val="000000"/>
          <w:spacing w:val="-2"/>
          <w:sz w:val="24"/>
        </w:rPr>
        <w:t>□</w:t>
      </w:r>
    </w:p>
    <w:p>
      <w:pPr>
        <w:spacing w:line="460" w:lineRule="exact"/>
        <w:ind w:left="472"/>
        <w:rPr>
          <w:rFonts w:ascii="Times New Roman" w:eastAsia="方正黑体_GBK"/>
          <w:color w:val="000000"/>
          <w:spacing w:val="-2"/>
          <w:sz w:val="24"/>
        </w:rPr>
      </w:pPr>
      <w:r>
        <w:rPr>
          <w:rFonts w:hint="eastAsia" w:ascii="Times New Roman" w:eastAsia="方正黑体_GBK"/>
          <w:color w:val="000000"/>
          <w:spacing w:val="-2"/>
          <w:sz w:val="24"/>
        </w:rPr>
        <w:t>四、燃气灶具</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、熄火保护装置：有</w:t>
      </w:r>
      <w:r>
        <w:rPr>
          <w:rFonts w:hint="eastAsia" w:ascii="Times New Roman" w:hAnsi="Times New Roman"/>
          <w:color w:val="000000"/>
          <w:spacing w:val="-2"/>
          <w:sz w:val="24"/>
        </w:rPr>
        <w:t>□</w:t>
      </w:r>
      <w:r>
        <w:rPr>
          <w:rFonts w:hint="eastAsia" w:eastAsia="方正仿宋_GBK"/>
          <w:color w:val="000000"/>
          <w:spacing w:val="-2"/>
          <w:sz w:val="24"/>
        </w:rPr>
        <w:t>：无</w:t>
      </w:r>
      <w:r>
        <w:rPr>
          <w:rFonts w:hint="eastAsia" w:ascii="Times New Roman" w:hAnsi="Times New Roman"/>
          <w:color w:val="000000"/>
          <w:spacing w:val="-2"/>
          <w:sz w:val="24"/>
        </w:rPr>
        <w:t>□</w:t>
      </w:r>
      <w:r>
        <w:rPr>
          <w:rFonts w:hint="eastAsia" w:eastAsia="方正仿宋_GBK"/>
          <w:color w:val="000000"/>
          <w:spacing w:val="-2"/>
          <w:sz w:val="24"/>
        </w:rPr>
        <w:t>；</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u w:val="single"/>
        </w:rPr>
      </w:pPr>
      <w:r>
        <w:rPr>
          <w:rFonts w:eastAsia="方正仿宋_GBK"/>
          <w:color w:val="000000"/>
          <w:spacing w:val="-2"/>
          <w:sz w:val="24"/>
        </w:rPr>
        <w:t>2</w:t>
      </w:r>
      <w:r>
        <w:rPr>
          <w:rFonts w:hint="eastAsia" w:eastAsia="方正仿宋_GBK"/>
          <w:color w:val="000000"/>
          <w:spacing w:val="-2"/>
          <w:sz w:val="24"/>
        </w:rPr>
        <w:t>、使用时间：</w:t>
      </w:r>
      <w:r>
        <w:rPr>
          <w:rFonts w:eastAsia="方正仿宋_GBK"/>
          <w:color w:val="000000"/>
          <w:spacing w:val="-2"/>
          <w:sz w:val="24"/>
          <w:u w:val="single"/>
        </w:rPr>
        <w:t xml:space="preserve">        </w:t>
      </w:r>
      <w:r>
        <w:rPr>
          <w:rFonts w:hint="eastAsia" w:eastAsia="方正仿宋_GBK"/>
          <w:color w:val="000000"/>
          <w:spacing w:val="-2"/>
          <w:sz w:val="24"/>
        </w:rPr>
        <w:t>年</w:t>
      </w:r>
      <w:r>
        <w:rPr>
          <w:rFonts w:eastAsia="方正仿宋_GBK"/>
          <w:color w:val="000000"/>
          <w:spacing w:val="-2"/>
          <w:sz w:val="24"/>
        </w:rPr>
        <w:t xml:space="preserve"> </w:t>
      </w:r>
      <w:r>
        <w:rPr>
          <w:rFonts w:hint="eastAsia" w:eastAsia="方正仿宋_GBK"/>
          <w:color w:val="000000"/>
          <w:spacing w:val="-2"/>
          <w:sz w:val="24"/>
        </w:rPr>
        <w:t>；</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u w:val="single"/>
        </w:rPr>
      </w:pPr>
      <w:r>
        <w:rPr>
          <w:rFonts w:eastAsia="方正仿宋_GBK"/>
          <w:color w:val="000000"/>
          <w:spacing w:val="-2"/>
          <w:sz w:val="24"/>
        </w:rPr>
        <w:t>3</w:t>
      </w:r>
      <w:r>
        <w:rPr>
          <w:rFonts w:hint="eastAsia" w:eastAsia="方正仿宋_GBK"/>
          <w:color w:val="000000"/>
          <w:spacing w:val="-2"/>
          <w:sz w:val="24"/>
        </w:rPr>
        <w:t>、连接管道：</w:t>
      </w:r>
      <w:r>
        <w:rPr>
          <w:rFonts w:eastAsia="方正仿宋_GBK"/>
          <w:color w:val="000000"/>
          <w:spacing w:val="-2"/>
          <w:sz w:val="24"/>
        </w:rPr>
        <w:t xml:space="preserve"> </w:t>
      </w:r>
      <w:r>
        <w:rPr>
          <w:rFonts w:hint="eastAsia" w:eastAsia="方正仿宋_GBK"/>
          <w:color w:val="000000"/>
          <w:spacing w:val="-2"/>
          <w:sz w:val="24"/>
        </w:rPr>
        <w:t>不锈钢波纹管</w:t>
      </w:r>
      <w:r>
        <w:rPr>
          <w:rFonts w:hint="eastAsia" w:ascii="Times New Roman" w:hAnsi="Times New Roman"/>
          <w:color w:val="000000"/>
          <w:spacing w:val="-2"/>
          <w:sz w:val="24"/>
        </w:rPr>
        <w:t>□</w:t>
      </w:r>
      <w:r>
        <w:rPr>
          <w:rFonts w:hint="eastAsia" w:eastAsia="方正仿宋_GBK"/>
          <w:color w:val="000000"/>
          <w:spacing w:val="-2"/>
          <w:sz w:val="24"/>
        </w:rPr>
        <w:t>；胶管</w:t>
      </w:r>
      <w:r>
        <w:rPr>
          <w:rFonts w:hint="eastAsia" w:ascii="Times New Roman" w:hAnsi="Times New Roman"/>
          <w:color w:val="000000"/>
          <w:spacing w:val="-2"/>
          <w:sz w:val="24"/>
        </w:rPr>
        <w:t>□</w:t>
      </w:r>
      <w:r>
        <w:rPr>
          <w:rFonts w:hint="eastAsia" w:eastAsia="方正仿宋_GBK"/>
          <w:color w:val="000000"/>
          <w:spacing w:val="-2"/>
          <w:sz w:val="24"/>
        </w:rPr>
        <w:t>；镀锌管</w:t>
      </w:r>
      <w:r>
        <w:rPr>
          <w:rFonts w:hint="eastAsia" w:ascii="Times New Roman" w:hAnsi="Times New Roman"/>
          <w:color w:val="000000"/>
          <w:spacing w:val="-2"/>
          <w:sz w:val="24"/>
        </w:rPr>
        <w:t>□</w:t>
      </w:r>
      <w:r>
        <w:rPr>
          <w:rFonts w:hint="eastAsia" w:eastAsia="方正仿宋_GBK"/>
          <w:color w:val="000000"/>
          <w:spacing w:val="-2"/>
          <w:sz w:val="24"/>
        </w:rPr>
        <w:t>；铝塑管</w:t>
      </w:r>
      <w:r>
        <w:rPr>
          <w:rFonts w:hint="eastAsia" w:ascii="Times New Roman" w:hAnsi="Times New Roman"/>
          <w:color w:val="000000"/>
          <w:spacing w:val="-2"/>
          <w:sz w:val="24"/>
        </w:rPr>
        <w:t>□</w:t>
      </w:r>
      <w:r>
        <w:rPr>
          <w:rFonts w:hint="eastAsia" w:eastAsia="方正仿宋_GBK"/>
          <w:color w:val="000000"/>
          <w:spacing w:val="-2"/>
          <w:sz w:val="24"/>
        </w:rPr>
        <w:t>；燃气专用软管</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、胶管状况：</w:t>
      </w:r>
      <w:r>
        <w:rPr>
          <w:rFonts w:eastAsia="方正仿宋_GBK"/>
          <w:color w:val="000000"/>
          <w:spacing w:val="-2"/>
          <w:sz w:val="24"/>
        </w:rPr>
        <w:t xml:space="preserve"> </w:t>
      </w:r>
      <w:r>
        <w:rPr>
          <w:rFonts w:hint="eastAsia" w:eastAsia="方正仿宋_GBK"/>
          <w:color w:val="000000"/>
          <w:spacing w:val="-2"/>
          <w:sz w:val="24"/>
        </w:rPr>
        <w:t>良好</w:t>
      </w:r>
      <w:r>
        <w:rPr>
          <w:rFonts w:hint="eastAsia" w:ascii="Times New Roman" w:hAnsi="Times New Roman"/>
          <w:color w:val="000000"/>
          <w:spacing w:val="-2"/>
          <w:sz w:val="24"/>
        </w:rPr>
        <w:t>□</w:t>
      </w:r>
      <w:r>
        <w:rPr>
          <w:rFonts w:hint="eastAsia" w:eastAsia="方正仿宋_GBK"/>
          <w:color w:val="000000"/>
          <w:spacing w:val="-2"/>
          <w:sz w:val="24"/>
        </w:rPr>
        <w:t>；过长</w:t>
      </w:r>
      <w:r>
        <w:rPr>
          <w:rFonts w:hint="eastAsia" w:ascii="Times New Roman" w:hAnsi="Times New Roman"/>
          <w:color w:val="000000"/>
          <w:spacing w:val="-2"/>
          <w:sz w:val="24"/>
        </w:rPr>
        <w:t>□</w:t>
      </w:r>
      <w:r>
        <w:rPr>
          <w:rFonts w:hint="eastAsia" w:eastAsia="方正仿宋_GBK"/>
          <w:color w:val="000000"/>
          <w:spacing w:val="-2"/>
          <w:sz w:val="24"/>
        </w:rPr>
        <w:t>；老化</w:t>
      </w:r>
      <w:r>
        <w:rPr>
          <w:rFonts w:hint="eastAsia" w:ascii="Times New Roman" w:hAnsi="Times New Roman"/>
          <w:color w:val="000000"/>
          <w:spacing w:val="-2"/>
          <w:sz w:val="24"/>
        </w:rPr>
        <w:t>□</w:t>
      </w:r>
      <w:r>
        <w:rPr>
          <w:rFonts w:hint="eastAsia" w:eastAsia="方正仿宋_GBK"/>
          <w:color w:val="000000"/>
          <w:spacing w:val="-2"/>
          <w:sz w:val="24"/>
        </w:rPr>
        <w:t>；过期</w:t>
      </w:r>
      <w:r>
        <w:rPr>
          <w:rFonts w:hint="eastAsia" w:ascii="Times New Roman" w:hAnsi="Times New Roman"/>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胶管暗设（埋）：是</w:t>
      </w:r>
      <w:r>
        <w:rPr>
          <w:rFonts w:hint="eastAsia" w:ascii="Times New Roman" w:hAnsi="Times New Roman"/>
          <w:color w:val="000000"/>
          <w:spacing w:val="-2"/>
          <w:sz w:val="24"/>
        </w:rPr>
        <w:t>□</w:t>
      </w:r>
      <w:r>
        <w:rPr>
          <w:rFonts w:hint="eastAsia" w:eastAsia="方正仿宋_GBK"/>
          <w:color w:val="000000"/>
          <w:spacing w:val="-2"/>
          <w:sz w:val="24"/>
        </w:rPr>
        <w:t>，否</w:t>
      </w:r>
      <w:r>
        <w:rPr>
          <w:rFonts w:hint="eastAsia" w:ascii="Times New Roman" w:hAnsi="Times New Roman"/>
          <w:color w:val="000000"/>
          <w:spacing w:val="-2"/>
          <w:sz w:val="24"/>
        </w:rPr>
        <w:t>□</w:t>
      </w:r>
      <w:r>
        <w:rPr>
          <w:rFonts w:hint="eastAsia" w:eastAsia="方正仿宋_GBK"/>
          <w:color w:val="000000"/>
          <w:spacing w:val="-2"/>
          <w:sz w:val="24"/>
        </w:rPr>
        <w:t>；胶管管夹：有</w:t>
      </w:r>
      <w:r>
        <w:rPr>
          <w:rFonts w:hint="eastAsia" w:ascii="Times New Roman" w:hAnsi="Times New Roman"/>
          <w:color w:val="000000"/>
          <w:spacing w:val="-2"/>
          <w:sz w:val="24"/>
        </w:rPr>
        <w:t>□</w:t>
      </w:r>
      <w:r>
        <w:rPr>
          <w:rFonts w:hint="eastAsia" w:eastAsia="方正仿宋_GBK"/>
          <w:color w:val="000000"/>
          <w:spacing w:val="-2"/>
          <w:sz w:val="24"/>
        </w:rPr>
        <w:t>，无</w:t>
      </w:r>
      <w:r>
        <w:rPr>
          <w:rFonts w:hint="eastAsia" w:ascii="Times New Roman" w:hAnsi="Times New Roman"/>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、灶前阀：球阀</w:t>
      </w:r>
      <w:r>
        <w:rPr>
          <w:rFonts w:hint="eastAsia" w:ascii="Times New Roman" w:hAnsi="Times New Roman"/>
          <w:color w:val="000000"/>
          <w:spacing w:val="-2"/>
          <w:sz w:val="24"/>
        </w:rPr>
        <w:t>□</w:t>
      </w:r>
      <w:r>
        <w:rPr>
          <w:rFonts w:hint="eastAsia" w:eastAsia="方正仿宋_GBK"/>
          <w:color w:val="000000"/>
          <w:spacing w:val="-2"/>
          <w:sz w:val="24"/>
        </w:rPr>
        <w:t>；旋塞阀</w:t>
      </w:r>
      <w:r>
        <w:rPr>
          <w:rFonts w:hint="eastAsia" w:ascii="Times New Roman" w:hAnsi="Times New Roman"/>
          <w:color w:val="000000"/>
          <w:spacing w:val="-2"/>
          <w:sz w:val="24"/>
        </w:rPr>
        <w:t>□</w:t>
      </w:r>
      <w:r>
        <w:rPr>
          <w:rFonts w:hint="eastAsia" w:eastAsia="方正仿宋_GBK"/>
          <w:color w:val="000000"/>
          <w:spacing w:val="-2"/>
          <w:sz w:val="24"/>
        </w:rPr>
        <w:t>；无</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r>
        <w:rPr>
          <w:rFonts w:eastAsia="方正仿宋_GBK"/>
          <w:color w:val="000000"/>
          <w:spacing w:val="-2"/>
          <w:sz w:val="24"/>
        </w:rPr>
        <w:t xml:space="preserve"> </w:t>
      </w:r>
    </w:p>
    <w:p>
      <w:pPr>
        <w:spacing w:line="460" w:lineRule="exact"/>
        <w:ind w:left="472"/>
        <w:rPr>
          <w:rFonts w:ascii="Times New Roman" w:eastAsia="方正黑体_GBK"/>
          <w:color w:val="000000"/>
          <w:spacing w:val="-2"/>
          <w:sz w:val="24"/>
        </w:rPr>
      </w:pPr>
      <w:r>
        <w:rPr>
          <w:rFonts w:hint="eastAsia" w:ascii="Times New Roman" w:eastAsia="方正黑体_GBK"/>
          <w:color w:val="000000"/>
          <w:spacing w:val="-2"/>
          <w:sz w:val="24"/>
        </w:rPr>
        <w:t>五、热水器（热水锅炉）</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、排烟方式：直排式</w:t>
      </w:r>
      <w:r>
        <w:rPr>
          <w:rFonts w:hint="eastAsia" w:ascii="Times New Roman" w:hAnsi="Times New Roman"/>
          <w:color w:val="000000"/>
          <w:spacing w:val="-2"/>
          <w:sz w:val="24"/>
        </w:rPr>
        <w:t>□</w:t>
      </w:r>
      <w:r>
        <w:rPr>
          <w:rFonts w:hint="eastAsia" w:eastAsia="方正仿宋_GBK"/>
          <w:color w:val="000000"/>
          <w:spacing w:val="-2"/>
          <w:sz w:val="24"/>
        </w:rPr>
        <w:t>；烟道式</w:t>
      </w:r>
      <w:r>
        <w:rPr>
          <w:rFonts w:hint="eastAsia" w:ascii="Times New Roman" w:hAnsi="Times New Roman"/>
          <w:color w:val="000000"/>
          <w:spacing w:val="-2"/>
          <w:sz w:val="24"/>
        </w:rPr>
        <w:t>□</w:t>
      </w:r>
      <w:r>
        <w:rPr>
          <w:rFonts w:hint="eastAsia" w:eastAsia="方正仿宋_GBK"/>
          <w:color w:val="000000"/>
          <w:spacing w:val="-2"/>
          <w:sz w:val="24"/>
        </w:rPr>
        <w:t>；强排式</w:t>
      </w:r>
      <w:r>
        <w:rPr>
          <w:rFonts w:hint="eastAsia" w:ascii="Times New Roman" w:hAnsi="Times New Roman"/>
          <w:color w:val="000000"/>
          <w:spacing w:val="-2"/>
          <w:sz w:val="24"/>
        </w:rPr>
        <w:t>□</w:t>
      </w:r>
      <w:r>
        <w:rPr>
          <w:rFonts w:hint="eastAsia" w:eastAsia="方正仿宋_GBK"/>
          <w:color w:val="000000"/>
          <w:spacing w:val="-2"/>
          <w:sz w:val="24"/>
        </w:rPr>
        <w:t>；平衡式</w:t>
      </w:r>
      <w:r>
        <w:rPr>
          <w:rFonts w:hint="eastAsia" w:ascii="Times New Roman" w:hAnsi="Times New Roman"/>
          <w:color w:val="000000"/>
          <w:spacing w:val="-2"/>
          <w:sz w:val="24"/>
        </w:rPr>
        <w:t>□</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、使用年限</w:t>
      </w:r>
      <w:r>
        <w:rPr>
          <w:rFonts w:eastAsia="方正仿宋_GBK"/>
          <w:color w:val="000000"/>
          <w:spacing w:val="-2"/>
          <w:sz w:val="24"/>
          <w:u w:val="single"/>
        </w:rPr>
        <w:t xml:space="preserve">       </w:t>
      </w:r>
      <w:r>
        <w:rPr>
          <w:rFonts w:eastAsia="方正仿宋_GBK"/>
          <w:color w:val="000000"/>
          <w:spacing w:val="-2"/>
          <w:sz w:val="24"/>
        </w:rPr>
        <w:t xml:space="preserve"> </w:t>
      </w:r>
      <w:r>
        <w:rPr>
          <w:rFonts w:hint="eastAsia" w:eastAsia="方正仿宋_GBK"/>
          <w:color w:val="000000"/>
          <w:spacing w:val="-2"/>
          <w:sz w:val="24"/>
        </w:rPr>
        <w:t>年</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、安装位置：厨房</w:t>
      </w:r>
      <w:r>
        <w:rPr>
          <w:rFonts w:hint="eastAsia" w:ascii="Times New Roman" w:hAnsi="Times New Roman"/>
          <w:color w:val="000000"/>
          <w:spacing w:val="-2"/>
          <w:sz w:val="24"/>
        </w:rPr>
        <w:t>□</w:t>
      </w:r>
      <w:r>
        <w:rPr>
          <w:rFonts w:hint="eastAsia" w:eastAsia="方正仿宋_GBK"/>
          <w:color w:val="000000"/>
          <w:spacing w:val="-2"/>
          <w:sz w:val="24"/>
        </w:rPr>
        <w:t>；客厅</w:t>
      </w:r>
      <w:r>
        <w:rPr>
          <w:rFonts w:hint="eastAsia" w:ascii="Times New Roman" w:hAnsi="Times New Roman"/>
          <w:color w:val="000000"/>
          <w:spacing w:val="-2"/>
          <w:sz w:val="24"/>
        </w:rPr>
        <w:t>□</w:t>
      </w:r>
      <w:r>
        <w:rPr>
          <w:rFonts w:hint="eastAsia" w:eastAsia="方正仿宋_GBK"/>
          <w:color w:val="000000"/>
          <w:spacing w:val="-2"/>
          <w:sz w:val="24"/>
        </w:rPr>
        <w:t>；卫生间</w:t>
      </w:r>
      <w:r>
        <w:rPr>
          <w:rFonts w:hint="eastAsia" w:ascii="Times New Roman" w:hAnsi="Times New Roman"/>
          <w:color w:val="000000"/>
          <w:spacing w:val="-2"/>
          <w:sz w:val="24"/>
        </w:rPr>
        <w:t>□</w:t>
      </w:r>
      <w:r>
        <w:rPr>
          <w:rFonts w:hint="eastAsia" w:eastAsia="方正仿宋_GBK"/>
          <w:color w:val="000000"/>
          <w:spacing w:val="-2"/>
          <w:sz w:val="24"/>
        </w:rPr>
        <w:t>；阳台</w:t>
      </w:r>
      <w:r>
        <w:rPr>
          <w:rFonts w:hint="eastAsia" w:ascii="Times New Roman" w:hAnsi="Times New Roman"/>
          <w:color w:val="000000"/>
          <w:spacing w:val="-2"/>
          <w:sz w:val="24"/>
        </w:rPr>
        <w:t>□</w:t>
      </w:r>
      <w:r>
        <w:rPr>
          <w:rFonts w:hint="eastAsia" w:eastAsia="方正仿宋_GBK"/>
          <w:color w:val="000000"/>
          <w:spacing w:val="-2"/>
          <w:sz w:val="24"/>
        </w:rPr>
        <w:t>；橱柜内</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、排烟烟道：</w:t>
      </w:r>
    </w:p>
    <w:p>
      <w:pPr>
        <w:spacing w:line="460" w:lineRule="exact"/>
        <w:ind w:firstLine="472" w:firstLineChars="200"/>
        <w:rPr>
          <w:rFonts w:eastAsia="方正仿宋_GBK"/>
          <w:color w:val="000000"/>
          <w:spacing w:val="-2"/>
          <w:sz w:val="24"/>
        </w:rPr>
      </w:pPr>
      <w:r>
        <w:rPr>
          <w:rFonts w:eastAsia="方正仿宋_GBK"/>
          <w:color w:val="000000"/>
          <w:spacing w:val="-2"/>
          <w:sz w:val="24"/>
        </w:rPr>
        <w:t>A</w:t>
      </w:r>
      <w:r>
        <w:rPr>
          <w:rFonts w:hint="eastAsia" w:eastAsia="方正仿宋_GBK"/>
          <w:color w:val="000000"/>
          <w:spacing w:val="-2"/>
          <w:sz w:val="24"/>
        </w:rPr>
        <w:t>：安装烟道：是</w:t>
      </w:r>
      <w:r>
        <w:rPr>
          <w:rFonts w:hint="eastAsia" w:ascii="Times New Roman" w:hAnsi="Times New Roman"/>
          <w:color w:val="000000"/>
          <w:spacing w:val="-2"/>
          <w:sz w:val="24"/>
        </w:rPr>
        <w:t>□</w:t>
      </w:r>
      <w:r>
        <w:rPr>
          <w:rFonts w:hint="eastAsia" w:eastAsia="方正仿宋_GBK"/>
          <w:color w:val="000000"/>
          <w:spacing w:val="-2"/>
          <w:sz w:val="24"/>
        </w:rPr>
        <w:t>，否</w:t>
      </w:r>
      <w:r>
        <w:rPr>
          <w:rFonts w:hint="eastAsia" w:ascii="Times New Roman" w:hAnsi="Times New Roman"/>
          <w:color w:val="000000"/>
          <w:spacing w:val="-2"/>
          <w:sz w:val="24"/>
        </w:rPr>
        <w:t>□</w:t>
      </w:r>
      <w:r>
        <w:rPr>
          <w:rFonts w:hint="eastAsia" w:eastAsia="方正仿宋_GBK"/>
          <w:color w:val="000000"/>
          <w:spacing w:val="-2"/>
          <w:sz w:val="24"/>
        </w:rPr>
        <w:t>；烟道出户：是</w:t>
      </w:r>
      <w:r>
        <w:rPr>
          <w:rFonts w:hint="eastAsia" w:ascii="Times New Roman" w:hAnsi="Times New Roman"/>
          <w:color w:val="000000"/>
          <w:spacing w:val="-2"/>
          <w:sz w:val="24"/>
        </w:rPr>
        <w:t>□</w:t>
      </w:r>
      <w:r>
        <w:rPr>
          <w:rFonts w:hint="eastAsia" w:eastAsia="方正仿宋_GBK"/>
          <w:color w:val="000000"/>
          <w:spacing w:val="-2"/>
          <w:sz w:val="24"/>
        </w:rPr>
        <w:t>，否</w:t>
      </w:r>
      <w:r>
        <w:rPr>
          <w:rFonts w:eastAsia="方正仿宋_GBK"/>
          <w:color w:val="000000"/>
          <w:spacing w:val="-2"/>
          <w:sz w:val="24"/>
        </w:rPr>
        <w:t>□</w:t>
      </w:r>
      <w:r>
        <w:rPr>
          <w:rFonts w:hint="eastAsia" w:eastAsia="方正仿宋_GBK"/>
          <w:color w:val="000000"/>
          <w:spacing w:val="-2"/>
          <w:sz w:val="24"/>
        </w:rPr>
        <w:t>；烟道管破损：是</w:t>
      </w:r>
      <w:r>
        <w:rPr>
          <w:rFonts w:hint="eastAsia" w:ascii="Times New Roman" w:hAnsi="Times New Roman"/>
          <w:color w:val="000000"/>
          <w:spacing w:val="-2"/>
          <w:sz w:val="24"/>
        </w:rPr>
        <w:t>□</w:t>
      </w:r>
      <w:r>
        <w:rPr>
          <w:rFonts w:hint="eastAsia" w:eastAsia="方正仿宋_GBK"/>
          <w:color w:val="000000"/>
          <w:spacing w:val="-2"/>
          <w:sz w:val="24"/>
        </w:rPr>
        <w:t>，否</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B</w:t>
      </w:r>
      <w:r>
        <w:rPr>
          <w:rFonts w:hint="eastAsia" w:eastAsia="方正仿宋_GBK"/>
          <w:color w:val="000000"/>
          <w:spacing w:val="-2"/>
          <w:sz w:val="24"/>
        </w:rPr>
        <w:t>：烟道连接端</w:t>
      </w:r>
      <w:r>
        <w:rPr>
          <w:rFonts w:hint="eastAsia" w:ascii="Times New Roman" w:hAnsi="Times New Roman"/>
          <w:color w:val="000000"/>
          <w:spacing w:val="-2"/>
          <w:sz w:val="24"/>
        </w:rPr>
        <w:t>口</w:t>
      </w:r>
      <w:r>
        <w:rPr>
          <w:rFonts w:hint="eastAsia" w:eastAsia="方正仿宋_GBK"/>
          <w:color w:val="000000"/>
          <w:spacing w:val="-2"/>
          <w:sz w:val="24"/>
        </w:rPr>
        <w:t>：热水器端完好：是</w:t>
      </w:r>
      <w:r>
        <w:rPr>
          <w:rFonts w:hint="eastAsia" w:ascii="Times New Roman" w:hAnsi="Times New Roman"/>
          <w:color w:val="000000"/>
          <w:spacing w:val="-2"/>
          <w:sz w:val="24"/>
        </w:rPr>
        <w:t>□</w:t>
      </w:r>
      <w:r>
        <w:rPr>
          <w:rFonts w:hint="eastAsia" w:eastAsia="方正仿宋_GBK"/>
          <w:color w:val="000000"/>
          <w:spacing w:val="-2"/>
          <w:sz w:val="24"/>
        </w:rPr>
        <w:t>，否</w:t>
      </w: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；室外端完好：是</w:t>
      </w:r>
      <w:r>
        <w:rPr>
          <w:rFonts w:hint="eastAsia" w:ascii="Times New Roman" w:hAnsi="Times New Roman"/>
          <w:color w:val="000000"/>
          <w:spacing w:val="-2"/>
          <w:sz w:val="24"/>
        </w:rPr>
        <w:t>□</w:t>
      </w:r>
      <w:r>
        <w:rPr>
          <w:rFonts w:hint="eastAsia" w:eastAsia="方正仿宋_GBK"/>
          <w:color w:val="000000"/>
          <w:spacing w:val="-2"/>
          <w:sz w:val="24"/>
        </w:rPr>
        <w:t>，否</w:t>
      </w:r>
      <w:r>
        <w:rPr>
          <w:rFonts w:hint="eastAsia" w:ascii="Times New Roman" w:hAnsi="Times New Roman"/>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C</w:t>
      </w:r>
      <w:r>
        <w:rPr>
          <w:rFonts w:hint="eastAsia" w:eastAsia="方正仿宋_GBK"/>
          <w:color w:val="000000"/>
          <w:spacing w:val="-2"/>
          <w:sz w:val="24"/>
        </w:rPr>
        <w:t>：排烟</w:t>
      </w:r>
      <w:r>
        <w:rPr>
          <w:rFonts w:hint="eastAsia" w:ascii="Times New Roman" w:hAnsi="Times New Roman"/>
          <w:color w:val="000000"/>
          <w:spacing w:val="-2"/>
          <w:sz w:val="24"/>
        </w:rPr>
        <w:t>口</w:t>
      </w:r>
      <w:r>
        <w:rPr>
          <w:rFonts w:hint="eastAsia" w:eastAsia="方正仿宋_GBK"/>
          <w:color w:val="000000"/>
          <w:spacing w:val="-2"/>
          <w:sz w:val="24"/>
        </w:rPr>
        <w:t>：室外</w:t>
      </w:r>
      <w:r>
        <w:rPr>
          <w:rFonts w:hint="eastAsia" w:ascii="Times New Roman" w:hAnsi="Times New Roman"/>
          <w:color w:val="000000"/>
          <w:spacing w:val="-2"/>
          <w:sz w:val="24"/>
        </w:rPr>
        <w:t>□</w:t>
      </w:r>
      <w:r>
        <w:rPr>
          <w:rFonts w:hint="eastAsia" w:eastAsia="方正仿宋_GBK"/>
          <w:color w:val="000000"/>
          <w:spacing w:val="-2"/>
          <w:sz w:val="24"/>
        </w:rPr>
        <w:t>；楼梯间</w:t>
      </w:r>
      <w:r>
        <w:rPr>
          <w:rFonts w:hint="eastAsia" w:ascii="Times New Roman" w:hAnsi="Times New Roman"/>
          <w:color w:val="000000"/>
          <w:spacing w:val="-2"/>
          <w:sz w:val="24"/>
        </w:rPr>
        <w:t>□</w:t>
      </w:r>
      <w:r>
        <w:rPr>
          <w:rFonts w:hint="eastAsia" w:eastAsia="方正仿宋_GBK"/>
          <w:color w:val="000000"/>
          <w:spacing w:val="-2"/>
          <w:sz w:val="24"/>
        </w:rPr>
        <w:t>；公共烟道</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、阀门及连接管道：</w:t>
      </w:r>
    </w:p>
    <w:p>
      <w:pPr>
        <w:spacing w:line="460" w:lineRule="exact"/>
        <w:ind w:firstLine="472" w:firstLineChars="200"/>
        <w:rPr>
          <w:rFonts w:eastAsia="方正仿宋_GBK"/>
          <w:color w:val="000000"/>
          <w:spacing w:val="-2"/>
          <w:sz w:val="24"/>
        </w:rPr>
      </w:pPr>
      <w:r>
        <w:rPr>
          <w:rFonts w:eastAsia="方正仿宋_GBK"/>
          <w:color w:val="000000"/>
          <w:spacing w:val="-2"/>
          <w:sz w:val="24"/>
        </w:rPr>
        <w:t>A</w:t>
      </w:r>
      <w:r>
        <w:rPr>
          <w:rFonts w:hint="eastAsia" w:eastAsia="方正仿宋_GBK"/>
          <w:color w:val="000000"/>
          <w:spacing w:val="-2"/>
          <w:sz w:val="24"/>
        </w:rPr>
        <w:t>：燃气专用阀：是</w:t>
      </w:r>
      <w:r>
        <w:rPr>
          <w:rFonts w:hint="eastAsia" w:ascii="Times New Roman" w:hAnsi="Times New Roman"/>
          <w:color w:val="000000"/>
          <w:spacing w:val="-2"/>
          <w:sz w:val="24"/>
        </w:rPr>
        <w:t>□</w:t>
      </w:r>
      <w:r>
        <w:rPr>
          <w:rFonts w:hint="eastAsia" w:eastAsia="方正仿宋_GBK"/>
          <w:color w:val="000000"/>
          <w:spacing w:val="-2"/>
          <w:sz w:val="24"/>
        </w:rPr>
        <w:t>，否</w:t>
      </w:r>
      <w:r>
        <w:rPr>
          <w:rFonts w:hint="eastAsia" w:ascii="Times New Roman" w:hAnsi="Times New Roman"/>
          <w:color w:val="000000"/>
          <w:spacing w:val="-2"/>
          <w:sz w:val="24"/>
        </w:rPr>
        <w:t>□</w:t>
      </w:r>
    </w:p>
    <w:p>
      <w:pPr>
        <w:spacing w:line="460" w:lineRule="exact"/>
        <w:ind w:firstLine="472" w:firstLineChars="200"/>
        <w:rPr>
          <w:rFonts w:eastAsia="方正仿宋_GBK"/>
          <w:color w:val="000000"/>
          <w:spacing w:val="-2"/>
          <w:sz w:val="24"/>
          <w:u w:val="single"/>
        </w:rPr>
      </w:pPr>
      <w:r>
        <w:rPr>
          <w:rFonts w:eastAsia="方正仿宋_GBK"/>
          <w:color w:val="000000"/>
          <w:spacing w:val="-2"/>
          <w:sz w:val="24"/>
        </w:rPr>
        <w:t>B</w:t>
      </w:r>
      <w:r>
        <w:rPr>
          <w:rFonts w:hint="eastAsia" w:eastAsia="方正仿宋_GBK"/>
          <w:color w:val="000000"/>
          <w:spacing w:val="-2"/>
          <w:sz w:val="24"/>
        </w:rPr>
        <w:t>：连接管道：不锈钢波纹管</w:t>
      </w:r>
      <w:r>
        <w:rPr>
          <w:rFonts w:hint="eastAsia" w:ascii="Times New Roman" w:hAnsi="Times New Roman"/>
          <w:color w:val="000000"/>
          <w:spacing w:val="-2"/>
          <w:sz w:val="24"/>
        </w:rPr>
        <w:t>□</w:t>
      </w:r>
      <w:r>
        <w:rPr>
          <w:rFonts w:hint="eastAsia" w:eastAsia="方正仿宋_GBK"/>
          <w:color w:val="000000"/>
          <w:spacing w:val="-2"/>
          <w:sz w:val="24"/>
        </w:rPr>
        <w:t>；铝塑管</w:t>
      </w:r>
      <w:r>
        <w:rPr>
          <w:rFonts w:hint="eastAsia" w:ascii="Times New Roman" w:hAnsi="Times New Roman"/>
          <w:color w:val="000000"/>
          <w:spacing w:val="-2"/>
          <w:sz w:val="24"/>
        </w:rPr>
        <w:t>□</w:t>
      </w:r>
      <w:r>
        <w:rPr>
          <w:rFonts w:hint="eastAsia" w:eastAsia="方正仿宋_GBK"/>
          <w:color w:val="000000"/>
          <w:spacing w:val="-2"/>
          <w:sz w:val="24"/>
        </w:rPr>
        <w:t>；胶管</w:t>
      </w:r>
      <w:r>
        <w:rPr>
          <w:rFonts w:hint="eastAsia" w:ascii="Times New Roman" w:hAnsi="Times New Roman"/>
          <w:color w:val="000000"/>
          <w:spacing w:val="-2"/>
          <w:sz w:val="24"/>
        </w:rPr>
        <w:t>□</w:t>
      </w:r>
      <w:r>
        <w:rPr>
          <w:rFonts w:hint="eastAsia" w:eastAsia="方正仿宋_GBK"/>
          <w:color w:val="000000"/>
          <w:spacing w:val="-2"/>
          <w:sz w:val="24"/>
        </w:rPr>
        <w:t>；镀锌管</w:t>
      </w:r>
      <w:r>
        <w:rPr>
          <w:rFonts w:hint="eastAsia" w:ascii="Times New Roman" w:hAnsi="Times New Roman"/>
          <w:color w:val="000000"/>
          <w:spacing w:val="-2"/>
          <w:sz w:val="24"/>
        </w:rPr>
        <w:t>□</w:t>
      </w:r>
      <w:r>
        <w:rPr>
          <w:rFonts w:hint="eastAsia" w:eastAsia="方正仿宋_GBK"/>
          <w:color w:val="000000"/>
          <w:spacing w:val="-2"/>
          <w:sz w:val="24"/>
        </w:rPr>
        <w:t>；燃气专用软管</w:t>
      </w:r>
      <w:r>
        <w:rPr>
          <w:rFonts w:hint="eastAsia" w:ascii="Times New Roman" w:hAnsi="Times New Roman"/>
          <w:color w:val="000000"/>
          <w:spacing w:val="-2"/>
          <w:sz w:val="24"/>
        </w:rPr>
        <w:t>□</w:t>
      </w:r>
      <w:r>
        <w:rPr>
          <w:rFonts w:hint="eastAsia" w:eastAsia="方正仿宋_GBK"/>
          <w:color w:val="000000"/>
          <w:spacing w:val="-2"/>
          <w:sz w:val="24"/>
        </w:rPr>
        <w:t>；其它</w:t>
      </w:r>
      <w:r>
        <w:rPr>
          <w:rFonts w:eastAsia="方正仿宋_GBK"/>
          <w:color w:val="000000"/>
          <w:spacing w:val="-2"/>
          <w:sz w:val="24"/>
          <w:u w:val="single"/>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C</w:t>
      </w:r>
      <w:r>
        <w:rPr>
          <w:rFonts w:hint="eastAsia" w:eastAsia="方正仿宋_GBK"/>
          <w:color w:val="000000"/>
          <w:spacing w:val="-2"/>
          <w:sz w:val="24"/>
        </w:rPr>
        <w:t>：胶管状况：良好</w:t>
      </w:r>
      <w:r>
        <w:rPr>
          <w:rFonts w:hint="eastAsia" w:ascii="Times New Roman" w:hAnsi="Times New Roman"/>
          <w:color w:val="000000"/>
          <w:spacing w:val="-2"/>
          <w:sz w:val="24"/>
        </w:rPr>
        <w:t>□</w:t>
      </w:r>
      <w:r>
        <w:rPr>
          <w:rFonts w:hint="eastAsia" w:eastAsia="方正仿宋_GBK"/>
          <w:color w:val="000000"/>
          <w:spacing w:val="-2"/>
          <w:sz w:val="24"/>
        </w:rPr>
        <w:t>；过长</w:t>
      </w:r>
      <w:r>
        <w:rPr>
          <w:rFonts w:hint="eastAsia" w:ascii="Times New Roman" w:hAnsi="Times New Roman"/>
          <w:color w:val="000000"/>
          <w:spacing w:val="-2"/>
          <w:sz w:val="24"/>
        </w:rPr>
        <w:t>□</w:t>
      </w:r>
      <w:r>
        <w:rPr>
          <w:rFonts w:hint="eastAsia" w:eastAsia="方正仿宋_GBK"/>
          <w:color w:val="000000"/>
          <w:spacing w:val="-2"/>
          <w:sz w:val="24"/>
        </w:rPr>
        <w:t>；老化</w:t>
      </w:r>
      <w:r>
        <w:rPr>
          <w:rFonts w:hint="eastAsia" w:ascii="Times New Roman" w:hAnsi="Times New Roman"/>
          <w:color w:val="000000"/>
          <w:spacing w:val="-2"/>
          <w:sz w:val="24"/>
        </w:rPr>
        <w:t>□</w:t>
      </w:r>
      <w:r>
        <w:rPr>
          <w:rFonts w:hint="eastAsia" w:eastAsia="方正仿宋_GBK"/>
          <w:color w:val="000000"/>
          <w:spacing w:val="-2"/>
          <w:sz w:val="24"/>
        </w:rPr>
        <w:t>；过期</w:t>
      </w:r>
      <w:r>
        <w:rPr>
          <w:rFonts w:hint="eastAsia" w:ascii="Times New Roman" w:hAnsi="Times New Roman"/>
          <w:color w:val="000000"/>
          <w:spacing w:val="-2"/>
          <w:sz w:val="24"/>
        </w:rPr>
        <w:t>□</w:t>
      </w:r>
      <w:r>
        <w:rPr>
          <w:rFonts w:hint="eastAsia" w:eastAsia="方正仿宋_GBK"/>
          <w:color w:val="000000"/>
          <w:spacing w:val="-2"/>
          <w:sz w:val="24"/>
        </w:rPr>
        <w:t>；暗设</w:t>
      </w:r>
      <w:r>
        <w:rPr>
          <w:rFonts w:hint="eastAsia" w:ascii="Times New Roman" w:hAnsi="Times New Roman"/>
          <w:color w:val="000000"/>
          <w:spacing w:val="-2"/>
          <w:sz w:val="24"/>
        </w:rPr>
        <w:t>□</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u w:val="single"/>
        </w:rPr>
      </w:pPr>
      <w:r>
        <w:rPr>
          <w:rFonts w:hint="eastAsia" w:eastAsia="方正仿宋_GBK"/>
          <w:color w:val="000000"/>
          <w:spacing w:val="-2"/>
          <w:sz w:val="24"/>
        </w:rPr>
        <w:t>燃气专用：是</w:t>
      </w:r>
      <w:r>
        <w:rPr>
          <w:rFonts w:eastAsia="方正仿宋_GBK"/>
          <w:color w:val="000000"/>
          <w:spacing w:val="-2"/>
          <w:sz w:val="24"/>
        </w:rPr>
        <w:t xml:space="preserve">□ </w:t>
      </w:r>
      <w:r>
        <w:rPr>
          <w:rFonts w:hint="eastAsia" w:eastAsia="方正仿宋_GBK"/>
          <w:color w:val="000000"/>
          <w:spacing w:val="-2"/>
          <w:sz w:val="24"/>
        </w:rPr>
        <w:t>，否</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胶管管夹：有</w:t>
      </w:r>
      <w:r>
        <w:rPr>
          <w:rFonts w:eastAsia="方正仿宋_GBK"/>
          <w:color w:val="000000"/>
          <w:spacing w:val="-2"/>
          <w:sz w:val="24"/>
        </w:rPr>
        <w:t>□</w:t>
      </w:r>
      <w:r>
        <w:rPr>
          <w:rFonts w:hint="eastAsia" w:eastAsia="方正仿宋_GBK"/>
          <w:color w:val="000000"/>
          <w:spacing w:val="-2"/>
          <w:sz w:val="24"/>
        </w:rPr>
        <w:t>，无</w:t>
      </w:r>
      <w:r>
        <w:rPr>
          <w:rFonts w:eastAsia="方正仿宋_GBK"/>
          <w:color w:val="000000"/>
          <w:spacing w:val="-2"/>
          <w:sz w:val="24"/>
        </w:rPr>
        <w:t xml:space="preserve">□         </w:t>
      </w:r>
    </w:p>
    <w:p>
      <w:pPr>
        <w:spacing w:line="460" w:lineRule="exact"/>
        <w:ind w:left="472"/>
        <w:rPr>
          <w:rFonts w:ascii="Times New Roman" w:eastAsia="方正黑体_GBK"/>
          <w:color w:val="000000"/>
          <w:spacing w:val="-2"/>
          <w:sz w:val="24"/>
        </w:rPr>
      </w:pPr>
      <w:r>
        <w:rPr>
          <w:rFonts w:hint="eastAsia" w:ascii="Times New Roman" w:eastAsia="方正黑体_GBK"/>
          <w:color w:val="000000"/>
          <w:spacing w:val="-2"/>
          <w:sz w:val="24"/>
        </w:rPr>
        <w:t>六、气密性</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燃气泄漏：无</w:t>
      </w:r>
      <w:r>
        <w:rPr>
          <w:rFonts w:hint="eastAsia" w:ascii="Times New Roman" w:hAnsi="Times New Roman"/>
          <w:color w:val="000000"/>
          <w:spacing w:val="-2"/>
          <w:sz w:val="24"/>
        </w:rPr>
        <w:t>□</w:t>
      </w:r>
      <w:r>
        <w:rPr>
          <w:rFonts w:hint="eastAsia" w:eastAsia="方正仿宋_GBK"/>
          <w:color w:val="000000"/>
          <w:spacing w:val="-2"/>
          <w:sz w:val="24"/>
        </w:rPr>
        <w:t>，有</w:t>
      </w:r>
      <w:r>
        <w:rPr>
          <w:rFonts w:hint="eastAsia" w:ascii="Times New Roman" w:hAnsi="Times New Roman"/>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泄漏部位：</w:t>
      </w:r>
      <w:r>
        <w:rPr>
          <w:rFonts w:eastAsia="方正仿宋_GBK"/>
          <w:color w:val="000000"/>
          <w:spacing w:val="-2"/>
          <w:sz w:val="24"/>
          <w:u w:val="single"/>
        </w:rPr>
        <w:t xml:space="preserve">       </w:t>
      </w:r>
      <w:r>
        <w:rPr>
          <w:rFonts w:eastAsia="方正仿宋_GBK"/>
          <w:color w:val="000000"/>
          <w:spacing w:val="-2"/>
          <w:sz w:val="24"/>
        </w:rPr>
        <w:t xml:space="preserve"> </w:t>
      </w:r>
    </w:p>
    <w:p>
      <w:pPr>
        <w:spacing w:line="460" w:lineRule="exact"/>
        <w:jc w:val="center"/>
        <w:rPr>
          <w:rFonts w:ascii="Times New Roman" w:eastAsia="方正小标宋简体"/>
          <w:color w:val="000000"/>
          <w:sz w:val="36"/>
          <w:szCs w:val="36"/>
        </w:rPr>
      </w:pPr>
    </w:p>
    <w:p>
      <w:pPr>
        <w:rPr>
          <w:rFonts w:hint="eastAsia"/>
        </w:rPr>
      </w:pPr>
    </w:p>
    <w:p>
      <w:pPr>
        <w:spacing w:line="460" w:lineRule="exact"/>
        <w:rPr>
          <w:rFonts w:ascii="Times New Roman" w:eastAsia="方正小标宋简体"/>
          <w:color w:val="000000"/>
          <w:sz w:val="36"/>
          <w:szCs w:val="36"/>
        </w:rPr>
      </w:pPr>
    </w:p>
    <w:p>
      <w:pPr>
        <w:rPr>
          <w:rFonts w:hint="eastAsia"/>
        </w:rPr>
      </w:pPr>
    </w:p>
    <w:p/>
    <w:p>
      <w:pPr>
        <w:pStyle w:val="2"/>
        <w:spacing w:before="240" w:beforeLines="100" w:after="240" w:afterLines="100" w:line="240" w:lineRule="auto"/>
        <w:jc w:val="center"/>
        <w:rPr>
          <w:rFonts w:ascii="Times New Roman" w:eastAsia="方正小标宋_GBK"/>
          <w:b w:val="0"/>
          <w:sz w:val="36"/>
          <w:szCs w:val="36"/>
        </w:rPr>
      </w:pPr>
      <w:bookmarkStart w:id="110" w:name="_Toc20726340"/>
      <w:bookmarkStart w:id="111" w:name="_Toc18315421"/>
      <w:r>
        <w:rPr>
          <w:rFonts w:hint="eastAsia" w:ascii="Times New Roman" w:eastAsia="方正小标宋_GBK"/>
          <w:b w:val="0"/>
          <w:sz w:val="36"/>
          <w:szCs w:val="36"/>
        </w:rPr>
        <w:t>关于切实做好应急备用水源工程建设和管理的通知</w:t>
      </w:r>
      <w:bookmarkEnd w:id="110"/>
      <w:bookmarkEnd w:id="11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12" w:name="_Toc20726341"/>
      <w:bookmarkStart w:id="113" w:name="_Toc18315422"/>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2011</w:t>
      </w:r>
      <w:r>
        <w:rPr>
          <w:rFonts w:hint="eastAsia" w:ascii="Times New Roman" w:hAnsi="Times New Roman" w:eastAsia="方正楷体_GBK"/>
          <w:b w:val="0"/>
          <w:sz w:val="24"/>
          <w:szCs w:val="24"/>
        </w:rPr>
        <w:t>〕</w:t>
      </w:r>
      <w:r>
        <w:rPr>
          <w:rFonts w:ascii="Times New Roman" w:hAnsi="Times New Roman" w:eastAsia="方正楷体_GBK"/>
          <w:b w:val="0"/>
          <w:sz w:val="24"/>
          <w:szCs w:val="24"/>
        </w:rPr>
        <w:t>254</w:t>
      </w:r>
      <w:r>
        <w:rPr>
          <w:rFonts w:hint="eastAsia" w:ascii="Times New Roman" w:hAnsi="Times New Roman" w:eastAsia="方正楷体_GBK"/>
          <w:b w:val="0"/>
          <w:sz w:val="24"/>
          <w:szCs w:val="24"/>
        </w:rPr>
        <w:t>号</w:t>
      </w:r>
      <w:bookmarkEnd w:id="112"/>
      <w:bookmarkEnd w:id="113"/>
    </w:p>
    <w:p>
      <w:pPr>
        <w:spacing w:line="420" w:lineRule="exact"/>
        <w:rPr>
          <w:rFonts w:eastAsia="方正仿宋_GBK"/>
          <w:color w:val="000000"/>
          <w:spacing w:val="-2"/>
          <w:kern w:val="0"/>
          <w:sz w:val="24"/>
        </w:rPr>
      </w:pPr>
      <w:r>
        <w:rPr>
          <w:rFonts w:hint="eastAsia" w:eastAsia="方正仿宋_GBK"/>
          <w:color w:val="000000"/>
          <w:spacing w:val="-2"/>
          <w:kern w:val="0"/>
          <w:sz w:val="24"/>
        </w:rPr>
        <w:t>各市建设局（建委），无锡市市政和园林局，徐州、苏州、宿迁市水务局：</w:t>
      </w:r>
    </w:p>
    <w:p>
      <w:pPr>
        <w:spacing w:line="42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为贯彻落实《江苏省城乡供水管理条例》和《省人大常委会关于加强饮用水源地保护的决定》要求，从根本上解决饮用水安全问题，现就做好第二水源、应急备用水源工程建设和管理工作提出以下意见。</w:t>
      </w:r>
    </w:p>
    <w:p>
      <w:pPr>
        <w:spacing w:line="42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一、充分认识应急备用水源建设的重要性和紧迫性</w:t>
      </w:r>
    </w:p>
    <w:p>
      <w:pPr>
        <w:spacing w:line="420" w:lineRule="exact"/>
        <w:ind w:firstLine="472" w:firstLineChars="200"/>
        <w:rPr>
          <w:rFonts w:hint="eastAsia" w:eastAsia="方正仿宋_GBK"/>
          <w:color w:val="000000"/>
          <w:spacing w:val="-2"/>
          <w:kern w:val="0"/>
          <w:sz w:val="24"/>
        </w:rPr>
      </w:pPr>
      <w:r>
        <w:rPr>
          <w:rFonts w:hint="eastAsia" w:eastAsia="方正仿宋_GBK"/>
          <w:color w:val="000000"/>
          <w:spacing w:val="-2"/>
          <w:sz w:val="24"/>
        </w:rPr>
        <w:t>我省地处长江、淮河两大江河流域下游，受上游污染以及本地污染的影响，境内地表水不同程度受到污染，地表供水水源的不稳定性、脆弱性，是城乡安全供水的潜在隐患和威胁。特别是</w:t>
      </w:r>
      <w:r>
        <w:rPr>
          <w:rFonts w:eastAsia="方正仿宋_GBK"/>
          <w:color w:val="000000"/>
          <w:spacing w:val="-2"/>
          <w:sz w:val="24"/>
        </w:rPr>
        <w:t>2007</w:t>
      </w:r>
      <w:r>
        <w:rPr>
          <w:rFonts w:hint="eastAsia" w:eastAsia="方正仿宋_GBK"/>
          <w:color w:val="000000"/>
          <w:spacing w:val="-2"/>
          <w:sz w:val="24"/>
        </w:rPr>
        <w:t>年太湖蓝藻爆发引起无锡水污染事件后，又接连发生了沭阳、盐城等突发性水源地污染事件，给全省城市供水安全敲响了警钟。建设第二水源或者应急水源工程，是解决饮用水源地突发水污染事件的根本措施，在区域供水不断推进的形势下更显迫切和重要。为此，</w:t>
      </w:r>
      <w:r>
        <w:rPr>
          <w:rFonts w:hint="eastAsia" w:eastAsia="方正仿宋_GBK"/>
          <w:color w:val="000000"/>
          <w:spacing w:val="-2"/>
          <w:kern w:val="0"/>
          <w:sz w:val="24"/>
        </w:rPr>
        <w:t>《江苏省城乡供水管理条例》和《省人大常委会关于加强饮用水源地保护的决定》都明确提出</w:t>
      </w:r>
      <w:r>
        <w:rPr>
          <w:rFonts w:eastAsia="方正仿宋_GBK"/>
          <w:color w:val="000000"/>
          <w:spacing w:val="-2"/>
          <w:kern w:val="0"/>
          <w:sz w:val="24"/>
        </w:rPr>
        <w:t>“</w:t>
      </w:r>
      <w:r>
        <w:rPr>
          <w:rFonts w:hint="eastAsia" w:eastAsia="方正仿宋_GBK"/>
          <w:color w:val="000000"/>
          <w:spacing w:val="-2"/>
          <w:kern w:val="0"/>
          <w:sz w:val="24"/>
        </w:rPr>
        <w:t>有水源条件的地区应当建设两个以上相对独立控制取水的饮用水源地；不具备双水源条件的地区，应当依法建设地下水或者与相邻地区联网供水等应急供水水源</w:t>
      </w:r>
      <w:r>
        <w:rPr>
          <w:rFonts w:eastAsia="方正仿宋_GBK"/>
          <w:color w:val="000000"/>
          <w:spacing w:val="-2"/>
          <w:kern w:val="0"/>
          <w:sz w:val="24"/>
        </w:rPr>
        <w:t>”</w:t>
      </w:r>
      <w:r>
        <w:rPr>
          <w:rFonts w:hint="eastAsia" w:eastAsia="方正仿宋_GBK"/>
          <w:color w:val="000000"/>
          <w:spacing w:val="-2"/>
          <w:kern w:val="0"/>
          <w:sz w:val="24"/>
        </w:rPr>
        <w:t>。江苏虽然水网密布，但是水系相对单一，城市附近可用水源地已经开发完毕，且随着区域供水的实施，供水覆盖面进一步扩大，特别是长江沿线城市，供水水量大，服务范围广，对第二水源、应急备用水源工程建设的要求也越来越高。各地城市供水主管部门要以贯彻落实《条例》为契机，切实增强对第二水源、应急水源建设工作重要性和紧迫性的认识，积极组织开展第二水源、应急备用水源的规划和建设，从根本上保障本地区城乡居民饮水安全。</w:t>
      </w:r>
    </w:p>
    <w:p>
      <w:pPr>
        <w:spacing w:line="42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二、因地制宜开展应急备用水源工程的规划和建设</w:t>
      </w:r>
    </w:p>
    <w:p>
      <w:pPr>
        <w:spacing w:line="42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各地要根据当地水资源特点，从技术经济分析出发，因地制宜提出应急备用水源的规划和建设方案，并按照规定做好水源地环境影响评价、可行性研究报告的前期论证工作，确保应急备用水源工程项目的科学性、安全性。在第二水源、应急备用水源工程规划和建设过程中，必须坚持以下原则：一是原水水质安全。水质达标是作为应急备用水源的前提条件。原水水质要在现有净水处理工艺的基础上能够保证出厂水水质稳定达标。因此，原水水质必须基本满足《地表水环境质量标准》</w:t>
      </w:r>
      <w:r>
        <w:rPr>
          <w:rFonts w:eastAsia="方正仿宋_GBK"/>
          <w:color w:val="000000"/>
          <w:spacing w:val="-2"/>
          <w:kern w:val="0"/>
          <w:sz w:val="24"/>
        </w:rPr>
        <w:fldChar w:fldCharType="begin"/>
      </w:r>
      <w:r>
        <w:rPr>
          <w:rFonts w:eastAsia="方正仿宋_GBK"/>
          <w:color w:val="000000"/>
          <w:spacing w:val="-2"/>
          <w:kern w:val="0"/>
          <w:sz w:val="24"/>
        </w:rPr>
        <w:instrText xml:space="preserve"> = 3 \* ROMAN </w:instrText>
      </w:r>
      <w:r>
        <w:rPr>
          <w:rFonts w:eastAsia="方正仿宋_GBK"/>
          <w:color w:val="000000"/>
          <w:spacing w:val="-2"/>
          <w:kern w:val="0"/>
          <w:sz w:val="24"/>
        </w:rPr>
        <w:fldChar w:fldCharType="separate"/>
      </w:r>
      <w:r>
        <w:rPr>
          <w:rFonts w:eastAsia="方正仿宋_GBK"/>
          <w:color w:val="000000"/>
          <w:spacing w:val="-2"/>
          <w:kern w:val="0"/>
          <w:sz w:val="24"/>
        </w:rPr>
        <w:t>III</w:t>
      </w:r>
      <w:r>
        <w:rPr>
          <w:rFonts w:eastAsia="方正仿宋_GBK"/>
          <w:color w:val="000000"/>
          <w:spacing w:val="-2"/>
          <w:kern w:val="0"/>
          <w:sz w:val="24"/>
        </w:rPr>
        <w:fldChar w:fldCharType="end"/>
      </w:r>
      <w:r>
        <w:rPr>
          <w:rFonts w:hint="eastAsia" w:eastAsia="方正仿宋_GBK"/>
          <w:color w:val="000000"/>
          <w:spacing w:val="-2"/>
          <w:kern w:val="0"/>
          <w:sz w:val="24"/>
        </w:rPr>
        <w:t>类以上标准。二是水源水量有保证。没有充足的水量，不能保证供水安全。因此，在选择应急备用水源时，必须充分论证水量的保证率，要从最低限度满足城乡居民饮用水和重点用户的用水量以及持续取水的时间等因素，规划和建设城市应急备用水源工程。三是供水方式可行。当选择地下水作为应急备用水源时，在水质、水量都能保证的前提下，应充分考虑与城市供水管网并网供水的可行性，尽最大可能方便用户。四是尽可能做到平战结合。第二水源、应急备用水源工程建设投入大，使用机率小，保护要求高，各地要尽可能结合当地生态环境工程项目开展应急备用水源工程的建设，充分发挥投资效益和环境效益。</w:t>
      </w:r>
    </w:p>
    <w:p>
      <w:pPr>
        <w:spacing w:line="42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三、切实加快应急备用水源工程的建设</w:t>
      </w:r>
    </w:p>
    <w:p>
      <w:pPr>
        <w:spacing w:line="42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对当前已经确定第二水源、应急备用水源建设方案的城市，各地要加紧做好项目的前期准备工作，加大投入，加快建设步伐，力争在</w:t>
      </w:r>
      <w:r>
        <w:rPr>
          <w:rFonts w:eastAsia="方正仿宋_GBK"/>
          <w:color w:val="000000"/>
          <w:spacing w:val="-2"/>
          <w:kern w:val="0"/>
          <w:sz w:val="24"/>
        </w:rPr>
        <w:t>2011</w:t>
      </w:r>
      <w:r>
        <w:rPr>
          <w:rFonts w:hint="eastAsia" w:eastAsia="方正仿宋_GBK"/>
          <w:color w:val="000000"/>
          <w:spacing w:val="-2"/>
          <w:kern w:val="0"/>
          <w:sz w:val="24"/>
        </w:rPr>
        <w:t>年底前完成建设任务；当前尚未确定第二水源、应急备用水源建设方案的城市，要按照第二水源、应急备用水源工程规划和建设的原则，加快应急备用水源的选址，并加紧做好项目的前期准备工作，力争在</w:t>
      </w:r>
      <w:r>
        <w:rPr>
          <w:rFonts w:eastAsia="方正仿宋_GBK"/>
          <w:color w:val="000000"/>
          <w:spacing w:val="-2"/>
          <w:kern w:val="0"/>
          <w:sz w:val="24"/>
        </w:rPr>
        <w:t>2012</w:t>
      </w:r>
      <w:r>
        <w:rPr>
          <w:rFonts w:hint="eastAsia" w:eastAsia="方正仿宋_GBK"/>
          <w:color w:val="000000"/>
          <w:spacing w:val="-2"/>
          <w:kern w:val="0"/>
          <w:sz w:val="24"/>
        </w:rPr>
        <w:t>年底前全面建成应急备用水源，实现全省应急备用水源全覆盖。</w:t>
      </w:r>
    </w:p>
    <w:p>
      <w:pPr>
        <w:spacing w:line="42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在工程建设中，各地要严格落实项目基建程序，特别是做好第二水源、应急备用水源的环境影响评价和可行性研究报告等前期工作，确保项目建设科学；加强工程质量管理，严格实行招投标制度，确保工程质量安全；做好项目建成后的调试运行工作，确保工程正常投运。</w:t>
      </w:r>
    </w:p>
    <w:p>
      <w:pPr>
        <w:spacing w:line="42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四、加强对应急备用水源工程的管理</w:t>
      </w:r>
    </w:p>
    <w:p>
      <w:pPr>
        <w:spacing w:line="42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第二水源、应急备用水源工程是城市饮用水安全的根本保障，各地要切实加强对已建第二水源、应急备用水源工程的维护和管理，确保随时能够安全使用：一是要按照集中式饮用水源地保护的要求，落实保护措施，切实加强对第二水源、应急备用水源地的保护；二是要加强对输水管道、设备、设施的维护保养和运行管理，定期开机运行演练，确保需要时能安全启用运行；三是按照国家和省确定的水质检测要求，定期开展原水水质检测工作，研究制定处理工艺参数，确保应急时能够安全并网供水。</w:t>
      </w:r>
    </w:p>
    <w:p>
      <w:pPr>
        <w:spacing w:line="42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第二水源、应急备用水源工程事关我省城市供水安全，是城市饮用水安全的根本保障，各地、各部门要从贯彻落实《条例》的要求和省委省政府的工作部署出发，积极做好应急备用水源工程的建设和管理各项工作，确保全省城市饮用水安全。</w:t>
      </w:r>
    </w:p>
    <w:p>
      <w:pPr>
        <w:spacing w:line="42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各地贯彻落实情况请报告我厅。</w:t>
      </w:r>
    </w:p>
    <w:p>
      <w:pPr>
        <w:tabs>
          <w:tab w:val="left" w:pos="5668"/>
          <w:tab w:val="right" w:pos="8306"/>
        </w:tabs>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ab/>
      </w:r>
      <w:r>
        <w:rPr>
          <w:rFonts w:hint="eastAsia" w:eastAsia="方正仿宋_GBK"/>
          <w:color w:val="000000"/>
          <w:spacing w:val="-2"/>
          <w:kern w:val="0"/>
          <w:sz w:val="24"/>
        </w:rPr>
        <w:t>江苏省住房和城乡建设厅</w:t>
      </w:r>
      <w:r>
        <w:rPr>
          <w:rFonts w:eastAsia="方正仿宋_GBK"/>
          <w:color w:val="000000"/>
          <w:spacing w:val="-2"/>
          <w:kern w:val="0"/>
          <w:sz w:val="24"/>
        </w:rPr>
        <w:t xml:space="preserve">   </w:t>
      </w:r>
    </w:p>
    <w:p>
      <w:pPr>
        <w:tabs>
          <w:tab w:val="left" w:pos="3268"/>
          <w:tab w:val="right" w:pos="8306"/>
        </w:tabs>
        <w:spacing w:line="420" w:lineRule="exact"/>
        <w:ind w:firstLine="5782" w:firstLineChars="2450"/>
        <w:rPr>
          <w:rFonts w:eastAsia="方正仿宋_GBK"/>
          <w:color w:val="000000"/>
          <w:spacing w:val="-2"/>
          <w:kern w:val="0"/>
          <w:sz w:val="24"/>
        </w:rPr>
      </w:pPr>
      <w:r>
        <w:rPr>
          <w:rFonts w:hint="eastAsia" w:eastAsia="方正仿宋_GBK"/>
          <w:color w:val="000000"/>
          <w:spacing w:val="-2"/>
          <w:kern w:val="0"/>
          <w:sz w:val="24"/>
        </w:rPr>
        <w:t>二</w:t>
      </w:r>
      <w:r>
        <w:rPr>
          <w:rFonts w:hint="eastAsia" w:eastAsia="方正仿宋_GBK"/>
          <w:color w:val="000000"/>
          <w:spacing w:val="-2"/>
          <w:sz w:val="24"/>
        </w:rPr>
        <w:t>○</w:t>
      </w:r>
      <w:r>
        <w:rPr>
          <w:rFonts w:hint="eastAsia" w:eastAsia="方正仿宋_GBK"/>
          <w:color w:val="000000"/>
          <w:spacing w:val="-2"/>
          <w:kern w:val="0"/>
          <w:sz w:val="24"/>
        </w:rPr>
        <w:t>一一年四月十三日</w:t>
      </w:r>
      <w:r>
        <w:rPr>
          <w:rFonts w:eastAsia="方正仿宋_GBK"/>
          <w:color w:val="000000"/>
          <w:spacing w:val="-2"/>
          <w:kern w:val="0"/>
          <w:sz w:val="24"/>
        </w:rPr>
        <w:t xml:space="preserve">    </w:t>
      </w:r>
    </w:p>
    <w:p>
      <w:pPr>
        <w:pStyle w:val="2"/>
        <w:spacing w:before="240" w:beforeLines="100" w:after="240" w:afterLines="100" w:line="240" w:lineRule="auto"/>
        <w:jc w:val="center"/>
        <w:rPr>
          <w:rFonts w:ascii="Times New Roman" w:eastAsia="方正小标宋_GBK"/>
          <w:b w:val="0"/>
          <w:sz w:val="36"/>
          <w:szCs w:val="36"/>
        </w:rPr>
      </w:pPr>
      <w:bookmarkStart w:id="114" w:name="_Toc20726342"/>
      <w:r>
        <w:rPr>
          <w:rFonts w:hint="eastAsia" w:ascii="Times New Roman" w:eastAsia="方正小标宋_GBK"/>
          <w:b w:val="0"/>
          <w:sz w:val="36"/>
          <w:szCs w:val="36"/>
        </w:rPr>
        <w:t>关于进一步加强城乡供水工作确保安全度夏的通知</w:t>
      </w:r>
      <w:bookmarkEnd w:id="114"/>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15" w:name="_Toc20726343"/>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2011</w:t>
      </w:r>
      <w:r>
        <w:rPr>
          <w:rFonts w:hint="eastAsia" w:ascii="Times New Roman" w:hAnsi="Times New Roman" w:eastAsia="方正楷体_GBK"/>
          <w:b w:val="0"/>
          <w:sz w:val="24"/>
          <w:szCs w:val="24"/>
        </w:rPr>
        <w:t>〕</w:t>
      </w:r>
      <w:r>
        <w:rPr>
          <w:rFonts w:ascii="Times New Roman" w:hAnsi="Times New Roman" w:eastAsia="方正楷体_GBK"/>
          <w:b w:val="0"/>
          <w:sz w:val="24"/>
          <w:szCs w:val="24"/>
        </w:rPr>
        <w:t>297</w:t>
      </w:r>
      <w:r>
        <w:rPr>
          <w:rFonts w:hint="eastAsia" w:ascii="Times New Roman" w:hAnsi="Times New Roman" w:eastAsia="方正楷体_GBK"/>
          <w:b w:val="0"/>
          <w:sz w:val="24"/>
          <w:szCs w:val="24"/>
        </w:rPr>
        <w:t>号</w:t>
      </w:r>
      <w:bookmarkEnd w:id="115"/>
    </w:p>
    <w:p>
      <w:pPr>
        <w:spacing w:line="460" w:lineRule="exact"/>
        <w:rPr>
          <w:rFonts w:eastAsia="方正仿宋_GBK"/>
          <w:color w:val="000000"/>
          <w:spacing w:val="-2"/>
          <w:sz w:val="24"/>
        </w:rPr>
      </w:pPr>
      <w:r>
        <w:rPr>
          <w:rFonts w:hint="eastAsia" w:eastAsia="方正仿宋_GBK"/>
          <w:color w:val="000000"/>
          <w:spacing w:val="-2"/>
          <w:sz w:val="24"/>
        </w:rPr>
        <w:t>各市、县建设局（委）、水务局、市政园林（公用）局：</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今年以来，降雨量较常年锐减，河湖水位偏低，太湖水位持续下降，随着气温抬升，形成了有利蓝藻暴发的条件，少数水库水资源接近枯竭，对城乡供水安全构成了较大威胁。为进一步加强城乡供水工作，确保安全度夏，现就有关事项通知如下：</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一、充分认识做好当前城乡供水安全保障工作的重要性和紧迫性</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我省地处长江、淮河下游，城市集中式饮用水源地原水水质容易遭受上游客水、汛期面源污染和突发事件水污染的影响，供水水源总体较弱。特别是今年以来各地普遍降雨较少，湖库水位下降。根据气象预测，今年我省苏南地区梅雨偏少，夏季气温将偏高，淮河流域面临首汛水污染问题。此外，我省部分市县供水设施老化，技术管理和水质检测能力薄弱，部分城市应急备用水源尚未建成，城乡饮用水安全保供工作形势不容乐观。各地要充分认识到保障饮用水安全工作的长期性、艰巨性、复杂性和紧迫性，从执政为民和维护社会稳定的高度，把供水安全保障工作作为重中之重，切实加强组织领导，全面落实饮用水安全保障各项措施，完善应急机制，确保供水安全保障各项工作落到实处，实现城乡居民饮水安全度夏。</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二、完善并落实城乡供水安全保障各项工作措施</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城乡供水安全保障工作涉及水源、水厂、输配水管网和二次供水等各个环节，各地要强化措施，建立供水安全目标责任制，切实加强从源头到龙头的全过程水质管理，全面保障城乡饮用水安全。</w:t>
      </w:r>
    </w:p>
    <w:p>
      <w:pPr>
        <w:spacing w:line="460" w:lineRule="exact"/>
        <w:ind w:firstLine="472" w:firstLineChars="200"/>
        <w:rPr>
          <w:rFonts w:eastAsia="方正仿宋_GBK"/>
          <w:color w:val="000000"/>
          <w:spacing w:val="-2"/>
          <w:sz w:val="24"/>
        </w:rPr>
      </w:pPr>
      <w:r>
        <w:rPr>
          <w:rFonts w:eastAsia="方正楷体_GBK"/>
          <w:color w:val="000000"/>
          <w:spacing w:val="-2"/>
          <w:sz w:val="24"/>
        </w:rPr>
        <w:t>1</w:t>
      </w:r>
      <w:r>
        <w:rPr>
          <w:rFonts w:hint="eastAsia" w:eastAsia="方正楷体_GBK"/>
          <w:color w:val="000000"/>
          <w:spacing w:val="-2"/>
          <w:sz w:val="24"/>
        </w:rPr>
        <w:t>、做好水源地安全隐患排查整改工作。</w:t>
      </w:r>
      <w:r>
        <w:rPr>
          <w:rFonts w:hint="eastAsia" w:eastAsia="方正仿宋_GBK"/>
          <w:color w:val="000000"/>
          <w:spacing w:val="-2"/>
          <w:sz w:val="24"/>
        </w:rPr>
        <w:t>按照</w:t>
      </w:r>
      <w:r>
        <w:rPr>
          <w:rFonts w:eastAsia="方正仿宋_GBK"/>
          <w:color w:val="000000"/>
          <w:spacing w:val="-2"/>
          <w:sz w:val="24"/>
        </w:rPr>
        <w:t>“</w:t>
      </w:r>
      <w:r>
        <w:rPr>
          <w:rFonts w:hint="eastAsia" w:eastAsia="方正仿宋_GBK"/>
          <w:color w:val="000000"/>
          <w:spacing w:val="-2"/>
          <w:sz w:val="24"/>
        </w:rPr>
        <w:t>谁管理、谁负责</w:t>
      </w:r>
      <w:r>
        <w:rPr>
          <w:rFonts w:eastAsia="方正仿宋_GBK"/>
          <w:color w:val="000000"/>
          <w:spacing w:val="-2"/>
          <w:sz w:val="24"/>
        </w:rPr>
        <w:t>”</w:t>
      </w:r>
      <w:r>
        <w:rPr>
          <w:rFonts w:hint="eastAsia" w:eastAsia="方正仿宋_GBK"/>
          <w:color w:val="000000"/>
          <w:spacing w:val="-2"/>
          <w:sz w:val="24"/>
        </w:rPr>
        <w:t>的原则，对城市供水水源存在的安全隐患进行排查和整改。各级城市供水主管部门要抓紧会同环保、水利、海事等有关部门和供水企业对城市供水水源地保护区内外污染源情况开展详细的调查，摸清城市供水水源汇水区、引水沟（渠）、水库（井）等周边范围内的工业、生活、农业、禽畜养殖等污染源，对各类排污口和排放的主要污染物登记造册，全面掌握污染隐患情况。对于严重威胁供水安全的污染源，要立即整改到位；对于暂时没有条件整改的污染源，要落实好防控预案。</w:t>
      </w:r>
    </w:p>
    <w:p>
      <w:pPr>
        <w:spacing w:line="460" w:lineRule="exact"/>
        <w:ind w:firstLine="472" w:firstLineChars="200"/>
        <w:rPr>
          <w:rFonts w:eastAsia="方正仿宋_GBK"/>
          <w:color w:val="000000"/>
          <w:spacing w:val="-2"/>
          <w:sz w:val="24"/>
        </w:rPr>
      </w:pPr>
      <w:r>
        <w:rPr>
          <w:rFonts w:eastAsia="方正楷体_GBK"/>
          <w:color w:val="000000"/>
          <w:spacing w:val="-2"/>
          <w:sz w:val="24"/>
        </w:rPr>
        <w:t>2</w:t>
      </w:r>
      <w:r>
        <w:rPr>
          <w:rFonts w:hint="eastAsia" w:eastAsia="方正楷体_GBK"/>
          <w:color w:val="000000"/>
          <w:spacing w:val="-2"/>
          <w:sz w:val="24"/>
        </w:rPr>
        <w:t>、加快推进应急备用水源建设和深度处理工作。</w:t>
      </w:r>
      <w:r>
        <w:rPr>
          <w:rFonts w:hint="eastAsia" w:eastAsia="方正仿宋_GBK"/>
          <w:color w:val="000000"/>
          <w:spacing w:val="-2"/>
          <w:sz w:val="24"/>
        </w:rPr>
        <w:t>认真贯彻《江苏省城乡供水管理条例》，加快应急备用水源建设，对具备不同水系、有条件建设多水源的城市，必须在今年内建成应急备用水源并建设必要的取水、净水设施和输水管道，实现净水厂之间的原水互供；对受当地水源条件限制不具备建设应急水源的城市，按满足居民和重要用水户生活用水量的需求，通过相邻城市的清水管网联通或开采深井水等方式，来保证居民饮用水安全需要。同时，各地要对照实施《生活饮用水卫生标准》要求，对现有水处理工艺、设施处理能力和输配水管网进行评估，特别是太湖流域以湖泊和水库为水源地，以及苏中里下河地区、苏北地区以内河水为水源地的城市，必须全面开展自来水深度处理工艺改造和处理能力建设，提高和保证供水水质。</w:t>
      </w:r>
    </w:p>
    <w:p>
      <w:pPr>
        <w:spacing w:line="460" w:lineRule="exact"/>
        <w:ind w:firstLine="472" w:firstLineChars="200"/>
        <w:rPr>
          <w:rFonts w:eastAsia="方正仿宋_GBK"/>
          <w:color w:val="000000"/>
          <w:spacing w:val="-2"/>
          <w:sz w:val="24"/>
        </w:rPr>
      </w:pPr>
      <w:r>
        <w:rPr>
          <w:rFonts w:eastAsia="方正楷体_GBK"/>
          <w:color w:val="000000"/>
          <w:spacing w:val="-2"/>
          <w:sz w:val="24"/>
        </w:rPr>
        <w:t>3</w:t>
      </w:r>
      <w:r>
        <w:rPr>
          <w:rFonts w:hint="eastAsia" w:eastAsia="方正楷体_GBK"/>
          <w:color w:val="000000"/>
          <w:spacing w:val="-2"/>
          <w:sz w:val="24"/>
        </w:rPr>
        <w:t>、强化城市供水水质检测工作。</w:t>
      </w:r>
      <w:r>
        <w:rPr>
          <w:rFonts w:hint="eastAsia" w:eastAsia="方正仿宋_GBK"/>
          <w:color w:val="000000"/>
          <w:spacing w:val="-2"/>
          <w:sz w:val="24"/>
        </w:rPr>
        <w:t>各地要按照《生活饮用水卫生标准》要求，对照《江苏省城市供水企业水质检测实验室等级能力建设指导手册》要求，加强水质检测能力建设，全力做好水质检测工作，掌握原水水质及其变化情况，及时调整处理工艺和参数，确保出厂水水质达标，今年年底前全面完成与供水规模相适应的水质等级化验室建设。各地要督促供水企业严格按照《关于进一步加强城市供水水质检测确保城市安全供水的通知》（苏建函城〔</w:t>
      </w:r>
      <w:r>
        <w:rPr>
          <w:rFonts w:eastAsia="方正仿宋_GBK"/>
          <w:color w:val="000000"/>
          <w:spacing w:val="-2"/>
          <w:sz w:val="24"/>
        </w:rPr>
        <w:t>2009</w:t>
      </w:r>
      <w:r>
        <w:rPr>
          <w:rFonts w:hint="eastAsia" w:eastAsia="方正仿宋_GBK"/>
          <w:color w:val="000000"/>
          <w:spacing w:val="-2"/>
          <w:sz w:val="24"/>
        </w:rPr>
        <w:t>〕</w:t>
      </w:r>
      <w:r>
        <w:rPr>
          <w:rFonts w:eastAsia="方正仿宋_GBK"/>
          <w:color w:val="000000"/>
          <w:spacing w:val="-2"/>
          <w:sz w:val="24"/>
        </w:rPr>
        <w:t>139</w:t>
      </w:r>
      <w:r>
        <w:rPr>
          <w:rFonts w:hint="eastAsia" w:eastAsia="方正仿宋_GBK"/>
          <w:color w:val="000000"/>
          <w:spacing w:val="-2"/>
          <w:sz w:val="24"/>
        </w:rPr>
        <w:t>号）文件要求，对原水、沉淀水、滤后水、清水库、出厂水工艺流程的嗅和味、</w:t>
      </w:r>
      <w:r>
        <w:rPr>
          <w:rFonts w:eastAsia="方正仿宋_GBK"/>
          <w:color w:val="000000"/>
          <w:spacing w:val="-2"/>
          <w:sz w:val="24"/>
        </w:rPr>
        <w:t>pH</w:t>
      </w:r>
      <w:r>
        <w:rPr>
          <w:rFonts w:hint="eastAsia" w:eastAsia="方正仿宋_GBK"/>
          <w:color w:val="000000"/>
          <w:spacing w:val="-2"/>
          <w:sz w:val="24"/>
        </w:rPr>
        <w:t>、浊度、余氯、高锰酸盐指数等主要水质指标进行全流程、高频次监测，做到及时发现水质异常，及时做好应急处理工作，确保</w:t>
      </w:r>
      <w:r>
        <w:rPr>
          <w:rFonts w:eastAsia="方正仿宋_GBK"/>
          <w:color w:val="000000"/>
          <w:spacing w:val="-2"/>
          <w:sz w:val="24"/>
        </w:rPr>
        <w:t>“</w:t>
      </w:r>
      <w:r>
        <w:rPr>
          <w:rFonts w:hint="eastAsia" w:eastAsia="方正仿宋_GBK"/>
          <w:color w:val="000000"/>
          <w:spacing w:val="-2"/>
          <w:sz w:val="24"/>
        </w:rPr>
        <w:t>不合格的水不出厂，不达标的水不进管网</w:t>
      </w:r>
      <w:r>
        <w:rPr>
          <w:rFonts w:eastAsia="方正仿宋_GBK"/>
          <w:color w:val="000000"/>
          <w:spacing w:val="-2"/>
          <w:sz w:val="24"/>
        </w:rPr>
        <w:t>”</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楷体_GBK"/>
          <w:color w:val="000000"/>
          <w:spacing w:val="-2"/>
          <w:sz w:val="24"/>
        </w:rPr>
        <w:t>4</w:t>
      </w:r>
      <w:r>
        <w:rPr>
          <w:rFonts w:hint="eastAsia" w:eastAsia="方正楷体_GBK"/>
          <w:color w:val="000000"/>
          <w:spacing w:val="-2"/>
          <w:sz w:val="24"/>
        </w:rPr>
        <w:t>、完善并落实各项应急处理工作措施。</w:t>
      </w:r>
      <w:r>
        <w:rPr>
          <w:rFonts w:hint="eastAsia" w:eastAsia="方正仿宋_GBK"/>
          <w:color w:val="000000"/>
          <w:spacing w:val="-2"/>
          <w:sz w:val="24"/>
        </w:rPr>
        <w:t>各地要根据可能发生的各类供水安全事故，进一步完善和落实应急处理预案，并于近期认真组织一次演练。做好应急处理设备的维护保养、应急处理药剂的储备，备足备齐各类抢修物资，确保一旦发生影响供水安全事故能够立即启动。</w:t>
      </w:r>
    </w:p>
    <w:p>
      <w:pPr>
        <w:spacing w:line="460" w:lineRule="exact"/>
        <w:ind w:firstLine="472" w:firstLineChars="200"/>
        <w:rPr>
          <w:rFonts w:eastAsia="方正仿宋_GBK"/>
          <w:color w:val="000000"/>
          <w:spacing w:val="-2"/>
          <w:sz w:val="24"/>
        </w:rPr>
      </w:pPr>
      <w:r>
        <w:rPr>
          <w:rFonts w:eastAsia="方正楷体_GBK"/>
          <w:color w:val="000000"/>
          <w:spacing w:val="-2"/>
          <w:sz w:val="24"/>
        </w:rPr>
        <w:t>5</w:t>
      </w:r>
      <w:r>
        <w:rPr>
          <w:rFonts w:hint="eastAsia" w:eastAsia="方正楷体_GBK"/>
          <w:color w:val="000000"/>
          <w:spacing w:val="-2"/>
          <w:sz w:val="24"/>
        </w:rPr>
        <w:t>、建立完善部门联动机制。</w:t>
      </w:r>
      <w:r>
        <w:rPr>
          <w:rFonts w:hint="eastAsia" w:eastAsia="方正仿宋_GBK"/>
          <w:color w:val="000000"/>
          <w:spacing w:val="-2"/>
          <w:sz w:val="24"/>
        </w:rPr>
        <w:t>各地城市供水主管部门要密切与环保、水利部门的协调和配合，在水源地保护区内外和取水口安装的水质在线监测仪器要进行联网，实现水质监测信息实时共享；密切关注与水源地相关的调水、汛期排水等活动；配合环保等部门做好集中式饮用水源地保护区内外水质污染风险的排查，根据存在的安全隐患情况，制定相应的应急处理方案；建立水源地日常巡查机制，加大对特征污染物的检测频率，做到早监测、早发现、早告知、早处理。</w:t>
      </w:r>
    </w:p>
    <w:p>
      <w:pPr>
        <w:spacing w:line="460" w:lineRule="exact"/>
        <w:ind w:firstLine="472" w:firstLineChars="200"/>
        <w:rPr>
          <w:rFonts w:eastAsia="方正仿宋_GBK"/>
          <w:color w:val="000000"/>
          <w:spacing w:val="-2"/>
          <w:sz w:val="24"/>
        </w:rPr>
      </w:pPr>
      <w:r>
        <w:rPr>
          <w:rFonts w:eastAsia="方正楷体_GBK"/>
          <w:color w:val="000000"/>
          <w:spacing w:val="-2"/>
          <w:sz w:val="24"/>
        </w:rPr>
        <w:t>6</w:t>
      </w:r>
      <w:r>
        <w:rPr>
          <w:rFonts w:hint="eastAsia" w:eastAsia="方正楷体_GBK"/>
          <w:color w:val="000000"/>
          <w:spacing w:val="-2"/>
          <w:sz w:val="24"/>
        </w:rPr>
        <w:t>、严格供水安全值班和巡查制度</w:t>
      </w:r>
      <w:r>
        <w:rPr>
          <w:rFonts w:hint="eastAsia" w:eastAsia="方正仿宋_GBK"/>
          <w:color w:val="000000"/>
          <w:spacing w:val="-2"/>
          <w:sz w:val="24"/>
        </w:rPr>
        <w:t>。各地要认真落实供水安全值班和报告制度，做好水质信息系统数据报送和太湖水质日报工作，在重要节假日和重大活动期间，各级分管领导和供水企业领导要亲自带班；遇到突发供水安全事故，要立即按规定程序上报。各级供水主管部门会同环保、公安、海事、水利、交通等部门和供水企业建立联动预警机制，加强信息沟通和合作，做好供水安全的反恐防范和应急处理工作，加强对城市供水重要设施的巡查，重点做好水源地、水厂、增压泵站、主要输水管线等重要供水设施的巡查和保护工作，落实和完善防护措施，强化安保管理制度，提高安全防范能力，确保城市供水安全。</w:t>
      </w:r>
    </w:p>
    <w:p>
      <w:pPr>
        <w:spacing w:line="460" w:lineRule="exact"/>
        <w:ind w:firstLine="472" w:firstLineChars="200"/>
        <w:rPr>
          <w:rFonts w:eastAsia="方正仿宋_GBK"/>
          <w:color w:val="000000"/>
          <w:spacing w:val="-2"/>
          <w:sz w:val="24"/>
        </w:rPr>
      </w:pPr>
      <w:r>
        <w:rPr>
          <w:rFonts w:eastAsia="方正楷体_GBK"/>
          <w:color w:val="000000"/>
          <w:spacing w:val="-2"/>
          <w:sz w:val="24"/>
        </w:rPr>
        <w:t>7</w:t>
      </w:r>
      <w:r>
        <w:rPr>
          <w:rFonts w:hint="eastAsia" w:eastAsia="方正楷体_GBK"/>
          <w:color w:val="000000"/>
          <w:spacing w:val="-2"/>
          <w:sz w:val="24"/>
        </w:rPr>
        <w:t>、加快推进区域供水规划的实施</w:t>
      </w:r>
      <w:r>
        <w:rPr>
          <w:rFonts w:hint="eastAsia" w:eastAsia="方正仿宋_GBK"/>
          <w:color w:val="000000"/>
          <w:spacing w:val="-2"/>
          <w:sz w:val="24"/>
        </w:rPr>
        <w:t>。区域供水是解决乡镇和农村饮用水安全的根本途径。各地要按照环境基础设施建设目标责任状的要求，结合实施</w:t>
      </w:r>
      <w:r>
        <w:rPr>
          <w:rFonts w:eastAsia="方正仿宋_GBK"/>
          <w:color w:val="000000"/>
          <w:spacing w:val="-2"/>
          <w:sz w:val="24"/>
        </w:rPr>
        <w:t>“</w:t>
      </w:r>
      <w:r>
        <w:rPr>
          <w:rFonts w:hint="eastAsia" w:eastAsia="方正仿宋_GBK"/>
          <w:color w:val="000000"/>
          <w:spacing w:val="-2"/>
          <w:sz w:val="24"/>
        </w:rPr>
        <w:t>农村饮用水安全工程</w:t>
      </w:r>
      <w:r>
        <w:rPr>
          <w:rFonts w:eastAsia="方正仿宋_GBK"/>
          <w:color w:val="000000"/>
          <w:spacing w:val="-2"/>
          <w:sz w:val="24"/>
        </w:rPr>
        <w:t>”</w:t>
      </w:r>
      <w:r>
        <w:rPr>
          <w:rFonts w:hint="eastAsia" w:eastAsia="方正仿宋_GBK"/>
          <w:color w:val="000000"/>
          <w:spacing w:val="-2"/>
          <w:sz w:val="24"/>
        </w:rPr>
        <w:t>，继续加快实施区域供水规划，推进区域集中供水设施和管网建设，以城带乡扩大镇村受益范围，不断提高区域集中供水的覆盖面。</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三、切实加强对城乡供水安全保障工作的组织领导</w:t>
      </w:r>
    </w:p>
    <w:p>
      <w:pPr>
        <w:spacing w:line="460" w:lineRule="exact"/>
        <w:ind w:firstLine="462" w:firstLineChars="196"/>
        <w:rPr>
          <w:rFonts w:hint="eastAsia" w:eastAsia="方正仿宋_GBK"/>
          <w:color w:val="000000"/>
          <w:spacing w:val="-2"/>
          <w:sz w:val="24"/>
        </w:rPr>
      </w:pPr>
      <w:r>
        <w:rPr>
          <w:rFonts w:hint="eastAsia" w:eastAsia="方正仿宋_GBK"/>
          <w:color w:val="000000"/>
          <w:spacing w:val="-2"/>
          <w:sz w:val="24"/>
        </w:rPr>
        <w:t>饮用水安全保障工作涉及环保、建设、水利、卫生、交通等多个部门，关系到当地人民群众的生产生活和社会稳定。各级政府是城乡饮用水安全保障工作的第一责任人，各地要坚持政府统一领导，部门相互配合的工作原则，按照《省政府办公厅关于切实加强饮用水安全监管工作的通知》（苏政办发〔</w:t>
      </w:r>
      <w:r>
        <w:rPr>
          <w:rFonts w:eastAsia="方正仿宋_GBK"/>
          <w:color w:val="000000"/>
          <w:spacing w:val="-2"/>
          <w:sz w:val="24"/>
        </w:rPr>
        <w:t>2009</w:t>
      </w:r>
      <w:r>
        <w:rPr>
          <w:rFonts w:hint="eastAsia" w:eastAsia="方正仿宋_GBK"/>
          <w:color w:val="000000"/>
          <w:spacing w:val="-2"/>
          <w:sz w:val="24"/>
        </w:rPr>
        <w:t>〕</w:t>
      </w:r>
      <w:r>
        <w:rPr>
          <w:rFonts w:eastAsia="方正仿宋_GBK"/>
          <w:color w:val="000000"/>
          <w:spacing w:val="-2"/>
          <w:sz w:val="24"/>
        </w:rPr>
        <w:t>54</w:t>
      </w:r>
      <w:r>
        <w:rPr>
          <w:rFonts w:hint="eastAsia" w:eastAsia="方正仿宋_GBK"/>
          <w:color w:val="000000"/>
          <w:spacing w:val="-2"/>
          <w:sz w:val="24"/>
        </w:rPr>
        <w:t>号）文件要求，紧密结合本地实际，建立健全管理制度，形成政府统一领导、部门各负其责的工作机制，真正形成保障饮用水安全的合力，全面落实饮用水安全各项措施。</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各地城市供水主管部门和城市供水企业要建立饮用水安全责任制，按照日常预防为主、应急处置为辅、监测预警前移的原则，建立健全安全生产管理制度；配合相关职能部门，对饮用水各个环节中存在的安全隐患进行全面排查，对存在安全隐患的，要尽快提出整改和防范措施。对于因管理责任不落实、整改措施不到位而发生事故的，要严肃追究有关人员的责任。</w:t>
      </w:r>
    </w:p>
    <w:p>
      <w:pPr>
        <w:spacing w:line="460" w:lineRule="exact"/>
        <w:ind w:firstLine="462" w:firstLineChars="196"/>
        <w:jc w:val="right"/>
        <w:rPr>
          <w:rFonts w:eastAsia="方正仿宋_GBK"/>
          <w:color w:val="000000"/>
          <w:spacing w:val="-2"/>
          <w:sz w:val="24"/>
        </w:rPr>
      </w:pPr>
    </w:p>
    <w:p>
      <w:pPr>
        <w:wordWrap w:val="0"/>
        <w:spacing w:line="460" w:lineRule="exact"/>
        <w:ind w:firstLine="462" w:firstLineChars="196"/>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ind w:firstLine="462" w:firstLineChars="196"/>
        <w:jc w:val="right"/>
        <w:rPr>
          <w:rFonts w:eastAsia="方正仿宋_GBK"/>
          <w:color w:val="000000"/>
          <w:spacing w:val="-2"/>
          <w:sz w:val="24"/>
        </w:rPr>
      </w:pPr>
      <w:r>
        <w:rPr>
          <w:rFonts w:hint="eastAsia" w:eastAsia="方正仿宋_GBK"/>
          <w:color w:val="000000"/>
          <w:spacing w:val="-2"/>
          <w:sz w:val="24"/>
        </w:rPr>
        <w:t>二○一一年四月二十九日</w:t>
      </w:r>
      <w:r>
        <w:rPr>
          <w:rFonts w:eastAsia="方正仿宋_GBK"/>
          <w:color w:val="000000"/>
          <w:spacing w:val="-2"/>
          <w:sz w:val="24"/>
        </w:rPr>
        <w:t xml:space="preserve">    </w:t>
      </w:r>
    </w:p>
    <w:p>
      <w:pPr>
        <w:spacing w:line="460" w:lineRule="exact"/>
        <w:jc w:val="center"/>
        <w:rPr>
          <w:rFonts w:ascii="Times New Roman" w:eastAsia="方正小标宋简体"/>
          <w:color w:val="000000"/>
          <w:sz w:val="36"/>
          <w:szCs w:val="36"/>
        </w:rPr>
      </w:pPr>
    </w:p>
    <w:p>
      <w:pPr>
        <w:spacing w:line="460" w:lineRule="exact"/>
        <w:rPr>
          <w:rFonts w:hint="eastAsia"/>
          <w:color w:val="000000"/>
        </w:rPr>
      </w:pPr>
    </w:p>
    <w:p>
      <w:pPr>
        <w:pStyle w:val="2"/>
        <w:spacing w:before="240" w:beforeLines="100" w:after="240" w:afterLines="100" w:line="240" w:lineRule="auto"/>
        <w:jc w:val="center"/>
        <w:rPr>
          <w:rFonts w:ascii="Times New Roman" w:eastAsia="方正小标宋_GBK"/>
          <w:b w:val="0"/>
          <w:sz w:val="36"/>
          <w:szCs w:val="36"/>
        </w:rPr>
      </w:pPr>
      <w:r>
        <w:rPr>
          <w:rFonts w:hint="eastAsia" w:ascii="Times New Roman" w:eastAsia="方正小标宋简体"/>
          <w:b w:val="0"/>
          <w:color w:val="000000"/>
          <w:sz w:val="36"/>
          <w:szCs w:val="36"/>
        </w:rPr>
        <w:br w:type="column"/>
      </w:r>
      <w:bookmarkStart w:id="116" w:name="_Toc18315429"/>
      <w:bookmarkStart w:id="117" w:name="_Toc20726348"/>
      <w:r>
        <w:rPr>
          <w:rFonts w:hint="eastAsia" w:ascii="Times New Roman" w:eastAsia="方正小标宋_GBK"/>
          <w:b w:val="0"/>
          <w:sz w:val="36"/>
          <w:szCs w:val="36"/>
        </w:rPr>
        <w:t>关于实施燃气经营许可有关事项的通知</w:t>
      </w:r>
      <w:bookmarkEnd w:id="116"/>
      <w:bookmarkEnd w:id="11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18" w:name="_Toc18315430"/>
      <w:bookmarkStart w:id="119" w:name="_Toc20726349"/>
      <w:r>
        <w:rPr>
          <w:rFonts w:hint="eastAsia" w:ascii="Times New Roman" w:hAnsi="Times New Roman" w:eastAsia="方正楷体_GBK"/>
          <w:b w:val="0"/>
          <w:sz w:val="24"/>
          <w:szCs w:val="24"/>
        </w:rPr>
        <w:t>苏建函城〔</w:t>
      </w:r>
      <w:r>
        <w:rPr>
          <w:rFonts w:ascii="Times New Roman" w:hAnsi="Times New Roman" w:eastAsia="方正楷体_GBK"/>
          <w:b w:val="0"/>
          <w:sz w:val="24"/>
          <w:szCs w:val="24"/>
        </w:rPr>
        <w:t>2011</w:t>
      </w:r>
      <w:r>
        <w:rPr>
          <w:rFonts w:hint="eastAsia" w:ascii="Times New Roman" w:hAnsi="Times New Roman" w:eastAsia="方正楷体_GBK"/>
          <w:b w:val="0"/>
          <w:sz w:val="24"/>
          <w:szCs w:val="24"/>
        </w:rPr>
        <w:t>〕</w:t>
      </w:r>
      <w:r>
        <w:rPr>
          <w:rFonts w:ascii="Times New Roman" w:hAnsi="Times New Roman" w:eastAsia="方正楷体_GBK"/>
          <w:b w:val="0"/>
          <w:sz w:val="24"/>
          <w:szCs w:val="24"/>
        </w:rPr>
        <w:t>886</w:t>
      </w:r>
      <w:r>
        <w:rPr>
          <w:rFonts w:hint="eastAsia" w:ascii="Times New Roman" w:hAnsi="Times New Roman" w:eastAsia="方正楷体_GBK"/>
          <w:b w:val="0"/>
          <w:sz w:val="24"/>
          <w:szCs w:val="24"/>
        </w:rPr>
        <w:t>号</w:t>
      </w:r>
      <w:bookmarkEnd w:id="118"/>
      <w:bookmarkEnd w:id="119"/>
    </w:p>
    <w:p>
      <w:pPr>
        <w:spacing w:line="460" w:lineRule="exact"/>
        <w:rPr>
          <w:rFonts w:eastAsia="方正仿宋_GBK"/>
          <w:color w:val="000000"/>
          <w:spacing w:val="-2"/>
          <w:sz w:val="24"/>
        </w:rPr>
      </w:pPr>
      <w:r>
        <w:rPr>
          <w:rFonts w:hint="eastAsia" w:eastAsia="方正仿宋_GBK"/>
          <w:color w:val="000000"/>
          <w:spacing w:val="-2"/>
          <w:sz w:val="24"/>
        </w:rPr>
        <w:t>各市、县建设局（委）、无锡市政和园林局、宜兴市公用事业管理局：</w:t>
      </w:r>
    </w:p>
    <w:p>
      <w:pPr>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根据《城镇燃气管理条例》（国务院令第</w:t>
      </w:r>
      <w:r>
        <w:rPr>
          <w:rFonts w:eastAsia="方正仿宋_GBK"/>
          <w:color w:val="000000"/>
          <w:spacing w:val="-2"/>
          <w:sz w:val="24"/>
        </w:rPr>
        <w:t>583</w:t>
      </w:r>
      <w:r>
        <w:rPr>
          <w:rFonts w:hint="eastAsia" w:eastAsia="方正仿宋_GBK"/>
          <w:color w:val="000000"/>
          <w:spacing w:val="-2"/>
          <w:sz w:val="24"/>
        </w:rPr>
        <w:t>号）和住房城乡建设部《关于印发</w:t>
      </w:r>
      <w:r>
        <w:rPr>
          <w:rFonts w:eastAsia="方正仿宋_GBK"/>
          <w:color w:val="000000"/>
          <w:spacing w:val="-2"/>
          <w:sz w:val="24"/>
        </w:rPr>
        <w:t>&lt;</w:t>
      </w:r>
      <w:r>
        <w:rPr>
          <w:rFonts w:hint="eastAsia" w:eastAsia="方正仿宋_GBK"/>
          <w:color w:val="000000"/>
          <w:spacing w:val="-2"/>
          <w:sz w:val="24"/>
        </w:rPr>
        <w:t>燃气经营许可证</w:t>
      </w:r>
      <w:r>
        <w:rPr>
          <w:rFonts w:eastAsia="方正仿宋_GBK"/>
          <w:color w:val="000000"/>
          <w:spacing w:val="-2"/>
          <w:sz w:val="24"/>
        </w:rPr>
        <w:t>&gt;</w:t>
      </w:r>
      <w:r>
        <w:rPr>
          <w:rFonts w:hint="eastAsia" w:eastAsia="方正仿宋_GBK"/>
          <w:color w:val="000000"/>
          <w:spacing w:val="-2"/>
          <w:sz w:val="24"/>
        </w:rPr>
        <w:t>格式的通知》（建城〔</w:t>
      </w:r>
      <w:r>
        <w:rPr>
          <w:rFonts w:eastAsia="方正仿宋_GBK"/>
          <w:color w:val="000000"/>
          <w:spacing w:val="-2"/>
          <w:sz w:val="24"/>
        </w:rPr>
        <w:t>2011</w:t>
      </w:r>
      <w:r>
        <w:rPr>
          <w:rFonts w:hint="eastAsia" w:eastAsia="方正仿宋_GBK"/>
          <w:color w:val="000000"/>
          <w:spacing w:val="-2"/>
          <w:sz w:val="24"/>
        </w:rPr>
        <w:t>〕</w:t>
      </w:r>
      <w:r>
        <w:rPr>
          <w:rFonts w:eastAsia="方正仿宋_GBK"/>
          <w:color w:val="000000"/>
          <w:spacing w:val="-2"/>
          <w:sz w:val="24"/>
        </w:rPr>
        <w:t>174</w:t>
      </w:r>
      <w:r>
        <w:rPr>
          <w:rFonts w:hint="eastAsia" w:eastAsia="方正仿宋_GBK"/>
          <w:color w:val="000000"/>
          <w:spacing w:val="-2"/>
          <w:sz w:val="24"/>
        </w:rPr>
        <w:t>号），为切实做好《燃气经营许可证》</w:t>
      </w:r>
      <w:r>
        <w:rPr>
          <w:rFonts w:hint="eastAsia" w:eastAsia="方正仿宋_GBK"/>
          <w:bCs/>
          <w:color w:val="000000"/>
          <w:spacing w:val="-2"/>
          <w:kern w:val="0"/>
          <w:sz w:val="24"/>
        </w:rPr>
        <w:t>与《江苏省燃气管理条例》规定的管道燃气特许经营和瓶装燃气经营许可、供应许可制度的有效衔接，现就</w:t>
      </w:r>
      <w:r>
        <w:rPr>
          <w:rFonts w:hint="eastAsia" w:eastAsia="方正仿宋_GBK"/>
          <w:color w:val="000000"/>
          <w:spacing w:val="-2"/>
          <w:sz w:val="24"/>
        </w:rPr>
        <w:t>有关事项通知如下：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一、燃气经营许可证的受理范围：</w:t>
      </w:r>
      <w:r>
        <w:rPr>
          <w:rFonts w:hint="eastAsia" w:eastAsia="方正仿宋_GBK"/>
          <w:color w:val="000000"/>
          <w:spacing w:val="-2"/>
          <w:sz w:val="24"/>
        </w:rPr>
        <w:t>具有独立法人资格的管道燃气经营企业、瓶装燃气经营企业、燃气加气站（含加气母站、汽车加气站）、瓶组气化站、燃气储存站等。</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二、燃气经营许可证的发放和相关衔接工作。</w:t>
      </w:r>
      <w:r>
        <w:rPr>
          <w:rFonts w:hint="eastAsia" w:eastAsia="方正仿宋_GBK"/>
          <w:color w:val="000000"/>
          <w:spacing w:val="-2"/>
          <w:sz w:val="24"/>
        </w:rPr>
        <w:t>《燃气经营许可证》由设区市燃气主管部门核发。管道燃气经营在实行特许经营制度并签订特许经营协议的基础上，按国家条例规定增加核发《燃气经营许可证》。对已取得《江苏省瓶装燃气经营许可证》的瓶装燃气经营企业，在符合燃气经营许可条件下，换发《燃气经营许可证》。《燃气经营许可证》由省按照住房和城乡建设部统一规定的格式组织印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瓶装燃气供应站点以及不具有独立法人资格的燃气加气站等仍按</w:t>
      </w:r>
      <w:r>
        <w:rPr>
          <w:rFonts w:hint="eastAsia" w:eastAsia="方正仿宋_GBK"/>
          <w:bCs/>
          <w:color w:val="000000"/>
          <w:spacing w:val="-2"/>
          <w:kern w:val="0"/>
          <w:sz w:val="24"/>
        </w:rPr>
        <w:t>《江苏省燃气管理条例》规定，</w:t>
      </w:r>
      <w:r>
        <w:rPr>
          <w:rFonts w:hint="eastAsia" w:eastAsia="方正仿宋_GBK"/>
          <w:color w:val="000000"/>
          <w:spacing w:val="-2"/>
          <w:sz w:val="24"/>
        </w:rPr>
        <w:t>继续实行供应许可证制度。</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三、燃气经营许可证的管理。</w:t>
      </w:r>
      <w:r>
        <w:rPr>
          <w:rFonts w:hint="eastAsia" w:eastAsia="方正仿宋_GBK"/>
          <w:color w:val="000000"/>
          <w:spacing w:val="-2"/>
          <w:sz w:val="24"/>
        </w:rPr>
        <w:t>各地应按照《城镇燃气管理条例》第十五条设定的燃气经营许可条件对申请企业进行审核，其中人员培训考核事项在国家、省没有作出统一规定前，暂由各设区市燃气主管部门负责组织进行，培训考核合格证有效期暂定二年。</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《燃气经营许可证》的有效期限为四年，许可证的变更、换领、监督等内容的管理仍按《江苏省瓶装燃气经营许可证和供应许可证管理办法》有关规定执行。</w:t>
      </w:r>
    </w:p>
    <w:p>
      <w:pPr>
        <w:spacing w:line="460" w:lineRule="exact"/>
        <w:ind w:left="472"/>
        <w:rPr>
          <w:rFonts w:ascii="Times New Roman" w:eastAsia="方正黑体_GBK"/>
          <w:color w:val="000000"/>
          <w:spacing w:val="-2"/>
          <w:sz w:val="24"/>
        </w:rPr>
      </w:pPr>
      <w:r>
        <w:rPr>
          <w:rFonts w:hint="eastAsia" w:ascii="Times New Roman" w:eastAsia="方正黑体_GBK"/>
          <w:color w:val="000000"/>
          <w:spacing w:val="-2"/>
          <w:sz w:val="24"/>
        </w:rPr>
        <w:t>四、燃气经营许可证发放的其他事项</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（一）《燃气经营许可证》正本与副本具有同等法律效力，正本、副本中的经营类别按照管道燃气、瓶装燃气、燃气汽车加气站、其他等四类进行划分，并且每个类别要明确标注气源种类，即：管道燃气</w:t>
      </w:r>
      <w:r>
        <w:rPr>
          <w:rFonts w:eastAsia="方正仿宋_GBK"/>
          <w:color w:val="000000"/>
          <w:spacing w:val="-2"/>
          <w:sz w:val="24"/>
        </w:rPr>
        <w:t>&lt;</w:t>
      </w:r>
      <w:r>
        <w:rPr>
          <w:rFonts w:hint="eastAsia" w:eastAsia="方正仿宋_GBK"/>
          <w:color w:val="000000"/>
          <w:spacing w:val="-2"/>
          <w:sz w:val="24"/>
        </w:rPr>
        <w:t>气源种类</w:t>
      </w:r>
      <w:r>
        <w:rPr>
          <w:rFonts w:eastAsia="方正仿宋_GBK"/>
          <w:color w:val="000000"/>
          <w:spacing w:val="-2"/>
          <w:sz w:val="24"/>
        </w:rPr>
        <w:t>&gt;</w:t>
      </w:r>
      <w:r>
        <w:rPr>
          <w:rFonts w:hint="eastAsia" w:eastAsia="方正仿宋_GBK"/>
          <w:color w:val="000000"/>
          <w:spacing w:val="-2"/>
          <w:sz w:val="24"/>
        </w:rPr>
        <w:t>、瓶装燃气</w:t>
      </w:r>
      <w:r>
        <w:rPr>
          <w:rFonts w:eastAsia="方正仿宋_GBK"/>
          <w:color w:val="000000"/>
          <w:spacing w:val="-2"/>
          <w:sz w:val="24"/>
        </w:rPr>
        <w:t>&lt;</w:t>
      </w:r>
      <w:r>
        <w:rPr>
          <w:rFonts w:hint="eastAsia" w:eastAsia="方正仿宋_GBK"/>
          <w:color w:val="000000"/>
          <w:spacing w:val="-2"/>
          <w:sz w:val="24"/>
        </w:rPr>
        <w:t>气源种类</w:t>
      </w:r>
      <w:r>
        <w:rPr>
          <w:rFonts w:eastAsia="方正仿宋_GBK"/>
          <w:color w:val="000000"/>
          <w:spacing w:val="-2"/>
          <w:sz w:val="24"/>
        </w:rPr>
        <w:t>&gt;</w:t>
      </w:r>
      <w:r>
        <w:rPr>
          <w:rFonts w:hint="eastAsia" w:eastAsia="方正仿宋_GBK"/>
          <w:color w:val="000000"/>
          <w:spacing w:val="-2"/>
          <w:sz w:val="24"/>
        </w:rPr>
        <w:t>、燃气汽车加气站</w:t>
      </w:r>
      <w:r>
        <w:rPr>
          <w:rFonts w:eastAsia="方正仿宋_GBK"/>
          <w:color w:val="000000"/>
          <w:spacing w:val="-2"/>
          <w:sz w:val="24"/>
        </w:rPr>
        <w:t>&lt;</w:t>
      </w:r>
      <w:r>
        <w:rPr>
          <w:rFonts w:hint="eastAsia" w:eastAsia="方正仿宋_GBK"/>
          <w:color w:val="000000"/>
          <w:spacing w:val="-2"/>
          <w:sz w:val="24"/>
        </w:rPr>
        <w:t>气源种类</w:t>
      </w:r>
      <w:r>
        <w:rPr>
          <w:rFonts w:eastAsia="方正仿宋_GBK"/>
          <w:color w:val="000000"/>
          <w:spacing w:val="-2"/>
          <w:sz w:val="24"/>
        </w:rPr>
        <w:t>&gt;</w:t>
      </w:r>
      <w:r>
        <w:rPr>
          <w:rFonts w:hint="eastAsia" w:eastAsia="方正仿宋_GBK"/>
          <w:color w:val="000000"/>
          <w:spacing w:val="-2"/>
          <w:sz w:val="24"/>
        </w:rPr>
        <w:t>、其他</w:t>
      </w:r>
      <w:r>
        <w:rPr>
          <w:rFonts w:eastAsia="方正仿宋_GBK"/>
          <w:color w:val="000000"/>
          <w:spacing w:val="-2"/>
          <w:sz w:val="24"/>
        </w:rPr>
        <w:t>&lt;</w:t>
      </w:r>
      <w:r>
        <w:rPr>
          <w:rFonts w:hint="eastAsia" w:eastAsia="方正仿宋_GBK"/>
          <w:color w:val="000000"/>
          <w:spacing w:val="-2"/>
          <w:sz w:val="24"/>
        </w:rPr>
        <w:t>气源种类</w:t>
      </w:r>
      <w:r>
        <w:rPr>
          <w:rFonts w:eastAsia="方正仿宋_GBK"/>
          <w:color w:val="000000"/>
          <w:spacing w:val="-2"/>
          <w:sz w:val="24"/>
        </w:rPr>
        <w:t>&gt;</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（二）《燃气经营许可证》编号由发证机关根据以下方法编制，苏</w:t>
      </w:r>
      <w:r>
        <w:rPr>
          <w:rFonts w:eastAsia="方正仿宋_GBK"/>
          <w:color w:val="000000"/>
          <w:spacing w:val="-2"/>
          <w:sz w:val="24"/>
        </w:rPr>
        <w:t>+</w:t>
      </w:r>
      <w:r>
        <w:rPr>
          <w:rFonts w:hint="eastAsia" w:eastAsia="方正仿宋_GBK"/>
          <w:color w:val="000000"/>
          <w:spacing w:val="-2"/>
          <w:sz w:val="24"/>
        </w:rPr>
        <w:t>发证年份编号</w:t>
      </w:r>
      <w:r>
        <w:rPr>
          <w:rFonts w:eastAsia="方正仿宋_GBK"/>
          <w:color w:val="000000"/>
          <w:spacing w:val="-2"/>
          <w:sz w:val="24"/>
        </w:rPr>
        <w:t>+</w:t>
      </w:r>
      <w:r>
        <w:rPr>
          <w:rFonts w:hint="eastAsia" w:eastAsia="方正仿宋_GBK"/>
          <w:color w:val="000000"/>
          <w:spacing w:val="-2"/>
          <w:sz w:val="24"/>
        </w:rPr>
        <w:t>设区市编号</w:t>
      </w:r>
      <w:r>
        <w:rPr>
          <w:rFonts w:eastAsia="方正仿宋_GBK"/>
          <w:color w:val="000000"/>
          <w:spacing w:val="-2"/>
          <w:sz w:val="24"/>
        </w:rPr>
        <w:t>+</w:t>
      </w:r>
      <w:r>
        <w:rPr>
          <w:rFonts w:hint="eastAsia" w:eastAsia="方正仿宋_GBK"/>
          <w:color w:val="000000"/>
          <w:spacing w:val="-2"/>
          <w:sz w:val="24"/>
        </w:rPr>
        <w:t>县（市）编号</w:t>
      </w:r>
      <w:r>
        <w:rPr>
          <w:rFonts w:eastAsia="方正仿宋_GBK"/>
          <w:color w:val="000000"/>
          <w:spacing w:val="-2"/>
          <w:sz w:val="24"/>
        </w:rPr>
        <w:t>+</w:t>
      </w:r>
      <w:r>
        <w:rPr>
          <w:rFonts w:hint="eastAsia" w:eastAsia="方正仿宋_GBK"/>
          <w:color w:val="000000"/>
          <w:spacing w:val="-2"/>
          <w:sz w:val="24"/>
        </w:rPr>
        <w:t>流水号</w:t>
      </w:r>
      <w:r>
        <w:rPr>
          <w:rFonts w:eastAsia="方正仿宋_GBK"/>
          <w:color w:val="000000"/>
          <w:spacing w:val="-2"/>
          <w:sz w:val="24"/>
        </w:rPr>
        <w:t>+</w:t>
      </w:r>
      <w:r>
        <w:rPr>
          <w:rFonts w:hint="eastAsia" w:eastAsia="方正仿宋_GBK"/>
          <w:color w:val="000000"/>
          <w:spacing w:val="-2"/>
          <w:sz w:val="24"/>
        </w:rPr>
        <w:t>经营类别代码，具体编排方法如下：</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、发证年份编号：四位数，如发证年份是</w:t>
      </w:r>
      <w:r>
        <w:rPr>
          <w:rFonts w:eastAsia="方正仿宋_GBK"/>
          <w:color w:val="000000"/>
          <w:spacing w:val="-2"/>
          <w:sz w:val="24"/>
        </w:rPr>
        <w:t>2011</w:t>
      </w:r>
      <w:r>
        <w:rPr>
          <w:rFonts w:hint="eastAsia" w:eastAsia="方正仿宋_GBK"/>
          <w:color w:val="000000"/>
          <w:spacing w:val="-2"/>
          <w:sz w:val="24"/>
        </w:rPr>
        <w:t>年，发证年份编号即为</w:t>
      </w:r>
      <w:r>
        <w:rPr>
          <w:rFonts w:eastAsia="方正仿宋_GBK"/>
          <w:color w:val="000000"/>
          <w:spacing w:val="-2"/>
          <w:sz w:val="24"/>
        </w:rPr>
        <w:t>“2011”</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、设区市编号：两位数，从</w:t>
      </w:r>
      <w:r>
        <w:rPr>
          <w:rFonts w:eastAsia="方正仿宋_GBK"/>
          <w:color w:val="000000"/>
          <w:spacing w:val="-2"/>
          <w:sz w:val="24"/>
        </w:rPr>
        <w:t>01</w:t>
      </w:r>
      <w:r>
        <w:rPr>
          <w:rFonts w:hint="eastAsia" w:eastAsia="方正仿宋_GBK"/>
          <w:color w:val="000000"/>
          <w:spacing w:val="-2"/>
          <w:sz w:val="24"/>
        </w:rPr>
        <w:t>到</w:t>
      </w:r>
      <w:r>
        <w:rPr>
          <w:rFonts w:eastAsia="方正仿宋_GBK"/>
          <w:color w:val="000000"/>
          <w:spacing w:val="-2"/>
          <w:sz w:val="24"/>
        </w:rPr>
        <w:t>13</w:t>
      </w:r>
      <w:r>
        <w:rPr>
          <w:rFonts w:hint="eastAsia" w:eastAsia="方正仿宋_GBK"/>
          <w:color w:val="000000"/>
          <w:spacing w:val="-2"/>
          <w:sz w:val="24"/>
        </w:rPr>
        <w:t>，南京市</w:t>
      </w:r>
      <w:r>
        <w:rPr>
          <w:rFonts w:eastAsia="方正仿宋_GBK"/>
          <w:color w:val="000000"/>
          <w:spacing w:val="-2"/>
          <w:sz w:val="24"/>
        </w:rPr>
        <w:t>01</w:t>
      </w:r>
      <w:r>
        <w:rPr>
          <w:rFonts w:hint="eastAsia" w:eastAsia="方正仿宋_GBK"/>
          <w:color w:val="000000"/>
          <w:spacing w:val="-2"/>
          <w:sz w:val="24"/>
        </w:rPr>
        <w:t>、无锡市</w:t>
      </w:r>
      <w:r>
        <w:rPr>
          <w:rFonts w:eastAsia="方正仿宋_GBK"/>
          <w:color w:val="000000"/>
          <w:spacing w:val="-2"/>
          <w:sz w:val="24"/>
        </w:rPr>
        <w:t>02</w:t>
      </w:r>
      <w:r>
        <w:rPr>
          <w:rFonts w:hint="eastAsia" w:eastAsia="方正仿宋_GBK"/>
          <w:color w:val="000000"/>
          <w:spacing w:val="-2"/>
          <w:sz w:val="24"/>
        </w:rPr>
        <w:t>、徐州市</w:t>
      </w:r>
      <w:r>
        <w:rPr>
          <w:rFonts w:eastAsia="方正仿宋_GBK"/>
          <w:color w:val="000000"/>
          <w:spacing w:val="-2"/>
          <w:sz w:val="24"/>
        </w:rPr>
        <w:t>03</w:t>
      </w:r>
      <w:r>
        <w:rPr>
          <w:rFonts w:hint="eastAsia" w:eastAsia="方正仿宋_GBK"/>
          <w:color w:val="000000"/>
          <w:spacing w:val="-2"/>
          <w:sz w:val="24"/>
        </w:rPr>
        <w:t>、常州市</w:t>
      </w:r>
      <w:r>
        <w:rPr>
          <w:rFonts w:eastAsia="方正仿宋_GBK"/>
          <w:color w:val="000000"/>
          <w:spacing w:val="-2"/>
          <w:sz w:val="24"/>
        </w:rPr>
        <w:t>04</w:t>
      </w:r>
      <w:r>
        <w:rPr>
          <w:rFonts w:hint="eastAsia" w:eastAsia="方正仿宋_GBK"/>
          <w:color w:val="000000"/>
          <w:spacing w:val="-2"/>
          <w:sz w:val="24"/>
        </w:rPr>
        <w:t>、苏州市</w:t>
      </w:r>
      <w:r>
        <w:rPr>
          <w:rFonts w:eastAsia="方正仿宋_GBK"/>
          <w:color w:val="000000"/>
          <w:spacing w:val="-2"/>
          <w:sz w:val="24"/>
        </w:rPr>
        <w:t>05</w:t>
      </w:r>
      <w:r>
        <w:rPr>
          <w:rFonts w:hint="eastAsia" w:eastAsia="方正仿宋_GBK"/>
          <w:color w:val="000000"/>
          <w:spacing w:val="-2"/>
          <w:sz w:val="24"/>
        </w:rPr>
        <w:t>、南通市</w:t>
      </w:r>
      <w:r>
        <w:rPr>
          <w:rFonts w:eastAsia="方正仿宋_GBK"/>
          <w:color w:val="000000"/>
          <w:spacing w:val="-2"/>
          <w:sz w:val="24"/>
        </w:rPr>
        <w:t>06</w:t>
      </w:r>
      <w:r>
        <w:rPr>
          <w:rFonts w:hint="eastAsia" w:eastAsia="方正仿宋_GBK"/>
          <w:color w:val="000000"/>
          <w:spacing w:val="-2"/>
          <w:sz w:val="24"/>
        </w:rPr>
        <w:t>、连云港市</w:t>
      </w:r>
      <w:r>
        <w:rPr>
          <w:rFonts w:eastAsia="方正仿宋_GBK"/>
          <w:color w:val="000000"/>
          <w:spacing w:val="-2"/>
          <w:sz w:val="24"/>
        </w:rPr>
        <w:t>07</w:t>
      </w:r>
      <w:r>
        <w:rPr>
          <w:rFonts w:hint="eastAsia" w:eastAsia="方正仿宋_GBK"/>
          <w:color w:val="000000"/>
          <w:spacing w:val="-2"/>
          <w:sz w:val="24"/>
        </w:rPr>
        <w:t>、淮安市</w:t>
      </w:r>
      <w:r>
        <w:rPr>
          <w:rFonts w:eastAsia="方正仿宋_GBK"/>
          <w:color w:val="000000"/>
          <w:spacing w:val="-2"/>
          <w:sz w:val="24"/>
        </w:rPr>
        <w:t>08</w:t>
      </w:r>
      <w:r>
        <w:rPr>
          <w:rFonts w:hint="eastAsia" w:eastAsia="方正仿宋_GBK"/>
          <w:color w:val="000000"/>
          <w:spacing w:val="-2"/>
          <w:sz w:val="24"/>
        </w:rPr>
        <w:t>、盐城市</w:t>
      </w:r>
      <w:r>
        <w:rPr>
          <w:rFonts w:eastAsia="方正仿宋_GBK"/>
          <w:color w:val="000000"/>
          <w:spacing w:val="-2"/>
          <w:sz w:val="24"/>
        </w:rPr>
        <w:t>09</w:t>
      </w:r>
      <w:r>
        <w:rPr>
          <w:rFonts w:hint="eastAsia" w:eastAsia="方正仿宋_GBK"/>
          <w:color w:val="000000"/>
          <w:spacing w:val="-2"/>
          <w:sz w:val="24"/>
        </w:rPr>
        <w:t>、扬州市</w:t>
      </w:r>
      <w:r>
        <w:rPr>
          <w:rFonts w:eastAsia="方正仿宋_GBK"/>
          <w:color w:val="000000"/>
          <w:spacing w:val="-2"/>
          <w:sz w:val="24"/>
        </w:rPr>
        <w:t>10</w:t>
      </w:r>
      <w:r>
        <w:rPr>
          <w:rFonts w:hint="eastAsia" w:eastAsia="方正仿宋_GBK"/>
          <w:color w:val="000000"/>
          <w:spacing w:val="-2"/>
          <w:sz w:val="24"/>
        </w:rPr>
        <w:t>、镇江市</w:t>
      </w:r>
      <w:r>
        <w:rPr>
          <w:rFonts w:eastAsia="方正仿宋_GBK"/>
          <w:color w:val="000000"/>
          <w:spacing w:val="-2"/>
          <w:sz w:val="24"/>
        </w:rPr>
        <w:t>11</w:t>
      </w:r>
      <w:r>
        <w:rPr>
          <w:rFonts w:hint="eastAsia" w:eastAsia="方正仿宋_GBK"/>
          <w:color w:val="000000"/>
          <w:spacing w:val="-2"/>
          <w:sz w:val="24"/>
        </w:rPr>
        <w:t>、泰州市</w:t>
      </w:r>
      <w:r>
        <w:rPr>
          <w:rFonts w:eastAsia="方正仿宋_GBK"/>
          <w:color w:val="000000"/>
          <w:spacing w:val="-2"/>
          <w:sz w:val="24"/>
        </w:rPr>
        <w:t>12</w:t>
      </w:r>
      <w:r>
        <w:rPr>
          <w:rFonts w:hint="eastAsia" w:eastAsia="方正仿宋_GBK"/>
          <w:color w:val="000000"/>
          <w:spacing w:val="-2"/>
          <w:sz w:val="24"/>
        </w:rPr>
        <w:t>、宿迁市</w:t>
      </w:r>
      <w:r>
        <w:rPr>
          <w:rFonts w:eastAsia="方正仿宋_GBK"/>
          <w:color w:val="000000"/>
          <w:spacing w:val="-2"/>
          <w:sz w:val="24"/>
        </w:rPr>
        <w:t>13</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、县（市）编号：两位数，从</w:t>
      </w:r>
      <w:r>
        <w:rPr>
          <w:rFonts w:eastAsia="方正仿宋_GBK"/>
          <w:color w:val="000000"/>
          <w:spacing w:val="-2"/>
          <w:sz w:val="24"/>
        </w:rPr>
        <w:t>01</w:t>
      </w:r>
      <w:r>
        <w:rPr>
          <w:rFonts w:hint="eastAsia" w:eastAsia="方正仿宋_GBK"/>
          <w:color w:val="000000"/>
          <w:spacing w:val="-2"/>
          <w:sz w:val="24"/>
        </w:rPr>
        <w:t>到</w:t>
      </w:r>
      <w:r>
        <w:rPr>
          <w:rFonts w:eastAsia="方正仿宋_GBK"/>
          <w:color w:val="000000"/>
          <w:spacing w:val="-2"/>
          <w:sz w:val="24"/>
        </w:rPr>
        <w:t>99</w:t>
      </w:r>
      <w:r>
        <w:rPr>
          <w:rFonts w:hint="eastAsia" w:eastAsia="方正仿宋_GBK"/>
          <w:color w:val="000000"/>
          <w:spacing w:val="-2"/>
          <w:sz w:val="24"/>
        </w:rPr>
        <w:t>，由各设区市燃气主管部门确定。设区市层级，则此项编号为</w:t>
      </w:r>
      <w:r>
        <w:rPr>
          <w:rFonts w:eastAsia="方正仿宋_GBK"/>
          <w:color w:val="000000"/>
          <w:spacing w:val="-2"/>
          <w:sz w:val="24"/>
        </w:rPr>
        <w:t>00</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、流水号：发证部门每年度核发的所有类型燃气经营许可证统一编流水号，四位数，从</w:t>
      </w:r>
      <w:r>
        <w:rPr>
          <w:rFonts w:eastAsia="方正仿宋_GBK"/>
          <w:color w:val="000000"/>
          <w:spacing w:val="-2"/>
          <w:sz w:val="24"/>
        </w:rPr>
        <w:t>0001</w:t>
      </w:r>
      <w:r>
        <w:rPr>
          <w:rFonts w:hint="eastAsia" w:eastAsia="方正仿宋_GBK"/>
          <w:color w:val="000000"/>
          <w:spacing w:val="-2"/>
          <w:sz w:val="24"/>
        </w:rPr>
        <w:t>到</w:t>
      </w:r>
      <w:r>
        <w:rPr>
          <w:rFonts w:eastAsia="方正仿宋_GBK"/>
          <w:color w:val="000000"/>
          <w:spacing w:val="-2"/>
          <w:sz w:val="24"/>
        </w:rPr>
        <w:t>9999</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、经营类别代码：经营管道燃气为</w:t>
      </w:r>
      <w:r>
        <w:rPr>
          <w:rFonts w:eastAsia="方正仿宋_GBK"/>
          <w:color w:val="000000"/>
          <w:spacing w:val="-2"/>
          <w:sz w:val="24"/>
        </w:rPr>
        <w:t>“G”</w:t>
      </w:r>
      <w:r>
        <w:rPr>
          <w:rFonts w:hint="eastAsia" w:eastAsia="方正仿宋_GBK"/>
          <w:color w:val="000000"/>
          <w:spacing w:val="-2"/>
          <w:sz w:val="24"/>
        </w:rPr>
        <w:t>，经营瓶装燃气为</w:t>
      </w:r>
      <w:r>
        <w:rPr>
          <w:rFonts w:eastAsia="方正仿宋_GBK"/>
          <w:color w:val="000000"/>
          <w:spacing w:val="-2"/>
          <w:sz w:val="24"/>
        </w:rPr>
        <w:t>“P”</w:t>
      </w:r>
      <w:r>
        <w:rPr>
          <w:rFonts w:hint="eastAsia" w:eastAsia="方正仿宋_GBK"/>
          <w:color w:val="000000"/>
          <w:spacing w:val="-2"/>
          <w:sz w:val="24"/>
        </w:rPr>
        <w:t>，经营燃气汽车加气站为</w:t>
      </w:r>
      <w:r>
        <w:rPr>
          <w:rFonts w:eastAsia="方正仿宋_GBK"/>
          <w:color w:val="000000"/>
          <w:spacing w:val="-2"/>
          <w:sz w:val="24"/>
        </w:rPr>
        <w:t>“J”</w:t>
      </w:r>
      <w:r>
        <w:rPr>
          <w:rFonts w:hint="eastAsia" w:eastAsia="方正仿宋_GBK"/>
          <w:color w:val="000000"/>
          <w:spacing w:val="-2"/>
          <w:sz w:val="24"/>
        </w:rPr>
        <w:t>，经营其他类为</w:t>
      </w:r>
      <w:r>
        <w:rPr>
          <w:rFonts w:eastAsia="方正仿宋_GBK"/>
          <w:color w:val="000000"/>
          <w:spacing w:val="-2"/>
          <w:sz w:val="24"/>
        </w:rPr>
        <w:t>“T”</w:t>
      </w:r>
      <w:r>
        <w:rPr>
          <w:rFonts w:hint="eastAsia" w:eastAsia="方正仿宋_GBK"/>
          <w:color w:val="000000"/>
          <w:spacing w:val="-2"/>
          <w:sz w:val="24"/>
        </w:rPr>
        <w:t>。如经营类别有多项，则按以上顺序排列相应字母代码。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例：</w:t>
      </w:r>
      <w:r>
        <w:rPr>
          <w:rFonts w:eastAsia="方正仿宋_GBK"/>
          <w:color w:val="000000"/>
          <w:spacing w:val="-2"/>
          <w:sz w:val="24"/>
        </w:rPr>
        <w:t>2011</w:t>
      </w:r>
      <w:r>
        <w:rPr>
          <w:rFonts w:hint="eastAsia" w:eastAsia="方正仿宋_GBK"/>
          <w:color w:val="000000"/>
          <w:spacing w:val="-2"/>
          <w:sz w:val="24"/>
        </w:rPr>
        <w:t>年</w:t>
      </w:r>
      <w:r>
        <w:rPr>
          <w:rFonts w:eastAsia="方正仿宋_GBK"/>
          <w:color w:val="000000"/>
          <w:spacing w:val="-2"/>
          <w:sz w:val="24"/>
        </w:rPr>
        <w:t>12</w:t>
      </w:r>
      <w:r>
        <w:rPr>
          <w:rFonts w:hint="eastAsia" w:eastAsia="方正仿宋_GBK"/>
          <w:color w:val="000000"/>
          <w:spacing w:val="-2"/>
          <w:sz w:val="24"/>
        </w:rPr>
        <w:t>月，南京市住房和城乡建设委员会对溧水县某燃气企业核发本年度第二份经营许可证，该企业所在地南京市（设区市编号为</w:t>
      </w:r>
      <w:r>
        <w:rPr>
          <w:rFonts w:eastAsia="方正仿宋_GBK"/>
          <w:color w:val="000000"/>
          <w:spacing w:val="-2"/>
          <w:sz w:val="24"/>
        </w:rPr>
        <w:t>01</w:t>
      </w:r>
      <w:r>
        <w:rPr>
          <w:rFonts w:hint="eastAsia" w:eastAsia="方正仿宋_GBK"/>
          <w:color w:val="000000"/>
          <w:spacing w:val="-2"/>
          <w:sz w:val="24"/>
        </w:rPr>
        <w:t>）溧水县（县编号假定为</w:t>
      </w:r>
      <w:r>
        <w:rPr>
          <w:rFonts w:eastAsia="方正仿宋_GBK"/>
          <w:color w:val="000000"/>
          <w:spacing w:val="-2"/>
          <w:sz w:val="24"/>
        </w:rPr>
        <w:t>03</w:t>
      </w:r>
      <w:r>
        <w:rPr>
          <w:rFonts w:hint="eastAsia" w:eastAsia="方正仿宋_GBK"/>
          <w:color w:val="000000"/>
          <w:spacing w:val="-2"/>
          <w:sz w:val="24"/>
        </w:rPr>
        <w:t>），经营经营管道燃气和瓶装燃气，燃气经营许可证编号即为：</w:t>
      </w:r>
      <w:r>
        <w:rPr>
          <w:rFonts w:eastAsia="方正仿宋_GBK"/>
          <w:color w:val="000000"/>
          <w:spacing w:val="-2"/>
          <w:sz w:val="24"/>
        </w:rPr>
        <w:t>“</w:t>
      </w:r>
      <w:r>
        <w:rPr>
          <w:rFonts w:hint="eastAsia" w:eastAsia="方正仿宋_GBK"/>
          <w:color w:val="000000"/>
          <w:spacing w:val="-2"/>
          <w:sz w:val="24"/>
        </w:rPr>
        <w:t>苏</w:t>
      </w:r>
      <w:r>
        <w:rPr>
          <w:rFonts w:eastAsia="方正仿宋_GBK"/>
          <w:color w:val="000000"/>
          <w:spacing w:val="-2"/>
          <w:sz w:val="24"/>
        </w:rPr>
        <w:t>201101030002GP”</w:t>
      </w:r>
      <w:r>
        <w:rPr>
          <w:rFonts w:hint="eastAsia" w:eastAsia="方正仿宋_GBK"/>
          <w:color w:val="000000"/>
          <w:spacing w:val="-2"/>
          <w:sz w:val="24"/>
        </w:rPr>
        <w:t>。</w:t>
      </w:r>
    </w:p>
    <w:p>
      <w:pPr>
        <w:spacing w:line="460" w:lineRule="exact"/>
        <w:ind w:firstLine="630"/>
        <w:rPr>
          <w:rFonts w:eastAsia="方正仿宋_GBK"/>
          <w:color w:val="000000"/>
          <w:spacing w:val="-2"/>
          <w:sz w:val="24"/>
        </w:rPr>
      </w:pPr>
      <w:r>
        <w:rPr>
          <w:rFonts w:hint="eastAsia" w:eastAsia="方正仿宋_GBK"/>
          <w:color w:val="000000"/>
          <w:spacing w:val="-2"/>
          <w:sz w:val="24"/>
        </w:rPr>
        <w:t>（三）设区市燃气主管部门应当将本行政区域内经营许可证、供应许可证的年度审批发证情况于每年度</w:t>
      </w:r>
      <w:r>
        <w:rPr>
          <w:rFonts w:eastAsia="方正仿宋_GBK"/>
          <w:color w:val="000000"/>
          <w:spacing w:val="-2"/>
          <w:sz w:val="24"/>
        </w:rPr>
        <w:t>12</w:t>
      </w:r>
      <w:r>
        <w:rPr>
          <w:rFonts w:hint="eastAsia" w:eastAsia="方正仿宋_GBK"/>
          <w:color w:val="000000"/>
          <w:spacing w:val="-2"/>
          <w:sz w:val="24"/>
        </w:rPr>
        <w:t>月底前报省住房城乡建设厅备案。</w:t>
      </w:r>
    </w:p>
    <w:p>
      <w:pPr>
        <w:spacing w:line="460" w:lineRule="exact"/>
        <w:ind w:firstLine="630"/>
        <w:rPr>
          <w:rFonts w:eastAsia="方正仿宋_GBK"/>
          <w:color w:val="000000"/>
          <w:spacing w:val="-2"/>
          <w:sz w:val="24"/>
        </w:rPr>
      </w:pPr>
      <w:r>
        <w:rPr>
          <w:rFonts w:hint="eastAsia" w:eastAsia="方正仿宋_GBK"/>
          <w:color w:val="000000"/>
          <w:spacing w:val="-2"/>
          <w:sz w:val="24"/>
        </w:rPr>
        <w:t>各地在实施过程中有何意见和建议，请及时函告我厅城市建设与管理处。联系人：周敏珍，</w:t>
      </w:r>
      <w:r>
        <w:rPr>
          <w:rFonts w:eastAsia="方正仿宋_GBK"/>
          <w:color w:val="000000"/>
          <w:spacing w:val="-2"/>
          <w:sz w:val="24"/>
        </w:rPr>
        <w:t>025-51868890</w:t>
      </w:r>
      <w:r>
        <w:rPr>
          <w:rFonts w:hint="eastAsia" w:eastAsia="方正仿宋_GBK"/>
          <w:color w:val="000000"/>
          <w:spacing w:val="-2"/>
          <w:sz w:val="24"/>
        </w:rPr>
        <w:t>。</w:t>
      </w:r>
    </w:p>
    <w:p>
      <w:pPr>
        <w:spacing w:line="460" w:lineRule="exact"/>
        <w:jc w:val="right"/>
        <w:rPr>
          <w:rFonts w:eastAsia="方正仿宋_GBK"/>
          <w:color w:val="000000"/>
          <w:spacing w:val="-2"/>
          <w:sz w:val="24"/>
        </w:rPr>
      </w:pPr>
    </w:p>
    <w:p>
      <w:pPr>
        <w:wordWrap w:val="0"/>
        <w:spacing w:line="460" w:lineRule="exact"/>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firstLine="5664" w:firstLineChars="2400"/>
        <w:rPr>
          <w:rFonts w:eastAsia="方正仿宋_GBK"/>
          <w:color w:val="000000"/>
          <w:spacing w:val="-2"/>
          <w:sz w:val="24"/>
        </w:rPr>
      </w:pPr>
      <w:r>
        <w:rPr>
          <w:rFonts w:hint="eastAsia" w:eastAsia="方正仿宋_GBK"/>
          <w:color w:val="000000"/>
          <w:spacing w:val="-2"/>
          <w:sz w:val="24"/>
        </w:rPr>
        <w:t>二○一一年十二月十二日</w:t>
      </w:r>
      <w:r>
        <w:rPr>
          <w:rFonts w:eastAsia="方正仿宋_GBK"/>
          <w:color w:val="000000"/>
          <w:spacing w:val="-2"/>
          <w:sz w:val="24"/>
        </w:rPr>
        <w:t xml:space="preserve">    </w:t>
      </w:r>
    </w:p>
    <w:p>
      <w:pPr>
        <w:spacing w:line="460" w:lineRule="exact"/>
        <w:rPr>
          <w:rFonts w:ascii="Times New Roman" w:eastAsia="方正小标宋简体"/>
          <w:color w:val="000000"/>
          <w:sz w:val="36"/>
          <w:szCs w:val="36"/>
        </w:rPr>
      </w:pPr>
    </w:p>
    <w:p>
      <w:pPr>
        <w:rPr>
          <w:rFonts w:hint="eastAsia"/>
        </w:rPr>
      </w:pPr>
    </w:p>
    <w:p/>
    <w:p/>
    <w:p/>
    <w:p/>
    <w:p>
      <w:pPr>
        <w:pStyle w:val="2"/>
        <w:spacing w:before="240" w:beforeLines="100" w:after="240" w:afterLines="100" w:line="240" w:lineRule="auto"/>
        <w:jc w:val="center"/>
        <w:rPr>
          <w:rFonts w:ascii="Times New Roman" w:eastAsia="方正小标宋_GBK"/>
          <w:b w:val="0"/>
          <w:sz w:val="36"/>
          <w:szCs w:val="36"/>
        </w:rPr>
      </w:pPr>
      <w:bookmarkStart w:id="120" w:name="_Toc18315431"/>
      <w:bookmarkStart w:id="121" w:name="_Toc20726350"/>
      <w:r>
        <w:rPr>
          <w:rFonts w:hint="eastAsia" w:ascii="Times New Roman" w:eastAsia="方正小标宋_GBK"/>
          <w:b w:val="0"/>
          <w:sz w:val="36"/>
          <w:szCs w:val="36"/>
        </w:rPr>
        <w:t>省住房城乡建设厅关于修改《江苏省燃气工程项目初步设计管理办法》有关条文的通知</w:t>
      </w:r>
      <w:bookmarkEnd w:id="120"/>
      <w:bookmarkEnd w:id="12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22" w:name="_Toc20726351"/>
      <w:bookmarkStart w:id="123" w:name="_Toc18315432"/>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2</w:t>
      </w:r>
      <w:r>
        <w:rPr>
          <w:rFonts w:hint="eastAsia" w:ascii="Times New Roman" w:hAnsi="Times New Roman" w:eastAsia="方正楷体_GBK"/>
          <w:b w:val="0"/>
          <w:sz w:val="24"/>
          <w:szCs w:val="24"/>
        </w:rPr>
        <w:t>号</w:t>
      </w:r>
      <w:bookmarkEnd w:id="122"/>
      <w:bookmarkEnd w:id="123"/>
    </w:p>
    <w:p>
      <w:pPr>
        <w:spacing w:line="460" w:lineRule="exact"/>
        <w:rPr>
          <w:rFonts w:eastAsia="方正仿宋_GBK"/>
          <w:color w:val="000000"/>
          <w:spacing w:val="-2"/>
          <w:sz w:val="24"/>
        </w:rPr>
      </w:pPr>
      <w:r>
        <w:rPr>
          <w:rFonts w:hint="eastAsia" w:eastAsia="方正仿宋_GBK"/>
          <w:color w:val="000000"/>
          <w:spacing w:val="-2"/>
          <w:sz w:val="24"/>
        </w:rPr>
        <w:t>各市建设局（委）、无锡市政和园林局：</w:t>
      </w:r>
    </w:p>
    <w:p>
      <w:pPr>
        <w:spacing w:line="460" w:lineRule="exact"/>
        <w:ind w:firstLine="456" w:firstLineChars="200"/>
        <w:rPr>
          <w:rFonts w:eastAsia="方正仿宋_GBK"/>
          <w:color w:val="000000"/>
          <w:spacing w:val="-6"/>
          <w:sz w:val="24"/>
        </w:rPr>
      </w:pPr>
      <w:r>
        <w:rPr>
          <w:rFonts w:hint="eastAsia" w:eastAsia="方正仿宋_GBK"/>
          <w:color w:val="000000"/>
          <w:spacing w:val="-6"/>
          <w:sz w:val="24"/>
        </w:rPr>
        <w:t>根据《城镇燃气管理条例》（</w:t>
      </w:r>
      <w:r>
        <w:rPr>
          <w:rFonts w:eastAsia="方正仿宋_GBK"/>
          <w:color w:val="000000"/>
          <w:spacing w:val="-6"/>
          <w:sz w:val="24"/>
        </w:rPr>
        <w:t xml:space="preserve"> </w:t>
      </w:r>
      <w:r>
        <w:rPr>
          <w:rFonts w:hint="eastAsia" w:eastAsia="方正仿宋_GBK"/>
          <w:color w:val="000000"/>
          <w:spacing w:val="-6"/>
          <w:sz w:val="24"/>
        </w:rPr>
        <w:t>国务院第</w:t>
      </w:r>
      <w:r>
        <w:rPr>
          <w:rFonts w:eastAsia="方正仿宋_GBK"/>
          <w:color w:val="000000"/>
          <w:spacing w:val="-6"/>
          <w:sz w:val="24"/>
        </w:rPr>
        <w:t>583</w:t>
      </w:r>
      <w:r>
        <w:rPr>
          <w:rFonts w:hint="eastAsia" w:eastAsia="方正仿宋_GBK"/>
          <w:color w:val="000000"/>
          <w:spacing w:val="-6"/>
          <w:sz w:val="24"/>
        </w:rPr>
        <w:t>号令）、《建设项目安全设施</w:t>
      </w:r>
      <w:r>
        <w:rPr>
          <w:rFonts w:eastAsia="方正仿宋_GBK"/>
          <w:color w:val="000000"/>
          <w:spacing w:val="-6"/>
          <w:sz w:val="24"/>
        </w:rPr>
        <w:t>“</w:t>
      </w:r>
      <w:r>
        <w:rPr>
          <w:rFonts w:hint="eastAsia" w:eastAsia="方正仿宋_GBK"/>
          <w:color w:val="000000"/>
          <w:spacing w:val="-6"/>
          <w:sz w:val="24"/>
        </w:rPr>
        <w:t>三同时</w:t>
      </w:r>
      <w:r>
        <w:rPr>
          <w:rFonts w:eastAsia="方正仿宋_GBK"/>
          <w:color w:val="000000"/>
          <w:spacing w:val="-6"/>
          <w:sz w:val="24"/>
        </w:rPr>
        <w:t>”</w:t>
      </w:r>
      <w:r>
        <w:rPr>
          <w:rFonts w:hint="eastAsia" w:eastAsia="方正仿宋_GBK"/>
          <w:color w:val="000000"/>
          <w:spacing w:val="-6"/>
          <w:sz w:val="24"/>
        </w:rPr>
        <w:t>监督管理暂行办法》（国家安全生产监督管理总局</w:t>
      </w:r>
      <w:r>
        <w:rPr>
          <w:rFonts w:eastAsia="方正仿宋_GBK"/>
          <w:color w:val="000000"/>
          <w:spacing w:val="-6"/>
          <w:sz w:val="24"/>
        </w:rPr>
        <w:t>36</w:t>
      </w:r>
      <w:r>
        <w:rPr>
          <w:rFonts w:hint="eastAsia" w:eastAsia="方正仿宋_GBK"/>
          <w:color w:val="000000"/>
          <w:spacing w:val="-6"/>
          <w:sz w:val="24"/>
        </w:rPr>
        <w:t>号令）等有关法律、法规规定，为了进一步加强燃气工程初步设计管理，决定对《江苏省燃气工程项目初步设计管理办法》（苏建法〔</w:t>
      </w:r>
      <w:r>
        <w:rPr>
          <w:rFonts w:eastAsia="方正仿宋_GBK"/>
          <w:color w:val="000000"/>
          <w:spacing w:val="-6"/>
          <w:sz w:val="24"/>
        </w:rPr>
        <w:t>2006</w:t>
      </w:r>
      <w:r>
        <w:rPr>
          <w:rFonts w:hint="eastAsia" w:eastAsia="方正仿宋_GBK"/>
          <w:color w:val="000000"/>
          <w:spacing w:val="-6"/>
          <w:sz w:val="24"/>
        </w:rPr>
        <w:t>〕</w:t>
      </w:r>
      <w:r>
        <w:rPr>
          <w:rFonts w:eastAsia="方正仿宋_GBK"/>
          <w:color w:val="000000"/>
          <w:spacing w:val="-6"/>
          <w:sz w:val="24"/>
        </w:rPr>
        <w:t>279</w:t>
      </w:r>
      <w:r>
        <w:rPr>
          <w:rFonts w:hint="eastAsia" w:eastAsia="方正仿宋_GBK"/>
          <w:color w:val="000000"/>
          <w:spacing w:val="-6"/>
          <w:sz w:val="24"/>
        </w:rPr>
        <w:t>号，以下简称《办法》）予以修改。现将修改内容通知如下：</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办法》第一条修改为：为了加强燃气工程建设管理，保证燃气工程设计质量，根据国务院《建设工程质量管理条例》、《建设工程勘察设计管理条例》、《城镇燃气管理条例》、《江苏省燃气管理条例》以及有关法律法规的规定，制定本办法。</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二、《办法》第二条修改为：</w:t>
      </w:r>
      <w:r>
        <w:rPr>
          <w:rFonts w:eastAsia="方正仿宋_GBK"/>
          <w:color w:val="000000"/>
          <w:spacing w:val="-2"/>
          <w:sz w:val="24"/>
        </w:rPr>
        <w:t xml:space="preserve"> </w:t>
      </w:r>
      <w:r>
        <w:rPr>
          <w:rFonts w:hint="eastAsia" w:eastAsia="方正仿宋_GBK"/>
          <w:color w:val="000000"/>
          <w:spacing w:val="-2"/>
          <w:sz w:val="24"/>
        </w:rPr>
        <w:t>本办法所称燃气工程是指燃气生产、贮存、输配、销售设施，包括：燃气场站（人工煤气生产厂、燃气储配场、气化站、混气站、加气站、灌装站、调压站）及管道输配设施。</w:t>
      </w:r>
    </w:p>
    <w:p>
      <w:pPr>
        <w:spacing w:line="600" w:lineRule="exact"/>
        <w:ind w:firstLine="645"/>
        <w:rPr>
          <w:rFonts w:eastAsia="仿宋_GB2312"/>
          <w:color w:val="000000"/>
          <w:sz w:val="32"/>
          <w:szCs w:val="21"/>
        </w:rPr>
      </w:pPr>
      <w:r>
        <w:rPr>
          <w:rFonts w:hint="eastAsia" w:eastAsia="方正仿宋_GBK"/>
          <w:color w:val="000000"/>
          <w:spacing w:val="-2"/>
          <w:sz w:val="24"/>
        </w:rPr>
        <w:t>三、《办法》第四条修改为：燃气工程省级核准的跨市、县（市）区域项目的初步设计文件由省级建设部门审查批准，其他省级核准项目由项目所在地建设主管部门审查批准，市、县（市）核准项目由同级建设主管部门审查批准。政府投资的燃气工程项目的初步设计文件审查按照国家和省有关规定执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办法》第十条修改为：初步设计审查后，建设单位应督促设计单位根据专家审查意见对初步设计文件进行修改、补充和完善，并向审查机关提交初步设计修改文件以及环境影响评价审批意见、安全预评价备案书、规划选址意见书等相关附件材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审查机关对初步设计修改文件及相关附件材料进行复审后，按规定时间向建设单位核发初步设计批复文件。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办法》第十一条修改为：燃气工程建设项目的安全预评价由建设单位委托有相应等级的燃气生产及供应业或陆上石油和天然气开采业、管道运输业评价类别的安全评价单位进行。安全预评价报告须报相应的安全生产监督管理部门备案。</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附件：江苏省燃气工程项目初步设计管理办法（修订）</w:t>
      </w:r>
    </w:p>
    <w:p>
      <w:pPr>
        <w:spacing w:line="460" w:lineRule="exact"/>
        <w:jc w:val="left"/>
        <w:rPr>
          <w:rFonts w:eastAsia="方正仿宋_GBK"/>
          <w:color w:val="000000"/>
          <w:spacing w:val="-2"/>
          <w:sz w:val="24"/>
        </w:rPr>
      </w:pPr>
    </w:p>
    <w:p>
      <w:pPr>
        <w:spacing w:line="460" w:lineRule="exact"/>
        <w:ind w:right="439" w:rightChars="209" w:firstLine="3422" w:firstLineChars="1450"/>
        <w:jc w:val="right"/>
        <w:rPr>
          <w:rFonts w:eastAsia="方正仿宋_GBK"/>
          <w:color w:val="000000"/>
          <w:spacing w:val="-2"/>
          <w:sz w:val="24"/>
        </w:rPr>
      </w:pPr>
      <w:r>
        <w:rPr>
          <w:rFonts w:hint="eastAsia" w:eastAsia="方正仿宋_GBK"/>
          <w:color w:val="000000"/>
          <w:spacing w:val="-2"/>
          <w:sz w:val="24"/>
        </w:rPr>
        <w:t>江苏省住房和城乡建设厅</w:t>
      </w:r>
    </w:p>
    <w:p>
      <w:pPr>
        <w:spacing w:line="460" w:lineRule="exact"/>
        <w:ind w:right="640" w:firstLine="472" w:firstLineChars="200"/>
        <w:rPr>
          <w:rFonts w:eastAsia="方正仿宋_GBK"/>
          <w:color w:val="000000"/>
          <w:spacing w:val="-2"/>
          <w:sz w:val="24"/>
        </w:rPr>
      </w:pPr>
      <w:r>
        <w:rPr>
          <w:rFonts w:eastAsia="方正仿宋_GBK"/>
          <w:color w:val="000000"/>
          <w:spacing w:val="-2"/>
          <w:sz w:val="24"/>
        </w:rPr>
        <w:t xml:space="preserve">                                                2013</w:t>
      </w:r>
      <w:r>
        <w:rPr>
          <w:rFonts w:hint="eastAsia" w:eastAsia="方正仿宋_GBK"/>
          <w:color w:val="000000"/>
          <w:spacing w:val="-2"/>
          <w:sz w:val="24"/>
        </w:rPr>
        <w:t>年</w:t>
      </w:r>
      <w:r>
        <w:rPr>
          <w:rFonts w:eastAsia="方正仿宋_GBK"/>
          <w:color w:val="000000"/>
          <w:spacing w:val="-2"/>
          <w:sz w:val="24"/>
        </w:rPr>
        <w:t>4</w:t>
      </w:r>
      <w:r>
        <w:rPr>
          <w:rFonts w:hint="eastAsia" w:eastAsia="方正仿宋_GBK"/>
          <w:color w:val="000000"/>
          <w:spacing w:val="-2"/>
          <w:sz w:val="24"/>
        </w:rPr>
        <w:t>月</w:t>
      </w:r>
      <w:r>
        <w:rPr>
          <w:rFonts w:eastAsia="方正仿宋_GBK"/>
          <w:color w:val="000000"/>
          <w:spacing w:val="-2"/>
          <w:sz w:val="24"/>
        </w:rPr>
        <w:t xml:space="preserve">27 </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ind w:firstLine="472" w:firstLineChars="200"/>
        <w:jc w:val="right"/>
        <w:rPr>
          <w:rFonts w:eastAsia="方正仿宋_GBK"/>
          <w:color w:val="000000"/>
          <w:spacing w:val="-2"/>
          <w:sz w:val="24"/>
        </w:rPr>
      </w:pPr>
    </w:p>
    <w:p>
      <w:pPr>
        <w:spacing w:line="460" w:lineRule="exact"/>
        <w:rPr>
          <w:rFonts w:eastAsia="方正黑体_GBK"/>
          <w:color w:val="000000"/>
          <w:spacing w:val="-2"/>
          <w:sz w:val="36"/>
          <w:szCs w:val="36"/>
        </w:rPr>
      </w:pPr>
    </w:p>
    <w:p>
      <w:pPr>
        <w:spacing w:line="460" w:lineRule="exact"/>
        <w:ind w:left="1068" w:hanging="1068" w:hangingChars="300"/>
        <w:jc w:val="center"/>
        <w:rPr>
          <w:rFonts w:eastAsia="方正黑体_GBK"/>
          <w:color w:val="000000"/>
          <w:spacing w:val="-2"/>
          <w:sz w:val="36"/>
          <w:szCs w:val="36"/>
        </w:rPr>
      </w:pPr>
      <w:r>
        <w:rPr>
          <w:rFonts w:hint="eastAsia" w:eastAsia="方正黑体_GBK"/>
          <w:color w:val="000000"/>
          <w:spacing w:val="-2"/>
          <w:sz w:val="36"/>
          <w:szCs w:val="36"/>
        </w:rPr>
        <w:t>江苏省燃气工程项目初步设计管理办法（修订）</w:t>
      </w:r>
    </w:p>
    <w:p>
      <w:pPr>
        <w:spacing w:line="440" w:lineRule="exact"/>
        <w:ind w:firstLine="472" w:firstLineChars="200"/>
        <w:rPr>
          <w:rFonts w:eastAsia="方正仿宋_GBK"/>
          <w:color w:val="000000"/>
          <w:spacing w:val="-2"/>
          <w:sz w:val="24"/>
        </w:rPr>
      </w:pP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了加强燃气工程建设管理，保证燃气工程设计质量，根据国务院《建设工程质量管理条例》、《建设工程勘察设计管理条例》、《城镇燃气管理条例》、《江苏省燃气管理条例》以及有关法律法规的规定，制定本办法。</w:t>
      </w:r>
    </w:p>
    <w:p>
      <w:pPr>
        <w:spacing w:line="440" w:lineRule="exact"/>
        <w:ind w:firstLine="472" w:firstLineChars="200"/>
        <w:jc w:val="left"/>
        <w:rPr>
          <w:rFonts w:eastAsia="方正仿宋_GBK"/>
          <w:color w:val="000000"/>
          <w:spacing w:val="-2"/>
          <w:sz w:val="24"/>
        </w:rPr>
      </w:pPr>
      <w:r>
        <w:rPr>
          <w:rFonts w:hint="eastAsia"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本办法所称燃气工程是指燃气生产、贮存、输配、销售设施，包括：燃气场站（人工煤气生产厂、燃气储配场、气化站、混气站、加气站、灌装站、调压站）、管道输配设施。</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省、市、县（市）建设（市政公用）行政主管部门（以下统称建设行政主管部门）负责非政府投资的燃气工程项目初步设计的审批管理工作。</w:t>
      </w:r>
    </w:p>
    <w:p>
      <w:pPr>
        <w:spacing w:line="440" w:lineRule="exact"/>
        <w:ind w:firstLine="472" w:firstLineChars="200"/>
        <w:jc w:val="left"/>
        <w:rPr>
          <w:rFonts w:eastAsia="方正仿宋_GBK"/>
          <w:color w:val="000000"/>
          <w:spacing w:val="-2"/>
          <w:sz w:val="24"/>
        </w:rPr>
      </w:pPr>
      <w:r>
        <w:rPr>
          <w:rFonts w:hint="eastAsia"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燃气工程省级核准的跨市、县（市）区域项目的初步设计文件由省级建设部门审查批准，其他省级核准项目由项目所在地建设主管部门审查批准，市、县（市）核准项目由同级建设主管部门审查批准。政府投资的燃气工程项目的初步设计文件审查按照国家和省有关规定执行。</w:t>
      </w:r>
    </w:p>
    <w:p>
      <w:pPr>
        <w:spacing w:line="440" w:lineRule="exact"/>
        <w:ind w:firstLine="472" w:firstLineChars="200"/>
        <w:rPr>
          <w:rFonts w:eastAsia="方正仿宋_GBK"/>
          <w:color w:val="000000"/>
          <w:spacing w:val="-6"/>
          <w:sz w:val="24"/>
        </w:rPr>
      </w:pPr>
      <w:r>
        <w:rPr>
          <w:rFonts w:hint="eastAsia"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6"/>
          <w:sz w:val="24"/>
        </w:rPr>
        <w:t>建设单位应持发改部门核发的《项目核准通知》，在落实相关外部条件的前提下，委托具有相应燃气设计资格的单位，在双方签署设计合同后，编制初步设计文件。</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初步设计文件深度必须符合建设部颁发的《市政公用工程设计文件编制深度规定》的有关要求。</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设计单位应当严格执行国家、省有关燃气工程建设法律、法规和工程建设强制性技术标准，对其承接的燃气工程设计质量负责。工程选用的设备、材料，应当符合国家标准、行业标准。</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初步设计文件编制完成后，建设单位应当按照项目审批权限向相应的审查批准机关提出初步设计审查申请并附需要送审的初步设计文件，送审材料须同时抄送项目所在地建设行政主管部门。</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审查机关在组织初步设计审查时应邀请设计、科研等单位的专家以及政府有关部门参加，组成专家审查委员会。专家审查委员会负责技术、经济审查，并提出书面审查意见。</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燃气工程初步设计审查的主要内容有：（一）工程设计是否符合核准的建设规模、建设标准、设计方案、投资估算等；（二）工程项目是否符合城市总体规划和燃气专业规划要求及规划部门对选址的具体意见；（三）设计文件是否达到了设计编制深度要求；（四）设计文件是否符合《城镇燃气设计规范》、《建筑设计防火规范》等有关燃气安全标准、规范、规定的要求；（五）工程项目是否按国家法律、法规规定完善了环保、安全评价等事项。</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第十条</w:t>
      </w:r>
      <w:r>
        <w:rPr>
          <w:rFonts w:eastAsia="方正仿宋_GBK"/>
          <w:color w:val="000000"/>
          <w:spacing w:val="-2"/>
          <w:sz w:val="24"/>
        </w:rPr>
        <w:t xml:space="preserve">  </w:t>
      </w:r>
      <w:r>
        <w:rPr>
          <w:rFonts w:hint="eastAsia" w:eastAsia="方正仿宋_GBK"/>
          <w:color w:val="000000"/>
          <w:spacing w:val="-2"/>
          <w:sz w:val="24"/>
        </w:rPr>
        <w:t>初步设计审查后，建设单位应督促设计单位根据专家审查意见对初步设计文件进行修改、补充和完善，并向审查机关提交初步设计修改文件以及环境影响评价审批意见、安全预评价备案书、规划选址意见书等相关附件材料。</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审查机关对初步设计修改文件及相关附件材料进行复审后，按规定时间向建设单位核发初步设计批复文件。</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燃气工程建设项目的安全预评价由建设单位委托有相应等级的燃气生产及供应业或陆上石油和天然气开采业、管道运输业评价类别的安全评价单位进行。安全预评价报告须报相应的安全生产监督管理部门备案。</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燃气工程建设项目的环境影响评价由建设单位委托有相应等级的环境影响评价资格的单位进行。环境影响报告书或者环境影响报告表须经负责审批初步设计的建设行政主管部门预审出具意见后，报有审批权的环境保护行政主管部门审批。</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经批准后的初步设计是建设项目实施的法定依据，设计单位必须按照批准的初步设计内容、工程量和建设标准进行施工图设计。</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对已批准的初步设计文件，如需对建设规模、建设内容、工艺路线、建设地址等主要设计内容进行调整的，建设单位应当按照原规定程序报请审查机关审批。未经审查批准的设计变更不得实施。</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建设单位在报审设计变更文件时，应当提交以下材料：</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（一）设计变更申请。包括变更的主要内容、变更的主要理由、变更设计的设计单位资格等；</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（二）设计变更的设计图纸及原设计相应图纸；</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（三）工程量、投资变化对照清单。</w:t>
      </w:r>
    </w:p>
    <w:p>
      <w:pPr>
        <w:spacing w:line="440" w:lineRule="exact"/>
        <w:ind w:firstLine="472" w:firstLineChars="200"/>
        <w:rPr>
          <w:rFonts w:eastAsia="方正仿宋_GBK"/>
          <w:color w:val="000000"/>
          <w:spacing w:val="-6"/>
          <w:sz w:val="24"/>
        </w:rPr>
      </w:pPr>
      <w:r>
        <w:rPr>
          <w:rFonts w:hint="eastAsia"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6"/>
          <w:sz w:val="24"/>
        </w:rPr>
        <w:t>燃气工程项目的初步设计文件以及设计变更文件未经建设行政主管部门审查批准的，由建设行政主管部门按《江苏省燃气管理条例》第五十五条规定予以处罚。</w:t>
      </w:r>
    </w:p>
    <w:p>
      <w:pPr>
        <w:spacing w:line="440" w:lineRule="exact"/>
        <w:ind w:firstLine="472" w:firstLineChars="200"/>
        <w:rPr>
          <w:rFonts w:eastAsia="方正黑体_GBK"/>
          <w:color w:val="000000"/>
          <w:spacing w:val="-12"/>
          <w:sz w:val="24"/>
        </w:rPr>
      </w:pPr>
      <w:r>
        <w:rPr>
          <w:rFonts w:hint="eastAsia" w:eastAsia="方正黑体_GBK"/>
          <w:color w:val="000000"/>
          <w:spacing w:val="-2"/>
          <w:sz w:val="24"/>
        </w:rPr>
        <w:t>第十六条</w:t>
      </w:r>
      <w:r>
        <w:rPr>
          <w:rFonts w:eastAsia="方正仿宋_GBK"/>
          <w:color w:val="000000"/>
          <w:spacing w:val="-2"/>
          <w:sz w:val="24"/>
        </w:rPr>
        <w:t xml:space="preserve">  </w:t>
      </w:r>
      <w:r>
        <w:rPr>
          <w:rFonts w:hint="eastAsia" w:eastAsia="方正仿宋_GBK"/>
          <w:color w:val="000000"/>
          <w:spacing w:val="-12"/>
          <w:sz w:val="24"/>
        </w:rPr>
        <w:t>政府投资的燃气工程项目的初步设计文件审查按照国家和省有关规定执行。</w:t>
      </w:r>
    </w:p>
    <w:p>
      <w:pPr>
        <w:spacing w:line="440" w:lineRule="exact"/>
        <w:ind w:firstLine="472" w:firstLineChars="200"/>
        <w:rPr>
          <w:rFonts w:eastAsia="方正仿宋_GBK"/>
          <w:color w:val="000000"/>
          <w:spacing w:val="-2"/>
          <w:sz w:val="24"/>
        </w:rPr>
      </w:pPr>
      <w:r>
        <w:rPr>
          <w:rFonts w:hint="eastAsia" w:eastAsia="方正黑体_GBK"/>
          <w:color w:val="000000"/>
          <w:spacing w:val="-2"/>
          <w:sz w:val="24"/>
        </w:rPr>
        <w:t>第十七条</w:t>
      </w:r>
      <w:r>
        <w:rPr>
          <w:rFonts w:eastAsia="方正黑体_GBK"/>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本办法自</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6</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日起施行。</w:t>
      </w:r>
    </w:p>
    <w:p>
      <w:pPr>
        <w:spacing w:line="460" w:lineRule="exact"/>
        <w:rPr>
          <w:rFonts w:eastAsia="方正仿宋_GBK"/>
          <w:color w:val="000000"/>
          <w:spacing w:val="-2"/>
          <w:sz w:val="24"/>
        </w:rPr>
      </w:pPr>
    </w:p>
    <w:p>
      <w:pPr>
        <w:pStyle w:val="2"/>
        <w:spacing w:before="240" w:beforeLines="100" w:after="240" w:afterLines="100" w:line="240" w:lineRule="auto"/>
        <w:jc w:val="center"/>
        <w:rPr>
          <w:rFonts w:ascii="Times New Roman" w:eastAsia="方正小标宋_GBK"/>
          <w:b w:val="0"/>
          <w:sz w:val="36"/>
          <w:szCs w:val="36"/>
        </w:rPr>
      </w:pPr>
      <w:r>
        <w:rPr>
          <w:rFonts w:hint="eastAsia" w:ascii="Times New Roman" w:eastAsia="方正小标宋简体"/>
          <w:b w:val="0"/>
          <w:color w:val="000000"/>
          <w:sz w:val="36"/>
          <w:szCs w:val="36"/>
        </w:rPr>
        <w:br w:type="column"/>
      </w:r>
      <w:bookmarkStart w:id="124" w:name="_Toc20726352"/>
      <w:bookmarkStart w:id="125" w:name="_Toc18315433"/>
      <w:r>
        <w:rPr>
          <w:rFonts w:hint="eastAsia" w:ascii="Times New Roman" w:eastAsia="方正小标宋_GBK"/>
          <w:b w:val="0"/>
          <w:sz w:val="36"/>
          <w:szCs w:val="36"/>
        </w:rPr>
        <w:t>省住房城乡建设厅关于转发《住房城乡建设部关于加强城镇供水设施改造建设和运行管理工作的通知》的通知</w:t>
      </w:r>
      <w:bookmarkEnd w:id="124"/>
      <w:bookmarkEnd w:id="12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26" w:name="_Toc20726353"/>
      <w:bookmarkStart w:id="127" w:name="_Toc18315434"/>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89</w:t>
      </w:r>
      <w:r>
        <w:rPr>
          <w:rFonts w:hint="eastAsia" w:ascii="Times New Roman" w:hAnsi="Times New Roman" w:eastAsia="方正楷体_GBK"/>
          <w:b w:val="0"/>
          <w:sz w:val="24"/>
          <w:szCs w:val="24"/>
        </w:rPr>
        <w:t>号</w:t>
      </w:r>
      <w:bookmarkEnd w:id="126"/>
      <w:bookmarkEnd w:id="127"/>
    </w:p>
    <w:p>
      <w:pPr>
        <w:spacing w:line="460" w:lineRule="exact"/>
        <w:rPr>
          <w:rFonts w:eastAsia="方正仿宋_GBK"/>
          <w:color w:val="000000"/>
          <w:spacing w:val="-2"/>
          <w:sz w:val="24"/>
        </w:rPr>
      </w:pPr>
      <w:r>
        <w:rPr>
          <w:rFonts w:hint="eastAsia" w:eastAsia="方正仿宋_GBK"/>
          <w:color w:val="000000"/>
          <w:spacing w:val="-2"/>
          <w:sz w:val="24"/>
        </w:rPr>
        <w:t>各省辖市建设局（委），无锡市市政园林局，徐州、苏州、宿迁市水务局，昆山市住房和城乡建设局，泰兴市、沭阳县水务局：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为加快推进城镇供水基础设施建设和改造，有效提升和改善供水水质，保障城乡居民饮用水安全，现将《住房城乡建设部关于加强城镇供水设施改造建设和运行管理工作的通知》（建城〔</w:t>
      </w:r>
      <w:r>
        <w:rPr>
          <w:rFonts w:eastAsia="方正仿宋_GBK"/>
          <w:color w:val="000000"/>
          <w:spacing w:val="-2"/>
          <w:sz w:val="24"/>
        </w:rPr>
        <w:t>2012</w:t>
      </w:r>
      <w:r>
        <w:rPr>
          <w:rFonts w:hint="eastAsia" w:eastAsia="方正仿宋_GBK"/>
          <w:color w:val="000000"/>
          <w:spacing w:val="-2"/>
          <w:sz w:val="24"/>
        </w:rPr>
        <w:t>〕</w:t>
      </w:r>
      <w:r>
        <w:rPr>
          <w:rFonts w:eastAsia="方正仿宋_GBK"/>
          <w:color w:val="000000"/>
          <w:spacing w:val="-2"/>
          <w:sz w:val="24"/>
        </w:rPr>
        <w:t>149</w:t>
      </w:r>
      <w:r>
        <w:rPr>
          <w:rFonts w:hint="eastAsia" w:eastAsia="方正仿宋_GBK"/>
          <w:color w:val="000000"/>
          <w:spacing w:val="-2"/>
          <w:sz w:val="24"/>
        </w:rPr>
        <w:t>号）转发给你们，结合《江苏省城镇供水设施改造与建设</w:t>
      </w:r>
      <w:r>
        <w:rPr>
          <w:rFonts w:eastAsia="方正仿宋_GBK"/>
          <w:color w:val="000000"/>
          <w:spacing w:val="-2"/>
          <w:sz w:val="24"/>
        </w:rPr>
        <w:t>“</w:t>
      </w:r>
      <w:r>
        <w:rPr>
          <w:rFonts w:hint="eastAsia" w:eastAsia="方正仿宋_GBK"/>
          <w:color w:val="000000"/>
          <w:spacing w:val="-2"/>
          <w:sz w:val="24"/>
        </w:rPr>
        <w:t>十二五</w:t>
      </w:r>
      <w:r>
        <w:rPr>
          <w:rFonts w:eastAsia="方正仿宋_GBK"/>
          <w:color w:val="000000"/>
          <w:spacing w:val="-2"/>
          <w:sz w:val="24"/>
        </w:rPr>
        <w:t>”</w:t>
      </w:r>
      <w:r>
        <w:rPr>
          <w:rFonts w:hint="eastAsia" w:eastAsia="方正仿宋_GBK"/>
          <w:color w:val="000000"/>
          <w:spacing w:val="-2"/>
          <w:sz w:val="24"/>
        </w:rPr>
        <w:t>规划及</w:t>
      </w:r>
      <w:r>
        <w:rPr>
          <w:rFonts w:eastAsia="方正仿宋_GBK"/>
          <w:color w:val="000000"/>
          <w:spacing w:val="-2"/>
          <w:sz w:val="24"/>
        </w:rPr>
        <w:t>2020</w:t>
      </w:r>
      <w:r>
        <w:rPr>
          <w:rFonts w:hint="eastAsia" w:eastAsia="方正仿宋_GBK"/>
          <w:color w:val="000000"/>
          <w:spacing w:val="-2"/>
          <w:sz w:val="24"/>
        </w:rPr>
        <w:t>年远景目标》（以下简称《规划》）的实施，提出如下意见，请一并贯彻执行。</w:t>
      </w:r>
    </w:p>
    <w:p>
      <w:pPr>
        <w:spacing w:line="460" w:lineRule="exact"/>
        <w:ind w:firstLine="472" w:firstLineChars="200"/>
        <w:rPr>
          <w:rFonts w:eastAsia="方正仿宋_GBK"/>
          <w:color w:val="000000"/>
          <w:spacing w:val="-2"/>
          <w:sz w:val="24"/>
        </w:rPr>
      </w:pPr>
      <w:r>
        <w:rPr>
          <w:rFonts w:eastAsia="方正楷体_GBK"/>
          <w:color w:val="000000"/>
          <w:spacing w:val="-2"/>
          <w:sz w:val="24"/>
        </w:rPr>
        <w:t>1</w:t>
      </w:r>
      <w:r>
        <w:rPr>
          <w:rFonts w:hint="eastAsia" w:eastAsia="方正楷体_GBK"/>
          <w:color w:val="000000"/>
          <w:spacing w:val="-2"/>
          <w:sz w:val="24"/>
        </w:rPr>
        <w:t>、加快推进供水基础设施建设和改造。</w:t>
      </w:r>
      <w:r>
        <w:rPr>
          <w:rFonts w:hint="eastAsia" w:eastAsia="方正仿宋_GBK"/>
          <w:color w:val="000000"/>
          <w:spacing w:val="-2"/>
          <w:sz w:val="24"/>
        </w:rPr>
        <w:t>各地城市供水行业主管部门要委托有资质的编制单位，根据当地城市总体规划，结合《规划》已确定的工程项目，按照《城市给水工程规划规范》等国家标准要求，于</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3</w:t>
      </w:r>
      <w:r>
        <w:rPr>
          <w:rFonts w:hint="eastAsia" w:eastAsia="方正仿宋_GBK"/>
          <w:color w:val="000000"/>
          <w:spacing w:val="-2"/>
          <w:sz w:val="24"/>
        </w:rPr>
        <w:t>月底前编制或修订完成城市供水专项规划。加快第二水源、应急备用水源建设，尽快形成</w:t>
      </w:r>
      <w:r>
        <w:rPr>
          <w:rFonts w:eastAsia="方正仿宋_GBK"/>
          <w:color w:val="000000"/>
          <w:spacing w:val="-2"/>
          <w:sz w:val="24"/>
        </w:rPr>
        <w:t>“</w:t>
      </w:r>
      <w:r>
        <w:rPr>
          <w:rFonts w:hint="eastAsia" w:eastAsia="方正仿宋_GBK"/>
          <w:color w:val="000000"/>
          <w:spacing w:val="-2"/>
          <w:sz w:val="24"/>
        </w:rPr>
        <w:t>双源供水，双重保障</w:t>
      </w:r>
      <w:r>
        <w:rPr>
          <w:rFonts w:eastAsia="方正仿宋_GBK"/>
          <w:color w:val="000000"/>
          <w:spacing w:val="-2"/>
          <w:sz w:val="24"/>
        </w:rPr>
        <w:t>”</w:t>
      </w:r>
      <w:r>
        <w:rPr>
          <w:rFonts w:hint="eastAsia" w:eastAsia="方正仿宋_GBK"/>
          <w:color w:val="000000"/>
          <w:spacing w:val="-2"/>
          <w:sz w:val="24"/>
        </w:rPr>
        <w:t>能力。徐州地区以地下水为水源的城市，要加强方案比选和论证，加快地表水厂建设进度。原水水质不能稳定达标的城市，要按照《规划》要求，结合本地近远期建设改造计划，加快推进自来水深度处理工艺建设和改造，确保供水水质全面稳定达标。要把城市供水管网改造作为重点，优先改造管道材质差、建设年代久、漏损严重和对供水水质安全影响较大的管网；已经实现区域城乡一体化供水的地区，要把镇村管网纳入改造范围全面进行改造，杜绝因管网污染引起的群体性卫生事件。</w:t>
      </w:r>
    </w:p>
    <w:p>
      <w:pPr>
        <w:spacing w:line="460" w:lineRule="exact"/>
        <w:ind w:firstLine="472" w:firstLineChars="200"/>
        <w:rPr>
          <w:rFonts w:eastAsia="方正仿宋_GBK"/>
          <w:color w:val="000000"/>
          <w:spacing w:val="-2"/>
          <w:sz w:val="24"/>
        </w:rPr>
      </w:pPr>
      <w:r>
        <w:rPr>
          <w:rFonts w:eastAsia="方正楷体_GBK"/>
          <w:color w:val="000000"/>
          <w:spacing w:val="-2"/>
          <w:sz w:val="24"/>
        </w:rPr>
        <w:t>2</w:t>
      </w:r>
      <w:r>
        <w:rPr>
          <w:rFonts w:hint="eastAsia" w:eastAsia="方正楷体_GBK"/>
          <w:color w:val="000000"/>
          <w:spacing w:val="-2"/>
          <w:sz w:val="24"/>
        </w:rPr>
        <w:t>、强化二次供水设施的改造与管理</w:t>
      </w:r>
      <w:r>
        <w:rPr>
          <w:rFonts w:hint="eastAsia" w:eastAsia="方正仿宋_GBK"/>
          <w:color w:val="000000"/>
          <w:spacing w:val="-2"/>
          <w:sz w:val="24"/>
        </w:rPr>
        <w:t>。按照《江苏省城乡供水管理条例》要求，组织城市公共供水企业抓紧摸清老旧住宅小区的二次供水设施现状，鼓励和引导产权人将二次供水设施移交或委托供水企业进行运营维护，加快二次供水设施改造，落实二次供水设施的统一管理，通过财政补贴、住宅专项维修资金等解决改造费用，确保</w:t>
      </w:r>
      <w:r>
        <w:rPr>
          <w:rFonts w:eastAsia="方正仿宋_GBK"/>
          <w:color w:val="000000"/>
          <w:spacing w:val="-2"/>
          <w:sz w:val="24"/>
        </w:rPr>
        <w:t>2015</w:t>
      </w:r>
      <w:r>
        <w:rPr>
          <w:rFonts w:hint="eastAsia" w:eastAsia="方正仿宋_GBK"/>
          <w:color w:val="000000"/>
          <w:spacing w:val="-2"/>
          <w:sz w:val="24"/>
        </w:rPr>
        <w:t>年底前基本完成改造任务（按照附件</w:t>
      </w:r>
      <w:r>
        <w:rPr>
          <w:rFonts w:eastAsia="方正仿宋_GBK"/>
          <w:color w:val="000000"/>
          <w:spacing w:val="-2"/>
          <w:sz w:val="24"/>
        </w:rPr>
        <w:t>1</w:t>
      </w:r>
      <w:r>
        <w:rPr>
          <w:rFonts w:hint="eastAsia" w:eastAsia="方正仿宋_GBK"/>
          <w:color w:val="000000"/>
          <w:spacing w:val="-2"/>
          <w:sz w:val="24"/>
        </w:rPr>
        <w:t>认真填报二次供水设施改造情况）。</w:t>
      </w:r>
    </w:p>
    <w:p>
      <w:pPr>
        <w:spacing w:line="460" w:lineRule="exact"/>
        <w:ind w:firstLine="472" w:firstLineChars="200"/>
        <w:rPr>
          <w:rFonts w:eastAsia="方正仿宋_GBK"/>
          <w:color w:val="000000"/>
          <w:spacing w:val="-2"/>
          <w:sz w:val="24"/>
        </w:rPr>
      </w:pPr>
      <w:r>
        <w:rPr>
          <w:rFonts w:eastAsia="方正楷体_GBK"/>
          <w:color w:val="000000"/>
          <w:spacing w:val="-2"/>
          <w:sz w:val="24"/>
        </w:rPr>
        <w:t>3</w:t>
      </w:r>
      <w:r>
        <w:rPr>
          <w:rFonts w:hint="eastAsia" w:eastAsia="方正楷体_GBK"/>
          <w:color w:val="000000"/>
          <w:spacing w:val="-2"/>
          <w:sz w:val="24"/>
        </w:rPr>
        <w:t>、加强水质检测能力建设和水质监管。</w:t>
      </w:r>
      <w:r>
        <w:rPr>
          <w:rFonts w:hint="eastAsia" w:eastAsia="方正仿宋_GBK"/>
          <w:color w:val="000000"/>
          <w:spacing w:val="-2"/>
          <w:sz w:val="24"/>
        </w:rPr>
        <w:t>加大对城市供水水质监管的工作力度，定期开展巡查、抽查，督促供水企业严格落实有关标准规范和文件的要求，进一步完善运营管理制度，严格操作规程；按照《江苏省城市供水企业水质检测实验室等级能力建设指导手册》要求，加快水质等级检测实验室建设进度，确保</w:t>
      </w:r>
      <w:r>
        <w:rPr>
          <w:rFonts w:eastAsia="方正仿宋_GBK"/>
          <w:color w:val="000000"/>
          <w:spacing w:val="-2"/>
          <w:sz w:val="24"/>
        </w:rPr>
        <w:t>2013</w:t>
      </w:r>
      <w:r>
        <w:rPr>
          <w:rFonts w:hint="eastAsia" w:eastAsia="方正仿宋_GBK"/>
          <w:color w:val="000000"/>
          <w:spacing w:val="-2"/>
          <w:sz w:val="24"/>
        </w:rPr>
        <w:t>年底前建成相应规模的等级实验室；切实按照《生活饮用水卫生标准》规定开展水质检测工作，加强水质监控。</w:t>
      </w:r>
    </w:p>
    <w:p>
      <w:pPr>
        <w:spacing w:line="460" w:lineRule="exact"/>
        <w:ind w:firstLine="472" w:firstLineChars="200"/>
        <w:rPr>
          <w:rFonts w:eastAsia="方正仿宋_GBK"/>
          <w:color w:val="000000"/>
          <w:spacing w:val="-2"/>
          <w:sz w:val="24"/>
        </w:rPr>
      </w:pPr>
      <w:r>
        <w:rPr>
          <w:rFonts w:eastAsia="方正楷体_GBK"/>
          <w:color w:val="000000"/>
          <w:spacing w:val="-2"/>
          <w:sz w:val="24"/>
        </w:rPr>
        <w:t>4</w:t>
      </w:r>
      <w:r>
        <w:rPr>
          <w:rFonts w:hint="eastAsia" w:eastAsia="方正楷体_GBK"/>
          <w:color w:val="000000"/>
          <w:spacing w:val="-2"/>
          <w:sz w:val="24"/>
        </w:rPr>
        <w:t>、制定完善供水水质信息公示制度。</w:t>
      </w:r>
      <w:r>
        <w:rPr>
          <w:rFonts w:hint="eastAsia" w:eastAsia="方正仿宋_GBK"/>
          <w:color w:val="000000"/>
          <w:spacing w:val="-2"/>
          <w:sz w:val="24"/>
        </w:rPr>
        <w:t>按照《城市供水水质管理规定》、《生活饮用水卫生监督管理办法》、《江苏省城乡供水管理条例》、《江苏省城市供水水质督察管理办法》等要求，及时将供水水质检测结果和督查结果向社会公布。各地城市公共供水企业务必于</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6</w:t>
      </w:r>
      <w:r>
        <w:rPr>
          <w:rFonts w:hint="eastAsia" w:eastAsia="方正仿宋_GBK"/>
          <w:color w:val="000000"/>
          <w:spacing w:val="-2"/>
          <w:sz w:val="24"/>
        </w:rPr>
        <w:t>月底前建立和完善水质信息公布制度，利用各类媒体发布水质信息，接受社会监督（按照附件</w:t>
      </w:r>
      <w:r>
        <w:rPr>
          <w:rFonts w:eastAsia="方正仿宋_GBK"/>
          <w:color w:val="000000"/>
          <w:spacing w:val="-2"/>
          <w:sz w:val="24"/>
        </w:rPr>
        <w:t>2</w:t>
      </w:r>
      <w:r>
        <w:rPr>
          <w:rFonts w:hint="eastAsia" w:eastAsia="方正仿宋_GBK"/>
          <w:color w:val="000000"/>
          <w:spacing w:val="-2"/>
          <w:sz w:val="24"/>
        </w:rPr>
        <w:t>填报城市公共供水企业水质信息公布的形式、项目和频次等；按照附件</w:t>
      </w:r>
      <w:r>
        <w:rPr>
          <w:rFonts w:eastAsia="方正仿宋_GBK"/>
          <w:color w:val="000000"/>
          <w:spacing w:val="-2"/>
          <w:sz w:val="24"/>
        </w:rPr>
        <w:t>3</w:t>
      </w:r>
      <w:r>
        <w:rPr>
          <w:rFonts w:hint="eastAsia" w:eastAsia="方正仿宋_GBK"/>
          <w:color w:val="000000"/>
          <w:spacing w:val="-2"/>
          <w:sz w:val="24"/>
        </w:rPr>
        <w:t>填报城市供水行业主管部门水质督察信息的相关公示情况）。</w:t>
      </w:r>
    </w:p>
    <w:p>
      <w:pPr>
        <w:spacing w:line="460" w:lineRule="exact"/>
        <w:ind w:firstLine="472" w:firstLineChars="200"/>
        <w:rPr>
          <w:rFonts w:eastAsia="方正仿宋_GBK"/>
          <w:color w:val="000000"/>
          <w:spacing w:val="-2"/>
          <w:sz w:val="24"/>
        </w:rPr>
      </w:pPr>
      <w:r>
        <w:rPr>
          <w:rFonts w:eastAsia="方正楷体_GBK"/>
          <w:color w:val="000000"/>
          <w:spacing w:val="-2"/>
          <w:sz w:val="24"/>
        </w:rPr>
        <w:t>5</w:t>
      </w:r>
      <w:r>
        <w:rPr>
          <w:rFonts w:hint="eastAsia" w:eastAsia="方正楷体_GBK"/>
          <w:color w:val="000000"/>
          <w:spacing w:val="-2"/>
          <w:sz w:val="24"/>
        </w:rPr>
        <w:t>、进一步落实应急工作措施。</w:t>
      </w:r>
      <w:r>
        <w:rPr>
          <w:rFonts w:hint="eastAsia" w:eastAsia="方正仿宋_GBK"/>
          <w:color w:val="000000"/>
          <w:spacing w:val="-2"/>
          <w:sz w:val="24"/>
        </w:rPr>
        <w:t>督促城市公共供水企业委托专业化公司定期做好各类在线监测仪器仪表的维护管理工作，确保水质在线监测数据真实有效；强化应急处理设备的维护保养和应急处理药剂的储备工作；结合地区实际，加强安全保供应急预案的修订和定期演练，强化技术专家储备，确保一旦原水水质超标时，能及时、有效启动预案和强化处理工作。</w:t>
      </w:r>
    </w:p>
    <w:p>
      <w:pPr>
        <w:spacing w:line="460" w:lineRule="exact"/>
        <w:ind w:firstLine="472" w:firstLineChars="200"/>
        <w:rPr>
          <w:rFonts w:eastAsia="方正仿宋_GBK"/>
          <w:color w:val="000000"/>
          <w:spacing w:val="-2"/>
          <w:sz w:val="24"/>
        </w:rPr>
      </w:pPr>
      <w:r>
        <w:rPr>
          <w:rFonts w:eastAsia="方正楷体_GBK"/>
          <w:color w:val="000000"/>
          <w:spacing w:val="-2"/>
          <w:sz w:val="24"/>
        </w:rPr>
        <w:t>6</w:t>
      </w:r>
      <w:r>
        <w:rPr>
          <w:rFonts w:hint="eastAsia" w:eastAsia="方正楷体_GBK"/>
          <w:color w:val="000000"/>
          <w:spacing w:val="-2"/>
          <w:sz w:val="24"/>
        </w:rPr>
        <w:t>、依法加强工程建设管理</w:t>
      </w:r>
      <w:r>
        <w:rPr>
          <w:rFonts w:hint="eastAsia" w:eastAsia="方正仿宋_GBK"/>
          <w:color w:val="000000"/>
          <w:spacing w:val="-2"/>
          <w:sz w:val="24"/>
        </w:rPr>
        <w:t>。根据《建设工程质量管理条例》等有关要求，依法做好各类项目前期审批工作。严格执行项目法人制、招标投标制、工程监理制等制度，加强工程建设现场管理和技术指导，建立覆盖工程建设全过程的质量责任体系，落实参建各方质量终身负责制，确保工程质量和安全。各地供水行业主管部门要结合地方实际，制定完善输配水管网和二次供水设施建设改造的竣工验收标准，加强对工程项目质量安全监督检查，对存在质量安全问题的项目，要责令限期整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请省辖市供水行业主管部门负责通知所辖县（市、区），并汇总附件</w:t>
      </w:r>
      <w:r>
        <w:rPr>
          <w:rFonts w:eastAsia="方正仿宋_GBK"/>
          <w:color w:val="000000"/>
          <w:spacing w:val="-2"/>
          <w:sz w:val="24"/>
        </w:rPr>
        <w:t>1-3</w:t>
      </w:r>
      <w:r>
        <w:rPr>
          <w:rFonts w:hint="eastAsia" w:eastAsia="方正仿宋_GBK"/>
          <w:color w:val="000000"/>
          <w:spacing w:val="-2"/>
          <w:sz w:val="24"/>
        </w:rPr>
        <w:t>相关信息，于</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3</w:t>
      </w:r>
      <w:r>
        <w:rPr>
          <w:rFonts w:hint="eastAsia" w:eastAsia="方正仿宋_GBK"/>
          <w:color w:val="000000"/>
          <w:spacing w:val="-2"/>
          <w:sz w:val="24"/>
        </w:rPr>
        <w:t>月</w:t>
      </w:r>
      <w:r>
        <w:rPr>
          <w:rFonts w:eastAsia="方正仿宋_GBK"/>
          <w:color w:val="000000"/>
          <w:spacing w:val="-2"/>
          <w:sz w:val="24"/>
        </w:rPr>
        <w:t>15</w:t>
      </w:r>
      <w:r>
        <w:rPr>
          <w:rFonts w:hint="eastAsia" w:eastAsia="方正仿宋_GBK"/>
          <w:color w:val="000000"/>
          <w:spacing w:val="-2"/>
          <w:sz w:val="24"/>
        </w:rPr>
        <w:t>日前将电子版发至</w:t>
      </w:r>
      <w:r>
        <w:rPr>
          <w:rFonts w:eastAsia="方正仿宋_GBK"/>
          <w:color w:val="000000"/>
          <w:spacing w:val="-2"/>
          <w:sz w:val="24"/>
        </w:rPr>
        <w:t>jstjsb@126.com</w:t>
      </w:r>
      <w:r>
        <w:rPr>
          <w:rFonts w:hint="eastAsia" w:eastAsia="方正仿宋_GBK"/>
          <w:color w:val="000000"/>
          <w:spacing w:val="-2"/>
          <w:sz w:val="24"/>
        </w:rPr>
        <w:t>，纸质盖章文件传真至</w:t>
      </w:r>
      <w:r>
        <w:rPr>
          <w:rFonts w:eastAsia="方正仿宋_GBK"/>
          <w:color w:val="000000"/>
          <w:spacing w:val="-2"/>
          <w:sz w:val="24"/>
        </w:rPr>
        <w:t>025-51868622</w:t>
      </w:r>
      <w:r>
        <w:rPr>
          <w:rFonts w:hint="eastAsia" w:eastAsia="方正仿宋_GBK"/>
          <w:color w:val="000000"/>
          <w:spacing w:val="-2"/>
          <w:sz w:val="24"/>
        </w:rPr>
        <w:t>。附件请从</w:t>
      </w:r>
      <w:r>
        <w:rPr>
          <w:rFonts w:eastAsia="方正仿宋_GBK"/>
          <w:color w:val="000000"/>
          <w:spacing w:val="-2"/>
          <w:sz w:val="24"/>
        </w:rPr>
        <w:t>zjtcjc@126.com</w:t>
      </w:r>
      <w:r>
        <w:rPr>
          <w:rFonts w:hint="eastAsia" w:eastAsia="方正仿宋_GBK"/>
          <w:color w:val="000000"/>
          <w:spacing w:val="-2"/>
          <w:sz w:val="24"/>
        </w:rPr>
        <w:t>下载，密码：</w:t>
      </w:r>
      <w:r>
        <w:rPr>
          <w:rFonts w:eastAsia="方正仿宋_GBK"/>
          <w:color w:val="000000"/>
          <w:spacing w:val="-2"/>
          <w:sz w:val="24"/>
        </w:rPr>
        <w:t>zjtcjc123456</w:t>
      </w:r>
      <w:r>
        <w:rPr>
          <w:rFonts w:hint="eastAsia" w:eastAsia="方正仿宋_GBK"/>
          <w:color w:val="000000"/>
          <w:spacing w:val="-2"/>
          <w:sz w:val="24"/>
        </w:rPr>
        <w:t>。联系人：省住房城乡建设厅城建处：郭杨，</w:t>
      </w:r>
      <w:r>
        <w:rPr>
          <w:rFonts w:eastAsia="方正仿宋_GBK"/>
          <w:color w:val="000000"/>
          <w:spacing w:val="-2"/>
          <w:sz w:val="24"/>
        </w:rPr>
        <w:t>025-51868623</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eastAsia" w:eastAsia="方正仿宋_GBK"/>
          <w:color w:val="000000"/>
          <w:spacing w:val="-2"/>
          <w:sz w:val="24"/>
        </w:rPr>
        <w:t>．全省二次供水设施改造情况调查表</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      2</w:t>
      </w:r>
      <w:r>
        <w:rPr>
          <w:rFonts w:hint="eastAsia" w:eastAsia="方正仿宋_GBK"/>
          <w:color w:val="000000"/>
          <w:spacing w:val="-2"/>
          <w:sz w:val="24"/>
        </w:rPr>
        <w:t>．全省城市公共供水企业水质信息公示情况调查表</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      3</w:t>
      </w:r>
      <w:r>
        <w:rPr>
          <w:rFonts w:hint="eastAsia" w:eastAsia="方正仿宋_GBK"/>
          <w:color w:val="000000"/>
          <w:spacing w:val="-2"/>
          <w:sz w:val="24"/>
        </w:rPr>
        <w:t>．全省城市供水行业主管部门水质督察信息公示情况调查表</w:t>
      </w:r>
    </w:p>
    <w:p>
      <w:pPr>
        <w:spacing w:line="460" w:lineRule="exact"/>
        <w:ind w:firstLine="1180" w:firstLineChars="5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．住房城乡建设部关于加强城镇供水设施改造建设和运行管理工作的通</w:t>
      </w:r>
    </w:p>
    <w:p>
      <w:pPr>
        <w:spacing w:line="460" w:lineRule="exact"/>
        <w:ind w:firstLine="1510" w:firstLineChars="640"/>
        <w:rPr>
          <w:rFonts w:eastAsia="方正仿宋_GBK"/>
          <w:color w:val="000000"/>
          <w:spacing w:val="-2"/>
          <w:sz w:val="24"/>
        </w:rPr>
      </w:pPr>
      <w:r>
        <w:rPr>
          <w:rFonts w:hint="eastAsia" w:eastAsia="方正仿宋_GBK"/>
          <w:color w:val="000000"/>
          <w:spacing w:val="-2"/>
          <w:sz w:val="24"/>
        </w:rPr>
        <w:t>知（建城〔</w:t>
      </w:r>
      <w:r>
        <w:rPr>
          <w:rFonts w:eastAsia="方正仿宋_GBK"/>
          <w:color w:val="000000"/>
          <w:spacing w:val="-2"/>
          <w:sz w:val="24"/>
        </w:rPr>
        <w:t>2012</w:t>
      </w:r>
      <w:r>
        <w:rPr>
          <w:rFonts w:hint="eastAsia" w:eastAsia="方正仿宋_GBK"/>
          <w:color w:val="000000"/>
          <w:spacing w:val="-2"/>
          <w:sz w:val="24"/>
        </w:rPr>
        <w:t>〕</w:t>
      </w:r>
      <w:r>
        <w:rPr>
          <w:rFonts w:eastAsia="方正仿宋_GBK"/>
          <w:color w:val="000000"/>
          <w:spacing w:val="-2"/>
          <w:sz w:val="24"/>
        </w:rPr>
        <w:t>149</w:t>
      </w:r>
      <w:r>
        <w:rPr>
          <w:rFonts w:hint="eastAsia" w:eastAsia="方正仿宋_GBK"/>
          <w:color w:val="000000"/>
          <w:spacing w:val="-2"/>
          <w:sz w:val="24"/>
        </w:rPr>
        <w:t>号）</w:t>
      </w:r>
    </w:p>
    <w:p>
      <w:pPr>
        <w:spacing w:line="460" w:lineRule="exact"/>
        <w:ind w:firstLine="472" w:firstLineChars="200"/>
        <w:rPr>
          <w:rFonts w:eastAsia="方正仿宋_GBK"/>
          <w:color w:val="000000"/>
          <w:spacing w:val="-2"/>
          <w:sz w:val="24"/>
        </w:rPr>
      </w:pPr>
    </w:p>
    <w:p>
      <w:pPr>
        <w:wordWrap w:val="0"/>
        <w:spacing w:line="460" w:lineRule="exact"/>
        <w:ind w:firstLine="472" w:firstLineChars="200"/>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ind w:firstLine="472" w:firstLineChars="200"/>
        <w:jc w:val="right"/>
        <w:rPr>
          <w:rFonts w:eastAsia="仿宋_GB2312"/>
          <w:color w:val="000000"/>
          <w:spacing w:val="-2"/>
          <w:sz w:val="32"/>
          <w:szCs w:val="32"/>
        </w:rPr>
      </w:pP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2</w:t>
      </w:r>
      <w:r>
        <w:rPr>
          <w:rFonts w:hint="eastAsia" w:eastAsia="方正仿宋_GBK"/>
          <w:color w:val="000000"/>
          <w:spacing w:val="-2"/>
          <w:sz w:val="24"/>
        </w:rPr>
        <w:t>月</w:t>
      </w:r>
      <w:r>
        <w:rPr>
          <w:rFonts w:eastAsia="方正仿宋_GBK"/>
          <w:color w:val="000000"/>
          <w:spacing w:val="-2"/>
          <w:sz w:val="24"/>
        </w:rPr>
        <w:t>19</w:t>
      </w:r>
      <w:r>
        <w:rPr>
          <w:rFonts w:hint="eastAsia" w:eastAsia="方正仿宋_GBK"/>
          <w:color w:val="000000"/>
          <w:spacing w:val="-2"/>
          <w:sz w:val="24"/>
        </w:rPr>
        <w:t>日</w:t>
      </w:r>
      <w:r>
        <w:rPr>
          <w:rFonts w:eastAsia="仿宋_GB2312"/>
          <w:color w:val="000000"/>
          <w:spacing w:val="-2"/>
          <w:sz w:val="32"/>
          <w:szCs w:val="32"/>
        </w:rPr>
        <w:t xml:space="preserve">      </w:t>
      </w:r>
    </w:p>
    <w:p>
      <w:pPr>
        <w:widowControl/>
        <w:jc w:val="left"/>
        <w:rPr>
          <w:rFonts w:eastAsia="仿宋_GB2312"/>
          <w:color w:val="000000"/>
          <w:spacing w:val="-2"/>
          <w:sz w:val="32"/>
          <w:szCs w:val="32"/>
        </w:rPr>
        <w:sectPr>
          <w:pgSz w:w="11906" w:h="16838"/>
          <w:pgMar w:top="1701" w:right="1588" w:bottom="1701" w:left="1588" w:header="851" w:footer="1361" w:gutter="0"/>
          <w:paperSrc w:first="7" w:other="7"/>
          <w:cols w:space="720" w:num="1"/>
        </w:sectPr>
      </w:pPr>
    </w:p>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附件1：</w:t>
      </w:r>
    </w:p>
    <w:p>
      <w:pPr>
        <w:jc w:val="center"/>
        <w:rPr>
          <w:rFonts w:hint="eastAsia" w:eastAsia="方正黑体_GBK"/>
          <w:bCs/>
          <w:color w:val="000000"/>
          <w:spacing w:val="-2"/>
          <w:kern w:val="0"/>
          <w:sz w:val="28"/>
          <w:szCs w:val="28"/>
        </w:rPr>
      </w:pPr>
      <w:r>
        <w:rPr>
          <w:rFonts w:hint="eastAsia" w:eastAsia="方正黑体_GBK"/>
          <w:bCs/>
          <w:color w:val="000000"/>
          <w:spacing w:val="-2"/>
          <w:kern w:val="0"/>
          <w:sz w:val="28"/>
          <w:szCs w:val="28"/>
        </w:rPr>
        <w:t>全省二次供水设施改造情况调查表</w:t>
      </w:r>
    </w:p>
    <w:p>
      <w:pPr>
        <w:rPr>
          <w:rFonts w:eastAsia="方正仿宋_GBK"/>
          <w:bCs/>
          <w:color w:val="000000"/>
          <w:spacing w:val="-2"/>
          <w:kern w:val="0"/>
          <w:szCs w:val="21"/>
        </w:rPr>
      </w:pPr>
      <w:r>
        <w:rPr>
          <w:rFonts w:hint="eastAsia" w:eastAsia="方正仿宋_GBK"/>
          <w:bCs/>
          <w:color w:val="000000"/>
          <w:spacing w:val="-2"/>
          <w:kern w:val="0"/>
          <w:szCs w:val="21"/>
        </w:rPr>
        <w:t>填表日期：</w:t>
      </w:r>
      <w:r>
        <w:rPr>
          <w:rFonts w:eastAsia="方正仿宋_GBK"/>
          <w:bCs/>
          <w:color w:val="000000"/>
          <w:spacing w:val="-2"/>
          <w:kern w:val="0"/>
          <w:szCs w:val="21"/>
        </w:rPr>
        <w:t xml:space="preserve">                                         </w:t>
      </w:r>
      <w:r>
        <w:rPr>
          <w:rFonts w:hint="eastAsia" w:eastAsia="方正仿宋_GBK"/>
          <w:bCs/>
          <w:color w:val="000000"/>
          <w:spacing w:val="-2"/>
          <w:kern w:val="0"/>
          <w:szCs w:val="21"/>
        </w:rPr>
        <w:t>填表人：</w:t>
      </w:r>
      <w:r>
        <w:rPr>
          <w:rFonts w:eastAsia="方正仿宋_GBK"/>
          <w:bCs/>
          <w:color w:val="000000"/>
          <w:spacing w:val="-2"/>
          <w:kern w:val="0"/>
          <w:szCs w:val="21"/>
        </w:rPr>
        <w:t xml:space="preserve">                                                     </w:t>
      </w:r>
      <w:r>
        <w:rPr>
          <w:rFonts w:hint="eastAsia" w:eastAsia="方正仿宋_GBK"/>
          <w:bCs/>
          <w:color w:val="000000"/>
          <w:spacing w:val="-2"/>
          <w:kern w:val="0"/>
          <w:szCs w:val="21"/>
        </w:rPr>
        <w:t>联系方式：</w:t>
      </w:r>
    </w:p>
    <w:tbl>
      <w:tblPr>
        <w:tblStyle w:val="12"/>
        <w:tblW w:w="0" w:type="auto"/>
        <w:tblInd w:w="124" w:type="dxa"/>
        <w:tblLayout w:type="fixed"/>
        <w:tblCellMar>
          <w:top w:w="0" w:type="dxa"/>
          <w:left w:w="108" w:type="dxa"/>
          <w:bottom w:w="0" w:type="dxa"/>
          <w:right w:w="108" w:type="dxa"/>
        </w:tblCellMar>
      </w:tblPr>
      <w:tblGrid>
        <w:gridCol w:w="857"/>
        <w:gridCol w:w="1095"/>
        <w:gridCol w:w="1892"/>
        <w:gridCol w:w="1977"/>
        <w:gridCol w:w="1897"/>
        <w:gridCol w:w="2135"/>
        <w:gridCol w:w="1897"/>
        <w:gridCol w:w="1900"/>
      </w:tblGrid>
      <w:tr>
        <w:tblPrEx>
          <w:tblCellMar>
            <w:top w:w="0" w:type="dxa"/>
            <w:left w:w="108" w:type="dxa"/>
            <w:bottom w:w="0" w:type="dxa"/>
            <w:right w:w="108" w:type="dxa"/>
          </w:tblCellMar>
        </w:tblPrEx>
        <w:trPr>
          <w:trHeight w:val="649" w:hRule="atLeast"/>
        </w:trPr>
        <w:tc>
          <w:tcPr>
            <w:tcW w:w="857" w:type="dxa"/>
            <w:vMerge w:val="restart"/>
            <w:tcBorders>
              <w:top w:val="single" w:color="auto" w:sz="8" w:space="0"/>
              <w:left w:val="single" w:color="auto" w:sz="8" w:space="0"/>
              <w:bottom w:val="single" w:color="auto" w:sz="4" w:space="0"/>
              <w:right w:val="single" w:color="auto" w:sz="4"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省辖市</w:t>
            </w:r>
          </w:p>
        </w:tc>
        <w:tc>
          <w:tcPr>
            <w:tcW w:w="1095" w:type="dxa"/>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县</w:t>
            </w:r>
          </w:p>
          <w:p>
            <w:pPr>
              <w:jc w:val="center"/>
              <w:rPr>
                <w:rFonts w:eastAsia="方正黑体_GBK"/>
                <w:bCs/>
                <w:color w:val="000000"/>
                <w:spacing w:val="-2"/>
                <w:kern w:val="0"/>
                <w:szCs w:val="21"/>
              </w:rPr>
            </w:pPr>
            <w:r>
              <w:rPr>
                <w:rFonts w:hint="eastAsia" w:eastAsia="方正黑体_GBK"/>
                <w:bCs/>
                <w:color w:val="000000"/>
                <w:spacing w:val="-2"/>
                <w:kern w:val="0"/>
                <w:szCs w:val="21"/>
              </w:rPr>
              <w:t>（市、区）</w:t>
            </w:r>
          </w:p>
        </w:tc>
        <w:tc>
          <w:tcPr>
            <w:tcW w:w="3869" w:type="dxa"/>
            <w:gridSpan w:val="2"/>
            <w:tcBorders>
              <w:top w:val="single" w:color="auto" w:sz="8" w:space="0"/>
              <w:left w:val="nil"/>
              <w:bottom w:val="single" w:color="auto" w:sz="4" w:space="0"/>
              <w:right w:val="single" w:color="auto" w:sz="4"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二次供水设施改造项目总量</w:t>
            </w:r>
          </w:p>
        </w:tc>
        <w:tc>
          <w:tcPr>
            <w:tcW w:w="4032" w:type="dxa"/>
            <w:gridSpan w:val="2"/>
            <w:tcBorders>
              <w:top w:val="single" w:color="auto" w:sz="8" w:space="0"/>
              <w:left w:val="nil"/>
              <w:bottom w:val="single" w:color="auto" w:sz="4" w:space="0"/>
              <w:right w:val="single" w:color="auto" w:sz="4"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截至</w:t>
            </w:r>
            <w:r>
              <w:rPr>
                <w:rFonts w:eastAsia="方正黑体_GBK"/>
                <w:bCs/>
                <w:color w:val="000000"/>
                <w:spacing w:val="-2"/>
                <w:kern w:val="0"/>
                <w:szCs w:val="21"/>
              </w:rPr>
              <w:t>2012</w:t>
            </w:r>
            <w:r>
              <w:rPr>
                <w:rFonts w:hint="eastAsia" w:eastAsia="方正黑体_GBK"/>
                <w:bCs/>
                <w:color w:val="000000"/>
                <w:spacing w:val="-2"/>
                <w:kern w:val="0"/>
                <w:szCs w:val="21"/>
              </w:rPr>
              <w:t>年底已完成的</w:t>
            </w:r>
          </w:p>
          <w:p>
            <w:pPr>
              <w:jc w:val="center"/>
              <w:rPr>
                <w:rFonts w:eastAsia="方正黑体_GBK"/>
                <w:bCs/>
                <w:color w:val="000000"/>
                <w:spacing w:val="-2"/>
                <w:kern w:val="0"/>
                <w:szCs w:val="21"/>
              </w:rPr>
            </w:pPr>
            <w:r>
              <w:rPr>
                <w:rFonts w:hint="eastAsia" w:eastAsia="方正黑体_GBK"/>
                <w:bCs/>
                <w:color w:val="000000"/>
                <w:spacing w:val="-2"/>
                <w:kern w:val="0"/>
                <w:szCs w:val="21"/>
              </w:rPr>
              <w:t>二次供水设施改造项目</w:t>
            </w:r>
          </w:p>
        </w:tc>
        <w:tc>
          <w:tcPr>
            <w:tcW w:w="3797" w:type="dxa"/>
            <w:gridSpan w:val="2"/>
            <w:tcBorders>
              <w:top w:val="single" w:color="auto" w:sz="8" w:space="0"/>
              <w:left w:val="nil"/>
              <w:bottom w:val="single" w:color="auto" w:sz="4" w:space="0"/>
              <w:right w:val="single" w:color="auto" w:sz="8" w:space="0"/>
            </w:tcBorders>
            <w:noWrap w:val="0"/>
            <w:vAlign w:val="center"/>
          </w:tcPr>
          <w:p>
            <w:pPr>
              <w:jc w:val="center"/>
              <w:rPr>
                <w:rFonts w:eastAsia="方正黑体_GBK"/>
                <w:bCs/>
                <w:color w:val="000000"/>
                <w:spacing w:val="-2"/>
                <w:kern w:val="0"/>
                <w:szCs w:val="21"/>
              </w:rPr>
            </w:pPr>
            <w:r>
              <w:rPr>
                <w:rFonts w:eastAsia="方正黑体_GBK"/>
                <w:bCs/>
                <w:color w:val="000000"/>
                <w:spacing w:val="-2"/>
                <w:kern w:val="0"/>
                <w:szCs w:val="21"/>
              </w:rPr>
              <w:t>2013-2015</w:t>
            </w:r>
            <w:r>
              <w:rPr>
                <w:rFonts w:hint="eastAsia" w:eastAsia="方正黑体_GBK"/>
                <w:bCs/>
                <w:color w:val="000000"/>
                <w:spacing w:val="-2"/>
                <w:kern w:val="0"/>
                <w:szCs w:val="21"/>
              </w:rPr>
              <w:t>年计划完成的</w:t>
            </w:r>
          </w:p>
          <w:p>
            <w:pPr>
              <w:jc w:val="center"/>
              <w:rPr>
                <w:rFonts w:eastAsia="方正黑体_GBK"/>
                <w:bCs/>
                <w:color w:val="000000"/>
                <w:spacing w:val="-2"/>
                <w:kern w:val="0"/>
                <w:szCs w:val="21"/>
              </w:rPr>
            </w:pPr>
            <w:r>
              <w:rPr>
                <w:rFonts w:hint="eastAsia" w:eastAsia="方正黑体_GBK"/>
                <w:bCs/>
                <w:color w:val="000000"/>
                <w:spacing w:val="-2"/>
                <w:kern w:val="0"/>
                <w:szCs w:val="21"/>
              </w:rPr>
              <w:t>二次供水设施改造项目</w:t>
            </w:r>
          </w:p>
        </w:tc>
      </w:tr>
      <w:tr>
        <w:tblPrEx>
          <w:tblCellMar>
            <w:top w:w="0" w:type="dxa"/>
            <w:left w:w="108" w:type="dxa"/>
            <w:bottom w:w="0" w:type="dxa"/>
            <w:right w:w="108" w:type="dxa"/>
          </w:tblCellMar>
        </w:tblPrEx>
        <w:trPr>
          <w:trHeight w:val="393" w:hRule="atLeast"/>
        </w:trPr>
        <w:tc>
          <w:tcPr>
            <w:tcW w:w="857" w:type="dxa"/>
            <w:vMerge w:val="continue"/>
            <w:tcBorders>
              <w:top w:val="single" w:color="auto" w:sz="8" w:space="0"/>
              <w:left w:val="single" w:color="auto" w:sz="8" w:space="0"/>
              <w:bottom w:val="single" w:color="auto" w:sz="4" w:space="0"/>
              <w:right w:val="single" w:color="auto" w:sz="4" w:space="0"/>
            </w:tcBorders>
            <w:noWrap w:val="0"/>
            <w:vAlign w:val="center"/>
          </w:tcPr>
          <w:p>
            <w:pPr>
              <w:widowControl/>
              <w:jc w:val="left"/>
              <w:rPr>
                <w:rFonts w:eastAsia="方正黑体_GBK"/>
                <w:bCs/>
                <w:color w:val="000000"/>
                <w:spacing w:val="-2"/>
                <w:kern w:val="0"/>
                <w:szCs w:val="21"/>
              </w:rPr>
            </w:pPr>
          </w:p>
        </w:tc>
        <w:tc>
          <w:tcPr>
            <w:tcW w:w="1095" w:type="dxa"/>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eastAsia="方正黑体_GBK"/>
                <w:bCs/>
                <w:color w:val="000000"/>
                <w:spacing w:val="-2"/>
                <w:kern w:val="0"/>
                <w:szCs w:val="21"/>
              </w:rPr>
            </w:pPr>
          </w:p>
        </w:tc>
        <w:tc>
          <w:tcPr>
            <w:tcW w:w="1892" w:type="dxa"/>
            <w:tcBorders>
              <w:top w:val="nil"/>
              <w:left w:val="nil"/>
              <w:bottom w:val="single" w:color="auto" w:sz="4" w:space="0"/>
              <w:right w:val="single" w:color="auto" w:sz="4"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工程点（个）</w:t>
            </w:r>
          </w:p>
        </w:tc>
        <w:tc>
          <w:tcPr>
            <w:tcW w:w="1977" w:type="dxa"/>
            <w:tcBorders>
              <w:top w:val="nil"/>
              <w:left w:val="nil"/>
              <w:bottom w:val="single" w:color="auto" w:sz="4" w:space="0"/>
              <w:right w:val="single" w:color="auto" w:sz="4"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投资（亿元）</w:t>
            </w:r>
          </w:p>
        </w:tc>
        <w:tc>
          <w:tcPr>
            <w:tcW w:w="1897" w:type="dxa"/>
            <w:tcBorders>
              <w:top w:val="nil"/>
              <w:left w:val="nil"/>
              <w:bottom w:val="single" w:color="auto" w:sz="4" w:space="0"/>
              <w:right w:val="single" w:color="auto" w:sz="4"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工程点（个）</w:t>
            </w:r>
          </w:p>
        </w:tc>
        <w:tc>
          <w:tcPr>
            <w:tcW w:w="2135" w:type="dxa"/>
            <w:tcBorders>
              <w:top w:val="nil"/>
              <w:left w:val="nil"/>
              <w:bottom w:val="single" w:color="auto" w:sz="4" w:space="0"/>
              <w:right w:val="single" w:color="auto" w:sz="4"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投资（亿元）</w:t>
            </w:r>
          </w:p>
        </w:tc>
        <w:tc>
          <w:tcPr>
            <w:tcW w:w="1897" w:type="dxa"/>
            <w:tcBorders>
              <w:top w:val="nil"/>
              <w:left w:val="nil"/>
              <w:bottom w:val="single" w:color="auto" w:sz="4" w:space="0"/>
              <w:right w:val="single" w:color="auto" w:sz="4"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工程点（个）</w:t>
            </w:r>
          </w:p>
        </w:tc>
        <w:tc>
          <w:tcPr>
            <w:tcW w:w="1900" w:type="dxa"/>
            <w:tcBorders>
              <w:top w:val="nil"/>
              <w:left w:val="nil"/>
              <w:bottom w:val="single" w:color="auto" w:sz="4" w:space="0"/>
              <w:right w:val="single" w:color="auto" w:sz="8" w:space="0"/>
            </w:tcBorders>
            <w:noWrap w:val="0"/>
            <w:vAlign w:val="center"/>
          </w:tcPr>
          <w:p>
            <w:pPr>
              <w:jc w:val="center"/>
              <w:rPr>
                <w:rFonts w:eastAsia="方正黑体_GBK"/>
                <w:bCs/>
                <w:color w:val="000000"/>
                <w:spacing w:val="-2"/>
                <w:kern w:val="0"/>
                <w:szCs w:val="21"/>
              </w:rPr>
            </w:pPr>
            <w:r>
              <w:rPr>
                <w:rFonts w:hint="eastAsia" w:eastAsia="方正黑体_GBK"/>
                <w:bCs/>
                <w:color w:val="000000"/>
                <w:spacing w:val="-2"/>
                <w:kern w:val="0"/>
                <w:szCs w:val="21"/>
              </w:rPr>
              <w:t>投资（亿元）</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4"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4"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r>
        <w:tblPrEx>
          <w:tblCellMar>
            <w:top w:w="0" w:type="dxa"/>
            <w:left w:w="108" w:type="dxa"/>
            <w:bottom w:w="0" w:type="dxa"/>
            <w:right w:w="108" w:type="dxa"/>
          </w:tblCellMar>
        </w:tblPrEx>
        <w:trPr>
          <w:trHeight w:val="315" w:hRule="atLeast"/>
        </w:trPr>
        <w:tc>
          <w:tcPr>
            <w:tcW w:w="857" w:type="dxa"/>
            <w:tcBorders>
              <w:top w:val="nil"/>
              <w:left w:val="single" w:color="auto" w:sz="8" w:space="0"/>
              <w:bottom w:val="single" w:color="auto" w:sz="8"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095" w:type="dxa"/>
            <w:tcBorders>
              <w:top w:val="nil"/>
              <w:left w:val="nil"/>
              <w:bottom w:val="single" w:color="auto" w:sz="8"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2" w:type="dxa"/>
            <w:tcBorders>
              <w:top w:val="nil"/>
              <w:left w:val="nil"/>
              <w:bottom w:val="single" w:color="auto" w:sz="8"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77" w:type="dxa"/>
            <w:tcBorders>
              <w:top w:val="nil"/>
              <w:left w:val="nil"/>
              <w:bottom w:val="single" w:color="auto" w:sz="8"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8"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2135" w:type="dxa"/>
            <w:tcBorders>
              <w:top w:val="nil"/>
              <w:left w:val="nil"/>
              <w:bottom w:val="single" w:color="auto" w:sz="8"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897" w:type="dxa"/>
            <w:tcBorders>
              <w:top w:val="nil"/>
              <w:left w:val="nil"/>
              <w:bottom w:val="single" w:color="auto" w:sz="8" w:space="0"/>
              <w:right w:val="single" w:color="auto" w:sz="4"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c>
          <w:tcPr>
            <w:tcW w:w="1900" w:type="dxa"/>
            <w:tcBorders>
              <w:top w:val="nil"/>
              <w:left w:val="nil"/>
              <w:bottom w:val="single" w:color="auto" w:sz="8" w:space="0"/>
              <w:right w:val="single" w:color="auto" w:sz="8" w:space="0"/>
            </w:tcBorders>
            <w:noWrap w:val="0"/>
            <w:vAlign w:val="bottom"/>
          </w:tcPr>
          <w:p>
            <w:pPr>
              <w:jc w:val="left"/>
              <w:rPr>
                <w:rFonts w:cs="宋体"/>
                <w:color w:val="000000"/>
                <w:spacing w:val="-2"/>
                <w:kern w:val="0"/>
                <w:szCs w:val="21"/>
              </w:rPr>
            </w:pPr>
            <w:r>
              <w:rPr>
                <w:rFonts w:hint="eastAsia" w:hAnsi="Times New Roman" w:cs="宋体"/>
                <w:color w:val="000000"/>
                <w:spacing w:val="-2"/>
                <w:kern w:val="0"/>
                <w:szCs w:val="21"/>
              </w:rPr>
              <w:t>　</w:t>
            </w:r>
          </w:p>
        </w:tc>
      </w:tr>
    </w:tbl>
    <w:p>
      <w:pPr>
        <w:rPr>
          <w:color w:val="000000"/>
          <w:spacing w:val="-2"/>
        </w:rPr>
      </w:pPr>
    </w:p>
    <w:p>
      <w:pPr>
        <w:spacing w:line="460" w:lineRule="exact"/>
        <w:rPr>
          <w:rFonts w:ascii="Times New Roman" w:eastAsia="方正黑体_GBK"/>
          <w:color w:val="000000"/>
          <w:spacing w:val="-2"/>
          <w:sz w:val="28"/>
          <w:szCs w:val="28"/>
        </w:rPr>
      </w:pPr>
      <w:r>
        <w:rPr>
          <w:rFonts w:eastAsia="仿宋_GB2312"/>
          <w:color w:val="000000"/>
          <w:spacing w:val="-2"/>
          <w:kern w:val="0"/>
          <w:sz w:val="28"/>
          <w:szCs w:val="28"/>
        </w:rPr>
        <w:br w:type="column"/>
      </w:r>
      <w:r>
        <w:rPr>
          <w:rFonts w:hint="eastAsia" w:ascii="Times New Roman" w:eastAsia="方正黑体_GBK"/>
          <w:color w:val="000000"/>
          <w:spacing w:val="-2"/>
          <w:sz w:val="28"/>
          <w:szCs w:val="28"/>
        </w:rPr>
        <w:t>附件2：</w:t>
      </w:r>
    </w:p>
    <w:p>
      <w:pPr>
        <w:jc w:val="center"/>
        <w:rPr>
          <w:rFonts w:hint="eastAsia" w:eastAsia="方正黑体_GBK"/>
          <w:bCs/>
          <w:color w:val="000000"/>
          <w:spacing w:val="-2"/>
          <w:kern w:val="0"/>
          <w:sz w:val="28"/>
          <w:szCs w:val="28"/>
        </w:rPr>
      </w:pPr>
      <w:r>
        <w:rPr>
          <w:rFonts w:hint="eastAsia" w:eastAsia="方正黑体_GBK"/>
          <w:bCs/>
          <w:color w:val="000000"/>
          <w:spacing w:val="-2"/>
          <w:kern w:val="0"/>
          <w:sz w:val="28"/>
          <w:szCs w:val="28"/>
        </w:rPr>
        <w:t>全省城市公共供水企业水质信息公示情况调查表</w:t>
      </w:r>
    </w:p>
    <w:p>
      <w:pPr>
        <w:rPr>
          <w:rFonts w:eastAsia="方正仿宋_GBK"/>
          <w:color w:val="000000"/>
          <w:spacing w:val="-2"/>
          <w:szCs w:val="21"/>
        </w:rPr>
      </w:pPr>
      <w:r>
        <w:rPr>
          <w:rFonts w:hint="eastAsia" w:eastAsia="方正仿宋_GBK"/>
          <w:bCs/>
          <w:color w:val="000000"/>
          <w:spacing w:val="-2"/>
          <w:kern w:val="0"/>
          <w:szCs w:val="21"/>
        </w:rPr>
        <w:t>填表日期：</w:t>
      </w:r>
      <w:r>
        <w:rPr>
          <w:rFonts w:eastAsia="方正仿宋_GBK"/>
          <w:bCs/>
          <w:color w:val="000000"/>
          <w:spacing w:val="-2"/>
          <w:kern w:val="0"/>
          <w:szCs w:val="21"/>
        </w:rPr>
        <w:t xml:space="preserve">                                                    </w:t>
      </w:r>
      <w:r>
        <w:rPr>
          <w:rFonts w:hint="eastAsia" w:eastAsia="方正仿宋_GBK"/>
          <w:bCs/>
          <w:color w:val="000000"/>
          <w:spacing w:val="-2"/>
          <w:kern w:val="0"/>
          <w:szCs w:val="21"/>
        </w:rPr>
        <w:t>填表人：</w:t>
      </w:r>
      <w:r>
        <w:rPr>
          <w:rFonts w:eastAsia="方正仿宋_GBK"/>
          <w:bCs/>
          <w:color w:val="000000"/>
          <w:spacing w:val="-2"/>
          <w:kern w:val="0"/>
          <w:szCs w:val="21"/>
        </w:rPr>
        <w:t xml:space="preserve">                                          </w:t>
      </w:r>
      <w:r>
        <w:rPr>
          <w:rFonts w:hint="eastAsia" w:eastAsia="方正仿宋_GBK"/>
          <w:bCs/>
          <w:color w:val="000000"/>
          <w:spacing w:val="-2"/>
          <w:kern w:val="0"/>
          <w:szCs w:val="21"/>
        </w:rPr>
        <w:t>联系方式：</w:t>
      </w:r>
    </w:p>
    <w:tbl>
      <w:tblPr>
        <w:tblStyle w:val="12"/>
        <w:tblW w:w="0" w:type="auto"/>
        <w:tblInd w:w="108" w:type="dxa"/>
        <w:tblLayout w:type="fixed"/>
        <w:tblCellMar>
          <w:top w:w="0" w:type="dxa"/>
          <w:left w:w="108" w:type="dxa"/>
          <w:bottom w:w="0" w:type="dxa"/>
          <w:right w:w="108" w:type="dxa"/>
        </w:tblCellMar>
      </w:tblPr>
      <w:tblGrid>
        <w:gridCol w:w="862"/>
        <w:gridCol w:w="1758"/>
        <w:gridCol w:w="1574"/>
        <w:gridCol w:w="3463"/>
        <w:gridCol w:w="2170"/>
        <w:gridCol w:w="1954"/>
        <w:gridCol w:w="1886"/>
      </w:tblGrid>
      <w:tr>
        <w:tblPrEx>
          <w:tblCellMar>
            <w:top w:w="0" w:type="dxa"/>
            <w:left w:w="108" w:type="dxa"/>
            <w:bottom w:w="0" w:type="dxa"/>
            <w:right w:w="108" w:type="dxa"/>
          </w:tblCellMar>
        </w:tblPrEx>
        <w:trPr>
          <w:trHeight w:val="306" w:hRule="atLeast"/>
        </w:trPr>
        <w:tc>
          <w:tcPr>
            <w:tcW w:w="862" w:type="dxa"/>
            <w:tcBorders>
              <w:top w:val="single" w:color="auto" w:sz="8" w:space="0"/>
              <w:left w:val="single" w:color="auto" w:sz="8" w:space="0"/>
              <w:bottom w:val="single" w:color="auto" w:sz="4" w:space="0"/>
              <w:right w:val="single" w:color="auto" w:sz="4" w:space="0"/>
            </w:tcBorders>
            <w:noWrap w:val="0"/>
            <w:vAlign w:val="center"/>
          </w:tcPr>
          <w:p>
            <w:pPr>
              <w:spacing w:line="220" w:lineRule="exact"/>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省辖市</w:t>
            </w:r>
          </w:p>
        </w:tc>
        <w:tc>
          <w:tcPr>
            <w:tcW w:w="1758" w:type="dxa"/>
            <w:tcBorders>
              <w:top w:val="single" w:color="auto" w:sz="8" w:space="0"/>
              <w:left w:val="nil"/>
              <w:bottom w:val="single" w:color="auto" w:sz="4" w:space="0"/>
              <w:right w:val="single" w:color="auto" w:sz="4" w:space="0"/>
            </w:tcBorders>
            <w:noWrap w:val="0"/>
            <w:vAlign w:val="center"/>
          </w:tcPr>
          <w:p>
            <w:pPr>
              <w:spacing w:line="220" w:lineRule="exact"/>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县（市、区）</w:t>
            </w:r>
          </w:p>
        </w:tc>
        <w:tc>
          <w:tcPr>
            <w:tcW w:w="1574" w:type="dxa"/>
            <w:tcBorders>
              <w:top w:val="single" w:color="auto" w:sz="8" w:space="0"/>
              <w:left w:val="nil"/>
              <w:bottom w:val="single" w:color="auto" w:sz="4" w:space="0"/>
              <w:right w:val="single" w:color="auto" w:sz="4" w:space="0"/>
            </w:tcBorders>
            <w:noWrap w:val="0"/>
            <w:vAlign w:val="center"/>
          </w:tcPr>
          <w:p>
            <w:pPr>
              <w:spacing w:line="220" w:lineRule="exact"/>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水质类别</w:t>
            </w:r>
          </w:p>
        </w:tc>
        <w:tc>
          <w:tcPr>
            <w:tcW w:w="9473" w:type="dxa"/>
            <w:gridSpan w:val="4"/>
            <w:tcBorders>
              <w:top w:val="single" w:color="auto" w:sz="8" w:space="0"/>
              <w:left w:val="nil"/>
              <w:bottom w:val="single" w:color="auto" w:sz="4" w:space="0"/>
              <w:right w:val="single" w:color="auto" w:sz="8" w:space="0"/>
            </w:tcBorders>
            <w:noWrap w:val="0"/>
            <w:vAlign w:val="center"/>
          </w:tcPr>
          <w:p>
            <w:pPr>
              <w:spacing w:line="220" w:lineRule="exact"/>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城市公共供水企业</w:t>
            </w:r>
          </w:p>
        </w:tc>
      </w:tr>
      <w:tr>
        <w:tblPrEx>
          <w:tblCellMar>
            <w:top w:w="0" w:type="dxa"/>
            <w:left w:w="108" w:type="dxa"/>
            <w:bottom w:w="0" w:type="dxa"/>
            <w:right w:w="108" w:type="dxa"/>
          </w:tblCellMar>
        </w:tblPrEx>
        <w:trPr>
          <w:trHeight w:val="555" w:hRule="atLeast"/>
        </w:trPr>
        <w:tc>
          <w:tcPr>
            <w:tcW w:w="862" w:type="dxa"/>
            <w:vMerge w:val="restart"/>
            <w:tcBorders>
              <w:top w:val="nil"/>
              <w:left w:val="single" w:color="auto" w:sz="8" w:space="0"/>
              <w:bottom w:val="single" w:color="auto" w:sz="8" w:space="0"/>
              <w:right w:val="single" w:color="auto" w:sz="4" w:space="0"/>
            </w:tcBorders>
            <w:noWrap w:val="0"/>
            <w:vAlign w:val="bottom"/>
          </w:tcPr>
          <w:p>
            <w:pPr>
              <w:spacing w:line="220" w:lineRule="exact"/>
              <w:jc w:val="center"/>
              <w:rPr>
                <w:rFonts w:eastAsia="方正仿宋_GBK"/>
                <w:color w:val="000000"/>
                <w:spacing w:val="-2"/>
                <w:kern w:val="0"/>
                <w:szCs w:val="21"/>
              </w:rPr>
            </w:pPr>
            <w:r>
              <w:rPr>
                <w:rFonts w:hint="eastAsia" w:eastAsia="方正仿宋_GBK"/>
                <w:color w:val="000000"/>
                <w:spacing w:val="-2"/>
                <w:kern w:val="0"/>
                <w:szCs w:val="21"/>
              </w:rPr>
              <w:t>　</w:t>
            </w:r>
          </w:p>
        </w:tc>
        <w:tc>
          <w:tcPr>
            <w:tcW w:w="1758" w:type="dxa"/>
            <w:vMerge w:val="restart"/>
            <w:tcBorders>
              <w:top w:val="nil"/>
              <w:left w:val="single" w:color="auto" w:sz="4" w:space="0"/>
              <w:bottom w:val="single" w:color="000000" w:sz="4" w:space="0"/>
              <w:right w:val="single" w:color="auto" w:sz="4" w:space="0"/>
            </w:tcBorders>
            <w:noWrap w:val="0"/>
            <w:vAlign w:val="bottom"/>
          </w:tcPr>
          <w:p>
            <w:pPr>
              <w:spacing w:line="220" w:lineRule="exact"/>
              <w:jc w:val="center"/>
              <w:rPr>
                <w:rFonts w:eastAsia="方正仿宋_GBK"/>
                <w:color w:val="000000"/>
                <w:spacing w:val="-2"/>
                <w:kern w:val="0"/>
                <w:szCs w:val="21"/>
              </w:rPr>
            </w:pPr>
            <w:r>
              <w:rPr>
                <w:rFonts w:hint="eastAsia" w:eastAsia="方正仿宋_GBK"/>
                <w:color w:val="000000"/>
                <w:spacing w:val="-2"/>
                <w:kern w:val="0"/>
                <w:szCs w:val="21"/>
              </w:rPr>
              <w:t>　</w:t>
            </w:r>
          </w:p>
        </w:tc>
        <w:tc>
          <w:tcPr>
            <w:tcW w:w="1574" w:type="dxa"/>
            <w:vMerge w:val="restart"/>
            <w:tcBorders>
              <w:top w:val="nil"/>
              <w:left w:val="single" w:color="auto" w:sz="4" w:space="0"/>
              <w:bottom w:val="single" w:color="000000"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出厂水</w:t>
            </w:r>
          </w:p>
        </w:tc>
        <w:tc>
          <w:tcPr>
            <w:tcW w:w="3463" w:type="dxa"/>
            <w:tcBorders>
              <w:top w:val="nil"/>
              <w:left w:val="nil"/>
              <w:bottom w:val="single" w:color="auto" w:sz="4" w:space="0"/>
              <w:right w:val="single" w:color="auto" w:sz="4" w:space="0"/>
            </w:tcBorders>
            <w:noWrap w:val="0"/>
            <w:vAlign w:val="top"/>
          </w:tcPr>
          <w:p>
            <w:pPr>
              <w:spacing w:line="220" w:lineRule="exact"/>
              <w:jc w:val="left"/>
              <w:rPr>
                <w:rFonts w:eastAsia="方正仿宋_GBK"/>
                <w:bCs/>
                <w:color w:val="000000"/>
                <w:spacing w:val="-2"/>
                <w:kern w:val="0"/>
                <w:szCs w:val="21"/>
              </w:rPr>
            </w:pPr>
            <w:r>
              <w:rPr>
                <w:rFonts w:eastAsia="方正仿宋_GBK"/>
                <w:bCs/>
                <w:color w:val="000000"/>
                <w:spacing w:val="-2"/>
                <w:kern w:val="0"/>
                <w:szCs w:val="21"/>
              </w:rPr>
              <w:t xml:space="preserve">                       </w:t>
            </w:r>
            <w:r>
              <w:rPr>
                <w:rFonts w:hint="eastAsia" w:eastAsia="方正仿宋_GBK"/>
                <w:bCs/>
                <w:color w:val="000000"/>
                <w:spacing w:val="-2"/>
                <w:kern w:val="0"/>
                <w:szCs w:val="21"/>
              </w:rPr>
              <w:t>公示要求</w:t>
            </w:r>
          </w:p>
          <w:p>
            <w:pPr>
              <w:spacing w:line="220" w:lineRule="exact"/>
              <w:jc w:val="left"/>
              <w:rPr>
                <w:rFonts w:eastAsia="方正仿宋_GBK"/>
                <w:bCs/>
                <w:color w:val="000000"/>
                <w:spacing w:val="-2"/>
                <w:kern w:val="0"/>
                <w:szCs w:val="21"/>
              </w:rPr>
            </w:pPr>
            <w:r>
              <w:rPr>
                <w:rFonts w:hint="eastAsia" w:eastAsia="方正仿宋_GBK"/>
                <w:bCs/>
                <w:color w:val="000000"/>
                <w:spacing w:val="-2"/>
                <w:kern w:val="0"/>
                <w:szCs w:val="21"/>
              </w:rPr>
              <w:t>数据分类</w:t>
            </w:r>
          </w:p>
        </w:tc>
        <w:tc>
          <w:tcPr>
            <w:tcW w:w="2170"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公示形式</w:t>
            </w:r>
          </w:p>
        </w:tc>
        <w:tc>
          <w:tcPr>
            <w:tcW w:w="1954"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公示项目</w:t>
            </w:r>
          </w:p>
        </w:tc>
        <w:tc>
          <w:tcPr>
            <w:tcW w:w="1886" w:type="dxa"/>
            <w:tcBorders>
              <w:top w:val="nil"/>
              <w:left w:val="nil"/>
              <w:bottom w:val="single" w:color="auto" w:sz="4" w:space="0"/>
              <w:right w:val="single" w:color="auto" w:sz="8"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公示频次</w:t>
            </w:r>
          </w:p>
        </w:tc>
      </w:tr>
      <w:tr>
        <w:tblPrEx>
          <w:tblCellMar>
            <w:top w:w="0" w:type="dxa"/>
            <w:left w:w="108" w:type="dxa"/>
            <w:bottom w:w="0" w:type="dxa"/>
            <w:right w:w="108" w:type="dxa"/>
          </w:tblCellMar>
        </w:tblPrEx>
        <w:trPr>
          <w:trHeight w:val="255"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实时监测数据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255"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日检数据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255"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月检数据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255"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eastAsia="方正仿宋_GBK"/>
                <w:bCs/>
                <w:color w:val="000000"/>
                <w:spacing w:val="-2"/>
                <w:kern w:val="0"/>
                <w:szCs w:val="21"/>
              </w:rPr>
              <w:t>106</w:t>
            </w:r>
            <w:r>
              <w:rPr>
                <w:rFonts w:hint="eastAsia" w:eastAsia="方正仿宋_GBK"/>
                <w:bCs/>
                <w:color w:val="000000"/>
                <w:spacing w:val="-2"/>
                <w:kern w:val="0"/>
                <w:szCs w:val="21"/>
              </w:rPr>
              <w:t>项全分析数据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578"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restart"/>
            <w:tcBorders>
              <w:top w:val="nil"/>
              <w:left w:val="single" w:color="auto" w:sz="4" w:space="0"/>
              <w:bottom w:val="single" w:color="000000"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管网水</w:t>
            </w:r>
          </w:p>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（含管网末梢水）</w:t>
            </w:r>
          </w:p>
        </w:tc>
        <w:tc>
          <w:tcPr>
            <w:tcW w:w="3463" w:type="dxa"/>
            <w:tcBorders>
              <w:top w:val="nil"/>
              <w:left w:val="nil"/>
              <w:bottom w:val="single" w:color="auto" w:sz="4" w:space="0"/>
              <w:right w:val="single" w:color="auto" w:sz="4" w:space="0"/>
            </w:tcBorders>
            <w:noWrap w:val="0"/>
            <w:vAlign w:val="top"/>
          </w:tcPr>
          <w:p>
            <w:pPr>
              <w:spacing w:line="220" w:lineRule="exact"/>
              <w:jc w:val="left"/>
              <w:rPr>
                <w:rFonts w:eastAsia="方正仿宋_GBK"/>
                <w:bCs/>
                <w:color w:val="000000"/>
                <w:spacing w:val="-2"/>
                <w:kern w:val="0"/>
                <w:szCs w:val="21"/>
              </w:rPr>
            </w:pPr>
            <w:r>
              <w:rPr>
                <w:rFonts w:eastAsia="方正仿宋_GBK"/>
                <w:bCs/>
                <w:color w:val="000000"/>
                <w:spacing w:val="-2"/>
                <w:kern w:val="0"/>
                <w:szCs w:val="21"/>
              </w:rPr>
              <w:t xml:space="preserve">                       </w:t>
            </w:r>
            <w:r>
              <w:rPr>
                <w:rFonts w:hint="eastAsia" w:eastAsia="方正仿宋_GBK"/>
                <w:bCs/>
                <w:color w:val="000000"/>
                <w:spacing w:val="-2"/>
                <w:kern w:val="0"/>
                <w:szCs w:val="21"/>
              </w:rPr>
              <w:t>公示要求</w:t>
            </w:r>
          </w:p>
          <w:p>
            <w:pPr>
              <w:spacing w:line="220" w:lineRule="exact"/>
              <w:jc w:val="left"/>
              <w:rPr>
                <w:rFonts w:eastAsia="方正仿宋_GBK"/>
                <w:bCs/>
                <w:color w:val="000000"/>
                <w:spacing w:val="-2"/>
                <w:kern w:val="0"/>
                <w:szCs w:val="21"/>
              </w:rPr>
            </w:pPr>
            <w:r>
              <w:rPr>
                <w:rFonts w:hint="eastAsia" w:eastAsia="方正仿宋_GBK"/>
                <w:bCs/>
                <w:color w:val="000000"/>
                <w:spacing w:val="-2"/>
                <w:kern w:val="0"/>
                <w:szCs w:val="21"/>
              </w:rPr>
              <w:t>数据分类</w:t>
            </w:r>
          </w:p>
        </w:tc>
        <w:tc>
          <w:tcPr>
            <w:tcW w:w="2170"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公示形式</w:t>
            </w:r>
          </w:p>
        </w:tc>
        <w:tc>
          <w:tcPr>
            <w:tcW w:w="1954"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公示项目</w:t>
            </w:r>
          </w:p>
        </w:tc>
        <w:tc>
          <w:tcPr>
            <w:tcW w:w="1886" w:type="dxa"/>
            <w:tcBorders>
              <w:top w:val="nil"/>
              <w:left w:val="nil"/>
              <w:bottom w:val="single" w:color="auto" w:sz="4" w:space="0"/>
              <w:right w:val="single" w:color="auto" w:sz="8"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公示频次</w:t>
            </w:r>
          </w:p>
        </w:tc>
      </w:tr>
      <w:tr>
        <w:tblPrEx>
          <w:tblCellMar>
            <w:top w:w="0" w:type="dxa"/>
            <w:left w:w="108" w:type="dxa"/>
            <w:bottom w:w="0" w:type="dxa"/>
            <w:right w:w="108" w:type="dxa"/>
          </w:tblCellMar>
        </w:tblPrEx>
        <w:trPr>
          <w:trHeight w:val="306"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实时监测数据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6"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日检数据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6"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月检数据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6"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eastAsia="方正仿宋_GBK"/>
                <w:bCs/>
                <w:color w:val="000000"/>
                <w:spacing w:val="-2"/>
                <w:kern w:val="0"/>
                <w:szCs w:val="21"/>
              </w:rPr>
              <w:t>106</w:t>
            </w:r>
            <w:r>
              <w:rPr>
                <w:rFonts w:hint="eastAsia" w:eastAsia="方正仿宋_GBK"/>
                <w:bCs/>
                <w:color w:val="000000"/>
                <w:spacing w:val="-2"/>
                <w:kern w:val="0"/>
                <w:szCs w:val="21"/>
              </w:rPr>
              <w:t>项全分析数据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555"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restart"/>
            <w:tcBorders>
              <w:top w:val="nil"/>
              <w:left w:val="single" w:color="auto" w:sz="4" w:space="0"/>
              <w:bottom w:val="single" w:color="auto" w:sz="8" w:space="0"/>
              <w:right w:val="single" w:color="auto" w:sz="4" w:space="0"/>
            </w:tcBorders>
            <w:noWrap w:val="0"/>
            <w:vAlign w:val="bottom"/>
          </w:tcPr>
          <w:p>
            <w:pPr>
              <w:spacing w:line="220" w:lineRule="exact"/>
              <w:jc w:val="center"/>
              <w:rPr>
                <w:rFonts w:eastAsia="方正仿宋_GBK"/>
                <w:color w:val="000000"/>
                <w:spacing w:val="-2"/>
                <w:kern w:val="0"/>
                <w:szCs w:val="21"/>
              </w:rPr>
            </w:pPr>
            <w:r>
              <w:rPr>
                <w:rFonts w:hint="eastAsia" w:eastAsia="方正仿宋_GBK"/>
                <w:color w:val="000000"/>
                <w:spacing w:val="-2"/>
                <w:kern w:val="0"/>
                <w:szCs w:val="21"/>
              </w:rPr>
              <w:t>　</w:t>
            </w:r>
          </w:p>
        </w:tc>
        <w:tc>
          <w:tcPr>
            <w:tcW w:w="1574" w:type="dxa"/>
            <w:vMerge w:val="restart"/>
            <w:tcBorders>
              <w:top w:val="nil"/>
              <w:left w:val="single" w:color="auto" w:sz="4" w:space="0"/>
              <w:bottom w:val="single" w:color="000000"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出厂水</w:t>
            </w:r>
          </w:p>
        </w:tc>
        <w:tc>
          <w:tcPr>
            <w:tcW w:w="3463" w:type="dxa"/>
            <w:tcBorders>
              <w:top w:val="nil"/>
              <w:left w:val="nil"/>
              <w:bottom w:val="single" w:color="auto" w:sz="4" w:space="0"/>
              <w:right w:val="single" w:color="auto" w:sz="4" w:space="0"/>
            </w:tcBorders>
            <w:noWrap w:val="0"/>
            <w:vAlign w:val="top"/>
          </w:tcPr>
          <w:p>
            <w:pPr>
              <w:spacing w:line="220" w:lineRule="exact"/>
              <w:jc w:val="left"/>
              <w:rPr>
                <w:rFonts w:eastAsia="方正仿宋_GBK"/>
                <w:bCs/>
                <w:color w:val="000000"/>
                <w:spacing w:val="-2"/>
                <w:kern w:val="0"/>
                <w:szCs w:val="21"/>
              </w:rPr>
            </w:pPr>
            <w:r>
              <w:rPr>
                <w:rFonts w:eastAsia="方正仿宋_GBK"/>
                <w:bCs/>
                <w:color w:val="000000"/>
                <w:spacing w:val="-2"/>
                <w:kern w:val="0"/>
                <w:szCs w:val="21"/>
              </w:rPr>
              <w:t xml:space="preserve">                       </w:t>
            </w:r>
            <w:r>
              <w:rPr>
                <w:rFonts w:hint="eastAsia" w:eastAsia="方正仿宋_GBK"/>
                <w:bCs/>
                <w:color w:val="000000"/>
                <w:spacing w:val="-2"/>
                <w:kern w:val="0"/>
                <w:szCs w:val="21"/>
              </w:rPr>
              <w:t>公示要求</w:t>
            </w:r>
          </w:p>
          <w:p>
            <w:pPr>
              <w:spacing w:line="220" w:lineRule="exact"/>
              <w:jc w:val="left"/>
              <w:rPr>
                <w:rFonts w:eastAsia="方正仿宋_GBK"/>
                <w:bCs/>
                <w:color w:val="000000"/>
                <w:spacing w:val="-2"/>
                <w:kern w:val="0"/>
                <w:szCs w:val="21"/>
              </w:rPr>
            </w:pPr>
            <w:r>
              <w:rPr>
                <w:rFonts w:hint="eastAsia" w:eastAsia="方正仿宋_GBK"/>
                <w:bCs/>
                <w:color w:val="000000"/>
                <w:spacing w:val="-2"/>
                <w:kern w:val="0"/>
                <w:szCs w:val="21"/>
              </w:rPr>
              <w:t>数据分类</w:t>
            </w:r>
          </w:p>
        </w:tc>
        <w:tc>
          <w:tcPr>
            <w:tcW w:w="2170"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公示形式</w:t>
            </w:r>
          </w:p>
        </w:tc>
        <w:tc>
          <w:tcPr>
            <w:tcW w:w="1954"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公示项目</w:t>
            </w:r>
          </w:p>
        </w:tc>
        <w:tc>
          <w:tcPr>
            <w:tcW w:w="1886" w:type="dxa"/>
            <w:tcBorders>
              <w:top w:val="nil"/>
              <w:left w:val="nil"/>
              <w:bottom w:val="single" w:color="auto" w:sz="4" w:space="0"/>
              <w:right w:val="single" w:color="auto" w:sz="8"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公示频次</w:t>
            </w:r>
          </w:p>
        </w:tc>
      </w:tr>
      <w:tr>
        <w:tblPrEx>
          <w:tblCellMar>
            <w:top w:w="0" w:type="dxa"/>
            <w:left w:w="108" w:type="dxa"/>
            <w:bottom w:w="0" w:type="dxa"/>
            <w:right w:w="108" w:type="dxa"/>
          </w:tblCellMar>
        </w:tblPrEx>
        <w:trPr>
          <w:trHeight w:val="300"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实时监测数据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日检数据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月检数据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eastAsia="方正仿宋_GBK"/>
                <w:bCs/>
                <w:color w:val="000000"/>
                <w:spacing w:val="-2"/>
                <w:kern w:val="0"/>
                <w:szCs w:val="21"/>
              </w:rPr>
              <w:t>106</w:t>
            </w:r>
            <w:r>
              <w:rPr>
                <w:rFonts w:hint="eastAsia" w:eastAsia="方正仿宋_GBK"/>
                <w:bCs/>
                <w:color w:val="000000"/>
                <w:spacing w:val="-2"/>
                <w:kern w:val="0"/>
                <w:szCs w:val="21"/>
              </w:rPr>
              <w:t>项全分析数据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510"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restart"/>
            <w:tcBorders>
              <w:top w:val="nil"/>
              <w:left w:val="single" w:color="auto" w:sz="4" w:space="0"/>
              <w:bottom w:val="single" w:color="auto" w:sz="8"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管网水</w:t>
            </w:r>
          </w:p>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（含管网末梢水）</w:t>
            </w:r>
          </w:p>
        </w:tc>
        <w:tc>
          <w:tcPr>
            <w:tcW w:w="3463" w:type="dxa"/>
            <w:tcBorders>
              <w:top w:val="nil"/>
              <w:left w:val="nil"/>
              <w:bottom w:val="single" w:color="auto" w:sz="4" w:space="0"/>
              <w:right w:val="single" w:color="auto" w:sz="4" w:space="0"/>
            </w:tcBorders>
            <w:noWrap w:val="0"/>
            <w:vAlign w:val="top"/>
          </w:tcPr>
          <w:p>
            <w:pPr>
              <w:spacing w:line="220" w:lineRule="exact"/>
              <w:jc w:val="left"/>
              <w:rPr>
                <w:rFonts w:eastAsia="方正仿宋_GBK"/>
                <w:bCs/>
                <w:color w:val="000000"/>
                <w:spacing w:val="-2"/>
                <w:kern w:val="0"/>
                <w:szCs w:val="21"/>
              </w:rPr>
            </w:pPr>
            <w:r>
              <w:rPr>
                <w:rFonts w:eastAsia="方正仿宋_GBK"/>
                <w:bCs/>
                <w:color w:val="000000"/>
                <w:spacing w:val="-2"/>
                <w:kern w:val="0"/>
                <w:szCs w:val="21"/>
              </w:rPr>
              <w:t xml:space="preserve">                     </w:t>
            </w:r>
            <w:r>
              <w:rPr>
                <w:rFonts w:hint="eastAsia" w:eastAsia="方正仿宋_GBK"/>
                <w:bCs/>
                <w:color w:val="000000"/>
                <w:spacing w:val="-2"/>
                <w:kern w:val="0"/>
                <w:szCs w:val="21"/>
              </w:rPr>
              <w:t>公示要求</w:t>
            </w:r>
          </w:p>
          <w:p>
            <w:pPr>
              <w:spacing w:line="220" w:lineRule="exact"/>
              <w:jc w:val="left"/>
              <w:rPr>
                <w:rFonts w:eastAsia="方正仿宋_GBK"/>
                <w:bCs/>
                <w:color w:val="000000"/>
                <w:spacing w:val="-2"/>
                <w:kern w:val="0"/>
                <w:szCs w:val="21"/>
              </w:rPr>
            </w:pPr>
            <w:r>
              <w:rPr>
                <w:rFonts w:hint="eastAsia" w:eastAsia="方正仿宋_GBK"/>
                <w:bCs/>
                <w:color w:val="000000"/>
                <w:spacing w:val="-2"/>
                <w:kern w:val="0"/>
                <w:szCs w:val="21"/>
              </w:rPr>
              <w:t>数据分类</w:t>
            </w:r>
          </w:p>
        </w:tc>
        <w:tc>
          <w:tcPr>
            <w:tcW w:w="2170"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公示形式</w:t>
            </w:r>
          </w:p>
        </w:tc>
        <w:tc>
          <w:tcPr>
            <w:tcW w:w="1954"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公示项目</w:t>
            </w:r>
          </w:p>
        </w:tc>
        <w:tc>
          <w:tcPr>
            <w:tcW w:w="1886" w:type="dxa"/>
            <w:tcBorders>
              <w:top w:val="nil"/>
              <w:left w:val="nil"/>
              <w:bottom w:val="single" w:color="auto" w:sz="4" w:space="0"/>
              <w:right w:val="single" w:color="auto" w:sz="8"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公示频次</w:t>
            </w:r>
          </w:p>
        </w:tc>
      </w:tr>
      <w:tr>
        <w:tblPrEx>
          <w:tblCellMar>
            <w:top w:w="0" w:type="dxa"/>
            <w:left w:w="108" w:type="dxa"/>
            <w:bottom w:w="0" w:type="dxa"/>
            <w:right w:w="108" w:type="dxa"/>
          </w:tblCellMar>
        </w:tblPrEx>
        <w:trPr>
          <w:trHeight w:val="255"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实时监测数据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255"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日检数据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255"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4"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hint="eastAsia" w:eastAsia="方正仿宋_GBK"/>
                <w:bCs/>
                <w:color w:val="000000"/>
                <w:spacing w:val="-2"/>
                <w:kern w:val="0"/>
                <w:szCs w:val="21"/>
              </w:rPr>
              <w:t>月检数据</w:t>
            </w:r>
          </w:p>
        </w:tc>
        <w:tc>
          <w:tcPr>
            <w:tcW w:w="2170"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4"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4"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862"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758"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574"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bCs/>
                <w:color w:val="000000"/>
                <w:spacing w:val="-2"/>
                <w:kern w:val="0"/>
                <w:szCs w:val="21"/>
              </w:rPr>
            </w:pPr>
          </w:p>
        </w:tc>
        <w:tc>
          <w:tcPr>
            <w:tcW w:w="3463" w:type="dxa"/>
            <w:tcBorders>
              <w:top w:val="nil"/>
              <w:left w:val="nil"/>
              <w:bottom w:val="single" w:color="auto" w:sz="8" w:space="0"/>
              <w:right w:val="single" w:color="auto" w:sz="4" w:space="0"/>
            </w:tcBorders>
            <w:noWrap w:val="0"/>
            <w:vAlign w:val="center"/>
          </w:tcPr>
          <w:p>
            <w:pPr>
              <w:spacing w:line="220" w:lineRule="exact"/>
              <w:jc w:val="center"/>
              <w:rPr>
                <w:rFonts w:eastAsia="方正仿宋_GBK"/>
                <w:bCs/>
                <w:color w:val="000000"/>
                <w:spacing w:val="-2"/>
                <w:kern w:val="0"/>
                <w:szCs w:val="21"/>
              </w:rPr>
            </w:pPr>
            <w:r>
              <w:rPr>
                <w:rFonts w:eastAsia="方正仿宋_GBK"/>
                <w:bCs/>
                <w:color w:val="000000"/>
                <w:spacing w:val="-2"/>
                <w:kern w:val="0"/>
                <w:szCs w:val="21"/>
              </w:rPr>
              <w:t>106</w:t>
            </w:r>
            <w:r>
              <w:rPr>
                <w:rFonts w:hint="eastAsia" w:eastAsia="方正仿宋_GBK"/>
                <w:bCs/>
                <w:color w:val="000000"/>
                <w:spacing w:val="-2"/>
                <w:kern w:val="0"/>
                <w:szCs w:val="21"/>
              </w:rPr>
              <w:t>项全分析数据</w:t>
            </w:r>
          </w:p>
        </w:tc>
        <w:tc>
          <w:tcPr>
            <w:tcW w:w="2170" w:type="dxa"/>
            <w:tcBorders>
              <w:top w:val="nil"/>
              <w:left w:val="nil"/>
              <w:bottom w:val="single" w:color="auto" w:sz="8"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954" w:type="dxa"/>
            <w:tcBorders>
              <w:top w:val="nil"/>
              <w:left w:val="nil"/>
              <w:bottom w:val="single" w:color="auto" w:sz="8" w:space="0"/>
              <w:right w:val="single" w:color="auto" w:sz="4"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c>
          <w:tcPr>
            <w:tcW w:w="1886" w:type="dxa"/>
            <w:tcBorders>
              <w:top w:val="nil"/>
              <w:left w:val="nil"/>
              <w:bottom w:val="single" w:color="auto" w:sz="8" w:space="0"/>
              <w:right w:val="single" w:color="auto" w:sz="8" w:space="0"/>
            </w:tcBorders>
            <w:noWrap w:val="0"/>
            <w:vAlign w:val="bottom"/>
          </w:tcPr>
          <w:p>
            <w:pPr>
              <w:spacing w:line="220" w:lineRule="exact"/>
              <w:jc w:val="left"/>
              <w:rPr>
                <w:rFonts w:eastAsia="方正仿宋_GBK"/>
                <w:color w:val="000000"/>
                <w:spacing w:val="-2"/>
                <w:kern w:val="0"/>
                <w:szCs w:val="21"/>
              </w:rPr>
            </w:pPr>
            <w:r>
              <w:rPr>
                <w:rFonts w:hint="eastAsia" w:eastAsia="方正仿宋_GBK"/>
                <w:color w:val="000000"/>
                <w:spacing w:val="-2"/>
                <w:kern w:val="0"/>
                <w:szCs w:val="21"/>
              </w:rPr>
              <w:t>　</w:t>
            </w:r>
          </w:p>
        </w:tc>
      </w:tr>
    </w:tbl>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附件3：</w:t>
      </w:r>
    </w:p>
    <w:p>
      <w:pPr>
        <w:jc w:val="center"/>
        <w:rPr>
          <w:rFonts w:hint="eastAsia" w:eastAsia="方正黑体_GBK"/>
          <w:bCs/>
          <w:color w:val="000000"/>
          <w:spacing w:val="-2"/>
          <w:kern w:val="0"/>
          <w:sz w:val="28"/>
          <w:szCs w:val="28"/>
        </w:rPr>
      </w:pPr>
      <w:r>
        <w:rPr>
          <w:rFonts w:hint="eastAsia" w:eastAsia="方正黑体_GBK"/>
          <w:bCs/>
          <w:color w:val="000000"/>
          <w:spacing w:val="-2"/>
          <w:kern w:val="0"/>
          <w:sz w:val="28"/>
          <w:szCs w:val="28"/>
        </w:rPr>
        <w:t>全省城市供水行业主管部门水质督察信息公示情况调查表</w:t>
      </w:r>
    </w:p>
    <w:p>
      <w:pPr>
        <w:rPr>
          <w:rFonts w:eastAsia="方正仿宋_GBK"/>
          <w:bCs/>
          <w:color w:val="000000"/>
          <w:spacing w:val="-2"/>
          <w:kern w:val="0"/>
          <w:szCs w:val="21"/>
        </w:rPr>
      </w:pPr>
      <w:r>
        <w:rPr>
          <w:rFonts w:hint="eastAsia" w:eastAsia="方正仿宋_GBK"/>
          <w:bCs/>
          <w:color w:val="000000"/>
          <w:spacing w:val="-2"/>
          <w:kern w:val="0"/>
          <w:szCs w:val="21"/>
        </w:rPr>
        <w:t>填表日期：</w:t>
      </w:r>
      <w:r>
        <w:rPr>
          <w:rFonts w:eastAsia="方正仿宋_GBK"/>
          <w:bCs/>
          <w:color w:val="000000"/>
          <w:spacing w:val="-2"/>
          <w:kern w:val="0"/>
          <w:szCs w:val="21"/>
        </w:rPr>
        <w:t xml:space="preserve">                                                    </w:t>
      </w:r>
      <w:r>
        <w:rPr>
          <w:rFonts w:hint="eastAsia" w:eastAsia="方正仿宋_GBK"/>
          <w:bCs/>
          <w:color w:val="000000"/>
          <w:spacing w:val="-2"/>
          <w:kern w:val="0"/>
          <w:szCs w:val="21"/>
        </w:rPr>
        <w:t>填表人：</w:t>
      </w:r>
      <w:r>
        <w:rPr>
          <w:rFonts w:eastAsia="方正仿宋_GBK"/>
          <w:bCs/>
          <w:color w:val="000000"/>
          <w:spacing w:val="-2"/>
          <w:kern w:val="0"/>
          <w:szCs w:val="21"/>
        </w:rPr>
        <w:t xml:space="preserve">                                       </w:t>
      </w:r>
      <w:r>
        <w:rPr>
          <w:rFonts w:hint="eastAsia" w:eastAsia="方正仿宋_GBK"/>
          <w:bCs/>
          <w:color w:val="000000"/>
          <w:spacing w:val="-2"/>
          <w:kern w:val="0"/>
          <w:szCs w:val="21"/>
        </w:rPr>
        <w:t>联系方式：</w:t>
      </w:r>
    </w:p>
    <w:tbl>
      <w:tblPr>
        <w:tblStyle w:val="12"/>
        <w:tblW w:w="0" w:type="auto"/>
        <w:tblInd w:w="108" w:type="dxa"/>
        <w:tblLayout w:type="fixed"/>
        <w:tblCellMar>
          <w:top w:w="0" w:type="dxa"/>
          <w:left w:w="108" w:type="dxa"/>
          <w:bottom w:w="0" w:type="dxa"/>
          <w:right w:w="108" w:type="dxa"/>
        </w:tblCellMar>
      </w:tblPr>
      <w:tblGrid>
        <w:gridCol w:w="1380"/>
        <w:gridCol w:w="1640"/>
        <w:gridCol w:w="1980"/>
        <w:gridCol w:w="3200"/>
        <w:gridCol w:w="2900"/>
        <w:gridCol w:w="2566"/>
      </w:tblGrid>
      <w:tr>
        <w:tblPrEx>
          <w:tblCellMar>
            <w:top w:w="0" w:type="dxa"/>
            <w:left w:w="108" w:type="dxa"/>
            <w:bottom w:w="0" w:type="dxa"/>
            <w:right w:w="108" w:type="dxa"/>
          </w:tblCellMar>
        </w:tblPrEx>
        <w:trPr>
          <w:trHeight w:val="540" w:hRule="atLeast"/>
        </w:trPr>
        <w:tc>
          <w:tcPr>
            <w:tcW w:w="1380" w:type="dxa"/>
            <w:tcBorders>
              <w:top w:val="single" w:color="auto" w:sz="8" w:space="0"/>
              <w:left w:val="single" w:color="auto" w:sz="8" w:space="0"/>
              <w:bottom w:val="single" w:color="auto" w:sz="4" w:space="0"/>
              <w:right w:val="single" w:color="auto" w:sz="4" w:space="0"/>
            </w:tcBorders>
            <w:noWrap w:val="0"/>
            <w:vAlign w:val="center"/>
          </w:tcPr>
          <w:p>
            <w:pPr>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省辖市</w:t>
            </w:r>
          </w:p>
        </w:tc>
        <w:tc>
          <w:tcPr>
            <w:tcW w:w="1640" w:type="dxa"/>
            <w:tcBorders>
              <w:top w:val="single" w:color="auto" w:sz="8" w:space="0"/>
              <w:left w:val="nil"/>
              <w:bottom w:val="single" w:color="auto" w:sz="4" w:space="0"/>
              <w:right w:val="single" w:color="auto" w:sz="4" w:space="0"/>
            </w:tcBorders>
            <w:noWrap w:val="0"/>
            <w:vAlign w:val="center"/>
          </w:tcPr>
          <w:p>
            <w:pPr>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县</w:t>
            </w:r>
          </w:p>
          <w:p>
            <w:pPr>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（市、区）</w:t>
            </w:r>
          </w:p>
        </w:tc>
        <w:tc>
          <w:tcPr>
            <w:tcW w:w="1980" w:type="dxa"/>
            <w:tcBorders>
              <w:top w:val="single" w:color="auto" w:sz="8" w:space="0"/>
              <w:left w:val="nil"/>
              <w:bottom w:val="single" w:color="auto" w:sz="4" w:space="0"/>
              <w:right w:val="single" w:color="auto" w:sz="4" w:space="0"/>
            </w:tcBorders>
            <w:noWrap w:val="0"/>
            <w:vAlign w:val="center"/>
          </w:tcPr>
          <w:p>
            <w:pPr>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水质类别</w:t>
            </w:r>
          </w:p>
        </w:tc>
        <w:tc>
          <w:tcPr>
            <w:tcW w:w="8666" w:type="dxa"/>
            <w:gridSpan w:val="3"/>
            <w:tcBorders>
              <w:top w:val="single" w:color="auto" w:sz="8" w:space="0"/>
              <w:left w:val="nil"/>
              <w:bottom w:val="single" w:color="auto" w:sz="4" w:space="0"/>
              <w:right w:val="single" w:color="auto" w:sz="8" w:space="0"/>
            </w:tcBorders>
            <w:noWrap w:val="0"/>
            <w:vAlign w:val="center"/>
          </w:tcPr>
          <w:p>
            <w:pPr>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城市供水行业主管部门</w:t>
            </w:r>
          </w:p>
        </w:tc>
      </w:tr>
      <w:tr>
        <w:tblPrEx>
          <w:tblCellMar>
            <w:top w:w="0" w:type="dxa"/>
            <w:left w:w="108" w:type="dxa"/>
            <w:bottom w:w="0" w:type="dxa"/>
            <w:right w:w="108" w:type="dxa"/>
          </w:tblCellMar>
        </w:tblPrEx>
        <w:trPr>
          <w:trHeight w:val="285" w:hRule="atLeast"/>
        </w:trPr>
        <w:tc>
          <w:tcPr>
            <w:tcW w:w="1380" w:type="dxa"/>
            <w:vMerge w:val="restart"/>
            <w:tcBorders>
              <w:top w:val="nil"/>
              <w:left w:val="single" w:color="auto" w:sz="8" w:space="0"/>
              <w:bottom w:val="single" w:color="auto" w:sz="8" w:space="0"/>
              <w:right w:val="single" w:color="auto" w:sz="4" w:space="0"/>
            </w:tcBorders>
            <w:noWrap w:val="0"/>
            <w:vAlign w:val="bottom"/>
          </w:tcPr>
          <w:p>
            <w:pPr>
              <w:jc w:val="center"/>
              <w:rPr>
                <w:rFonts w:eastAsia="方正仿宋_GBK"/>
                <w:color w:val="000000"/>
                <w:spacing w:val="-2"/>
                <w:kern w:val="0"/>
                <w:szCs w:val="21"/>
              </w:rPr>
            </w:pPr>
            <w:r>
              <w:rPr>
                <w:rFonts w:hint="eastAsia" w:eastAsia="方正仿宋_GBK"/>
                <w:color w:val="000000"/>
                <w:spacing w:val="-2"/>
                <w:kern w:val="0"/>
                <w:szCs w:val="21"/>
              </w:rPr>
              <w:t>　</w:t>
            </w:r>
          </w:p>
        </w:tc>
        <w:tc>
          <w:tcPr>
            <w:tcW w:w="1640" w:type="dxa"/>
            <w:vMerge w:val="restart"/>
            <w:tcBorders>
              <w:top w:val="nil"/>
              <w:left w:val="single" w:color="auto" w:sz="4" w:space="0"/>
              <w:bottom w:val="single" w:color="000000" w:sz="4" w:space="0"/>
              <w:right w:val="single" w:color="auto" w:sz="4" w:space="0"/>
            </w:tcBorders>
            <w:noWrap w:val="0"/>
            <w:vAlign w:val="bottom"/>
          </w:tcPr>
          <w:p>
            <w:pPr>
              <w:jc w:val="center"/>
              <w:rPr>
                <w:rFonts w:eastAsia="方正仿宋_GBK"/>
                <w:color w:val="000000"/>
                <w:spacing w:val="-2"/>
                <w:kern w:val="0"/>
                <w:szCs w:val="21"/>
              </w:rPr>
            </w:pPr>
            <w:r>
              <w:rPr>
                <w:rFonts w:hint="eastAsia" w:eastAsia="方正仿宋_GBK"/>
                <w:color w:val="000000"/>
                <w:spacing w:val="-2"/>
                <w:kern w:val="0"/>
                <w:szCs w:val="21"/>
              </w:rPr>
              <w:t>　</w:t>
            </w:r>
          </w:p>
        </w:tc>
        <w:tc>
          <w:tcPr>
            <w:tcW w:w="1980" w:type="dxa"/>
            <w:vMerge w:val="restart"/>
            <w:tcBorders>
              <w:top w:val="nil"/>
              <w:left w:val="single" w:color="auto" w:sz="4" w:space="0"/>
              <w:bottom w:val="single" w:color="000000"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出厂水</w:t>
            </w:r>
          </w:p>
        </w:tc>
        <w:tc>
          <w:tcPr>
            <w:tcW w:w="3200" w:type="dxa"/>
            <w:tcBorders>
              <w:top w:val="nil"/>
              <w:left w:val="nil"/>
              <w:bottom w:val="single" w:color="auto"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公示形式</w:t>
            </w:r>
          </w:p>
        </w:tc>
        <w:tc>
          <w:tcPr>
            <w:tcW w:w="2900" w:type="dxa"/>
            <w:tcBorders>
              <w:top w:val="nil"/>
              <w:left w:val="nil"/>
              <w:bottom w:val="single" w:color="auto"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公示项目</w:t>
            </w:r>
          </w:p>
        </w:tc>
        <w:tc>
          <w:tcPr>
            <w:tcW w:w="2566" w:type="dxa"/>
            <w:tcBorders>
              <w:top w:val="nil"/>
              <w:left w:val="nil"/>
              <w:bottom w:val="single" w:color="auto" w:sz="4" w:space="0"/>
              <w:right w:val="single" w:color="auto" w:sz="8"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公示频次</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578"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restart"/>
            <w:tcBorders>
              <w:top w:val="nil"/>
              <w:left w:val="single" w:color="auto" w:sz="4" w:space="0"/>
              <w:bottom w:val="single" w:color="000000"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管网水</w:t>
            </w:r>
          </w:p>
          <w:p>
            <w:pPr>
              <w:jc w:val="center"/>
              <w:rPr>
                <w:rFonts w:eastAsia="方正仿宋_GBK"/>
                <w:bCs/>
                <w:color w:val="000000"/>
                <w:spacing w:val="-2"/>
                <w:kern w:val="0"/>
                <w:szCs w:val="21"/>
              </w:rPr>
            </w:pPr>
            <w:r>
              <w:rPr>
                <w:rFonts w:hint="eastAsia" w:eastAsia="方正仿宋_GBK"/>
                <w:bCs/>
                <w:color w:val="000000"/>
                <w:spacing w:val="-2"/>
                <w:kern w:val="0"/>
                <w:szCs w:val="21"/>
              </w:rPr>
              <w:t>（含管网末梢水）</w:t>
            </w:r>
          </w:p>
        </w:tc>
        <w:tc>
          <w:tcPr>
            <w:tcW w:w="3200" w:type="dxa"/>
            <w:tcBorders>
              <w:top w:val="nil"/>
              <w:left w:val="nil"/>
              <w:bottom w:val="single" w:color="auto"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公示形式</w:t>
            </w:r>
          </w:p>
        </w:tc>
        <w:tc>
          <w:tcPr>
            <w:tcW w:w="2900" w:type="dxa"/>
            <w:tcBorders>
              <w:top w:val="nil"/>
              <w:left w:val="nil"/>
              <w:bottom w:val="single" w:color="auto"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公示项目</w:t>
            </w:r>
          </w:p>
        </w:tc>
        <w:tc>
          <w:tcPr>
            <w:tcW w:w="2566" w:type="dxa"/>
            <w:tcBorders>
              <w:top w:val="nil"/>
              <w:left w:val="nil"/>
              <w:bottom w:val="single" w:color="auto" w:sz="4" w:space="0"/>
              <w:right w:val="single" w:color="auto" w:sz="8"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公示频次</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285"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restart"/>
            <w:tcBorders>
              <w:top w:val="nil"/>
              <w:left w:val="single" w:color="auto" w:sz="4" w:space="0"/>
              <w:bottom w:val="single" w:color="auto" w:sz="8" w:space="0"/>
              <w:right w:val="single" w:color="auto" w:sz="4" w:space="0"/>
            </w:tcBorders>
            <w:noWrap w:val="0"/>
            <w:vAlign w:val="bottom"/>
          </w:tcPr>
          <w:p>
            <w:pPr>
              <w:jc w:val="center"/>
              <w:rPr>
                <w:rFonts w:eastAsia="方正仿宋_GBK"/>
                <w:color w:val="000000"/>
                <w:spacing w:val="-2"/>
                <w:kern w:val="0"/>
                <w:szCs w:val="21"/>
              </w:rPr>
            </w:pPr>
            <w:r>
              <w:rPr>
                <w:rFonts w:hint="eastAsia" w:eastAsia="方正仿宋_GBK"/>
                <w:color w:val="000000"/>
                <w:spacing w:val="-2"/>
                <w:kern w:val="0"/>
                <w:szCs w:val="21"/>
              </w:rPr>
              <w:t>　</w:t>
            </w:r>
          </w:p>
        </w:tc>
        <w:tc>
          <w:tcPr>
            <w:tcW w:w="1980" w:type="dxa"/>
            <w:vMerge w:val="restart"/>
            <w:tcBorders>
              <w:top w:val="nil"/>
              <w:left w:val="single" w:color="auto" w:sz="4" w:space="0"/>
              <w:bottom w:val="single" w:color="000000"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出厂水</w:t>
            </w:r>
          </w:p>
        </w:tc>
        <w:tc>
          <w:tcPr>
            <w:tcW w:w="3200" w:type="dxa"/>
            <w:tcBorders>
              <w:top w:val="nil"/>
              <w:left w:val="nil"/>
              <w:bottom w:val="single" w:color="auto"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公示形式</w:t>
            </w:r>
          </w:p>
        </w:tc>
        <w:tc>
          <w:tcPr>
            <w:tcW w:w="2900" w:type="dxa"/>
            <w:tcBorders>
              <w:top w:val="nil"/>
              <w:left w:val="nil"/>
              <w:bottom w:val="single" w:color="auto"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公示项目</w:t>
            </w:r>
          </w:p>
        </w:tc>
        <w:tc>
          <w:tcPr>
            <w:tcW w:w="2566" w:type="dxa"/>
            <w:tcBorders>
              <w:top w:val="nil"/>
              <w:left w:val="nil"/>
              <w:bottom w:val="single" w:color="auto" w:sz="4" w:space="0"/>
              <w:right w:val="single" w:color="auto" w:sz="8"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公示频次</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578"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restart"/>
            <w:tcBorders>
              <w:top w:val="nil"/>
              <w:left w:val="single" w:color="auto" w:sz="4" w:space="0"/>
              <w:bottom w:val="single" w:color="auto" w:sz="8"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管网水</w:t>
            </w:r>
          </w:p>
          <w:p>
            <w:pPr>
              <w:jc w:val="center"/>
              <w:rPr>
                <w:rFonts w:eastAsia="方正仿宋_GBK"/>
                <w:bCs/>
                <w:color w:val="000000"/>
                <w:spacing w:val="-2"/>
                <w:kern w:val="0"/>
                <w:szCs w:val="21"/>
              </w:rPr>
            </w:pPr>
            <w:r>
              <w:rPr>
                <w:rFonts w:hint="eastAsia" w:eastAsia="方正仿宋_GBK"/>
                <w:bCs/>
                <w:color w:val="000000"/>
                <w:spacing w:val="-2"/>
                <w:kern w:val="0"/>
                <w:szCs w:val="21"/>
              </w:rPr>
              <w:t>（含管网末梢水）</w:t>
            </w:r>
          </w:p>
        </w:tc>
        <w:tc>
          <w:tcPr>
            <w:tcW w:w="3200" w:type="dxa"/>
            <w:tcBorders>
              <w:top w:val="nil"/>
              <w:left w:val="nil"/>
              <w:bottom w:val="single" w:color="auto"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公示形式</w:t>
            </w:r>
          </w:p>
        </w:tc>
        <w:tc>
          <w:tcPr>
            <w:tcW w:w="2900" w:type="dxa"/>
            <w:tcBorders>
              <w:top w:val="nil"/>
              <w:left w:val="nil"/>
              <w:bottom w:val="single" w:color="auto" w:sz="4" w:space="0"/>
              <w:right w:val="single" w:color="auto" w:sz="4"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公示项目</w:t>
            </w:r>
          </w:p>
        </w:tc>
        <w:tc>
          <w:tcPr>
            <w:tcW w:w="2566" w:type="dxa"/>
            <w:tcBorders>
              <w:top w:val="nil"/>
              <w:left w:val="nil"/>
              <w:bottom w:val="single" w:color="auto" w:sz="4" w:space="0"/>
              <w:right w:val="single" w:color="auto" w:sz="8" w:space="0"/>
            </w:tcBorders>
            <w:noWrap w:val="0"/>
            <w:vAlign w:val="center"/>
          </w:tcPr>
          <w:p>
            <w:pPr>
              <w:jc w:val="center"/>
              <w:rPr>
                <w:rFonts w:eastAsia="方正仿宋_GBK"/>
                <w:bCs/>
                <w:color w:val="000000"/>
                <w:spacing w:val="-2"/>
                <w:kern w:val="0"/>
                <w:szCs w:val="21"/>
              </w:rPr>
            </w:pPr>
            <w:r>
              <w:rPr>
                <w:rFonts w:hint="eastAsia" w:eastAsia="方正仿宋_GBK"/>
                <w:bCs/>
                <w:color w:val="000000"/>
                <w:spacing w:val="-2"/>
                <w:kern w:val="0"/>
                <w:szCs w:val="21"/>
              </w:rPr>
              <w:t>公示频次</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4"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4"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r>
        <w:tblPrEx>
          <w:tblCellMar>
            <w:top w:w="0" w:type="dxa"/>
            <w:left w:w="108" w:type="dxa"/>
            <w:bottom w:w="0" w:type="dxa"/>
            <w:right w:w="108" w:type="dxa"/>
          </w:tblCellMar>
        </w:tblPrEx>
        <w:trPr>
          <w:trHeight w:val="300" w:hRule="atLeast"/>
        </w:trPr>
        <w:tc>
          <w:tcPr>
            <w:tcW w:w="1380" w:type="dxa"/>
            <w:vMerge w:val="continue"/>
            <w:tcBorders>
              <w:top w:val="nil"/>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64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color w:val="000000"/>
                <w:spacing w:val="-2"/>
                <w:kern w:val="0"/>
                <w:szCs w:val="21"/>
              </w:rPr>
            </w:pPr>
          </w:p>
        </w:tc>
        <w:tc>
          <w:tcPr>
            <w:tcW w:w="1980" w:type="dxa"/>
            <w:vMerge w:val="continue"/>
            <w:tcBorders>
              <w:top w:val="nil"/>
              <w:left w:val="single" w:color="auto" w:sz="4" w:space="0"/>
              <w:bottom w:val="single" w:color="auto" w:sz="8" w:space="0"/>
              <w:right w:val="single" w:color="auto" w:sz="4" w:space="0"/>
            </w:tcBorders>
            <w:noWrap w:val="0"/>
            <w:vAlign w:val="center"/>
          </w:tcPr>
          <w:p>
            <w:pPr>
              <w:widowControl/>
              <w:jc w:val="left"/>
              <w:rPr>
                <w:rFonts w:eastAsia="方正仿宋_GBK"/>
                <w:bCs/>
                <w:color w:val="000000"/>
                <w:spacing w:val="-2"/>
                <w:kern w:val="0"/>
                <w:szCs w:val="21"/>
              </w:rPr>
            </w:pPr>
          </w:p>
        </w:tc>
        <w:tc>
          <w:tcPr>
            <w:tcW w:w="3200" w:type="dxa"/>
            <w:tcBorders>
              <w:top w:val="nil"/>
              <w:left w:val="nil"/>
              <w:bottom w:val="single" w:color="auto" w:sz="8"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900" w:type="dxa"/>
            <w:tcBorders>
              <w:top w:val="nil"/>
              <w:left w:val="nil"/>
              <w:bottom w:val="single" w:color="auto" w:sz="8" w:space="0"/>
              <w:right w:val="single" w:color="auto" w:sz="4"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c>
          <w:tcPr>
            <w:tcW w:w="2566" w:type="dxa"/>
            <w:tcBorders>
              <w:top w:val="nil"/>
              <w:left w:val="nil"/>
              <w:bottom w:val="single" w:color="auto" w:sz="8" w:space="0"/>
              <w:right w:val="single" w:color="auto" w:sz="8" w:space="0"/>
            </w:tcBorders>
            <w:noWrap w:val="0"/>
            <w:vAlign w:val="bottom"/>
          </w:tcPr>
          <w:p>
            <w:pPr>
              <w:jc w:val="left"/>
              <w:rPr>
                <w:rFonts w:eastAsia="方正仿宋_GBK"/>
                <w:color w:val="000000"/>
                <w:spacing w:val="-2"/>
                <w:kern w:val="0"/>
                <w:szCs w:val="21"/>
              </w:rPr>
            </w:pPr>
            <w:r>
              <w:rPr>
                <w:rFonts w:hint="eastAsia" w:eastAsia="方正仿宋_GBK"/>
                <w:color w:val="000000"/>
                <w:spacing w:val="-2"/>
                <w:kern w:val="0"/>
                <w:szCs w:val="21"/>
              </w:rPr>
              <w:t>　</w:t>
            </w:r>
          </w:p>
        </w:tc>
      </w:tr>
    </w:tbl>
    <w:p>
      <w:pPr>
        <w:widowControl/>
        <w:jc w:val="left"/>
        <w:rPr>
          <w:color w:val="000000"/>
          <w:spacing w:val="-2"/>
        </w:rPr>
        <w:sectPr>
          <w:type w:val="nextColumn"/>
          <w:pgSz w:w="16838" w:h="11906" w:orient="landscape"/>
          <w:pgMar w:top="1701" w:right="1588" w:bottom="1701" w:left="1588" w:header="851" w:footer="1361" w:gutter="0"/>
          <w:paperSrc w:first="7" w:other="7"/>
          <w:cols w:space="720" w:num="1"/>
        </w:sectPr>
      </w:pPr>
    </w:p>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附件4</w:t>
      </w:r>
    </w:p>
    <w:p>
      <w:pPr>
        <w:rPr>
          <w:rFonts w:hint="eastAsia" w:ascii="Times New Roman" w:eastAsia="黑体"/>
          <w:color w:val="000000"/>
          <w:spacing w:val="-2"/>
          <w:kern w:val="0"/>
          <w:sz w:val="32"/>
          <w:szCs w:val="32"/>
        </w:rPr>
      </w:pPr>
    </w:p>
    <w:p>
      <w:pPr>
        <w:spacing w:line="500" w:lineRule="exact"/>
        <w:jc w:val="center"/>
        <w:rPr>
          <w:rFonts w:hint="eastAsia" w:ascii="Times New Roman" w:eastAsia="方正黑体_GBK"/>
          <w:bCs/>
          <w:color w:val="000000"/>
          <w:spacing w:val="-2"/>
          <w:kern w:val="0"/>
          <w:sz w:val="36"/>
          <w:szCs w:val="36"/>
        </w:rPr>
      </w:pPr>
      <w:r>
        <w:rPr>
          <w:rFonts w:hint="eastAsia" w:ascii="Times New Roman" w:eastAsia="方正黑体_GBK"/>
          <w:bCs/>
          <w:color w:val="000000"/>
          <w:spacing w:val="-2"/>
          <w:kern w:val="0"/>
          <w:sz w:val="36"/>
          <w:szCs w:val="36"/>
        </w:rPr>
        <w:t>住房城乡建设部关于加强城镇供水设施改造建设和</w:t>
      </w:r>
    </w:p>
    <w:p>
      <w:pPr>
        <w:spacing w:line="500" w:lineRule="exact"/>
        <w:jc w:val="center"/>
        <w:rPr>
          <w:rFonts w:hint="eastAsia" w:ascii="Times New Roman" w:eastAsia="方正黑体_GBK"/>
          <w:bCs/>
          <w:color w:val="000000"/>
          <w:spacing w:val="-2"/>
          <w:kern w:val="0"/>
          <w:sz w:val="36"/>
          <w:szCs w:val="36"/>
        </w:rPr>
      </w:pPr>
      <w:r>
        <w:rPr>
          <w:rFonts w:hint="eastAsia" w:ascii="Times New Roman" w:eastAsia="方正黑体_GBK"/>
          <w:bCs/>
          <w:color w:val="000000"/>
          <w:spacing w:val="-2"/>
          <w:kern w:val="0"/>
          <w:sz w:val="36"/>
          <w:szCs w:val="36"/>
        </w:rPr>
        <w:t>运行管理工作的通知</w:t>
      </w:r>
    </w:p>
    <w:p>
      <w:pPr>
        <w:spacing w:line="460" w:lineRule="exact"/>
        <w:rPr>
          <w:rFonts w:hint="eastAsia" w:eastAsia="方正仿宋_GBK"/>
          <w:color w:val="000000"/>
          <w:spacing w:val="-2"/>
          <w:sz w:val="24"/>
        </w:rPr>
      </w:pPr>
    </w:p>
    <w:p>
      <w:pPr>
        <w:spacing w:line="460" w:lineRule="exact"/>
        <w:jc w:val="center"/>
        <w:rPr>
          <w:rFonts w:eastAsia="方正楷体_GBK"/>
          <w:bCs/>
          <w:color w:val="000000"/>
          <w:spacing w:val="-2"/>
          <w:kern w:val="0"/>
          <w:sz w:val="24"/>
        </w:rPr>
      </w:pPr>
      <w:bookmarkStart w:id="128" w:name="_Toc18315435"/>
      <w:r>
        <w:rPr>
          <w:rFonts w:hint="eastAsia" w:eastAsia="方正楷体_GBK"/>
          <w:bCs/>
          <w:color w:val="000000"/>
          <w:spacing w:val="-2"/>
          <w:kern w:val="0"/>
          <w:sz w:val="24"/>
        </w:rPr>
        <w:t>建城〔</w:t>
      </w:r>
      <w:r>
        <w:rPr>
          <w:rFonts w:eastAsia="方正楷体_GBK"/>
          <w:bCs/>
          <w:color w:val="000000"/>
          <w:spacing w:val="-2"/>
          <w:kern w:val="0"/>
          <w:sz w:val="24"/>
        </w:rPr>
        <w:t>2012</w:t>
      </w:r>
      <w:r>
        <w:rPr>
          <w:rFonts w:hint="eastAsia" w:eastAsia="方正楷体_GBK"/>
          <w:bCs/>
          <w:color w:val="000000"/>
          <w:spacing w:val="-2"/>
          <w:kern w:val="0"/>
          <w:sz w:val="24"/>
        </w:rPr>
        <w:t>〕</w:t>
      </w:r>
      <w:r>
        <w:rPr>
          <w:rFonts w:eastAsia="方正楷体_GBK"/>
          <w:bCs/>
          <w:color w:val="000000"/>
          <w:spacing w:val="-2"/>
          <w:kern w:val="0"/>
          <w:sz w:val="24"/>
        </w:rPr>
        <w:t>149</w:t>
      </w:r>
      <w:r>
        <w:rPr>
          <w:rFonts w:hint="eastAsia" w:eastAsia="方正楷体_GBK"/>
          <w:bCs/>
          <w:color w:val="000000"/>
          <w:spacing w:val="-2"/>
          <w:kern w:val="0"/>
          <w:sz w:val="24"/>
        </w:rPr>
        <w:t>号</w:t>
      </w:r>
      <w:bookmarkEnd w:id="128"/>
    </w:p>
    <w:p>
      <w:pPr>
        <w:spacing w:line="460" w:lineRule="exact"/>
        <w:rPr>
          <w:rFonts w:eastAsia="方正仿宋_GBK"/>
          <w:b/>
          <w:bCs/>
          <w:color w:val="000000"/>
          <w:spacing w:val="-2"/>
          <w:kern w:val="0"/>
          <w:sz w:val="24"/>
        </w:rPr>
      </w:pPr>
    </w:p>
    <w:p>
      <w:pPr>
        <w:spacing w:line="460" w:lineRule="exact"/>
        <w:rPr>
          <w:rFonts w:eastAsia="方正仿宋_GBK"/>
          <w:color w:val="000000"/>
          <w:spacing w:val="-2"/>
          <w:kern w:val="0"/>
          <w:sz w:val="24"/>
        </w:rPr>
      </w:pPr>
      <w:r>
        <w:rPr>
          <w:rFonts w:hint="eastAsia" w:eastAsia="方正仿宋_GBK"/>
          <w:color w:val="000000"/>
          <w:spacing w:val="-2"/>
          <w:kern w:val="0"/>
          <w:sz w:val="24"/>
        </w:rPr>
        <w:t>各省、自治区住房城乡建设厅，海南省水务厅，北京、上海、天津市水务局，重庆市市政管委，新疆生产建设兵团建设局：</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加强城镇供水设施改造、建设和运行管理工作，对保障广大人民群众的身体健康和生命安全、实现基本公共服务均等化、促进城镇化健康发展具有重要作用。近日，我部会同国家发展改革委印发了《全国城镇供水设施改造与建设</w:t>
      </w:r>
      <w:r>
        <w:rPr>
          <w:rFonts w:eastAsia="方正仿宋_GBK"/>
          <w:color w:val="000000"/>
          <w:spacing w:val="-2"/>
          <w:kern w:val="0"/>
          <w:sz w:val="24"/>
        </w:rPr>
        <w:t>“</w:t>
      </w:r>
      <w:r>
        <w:rPr>
          <w:rFonts w:hint="eastAsia" w:eastAsia="方正仿宋_GBK"/>
          <w:color w:val="000000"/>
          <w:spacing w:val="-2"/>
          <w:kern w:val="0"/>
          <w:sz w:val="24"/>
        </w:rPr>
        <w:t>十二五</w:t>
      </w:r>
      <w:r>
        <w:rPr>
          <w:rFonts w:eastAsia="方正仿宋_GBK"/>
          <w:color w:val="000000"/>
          <w:spacing w:val="-2"/>
          <w:kern w:val="0"/>
          <w:sz w:val="24"/>
        </w:rPr>
        <w:t>”</w:t>
      </w:r>
      <w:r>
        <w:rPr>
          <w:rFonts w:hint="eastAsia" w:eastAsia="方正仿宋_GBK"/>
          <w:color w:val="000000"/>
          <w:spacing w:val="-2"/>
          <w:kern w:val="0"/>
          <w:sz w:val="24"/>
        </w:rPr>
        <w:t>规划及</w:t>
      </w:r>
      <w:r>
        <w:rPr>
          <w:rFonts w:eastAsia="方正仿宋_GBK"/>
          <w:color w:val="000000"/>
          <w:spacing w:val="-2"/>
          <w:kern w:val="0"/>
          <w:sz w:val="24"/>
        </w:rPr>
        <w:t>2020</w:t>
      </w:r>
      <w:r>
        <w:rPr>
          <w:rFonts w:hint="eastAsia" w:eastAsia="方正仿宋_GBK"/>
          <w:color w:val="000000"/>
          <w:spacing w:val="-2"/>
          <w:kern w:val="0"/>
          <w:sz w:val="24"/>
        </w:rPr>
        <w:t>年远景目标》（以下简称《规划》），为贯彻落实《规划》，现通知如下：</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一、尽快开展前期工作</w:t>
      </w:r>
    </w:p>
    <w:p>
      <w:pPr>
        <w:spacing w:line="460" w:lineRule="exact"/>
        <w:ind w:firstLine="472" w:firstLineChars="200"/>
        <w:rPr>
          <w:rFonts w:hint="eastAsia" w:eastAsia="方正仿宋_GBK"/>
          <w:color w:val="000000"/>
          <w:spacing w:val="-2"/>
          <w:kern w:val="0"/>
          <w:sz w:val="24"/>
        </w:rPr>
      </w:pPr>
      <w:r>
        <w:rPr>
          <w:rFonts w:hint="eastAsia" w:ascii="Times New Roman" w:eastAsia="方正楷体_GBK"/>
          <w:color w:val="000000"/>
          <w:spacing w:val="-2"/>
          <w:kern w:val="0"/>
          <w:sz w:val="24"/>
        </w:rPr>
        <w:t>（一）分解落实规划任务。</w:t>
      </w:r>
      <w:r>
        <w:rPr>
          <w:rFonts w:hint="eastAsia" w:eastAsia="方正仿宋_GBK"/>
          <w:color w:val="000000"/>
          <w:spacing w:val="-2"/>
          <w:kern w:val="0"/>
          <w:sz w:val="24"/>
        </w:rPr>
        <w:t>按照《规划》确定的原则，结合本地实际情况，制定和完善本地区城镇供水设施改造与建设规划，明确辖区内各市县近远期的建设任务。市县供水主管部门要将规划任务逐一落实到工程项目，并组织和监督相关单位按照国家标准规范要求认真实施。</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（二）加强项目技术论证。</w:t>
      </w:r>
      <w:r>
        <w:rPr>
          <w:rFonts w:hint="eastAsia" w:eastAsia="方正仿宋_GBK"/>
          <w:color w:val="000000"/>
          <w:spacing w:val="-4"/>
          <w:kern w:val="0"/>
          <w:sz w:val="24"/>
        </w:rPr>
        <w:t>抓紧组织编制工程项目建议书、可行性研究报告等。项目立项审批前，要根据水源水质、供水设施状况、地质条件等，参照《城镇供水设施建设与改造技术指南》制定技术对策与方案，并充分进行技术论证，确保工程技术适用、建设规模合理，满足抗震设防要求。水厂改造项目应考虑水质检测和应对突发性水源污染的要求，配置必要的水质检测设备和应急净水设施；管网改造项目应采用优质管材和配件，有条件的地区应同步建设水量、水压及关键水质指标的在线检测设备</w:t>
      </w:r>
      <w:r>
        <w:rPr>
          <w:rFonts w:hint="eastAsia" w:eastAsia="方正仿宋_GBK"/>
          <w:color w:val="000000"/>
          <w:spacing w:val="-2"/>
          <w:kern w:val="0"/>
          <w:sz w:val="24"/>
        </w:rPr>
        <w:t>。</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（三）加快工程项目实施。</w:t>
      </w:r>
      <w:r>
        <w:rPr>
          <w:rFonts w:hint="eastAsia" w:eastAsia="方正仿宋_GBK"/>
          <w:color w:val="000000"/>
          <w:spacing w:val="-2"/>
          <w:kern w:val="0"/>
          <w:sz w:val="24"/>
        </w:rPr>
        <w:t>要加快工程项目的实施，定期汇总项目建设情况并加强监督指导。市县供水主管部门要结合本地实际情况，优先实施供水设施改造，限期解决水源污染、设施陈旧造成的水质不能稳定达标问题；制定好工程项目年度实施计划，纳入当地城市建设年度计划统筹实施；通过</w:t>
      </w:r>
      <w:r>
        <w:rPr>
          <w:rFonts w:eastAsia="方正仿宋_GBK"/>
          <w:color w:val="000000"/>
          <w:spacing w:val="-2"/>
          <w:kern w:val="0"/>
          <w:sz w:val="24"/>
        </w:rPr>
        <w:t>“</w:t>
      </w:r>
      <w:r>
        <w:rPr>
          <w:rFonts w:hint="eastAsia" w:eastAsia="方正仿宋_GBK"/>
          <w:color w:val="000000"/>
          <w:spacing w:val="-2"/>
          <w:kern w:val="0"/>
          <w:sz w:val="24"/>
        </w:rPr>
        <w:t>全国城镇供水信息系统</w:t>
      </w:r>
      <w:r>
        <w:rPr>
          <w:rFonts w:eastAsia="方正仿宋_GBK"/>
          <w:color w:val="000000"/>
          <w:spacing w:val="-2"/>
          <w:kern w:val="0"/>
          <w:sz w:val="24"/>
        </w:rPr>
        <w:t>”</w:t>
      </w:r>
      <w:r>
        <w:rPr>
          <w:rFonts w:hint="eastAsia" w:eastAsia="方正仿宋_GBK"/>
          <w:color w:val="000000"/>
          <w:spacing w:val="-2"/>
          <w:kern w:val="0"/>
          <w:sz w:val="24"/>
        </w:rPr>
        <w:t>填报项目信息，并及时更新项目进展情况。</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二、强化指导和监管</w:t>
      </w:r>
    </w:p>
    <w:p>
      <w:pPr>
        <w:spacing w:line="460" w:lineRule="exact"/>
        <w:ind w:firstLine="472" w:firstLineChars="200"/>
        <w:rPr>
          <w:rFonts w:hint="eastAsia" w:eastAsia="方正仿宋_GBK"/>
          <w:color w:val="000000"/>
          <w:spacing w:val="-2"/>
          <w:kern w:val="0"/>
          <w:sz w:val="24"/>
        </w:rPr>
      </w:pPr>
      <w:r>
        <w:rPr>
          <w:rFonts w:hint="eastAsia" w:ascii="Times New Roman" w:eastAsia="方正楷体_GBK"/>
          <w:color w:val="000000"/>
          <w:spacing w:val="-2"/>
          <w:kern w:val="0"/>
          <w:sz w:val="24"/>
        </w:rPr>
        <w:t>（四）严把工程质量。</w:t>
      </w:r>
      <w:r>
        <w:rPr>
          <w:rFonts w:hint="eastAsia" w:eastAsia="方正仿宋_GBK"/>
          <w:color w:val="000000"/>
          <w:spacing w:val="-2"/>
          <w:kern w:val="0"/>
          <w:sz w:val="24"/>
        </w:rPr>
        <w:t>加强工程项目质量安全监督检查，督促建设单位通过重点检查、随机抽查等掌握工程进度和质量情况，对存在质量安全问题的项目，要责令限期整改。工程项目严格执行项目法人制、招标投标制、合同管理制、工程监理制、竣工验收备案制等制度。</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（五）加强行业监管</w:t>
      </w:r>
      <w:r>
        <w:rPr>
          <w:rFonts w:hint="eastAsia" w:eastAsia="方正仿宋_GBK"/>
          <w:color w:val="000000"/>
          <w:spacing w:val="-2"/>
          <w:kern w:val="0"/>
          <w:sz w:val="24"/>
        </w:rPr>
        <w:t>。督促市县供水主管部门根据供水经营模式，及时调整监管方式，加强监管能力建设；严格按照国家法律法规和标准规范的要求，对供水企业的水质状况、运营水平和服务质量进行监督检查。</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（六）提高企业运行管理水平</w:t>
      </w:r>
      <w:r>
        <w:rPr>
          <w:rFonts w:hint="eastAsia" w:eastAsia="方正仿宋_GBK"/>
          <w:color w:val="000000"/>
          <w:spacing w:val="-2"/>
          <w:kern w:val="0"/>
          <w:sz w:val="24"/>
        </w:rPr>
        <w:t>。严格执行《城镇供水厂运行维护及安全技术规程》等标准，督促供水企业实施精细化管理，落实岗位职责、规范操作规程，建立健全供水企业管理人员和关键岗位持证上岗制度。供水企业要定期开展业务交流和技术培训，组织有关人员认真学习贯彻相关标准规范，严格按照《生活饮用水卫生标准》要求的检测项目和频率实施水质自检，加强内部质量控制；特别要加强消毒环节管理，合理选择消毒方式，严格控制消毒副产物的产生。</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（七）加快水质信息公开。</w:t>
      </w:r>
      <w:r>
        <w:rPr>
          <w:rFonts w:hint="eastAsia" w:eastAsia="方正仿宋_GBK"/>
          <w:color w:val="000000"/>
          <w:spacing w:val="-2"/>
          <w:kern w:val="0"/>
          <w:sz w:val="24"/>
        </w:rPr>
        <w:t>各地按照《城市供水水质管理规定》、《生活饮用水卫生监督管理办法》等文件的要求，及时将供水水质监督检查结果向社会公布。供水企业务必于</w:t>
      </w:r>
      <w:r>
        <w:rPr>
          <w:rFonts w:eastAsia="方正仿宋_GBK"/>
          <w:color w:val="000000"/>
          <w:spacing w:val="-2"/>
          <w:kern w:val="0"/>
          <w:sz w:val="24"/>
        </w:rPr>
        <w:t>2013</w:t>
      </w:r>
      <w:r>
        <w:rPr>
          <w:rFonts w:hint="eastAsia" w:eastAsia="方正仿宋_GBK"/>
          <w:color w:val="000000"/>
          <w:spacing w:val="-2"/>
          <w:kern w:val="0"/>
          <w:sz w:val="24"/>
        </w:rPr>
        <w:t>年底前建立水质信息公布制度，接受社会监督。</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三、加大资金投入</w:t>
      </w:r>
    </w:p>
    <w:p>
      <w:pPr>
        <w:spacing w:line="460" w:lineRule="exact"/>
        <w:ind w:firstLine="472" w:firstLineChars="200"/>
        <w:rPr>
          <w:rFonts w:hint="eastAsia" w:eastAsia="方正仿宋_GBK"/>
          <w:color w:val="000000"/>
          <w:spacing w:val="-2"/>
          <w:kern w:val="0"/>
          <w:sz w:val="24"/>
        </w:rPr>
      </w:pPr>
      <w:r>
        <w:rPr>
          <w:rFonts w:hint="eastAsia" w:ascii="Times New Roman" w:eastAsia="方正楷体_GBK"/>
          <w:color w:val="000000"/>
          <w:spacing w:val="-2"/>
          <w:kern w:val="0"/>
          <w:sz w:val="24"/>
        </w:rPr>
        <w:t>（八）加大地方投入。</w:t>
      </w:r>
      <w:r>
        <w:rPr>
          <w:rFonts w:hint="eastAsia" w:eastAsia="方正仿宋_GBK"/>
          <w:color w:val="000000"/>
          <w:spacing w:val="-2"/>
          <w:kern w:val="0"/>
          <w:sz w:val="24"/>
        </w:rPr>
        <w:t>市县供水主管部门要将规划任务和实施计划向当地人民政府主要领导作专题汇报，积极争取将项目建设资金列入当地财政预算，加大地方财政投入；争取将城市建设维护资金、土地出让收益、市政工程配套费的一定比例用于工程项目；主动配合发展改革部门做好中央预算内投资的安排，对获得资金支持的项目要加强监督检查，确保资金发挥效益。对于城乡统筹区域供水项目，结合受益的农村人口，争取农村饮用水安全工程补助资金。</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（九）利用好价格机制。</w:t>
      </w:r>
      <w:r>
        <w:rPr>
          <w:rFonts w:hint="eastAsia" w:eastAsia="方正仿宋_GBK"/>
          <w:color w:val="000000"/>
          <w:spacing w:val="-2"/>
          <w:kern w:val="0"/>
          <w:sz w:val="24"/>
        </w:rPr>
        <w:t>市县供水主管部门应主动配合价格主管部门做好成本监审和水价调整工作，及时补偿供水成本；按照国家规定提取资产折旧费，并确保资产折旧费足额用于供水设施的更新改造；对水价不能及时调整到位的，应向当地人民政府汇报有关情况，争取对供水企业予以补贴。</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四、强化薄弱环节建设</w:t>
      </w:r>
    </w:p>
    <w:p>
      <w:pPr>
        <w:spacing w:line="460" w:lineRule="exact"/>
        <w:ind w:firstLine="472" w:firstLineChars="200"/>
        <w:rPr>
          <w:rFonts w:hint="eastAsia" w:eastAsia="方正仿宋_GBK"/>
          <w:color w:val="000000"/>
          <w:spacing w:val="-2"/>
          <w:kern w:val="0"/>
          <w:sz w:val="24"/>
        </w:rPr>
      </w:pPr>
      <w:r>
        <w:rPr>
          <w:rFonts w:hint="eastAsia" w:ascii="Times New Roman" w:eastAsia="方正楷体_GBK"/>
          <w:color w:val="000000"/>
          <w:spacing w:val="-2"/>
          <w:kern w:val="0"/>
          <w:sz w:val="24"/>
        </w:rPr>
        <w:t>（十）加快编制供水专项规划。</w:t>
      </w:r>
      <w:r>
        <w:rPr>
          <w:rFonts w:hint="eastAsia" w:eastAsia="方正仿宋_GBK"/>
          <w:color w:val="000000"/>
          <w:spacing w:val="-2"/>
          <w:kern w:val="0"/>
          <w:sz w:val="24"/>
        </w:rPr>
        <w:t>市县供水主管部门要委托具有资质的编制单位，根据当地城市总体规划，结合已确定的工程项目，按照《城市给水工程规划规范》国家标准的要求，于</w:t>
      </w:r>
      <w:r>
        <w:rPr>
          <w:rFonts w:eastAsia="方正仿宋_GBK"/>
          <w:color w:val="000000"/>
          <w:spacing w:val="-2"/>
          <w:kern w:val="0"/>
          <w:sz w:val="24"/>
        </w:rPr>
        <w:t>2013</w:t>
      </w:r>
      <w:r>
        <w:rPr>
          <w:rFonts w:hint="eastAsia" w:eastAsia="方正仿宋_GBK"/>
          <w:color w:val="000000"/>
          <w:spacing w:val="-2"/>
          <w:kern w:val="0"/>
          <w:sz w:val="24"/>
        </w:rPr>
        <w:t>年</w:t>
      </w:r>
      <w:r>
        <w:rPr>
          <w:rFonts w:eastAsia="方正仿宋_GBK"/>
          <w:color w:val="000000"/>
          <w:spacing w:val="-2"/>
          <w:kern w:val="0"/>
          <w:sz w:val="24"/>
        </w:rPr>
        <w:t>3</w:t>
      </w:r>
      <w:r>
        <w:rPr>
          <w:rFonts w:hint="eastAsia" w:eastAsia="方正仿宋_GBK"/>
          <w:color w:val="000000"/>
          <w:spacing w:val="-2"/>
          <w:kern w:val="0"/>
          <w:sz w:val="24"/>
        </w:rPr>
        <w:t>月底前编制或修订完成城市供水专项规划，优化城镇供水设施布局。</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（十一）严格落实特许经营制度。</w:t>
      </w:r>
      <w:r>
        <w:rPr>
          <w:rFonts w:hint="eastAsia" w:eastAsia="方正仿宋_GBK"/>
          <w:color w:val="000000"/>
          <w:spacing w:val="-2"/>
          <w:kern w:val="0"/>
          <w:sz w:val="24"/>
        </w:rPr>
        <w:t>按照《市政公用事业特许经营管理办法》、《关于进一步鼓励和引导民间资本进入市政公用事业领域的实施意见》等文件的要求，通过政府购买服务的模式引入市场竞争机制，逐步提高城镇供水行业的产业集中度；规范市场准入退出，公开、公平、公正地选择专业化运营企业，签订并严格执行特许经营协议，提高公共服务水平和运营效率。</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（十二）强化水源污染风险控制</w:t>
      </w:r>
      <w:r>
        <w:rPr>
          <w:rFonts w:hint="eastAsia" w:eastAsia="方正仿宋_GBK"/>
          <w:color w:val="000000"/>
          <w:spacing w:val="-2"/>
          <w:kern w:val="0"/>
          <w:sz w:val="24"/>
        </w:rPr>
        <w:t>。市县供水主管部门要积极配合环保部门科学划定饮用水水源地保护区，加强水源地水质信息的沟通。供水企业要按照国家标准要求加强饮用水水源水质检测，全面掌握特征污染物情况，并针对污染状况采取有效应对措施。</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（十三）加强水质检测能力建设</w:t>
      </w:r>
      <w:r>
        <w:rPr>
          <w:rFonts w:hint="eastAsia" w:eastAsia="方正仿宋_GBK"/>
          <w:color w:val="000000"/>
          <w:spacing w:val="-2"/>
          <w:kern w:val="0"/>
          <w:sz w:val="24"/>
        </w:rPr>
        <w:t>。各地在</w:t>
      </w:r>
      <w:r>
        <w:rPr>
          <w:rFonts w:eastAsia="方正仿宋_GBK"/>
          <w:color w:val="000000"/>
          <w:spacing w:val="-2"/>
          <w:kern w:val="0"/>
          <w:sz w:val="24"/>
        </w:rPr>
        <w:t>2012</w:t>
      </w:r>
      <w:r>
        <w:rPr>
          <w:rFonts w:hint="eastAsia" w:eastAsia="方正仿宋_GBK"/>
          <w:color w:val="000000"/>
          <w:spacing w:val="-2"/>
          <w:kern w:val="0"/>
          <w:sz w:val="24"/>
        </w:rPr>
        <w:t>年底前要实现国家标准规定的全部</w:t>
      </w:r>
      <w:r>
        <w:rPr>
          <w:rFonts w:eastAsia="方正仿宋_GBK"/>
          <w:color w:val="000000"/>
          <w:spacing w:val="-2"/>
          <w:kern w:val="0"/>
          <w:sz w:val="24"/>
        </w:rPr>
        <w:t>106</w:t>
      </w:r>
      <w:r>
        <w:rPr>
          <w:rFonts w:hint="eastAsia" w:eastAsia="方正仿宋_GBK"/>
          <w:color w:val="000000"/>
          <w:spacing w:val="-2"/>
          <w:kern w:val="0"/>
          <w:sz w:val="24"/>
        </w:rPr>
        <w:t>项水质指标检测能力全覆盖；要求规模超过</w:t>
      </w:r>
      <w:r>
        <w:rPr>
          <w:rFonts w:eastAsia="方正仿宋_GBK"/>
          <w:color w:val="000000"/>
          <w:spacing w:val="-2"/>
          <w:kern w:val="0"/>
          <w:sz w:val="24"/>
        </w:rPr>
        <w:t>30</w:t>
      </w:r>
      <w:r>
        <w:rPr>
          <w:rFonts w:hint="eastAsia" w:eastAsia="方正仿宋_GBK"/>
          <w:color w:val="000000"/>
          <w:spacing w:val="-2"/>
          <w:kern w:val="0"/>
          <w:sz w:val="24"/>
        </w:rPr>
        <w:t>万立方米</w:t>
      </w:r>
      <w:r>
        <w:rPr>
          <w:rFonts w:eastAsia="方正仿宋_GBK"/>
          <w:color w:val="000000"/>
          <w:spacing w:val="-2"/>
          <w:kern w:val="0"/>
          <w:sz w:val="24"/>
        </w:rPr>
        <w:t>/</w:t>
      </w:r>
      <w:r>
        <w:rPr>
          <w:rFonts w:hint="eastAsia" w:eastAsia="方正仿宋_GBK"/>
          <w:color w:val="000000"/>
          <w:spacing w:val="-2"/>
          <w:kern w:val="0"/>
          <w:sz w:val="24"/>
        </w:rPr>
        <w:t>日的供水企业具备国家标准规定的常规指标和当地重点非常规指标的检测能力、所有公共供水厂具备国家标准规定的日常检测指标的检测能力。</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（十四）提升应急供水保障能力</w:t>
      </w:r>
      <w:r>
        <w:rPr>
          <w:rFonts w:hint="eastAsia" w:eastAsia="方正仿宋_GBK"/>
          <w:color w:val="000000"/>
          <w:spacing w:val="-2"/>
          <w:kern w:val="0"/>
          <w:sz w:val="24"/>
        </w:rPr>
        <w:t>。完善应对突发性水源污染和重大自然灾害的应急供水预案，加快应急水源建设，加强应急抢险队伍建设，储备必要的应急器材，落实水厂应对突发性水源污染的技术措施，配置救灾期紧急供水设备和水质检测仪器。</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kern w:val="0"/>
          <w:sz w:val="24"/>
        </w:rPr>
        <w:t>（十五）加强二次供水设施管理。</w:t>
      </w:r>
      <w:r>
        <w:rPr>
          <w:rFonts w:hint="eastAsia" w:eastAsia="方正仿宋_GBK"/>
          <w:color w:val="000000"/>
          <w:spacing w:val="-2"/>
          <w:kern w:val="0"/>
          <w:sz w:val="24"/>
        </w:rPr>
        <w:t>鼓励和引导产权人将二次供水设施移交或委托供水企业进行运营维护，实行专业化管理。加快改造存在水质安全风险的二次供水设施，通过财政补贴、住宅专项维修资金等解决改造费用。</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各地要尽快将本通知的要求部署和贯彻到辖区内各市县供水主管部门和供水企业，认真组织做好落实工作，并于</w:t>
      </w:r>
      <w:r>
        <w:rPr>
          <w:rFonts w:eastAsia="方正仿宋_GBK"/>
          <w:color w:val="000000"/>
          <w:spacing w:val="-2"/>
          <w:kern w:val="0"/>
          <w:sz w:val="24"/>
        </w:rPr>
        <w:t>2013</w:t>
      </w:r>
      <w:r>
        <w:rPr>
          <w:rFonts w:hint="eastAsia" w:eastAsia="方正仿宋_GBK"/>
          <w:color w:val="000000"/>
          <w:spacing w:val="-2"/>
          <w:kern w:val="0"/>
          <w:sz w:val="24"/>
        </w:rPr>
        <w:t>年</w:t>
      </w:r>
      <w:r>
        <w:rPr>
          <w:rFonts w:eastAsia="方正仿宋_GBK"/>
          <w:color w:val="000000"/>
          <w:spacing w:val="-2"/>
          <w:kern w:val="0"/>
          <w:sz w:val="24"/>
        </w:rPr>
        <w:t>3</w:t>
      </w:r>
      <w:r>
        <w:rPr>
          <w:rFonts w:hint="eastAsia" w:eastAsia="方正仿宋_GBK"/>
          <w:color w:val="000000"/>
          <w:spacing w:val="-2"/>
          <w:kern w:val="0"/>
          <w:sz w:val="24"/>
        </w:rPr>
        <w:t>月</w:t>
      </w:r>
      <w:r>
        <w:rPr>
          <w:rFonts w:eastAsia="方正仿宋_GBK"/>
          <w:color w:val="000000"/>
          <w:spacing w:val="-2"/>
          <w:kern w:val="0"/>
          <w:sz w:val="24"/>
        </w:rPr>
        <w:t>31</w:t>
      </w:r>
      <w:r>
        <w:rPr>
          <w:rFonts w:hint="eastAsia" w:eastAsia="方正仿宋_GBK"/>
          <w:color w:val="000000"/>
          <w:spacing w:val="-2"/>
          <w:kern w:val="0"/>
          <w:sz w:val="24"/>
        </w:rPr>
        <w:t>日前将落实情况和辖区内供水企业公布水质信息的时间安排报住房城乡建设部城市建设司。</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中华人民共和国住房和城乡建设部</w:t>
      </w:r>
      <w:r>
        <w:rPr>
          <w:rFonts w:eastAsia="方正仿宋_GBK"/>
          <w:color w:val="000000"/>
          <w:spacing w:val="-2"/>
          <w:kern w:val="0"/>
          <w:sz w:val="24"/>
        </w:rPr>
        <w:t xml:space="preserve">    </w:t>
      </w:r>
    </w:p>
    <w:p>
      <w:pPr>
        <w:spacing w:line="460" w:lineRule="exact"/>
        <w:ind w:firstLine="5428" w:firstLineChars="2300"/>
        <w:rPr>
          <w:rFonts w:eastAsia="方正仿宋_GBK"/>
          <w:color w:val="000000"/>
          <w:spacing w:val="-2"/>
          <w:kern w:val="0"/>
          <w:sz w:val="24"/>
        </w:rPr>
      </w:pPr>
      <w:r>
        <w:rPr>
          <w:rFonts w:eastAsia="方正仿宋_GBK"/>
          <w:color w:val="000000"/>
          <w:spacing w:val="-2"/>
          <w:kern w:val="0"/>
          <w:sz w:val="24"/>
        </w:rPr>
        <w:t>2012</w:t>
      </w:r>
      <w:r>
        <w:rPr>
          <w:rFonts w:hint="eastAsia" w:eastAsia="方正仿宋_GBK"/>
          <w:color w:val="000000"/>
          <w:spacing w:val="-2"/>
          <w:kern w:val="0"/>
          <w:sz w:val="24"/>
        </w:rPr>
        <w:t>年</w:t>
      </w:r>
      <w:r>
        <w:rPr>
          <w:rFonts w:eastAsia="方正仿宋_GBK"/>
          <w:color w:val="000000"/>
          <w:spacing w:val="-2"/>
          <w:kern w:val="0"/>
          <w:sz w:val="24"/>
        </w:rPr>
        <w:t>10</w:t>
      </w:r>
      <w:r>
        <w:rPr>
          <w:rFonts w:hint="eastAsia" w:eastAsia="方正仿宋_GBK"/>
          <w:color w:val="000000"/>
          <w:spacing w:val="-2"/>
          <w:kern w:val="0"/>
          <w:sz w:val="24"/>
        </w:rPr>
        <w:t>月</w:t>
      </w:r>
      <w:r>
        <w:rPr>
          <w:rFonts w:eastAsia="方正仿宋_GBK"/>
          <w:color w:val="000000"/>
          <w:spacing w:val="-2"/>
          <w:kern w:val="0"/>
          <w:sz w:val="24"/>
        </w:rPr>
        <w:t>18</w:t>
      </w:r>
      <w:r>
        <w:rPr>
          <w:rFonts w:hint="eastAsia" w:eastAsia="方正仿宋_GBK"/>
          <w:color w:val="000000"/>
          <w:spacing w:val="-2"/>
          <w:kern w:val="0"/>
          <w:sz w:val="24"/>
        </w:rPr>
        <w:t>日</w:t>
      </w:r>
    </w:p>
    <w:p>
      <w:pPr>
        <w:pStyle w:val="2"/>
        <w:spacing w:before="240" w:beforeLines="100" w:after="240" w:afterLines="100" w:line="240" w:lineRule="auto"/>
        <w:jc w:val="center"/>
        <w:rPr>
          <w:rFonts w:ascii="Times New Roman" w:eastAsia="方正小标宋_GBK"/>
          <w:b w:val="0"/>
          <w:sz w:val="36"/>
          <w:szCs w:val="36"/>
        </w:rPr>
      </w:pPr>
      <w:bookmarkStart w:id="129" w:name="_Toc20726356"/>
      <w:bookmarkStart w:id="130" w:name="_Toc18315438"/>
      <w:r>
        <w:rPr>
          <w:rFonts w:hint="eastAsia" w:ascii="Times New Roman" w:eastAsia="方正小标宋_GBK"/>
          <w:b w:val="0"/>
          <w:sz w:val="36"/>
          <w:szCs w:val="36"/>
        </w:rPr>
        <w:t>省住房和城乡建设厅关于印发《江苏太湖水源饮用水安全保障技术集成与综合示范课题管理办法》的通知</w:t>
      </w:r>
      <w:bookmarkEnd w:id="129"/>
      <w:bookmarkEnd w:id="130"/>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31" w:name="_Toc20726357"/>
      <w:bookmarkStart w:id="132" w:name="_Toc18315439"/>
      <w:r>
        <w:rPr>
          <w:rFonts w:hint="eastAsia" w:ascii="Times New Roman" w:hAnsi="Times New Roman" w:eastAsia="方正楷体_GBK"/>
          <w:b w:val="0"/>
          <w:sz w:val="24"/>
          <w:szCs w:val="24"/>
        </w:rPr>
        <w:t>苏建函城〔</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338</w:t>
      </w:r>
      <w:r>
        <w:rPr>
          <w:rFonts w:hint="eastAsia" w:ascii="Times New Roman" w:hAnsi="Times New Roman" w:eastAsia="方正楷体_GBK"/>
          <w:b w:val="0"/>
          <w:sz w:val="24"/>
          <w:szCs w:val="24"/>
        </w:rPr>
        <w:t>号</w:t>
      </w:r>
      <w:bookmarkEnd w:id="131"/>
      <w:bookmarkEnd w:id="132"/>
    </w:p>
    <w:p>
      <w:pPr>
        <w:spacing w:line="460" w:lineRule="exact"/>
        <w:jc w:val="left"/>
        <w:rPr>
          <w:rFonts w:eastAsia="方正仿宋_GBK"/>
          <w:color w:val="000000"/>
          <w:spacing w:val="-2"/>
          <w:sz w:val="24"/>
        </w:rPr>
      </w:pPr>
      <w:r>
        <w:rPr>
          <w:rFonts w:hint="eastAsia" w:eastAsia="方正仿宋_GBK"/>
          <w:color w:val="000000"/>
          <w:spacing w:val="-2"/>
          <w:sz w:val="24"/>
        </w:rPr>
        <w:t>无锡市市政园林局、苏州市水务局、宜兴市公用事业局、吴江区住建局，各课题参加单位：</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现将《江苏太湖水源饮用水安全保障技术集成与综合示范课题管理办法》印发给你们，请认真贯彻执行。</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附件：江苏太湖水源饮用水安全保障技术集成与综合示范课题管理办法</w:t>
      </w:r>
    </w:p>
    <w:p>
      <w:pPr>
        <w:spacing w:line="460" w:lineRule="exact"/>
        <w:ind w:firstLine="472" w:firstLineChars="200"/>
        <w:rPr>
          <w:rFonts w:eastAsia="方正仿宋_GBK"/>
          <w:color w:val="000000"/>
          <w:spacing w:val="-2"/>
          <w:sz w:val="24"/>
        </w:rPr>
      </w:pPr>
    </w:p>
    <w:p>
      <w:pPr>
        <w:wordWrap w:val="0"/>
        <w:spacing w:line="460" w:lineRule="exact"/>
        <w:ind w:right="-2"/>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jc w:val="right"/>
        <w:rPr>
          <w:rFonts w:eastAsia="方正仿宋_GBK"/>
          <w:color w:val="000000"/>
          <w:spacing w:val="-2"/>
          <w:sz w:val="24"/>
        </w:rPr>
      </w:pP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5</w:t>
      </w:r>
      <w:r>
        <w:rPr>
          <w:rFonts w:hint="eastAsia" w:eastAsia="方正仿宋_GBK"/>
          <w:color w:val="000000"/>
          <w:spacing w:val="-2"/>
          <w:sz w:val="24"/>
        </w:rPr>
        <w:t>月</w:t>
      </w:r>
      <w:r>
        <w:rPr>
          <w:rFonts w:eastAsia="方正仿宋_GBK"/>
          <w:color w:val="000000"/>
          <w:spacing w:val="-2"/>
          <w:sz w:val="24"/>
        </w:rPr>
        <w:t>20</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jc w:val="right"/>
        <w:rPr>
          <w:rFonts w:eastAsia="方正仿宋_GBK"/>
          <w:color w:val="000000"/>
          <w:spacing w:val="-2"/>
          <w:sz w:val="24"/>
        </w:rPr>
      </w:pPr>
    </w:p>
    <w:p>
      <w:pPr>
        <w:spacing w:line="460" w:lineRule="exact"/>
        <w:rPr>
          <w:rFonts w:eastAsia="方正仿宋_GBK"/>
          <w:color w:val="000000"/>
          <w:spacing w:val="-2"/>
          <w:sz w:val="24"/>
        </w:rPr>
      </w:pPr>
    </w:p>
    <w:p>
      <w:pPr>
        <w:spacing w:line="50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江苏太湖水源饮用水安全保障技术集成</w:t>
      </w:r>
    </w:p>
    <w:p>
      <w:pPr>
        <w:spacing w:line="50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与综合示范课题管理办法</w:t>
      </w:r>
    </w:p>
    <w:p>
      <w:pPr>
        <w:spacing w:line="460" w:lineRule="exact"/>
        <w:jc w:val="center"/>
        <w:rPr>
          <w:rFonts w:hint="eastAsia"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第一章  总  则</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为保证江苏太湖水源饮用水安全保障技术集成与综合示范课题（以下简称</w:t>
      </w:r>
      <w:r>
        <w:rPr>
          <w:rFonts w:eastAsia="方正仿宋_GBK"/>
          <w:color w:val="000000"/>
          <w:spacing w:val="-2"/>
          <w:sz w:val="24"/>
        </w:rPr>
        <w:t>“</w:t>
      </w:r>
      <w:r>
        <w:rPr>
          <w:rFonts w:hint="eastAsia" w:eastAsia="方正仿宋_GBK"/>
          <w:color w:val="000000"/>
          <w:spacing w:val="-2"/>
          <w:sz w:val="24"/>
        </w:rPr>
        <w:t>课题</w:t>
      </w:r>
      <w:r>
        <w:rPr>
          <w:rFonts w:eastAsia="方正仿宋_GBK"/>
          <w:color w:val="000000"/>
          <w:spacing w:val="-2"/>
          <w:sz w:val="24"/>
        </w:rPr>
        <w:t>”</w:t>
      </w:r>
      <w:r>
        <w:rPr>
          <w:rFonts w:hint="eastAsia" w:eastAsia="方正仿宋_GBK"/>
          <w:color w:val="000000"/>
          <w:spacing w:val="-2"/>
          <w:sz w:val="24"/>
        </w:rPr>
        <w:t>）的实施，实现课题规范管理，按时、保质、保量完成课题研究任务，根据国务院办公厅《组织实施科技重大专项若干工作规则》，国务院常务会议审议通过的《水体污染控制与治理科技重大专项实施方案》，科技部、发展改革委和财政部《国家科技重大专项管理暂行规定》，环保部《关于印发〈水体污染控制与治理科技重大专项管理办法（试行）〉的通知》等要求，制定本管理办法。适用范围为课题牵头组织单位、责任单位、任务承担单位、科研合作院校（单位）的管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课题是</w:t>
      </w:r>
      <w:r>
        <w:rPr>
          <w:rFonts w:eastAsia="方正仿宋_GBK"/>
          <w:color w:val="000000"/>
          <w:spacing w:val="-2"/>
          <w:sz w:val="24"/>
        </w:rPr>
        <w:t>“</w:t>
      </w:r>
      <w:r>
        <w:rPr>
          <w:rFonts w:hint="eastAsia" w:eastAsia="方正仿宋_GBK"/>
          <w:color w:val="000000"/>
          <w:spacing w:val="-2"/>
          <w:sz w:val="24"/>
        </w:rPr>
        <w:t>太湖流域地区饮用水安全保障技术集成与综合示范</w:t>
      </w:r>
      <w:r>
        <w:rPr>
          <w:rFonts w:eastAsia="方正仿宋_GBK"/>
          <w:color w:val="000000"/>
          <w:spacing w:val="-2"/>
          <w:sz w:val="24"/>
        </w:rPr>
        <w:t>”</w:t>
      </w:r>
      <w:r>
        <w:rPr>
          <w:rFonts w:hint="eastAsia" w:eastAsia="方正仿宋_GBK"/>
          <w:color w:val="000000"/>
          <w:spacing w:val="-2"/>
          <w:sz w:val="24"/>
        </w:rPr>
        <w:t>项目中的课题之一。课题研究对于我省实现</w:t>
      </w:r>
      <w:r>
        <w:rPr>
          <w:rFonts w:eastAsia="方正仿宋_GBK"/>
          <w:color w:val="000000"/>
          <w:spacing w:val="-2"/>
          <w:sz w:val="24"/>
        </w:rPr>
        <w:t>“</w:t>
      </w:r>
      <w:r>
        <w:rPr>
          <w:rFonts w:hint="eastAsia" w:eastAsia="方正仿宋_GBK"/>
          <w:color w:val="000000"/>
          <w:spacing w:val="-2"/>
          <w:sz w:val="24"/>
        </w:rPr>
        <w:t>十二五</w:t>
      </w:r>
      <w:r>
        <w:rPr>
          <w:rFonts w:eastAsia="方正仿宋_GBK"/>
          <w:color w:val="000000"/>
          <w:spacing w:val="-2"/>
          <w:sz w:val="24"/>
        </w:rPr>
        <w:t>”</w:t>
      </w:r>
      <w:r>
        <w:rPr>
          <w:rFonts w:hint="eastAsia" w:eastAsia="方正仿宋_GBK"/>
          <w:color w:val="000000"/>
          <w:spacing w:val="-2"/>
          <w:sz w:val="24"/>
        </w:rPr>
        <w:t>供水安全保障工作目标，提升太湖流域的城镇供水水质、指导全省饮用水安全保障工作都具有重要的示范和引领作用。</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课题管理的主要措施：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加强统一领导和资源整合。在省住房城乡建设厅的统一领导下，充分调动地方政府和主管部门积极性，加强与现有科技资源及成果的衔接，整合供水企业、科研院所、高校以及国际合作的科技资源，发挥产学研结合的优势，集中力量开展科技攻关。</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强化实施管理。根据国家课题合同书确定的研究任务和主要考核指标、时间节点要求，省住房城乡建设厅分别同无锡、苏州、宜兴、吴江四市的城市供水主管部门及省水处理中心签订任务合同，明确各城市研究任务和内容。课题实施过程中，以牵头城市为责任主体，具体负责研究任务的进展和质量。对于多个城市共同承担的研究内容，牵头城市要主动与配合城市加强联系和交流，定期召开任务研究进展情况联席会议，协调解决研究中的重大问题。为保证研究质量，承担科研任务的各院校、单位必须在相关牵头城市现场设立办公试验场所，实行驻点科研、办公，牵头城市对科研人员现场工作情况进行定量考核；技术负责人每季度至少去两次现场，协调、解决科研过程中存在的问题。</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明确进度监管。各科研合作院校、单位和配合城市要根据合同规定的年度任务、年度考核指标和重要任务时间节点，拟定季度研究任务完成目标，每季度向牵头城市填报研究进展情况，省住房城乡建设厅每半年对前</w:t>
      </w:r>
      <w:r>
        <w:rPr>
          <w:rFonts w:eastAsia="方正仿宋_GBK"/>
          <w:color w:val="000000"/>
          <w:spacing w:val="-2"/>
          <w:sz w:val="24"/>
        </w:rPr>
        <w:t>2</w:t>
      </w:r>
      <w:r>
        <w:rPr>
          <w:rFonts w:hint="eastAsia" w:eastAsia="方正仿宋_GBK"/>
          <w:color w:val="000000"/>
          <w:spacing w:val="-2"/>
          <w:sz w:val="24"/>
        </w:rPr>
        <w:t>个季度完成情况进行考核，并通报各市研究进展情况。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强化研究质量控制。省住房城乡建设厅组织专家对课题研究中的重要节点、开题、中期评估和验收进行质量把关，并根据各任务的研究具体情况进行不定期抽查，确保各项主要技术考核指标、示范工程建设、重要时间节点达到或者满足合同的规定要求。</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加强专家技术指导。由省住房城乡建设厅聘请国家和省内知名的行业和财务专家组成专家咨询委员会，对各任务实施过程中的进度、质量、技术、财务等方面进行指导、把关和咨询，确保研究任务在专家的指导下顺利完成。</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严格经费拨付和使用管理。各任务参与研究单位要严格执行财务管理纪律，经费使用必须符合国家水专项课题经费使用有关规定。课题经费拨付和使用采取以市为单位的包干制，除中央财政资金外，其余配套资金由牵头城市筹措。中央财政资金的拨付明确由牵头城市统筹把关。拨付方式采取由任务参与研究单位提出具体拨付申请，牵头城市提出拨付审核意见，省水处理服务中心根据专家咨询意见、工作进展情况和研究质量进行拨付。</w:t>
      </w: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第二章  组织机构与职责</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课题牵头组织单位省住房城乡建设厅，负责课题的组织实施。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课题管理办公室（以下简称</w:t>
      </w:r>
      <w:r>
        <w:rPr>
          <w:rFonts w:eastAsia="方正仿宋_GBK"/>
          <w:color w:val="000000"/>
          <w:spacing w:val="-2"/>
          <w:sz w:val="24"/>
        </w:rPr>
        <w:t>“</w:t>
      </w:r>
      <w:r>
        <w:rPr>
          <w:rFonts w:hint="eastAsia" w:eastAsia="方正仿宋_GBK"/>
          <w:color w:val="000000"/>
          <w:spacing w:val="-2"/>
          <w:sz w:val="24"/>
        </w:rPr>
        <w:t>课题办</w:t>
      </w:r>
      <w:r>
        <w:rPr>
          <w:rFonts w:eastAsia="方正仿宋_GBK"/>
          <w:color w:val="000000"/>
          <w:spacing w:val="-2"/>
          <w:sz w:val="24"/>
        </w:rPr>
        <w:t>”</w:t>
      </w:r>
      <w:r>
        <w:rPr>
          <w:rFonts w:hint="eastAsia" w:eastAsia="方正仿宋_GBK"/>
          <w:color w:val="000000"/>
          <w:spacing w:val="-2"/>
          <w:sz w:val="24"/>
        </w:rPr>
        <w:t>）由省水处理服务中心（以下简称</w:t>
      </w:r>
      <w:r>
        <w:rPr>
          <w:rFonts w:eastAsia="方正仿宋_GBK"/>
          <w:color w:val="000000"/>
          <w:spacing w:val="-2"/>
          <w:sz w:val="24"/>
        </w:rPr>
        <w:t>“</w:t>
      </w:r>
      <w:r>
        <w:rPr>
          <w:rFonts w:hint="eastAsia" w:eastAsia="方正仿宋_GBK"/>
          <w:color w:val="000000"/>
          <w:spacing w:val="-2"/>
          <w:sz w:val="24"/>
        </w:rPr>
        <w:t>水中心</w:t>
      </w:r>
      <w:r>
        <w:rPr>
          <w:rFonts w:eastAsia="方正仿宋_GBK"/>
          <w:color w:val="000000"/>
          <w:spacing w:val="-2"/>
          <w:sz w:val="24"/>
        </w:rPr>
        <w:t>”</w:t>
      </w:r>
      <w:r>
        <w:rPr>
          <w:rFonts w:hint="eastAsia" w:eastAsia="方正仿宋_GBK"/>
          <w:color w:val="000000"/>
          <w:spacing w:val="-2"/>
          <w:sz w:val="24"/>
        </w:rPr>
        <w:t>）和同济大学组成，在省住房城乡建设厅的领导下，负责课题实施管理的具体日常工作。</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省住房城乡建设厅的主要职责是：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（一）成立课题管理办公室；</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（二）组建课题专家咨询委员会，为课题管理提供咨询和技术支撑，为课题实施提供技术指导；</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（三）与无锡、苏州、宜兴、吴江四市的城市供水主管部门及省水处理中心签订任务合同；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（四）制定课题管理办法和中央财政经费使用管理办法；</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（五）协调、落实课题实施的相关支撑条件；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（六）批准各任务的资金拨付申请；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（七）组织对各任务的督促、考核和通报；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（八）组织对各任务的开题、中期评估和验收等。</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（九）根据需要向住房城乡建设部水专项办提出课题内容的调整建议。</w:t>
      </w:r>
    </w:p>
    <w:p>
      <w:pPr>
        <w:spacing w:line="460" w:lineRule="exact"/>
        <w:ind w:firstLine="57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课题管理办公室的主要职责是：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（一）承办住房城乡建设部水专项办和省住房城乡建设厅交办的事务；</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（二）研究提出课题管理办法和中央财政经费使用管理细则；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（三）对课题实施工作进行指导；</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（四）负责与无锡、苏州、宜兴、吴江四市间的联系沟通；</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（五）编制有关课题信息的简报，负责课题信息的报送和课题实施中有关问题的组织协调；</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（六）审核各任务的阶段实施计划；</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（七）审核各研究任务的资金拨付申请；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（八）组织落实水专项实施的相关支撑条件，做好课题与其他计划、规划、重大工程的衔接；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（九）根据需要向省住房城乡建设厅提出课题内容的调整建议；未经省住房城乡建设厅同意，不得擅自向牵头城市和科研合作院校、单位提出课题内容的调整要求。</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示范工程所在地的城市供水主管部门主要职责是：落实本辖区内示范工程的各项配套保障条件；参与和配合示范工程的立项、监督检查、评估和验收工作；加强对任务研究工作的指导，保证配套经费及时足额到位，强化定期监督考核，协调、帮助供水企业做好中试研究、示范工程和成果转化工作，确保按时序进度要求高质量完成任务研究内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任务承担单位（无锡、苏州、宜兴、吴江）主要职责：</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（一）严格执行合同的相关条款；</w:t>
      </w:r>
    </w:p>
    <w:p>
      <w:pPr>
        <w:spacing w:line="460" w:lineRule="exact"/>
        <w:rPr>
          <w:rFonts w:eastAsia="方正仿宋_GBK"/>
          <w:color w:val="000000"/>
          <w:spacing w:val="-2"/>
          <w:sz w:val="24"/>
        </w:rPr>
      </w:pPr>
      <w:r>
        <w:rPr>
          <w:rFonts w:hint="eastAsia" w:eastAsia="方正仿宋_GBK"/>
          <w:color w:val="000000"/>
          <w:spacing w:val="-2"/>
          <w:sz w:val="24"/>
        </w:rPr>
        <w:t>　</w:t>
      </w:r>
      <w:r>
        <w:rPr>
          <w:rFonts w:eastAsia="方正仿宋_GBK"/>
          <w:color w:val="000000"/>
          <w:spacing w:val="-2"/>
          <w:sz w:val="24"/>
        </w:rPr>
        <w:t xml:space="preserve">  </w:t>
      </w:r>
      <w:r>
        <w:rPr>
          <w:rFonts w:hint="eastAsia" w:eastAsia="方正仿宋_GBK"/>
          <w:color w:val="000000"/>
          <w:spacing w:val="-2"/>
          <w:sz w:val="24"/>
        </w:rPr>
        <w:t>（二）提供和协调落实任务实施配套保障条件；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（三）为任务实施提供财务、知识产权、固定资产和科技档案管理；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（四）督促、检查相关合作院校和单位的研究内容实施进度和质量，协调相关事宜；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（五）针对多个城市共同研究的内容，牵头城市要与配合城市加强联系和交流，定期召开任务进展情况联席会议，沟通研究进展情况，协调解决研究中的重大责任；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（六）组织合作院校、单位和配合城市，根据合同规定的年度任务、年度考核指标和重要任务时间节点，拟定季度研究任务完成目标，每季度了解研究进展情况；</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（七）对科研合作院校、单位的科研人员现场工作情况进行定量考核；</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（八）</w:t>
      </w:r>
      <w:r>
        <w:rPr>
          <w:rFonts w:eastAsia="方正仿宋_GBK"/>
          <w:color w:val="000000"/>
          <w:spacing w:val="-2"/>
          <w:sz w:val="24"/>
        </w:rPr>
        <w:t>6</w:t>
      </w:r>
      <w:r>
        <w:rPr>
          <w:rFonts w:hint="eastAsia" w:eastAsia="方正仿宋_GBK"/>
          <w:color w:val="000000"/>
          <w:spacing w:val="-2"/>
          <w:sz w:val="24"/>
        </w:rPr>
        <w:t>部规程和导则的初稿起草单位；</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（九）对合作院校、单位的资金拨付申请进行预审核，并提出拨付意见。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（十）根据需要向课题办提出研究内容的调整申请。</w:t>
      </w:r>
    </w:p>
    <w:p>
      <w:pPr>
        <w:spacing w:line="460" w:lineRule="exact"/>
        <w:rPr>
          <w:rFonts w:eastAsia="方正仿宋_GBK"/>
          <w:color w:val="000000"/>
          <w:spacing w:val="-2"/>
          <w:sz w:val="24"/>
        </w:rPr>
      </w:pPr>
      <w:r>
        <w:rPr>
          <w:rFonts w:hint="eastAsia" w:eastAsia="方正仿宋_GBK"/>
          <w:color w:val="000000"/>
          <w:spacing w:val="-2"/>
          <w:sz w:val="24"/>
        </w:rPr>
        <w:t>　</w:t>
      </w:r>
      <w:r>
        <w:rPr>
          <w:rFonts w:eastAsia="方正仿宋_GBK"/>
          <w:color w:val="000000"/>
          <w:spacing w:val="-2"/>
          <w:sz w:val="24"/>
        </w:rPr>
        <w:t xml:space="preserve">   </w:t>
      </w:r>
      <w:r>
        <w:rPr>
          <w:rFonts w:hint="eastAsia" w:ascii="Times New Roman"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科研合作院校、单位的主要职责：</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（一）严格执行合同的相关条款；</w:t>
      </w:r>
    </w:p>
    <w:p>
      <w:pPr>
        <w:spacing w:line="460" w:lineRule="exact"/>
        <w:rPr>
          <w:rFonts w:eastAsia="方正仿宋_GBK"/>
          <w:color w:val="000000"/>
          <w:spacing w:val="-2"/>
          <w:sz w:val="24"/>
        </w:rPr>
      </w:pPr>
      <w:r>
        <w:rPr>
          <w:rFonts w:hint="eastAsia" w:eastAsia="方正仿宋_GBK"/>
          <w:color w:val="000000"/>
          <w:spacing w:val="-2"/>
          <w:sz w:val="24"/>
        </w:rPr>
        <w:t>　</w:t>
      </w:r>
      <w:r>
        <w:rPr>
          <w:rFonts w:eastAsia="方正仿宋_GBK"/>
          <w:color w:val="000000"/>
          <w:spacing w:val="-2"/>
          <w:sz w:val="24"/>
        </w:rPr>
        <w:t xml:space="preserve">  </w:t>
      </w:r>
      <w:r>
        <w:rPr>
          <w:rFonts w:hint="eastAsia" w:eastAsia="方正仿宋_GBK"/>
          <w:color w:val="000000"/>
          <w:spacing w:val="-2"/>
          <w:sz w:val="24"/>
        </w:rPr>
        <w:t>（二）提供和协调落实任务实施配套保障条件；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（三）为任务实施提供财务、知识产权、固定资产和科技档案管理；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（四）在相关牵头城市现场设立办公试验场所，实行驻点科研、办公，技术负责人每季度至少去两次现场，协调、解决科研过程中存在的问题；</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（五）根据季度研究任务完成目标，每季度按时向牵头城市报送任务研究进度，并根据牵头城市的意见及时调整相关内容；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（六）配合牵头城市做好</w:t>
      </w:r>
      <w:r>
        <w:rPr>
          <w:rFonts w:eastAsia="方正仿宋_GBK"/>
          <w:color w:val="000000"/>
          <w:spacing w:val="-2"/>
          <w:sz w:val="24"/>
        </w:rPr>
        <w:t>6</w:t>
      </w:r>
      <w:r>
        <w:rPr>
          <w:rFonts w:hint="eastAsia" w:eastAsia="方正仿宋_GBK"/>
          <w:color w:val="000000"/>
          <w:spacing w:val="-2"/>
          <w:sz w:val="24"/>
        </w:rPr>
        <w:t>部规程和导则的起草工作；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（七）根据需要向牵头城市提出研究内容的调整申请。</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color w:val="000000"/>
          <w:spacing w:val="-2"/>
          <w:sz w:val="24"/>
        </w:rPr>
        <w:t xml:space="preserve">  </w:t>
      </w:r>
      <w:r>
        <w:rPr>
          <w:rFonts w:hint="eastAsia" w:eastAsia="方正仿宋_GBK"/>
          <w:color w:val="000000"/>
          <w:spacing w:val="-2"/>
          <w:sz w:val="24"/>
        </w:rPr>
        <w:t>课题组长、任务负责人及科研合作院校、单位技术负责人的主要职责：</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（一）严格按照合同的要求，完成研究任务和考核指标。</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（二）严格按照课题预算书合理使用经费；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（三）督促、检查课题（任务）的实施，组织课题（任务）间的协调和交流；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（四）报告课题（任务）年度执行情况、阶段总结和重大事项；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（五）编制课题（任务）验收申请报告和验收材料。</w:t>
      </w: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第三章  资金管理</w:t>
      </w:r>
    </w:p>
    <w:p>
      <w:pPr>
        <w:spacing w:line="460" w:lineRule="exact"/>
        <w:rPr>
          <w:rFonts w:hint="eastAsia" w:eastAsia="方正仿宋_GBK"/>
          <w:color w:val="000000"/>
          <w:spacing w:val="-2"/>
          <w:sz w:val="24"/>
        </w:rPr>
      </w:pPr>
      <w:r>
        <w:rPr>
          <w:rFonts w:hint="eastAsia" w:eastAsia="方正仿宋_GBK"/>
          <w:color w:val="000000"/>
          <w:spacing w:val="-2"/>
          <w:sz w:val="24"/>
        </w:rPr>
        <w:t>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课题经费来源于中央财政投入、地方财政投入以及企业、金融机构和社会资金投入。中央财政投入主要用于课题实施过程中市场机制不能有效配置资源的基础性和公益性研究，以及企业竞争前的共性技术和重大关键技术研究开发等，地方财政投入和企业等资金投入主要用于技术的工程示范、产业化及相关研究。中央财政、地方财政和社会资金应统筹安排、使用和管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统筹使用各方面的资金投入，提高资金使用效益。示范工程所在地方政府应确保配套资金及时、足额到位。来源于中央财政的专项经费，严格执行国家预算管理和财政资金管理的有关规定。来源于地方财政的专项经费，严格执行地方预算管理和财政资金管理的有关规定。其他来源资金，按照</w:t>
      </w:r>
      <w:r>
        <w:rPr>
          <w:rFonts w:eastAsia="方正仿宋_GBK"/>
          <w:color w:val="000000"/>
          <w:spacing w:val="-2"/>
          <w:sz w:val="24"/>
        </w:rPr>
        <w:t>“</w:t>
      </w:r>
      <w:r>
        <w:rPr>
          <w:rFonts w:hint="eastAsia" w:eastAsia="方正仿宋_GBK"/>
          <w:color w:val="000000"/>
          <w:spacing w:val="-2"/>
          <w:sz w:val="24"/>
        </w:rPr>
        <w:t>谁出资、谁监管</w:t>
      </w:r>
      <w:r>
        <w:rPr>
          <w:rFonts w:eastAsia="方正仿宋_GBK"/>
          <w:color w:val="000000"/>
          <w:spacing w:val="-2"/>
          <w:sz w:val="24"/>
        </w:rPr>
        <w:t>”</w:t>
      </w:r>
      <w:r>
        <w:rPr>
          <w:rFonts w:hint="eastAsia" w:eastAsia="方正仿宋_GBK"/>
          <w:color w:val="000000"/>
          <w:spacing w:val="-2"/>
          <w:sz w:val="24"/>
        </w:rPr>
        <w:t>的原则和相应的管理规定进行管理。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课题经费管理细则根据国家有关规定另行制定。</w:t>
      </w:r>
    </w:p>
    <w:p>
      <w:pPr>
        <w:spacing w:line="460" w:lineRule="exact"/>
        <w:ind w:firstLine="564"/>
        <w:rPr>
          <w:rFonts w:eastAsia="方正仿宋_GBK"/>
          <w:color w:val="000000"/>
          <w:spacing w:val="-2"/>
          <w:sz w:val="24"/>
        </w:rPr>
      </w:pPr>
    </w:p>
    <w:p>
      <w:pPr>
        <w:spacing w:line="460" w:lineRule="exact"/>
        <w:ind w:firstLine="564"/>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第四章  人才、知识产权和资产管理</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课题研究积极吸引各类高层次人才参与科技攻关，鼓励中青年科技骨干承担课题，凝聚和培养一批高水平的研究开发人才队伍。</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2"/>
          <w:sz w:val="24"/>
        </w:rPr>
        <w:t>课题有关组织实施管理机构要加强知识产权管理，严格执行科技部《关于加强国家科技计划知识产权管理工作的规定》。课题形成的知识产权，其归属、使用和管理按照《关于国家科研计划项目研究成果知识产权管理的若干规定》执行。</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第十六条</w:t>
      </w:r>
      <w:r>
        <w:rPr>
          <w:rFonts w:eastAsia="方正仿宋_GBK"/>
          <w:color w:val="000000"/>
          <w:spacing w:val="-2"/>
          <w:sz w:val="24"/>
        </w:rPr>
        <w:t xml:space="preserve">  </w:t>
      </w:r>
      <w:r>
        <w:rPr>
          <w:rFonts w:hint="eastAsia" w:eastAsia="方正仿宋_GBK"/>
          <w:color w:val="000000"/>
          <w:spacing w:val="-2"/>
          <w:sz w:val="24"/>
        </w:rPr>
        <w:t>课题实施形成的研究成果，包括论文、专著、专利、软件、数据库等，均应标注</w:t>
      </w:r>
      <w:r>
        <w:rPr>
          <w:rFonts w:eastAsia="方正仿宋_GBK"/>
          <w:color w:val="000000"/>
          <w:spacing w:val="-2"/>
          <w:sz w:val="24"/>
        </w:rPr>
        <w:t>“</w:t>
      </w:r>
      <w:r>
        <w:rPr>
          <w:rFonts w:hint="eastAsia" w:eastAsia="方正仿宋_GBK"/>
          <w:color w:val="000000"/>
          <w:spacing w:val="-2"/>
          <w:sz w:val="24"/>
        </w:rPr>
        <w:t>水体污染控制与治理科技重大专项资助</w:t>
      </w:r>
      <w:r>
        <w:rPr>
          <w:rFonts w:eastAsia="方正仿宋_GBK"/>
          <w:color w:val="000000"/>
          <w:spacing w:val="-2"/>
          <w:sz w:val="24"/>
        </w:rPr>
        <w:t>”</w:t>
      </w:r>
      <w:r>
        <w:rPr>
          <w:rFonts w:hint="eastAsia" w:eastAsia="方正仿宋_GBK"/>
          <w:color w:val="000000"/>
          <w:spacing w:val="-2"/>
          <w:sz w:val="24"/>
        </w:rPr>
        <w:t>字样及课题编号，不做标注的成果，评估或验收时不予认可。</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　</w:t>
      </w:r>
      <w:r>
        <w:rPr>
          <w:rFonts w:hint="eastAsia" w:ascii="Times New Roman" w:eastAsia="方正黑体_GBK"/>
          <w:color w:val="000000"/>
          <w:spacing w:val="-2"/>
          <w:sz w:val="24"/>
        </w:rPr>
        <w:t>第十七条</w:t>
      </w:r>
      <w:r>
        <w:rPr>
          <w:rFonts w:eastAsia="方正仿宋_GBK"/>
          <w:color w:val="000000"/>
          <w:spacing w:val="-2"/>
          <w:sz w:val="24"/>
        </w:rPr>
        <w:t xml:space="preserve">  </w:t>
      </w:r>
      <w:r>
        <w:rPr>
          <w:rFonts w:hint="eastAsia" w:eastAsia="方正仿宋_GBK"/>
          <w:color w:val="000000"/>
          <w:spacing w:val="-2"/>
          <w:sz w:val="24"/>
        </w:rPr>
        <w:t>课题研究过程中形成的无形资产，属国有资产，由相应承担单位负责管理和使用。课题研究成果转化及无形资产使用产生的经济效益按《中华人民共和国促进科技成果转化法》和国家有关规定执行。</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color w:val="000000"/>
          <w:spacing w:val="-2"/>
          <w:sz w:val="24"/>
        </w:rPr>
        <w:t xml:space="preserve">  </w:t>
      </w:r>
      <w:r>
        <w:rPr>
          <w:rFonts w:hint="eastAsia" w:eastAsia="方正仿宋_GBK"/>
          <w:color w:val="000000"/>
          <w:spacing w:val="-2"/>
          <w:sz w:val="24"/>
        </w:rPr>
        <w:t>用课题经费购置或试制的固定资产属于国有资产，资产的管理按照国家有关规定执行。</w:t>
      </w:r>
    </w:p>
    <w:p>
      <w:pPr>
        <w:spacing w:line="460" w:lineRule="exact"/>
        <w:jc w:val="center"/>
        <w:rPr>
          <w:rFonts w:ascii="Times New Roman" w:eastAsia="方正黑体_GBK"/>
          <w:color w:val="000000"/>
          <w:spacing w:val="-2"/>
          <w:sz w:val="24"/>
        </w:rPr>
      </w:pPr>
    </w:p>
    <w:p>
      <w:pPr>
        <w:spacing w:line="460" w:lineRule="exact"/>
        <w:jc w:val="center"/>
        <w:rPr>
          <w:rFonts w:hint="eastAsia" w:ascii="Times New Roman" w:eastAsia="方正黑体_GBK"/>
          <w:color w:val="000000"/>
          <w:spacing w:val="-2"/>
          <w:sz w:val="24"/>
        </w:rPr>
      </w:pPr>
      <w:r>
        <w:rPr>
          <w:rFonts w:hint="eastAsia" w:ascii="Times New Roman" w:eastAsia="方正黑体_GBK"/>
          <w:color w:val="000000"/>
          <w:spacing w:val="-2"/>
          <w:sz w:val="24"/>
        </w:rPr>
        <w:t>第五章  其    他</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第十九条</w:t>
      </w:r>
      <w:r>
        <w:rPr>
          <w:rFonts w:eastAsia="方正仿宋_GBK"/>
          <w:color w:val="000000"/>
          <w:spacing w:val="-2"/>
          <w:sz w:val="24"/>
        </w:rPr>
        <w:t xml:space="preserve">  </w:t>
      </w:r>
      <w:r>
        <w:rPr>
          <w:rFonts w:hint="eastAsia" w:eastAsia="方正仿宋_GBK"/>
          <w:color w:val="000000"/>
          <w:spacing w:val="-2"/>
          <w:sz w:val="24"/>
        </w:rPr>
        <w:t>对于在申请、评议、评审、评估、检查、执行和验收过程中发现的弄虚作假、徇私舞弊行为，以及违规操作或因主观原因未能完成合同任务并造成重大损失者，将公开通报直接责任者，并上报住房城乡建设部水专项办按相关规定进行处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第二十条</w:t>
      </w:r>
      <w:r>
        <w:rPr>
          <w:rFonts w:eastAsia="方正仿宋_GBK"/>
          <w:color w:val="000000"/>
          <w:spacing w:val="-2"/>
          <w:sz w:val="24"/>
        </w:rPr>
        <w:t xml:space="preserve">  </w:t>
      </w:r>
      <w:r>
        <w:rPr>
          <w:rFonts w:hint="eastAsia" w:eastAsia="方正仿宋_GBK"/>
          <w:color w:val="000000"/>
          <w:spacing w:val="-2"/>
          <w:sz w:val="24"/>
        </w:rPr>
        <w:t>本办法由省住房城乡建设厅负责解释，自发布之日起施行。</w:t>
      </w:r>
    </w:p>
    <w:p>
      <w:pPr>
        <w:spacing w:line="460" w:lineRule="exact"/>
        <w:jc w:val="center"/>
        <w:rPr>
          <w:rFonts w:ascii="Times New Roman" w:eastAsia="方正小标宋简体"/>
          <w:color w:val="000000"/>
          <w:sz w:val="36"/>
          <w:szCs w:val="36"/>
        </w:rPr>
      </w:pPr>
    </w:p>
    <w:p>
      <w:pPr>
        <w:spacing w:line="460" w:lineRule="exact"/>
        <w:jc w:val="center"/>
        <w:rPr>
          <w:rFonts w:hint="eastAsia" w:ascii="Times New Roman" w:eastAsia="方正小标宋简体"/>
          <w:color w:val="000000"/>
          <w:sz w:val="36"/>
          <w:szCs w:val="36"/>
        </w:rPr>
      </w:pPr>
    </w:p>
    <w:p>
      <w:pPr>
        <w:spacing w:line="460" w:lineRule="exact"/>
        <w:rPr>
          <w:rFonts w:hint="eastAsia" w:ascii="Times New Roman" w:eastAsia="方正小标宋简体"/>
          <w:color w:val="000000"/>
          <w:sz w:val="36"/>
          <w:szCs w:val="36"/>
        </w:rPr>
      </w:pPr>
    </w:p>
    <w:p>
      <w:pPr>
        <w:spacing w:line="460" w:lineRule="exact"/>
        <w:rPr>
          <w:rFonts w:hint="eastAsia" w:ascii="Times New Roman" w:eastAsia="方正小标宋简体"/>
          <w:color w:val="000000"/>
          <w:sz w:val="36"/>
          <w:szCs w:val="36"/>
        </w:rPr>
      </w:pPr>
    </w:p>
    <w:p>
      <w:pPr>
        <w:pStyle w:val="2"/>
        <w:spacing w:before="240" w:beforeLines="100" w:after="240" w:afterLines="100" w:line="240" w:lineRule="auto"/>
        <w:jc w:val="center"/>
        <w:rPr>
          <w:rFonts w:hint="eastAsia" w:ascii="Times New Roman" w:eastAsia="方正小标宋_GBK"/>
          <w:b w:val="0"/>
          <w:sz w:val="36"/>
          <w:szCs w:val="36"/>
        </w:rPr>
      </w:pPr>
      <w:bookmarkStart w:id="133" w:name="_Toc20726360"/>
      <w:bookmarkStart w:id="134" w:name="_Toc18315442"/>
      <w:r>
        <w:rPr>
          <w:rFonts w:hint="eastAsia" w:ascii="Times New Roman" w:eastAsia="方正小标宋_GBK"/>
          <w:b w:val="0"/>
          <w:sz w:val="36"/>
          <w:szCs w:val="36"/>
        </w:rPr>
        <w:t>省住房城乡建设厅关于规范城镇燃气设施建设和     运行管理工作的若干意见</w:t>
      </w:r>
      <w:bookmarkEnd w:id="133"/>
      <w:bookmarkEnd w:id="134"/>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35" w:name="_Toc20726361"/>
      <w:bookmarkStart w:id="136" w:name="_Toc18315443"/>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2014</w:t>
      </w:r>
      <w:r>
        <w:rPr>
          <w:rFonts w:hint="eastAsia" w:ascii="Times New Roman" w:hAnsi="Times New Roman" w:eastAsia="方正楷体_GBK"/>
          <w:b w:val="0"/>
          <w:sz w:val="24"/>
          <w:szCs w:val="24"/>
        </w:rPr>
        <w:t>〕</w:t>
      </w:r>
      <w:r>
        <w:rPr>
          <w:rFonts w:ascii="Times New Roman" w:hAnsi="Times New Roman" w:eastAsia="方正楷体_GBK"/>
          <w:b w:val="0"/>
          <w:sz w:val="24"/>
          <w:szCs w:val="24"/>
        </w:rPr>
        <w:t>1</w:t>
      </w:r>
      <w:r>
        <w:rPr>
          <w:rFonts w:hint="eastAsia" w:ascii="Times New Roman" w:hAnsi="Times New Roman" w:eastAsia="方正楷体_GBK"/>
          <w:b w:val="0"/>
          <w:sz w:val="24"/>
          <w:szCs w:val="24"/>
        </w:rPr>
        <w:t>号</w:t>
      </w:r>
      <w:bookmarkEnd w:id="135"/>
      <w:bookmarkEnd w:id="136"/>
    </w:p>
    <w:p>
      <w:pPr>
        <w:spacing w:line="440" w:lineRule="exact"/>
        <w:jc w:val="left"/>
        <w:rPr>
          <w:rFonts w:eastAsia="方正仿宋_GBK"/>
          <w:color w:val="000000"/>
          <w:spacing w:val="-2"/>
          <w:kern w:val="0"/>
          <w:sz w:val="24"/>
        </w:rPr>
      </w:pPr>
      <w:r>
        <w:rPr>
          <w:rFonts w:hint="eastAsia" w:eastAsia="方正仿宋_GBK"/>
          <w:bCs/>
          <w:color w:val="000000"/>
          <w:spacing w:val="-2"/>
          <w:kern w:val="0"/>
          <w:sz w:val="24"/>
        </w:rPr>
        <w:t>各省辖市建设局、规划局、城管局，无锡市市政和园林局，昆山、泰兴、沭阳县（市）建设局、规划局、城管局：</w:t>
      </w:r>
    </w:p>
    <w:p>
      <w:pPr>
        <w:spacing w:line="440" w:lineRule="exact"/>
        <w:ind w:firstLine="456" w:firstLineChars="200"/>
        <w:jc w:val="left"/>
        <w:rPr>
          <w:rFonts w:eastAsia="方正仿宋_GBK"/>
          <w:color w:val="000000"/>
          <w:spacing w:val="-6"/>
          <w:kern w:val="0"/>
          <w:sz w:val="24"/>
        </w:rPr>
      </w:pPr>
      <w:r>
        <w:rPr>
          <w:rFonts w:hint="eastAsia" w:eastAsia="方正仿宋_GBK"/>
          <w:color w:val="000000"/>
          <w:spacing w:val="-6"/>
          <w:kern w:val="0"/>
          <w:sz w:val="24"/>
        </w:rPr>
        <w:t>为进一步加强城镇燃气设施建设和运行管理，保证城镇燃气设施建设质量和运行安全，根据《城乡规划法》、《建设工程质量管理条例》、《城镇燃气管理条例》、《江苏省燃气管理条例》、《房屋建筑和市政基础设施工程竣工验收备案管理办法》等法律法规，结合我省实际，现就规范城镇燃气设施建设和运行管理工作提出如下意见：</w:t>
      </w:r>
    </w:p>
    <w:p>
      <w:pPr>
        <w:spacing w:line="440" w:lineRule="exact"/>
        <w:ind w:firstLine="495" w:firstLineChars="210"/>
        <w:jc w:val="left"/>
        <w:rPr>
          <w:rFonts w:eastAsia="方正黑体_GBK"/>
          <w:color w:val="000000"/>
          <w:spacing w:val="-2"/>
          <w:kern w:val="0"/>
          <w:sz w:val="24"/>
        </w:rPr>
      </w:pPr>
      <w:r>
        <w:rPr>
          <w:rFonts w:hint="eastAsia" w:eastAsia="方正黑体_GBK"/>
          <w:color w:val="000000"/>
          <w:spacing w:val="-2"/>
          <w:kern w:val="0"/>
          <w:sz w:val="24"/>
        </w:rPr>
        <w:t>一、严格城镇燃气设施建设程序</w:t>
      </w:r>
    </w:p>
    <w:p>
      <w:pPr>
        <w:autoSpaceDE w:val="0"/>
        <w:autoSpaceDN w:val="0"/>
        <w:adjustRightInd w:val="0"/>
        <w:spacing w:line="440" w:lineRule="exact"/>
        <w:ind w:firstLine="472" w:firstLineChars="200"/>
        <w:jc w:val="left"/>
        <w:rPr>
          <w:rFonts w:eastAsia="方正仿宋_GBK"/>
          <w:color w:val="000000"/>
          <w:spacing w:val="-2"/>
          <w:kern w:val="0"/>
          <w:sz w:val="24"/>
        </w:rPr>
      </w:pPr>
      <w:r>
        <w:rPr>
          <w:rFonts w:hint="eastAsia" w:eastAsia="方正楷体_GBK"/>
          <w:color w:val="000000"/>
          <w:spacing w:val="-2"/>
          <w:sz w:val="24"/>
        </w:rPr>
        <w:t>（一）项目核准。</w:t>
      </w:r>
      <w:r>
        <w:rPr>
          <w:rFonts w:hint="eastAsia" w:eastAsia="方正仿宋_GBK"/>
          <w:color w:val="000000"/>
          <w:spacing w:val="-2"/>
          <w:kern w:val="0"/>
          <w:sz w:val="24"/>
        </w:rPr>
        <w:t>城镇燃气设施项目的新建、改建、扩建工程，应严格按照《江苏省燃气管理条例》和项目核准或备案的有关规定，履行城镇燃气设施项目核准或备案手续。</w:t>
      </w:r>
    </w:p>
    <w:p>
      <w:pPr>
        <w:autoSpaceDE w:val="0"/>
        <w:autoSpaceDN w:val="0"/>
        <w:adjustRightInd w:val="0"/>
        <w:spacing w:line="440" w:lineRule="exact"/>
        <w:ind w:firstLine="472" w:firstLineChars="200"/>
        <w:jc w:val="left"/>
        <w:rPr>
          <w:rFonts w:eastAsia="方正仿宋_GBK"/>
          <w:color w:val="000000"/>
          <w:spacing w:val="-2"/>
          <w:kern w:val="0"/>
          <w:sz w:val="24"/>
          <w:shd w:val="pct10" w:color="auto" w:fill="FFFFFF"/>
        </w:rPr>
      </w:pPr>
      <w:r>
        <w:rPr>
          <w:rFonts w:hint="eastAsia" w:eastAsia="方正楷体_GBK"/>
          <w:color w:val="000000"/>
          <w:spacing w:val="-2"/>
          <w:sz w:val="24"/>
        </w:rPr>
        <w:t>（二）规划许可。</w:t>
      </w:r>
      <w:r>
        <w:rPr>
          <w:rFonts w:hint="eastAsia" w:eastAsia="方正仿宋_GBK"/>
          <w:color w:val="000000"/>
          <w:spacing w:val="-2"/>
          <w:kern w:val="0"/>
          <w:sz w:val="24"/>
        </w:rPr>
        <w:t>新建、改建、扩建城镇燃气设施，按照国家规定需要有关部门批准或者核准的，以划拨方式提供国有土地使用权的，应当向城乡规划主管部门申请核发选址意见书。在城市、镇规划区内使用国有土地建设城镇燃气设施，应当向城乡规划主管部门申请核发建设用地规划许可证。在城市、镇规划区内进行燃气设施建设的，建设单位应当向市、县（市）人民政府城乡规划主管部门申请办理建设工程规划许可证。燃气设施建设过程中，应当依法履行向城乡规划主管部门申请验线、核实和报送竣工验收资料等手续。</w:t>
      </w:r>
    </w:p>
    <w:p>
      <w:pPr>
        <w:spacing w:line="440" w:lineRule="exact"/>
        <w:ind w:firstLine="645"/>
        <w:rPr>
          <w:rFonts w:eastAsia="方正仿宋_GBK"/>
          <w:color w:val="000000"/>
          <w:spacing w:val="-2"/>
          <w:kern w:val="0"/>
          <w:sz w:val="24"/>
        </w:rPr>
      </w:pPr>
      <w:r>
        <w:rPr>
          <w:rFonts w:hint="eastAsia" w:eastAsia="方正楷体_GBK"/>
          <w:color w:val="000000"/>
          <w:spacing w:val="-2"/>
          <w:szCs w:val="21"/>
        </w:rPr>
        <w:t>（三）初步设计审查。</w:t>
      </w:r>
      <w:r>
        <w:rPr>
          <w:rFonts w:hint="eastAsia" w:eastAsia="方正仿宋_GBK"/>
          <w:color w:val="000000"/>
          <w:spacing w:val="-2"/>
          <w:szCs w:val="21"/>
        </w:rPr>
        <w:t>燃气场站、燃气管道设施等燃气设施项目的初步设计文件，应</w:t>
      </w:r>
      <w:r>
        <w:rPr>
          <w:rFonts w:hint="eastAsia" w:eastAsia="方正仿宋_GBK"/>
          <w:color w:val="000000"/>
          <w:spacing w:val="-2"/>
          <w:kern w:val="0"/>
          <w:sz w:val="24"/>
        </w:rPr>
        <w:t>当符合《城镇燃气设计规范》等国家有关技术规范和燃气专业规划的要求，燃气工程省级核准的跨市、县（市）区域项目的初步设计文件由省级建设部门审查批准，其他省级核准项目由项目所在地建设主管部门审查批准，市、县（市）核准项目由同级建设主管部门审查批准。政府投资的燃气工程项目的初步设计文件审查按照国家和省有关规定执行。</w:t>
      </w:r>
    </w:p>
    <w:p>
      <w:pPr>
        <w:spacing w:line="440" w:lineRule="exact"/>
        <w:ind w:firstLine="462" w:firstLineChars="196"/>
        <w:jc w:val="left"/>
        <w:rPr>
          <w:rFonts w:eastAsia="方正仿宋_GBK"/>
          <w:color w:val="000000"/>
          <w:spacing w:val="-2"/>
          <w:kern w:val="0"/>
          <w:sz w:val="24"/>
        </w:rPr>
      </w:pPr>
      <w:r>
        <w:rPr>
          <w:rFonts w:hint="eastAsia" w:eastAsia="方正楷体_GBK"/>
          <w:color w:val="000000"/>
          <w:spacing w:val="-2"/>
          <w:sz w:val="24"/>
        </w:rPr>
        <w:t>（四）施工图审查。</w:t>
      </w:r>
      <w:r>
        <w:rPr>
          <w:rFonts w:hint="eastAsia" w:eastAsia="方正仿宋_GBK"/>
          <w:color w:val="000000"/>
          <w:spacing w:val="-2"/>
          <w:kern w:val="0"/>
          <w:sz w:val="24"/>
        </w:rPr>
        <w:t>燃气场站、燃气管道设施等燃气设施项目应当进行施工图设计文件审查。未经审查或审查不合格的燃气设施施工图设计文件不得用于施工。施工图设计文件一经审查批准，不得擅自修改；如遇特殊情况确需进行修改时，应按照规定重新审查。</w:t>
      </w:r>
    </w:p>
    <w:p>
      <w:pPr>
        <w:spacing w:line="440" w:lineRule="exact"/>
        <w:ind w:firstLine="462" w:firstLineChars="196"/>
        <w:jc w:val="left"/>
        <w:rPr>
          <w:rFonts w:eastAsia="方正仿宋_GBK"/>
          <w:color w:val="000000"/>
          <w:spacing w:val="-2"/>
          <w:kern w:val="0"/>
          <w:sz w:val="24"/>
        </w:rPr>
      </w:pPr>
      <w:r>
        <w:rPr>
          <w:rFonts w:hint="eastAsia" w:eastAsia="方正楷体_GBK"/>
          <w:color w:val="000000"/>
          <w:spacing w:val="-2"/>
          <w:sz w:val="24"/>
        </w:rPr>
        <w:t>（五）质量安全监督。</w:t>
      </w:r>
      <w:r>
        <w:rPr>
          <w:rFonts w:hint="eastAsia" w:eastAsia="方正仿宋_GBK"/>
          <w:color w:val="000000"/>
          <w:spacing w:val="-2"/>
          <w:kern w:val="0"/>
          <w:sz w:val="24"/>
        </w:rPr>
        <w:t>县级以上建设（燃气）行政主管部门应明确本辖区内燃气工程质量、安全监督管理部门，燃气设施工程（除特种设备外）应按规定办理工程质量和安全监督手续。燃气场站、燃气管道（除特种设备外）由建设单位单独办理，零星市政燃气管道、单体建筑及小区庭院燃气管道（除特种设备外）可与市政道路、房屋建筑工程一并办理。</w:t>
      </w:r>
    </w:p>
    <w:p>
      <w:pPr>
        <w:spacing w:line="440" w:lineRule="exact"/>
        <w:ind w:firstLine="495" w:firstLineChars="210"/>
        <w:jc w:val="left"/>
        <w:rPr>
          <w:rFonts w:eastAsia="方正仿宋_GBK"/>
          <w:color w:val="000000"/>
          <w:spacing w:val="-2"/>
          <w:kern w:val="0"/>
          <w:sz w:val="24"/>
        </w:rPr>
      </w:pPr>
      <w:r>
        <w:rPr>
          <w:rFonts w:hint="eastAsia" w:eastAsia="方正楷体_GBK"/>
          <w:color w:val="000000"/>
          <w:spacing w:val="-2"/>
          <w:sz w:val="24"/>
        </w:rPr>
        <w:t>（六）施工许可。</w:t>
      </w:r>
      <w:r>
        <w:rPr>
          <w:rFonts w:hint="eastAsia" w:eastAsia="方正仿宋_GBK"/>
          <w:color w:val="000000"/>
          <w:spacing w:val="-2"/>
          <w:kern w:val="0"/>
          <w:sz w:val="24"/>
        </w:rPr>
        <w:t>燃气场站、燃气管道等燃气设施项目，在工程开工前，建设单位应按规定向项目所在地建设行政主管部门申请领取施工许可证。申领施工许可证的建设单位应当取得燃气设施项目的建设工程规划许可证并符合《建筑工程施工许可管理办法》的规定条件。未按规定办理施工许可手续，不得开工建设。</w:t>
      </w:r>
    </w:p>
    <w:p>
      <w:pPr>
        <w:spacing w:line="440" w:lineRule="exact"/>
        <w:ind w:firstLine="495" w:firstLineChars="210"/>
        <w:jc w:val="left"/>
        <w:rPr>
          <w:rFonts w:eastAsia="方正仿宋_GBK"/>
          <w:color w:val="000000"/>
          <w:spacing w:val="-2"/>
          <w:kern w:val="0"/>
          <w:sz w:val="24"/>
        </w:rPr>
      </w:pPr>
      <w:r>
        <w:rPr>
          <w:rFonts w:hint="eastAsia" w:eastAsia="方正楷体_GBK"/>
          <w:color w:val="000000"/>
          <w:spacing w:val="-2"/>
          <w:sz w:val="24"/>
        </w:rPr>
        <w:t>（七）竣工验收。</w:t>
      </w:r>
      <w:r>
        <w:rPr>
          <w:rFonts w:hint="eastAsia" w:eastAsia="方正仿宋_GBK"/>
          <w:color w:val="000000"/>
          <w:spacing w:val="-2"/>
          <w:kern w:val="0"/>
          <w:sz w:val="24"/>
        </w:rPr>
        <w:t>燃气设施工程竣工后，建设单位应当组织设计、施工、监理等单位进行竣工验收。未经验收或者验收不合格的燃气工程，不得交付使用。</w:t>
      </w:r>
    </w:p>
    <w:p>
      <w:pPr>
        <w:spacing w:line="440" w:lineRule="exact"/>
        <w:ind w:firstLine="495" w:firstLineChars="210"/>
        <w:jc w:val="left"/>
        <w:rPr>
          <w:rFonts w:eastAsia="方正仿宋_GBK"/>
          <w:color w:val="000000"/>
          <w:spacing w:val="-2"/>
          <w:kern w:val="0"/>
          <w:sz w:val="24"/>
        </w:rPr>
      </w:pPr>
      <w:r>
        <w:rPr>
          <w:rFonts w:hint="eastAsia" w:eastAsia="方正楷体_GBK"/>
          <w:color w:val="000000"/>
          <w:spacing w:val="-2"/>
          <w:sz w:val="24"/>
        </w:rPr>
        <w:t>（八）备案。</w:t>
      </w:r>
      <w:r>
        <w:rPr>
          <w:rFonts w:hint="eastAsia" w:eastAsia="方正仿宋_GBK"/>
          <w:color w:val="000000"/>
          <w:spacing w:val="-2"/>
          <w:kern w:val="0"/>
          <w:sz w:val="24"/>
        </w:rPr>
        <w:t>建设单位应当在燃气设施工程竣工验收合格之日起</w:t>
      </w:r>
      <w:r>
        <w:rPr>
          <w:rFonts w:eastAsia="方正仿宋_GBK"/>
          <w:color w:val="000000"/>
          <w:spacing w:val="-2"/>
          <w:kern w:val="0"/>
          <w:sz w:val="24"/>
        </w:rPr>
        <w:t>15</w:t>
      </w:r>
      <w:r>
        <w:rPr>
          <w:rFonts w:hint="eastAsia" w:eastAsia="方正仿宋_GBK"/>
          <w:color w:val="000000"/>
          <w:spacing w:val="-2"/>
          <w:kern w:val="0"/>
          <w:sz w:val="24"/>
        </w:rPr>
        <w:t>日内，向所在地建设（燃气）行政主管部门办理备案手续，报告竣工验收情况。单体建筑及小区庭院燃气管道竣工验收备案由燃气配套单位单独办理。</w:t>
      </w:r>
    </w:p>
    <w:p>
      <w:pPr>
        <w:spacing w:line="440" w:lineRule="exact"/>
        <w:ind w:firstLine="495" w:firstLineChars="210"/>
        <w:jc w:val="left"/>
        <w:rPr>
          <w:rFonts w:eastAsia="方正仿宋_GBK"/>
          <w:color w:val="000000"/>
          <w:spacing w:val="-2"/>
          <w:kern w:val="0"/>
          <w:sz w:val="24"/>
        </w:rPr>
      </w:pPr>
      <w:r>
        <w:rPr>
          <w:rFonts w:hint="eastAsia" w:eastAsia="方正楷体_GBK"/>
          <w:color w:val="000000"/>
          <w:spacing w:val="-2"/>
          <w:sz w:val="24"/>
        </w:rPr>
        <w:t>（九）档案登记、验收与移交。</w:t>
      </w:r>
      <w:r>
        <w:rPr>
          <w:rFonts w:hint="eastAsia" w:eastAsia="方正仿宋_GBK"/>
          <w:color w:val="000000"/>
          <w:spacing w:val="-2"/>
          <w:kern w:val="0"/>
          <w:sz w:val="24"/>
        </w:rPr>
        <w:t>建设单位在申请领取施工许可证前，应当到城建档案管理机构进行登记，并签订档案移交责任书，城建档案馆应当告知档案接收的内容和要求。在组织燃气工程竣工验收时，向城建档案管理机构报送燃气设施项目档案，并提请城建档案管理机构对工程档案进行验收，建设工程档案验收意见纳入备案材料。</w:t>
      </w:r>
    </w:p>
    <w:p>
      <w:pPr>
        <w:spacing w:line="440" w:lineRule="exact"/>
        <w:ind w:firstLine="495" w:firstLineChars="210"/>
        <w:jc w:val="left"/>
        <w:rPr>
          <w:rFonts w:eastAsia="方正黑体_GBK"/>
          <w:color w:val="000000"/>
          <w:spacing w:val="-2"/>
          <w:kern w:val="0"/>
          <w:sz w:val="24"/>
        </w:rPr>
      </w:pPr>
      <w:r>
        <w:rPr>
          <w:rFonts w:hint="eastAsia" w:eastAsia="方正黑体_GBK"/>
          <w:color w:val="000000"/>
          <w:spacing w:val="-2"/>
          <w:kern w:val="0"/>
          <w:sz w:val="24"/>
        </w:rPr>
        <w:t>二、加强城镇燃气设施运行维护</w:t>
      </w:r>
    </w:p>
    <w:p>
      <w:pPr>
        <w:spacing w:line="440" w:lineRule="exact"/>
        <w:ind w:firstLine="472" w:firstLineChars="200"/>
        <w:rPr>
          <w:rFonts w:eastAsia="方正仿宋_GBK"/>
          <w:color w:val="000000"/>
          <w:spacing w:val="-2"/>
          <w:kern w:val="0"/>
          <w:sz w:val="24"/>
        </w:rPr>
      </w:pPr>
      <w:r>
        <w:rPr>
          <w:rFonts w:hint="eastAsia" w:eastAsia="方正楷体_GBK"/>
          <w:color w:val="000000"/>
          <w:spacing w:val="-2"/>
          <w:sz w:val="24"/>
        </w:rPr>
        <w:t>（一）燃气设施安全评估。</w:t>
      </w:r>
      <w:r>
        <w:rPr>
          <w:rFonts w:hint="eastAsia" w:eastAsia="方正仿宋_GBK"/>
          <w:color w:val="000000"/>
          <w:spacing w:val="-2"/>
          <w:kern w:val="0"/>
          <w:sz w:val="24"/>
        </w:rPr>
        <w:t>燃气</w:t>
      </w:r>
      <w:r>
        <w:rPr>
          <w:rFonts w:hint="eastAsia" w:eastAsia="方正仿宋_GBK"/>
          <w:color w:val="000000"/>
          <w:spacing w:val="-2"/>
          <w:sz w:val="24"/>
        </w:rPr>
        <w:t>设施运行单位应定期对燃气管道进行管网安全运行状况评估，及时</w:t>
      </w:r>
      <w:r>
        <w:rPr>
          <w:rFonts w:hint="eastAsia" w:eastAsia="方正仿宋_GBK"/>
          <w:color w:val="000000"/>
          <w:spacing w:val="-2"/>
          <w:kern w:val="0"/>
          <w:sz w:val="24"/>
        </w:rPr>
        <w:t>编制更新改造计划、制定保障安全措施</w:t>
      </w:r>
      <w:r>
        <w:rPr>
          <w:rFonts w:hint="eastAsia" w:eastAsia="方正仿宋_GBK"/>
          <w:color w:val="000000"/>
          <w:spacing w:val="-2"/>
          <w:sz w:val="24"/>
        </w:rPr>
        <w:t>；对埋置在环境复杂区域的燃气</w:t>
      </w:r>
      <w:r>
        <w:rPr>
          <w:rFonts w:hint="eastAsia" w:eastAsia="方正仿宋_GBK"/>
          <w:color w:val="000000"/>
          <w:spacing w:val="-2"/>
          <w:kern w:val="0"/>
          <w:sz w:val="24"/>
        </w:rPr>
        <w:t>管道和设施必须重点监护、定时检测</w:t>
      </w:r>
      <w:r>
        <w:rPr>
          <w:rFonts w:hint="eastAsia" w:eastAsia="方正仿宋_GBK"/>
          <w:color w:val="000000"/>
          <w:spacing w:val="-2"/>
          <w:sz w:val="24"/>
        </w:rPr>
        <w:t>。</w:t>
      </w:r>
      <w:r>
        <w:rPr>
          <w:rFonts w:hint="eastAsia" w:eastAsia="方正仿宋_GBK"/>
          <w:color w:val="000000"/>
          <w:spacing w:val="-2"/>
          <w:kern w:val="0"/>
          <w:sz w:val="24"/>
        </w:rPr>
        <w:t>燃气管道及其附件发生损坏或丢失的，应及时修复</w:t>
      </w:r>
      <w:r>
        <w:rPr>
          <w:rFonts w:hint="eastAsia" w:eastAsia="方正仿宋_GBK"/>
          <w:color w:val="000000"/>
          <w:spacing w:val="-2"/>
          <w:sz w:val="24"/>
        </w:rPr>
        <w:t>。</w:t>
      </w:r>
    </w:p>
    <w:p>
      <w:pPr>
        <w:spacing w:line="440" w:lineRule="exact"/>
        <w:ind w:firstLine="472" w:firstLineChars="200"/>
        <w:rPr>
          <w:rFonts w:eastAsia="方正仿宋_GBK"/>
          <w:color w:val="000000"/>
          <w:spacing w:val="-2"/>
          <w:kern w:val="0"/>
          <w:sz w:val="24"/>
        </w:rPr>
      </w:pPr>
      <w:r>
        <w:rPr>
          <w:rFonts w:hint="eastAsia" w:eastAsia="方正楷体_GBK"/>
          <w:color w:val="000000"/>
          <w:spacing w:val="-2"/>
          <w:sz w:val="24"/>
        </w:rPr>
        <w:t>（二）燃气设施安全巡查。</w:t>
      </w:r>
      <w:r>
        <w:rPr>
          <w:rFonts w:hint="eastAsia" w:eastAsia="方正仿宋_GBK"/>
          <w:color w:val="000000"/>
          <w:spacing w:val="-2"/>
          <w:kern w:val="0"/>
          <w:sz w:val="24"/>
        </w:rPr>
        <w:t>燃气设施运行单位要按照《城镇燃气设施运行、维护和抢修安全技术规程》的规定，加强燃气设施运行、维护和抢修管理工作，加强管线巡查责任制度的落实，对燃气管线被占压、与其它管线有交叉、周围有施工工地的地段以及尚未改造的老旧管道、曾经发生过燃气泄漏事故的管段，要重点巡查、监控，对发现影响燃气设施安全运行或安全供气行为的，应及时制止并做好建档立卷，向所在地建设（燃气）行政主管部门报告。</w:t>
      </w:r>
    </w:p>
    <w:p>
      <w:pPr>
        <w:spacing w:line="440" w:lineRule="exact"/>
        <w:ind w:firstLine="472" w:firstLineChars="200"/>
        <w:rPr>
          <w:rFonts w:eastAsia="方正仿宋_GBK"/>
          <w:color w:val="000000"/>
          <w:spacing w:val="-2"/>
          <w:kern w:val="0"/>
          <w:sz w:val="24"/>
        </w:rPr>
      </w:pPr>
      <w:r>
        <w:rPr>
          <w:rFonts w:hint="eastAsia" w:eastAsia="方正楷体_GBK"/>
          <w:color w:val="000000"/>
          <w:spacing w:val="-2"/>
          <w:sz w:val="24"/>
        </w:rPr>
        <w:t>（三）燃气设施安全警示。</w:t>
      </w:r>
      <w:r>
        <w:rPr>
          <w:rFonts w:hint="eastAsia" w:eastAsia="方正仿宋_GBK"/>
          <w:color w:val="000000"/>
          <w:spacing w:val="-2"/>
          <w:kern w:val="0"/>
          <w:sz w:val="24"/>
        </w:rPr>
        <w:t>燃气设施运行单位应按照《城镇燃气标志标准》的规定，进一步完善和规范燃气管线地面标识和站点安全警示标志。</w:t>
      </w:r>
    </w:p>
    <w:p>
      <w:pPr>
        <w:spacing w:line="440" w:lineRule="exact"/>
        <w:ind w:firstLine="472" w:firstLineChars="200"/>
        <w:rPr>
          <w:rFonts w:eastAsia="方正仿宋_GBK"/>
          <w:color w:val="000000"/>
          <w:spacing w:val="-2"/>
          <w:sz w:val="24"/>
        </w:rPr>
      </w:pPr>
      <w:r>
        <w:rPr>
          <w:rFonts w:hint="eastAsia" w:eastAsia="方正楷体_GBK"/>
          <w:color w:val="000000"/>
          <w:spacing w:val="-2"/>
          <w:sz w:val="24"/>
        </w:rPr>
        <w:t>（四）燃气设施抢险抢修。</w:t>
      </w:r>
      <w:r>
        <w:rPr>
          <w:rFonts w:hint="eastAsia" w:eastAsia="方正仿宋_GBK"/>
          <w:color w:val="000000"/>
          <w:spacing w:val="-2"/>
          <w:kern w:val="0"/>
          <w:sz w:val="24"/>
        </w:rPr>
        <w:t>燃气设施运行单位应当依据燃气运输、储存、调峰、应急的要求，采取有效措施保证燃气设施的安全运行。建设（燃气）行政主管部门、燃气设施运行单位应组织编制燃气设施安全事故应急预案，并定期开展演练，发生设施运行事故时，及时启动应急预案，组织抢险、抢修。</w:t>
      </w:r>
    </w:p>
    <w:p>
      <w:pPr>
        <w:spacing w:line="440" w:lineRule="exact"/>
        <w:ind w:firstLine="472" w:firstLineChars="200"/>
        <w:rPr>
          <w:rFonts w:eastAsia="方正仿宋_GBK"/>
          <w:color w:val="000000"/>
          <w:spacing w:val="-2"/>
          <w:kern w:val="0"/>
          <w:sz w:val="24"/>
        </w:rPr>
      </w:pPr>
      <w:r>
        <w:rPr>
          <w:rFonts w:hint="eastAsia" w:eastAsia="方正楷体_GBK"/>
          <w:color w:val="000000"/>
          <w:spacing w:val="-2"/>
          <w:sz w:val="24"/>
        </w:rPr>
        <w:t>（五）</w:t>
      </w:r>
      <w:r>
        <w:rPr>
          <w:rFonts w:hint="eastAsia" w:eastAsia="方正楷体_GBK"/>
          <w:color w:val="000000"/>
          <w:spacing w:val="-6"/>
          <w:sz w:val="24"/>
        </w:rPr>
        <w:t>燃气设施安全保护。</w:t>
      </w:r>
      <w:r>
        <w:rPr>
          <w:rFonts w:hint="eastAsia" w:eastAsia="方正仿宋_GBK"/>
          <w:color w:val="000000"/>
          <w:spacing w:val="-6"/>
          <w:kern w:val="0"/>
          <w:sz w:val="24"/>
        </w:rPr>
        <w:t>所有建设工程施工不得影响燃气设施安全。建设工程开工前，建设单位或者施工单位应当向燃气设施运行单位或者城建档案管理机构查明地下燃气设施的相关情况；对原有地下管线或者设施埋设的位置不明时，应当采用人工探挖，在掌握实际情况后，方可施工。对施工范围内有地下燃气管线等燃气设施的，应当与燃气设施运行单位共同制定安全保护措施并实施现场监护，确保燃气设施运行安全。</w:t>
      </w:r>
    </w:p>
    <w:p>
      <w:pPr>
        <w:spacing w:line="440" w:lineRule="exact"/>
        <w:ind w:firstLine="495" w:firstLineChars="210"/>
        <w:jc w:val="left"/>
        <w:rPr>
          <w:rFonts w:eastAsia="方正黑体_GBK"/>
          <w:color w:val="000000"/>
          <w:spacing w:val="-2"/>
          <w:kern w:val="0"/>
          <w:sz w:val="24"/>
        </w:rPr>
      </w:pPr>
      <w:r>
        <w:rPr>
          <w:rFonts w:hint="eastAsia" w:eastAsia="方正黑体_GBK"/>
          <w:color w:val="000000"/>
          <w:spacing w:val="-2"/>
          <w:kern w:val="0"/>
          <w:sz w:val="24"/>
        </w:rPr>
        <w:t>三、强化城镇燃气设施行业监管</w:t>
      </w:r>
    </w:p>
    <w:p>
      <w:pPr>
        <w:spacing w:line="440" w:lineRule="exact"/>
        <w:ind w:firstLine="472" w:firstLineChars="200"/>
        <w:rPr>
          <w:rFonts w:eastAsia="方正仿宋_GBK"/>
          <w:color w:val="000000"/>
          <w:spacing w:val="-2"/>
          <w:sz w:val="24"/>
        </w:rPr>
      </w:pPr>
      <w:r>
        <w:rPr>
          <w:rFonts w:hint="eastAsia" w:eastAsia="方正楷体_GBK"/>
          <w:color w:val="000000"/>
          <w:spacing w:val="-2"/>
          <w:sz w:val="24"/>
        </w:rPr>
        <w:t>（一）加强城镇燃气设施的规划管理。</w:t>
      </w:r>
      <w:r>
        <w:rPr>
          <w:rFonts w:hint="eastAsia" w:eastAsia="方正仿宋_GBK"/>
          <w:color w:val="000000"/>
          <w:spacing w:val="-2"/>
          <w:sz w:val="24"/>
        </w:rPr>
        <w:t>城镇燃气设施建设必须符合城市总体规划和燃气专项规划，项目选址必须严格按照安全防护的要求，认真执行相关法规、规范和标准，确保与周边地下管线、建筑物、构筑物等的安全距离。城乡规划确定的燃气设施用地，未经规划审批机关批准，不得改变用途。城乡规划部门核发燃气设施选址意见书或建设用地规划许可证时，应按照《城镇燃气管理条例》规定征求建设（燃气）行政主管部门意见。</w:t>
      </w:r>
    </w:p>
    <w:p>
      <w:pPr>
        <w:spacing w:line="440" w:lineRule="exact"/>
        <w:ind w:firstLine="472" w:firstLineChars="200"/>
        <w:rPr>
          <w:rFonts w:eastAsia="方正仿宋_GBK"/>
          <w:color w:val="000000"/>
          <w:spacing w:val="-2"/>
          <w:kern w:val="0"/>
          <w:sz w:val="24"/>
        </w:rPr>
      </w:pPr>
      <w:r>
        <w:rPr>
          <w:rFonts w:hint="eastAsia" w:eastAsia="方正楷体_GBK"/>
          <w:color w:val="000000"/>
          <w:spacing w:val="-2"/>
          <w:sz w:val="24"/>
        </w:rPr>
        <w:t>（二）强化城镇燃气设施建设</w:t>
      </w:r>
      <w:r>
        <w:rPr>
          <w:rFonts w:eastAsia="方正楷体_GBK"/>
          <w:color w:val="000000"/>
          <w:spacing w:val="-2"/>
          <w:sz w:val="24"/>
        </w:rPr>
        <w:t>“</w:t>
      </w:r>
      <w:r>
        <w:rPr>
          <w:rFonts w:hint="eastAsia" w:eastAsia="方正楷体_GBK"/>
          <w:color w:val="000000"/>
          <w:spacing w:val="-2"/>
          <w:sz w:val="24"/>
        </w:rPr>
        <w:t>三同时</w:t>
      </w:r>
      <w:r>
        <w:rPr>
          <w:rFonts w:eastAsia="方正楷体_GBK"/>
          <w:color w:val="000000"/>
          <w:spacing w:val="-2"/>
          <w:sz w:val="24"/>
        </w:rPr>
        <w:t>”</w:t>
      </w:r>
      <w:r>
        <w:rPr>
          <w:rFonts w:hint="eastAsia" w:eastAsia="方正楷体_GBK"/>
          <w:color w:val="000000"/>
          <w:spacing w:val="-2"/>
          <w:sz w:val="24"/>
        </w:rPr>
        <w:t>管理。</w:t>
      </w:r>
      <w:r>
        <w:rPr>
          <w:rFonts w:hint="eastAsia" w:eastAsia="方正仿宋_GBK"/>
          <w:color w:val="000000"/>
          <w:spacing w:val="-2"/>
          <w:sz w:val="24"/>
        </w:rPr>
        <w:t>根据</w:t>
      </w:r>
      <w:r>
        <w:rPr>
          <w:rFonts w:eastAsia="方正仿宋_GBK"/>
          <w:color w:val="000000"/>
          <w:spacing w:val="-2"/>
          <w:sz w:val="24"/>
        </w:rPr>
        <w:t>“</w:t>
      </w:r>
      <w:r>
        <w:rPr>
          <w:rFonts w:hint="eastAsia" w:eastAsia="方正仿宋_GBK"/>
          <w:color w:val="000000"/>
          <w:spacing w:val="-2"/>
          <w:sz w:val="24"/>
        </w:rPr>
        <w:t>统一规划、配套建设、合理利用</w:t>
      </w:r>
      <w:r>
        <w:rPr>
          <w:rFonts w:eastAsia="方正仿宋_GBK"/>
          <w:color w:val="000000"/>
          <w:spacing w:val="-2"/>
          <w:sz w:val="24"/>
        </w:rPr>
        <w:t>”</w:t>
      </w:r>
      <w:r>
        <w:rPr>
          <w:rFonts w:hint="eastAsia" w:eastAsia="方正仿宋_GBK"/>
          <w:color w:val="000000"/>
          <w:spacing w:val="-2"/>
          <w:sz w:val="24"/>
        </w:rPr>
        <w:t>的要求，城市新区开发、旧城改造工程，新建、扩建、改建道路、桥梁等市政工程，新建住宅工程等，按照燃气专项规划必须建设管道燃气设施的，管道燃气设施应当与主体工程同时设计、同时审查、同时施工、同时竣工验收。</w:t>
      </w:r>
    </w:p>
    <w:p>
      <w:pPr>
        <w:spacing w:line="440" w:lineRule="exact"/>
        <w:ind w:firstLine="462" w:firstLineChars="196"/>
        <w:jc w:val="left"/>
        <w:rPr>
          <w:rFonts w:eastAsia="方正仿宋_GBK"/>
          <w:color w:val="000000"/>
          <w:spacing w:val="-2"/>
          <w:kern w:val="0"/>
          <w:sz w:val="24"/>
        </w:rPr>
      </w:pPr>
      <w:r>
        <w:rPr>
          <w:rFonts w:hint="eastAsia" w:eastAsia="方正楷体_GBK"/>
          <w:color w:val="000000"/>
          <w:spacing w:val="-2"/>
          <w:sz w:val="24"/>
        </w:rPr>
        <w:t>（三）规范城镇燃气设施建设市场管理。</w:t>
      </w:r>
      <w:r>
        <w:rPr>
          <w:rFonts w:hint="eastAsia" w:eastAsia="方正仿宋_GBK"/>
          <w:color w:val="000000"/>
          <w:spacing w:val="-2"/>
          <w:kern w:val="0"/>
          <w:sz w:val="24"/>
        </w:rPr>
        <w:t>从事燃气设施项目勘察、设计、施工、监理的单位，应当依法取得相应等级的资质证书，并在其资质等级许可的范围内承揽工程。施工图审查应当由具有相应审查业务范围的审图机构进行；对审图机构暂不具有燃气相应审查业务的地区，可采取由建设（燃气）行政主管部门组织专家会审的形式进行审查，并将专家论证意见作为施工图审查结论。各市、县（市）建设（燃气）行政主管部门应加强质量、安全监督机构及人员队伍建设，可在现有机构及人员基础上，设置燃气工程质量安全监督科室，配备市政公用专业监督人员、仪器设备、监督车辆等；有条件的地区，可设立独立的市政公用质量、安全监督机构，强化燃气设施工程质量、安全、文明施工、竣工验收监督，严格执行相关标准和规范，确保燃气工程质量安全。</w:t>
      </w:r>
    </w:p>
    <w:p>
      <w:pPr>
        <w:spacing w:line="440" w:lineRule="exact"/>
        <w:ind w:firstLine="462" w:firstLineChars="196"/>
        <w:jc w:val="left"/>
        <w:rPr>
          <w:rFonts w:eastAsia="方正仿宋_GBK"/>
          <w:color w:val="000000"/>
          <w:spacing w:val="-2"/>
          <w:kern w:val="0"/>
          <w:sz w:val="24"/>
          <w:shd w:val="pct10" w:color="auto" w:fill="FFFFFF"/>
        </w:rPr>
      </w:pPr>
      <w:r>
        <w:rPr>
          <w:rFonts w:hint="eastAsia" w:eastAsia="方正楷体_GBK"/>
          <w:color w:val="000000"/>
          <w:spacing w:val="-2"/>
          <w:sz w:val="24"/>
        </w:rPr>
        <w:t>（四）强化燃气设施安全监管。</w:t>
      </w:r>
      <w:r>
        <w:rPr>
          <w:rFonts w:hint="eastAsia" w:eastAsia="方正仿宋_GBK"/>
          <w:color w:val="000000"/>
          <w:spacing w:val="-2"/>
          <w:kern w:val="0"/>
          <w:sz w:val="24"/>
        </w:rPr>
        <w:t>建设（燃气）行政主管部门应当会同规划、公安消防等部门按照国家相关规范划定燃气设施安全保护范围。在安全保护范围内，禁止建设建筑物、构筑物或者其他设施，禁止存放易燃易爆物品或者排放腐蚀性液体（气体）、开挖沟渠、挖坑取土、打桩或者顶进作业、从事爆破作业以及危及燃气设施安全的行为。按照城市政府职责分工，建设（燃气）、规划、城管等相关部门应当加强配合，对燃气设施安全间距范围内已存在的建（构）筑物依法责令限期拆除；对燃气设施运行单位巡查发现有可能影响燃气设施安全运行的行为，应及时采取措施加以制止。建设（燃气）行政主管部门要强化对燃气从业人员的安全培训和考核，逐步实行全员培训和持证上岗。</w:t>
      </w:r>
    </w:p>
    <w:p>
      <w:pPr>
        <w:spacing w:line="440" w:lineRule="exact"/>
        <w:ind w:firstLine="472" w:firstLineChars="200"/>
        <w:jc w:val="left"/>
        <w:rPr>
          <w:rFonts w:eastAsia="方正仿宋_GBK"/>
          <w:color w:val="000000"/>
          <w:spacing w:val="-2"/>
          <w:kern w:val="0"/>
          <w:sz w:val="24"/>
        </w:rPr>
      </w:pPr>
      <w:r>
        <w:rPr>
          <w:rFonts w:hint="eastAsia" w:eastAsia="方正楷体_GBK"/>
          <w:color w:val="000000"/>
          <w:spacing w:val="-2"/>
          <w:sz w:val="24"/>
        </w:rPr>
        <w:t>（五）规范零星市政燃气管道、单体建筑及小区庭院燃气管道工程的建设管理。</w:t>
      </w:r>
      <w:r>
        <w:rPr>
          <w:rFonts w:hint="eastAsia" w:eastAsia="方正仿宋_GBK"/>
          <w:color w:val="000000"/>
          <w:spacing w:val="-2"/>
          <w:kern w:val="0"/>
          <w:sz w:val="24"/>
        </w:rPr>
        <w:t>依附于市政道路新建的零星市政燃气管道、单体建筑配套的燃气管道、小区庭院燃气管道工程项目，可将市政道路、单体建筑工程项目批复作为其核准依据，办理相关报建、施工手续；道路改造、老小区改造配套的燃气管道以及危旧管道改造的工程项目可以捆绑的方式一次性由建设（燃气）主管部门下达建设任务，以建设任务文件办理相关报建、施工手续。</w:t>
      </w:r>
      <w:r>
        <w:rPr>
          <w:rFonts w:eastAsia="方正仿宋_GBK"/>
          <w:color w:val="000000"/>
          <w:spacing w:val="-2"/>
          <w:kern w:val="0"/>
          <w:sz w:val="24"/>
        </w:rPr>
        <w:t>30</w:t>
      </w:r>
      <w:r>
        <w:rPr>
          <w:rFonts w:hint="eastAsia" w:eastAsia="方正仿宋_GBK"/>
          <w:color w:val="000000"/>
          <w:spacing w:val="-2"/>
          <w:kern w:val="0"/>
          <w:sz w:val="24"/>
        </w:rPr>
        <w:t>万元以下燃气工程项目的建设质量和安全管理由建设单位自行负责，建设单位应当做好工程建设资料的整理归档工作，同时报送建设（燃气）主管部门和城建档案馆。</w:t>
      </w:r>
    </w:p>
    <w:p>
      <w:pPr>
        <w:spacing w:line="440" w:lineRule="exact"/>
        <w:ind w:firstLine="495" w:firstLineChars="210"/>
        <w:jc w:val="left"/>
        <w:rPr>
          <w:rFonts w:eastAsia="方正仿宋_GBK"/>
          <w:color w:val="000000"/>
          <w:spacing w:val="-2"/>
          <w:kern w:val="0"/>
          <w:sz w:val="24"/>
        </w:rPr>
      </w:pPr>
      <w:r>
        <w:rPr>
          <w:rFonts w:hint="eastAsia" w:eastAsia="方正楷体_GBK"/>
          <w:color w:val="000000"/>
          <w:spacing w:val="-2"/>
          <w:sz w:val="24"/>
        </w:rPr>
        <w:t>（六）强化城镇燃气设施建设和运行管理的执法工作。</w:t>
      </w:r>
      <w:r>
        <w:rPr>
          <w:rFonts w:hint="eastAsia" w:eastAsia="方正仿宋_GBK"/>
          <w:color w:val="000000"/>
          <w:spacing w:val="-2"/>
          <w:kern w:val="0"/>
          <w:sz w:val="24"/>
        </w:rPr>
        <w:t>各地建设（燃气）、规划、城管行政主管部门要高度重视燃气设施建设和运行管理，定期组织开展燃气工程建设和设施运行专项执法检查，对违反燃气设施工程建设和运行安全管理规定的行为，要按有关法律法规的规定予以查处。</w:t>
      </w:r>
    </w:p>
    <w:p>
      <w:pPr>
        <w:spacing w:line="440" w:lineRule="exact"/>
        <w:ind w:firstLine="495" w:firstLineChars="210"/>
        <w:jc w:val="left"/>
        <w:rPr>
          <w:rFonts w:eastAsia="方正仿宋_GBK"/>
          <w:color w:val="000000"/>
          <w:spacing w:val="-2"/>
          <w:kern w:val="0"/>
          <w:sz w:val="24"/>
        </w:rPr>
      </w:pPr>
      <w:r>
        <w:rPr>
          <w:rFonts w:hint="eastAsia" w:eastAsia="方正仿宋_GBK"/>
          <w:color w:val="000000"/>
          <w:spacing w:val="-2"/>
          <w:kern w:val="0"/>
          <w:sz w:val="24"/>
        </w:rPr>
        <w:t>本意见自</w:t>
      </w:r>
      <w:r>
        <w:rPr>
          <w:rFonts w:eastAsia="方正仿宋_GBK"/>
          <w:color w:val="000000"/>
          <w:spacing w:val="-2"/>
          <w:kern w:val="0"/>
          <w:sz w:val="24"/>
        </w:rPr>
        <w:t>2014</w:t>
      </w:r>
      <w:r>
        <w:rPr>
          <w:rFonts w:hint="eastAsia" w:eastAsia="方正仿宋_GBK"/>
          <w:color w:val="000000"/>
          <w:spacing w:val="-2"/>
          <w:kern w:val="0"/>
          <w:sz w:val="24"/>
        </w:rPr>
        <w:t>年</w:t>
      </w:r>
      <w:r>
        <w:rPr>
          <w:rFonts w:eastAsia="方正仿宋_GBK"/>
          <w:color w:val="000000"/>
          <w:spacing w:val="-2"/>
          <w:kern w:val="0"/>
          <w:sz w:val="24"/>
        </w:rPr>
        <w:t>7</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日起施行。各地可结合当地实际，制定相应的管理规定；在实施过程中有何意见和建议，请及时函告我厅。</w:t>
      </w:r>
    </w:p>
    <w:p>
      <w:pPr>
        <w:spacing w:line="440" w:lineRule="exact"/>
        <w:ind w:right="439" w:firstLine="4720" w:firstLineChars="2000"/>
        <w:jc w:val="right"/>
        <w:rPr>
          <w:rFonts w:eastAsia="方正仿宋_GBK"/>
          <w:color w:val="000000"/>
          <w:spacing w:val="-2"/>
          <w:kern w:val="0"/>
          <w:sz w:val="24"/>
        </w:rPr>
      </w:pPr>
      <w:r>
        <w:rPr>
          <w:rFonts w:hint="eastAsia" w:eastAsia="方正仿宋_GBK"/>
          <w:color w:val="000000"/>
          <w:spacing w:val="-2"/>
          <w:kern w:val="0"/>
          <w:sz w:val="24"/>
        </w:rPr>
        <w:t>江苏省住房和城乡建设厅</w:t>
      </w:r>
    </w:p>
    <w:p>
      <w:pPr>
        <w:spacing w:line="440" w:lineRule="exact"/>
        <w:ind w:firstLine="5664" w:firstLineChars="2400"/>
        <w:rPr>
          <w:rFonts w:eastAsia="方正仿宋_GBK"/>
          <w:color w:val="000000"/>
          <w:spacing w:val="-2"/>
          <w:kern w:val="0"/>
          <w:sz w:val="24"/>
        </w:rPr>
      </w:pPr>
      <w:r>
        <w:rPr>
          <w:rFonts w:eastAsia="方正仿宋_GBK"/>
          <w:color w:val="000000"/>
          <w:spacing w:val="-2"/>
          <w:kern w:val="0"/>
          <w:sz w:val="24"/>
        </w:rPr>
        <w:t xml:space="preserve">    2014</w:t>
      </w:r>
      <w:r>
        <w:rPr>
          <w:rFonts w:hint="eastAsia" w:eastAsia="方正仿宋_GBK"/>
          <w:color w:val="000000"/>
          <w:spacing w:val="-2"/>
          <w:kern w:val="0"/>
          <w:sz w:val="24"/>
        </w:rPr>
        <w:t>年</w:t>
      </w:r>
      <w:r>
        <w:rPr>
          <w:rFonts w:eastAsia="方正仿宋_GBK"/>
          <w:color w:val="000000"/>
          <w:spacing w:val="-2"/>
          <w:kern w:val="0"/>
          <w:sz w:val="24"/>
        </w:rPr>
        <w:t>5</w:t>
      </w:r>
      <w:r>
        <w:rPr>
          <w:rFonts w:hint="eastAsia" w:eastAsia="方正仿宋_GBK"/>
          <w:color w:val="000000"/>
          <w:spacing w:val="-2"/>
          <w:kern w:val="0"/>
          <w:sz w:val="24"/>
        </w:rPr>
        <w:t>月</w:t>
      </w:r>
      <w:r>
        <w:rPr>
          <w:rFonts w:eastAsia="方正仿宋_GBK"/>
          <w:color w:val="000000"/>
          <w:spacing w:val="-2"/>
          <w:kern w:val="0"/>
          <w:sz w:val="24"/>
        </w:rPr>
        <w:t>20</w:t>
      </w:r>
      <w:r>
        <w:rPr>
          <w:rFonts w:hint="eastAsia" w:eastAsia="方正仿宋_GBK"/>
          <w:color w:val="000000"/>
          <w:spacing w:val="-2"/>
          <w:kern w:val="0"/>
          <w:sz w:val="24"/>
        </w:rPr>
        <w:t>日</w:t>
      </w:r>
    </w:p>
    <w:p/>
    <w:p/>
    <w:p/>
    <w:p/>
    <w:p/>
    <w:p>
      <w:pPr>
        <w:pStyle w:val="2"/>
        <w:spacing w:before="240" w:beforeLines="100" w:after="240" w:afterLines="100" w:line="240" w:lineRule="auto"/>
        <w:jc w:val="center"/>
        <w:rPr>
          <w:rFonts w:ascii="Times New Roman" w:eastAsia="方正小标宋_GBK"/>
          <w:b w:val="0"/>
          <w:sz w:val="36"/>
          <w:szCs w:val="36"/>
        </w:rPr>
      </w:pPr>
      <w:bookmarkStart w:id="137" w:name="_Toc18315484"/>
      <w:bookmarkStart w:id="138" w:name="_Toc20726402"/>
      <w:r>
        <w:rPr>
          <w:rFonts w:hint="eastAsia" w:ascii="Times New Roman" w:eastAsia="方正小标宋_GBK"/>
          <w:b w:val="0"/>
          <w:sz w:val="36"/>
          <w:szCs w:val="36"/>
        </w:rPr>
        <w:t>省住房城乡建设厅 省物价局 省公安厅 省卫生计生委关于转发《关于加强和改进城镇居民二次供水设施建设与管理确保水质安全的通知》的通知</w:t>
      </w:r>
      <w:bookmarkEnd w:id="137"/>
      <w:bookmarkEnd w:id="138"/>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39" w:name="_Toc18315485"/>
      <w:bookmarkStart w:id="140" w:name="_Toc20726403"/>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235</w:t>
      </w:r>
      <w:r>
        <w:rPr>
          <w:rFonts w:hint="eastAsia" w:ascii="Times New Roman" w:hAnsi="Times New Roman" w:eastAsia="方正楷体_GBK"/>
          <w:b w:val="0"/>
          <w:sz w:val="24"/>
          <w:szCs w:val="24"/>
        </w:rPr>
        <w:t>号</w:t>
      </w:r>
      <w:bookmarkEnd w:id="139"/>
      <w:bookmarkEnd w:id="140"/>
    </w:p>
    <w:p>
      <w:pPr>
        <w:spacing w:line="460" w:lineRule="exact"/>
        <w:rPr>
          <w:rFonts w:eastAsia="方正仿宋_GBK"/>
          <w:color w:val="000000"/>
          <w:spacing w:val="-2"/>
          <w:sz w:val="24"/>
        </w:rPr>
      </w:pPr>
      <w:r>
        <w:rPr>
          <w:rFonts w:hint="eastAsia" w:eastAsia="方正仿宋_GBK"/>
          <w:color w:val="000000"/>
          <w:spacing w:val="-2"/>
          <w:sz w:val="24"/>
        </w:rPr>
        <w:t>各省辖市建设局（委），无锡市市政园林局，徐州、苏州、宿迁市水务局，昆山市建设局，泰兴市、沭阳县水务局，各市、县物价局、公安局、卫生局：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为贯彻落实《国务院关于加强城市基础设施建设的意见》（国发〔</w:t>
      </w:r>
      <w:r>
        <w:rPr>
          <w:rFonts w:eastAsia="方正仿宋_GBK"/>
          <w:color w:val="000000"/>
          <w:spacing w:val="-2"/>
          <w:sz w:val="24"/>
        </w:rPr>
        <w:t>2013</w:t>
      </w:r>
      <w:r>
        <w:rPr>
          <w:rFonts w:hint="eastAsia" w:eastAsia="方正仿宋_GBK"/>
          <w:color w:val="000000"/>
          <w:spacing w:val="-2"/>
          <w:sz w:val="24"/>
        </w:rPr>
        <w:t>〕</w:t>
      </w:r>
      <w:r>
        <w:rPr>
          <w:rFonts w:eastAsia="方正仿宋_GBK"/>
          <w:color w:val="000000"/>
          <w:spacing w:val="-2"/>
          <w:sz w:val="24"/>
        </w:rPr>
        <w:t>36</w:t>
      </w:r>
      <w:r>
        <w:rPr>
          <w:rFonts w:hint="eastAsia" w:eastAsia="方正仿宋_GBK"/>
          <w:color w:val="000000"/>
          <w:spacing w:val="-2"/>
          <w:sz w:val="24"/>
        </w:rPr>
        <w:t>号），住房城乡建设部、国家发展改革委、公安部、国家卫生计生委联合下发了《关于加强和改进城镇居民二次供水设施建设与管理确保水质安全的通知》（建城〔</w:t>
      </w:r>
      <w:r>
        <w:rPr>
          <w:rFonts w:eastAsia="方正仿宋_GBK"/>
          <w:color w:val="000000"/>
          <w:spacing w:val="-2"/>
          <w:sz w:val="24"/>
        </w:rPr>
        <w:t>2015</w:t>
      </w:r>
      <w:r>
        <w:rPr>
          <w:rFonts w:hint="eastAsia" w:eastAsia="方正仿宋_GBK"/>
          <w:color w:val="000000"/>
          <w:spacing w:val="-2"/>
          <w:sz w:val="24"/>
        </w:rPr>
        <w:t>〕</w:t>
      </w:r>
      <w:r>
        <w:rPr>
          <w:rFonts w:eastAsia="方正仿宋_GBK"/>
          <w:color w:val="000000"/>
          <w:spacing w:val="-2"/>
          <w:sz w:val="24"/>
        </w:rPr>
        <w:t>31</w:t>
      </w:r>
      <w:r>
        <w:rPr>
          <w:rFonts w:hint="eastAsia" w:eastAsia="方正仿宋_GBK"/>
          <w:color w:val="000000"/>
          <w:spacing w:val="-2"/>
          <w:sz w:val="24"/>
        </w:rPr>
        <w:t>号），现转发给你们，并提出如下意见，请一并贯彻执行。</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一、高度重视城镇居民二次供水设施建设改造与管理工作</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由于原有二次供水设施建设和管理多元化，监管职责不明晰，导致城镇老旧居民二次供水设施建设和管理达不到《二次供水设施卫生规范》和江苏省《居民住宅二次供水工程技术规程》要求，存在施工质量参差不齐，日常维护管理不到位，跑冒滴漏严重，治安隐患多，易发生饮用水二次污染等问题。据统计，我省二次供水水质投诉约占自来水投诉的</w:t>
      </w:r>
      <w:r>
        <w:rPr>
          <w:rFonts w:eastAsia="方正仿宋_GBK"/>
          <w:color w:val="000000"/>
          <w:spacing w:val="-2"/>
          <w:sz w:val="24"/>
        </w:rPr>
        <w:t>60%</w:t>
      </w:r>
      <w:r>
        <w:rPr>
          <w:rFonts w:hint="eastAsia" w:eastAsia="方正仿宋_GBK"/>
          <w:color w:val="000000"/>
          <w:spacing w:val="-2"/>
          <w:sz w:val="24"/>
        </w:rPr>
        <w:t>以上。此外，由于原有二次供水模式均采用总分表制，造成水费收缴困难，用户水价同城不同价，供水矛盾突出。为此，《江苏省城乡供水管理条例》（以下简称《条例》）明确规定了新、老居民住宅小区二次供水设施的建设和运行管理体制。各地要认真贯彻落实《条例》要求</w:t>
      </w:r>
      <w:r>
        <w:rPr>
          <w:rFonts w:eastAsia="方正仿宋_GBK"/>
          <w:color w:val="000000"/>
          <w:spacing w:val="-2"/>
          <w:sz w:val="24"/>
        </w:rPr>
        <w:t>,</w:t>
      </w:r>
      <w:r>
        <w:rPr>
          <w:rFonts w:hint="eastAsia" w:eastAsia="方正仿宋_GBK"/>
          <w:color w:val="000000"/>
          <w:spacing w:val="-2"/>
          <w:sz w:val="24"/>
        </w:rPr>
        <w:t>将保障二次供水安全提升到改善民生和反恐战略的高度，多渠道筹措改造资金、落实监管责任，加快推进二次供水设施改造、规范二次供水设施运行管理，提升公共服务水平，从根本上保障城市供水安全。</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二、城镇居民二次供水设施改造目标</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将老旧居民二次供水设施改造与抄表到户、</w:t>
      </w:r>
      <w:r>
        <w:rPr>
          <w:rFonts w:eastAsia="方正仿宋_GBK"/>
          <w:color w:val="000000"/>
          <w:spacing w:val="-2"/>
          <w:sz w:val="24"/>
        </w:rPr>
        <w:t>“</w:t>
      </w:r>
      <w:r>
        <w:rPr>
          <w:rFonts w:hint="eastAsia" w:eastAsia="方正仿宋_GBK"/>
          <w:color w:val="000000"/>
          <w:spacing w:val="-2"/>
          <w:sz w:val="24"/>
        </w:rPr>
        <w:t>一户一表</w:t>
      </w:r>
      <w:r>
        <w:rPr>
          <w:rFonts w:eastAsia="方正仿宋_GBK"/>
          <w:color w:val="000000"/>
          <w:spacing w:val="-2"/>
          <w:sz w:val="24"/>
        </w:rPr>
        <w:t>”</w:t>
      </w:r>
      <w:r>
        <w:rPr>
          <w:rFonts w:hint="eastAsia" w:eastAsia="方正仿宋_GBK"/>
          <w:color w:val="000000"/>
          <w:spacing w:val="-2"/>
          <w:sz w:val="24"/>
        </w:rPr>
        <w:t>改造和安全防范设施建设等统筹实施，加强物防、技防建设，推行封闭管理模式。</w:t>
      </w:r>
      <w:r>
        <w:rPr>
          <w:rFonts w:eastAsia="方正仿宋_GBK"/>
          <w:color w:val="000000"/>
          <w:spacing w:val="-2"/>
          <w:sz w:val="24"/>
        </w:rPr>
        <w:t>2015</w:t>
      </w:r>
      <w:r>
        <w:rPr>
          <w:rFonts w:hint="eastAsia" w:eastAsia="方正仿宋_GBK"/>
          <w:color w:val="000000"/>
          <w:spacing w:val="-2"/>
          <w:sz w:val="24"/>
        </w:rPr>
        <w:t>年底前，完成</w:t>
      </w:r>
      <w:r>
        <w:rPr>
          <w:rFonts w:eastAsia="方正仿宋_GBK"/>
          <w:color w:val="000000"/>
          <w:spacing w:val="-2"/>
          <w:sz w:val="24"/>
        </w:rPr>
        <w:t>60%</w:t>
      </w:r>
      <w:r>
        <w:rPr>
          <w:rFonts w:hint="eastAsia" w:eastAsia="方正仿宋_GBK"/>
          <w:color w:val="000000"/>
          <w:spacing w:val="-2"/>
          <w:sz w:val="24"/>
        </w:rPr>
        <w:t>以上城镇居民老旧住宅小区二次供水设施和抄表到户的改造和统一管理，设市城市应全面实行居民阶梯水价；</w:t>
      </w:r>
      <w:r>
        <w:rPr>
          <w:rFonts w:eastAsia="方正仿宋_GBK"/>
          <w:color w:val="000000"/>
          <w:spacing w:val="-2"/>
          <w:sz w:val="24"/>
        </w:rPr>
        <w:t>2017</w:t>
      </w:r>
      <w:r>
        <w:rPr>
          <w:rFonts w:hint="eastAsia" w:eastAsia="方正仿宋_GBK"/>
          <w:color w:val="000000"/>
          <w:spacing w:val="-2"/>
          <w:sz w:val="24"/>
        </w:rPr>
        <w:t>年底前基本完成城镇居民老旧住宅小区二次供水设施和抄表到户的改造和统一管理。对于部分二次供水设施存量较大难以在上述时限完成的城市，</w:t>
      </w:r>
      <w:r>
        <w:rPr>
          <w:rFonts w:eastAsia="方正仿宋_GBK"/>
          <w:color w:val="000000"/>
          <w:spacing w:val="-2"/>
          <w:sz w:val="24"/>
        </w:rPr>
        <w:t xml:space="preserve"> 2020</w:t>
      </w:r>
      <w:r>
        <w:rPr>
          <w:rFonts w:hint="eastAsia" w:eastAsia="方正仿宋_GBK"/>
          <w:color w:val="000000"/>
          <w:spacing w:val="-2"/>
          <w:sz w:val="24"/>
        </w:rPr>
        <w:t>年要全面完成，并制定全面改造和统一管理的具体实施方案并明确时间节点，报省住房城乡建设厅备案。</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三、全力做好城镇居民二次供水设施的改造与管理工作</w:t>
      </w:r>
    </w:p>
    <w:p>
      <w:pPr>
        <w:spacing w:line="460" w:lineRule="exact"/>
        <w:ind w:firstLine="472" w:firstLineChars="200"/>
        <w:rPr>
          <w:rFonts w:hint="eastAsia" w:eastAsia="方正仿宋_GBK"/>
          <w:color w:val="000000"/>
          <w:spacing w:val="-2"/>
          <w:sz w:val="24"/>
        </w:rPr>
      </w:pPr>
      <w:r>
        <w:rPr>
          <w:rFonts w:eastAsia="方正楷体_GBK"/>
          <w:color w:val="000000"/>
          <w:spacing w:val="-2"/>
          <w:sz w:val="24"/>
        </w:rPr>
        <w:t>1</w:t>
      </w:r>
      <w:r>
        <w:rPr>
          <w:rFonts w:hint="eastAsia" w:eastAsia="方正楷体_GBK"/>
          <w:color w:val="000000"/>
          <w:spacing w:val="-2"/>
          <w:sz w:val="24"/>
        </w:rPr>
        <w:t>．规范新建住宅小区的二次供水设施建设。</w:t>
      </w:r>
      <w:r>
        <w:rPr>
          <w:rFonts w:hint="eastAsia" w:eastAsia="方正仿宋_GBK"/>
          <w:color w:val="000000"/>
          <w:spacing w:val="-2"/>
          <w:sz w:val="24"/>
        </w:rPr>
        <w:t>新建住宅小区要严格按照</w:t>
      </w:r>
      <w:r>
        <w:rPr>
          <w:rFonts w:eastAsia="方正仿宋_GBK"/>
          <w:color w:val="000000"/>
          <w:spacing w:val="-2"/>
          <w:sz w:val="24"/>
        </w:rPr>
        <w:t>“</w:t>
      </w:r>
      <w:r>
        <w:rPr>
          <w:rFonts w:hint="eastAsia" w:eastAsia="方正仿宋_GBK"/>
          <w:color w:val="000000"/>
          <w:spacing w:val="-2"/>
          <w:sz w:val="24"/>
        </w:rPr>
        <w:t>一户一表、水表出户</w:t>
      </w:r>
      <w:r>
        <w:rPr>
          <w:rFonts w:eastAsia="方正仿宋_GBK"/>
          <w:color w:val="000000"/>
          <w:spacing w:val="-2"/>
          <w:sz w:val="24"/>
        </w:rPr>
        <w:t>”</w:t>
      </w:r>
      <w:r>
        <w:rPr>
          <w:rFonts w:hint="eastAsia" w:eastAsia="方正仿宋_GBK"/>
          <w:color w:val="000000"/>
          <w:spacing w:val="-2"/>
          <w:sz w:val="24"/>
        </w:rPr>
        <w:t>的要求进行设计和建设；二次供水设施的设计应当符合国家和地方二次供水设施卫生规范、二次供水工程技术规程和安全防范等要求，并与主体工程同时设计、同时施工、同时交付使用。住房城乡建设（城市供水）部门要做好工程设计、施工图审查等各环节的审批工作，确保新建住宅小区二次供水设施的规范化建设。对新建住宅小区二次供水设施，其运行、维护和管理按照《条例》相关规定执行，在有供水企业参加验收合格的基础上，建设单位按照当地二次供水设施运行、维护和管理的指导性收费标准，与供水企业协商承担并交纳具体费用后，移交供水企业统一管理，并由供水企业抄表到户。</w:t>
      </w:r>
    </w:p>
    <w:p>
      <w:pPr>
        <w:spacing w:line="460" w:lineRule="exact"/>
        <w:ind w:firstLine="472" w:firstLineChars="200"/>
        <w:rPr>
          <w:rFonts w:eastAsia="方正仿宋_GBK"/>
          <w:color w:val="000000"/>
          <w:spacing w:val="-2"/>
          <w:sz w:val="24"/>
        </w:rPr>
      </w:pPr>
      <w:r>
        <w:rPr>
          <w:rFonts w:eastAsia="方正楷体_GBK"/>
          <w:color w:val="000000"/>
          <w:spacing w:val="-2"/>
          <w:sz w:val="24"/>
        </w:rPr>
        <w:t>2</w:t>
      </w:r>
      <w:r>
        <w:rPr>
          <w:rFonts w:hint="eastAsia" w:eastAsia="方正楷体_GBK"/>
          <w:color w:val="000000"/>
          <w:spacing w:val="-2"/>
          <w:sz w:val="24"/>
        </w:rPr>
        <w:t>．</w:t>
      </w:r>
      <w:r>
        <w:rPr>
          <w:rFonts w:hint="eastAsia" w:eastAsia="方正楷体_GBK"/>
          <w:color w:val="000000"/>
          <w:spacing w:val="2"/>
          <w:sz w:val="24"/>
        </w:rPr>
        <w:t>全面开展老旧住宅小区的二次供水设施改造工作。</w:t>
      </w:r>
      <w:r>
        <w:rPr>
          <w:rFonts w:hint="eastAsia" w:eastAsia="方正仿宋_GBK"/>
          <w:color w:val="000000"/>
          <w:spacing w:val="2"/>
          <w:sz w:val="24"/>
        </w:rPr>
        <w:t>老旧住宅小区的二次供水设施改造工作面广量大，各地住房城乡建设（城市供水）、卫生、公安等部门要会同供水企业，摸清本地老旧住宅小区的二次供水设施现状，按照二次供水技术规程和《江苏省城市公共供水行业反恐怖防范标准》要求，编制改造计划并明确资金筹措方式和来源，经当地政府批准后尽快组织实施。老旧住宅小区的二次供水设施按相应标准改造完成经验收合格，移交供水企业统一管理。为维持正常的供水秩序，现有二次供水设施移交前的</w:t>
      </w:r>
      <w:bookmarkStart w:id="141" w:name="OLE_LINK2"/>
      <w:r>
        <w:rPr>
          <w:rFonts w:hint="eastAsia" w:eastAsia="方正仿宋_GBK"/>
          <w:color w:val="000000"/>
          <w:spacing w:val="2"/>
          <w:sz w:val="24"/>
        </w:rPr>
        <w:t>管理</w:t>
      </w:r>
      <w:bookmarkEnd w:id="141"/>
      <w:r>
        <w:rPr>
          <w:rFonts w:hint="eastAsia" w:eastAsia="方正仿宋_GBK"/>
          <w:color w:val="000000"/>
          <w:spacing w:val="2"/>
          <w:sz w:val="24"/>
        </w:rPr>
        <w:t>体制和管理单位不变，对不符合技术、卫生和安全防范要求的二次供水设施，由当地住房城乡建设（城市供水）、卫生、公安等部门督促限期整改，逾期不整改的予以通报批评。</w:t>
      </w:r>
    </w:p>
    <w:p>
      <w:pPr>
        <w:spacing w:line="460" w:lineRule="exact"/>
        <w:ind w:firstLine="472" w:firstLineChars="200"/>
        <w:rPr>
          <w:rFonts w:eastAsia="方正仿宋_GBK"/>
          <w:color w:val="000000"/>
          <w:spacing w:val="-2"/>
          <w:sz w:val="24"/>
        </w:rPr>
      </w:pPr>
      <w:r>
        <w:rPr>
          <w:rFonts w:eastAsia="方正楷体_GBK"/>
          <w:color w:val="000000"/>
          <w:spacing w:val="-2"/>
          <w:sz w:val="24"/>
        </w:rPr>
        <w:t>3</w:t>
      </w:r>
      <w:r>
        <w:rPr>
          <w:rFonts w:hint="eastAsia" w:eastAsia="方正楷体_GBK"/>
          <w:color w:val="000000"/>
          <w:spacing w:val="-2"/>
          <w:sz w:val="24"/>
        </w:rPr>
        <w:t>．加强二次供水安全工作</w:t>
      </w:r>
      <w:r>
        <w:rPr>
          <w:rFonts w:hint="eastAsia" w:eastAsia="方正仿宋_GBK"/>
          <w:color w:val="000000"/>
          <w:spacing w:val="-2"/>
          <w:sz w:val="24"/>
        </w:rPr>
        <w:t>。承担二次供水运行维护的单位要严格按照安全运行、卫生管理、治安保卫等有关法规和标准规范，建立健全设施维护、清洗消毒、水质检测、持证上岗、档案管理、应急和治安防范等制度。配备专职或兼职安全生产、卫生管理、治安保卫人员，强化日常管理。各地住房城乡建设（城市供水）、卫生、公安等部门要对设施改造、运营维护、水质保障进行全过程监管，并督促二次供水运行维护单位按照《生活饮用水卫生标准》和相关技术规程要求，加强水质检测能力建设，全力做好二次供水水质检测工作，确保二次供水水质安全。</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四、切实加强对二次供水设施改造和管理的组织领导</w:t>
      </w:r>
    </w:p>
    <w:p>
      <w:pPr>
        <w:adjustRightInd w:val="0"/>
        <w:spacing w:line="460" w:lineRule="exact"/>
        <w:ind w:firstLine="472" w:firstLineChars="200"/>
        <w:rPr>
          <w:rFonts w:hint="eastAsia" w:eastAsia="方正仿宋_GBK"/>
          <w:color w:val="000000"/>
          <w:spacing w:val="-2"/>
          <w:sz w:val="24"/>
        </w:rPr>
      </w:pPr>
      <w:r>
        <w:rPr>
          <w:rFonts w:eastAsia="方正楷体_GBK"/>
          <w:color w:val="000000"/>
          <w:spacing w:val="-2"/>
          <w:sz w:val="24"/>
        </w:rPr>
        <w:t>1</w:t>
      </w:r>
      <w:r>
        <w:rPr>
          <w:rFonts w:hint="eastAsia" w:eastAsia="方正楷体_GBK"/>
          <w:color w:val="000000"/>
          <w:spacing w:val="-2"/>
          <w:sz w:val="24"/>
        </w:rPr>
        <w:t>．落实二次供水设施改造和运行管理费用。</w:t>
      </w:r>
      <w:r>
        <w:rPr>
          <w:rFonts w:hint="eastAsia" w:eastAsia="方正仿宋_GBK"/>
          <w:color w:val="000000"/>
          <w:spacing w:val="-2"/>
          <w:sz w:val="24"/>
        </w:rPr>
        <w:t>各地要因地制宜研究建立以政府、供水企业投入为主，居民合理分担，多渠道筹集资金的二次供水设施改造费用筹集机制。由各地价格主管部门会同住房城乡建设（城市供水）主管部门研究制定二次供水设施运行维护收费办法。按照弥补二次供水设施正常运行、水质安全保障及设施折旧、设备大修维修等费用支出的原则确定收费标准。按照《关于调整销售电价分类结构有关问题的通知》（发改价格〔</w:t>
      </w:r>
      <w:r>
        <w:rPr>
          <w:rFonts w:eastAsia="方正仿宋_GBK"/>
          <w:color w:val="000000"/>
          <w:spacing w:val="-2"/>
          <w:sz w:val="24"/>
        </w:rPr>
        <w:t>2013</w:t>
      </w:r>
      <w:r>
        <w:rPr>
          <w:rFonts w:hint="eastAsia" w:eastAsia="方正仿宋_GBK"/>
          <w:color w:val="000000"/>
          <w:spacing w:val="-2"/>
          <w:sz w:val="24"/>
        </w:rPr>
        <w:t>〕</w:t>
      </w:r>
      <w:r>
        <w:rPr>
          <w:rFonts w:eastAsia="方正仿宋_GBK"/>
          <w:color w:val="000000"/>
          <w:spacing w:val="-2"/>
          <w:sz w:val="24"/>
        </w:rPr>
        <w:t>973</w:t>
      </w:r>
      <w:r>
        <w:rPr>
          <w:rFonts w:hint="eastAsia" w:eastAsia="方正仿宋_GBK"/>
          <w:color w:val="000000"/>
          <w:spacing w:val="-2"/>
          <w:sz w:val="24"/>
        </w:rPr>
        <w:t>号）的要求，二次供水设施运行电价执行居民用电价格。</w:t>
      </w:r>
    </w:p>
    <w:p>
      <w:pPr>
        <w:adjustRightInd w:val="0"/>
        <w:spacing w:line="460" w:lineRule="exact"/>
        <w:ind w:firstLine="472" w:firstLineChars="200"/>
        <w:rPr>
          <w:rFonts w:eastAsia="方正仿宋_GBK"/>
          <w:color w:val="000000"/>
          <w:spacing w:val="-2"/>
          <w:sz w:val="24"/>
        </w:rPr>
      </w:pPr>
      <w:r>
        <w:rPr>
          <w:rFonts w:eastAsia="方正楷体_GBK"/>
          <w:color w:val="000000"/>
          <w:spacing w:val="-2"/>
          <w:sz w:val="24"/>
        </w:rPr>
        <w:t>2</w:t>
      </w:r>
      <w:r>
        <w:rPr>
          <w:rFonts w:hint="eastAsia" w:eastAsia="方正楷体_GBK"/>
          <w:color w:val="000000"/>
          <w:spacing w:val="-2"/>
          <w:sz w:val="24"/>
        </w:rPr>
        <w:t>．加强部门协调。</w:t>
      </w:r>
      <w:r>
        <w:rPr>
          <w:rFonts w:hint="eastAsia" w:eastAsia="方正仿宋_GBK"/>
          <w:color w:val="000000"/>
          <w:spacing w:val="-2"/>
          <w:sz w:val="24"/>
        </w:rPr>
        <w:t>住房城乡建设（城市供水）、卫生、公安、价格等部门要加强协调，形成政府统一领导、部门各负其责的工作机制，保障人民群众的饮用水安全。住房城乡建设（城市供水）部门要加强二次供水的日常监管，严把质量关，监督落实二次供水设施设计、建设和运行维护相关制度；卫生部门要强化居民二次供水设施的卫生及日常水质监督管理，规范二次供水单位卫生管理，依法查处违法行为；价格部门负责建立健全二次供水设施运行维护收费制度，加强收费监管；公安部门要会同住房城乡建设（城市供水）部门指导监督二次供水运行维护单位严格执行治安保卫有关法律法规和标准规范，落实治安防范主体责任。</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执行中具体问题及时与省住房城乡建设厅城建处联系，联系人：熊正龙，联系电话：</w:t>
      </w:r>
      <w:r>
        <w:rPr>
          <w:rFonts w:eastAsia="方正仿宋_GBK"/>
          <w:color w:val="000000"/>
          <w:spacing w:val="-2"/>
          <w:sz w:val="24"/>
        </w:rPr>
        <w:t>025-51868622</w:t>
      </w:r>
      <w:r>
        <w:rPr>
          <w:rFonts w:hint="eastAsia" w:eastAsia="方正仿宋_GBK"/>
          <w:color w:val="000000"/>
          <w:spacing w:val="-2"/>
          <w:sz w:val="24"/>
        </w:rPr>
        <w:t>。</w:t>
      </w:r>
    </w:p>
    <w:p>
      <w:pPr>
        <w:spacing w:line="460" w:lineRule="exact"/>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附件：《住房城乡建设部</w:t>
      </w:r>
      <w:r>
        <w:rPr>
          <w:rFonts w:eastAsia="方正仿宋_GBK"/>
          <w:color w:val="000000"/>
          <w:spacing w:val="-2"/>
          <w:sz w:val="24"/>
        </w:rPr>
        <w:t xml:space="preserve"> </w:t>
      </w:r>
      <w:r>
        <w:rPr>
          <w:rFonts w:hint="eastAsia" w:eastAsia="方正仿宋_GBK"/>
          <w:color w:val="000000"/>
          <w:spacing w:val="-2"/>
          <w:sz w:val="24"/>
        </w:rPr>
        <w:t>国家发展改革委</w:t>
      </w:r>
      <w:r>
        <w:rPr>
          <w:rFonts w:eastAsia="方正仿宋_GBK"/>
          <w:color w:val="000000"/>
          <w:spacing w:val="-2"/>
          <w:sz w:val="24"/>
        </w:rPr>
        <w:t xml:space="preserve"> </w:t>
      </w:r>
      <w:r>
        <w:rPr>
          <w:rFonts w:hint="eastAsia" w:eastAsia="方正仿宋_GBK"/>
          <w:color w:val="000000"/>
          <w:spacing w:val="-2"/>
          <w:sz w:val="24"/>
        </w:rPr>
        <w:t>公安部</w:t>
      </w:r>
      <w:r>
        <w:rPr>
          <w:rFonts w:eastAsia="方正仿宋_GBK"/>
          <w:color w:val="000000"/>
          <w:spacing w:val="-2"/>
          <w:sz w:val="24"/>
        </w:rPr>
        <w:t xml:space="preserve"> </w:t>
      </w:r>
      <w:r>
        <w:rPr>
          <w:rFonts w:hint="eastAsia" w:eastAsia="方正仿宋_GBK"/>
          <w:color w:val="000000"/>
          <w:spacing w:val="-2"/>
          <w:sz w:val="24"/>
        </w:rPr>
        <w:t>国家卫生计生委关于加强和改</w:t>
      </w:r>
    </w:p>
    <w:p>
      <w:pPr>
        <w:spacing w:line="460" w:lineRule="exact"/>
        <w:ind w:firstLine="1130" w:firstLineChars="479"/>
        <w:rPr>
          <w:rFonts w:eastAsia="方正仿宋_GBK"/>
          <w:color w:val="000000"/>
          <w:spacing w:val="-2"/>
          <w:sz w:val="24"/>
        </w:rPr>
      </w:pPr>
      <w:r>
        <w:rPr>
          <w:rFonts w:hint="eastAsia" w:eastAsia="方正仿宋_GBK"/>
          <w:color w:val="000000"/>
          <w:spacing w:val="-2"/>
          <w:sz w:val="24"/>
        </w:rPr>
        <w:t>进城镇居民二次供水设施建设与管理确保水质安全的通知》（建城〔</w:t>
      </w:r>
      <w:r>
        <w:rPr>
          <w:rFonts w:eastAsia="方正仿宋_GBK"/>
          <w:color w:val="000000"/>
          <w:spacing w:val="-2"/>
          <w:sz w:val="24"/>
        </w:rPr>
        <w:t>2015</w:t>
      </w:r>
      <w:r>
        <w:rPr>
          <w:rFonts w:hint="eastAsia" w:eastAsia="方正仿宋_GBK"/>
          <w:color w:val="000000"/>
          <w:spacing w:val="-2"/>
          <w:sz w:val="24"/>
        </w:rPr>
        <w:t>〕</w:t>
      </w:r>
    </w:p>
    <w:p>
      <w:pPr>
        <w:spacing w:line="460" w:lineRule="exact"/>
        <w:ind w:firstLine="1130" w:firstLineChars="479"/>
        <w:rPr>
          <w:rFonts w:eastAsia="方正仿宋_GBK"/>
          <w:color w:val="000000"/>
          <w:spacing w:val="-2"/>
          <w:sz w:val="24"/>
        </w:rPr>
      </w:pPr>
      <w:r>
        <w:rPr>
          <w:rFonts w:eastAsia="方正仿宋_GBK"/>
          <w:color w:val="000000"/>
          <w:spacing w:val="-2"/>
          <w:sz w:val="24"/>
        </w:rPr>
        <w:t>31</w:t>
      </w:r>
      <w:r>
        <w:rPr>
          <w:rFonts w:hint="eastAsia" w:eastAsia="方正仿宋_GBK"/>
          <w:color w:val="000000"/>
          <w:spacing w:val="-2"/>
          <w:sz w:val="24"/>
        </w:rPr>
        <w:t>号）</w:t>
      </w:r>
    </w:p>
    <w:p>
      <w:pPr>
        <w:spacing w:line="460" w:lineRule="exact"/>
        <w:rPr>
          <w:rFonts w:eastAsia="方正仿宋_GBK"/>
          <w:color w:val="000000"/>
          <w:spacing w:val="-2"/>
          <w:sz w:val="24"/>
        </w:rPr>
      </w:pPr>
    </w:p>
    <w:p>
      <w:pPr>
        <w:wordWrap w:val="0"/>
        <w:spacing w:line="460" w:lineRule="exact"/>
        <w:jc w:val="right"/>
        <w:rPr>
          <w:rFonts w:eastAsia="方正仿宋_GBK"/>
          <w:color w:val="000000"/>
          <w:spacing w:val="168"/>
          <w:kern w:val="0"/>
          <w:sz w:val="24"/>
        </w:rPr>
      </w:pPr>
      <w:r>
        <w:rPr>
          <w:rFonts w:hint="eastAsia" w:eastAsia="方正仿宋_GBK"/>
          <w:color w:val="000000"/>
          <w:spacing w:val="24"/>
          <w:kern w:val="0"/>
          <w:sz w:val="24"/>
        </w:rPr>
        <w:t>江苏省住房和城乡建设</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jc w:val="right"/>
        <w:rPr>
          <w:rFonts w:eastAsia="方正仿宋_GBK"/>
          <w:color w:val="000000"/>
          <w:spacing w:val="168"/>
          <w:kern w:val="0"/>
          <w:sz w:val="24"/>
        </w:rPr>
      </w:pPr>
      <w:r>
        <w:rPr>
          <w:rFonts w:hint="eastAsia" w:eastAsia="方正仿宋_GBK"/>
          <w:color w:val="000000"/>
          <w:spacing w:val="168"/>
          <w:kern w:val="0"/>
          <w:sz w:val="24"/>
        </w:rPr>
        <w:t>江苏省物价</w:t>
      </w:r>
      <w:r>
        <w:rPr>
          <w:rFonts w:hint="eastAsia" w:eastAsia="方正仿宋_GBK"/>
          <w:color w:val="000000"/>
          <w:kern w:val="0"/>
          <w:sz w:val="24"/>
        </w:rPr>
        <w:t>局</w:t>
      </w:r>
      <w:r>
        <w:rPr>
          <w:rFonts w:eastAsia="方正仿宋_GBK"/>
          <w:color w:val="000000"/>
          <w:kern w:val="0"/>
          <w:sz w:val="24"/>
        </w:rPr>
        <w:t xml:space="preserve">    </w:t>
      </w:r>
    </w:p>
    <w:p>
      <w:pPr>
        <w:wordWrap w:val="0"/>
        <w:spacing w:line="460" w:lineRule="exact"/>
        <w:jc w:val="right"/>
        <w:rPr>
          <w:rFonts w:eastAsia="方正仿宋_GBK"/>
          <w:color w:val="000000"/>
          <w:spacing w:val="-2"/>
          <w:kern w:val="0"/>
          <w:sz w:val="24"/>
        </w:rPr>
      </w:pPr>
      <w:r>
        <w:rPr>
          <w:rFonts w:hint="eastAsia" w:eastAsia="方正仿宋_GBK"/>
          <w:color w:val="000000"/>
          <w:spacing w:val="168"/>
          <w:kern w:val="0"/>
          <w:sz w:val="24"/>
        </w:rPr>
        <w:t>江苏省公安</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jc w:val="right"/>
        <w:rPr>
          <w:rFonts w:eastAsia="方正仿宋_GBK"/>
          <w:color w:val="000000"/>
          <w:spacing w:val="-2"/>
          <w:sz w:val="24"/>
        </w:rPr>
      </w:pPr>
      <w:r>
        <w:rPr>
          <w:rFonts w:hint="eastAsia" w:eastAsia="方正仿宋_GBK"/>
          <w:color w:val="000000"/>
          <w:spacing w:val="-2"/>
          <w:sz w:val="24"/>
        </w:rPr>
        <w:t>江苏省卫生和计划生育委员会</w:t>
      </w:r>
      <w:r>
        <w:rPr>
          <w:rFonts w:eastAsia="方正仿宋_GBK"/>
          <w:color w:val="000000"/>
          <w:spacing w:val="-2"/>
          <w:sz w:val="24"/>
        </w:rPr>
        <w:t xml:space="preserve">    </w:t>
      </w:r>
    </w:p>
    <w:p>
      <w:pPr>
        <w:wordWrap w:val="0"/>
        <w:spacing w:line="460" w:lineRule="exact"/>
        <w:ind w:firstLine="4366" w:firstLineChars="1850"/>
        <w:jc w:val="right"/>
        <w:rPr>
          <w:rFonts w:eastAsia="方正仿宋_GBK"/>
          <w:color w:val="000000"/>
          <w:spacing w:val="-2"/>
          <w:sz w:val="24"/>
        </w:rPr>
      </w:pPr>
      <w:r>
        <w:rPr>
          <w:rFonts w:eastAsia="方正仿宋_GBK"/>
          <w:color w:val="000000"/>
          <w:spacing w:val="-2"/>
          <w:kern w:val="0"/>
          <w:sz w:val="24"/>
        </w:rPr>
        <w:t>2015</w:t>
      </w:r>
      <w:r>
        <w:rPr>
          <w:rFonts w:hint="eastAsia" w:eastAsia="方正仿宋_GBK"/>
          <w:color w:val="000000"/>
          <w:spacing w:val="-2"/>
          <w:kern w:val="0"/>
          <w:sz w:val="24"/>
        </w:rPr>
        <w:t>年</w:t>
      </w:r>
      <w:r>
        <w:rPr>
          <w:rFonts w:eastAsia="方正仿宋_GBK"/>
          <w:color w:val="000000"/>
          <w:spacing w:val="-2"/>
          <w:kern w:val="0"/>
          <w:sz w:val="24"/>
        </w:rPr>
        <w:t>6</w:t>
      </w:r>
      <w:r>
        <w:rPr>
          <w:rFonts w:hint="eastAsia" w:eastAsia="方正仿宋_GBK"/>
          <w:color w:val="000000"/>
          <w:spacing w:val="-2"/>
          <w:kern w:val="0"/>
          <w:sz w:val="24"/>
        </w:rPr>
        <w:t>月</w:t>
      </w:r>
      <w:r>
        <w:rPr>
          <w:rFonts w:eastAsia="方正仿宋_GBK"/>
          <w:color w:val="000000"/>
          <w:spacing w:val="-2"/>
          <w:kern w:val="0"/>
          <w:sz w:val="24"/>
        </w:rPr>
        <w:t>8</w:t>
      </w:r>
      <w:r>
        <w:rPr>
          <w:rFonts w:hint="eastAsia" w:eastAsia="方正仿宋_GBK"/>
          <w:color w:val="000000"/>
          <w:spacing w:val="-2"/>
          <w:kern w:val="0"/>
          <w:sz w:val="24"/>
        </w:rPr>
        <w:t>日</w:t>
      </w:r>
      <w:r>
        <w:rPr>
          <w:rFonts w:eastAsia="方正仿宋_GBK"/>
          <w:color w:val="000000"/>
          <w:spacing w:val="-2"/>
          <w:kern w:val="0"/>
          <w:sz w:val="24"/>
        </w:rPr>
        <w:t xml:space="preserve">          </w:t>
      </w:r>
    </w:p>
    <w:p>
      <w:pPr>
        <w:spacing w:line="460" w:lineRule="exact"/>
        <w:rPr>
          <w:rFonts w:eastAsia="方正仿宋_GBK"/>
          <w:color w:val="000000"/>
          <w:spacing w:val="-2"/>
          <w:sz w:val="24"/>
        </w:rPr>
      </w:pPr>
    </w:p>
    <w:p>
      <w:pPr>
        <w:widowControl/>
        <w:jc w:val="left"/>
        <w:rPr>
          <w:rFonts w:eastAsia="方正仿宋_GBK"/>
          <w:color w:val="000000"/>
          <w:spacing w:val="-2"/>
          <w:sz w:val="24"/>
        </w:rPr>
        <w:sectPr>
          <w:pgSz w:w="11905" w:h="16838"/>
          <w:pgMar w:top="1701" w:right="1587" w:bottom="1701" w:left="1587" w:header="850" w:footer="1361" w:gutter="0"/>
          <w:paperSrc w:first="4" w:other="4"/>
          <w:cols w:space="720" w:num="1"/>
        </w:sectPr>
      </w:pPr>
    </w:p>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w:t>
      </w:r>
    </w:p>
    <w:p>
      <w:pPr>
        <w:spacing w:line="460" w:lineRule="exact"/>
        <w:rPr>
          <w:rFonts w:hint="eastAsia" w:eastAsia="方正仿宋_GBK"/>
          <w:color w:val="000000"/>
          <w:spacing w:val="-2"/>
          <w:sz w:val="24"/>
        </w:rPr>
      </w:pPr>
    </w:p>
    <w:p>
      <w:pPr>
        <w:spacing w:line="460" w:lineRule="exact"/>
        <w:jc w:val="center"/>
        <w:rPr>
          <w:rFonts w:ascii="Times New Roman" w:eastAsia="方正黑体_GBK"/>
          <w:color w:val="000000"/>
          <w:sz w:val="36"/>
          <w:szCs w:val="36"/>
        </w:rPr>
      </w:pPr>
      <w:r>
        <w:rPr>
          <w:rFonts w:hint="eastAsia" w:ascii="Times New Roman" w:eastAsia="方正黑体_GBK"/>
          <w:color w:val="000000"/>
          <w:sz w:val="36"/>
          <w:szCs w:val="36"/>
        </w:rPr>
        <w:t>住房城乡建设部  国家发展改革委  公安部</w:t>
      </w:r>
    </w:p>
    <w:p>
      <w:pPr>
        <w:spacing w:line="460" w:lineRule="exact"/>
        <w:jc w:val="center"/>
        <w:rPr>
          <w:rFonts w:hint="eastAsia" w:ascii="Times New Roman" w:eastAsia="方正黑体_GBK"/>
          <w:color w:val="000000"/>
          <w:sz w:val="36"/>
          <w:szCs w:val="36"/>
        </w:rPr>
      </w:pPr>
      <w:r>
        <w:rPr>
          <w:rFonts w:hint="eastAsia" w:ascii="Times New Roman" w:eastAsia="方正黑体_GBK"/>
          <w:color w:val="000000"/>
          <w:sz w:val="36"/>
          <w:szCs w:val="36"/>
        </w:rPr>
        <w:t>国家卫生计生委关于加强和改进城镇居民二次供水设施建设与管理确保水质安全的通知</w:t>
      </w:r>
    </w:p>
    <w:p>
      <w:pPr>
        <w:spacing w:line="460" w:lineRule="exact"/>
        <w:rPr>
          <w:rFonts w:hint="eastAsia" w:eastAsia="方正仿宋_GBK"/>
          <w:color w:val="000000"/>
          <w:spacing w:val="-2"/>
          <w:sz w:val="24"/>
        </w:rPr>
      </w:pPr>
    </w:p>
    <w:p>
      <w:pPr>
        <w:spacing w:line="460" w:lineRule="exact"/>
        <w:jc w:val="center"/>
        <w:rPr>
          <w:rFonts w:eastAsia="方正楷体_GBK"/>
          <w:color w:val="000000"/>
          <w:spacing w:val="-2"/>
          <w:sz w:val="24"/>
        </w:rPr>
      </w:pPr>
      <w:r>
        <w:rPr>
          <w:rFonts w:hint="eastAsia" w:eastAsia="方正楷体_GBK"/>
          <w:color w:val="000000"/>
          <w:spacing w:val="-2"/>
          <w:sz w:val="24"/>
        </w:rPr>
        <w:t>建城〔</w:t>
      </w:r>
      <w:r>
        <w:rPr>
          <w:rFonts w:eastAsia="方正楷体_GBK"/>
          <w:color w:val="000000"/>
          <w:spacing w:val="-2"/>
          <w:sz w:val="24"/>
        </w:rPr>
        <w:t>2015</w:t>
      </w:r>
      <w:r>
        <w:rPr>
          <w:rFonts w:hint="eastAsia" w:eastAsia="方正楷体_GBK"/>
          <w:color w:val="000000"/>
          <w:spacing w:val="-2"/>
          <w:sz w:val="24"/>
        </w:rPr>
        <w:t>〕</w:t>
      </w:r>
      <w:r>
        <w:rPr>
          <w:rFonts w:eastAsia="方正楷体_GBK"/>
          <w:color w:val="000000"/>
          <w:spacing w:val="-2"/>
          <w:sz w:val="24"/>
        </w:rPr>
        <w:t>31</w:t>
      </w:r>
      <w:r>
        <w:rPr>
          <w:rFonts w:hint="eastAsia" w:eastAsia="方正楷体_GBK"/>
          <w:color w:val="000000"/>
          <w:spacing w:val="-2"/>
          <w:sz w:val="24"/>
        </w:rPr>
        <w:t>号</w:t>
      </w:r>
    </w:p>
    <w:p>
      <w:pPr>
        <w:spacing w:line="460" w:lineRule="exact"/>
        <w:jc w:val="center"/>
        <w:rPr>
          <w:rFonts w:eastAsia="方正仿宋_GBK"/>
          <w:color w:val="000000"/>
          <w:spacing w:val="-2"/>
          <w:sz w:val="24"/>
        </w:rPr>
      </w:pPr>
    </w:p>
    <w:p>
      <w:pPr>
        <w:spacing w:line="460" w:lineRule="exact"/>
        <w:rPr>
          <w:rFonts w:eastAsia="方正仿宋_GBK"/>
          <w:color w:val="000000"/>
          <w:spacing w:val="-2"/>
          <w:sz w:val="24"/>
        </w:rPr>
      </w:pPr>
      <w:r>
        <w:rPr>
          <w:rFonts w:hint="eastAsia" w:eastAsia="方正仿宋_GBK"/>
          <w:color w:val="000000"/>
          <w:spacing w:val="-2"/>
          <w:sz w:val="24"/>
        </w:rPr>
        <w:t>各省、自治区、直辖市住房城乡建设厅（建委、市政管委、水务厅、水务局）、发展改革委、公安厅（局）、卫生计生委：</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为贯彻落实《国务院关于加强城市基础设施建设的意见》</w:t>
      </w:r>
      <w:r>
        <w:rPr>
          <w:rFonts w:eastAsia="方正仿宋_GBK"/>
          <w:color w:val="000000"/>
          <w:spacing w:val="-2"/>
          <w:sz w:val="24"/>
        </w:rPr>
        <w:t>(</w:t>
      </w:r>
      <w:r>
        <w:rPr>
          <w:rFonts w:hint="eastAsia" w:eastAsia="方正仿宋_GBK"/>
          <w:color w:val="000000"/>
          <w:spacing w:val="-2"/>
          <w:sz w:val="24"/>
        </w:rPr>
        <w:t>国发〔</w:t>
      </w:r>
      <w:r>
        <w:rPr>
          <w:rFonts w:eastAsia="方正仿宋_GBK"/>
          <w:color w:val="000000"/>
          <w:spacing w:val="-2"/>
          <w:sz w:val="24"/>
        </w:rPr>
        <w:t>2013</w:t>
      </w:r>
      <w:r>
        <w:rPr>
          <w:rFonts w:hint="eastAsia" w:eastAsia="方正仿宋_GBK"/>
          <w:color w:val="000000"/>
          <w:spacing w:val="-2"/>
          <w:sz w:val="24"/>
        </w:rPr>
        <w:t>〕</w:t>
      </w:r>
      <w:r>
        <w:rPr>
          <w:rFonts w:eastAsia="方正仿宋_GBK"/>
          <w:color w:val="000000"/>
          <w:spacing w:val="-2"/>
          <w:sz w:val="24"/>
        </w:rPr>
        <w:t xml:space="preserve"> 36</w:t>
      </w:r>
      <w:r>
        <w:rPr>
          <w:rFonts w:hint="eastAsia" w:eastAsia="方正仿宋_GBK"/>
          <w:color w:val="000000"/>
          <w:spacing w:val="-2"/>
          <w:sz w:val="24"/>
        </w:rPr>
        <w:t>号），提高城镇居民二次供水设施建设和管理水平，改善供水水质和服务质量，促进节能降耗，加强治安防范，更好地保障生活饮用水质量，现就加强和改进城镇居民二次供水设施建设与管理有关工作通知如下：</w:t>
      </w:r>
    </w:p>
    <w:p>
      <w:pPr>
        <w:spacing w:line="460" w:lineRule="exact"/>
        <w:ind w:firstLine="450"/>
        <w:rPr>
          <w:rFonts w:ascii="Times New Roman" w:eastAsia="方正黑体_GBK"/>
          <w:color w:val="000000"/>
          <w:spacing w:val="-2"/>
          <w:sz w:val="24"/>
        </w:rPr>
      </w:pPr>
      <w:r>
        <w:rPr>
          <w:rFonts w:hint="eastAsia" w:ascii="Times New Roman" w:eastAsia="方正黑体_GBK"/>
          <w:color w:val="000000"/>
          <w:spacing w:val="-2"/>
          <w:sz w:val="24"/>
        </w:rPr>
        <w:t>一、充分认识加强和改进二次供水设施建设与管理的重要性和紧迫性</w:t>
      </w:r>
    </w:p>
    <w:p>
      <w:pPr>
        <w:spacing w:line="460" w:lineRule="exact"/>
        <w:ind w:firstLine="450"/>
        <w:rPr>
          <w:rFonts w:hint="eastAsia" w:eastAsia="方正仿宋_GBK"/>
          <w:color w:val="000000"/>
          <w:spacing w:val="-2"/>
          <w:sz w:val="24"/>
        </w:rPr>
      </w:pPr>
      <w:r>
        <w:rPr>
          <w:rFonts w:hint="eastAsia" w:eastAsia="方正仿宋_GBK"/>
          <w:color w:val="000000"/>
          <w:spacing w:val="-2"/>
          <w:sz w:val="24"/>
        </w:rPr>
        <w:t>城镇居民二次供水设施是将集中式供水的管道水通过另行加压、储存，再送至居民家庭的供水设施，是保障城镇居民用水需求的重要基础设施。由于目前二次供水设施建设和管理多元化，监管职责不明晰，运行维护责任不到位，造成一些设施跑冒滴漏严重、供水服务不规范、水质污染风险高、治安隐患多等诸多问题，群众反映强烈，城镇饮用水安全保障形势严峻。各地要充分认识加强和改进城镇居民二次供水设施建设与管理工作的重要性，将保障二次供水安全提升到改善民生和国家反恐战略的高度，进一步创新运营机制，多渠道解决资金来源，落实监管责任，推动形成权责明晰、管理专业、监管到位的二次供水设施建设与管理工作新格局，解决好城镇供水</w:t>
      </w:r>
      <w:r>
        <w:rPr>
          <w:rFonts w:eastAsia="方正仿宋_GBK"/>
          <w:color w:val="000000"/>
          <w:spacing w:val="-2"/>
          <w:sz w:val="24"/>
        </w:rPr>
        <w:t>“</w:t>
      </w:r>
      <w:r>
        <w:rPr>
          <w:rFonts w:hint="eastAsia" w:eastAsia="方正仿宋_GBK"/>
          <w:color w:val="000000"/>
          <w:spacing w:val="-2"/>
          <w:sz w:val="24"/>
        </w:rPr>
        <w:t>最后一公里</w:t>
      </w:r>
      <w:r>
        <w:rPr>
          <w:rFonts w:eastAsia="方正仿宋_GBK"/>
          <w:color w:val="000000"/>
          <w:spacing w:val="-2"/>
          <w:sz w:val="24"/>
        </w:rPr>
        <w:t>”</w:t>
      </w:r>
      <w:r>
        <w:rPr>
          <w:rFonts w:hint="eastAsia" w:eastAsia="方正仿宋_GBK"/>
          <w:color w:val="000000"/>
          <w:spacing w:val="-2"/>
          <w:sz w:val="24"/>
        </w:rPr>
        <w:t>的水质安全问题。</w:t>
      </w:r>
    </w:p>
    <w:p>
      <w:pPr>
        <w:spacing w:line="460" w:lineRule="exact"/>
        <w:ind w:firstLine="450"/>
        <w:rPr>
          <w:rFonts w:ascii="Times New Roman" w:eastAsia="方正黑体_GBK"/>
          <w:color w:val="000000"/>
          <w:spacing w:val="-2"/>
          <w:sz w:val="24"/>
        </w:rPr>
      </w:pPr>
      <w:r>
        <w:rPr>
          <w:rFonts w:hint="eastAsia" w:ascii="Times New Roman" w:eastAsia="方正黑体_GBK"/>
          <w:color w:val="000000"/>
          <w:spacing w:val="-2"/>
          <w:sz w:val="24"/>
        </w:rPr>
        <w:t xml:space="preserve">二、全面加强和改进二次供水设施建设与管理工作   </w:t>
      </w:r>
    </w:p>
    <w:p>
      <w:pPr>
        <w:spacing w:line="460" w:lineRule="exact"/>
        <w:ind w:firstLine="450"/>
        <w:rPr>
          <w:rFonts w:hint="eastAsia" w:ascii="Times New Roman" w:eastAsia="方正楷体_GBK"/>
          <w:color w:val="000000"/>
          <w:spacing w:val="-2"/>
          <w:sz w:val="24"/>
        </w:rPr>
      </w:pPr>
      <w:r>
        <w:rPr>
          <w:rFonts w:hint="eastAsia" w:ascii="Times New Roman" w:eastAsia="方正楷体_GBK"/>
          <w:color w:val="000000"/>
          <w:spacing w:val="-2"/>
          <w:sz w:val="24"/>
        </w:rPr>
        <w:t>（一）科学规划建设二次供水设施</w:t>
      </w:r>
    </w:p>
    <w:p>
      <w:pPr>
        <w:spacing w:line="460" w:lineRule="exact"/>
        <w:ind w:firstLine="45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．统筹安排，合理建设二次供水设施。城镇供水专项规划</w:t>
      </w:r>
    </w:p>
    <w:p>
      <w:pPr>
        <w:spacing w:line="460" w:lineRule="exact"/>
        <w:ind w:firstLine="450"/>
        <w:rPr>
          <w:rFonts w:eastAsia="方正仿宋_GBK"/>
          <w:color w:val="000000"/>
          <w:spacing w:val="-2"/>
          <w:sz w:val="24"/>
        </w:rPr>
      </w:pPr>
      <w:r>
        <w:rPr>
          <w:rFonts w:hint="eastAsia" w:eastAsia="方正仿宋_GBK"/>
          <w:color w:val="000000"/>
          <w:spacing w:val="-2"/>
          <w:sz w:val="24"/>
        </w:rPr>
        <w:t>应统筹考虑供水管网区域集中调蓄调压设施布局，确保管网压力平稳均衡；发挥城镇供水专项规划对二次供水设施建设的调控作用，合理布置二次供水设施，促进节能降耗。城镇供水管网建设或改造时，设计供水压力要满足住宅用水的合理需求，减少因管网水压过低而增建二次供水设施的数量。要对建设二次供水设施的必要性进行技术论证，在保障水质达标和供水管网运行安全的前提下，经济合理选择二次供水方式。要大力推广使用先进的安防技术，落实防范恶意破坏二次供水的技防、物防措施。</w:t>
      </w:r>
    </w:p>
    <w:p>
      <w:pPr>
        <w:spacing w:line="460" w:lineRule="exact"/>
        <w:ind w:firstLine="45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全面排查，改造老旧二次供水设施。各地住房城乡建设（城市供水）、卫生计生、公安等部门要尽快对既有居民二次供水设施开展排查，制定工作计划，对不符合技术、卫生和安全防范要求的二次供水设施，要限期整改；对老旧落后的二次供水设施要制定改造计划并抓紧逐一落实技术方案，力争用</w:t>
      </w:r>
      <w:r>
        <w:rPr>
          <w:rFonts w:eastAsia="方正仿宋_GBK"/>
          <w:color w:val="000000"/>
          <w:spacing w:val="-2"/>
          <w:sz w:val="24"/>
        </w:rPr>
        <w:t>5</w:t>
      </w:r>
      <w:r>
        <w:rPr>
          <w:rFonts w:hint="eastAsia" w:eastAsia="方正仿宋_GBK"/>
          <w:color w:val="000000"/>
          <w:spacing w:val="-2"/>
          <w:sz w:val="24"/>
        </w:rPr>
        <w:t>年时间完成改造任务。二次供水设施的改造要与抄表到户、</w:t>
      </w:r>
      <w:r>
        <w:rPr>
          <w:rFonts w:eastAsia="方正仿宋_GBK"/>
          <w:color w:val="000000"/>
          <w:spacing w:val="-2"/>
          <w:sz w:val="24"/>
        </w:rPr>
        <w:t>“</w:t>
      </w:r>
      <w:r>
        <w:rPr>
          <w:rFonts w:hint="eastAsia" w:eastAsia="方正仿宋_GBK"/>
          <w:color w:val="000000"/>
          <w:spacing w:val="-2"/>
          <w:sz w:val="24"/>
        </w:rPr>
        <w:t>一户一表</w:t>
      </w:r>
      <w:r>
        <w:rPr>
          <w:rFonts w:eastAsia="方正仿宋_GBK"/>
          <w:color w:val="000000"/>
          <w:spacing w:val="-2"/>
          <w:sz w:val="24"/>
        </w:rPr>
        <w:t>”</w:t>
      </w:r>
      <w:r>
        <w:rPr>
          <w:rFonts w:hint="eastAsia" w:eastAsia="方正仿宋_GBK"/>
          <w:color w:val="000000"/>
          <w:spacing w:val="-2"/>
          <w:sz w:val="24"/>
        </w:rPr>
        <w:t>改造和安全防范设施建设等统筹实施，加强物防、技防建设，推行封闭管理模式，切实提高安全供水保障能力。</w:t>
      </w:r>
    </w:p>
    <w:p>
      <w:pPr>
        <w:spacing w:line="460" w:lineRule="exact"/>
        <w:ind w:firstLine="45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加强管理，保证二次供水设施工程建设质量。住房城乡建设（城市供水）、卫生计生、公安等部门要进一步加强对二次供水设施建设的监督，督促建设单位严格执行相关标准规范，落实技术、卫生和安全防范等要求，确保设施工程建设质量。强化供水企业对用水报装的管理，健全供水企业对二次供水设施建设的技术审验制度，在工程设计、竣工验收等环节进行技术把关。</w:t>
      </w:r>
      <w:r>
        <w:rPr>
          <w:rFonts w:eastAsia="方正仿宋_GBK"/>
          <w:color w:val="000000"/>
          <w:spacing w:val="-2"/>
          <w:sz w:val="24"/>
        </w:rPr>
        <w:t xml:space="preserve"> </w:t>
      </w:r>
    </w:p>
    <w:p>
      <w:pPr>
        <w:spacing w:line="460" w:lineRule="exact"/>
        <w:ind w:firstLine="450"/>
        <w:rPr>
          <w:rFonts w:ascii="Times New Roman" w:eastAsia="方正楷体_GBK"/>
          <w:color w:val="000000"/>
          <w:spacing w:val="-2"/>
          <w:sz w:val="24"/>
        </w:rPr>
      </w:pPr>
      <w:r>
        <w:rPr>
          <w:rFonts w:hint="eastAsia" w:ascii="Times New Roman" w:eastAsia="方正楷体_GBK"/>
          <w:color w:val="000000"/>
          <w:spacing w:val="-2"/>
          <w:sz w:val="24"/>
        </w:rPr>
        <w:t>（二）推进二次供水设施运行维护专业化</w:t>
      </w:r>
    </w:p>
    <w:p>
      <w:pPr>
        <w:spacing w:line="460" w:lineRule="exact"/>
        <w:ind w:firstLine="45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计量到户，明晰运行维护管理边界。推行居民供用水合同制度，实现供水企业抄表到户、计量到户、服务到户。居民家庭水表至用户水龙头之间管道、设备等，由用户自行维护管理；居民家庭水表（含）至市政供水设施之间的管道、水池、设备等由业主委托或当地人民政府指定的单位负责运行维护。</w:t>
      </w:r>
    </w:p>
    <w:p>
      <w:pPr>
        <w:spacing w:line="460" w:lineRule="exact"/>
        <w:ind w:firstLine="450"/>
        <w:rPr>
          <w:rFonts w:eastAsia="方正仿宋_GBK"/>
          <w:color w:val="000000"/>
          <w:spacing w:val="-2"/>
          <w:sz w:val="24"/>
        </w:rPr>
      </w:pPr>
      <w:r>
        <w:rPr>
          <w:rFonts w:eastAsia="方正仿宋_GBK"/>
          <w:color w:val="000000"/>
          <w:spacing w:val="-2"/>
          <w:sz w:val="24"/>
        </w:rPr>
        <w:t>2.</w:t>
      </w:r>
      <w:r>
        <w:rPr>
          <w:rFonts w:hint="cs" w:eastAsia="方正仿宋_GBK"/>
          <w:color w:val="000000"/>
          <w:spacing w:val="-2"/>
          <w:sz w:val="24"/>
          <w:cs/>
        </w:rPr>
        <w:t> </w:t>
      </w:r>
      <w:r>
        <w:rPr>
          <w:rFonts w:hint="eastAsia" w:eastAsia="方正仿宋_GBK"/>
          <w:color w:val="000000"/>
          <w:spacing w:val="-2"/>
          <w:sz w:val="24"/>
        </w:rPr>
        <w:t>专业运行维护，改进二次供水服务。积极鼓励供水企业逐步将设施的管理延伸至居民家庭水表，对二次供水设施实施专业运行维护。对新建的居民二次供水设施，鼓励供水企业实施统建统管；对改造合格的二次供水设施，鼓励供水企业负责运行维护；对既有的居民二次供水设施，鼓励业主自行决定将设施管理委托给供水企业。物业服务企业可将物业管理区域内的二次供水设施运行维护业务委托给供水企业。将二次供水设施委托给供水企业运行维护的，业主或原管理单位应将竣工总平面图、结构设备竣工图、地下管网工程竣工图、设备的安装使用及维护保养等设施档案及图文资料一并移交。</w:t>
      </w:r>
    </w:p>
    <w:p>
      <w:pPr>
        <w:spacing w:line="460" w:lineRule="exact"/>
        <w:ind w:firstLine="450"/>
        <w:rPr>
          <w:rFonts w:eastAsia="方正仿宋_GBK"/>
          <w:color w:val="000000"/>
          <w:spacing w:val="-2"/>
          <w:sz w:val="24"/>
        </w:rPr>
      </w:pPr>
      <w:r>
        <w:rPr>
          <w:rFonts w:hint="eastAsia" w:eastAsia="方正仿宋_GBK"/>
          <w:color w:val="000000"/>
          <w:spacing w:val="-2"/>
          <w:sz w:val="24"/>
        </w:rPr>
        <w:t>供水企业承接二次供水运行维护业务时，应对二次供水设施、设备进行查验。受委托承担二次供水运行维护的供水企业应与委托方签订二次供水服务合同，合同内容应当包括：二次供水服务具体事项、服务质量、治安防范措施、服务费用、双方的权利义务、二次供水管理用房、合同期限、违约责任等。</w:t>
      </w:r>
    </w:p>
    <w:p>
      <w:pPr>
        <w:spacing w:line="460" w:lineRule="exact"/>
        <w:ind w:firstLine="45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落实责任，确保二次供水安全。承担二次供水运行维护的单位要严格按照安全运行、卫生管理、治安保卫等有关法规和标准规范，建立健全设施维护、清洗消毒、水质检测、持证上岗、档案管理、应急和治安防范等制度。配备专职或兼职安全生产、卫生管理、治安保卫人员，强化日常管理，提供优质服务。要充分利用物联网技术，建立二次供水远程管理控制网络，提高管理效率和服务水平。要制定或完善应急处置预案并组织演练，严格落实人防技防物防措施。</w:t>
      </w:r>
    </w:p>
    <w:p>
      <w:pPr>
        <w:spacing w:line="460" w:lineRule="exact"/>
        <w:ind w:firstLine="450"/>
        <w:rPr>
          <w:rFonts w:ascii="Times New Roman" w:eastAsia="方正黑体_GBK"/>
          <w:color w:val="000000"/>
          <w:spacing w:val="-2"/>
          <w:sz w:val="24"/>
        </w:rPr>
      </w:pPr>
      <w:r>
        <w:rPr>
          <w:rFonts w:hint="eastAsia" w:ascii="Times New Roman" w:eastAsia="方正黑体_GBK"/>
          <w:color w:val="000000"/>
          <w:spacing w:val="-2"/>
          <w:sz w:val="24"/>
        </w:rPr>
        <w:t>三、充分发挥政府在二次供水设施建设与管理中的主导作用</w:t>
      </w:r>
    </w:p>
    <w:p>
      <w:pPr>
        <w:spacing w:line="460" w:lineRule="exact"/>
        <w:ind w:firstLine="450"/>
        <w:rPr>
          <w:rFonts w:hint="eastAsia" w:eastAsia="方正仿宋_GBK"/>
          <w:color w:val="000000"/>
          <w:spacing w:val="-2"/>
          <w:sz w:val="24"/>
        </w:rPr>
      </w:pPr>
      <w:r>
        <w:rPr>
          <w:rFonts w:hint="eastAsia" w:ascii="Times New Roman" w:eastAsia="方正楷体_GBK"/>
          <w:color w:val="000000"/>
          <w:spacing w:val="-2"/>
          <w:sz w:val="24"/>
        </w:rPr>
        <w:t>（一）完善政策，落实二次供水运行维护和设施改造费用</w:t>
      </w:r>
      <w:r>
        <w:rPr>
          <w:rFonts w:eastAsia="方正仿宋_GBK"/>
          <w:color w:val="000000"/>
          <w:spacing w:val="-2"/>
          <w:sz w:val="24"/>
        </w:rPr>
        <w:t xml:space="preserve"> </w:t>
      </w:r>
    </w:p>
    <w:p>
      <w:pPr>
        <w:spacing w:line="460" w:lineRule="exact"/>
        <w:ind w:firstLine="450"/>
        <w:rPr>
          <w:rFonts w:eastAsia="方正仿宋_GBK"/>
          <w:color w:val="000000"/>
          <w:spacing w:val="-2"/>
          <w:sz w:val="24"/>
        </w:rPr>
      </w:pPr>
      <w:r>
        <w:rPr>
          <w:rFonts w:hint="eastAsia" w:eastAsia="方正仿宋_GBK"/>
          <w:color w:val="000000"/>
          <w:spacing w:val="-2"/>
          <w:sz w:val="24"/>
        </w:rPr>
        <w:t>由各地价格主管部门会同住房城乡建设（城市供水）主管部门研究制定二次供水设施运行维护收费办法。按照弥补二次供水设施正常运行、水质安全保障及设施折旧、大修维修等费用支出的原则确定收费标准。根据二次供水不同运营主体，确定二次供水运行维护费征收方式。由供水企业负责运行管理的，二次供水设施运行维护费用开支原则上应计入供水企业运营成本，通过城市供水价格统一弥补。按照《关于调整销售电价分类结构有关问题的通知》（发改价格〔</w:t>
      </w:r>
      <w:r>
        <w:rPr>
          <w:rFonts w:eastAsia="方正仿宋_GBK"/>
          <w:color w:val="000000"/>
          <w:spacing w:val="-2"/>
          <w:sz w:val="24"/>
        </w:rPr>
        <w:t>2013</w:t>
      </w:r>
      <w:r>
        <w:rPr>
          <w:rFonts w:hint="eastAsia" w:eastAsia="方正仿宋_GBK"/>
          <w:color w:val="000000"/>
          <w:spacing w:val="-2"/>
          <w:sz w:val="24"/>
        </w:rPr>
        <w:t>〕</w:t>
      </w:r>
      <w:r>
        <w:rPr>
          <w:rFonts w:eastAsia="方正仿宋_GBK"/>
          <w:color w:val="000000"/>
          <w:spacing w:val="-2"/>
          <w:sz w:val="24"/>
        </w:rPr>
        <w:t>973</w:t>
      </w:r>
      <w:r>
        <w:rPr>
          <w:rFonts w:hint="eastAsia" w:eastAsia="方正仿宋_GBK"/>
          <w:color w:val="000000"/>
          <w:spacing w:val="-2"/>
          <w:sz w:val="24"/>
        </w:rPr>
        <w:t>号）的要求，二次供水设施运行电价执行居民用电价格。</w:t>
      </w:r>
    </w:p>
    <w:p>
      <w:pPr>
        <w:spacing w:line="460" w:lineRule="exact"/>
        <w:ind w:firstLine="450"/>
        <w:rPr>
          <w:rFonts w:eastAsia="方正仿宋_GBK"/>
          <w:color w:val="000000"/>
          <w:spacing w:val="-2"/>
          <w:sz w:val="24"/>
        </w:rPr>
      </w:pPr>
      <w:r>
        <w:rPr>
          <w:rFonts w:hint="eastAsia" w:eastAsia="方正仿宋_GBK"/>
          <w:color w:val="000000"/>
          <w:spacing w:val="-2"/>
          <w:sz w:val="24"/>
        </w:rPr>
        <w:t>各地要因地制宜研究建立以政府、供水企业投入为主，居民合理分担，多渠道筹集资金的二次供水设施改造费用筹集机制。对于</w:t>
      </w:r>
      <w:r>
        <w:rPr>
          <w:rFonts w:eastAsia="方正仿宋_GBK"/>
          <w:color w:val="000000"/>
          <w:spacing w:val="-2"/>
          <w:sz w:val="24"/>
        </w:rPr>
        <w:t>“</w:t>
      </w:r>
      <w:r>
        <w:rPr>
          <w:rFonts w:hint="eastAsia" w:eastAsia="方正仿宋_GBK"/>
          <w:color w:val="000000"/>
          <w:spacing w:val="-2"/>
          <w:sz w:val="24"/>
        </w:rPr>
        <w:t>无物业、无业主委员会、无管理单位</w:t>
      </w:r>
      <w:r>
        <w:rPr>
          <w:rFonts w:eastAsia="方正仿宋_GBK"/>
          <w:color w:val="000000"/>
          <w:spacing w:val="-2"/>
          <w:sz w:val="24"/>
        </w:rPr>
        <w:t>”</w:t>
      </w:r>
      <w:r>
        <w:rPr>
          <w:rFonts w:hint="eastAsia" w:eastAsia="方正仿宋_GBK"/>
          <w:color w:val="000000"/>
          <w:spacing w:val="-2"/>
          <w:sz w:val="24"/>
        </w:rPr>
        <w:t>的老旧居民小区，地方政府要加大投入力度。对于国有企业办社会提供供水服务的职工家属区，二次供水设施的改造要根据国家有关剥离国有企业办社会职能的要求落实改造费用。需要使用小区住宅专项维修资金等业主共有资金或通过其他方式由居民负责的，应当向业主、居民公开二次供水设施改造项目实施计划等信息，并经业主、居民依法表决同意。</w:t>
      </w:r>
    </w:p>
    <w:p>
      <w:pPr>
        <w:spacing w:line="460" w:lineRule="exact"/>
        <w:ind w:firstLine="450"/>
        <w:rPr>
          <w:rFonts w:ascii="Times New Roman" w:eastAsia="方正楷体_GBK"/>
          <w:color w:val="000000"/>
          <w:spacing w:val="-2"/>
          <w:sz w:val="24"/>
        </w:rPr>
      </w:pPr>
      <w:r>
        <w:rPr>
          <w:rFonts w:hint="eastAsia" w:ascii="Times New Roman" w:eastAsia="方正楷体_GBK"/>
          <w:color w:val="000000"/>
          <w:spacing w:val="-2"/>
          <w:sz w:val="24"/>
        </w:rPr>
        <w:t>（二）加强部门协调，落实二次供水安全保障责任</w:t>
      </w:r>
    </w:p>
    <w:p>
      <w:pPr>
        <w:spacing w:line="460" w:lineRule="exact"/>
        <w:ind w:firstLine="450"/>
        <w:rPr>
          <w:rFonts w:hint="eastAsia" w:eastAsia="方正仿宋_GBK"/>
          <w:color w:val="000000"/>
          <w:spacing w:val="-2"/>
          <w:sz w:val="24"/>
        </w:rPr>
      </w:pPr>
      <w:r>
        <w:rPr>
          <w:rFonts w:hint="eastAsia" w:eastAsia="方正仿宋_GBK"/>
          <w:color w:val="000000"/>
          <w:spacing w:val="-2"/>
          <w:sz w:val="24"/>
        </w:rPr>
        <w:t>住房城乡建设（城市供水）、卫生计行、公安、价格等部门要加强协调，按照职责分工做好二次供水设施建设和管理的指导监督工作，切实保障公共利益不受损害。住房城乡建设（城市供水）部门要加强二次供水的日常监管，严把质量关，监督落实二次供水设施设计、建设和运行维护相关制度；卫生计生部门要强化居民二次供水设施的卫生监督，规范二次供水单位卫生管理，依法查处违法行为；价格部门负责建立健全二次供水设施运行维护收费制度，加强收费监管；公安部门要会同住房城乡建设（城市供水）部门指导监督二次供水运行维护单位严格执行治安保卫有关法律法规和标准规范，落实治安防范主体责任。</w:t>
      </w:r>
    </w:p>
    <w:p>
      <w:pPr>
        <w:spacing w:line="460" w:lineRule="exact"/>
        <w:ind w:firstLine="450"/>
        <w:rPr>
          <w:rFonts w:eastAsia="方正仿宋_GBK"/>
          <w:color w:val="000000"/>
          <w:spacing w:val="-2"/>
          <w:sz w:val="24"/>
        </w:rPr>
      </w:pPr>
      <w:r>
        <w:rPr>
          <w:rFonts w:hint="eastAsia" w:eastAsia="方正仿宋_GBK"/>
          <w:color w:val="000000"/>
          <w:spacing w:val="-2"/>
          <w:sz w:val="24"/>
        </w:rPr>
        <w:t>各地可根据本通知精神，结合本地实际制定或完善当地城镇居民二次供水管理具体办法，确保城镇居民饮用水水质安全。</w:t>
      </w:r>
    </w:p>
    <w:p>
      <w:pPr>
        <w:spacing w:line="460" w:lineRule="exact"/>
        <w:rPr>
          <w:rFonts w:eastAsia="方正仿宋_GBK"/>
          <w:color w:val="000000"/>
          <w:spacing w:val="-2"/>
          <w:sz w:val="24"/>
        </w:rPr>
      </w:pPr>
    </w:p>
    <w:p>
      <w:pPr>
        <w:spacing w:line="460" w:lineRule="exact"/>
        <w:ind w:firstLine="4165" w:firstLineChars="1765"/>
        <w:jc w:val="center"/>
        <w:rPr>
          <w:rFonts w:eastAsia="方正仿宋_GBK"/>
          <w:color w:val="000000"/>
          <w:spacing w:val="-2"/>
          <w:sz w:val="24"/>
        </w:rPr>
      </w:pPr>
      <w:r>
        <w:rPr>
          <w:rFonts w:hint="eastAsia" w:eastAsia="方正仿宋_GBK"/>
          <w:color w:val="000000"/>
          <w:spacing w:val="-2"/>
          <w:sz w:val="24"/>
        </w:rPr>
        <w:t>住房城乡建设部</w:t>
      </w:r>
    </w:p>
    <w:p>
      <w:pPr>
        <w:spacing w:line="460" w:lineRule="exact"/>
        <w:ind w:firstLine="4165" w:firstLineChars="1765"/>
        <w:jc w:val="center"/>
        <w:rPr>
          <w:rFonts w:eastAsia="方正仿宋_GBK"/>
          <w:color w:val="000000"/>
          <w:spacing w:val="-2"/>
          <w:sz w:val="24"/>
        </w:rPr>
      </w:pPr>
      <w:r>
        <w:rPr>
          <w:rFonts w:hint="eastAsia" w:eastAsia="方正仿宋_GBK"/>
          <w:color w:val="000000"/>
          <w:spacing w:val="-2"/>
          <w:sz w:val="24"/>
        </w:rPr>
        <w:t>国家发展改革委</w:t>
      </w:r>
    </w:p>
    <w:p>
      <w:pPr>
        <w:spacing w:line="460" w:lineRule="exact"/>
        <w:ind w:firstLine="4165" w:firstLineChars="1765"/>
        <w:jc w:val="center"/>
        <w:rPr>
          <w:rFonts w:eastAsia="方正仿宋_GBK"/>
          <w:color w:val="000000"/>
          <w:spacing w:val="-2"/>
          <w:sz w:val="24"/>
        </w:rPr>
      </w:pPr>
      <w:r>
        <w:rPr>
          <w:rFonts w:hint="eastAsia" w:eastAsia="方正仿宋_GBK"/>
          <w:color w:val="000000"/>
          <w:spacing w:val="-2"/>
          <w:sz w:val="24"/>
        </w:rPr>
        <w:t>公</w:t>
      </w:r>
      <w:r>
        <w:rPr>
          <w:rFonts w:eastAsia="方正仿宋_GBK"/>
          <w:color w:val="000000"/>
          <w:spacing w:val="-2"/>
          <w:sz w:val="24"/>
        </w:rPr>
        <w:t xml:space="preserve">    </w:t>
      </w:r>
      <w:r>
        <w:rPr>
          <w:rFonts w:hint="eastAsia" w:eastAsia="方正仿宋_GBK"/>
          <w:color w:val="000000"/>
          <w:spacing w:val="-2"/>
          <w:sz w:val="24"/>
        </w:rPr>
        <w:t>安</w:t>
      </w:r>
      <w:r>
        <w:rPr>
          <w:rFonts w:eastAsia="方正仿宋_GBK"/>
          <w:color w:val="000000"/>
          <w:spacing w:val="-2"/>
          <w:sz w:val="24"/>
        </w:rPr>
        <w:t xml:space="preserve">    </w:t>
      </w:r>
      <w:r>
        <w:rPr>
          <w:rFonts w:hint="eastAsia" w:eastAsia="方正仿宋_GBK"/>
          <w:color w:val="000000"/>
          <w:spacing w:val="-2"/>
          <w:sz w:val="24"/>
        </w:rPr>
        <w:t>部</w:t>
      </w:r>
    </w:p>
    <w:p>
      <w:pPr>
        <w:spacing w:line="460" w:lineRule="exact"/>
        <w:ind w:firstLine="4165" w:firstLineChars="1765"/>
        <w:jc w:val="center"/>
        <w:rPr>
          <w:rFonts w:eastAsia="方正仿宋_GBK"/>
          <w:color w:val="000000"/>
          <w:spacing w:val="-2"/>
          <w:sz w:val="24"/>
        </w:rPr>
      </w:pPr>
      <w:r>
        <w:rPr>
          <w:rFonts w:hint="eastAsia" w:eastAsia="方正仿宋_GBK"/>
          <w:color w:val="000000"/>
          <w:spacing w:val="-2"/>
          <w:sz w:val="24"/>
        </w:rPr>
        <w:t>国家卫生计生委</w:t>
      </w:r>
    </w:p>
    <w:p>
      <w:pPr>
        <w:spacing w:line="460" w:lineRule="exact"/>
        <w:ind w:firstLine="5546" w:firstLineChars="2350"/>
        <w:rPr>
          <w:rFonts w:eastAsia="方正仿宋_GBK"/>
          <w:color w:val="000000"/>
          <w:spacing w:val="-2"/>
          <w:sz w:val="24"/>
        </w:rPr>
      </w:pP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2</w:t>
      </w:r>
      <w:r>
        <w:rPr>
          <w:rFonts w:hint="eastAsia" w:eastAsia="方正仿宋_GBK"/>
          <w:color w:val="000000"/>
          <w:spacing w:val="-2"/>
          <w:sz w:val="24"/>
        </w:rPr>
        <w:t>月</w:t>
      </w:r>
      <w:r>
        <w:rPr>
          <w:rFonts w:eastAsia="方正仿宋_GBK"/>
          <w:color w:val="000000"/>
          <w:spacing w:val="-2"/>
          <w:sz w:val="24"/>
        </w:rPr>
        <w:t>17</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jc w:val="center"/>
        <w:rPr>
          <w:rFonts w:eastAsia="方正仿宋_GBK"/>
          <w:color w:val="000000"/>
          <w:spacing w:val="-2"/>
          <w:sz w:val="24"/>
        </w:rPr>
      </w:pPr>
    </w:p>
    <w:p>
      <w:pPr>
        <w:pStyle w:val="2"/>
        <w:spacing w:before="240" w:beforeLines="100" w:after="240" w:afterLines="100" w:line="240" w:lineRule="auto"/>
        <w:jc w:val="center"/>
        <w:rPr>
          <w:rFonts w:ascii="Times New Roman" w:eastAsia="方正小标宋_GBK"/>
          <w:b w:val="0"/>
          <w:sz w:val="36"/>
          <w:szCs w:val="36"/>
        </w:rPr>
      </w:pPr>
      <w:r>
        <w:rPr>
          <w:rFonts w:eastAsia="方正仿宋_GBK"/>
          <w:b w:val="0"/>
          <w:color w:val="000000"/>
          <w:spacing w:val="-2"/>
          <w:sz w:val="24"/>
        </w:rPr>
        <w:br w:type="column"/>
      </w:r>
      <w:bookmarkStart w:id="142" w:name="_Toc18315486"/>
      <w:bookmarkStart w:id="143" w:name="_Toc20726404"/>
      <w:r>
        <w:rPr>
          <w:rFonts w:hint="eastAsia" w:ascii="Times New Roman" w:eastAsia="方正小标宋_GBK"/>
          <w:b w:val="0"/>
          <w:sz w:val="36"/>
          <w:szCs w:val="36"/>
        </w:rPr>
        <w:t>省住房城乡建设厅关于印发《江苏省域城乡统筹供水技术集成与综合示范课题管理办法》、《江苏省域城乡统筹供水技术集成与综合示范课题中央财政经费管理暂行办法》的通知</w:t>
      </w:r>
      <w:bookmarkEnd w:id="142"/>
      <w:bookmarkEnd w:id="143"/>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44" w:name="_Toc18315487"/>
      <w:bookmarkStart w:id="145" w:name="_Toc20726405"/>
      <w:r>
        <w:rPr>
          <w:rFonts w:hint="eastAsia" w:ascii="Times New Roman" w:hAnsi="Times New Roman" w:eastAsia="方正楷体_GBK"/>
          <w:b w:val="0"/>
          <w:sz w:val="24"/>
          <w:szCs w:val="24"/>
        </w:rPr>
        <w:t>苏建函城〔</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299</w:t>
      </w:r>
      <w:r>
        <w:rPr>
          <w:rFonts w:hint="eastAsia" w:ascii="Times New Roman" w:hAnsi="Times New Roman" w:eastAsia="方正楷体_GBK"/>
          <w:b w:val="0"/>
          <w:sz w:val="24"/>
          <w:szCs w:val="24"/>
        </w:rPr>
        <w:t>号</w:t>
      </w:r>
      <w:bookmarkEnd w:id="144"/>
      <w:bookmarkEnd w:id="145"/>
    </w:p>
    <w:p>
      <w:pPr>
        <w:spacing w:line="460" w:lineRule="exact"/>
        <w:rPr>
          <w:rFonts w:eastAsia="方正仿宋_GBK"/>
          <w:color w:val="000000"/>
          <w:spacing w:val="-2"/>
          <w:sz w:val="24"/>
        </w:rPr>
      </w:pPr>
      <w:r>
        <w:rPr>
          <w:rFonts w:hint="eastAsia" w:eastAsia="方正仿宋_GBK"/>
          <w:color w:val="000000"/>
          <w:spacing w:val="-2"/>
          <w:sz w:val="24"/>
        </w:rPr>
        <w:t>各课题参加单位：</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现将《江苏省域城乡统筹供水技术集成与综合示范课题管理办法》、《江苏省域城乡统筹供水技术集成与综合示范课题中央财政经费管理暂行办法》印发给你们，请认真贯彻执行。</w:t>
      </w:r>
    </w:p>
    <w:p>
      <w:pPr>
        <w:spacing w:line="460" w:lineRule="exact"/>
        <w:ind w:firstLine="472" w:firstLineChars="200"/>
        <w:rPr>
          <w:rFonts w:eastAsia="方正仿宋_GBK"/>
          <w:color w:val="000000"/>
          <w:spacing w:val="-2"/>
          <w:sz w:val="24"/>
        </w:rPr>
      </w:pP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附件：</w:t>
      </w:r>
      <w:r>
        <w:rPr>
          <w:rFonts w:eastAsia="方正仿宋_GBK"/>
          <w:color w:val="000000"/>
          <w:spacing w:val="-2"/>
          <w:sz w:val="24"/>
        </w:rPr>
        <w:t>1. </w:t>
      </w:r>
      <w:r>
        <w:rPr>
          <w:rFonts w:hint="eastAsia" w:eastAsia="方正仿宋_GBK"/>
          <w:color w:val="000000"/>
          <w:spacing w:val="-2"/>
          <w:sz w:val="24"/>
        </w:rPr>
        <w:t>江苏省域城乡统筹供水技术集成与综合示范课题管理办法</w:t>
      </w:r>
    </w:p>
    <w:p>
      <w:pPr>
        <w:spacing w:line="460" w:lineRule="exact"/>
        <w:ind w:firstLine="1180" w:firstLineChars="5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江苏省域城乡统筹供水技术集成与综合示范课题中央财政经费管理暂行</w:t>
      </w:r>
    </w:p>
    <w:p>
      <w:pPr>
        <w:spacing w:line="460" w:lineRule="exact"/>
        <w:ind w:firstLine="1390" w:firstLineChars="589"/>
        <w:rPr>
          <w:rFonts w:eastAsia="方正仿宋_GBK"/>
          <w:color w:val="000000"/>
          <w:spacing w:val="-2"/>
          <w:sz w:val="24"/>
        </w:rPr>
      </w:pPr>
      <w:r>
        <w:rPr>
          <w:rFonts w:hint="eastAsia" w:eastAsia="方正仿宋_GBK"/>
          <w:color w:val="000000"/>
          <w:spacing w:val="-2"/>
          <w:sz w:val="24"/>
        </w:rPr>
        <w:t>办法</w:t>
      </w:r>
    </w:p>
    <w:p>
      <w:pPr>
        <w:spacing w:line="460" w:lineRule="exact"/>
        <w:ind w:left="944" w:hanging="944" w:hangingChars="400"/>
        <w:rPr>
          <w:rFonts w:eastAsia="方正仿宋_GBK"/>
          <w:color w:val="000000"/>
          <w:spacing w:val="-2"/>
          <w:sz w:val="24"/>
        </w:rPr>
      </w:pPr>
    </w:p>
    <w:p>
      <w:pPr>
        <w:tabs>
          <w:tab w:val="left" w:pos="8730"/>
        </w:tabs>
        <w:wordWrap w:val="0"/>
        <w:spacing w:line="460" w:lineRule="exact"/>
        <w:ind w:right="-2" w:firstLine="472" w:firstLineChars="200"/>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tabs>
          <w:tab w:val="left" w:pos="8730"/>
        </w:tabs>
        <w:wordWrap w:val="0"/>
        <w:spacing w:line="460" w:lineRule="exact"/>
        <w:ind w:right="-2" w:firstLine="472" w:firstLineChars="200"/>
        <w:jc w:val="right"/>
        <w:rPr>
          <w:rFonts w:eastAsia="方正仿宋_GBK"/>
          <w:color w:val="000000"/>
          <w:spacing w:val="-2"/>
          <w:sz w:val="24"/>
        </w:rPr>
      </w:pPr>
      <w:r>
        <w:rPr>
          <w:rFonts w:eastAsia="方正仿宋_GBK"/>
          <w:color w:val="000000"/>
          <w:spacing w:val="-2"/>
          <w:sz w:val="24"/>
        </w:rPr>
        <w:t xml:space="preserve">                       2015</w:t>
      </w:r>
      <w:r>
        <w:rPr>
          <w:rFonts w:hint="eastAsia" w:eastAsia="方正仿宋_GBK"/>
          <w:color w:val="000000"/>
          <w:spacing w:val="-2"/>
          <w:sz w:val="24"/>
        </w:rPr>
        <w:t>年</w:t>
      </w:r>
      <w:r>
        <w:rPr>
          <w:rFonts w:eastAsia="方正仿宋_GBK"/>
          <w:color w:val="000000"/>
          <w:spacing w:val="-2"/>
          <w:sz w:val="24"/>
        </w:rPr>
        <w:t>5</w:t>
      </w:r>
      <w:r>
        <w:rPr>
          <w:rFonts w:hint="eastAsia" w:eastAsia="方正仿宋_GBK"/>
          <w:color w:val="000000"/>
          <w:spacing w:val="-2"/>
          <w:sz w:val="24"/>
        </w:rPr>
        <w:t>月</w:t>
      </w:r>
      <w:r>
        <w:rPr>
          <w:rFonts w:eastAsia="方正仿宋_GBK"/>
          <w:color w:val="000000"/>
          <w:spacing w:val="-2"/>
          <w:sz w:val="24"/>
        </w:rPr>
        <w:t>7</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ind w:right="640"/>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附件1：</w:t>
      </w:r>
    </w:p>
    <w:p>
      <w:pPr>
        <w:spacing w:line="460" w:lineRule="exact"/>
        <w:ind w:right="640"/>
        <w:rPr>
          <w:rFonts w:hint="eastAsia" w:eastAsia="方正仿宋_GBK"/>
          <w:color w:val="000000"/>
          <w:spacing w:val="-2"/>
          <w:sz w:val="24"/>
        </w:rPr>
      </w:pPr>
    </w:p>
    <w:p>
      <w:pPr>
        <w:spacing w:line="50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江苏省域城乡统筹供水技术集成与综合示范</w:t>
      </w:r>
    </w:p>
    <w:p>
      <w:pPr>
        <w:spacing w:line="50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课题管理办法</w:t>
      </w:r>
    </w:p>
    <w:p>
      <w:pPr>
        <w:spacing w:line="460" w:lineRule="exact"/>
        <w:jc w:val="center"/>
        <w:rPr>
          <w:rFonts w:hint="eastAsia"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第一章  总  则</w:t>
      </w:r>
    </w:p>
    <w:p>
      <w:pPr>
        <w:spacing w:line="460" w:lineRule="exact"/>
        <w:ind w:firstLine="474" w:firstLineChars="200"/>
        <w:rPr>
          <w:rFonts w:hint="eastAsia" w:eastAsia="方正仿宋_GBK"/>
          <w:b/>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b/>
          <w:color w:val="000000"/>
          <w:spacing w:val="-2"/>
          <w:sz w:val="24"/>
        </w:rPr>
        <w:t xml:space="preserve">  </w:t>
      </w:r>
      <w:r>
        <w:rPr>
          <w:rFonts w:hint="eastAsia" w:eastAsia="方正仿宋_GBK"/>
          <w:color w:val="000000"/>
          <w:spacing w:val="-2"/>
          <w:sz w:val="24"/>
        </w:rPr>
        <w:t>为保证</w:t>
      </w:r>
      <w:r>
        <w:rPr>
          <w:rFonts w:eastAsia="方正仿宋_GBK"/>
          <w:color w:val="000000"/>
          <w:spacing w:val="-2"/>
          <w:sz w:val="24"/>
        </w:rPr>
        <w:t>“</w:t>
      </w:r>
      <w:r>
        <w:rPr>
          <w:rFonts w:hint="eastAsia" w:eastAsia="方正仿宋_GBK"/>
          <w:color w:val="000000"/>
          <w:spacing w:val="-2"/>
          <w:sz w:val="24"/>
        </w:rPr>
        <w:t>江苏省域城乡统筹供水技术集成与综合示范课题</w:t>
      </w:r>
      <w:r>
        <w:rPr>
          <w:rFonts w:eastAsia="方正仿宋_GBK"/>
          <w:color w:val="000000"/>
          <w:spacing w:val="-2"/>
          <w:sz w:val="24"/>
        </w:rPr>
        <w:t>”</w:t>
      </w:r>
      <w:r>
        <w:rPr>
          <w:rFonts w:hint="eastAsia" w:eastAsia="方正仿宋_GBK"/>
          <w:color w:val="000000"/>
          <w:spacing w:val="-2"/>
          <w:sz w:val="24"/>
        </w:rPr>
        <w:t>（以下简称</w:t>
      </w:r>
      <w:r>
        <w:rPr>
          <w:rFonts w:eastAsia="方正仿宋_GBK"/>
          <w:color w:val="000000"/>
          <w:spacing w:val="-2"/>
          <w:sz w:val="24"/>
        </w:rPr>
        <w:t>“</w:t>
      </w:r>
      <w:r>
        <w:rPr>
          <w:rFonts w:hint="eastAsia" w:eastAsia="方正仿宋_GBK"/>
          <w:color w:val="000000"/>
          <w:spacing w:val="-2"/>
          <w:sz w:val="24"/>
        </w:rPr>
        <w:t>课题</w:t>
      </w:r>
      <w:r>
        <w:rPr>
          <w:rFonts w:eastAsia="方正仿宋_GBK"/>
          <w:color w:val="000000"/>
          <w:spacing w:val="-2"/>
          <w:sz w:val="24"/>
        </w:rPr>
        <w:t>”</w:t>
      </w:r>
      <w:r>
        <w:rPr>
          <w:rFonts w:hint="eastAsia" w:eastAsia="方正仿宋_GBK"/>
          <w:color w:val="000000"/>
          <w:spacing w:val="-2"/>
          <w:sz w:val="24"/>
        </w:rPr>
        <w:t>）顺利实施，规范管理课题，按时、保质、保量完成课题研究任务，根据国务院办公厅《组织实施科技重大专项若干工作规则》，国务院常务会议审议通过的《水体污染控制与治理科技重大专项实施方案》，科技部、发展改革委和财政部《国家科技重大专项管理暂行规定》，环保部《关于印发</w:t>
      </w:r>
      <w:r>
        <w:rPr>
          <w:rFonts w:eastAsia="方正仿宋_GBK"/>
          <w:color w:val="000000"/>
          <w:spacing w:val="-2"/>
          <w:sz w:val="24"/>
        </w:rPr>
        <w:t>&lt;</w:t>
      </w:r>
      <w:r>
        <w:rPr>
          <w:rFonts w:hint="eastAsia" w:eastAsia="方正仿宋_GBK"/>
          <w:color w:val="000000"/>
          <w:spacing w:val="-2"/>
          <w:sz w:val="24"/>
        </w:rPr>
        <w:t>水体污染控制与治理科技重大专项管理办法（试行）</w:t>
      </w:r>
      <w:r>
        <w:rPr>
          <w:rFonts w:eastAsia="方正仿宋_GBK"/>
          <w:color w:val="000000"/>
          <w:spacing w:val="-2"/>
          <w:sz w:val="24"/>
        </w:rPr>
        <w:t>&gt;</w:t>
      </w:r>
      <w:r>
        <w:rPr>
          <w:rFonts w:hint="eastAsia" w:eastAsia="方正仿宋_GBK"/>
          <w:color w:val="000000"/>
          <w:spacing w:val="-2"/>
          <w:sz w:val="24"/>
        </w:rPr>
        <w:t>的通知》等要求，特制定课题管理办法。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本办法适用于课题牵头组织单位、课题责任单位、任务责任单位、任务参与单位等课题参与单位和课题负责人、任务负责人及任务参与单位技术负责人等相关人员。</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主要管理措施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加强统一领导和资源整合。在江苏省住房和城乡建设厅的牵头组织下，充分调动地方政府和主管部门积极性，加强与现有科技资源及成果的衔接，整合科研院所、高校、企业以及国际合作的科技资源，发挥产学研结合的优势，集中力量开展科技攻关。</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强化实施管理。根据课题合同书确定的研究任务和主要考核指标、时间节点要求，江苏省城市规划设计研究院分别同东南大学、江苏省城镇供水安全保障中心、宜兴水务集团有限公司三家任务责任单位签订任务合同，同时深化完善自身承担任务内容，明确各任务责任单位和参与单位具体研究任务、考核指标、时间节点等内容。课题实施过程中，以任务责任单位为主体，具体负责研究任务的进度和质量。对于多个单位共同参与的研究内容，任务责任单位应主动加强与各参与单位联系和交流，定期召开任务研究进展情况联席会议，协调解决研究过程中的重大问题，每季度至少召开一次联席会。为保证研究质量，承担科研任务的各单位应根据需要在相关研究内容现场设立办公试验场所，实行驻点科研、办公，任务责任单位对科研人员现场工作情况进行定量考核；技术负责人每季度至少去两次现场，协调、解决科研过程中存在的问题。</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明确进度监管。各科研合作院所、高校、企业应根据合同规定的年度任务、年度考核指标和时间节点，拟定季度研究任务完成目标，每季度向任务责任单位报送研究进展情况，任务责任单位向江苏省城市规划设计研究院报送相关情况，江苏省城市规划设计研究院每半年对前两个季度完成情况进行考核，并通报各任务研究进展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强化研究质量控制。江苏省城市规划设计研究院组织专家对课题研究中的重要节点（开题、中期评估和验收）进行质量把关，并根据各任务的研究具体情况进行不定期抽查，确保各项主要技术考核指标、示范工程建设、重要时间节点进度满足合同规定的要求。</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加强专家技术指导。由江苏省城市规划设计研究院聘请国家和省内知名的行业和财务专家组成专家咨询委员会，对各任务实施过程中的进度、质量、技术、财务等方面工作进行指导、把关和咨询，确保研究任务在专家的指导下顺利完成。</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严格经费拨付和使用管理。课题各参与单位应严格执行财务管理纪律，经费使用必须符合国家水专项课题经费使用有关规定。中央财政经费拨付和使用采取以任务为单位的包干制，除中央财政资金外，其余配套资金由示范工程所在城市或企业筹措。中央财政资金的拨付明确由任务责任单位统筹把关。拨付方式采取由任务参与单位提出具体拨付申请，任务责任单位提出拨付审核意见，江苏省城市规划设计研究院根据专家咨询意见、工作进展情况和研究质量进行拨付。</w:t>
      </w:r>
    </w:p>
    <w:p>
      <w:pPr>
        <w:spacing w:line="460" w:lineRule="exact"/>
        <w:ind w:firstLine="472" w:firstLineChars="20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第二章  组织机构与职责</w:t>
      </w:r>
    </w:p>
    <w:p>
      <w:pPr>
        <w:spacing w:line="460" w:lineRule="exact"/>
        <w:ind w:firstLine="474" w:firstLineChars="200"/>
        <w:rPr>
          <w:rFonts w:hint="eastAsia" w:eastAsia="方正仿宋_GBK"/>
          <w:b/>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b/>
          <w:color w:val="000000"/>
          <w:spacing w:val="-2"/>
          <w:sz w:val="24"/>
        </w:rPr>
        <w:t xml:space="preserve">  </w:t>
      </w:r>
      <w:r>
        <w:rPr>
          <w:rFonts w:hint="eastAsia" w:eastAsia="方正仿宋_GBK"/>
          <w:color w:val="000000"/>
          <w:spacing w:val="-2"/>
          <w:sz w:val="24"/>
        </w:rPr>
        <w:t>课题牵头组织单位江苏省住房和城乡建设厅负责课题的组织实施。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在江苏省住房和城乡建设厅领导下，由江苏省城市规划设计研究院和江苏省城镇供水安全保障中心组织成立课题管理办公室，负责课题实施的日常管理工作。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课题责任单位为江苏省城市规划设计研究院，四个任务责任单位分别为江苏省城市规划设计研究院、东南大学、江苏省城镇供水安全保障中心、宜兴水务集团有限公司，任务参与单位有同济大学、哈尔滨工业大学、河海大学、中国城市规划设计研究院、盐城市市政公用投资有限公司、北京首创股份有限公司、镇江市自来水公司。</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b/>
          <w:color w:val="000000"/>
          <w:spacing w:val="-2"/>
          <w:sz w:val="24"/>
        </w:rPr>
        <w:t xml:space="preserve">  </w:t>
      </w:r>
      <w:r>
        <w:rPr>
          <w:rFonts w:hint="eastAsia" w:eastAsia="方正仿宋_GBK"/>
          <w:color w:val="000000"/>
          <w:spacing w:val="-2"/>
          <w:sz w:val="24"/>
        </w:rPr>
        <w:t>江苏省住房和城乡建设厅的主要职责是：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（一）组织成立课题管理办公室；</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（二）牵头制定课题管理办法和中央财政经费管理办法；</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（三）协调课题实施的相关支撑条件。</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b/>
          <w:color w:val="000000"/>
          <w:spacing w:val="-2"/>
          <w:sz w:val="24"/>
        </w:rPr>
        <w:t xml:space="preserve">  </w:t>
      </w:r>
      <w:r>
        <w:rPr>
          <w:rFonts w:hint="eastAsia" w:eastAsia="方正仿宋_GBK"/>
          <w:color w:val="000000"/>
          <w:spacing w:val="-2"/>
          <w:sz w:val="24"/>
        </w:rPr>
        <w:t>课题管理办公室的主要职责是：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（一）承办住房和城乡建设部水专项办和江苏省住房和城乡建设厅交办的有关课题的事务；</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（二）研究提出课题管理办法和中央财政经费管理办法；</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（三）指导课题实施工作；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（四）审核各任务的阶段实施计划；</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（五）落实课题实施的相关支撑条件，做好课题与其他规划、计划、重大工程的衔接；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（六）组织对各任务的开题、中期评估和验收；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（七）根据需要向住房和城乡建设部水专项办提出课题内容的调整建议。</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江苏省城市规划设计研究院的主要职责是：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（一）组建课题专家咨询委员会，为课题管理提供咨询和技术支撑，为课题实施提供技术指导；</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（二）与任务责任单位签订任务合同；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（三）与任务责任单位、参与单位联系沟通，课题实施过程中有关问题的协调解决；</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（四）自身承担任务相关工作；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（五）对各任务的督促、考核和通报；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（六）审核、批准各课题参与单位的资金拨付申请；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（七）编制有关课题信息的简报，报送课题相关信息。</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b/>
          <w:color w:val="000000"/>
          <w:spacing w:val="-2"/>
          <w:sz w:val="24"/>
        </w:rPr>
        <w:t xml:space="preserve">  </w:t>
      </w:r>
      <w:r>
        <w:rPr>
          <w:rFonts w:hint="eastAsia" w:eastAsia="方正仿宋_GBK"/>
          <w:color w:val="000000"/>
          <w:spacing w:val="-2"/>
          <w:sz w:val="24"/>
        </w:rPr>
        <w:t>任务责任单位的主要职责是：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（一）严格执行任务合同的相关条款；</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（二）提供和协调落实任务实施配套保障条件；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（三）为任务实施提供财务、知识产权、固定资产和科技档案管理；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（四）督促、检查相关参与单位的研究内容实施进度和质量，协调相关事宜；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（五）针对多个单位共同研究的内容，任务责任单位要与任务参与单位加强联系和沟通，定期召开任务进展情况联席会议，沟通研究进展情况，协调解决研究过程中的主要问题；</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（六）组织任务参与单位，根据合同规定的年度任务、年度考核指标和时间节点，拟定季度研究任务完成目标，每季度了解研究进展情况；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（七）对任务参与单位的科研人员现场工作情况进行定量考核；</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（八）起草相关规程、导则和指南；</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（九）对任务参与单位的资金拨付申请进行预审核，并提出拨付审核意见；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（十）根据需要向课题管理办公室提出研究内容的调整申请。</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b/>
          <w:color w:val="000000"/>
          <w:spacing w:val="-2"/>
          <w:sz w:val="24"/>
        </w:rPr>
        <w:t xml:space="preserve">  </w:t>
      </w:r>
      <w:r>
        <w:rPr>
          <w:rFonts w:hint="eastAsia" w:eastAsia="方正仿宋_GBK"/>
          <w:color w:val="000000"/>
          <w:spacing w:val="-2"/>
          <w:sz w:val="24"/>
        </w:rPr>
        <w:t>任务参与单位的主要职责是</w:t>
      </w:r>
      <w:r>
        <w:rPr>
          <w:rFonts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（一）严格执行合同的相关条款；</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（二）提供和协调落实任务实施配套保障条件；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（三）为任务实施提供财务、知识产权、固定资产和科技档案管理；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（四）根据需要在相关研究内容现场设立办公试验场所，实行驻点科研、办公，技术负责人每季度至少去两次现场，协调、解决科研过程中存在的问题；</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（五）根据季度研究任务完成目标，每季度按时向任务责任单位报送任务研究进度，并根据任务责任单位的意见及时调整相关内容；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（六）配合任务责任单位做好相关规程、导则和指南的起草工作；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（七）根据需要向任务责任单位提出研究内容的调整申请。</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b/>
          <w:color w:val="000000"/>
          <w:spacing w:val="-2"/>
          <w:sz w:val="24"/>
        </w:rPr>
        <w:t xml:space="preserve">  </w:t>
      </w:r>
      <w:r>
        <w:rPr>
          <w:rFonts w:hint="eastAsia" w:eastAsia="方正仿宋_GBK"/>
          <w:color w:val="000000"/>
          <w:spacing w:val="-2"/>
          <w:sz w:val="24"/>
        </w:rPr>
        <w:t>示范工程及依托工程所在地的城市供水主管部门主要职责是：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落实本辖区内示范工程或依托工程的各项配套保障条件；参与和配合示范工程或依托工程的立项、监督检查、评估和验收工作；保证配套经费及时足额到位；加强对任务研究工作的指导，强化定期监督考核；协调、帮助供水企业做好中试研究、示范工程、依托工程和成果转化工作，确保按时序进度要求高质量完成任务研究内容和考核指标。</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b/>
          <w:color w:val="000000"/>
          <w:spacing w:val="-2"/>
          <w:sz w:val="24"/>
        </w:rPr>
        <w:t xml:space="preserve">  </w:t>
      </w:r>
      <w:r>
        <w:rPr>
          <w:rFonts w:hint="eastAsia" w:eastAsia="方正仿宋_GBK"/>
          <w:color w:val="000000"/>
          <w:spacing w:val="-2"/>
          <w:sz w:val="24"/>
        </w:rPr>
        <w:t>课题负责人、任务负责人及任务参与单位技术负责人的主要职责是：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（一）严格按照合同的要求，完成研究任务和考核指标；</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（二）严格按照课题预算书合理使用经费；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（三）督促、检查课题（任务）的实施，组织课题（任务）间的沟通和协调；</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（四）报告课题（任务）年度执行情况、阶段总结和重大事项；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（五）编制课题（任务）验收申请报告和验收材料。</w:t>
      </w:r>
    </w:p>
    <w:p>
      <w:pPr>
        <w:spacing w:line="460" w:lineRule="exact"/>
        <w:ind w:firstLine="472" w:firstLineChars="20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第三章  资金管理</w:t>
      </w:r>
    </w:p>
    <w:p>
      <w:pPr>
        <w:spacing w:line="460" w:lineRule="exact"/>
        <w:ind w:firstLine="474" w:firstLineChars="200"/>
        <w:rPr>
          <w:rFonts w:hint="eastAsia" w:eastAsia="方正仿宋_GBK"/>
          <w:b/>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b/>
          <w:color w:val="000000"/>
          <w:spacing w:val="-2"/>
          <w:sz w:val="24"/>
        </w:rPr>
        <w:t xml:space="preserve">  </w:t>
      </w:r>
      <w:r>
        <w:rPr>
          <w:rFonts w:hint="eastAsia" w:eastAsia="方正仿宋_GBK"/>
          <w:color w:val="000000"/>
          <w:spacing w:val="-2"/>
          <w:sz w:val="24"/>
        </w:rPr>
        <w:t>课题经费来源于中央财政投入、地方财政投入以及企业、金融机构和社会资金投入。中央财政投入主要用于课题实施过程中市场机制不能有效配置资源的基础性和公益性研究，以及企业竞争前的共性技术和重大关键技术研究开发等，地方财政投入和企业等资金投入主要用于技术的工程示范、产业化及相关研究。中央财政、地方财政和社会资金应统筹安排、使用和管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b/>
          <w:color w:val="000000"/>
          <w:spacing w:val="-2"/>
          <w:sz w:val="24"/>
        </w:rPr>
        <w:t xml:space="preserve">  </w:t>
      </w:r>
      <w:r>
        <w:rPr>
          <w:rFonts w:hint="eastAsia" w:eastAsia="方正仿宋_GBK"/>
          <w:color w:val="000000"/>
          <w:spacing w:val="-2"/>
          <w:sz w:val="24"/>
        </w:rPr>
        <w:t>统筹使用各方面的资金投入，提高资金使用效益。示范工程、依托工程所在地方政府应确保配套资金及时、足额到位。来源于中央财政的专项经费，严格执行国家预算管理和财政资金管理的有关规定；来源于地方财政的专项经费，严格执行地方预算管理和财政资金管理的有关规定；其他来源资金，按照</w:t>
      </w:r>
      <w:r>
        <w:rPr>
          <w:rFonts w:eastAsia="方正仿宋_GBK"/>
          <w:color w:val="000000"/>
          <w:spacing w:val="-2"/>
          <w:sz w:val="24"/>
        </w:rPr>
        <w:t>“</w:t>
      </w:r>
      <w:r>
        <w:rPr>
          <w:rFonts w:hint="eastAsia" w:eastAsia="方正仿宋_GBK"/>
          <w:color w:val="000000"/>
          <w:spacing w:val="-2"/>
          <w:sz w:val="24"/>
        </w:rPr>
        <w:t>谁出资、谁监管</w:t>
      </w:r>
      <w:r>
        <w:rPr>
          <w:rFonts w:eastAsia="方正仿宋_GBK"/>
          <w:color w:val="000000"/>
          <w:spacing w:val="-2"/>
          <w:sz w:val="24"/>
        </w:rPr>
        <w:t>”</w:t>
      </w:r>
      <w:r>
        <w:rPr>
          <w:rFonts w:hint="eastAsia" w:eastAsia="方正仿宋_GBK"/>
          <w:color w:val="000000"/>
          <w:spacing w:val="-2"/>
          <w:sz w:val="24"/>
        </w:rPr>
        <w:t>的原则和相应的管理规定进行管理。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b/>
          <w:color w:val="000000"/>
          <w:spacing w:val="-2"/>
          <w:sz w:val="24"/>
        </w:rPr>
        <w:t xml:space="preserve">  </w:t>
      </w:r>
      <w:r>
        <w:rPr>
          <w:rFonts w:hint="eastAsia" w:eastAsia="方正仿宋_GBK"/>
          <w:color w:val="000000"/>
          <w:spacing w:val="-2"/>
          <w:sz w:val="24"/>
        </w:rPr>
        <w:t>中央财政经费管理办法根据国家有关规定另行制定。</w:t>
      </w:r>
    </w:p>
    <w:p>
      <w:pPr>
        <w:spacing w:line="460" w:lineRule="exact"/>
        <w:ind w:firstLine="472" w:firstLineChars="20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第四章  人才、知识产权和资产管理</w:t>
      </w:r>
    </w:p>
    <w:p>
      <w:pPr>
        <w:spacing w:line="460" w:lineRule="exact"/>
        <w:ind w:firstLine="472" w:firstLineChars="200"/>
        <w:rPr>
          <w:rFonts w:hint="eastAsia" w:ascii="Times New Roman" w:eastAsia="方正黑体_GBK"/>
          <w:color w:val="000000"/>
          <w:spacing w:val="-2"/>
          <w:sz w:val="24"/>
        </w:rPr>
      </w:pPr>
    </w:p>
    <w:p>
      <w:pPr>
        <w:spacing w:line="460" w:lineRule="exact"/>
        <w:ind w:firstLine="472" w:firstLineChars="200"/>
        <w:rPr>
          <w:rFonts w:hint="eastAsia" w:eastAsia="方正仿宋_GBK"/>
          <w:color w:val="000000"/>
          <w:spacing w:val="-2"/>
          <w:sz w:val="24"/>
        </w:rPr>
      </w:pPr>
      <w:r>
        <w:rPr>
          <w:rFonts w:hint="eastAsia" w:ascii="Times New Roman" w:eastAsia="方正黑体_GBK"/>
          <w:color w:val="000000"/>
          <w:spacing w:val="-2"/>
          <w:sz w:val="24"/>
        </w:rPr>
        <w:t>第十五条</w:t>
      </w:r>
      <w:r>
        <w:rPr>
          <w:rFonts w:eastAsia="方正仿宋_GBK"/>
          <w:b/>
          <w:color w:val="000000"/>
          <w:spacing w:val="-2"/>
          <w:sz w:val="24"/>
        </w:rPr>
        <w:t xml:space="preserve">  </w:t>
      </w:r>
      <w:r>
        <w:rPr>
          <w:rFonts w:hint="eastAsia" w:eastAsia="方正仿宋_GBK"/>
          <w:color w:val="000000"/>
          <w:spacing w:val="-2"/>
          <w:sz w:val="24"/>
        </w:rPr>
        <w:t>课题研究应积极吸引各类高层次人才参与科技攻关，鼓励中青年科技骨干参与课题，凝聚和培养一批高水平的研究开发人才队伍。</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第十六条</w:t>
      </w:r>
      <w:r>
        <w:rPr>
          <w:rFonts w:eastAsia="方正仿宋_GBK"/>
          <w:b/>
          <w:color w:val="000000"/>
          <w:spacing w:val="-2"/>
          <w:sz w:val="24"/>
        </w:rPr>
        <w:t xml:space="preserve">  </w:t>
      </w:r>
      <w:r>
        <w:rPr>
          <w:rFonts w:hint="eastAsia" w:eastAsia="方正仿宋_GBK"/>
          <w:color w:val="000000"/>
          <w:spacing w:val="-2"/>
          <w:sz w:val="24"/>
        </w:rPr>
        <w:t>课题参与单位应加强知识产权管理，严格执行科技部《关于加强国家科技计划知识产权管理工作的规定》。课题形成的知识产权，其归属、使用和管理按照《关于国家科研计划项目研究成果知识产权管理的若干规定》执行。</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第十七条</w:t>
      </w:r>
      <w:r>
        <w:rPr>
          <w:rFonts w:eastAsia="方正仿宋_GBK"/>
          <w:b/>
          <w:color w:val="000000"/>
          <w:spacing w:val="-2"/>
          <w:sz w:val="24"/>
        </w:rPr>
        <w:t xml:space="preserve">  </w:t>
      </w:r>
      <w:r>
        <w:rPr>
          <w:rFonts w:hint="eastAsia" w:eastAsia="方正仿宋_GBK"/>
          <w:color w:val="000000"/>
          <w:spacing w:val="-2"/>
          <w:sz w:val="24"/>
        </w:rPr>
        <w:t>课题实施形成的研究成果，包括论文、专著、专利、软件、数据库等，均应标注</w:t>
      </w:r>
      <w:r>
        <w:rPr>
          <w:rFonts w:eastAsia="方正仿宋_GBK"/>
          <w:color w:val="000000"/>
          <w:spacing w:val="-2"/>
          <w:sz w:val="24"/>
        </w:rPr>
        <w:t>“</w:t>
      </w:r>
      <w:r>
        <w:rPr>
          <w:rFonts w:hint="eastAsia" w:eastAsia="方正仿宋_GBK"/>
          <w:color w:val="000000"/>
          <w:spacing w:val="-2"/>
          <w:sz w:val="24"/>
        </w:rPr>
        <w:t>水体污染控制与治理科技重大专项资助</w:t>
      </w:r>
      <w:r>
        <w:rPr>
          <w:rFonts w:eastAsia="方正仿宋_GBK"/>
          <w:color w:val="000000"/>
          <w:spacing w:val="-2"/>
          <w:sz w:val="24"/>
        </w:rPr>
        <w:t>”</w:t>
      </w:r>
      <w:r>
        <w:rPr>
          <w:rFonts w:hint="eastAsia" w:eastAsia="方正仿宋_GBK"/>
          <w:color w:val="000000"/>
          <w:spacing w:val="-2"/>
          <w:sz w:val="24"/>
        </w:rPr>
        <w:t>字样及课题编号，不做标注的成果，评估或验收时不予认可。</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b/>
          <w:color w:val="000000"/>
          <w:spacing w:val="-2"/>
          <w:sz w:val="24"/>
        </w:rPr>
        <w:t xml:space="preserve">  </w:t>
      </w:r>
      <w:r>
        <w:rPr>
          <w:rFonts w:hint="eastAsia" w:eastAsia="方正仿宋_GBK"/>
          <w:color w:val="000000"/>
          <w:spacing w:val="-2"/>
          <w:sz w:val="24"/>
        </w:rPr>
        <w:t>课题研究过程中形成的无形资产，属国有资产，由相应课题参与单位负责管理和使用。课题研究成果转化及无形资产使用产生的经济效益按《中华人民共和国促进科技成果转化法》和国家有关规定执行。</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第十九条</w:t>
      </w:r>
      <w:r>
        <w:rPr>
          <w:rFonts w:eastAsia="方正仿宋_GBK"/>
          <w:b/>
          <w:color w:val="000000"/>
          <w:spacing w:val="-2"/>
          <w:sz w:val="24"/>
        </w:rPr>
        <w:t xml:space="preserve">  </w:t>
      </w:r>
      <w:r>
        <w:rPr>
          <w:rFonts w:hint="eastAsia" w:eastAsia="方正仿宋_GBK"/>
          <w:color w:val="000000"/>
          <w:spacing w:val="-2"/>
          <w:sz w:val="24"/>
        </w:rPr>
        <w:t>用中央财政经费购置或试制的固定资产属于国有资产，资产的管理按照国家有关规定执行。</w:t>
      </w:r>
    </w:p>
    <w:p>
      <w:pPr>
        <w:spacing w:line="460" w:lineRule="exact"/>
        <w:ind w:firstLine="472" w:firstLineChars="20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第五章  其    他</w:t>
      </w:r>
    </w:p>
    <w:p>
      <w:pPr>
        <w:spacing w:line="460" w:lineRule="exact"/>
        <w:ind w:firstLine="474" w:firstLineChars="200"/>
        <w:rPr>
          <w:rFonts w:hint="eastAsia" w:eastAsia="方正仿宋_GBK"/>
          <w:b/>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第二十条</w:t>
      </w:r>
      <w:r>
        <w:rPr>
          <w:rFonts w:eastAsia="方正仿宋_GBK"/>
          <w:b/>
          <w:color w:val="000000"/>
          <w:spacing w:val="-2"/>
          <w:sz w:val="24"/>
        </w:rPr>
        <w:t xml:space="preserve">  </w:t>
      </w:r>
      <w:r>
        <w:rPr>
          <w:rFonts w:hint="eastAsia" w:eastAsia="方正仿宋_GBK"/>
          <w:color w:val="000000"/>
          <w:spacing w:val="-2"/>
          <w:sz w:val="24"/>
        </w:rPr>
        <w:t>对于在申请、评议、评审、评估、检查、执行和验收过程中发现的弄虚作假、徇私舞弊行为，以及违规操作或因主观原因未能完成合同任务并造成重大损失者，将公开通报直接责任者，并上报住房和城乡建设部水专项办按相关规定进行处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第二十一条</w:t>
      </w:r>
      <w:r>
        <w:rPr>
          <w:rFonts w:eastAsia="方正仿宋_GBK"/>
          <w:b/>
          <w:color w:val="000000"/>
          <w:spacing w:val="-2"/>
          <w:sz w:val="24"/>
        </w:rPr>
        <w:t xml:space="preserve">  </w:t>
      </w:r>
      <w:r>
        <w:rPr>
          <w:rFonts w:hint="eastAsia" w:eastAsia="方正仿宋_GBK"/>
          <w:color w:val="000000"/>
          <w:spacing w:val="-2"/>
          <w:sz w:val="24"/>
        </w:rPr>
        <w:t>本办法由江苏省住房和城乡建设厅负责解释，自发布之日起施行。</w:t>
      </w:r>
    </w:p>
    <w:p>
      <w:pPr>
        <w:spacing w:line="460" w:lineRule="exact"/>
        <w:rPr>
          <w:rFonts w:ascii="Times New Roman" w:eastAsia="方正黑体_GBK"/>
          <w:color w:val="000000"/>
          <w:spacing w:val="-2"/>
          <w:sz w:val="28"/>
          <w:szCs w:val="28"/>
        </w:rPr>
      </w:pPr>
      <w:r>
        <w:rPr>
          <w:rFonts w:eastAsia="方正仿宋_GBK"/>
          <w:color w:val="000000"/>
          <w:spacing w:val="-2"/>
          <w:sz w:val="24"/>
        </w:rPr>
        <w:br w:type="page"/>
      </w:r>
      <w:r>
        <w:rPr>
          <w:rFonts w:hint="eastAsia" w:ascii="Times New Roman" w:eastAsia="方正黑体_GBK"/>
          <w:color w:val="000000"/>
          <w:spacing w:val="-2"/>
          <w:sz w:val="28"/>
          <w:szCs w:val="28"/>
        </w:rPr>
        <w:t>附件2：</w:t>
      </w:r>
    </w:p>
    <w:p>
      <w:pPr>
        <w:spacing w:line="460" w:lineRule="exact"/>
        <w:rPr>
          <w:rFonts w:hint="eastAsia" w:eastAsia="方正仿宋_GBK"/>
          <w:b/>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江苏省域城乡统筹供水技术集成与综合示范</w:t>
      </w: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课题中央财政经费管理暂行办法</w:t>
      </w:r>
    </w:p>
    <w:p>
      <w:pPr>
        <w:spacing w:line="460" w:lineRule="exact"/>
        <w:rPr>
          <w:rFonts w:hint="eastAsia" w:eastAsia="方正仿宋_GBK"/>
          <w:b/>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第一章  总    则</w:t>
      </w:r>
    </w:p>
    <w:p>
      <w:pPr>
        <w:spacing w:line="460" w:lineRule="exact"/>
        <w:ind w:firstLine="474" w:firstLineChars="200"/>
        <w:rPr>
          <w:rFonts w:hint="eastAsia" w:eastAsia="方正仿宋_GBK"/>
          <w:b/>
          <w:bCs/>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b/>
          <w:bCs/>
          <w:color w:val="000000"/>
          <w:spacing w:val="-2"/>
          <w:sz w:val="24"/>
        </w:rPr>
        <w:t xml:space="preserve">  </w:t>
      </w:r>
      <w:r>
        <w:rPr>
          <w:rFonts w:hint="eastAsia" w:eastAsia="方正仿宋_GBK"/>
          <w:color w:val="000000"/>
          <w:spacing w:val="-2"/>
          <w:sz w:val="24"/>
        </w:rPr>
        <w:t>为保障</w:t>
      </w:r>
      <w:r>
        <w:rPr>
          <w:rFonts w:eastAsia="方正仿宋_GBK"/>
          <w:color w:val="000000"/>
          <w:spacing w:val="-2"/>
          <w:sz w:val="24"/>
        </w:rPr>
        <w:t>“</w:t>
      </w:r>
      <w:r>
        <w:rPr>
          <w:rFonts w:hint="eastAsia" w:eastAsia="方正仿宋_GBK"/>
          <w:color w:val="000000"/>
          <w:spacing w:val="-2"/>
          <w:sz w:val="24"/>
        </w:rPr>
        <w:t>江苏省域城乡统筹供水技术集成与综合示范</w:t>
      </w:r>
      <w:r>
        <w:rPr>
          <w:rFonts w:eastAsia="方正仿宋_GBK"/>
          <w:color w:val="000000"/>
          <w:spacing w:val="-2"/>
          <w:sz w:val="24"/>
        </w:rPr>
        <w:t>”</w:t>
      </w:r>
      <w:r>
        <w:rPr>
          <w:rFonts w:hint="eastAsia" w:eastAsia="方正仿宋_GBK"/>
          <w:color w:val="000000"/>
          <w:spacing w:val="-2"/>
          <w:sz w:val="24"/>
        </w:rPr>
        <w:t>课题（以下简称</w:t>
      </w:r>
      <w:r>
        <w:rPr>
          <w:rFonts w:eastAsia="方正仿宋_GBK"/>
          <w:color w:val="000000"/>
          <w:spacing w:val="-2"/>
          <w:sz w:val="24"/>
        </w:rPr>
        <w:t>“</w:t>
      </w:r>
      <w:r>
        <w:rPr>
          <w:rFonts w:hint="eastAsia" w:eastAsia="方正仿宋_GBK"/>
          <w:color w:val="000000"/>
          <w:spacing w:val="-2"/>
          <w:sz w:val="24"/>
        </w:rPr>
        <w:t>课题</w:t>
      </w:r>
      <w:r>
        <w:rPr>
          <w:rFonts w:eastAsia="方正仿宋_GBK"/>
          <w:color w:val="000000"/>
          <w:spacing w:val="-2"/>
          <w:sz w:val="24"/>
        </w:rPr>
        <w:t>”</w:t>
      </w:r>
      <w:r>
        <w:rPr>
          <w:rFonts w:hint="eastAsia" w:eastAsia="方正仿宋_GBK"/>
          <w:color w:val="000000"/>
          <w:spacing w:val="-2"/>
          <w:sz w:val="24"/>
        </w:rPr>
        <w:t>）的组织实施，规范和加强课题经费管理，根据《民口科技重大专项资金管理暂行办法》（财教〔</w:t>
      </w:r>
      <w:r>
        <w:rPr>
          <w:rFonts w:eastAsia="方正仿宋_GBK"/>
          <w:color w:val="000000"/>
          <w:spacing w:val="-2"/>
          <w:sz w:val="24"/>
        </w:rPr>
        <w:t>2009</w:t>
      </w:r>
      <w:r>
        <w:rPr>
          <w:rFonts w:hint="eastAsia" w:eastAsia="方正仿宋_GBK"/>
          <w:color w:val="000000"/>
          <w:spacing w:val="-2"/>
          <w:sz w:val="24"/>
        </w:rPr>
        <w:t>〕</w:t>
      </w:r>
      <w:r>
        <w:rPr>
          <w:rFonts w:eastAsia="方正仿宋_GBK"/>
          <w:color w:val="000000"/>
          <w:spacing w:val="-2"/>
          <w:sz w:val="24"/>
        </w:rPr>
        <w:t>218</w:t>
      </w:r>
      <w:r>
        <w:rPr>
          <w:rFonts w:hint="eastAsia" w:eastAsia="方正仿宋_GBK"/>
          <w:color w:val="000000"/>
          <w:spacing w:val="-2"/>
          <w:sz w:val="24"/>
        </w:rPr>
        <w:t>号）以及《水体污染控制与治理科技重大专项管理暂行办法》（建计函〔</w:t>
      </w:r>
      <w:r>
        <w:rPr>
          <w:rFonts w:eastAsia="方正仿宋_GBK"/>
          <w:color w:val="000000"/>
          <w:spacing w:val="-2"/>
          <w:sz w:val="24"/>
        </w:rPr>
        <w:t>2010</w:t>
      </w:r>
      <w:r>
        <w:rPr>
          <w:rFonts w:hint="eastAsia" w:eastAsia="方正仿宋_GBK"/>
          <w:color w:val="000000"/>
          <w:spacing w:val="-2"/>
          <w:sz w:val="24"/>
        </w:rPr>
        <w:t>〕</w:t>
      </w:r>
      <w:r>
        <w:rPr>
          <w:rFonts w:eastAsia="方正仿宋_GBK"/>
          <w:color w:val="000000"/>
          <w:spacing w:val="-2"/>
          <w:sz w:val="24"/>
        </w:rPr>
        <w:t>184</w:t>
      </w:r>
      <w:r>
        <w:rPr>
          <w:rFonts w:hint="eastAsia" w:eastAsia="方正仿宋_GBK"/>
          <w:color w:val="000000"/>
          <w:spacing w:val="-2"/>
          <w:sz w:val="24"/>
        </w:rPr>
        <w:t>号）的有关规定，并结合国家有关财政财务管理制度，制订本办法。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b/>
          <w:bCs/>
          <w:color w:val="000000"/>
          <w:spacing w:val="-2"/>
          <w:sz w:val="24"/>
        </w:rPr>
        <w:t xml:space="preserve">  </w:t>
      </w:r>
      <w:r>
        <w:rPr>
          <w:rFonts w:hint="eastAsia" w:eastAsia="方正仿宋_GBK"/>
          <w:color w:val="000000"/>
          <w:spacing w:val="-2"/>
          <w:sz w:val="24"/>
        </w:rPr>
        <w:t>中央财政经费及地方财政、企业自筹等其他渠道获得的资金都应当按照</w:t>
      </w:r>
      <w:r>
        <w:rPr>
          <w:rFonts w:eastAsia="方正仿宋_GBK"/>
          <w:color w:val="000000"/>
          <w:spacing w:val="-2"/>
          <w:sz w:val="24"/>
        </w:rPr>
        <w:t>“</w:t>
      </w:r>
      <w:r>
        <w:rPr>
          <w:rFonts w:hint="eastAsia" w:eastAsia="方正仿宋_GBK"/>
          <w:color w:val="000000"/>
          <w:spacing w:val="-2"/>
          <w:sz w:val="24"/>
        </w:rPr>
        <w:t>专款专用、单独核算、注重绩效</w:t>
      </w:r>
      <w:r>
        <w:rPr>
          <w:rFonts w:eastAsia="方正仿宋_GBK"/>
          <w:color w:val="000000"/>
          <w:spacing w:val="-2"/>
          <w:sz w:val="24"/>
        </w:rPr>
        <w:t>”</w:t>
      </w:r>
      <w:r>
        <w:rPr>
          <w:rFonts w:hint="eastAsia" w:eastAsia="方正仿宋_GBK"/>
          <w:color w:val="000000"/>
          <w:spacing w:val="-2"/>
          <w:sz w:val="24"/>
        </w:rPr>
        <w:t>的原则使用和管理，其他来源资金应当按照相关资金提供方对资金使用和管理的具体要求，统筹安排和使用。</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b/>
          <w:bCs/>
          <w:color w:val="000000"/>
          <w:spacing w:val="-2"/>
          <w:sz w:val="24"/>
        </w:rPr>
        <w:t xml:space="preserve">  </w:t>
      </w:r>
      <w:r>
        <w:rPr>
          <w:rFonts w:hint="eastAsia" w:eastAsia="方正仿宋_GBK"/>
          <w:color w:val="000000"/>
          <w:spacing w:val="-2"/>
          <w:sz w:val="24"/>
        </w:rPr>
        <w:t>本办法重点规范课题中央财政经费的使用和管理，不涉及经费预算编制、申报、决算和验收等内容。</w:t>
      </w:r>
    </w:p>
    <w:p>
      <w:pPr>
        <w:spacing w:line="460" w:lineRule="exact"/>
        <w:rPr>
          <w:rFonts w:eastAsia="方正仿宋_GBK"/>
          <w:b/>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第二章  管理机构与职责</w:t>
      </w:r>
    </w:p>
    <w:p>
      <w:pPr>
        <w:spacing w:line="460" w:lineRule="exact"/>
        <w:ind w:firstLine="474" w:firstLineChars="200"/>
        <w:rPr>
          <w:rFonts w:hint="eastAsia" w:eastAsia="方正仿宋_GBK"/>
          <w:b/>
          <w:bCs/>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b/>
          <w:bCs/>
          <w:color w:val="000000"/>
          <w:spacing w:val="-2"/>
          <w:sz w:val="24"/>
        </w:rPr>
        <w:t xml:space="preserve">  </w:t>
      </w:r>
      <w:r>
        <w:rPr>
          <w:rFonts w:hint="eastAsia" w:eastAsia="方正仿宋_GBK"/>
          <w:color w:val="000000"/>
          <w:spacing w:val="-2"/>
          <w:sz w:val="24"/>
        </w:rPr>
        <w:t>课题责任单位江苏省城市规划设计研究院是课题经费管理的责任主体，按规定组织开展中央财政经费的监督与检查等工作。</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b/>
          <w:bCs/>
          <w:color w:val="000000"/>
          <w:spacing w:val="-2"/>
          <w:sz w:val="24"/>
        </w:rPr>
        <w:t xml:space="preserve">  </w:t>
      </w:r>
      <w:r>
        <w:rPr>
          <w:rFonts w:hint="eastAsia" w:eastAsia="方正仿宋_GBK"/>
          <w:color w:val="000000"/>
          <w:spacing w:val="-2"/>
          <w:sz w:val="24"/>
        </w:rPr>
        <w:t>任务责任单位江苏省城市规划设计研究院、东南大学、江苏省城镇供水安全保障中心、宜兴水务集团负责有关参与单位中央经费使用情况的监督管理，对其下一年度经费的拨付提出意见。</w:t>
      </w:r>
    </w:p>
    <w:p>
      <w:pPr>
        <w:spacing w:line="460" w:lineRule="exact"/>
        <w:ind w:firstLine="474" w:firstLineChars="200"/>
        <w:rPr>
          <w:rFonts w:eastAsia="方正仿宋_GBK"/>
          <w:b/>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第三章  外拨经费管理</w:t>
      </w:r>
    </w:p>
    <w:p>
      <w:pPr>
        <w:spacing w:line="460" w:lineRule="exact"/>
        <w:ind w:firstLine="474" w:firstLineChars="200"/>
        <w:rPr>
          <w:rFonts w:hint="eastAsia" w:eastAsia="方正仿宋_GBK"/>
          <w:b/>
          <w:bCs/>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b/>
          <w:bCs/>
          <w:color w:val="000000"/>
          <w:spacing w:val="-2"/>
          <w:sz w:val="24"/>
        </w:rPr>
        <w:t xml:space="preserve">  </w:t>
      </w:r>
      <w:r>
        <w:rPr>
          <w:rFonts w:hint="eastAsia" w:eastAsia="方正仿宋_GBK"/>
          <w:color w:val="000000"/>
          <w:spacing w:val="-2"/>
          <w:sz w:val="24"/>
        </w:rPr>
        <w:t>课题经费采取由课题参与单位提出拨付申请，江苏省城市规划设计研究院根据专家咨询意见和有关任务责任单位考核意见的综合结果进行拨付。</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b/>
          <w:color w:val="000000"/>
          <w:spacing w:val="-2"/>
          <w:sz w:val="24"/>
        </w:rPr>
        <w:t xml:space="preserve">  </w:t>
      </w:r>
      <w:r>
        <w:rPr>
          <w:rFonts w:hint="eastAsia" w:eastAsia="方正仿宋_GBK"/>
          <w:color w:val="000000"/>
          <w:spacing w:val="-2"/>
          <w:sz w:val="24"/>
        </w:rPr>
        <w:t>江苏省城市规划设计研究院应严格按照科研合同约定额度、时间向课题参与单位划拨科研经费，不得截留科研经费。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b/>
          <w:color w:val="000000"/>
          <w:spacing w:val="-2"/>
          <w:sz w:val="24"/>
        </w:rPr>
        <w:t xml:space="preserve">  </w:t>
      </w:r>
      <w:r>
        <w:rPr>
          <w:rFonts w:hint="eastAsia" w:eastAsia="方正仿宋_GBK"/>
          <w:color w:val="000000"/>
          <w:spacing w:val="-2"/>
          <w:sz w:val="24"/>
        </w:rPr>
        <w:t>江苏省城市规划设计研究院负责指导外拨经费的合理使用，定期组织财务专家对各课题参与单位的经费使用情况进行评估，并进行必要的协调，确保经费使用满足审计和财务管理相关规定。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b/>
          <w:color w:val="000000"/>
          <w:spacing w:val="-2"/>
          <w:sz w:val="24"/>
        </w:rPr>
        <w:t xml:space="preserve">  </w:t>
      </w:r>
      <w:r>
        <w:rPr>
          <w:rFonts w:hint="eastAsia" w:eastAsia="方正仿宋_GBK"/>
          <w:color w:val="000000"/>
          <w:spacing w:val="-2"/>
          <w:sz w:val="24"/>
        </w:rPr>
        <w:t>任务责任单位负责有关参与单位的经费执行情况以及开支明细账的汇总，每半年报送江苏省城市规划设计研究院。</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b/>
          <w:color w:val="000000"/>
          <w:spacing w:val="-2"/>
          <w:sz w:val="24"/>
        </w:rPr>
        <w:t xml:space="preserve">  </w:t>
      </w:r>
      <w:r>
        <w:rPr>
          <w:rFonts w:hint="eastAsia" w:eastAsia="方正仿宋_GBK"/>
          <w:color w:val="000000"/>
          <w:spacing w:val="-2"/>
          <w:sz w:val="24"/>
        </w:rPr>
        <w:t>任务责任单位或有关参与单位不能按时保质完成合同确定的研究任务，由江苏省城市规划设计研究院提出调减相关单位经费建议，按照课题经费调整相关规定，报住房和城乡建设部水专项办审批，并报财政部备案。</w:t>
      </w:r>
    </w:p>
    <w:p>
      <w:pPr>
        <w:spacing w:line="460" w:lineRule="exact"/>
        <w:ind w:firstLine="472" w:firstLineChars="20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第四章  开支范围及限制</w:t>
      </w:r>
    </w:p>
    <w:p>
      <w:pPr>
        <w:spacing w:line="460" w:lineRule="exact"/>
        <w:ind w:firstLine="355" w:firstLineChars="150"/>
        <w:rPr>
          <w:rFonts w:hint="eastAsia" w:eastAsia="方正仿宋_GBK"/>
          <w:b/>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b/>
          <w:color w:val="000000"/>
          <w:spacing w:val="-2"/>
          <w:sz w:val="24"/>
        </w:rPr>
        <w:t xml:space="preserve">  </w:t>
      </w:r>
      <w:r>
        <w:rPr>
          <w:rFonts w:hint="eastAsia" w:eastAsia="方正仿宋_GBK"/>
          <w:color w:val="000000"/>
          <w:spacing w:val="-2"/>
          <w:sz w:val="24"/>
        </w:rPr>
        <w:t>各课题参与单位应严格按照《民口科技重大专项资金管理暂行办法》规定的开支范围使用中央财政经费。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b/>
          <w:color w:val="000000"/>
          <w:spacing w:val="-2"/>
          <w:sz w:val="24"/>
        </w:rPr>
        <w:t xml:space="preserve">  </w:t>
      </w:r>
      <w:r>
        <w:rPr>
          <w:rFonts w:hint="eastAsia" w:eastAsia="方正仿宋_GBK"/>
          <w:color w:val="000000"/>
          <w:spacing w:val="-2"/>
          <w:sz w:val="24"/>
        </w:rPr>
        <w:t>各课题参与单位中央财政经费各科目支出额度应严格按照合同约定。如有调整，应及时向任务责任单位提出申请，并报江苏省城市规划设计研究院，按有关程序报批。</w:t>
      </w:r>
    </w:p>
    <w:p>
      <w:pPr>
        <w:spacing w:line="460" w:lineRule="exact"/>
        <w:ind w:firstLine="354" w:firstLineChars="15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第五章  附    则</w:t>
      </w:r>
    </w:p>
    <w:p>
      <w:pPr>
        <w:spacing w:line="460" w:lineRule="exact"/>
        <w:ind w:firstLine="474" w:firstLineChars="200"/>
        <w:rPr>
          <w:rFonts w:hint="eastAsia" w:eastAsia="方正仿宋_GBK"/>
          <w:b/>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b/>
          <w:color w:val="000000"/>
          <w:spacing w:val="-2"/>
          <w:sz w:val="24"/>
        </w:rPr>
        <w:t xml:space="preserve">  </w:t>
      </w:r>
      <w:r>
        <w:rPr>
          <w:rFonts w:hint="eastAsia" w:eastAsia="方正仿宋_GBK"/>
          <w:color w:val="000000"/>
          <w:spacing w:val="-2"/>
          <w:sz w:val="24"/>
        </w:rPr>
        <w:t>本办法由江苏省住房和城乡建设厅负责解释。</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b/>
          <w:color w:val="000000"/>
          <w:spacing w:val="-2"/>
          <w:sz w:val="24"/>
        </w:rPr>
        <w:t xml:space="preserve">  </w:t>
      </w:r>
      <w:r>
        <w:rPr>
          <w:rFonts w:hint="eastAsia" w:eastAsia="方正仿宋_GBK"/>
          <w:color w:val="000000"/>
          <w:spacing w:val="-2"/>
          <w:sz w:val="24"/>
        </w:rPr>
        <w:t>本办法自发布之日起施行，内容如与财政部、科技部和地方财政有关最新管理文件冲突时，以最新文件为准。</w:t>
      </w:r>
    </w:p>
    <w:p>
      <w:pPr>
        <w:spacing w:line="460" w:lineRule="exact"/>
        <w:jc w:val="center"/>
        <w:rPr>
          <w:rFonts w:ascii="Times New Roman" w:eastAsia="方正小标宋简体"/>
          <w:color w:val="000000"/>
          <w:sz w:val="36"/>
          <w:szCs w:val="36"/>
        </w:rPr>
      </w:pPr>
    </w:p>
    <w:p>
      <w:pPr>
        <w:pStyle w:val="2"/>
        <w:spacing w:before="240" w:beforeLines="100" w:after="240" w:afterLines="100" w:line="240" w:lineRule="auto"/>
        <w:jc w:val="center"/>
        <w:rPr>
          <w:rFonts w:hint="eastAsia" w:ascii="Times New Roman" w:eastAsia="方正小标宋_GBK"/>
          <w:b w:val="0"/>
          <w:sz w:val="36"/>
          <w:szCs w:val="36"/>
        </w:rPr>
      </w:pPr>
      <w:r>
        <w:rPr>
          <w:rFonts w:eastAsia="方正仿宋_GBK"/>
          <w:b w:val="0"/>
          <w:color w:val="000000"/>
          <w:spacing w:val="-2"/>
          <w:sz w:val="24"/>
        </w:rPr>
        <w:br w:type="column"/>
      </w:r>
      <w:bookmarkStart w:id="146" w:name="_Toc20726408"/>
      <w:bookmarkStart w:id="147" w:name="_Toc18315491"/>
      <w:r>
        <w:rPr>
          <w:rFonts w:hint="eastAsia" w:ascii="Times New Roman" w:eastAsia="方正小标宋_GBK"/>
          <w:b w:val="0"/>
          <w:sz w:val="36"/>
          <w:szCs w:val="36"/>
        </w:rPr>
        <w:t>省住房和城乡建设厅印发关于推进海绵城市建设     指导意见的通知</w:t>
      </w:r>
      <w:bookmarkEnd w:id="146"/>
      <w:bookmarkEnd w:id="14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48" w:name="_Toc18315492"/>
      <w:bookmarkStart w:id="149" w:name="_Toc20726409"/>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331</w:t>
      </w:r>
      <w:r>
        <w:rPr>
          <w:rFonts w:hint="eastAsia" w:ascii="Times New Roman" w:hAnsi="Times New Roman" w:eastAsia="方正楷体_GBK"/>
          <w:b w:val="0"/>
          <w:sz w:val="24"/>
          <w:szCs w:val="24"/>
        </w:rPr>
        <w:t>号</w:t>
      </w:r>
      <w:bookmarkEnd w:id="148"/>
      <w:bookmarkEnd w:id="149"/>
    </w:p>
    <w:p>
      <w:pPr>
        <w:spacing w:line="460" w:lineRule="exact"/>
        <w:rPr>
          <w:rFonts w:eastAsia="方正仿宋_GBK"/>
          <w:color w:val="000000"/>
          <w:spacing w:val="-2"/>
          <w:sz w:val="24"/>
        </w:rPr>
      </w:pPr>
      <w:r>
        <w:rPr>
          <w:rFonts w:hint="eastAsia" w:eastAsia="方正仿宋_GBK"/>
          <w:color w:val="000000"/>
          <w:spacing w:val="-2"/>
          <w:sz w:val="24"/>
        </w:rPr>
        <w:t>各市、县（市）建设局（委）、规划局、园林（市政）局、房产局、城管局、水务局：</w:t>
      </w:r>
    </w:p>
    <w:p>
      <w:pPr>
        <w:spacing w:line="460" w:lineRule="exact"/>
        <w:rPr>
          <w:rFonts w:eastAsia="方正仿宋_GBK"/>
          <w:color w:val="000000"/>
          <w:spacing w:val="-2"/>
          <w:sz w:val="24"/>
        </w:rPr>
      </w:pPr>
      <w:r>
        <w:rPr>
          <w:rFonts w:hint="eastAsia" w:eastAsia="方正仿宋_GBK"/>
          <w:color w:val="000000"/>
          <w:spacing w:val="-2"/>
          <w:sz w:val="24"/>
        </w:rPr>
        <w:t>现将《关于推进海绵城市建设的指导意见》印发你们，请结合实际认真贯彻执行。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为扎实推进海绵城市建设，厅成立</w:t>
      </w:r>
      <w:r>
        <w:rPr>
          <w:rFonts w:eastAsia="方正仿宋_GBK"/>
          <w:color w:val="000000"/>
          <w:spacing w:val="-2"/>
          <w:sz w:val="24"/>
        </w:rPr>
        <w:t>“</w:t>
      </w:r>
      <w:r>
        <w:rPr>
          <w:rFonts w:hint="eastAsia" w:eastAsia="方正仿宋_GBK"/>
          <w:color w:val="000000"/>
          <w:spacing w:val="-2"/>
          <w:sz w:val="24"/>
        </w:rPr>
        <w:t>江苏省海绵城市建设工作推进小组</w:t>
      </w:r>
      <w:r>
        <w:rPr>
          <w:rFonts w:eastAsia="方正仿宋_GBK"/>
          <w:color w:val="000000"/>
          <w:spacing w:val="-2"/>
          <w:sz w:val="24"/>
        </w:rPr>
        <w:t>”</w:t>
      </w:r>
      <w:r>
        <w:rPr>
          <w:rFonts w:hint="eastAsia" w:eastAsia="方正仿宋_GBK"/>
          <w:color w:val="000000"/>
          <w:spacing w:val="-2"/>
          <w:sz w:val="24"/>
        </w:rPr>
        <w:t>，工作推进小组办公室设在厅城建处。各地在工作推进中遇到问题或有何建议，请与厅城建处沟通联系。</w:t>
      </w:r>
    </w:p>
    <w:p>
      <w:pPr>
        <w:spacing w:line="460" w:lineRule="exact"/>
        <w:rPr>
          <w:rFonts w:eastAsia="方正仿宋_GBK"/>
          <w:color w:val="000000"/>
          <w:spacing w:val="-2"/>
          <w:sz w:val="24"/>
        </w:rPr>
      </w:pPr>
    </w:p>
    <w:p>
      <w:pPr>
        <w:pStyle w:val="22"/>
        <w:tabs>
          <w:tab w:val="left" w:pos="1442"/>
        </w:tabs>
        <w:wordWrap w:val="0"/>
        <w:adjustRightInd w:val="0"/>
        <w:spacing w:line="460" w:lineRule="exact"/>
        <w:ind w:left="3045" w:leftChars="1450" w:right="105" w:rightChars="50"/>
        <w:jc w:val="right"/>
        <w:rPr>
          <w:color w:val="000000"/>
          <w:spacing w:val="-2"/>
          <w:sz w:val="24"/>
        </w:rPr>
      </w:pPr>
      <w:r>
        <w:rPr>
          <w:rFonts w:hint="eastAsia"/>
          <w:color w:val="000000"/>
          <w:spacing w:val="-2"/>
          <w:sz w:val="24"/>
        </w:rPr>
        <w:t>江苏省住房和城乡建设厅</w:t>
      </w:r>
      <w:r>
        <w:rPr>
          <w:color w:val="000000"/>
          <w:spacing w:val="-2"/>
          <w:sz w:val="24"/>
        </w:rPr>
        <w:t xml:space="preserve">    </w:t>
      </w:r>
    </w:p>
    <w:p>
      <w:pPr>
        <w:adjustRightInd w:val="0"/>
        <w:spacing w:line="460" w:lineRule="exact"/>
        <w:ind w:left="3045" w:leftChars="1450" w:right="105" w:rightChars="50" w:firstLine="2692" w:firstLineChars="1141"/>
        <w:rPr>
          <w:rFonts w:eastAsia="方正仿宋_GBK"/>
          <w:color w:val="000000"/>
          <w:spacing w:val="-2"/>
          <w:sz w:val="24"/>
        </w:rPr>
      </w:pPr>
      <w:r>
        <w:rPr>
          <w:rFonts w:eastAsia="方正仿宋_GBK"/>
          <w:color w:val="000000"/>
          <w:spacing w:val="-2"/>
          <w:sz w:val="24"/>
        </w:rPr>
        <w:t>   2015</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8</w:t>
      </w:r>
      <w:r>
        <w:rPr>
          <w:rFonts w:hint="eastAsia" w:eastAsia="方正仿宋_GBK"/>
          <w:color w:val="000000"/>
          <w:spacing w:val="-2"/>
          <w:sz w:val="24"/>
        </w:rPr>
        <w:t>日</w:t>
      </w:r>
      <w:r>
        <w:rPr>
          <w:rFonts w:eastAsia="方正仿宋_GBK"/>
          <w:color w:val="000000"/>
          <w:spacing w:val="-2"/>
          <w:sz w:val="24"/>
        </w:rPr>
        <w:t xml:space="preserve">     </w:t>
      </w:r>
    </w:p>
    <w:p>
      <w:pPr>
        <w:adjustRightInd w:val="0"/>
        <w:spacing w:line="460" w:lineRule="exact"/>
        <w:ind w:right="105" w:rightChars="50"/>
        <w:rPr>
          <w:rFonts w:eastAsia="方正仿宋_GBK"/>
          <w:color w:val="000000"/>
          <w:spacing w:val="-2"/>
          <w:sz w:val="24"/>
        </w:rPr>
      </w:pPr>
    </w:p>
    <w:p>
      <w:pPr>
        <w:adjustRightInd w:val="0"/>
        <w:spacing w:line="460" w:lineRule="exact"/>
        <w:ind w:right="105" w:rightChars="50"/>
        <w:rPr>
          <w:rFonts w:eastAsia="方正仿宋_GBK"/>
          <w:color w:val="000000"/>
          <w:spacing w:val="-2"/>
          <w:sz w:val="24"/>
        </w:rPr>
      </w:pPr>
    </w:p>
    <w:p>
      <w:pPr>
        <w:pStyle w:val="23"/>
        <w:spacing w:line="460" w:lineRule="exact"/>
        <w:rPr>
          <w:rFonts w:ascii="Times New Roman" w:eastAsia="方正黑体_GBK"/>
          <w:color w:val="000000"/>
          <w:spacing w:val="-2"/>
          <w:sz w:val="36"/>
          <w:szCs w:val="36"/>
        </w:rPr>
      </w:pPr>
      <w:r>
        <w:rPr>
          <w:rFonts w:hint="eastAsia" w:ascii="Times New Roman" w:eastAsia="方正黑体_GBK"/>
          <w:color w:val="000000"/>
          <w:spacing w:val="-2"/>
          <w:sz w:val="36"/>
          <w:szCs w:val="36"/>
        </w:rPr>
        <w:t>关于推进海绵城市建设的指导意见</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12</w:t>
      </w:r>
      <w:r>
        <w:rPr>
          <w:rFonts w:hint="eastAsia" w:eastAsia="方正仿宋_GBK"/>
          <w:color w:val="000000"/>
          <w:spacing w:val="-2"/>
          <w:sz w:val="24"/>
        </w:rPr>
        <w:t>月，习近平总书记在中央城镇化工作会议上提出要大力建设自然渗透、自然积存、自然净化的海绵城市，并要求</w:t>
      </w:r>
      <w:r>
        <w:rPr>
          <w:rFonts w:eastAsia="方正仿宋_GBK"/>
          <w:color w:val="000000"/>
          <w:spacing w:val="-2"/>
          <w:sz w:val="24"/>
        </w:rPr>
        <w:t>“</w:t>
      </w:r>
      <w:r>
        <w:rPr>
          <w:rFonts w:hint="eastAsia" w:eastAsia="方正仿宋_GBK"/>
          <w:color w:val="000000"/>
          <w:spacing w:val="-2"/>
          <w:sz w:val="24"/>
        </w:rPr>
        <w:t>在提升城市排水系统时要优先考虑把有限的雨水留下来，优先考虑更多利用自然力量排水</w:t>
      </w:r>
      <w:r>
        <w:rPr>
          <w:rFonts w:eastAsia="方正仿宋_GBK"/>
          <w:color w:val="000000"/>
          <w:spacing w:val="-2"/>
          <w:sz w:val="24"/>
        </w:rPr>
        <w:t>”</w:t>
      </w:r>
      <w:r>
        <w:rPr>
          <w:rFonts w:hint="eastAsia" w:eastAsia="方正仿宋_GBK"/>
          <w:color w:val="000000"/>
          <w:spacing w:val="-2"/>
          <w:sz w:val="24"/>
        </w:rPr>
        <w:t>。为贯彻习近平总书记讲话精神，落实国务院关于加强城市基础设施建设和建设部关于推进海绵城市建设的相关工作要求，现就我省海绵城市建设提出如下指导意见：</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一、充分认识海绵城市建设的重要意义</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海绵城市建设是生态文明建设的重要举措，是提升城市建设品质的重要途径，是改善人居环境的重要措施，是通过有效需求推动经济增长的重要方面。长期以来，受传统思维的影响，城市建设中存在</w:t>
      </w:r>
      <w:r>
        <w:rPr>
          <w:rFonts w:eastAsia="方正仿宋_GBK"/>
          <w:color w:val="000000"/>
          <w:spacing w:val="-2"/>
          <w:sz w:val="24"/>
        </w:rPr>
        <w:t>“</w:t>
      </w:r>
      <w:r>
        <w:rPr>
          <w:rFonts w:hint="eastAsia" w:eastAsia="方正仿宋_GBK"/>
          <w:color w:val="000000"/>
          <w:spacing w:val="-2"/>
          <w:sz w:val="24"/>
        </w:rPr>
        <w:t>重地上轻地下</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重工程手段轻自然方法</w:t>
      </w:r>
      <w:r>
        <w:rPr>
          <w:rFonts w:eastAsia="方正仿宋_GBK"/>
          <w:color w:val="000000"/>
          <w:spacing w:val="-2"/>
          <w:sz w:val="24"/>
        </w:rPr>
        <w:t>”</w:t>
      </w:r>
      <w:r>
        <w:rPr>
          <w:rFonts w:hint="eastAsia" w:eastAsia="方正仿宋_GBK"/>
          <w:color w:val="000000"/>
          <w:spacing w:val="-2"/>
          <w:sz w:val="24"/>
        </w:rPr>
        <w:t>的偏向，城市排水设施标准不高、能力不足，且多局限于采用工程措施尽快排除雨水，忽视了城市生态系统应有的吸纳、渗透、滞蓄、净化等功能，不能从根本上解决城市内涝、初期雨水地表径流污染等问题。海绵城市建设坚持工程措施和生态措施并重，通过绿色生态方法与灰色基础设施有效结合，在提升城市排水系统能力的同时，充分发挥城市绿地、水体、道路、建筑及设施等对雨水的吸纳、蓄渗和缓释等作用，最大程度实现雨水在城市区域的自然积存、渗透和净化，从而实现城市排水防涝能力的综合提升、径流污染的有效削减、雨水资源的高效利用，是构建健康的城市水生态系统、促进生态文明建设的有效途径。全省住房城乡建设系统要充分认识海绵城市建设的重大意义，把海绵城市建设摆上重要位置，加大政策支持，通过推进海绵城市建设，提升城市雨洪管理能力，削减城市地表径流污染，促进雨水资源有效利用，不断完善城市功能，有效改善人居环境。</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二、推进海绵城市建设的总体思路</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海绵城市建设是一项系统工程，各地要依据住房城乡建设部《海绵城市建设技术指南</w:t>
      </w:r>
      <w:r>
        <w:rPr>
          <w:rFonts w:eastAsia="方正仿宋_GBK"/>
          <w:color w:val="000000"/>
          <w:spacing w:val="-2"/>
          <w:sz w:val="24"/>
        </w:rPr>
        <w:t>——</w:t>
      </w:r>
      <w:r>
        <w:rPr>
          <w:rFonts w:hint="eastAsia" w:eastAsia="方正仿宋_GBK"/>
          <w:color w:val="000000"/>
          <w:spacing w:val="-2"/>
          <w:sz w:val="24"/>
        </w:rPr>
        <w:t>低影响开发雨水系统构建（试行）》（建城函〔</w:t>
      </w:r>
      <w:r>
        <w:rPr>
          <w:rFonts w:eastAsia="方正仿宋_GBK"/>
          <w:color w:val="000000"/>
          <w:spacing w:val="-2"/>
          <w:sz w:val="24"/>
        </w:rPr>
        <w:t>2014</w:t>
      </w:r>
      <w:r>
        <w:rPr>
          <w:rFonts w:hint="eastAsia" w:eastAsia="方正仿宋_GBK"/>
          <w:color w:val="000000"/>
          <w:spacing w:val="-2"/>
          <w:sz w:val="24"/>
        </w:rPr>
        <w:t>〕</w:t>
      </w:r>
      <w:r>
        <w:rPr>
          <w:rFonts w:eastAsia="方正仿宋_GBK"/>
          <w:color w:val="000000"/>
          <w:spacing w:val="-2"/>
          <w:sz w:val="24"/>
        </w:rPr>
        <w:t>275</w:t>
      </w:r>
      <w:r>
        <w:rPr>
          <w:rFonts w:hint="eastAsia" w:eastAsia="方正仿宋_GBK"/>
          <w:color w:val="000000"/>
          <w:spacing w:val="-2"/>
          <w:sz w:val="24"/>
        </w:rPr>
        <w:t>号）要求，借鉴发达国家水资源综合利用，尤其是雨洪管理的成功做法，按照系统治理、源头减排、过程控制、统筹建设的工作原则，系统综合地推进海绵城市建设。</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（一）转变理念。</w:t>
      </w:r>
      <w:r>
        <w:rPr>
          <w:rFonts w:hint="eastAsia" w:eastAsia="方正仿宋_GBK"/>
          <w:color w:val="000000"/>
          <w:spacing w:val="-2"/>
          <w:sz w:val="24"/>
        </w:rPr>
        <w:t>海绵城市建设要改变传统思维和做法，对雨水径流实现由</w:t>
      </w:r>
      <w:r>
        <w:rPr>
          <w:rFonts w:eastAsia="方正仿宋_GBK"/>
          <w:color w:val="000000"/>
          <w:spacing w:val="-2"/>
          <w:sz w:val="24"/>
        </w:rPr>
        <w:t>“</w:t>
      </w:r>
      <w:r>
        <w:rPr>
          <w:rFonts w:hint="eastAsia" w:eastAsia="方正仿宋_GBK"/>
          <w:color w:val="000000"/>
          <w:spacing w:val="-2"/>
          <w:sz w:val="24"/>
        </w:rPr>
        <w:t>快速排除</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末端集中</w:t>
      </w:r>
      <w:r>
        <w:rPr>
          <w:rFonts w:eastAsia="方正仿宋_GBK"/>
          <w:color w:val="000000"/>
          <w:spacing w:val="-2"/>
          <w:sz w:val="24"/>
        </w:rPr>
        <w:t>”</w:t>
      </w:r>
      <w:r>
        <w:rPr>
          <w:rFonts w:hint="eastAsia" w:eastAsia="方正仿宋_GBK"/>
          <w:color w:val="000000"/>
          <w:spacing w:val="-2"/>
          <w:sz w:val="24"/>
        </w:rPr>
        <w:t>向</w:t>
      </w:r>
      <w:r>
        <w:rPr>
          <w:rFonts w:eastAsia="方正仿宋_GBK"/>
          <w:color w:val="000000"/>
          <w:spacing w:val="-2"/>
          <w:sz w:val="24"/>
        </w:rPr>
        <w:t>“</w:t>
      </w:r>
      <w:r>
        <w:rPr>
          <w:rFonts w:hint="eastAsia" w:eastAsia="方正仿宋_GBK"/>
          <w:color w:val="000000"/>
          <w:spacing w:val="-2"/>
          <w:sz w:val="24"/>
        </w:rPr>
        <w:t>慢排缓释</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源头分散</w:t>
      </w:r>
      <w:r>
        <w:rPr>
          <w:rFonts w:eastAsia="方正仿宋_GBK"/>
          <w:color w:val="000000"/>
          <w:spacing w:val="-2"/>
          <w:sz w:val="24"/>
        </w:rPr>
        <w:t>”</w:t>
      </w:r>
      <w:r>
        <w:rPr>
          <w:rFonts w:hint="eastAsia" w:eastAsia="方正仿宋_GBK"/>
          <w:color w:val="000000"/>
          <w:spacing w:val="-2"/>
          <w:sz w:val="24"/>
        </w:rPr>
        <w:t>的转变，综合运用渗、滞、蓄、净、用、排等措施，在源头上减少雨水径流的产生，延缓和降低径流峰值，降低排水强度，实现雨水径流的源头减量。</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（二）分类实施。</w:t>
      </w:r>
      <w:r>
        <w:rPr>
          <w:rFonts w:hint="eastAsia" w:eastAsia="方正仿宋_GBK"/>
          <w:color w:val="000000"/>
          <w:spacing w:val="-2"/>
          <w:sz w:val="24"/>
        </w:rPr>
        <w:t>综合考虑各地的自然地理条件、水资源状况、原有排水系统基础、城市建设能力、经济社会发展条件等因素，坚持因地制宜、因地施策。对城市规划建设的新区以及新建的道路、广场、公园绿地、河道整治等公共项目，要按照海绵城市建设的理念和方法系统推进。既有建成区要结合棚户区（危旧房）改造、易淹易涝片区整治和城市环境综合整治等项目逐步实施。</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（三）有效推进。</w:t>
      </w:r>
      <w:r>
        <w:rPr>
          <w:rFonts w:hint="eastAsia" w:eastAsia="方正仿宋_GBK"/>
          <w:color w:val="000000"/>
          <w:spacing w:val="-2"/>
          <w:sz w:val="24"/>
        </w:rPr>
        <w:t>海绵城市建设既要拉动有效投资，也要坚持集约节约，结合城市建设、地块开发和旧城改造工作统筹推进。要以解决实际问题为导向，加强质量控制，加强施工管理，反对搞形象工程，避免铺张浪费，减少施工扰民，做到功能性、经济性、实用性有机统一。</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（四）部门联动。</w:t>
      </w:r>
      <w:r>
        <w:rPr>
          <w:rFonts w:hint="eastAsia" w:eastAsia="方正仿宋_GBK"/>
          <w:color w:val="000000"/>
          <w:spacing w:val="-2"/>
          <w:sz w:val="24"/>
        </w:rPr>
        <w:t>海绵城市建设系统性、综合性、创新性强，需要统筹和协调。各级建设、规划、园林、房产、城管部门要联动推进，同时加强与水利、环保、气象、国土等部门紧密合作，带动社会力量和投资形成推进合力。</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三、推进海绵城市建设的重点工作</w:t>
      </w:r>
    </w:p>
    <w:p>
      <w:pPr>
        <w:spacing w:line="460" w:lineRule="exact"/>
        <w:ind w:firstLine="472" w:firstLineChars="200"/>
        <w:rPr>
          <w:rFonts w:hint="eastAsia" w:eastAsia="方正仿宋_GBK"/>
          <w:color w:val="000000"/>
          <w:spacing w:val="-2"/>
          <w:sz w:val="24"/>
        </w:rPr>
      </w:pPr>
      <w:r>
        <w:rPr>
          <w:rFonts w:hint="eastAsia" w:ascii="Times New Roman" w:eastAsia="方正楷体_GBK"/>
          <w:color w:val="000000"/>
          <w:spacing w:val="-2"/>
          <w:sz w:val="24"/>
        </w:rPr>
        <w:t>（一）加强城乡规划的综合调控引导。</w:t>
      </w:r>
      <w:r>
        <w:rPr>
          <w:rFonts w:hint="eastAsia" w:eastAsia="方正仿宋_GBK"/>
          <w:color w:val="000000"/>
          <w:spacing w:val="-2"/>
          <w:sz w:val="24"/>
        </w:rPr>
        <w:t>在区域城镇体系规划和城市总体规划编制和实施过程中，要按照</w:t>
      </w:r>
      <w:r>
        <w:rPr>
          <w:rFonts w:eastAsia="方正仿宋_GBK"/>
          <w:color w:val="000000"/>
          <w:spacing w:val="-2"/>
          <w:sz w:val="24"/>
        </w:rPr>
        <w:t>“</w:t>
      </w:r>
      <w:r>
        <w:rPr>
          <w:rFonts w:hint="eastAsia" w:eastAsia="方正仿宋_GBK"/>
          <w:color w:val="000000"/>
          <w:spacing w:val="-2"/>
          <w:sz w:val="24"/>
        </w:rPr>
        <w:t>紧凑型城镇、开敞型区域</w:t>
      </w:r>
      <w:r>
        <w:rPr>
          <w:rFonts w:eastAsia="方正仿宋_GBK"/>
          <w:color w:val="000000"/>
          <w:spacing w:val="-2"/>
          <w:sz w:val="24"/>
        </w:rPr>
        <w:t>”</w:t>
      </w:r>
      <w:r>
        <w:rPr>
          <w:rFonts w:hint="eastAsia" w:eastAsia="方正仿宋_GBK"/>
          <w:color w:val="000000"/>
          <w:spacing w:val="-2"/>
          <w:sz w:val="24"/>
        </w:rPr>
        <w:t>的总体要求，科学界定城市增长边界，保护好山水田林湖自然本底，优化城乡空间结构，加强各专项规划间的协调与融合，构建城乡一体、区域联动的空间格局，夯实海绵城市的生态基底。在规划建成区内要通过规划划定</w:t>
      </w:r>
      <w:r>
        <w:rPr>
          <w:rFonts w:eastAsia="方正仿宋_GBK"/>
          <w:color w:val="000000"/>
          <w:spacing w:val="-2"/>
          <w:sz w:val="24"/>
        </w:rPr>
        <w:t>“</w:t>
      </w:r>
      <w:r>
        <w:rPr>
          <w:rFonts w:hint="eastAsia" w:eastAsia="方正仿宋_GBK"/>
          <w:color w:val="000000"/>
          <w:spacing w:val="-2"/>
          <w:sz w:val="24"/>
        </w:rPr>
        <w:t>蓝线</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绿线</w:t>
      </w:r>
      <w:r>
        <w:rPr>
          <w:rFonts w:eastAsia="方正仿宋_GBK"/>
          <w:color w:val="000000"/>
          <w:spacing w:val="-2"/>
          <w:sz w:val="24"/>
        </w:rPr>
        <w:t>”</w:t>
      </w:r>
      <w:r>
        <w:rPr>
          <w:rFonts w:hint="eastAsia" w:eastAsia="方正仿宋_GBK"/>
          <w:color w:val="000000"/>
          <w:spacing w:val="-2"/>
          <w:sz w:val="24"/>
        </w:rPr>
        <w:t>，有效落实城市河湖水系和山体林地等生态空间的保护。要把地块雨水吸纳率等指标作为开发建设项目规划条件的重要技术指标，通过规划管理手段有效落实。</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（二）提高城市绿地系统的雨水吸纳能力</w:t>
      </w:r>
      <w:r>
        <w:rPr>
          <w:rFonts w:hint="eastAsia" w:eastAsia="方正仿宋_GBK"/>
          <w:color w:val="000000"/>
          <w:spacing w:val="-2"/>
          <w:sz w:val="24"/>
        </w:rPr>
        <w:t>。城市绿地系统是重要的海绵体，要将构建海绵型绿地系统作为园林城市、生态园林城市创建的重要内容。城市绿地系统构建要考虑绿网、水网、路网的有机融合，在满足生态、景观、游憩等功能的基础上，更多地考虑雨水调蓄、净化等功能。要重视滨水绿廊建设，严禁随意填埋河道水系，有条件的地区要逐步恢复已覆盖的河道，加强水系沟通，并通过河湖水体和岸坡生态化处理、滨水空间合理利用等综合举措，提高城市绿地系统的雨水吸纳能力。</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（三）推进海绵型公园绿地建设。</w:t>
      </w:r>
      <w:r>
        <w:rPr>
          <w:rFonts w:hint="eastAsia" w:eastAsia="方正仿宋_GBK"/>
          <w:color w:val="000000"/>
          <w:spacing w:val="-2"/>
          <w:sz w:val="24"/>
        </w:rPr>
        <w:t>城市公园绿地要结合周边水系、道路、市政设施等，统筹开展竖向设计。公园绿地在消纳自身雨水径流的同时，要尽可能为周边区域提供雨水滞留、缓释空间。要结合公园的布局和生态景观等要素，因地制宜地采取小微湿地、雨水花园、下凹式绿地、植草沟等多种形式，公园绿地内硬质铺装、步行系统、停车场等宜采用透水材料，提升公园绿地对雨水的滞蓄和净化能力。各地要充分利用植物园和苗圃基地开展试验与研究，选育和储备适合本地生长、生态和景观效益良好的水生植物和耐水湿植物。省园艺博览会要为海绵型公园绿地建设提供示范。</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（四）推进海绵型道路和广场建设</w:t>
      </w:r>
      <w:r>
        <w:rPr>
          <w:rFonts w:hint="eastAsia" w:eastAsia="方正仿宋_GBK"/>
          <w:color w:val="000000"/>
          <w:spacing w:val="-2"/>
          <w:sz w:val="24"/>
        </w:rPr>
        <w:t>。要转变道路和广场建设理念，变快速汇水为分散就地吸水，提高城市道路广场对雨水的渗、滞、蓄能力。新建道路的绿化隔离带和两侧绿化带要因地制宜运用下凹式绿地、植草沟等多种形式，可采取不设道路侧石或利用道路侧石设置雨水排放口等措施，增加道路绿地雨水吸纳力。新建城市道路的非机动车道、人行道和广场、停车场推广使用透水铺装系统，采用可下渗结构，增加透水性。城市广场可因地制宜采用下沉式结构或配套建设雨水调蓄设施，最大程度减缓雨水径流。既有道路和广场，要有计划地按照低影响开发控制目标建设要求，实施海绵化改造。</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（五）推进海绵型住区建设。</w:t>
      </w:r>
      <w:r>
        <w:rPr>
          <w:rFonts w:hint="eastAsia" w:eastAsia="方正仿宋_GBK"/>
          <w:color w:val="000000"/>
          <w:spacing w:val="-2"/>
          <w:sz w:val="24"/>
        </w:rPr>
        <w:t>新建住宅小区要按照低影响开发的要求规划建设雨水系统。小区室外步行道、停车场应采取透水铺装；推广建筑雨水收集利用和屋顶绿化技术；鼓励居住区绿地采用雨水花园等形式，因地制宜规划建设蓄存雨水的景观水体或相应设施。政府投资建设的保障性住房和棚户区（危旧房）改造项目要率先落实海绵型住区的要求。在城市低洼易淹易涝的老旧小区改造过程中，要同时考虑海绵城市建设技术与排水设施能力建设两项措施并举。</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（六）推进公共项目的海绵体建设。</w:t>
      </w:r>
      <w:r>
        <w:rPr>
          <w:rFonts w:hint="eastAsia" w:eastAsia="方正仿宋_GBK"/>
          <w:color w:val="000000"/>
          <w:spacing w:val="-2"/>
          <w:sz w:val="24"/>
        </w:rPr>
        <w:t>机关、学校、医院、文化体育场馆、交通场站和商业综合体等各类大型公共项目建设，要率先践行生态优先的海绵城市建设理念，减少建筑和广场的硬质铺装面积，推广使用透水铺装、屋顶绿化和下凹式绿地广场，规划用地面积</w:t>
      </w:r>
      <w:r>
        <w:rPr>
          <w:rFonts w:eastAsia="方正仿宋_GBK"/>
          <w:color w:val="000000"/>
          <w:spacing w:val="-2"/>
          <w:sz w:val="24"/>
        </w:rPr>
        <w:t>2</w:t>
      </w:r>
      <w:r>
        <w:rPr>
          <w:rFonts w:hint="eastAsia" w:eastAsia="方正仿宋_GBK"/>
          <w:color w:val="000000"/>
          <w:spacing w:val="-2"/>
          <w:sz w:val="24"/>
        </w:rPr>
        <w:t>万平方米以上的新建建筑物要配套建设雨水收集利用设施。鼓励工矿企业和工业厂区因地制宜采用下凹式绿地、透水铺装和雨水花园等措施，有条件的可建设雨水收集、蓄存和利用设施。</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（七）不断提高城市排水系统能力。</w:t>
      </w:r>
      <w:r>
        <w:rPr>
          <w:rFonts w:hint="eastAsia" w:eastAsia="方正仿宋_GBK"/>
          <w:color w:val="000000"/>
          <w:spacing w:val="-2"/>
          <w:sz w:val="24"/>
        </w:rPr>
        <w:t>在推进海绵城市建设过程中，既要注重绿色基础设施建设，增强就地吸纳雨水能力，又要加强城市排水管网、排涝泵站等灰色基础设施建设，提高城市排水能力。要全面推进城市排水防涝设施达标建设，加快实施城市易淹易涝片区改造，加强排水管网养护，全面提升城市整体排水防涝能力。</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（八）延伸推进海绵型镇村建设。</w:t>
      </w:r>
      <w:r>
        <w:rPr>
          <w:rFonts w:hint="eastAsia" w:eastAsia="方正仿宋_GBK"/>
          <w:color w:val="000000"/>
          <w:spacing w:val="-2"/>
          <w:sz w:val="24"/>
        </w:rPr>
        <w:t>在推进小城镇和村庄建设过程中，要借鉴海绵城市建设理念，因地制宜规划建设海绵型镇村。海绵型镇村建设要更加强调与周围山水田林湖等自然生态环境的有机结合，更加强调运用低成本和自然生态的方法提高镇村雨水吸纳和排放能力。结合全省重点中心镇、综合规划建设示范创建镇、美丽乡村建设示范村等省级示范，综合运用工程和绿色生态措施，探索推进</w:t>
      </w:r>
      <w:r>
        <w:rPr>
          <w:rFonts w:eastAsia="方正仿宋_GBK"/>
          <w:color w:val="000000"/>
          <w:spacing w:val="-2"/>
          <w:sz w:val="24"/>
        </w:rPr>
        <w:t>“</w:t>
      </w:r>
      <w:r>
        <w:rPr>
          <w:rFonts w:hint="eastAsia" w:eastAsia="方正仿宋_GBK"/>
          <w:color w:val="000000"/>
          <w:spacing w:val="-2"/>
          <w:sz w:val="24"/>
        </w:rPr>
        <w:t>海绵镇村</w:t>
      </w:r>
      <w:r>
        <w:rPr>
          <w:rFonts w:eastAsia="方正仿宋_GBK"/>
          <w:color w:val="000000"/>
          <w:spacing w:val="-2"/>
          <w:sz w:val="24"/>
        </w:rPr>
        <w:t>”</w:t>
      </w:r>
      <w:r>
        <w:rPr>
          <w:rFonts w:hint="eastAsia" w:eastAsia="方正仿宋_GBK"/>
          <w:color w:val="000000"/>
          <w:spacing w:val="-2"/>
          <w:sz w:val="24"/>
        </w:rPr>
        <w:t>建设。</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四、建立海绵城市建设的工作推进机制</w:t>
      </w:r>
    </w:p>
    <w:p>
      <w:pPr>
        <w:spacing w:line="460" w:lineRule="exact"/>
        <w:ind w:firstLine="472" w:firstLineChars="200"/>
        <w:rPr>
          <w:rFonts w:hint="eastAsia" w:eastAsia="方正仿宋_GBK"/>
          <w:color w:val="000000"/>
          <w:spacing w:val="-2"/>
          <w:sz w:val="24"/>
        </w:rPr>
      </w:pPr>
      <w:r>
        <w:rPr>
          <w:rFonts w:hint="eastAsia" w:ascii="Times New Roman" w:eastAsia="方正楷体_GBK"/>
          <w:color w:val="000000"/>
          <w:spacing w:val="-2"/>
          <w:sz w:val="24"/>
        </w:rPr>
        <w:t>（一）加强组织领导。</w:t>
      </w:r>
      <w:r>
        <w:rPr>
          <w:rFonts w:hint="eastAsia" w:eastAsia="方正仿宋_GBK"/>
          <w:color w:val="000000"/>
          <w:spacing w:val="-2"/>
          <w:sz w:val="24"/>
        </w:rPr>
        <w:t>省住房城乡建设厅成立</w:t>
      </w:r>
      <w:r>
        <w:rPr>
          <w:rFonts w:eastAsia="方正仿宋_GBK"/>
          <w:color w:val="000000"/>
          <w:spacing w:val="-2"/>
          <w:sz w:val="24"/>
        </w:rPr>
        <w:t>“</w:t>
      </w:r>
      <w:r>
        <w:rPr>
          <w:rFonts w:hint="eastAsia" w:eastAsia="方正仿宋_GBK"/>
          <w:color w:val="000000"/>
          <w:spacing w:val="-2"/>
          <w:sz w:val="24"/>
        </w:rPr>
        <w:t>江苏省海绵城市建设工作推进小组</w:t>
      </w:r>
      <w:r>
        <w:rPr>
          <w:rFonts w:eastAsia="方正仿宋_GBK"/>
          <w:color w:val="000000"/>
          <w:spacing w:val="-2"/>
          <w:sz w:val="24"/>
        </w:rPr>
        <w:t>”</w:t>
      </w:r>
      <w:r>
        <w:rPr>
          <w:rFonts w:hint="eastAsia" w:eastAsia="方正仿宋_GBK"/>
          <w:color w:val="000000"/>
          <w:spacing w:val="-2"/>
          <w:sz w:val="24"/>
        </w:rPr>
        <w:t>，厅主要领导任组长，相关分管副厅长任副组长，厅城建处、规划处、园林处、科技处、村镇处、住房保障处、房产处和城镇供水安全保障中心、科技发展中心等处室（单位）负责同志参加。工作推进小组办公室设在厅城建处，负责统筹协调组织推进海绵城市建设工作，牵头组织开展省级试点示范等工作。全省住房城乡建设系统各相关职能部门要在城市人民政府的统一领导下，形成各司其职、通力协作的工作推进机制。建设行政主管部门要牵头组织好海绵城市建设工作，加强与相关部门的统筹协调；城乡规划主管部门负责将海绵城市建设要求落实到规划编制、实施管理过程中，将有关控制指标纳入城市总体规划、控制性详细规划、相关专项规划以及建设用地规划条件；园林、房产、城管、市政等主管部门根据各自职责，协同推进海绵城市建设工作。</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（二）抓好典型示范。</w:t>
      </w:r>
      <w:r>
        <w:rPr>
          <w:rFonts w:hint="eastAsia" w:eastAsia="方正仿宋_GBK"/>
          <w:color w:val="000000"/>
          <w:spacing w:val="-2"/>
          <w:sz w:val="24"/>
        </w:rPr>
        <w:t>组织开展海绵城市省级试点示范工作，推进海绵城市示范区、海绵型公园绿地、海绵型住区、海绵型道路广场、海绵型小城镇、海绵型村庄等示范建设。申报省级海绵城市试点城市的要编制完成海绵城市建设规划行动方案并报同级城市人民政府批准实施。申报国家级海绵城市试点城市原则上从省级试点城市中择优推荐。修订完善江苏人居环境奖、省优秀管理城市、省园林城市、节水型城市等创建评价指标体系，将海绵城市建设目标纳入创建要求。完善省级建筑节能和绿色建筑示范区指标体系，将海绵城市建设要求纳入其中，推动率先建成海绵城市示范区。</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（三）加强技术支撑。</w:t>
      </w:r>
      <w:r>
        <w:rPr>
          <w:rFonts w:hint="eastAsia" w:eastAsia="方正仿宋_GBK"/>
          <w:color w:val="000000"/>
          <w:spacing w:val="-2"/>
          <w:sz w:val="24"/>
        </w:rPr>
        <w:t>加快研究制定海绵城市建设相关指标体系、检测评价方法。加强海绵城市技术标准体系建设，尽快出台《江苏省海绵城市建设技术导则》、《雨水花园工程建设标准》等技术标准和规程。在江苏省城镇供水安全保障中心设立</w:t>
      </w:r>
      <w:r>
        <w:rPr>
          <w:rFonts w:eastAsia="方正仿宋_GBK"/>
          <w:color w:val="000000"/>
          <w:spacing w:val="-2"/>
          <w:sz w:val="24"/>
        </w:rPr>
        <w:t>“</w:t>
      </w:r>
      <w:r>
        <w:rPr>
          <w:rFonts w:hint="eastAsia" w:eastAsia="方正仿宋_GBK"/>
          <w:color w:val="000000"/>
          <w:spacing w:val="-2"/>
          <w:sz w:val="24"/>
        </w:rPr>
        <w:t>海绵城市技术中心</w:t>
      </w:r>
      <w:r>
        <w:rPr>
          <w:rFonts w:eastAsia="方正仿宋_GBK"/>
          <w:color w:val="000000"/>
          <w:spacing w:val="-2"/>
          <w:sz w:val="24"/>
        </w:rPr>
        <w:t>”</w:t>
      </w:r>
      <w:r>
        <w:rPr>
          <w:rFonts w:hint="eastAsia" w:eastAsia="方正仿宋_GBK"/>
          <w:color w:val="000000"/>
          <w:spacing w:val="-2"/>
          <w:sz w:val="24"/>
        </w:rPr>
        <w:t>，开展城市试点示范技术指导，开展技术研究、标准编制以及相关技术推广与指导。各地要整合当地相关力量，加强工作研究，结合工程实践，总结提炼工作经验，培养相关技术研究和服务队伍，为推进海绵城市建设提供技术支撑。</w:t>
      </w:r>
    </w:p>
    <w:p>
      <w:pPr>
        <w:spacing w:line="460" w:lineRule="exact"/>
        <w:jc w:val="center"/>
        <w:rPr>
          <w:rFonts w:eastAsia="方正仿宋_GBK"/>
          <w:color w:val="000000"/>
          <w:spacing w:val="-2"/>
          <w:sz w:val="24"/>
        </w:rPr>
      </w:pPr>
    </w:p>
    <w:p>
      <w:pPr>
        <w:spacing w:line="460" w:lineRule="exact"/>
        <w:rPr>
          <w:rFonts w:eastAsia="方正仿宋_GBK"/>
          <w:color w:val="000000"/>
          <w:spacing w:val="-2"/>
          <w:sz w:val="24"/>
        </w:rPr>
      </w:pPr>
      <w:r>
        <w:rPr>
          <w:rFonts w:eastAsia="方正仿宋_GBK"/>
          <w:color w:val="000000"/>
          <w:spacing w:val="-2"/>
          <w:sz w:val="24"/>
        </w:rPr>
        <w:br w:type="column"/>
      </w:r>
    </w:p>
    <w:p>
      <w:pPr>
        <w:pStyle w:val="2"/>
        <w:spacing w:before="240" w:beforeLines="100" w:after="240" w:afterLines="100" w:line="240" w:lineRule="auto"/>
        <w:jc w:val="center"/>
        <w:rPr>
          <w:rFonts w:ascii="Times New Roman" w:eastAsia="方正小标宋_GBK"/>
          <w:b w:val="0"/>
          <w:sz w:val="36"/>
          <w:szCs w:val="36"/>
        </w:rPr>
      </w:pPr>
      <w:bookmarkStart w:id="150" w:name="_Toc20726410"/>
      <w:bookmarkStart w:id="151" w:name="_Toc18315493"/>
      <w:r>
        <w:rPr>
          <w:rFonts w:hint="eastAsia" w:ascii="Times New Roman" w:eastAsia="方正小标宋_GBK"/>
          <w:b w:val="0"/>
          <w:sz w:val="36"/>
          <w:szCs w:val="36"/>
        </w:rPr>
        <w:t>省住房城乡建设厅关于转发《住房城乡建设部&lt;关于印发燃气经营许可管理办法&gt;的通知》的通知</w:t>
      </w:r>
      <w:bookmarkEnd w:id="150"/>
      <w:bookmarkEnd w:id="15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52" w:name="_Toc20726411"/>
      <w:bookmarkStart w:id="153" w:name="_Toc18315494"/>
      <w:r>
        <w:rPr>
          <w:rFonts w:hint="eastAsia" w:ascii="Times New Roman" w:hAnsi="Times New Roman" w:eastAsia="方正楷体_GBK"/>
          <w:b w:val="0"/>
          <w:sz w:val="24"/>
          <w:szCs w:val="24"/>
        </w:rPr>
        <w:t>苏建函城〔</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361</w:t>
      </w:r>
      <w:r>
        <w:rPr>
          <w:rFonts w:hint="eastAsia" w:ascii="Times New Roman" w:hAnsi="Times New Roman" w:eastAsia="方正楷体_GBK"/>
          <w:b w:val="0"/>
          <w:sz w:val="24"/>
          <w:szCs w:val="24"/>
        </w:rPr>
        <w:t>号</w:t>
      </w:r>
      <w:bookmarkEnd w:id="152"/>
      <w:bookmarkEnd w:id="153"/>
    </w:p>
    <w:p>
      <w:pPr>
        <w:spacing w:line="460" w:lineRule="exact"/>
        <w:rPr>
          <w:rFonts w:eastAsia="方正仿宋_GBK"/>
          <w:bCs/>
          <w:color w:val="000000"/>
          <w:sz w:val="24"/>
        </w:rPr>
      </w:pPr>
      <w:r>
        <w:rPr>
          <w:rFonts w:hint="eastAsia" w:eastAsia="方正仿宋_GBK"/>
          <w:bCs/>
          <w:color w:val="000000"/>
          <w:sz w:val="24"/>
        </w:rPr>
        <w:t>各省辖市建设局（委），无锡市市政和园林局，昆山、泰兴、</w:t>
      </w:r>
    </w:p>
    <w:p>
      <w:pPr>
        <w:spacing w:line="460" w:lineRule="exact"/>
        <w:rPr>
          <w:rFonts w:eastAsia="方正仿宋_GBK"/>
          <w:bCs/>
          <w:color w:val="000000"/>
          <w:sz w:val="24"/>
        </w:rPr>
      </w:pPr>
      <w:r>
        <w:rPr>
          <w:rFonts w:hint="eastAsia" w:eastAsia="方正仿宋_GBK"/>
          <w:bCs/>
          <w:color w:val="000000"/>
          <w:sz w:val="24"/>
        </w:rPr>
        <w:t>沭阳县（市）建设局：</w:t>
      </w:r>
    </w:p>
    <w:p>
      <w:pPr>
        <w:spacing w:line="460" w:lineRule="exact"/>
        <w:ind w:firstLine="480" w:firstLineChars="200"/>
        <w:rPr>
          <w:rFonts w:eastAsia="方正仿宋_GBK"/>
          <w:bCs/>
          <w:color w:val="000000"/>
          <w:sz w:val="24"/>
        </w:rPr>
      </w:pPr>
      <w:r>
        <w:rPr>
          <w:rFonts w:hint="eastAsia" w:eastAsia="方正仿宋_GBK"/>
          <w:bCs/>
          <w:color w:val="000000"/>
          <w:sz w:val="24"/>
        </w:rPr>
        <w:t>现将住房城乡建设部《关于印发</w:t>
      </w:r>
      <w:r>
        <w:rPr>
          <w:rFonts w:eastAsia="方正仿宋_GBK"/>
          <w:bCs/>
          <w:color w:val="000000"/>
          <w:sz w:val="24"/>
        </w:rPr>
        <w:t>&lt;</w:t>
      </w:r>
      <w:r>
        <w:rPr>
          <w:rFonts w:hint="eastAsia" w:eastAsia="方正仿宋_GBK"/>
          <w:bCs/>
          <w:color w:val="000000"/>
          <w:sz w:val="24"/>
        </w:rPr>
        <w:t>燃气经营许可管理办法</w:t>
      </w:r>
      <w:r>
        <w:rPr>
          <w:rFonts w:eastAsia="方正仿宋_GBK"/>
          <w:bCs/>
          <w:color w:val="000000"/>
          <w:sz w:val="24"/>
        </w:rPr>
        <w:t>&gt;</w:t>
      </w:r>
      <w:r>
        <w:rPr>
          <w:rFonts w:hint="eastAsia" w:eastAsia="方正仿宋_GBK"/>
          <w:bCs/>
          <w:color w:val="000000"/>
          <w:sz w:val="24"/>
        </w:rPr>
        <w:t>和</w:t>
      </w:r>
      <w:r>
        <w:rPr>
          <w:rFonts w:eastAsia="方正仿宋_GBK"/>
          <w:bCs/>
          <w:color w:val="000000"/>
          <w:sz w:val="24"/>
        </w:rPr>
        <w:t>&lt;</w:t>
      </w:r>
      <w:r>
        <w:rPr>
          <w:rFonts w:hint="eastAsia" w:eastAsia="方正仿宋_GBK"/>
          <w:bCs/>
          <w:color w:val="000000"/>
          <w:sz w:val="24"/>
        </w:rPr>
        <w:t>燃气经营企业从业人员专业培训考核管理办法</w:t>
      </w:r>
      <w:r>
        <w:rPr>
          <w:rFonts w:eastAsia="方正仿宋_GBK"/>
          <w:bCs/>
          <w:color w:val="000000"/>
          <w:sz w:val="24"/>
        </w:rPr>
        <w:t>&gt;</w:t>
      </w:r>
      <w:r>
        <w:rPr>
          <w:rFonts w:hint="eastAsia" w:eastAsia="方正仿宋_GBK"/>
          <w:bCs/>
          <w:color w:val="000000"/>
          <w:sz w:val="24"/>
        </w:rPr>
        <w:t>的通知》</w:t>
      </w:r>
      <w:r>
        <w:rPr>
          <w:rFonts w:eastAsia="方正仿宋_GBK"/>
          <w:bCs/>
          <w:color w:val="000000"/>
          <w:sz w:val="24"/>
        </w:rPr>
        <w:t>(</w:t>
      </w:r>
      <w:r>
        <w:rPr>
          <w:rFonts w:hint="eastAsia" w:eastAsia="方正仿宋_GBK"/>
          <w:bCs/>
          <w:color w:val="000000"/>
          <w:sz w:val="24"/>
        </w:rPr>
        <w:t>建城〔</w:t>
      </w:r>
      <w:r>
        <w:rPr>
          <w:rFonts w:eastAsia="方正仿宋_GBK"/>
          <w:bCs/>
          <w:color w:val="000000"/>
          <w:sz w:val="24"/>
        </w:rPr>
        <w:t>2014</w:t>
      </w:r>
      <w:r>
        <w:rPr>
          <w:rFonts w:hint="eastAsia" w:eastAsia="方正仿宋_GBK"/>
          <w:bCs/>
          <w:color w:val="000000"/>
          <w:sz w:val="24"/>
        </w:rPr>
        <w:t>〕</w:t>
      </w:r>
      <w:r>
        <w:rPr>
          <w:rFonts w:eastAsia="方正仿宋_GBK"/>
          <w:bCs/>
          <w:color w:val="000000"/>
          <w:sz w:val="24"/>
        </w:rPr>
        <w:t>167</w:t>
      </w:r>
      <w:r>
        <w:rPr>
          <w:rFonts w:hint="eastAsia" w:eastAsia="方正仿宋_GBK"/>
          <w:bCs/>
          <w:color w:val="000000"/>
          <w:sz w:val="24"/>
        </w:rPr>
        <w:t>号</w:t>
      </w:r>
      <w:r>
        <w:rPr>
          <w:rFonts w:eastAsia="方正仿宋_GBK"/>
          <w:bCs/>
          <w:color w:val="000000"/>
          <w:sz w:val="24"/>
        </w:rPr>
        <w:t>)</w:t>
      </w:r>
      <w:r>
        <w:rPr>
          <w:rFonts w:hint="eastAsia" w:eastAsia="方正仿宋_GBK"/>
          <w:bCs/>
          <w:color w:val="000000"/>
          <w:sz w:val="24"/>
        </w:rPr>
        <w:t>转发给你们，并提出如下贯彻意见：</w:t>
      </w:r>
      <w:r>
        <w:rPr>
          <w:rFonts w:eastAsia="方正仿宋_GBK"/>
          <w:bCs/>
          <w:color w:val="000000"/>
          <w:sz w:val="24"/>
        </w:rPr>
        <w:t xml:space="preserve"> </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一、燃气经营许可的核发</w:t>
      </w:r>
    </w:p>
    <w:p>
      <w:pPr>
        <w:spacing w:line="460" w:lineRule="exact"/>
        <w:ind w:firstLine="480" w:firstLineChars="200"/>
        <w:rPr>
          <w:rFonts w:hint="eastAsia" w:eastAsia="方正仿宋_GBK"/>
          <w:color w:val="000000"/>
          <w:sz w:val="24"/>
        </w:rPr>
      </w:pPr>
      <w:r>
        <w:rPr>
          <w:rFonts w:hint="eastAsia" w:eastAsia="方正仿宋_GBK"/>
          <w:color w:val="000000"/>
          <w:sz w:val="24"/>
        </w:rPr>
        <w:t>瓶装燃气经营企业的许可证由设区市燃气主管部门负责核发和管理，其他燃气经营企业的许可证由经营设施所在地的设区市、县（市、区）燃气主管部门负责核发和管理；省直管试点县（市）燃气管理部门负责辖区内燃气经营企业许可证的核发和管理。</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二、燃气经营许可证发放的其他事项</w:t>
      </w:r>
    </w:p>
    <w:p>
      <w:pPr>
        <w:spacing w:line="460" w:lineRule="exact"/>
        <w:ind w:firstLine="480" w:firstLineChars="200"/>
        <w:rPr>
          <w:rFonts w:hint="eastAsia" w:eastAsia="方正仿宋_GBK"/>
          <w:bCs/>
          <w:color w:val="000000"/>
          <w:sz w:val="24"/>
        </w:rPr>
      </w:pPr>
      <w:r>
        <w:rPr>
          <w:rFonts w:eastAsia="方正仿宋_GBK"/>
          <w:bCs/>
          <w:color w:val="000000"/>
          <w:sz w:val="24"/>
        </w:rPr>
        <w:t>1</w:t>
      </w:r>
      <w:r>
        <w:rPr>
          <w:rFonts w:hint="eastAsia" w:eastAsia="方正仿宋_GBK"/>
          <w:bCs/>
          <w:color w:val="000000"/>
          <w:sz w:val="24"/>
        </w:rPr>
        <w:t>、燃气汽车加气站等其他类型燃气经营企业负责人和安全生产管理人员按照住房城乡建设部《燃气经营许可管理办法》中的有关人员标准执行；运行、维护和抢修人员及数量配备：</w:t>
      </w:r>
      <w:r>
        <w:rPr>
          <w:rFonts w:eastAsia="方正仿宋_GBK"/>
          <w:bCs/>
          <w:color w:val="000000"/>
          <w:sz w:val="24"/>
        </w:rPr>
        <w:t>CNG</w:t>
      </w:r>
      <w:r>
        <w:rPr>
          <w:rFonts w:hint="eastAsia" w:eastAsia="方正仿宋_GBK"/>
          <w:bCs/>
          <w:color w:val="000000"/>
          <w:sz w:val="24"/>
        </w:rPr>
        <w:t>加气母站和</w:t>
      </w:r>
      <w:r>
        <w:rPr>
          <w:rFonts w:eastAsia="方正仿宋_GBK"/>
          <w:bCs/>
          <w:color w:val="000000"/>
          <w:sz w:val="24"/>
        </w:rPr>
        <w:t>LNG</w:t>
      </w:r>
      <w:r>
        <w:rPr>
          <w:rFonts w:hint="eastAsia" w:eastAsia="方正仿宋_GBK"/>
          <w:bCs/>
          <w:color w:val="000000"/>
          <w:sz w:val="24"/>
        </w:rPr>
        <w:t>生产储配经营企业不少于</w:t>
      </w:r>
      <w:r>
        <w:rPr>
          <w:rFonts w:eastAsia="方正仿宋_GBK"/>
          <w:bCs/>
          <w:color w:val="000000"/>
          <w:sz w:val="24"/>
        </w:rPr>
        <w:t>6</w:t>
      </w:r>
      <w:r>
        <w:rPr>
          <w:rFonts w:hint="eastAsia" w:eastAsia="方正仿宋_GBK"/>
          <w:bCs/>
          <w:color w:val="000000"/>
          <w:sz w:val="24"/>
        </w:rPr>
        <w:t>人。</w:t>
      </w:r>
      <w:r>
        <w:rPr>
          <w:rFonts w:eastAsia="方正仿宋_GBK"/>
          <w:bCs/>
          <w:color w:val="000000"/>
          <w:sz w:val="24"/>
        </w:rPr>
        <w:t>CNG</w:t>
      </w:r>
      <w:r>
        <w:rPr>
          <w:rFonts w:hint="eastAsia" w:eastAsia="方正仿宋_GBK"/>
          <w:bCs/>
          <w:color w:val="000000"/>
          <w:sz w:val="24"/>
        </w:rPr>
        <w:t>常规站、子站和</w:t>
      </w:r>
      <w:r>
        <w:rPr>
          <w:rFonts w:eastAsia="方正仿宋_GBK"/>
          <w:bCs/>
          <w:color w:val="000000"/>
          <w:sz w:val="24"/>
        </w:rPr>
        <w:t>LNG</w:t>
      </w:r>
      <w:r>
        <w:rPr>
          <w:rFonts w:hint="eastAsia" w:eastAsia="方正仿宋_GBK"/>
          <w:bCs/>
          <w:color w:val="000000"/>
          <w:sz w:val="24"/>
        </w:rPr>
        <w:t>加气站不少于</w:t>
      </w:r>
      <w:r>
        <w:rPr>
          <w:rFonts w:eastAsia="方正仿宋_GBK"/>
          <w:bCs/>
          <w:color w:val="000000"/>
          <w:sz w:val="24"/>
        </w:rPr>
        <w:t>4</w:t>
      </w:r>
      <w:r>
        <w:rPr>
          <w:rFonts w:hint="eastAsia" w:eastAsia="方正仿宋_GBK"/>
          <w:bCs/>
          <w:color w:val="000000"/>
          <w:sz w:val="24"/>
        </w:rPr>
        <w:t>人。</w:t>
      </w:r>
      <w:r>
        <w:rPr>
          <w:rFonts w:hint="eastAsia" w:ascii="Times New Roman" w:hAnsi="Times New Roman" w:cs="宋体"/>
          <w:bCs/>
          <w:color w:val="000000"/>
          <w:sz w:val="24"/>
        </w:rPr>
        <w:t>Ⅰ</w:t>
      </w:r>
      <w:r>
        <w:rPr>
          <w:rFonts w:hint="eastAsia" w:eastAsia="方正仿宋_GBK"/>
          <w:bCs/>
          <w:color w:val="000000"/>
          <w:sz w:val="24"/>
        </w:rPr>
        <w:t>、</w:t>
      </w:r>
      <w:r>
        <w:rPr>
          <w:rFonts w:hint="eastAsia" w:ascii="Times New Roman" w:hAnsi="Times New Roman" w:cs="宋体"/>
          <w:bCs/>
          <w:color w:val="000000"/>
          <w:sz w:val="24"/>
        </w:rPr>
        <w:t>Ⅱ</w:t>
      </w:r>
      <w:r>
        <w:rPr>
          <w:rFonts w:hint="eastAsia" w:eastAsia="方正仿宋_GBK"/>
          <w:bCs/>
          <w:color w:val="000000"/>
          <w:sz w:val="24"/>
        </w:rPr>
        <w:t>、</w:t>
      </w:r>
      <w:r>
        <w:rPr>
          <w:rFonts w:hint="eastAsia" w:ascii="Times New Roman" w:hAnsi="Times New Roman" w:cs="宋体"/>
          <w:bCs/>
          <w:color w:val="000000"/>
          <w:sz w:val="24"/>
        </w:rPr>
        <w:t>Ⅲ</w:t>
      </w:r>
      <w:r>
        <w:rPr>
          <w:rFonts w:hint="eastAsia" w:eastAsia="方正仿宋_GBK"/>
          <w:bCs/>
          <w:color w:val="000000"/>
          <w:sz w:val="24"/>
        </w:rPr>
        <w:t>级瓶装燃气供应站点不少于</w:t>
      </w:r>
      <w:r>
        <w:rPr>
          <w:rFonts w:eastAsia="方正仿宋_GBK"/>
          <w:bCs/>
          <w:color w:val="000000"/>
          <w:sz w:val="24"/>
        </w:rPr>
        <w:t>4</w:t>
      </w:r>
      <w:r>
        <w:rPr>
          <w:rFonts w:hint="eastAsia" w:eastAsia="方正仿宋_GBK"/>
          <w:bCs/>
          <w:color w:val="000000"/>
          <w:sz w:val="24"/>
        </w:rPr>
        <w:t>人、</w:t>
      </w:r>
      <w:r>
        <w:rPr>
          <w:rFonts w:eastAsia="方正仿宋_GBK"/>
          <w:bCs/>
          <w:color w:val="000000"/>
          <w:sz w:val="24"/>
        </w:rPr>
        <w:t>3</w:t>
      </w:r>
      <w:r>
        <w:rPr>
          <w:rFonts w:hint="eastAsia" w:eastAsia="方正仿宋_GBK"/>
          <w:bCs/>
          <w:color w:val="000000"/>
          <w:sz w:val="24"/>
        </w:rPr>
        <w:t>人、</w:t>
      </w:r>
      <w:r>
        <w:rPr>
          <w:rFonts w:eastAsia="方正仿宋_GBK"/>
          <w:bCs/>
          <w:color w:val="000000"/>
          <w:sz w:val="24"/>
        </w:rPr>
        <w:t>2</w:t>
      </w:r>
      <w:r>
        <w:rPr>
          <w:rFonts w:hint="eastAsia" w:eastAsia="方正仿宋_GBK"/>
          <w:bCs/>
          <w:color w:val="000000"/>
          <w:sz w:val="24"/>
        </w:rPr>
        <w:t>人。</w:t>
      </w:r>
    </w:p>
    <w:p>
      <w:pPr>
        <w:spacing w:line="460" w:lineRule="exact"/>
        <w:ind w:firstLine="480" w:firstLineChars="200"/>
        <w:jc w:val="left"/>
        <w:rPr>
          <w:rFonts w:eastAsia="方正仿宋_GBK"/>
          <w:color w:val="000000"/>
          <w:sz w:val="24"/>
        </w:rPr>
      </w:pPr>
      <w:r>
        <w:rPr>
          <w:rFonts w:eastAsia="方正仿宋_GBK"/>
          <w:color w:val="000000"/>
          <w:kern w:val="0"/>
          <w:sz w:val="24"/>
        </w:rPr>
        <w:t>2</w:t>
      </w:r>
      <w:r>
        <w:rPr>
          <w:rFonts w:hint="eastAsia" w:eastAsia="方正仿宋_GBK"/>
          <w:color w:val="000000"/>
          <w:kern w:val="0"/>
          <w:sz w:val="24"/>
        </w:rPr>
        <w:t>、燃气企业的主要负责人、安全生产管理人员以及运行、维护和抢修人员的</w:t>
      </w:r>
      <w:r>
        <w:rPr>
          <w:rFonts w:hint="eastAsia" w:eastAsia="方正仿宋_GBK"/>
          <w:color w:val="000000"/>
          <w:sz w:val="24"/>
        </w:rPr>
        <w:t>专业培训考核合格证书由省住房城乡建设厅统一核发，培训、考核的具体工作另行通知。</w:t>
      </w:r>
    </w:p>
    <w:p>
      <w:pPr>
        <w:spacing w:line="460" w:lineRule="exact"/>
        <w:ind w:firstLine="480" w:firstLineChars="200"/>
        <w:rPr>
          <w:rFonts w:eastAsia="方正仿宋_GBK"/>
          <w:color w:val="000000"/>
          <w:sz w:val="24"/>
        </w:rPr>
      </w:pPr>
      <w:r>
        <w:rPr>
          <w:rFonts w:eastAsia="方正仿宋_GBK"/>
          <w:color w:val="000000"/>
          <w:sz w:val="24"/>
        </w:rPr>
        <w:t>3</w:t>
      </w:r>
      <w:r>
        <w:rPr>
          <w:rFonts w:hint="eastAsia" w:eastAsia="方正仿宋_GBK"/>
          <w:color w:val="000000"/>
          <w:sz w:val="24"/>
        </w:rPr>
        <w:t>、《燃气经营许可证》正本与副本具有同等法律效力，正本、副本中的经营类别按照管道燃气、瓶装燃气、燃气汽车加气站、其他等四类进行划分，并且每个类别要明确标注气源种类，即：管道燃气</w:t>
      </w:r>
      <w:r>
        <w:rPr>
          <w:rFonts w:eastAsia="方正仿宋_GBK"/>
          <w:color w:val="000000"/>
          <w:sz w:val="24"/>
        </w:rPr>
        <w:t>&lt;</w:t>
      </w:r>
      <w:r>
        <w:rPr>
          <w:rFonts w:hint="eastAsia" w:eastAsia="方正仿宋_GBK"/>
          <w:color w:val="000000"/>
          <w:sz w:val="24"/>
        </w:rPr>
        <w:t>气源种类</w:t>
      </w:r>
      <w:r>
        <w:rPr>
          <w:rFonts w:eastAsia="方正仿宋_GBK"/>
          <w:color w:val="000000"/>
          <w:sz w:val="24"/>
        </w:rPr>
        <w:t>&gt;</w:t>
      </w:r>
      <w:r>
        <w:rPr>
          <w:rFonts w:hint="eastAsia" w:eastAsia="方正仿宋_GBK"/>
          <w:color w:val="000000"/>
          <w:sz w:val="24"/>
        </w:rPr>
        <w:t>、瓶装燃气</w:t>
      </w:r>
      <w:r>
        <w:rPr>
          <w:rFonts w:eastAsia="方正仿宋_GBK"/>
          <w:color w:val="000000"/>
          <w:sz w:val="24"/>
        </w:rPr>
        <w:t>&lt;</w:t>
      </w:r>
      <w:r>
        <w:rPr>
          <w:rFonts w:hint="eastAsia" w:eastAsia="方正仿宋_GBK"/>
          <w:color w:val="000000"/>
          <w:sz w:val="24"/>
        </w:rPr>
        <w:t>气源种类</w:t>
      </w:r>
      <w:r>
        <w:rPr>
          <w:rFonts w:eastAsia="方正仿宋_GBK"/>
          <w:color w:val="000000"/>
          <w:sz w:val="24"/>
        </w:rPr>
        <w:t>&gt;</w:t>
      </w:r>
      <w:r>
        <w:rPr>
          <w:rFonts w:hint="eastAsia" w:eastAsia="方正仿宋_GBK"/>
          <w:color w:val="000000"/>
          <w:sz w:val="24"/>
        </w:rPr>
        <w:t>、燃气汽车加气站</w:t>
      </w:r>
      <w:r>
        <w:rPr>
          <w:rFonts w:eastAsia="方正仿宋_GBK"/>
          <w:color w:val="000000"/>
          <w:sz w:val="24"/>
        </w:rPr>
        <w:t>&lt;</w:t>
      </w:r>
      <w:r>
        <w:rPr>
          <w:rFonts w:hint="eastAsia" w:eastAsia="方正仿宋_GBK"/>
          <w:color w:val="000000"/>
          <w:sz w:val="24"/>
        </w:rPr>
        <w:t>气源种类</w:t>
      </w:r>
      <w:r>
        <w:rPr>
          <w:rFonts w:eastAsia="方正仿宋_GBK"/>
          <w:color w:val="000000"/>
          <w:sz w:val="24"/>
        </w:rPr>
        <w:t>&gt;</w:t>
      </w:r>
      <w:r>
        <w:rPr>
          <w:rFonts w:hint="eastAsia" w:eastAsia="方正仿宋_GBK"/>
          <w:color w:val="000000"/>
          <w:sz w:val="24"/>
        </w:rPr>
        <w:t>、其他</w:t>
      </w:r>
      <w:r>
        <w:rPr>
          <w:rFonts w:eastAsia="方正仿宋_GBK"/>
          <w:color w:val="000000"/>
          <w:sz w:val="24"/>
        </w:rPr>
        <w:t>&lt;</w:t>
      </w:r>
      <w:r>
        <w:rPr>
          <w:rFonts w:hint="eastAsia" w:eastAsia="方正仿宋_GBK"/>
          <w:color w:val="000000"/>
          <w:sz w:val="24"/>
        </w:rPr>
        <w:t>气源种类</w:t>
      </w:r>
      <w:r>
        <w:rPr>
          <w:rFonts w:eastAsia="方正仿宋_GBK"/>
          <w:color w:val="000000"/>
          <w:sz w:val="24"/>
        </w:rPr>
        <w:t>&gt;</w:t>
      </w:r>
      <w:r>
        <w:rPr>
          <w:rFonts w:hint="eastAsia"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4</w:t>
      </w:r>
      <w:r>
        <w:rPr>
          <w:rFonts w:hint="eastAsia" w:eastAsia="方正仿宋_GBK"/>
          <w:color w:val="000000"/>
          <w:sz w:val="24"/>
        </w:rPr>
        <w:t>、《燃气经营许可证》编号由发证机关根据以下方法编制，苏</w:t>
      </w:r>
      <w:r>
        <w:rPr>
          <w:rFonts w:eastAsia="方正仿宋_GBK"/>
          <w:color w:val="000000"/>
          <w:sz w:val="24"/>
        </w:rPr>
        <w:t>+</w:t>
      </w:r>
      <w:r>
        <w:rPr>
          <w:rFonts w:hint="eastAsia" w:eastAsia="方正仿宋_GBK"/>
          <w:color w:val="000000"/>
          <w:sz w:val="24"/>
        </w:rPr>
        <w:t>发证年份编号</w:t>
      </w:r>
      <w:r>
        <w:rPr>
          <w:rFonts w:eastAsia="方正仿宋_GBK"/>
          <w:color w:val="000000"/>
          <w:sz w:val="24"/>
        </w:rPr>
        <w:t>+</w:t>
      </w:r>
      <w:r>
        <w:rPr>
          <w:rFonts w:hint="eastAsia" w:eastAsia="方正仿宋_GBK"/>
          <w:color w:val="000000"/>
          <w:sz w:val="24"/>
        </w:rPr>
        <w:t>设区市（省直管试点县、市）编号</w:t>
      </w:r>
      <w:r>
        <w:rPr>
          <w:rFonts w:eastAsia="方正仿宋_GBK"/>
          <w:color w:val="000000"/>
          <w:sz w:val="24"/>
        </w:rPr>
        <w:t>+</w:t>
      </w:r>
      <w:r>
        <w:rPr>
          <w:rFonts w:hint="eastAsia" w:eastAsia="方正仿宋_GBK"/>
          <w:color w:val="000000"/>
          <w:sz w:val="24"/>
        </w:rPr>
        <w:t>县（市、区）编号</w:t>
      </w:r>
      <w:r>
        <w:rPr>
          <w:rFonts w:eastAsia="方正仿宋_GBK"/>
          <w:color w:val="000000"/>
          <w:sz w:val="24"/>
        </w:rPr>
        <w:t>+</w:t>
      </w:r>
      <w:r>
        <w:rPr>
          <w:rFonts w:hint="eastAsia" w:eastAsia="方正仿宋_GBK"/>
          <w:color w:val="000000"/>
          <w:sz w:val="24"/>
        </w:rPr>
        <w:t>流水号</w:t>
      </w:r>
      <w:r>
        <w:rPr>
          <w:rFonts w:eastAsia="方正仿宋_GBK"/>
          <w:color w:val="000000"/>
          <w:sz w:val="24"/>
        </w:rPr>
        <w:t>+</w:t>
      </w:r>
      <w:r>
        <w:rPr>
          <w:rFonts w:hint="eastAsia" w:eastAsia="方正仿宋_GBK"/>
          <w:color w:val="000000"/>
          <w:sz w:val="24"/>
        </w:rPr>
        <w:t>经营类别代码，其中设区市（省直管试点县、市）编号为：南京市</w:t>
      </w:r>
      <w:r>
        <w:rPr>
          <w:rFonts w:eastAsia="方正仿宋_GBK"/>
          <w:color w:val="000000"/>
          <w:sz w:val="24"/>
        </w:rPr>
        <w:t>01</w:t>
      </w:r>
      <w:r>
        <w:rPr>
          <w:rFonts w:hint="eastAsia" w:eastAsia="方正仿宋_GBK"/>
          <w:color w:val="000000"/>
          <w:sz w:val="24"/>
        </w:rPr>
        <w:t>、无锡市</w:t>
      </w:r>
      <w:r>
        <w:rPr>
          <w:rFonts w:eastAsia="方正仿宋_GBK"/>
          <w:color w:val="000000"/>
          <w:sz w:val="24"/>
        </w:rPr>
        <w:t>02</w:t>
      </w:r>
      <w:r>
        <w:rPr>
          <w:rFonts w:hint="eastAsia" w:eastAsia="方正仿宋_GBK"/>
          <w:color w:val="000000"/>
          <w:sz w:val="24"/>
        </w:rPr>
        <w:t>、徐州市</w:t>
      </w:r>
      <w:r>
        <w:rPr>
          <w:rFonts w:eastAsia="方正仿宋_GBK"/>
          <w:color w:val="000000"/>
          <w:sz w:val="24"/>
        </w:rPr>
        <w:t>03</w:t>
      </w:r>
      <w:r>
        <w:rPr>
          <w:rFonts w:hint="eastAsia" w:eastAsia="方正仿宋_GBK"/>
          <w:color w:val="000000"/>
          <w:sz w:val="24"/>
        </w:rPr>
        <w:t>、常州市</w:t>
      </w:r>
      <w:r>
        <w:rPr>
          <w:rFonts w:eastAsia="方正仿宋_GBK"/>
          <w:color w:val="000000"/>
          <w:sz w:val="24"/>
        </w:rPr>
        <w:t>04</w:t>
      </w:r>
      <w:r>
        <w:rPr>
          <w:rFonts w:hint="eastAsia" w:eastAsia="方正仿宋_GBK"/>
          <w:color w:val="000000"/>
          <w:sz w:val="24"/>
        </w:rPr>
        <w:t>、苏州市</w:t>
      </w:r>
      <w:r>
        <w:rPr>
          <w:rFonts w:eastAsia="方正仿宋_GBK"/>
          <w:color w:val="000000"/>
          <w:sz w:val="24"/>
        </w:rPr>
        <w:t>05</w:t>
      </w:r>
      <w:r>
        <w:rPr>
          <w:rFonts w:hint="eastAsia" w:eastAsia="方正仿宋_GBK"/>
          <w:color w:val="000000"/>
          <w:sz w:val="24"/>
        </w:rPr>
        <w:t>、南通市</w:t>
      </w:r>
      <w:r>
        <w:rPr>
          <w:rFonts w:eastAsia="方正仿宋_GBK"/>
          <w:color w:val="000000"/>
          <w:sz w:val="24"/>
        </w:rPr>
        <w:t>06</w:t>
      </w:r>
      <w:r>
        <w:rPr>
          <w:rFonts w:hint="eastAsia" w:eastAsia="方正仿宋_GBK"/>
          <w:color w:val="000000"/>
          <w:sz w:val="24"/>
        </w:rPr>
        <w:t>、连云港市</w:t>
      </w:r>
      <w:r>
        <w:rPr>
          <w:rFonts w:eastAsia="方正仿宋_GBK"/>
          <w:color w:val="000000"/>
          <w:sz w:val="24"/>
        </w:rPr>
        <w:t>07</w:t>
      </w:r>
      <w:r>
        <w:rPr>
          <w:rFonts w:hint="eastAsia" w:eastAsia="方正仿宋_GBK"/>
          <w:color w:val="000000"/>
          <w:sz w:val="24"/>
        </w:rPr>
        <w:t>、淮安市</w:t>
      </w:r>
      <w:r>
        <w:rPr>
          <w:rFonts w:eastAsia="方正仿宋_GBK"/>
          <w:color w:val="000000"/>
          <w:sz w:val="24"/>
        </w:rPr>
        <w:t>08</w:t>
      </w:r>
      <w:r>
        <w:rPr>
          <w:rFonts w:hint="eastAsia" w:eastAsia="方正仿宋_GBK"/>
          <w:color w:val="000000"/>
          <w:sz w:val="24"/>
        </w:rPr>
        <w:t>、盐城市</w:t>
      </w:r>
      <w:r>
        <w:rPr>
          <w:rFonts w:eastAsia="方正仿宋_GBK"/>
          <w:color w:val="000000"/>
          <w:sz w:val="24"/>
        </w:rPr>
        <w:t>09</w:t>
      </w:r>
      <w:r>
        <w:rPr>
          <w:rFonts w:hint="eastAsia" w:eastAsia="方正仿宋_GBK"/>
          <w:color w:val="000000"/>
          <w:sz w:val="24"/>
        </w:rPr>
        <w:t>、扬州市</w:t>
      </w:r>
      <w:r>
        <w:rPr>
          <w:rFonts w:eastAsia="方正仿宋_GBK"/>
          <w:color w:val="000000"/>
          <w:sz w:val="24"/>
        </w:rPr>
        <w:t>10</w:t>
      </w:r>
      <w:r>
        <w:rPr>
          <w:rFonts w:hint="eastAsia" w:eastAsia="方正仿宋_GBK"/>
          <w:color w:val="000000"/>
          <w:sz w:val="24"/>
        </w:rPr>
        <w:t>、镇江市</w:t>
      </w:r>
      <w:r>
        <w:rPr>
          <w:rFonts w:eastAsia="方正仿宋_GBK"/>
          <w:color w:val="000000"/>
          <w:sz w:val="24"/>
        </w:rPr>
        <w:t>11</w:t>
      </w:r>
      <w:r>
        <w:rPr>
          <w:rFonts w:hint="eastAsia" w:eastAsia="方正仿宋_GBK"/>
          <w:color w:val="000000"/>
          <w:sz w:val="24"/>
        </w:rPr>
        <w:t>、泰州市</w:t>
      </w:r>
      <w:r>
        <w:rPr>
          <w:rFonts w:eastAsia="方正仿宋_GBK"/>
          <w:color w:val="000000"/>
          <w:sz w:val="24"/>
        </w:rPr>
        <w:t>12</w:t>
      </w:r>
      <w:r>
        <w:rPr>
          <w:rFonts w:hint="eastAsia" w:eastAsia="方正仿宋_GBK"/>
          <w:color w:val="000000"/>
          <w:sz w:val="24"/>
        </w:rPr>
        <w:t>、宿迁市</w:t>
      </w:r>
      <w:r>
        <w:rPr>
          <w:rFonts w:eastAsia="方正仿宋_GBK"/>
          <w:color w:val="000000"/>
          <w:sz w:val="24"/>
        </w:rPr>
        <w:t>13</w:t>
      </w:r>
      <w:r>
        <w:rPr>
          <w:rFonts w:hint="eastAsia" w:eastAsia="方正仿宋_GBK"/>
          <w:color w:val="000000"/>
          <w:sz w:val="24"/>
        </w:rPr>
        <w:t>、昆山</w:t>
      </w:r>
      <w:r>
        <w:rPr>
          <w:rFonts w:eastAsia="方正仿宋_GBK"/>
          <w:color w:val="000000"/>
          <w:sz w:val="24"/>
        </w:rPr>
        <w:t>14</w:t>
      </w:r>
      <w:r>
        <w:rPr>
          <w:rFonts w:hint="eastAsia" w:eastAsia="方正仿宋_GBK"/>
          <w:color w:val="000000"/>
          <w:sz w:val="24"/>
        </w:rPr>
        <w:t>、泰兴</w:t>
      </w:r>
      <w:r>
        <w:rPr>
          <w:rFonts w:eastAsia="方正仿宋_GBK"/>
          <w:color w:val="000000"/>
          <w:sz w:val="24"/>
        </w:rPr>
        <w:t>15</w:t>
      </w:r>
      <w:r>
        <w:rPr>
          <w:rFonts w:hint="eastAsia" w:eastAsia="方正仿宋_GBK"/>
          <w:color w:val="000000"/>
          <w:sz w:val="24"/>
        </w:rPr>
        <w:t>、沭阳</w:t>
      </w:r>
      <w:r>
        <w:rPr>
          <w:rFonts w:eastAsia="方正仿宋_GBK"/>
          <w:color w:val="000000"/>
          <w:sz w:val="24"/>
        </w:rPr>
        <w:t>16</w:t>
      </w:r>
      <w:r>
        <w:rPr>
          <w:rFonts w:hint="eastAsia" w:eastAsia="方正仿宋_GBK"/>
          <w:color w:val="000000"/>
          <w:sz w:val="24"/>
        </w:rPr>
        <w:t>。</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三、有关工作要求</w:t>
      </w:r>
    </w:p>
    <w:p>
      <w:pPr>
        <w:spacing w:line="460" w:lineRule="exact"/>
        <w:ind w:firstLine="480" w:firstLineChars="200"/>
        <w:rPr>
          <w:rFonts w:hint="eastAsia" w:eastAsia="方正仿宋_GBK"/>
          <w:color w:val="000000"/>
          <w:sz w:val="24"/>
        </w:rPr>
      </w:pPr>
      <w:r>
        <w:rPr>
          <w:rFonts w:hint="eastAsia" w:eastAsia="方正仿宋_GBK"/>
          <w:color w:val="000000"/>
          <w:sz w:val="24"/>
        </w:rPr>
        <w:t>各地</w:t>
      </w:r>
      <w:r>
        <w:rPr>
          <w:rFonts w:hint="eastAsia" w:eastAsia="方正仿宋_GBK"/>
          <w:bCs/>
          <w:color w:val="000000"/>
          <w:sz w:val="24"/>
        </w:rPr>
        <w:t>燃气主管部门</w:t>
      </w:r>
      <w:r>
        <w:rPr>
          <w:rFonts w:hint="eastAsia" w:eastAsia="方正仿宋_GBK"/>
          <w:color w:val="000000"/>
          <w:sz w:val="24"/>
        </w:rPr>
        <w:t>应当加强对经营许可证的监督管理，建立、健全经营许可证审批、颁发的档案管理制度，定期向社会公布企业取得经营许可证的情况。加强对辖区内燃气经营企业的日常监督检查，依法查处企业的非法违法经营行为，每年至少开展一次经营许可条件检查。供应许可证制度仍按</w:t>
      </w:r>
      <w:r>
        <w:rPr>
          <w:rFonts w:hint="eastAsia" w:eastAsia="方正仿宋_GBK"/>
          <w:bCs/>
          <w:color w:val="000000"/>
          <w:kern w:val="0"/>
          <w:sz w:val="24"/>
        </w:rPr>
        <w:t>《江苏省燃气管理条例》有关规定</w:t>
      </w:r>
      <w:r>
        <w:rPr>
          <w:rFonts w:hint="eastAsia" w:eastAsia="方正仿宋_GBK"/>
          <w:color w:val="000000"/>
          <w:sz w:val="24"/>
        </w:rPr>
        <w:t>继续实行。</w:t>
      </w:r>
    </w:p>
    <w:p>
      <w:pPr>
        <w:spacing w:line="460" w:lineRule="exact"/>
        <w:ind w:firstLine="480" w:firstLineChars="200"/>
        <w:rPr>
          <w:rFonts w:eastAsia="方正仿宋_GBK"/>
          <w:color w:val="000000"/>
          <w:sz w:val="24"/>
        </w:rPr>
      </w:pPr>
      <w:r>
        <w:rPr>
          <w:rFonts w:hint="eastAsia" w:eastAsia="方正仿宋_GBK"/>
          <w:color w:val="000000"/>
          <w:sz w:val="24"/>
        </w:rPr>
        <w:t>设区市燃气主管部门应当将本行政区域内经营许可证、供应许可证的发放情况于每年度</w:t>
      </w:r>
      <w:r>
        <w:rPr>
          <w:rFonts w:eastAsia="方正仿宋_GBK"/>
          <w:color w:val="000000"/>
          <w:sz w:val="24"/>
        </w:rPr>
        <w:t>12</w:t>
      </w:r>
      <w:r>
        <w:rPr>
          <w:rFonts w:hint="eastAsia" w:eastAsia="方正仿宋_GBK"/>
          <w:color w:val="000000"/>
          <w:sz w:val="24"/>
        </w:rPr>
        <w:t>月底前报省住房城乡建设厅备案。</w:t>
      </w:r>
    </w:p>
    <w:p>
      <w:pPr>
        <w:spacing w:line="460" w:lineRule="exact"/>
        <w:ind w:firstLine="480" w:firstLineChars="200"/>
        <w:rPr>
          <w:rFonts w:eastAsia="方正仿宋_GBK"/>
          <w:color w:val="000000"/>
          <w:sz w:val="24"/>
        </w:rPr>
      </w:pPr>
      <w:r>
        <w:rPr>
          <w:rFonts w:hint="eastAsia" w:eastAsia="方正仿宋_GBK"/>
          <w:color w:val="000000"/>
          <w:sz w:val="24"/>
        </w:rPr>
        <w:t>本通知与原《省住房城乡建设厅关于实施燃气经营许可有关事项的通知》（苏建函城〔</w:t>
      </w:r>
      <w:r>
        <w:rPr>
          <w:rFonts w:eastAsia="方正仿宋_GBK"/>
          <w:color w:val="000000"/>
          <w:sz w:val="24"/>
        </w:rPr>
        <w:t>2011</w:t>
      </w:r>
      <w:r>
        <w:rPr>
          <w:rFonts w:hint="eastAsia" w:eastAsia="方正仿宋_GBK"/>
          <w:color w:val="000000"/>
          <w:sz w:val="24"/>
        </w:rPr>
        <w:t>〕</w:t>
      </w:r>
      <w:r>
        <w:rPr>
          <w:rFonts w:eastAsia="方正仿宋_GBK"/>
          <w:color w:val="000000"/>
          <w:sz w:val="24"/>
        </w:rPr>
        <w:t>886</w:t>
      </w:r>
      <w:r>
        <w:rPr>
          <w:rFonts w:hint="eastAsia" w:eastAsia="方正仿宋_GBK"/>
          <w:color w:val="000000"/>
          <w:sz w:val="24"/>
        </w:rPr>
        <w:t>号）存有不一致之处，按本通知执行。</w:t>
      </w:r>
    </w:p>
    <w:p>
      <w:pPr>
        <w:spacing w:line="460" w:lineRule="exact"/>
        <w:ind w:firstLine="480" w:firstLineChars="200"/>
        <w:rPr>
          <w:rFonts w:eastAsia="方正仿宋_GBK"/>
          <w:color w:val="000000"/>
          <w:sz w:val="24"/>
        </w:rPr>
      </w:pPr>
      <w:r>
        <w:rPr>
          <w:rFonts w:hint="eastAsia" w:eastAsia="方正仿宋_GBK"/>
          <w:color w:val="000000"/>
          <w:sz w:val="24"/>
        </w:rPr>
        <w:t>本通知与原《省住房城乡建设厅关于印发〈江苏省瓶装燃气经营许可证和供应许可证管理办法〉的通知》（苏建法〔</w:t>
      </w:r>
      <w:r>
        <w:rPr>
          <w:rFonts w:eastAsia="方正仿宋_GBK"/>
          <w:color w:val="000000"/>
          <w:sz w:val="24"/>
        </w:rPr>
        <w:t>2005</w:t>
      </w:r>
      <w:r>
        <w:rPr>
          <w:rFonts w:hint="eastAsia" w:eastAsia="方正仿宋_GBK"/>
          <w:color w:val="000000"/>
          <w:sz w:val="24"/>
        </w:rPr>
        <w:t>〕</w:t>
      </w:r>
      <w:r>
        <w:rPr>
          <w:rFonts w:eastAsia="方正仿宋_GBK"/>
          <w:color w:val="000000"/>
          <w:sz w:val="24"/>
        </w:rPr>
        <w:t>256</w:t>
      </w:r>
      <w:r>
        <w:rPr>
          <w:rFonts w:hint="eastAsia" w:eastAsia="方正仿宋_GBK"/>
          <w:color w:val="000000"/>
          <w:sz w:val="24"/>
        </w:rPr>
        <w:t>号）存有不一致之处，按本通知执行。</w:t>
      </w:r>
    </w:p>
    <w:p>
      <w:pPr>
        <w:spacing w:line="460" w:lineRule="exact"/>
        <w:ind w:firstLine="640"/>
        <w:rPr>
          <w:rFonts w:eastAsia="方正仿宋_GBK"/>
          <w:bCs/>
          <w:color w:val="000000"/>
          <w:sz w:val="24"/>
        </w:rPr>
      </w:pPr>
    </w:p>
    <w:p>
      <w:pPr>
        <w:spacing w:line="460" w:lineRule="exact"/>
        <w:ind w:left="824" w:leftChars="278" w:hanging="240" w:hangingChars="100"/>
        <w:rPr>
          <w:rFonts w:eastAsia="方正仿宋_GBK"/>
          <w:bCs/>
          <w:color w:val="000000"/>
          <w:sz w:val="24"/>
        </w:rPr>
      </w:pPr>
      <w:r>
        <w:rPr>
          <w:rFonts w:hint="eastAsia" w:eastAsia="方正仿宋_GBK"/>
          <w:bCs/>
          <w:color w:val="000000"/>
          <w:sz w:val="24"/>
        </w:rPr>
        <w:t>附件：住房城乡建设部《关于印发</w:t>
      </w:r>
      <w:r>
        <w:rPr>
          <w:rFonts w:eastAsia="方正仿宋_GBK"/>
          <w:bCs/>
          <w:color w:val="000000"/>
          <w:sz w:val="24"/>
        </w:rPr>
        <w:t>&lt;</w:t>
      </w:r>
      <w:r>
        <w:rPr>
          <w:rFonts w:hint="eastAsia" w:eastAsia="方正仿宋_GBK"/>
          <w:bCs/>
          <w:color w:val="000000"/>
          <w:sz w:val="24"/>
        </w:rPr>
        <w:t>燃气经营许可管理办法</w:t>
      </w:r>
      <w:r>
        <w:rPr>
          <w:rFonts w:eastAsia="方正仿宋_GBK"/>
          <w:bCs/>
          <w:color w:val="000000"/>
          <w:sz w:val="24"/>
        </w:rPr>
        <w:t>&gt;</w:t>
      </w:r>
      <w:r>
        <w:rPr>
          <w:rFonts w:hint="eastAsia" w:eastAsia="方正仿宋_GBK"/>
          <w:bCs/>
          <w:color w:val="000000"/>
          <w:sz w:val="24"/>
        </w:rPr>
        <w:t>和</w:t>
      </w:r>
      <w:r>
        <w:rPr>
          <w:rFonts w:eastAsia="方正仿宋_GBK"/>
          <w:bCs/>
          <w:color w:val="000000"/>
          <w:sz w:val="24"/>
        </w:rPr>
        <w:t>&lt;</w:t>
      </w:r>
      <w:r>
        <w:rPr>
          <w:rFonts w:hint="eastAsia" w:eastAsia="方正仿宋_GBK"/>
          <w:bCs/>
          <w:color w:val="000000"/>
          <w:sz w:val="24"/>
        </w:rPr>
        <w:t>燃气经营企业从业人员专业培训考核管理办法</w:t>
      </w:r>
      <w:r>
        <w:rPr>
          <w:rFonts w:eastAsia="方正仿宋_GBK"/>
          <w:bCs/>
          <w:color w:val="000000"/>
          <w:sz w:val="24"/>
        </w:rPr>
        <w:t>&gt;</w:t>
      </w:r>
      <w:r>
        <w:rPr>
          <w:rFonts w:hint="eastAsia" w:eastAsia="方正仿宋_GBK"/>
          <w:bCs/>
          <w:color w:val="000000"/>
          <w:sz w:val="24"/>
        </w:rPr>
        <w:t>的通知》（建城〔</w:t>
      </w:r>
      <w:r>
        <w:rPr>
          <w:rFonts w:eastAsia="方正仿宋_GBK"/>
          <w:bCs/>
          <w:color w:val="000000"/>
          <w:sz w:val="24"/>
        </w:rPr>
        <w:t>2014</w:t>
      </w:r>
      <w:r>
        <w:rPr>
          <w:rFonts w:hint="eastAsia" w:eastAsia="方正仿宋_GBK"/>
          <w:bCs/>
          <w:color w:val="000000"/>
          <w:sz w:val="24"/>
        </w:rPr>
        <w:t>〕</w:t>
      </w:r>
      <w:r>
        <w:rPr>
          <w:rFonts w:eastAsia="方正仿宋_GBK"/>
          <w:bCs/>
          <w:color w:val="000000"/>
          <w:sz w:val="24"/>
        </w:rPr>
        <w:t>167</w:t>
      </w:r>
      <w:r>
        <w:rPr>
          <w:rFonts w:hint="eastAsia" w:eastAsia="方正仿宋_GBK"/>
          <w:bCs/>
          <w:color w:val="000000"/>
          <w:sz w:val="24"/>
        </w:rPr>
        <w:t>号）</w:t>
      </w:r>
    </w:p>
    <w:p>
      <w:pPr>
        <w:spacing w:line="460" w:lineRule="exact"/>
        <w:ind w:firstLine="1200" w:firstLineChars="500"/>
        <w:rPr>
          <w:rFonts w:eastAsia="方正仿宋_GBK"/>
          <w:bCs/>
          <w:color w:val="000000"/>
          <w:sz w:val="24"/>
        </w:rPr>
      </w:pPr>
    </w:p>
    <w:p>
      <w:pPr>
        <w:spacing w:line="460" w:lineRule="exact"/>
        <w:ind w:firstLine="1200" w:firstLineChars="500"/>
        <w:rPr>
          <w:rFonts w:eastAsia="方正仿宋_GBK"/>
          <w:bCs/>
          <w:color w:val="000000"/>
          <w:sz w:val="24"/>
        </w:rPr>
      </w:pPr>
    </w:p>
    <w:p>
      <w:pPr>
        <w:spacing w:line="460" w:lineRule="exact"/>
        <w:ind w:right="480" w:firstLine="640"/>
        <w:jc w:val="right"/>
        <w:rPr>
          <w:rFonts w:eastAsia="方正仿宋_GBK"/>
          <w:color w:val="000000"/>
          <w:kern w:val="0"/>
          <w:sz w:val="24"/>
        </w:rPr>
      </w:pPr>
      <w:r>
        <w:rPr>
          <w:rFonts w:hint="eastAsia" w:eastAsia="方正仿宋_GBK"/>
          <w:color w:val="000000"/>
          <w:kern w:val="0"/>
          <w:sz w:val="24"/>
        </w:rPr>
        <w:t>江苏省住房和城乡建设厅</w:t>
      </w:r>
    </w:p>
    <w:p>
      <w:pPr>
        <w:spacing w:line="460" w:lineRule="exact"/>
        <w:ind w:right="320" w:firstLine="6156" w:firstLineChars="2565"/>
        <w:rPr>
          <w:rFonts w:eastAsia="仿宋_GB2312"/>
          <w:color w:val="000000"/>
          <w:kern w:val="0"/>
          <w:sz w:val="32"/>
          <w:szCs w:val="32"/>
        </w:rPr>
      </w:pPr>
      <w:r>
        <w:rPr>
          <w:rFonts w:eastAsia="方正仿宋_GBK"/>
          <w:color w:val="000000"/>
          <w:kern w:val="0"/>
          <w:sz w:val="24"/>
        </w:rPr>
        <w:t>2015</w:t>
      </w:r>
      <w:r>
        <w:rPr>
          <w:rFonts w:hint="eastAsia" w:eastAsia="方正仿宋_GBK"/>
          <w:color w:val="000000"/>
          <w:kern w:val="0"/>
          <w:sz w:val="24"/>
        </w:rPr>
        <w:t>年</w:t>
      </w:r>
      <w:r>
        <w:rPr>
          <w:rFonts w:eastAsia="方正仿宋_GBK"/>
          <w:color w:val="000000"/>
          <w:kern w:val="0"/>
          <w:sz w:val="24"/>
        </w:rPr>
        <w:t>5</w:t>
      </w:r>
      <w:r>
        <w:rPr>
          <w:rFonts w:hint="eastAsia" w:eastAsia="方正仿宋_GBK"/>
          <w:color w:val="000000"/>
          <w:kern w:val="0"/>
          <w:sz w:val="24"/>
        </w:rPr>
        <w:t>月</w:t>
      </w:r>
      <w:r>
        <w:rPr>
          <w:rFonts w:eastAsia="方正仿宋_GBK"/>
          <w:color w:val="000000"/>
          <w:kern w:val="0"/>
          <w:sz w:val="24"/>
        </w:rPr>
        <w:t>28</w:t>
      </w:r>
      <w:r>
        <w:rPr>
          <w:rFonts w:hint="eastAsia" w:eastAsia="方正仿宋_GBK"/>
          <w:color w:val="000000"/>
          <w:kern w:val="0"/>
          <w:sz w:val="24"/>
        </w:rPr>
        <w:t>日</w:t>
      </w:r>
    </w:p>
    <w:p>
      <w:pPr>
        <w:spacing w:line="570" w:lineRule="exact"/>
        <w:rPr>
          <w:rFonts w:eastAsia="仿宋_GB2312"/>
          <w:color w:val="000000"/>
          <w:kern w:val="0"/>
          <w:sz w:val="28"/>
          <w:szCs w:val="28"/>
        </w:rPr>
      </w:pPr>
    </w:p>
    <w:p>
      <w:pPr>
        <w:spacing w:line="500" w:lineRule="exact"/>
        <w:ind w:left="-7" w:leftChars="-8" w:hanging="10" w:hangingChars="3"/>
        <w:rPr>
          <w:rFonts w:ascii="Times New Roman" w:eastAsia="方正小标宋简体"/>
          <w:sz w:val="36"/>
          <w:szCs w:val="36"/>
        </w:rPr>
      </w:pPr>
    </w:p>
    <w:p>
      <w:pPr>
        <w:spacing w:line="500" w:lineRule="exact"/>
        <w:ind w:left="-7" w:leftChars="-8" w:hanging="10" w:hangingChars="3"/>
        <w:rPr>
          <w:rFonts w:hint="eastAsia" w:ascii="Times New Roman" w:eastAsia="方正小标宋简体"/>
          <w:sz w:val="36"/>
          <w:szCs w:val="36"/>
        </w:rPr>
      </w:pPr>
    </w:p>
    <w:p>
      <w:pPr>
        <w:rPr>
          <w:rFonts w:hint="eastAsia"/>
        </w:rPr>
      </w:pPr>
    </w:p>
    <w:p/>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w:t>
      </w:r>
    </w:p>
    <w:p>
      <w:pPr>
        <w:spacing w:line="460" w:lineRule="exact"/>
        <w:rPr>
          <w:rFonts w:hint="eastAsia" w:eastAsia="方正仿宋_GBK"/>
          <w:color w:val="000000"/>
          <w:spacing w:val="-2"/>
          <w:sz w:val="24"/>
        </w:rPr>
      </w:pPr>
    </w:p>
    <w:p>
      <w:pPr>
        <w:spacing w:line="50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住房城乡建设部关于印发《燃气经营许可管理办法》和《燃气经营企业从业人员专业培训考核</w:t>
      </w:r>
    </w:p>
    <w:p>
      <w:pPr>
        <w:spacing w:line="50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管理办法》的通知</w:t>
      </w:r>
    </w:p>
    <w:p>
      <w:pPr>
        <w:spacing w:line="460" w:lineRule="exact"/>
        <w:rPr>
          <w:rFonts w:hint="eastAsia" w:eastAsia="方正仿宋_GBK"/>
          <w:color w:val="000000"/>
          <w:spacing w:val="-2"/>
          <w:sz w:val="24"/>
        </w:rPr>
      </w:pPr>
    </w:p>
    <w:p>
      <w:pPr>
        <w:spacing w:line="460" w:lineRule="exact"/>
        <w:jc w:val="center"/>
        <w:rPr>
          <w:rFonts w:eastAsia="方正楷体_GBK"/>
          <w:color w:val="000000"/>
          <w:spacing w:val="-2"/>
          <w:sz w:val="24"/>
        </w:rPr>
      </w:pPr>
      <w:r>
        <w:rPr>
          <w:rFonts w:hint="eastAsia" w:eastAsia="方正楷体_GBK"/>
          <w:color w:val="000000"/>
          <w:spacing w:val="-2"/>
          <w:sz w:val="24"/>
        </w:rPr>
        <w:t>建城〔</w:t>
      </w:r>
      <w:r>
        <w:rPr>
          <w:rFonts w:eastAsia="方正楷体_GBK"/>
          <w:color w:val="000000"/>
          <w:spacing w:val="-2"/>
          <w:sz w:val="24"/>
        </w:rPr>
        <w:t>2014</w:t>
      </w:r>
      <w:r>
        <w:rPr>
          <w:rFonts w:hint="eastAsia" w:eastAsia="方正楷体_GBK"/>
          <w:color w:val="000000"/>
          <w:spacing w:val="-2"/>
          <w:sz w:val="24"/>
        </w:rPr>
        <w:t>〕</w:t>
      </w:r>
      <w:r>
        <w:rPr>
          <w:rFonts w:eastAsia="方正楷体_GBK"/>
          <w:color w:val="000000"/>
          <w:spacing w:val="-2"/>
          <w:sz w:val="24"/>
        </w:rPr>
        <w:t>167</w:t>
      </w:r>
      <w:r>
        <w:rPr>
          <w:rFonts w:hint="eastAsia" w:eastAsia="方正楷体_GBK"/>
          <w:color w:val="000000"/>
          <w:spacing w:val="-2"/>
          <w:sz w:val="24"/>
        </w:rPr>
        <w:t>号</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r>
        <w:rPr>
          <w:rFonts w:hint="eastAsia" w:eastAsia="方正仿宋_GBK"/>
          <w:color w:val="000000"/>
          <w:spacing w:val="-2"/>
          <w:sz w:val="24"/>
        </w:rPr>
        <w:t>各省、自治区住房城乡建设厅，北京市市政市容委，天津市、上海市建委，重庆市市政管委、经信委、商委，新疆生产建设兵团建设局：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根据《城镇燃气管理条例》的有关规定，我部制定了《燃气经营许可管理办法》和《燃气经营企业从业人员专业培训考核管理办法》。现印发你们，请认真组织实施。</w:t>
      </w:r>
    </w:p>
    <w:p>
      <w:pPr>
        <w:spacing w:line="460" w:lineRule="exact"/>
        <w:rPr>
          <w:rFonts w:eastAsia="方正仿宋_GBK"/>
          <w:color w:val="000000"/>
          <w:spacing w:val="-2"/>
          <w:sz w:val="24"/>
        </w:rPr>
      </w:pPr>
      <w:r>
        <w:rPr>
          <w:rFonts w:eastAsia="方正仿宋_GBK"/>
          <w:color w:val="000000"/>
          <w:spacing w:val="-2"/>
          <w:sz w:val="24"/>
        </w:rPr>
        <w:t xml:space="preserve"> </w:t>
      </w:r>
    </w:p>
    <w:p>
      <w:pPr>
        <w:wordWrap w:val="0"/>
        <w:spacing w:line="460" w:lineRule="exact"/>
        <w:ind w:firstLine="2360" w:firstLineChars="1000"/>
        <w:jc w:val="right"/>
        <w:rPr>
          <w:rFonts w:eastAsia="方正仿宋_GBK"/>
          <w:color w:val="000000"/>
          <w:spacing w:val="-2"/>
          <w:sz w:val="24"/>
        </w:rPr>
      </w:pPr>
      <w:r>
        <w:rPr>
          <w:rFonts w:hint="eastAsia" w:eastAsia="方正仿宋_GBK"/>
          <w:color w:val="000000"/>
          <w:spacing w:val="-2"/>
          <w:sz w:val="24"/>
        </w:rPr>
        <w:t>中华人民共和国住房和城乡建设部</w:t>
      </w:r>
      <w:r>
        <w:rPr>
          <w:rFonts w:eastAsia="方正仿宋_GBK"/>
          <w:color w:val="000000"/>
          <w:spacing w:val="-2"/>
          <w:sz w:val="24"/>
        </w:rPr>
        <w:t xml:space="preserve">    </w:t>
      </w:r>
    </w:p>
    <w:p>
      <w:pPr>
        <w:wordWrap w:val="0"/>
        <w:spacing w:line="460" w:lineRule="exact"/>
        <w:ind w:firstLine="3304" w:firstLineChars="1400"/>
        <w:jc w:val="right"/>
        <w:rPr>
          <w:rFonts w:eastAsia="方正仿宋_GBK"/>
          <w:color w:val="000000"/>
          <w:spacing w:val="-2"/>
          <w:sz w:val="24"/>
        </w:rPr>
      </w:pPr>
      <w:r>
        <w:rPr>
          <w:rFonts w:eastAsia="方正仿宋_GBK"/>
          <w:color w:val="000000"/>
          <w:spacing w:val="-2"/>
          <w:sz w:val="24"/>
        </w:rPr>
        <w:t>2014</w:t>
      </w:r>
      <w:r>
        <w:rPr>
          <w:rFonts w:hint="eastAsia" w:eastAsia="方正仿宋_GBK"/>
          <w:color w:val="000000"/>
          <w:spacing w:val="-2"/>
          <w:sz w:val="24"/>
        </w:rPr>
        <w:t>年</w:t>
      </w:r>
      <w:r>
        <w:rPr>
          <w:rFonts w:eastAsia="方正仿宋_GBK"/>
          <w:color w:val="000000"/>
          <w:spacing w:val="-2"/>
          <w:sz w:val="24"/>
        </w:rPr>
        <w:t>11</w:t>
      </w:r>
      <w:r>
        <w:rPr>
          <w:rFonts w:hint="eastAsia" w:eastAsia="方正仿宋_GBK"/>
          <w:color w:val="000000"/>
          <w:spacing w:val="-2"/>
          <w:sz w:val="24"/>
        </w:rPr>
        <w:t>月</w:t>
      </w:r>
      <w:r>
        <w:rPr>
          <w:rFonts w:eastAsia="方正仿宋_GBK"/>
          <w:color w:val="000000"/>
          <w:spacing w:val="-2"/>
          <w:sz w:val="24"/>
        </w:rPr>
        <w:t>19</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ind w:firstLine="3304" w:firstLineChars="1400"/>
        <w:rPr>
          <w:rFonts w:eastAsia="方正仿宋_GBK"/>
          <w:color w:val="000000"/>
          <w:spacing w:val="-2"/>
          <w:sz w:val="24"/>
        </w:rPr>
      </w:pPr>
    </w:p>
    <w:p>
      <w:pPr>
        <w:spacing w:line="460" w:lineRule="exact"/>
        <w:ind w:firstLine="3304" w:firstLineChars="1400"/>
        <w:rPr>
          <w:rFonts w:eastAsia="方正仿宋_GBK"/>
          <w:color w:val="000000"/>
          <w:spacing w:val="-2"/>
          <w:sz w:val="24"/>
        </w:rPr>
      </w:pPr>
    </w:p>
    <w:p>
      <w:pPr>
        <w:spacing w:line="50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燃气经营许可管理办法</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hint="eastAsia" w:eastAsia="方正仿宋_GBK"/>
          <w:color w:val="000000"/>
          <w:spacing w:val="-2"/>
          <w:sz w:val="24"/>
        </w:rPr>
        <w:t>　为规范燃气经营许可行为，加强燃气经营许可管理，根据《城镇燃气管理条例》，制定本办法。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　</w:t>
      </w:r>
      <w:r>
        <w:rPr>
          <w:rFonts w:hint="eastAsia" w:eastAsia="方正仿宋_GBK"/>
          <w:color w:val="000000"/>
          <w:spacing w:val="-2"/>
          <w:sz w:val="24"/>
        </w:rPr>
        <w:t>从事燃气经营活动的，应当依法取得燃气经营许可，并在许可事项规定的范围内经营。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燃气经营许可的申请、受理、审查批准、证件核发以及相关的监督管理等行为，适用本办法。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　</w:t>
      </w:r>
      <w:r>
        <w:rPr>
          <w:rFonts w:hint="eastAsia" w:eastAsia="方正仿宋_GBK"/>
          <w:color w:val="000000"/>
          <w:spacing w:val="-2"/>
          <w:sz w:val="24"/>
        </w:rPr>
        <w:t>住房城乡建设部指导全国燃气经营许可管理工作。县级以上地方人民政府燃气管理部门负责本行政区域内的燃气经营许可管理工作。</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　</w:t>
      </w:r>
      <w:r>
        <w:rPr>
          <w:rFonts w:hint="eastAsia" w:eastAsia="方正仿宋_GBK"/>
          <w:color w:val="000000"/>
          <w:spacing w:val="-2"/>
          <w:sz w:val="24"/>
        </w:rPr>
        <w:t>燃气经营许可证由县级以上地方人民政府燃气管理部门核发，具体发证部门根据省级地方性法规、省级人民政府规章或决定确定。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　</w:t>
      </w:r>
      <w:r>
        <w:rPr>
          <w:rFonts w:hint="eastAsia" w:eastAsia="方正仿宋_GBK"/>
          <w:color w:val="000000"/>
          <w:spacing w:val="-2"/>
          <w:sz w:val="24"/>
        </w:rPr>
        <w:t>申请燃气经营许可的，应当具备下列条件：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（一）符合燃气发展规划要求。</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燃气经营区域、燃气种类、供应方式和规模、燃气设施布局和建设时序等符合依法批准并备案的燃气发展规划。</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（二）有符合国家标准的燃气气源。</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应与气源生产供应企业签订供用气合同或供用气意向书。</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燃气气源应符合国家城镇燃气气质有关标准。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（三）有符合国家标准的燃气设施。</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有符合国家标准的燃气生产、储气、输配、供应、计量、安全等设施设备。</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燃气设施工程建设符合法定程序，竣工验收合格并依法备案。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（四）有固定的经营场所。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有固定办公场所、经营和服务站点等。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（五）有完善的安全管理制度和健全的经营方案。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安全管理制度主要包括：安全生产责任制度，设施设备（含用户设施）安全巡检、检测制度，燃气质量检测制度，岗位操作规程，燃气突发事件应急预案，燃气安全宣传制度等。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经营方案主要包括：企业章程、发展规划、工程建设计划，用户发展业务流程、故障报修、投诉处置、安全用气等服务制度。</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（六）企业的主要负责人、安全生产管理人员以及运行、维护和抢修人员经专业培训并经燃气管理部门考核合格。专业培训考核具体办法另行制定。</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经专业培训并考核合格的人员及数量，应与企业经营规模相适应，最低人数应符合以下要求：</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企业主要负责人。是指企业法人代表（董事长）、企业总经理（总裁），每个岗位</w:t>
      </w:r>
      <w:r>
        <w:rPr>
          <w:rFonts w:eastAsia="方正仿宋_GBK"/>
          <w:color w:val="000000"/>
          <w:spacing w:val="-2"/>
          <w:sz w:val="24"/>
        </w:rPr>
        <w:t>1</w:t>
      </w:r>
      <w:r>
        <w:rPr>
          <w:rFonts w:hint="eastAsia" w:eastAsia="方正仿宋_GBK"/>
          <w:color w:val="000000"/>
          <w:spacing w:val="-2"/>
          <w:sz w:val="24"/>
        </w:rPr>
        <w:t>人。</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安全生产管理人员。是指企业负责安全运行的副总经理（副总裁），企业生产、安全管理部门负责人，企业生产和销售分支机构的负责人以及企业专职安全员，每个岗位不少于</w:t>
      </w:r>
      <w:r>
        <w:rPr>
          <w:rFonts w:eastAsia="方正仿宋_GBK"/>
          <w:color w:val="000000"/>
          <w:spacing w:val="-2"/>
          <w:sz w:val="24"/>
        </w:rPr>
        <w:t>1</w:t>
      </w:r>
      <w:r>
        <w:rPr>
          <w:rFonts w:hint="eastAsia" w:eastAsia="方正仿宋_GBK"/>
          <w:color w:val="000000"/>
          <w:spacing w:val="-2"/>
          <w:sz w:val="24"/>
        </w:rPr>
        <w:t>人。</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运行、维护和抢修人员。是指负责燃气设施设备运行、维护和事故抢险抢修的操作人员，包括但不仅限于燃气输配场站工、液化石油气库站工、压缩天然气场站工、液化天然气储运工、汽车加气站操作工、燃气管网工、燃气用户检修工。最低人数应满足：</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管道燃气经营企业，燃气用户</w:t>
      </w:r>
      <w:r>
        <w:rPr>
          <w:rFonts w:eastAsia="方正仿宋_GBK"/>
          <w:color w:val="000000"/>
          <w:spacing w:val="-2"/>
          <w:sz w:val="24"/>
        </w:rPr>
        <w:t>10</w:t>
      </w:r>
      <w:r>
        <w:rPr>
          <w:rFonts w:hint="eastAsia" w:eastAsia="方正仿宋_GBK"/>
          <w:color w:val="000000"/>
          <w:spacing w:val="-2"/>
          <w:sz w:val="24"/>
        </w:rPr>
        <w:t>万户以下的，每</w:t>
      </w:r>
      <w:r>
        <w:rPr>
          <w:rFonts w:eastAsia="方正仿宋_GBK"/>
          <w:color w:val="000000"/>
          <w:spacing w:val="-2"/>
          <w:sz w:val="24"/>
        </w:rPr>
        <w:t>2500</w:t>
      </w:r>
      <w:r>
        <w:rPr>
          <w:rFonts w:hint="eastAsia" w:eastAsia="方正仿宋_GBK"/>
          <w:color w:val="000000"/>
          <w:spacing w:val="-2"/>
          <w:sz w:val="24"/>
        </w:rPr>
        <w:t>户不少于</w:t>
      </w:r>
      <w:r>
        <w:rPr>
          <w:rFonts w:eastAsia="方正仿宋_GBK"/>
          <w:color w:val="000000"/>
          <w:spacing w:val="-2"/>
          <w:sz w:val="24"/>
        </w:rPr>
        <w:t>1</w:t>
      </w:r>
      <w:r>
        <w:rPr>
          <w:rFonts w:hint="eastAsia" w:eastAsia="方正仿宋_GBK"/>
          <w:color w:val="000000"/>
          <w:spacing w:val="-2"/>
          <w:sz w:val="24"/>
        </w:rPr>
        <w:t>人；</w:t>
      </w:r>
      <w:r>
        <w:rPr>
          <w:rFonts w:eastAsia="方正仿宋_GBK"/>
          <w:color w:val="000000"/>
          <w:spacing w:val="-2"/>
          <w:sz w:val="24"/>
        </w:rPr>
        <w:t>10</w:t>
      </w:r>
      <w:r>
        <w:rPr>
          <w:rFonts w:hint="eastAsia" w:eastAsia="方正仿宋_GBK"/>
          <w:color w:val="000000"/>
          <w:spacing w:val="-2"/>
          <w:sz w:val="24"/>
        </w:rPr>
        <w:t>万户以上的，每增加</w:t>
      </w:r>
      <w:r>
        <w:rPr>
          <w:rFonts w:eastAsia="方正仿宋_GBK"/>
          <w:color w:val="000000"/>
          <w:spacing w:val="-2"/>
          <w:sz w:val="24"/>
        </w:rPr>
        <w:t>2500</w:t>
      </w:r>
      <w:r>
        <w:rPr>
          <w:rFonts w:hint="eastAsia" w:eastAsia="方正仿宋_GBK"/>
          <w:color w:val="000000"/>
          <w:spacing w:val="-2"/>
          <w:sz w:val="24"/>
        </w:rPr>
        <w:t>户增加</w:t>
      </w:r>
      <w:r>
        <w:rPr>
          <w:rFonts w:eastAsia="方正仿宋_GBK"/>
          <w:color w:val="000000"/>
          <w:spacing w:val="-2"/>
          <w:sz w:val="24"/>
        </w:rPr>
        <w:t>1</w:t>
      </w:r>
      <w:r>
        <w:rPr>
          <w:rFonts w:hint="eastAsia" w:eastAsia="方正仿宋_GBK"/>
          <w:color w:val="000000"/>
          <w:spacing w:val="-2"/>
          <w:sz w:val="24"/>
        </w:rPr>
        <w:t>人；</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瓶装燃气经营企业，燃气用户</w:t>
      </w:r>
      <w:r>
        <w:rPr>
          <w:rFonts w:eastAsia="方正仿宋_GBK"/>
          <w:color w:val="000000"/>
          <w:spacing w:val="-2"/>
          <w:sz w:val="24"/>
        </w:rPr>
        <w:t>1000</w:t>
      </w:r>
      <w:r>
        <w:rPr>
          <w:rFonts w:hint="eastAsia" w:eastAsia="方正仿宋_GBK"/>
          <w:color w:val="000000"/>
          <w:spacing w:val="-2"/>
          <w:sz w:val="24"/>
        </w:rPr>
        <w:t>户及以下的不少于</w:t>
      </w:r>
      <w:r>
        <w:rPr>
          <w:rFonts w:eastAsia="方正仿宋_GBK"/>
          <w:color w:val="000000"/>
          <w:spacing w:val="-2"/>
          <w:sz w:val="24"/>
        </w:rPr>
        <w:t>3</w:t>
      </w:r>
      <w:r>
        <w:rPr>
          <w:rFonts w:hint="eastAsia" w:eastAsia="方正仿宋_GBK"/>
          <w:color w:val="000000"/>
          <w:spacing w:val="-2"/>
          <w:sz w:val="24"/>
        </w:rPr>
        <w:t>人；</w:t>
      </w:r>
      <w:r>
        <w:rPr>
          <w:rFonts w:eastAsia="方正仿宋_GBK"/>
          <w:color w:val="000000"/>
          <w:spacing w:val="-2"/>
          <w:sz w:val="24"/>
        </w:rPr>
        <w:t>1000</w:t>
      </w:r>
      <w:r>
        <w:rPr>
          <w:rFonts w:hint="eastAsia" w:eastAsia="方正仿宋_GBK"/>
          <w:color w:val="000000"/>
          <w:spacing w:val="-2"/>
          <w:sz w:val="24"/>
        </w:rPr>
        <w:t>户以上不到</w:t>
      </w:r>
      <w:r>
        <w:rPr>
          <w:rFonts w:eastAsia="方正仿宋_GBK"/>
          <w:color w:val="000000"/>
          <w:spacing w:val="-2"/>
          <w:sz w:val="24"/>
        </w:rPr>
        <w:t>1</w:t>
      </w:r>
      <w:r>
        <w:rPr>
          <w:rFonts w:hint="eastAsia" w:eastAsia="方正仿宋_GBK"/>
          <w:color w:val="000000"/>
          <w:spacing w:val="-2"/>
          <w:sz w:val="24"/>
        </w:rPr>
        <w:t>万户的，每</w:t>
      </w:r>
      <w:r>
        <w:rPr>
          <w:rFonts w:eastAsia="方正仿宋_GBK"/>
          <w:color w:val="000000"/>
          <w:spacing w:val="-2"/>
          <w:sz w:val="24"/>
        </w:rPr>
        <w:t>800</w:t>
      </w:r>
      <w:r>
        <w:rPr>
          <w:rFonts w:hint="eastAsia" w:eastAsia="方正仿宋_GBK"/>
          <w:color w:val="000000"/>
          <w:spacing w:val="-2"/>
          <w:sz w:val="24"/>
        </w:rPr>
        <w:t>户</w:t>
      </w:r>
      <w:r>
        <w:rPr>
          <w:rFonts w:eastAsia="方正仿宋_GBK"/>
          <w:color w:val="000000"/>
          <w:spacing w:val="-2"/>
          <w:sz w:val="24"/>
        </w:rPr>
        <w:t>1</w:t>
      </w:r>
      <w:r>
        <w:rPr>
          <w:rFonts w:hint="eastAsia" w:eastAsia="方正仿宋_GBK"/>
          <w:color w:val="000000"/>
          <w:spacing w:val="-2"/>
          <w:sz w:val="24"/>
        </w:rPr>
        <w:t>人；</w:t>
      </w:r>
      <w:r>
        <w:rPr>
          <w:rFonts w:eastAsia="方正仿宋_GBK"/>
          <w:color w:val="000000"/>
          <w:spacing w:val="-2"/>
          <w:sz w:val="24"/>
        </w:rPr>
        <w:t>1-5</w:t>
      </w:r>
      <w:r>
        <w:rPr>
          <w:rFonts w:hint="eastAsia" w:eastAsia="方正仿宋_GBK"/>
          <w:color w:val="000000"/>
          <w:spacing w:val="-2"/>
          <w:sz w:val="24"/>
        </w:rPr>
        <w:t>万户，每增加</w:t>
      </w:r>
      <w:r>
        <w:rPr>
          <w:rFonts w:eastAsia="方正仿宋_GBK"/>
          <w:color w:val="000000"/>
          <w:spacing w:val="-2"/>
          <w:sz w:val="24"/>
        </w:rPr>
        <w:t>1</w:t>
      </w:r>
      <w:r>
        <w:rPr>
          <w:rFonts w:hint="eastAsia" w:eastAsia="方正仿宋_GBK"/>
          <w:color w:val="000000"/>
          <w:spacing w:val="-2"/>
          <w:sz w:val="24"/>
        </w:rPr>
        <w:t>万户增加</w:t>
      </w:r>
      <w:r>
        <w:rPr>
          <w:rFonts w:eastAsia="方正仿宋_GBK"/>
          <w:color w:val="000000"/>
          <w:spacing w:val="-2"/>
          <w:sz w:val="24"/>
        </w:rPr>
        <w:t>10</w:t>
      </w:r>
      <w:r>
        <w:rPr>
          <w:rFonts w:hint="eastAsia" w:eastAsia="方正仿宋_GBK"/>
          <w:color w:val="000000"/>
          <w:spacing w:val="-2"/>
          <w:sz w:val="24"/>
        </w:rPr>
        <w:t>人；</w:t>
      </w:r>
      <w:r>
        <w:rPr>
          <w:rFonts w:eastAsia="方正仿宋_GBK"/>
          <w:color w:val="000000"/>
          <w:spacing w:val="-2"/>
          <w:sz w:val="24"/>
        </w:rPr>
        <w:t>5-10</w:t>
      </w:r>
      <w:r>
        <w:rPr>
          <w:rFonts w:hint="eastAsia" w:eastAsia="方正仿宋_GBK"/>
          <w:color w:val="000000"/>
          <w:spacing w:val="-2"/>
          <w:sz w:val="24"/>
        </w:rPr>
        <w:t>万户，每增加</w:t>
      </w:r>
      <w:r>
        <w:rPr>
          <w:rFonts w:eastAsia="方正仿宋_GBK"/>
          <w:color w:val="000000"/>
          <w:spacing w:val="-2"/>
          <w:sz w:val="24"/>
        </w:rPr>
        <w:t>1</w:t>
      </w:r>
      <w:r>
        <w:rPr>
          <w:rFonts w:hint="eastAsia" w:eastAsia="方正仿宋_GBK"/>
          <w:color w:val="000000"/>
          <w:spacing w:val="-2"/>
          <w:sz w:val="24"/>
        </w:rPr>
        <w:t>万户增加</w:t>
      </w:r>
      <w:r>
        <w:rPr>
          <w:rFonts w:eastAsia="方正仿宋_GBK"/>
          <w:color w:val="000000"/>
          <w:spacing w:val="-2"/>
          <w:sz w:val="24"/>
        </w:rPr>
        <w:t>8</w:t>
      </w:r>
      <w:r>
        <w:rPr>
          <w:rFonts w:hint="eastAsia" w:eastAsia="方正仿宋_GBK"/>
          <w:color w:val="000000"/>
          <w:spacing w:val="-2"/>
          <w:sz w:val="24"/>
        </w:rPr>
        <w:t>人；</w:t>
      </w:r>
      <w:r>
        <w:rPr>
          <w:rFonts w:eastAsia="方正仿宋_GBK"/>
          <w:color w:val="000000"/>
          <w:spacing w:val="-2"/>
          <w:sz w:val="24"/>
        </w:rPr>
        <w:t>10</w:t>
      </w:r>
      <w:r>
        <w:rPr>
          <w:rFonts w:hint="eastAsia" w:eastAsia="方正仿宋_GBK"/>
          <w:color w:val="000000"/>
          <w:spacing w:val="-2"/>
          <w:sz w:val="24"/>
        </w:rPr>
        <w:t>万户以上每增加</w:t>
      </w:r>
      <w:r>
        <w:rPr>
          <w:rFonts w:eastAsia="方正仿宋_GBK"/>
          <w:color w:val="000000"/>
          <w:spacing w:val="-2"/>
          <w:sz w:val="24"/>
        </w:rPr>
        <w:t>1</w:t>
      </w:r>
      <w:r>
        <w:rPr>
          <w:rFonts w:hint="eastAsia" w:eastAsia="方正仿宋_GBK"/>
          <w:color w:val="000000"/>
          <w:spacing w:val="-2"/>
          <w:sz w:val="24"/>
        </w:rPr>
        <w:t>万户增加</w:t>
      </w:r>
      <w:r>
        <w:rPr>
          <w:rFonts w:eastAsia="方正仿宋_GBK"/>
          <w:color w:val="000000"/>
          <w:spacing w:val="-2"/>
          <w:sz w:val="24"/>
        </w:rPr>
        <w:t>5</w:t>
      </w:r>
      <w:r>
        <w:rPr>
          <w:rFonts w:hint="eastAsia" w:eastAsia="方正仿宋_GBK"/>
          <w:color w:val="000000"/>
          <w:spacing w:val="-2"/>
          <w:sz w:val="24"/>
        </w:rPr>
        <w:t>人；</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燃气汽车加气站等其他类型燃气经营企业人员及数量配备以及其他运行、维护和抢修类人员，由省级人民政府燃气管理部门根据具体情况确定。</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（七）法律、法规规定的其他条件。</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　</w:t>
      </w:r>
      <w:r>
        <w:rPr>
          <w:rFonts w:hint="eastAsia" w:eastAsia="方正仿宋_GBK"/>
          <w:color w:val="000000"/>
          <w:spacing w:val="-2"/>
          <w:sz w:val="24"/>
        </w:rPr>
        <w:t>申请燃气经营许可的，应当向发证部门提交下列申请材料，并对其真实性、合法性、有效性负责：</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（一）燃气经营许可申请书；</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（二）企业章程和企业资本结构说明；</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（三）企业的主要负责人、安全生产管理人员以及运行、维护和抢修等人员的身份证明、所取得的有效期内的燃气从业人员专业培训考核合格证书；</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（四）固定的经营场所（包括办公场所、经营和服务站点等）的产权证明或租赁协议；</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（五）燃气设施建设工程竣工验收报告及备案文件；</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（六）申请的燃气经营类别和经营区域，企业实施燃气发展规划的具体方案；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（七）气源证明。燃气气质检测报告；与气源供应企业签订的供用气合同书或供用气意向书；</w:t>
      </w:r>
    </w:p>
    <w:p>
      <w:pPr>
        <w:spacing w:line="460" w:lineRule="exact"/>
        <w:ind w:firstLine="472" w:firstLineChars="200"/>
        <w:rPr>
          <w:rFonts w:eastAsia="方正仿宋_GBK"/>
          <w:color w:val="000000"/>
          <w:spacing w:val="-6"/>
          <w:sz w:val="24"/>
        </w:rPr>
      </w:pPr>
      <w:r>
        <w:rPr>
          <w:rFonts w:hint="eastAsia" w:eastAsia="方正仿宋_GBK"/>
          <w:color w:val="000000"/>
          <w:spacing w:val="-2"/>
          <w:sz w:val="24"/>
        </w:rPr>
        <w:t>（八）</w:t>
      </w:r>
      <w:r>
        <w:rPr>
          <w:rFonts w:hint="eastAsia" w:eastAsia="方正仿宋_GBK"/>
          <w:color w:val="000000"/>
          <w:spacing w:val="-6"/>
          <w:sz w:val="24"/>
        </w:rPr>
        <w:t>本办法第五条第（五）项要求的完善的安全管理制度和健全的经营方案材料；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（九）法律、法规和规章规定的其他材料。</w:t>
      </w:r>
    </w:p>
    <w:p>
      <w:pPr>
        <w:spacing w:line="460" w:lineRule="exact"/>
        <w:ind w:firstLine="472" w:firstLineChars="200"/>
        <w:rPr>
          <w:rFonts w:eastAsia="方正仿宋_GBK"/>
          <w:color w:val="000000"/>
          <w:spacing w:val="-8"/>
          <w:sz w:val="24"/>
        </w:rPr>
      </w:pPr>
      <w:r>
        <w:rPr>
          <w:rFonts w:hint="eastAsia" w:ascii="Times New Roman" w:eastAsia="方正黑体_GBK"/>
          <w:color w:val="000000"/>
          <w:spacing w:val="-2"/>
          <w:sz w:val="24"/>
        </w:rPr>
        <w:t>第七条　</w:t>
      </w:r>
      <w:r>
        <w:rPr>
          <w:rFonts w:hint="eastAsia" w:eastAsia="方正仿宋_GBK"/>
          <w:color w:val="000000"/>
          <w:spacing w:val="-8"/>
          <w:sz w:val="24"/>
        </w:rPr>
        <w:t>发证部门通过材料审查和现场核查的方式对申请人的申请材料进行审查。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第</w:t>
      </w:r>
      <w:r>
        <w:rPr>
          <w:rFonts w:hint="eastAsia" w:ascii="Times New Roman" w:eastAsia="方正黑体_GBK"/>
          <w:color w:val="000000"/>
          <w:spacing w:val="-2"/>
          <w:sz w:val="24"/>
        </w:rPr>
        <w:t>八</w:t>
      </w:r>
      <w:r>
        <w:rPr>
          <w:rFonts w:hint="eastAsia" w:eastAsia="方正仿宋_GBK"/>
          <w:color w:val="000000"/>
          <w:spacing w:val="-2"/>
          <w:sz w:val="24"/>
        </w:rPr>
        <w:t>条　发证部门应当自受理申请之日起二十个工作日内作出是否准予许可的决定。二十日内不能作出许可决定的，经发证部门负责人批准，可以延长十个工作日，并应当将延长期限的理由告知申请人。发证部门作出准予许可决定的，应向申请人出具《准予许可通知书》，告知申请人领取燃气经营许可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发证部门作出不予许可决定的，应当出具《不予许可决定书》，说明不予许可的理由，并告知申请人依法享有申请行政复议或者提起行政诉讼的权利。</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　</w:t>
      </w:r>
      <w:r>
        <w:rPr>
          <w:rFonts w:hint="eastAsia" w:eastAsia="方正仿宋_GBK"/>
          <w:color w:val="000000"/>
          <w:spacing w:val="-2"/>
          <w:sz w:val="24"/>
        </w:rPr>
        <w:t>发证部门作出的准予许可决定的，应当予以公开，公众有权查询。</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公开的内容包括：准予许可的燃气经营企业名称、燃气经营许可证编号、企业注册登记地址、企业法定代表人、经营类别、经营区域、发证部门名称、发证日期和许可证有效期限等。</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　</w:t>
      </w:r>
      <w:r>
        <w:rPr>
          <w:rFonts w:hint="eastAsia" w:eastAsia="方正仿宋_GBK"/>
          <w:color w:val="000000"/>
          <w:spacing w:val="-2"/>
          <w:sz w:val="24"/>
        </w:rPr>
        <w:t>燃气经营许可证的格式、内容、有效期限、编号方式等按照住房城乡建设部《关于印发〈燃气经营许可证〉格式的通知》（建城〔</w:t>
      </w:r>
      <w:r>
        <w:rPr>
          <w:rFonts w:eastAsia="方正仿宋_GBK"/>
          <w:color w:val="000000"/>
          <w:spacing w:val="-2"/>
          <w:sz w:val="24"/>
        </w:rPr>
        <w:t>2011</w:t>
      </w:r>
      <w:r>
        <w:rPr>
          <w:rFonts w:hint="eastAsia" w:eastAsia="方正仿宋_GBK"/>
          <w:color w:val="000000"/>
          <w:spacing w:val="-2"/>
          <w:sz w:val="24"/>
        </w:rPr>
        <w:t>〕</w:t>
      </w:r>
      <w:r>
        <w:rPr>
          <w:rFonts w:eastAsia="方正仿宋_GBK"/>
          <w:color w:val="000000"/>
          <w:spacing w:val="-2"/>
          <w:sz w:val="24"/>
        </w:rPr>
        <w:t>174</w:t>
      </w:r>
      <w:r>
        <w:rPr>
          <w:rFonts w:hint="eastAsia" w:eastAsia="方正仿宋_GBK"/>
          <w:color w:val="000000"/>
          <w:spacing w:val="-2"/>
          <w:sz w:val="24"/>
        </w:rPr>
        <w:t>号）执行。</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　</w:t>
      </w:r>
      <w:r>
        <w:rPr>
          <w:rFonts w:hint="eastAsia" w:eastAsia="方正仿宋_GBK"/>
          <w:color w:val="000000"/>
          <w:spacing w:val="-2"/>
          <w:sz w:val="24"/>
        </w:rPr>
        <w:t>已取得燃气经营许可证的燃气经营企业需要变更企业名称、登记注册地址、法定代表人的，应向原发证部门申请变更燃气经营许可，其中变更法定代表人的，新法定代表人应具有燃气从业人员专业培训考核合格证书。未经许可，不得擅自改变许可事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　</w:t>
      </w:r>
      <w:r>
        <w:rPr>
          <w:rFonts w:hint="eastAsia" w:eastAsia="方正仿宋_GBK"/>
          <w:color w:val="000000"/>
          <w:spacing w:val="-2"/>
          <w:sz w:val="24"/>
        </w:rPr>
        <w:t>已取得燃气经营许可证的燃气经营企业，有下列情形的，应重新申请经营许可。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（一）燃气经营企业的经营类别、经营区域、供应方式等发生变化的；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（二）燃气经营企业发生分立、合并的。</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第十三条　</w:t>
      </w:r>
      <w:r>
        <w:rPr>
          <w:rFonts w:hint="eastAsia" w:eastAsia="方正仿宋_GBK"/>
          <w:color w:val="000000"/>
          <w:spacing w:val="-2"/>
          <w:sz w:val="24"/>
        </w:rPr>
        <w:t>有下列情形之一的，出具《准予许可通知书》的发证部门或者其上级行政机关，可以撤销已作出的燃气经营许可：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（一）许可机关工作人员滥用职权，玩忽职守，给不符合条件的申请人发放燃气经营许可证的；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（二）许可机关工作人员超越法定权限发放燃气经营许可证的；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（三）许可机关工作人员违反法定程序发放燃气经营许可证的；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（四）对不具备申请资格或者不符合法定条件的申请人出具《准予许可通知书》；</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（五）依法可以撤销燃气经营许可证的其他情形。</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燃气经营企业以欺骗、贿赂等不正当手段取得燃气经营许可，应当予以撤销。</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　</w:t>
      </w:r>
      <w:r>
        <w:rPr>
          <w:rFonts w:hint="eastAsia" w:eastAsia="方正仿宋_GBK"/>
          <w:color w:val="000000"/>
          <w:spacing w:val="-2"/>
          <w:sz w:val="24"/>
        </w:rPr>
        <w:t>有下列情形之一的，发证部门应当依法办理燃气经营许可的注销手续：</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（一）燃气经营许可证有效期届满且燃气经营企业未申请延续的；</w:t>
      </w:r>
    </w:p>
    <w:p>
      <w:pPr>
        <w:spacing w:line="460" w:lineRule="exact"/>
        <w:ind w:firstLine="472" w:firstLineChars="200"/>
        <w:rPr>
          <w:rFonts w:eastAsia="方正仿宋_GBK"/>
          <w:color w:val="000000"/>
          <w:spacing w:val="-6"/>
          <w:sz w:val="24"/>
        </w:rPr>
      </w:pPr>
      <w:r>
        <w:rPr>
          <w:rFonts w:hint="eastAsia" w:eastAsia="方正仿宋_GBK"/>
          <w:color w:val="000000"/>
          <w:spacing w:val="-2"/>
          <w:sz w:val="24"/>
        </w:rPr>
        <w:t>（二）</w:t>
      </w:r>
      <w:r>
        <w:rPr>
          <w:rFonts w:hint="eastAsia" w:eastAsia="方正仿宋_GBK"/>
          <w:color w:val="000000"/>
          <w:spacing w:val="-6"/>
          <w:sz w:val="24"/>
        </w:rPr>
        <w:t>燃气经营企业没有在法定期限内取得合法主体资格或者主体资格依法终止的；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（三）燃气经营许可依法被撤销、撤回，或者燃气经营许可证被依法吊销的；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（四）因不可抗力导致燃气经营许可事项无法实施的；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（五）依法应当注销燃气经营许可的其他情形。</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第十五条　</w:t>
      </w:r>
      <w:r>
        <w:rPr>
          <w:rFonts w:hint="eastAsia" w:eastAsia="方正仿宋_GBK"/>
          <w:color w:val="000000"/>
          <w:spacing w:val="-2"/>
          <w:sz w:val="24"/>
        </w:rPr>
        <w:t>燃气经营企业申请注销燃气经营许可的，应当向原许可机关提交下列申请材料：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（一）燃气经营许可注销申请书；</w:t>
      </w:r>
    </w:p>
    <w:p>
      <w:pPr>
        <w:spacing w:line="460" w:lineRule="exact"/>
        <w:ind w:firstLine="472" w:firstLineChars="200"/>
        <w:rPr>
          <w:rFonts w:eastAsia="方正仿宋_GBK"/>
          <w:color w:val="000000"/>
          <w:spacing w:val="-2"/>
          <w:position w:val="2"/>
          <w:sz w:val="24"/>
        </w:rPr>
      </w:pPr>
      <w:r>
        <w:rPr>
          <w:rFonts w:hint="eastAsia" w:eastAsia="方正仿宋_GBK"/>
          <w:color w:val="000000"/>
          <w:spacing w:val="-2"/>
          <w:sz w:val="24"/>
        </w:rPr>
        <w:t>（二）</w:t>
      </w:r>
      <w:r>
        <w:rPr>
          <w:rFonts w:hint="eastAsia" w:eastAsia="方正仿宋_GBK"/>
          <w:color w:val="000000"/>
          <w:spacing w:val="-2"/>
          <w:position w:val="2"/>
          <w:sz w:val="24"/>
        </w:rPr>
        <w:t>燃气经营企业对原有用户安置和设施处置等相关方案；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（三）燃气经营许可证正、副本；</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（四）与注销燃气经营许可证相关的证明文件。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发证部门受理注销申请后，经审核依法注销燃气经营许可证。</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第十六条　</w:t>
      </w:r>
      <w:r>
        <w:rPr>
          <w:rFonts w:hint="eastAsia" w:eastAsia="方正仿宋_GBK"/>
          <w:color w:val="000000"/>
          <w:spacing w:val="-2"/>
          <w:sz w:val="24"/>
        </w:rPr>
        <w:t>燃气经营企业遗失燃气经营许可证的，应当在国家认可的报刊上公开声明，并持相关证明向发证部门申请补办，发证部门应在二十个工作日内核实补办燃气经营许可证。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经营许可证表面发生脏污、破损或其他原因造成燃气经营许可证内容无法辨识的，燃气经营企业应向发证部门申请补办，发证部门应收回原经营许可证正、副本，并在二十个工作日内核实补办燃气经营许可证。</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第十七条　</w:t>
      </w:r>
      <w:r>
        <w:rPr>
          <w:rFonts w:hint="eastAsia" w:eastAsia="方正仿宋_GBK"/>
          <w:color w:val="000000"/>
          <w:spacing w:val="-2"/>
          <w:sz w:val="24"/>
        </w:rPr>
        <w:t>已取得燃气经营许可证的燃气经营企业，应当于每年</w:t>
      </w:r>
      <w:r>
        <w:rPr>
          <w:rFonts w:eastAsia="方正仿宋_GBK"/>
          <w:color w:val="000000"/>
          <w:spacing w:val="-2"/>
          <w:sz w:val="24"/>
        </w:rPr>
        <w:t>1</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日至</w:t>
      </w:r>
      <w:r>
        <w:rPr>
          <w:rFonts w:eastAsia="方正仿宋_GBK"/>
          <w:color w:val="000000"/>
          <w:spacing w:val="-2"/>
          <w:sz w:val="24"/>
        </w:rPr>
        <w:t>3</w:t>
      </w:r>
      <w:r>
        <w:rPr>
          <w:rFonts w:hint="eastAsia" w:eastAsia="方正仿宋_GBK"/>
          <w:color w:val="000000"/>
          <w:spacing w:val="-2"/>
          <w:sz w:val="24"/>
        </w:rPr>
        <w:t>月</w:t>
      </w:r>
      <w:r>
        <w:rPr>
          <w:rFonts w:eastAsia="方正仿宋_GBK"/>
          <w:color w:val="000000"/>
          <w:spacing w:val="-2"/>
          <w:sz w:val="24"/>
        </w:rPr>
        <w:t>31</w:t>
      </w:r>
      <w:r>
        <w:rPr>
          <w:rFonts w:hint="eastAsia" w:eastAsia="方正仿宋_GBK"/>
          <w:color w:val="000000"/>
          <w:spacing w:val="-2"/>
          <w:sz w:val="24"/>
        </w:rPr>
        <w:t>日，向发证部门报送上一年度企业年度报告。当年设立登记的企业，自下一年起报送企业年度报告。</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燃气经营企业的出资比例、股权结构等重大事项发生变化的，应当在事项变化结束后十五个工作日内，向发证部门报告并提供相关材料，由发证部门记载在燃气经营许可证副本中。</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第十八条　</w:t>
      </w:r>
      <w:r>
        <w:rPr>
          <w:rFonts w:hint="eastAsia" w:eastAsia="方正仿宋_GBK"/>
          <w:color w:val="000000"/>
          <w:spacing w:val="-2"/>
          <w:sz w:val="24"/>
        </w:rPr>
        <w:t>企业年度报告内容主要包括：</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（一）企业章程和企业资本结构及其变化情况；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（二）企业的主要负责人、安全生产管理人员以及运行、维护和抢修等人员变更和培训情况；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（三）企业建设改造燃气设施具体情况；</w:t>
      </w:r>
    </w:p>
    <w:p>
      <w:pPr>
        <w:spacing w:line="460" w:lineRule="exact"/>
        <w:ind w:firstLine="472" w:firstLineChars="200"/>
        <w:rPr>
          <w:rFonts w:eastAsia="方正仿宋_GBK"/>
          <w:color w:val="000000"/>
          <w:spacing w:val="-2"/>
          <w:position w:val="2"/>
          <w:sz w:val="24"/>
        </w:rPr>
      </w:pPr>
      <w:r>
        <w:rPr>
          <w:rFonts w:hint="eastAsia" w:eastAsia="方正仿宋_GBK"/>
          <w:color w:val="000000"/>
          <w:spacing w:val="-2"/>
          <w:position w:val="2"/>
          <w:sz w:val="24"/>
        </w:rPr>
        <w:t>（四）企业运行情况（包括供应规模、用户发展、安全运行等）；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（五）其他需要报告的内容。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具体报告内容和要求由省级人民政府燃气管理部门确定。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第十九条　</w:t>
      </w:r>
      <w:r>
        <w:rPr>
          <w:rFonts w:hint="eastAsia" w:eastAsia="方正仿宋_GBK"/>
          <w:color w:val="000000"/>
          <w:spacing w:val="-2"/>
          <w:sz w:val="24"/>
        </w:rPr>
        <w:t>发证部门应当按照国家统一要求建立本行政区域燃气经营许可管理信息系统，内容包括燃气许可证发证、变更、撤回、撤销、注销、吊销等，燃气经营企业从业人员信息、燃气经营出资比例和股权结构、燃气事故统计、处罚情况、诚信记录、年度报告等事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省级人民政府燃气管理部门应当建立本行政区域燃气经营许可管理信息系统，对本行政区域内发证部门的燃气经营许可管理信息系统监督指导。</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第二十条　</w:t>
      </w:r>
      <w:r>
        <w:rPr>
          <w:rFonts w:hint="eastAsia" w:eastAsia="方正仿宋_GBK"/>
          <w:color w:val="000000"/>
          <w:spacing w:val="-2"/>
          <w:sz w:val="24"/>
        </w:rPr>
        <w:t>省级人民政府燃气管理部门可以根据本地实际情况，制定具体实施办法，报住房城乡建设部备案。</w:t>
      </w:r>
    </w:p>
    <w:p>
      <w:pPr>
        <w:spacing w:line="460" w:lineRule="exact"/>
        <w:rPr>
          <w:rFonts w:eastAsia="方正仿宋_GBK"/>
          <w:color w:val="000000"/>
          <w:spacing w:val="-2"/>
          <w:sz w:val="24"/>
        </w:rPr>
      </w:pPr>
      <w:r>
        <w:rPr>
          <w:rFonts w:eastAsia="方正仿宋_GBK"/>
          <w:color w:val="000000"/>
          <w:spacing w:val="-2"/>
          <w:sz w:val="24"/>
        </w:rPr>
        <w:t xml:space="preserve"> </w:t>
      </w: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燃气经营企业从业人员专业培训</w:t>
      </w: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考核管理办法</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　</w:t>
      </w:r>
      <w:r>
        <w:rPr>
          <w:rFonts w:hint="eastAsia" w:eastAsia="方正仿宋_GBK"/>
          <w:color w:val="000000"/>
          <w:spacing w:val="-2"/>
          <w:sz w:val="24"/>
        </w:rPr>
        <w:t>为规范燃气经营许可行为，做好燃气经营企业从业人员（以下简称</w:t>
      </w:r>
      <w:r>
        <w:rPr>
          <w:rFonts w:eastAsia="方正仿宋_GBK"/>
          <w:color w:val="000000"/>
          <w:spacing w:val="-2"/>
          <w:sz w:val="24"/>
        </w:rPr>
        <w:t>“</w:t>
      </w:r>
      <w:r>
        <w:rPr>
          <w:rFonts w:hint="eastAsia" w:eastAsia="方正仿宋_GBK"/>
          <w:color w:val="000000"/>
          <w:spacing w:val="-2"/>
          <w:sz w:val="24"/>
        </w:rPr>
        <w:t>燃气从业人员</w:t>
      </w:r>
      <w:r>
        <w:rPr>
          <w:rFonts w:eastAsia="方正仿宋_GBK"/>
          <w:color w:val="000000"/>
          <w:spacing w:val="-2"/>
          <w:sz w:val="24"/>
        </w:rPr>
        <w:t>”</w:t>
      </w:r>
      <w:r>
        <w:rPr>
          <w:rFonts w:hint="eastAsia" w:eastAsia="方正仿宋_GBK"/>
          <w:color w:val="000000"/>
          <w:spacing w:val="-2"/>
          <w:sz w:val="24"/>
        </w:rPr>
        <w:t>）的专业培训考核工作，根据《城镇燃气管理条例》的有关规定，制定本办法。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　</w:t>
      </w:r>
      <w:r>
        <w:rPr>
          <w:rFonts w:hint="eastAsia" w:eastAsia="方正仿宋_GBK"/>
          <w:color w:val="000000"/>
          <w:spacing w:val="-2"/>
          <w:sz w:val="24"/>
        </w:rPr>
        <w:t>本办法所指燃气从业人员是指：</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（一）企业主要负责人。是指企业法人代表（董事长）、企业总经理（总裁）；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（二）安全生产管理人员。是指企业负责安全运行的副总经理（副总裁），企业生产、安全管理部门负责人，企业生产和销售分支机构的负责人以及企业专职安全员；</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运行、维护和抢修人员。是指负责燃气设施设备运行、维护和事故抢险抢修的操作人员，包括但不仅限于燃气输配场站工、液化石油气库站工、压缩天然气场站工、液化天然气储运工、汽车加气站操作工、燃气管网工、燃气用户检修工，其他人员由各省级人民政府燃气管理部门根据具体情况确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　</w:t>
      </w:r>
      <w:r>
        <w:rPr>
          <w:rFonts w:hint="eastAsia" w:eastAsia="方正仿宋_GBK"/>
          <w:color w:val="000000"/>
          <w:spacing w:val="-2"/>
          <w:sz w:val="24"/>
        </w:rPr>
        <w:t>住房城乡建设部指导全国燃气从业人员专业培训考核工作。负责组织编制全国燃气经营企业主要负责人，安全生产管理人员以及燃气输配场站工、液化石油气库站工、压缩天然气场站工、液化天然气储运工、汽车加气站操作工、燃气管网工、燃气用户检修工等运行、维护和抢修人员的职业标准、专业培训大纲和教材；建立全国统一的专业考核题库。</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级人民政府燃气管理部门负责本行政区域燃气从业人员专业培训考核工作。负责编制本行政区域燃气从业人员继续教育教材，编制本行政区域其他运行、维护和抢修人员专业培训大纲和教材，建立本行政区域其他运行、维护和抢修人员专业考核题库，并报住房城乡建设部备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县级以上地方人民政府燃气管理部门负责监督管理本行政区域燃气从业人员继续教育工作。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城市燃气行业协会协助同级燃气管理部门，做好燃气从业人员专业培训考核和继续教育工作，加强行业燃气从业人员自律管理。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　</w:t>
      </w:r>
      <w:r>
        <w:rPr>
          <w:rFonts w:hint="eastAsia" w:eastAsia="方正仿宋_GBK"/>
          <w:color w:val="000000"/>
          <w:spacing w:val="-2"/>
          <w:sz w:val="24"/>
        </w:rPr>
        <w:t>从事燃气经营活动的企业，应组织本企业燃气从业人员参加有关燃气知识的专业培训考核和继续教育。</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燃气从业人员由所从业的燃气经营企业组织参加燃气知识的专业培训，并经专业考核合格；在从业期间，应参加相应岗位的燃气知识继续教育，以提高从业能力和水平。</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企业主要负责人、安全生产管理人员和运行、维护和抢修人员在专业培训考核合格证书复检日期前，应参加不少于三十学时的继续教育。</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　</w:t>
      </w:r>
      <w:r>
        <w:rPr>
          <w:rFonts w:hint="eastAsia" w:eastAsia="方正仿宋_GBK"/>
          <w:color w:val="000000"/>
          <w:spacing w:val="-2"/>
          <w:sz w:val="24"/>
        </w:rPr>
        <w:t>燃气从业人员专业培训和继续教育由具备必要的燃气专业培训能力的燃气经营企业或社会培训机构（单位）承担，从事燃气从业人员专业培训和继续教育的企业或社会培训机构（单位）应主动报省级人民政府燃气管理部门备案，接受省级人民政府燃气管理部门指导监督。</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从事燃气从业人员专业培训和继续教育的企业或社会培训机构（单位），要保证培训质量，应采用统一的燃气从业人员专业培训大纲开展专业培训工作。</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　</w:t>
      </w:r>
      <w:r>
        <w:rPr>
          <w:rFonts w:hint="eastAsia" w:eastAsia="方正仿宋_GBK"/>
          <w:color w:val="000000"/>
          <w:spacing w:val="-2"/>
          <w:sz w:val="24"/>
        </w:rPr>
        <w:t>从事燃气从业人员专业培训的企业或社会培训机构（单位），在专业培训结束后，应向省级人民政府燃气管理部门提出专业考核申请。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省级人民政府燃气管理部门在接到专业考核申请后，应从燃气从业人员专业考核题库内抽取相应类别的专业考核题目，对不同类别燃气从业人员，分别进行专业考核。</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经专业考核合格的人员，由省级人民政府燃气管理部门发放相应类别的燃气从业人员专业培训考核合格证书。</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　</w:t>
      </w:r>
      <w:r>
        <w:rPr>
          <w:rFonts w:hint="eastAsia" w:eastAsia="方正仿宋_GBK"/>
          <w:color w:val="000000"/>
          <w:spacing w:val="-2"/>
          <w:sz w:val="24"/>
        </w:rPr>
        <w:t>燃气从业人员专业培训考核合格证书样式由住房城乡建设部制订。燃气从业人员专业培训考核合格证书不得转让、涂改、伪造、冒用。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从业人员专业培训考核合格证书（除各省级人民政府燃气管理部门确定的其他运行、维护和抢修人员以外），全国通用，统一编号；各省级人民政府燃气管理部门确定的运行、维护和抢修人员专业培训考核合格证书，在本省级行政区域内通用、统一编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省级人民政府燃气管理部门应按照国家统一要求建立本行政区域燃气从业人员专业培训考核合格人员信息库，统一管理专业培训考核合格人员信息。专业培训考核合格人员信息应向社会公告。</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专业培训考核合格证书每五年由省级人民政府燃气管理部门开展一次复检，未经复检或复检不通过的，专业培训考核合格证书自动失效。</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　</w:t>
      </w:r>
      <w:r>
        <w:rPr>
          <w:rFonts w:hint="eastAsia" w:eastAsia="方正仿宋_GBK"/>
          <w:color w:val="000000"/>
          <w:spacing w:val="-2"/>
          <w:sz w:val="24"/>
        </w:rPr>
        <w:t>燃气从业人员应在专业培训考核合格证书复检日期前六十个工作日内，由燃气经营企业向所在地省级人民政府燃气管理部门提出复检申请，省级人民政府燃气管理部门应在收到复检申请三十个工作日内作出复检意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燃气从业人员专业培训考核合格证书复检，应包括持证人从业期间在岗履职情况、安全事故记录和继续教育等内容。具体复检标准由各省级人民政府燃气管理部门确定。</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　</w:t>
      </w:r>
      <w:r>
        <w:rPr>
          <w:rFonts w:hint="eastAsia" w:eastAsia="方正仿宋_GBK"/>
          <w:color w:val="000000"/>
          <w:spacing w:val="-2"/>
          <w:sz w:val="24"/>
        </w:rPr>
        <w:t>专业培训考核合格人员跨企业流动从业的，应由流入燃气经营企业向流入地省级人民政府燃气管理部门申请办理燃气从业人员专业培训考核合格证书变更。</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专业培训考核合格人员流出企业应主动向本行政区省级人民政府燃气管理部门报告人员变更事项。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　</w:t>
      </w:r>
      <w:r>
        <w:rPr>
          <w:rFonts w:hint="eastAsia" w:eastAsia="方正仿宋_GBK"/>
          <w:color w:val="000000"/>
          <w:spacing w:val="-2"/>
          <w:sz w:val="24"/>
        </w:rPr>
        <w:t>燃气从业人员专业培训考核和继续教育工作接受上级燃气管理部门和社会监督，燃气管理部门设立对外监督投诉电话，接受社会监督。</w:t>
      </w:r>
    </w:p>
    <w:p/>
    <w:p/>
    <w:p/>
    <w:p/>
    <w:p/>
    <w:p/>
    <w:p>
      <w:pPr>
        <w:pStyle w:val="2"/>
        <w:spacing w:before="240" w:beforeLines="100" w:after="240" w:afterLines="100" w:line="240" w:lineRule="auto"/>
        <w:jc w:val="center"/>
        <w:rPr>
          <w:rFonts w:ascii="Times New Roman" w:eastAsia="方正小标宋_GBK"/>
          <w:b w:val="0"/>
          <w:sz w:val="36"/>
          <w:szCs w:val="36"/>
        </w:rPr>
      </w:pPr>
      <w:bookmarkStart w:id="154" w:name="_Toc20726412"/>
      <w:bookmarkStart w:id="155" w:name="_Toc18315495"/>
      <w:r>
        <w:rPr>
          <w:rFonts w:hint="eastAsia" w:ascii="Times New Roman" w:eastAsia="方正小标宋_GBK"/>
          <w:b w:val="0"/>
          <w:sz w:val="36"/>
          <w:szCs w:val="36"/>
        </w:rPr>
        <w:t>省住房城乡建设厅关于加强城镇燃气地下管线       隐患排查和安全管理的通知</w:t>
      </w:r>
      <w:bookmarkEnd w:id="154"/>
      <w:bookmarkEnd w:id="15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56" w:name="_Toc20726413"/>
      <w:bookmarkStart w:id="157" w:name="_Toc18315496"/>
      <w:r>
        <w:rPr>
          <w:rFonts w:hint="eastAsia" w:ascii="Times New Roman" w:hAnsi="Times New Roman" w:eastAsia="方正楷体_GBK"/>
          <w:b w:val="0"/>
          <w:sz w:val="24"/>
          <w:szCs w:val="24"/>
        </w:rPr>
        <w:t>苏建函城〔</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591</w:t>
      </w:r>
      <w:r>
        <w:rPr>
          <w:rFonts w:hint="eastAsia" w:ascii="Times New Roman" w:hAnsi="Times New Roman" w:eastAsia="方正楷体_GBK"/>
          <w:b w:val="0"/>
          <w:sz w:val="24"/>
          <w:szCs w:val="24"/>
        </w:rPr>
        <w:t>号</w:t>
      </w:r>
      <w:bookmarkEnd w:id="156"/>
      <w:bookmarkEnd w:id="157"/>
    </w:p>
    <w:p>
      <w:pPr>
        <w:spacing w:line="460" w:lineRule="exact"/>
        <w:rPr>
          <w:rFonts w:eastAsia="方正仿宋_GBK"/>
          <w:color w:val="000000"/>
          <w:spacing w:val="-2"/>
          <w:sz w:val="24"/>
        </w:rPr>
      </w:pPr>
      <w:r>
        <w:rPr>
          <w:rFonts w:hint="eastAsia" w:eastAsia="方正仿宋_GBK"/>
          <w:color w:val="000000"/>
          <w:spacing w:val="-2"/>
          <w:sz w:val="24"/>
        </w:rPr>
        <w:t>各市建设局（委）、规划局、城管局、无锡市政公用和园林局，昆山、泰兴、沭阳县（市）建设局：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为了贯彻落实《国务院办公厅关于加强城市地下管线建设管理的指导意见》（国办发〔</w:t>
      </w:r>
      <w:r>
        <w:rPr>
          <w:rFonts w:eastAsia="方正仿宋_GBK"/>
          <w:color w:val="000000"/>
          <w:spacing w:val="-2"/>
          <w:sz w:val="24"/>
        </w:rPr>
        <w:t>2014</w:t>
      </w:r>
      <w:r>
        <w:rPr>
          <w:rFonts w:hint="eastAsia" w:eastAsia="方正仿宋_GBK"/>
          <w:color w:val="000000"/>
          <w:spacing w:val="-2"/>
          <w:sz w:val="24"/>
        </w:rPr>
        <w:t>〕</w:t>
      </w:r>
      <w:r>
        <w:rPr>
          <w:rFonts w:eastAsia="方正仿宋_GBK"/>
          <w:color w:val="000000"/>
          <w:spacing w:val="-2"/>
          <w:sz w:val="24"/>
        </w:rPr>
        <w:t>27</w:t>
      </w:r>
      <w:r>
        <w:rPr>
          <w:rFonts w:hint="eastAsia" w:eastAsia="方正仿宋_GBK"/>
          <w:color w:val="000000"/>
          <w:spacing w:val="-2"/>
          <w:sz w:val="24"/>
        </w:rPr>
        <w:t>号））、《省政府办公厅关于加强城市地下管线建设管理的实施意见》（苏政办发〔</w:t>
      </w:r>
      <w:r>
        <w:rPr>
          <w:rFonts w:eastAsia="方正仿宋_GBK"/>
          <w:color w:val="000000"/>
          <w:spacing w:val="-2"/>
          <w:sz w:val="24"/>
        </w:rPr>
        <w:t>2014</w:t>
      </w:r>
      <w:r>
        <w:rPr>
          <w:rFonts w:hint="eastAsia" w:eastAsia="方正仿宋_GBK"/>
          <w:color w:val="000000"/>
          <w:spacing w:val="-2"/>
          <w:sz w:val="24"/>
        </w:rPr>
        <w:t>〕</w:t>
      </w:r>
      <w:r>
        <w:rPr>
          <w:rFonts w:eastAsia="方正仿宋_GBK"/>
          <w:color w:val="000000"/>
          <w:spacing w:val="-2"/>
          <w:sz w:val="24"/>
        </w:rPr>
        <w:t>110</w:t>
      </w:r>
      <w:r>
        <w:rPr>
          <w:rFonts w:hint="eastAsia" w:eastAsia="方正仿宋_GBK"/>
          <w:color w:val="000000"/>
          <w:spacing w:val="-2"/>
          <w:sz w:val="24"/>
        </w:rPr>
        <w:t>号），切实加强城镇燃气管线的安全保护和管理，现通知如下：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一、做好城镇燃气专业管线普查。</w:t>
      </w:r>
      <w:r>
        <w:rPr>
          <w:rFonts w:hint="eastAsia" w:eastAsia="方正仿宋_GBK"/>
          <w:color w:val="000000"/>
          <w:spacing w:val="-2"/>
          <w:sz w:val="24"/>
        </w:rPr>
        <w:t>各地燃气主管部门应按照《住房城乡建设部等部门关于开展城市地下管线普查工作的通知》（建城〔</w:t>
      </w:r>
      <w:r>
        <w:rPr>
          <w:rFonts w:eastAsia="方正仿宋_GBK"/>
          <w:color w:val="000000"/>
          <w:spacing w:val="-2"/>
          <w:sz w:val="24"/>
        </w:rPr>
        <w:t>2014</w:t>
      </w:r>
      <w:r>
        <w:rPr>
          <w:rFonts w:hint="eastAsia" w:eastAsia="方正仿宋_GBK"/>
          <w:color w:val="000000"/>
          <w:spacing w:val="-2"/>
          <w:sz w:val="24"/>
        </w:rPr>
        <w:t>〕</w:t>
      </w:r>
      <w:r>
        <w:rPr>
          <w:rFonts w:eastAsia="方正仿宋_GBK"/>
          <w:color w:val="000000"/>
          <w:spacing w:val="-2"/>
          <w:sz w:val="24"/>
        </w:rPr>
        <w:t>179</w:t>
      </w:r>
      <w:r>
        <w:rPr>
          <w:rFonts w:hint="eastAsia" w:eastAsia="方正仿宋_GBK"/>
          <w:color w:val="000000"/>
          <w:spacing w:val="-2"/>
          <w:sz w:val="24"/>
        </w:rPr>
        <w:t>号）要求，积极配合做好燃气专业管线的基础信息普查和补测工作，督促燃气企业及时提供现有管线数据资料，对管线基本情况不清晰的要抓紧时间配合做好补查补测工作，确保</w:t>
      </w:r>
      <w:r>
        <w:rPr>
          <w:rFonts w:eastAsia="方正仿宋_GBK"/>
          <w:color w:val="000000"/>
          <w:spacing w:val="-2"/>
          <w:sz w:val="24"/>
        </w:rPr>
        <w:t>2015</w:t>
      </w:r>
      <w:r>
        <w:rPr>
          <w:rFonts w:hint="eastAsia" w:eastAsia="方正仿宋_GBK"/>
          <w:color w:val="000000"/>
          <w:spacing w:val="-2"/>
          <w:sz w:val="24"/>
        </w:rPr>
        <w:t>年底前完成专业管线普查工作。燃气专业管线普查信息主要包括：数量、压力、材质、管径、埋设方式、埋深、走向、连接方式、权属单位、建设时间、运行时间、以及相关场站等信息。在做好城镇燃气专业管线基础信息普查的基础上，应按相关规范要求（见附件）全面摸清燃气管线存在的结构性隐患和管线交叉、安全间距、防腐、管道标识以及违章建筑等方面的隐患，对查出的隐患要及时研究整改方案报城市人民政府。</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二、加大燃气老旧管线改造力度。</w:t>
      </w:r>
      <w:r>
        <w:rPr>
          <w:rFonts w:hint="eastAsia" w:eastAsia="方正仿宋_GBK"/>
          <w:color w:val="000000"/>
          <w:spacing w:val="-2"/>
          <w:sz w:val="24"/>
        </w:rPr>
        <w:t>各地应强化对燃气管线运行的安全检测和评估，有计划地推进运行</w:t>
      </w:r>
      <w:r>
        <w:rPr>
          <w:rFonts w:eastAsia="方正仿宋_GBK"/>
          <w:color w:val="000000"/>
          <w:spacing w:val="-2"/>
          <w:sz w:val="24"/>
        </w:rPr>
        <w:t>15</w:t>
      </w:r>
      <w:r>
        <w:rPr>
          <w:rFonts w:hint="eastAsia" w:eastAsia="方正仿宋_GBK"/>
          <w:color w:val="000000"/>
          <w:spacing w:val="-2"/>
          <w:sz w:val="24"/>
        </w:rPr>
        <w:t>年以上或有严重安全隐患的老旧管网改造，力争</w:t>
      </w:r>
      <w:r>
        <w:rPr>
          <w:rFonts w:eastAsia="方正仿宋_GBK"/>
          <w:color w:val="000000"/>
          <w:spacing w:val="-2"/>
          <w:sz w:val="24"/>
        </w:rPr>
        <w:t>2019</w:t>
      </w:r>
      <w:r>
        <w:rPr>
          <w:rFonts w:hint="eastAsia" w:eastAsia="方正仿宋_GBK"/>
          <w:color w:val="000000"/>
          <w:spacing w:val="-2"/>
          <w:sz w:val="24"/>
        </w:rPr>
        <w:t>年底前完成全省燃气地下老旧管网的改造，保障燃气管网安全运行。各燃气主管部门应会同规划、发改等部门研究制定管网改造建设程序，尽可能简化管网改造手续，减免相关规费。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三、强化燃气管线保护。</w:t>
      </w:r>
      <w:r>
        <w:rPr>
          <w:rFonts w:hint="eastAsia" w:eastAsia="方正仿宋_GBK"/>
          <w:color w:val="000000"/>
          <w:spacing w:val="-2"/>
          <w:sz w:val="24"/>
        </w:rPr>
        <w:t>各地要依据城市总体规划、地下空间开发利用规划以及燃气专业规划，合理布置燃气管道线路和场站，控制好燃气设施与周边地下管线、建筑物、构筑物的安全距离。各地城乡规划主管部门核发燃气设施选址意见书或建设用地规划许可证时，应按照《城镇燃气管理条例》规定征求燃气主管部门意见。各地建设主管部门应加强对城镇燃气管线安全保护范围内施工作业行为的管理，在核发工程施工许可证时，应要求建设单位提供燃气管线交底手续、管线保护技术方案和应急预案，防止燃气管道被外力损坏。各地城管部门</w:t>
      </w:r>
      <w:r>
        <w:rPr>
          <w:rFonts w:hint="eastAsia" w:eastAsia="方正仿宋_GBK"/>
          <w:color w:val="000000"/>
          <w:spacing w:val="-2"/>
          <w:kern w:val="0"/>
          <w:sz w:val="24"/>
        </w:rPr>
        <w:t>要依据相应的法律法规，限期清理整治现存燃气管线的违法建筑</w:t>
      </w:r>
      <w:r>
        <w:rPr>
          <w:rFonts w:hint="eastAsia" w:eastAsia="方正仿宋_GBK"/>
          <w:vanish/>
          <w:color w:val="000000"/>
          <w:spacing w:val="-2"/>
          <w:kern w:val="0"/>
          <w:sz w:val="24"/>
        </w:rPr>
        <w:t>，</w:t>
      </w:r>
      <w:r>
        <w:rPr>
          <w:rFonts w:hint="eastAsia" w:eastAsia="方正仿宋_GBK"/>
          <w:color w:val="000000"/>
          <w:spacing w:val="-2"/>
          <w:kern w:val="0"/>
          <w:sz w:val="24"/>
        </w:rPr>
        <w:t>对确实无法清除的，规划部门应积极配合更改管线走向，消除隐患。</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四、有力推进燃气管线地理信息系统建设。</w:t>
      </w:r>
      <w:r>
        <w:rPr>
          <w:rFonts w:hint="eastAsia" w:eastAsia="方正仿宋_GBK"/>
          <w:color w:val="000000"/>
          <w:spacing w:val="-2"/>
          <w:sz w:val="24"/>
        </w:rPr>
        <w:t>城镇管道燃气企业在完成地下燃气管线普查的基础上，应按统一的数据标准加快建立地下燃气管线现状数据库和信息数据管理平台，建立完善燃气管线地理信息系统，及时存储、动态更新本企业燃气管道设施信息，并与当地政府地下管线综合信息系统实现互联互通、信息共享。对已经建成的燃气管线地理信息系统建设，管道燃气企业应当按照我厅下发的统一数据标准组织修正或者更新燃气管道专业信息系统相关数据。</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五、进一步加强燃气管线及其场站设施的运行管理。</w:t>
      </w:r>
      <w:r>
        <w:rPr>
          <w:rFonts w:hint="eastAsia" w:eastAsia="方正仿宋_GBK"/>
          <w:color w:val="000000"/>
          <w:spacing w:val="-2"/>
          <w:sz w:val="24"/>
        </w:rPr>
        <w:t>各燃气主管部门应督促燃气企业按规定进一步完善和规范燃气管线地面标识和站点安全警示标志。加强对液化气储灌站经营行为的监管，严禁充装过期钢瓶、报废钢瓶和不合格钢瓶的使用，加大对违法充装、违法倒灌、违法使用的查处力度。燃气主管部门、燃气企业要制定切实可行的燃气事故应急预案，并加强应急预案的组织演练、人员培训等工作，做到培训到位、应急到位、管理到位。</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附件：埋地燃气管道隐患排查相关技术规范</w:t>
      </w:r>
    </w:p>
    <w:p>
      <w:pPr>
        <w:spacing w:line="460" w:lineRule="exact"/>
        <w:ind w:right="314" w:firstLine="472" w:firstLineChars="200"/>
        <w:jc w:val="right"/>
        <w:rPr>
          <w:rFonts w:eastAsia="方正仿宋_GBK"/>
          <w:color w:val="000000"/>
          <w:spacing w:val="-2"/>
          <w:sz w:val="24"/>
        </w:rPr>
      </w:pPr>
    </w:p>
    <w:p>
      <w:pPr>
        <w:wordWrap w:val="0"/>
        <w:spacing w:line="460" w:lineRule="exact"/>
        <w:ind w:right="314" w:firstLine="472" w:firstLineChars="200"/>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ind w:right="797" w:firstLine="472" w:firstLineChars="200"/>
        <w:jc w:val="right"/>
        <w:rPr>
          <w:rFonts w:eastAsia="方正仿宋_GBK"/>
          <w:color w:val="000000"/>
          <w:spacing w:val="-2"/>
          <w:sz w:val="24"/>
        </w:rPr>
      </w:pP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8</w:t>
      </w:r>
      <w:r>
        <w:rPr>
          <w:rFonts w:hint="eastAsia" w:eastAsia="方正仿宋_GBK"/>
          <w:color w:val="000000"/>
          <w:spacing w:val="-2"/>
          <w:sz w:val="24"/>
        </w:rPr>
        <w:t>月</w:t>
      </w:r>
      <w:r>
        <w:rPr>
          <w:rFonts w:eastAsia="方正仿宋_GBK"/>
          <w:color w:val="000000"/>
          <w:spacing w:val="-2"/>
          <w:sz w:val="24"/>
        </w:rPr>
        <w:t>17</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rPr>
          <w:rFonts w:ascii="Times New Roman" w:eastAsia="方正黑体_GBK"/>
          <w:color w:val="000000"/>
          <w:spacing w:val="-2"/>
          <w:sz w:val="28"/>
          <w:szCs w:val="28"/>
        </w:rPr>
      </w:pPr>
      <w:r>
        <w:rPr>
          <w:rFonts w:hint="eastAsia" w:ascii="Times New Roman" w:eastAsia="黑体"/>
          <w:color w:val="000000"/>
          <w:spacing w:val="-2"/>
          <w:sz w:val="32"/>
          <w:szCs w:val="32"/>
        </w:rPr>
        <w:br w:type="column"/>
      </w:r>
      <w:r>
        <w:rPr>
          <w:rFonts w:hint="eastAsia" w:ascii="Times New Roman" w:eastAsia="方正黑体_GBK"/>
          <w:color w:val="000000"/>
          <w:spacing w:val="-2"/>
          <w:sz w:val="28"/>
          <w:szCs w:val="28"/>
        </w:rPr>
        <w:t>附件：</w:t>
      </w:r>
    </w:p>
    <w:p>
      <w:pPr>
        <w:spacing w:line="570" w:lineRule="exact"/>
        <w:rPr>
          <w:rFonts w:hint="eastAsia" w:ascii="Times New Roman" w:eastAsia="黑体"/>
          <w:color w:val="000000"/>
          <w:spacing w:val="-2"/>
          <w:sz w:val="32"/>
          <w:szCs w:val="32"/>
        </w:rPr>
      </w:pPr>
    </w:p>
    <w:p>
      <w:pPr>
        <w:spacing w:line="480" w:lineRule="exact"/>
        <w:jc w:val="center"/>
        <w:rPr>
          <w:rFonts w:hint="eastAsia" w:ascii="Times New Roman" w:hAnsi="Times New Roman" w:eastAsia="方正黑体_GBK"/>
          <w:color w:val="000000"/>
          <w:spacing w:val="-2"/>
          <w:sz w:val="36"/>
          <w:szCs w:val="36"/>
        </w:rPr>
      </w:pPr>
      <w:r>
        <w:rPr>
          <w:rFonts w:hint="eastAsia" w:ascii="Times New Roman" w:hAnsi="Times New Roman" w:eastAsia="方正黑体_GBK"/>
          <w:color w:val="000000"/>
          <w:spacing w:val="-2"/>
          <w:sz w:val="36"/>
          <w:szCs w:val="36"/>
        </w:rPr>
        <w:t>埋地燃气管道隐患排查相关技术规范</w:t>
      </w:r>
    </w:p>
    <w:p>
      <w:pPr>
        <w:spacing w:line="480" w:lineRule="exact"/>
        <w:jc w:val="center"/>
        <w:rPr>
          <w:rFonts w:hint="eastAsia" w:eastAsia="仿宋"/>
          <w:color w:val="000000"/>
          <w:spacing w:val="-2"/>
          <w:sz w:val="28"/>
          <w:szCs w:val="36"/>
        </w:rPr>
      </w:pP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一、埋地管道与建、构筑物或相邻管道间距技术规范要求</w:t>
      </w:r>
    </w:p>
    <w:p>
      <w:pPr>
        <w:spacing w:line="460" w:lineRule="exact"/>
        <w:ind w:firstLine="472" w:firstLineChars="200"/>
        <w:rPr>
          <w:rFonts w:hint="eastAsia" w:eastAsia="方正楷体_GBK"/>
          <w:color w:val="000000"/>
          <w:spacing w:val="-2"/>
          <w:sz w:val="24"/>
        </w:rPr>
      </w:pPr>
      <w:r>
        <w:rPr>
          <w:rFonts w:eastAsia="方正楷体_GBK"/>
          <w:color w:val="000000"/>
          <w:spacing w:val="-2"/>
          <w:sz w:val="24"/>
        </w:rPr>
        <w:t>1</w:t>
      </w:r>
      <w:r>
        <w:rPr>
          <w:rFonts w:hint="eastAsia" w:eastAsia="方正楷体_GBK"/>
          <w:color w:val="000000"/>
          <w:spacing w:val="-2"/>
          <w:sz w:val="24"/>
        </w:rPr>
        <w:t>、压力不大于</w:t>
      </w:r>
      <w:r>
        <w:rPr>
          <w:rFonts w:eastAsia="方正楷体_GBK"/>
          <w:color w:val="000000"/>
          <w:spacing w:val="-2"/>
          <w:sz w:val="24"/>
        </w:rPr>
        <w:t>1.6</w:t>
      </w:r>
      <w:r>
        <w:rPr>
          <w:rFonts w:eastAsia="方正楷体_GBK"/>
          <w:color w:val="000000"/>
          <w:spacing w:val="-2"/>
          <w:kern w:val="0"/>
          <w:sz w:val="24"/>
        </w:rPr>
        <w:t xml:space="preserve"> MPa</w:t>
      </w:r>
      <w:r>
        <w:rPr>
          <w:rFonts w:hint="eastAsia" w:eastAsia="方正楷体_GBK"/>
          <w:color w:val="000000"/>
          <w:spacing w:val="-2"/>
          <w:sz w:val="24"/>
        </w:rPr>
        <w:t>地下燃气管道</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）不得从建筑物和大型构筑物（不包括架空的建筑物和大型构筑物）的下面穿越。地下燃气管道与建筑物、构筑物或相邻管道之间的水平和垂直净距，不应小于《城镇燃气设计规范》</w:t>
      </w:r>
      <w:r>
        <w:rPr>
          <w:rFonts w:eastAsia="方正仿宋_GBK"/>
          <w:color w:val="000000"/>
          <w:spacing w:val="-2"/>
          <w:sz w:val="24"/>
        </w:rPr>
        <w:t>GB50028</w:t>
      </w:r>
      <w:r>
        <w:rPr>
          <w:rFonts w:hint="eastAsia" w:eastAsia="方正仿宋_GBK"/>
          <w:color w:val="000000"/>
          <w:spacing w:val="-2"/>
          <w:sz w:val="24"/>
        </w:rPr>
        <w:t>表</w:t>
      </w:r>
      <w:r>
        <w:rPr>
          <w:rFonts w:eastAsia="方正仿宋_GBK"/>
          <w:color w:val="000000"/>
          <w:spacing w:val="-2"/>
          <w:sz w:val="24"/>
        </w:rPr>
        <w:t xml:space="preserve">6.3.3-1 </w:t>
      </w:r>
      <w:r>
        <w:rPr>
          <w:rFonts w:hint="eastAsia" w:eastAsia="方正仿宋_GBK"/>
          <w:color w:val="000000"/>
          <w:spacing w:val="-2"/>
          <w:sz w:val="24"/>
        </w:rPr>
        <w:t>和表</w:t>
      </w:r>
      <w:r>
        <w:rPr>
          <w:rFonts w:eastAsia="方正仿宋_GBK"/>
          <w:color w:val="000000"/>
          <w:spacing w:val="-2"/>
          <w:sz w:val="24"/>
        </w:rPr>
        <w:t xml:space="preserve">6.3.3-2 </w:t>
      </w:r>
      <w:r>
        <w:rPr>
          <w:rFonts w:hint="eastAsia" w:eastAsia="方正仿宋_GBK"/>
          <w:color w:val="000000"/>
          <w:spacing w:val="-2"/>
          <w:sz w:val="24"/>
        </w:rPr>
        <w:t>的规定。</w:t>
      </w:r>
    </w:p>
    <w:p>
      <w:pPr>
        <w:spacing w:line="460" w:lineRule="exact"/>
        <w:jc w:val="center"/>
        <w:rPr>
          <w:rFonts w:eastAsia="方正黑体_GBK"/>
          <w:color w:val="000000"/>
          <w:spacing w:val="-2"/>
          <w:kern w:val="0"/>
          <w:sz w:val="24"/>
        </w:rPr>
      </w:pPr>
      <w:r>
        <w:rPr>
          <w:rFonts w:hint="eastAsia" w:eastAsia="方正黑体_GBK"/>
          <w:color w:val="000000"/>
          <w:spacing w:val="-2"/>
          <w:kern w:val="0"/>
          <w:sz w:val="24"/>
        </w:rPr>
        <w:t>表</w:t>
      </w:r>
      <w:r>
        <w:rPr>
          <w:rFonts w:eastAsia="方正黑体_GBK"/>
          <w:color w:val="000000"/>
          <w:spacing w:val="-2"/>
          <w:kern w:val="0"/>
          <w:sz w:val="24"/>
        </w:rPr>
        <w:t xml:space="preserve">6.3.3-1 </w:t>
      </w:r>
      <w:r>
        <w:rPr>
          <w:rFonts w:hint="eastAsia" w:eastAsia="方正黑体_GBK"/>
          <w:color w:val="000000"/>
          <w:spacing w:val="-2"/>
          <w:kern w:val="0"/>
          <w:sz w:val="24"/>
        </w:rPr>
        <w:t>地下燃气管道与建筑物、构筑物或相邻管道之间的水平净距（</w:t>
      </w:r>
      <w:r>
        <w:rPr>
          <w:rFonts w:eastAsia="方正黑体_GBK"/>
          <w:color w:val="000000"/>
          <w:spacing w:val="-2"/>
          <w:kern w:val="0"/>
          <w:sz w:val="24"/>
        </w:rPr>
        <w:t>m</w:t>
      </w:r>
      <w:r>
        <w:rPr>
          <w:rFonts w:hint="eastAsia" w:eastAsia="方正黑体_GBK"/>
          <w:color w:val="000000"/>
          <w:spacing w:val="-2"/>
          <w:kern w:val="0"/>
          <w:sz w:val="24"/>
        </w:rPr>
        <w:t>）</w:t>
      </w:r>
    </w:p>
    <w:tbl>
      <w:tblPr>
        <w:tblStyle w:val="12"/>
        <w:tblW w:w="0" w:type="auto"/>
        <w:tblInd w:w="-2" w:type="dxa"/>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Layout w:type="fixed"/>
        <w:tblCellMar>
          <w:top w:w="0" w:type="dxa"/>
          <w:left w:w="0" w:type="dxa"/>
          <w:bottom w:w="0" w:type="dxa"/>
          <w:right w:w="0" w:type="dxa"/>
        </w:tblCellMar>
      </w:tblPr>
      <w:tblGrid>
        <w:gridCol w:w="1460"/>
        <w:gridCol w:w="1396"/>
        <w:gridCol w:w="1198"/>
        <w:gridCol w:w="1182"/>
        <w:gridCol w:w="1145"/>
        <w:gridCol w:w="1105"/>
        <w:gridCol w:w="1260"/>
      </w:tblGrid>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36" w:hRule="atLeast"/>
          <w:tblHeader/>
        </w:trPr>
        <w:tc>
          <w:tcPr>
            <w:tcW w:w="2856" w:type="dxa"/>
            <w:gridSpan w:val="2"/>
            <w:vMerge w:val="restart"/>
            <w:tcBorders>
              <w:top w:val="single" w:color="auto" w:sz="8" w:space="0"/>
              <w:left w:val="single" w:color="auto" w:sz="8" w:space="0"/>
              <w:bottom w:val="single" w:color="333333" w:sz="6" w:space="0"/>
              <w:right w:val="single" w:color="333333" w:sz="6" w:space="0"/>
            </w:tcBorders>
            <w:noWrap w:val="0"/>
            <w:vAlign w:val="center"/>
          </w:tcPr>
          <w:p>
            <w:pPr>
              <w:widowControl/>
              <w:spacing w:line="20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项    目</w:t>
            </w:r>
          </w:p>
        </w:tc>
        <w:tc>
          <w:tcPr>
            <w:tcW w:w="5890" w:type="dxa"/>
            <w:gridSpan w:val="5"/>
            <w:tcBorders>
              <w:top w:val="single" w:color="auto" w:sz="8" w:space="0"/>
              <w:left w:val="single" w:color="333333" w:sz="6" w:space="0"/>
              <w:bottom w:val="single" w:color="333333" w:sz="6" w:space="0"/>
              <w:right w:val="single" w:color="auto" w:sz="8" w:space="0"/>
            </w:tcBorders>
            <w:noWrap w:val="0"/>
            <w:vAlign w:val="center"/>
          </w:tcPr>
          <w:p>
            <w:pPr>
              <w:widowControl/>
              <w:spacing w:line="20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地下燃气管道压力（MPa）</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73" w:hRule="atLeast"/>
          <w:tblHeader/>
        </w:trPr>
        <w:tc>
          <w:tcPr>
            <w:tcW w:w="2856" w:type="dxa"/>
            <w:gridSpan w:val="2"/>
            <w:vMerge w:val="continue"/>
            <w:tcBorders>
              <w:top w:val="single" w:color="auto" w:sz="8" w:space="0"/>
              <w:left w:val="single" w:color="auto" w:sz="8" w:space="0"/>
              <w:bottom w:val="single" w:color="333333" w:sz="6" w:space="0"/>
              <w:right w:val="single" w:color="333333" w:sz="6" w:space="0"/>
            </w:tcBorders>
            <w:noWrap w:val="0"/>
            <w:vAlign w:val="center"/>
          </w:tcPr>
          <w:p>
            <w:pPr>
              <w:widowControl/>
              <w:jc w:val="left"/>
              <w:rPr>
                <w:rFonts w:ascii="Times New Roman" w:eastAsia="方正黑体_GBK"/>
                <w:color w:val="000000"/>
                <w:spacing w:val="-2"/>
                <w:kern w:val="0"/>
                <w:szCs w:val="21"/>
              </w:rPr>
            </w:pPr>
          </w:p>
        </w:tc>
        <w:tc>
          <w:tcPr>
            <w:tcW w:w="1198" w:type="dxa"/>
            <w:vMerge w:val="restart"/>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低压</w:t>
            </w:r>
          </w:p>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w:t>
            </w:r>
            <w:r>
              <w:rPr>
                <w:rFonts w:eastAsia="方正仿宋_GBK"/>
                <w:color w:val="000000"/>
                <w:spacing w:val="-2"/>
                <w:kern w:val="0"/>
                <w:szCs w:val="21"/>
              </w:rPr>
              <w:t>0.01</w:t>
            </w:r>
          </w:p>
        </w:tc>
        <w:tc>
          <w:tcPr>
            <w:tcW w:w="2327" w:type="dxa"/>
            <w:gridSpan w:val="2"/>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中压</w:t>
            </w:r>
          </w:p>
        </w:tc>
        <w:tc>
          <w:tcPr>
            <w:tcW w:w="2365" w:type="dxa"/>
            <w:gridSpan w:val="2"/>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次高压</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0" w:hRule="atLeast"/>
          <w:tblHeader/>
        </w:trPr>
        <w:tc>
          <w:tcPr>
            <w:tcW w:w="2856" w:type="dxa"/>
            <w:gridSpan w:val="2"/>
            <w:vMerge w:val="continue"/>
            <w:tcBorders>
              <w:top w:val="single" w:color="auto" w:sz="8" w:space="0"/>
              <w:left w:val="single" w:color="auto" w:sz="8" w:space="0"/>
              <w:bottom w:val="single" w:color="333333" w:sz="6" w:space="0"/>
              <w:right w:val="single" w:color="333333" w:sz="6" w:space="0"/>
            </w:tcBorders>
            <w:noWrap w:val="0"/>
            <w:vAlign w:val="center"/>
          </w:tcPr>
          <w:p>
            <w:pPr>
              <w:widowControl/>
              <w:jc w:val="left"/>
              <w:rPr>
                <w:rFonts w:ascii="Times New Roman" w:eastAsia="方正黑体_GBK"/>
                <w:color w:val="000000"/>
                <w:spacing w:val="-2"/>
                <w:kern w:val="0"/>
                <w:szCs w:val="21"/>
              </w:rPr>
            </w:pPr>
          </w:p>
        </w:tc>
        <w:tc>
          <w:tcPr>
            <w:tcW w:w="1198" w:type="dxa"/>
            <w:vMerge w:val="continue"/>
            <w:tcBorders>
              <w:top w:val="single" w:color="333333" w:sz="6" w:space="0"/>
              <w:left w:val="single" w:color="333333" w:sz="6" w:space="0"/>
              <w:bottom w:val="single" w:color="333333" w:sz="6" w:space="0"/>
              <w:right w:val="single" w:color="333333" w:sz="6" w:space="0"/>
            </w:tcBorders>
            <w:noWrap w:val="0"/>
            <w:vAlign w:val="center"/>
          </w:tcPr>
          <w:p>
            <w:pPr>
              <w:widowControl/>
              <w:jc w:val="left"/>
              <w:rPr>
                <w:rFonts w:eastAsia="方正仿宋_GBK"/>
                <w:color w:val="000000"/>
                <w:spacing w:val="-2"/>
                <w:kern w:val="0"/>
                <w:szCs w:val="21"/>
              </w:rPr>
            </w:pP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B</w:t>
            </w:r>
          </w:p>
          <w:p>
            <w:pPr>
              <w:widowControl/>
              <w:spacing w:line="200" w:lineRule="exac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w:t>
            </w:r>
            <w:r>
              <w:rPr>
                <w:color w:val="000000"/>
                <w:spacing w:val="-2"/>
                <w:kern w:val="0"/>
                <w:szCs w:val="21"/>
              </w:rPr>
              <w:t>0.2</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A</w:t>
            </w:r>
          </w:p>
          <w:p>
            <w:pPr>
              <w:widowControl/>
              <w:spacing w:line="200" w:lineRule="exac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w:t>
            </w:r>
            <w:r>
              <w:rPr>
                <w:color w:val="000000"/>
                <w:spacing w:val="-2"/>
                <w:kern w:val="0"/>
                <w:szCs w:val="21"/>
              </w:rPr>
              <w:t>0.4</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 xml:space="preserve">B </w:t>
            </w:r>
          </w:p>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0.8</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 xml:space="preserve">A </w:t>
            </w:r>
          </w:p>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1.6</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restart"/>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建筑物</w:t>
            </w: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基础</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0.7</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60" w:hRule="atLeast"/>
        </w:trPr>
        <w:tc>
          <w:tcPr>
            <w:tcW w:w="1460" w:type="dxa"/>
            <w:vMerge w:val="continue"/>
            <w:tcBorders>
              <w:top w:val="single" w:color="333333" w:sz="6" w:space="0"/>
              <w:left w:val="single" w:color="auto" w:sz="8" w:space="0"/>
              <w:bottom w:val="single" w:color="333333" w:sz="6" w:space="0"/>
              <w:right w:val="single" w:color="333333" w:sz="6" w:space="0"/>
            </w:tcBorders>
            <w:noWrap w:val="0"/>
            <w:vAlign w:val="center"/>
          </w:tcPr>
          <w:p>
            <w:pPr>
              <w:widowControl/>
              <w:jc w:val="left"/>
              <w:rPr>
                <w:rFonts w:eastAsia="方正仿宋_GBK"/>
                <w:color w:val="000000"/>
                <w:spacing w:val="-2"/>
                <w:kern w:val="0"/>
                <w:szCs w:val="21"/>
              </w:rPr>
            </w:pP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外墙面</w:t>
            </w:r>
          </w:p>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（出地面处）</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13.5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2856" w:type="dxa"/>
            <w:gridSpan w:val="2"/>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给水管</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2856" w:type="dxa"/>
            <w:gridSpan w:val="2"/>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污水、雨水排水管</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1.2</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1.2</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restart"/>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电力电缆</w:t>
            </w:r>
          </w:p>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（含电车电缆）</w:t>
            </w: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直埋</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continue"/>
            <w:tcBorders>
              <w:top w:val="single" w:color="333333" w:sz="6" w:space="0"/>
              <w:left w:val="single" w:color="auto" w:sz="8" w:space="0"/>
              <w:bottom w:val="single" w:color="333333" w:sz="6" w:space="0"/>
              <w:right w:val="single" w:color="333333" w:sz="6" w:space="0"/>
            </w:tcBorders>
            <w:noWrap w:val="0"/>
            <w:vAlign w:val="center"/>
          </w:tcPr>
          <w:p>
            <w:pPr>
              <w:widowControl/>
              <w:jc w:val="left"/>
              <w:rPr>
                <w:rFonts w:eastAsia="方正仿宋_GBK"/>
                <w:color w:val="000000"/>
                <w:spacing w:val="-2"/>
                <w:kern w:val="0"/>
                <w:szCs w:val="21"/>
              </w:rPr>
            </w:pP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在导管内</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restart"/>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通信电缆</w:t>
            </w: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直埋</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continue"/>
            <w:tcBorders>
              <w:top w:val="single" w:color="333333" w:sz="6" w:space="0"/>
              <w:left w:val="single" w:color="auto" w:sz="8" w:space="0"/>
              <w:bottom w:val="single" w:color="333333" w:sz="6" w:space="0"/>
              <w:right w:val="single" w:color="333333" w:sz="6" w:space="0"/>
            </w:tcBorders>
            <w:noWrap w:val="0"/>
            <w:vAlign w:val="center"/>
          </w:tcPr>
          <w:p>
            <w:pPr>
              <w:widowControl/>
              <w:jc w:val="left"/>
              <w:rPr>
                <w:rFonts w:eastAsia="方正仿宋_GBK"/>
                <w:color w:val="000000"/>
                <w:spacing w:val="-2"/>
                <w:kern w:val="0"/>
                <w:szCs w:val="21"/>
              </w:rPr>
            </w:pP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在导管内</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restart"/>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其他燃气管道</w:t>
            </w: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DN≤300mm</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0.4</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continue"/>
            <w:tcBorders>
              <w:top w:val="single" w:color="333333" w:sz="6" w:space="0"/>
              <w:left w:val="single" w:color="auto" w:sz="8" w:space="0"/>
              <w:bottom w:val="single" w:color="333333" w:sz="6" w:space="0"/>
              <w:right w:val="single" w:color="333333" w:sz="6" w:space="0"/>
            </w:tcBorders>
            <w:noWrap w:val="0"/>
            <w:vAlign w:val="center"/>
          </w:tcPr>
          <w:p>
            <w:pPr>
              <w:widowControl/>
              <w:jc w:val="left"/>
              <w:rPr>
                <w:rFonts w:eastAsia="方正仿宋_GBK"/>
                <w:color w:val="000000"/>
                <w:spacing w:val="-2"/>
                <w:kern w:val="0"/>
                <w:szCs w:val="21"/>
              </w:rPr>
            </w:pP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DN</w:t>
            </w:r>
            <w:r>
              <w:rPr>
                <w:rFonts w:hint="eastAsia" w:eastAsia="方正仿宋_GBK"/>
                <w:color w:val="000000"/>
                <w:spacing w:val="-2"/>
                <w:kern w:val="0"/>
                <w:szCs w:val="21"/>
              </w:rPr>
              <w:t>＞</w:t>
            </w:r>
            <w:r>
              <w:rPr>
                <w:rFonts w:eastAsia="方正仿宋_GBK"/>
                <w:color w:val="000000"/>
                <w:spacing w:val="-2"/>
                <w:kern w:val="0"/>
                <w:szCs w:val="21"/>
              </w:rPr>
              <w:t>300mm</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restart"/>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热力管</w:t>
            </w: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直埋</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continue"/>
            <w:tcBorders>
              <w:top w:val="single" w:color="333333" w:sz="6" w:space="0"/>
              <w:left w:val="single" w:color="auto" w:sz="8" w:space="0"/>
              <w:bottom w:val="single" w:color="333333" w:sz="6" w:space="0"/>
              <w:right w:val="single" w:color="333333" w:sz="6" w:space="0"/>
            </w:tcBorders>
            <w:noWrap w:val="0"/>
            <w:vAlign w:val="center"/>
          </w:tcPr>
          <w:p>
            <w:pPr>
              <w:widowControl/>
              <w:jc w:val="left"/>
              <w:rPr>
                <w:rFonts w:eastAsia="方正仿宋_GBK"/>
                <w:color w:val="000000"/>
                <w:spacing w:val="-2"/>
                <w:kern w:val="0"/>
                <w:szCs w:val="21"/>
              </w:rPr>
            </w:pP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在管沟内</w:t>
            </w:r>
          </w:p>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（至外壁）</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1.5</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4.0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restart"/>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电杆（塔）</w:t>
            </w:r>
          </w:p>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的基础</w:t>
            </w: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≤35kV</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1460" w:type="dxa"/>
            <w:vMerge w:val="continue"/>
            <w:tcBorders>
              <w:top w:val="single" w:color="333333" w:sz="6" w:space="0"/>
              <w:left w:val="single" w:color="auto" w:sz="8" w:space="0"/>
              <w:bottom w:val="single" w:color="333333" w:sz="6" w:space="0"/>
              <w:right w:val="single" w:color="333333" w:sz="6" w:space="0"/>
            </w:tcBorders>
            <w:noWrap w:val="0"/>
            <w:vAlign w:val="center"/>
          </w:tcPr>
          <w:p>
            <w:pPr>
              <w:widowControl/>
              <w:jc w:val="left"/>
              <w:rPr>
                <w:rFonts w:eastAsia="方正仿宋_GBK"/>
                <w:color w:val="000000"/>
                <w:spacing w:val="-2"/>
                <w:kern w:val="0"/>
                <w:szCs w:val="21"/>
              </w:rPr>
            </w:pPr>
          </w:p>
        </w:tc>
        <w:tc>
          <w:tcPr>
            <w:tcW w:w="1396"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w:t>
            </w:r>
            <w:r>
              <w:rPr>
                <w:rFonts w:eastAsia="方正仿宋_GBK"/>
                <w:color w:val="000000"/>
                <w:spacing w:val="-2"/>
                <w:kern w:val="0"/>
                <w:szCs w:val="21"/>
              </w:rPr>
              <w:t>35kV</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2856" w:type="dxa"/>
            <w:gridSpan w:val="2"/>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通讯照明电杆（至电杆中心）</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2856" w:type="dxa"/>
            <w:gridSpan w:val="2"/>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铁路路堤坡脚</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5.0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2856" w:type="dxa"/>
            <w:gridSpan w:val="2"/>
            <w:tcBorders>
              <w:top w:val="single" w:color="333333" w:sz="6" w:space="0"/>
              <w:left w:val="single" w:color="auto" w:sz="8"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有轨电车钢轨</w:t>
            </w:r>
          </w:p>
        </w:tc>
        <w:tc>
          <w:tcPr>
            <w:tcW w:w="119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82"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4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105"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c>
          <w:tcPr>
            <w:tcW w:w="1260" w:type="dxa"/>
            <w:tcBorders>
              <w:top w:val="single" w:color="333333" w:sz="6" w:space="0"/>
              <w:left w:val="single" w:color="333333" w:sz="6" w:space="0"/>
              <w:bottom w:val="single" w:color="333333" w:sz="6"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2.0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2856" w:type="dxa"/>
            <w:gridSpan w:val="2"/>
            <w:tcBorders>
              <w:top w:val="single" w:color="333333" w:sz="6" w:space="0"/>
              <w:left w:val="single" w:color="auto" w:sz="8" w:space="0"/>
              <w:bottom w:val="single" w:color="auto" w:sz="8"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hint="eastAsia" w:eastAsia="方正仿宋_GBK"/>
                <w:color w:val="000000"/>
                <w:spacing w:val="-2"/>
                <w:kern w:val="0"/>
                <w:szCs w:val="21"/>
              </w:rPr>
              <w:t>街树（至树中心）</w:t>
            </w:r>
          </w:p>
        </w:tc>
        <w:tc>
          <w:tcPr>
            <w:tcW w:w="1198" w:type="dxa"/>
            <w:tcBorders>
              <w:top w:val="single" w:color="333333" w:sz="6" w:space="0"/>
              <w:left w:val="single" w:color="333333" w:sz="6" w:space="0"/>
              <w:bottom w:val="single" w:color="auto" w:sz="8"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0.75</w:t>
            </w:r>
          </w:p>
        </w:tc>
        <w:tc>
          <w:tcPr>
            <w:tcW w:w="1182" w:type="dxa"/>
            <w:tcBorders>
              <w:top w:val="single" w:color="333333" w:sz="6" w:space="0"/>
              <w:left w:val="single" w:color="333333" w:sz="6" w:space="0"/>
              <w:bottom w:val="single" w:color="auto" w:sz="8"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0.75</w:t>
            </w:r>
          </w:p>
        </w:tc>
        <w:tc>
          <w:tcPr>
            <w:tcW w:w="1145" w:type="dxa"/>
            <w:tcBorders>
              <w:top w:val="single" w:color="333333" w:sz="6" w:space="0"/>
              <w:left w:val="single" w:color="333333" w:sz="6" w:space="0"/>
              <w:bottom w:val="single" w:color="auto" w:sz="8"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0.75</w:t>
            </w:r>
          </w:p>
        </w:tc>
        <w:tc>
          <w:tcPr>
            <w:tcW w:w="1105" w:type="dxa"/>
            <w:tcBorders>
              <w:top w:val="single" w:color="333333" w:sz="6" w:space="0"/>
              <w:left w:val="single" w:color="333333" w:sz="6" w:space="0"/>
              <w:bottom w:val="single" w:color="auto" w:sz="8" w:space="0"/>
              <w:right w:val="single" w:color="333333" w:sz="6"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1.2</w:t>
            </w:r>
          </w:p>
        </w:tc>
        <w:tc>
          <w:tcPr>
            <w:tcW w:w="1260" w:type="dxa"/>
            <w:tcBorders>
              <w:top w:val="single" w:color="333333" w:sz="6" w:space="0"/>
              <w:left w:val="single" w:color="333333" w:sz="6" w:space="0"/>
              <w:bottom w:val="single" w:color="auto" w:sz="8" w:space="0"/>
              <w:right w:val="single" w:color="auto" w:sz="8" w:space="0"/>
            </w:tcBorders>
            <w:noWrap w:val="0"/>
            <w:vAlign w:val="center"/>
          </w:tcPr>
          <w:p>
            <w:pPr>
              <w:widowControl/>
              <w:spacing w:line="200" w:lineRule="exact"/>
              <w:jc w:val="center"/>
              <w:rPr>
                <w:rFonts w:eastAsia="方正仿宋_GBK"/>
                <w:color w:val="000000"/>
                <w:spacing w:val="-2"/>
                <w:kern w:val="0"/>
                <w:szCs w:val="21"/>
              </w:rPr>
            </w:pPr>
            <w:r>
              <w:rPr>
                <w:rFonts w:eastAsia="方正仿宋_GBK"/>
                <w:color w:val="000000"/>
                <w:spacing w:val="-2"/>
                <w:kern w:val="0"/>
                <w:szCs w:val="21"/>
              </w:rPr>
              <w:t>1.2</w:t>
            </w:r>
          </w:p>
        </w:tc>
      </w:tr>
    </w:tbl>
    <w:p>
      <w:pPr>
        <w:spacing w:before="120" w:beforeLines="50" w:line="460" w:lineRule="exact"/>
        <w:jc w:val="center"/>
        <w:rPr>
          <w:rFonts w:eastAsia="方正黑体_GBK"/>
          <w:color w:val="000000"/>
          <w:spacing w:val="-2"/>
          <w:kern w:val="0"/>
          <w:sz w:val="24"/>
        </w:rPr>
      </w:pPr>
      <w:r>
        <w:rPr>
          <w:rFonts w:hint="eastAsia" w:eastAsia="方正黑体_GBK"/>
          <w:color w:val="000000"/>
          <w:spacing w:val="-2"/>
          <w:kern w:val="0"/>
          <w:sz w:val="24"/>
        </w:rPr>
        <w:t>表</w:t>
      </w:r>
      <w:r>
        <w:rPr>
          <w:rFonts w:eastAsia="方正黑体_GBK"/>
          <w:color w:val="000000"/>
          <w:spacing w:val="-2"/>
          <w:kern w:val="0"/>
          <w:sz w:val="24"/>
        </w:rPr>
        <w:t xml:space="preserve">6.3.3-2 </w:t>
      </w:r>
      <w:r>
        <w:rPr>
          <w:rFonts w:hint="eastAsia" w:eastAsia="方正黑体_GBK"/>
          <w:color w:val="000000"/>
          <w:spacing w:val="-2"/>
          <w:kern w:val="0"/>
          <w:sz w:val="24"/>
        </w:rPr>
        <w:t>地下燃气管道与构筑物或相邻管道之间垂直净距（</w:t>
      </w:r>
      <w:r>
        <w:rPr>
          <w:rFonts w:eastAsia="方正黑体_GBK"/>
          <w:color w:val="000000"/>
          <w:spacing w:val="-2"/>
          <w:kern w:val="0"/>
          <w:sz w:val="24"/>
        </w:rPr>
        <w:t>m</w:t>
      </w:r>
      <w:r>
        <w:rPr>
          <w:rFonts w:hint="eastAsia" w:eastAsia="方正黑体_GBK"/>
          <w:color w:val="000000"/>
          <w:spacing w:val="-2"/>
          <w:kern w:val="0"/>
          <w:sz w:val="24"/>
        </w:rPr>
        <w:t>）</w:t>
      </w:r>
    </w:p>
    <w:tbl>
      <w:tblPr>
        <w:tblStyle w:val="12"/>
        <w:tblW w:w="0" w:type="auto"/>
        <w:tblInd w:w="-10" w:type="dxa"/>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Layout w:type="fixed"/>
        <w:tblCellMar>
          <w:top w:w="0" w:type="dxa"/>
          <w:left w:w="0" w:type="dxa"/>
          <w:bottom w:w="0" w:type="dxa"/>
          <w:right w:w="0" w:type="dxa"/>
        </w:tblCellMar>
      </w:tblPr>
      <w:tblGrid>
        <w:gridCol w:w="1522"/>
        <w:gridCol w:w="2804"/>
        <w:gridCol w:w="4412"/>
      </w:tblGrid>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c>
          <w:tcPr>
            <w:tcW w:w="4326" w:type="dxa"/>
            <w:gridSpan w:val="2"/>
            <w:tcBorders>
              <w:top w:val="single" w:color="auto" w:sz="8" w:space="0"/>
              <w:left w:val="single" w:color="auto" w:sz="8" w:space="0"/>
              <w:bottom w:val="single" w:color="333333" w:sz="6" w:space="0"/>
              <w:right w:val="single" w:color="333333" w:sz="6" w:space="0"/>
            </w:tcBorders>
            <w:noWrap w:val="0"/>
            <w:vAlign w:val="center"/>
          </w:tcPr>
          <w:p>
            <w:pPr>
              <w:widowControl/>
              <w:spacing w:before="100" w:beforeAutospacing="1" w:after="100" w:afterAutospacing="1" w:line="330" w:lineRule="atLeas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项目</w:t>
            </w:r>
          </w:p>
        </w:tc>
        <w:tc>
          <w:tcPr>
            <w:tcW w:w="4412" w:type="dxa"/>
            <w:tcBorders>
              <w:top w:val="single" w:color="auto" w:sz="8"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line="330" w:lineRule="atLeas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地下燃气管道（当有套管时，以套管计）</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exact"/>
        </w:trPr>
        <w:tc>
          <w:tcPr>
            <w:tcW w:w="4326" w:type="dxa"/>
            <w:gridSpan w:val="2"/>
            <w:tcBorders>
              <w:top w:val="single" w:color="333333" w:sz="6" w:space="0"/>
              <w:left w:val="single" w:color="auto" w:sz="8" w:space="0"/>
              <w:bottom w:val="single" w:color="333333" w:sz="6" w:space="0"/>
              <w:right w:val="single" w:color="333333" w:sz="6"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hint="eastAsia" w:eastAsia="方正仿宋_GBK"/>
                <w:color w:val="000000"/>
                <w:spacing w:val="-2"/>
                <w:kern w:val="0"/>
                <w:szCs w:val="21"/>
              </w:rPr>
              <w:t>给水管、排水管或其它燃气管道</w:t>
            </w:r>
          </w:p>
        </w:tc>
        <w:tc>
          <w:tcPr>
            <w:tcW w:w="4412" w:type="dxa"/>
            <w:tcBorders>
              <w:top w:val="single" w:color="333333" w:sz="6"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0.15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exact"/>
        </w:trPr>
        <w:tc>
          <w:tcPr>
            <w:tcW w:w="4326" w:type="dxa"/>
            <w:gridSpan w:val="2"/>
            <w:tcBorders>
              <w:top w:val="single" w:color="333333" w:sz="6" w:space="0"/>
              <w:left w:val="single" w:color="auto" w:sz="8" w:space="0"/>
              <w:bottom w:val="single" w:color="333333" w:sz="6" w:space="0"/>
              <w:right w:val="single" w:color="333333" w:sz="6"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hint="eastAsia" w:eastAsia="方正仿宋_GBK"/>
                <w:color w:val="000000"/>
                <w:spacing w:val="-2"/>
                <w:kern w:val="0"/>
                <w:szCs w:val="21"/>
              </w:rPr>
              <w:t>热力管的管沟底（或顶）</w:t>
            </w:r>
          </w:p>
        </w:tc>
        <w:tc>
          <w:tcPr>
            <w:tcW w:w="4412" w:type="dxa"/>
            <w:tcBorders>
              <w:top w:val="single" w:color="333333" w:sz="6"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0.15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exact"/>
        </w:trPr>
        <w:tc>
          <w:tcPr>
            <w:tcW w:w="1522" w:type="dxa"/>
            <w:vMerge w:val="restart"/>
            <w:tcBorders>
              <w:top w:val="single" w:color="333333" w:sz="6" w:space="0"/>
              <w:left w:val="single" w:color="auto" w:sz="8" w:space="0"/>
              <w:bottom w:val="single" w:color="333333" w:sz="6" w:space="0"/>
              <w:right w:val="single" w:color="333333" w:sz="6"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hint="eastAsia" w:eastAsia="方正仿宋_GBK"/>
                <w:color w:val="000000"/>
                <w:spacing w:val="-2"/>
                <w:kern w:val="0"/>
                <w:szCs w:val="21"/>
              </w:rPr>
              <w:t>电缆</w:t>
            </w:r>
          </w:p>
        </w:tc>
        <w:tc>
          <w:tcPr>
            <w:tcW w:w="2804" w:type="dxa"/>
            <w:tcBorders>
              <w:top w:val="single" w:color="333333" w:sz="6" w:space="0"/>
              <w:left w:val="single" w:color="333333" w:sz="6" w:space="0"/>
              <w:bottom w:val="single" w:color="333333" w:sz="6" w:space="0"/>
              <w:right w:val="single" w:color="333333" w:sz="6"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hint="eastAsia" w:eastAsia="方正仿宋_GBK"/>
                <w:color w:val="000000"/>
                <w:spacing w:val="-2"/>
                <w:kern w:val="0"/>
                <w:szCs w:val="21"/>
              </w:rPr>
              <w:t>直埋</w:t>
            </w:r>
          </w:p>
        </w:tc>
        <w:tc>
          <w:tcPr>
            <w:tcW w:w="4412" w:type="dxa"/>
            <w:tcBorders>
              <w:top w:val="single" w:color="333333" w:sz="6"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0.50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exact"/>
        </w:trPr>
        <w:tc>
          <w:tcPr>
            <w:tcW w:w="1522" w:type="dxa"/>
            <w:vMerge w:val="continue"/>
            <w:tcBorders>
              <w:top w:val="single" w:color="333333" w:sz="6" w:space="0"/>
              <w:left w:val="single" w:color="auto" w:sz="8" w:space="0"/>
              <w:bottom w:val="single" w:color="333333" w:sz="6" w:space="0"/>
              <w:right w:val="single" w:color="333333" w:sz="6" w:space="0"/>
            </w:tcBorders>
            <w:noWrap w:val="0"/>
            <w:vAlign w:val="center"/>
          </w:tcPr>
          <w:p>
            <w:pPr>
              <w:widowControl/>
              <w:jc w:val="left"/>
              <w:rPr>
                <w:rFonts w:eastAsia="方正仿宋_GBK"/>
                <w:color w:val="000000"/>
                <w:spacing w:val="-2"/>
                <w:kern w:val="0"/>
                <w:szCs w:val="21"/>
              </w:rPr>
            </w:pPr>
          </w:p>
        </w:tc>
        <w:tc>
          <w:tcPr>
            <w:tcW w:w="2804" w:type="dxa"/>
            <w:tcBorders>
              <w:top w:val="single" w:color="333333" w:sz="6" w:space="0"/>
              <w:left w:val="single" w:color="333333" w:sz="6" w:space="0"/>
              <w:bottom w:val="single" w:color="333333" w:sz="6" w:space="0"/>
              <w:right w:val="single" w:color="333333" w:sz="6"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hint="eastAsia" w:eastAsia="方正仿宋_GBK"/>
                <w:color w:val="000000"/>
                <w:spacing w:val="-2"/>
                <w:kern w:val="0"/>
                <w:szCs w:val="21"/>
              </w:rPr>
              <w:t>在导管内</w:t>
            </w:r>
          </w:p>
        </w:tc>
        <w:tc>
          <w:tcPr>
            <w:tcW w:w="4412" w:type="dxa"/>
            <w:tcBorders>
              <w:top w:val="single" w:color="333333" w:sz="6"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0.15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exact"/>
        </w:trPr>
        <w:tc>
          <w:tcPr>
            <w:tcW w:w="4326" w:type="dxa"/>
            <w:gridSpan w:val="2"/>
            <w:tcBorders>
              <w:top w:val="single" w:color="333333" w:sz="6" w:space="0"/>
              <w:left w:val="single" w:color="auto" w:sz="8" w:space="0"/>
              <w:bottom w:val="single" w:color="333333" w:sz="6" w:space="0"/>
              <w:right w:val="single" w:color="333333" w:sz="6"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hint="eastAsia" w:eastAsia="方正仿宋_GBK"/>
                <w:color w:val="000000"/>
                <w:spacing w:val="-2"/>
                <w:kern w:val="0"/>
                <w:szCs w:val="21"/>
              </w:rPr>
              <w:t>铁路轨底</w:t>
            </w:r>
          </w:p>
        </w:tc>
        <w:tc>
          <w:tcPr>
            <w:tcW w:w="4412" w:type="dxa"/>
            <w:tcBorders>
              <w:top w:val="single" w:color="333333" w:sz="6"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1.20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exact"/>
        </w:trPr>
        <w:tc>
          <w:tcPr>
            <w:tcW w:w="4326" w:type="dxa"/>
            <w:gridSpan w:val="2"/>
            <w:tcBorders>
              <w:top w:val="single" w:color="333333" w:sz="6" w:space="0"/>
              <w:left w:val="single" w:color="auto" w:sz="8" w:space="0"/>
              <w:bottom w:val="single" w:color="auto" w:sz="8" w:space="0"/>
              <w:right w:val="single" w:color="333333" w:sz="6"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hint="eastAsia" w:eastAsia="方正仿宋_GBK"/>
                <w:color w:val="000000"/>
                <w:spacing w:val="-2"/>
                <w:kern w:val="0"/>
                <w:szCs w:val="21"/>
              </w:rPr>
              <w:t>有轨电车</w:t>
            </w:r>
            <w:r>
              <w:rPr>
                <w:rFonts w:eastAsia="方正仿宋_GBK"/>
                <w:color w:val="000000"/>
                <w:spacing w:val="-2"/>
                <w:kern w:val="0"/>
                <w:szCs w:val="21"/>
              </w:rPr>
              <w:t>(</w:t>
            </w:r>
            <w:r>
              <w:rPr>
                <w:rFonts w:hint="eastAsia" w:eastAsia="方正仿宋_GBK"/>
                <w:color w:val="000000"/>
                <w:spacing w:val="-2"/>
                <w:kern w:val="0"/>
                <w:szCs w:val="21"/>
              </w:rPr>
              <w:t>轨底</w:t>
            </w:r>
            <w:r>
              <w:rPr>
                <w:rFonts w:eastAsia="方正仿宋_GBK"/>
                <w:color w:val="000000"/>
                <w:spacing w:val="-2"/>
                <w:kern w:val="0"/>
                <w:szCs w:val="21"/>
              </w:rPr>
              <w:t>)</w:t>
            </w:r>
          </w:p>
        </w:tc>
        <w:tc>
          <w:tcPr>
            <w:tcW w:w="4412" w:type="dxa"/>
            <w:tcBorders>
              <w:top w:val="single" w:color="333333" w:sz="6" w:space="0"/>
              <w:left w:val="single" w:color="333333" w:sz="6" w:space="0"/>
              <w:bottom w:val="single" w:color="auto" w:sz="8" w:space="0"/>
              <w:right w:val="single" w:color="auto" w:sz="8" w:space="0"/>
            </w:tcBorders>
            <w:noWrap w:val="0"/>
            <w:vAlign w:val="center"/>
          </w:tcPr>
          <w:p>
            <w:pPr>
              <w:widowControl/>
              <w:spacing w:before="100" w:beforeAutospacing="1" w:after="100" w:afterAutospacing="1" w:line="330" w:lineRule="atLeast"/>
              <w:jc w:val="center"/>
              <w:rPr>
                <w:rFonts w:eastAsia="方正仿宋_GBK"/>
                <w:color w:val="000000"/>
                <w:spacing w:val="-2"/>
                <w:kern w:val="0"/>
                <w:szCs w:val="21"/>
              </w:rPr>
            </w:pPr>
            <w:r>
              <w:rPr>
                <w:rFonts w:eastAsia="方正仿宋_GBK"/>
                <w:color w:val="000000"/>
                <w:spacing w:val="-2"/>
                <w:kern w:val="0"/>
                <w:szCs w:val="21"/>
              </w:rPr>
              <w:t>1.00</w:t>
            </w:r>
          </w:p>
        </w:tc>
      </w:tr>
    </w:tbl>
    <w:p>
      <w:pPr>
        <w:widowControl/>
        <w:spacing w:before="120" w:beforeLines="50" w:line="260" w:lineRule="exact"/>
        <w:rPr>
          <w:rFonts w:eastAsia="方正仿宋_GBK"/>
          <w:color w:val="000000"/>
          <w:spacing w:val="-2"/>
          <w:kern w:val="0"/>
          <w:sz w:val="18"/>
          <w:szCs w:val="18"/>
        </w:rPr>
      </w:pPr>
      <w:r>
        <w:rPr>
          <w:rFonts w:hint="eastAsia" w:eastAsia="方正仿宋_GBK"/>
          <w:color w:val="000000"/>
          <w:spacing w:val="-2"/>
          <w:kern w:val="0"/>
          <w:sz w:val="18"/>
          <w:szCs w:val="18"/>
        </w:rPr>
        <w:t>注：</w:t>
      </w:r>
      <w:r>
        <w:rPr>
          <w:rFonts w:eastAsia="方正仿宋_GBK"/>
          <w:color w:val="000000"/>
          <w:spacing w:val="-2"/>
          <w:kern w:val="0"/>
          <w:sz w:val="18"/>
          <w:szCs w:val="18"/>
        </w:rPr>
        <w:t xml:space="preserve">1 </w:t>
      </w:r>
      <w:r>
        <w:rPr>
          <w:rFonts w:hint="eastAsia" w:eastAsia="方正仿宋_GBK"/>
          <w:color w:val="000000"/>
          <w:spacing w:val="-2"/>
          <w:kern w:val="0"/>
          <w:sz w:val="18"/>
          <w:szCs w:val="18"/>
        </w:rPr>
        <w:t>当次高压燃气管道压力与表中数不相同时</w:t>
      </w:r>
      <w:r>
        <w:rPr>
          <w:rFonts w:eastAsia="方正仿宋_GBK"/>
          <w:color w:val="000000"/>
          <w:spacing w:val="-2"/>
          <w:kern w:val="0"/>
          <w:sz w:val="18"/>
          <w:szCs w:val="18"/>
        </w:rPr>
        <w:t>,</w:t>
      </w:r>
      <w:r>
        <w:rPr>
          <w:rFonts w:hint="eastAsia" w:eastAsia="方正仿宋_GBK"/>
          <w:color w:val="000000"/>
          <w:spacing w:val="-2"/>
          <w:kern w:val="0"/>
          <w:sz w:val="18"/>
          <w:szCs w:val="18"/>
        </w:rPr>
        <w:t>可采用直线方程内插法确定水平净距。</w:t>
      </w:r>
      <w:r>
        <w:rPr>
          <w:rFonts w:eastAsia="方正仿宋_GBK"/>
          <w:color w:val="000000"/>
          <w:spacing w:val="-2"/>
          <w:kern w:val="0"/>
          <w:sz w:val="18"/>
          <w:szCs w:val="18"/>
        </w:rPr>
        <w:t xml:space="preserve"> </w:t>
      </w:r>
    </w:p>
    <w:p>
      <w:pPr>
        <w:widowControl/>
        <w:spacing w:line="260" w:lineRule="exact"/>
        <w:ind w:firstLine="344" w:firstLineChars="196"/>
        <w:rPr>
          <w:rFonts w:eastAsia="方正仿宋_GBK"/>
          <w:color w:val="000000"/>
          <w:spacing w:val="-2"/>
          <w:kern w:val="0"/>
          <w:sz w:val="18"/>
          <w:szCs w:val="18"/>
        </w:rPr>
      </w:pPr>
      <w:r>
        <w:rPr>
          <w:rFonts w:eastAsia="方正仿宋_GBK"/>
          <w:color w:val="000000"/>
          <w:spacing w:val="-2"/>
          <w:kern w:val="0"/>
          <w:sz w:val="18"/>
          <w:szCs w:val="18"/>
        </w:rPr>
        <w:t xml:space="preserve">2 </w:t>
      </w:r>
      <w:r>
        <w:rPr>
          <w:rFonts w:hint="eastAsia" w:eastAsia="方正仿宋_GBK"/>
          <w:color w:val="000000"/>
          <w:spacing w:val="-2"/>
          <w:kern w:val="0"/>
          <w:sz w:val="18"/>
          <w:szCs w:val="18"/>
        </w:rPr>
        <w:t>如受地形限制无法满足表</w:t>
      </w:r>
      <w:r>
        <w:rPr>
          <w:rFonts w:eastAsia="方正仿宋_GBK"/>
          <w:color w:val="000000"/>
          <w:spacing w:val="-2"/>
          <w:kern w:val="0"/>
          <w:sz w:val="18"/>
          <w:szCs w:val="18"/>
        </w:rPr>
        <w:t xml:space="preserve">6.3.3-1 </w:t>
      </w:r>
      <w:r>
        <w:rPr>
          <w:rFonts w:hint="eastAsia" w:eastAsia="方正仿宋_GBK"/>
          <w:color w:val="000000"/>
          <w:spacing w:val="-2"/>
          <w:kern w:val="0"/>
          <w:sz w:val="18"/>
          <w:szCs w:val="18"/>
        </w:rPr>
        <w:t>和表</w:t>
      </w:r>
      <w:r>
        <w:rPr>
          <w:rFonts w:eastAsia="方正仿宋_GBK"/>
          <w:color w:val="000000"/>
          <w:spacing w:val="-2"/>
          <w:kern w:val="0"/>
          <w:sz w:val="18"/>
          <w:szCs w:val="18"/>
        </w:rPr>
        <w:t xml:space="preserve">6.3.3-2 </w:t>
      </w:r>
      <w:r>
        <w:rPr>
          <w:rFonts w:hint="eastAsia" w:eastAsia="方正仿宋_GBK"/>
          <w:color w:val="000000"/>
          <w:spacing w:val="-2"/>
          <w:kern w:val="0"/>
          <w:sz w:val="18"/>
          <w:szCs w:val="18"/>
        </w:rPr>
        <w:t>时，经与有关部门协商，采取有效的安全防护措施后，表</w:t>
      </w:r>
      <w:r>
        <w:rPr>
          <w:rFonts w:eastAsia="方正仿宋_GBK"/>
          <w:color w:val="000000"/>
          <w:spacing w:val="-2"/>
          <w:kern w:val="0"/>
          <w:sz w:val="18"/>
          <w:szCs w:val="18"/>
        </w:rPr>
        <w:t xml:space="preserve">6.3.3-1 </w:t>
      </w:r>
      <w:r>
        <w:rPr>
          <w:rFonts w:hint="eastAsia" w:eastAsia="方正仿宋_GBK"/>
          <w:color w:val="000000"/>
          <w:spacing w:val="-2"/>
          <w:kern w:val="0"/>
          <w:sz w:val="18"/>
          <w:szCs w:val="18"/>
        </w:rPr>
        <w:t>和表</w:t>
      </w:r>
      <w:r>
        <w:rPr>
          <w:rFonts w:eastAsia="方正仿宋_GBK"/>
          <w:color w:val="000000"/>
          <w:spacing w:val="-2"/>
          <w:kern w:val="0"/>
          <w:sz w:val="18"/>
          <w:szCs w:val="18"/>
        </w:rPr>
        <w:t xml:space="preserve">6.3.3-2 </w:t>
      </w:r>
      <w:r>
        <w:rPr>
          <w:rFonts w:hint="eastAsia" w:eastAsia="方正仿宋_GBK"/>
          <w:color w:val="000000"/>
          <w:spacing w:val="-2"/>
          <w:kern w:val="0"/>
          <w:sz w:val="18"/>
          <w:szCs w:val="18"/>
        </w:rPr>
        <w:t>规定的净距，均可适当缩小，但低压管道应不影响建（构）筑物和相邻管道基础的稳固性，中压管道距建筑物基础不应小于</w:t>
      </w:r>
      <w:r>
        <w:rPr>
          <w:rFonts w:eastAsia="方正仿宋_GBK"/>
          <w:color w:val="000000"/>
          <w:spacing w:val="-2"/>
          <w:kern w:val="0"/>
          <w:sz w:val="18"/>
          <w:szCs w:val="18"/>
        </w:rPr>
        <w:t>0.5m</w:t>
      </w:r>
      <w:r>
        <w:rPr>
          <w:rFonts w:hint="eastAsia" w:eastAsia="方正仿宋_GBK"/>
          <w:color w:val="000000"/>
          <w:spacing w:val="-2"/>
          <w:kern w:val="0"/>
          <w:sz w:val="18"/>
          <w:szCs w:val="18"/>
        </w:rPr>
        <w:t>且距建筑物外墙面不应小于</w:t>
      </w:r>
      <w:r>
        <w:rPr>
          <w:rFonts w:eastAsia="方正仿宋_GBK"/>
          <w:color w:val="000000"/>
          <w:spacing w:val="-2"/>
          <w:kern w:val="0"/>
          <w:sz w:val="18"/>
          <w:szCs w:val="18"/>
        </w:rPr>
        <w:t>1m</w:t>
      </w:r>
      <w:r>
        <w:rPr>
          <w:rFonts w:hint="eastAsia" w:eastAsia="方正仿宋_GBK"/>
          <w:color w:val="000000"/>
          <w:spacing w:val="-2"/>
          <w:kern w:val="0"/>
          <w:sz w:val="18"/>
          <w:szCs w:val="18"/>
        </w:rPr>
        <w:t>，次高压燃气管道距建筑物外墙面不应小于</w:t>
      </w:r>
      <w:r>
        <w:rPr>
          <w:rFonts w:eastAsia="方正仿宋_GBK"/>
          <w:color w:val="000000"/>
          <w:spacing w:val="-2"/>
          <w:kern w:val="0"/>
          <w:sz w:val="18"/>
          <w:szCs w:val="18"/>
        </w:rPr>
        <w:t>3.0m</w:t>
      </w:r>
      <w:r>
        <w:rPr>
          <w:rFonts w:hint="eastAsia" w:eastAsia="方正仿宋_GBK"/>
          <w:color w:val="000000"/>
          <w:spacing w:val="-2"/>
          <w:kern w:val="0"/>
          <w:sz w:val="18"/>
          <w:szCs w:val="18"/>
        </w:rPr>
        <w:t>。其中当对次高压</w:t>
      </w:r>
      <w:r>
        <w:rPr>
          <w:rFonts w:eastAsia="方正仿宋_GBK"/>
          <w:color w:val="000000"/>
          <w:spacing w:val="-2"/>
          <w:kern w:val="0"/>
          <w:sz w:val="18"/>
          <w:szCs w:val="18"/>
        </w:rPr>
        <w:t xml:space="preserve">A </w:t>
      </w:r>
      <w:r>
        <w:rPr>
          <w:rFonts w:hint="eastAsia" w:eastAsia="方正仿宋_GBK"/>
          <w:color w:val="000000"/>
          <w:spacing w:val="-2"/>
          <w:kern w:val="0"/>
          <w:sz w:val="18"/>
          <w:szCs w:val="18"/>
        </w:rPr>
        <w:t>燃气管道采取有效的安全防护措施或当管道壁厚不小于</w:t>
      </w:r>
      <w:r>
        <w:rPr>
          <w:rFonts w:eastAsia="方正仿宋_GBK"/>
          <w:color w:val="000000"/>
          <w:spacing w:val="-2"/>
          <w:kern w:val="0"/>
          <w:sz w:val="18"/>
          <w:szCs w:val="18"/>
        </w:rPr>
        <w:t>9.5mm</w:t>
      </w:r>
      <w:r>
        <w:rPr>
          <w:rFonts w:hint="eastAsia" w:eastAsia="方正仿宋_GBK"/>
          <w:color w:val="000000"/>
          <w:spacing w:val="-2"/>
          <w:kern w:val="0"/>
          <w:sz w:val="18"/>
          <w:szCs w:val="18"/>
        </w:rPr>
        <w:t>时，管道距建筑物外墙面不应小于</w:t>
      </w:r>
      <w:r>
        <w:rPr>
          <w:rFonts w:eastAsia="方正仿宋_GBK"/>
          <w:color w:val="000000"/>
          <w:spacing w:val="-2"/>
          <w:kern w:val="0"/>
          <w:sz w:val="18"/>
          <w:szCs w:val="18"/>
        </w:rPr>
        <w:t>6.5m</w:t>
      </w:r>
      <w:r>
        <w:rPr>
          <w:rFonts w:hint="eastAsia" w:eastAsia="方正仿宋_GBK"/>
          <w:color w:val="000000"/>
          <w:spacing w:val="-2"/>
          <w:kern w:val="0"/>
          <w:sz w:val="18"/>
          <w:szCs w:val="18"/>
        </w:rPr>
        <w:t>；当管壁厚度不小于</w:t>
      </w:r>
      <w:r>
        <w:rPr>
          <w:rFonts w:eastAsia="方正仿宋_GBK"/>
          <w:color w:val="000000"/>
          <w:spacing w:val="-2"/>
          <w:kern w:val="0"/>
          <w:sz w:val="18"/>
          <w:szCs w:val="18"/>
        </w:rPr>
        <w:t>11.9mm</w:t>
      </w:r>
      <w:r>
        <w:rPr>
          <w:rFonts w:hint="eastAsia" w:eastAsia="方正仿宋_GBK"/>
          <w:color w:val="000000"/>
          <w:spacing w:val="-2"/>
          <w:kern w:val="0"/>
          <w:sz w:val="18"/>
          <w:szCs w:val="18"/>
        </w:rPr>
        <w:t>时，管道距建筑物外墙面不应小于</w:t>
      </w:r>
      <w:r>
        <w:rPr>
          <w:rFonts w:eastAsia="方正仿宋_GBK"/>
          <w:color w:val="000000"/>
          <w:spacing w:val="-2"/>
          <w:kern w:val="0"/>
          <w:sz w:val="18"/>
          <w:szCs w:val="18"/>
        </w:rPr>
        <w:t>3.0m</w:t>
      </w:r>
      <w:r>
        <w:rPr>
          <w:rFonts w:hint="eastAsia" w:eastAsia="方正仿宋_GBK"/>
          <w:color w:val="000000"/>
          <w:spacing w:val="-2"/>
          <w:kern w:val="0"/>
          <w:sz w:val="18"/>
          <w:szCs w:val="18"/>
        </w:rPr>
        <w:t>。</w:t>
      </w:r>
    </w:p>
    <w:p>
      <w:pPr>
        <w:widowControl/>
        <w:spacing w:line="260" w:lineRule="exact"/>
        <w:rPr>
          <w:rFonts w:eastAsia="方正仿宋_GBK"/>
          <w:color w:val="000000"/>
          <w:spacing w:val="-2"/>
          <w:kern w:val="0"/>
          <w:sz w:val="18"/>
          <w:szCs w:val="18"/>
        </w:rPr>
      </w:pPr>
      <w:r>
        <w:rPr>
          <w:rFonts w:eastAsia="方正仿宋_GBK"/>
          <w:color w:val="000000"/>
          <w:spacing w:val="-2"/>
          <w:kern w:val="0"/>
          <w:sz w:val="18"/>
          <w:szCs w:val="18"/>
        </w:rPr>
        <w:t xml:space="preserve">3 </w:t>
      </w:r>
      <w:r>
        <w:rPr>
          <w:rFonts w:hint="eastAsia" w:eastAsia="方正仿宋_GBK"/>
          <w:color w:val="000000"/>
          <w:spacing w:val="-2"/>
          <w:kern w:val="0"/>
          <w:sz w:val="18"/>
          <w:szCs w:val="18"/>
        </w:rPr>
        <w:t>表</w:t>
      </w:r>
      <w:r>
        <w:rPr>
          <w:rFonts w:eastAsia="方正仿宋_GBK"/>
          <w:color w:val="000000"/>
          <w:spacing w:val="-2"/>
          <w:kern w:val="0"/>
          <w:sz w:val="18"/>
          <w:szCs w:val="18"/>
        </w:rPr>
        <w:t xml:space="preserve">6.3.3-1 </w:t>
      </w:r>
      <w:r>
        <w:rPr>
          <w:rFonts w:hint="eastAsia" w:eastAsia="方正仿宋_GBK"/>
          <w:color w:val="000000"/>
          <w:spacing w:val="-2"/>
          <w:kern w:val="0"/>
          <w:sz w:val="18"/>
          <w:szCs w:val="18"/>
        </w:rPr>
        <w:t>和表</w:t>
      </w:r>
      <w:r>
        <w:rPr>
          <w:rFonts w:eastAsia="方正仿宋_GBK"/>
          <w:color w:val="000000"/>
          <w:spacing w:val="-2"/>
          <w:kern w:val="0"/>
          <w:sz w:val="18"/>
          <w:szCs w:val="18"/>
        </w:rPr>
        <w:t xml:space="preserve">6.3.3-2 </w:t>
      </w:r>
      <w:r>
        <w:rPr>
          <w:rFonts w:hint="eastAsia" w:eastAsia="方正仿宋_GBK"/>
          <w:color w:val="000000"/>
          <w:spacing w:val="-2"/>
          <w:kern w:val="0"/>
          <w:sz w:val="18"/>
          <w:szCs w:val="18"/>
        </w:rPr>
        <w:t>规定除地下室燃气管道与热力管的净距不适于聚乙烯燃气管道和钢骨架聚乙烯塑料复合管外，其它规定也均适用于聚乙烯燃气管道和钢骨架聚乙烯塑料复合管道。聚乙烯燃气管道与热力管道的净距应按国家现行标准《聚乙烯燃气管道工程技术规程》</w:t>
      </w:r>
      <w:r>
        <w:rPr>
          <w:rFonts w:eastAsia="方正仿宋_GBK"/>
          <w:color w:val="000000"/>
          <w:spacing w:val="-2"/>
          <w:kern w:val="0"/>
          <w:sz w:val="18"/>
          <w:szCs w:val="18"/>
        </w:rPr>
        <w:t xml:space="preserve">CJJ 63 </w:t>
      </w:r>
      <w:r>
        <w:rPr>
          <w:rFonts w:hint="eastAsia" w:eastAsia="方正仿宋_GBK"/>
          <w:color w:val="000000"/>
          <w:spacing w:val="-2"/>
          <w:kern w:val="0"/>
          <w:sz w:val="18"/>
          <w:szCs w:val="18"/>
        </w:rPr>
        <w:t>执行。</w:t>
      </w:r>
    </w:p>
    <w:p>
      <w:pPr>
        <w:snapToGrid w:val="0"/>
        <w:spacing w:before="120" w:beforeLines="50"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聚乙烯燃气管道应执行《聚乙烯燃气管道工程技术规程》</w:t>
      </w:r>
      <w:r>
        <w:rPr>
          <w:rFonts w:eastAsia="方正仿宋_GBK"/>
          <w:color w:val="000000"/>
          <w:spacing w:val="-2"/>
          <w:sz w:val="24"/>
        </w:rPr>
        <w:t>CJJ63-2008</w:t>
      </w:r>
      <w:r>
        <w:rPr>
          <w:rFonts w:hint="eastAsia" w:eastAsia="方正仿宋_GBK"/>
          <w:color w:val="000000"/>
          <w:spacing w:val="-2"/>
          <w:sz w:val="24"/>
        </w:rPr>
        <w:t>第</w:t>
      </w:r>
      <w:r>
        <w:rPr>
          <w:rFonts w:eastAsia="方正仿宋_GBK"/>
          <w:color w:val="000000"/>
          <w:spacing w:val="-2"/>
          <w:sz w:val="24"/>
        </w:rPr>
        <w:t>4.3.1</w:t>
      </w:r>
      <w:r>
        <w:rPr>
          <w:rFonts w:hint="eastAsia" w:eastAsia="方正仿宋_GBK"/>
          <w:color w:val="000000"/>
          <w:spacing w:val="-2"/>
          <w:sz w:val="24"/>
        </w:rPr>
        <w:t>、</w:t>
      </w:r>
      <w:r>
        <w:rPr>
          <w:rFonts w:eastAsia="方正仿宋_GBK"/>
          <w:color w:val="000000"/>
          <w:spacing w:val="-2"/>
          <w:sz w:val="24"/>
        </w:rPr>
        <w:t>4.3.2</w:t>
      </w:r>
      <w:r>
        <w:rPr>
          <w:rFonts w:hint="eastAsia" w:eastAsia="方正仿宋_GBK"/>
          <w:color w:val="000000"/>
          <w:spacing w:val="-2"/>
          <w:sz w:val="24"/>
        </w:rPr>
        <w:t>条规定：</w:t>
      </w:r>
    </w:p>
    <w:p>
      <w:pPr>
        <w:snapToGrid w:val="0"/>
        <w:spacing w:line="460" w:lineRule="exact"/>
        <w:ind w:firstLine="472" w:firstLineChars="200"/>
        <w:rPr>
          <w:rFonts w:eastAsia="方正仿宋_GBK"/>
          <w:color w:val="000000"/>
          <w:spacing w:val="-2"/>
          <w:sz w:val="24"/>
        </w:rPr>
      </w:pPr>
      <w:r>
        <w:rPr>
          <w:rFonts w:eastAsia="方正仿宋_GBK"/>
          <w:color w:val="000000"/>
          <w:spacing w:val="-2"/>
          <w:sz w:val="24"/>
        </w:rPr>
        <w:t xml:space="preserve">4.3.1 </w:t>
      </w:r>
      <w:r>
        <w:rPr>
          <w:rFonts w:hint="eastAsia" w:eastAsia="方正仿宋_GBK"/>
          <w:color w:val="000000"/>
          <w:spacing w:val="-2"/>
          <w:sz w:val="24"/>
        </w:rPr>
        <w:t>聚乙烯管道和钢骨架聚乙烯复合管道不得从建筑物或大型构筑物的下面穿越（不包括架空的建筑物和立交桥等大型构筑物）；不得在堆积易燃、易爆材料和具有腐蚀性液体的场地下面穿越；不得与非燃气管道或电缆同沟敷设。</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4.3.2 </w:t>
      </w:r>
      <w:r>
        <w:rPr>
          <w:rFonts w:hint="eastAsia" w:eastAsia="方正仿宋_GBK"/>
          <w:color w:val="000000"/>
          <w:spacing w:val="-2"/>
          <w:sz w:val="24"/>
        </w:rPr>
        <w:t>聚乙烯管道和钢骨架聚乙烯复合管道与热力管道之间的水平净距和垂直净距，不应小于表</w:t>
      </w:r>
      <w:r>
        <w:rPr>
          <w:rFonts w:eastAsia="方正仿宋_GBK"/>
          <w:color w:val="000000"/>
          <w:spacing w:val="-2"/>
          <w:sz w:val="24"/>
        </w:rPr>
        <w:t>4.3.2-1</w:t>
      </w:r>
      <w:r>
        <w:rPr>
          <w:rFonts w:hint="eastAsia" w:eastAsia="方正仿宋_GBK"/>
          <w:color w:val="000000"/>
          <w:spacing w:val="-2"/>
          <w:sz w:val="24"/>
        </w:rPr>
        <w:t>和表</w:t>
      </w:r>
      <w:r>
        <w:rPr>
          <w:rFonts w:eastAsia="方正仿宋_GBK"/>
          <w:color w:val="000000"/>
          <w:spacing w:val="-2"/>
          <w:sz w:val="24"/>
        </w:rPr>
        <w:t>4.3.2-2</w:t>
      </w:r>
      <w:r>
        <w:rPr>
          <w:rFonts w:hint="eastAsia" w:eastAsia="方正仿宋_GBK"/>
          <w:color w:val="000000"/>
          <w:spacing w:val="-2"/>
          <w:sz w:val="24"/>
        </w:rPr>
        <w:t>的规定。</w:t>
      </w:r>
    </w:p>
    <w:p>
      <w:pPr>
        <w:spacing w:before="120" w:beforeLines="50" w:line="460" w:lineRule="exact"/>
        <w:jc w:val="center"/>
        <w:rPr>
          <w:rFonts w:eastAsia="方正黑体_GBK"/>
          <w:color w:val="000000"/>
          <w:spacing w:val="-2"/>
          <w:kern w:val="0"/>
          <w:sz w:val="24"/>
        </w:rPr>
      </w:pPr>
      <w:r>
        <w:rPr>
          <w:rFonts w:hint="eastAsia" w:eastAsia="方正黑体_GBK"/>
          <w:color w:val="000000"/>
          <w:spacing w:val="-2"/>
          <w:kern w:val="0"/>
          <w:sz w:val="24"/>
        </w:rPr>
        <w:t>表</w:t>
      </w:r>
      <w:r>
        <w:rPr>
          <w:rFonts w:eastAsia="方正黑体_GBK"/>
          <w:color w:val="000000"/>
          <w:spacing w:val="-2"/>
          <w:kern w:val="0"/>
          <w:sz w:val="24"/>
        </w:rPr>
        <w:t xml:space="preserve">4.3.2-1 </w:t>
      </w:r>
      <w:r>
        <w:rPr>
          <w:rFonts w:hint="eastAsia" w:eastAsia="方正黑体_GBK"/>
          <w:color w:val="000000"/>
          <w:spacing w:val="-2"/>
          <w:kern w:val="0"/>
          <w:sz w:val="24"/>
        </w:rPr>
        <w:t>聚乙烯管道和钢骨架聚乙烯复合管道与热力管道之间的水平净距（</w:t>
      </w:r>
      <w:r>
        <w:rPr>
          <w:rFonts w:eastAsia="方正黑体_GBK"/>
          <w:color w:val="000000"/>
          <w:spacing w:val="-2"/>
          <w:kern w:val="0"/>
          <w:sz w:val="24"/>
        </w:rPr>
        <w:t>m</w:t>
      </w:r>
      <w:r>
        <w:rPr>
          <w:rFonts w:hint="eastAsia" w:eastAsia="方正黑体_GBK"/>
          <w:color w:val="000000"/>
          <w:spacing w:val="-2"/>
          <w:kern w:val="0"/>
          <w:sz w:val="24"/>
        </w:rPr>
        <w:t>）</w:t>
      </w:r>
    </w:p>
    <w:tbl>
      <w:tblPr>
        <w:tblStyle w:val="12"/>
        <w:tblW w:w="0" w:type="auto"/>
        <w:tblInd w:w="-10" w:type="dxa"/>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Layout w:type="fixed"/>
        <w:tblCellMar>
          <w:top w:w="0" w:type="dxa"/>
          <w:left w:w="0" w:type="dxa"/>
          <w:bottom w:w="0" w:type="dxa"/>
          <w:right w:w="0" w:type="dxa"/>
        </w:tblCellMar>
      </w:tblPr>
      <w:tblGrid>
        <w:gridCol w:w="924"/>
        <w:gridCol w:w="1064"/>
        <w:gridCol w:w="1560"/>
        <w:gridCol w:w="1261"/>
        <w:gridCol w:w="1261"/>
        <w:gridCol w:w="1357"/>
        <w:gridCol w:w="1357"/>
      </w:tblGrid>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atLeast"/>
        </w:trPr>
        <w:tc>
          <w:tcPr>
            <w:tcW w:w="1988" w:type="dxa"/>
            <w:gridSpan w:val="2"/>
            <w:vMerge w:val="restart"/>
            <w:tcBorders>
              <w:top w:val="single" w:color="auto" w:sz="8" w:space="0"/>
              <w:left w:val="single" w:color="auto" w:sz="8" w:space="0"/>
              <w:bottom w:val="single" w:color="333333" w:sz="6" w:space="0"/>
              <w:right w:val="single" w:color="333333" w:sz="6" w:space="0"/>
            </w:tcBorders>
            <w:noWrap w:val="0"/>
            <w:vAlign w:val="center"/>
          </w:tcPr>
          <w:p>
            <w:pPr>
              <w:widowControl/>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 xml:space="preserve">项目 </w:t>
            </w:r>
          </w:p>
        </w:tc>
        <w:tc>
          <w:tcPr>
            <w:tcW w:w="6796" w:type="dxa"/>
            <w:gridSpan w:val="5"/>
            <w:tcBorders>
              <w:top w:val="single" w:color="auto" w:sz="8" w:space="0"/>
              <w:left w:val="single" w:color="333333" w:sz="6" w:space="0"/>
              <w:bottom w:val="single" w:color="333333" w:sz="6" w:space="0"/>
              <w:right w:val="single" w:color="auto" w:sz="8" w:space="0"/>
            </w:tcBorders>
            <w:noWrap w:val="0"/>
            <w:vAlign w:val="center"/>
          </w:tcPr>
          <w:p>
            <w:pPr>
              <w:widowControl/>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 xml:space="preserve">地下燃气管道（m） </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atLeast"/>
        </w:trPr>
        <w:tc>
          <w:tcPr>
            <w:tcW w:w="1988" w:type="dxa"/>
            <w:gridSpan w:val="2"/>
            <w:vMerge w:val="continue"/>
            <w:tcBorders>
              <w:top w:val="single" w:color="auto" w:sz="8" w:space="0"/>
              <w:left w:val="single" w:color="auto" w:sz="8" w:space="0"/>
              <w:bottom w:val="single" w:color="333333" w:sz="6" w:space="0"/>
              <w:right w:val="single" w:color="333333" w:sz="6" w:space="0"/>
            </w:tcBorders>
            <w:noWrap w:val="0"/>
            <w:vAlign w:val="center"/>
          </w:tcPr>
          <w:p>
            <w:pPr>
              <w:widowControl/>
              <w:jc w:val="left"/>
              <w:rPr>
                <w:rFonts w:ascii="Times New Roman" w:eastAsia="方正黑体_GBK"/>
                <w:color w:val="000000"/>
                <w:spacing w:val="-2"/>
                <w:kern w:val="0"/>
                <w:szCs w:val="21"/>
              </w:rPr>
            </w:pPr>
          </w:p>
        </w:tc>
        <w:tc>
          <w:tcPr>
            <w:tcW w:w="1560" w:type="dxa"/>
            <w:vMerge w:val="restart"/>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低压</w:t>
            </w:r>
          </w:p>
        </w:tc>
        <w:tc>
          <w:tcPr>
            <w:tcW w:w="2522" w:type="dxa"/>
            <w:gridSpan w:val="2"/>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中压</w:t>
            </w:r>
          </w:p>
        </w:tc>
        <w:tc>
          <w:tcPr>
            <w:tcW w:w="2714" w:type="dxa"/>
            <w:gridSpan w:val="2"/>
            <w:tcBorders>
              <w:top w:val="single" w:color="333333" w:sz="6" w:space="0"/>
              <w:left w:val="single" w:color="333333" w:sz="6" w:space="0"/>
              <w:bottom w:val="single" w:color="333333" w:sz="6" w:space="0"/>
              <w:right w:val="single" w:color="auto" w:sz="8" w:space="0"/>
            </w:tcBorders>
            <w:noWrap w:val="0"/>
            <w:vAlign w:val="center"/>
          </w:tcPr>
          <w:p>
            <w:pPr>
              <w:widowControl/>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次高压</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atLeast"/>
        </w:trPr>
        <w:tc>
          <w:tcPr>
            <w:tcW w:w="1988" w:type="dxa"/>
            <w:gridSpan w:val="2"/>
            <w:vMerge w:val="continue"/>
            <w:tcBorders>
              <w:top w:val="single" w:color="auto" w:sz="8" w:space="0"/>
              <w:left w:val="single" w:color="auto" w:sz="8" w:space="0"/>
              <w:bottom w:val="single" w:color="333333" w:sz="6" w:space="0"/>
              <w:right w:val="single" w:color="333333" w:sz="6" w:space="0"/>
            </w:tcBorders>
            <w:noWrap w:val="0"/>
            <w:vAlign w:val="center"/>
          </w:tcPr>
          <w:p>
            <w:pPr>
              <w:widowControl/>
              <w:jc w:val="left"/>
              <w:rPr>
                <w:rFonts w:ascii="Times New Roman" w:eastAsia="方正黑体_GBK"/>
                <w:color w:val="000000"/>
                <w:spacing w:val="-2"/>
                <w:kern w:val="0"/>
                <w:szCs w:val="21"/>
              </w:rPr>
            </w:pPr>
          </w:p>
        </w:tc>
        <w:tc>
          <w:tcPr>
            <w:tcW w:w="1560" w:type="dxa"/>
            <w:vMerge w:val="continue"/>
            <w:tcBorders>
              <w:top w:val="single" w:color="333333" w:sz="6" w:space="0"/>
              <w:left w:val="single" w:color="333333" w:sz="6" w:space="0"/>
              <w:bottom w:val="single" w:color="333333" w:sz="6" w:space="0"/>
              <w:right w:val="single" w:color="333333" w:sz="6" w:space="0"/>
            </w:tcBorders>
            <w:noWrap w:val="0"/>
            <w:vAlign w:val="center"/>
          </w:tcPr>
          <w:p>
            <w:pPr>
              <w:widowControl/>
              <w:jc w:val="left"/>
              <w:rPr>
                <w:rFonts w:ascii="Times New Roman" w:eastAsia="方正黑体_GBK"/>
                <w:color w:val="000000"/>
                <w:spacing w:val="-2"/>
                <w:kern w:val="0"/>
                <w:szCs w:val="21"/>
              </w:rPr>
            </w:pPr>
          </w:p>
        </w:tc>
        <w:tc>
          <w:tcPr>
            <w:tcW w:w="1261"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B</w:t>
            </w:r>
          </w:p>
        </w:tc>
        <w:tc>
          <w:tcPr>
            <w:tcW w:w="1261"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A</w:t>
            </w:r>
          </w:p>
        </w:tc>
        <w:tc>
          <w:tcPr>
            <w:tcW w:w="2714" w:type="dxa"/>
            <w:gridSpan w:val="2"/>
            <w:tcBorders>
              <w:top w:val="single" w:color="333333" w:sz="6" w:space="0"/>
              <w:left w:val="single" w:color="333333" w:sz="6" w:space="0"/>
              <w:bottom w:val="single" w:color="333333" w:sz="6" w:space="0"/>
              <w:right w:val="single" w:color="auto" w:sz="8"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B</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atLeast"/>
        </w:trPr>
        <w:tc>
          <w:tcPr>
            <w:tcW w:w="924" w:type="dxa"/>
            <w:vMerge w:val="restart"/>
            <w:tcBorders>
              <w:top w:val="single" w:color="333333" w:sz="6" w:space="0"/>
              <w:left w:val="single" w:color="auto" w:sz="8" w:space="0"/>
              <w:bottom w:val="single" w:color="auto" w:sz="8" w:space="0"/>
              <w:right w:val="single" w:color="333333" w:sz="6"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热力管</w:t>
            </w:r>
          </w:p>
        </w:tc>
        <w:tc>
          <w:tcPr>
            <w:tcW w:w="1064" w:type="dxa"/>
            <w:vMerge w:val="restart"/>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直埋</w:t>
            </w:r>
          </w:p>
        </w:tc>
        <w:tc>
          <w:tcPr>
            <w:tcW w:w="1560"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热水</w:t>
            </w:r>
          </w:p>
        </w:tc>
        <w:tc>
          <w:tcPr>
            <w:tcW w:w="1261"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261"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357"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357" w:type="dxa"/>
            <w:tcBorders>
              <w:top w:val="single" w:color="333333" w:sz="6" w:space="0"/>
              <w:left w:val="single" w:color="333333" w:sz="6" w:space="0"/>
              <w:bottom w:val="single" w:color="333333" w:sz="6" w:space="0"/>
              <w:right w:val="single" w:color="auto" w:sz="8"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1.5</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atLeast"/>
        </w:trPr>
        <w:tc>
          <w:tcPr>
            <w:tcW w:w="924" w:type="dxa"/>
            <w:vMerge w:val="continue"/>
            <w:tcBorders>
              <w:top w:val="single" w:color="333333" w:sz="6" w:space="0"/>
              <w:left w:val="single" w:color="auto" w:sz="8" w:space="0"/>
              <w:bottom w:val="single" w:color="auto" w:sz="8" w:space="0"/>
              <w:right w:val="single" w:color="333333" w:sz="6" w:space="0"/>
            </w:tcBorders>
            <w:noWrap w:val="0"/>
            <w:vAlign w:val="center"/>
          </w:tcPr>
          <w:p>
            <w:pPr>
              <w:widowControl/>
              <w:jc w:val="left"/>
              <w:rPr>
                <w:rFonts w:eastAsia="方正仿宋_GBK"/>
                <w:color w:val="000000"/>
                <w:spacing w:val="-2"/>
                <w:kern w:val="0"/>
                <w:szCs w:val="21"/>
              </w:rPr>
            </w:pPr>
          </w:p>
        </w:tc>
        <w:tc>
          <w:tcPr>
            <w:tcW w:w="1064" w:type="dxa"/>
            <w:vMerge w:val="continue"/>
            <w:tcBorders>
              <w:top w:val="single" w:color="333333" w:sz="6" w:space="0"/>
              <w:left w:val="single" w:color="333333" w:sz="6" w:space="0"/>
              <w:bottom w:val="single" w:color="333333" w:sz="6" w:space="0"/>
              <w:right w:val="single" w:color="333333" w:sz="6" w:space="0"/>
            </w:tcBorders>
            <w:noWrap w:val="0"/>
            <w:vAlign w:val="center"/>
          </w:tcPr>
          <w:p>
            <w:pPr>
              <w:widowControl/>
              <w:jc w:val="left"/>
              <w:rPr>
                <w:rFonts w:eastAsia="方正仿宋_GBK"/>
                <w:color w:val="000000"/>
                <w:spacing w:val="-2"/>
                <w:kern w:val="0"/>
                <w:szCs w:val="21"/>
              </w:rPr>
            </w:pPr>
          </w:p>
        </w:tc>
        <w:tc>
          <w:tcPr>
            <w:tcW w:w="1560"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蒸汽</w:t>
            </w:r>
          </w:p>
        </w:tc>
        <w:tc>
          <w:tcPr>
            <w:tcW w:w="1261"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2.0</w:t>
            </w:r>
          </w:p>
        </w:tc>
        <w:tc>
          <w:tcPr>
            <w:tcW w:w="1261"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2.0</w:t>
            </w:r>
          </w:p>
        </w:tc>
        <w:tc>
          <w:tcPr>
            <w:tcW w:w="1357"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2.0</w:t>
            </w:r>
          </w:p>
        </w:tc>
        <w:tc>
          <w:tcPr>
            <w:tcW w:w="1357" w:type="dxa"/>
            <w:tcBorders>
              <w:top w:val="single" w:color="333333" w:sz="6" w:space="0"/>
              <w:left w:val="single" w:color="333333" w:sz="6" w:space="0"/>
              <w:bottom w:val="single" w:color="333333" w:sz="6" w:space="0"/>
              <w:right w:val="single" w:color="auto" w:sz="8"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3.0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454" w:hRule="atLeast"/>
        </w:trPr>
        <w:tc>
          <w:tcPr>
            <w:tcW w:w="924" w:type="dxa"/>
            <w:vMerge w:val="continue"/>
            <w:tcBorders>
              <w:top w:val="single" w:color="333333" w:sz="6" w:space="0"/>
              <w:left w:val="single" w:color="auto" w:sz="8" w:space="0"/>
              <w:bottom w:val="single" w:color="auto" w:sz="8" w:space="0"/>
              <w:right w:val="single" w:color="333333" w:sz="6" w:space="0"/>
            </w:tcBorders>
            <w:noWrap w:val="0"/>
            <w:vAlign w:val="center"/>
          </w:tcPr>
          <w:p>
            <w:pPr>
              <w:widowControl/>
              <w:jc w:val="left"/>
              <w:rPr>
                <w:rFonts w:eastAsia="方正仿宋_GBK"/>
                <w:color w:val="000000"/>
                <w:spacing w:val="-2"/>
                <w:kern w:val="0"/>
                <w:szCs w:val="21"/>
              </w:rPr>
            </w:pPr>
          </w:p>
        </w:tc>
        <w:tc>
          <w:tcPr>
            <w:tcW w:w="2624" w:type="dxa"/>
            <w:gridSpan w:val="2"/>
            <w:tcBorders>
              <w:top w:val="single" w:color="333333" w:sz="6" w:space="0"/>
              <w:left w:val="single" w:color="333333" w:sz="6" w:space="0"/>
              <w:bottom w:val="single" w:color="auto" w:sz="8" w:space="0"/>
              <w:right w:val="single" w:color="333333" w:sz="6" w:space="0"/>
            </w:tcBorders>
            <w:noWrap w:val="0"/>
            <w:vAlign w:val="center"/>
          </w:tcPr>
          <w:p>
            <w:pPr>
              <w:widowControl/>
              <w:jc w:val="center"/>
              <w:rPr>
                <w:rFonts w:eastAsia="方正仿宋_GBK"/>
                <w:color w:val="000000"/>
                <w:spacing w:val="-2"/>
                <w:kern w:val="0"/>
                <w:szCs w:val="21"/>
              </w:rPr>
            </w:pPr>
            <w:r>
              <w:rPr>
                <w:rFonts w:hint="eastAsia" w:eastAsia="方正仿宋_GBK"/>
                <w:color w:val="000000"/>
                <w:spacing w:val="-2"/>
                <w:kern w:val="0"/>
                <w:szCs w:val="21"/>
              </w:rPr>
              <w:t>在管沟内（至外壁）</w:t>
            </w:r>
          </w:p>
        </w:tc>
        <w:tc>
          <w:tcPr>
            <w:tcW w:w="1261" w:type="dxa"/>
            <w:tcBorders>
              <w:top w:val="single" w:color="333333" w:sz="6" w:space="0"/>
              <w:left w:val="single" w:color="333333" w:sz="6" w:space="0"/>
              <w:bottom w:val="single" w:color="auto" w:sz="8"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1.0</w:t>
            </w:r>
          </w:p>
        </w:tc>
        <w:tc>
          <w:tcPr>
            <w:tcW w:w="1261" w:type="dxa"/>
            <w:tcBorders>
              <w:top w:val="single" w:color="333333" w:sz="6" w:space="0"/>
              <w:left w:val="single" w:color="333333" w:sz="6" w:space="0"/>
              <w:bottom w:val="single" w:color="auto" w:sz="8"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1.5</w:t>
            </w:r>
          </w:p>
        </w:tc>
        <w:tc>
          <w:tcPr>
            <w:tcW w:w="1357" w:type="dxa"/>
            <w:tcBorders>
              <w:top w:val="single" w:color="333333" w:sz="6" w:space="0"/>
              <w:left w:val="single" w:color="333333" w:sz="6" w:space="0"/>
              <w:bottom w:val="single" w:color="auto" w:sz="8"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1.5</w:t>
            </w:r>
          </w:p>
        </w:tc>
        <w:tc>
          <w:tcPr>
            <w:tcW w:w="1357" w:type="dxa"/>
            <w:tcBorders>
              <w:top w:val="single" w:color="333333" w:sz="6" w:space="0"/>
              <w:left w:val="single" w:color="333333" w:sz="6" w:space="0"/>
              <w:bottom w:val="single" w:color="auto" w:sz="8" w:space="0"/>
              <w:right w:val="single" w:color="auto" w:sz="8"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2.0</w:t>
            </w:r>
          </w:p>
        </w:tc>
      </w:tr>
    </w:tbl>
    <w:p>
      <w:pPr>
        <w:spacing w:before="120" w:beforeLines="50" w:line="460" w:lineRule="exact"/>
        <w:jc w:val="center"/>
        <w:rPr>
          <w:rFonts w:eastAsia="方正黑体_GBK"/>
          <w:color w:val="000000"/>
          <w:spacing w:val="-2"/>
          <w:kern w:val="0"/>
          <w:sz w:val="24"/>
        </w:rPr>
      </w:pPr>
    </w:p>
    <w:p>
      <w:pPr>
        <w:spacing w:before="120" w:beforeLines="50" w:line="460" w:lineRule="exact"/>
        <w:jc w:val="center"/>
        <w:rPr>
          <w:rFonts w:eastAsia="方正黑体_GBK"/>
          <w:color w:val="000000"/>
          <w:spacing w:val="-2"/>
          <w:kern w:val="0"/>
          <w:sz w:val="24"/>
        </w:rPr>
      </w:pPr>
      <w:r>
        <w:rPr>
          <w:rFonts w:hint="eastAsia" w:eastAsia="方正黑体_GBK"/>
          <w:color w:val="000000"/>
          <w:spacing w:val="-2"/>
          <w:kern w:val="0"/>
          <w:sz w:val="24"/>
        </w:rPr>
        <w:t>表</w:t>
      </w:r>
      <w:r>
        <w:rPr>
          <w:rFonts w:eastAsia="方正黑体_GBK"/>
          <w:color w:val="000000"/>
          <w:spacing w:val="-2"/>
          <w:kern w:val="0"/>
          <w:sz w:val="24"/>
        </w:rPr>
        <w:t xml:space="preserve">4.3.2-2 </w:t>
      </w:r>
      <w:r>
        <w:rPr>
          <w:rFonts w:hint="eastAsia" w:eastAsia="方正黑体_GBK"/>
          <w:color w:val="000000"/>
          <w:spacing w:val="-2"/>
          <w:kern w:val="0"/>
          <w:sz w:val="24"/>
        </w:rPr>
        <w:t>聚乙烯管道和钢骨架聚乙烯复合管道与热力管道之间的水平净距（</w:t>
      </w:r>
      <w:r>
        <w:rPr>
          <w:rFonts w:eastAsia="方正黑体_GBK"/>
          <w:color w:val="000000"/>
          <w:spacing w:val="-2"/>
          <w:kern w:val="0"/>
          <w:sz w:val="24"/>
        </w:rPr>
        <w:t>m</w:t>
      </w:r>
      <w:r>
        <w:rPr>
          <w:rFonts w:hint="eastAsia" w:eastAsia="方正黑体_GBK"/>
          <w:color w:val="000000"/>
          <w:spacing w:val="-2"/>
          <w:kern w:val="0"/>
          <w:sz w:val="24"/>
        </w:rPr>
        <w:t>）</w:t>
      </w:r>
    </w:p>
    <w:tbl>
      <w:tblPr>
        <w:tblStyle w:val="12"/>
        <w:tblW w:w="0" w:type="auto"/>
        <w:tblInd w:w="-10" w:type="dxa"/>
        <w:tblBorders>
          <w:top w:val="single" w:color="333333" w:sz="6" w:space="0"/>
          <w:left w:val="single" w:color="333333" w:sz="6" w:space="0"/>
          <w:bottom w:val="single" w:color="333333" w:sz="6" w:space="0"/>
          <w:right w:val="single" w:color="333333" w:sz="6" w:space="0"/>
          <w:insideH w:val="none" w:color="auto" w:sz="0" w:space="0"/>
          <w:insideV w:val="none" w:color="auto" w:sz="0" w:space="0"/>
        </w:tblBorders>
        <w:tblLayout w:type="fixed"/>
        <w:tblCellMar>
          <w:top w:w="0" w:type="dxa"/>
          <w:left w:w="0" w:type="dxa"/>
          <w:bottom w:w="0" w:type="dxa"/>
          <w:right w:w="0" w:type="dxa"/>
        </w:tblCellMar>
      </w:tblPr>
      <w:tblGrid>
        <w:gridCol w:w="1418"/>
        <w:gridCol w:w="2835"/>
        <w:gridCol w:w="4515"/>
      </w:tblGrid>
      <w:tr>
        <w:tblPrEx>
          <w:tblBorders>
            <w:top w:val="single" w:color="333333" w:sz="6" w:space="0"/>
            <w:left w:val="single" w:color="333333" w:sz="6" w:space="0"/>
            <w:bottom w:val="single" w:color="333333" w:sz="6" w:space="0"/>
            <w:right w:val="single" w:color="333333" w:sz="6" w:space="0"/>
            <w:insideH w:val="none" w:color="auto" w:sz="0" w:space="0"/>
            <w:insideV w:val="none" w:color="auto" w:sz="0" w:space="0"/>
          </w:tblBorders>
          <w:tblCellMar>
            <w:top w:w="0" w:type="dxa"/>
            <w:left w:w="0" w:type="dxa"/>
            <w:bottom w:w="0" w:type="dxa"/>
            <w:right w:w="0" w:type="dxa"/>
          </w:tblCellMar>
        </w:tblPrEx>
        <w:trPr>
          <w:trHeight w:val="695" w:hRule="atLeast"/>
        </w:trPr>
        <w:tc>
          <w:tcPr>
            <w:tcW w:w="4253" w:type="dxa"/>
            <w:gridSpan w:val="2"/>
            <w:tcBorders>
              <w:top w:val="single" w:color="auto" w:sz="8" w:space="0"/>
              <w:left w:val="single" w:color="auto" w:sz="8" w:space="0"/>
              <w:bottom w:val="nil"/>
              <w:right w:val="single" w:color="333333" w:sz="6" w:space="0"/>
            </w:tcBorders>
            <w:noWrap w:val="0"/>
            <w:vAlign w:val="center"/>
          </w:tcPr>
          <w:p>
            <w:pPr>
              <w:widowControl/>
              <w:spacing w:before="100" w:beforeAutospacing="1" w:after="100" w:afterAutospacing="1"/>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项    目</w:t>
            </w:r>
          </w:p>
        </w:tc>
        <w:tc>
          <w:tcPr>
            <w:tcW w:w="4515" w:type="dxa"/>
            <w:tcBorders>
              <w:top w:val="single" w:color="auto" w:sz="8" w:space="0"/>
              <w:left w:val="single" w:color="333333" w:sz="6" w:space="0"/>
              <w:bottom w:val="single" w:color="333333" w:sz="6" w:space="0"/>
              <w:right w:val="single" w:color="auto" w:sz="8" w:space="0"/>
            </w:tcBorders>
            <w:noWrap w:val="0"/>
            <w:vAlign w:val="center"/>
          </w:tcPr>
          <w:p>
            <w:pPr>
              <w:widowControl/>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燃气管道（当有套管时，</w:t>
            </w:r>
          </w:p>
          <w:p>
            <w:pPr>
              <w:widowControl/>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从套管外径计）（m）</w:t>
            </w:r>
          </w:p>
        </w:tc>
      </w:tr>
      <w:tr>
        <w:tblPrEx>
          <w:tblBorders>
            <w:top w:val="single" w:color="333333" w:sz="6" w:space="0"/>
            <w:left w:val="single" w:color="333333" w:sz="6" w:space="0"/>
            <w:bottom w:val="single" w:color="333333" w:sz="6" w:space="0"/>
            <w:right w:val="single" w:color="333333" w:sz="6" w:space="0"/>
            <w:insideH w:val="none" w:color="auto" w:sz="0" w:space="0"/>
            <w:insideV w:val="none" w:color="auto" w:sz="0" w:space="0"/>
          </w:tblBorders>
          <w:tblCellMar>
            <w:top w:w="0" w:type="dxa"/>
            <w:left w:w="0" w:type="dxa"/>
            <w:bottom w:w="0" w:type="dxa"/>
            <w:right w:w="0" w:type="dxa"/>
          </w:tblCellMar>
        </w:tblPrEx>
        <w:trPr>
          <w:trHeight w:val="340" w:hRule="atLeast"/>
        </w:trPr>
        <w:tc>
          <w:tcPr>
            <w:tcW w:w="1418" w:type="dxa"/>
            <w:vMerge w:val="restart"/>
            <w:tcBorders>
              <w:top w:val="single" w:color="333333" w:sz="6" w:space="0"/>
              <w:left w:val="single" w:color="auto" w:sz="8" w:space="0"/>
              <w:bottom w:val="single" w:color="auto" w:sz="8" w:space="0"/>
              <w:right w:val="single" w:color="333333" w:sz="6" w:space="0"/>
            </w:tcBorders>
            <w:noWrap w:val="0"/>
            <w:vAlign w:val="center"/>
          </w:tcPr>
          <w:p>
            <w:pPr>
              <w:widowControl/>
              <w:spacing w:before="100" w:beforeAutospacing="1" w:after="100" w:afterAutospacing="1"/>
              <w:jc w:val="center"/>
              <w:rPr>
                <w:rFonts w:eastAsia="方正仿宋_GBK"/>
                <w:color w:val="000000"/>
                <w:spacing w:val="-2"/>
                <w:kern w:val="0"/>
                <w:szCs w:val="21"/>
              </w:rPr>
            </w:pPr>
            <w:r>
              <w:rPr>
                <w:rFonts w:hint="eastAsia" w:eastAsia="方正仿宋_GBK"/>
                <w:color w:val="000000"/>
                <w:spacing w:val="-2"/>
                <w:kern w:val="0"/>
                <w:szCs w:val="21"/>
              </w:rPr>
              <w:t>热力管</w:t>
            </w:r>
          </w:p>
        </w:tc>
        <w:tc>
          <w:tcPr>
            <w:tcW w:w="2835" w:type="dxa"/>
            <w:tcBorders>
              <w:top w:val="single" w:color="333333" w:sz="6" w:space="0"/>
              <w:left w:val="single" w:color="333333" w:sz="6" w:space="0"/>
              <w:bottom w:val="single" w:color="333333" w:sz="6" w:space="0"/>
              <w:right w:val="single" w:color="333333" w:sz="6" w:space="0"/>
            </w:tcBorders>
            <w:noWrap w:val="0"/>
            <w:vAlign w:val="center"/>
          </w:tcPr>
          <w:p>
            <w:pPr>
              <w:widowControl/>
              <w:spacing w:before="100" w:beforeAutospacing="1" w:after="100" w:afterAutospacing="1"/>
              <w:jc w:val="center"/>
              <w:rPr>
                <w:rFonts w:eastAsia="方正仿宋_GBK"/>
                <w:color w:val="000000"/>
                <w:spacing w:val="-2"/>
                <w:kern w:val="0"/>
                <w:szCs w:val="21"/>
              </w:rPr>
            </w:pPr>
            <w:r>
              <w:rPr>
                <w:rFonts w:hint="eastAsia" w:eastAsia="方正仿宋_GBK"/>
                <w:color w:val="000000"/>
                <w:spacing w:val="-2"/>
                <w:kern w:val="0"/>
                <w:szCs w:val="21"/>
              </w:rPr>
              <w:t>燃气管在直埋管上方</w:t>
            </w:r>
          </w:p>
        </w:tc>
        <w:tc>
          <w:tcPr>
            <w:tcW w:w="4515" w:type="dxa"/>
            <w:tcBorders>
              <w:top w:val="single" w:color="333333" w:sz="6"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jc w:val="center"/>
              <w:rPr>
                <w:rFonts w:eastAsia="方正仿宋_GBK"/>
                <w:color w:val="000000"/>
                <w:spacing w:val="-2"/>
                <w:kern w:val="0"/>
                <w:szCs w:val="21"/>
              </w:rPr>
            </w:pPr>
            <w:r>
              <w:rPr>
                <w:rFonts w:eastAsia="方正仿宋_GBK"/>
                <w:color w:val="000000"/>
                <w:spacing w:val="-2"/>
                <w:kern w:val="0"/>
                <w:szCs w:val="21"/>
              </w:rPr>
              <w:t>0.5</w:t>
            </w:r>
            <w:r>
              <w:rPr>
                <w:rFonts w:hint="eastAsia" w:eastAsia="方正仿宋_GBK"/>
                <w:color w:val="000000"/>
                <w:spacing w:val="-2"/>
                <w:kern w:val="0"/>
                <w:szCs w:val="21"/>
              </w:rPr>
              <w:t>（加套管）</w:t>
            </w:r>
          </w:p>
        </w:tc>
      </w:tr>
      <w:tr>
        <w:tblPrEx>
          <w:tblBorders>
            <w:top w:val="single" w:color="333333" w:sz="6" w:space="0"/>
            <w:left w:val="single" w:color="333333" w:sz="6" w:space="0"/>
            <w:bottom w:val="single" w:color="333333" w:sz="6" w:space="0"/>
            <w:right w:val="single" w:color="333333" w:sz="6" w:space="0"/>
            <w:insideH w:val="none" w:color="auto" w:sz="0" w:space="0"/>
            <w:insideV w:val="none" w:color="auto" w:sz="0" w:space="0"/>
          </w:tblBorders>
          <w:tblCellMar>
            <w:top w:w="0" w:type="dxa"/>
            <w:left w:w="0" w:type="dxa"/>
            <w:bottom w:w="0" w:type="dxa"/>
            <w:right w:w="0" w:type="dxa"/>
          </w:tblCellMar>
        </w:tblPrEx>
        <w:trPr>
          <w:trHeight w:val="340" w:hRule="atLeast"/>
        </w:trPr>
        <w:tc>
          <w:tcPr>
            <w:tcW w:w="1418" w:type="dxa"/>
            <w:vMerge w:val="continue"/>
            <w:tcBorders>
              <w:top w:val="single" w:color="333333" w:sz="6" w:space="0"/>
              <w:left w:val="single" w:color="auto" w:sz="8" w:space="0"/>
              <w:bottom w:val="single" w:color="auto" w:sz="8" w:space="0"/>
              <w:right w:val="single" w:color="333333" w:sz="6" w:space="0"/>
            </w:tcBorders>
            <w:noWrap w:val="0"/>
            <w:vAlign w:val="center"/>
          </w:tcPr>
          <w:p>
            <w:pPr>
              <w:widowControl/>
              <w:jc w:val="left"/>
              <w:rPr>
                <w:rFonts w:eastAsia="方正仿宋_GBK"/>
                <w:color w:val="000000"/>
                <w:spacing w:val="-2"/>
                <w:kern w:val="0"/>
                <w:szCs w:val="21"/>
              </w:rPr>
            </w:pPr>
          </w:p>
        </w:tc>
        <w:tc>
          <w:tcPr>
            <w:tcW w:w="2835" w:type="dxa"/>
            <w:tcBorders>
              <w:top w:val="nil"/>
              <w:left w:val="single" w:color="333333" w:sz="6" w:space="0"/>
              <w:bottom w:val="single" w:color="333333" w:sz="6" w:space="0"/>
              <w:right w:val="single" w:color="333333" w:sz="6" w:space="0"/>
            </w:tcBorders>
            <w:noWrap w:val="0"/>
            <w:vAlign w:val="center"/>
          </w:tcPr>
          <w:p>
            <w:pPr>
              <w:widowControl/>
              <w:spacing w:before="100" w:beforeAutospacing="1" w:after="100" w:afterAutospacing="1"/>
              <w:jc w:val="center"/>
              <w:rPr>
                <w:rFonts w:eastAsia="方正仿宋_GBK"/>
                <w:color w:val="000000"/>
                <w:spacing w:val="-2"/>
                <w:kern w:val="0"/>
                <w:szCs w:val="21"/>
              </w:rPr>
            </w:pPr>
            <w:r>
              <w:rPr>
                <w:rFonts w:hint="eastAsia" w:eastAsia="方正仿宋_GBK"/>
                <w:color w:val="000000"/>
                <w:spacing w:val="-2"/>
                <w:kern w:val="0"/>
                <w:szCs w:val="21"/>
              </w:rPr>
              <w:t>燃气管在直埋管下方</w:t>
            </w:r>
          </w:p>
        </w:tc>
        <w:tc>
          <w:tcPr>
            <w:tcW w:w="4515" w:type="dxa"/>
            <w:tcBorders>
              <w:top w:val="single" w:color="333333" w:sz="6"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jc w:val="center"/>
              <w:rPr>
                <w:rFonts w:eastAsia="方正仿宋_GBK"/>
                <w:color w:val="000000"/>
                <w:spacing w:val="-2"/>
                <w:kern w:val="0"/>
                <w:szCs w:val="21"/>
              </w:rPr>
            </w:pPr>
            <w:r>
              <w:rPr>
                <w:rFonts w:eastAsia="方正仿宋_GBK"/>
                <w:color w:val="000000"/>
                <w:spacing w:val="-2"/>
                <w:kern w:val="0"/>
                <w:szCs w:val="21"/>
              </w:rPr>
              <w:t>1.0</w:t>
            </w:r>
            <w:r>
              <w:rPr>
                <w:rFonts w:hint="eastAsia" w:eastAsia="方正仿宋_GBK"/>
                <w:color w:val="000000"/>
                <w:spacing w:val="-2"/>
                <w:kern w:val="0"/>
                <w:szCs w:val="21"/>
              </w:rPr>
              <w:t>（加套管）</w:t>
            </w:r>
          </w:p>
        </w:tc>
      </w:tr>
      <w:tr>
        <w:tblPrEx>
          <w:tblBorders>
            <w:top w:val="single" w:color="333333" w:sz="6" w:space="0"/>
            <w:left w:val="single" w:color="333333" w:sz="6" w:space="0"/>
            <w:bottom w:val="single" w:color="333333" w:sz="6" w:space="0"/>
            <w:right w:val="single" w:color="333333" w:sz="6" w:space="0"/>
            <w:insideH w:val="none" w:color="auto" w:sz="0" w:space="0"/>
            <w:insideV w:val="none" w:color="auto" w:sz="0" w:space="0"/>
          </w:tblBorders>
          <w:tblCellMar>
            <w:top w:w="0" w:type="dxa"/>
            <w:left w:w="0" w:type="dxa"/>
            <w:bottom w:w="0" w:type="dxa"/>
            <w:right w:w="0" w:type="dxa"/>
          </w:tblCellMar>
        </w:tblPrEx>
        <w:trPr>
          <w:trHeight w:val="340" w:hRule="atLeast"/>
        </w:trPr>
        <w:tc>
          <w:tcPr>
            <w:tcW w:w="1418" w:type="dxa"/>
            <w:vMerge w:val="continue"/>
            <w:tcBorders>
              <w:top w:val="single" w:color="333333" w:sz="6" w:space="0"/>
              <w:left w:val="single" w:color="auto" w:sz="8" w:space="0"/>
              <w:bottom w:val="single" w:color="auto" w:sz="8" w:space="0"/>
              <w:right w:val="single" w:color="333333" w:sz="6" w:space="0"/>
            </w:tcBorders>
            <w:noWrap w:val="0"/>
            <w:vAlign w:val="center"/>
          </w:tcPr>
          <w:p>
            <w:pPr>
              <w:widowControl/>
              <w:jc w:val="left"/>
              <w:rPr>
                <w:rFonts w:eastAsia="方正仿宋_GBK"/>
                <w:color w:val="000000"/>
                <w:spacing w:val="-2"/>
                <w:kern w:val="0"/>
                <w:szCs w:val="21"/>
              </w:rPr>
            </w:pPr>
          </w:p>
        </w:tc>
        <w:tc>
          <w:tcPr>
            <w:tcW w:w="2835" w:type="dxa"/>
            <w:tcBorders>
              <w:top w:val="single" w:color="333333" w:sz="6" w:space="0"/>
              <w:left w:val="single" w:color="333333" w:sz="6" w:space="0"/>
              <w:bottom w:val="single" w:color="333333" w:sz="6" w:space="0"/>
              <w:right w:val="single" w:color="333333" w:sz="6" w:space="0"/>
            </w:tcBorders>
            <w:noWrap w:val="0"/>
            <w:vAlign w:val="center"/>
          </w:tcPr>
          <w:p>
            <w:pPr>
              <w:widowControl/>
              <w:spacing w:before="100" w:beforeAutospacing="1" w:after="100" w:afterAutospacing="1"/>
              <w:jc w:val="center"/>
              <w:rPr>
                <w:rFonts w:eastAsia="方正仿宋_GBK"/>
                <w:color w:val="000000"/>
                <w:spacing w:val="-2"/>
                <w:kern w:val="0"/>
                <w:szCs w:val="21"/>
              </w:rPr>
            </w:pPr>
            <w:r>
              <w:rPr>
                <w:rFonts w:hint="eastAsia" w:eastAsia="方正仿宋_GBK"/>
                <w:color w:val="000000"/>
                <w:spacing w:val="-2"/>
                <w:kern w:val="0"/>
                <w:szCs w:val="21"/>
              </w:rPr>
              <w:t>燃气管在管沟上方</w:t>
            </w:r>
          </w:p>
        </w:tc>
        <w:tc>
          <w:tcPr>
            <w:tcW w:w="4515" w:type="dxa"/>
            <w:tcBorders>
              <w:top w:val="single" w:color="333333" w:sz="6"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jc w:val="center"/>
              <w:rPr>
                <w:rFonts w:eastAsia="方正仿宋_GBK"/>
                <w:color w:val="000000"/>
                <w:spacing w:val="-2"/>
                <w:kern w:val="0"/>
                <w:szCs w:val="21"/>
              </w:rPr>
            </w:pPr>
            <w:r>
              <w:rPr>
                <w:rFonts w:eastAsia="方正仿宋_GBK"/>
                <w:color w:val="000000"/>
                <w:spacing w:val="-2"/>
                <w:kern w:val="0"/>
                <w:szCs w:val="21"/>
              </w:rPr>
              <w:t>0.2</w:t>
            </w:r>
            <w:r>
              <w:rPr>
                <w:rFonts w:hint="eastAsia" w:eastAsia="方正仿宋_GBK"/>
                <w:color w:val="000000"/>
                <w:spacing w:val="-2"/>
                <w:kern w:val="0"/>
                <w:szCs w:val="21"/>
              </w:rPr>
              <w:t>（加套管）或</w:t>
            </w:r>
            <w:r>
              <w:rPr>
                <w:rFonts w:eastAsia="方正仿宋_GBK"/>
                <w:color w:val="000000"/>
                <w:spacing w:val="-2"/>
                <w:kern w:val="0"/>
                <w:szCs w:val="21"/>
              </w:rPr>
              <w:t>0.4</w:t>
            </w:r>
          </w:p>
        </w:tc>
      </w:tr>
      <w:tr>
        <w:tblPrEx>
          <w:tblBorders>
            <w:top w:val="single" w:color="333333" w:sz="6" w:space="0"/>
            <w:left w:val="single" w:color="333333" w:sz="6" w:space="0"/>
            <w:bottom w:val="single" w:color="333333" w:sz="6" w:space="0"/>
            <w:right w:val="single" w:color="333333" w:sz="6" w:space="0"/>
            <w:insideH w:val="none" w:color="auto" w:sz="0" w:space="0"/>
            <w:insideV w:val="none" w:color="auto" w:sz="0" w:space="0"/>
          </w:tblBorders>
          <w:tblCellMar>
            <w:top w:w="0" w:type="dxa"/>
            <w:left w:w="0" w:type="dxa"/>
            <w:bottom w:w="0" w:type="dxa"/>
            <w:right w:w="0" w:type="dxa"/>
          </w:tblCellMar>
        </w:tblPrEx>
        <w:trPr>
          <w:trHeight w:val="340" w:hRule="atLeast"/>
        </w:trPr>
        <w:tc>
          <w:tcPr>
            <w:tcW w:w="1418" w:type="dxa"/>
            <w:vMerge w:val="continue"/>
            <w:tcBorders>
              <w:top w:val="single" w:color="333333" w:sz="6" w:space="0"/>
              <w:left w:val="single" w:color="auto" w:sz="8" w:space="0"/>
              <w:bottom w:val="single" w:color="auto" w:sz="8" w:space="0"/>
              <w:right w:val="single" w:color="333333" w:sz="6" w:space="0"/>
            </w:tcBorders>
            <w:noWrap w:val="0"/>
            <w:vAlign w:val="center"/>
          </w:tcPr>
          <w:p>
            <w:pPr>
              <w:widowControl/>
              <w:jc w:val="left"/>
              <w:rPr>
                <w:rFonts w:eastAsia="方正仿宋_GBK"/>
                <w:color w:val="000000"/>
                <w:spacing w:val="-2"/>
                <w:kern w:val="0"/>
                <w:szCs w:val="21"/>
              </w:rPr>
            </w:pPr>
          </w:p>
        </w:tc>
        <w:tc>
          <w:tcPr>
            <w:tcW w:w="2835" w:type="dxa"/>
            <w:tcBorders>
              <w:top w:val="single" w:color="333333" w:sz="6" w:space="0"/>
              <w:left w:val="single" w:color="333333" w:sz="6" w:space="0"/>
              <w:bottom w:val="single" w:color="auto" w:sz="8" w:space="0"/>
              <w:right w:val="single" w:color="333333" w:sz="6" w:space="0"/>
            </w:tcBorders>
            <w:noWrap w:val="0"/>
            <w:vAlign w:val="center"/>
          </w:tcPr>
          <w:p>
            <w:pPr>
              <w:widowControl/>
              <w:spacing w:before="100" w:beforeAutospacing="1" w:after="100" w:afterAutospacing="1"/>
              <w:jc w:val="center"/>
              <w:rPr>
                <w:rFonts w:eastAsia="方正仿宋_GBK"/>
                <w:color w:val="000000"/>
                <w:spacing w:val="-2"/>
                <w:kern w:val="0"/>
                <w:szCs w:val="21"/>
              </w:rPr>
            </w:pPr>
            <w:r>
              <w:rPr>
                <w:rFonts w:hint="eastAsia" w:eastAsia="方正仿宋_GBK"/>
                <w:color w:val="000000"/>
                <w:spacing w:val="-2"/>
                <w:kern w:val="0"/>
                <w:szCs w:val="21"/>
              </w:rPr>
              <w:t>燃气管在管沟下方</w:t>
            </w:r>
          </w:p>
        </w:tc>
        <w:tc>
          <w:tcPr>
            <w:tcW w:w="4515" w:type="dxa"/>
            <w:tcBorders>
              <w:top w:val="single" w:color="333333" w:sz="6" w:space="0"/>
              <w:left w:val="single" w:color="333333" w:sz="6" w:space="0"/>
              <w:bottom w:val="single" w:color="auto" w:sz="8" w:space="0"/>
              <w:right w:val="single" w:color="auto" w:sz="8" w:space="0"/>
            </w:tcBorders>
            <w:noWrap w:val="0"/>
            <w:vAlign w:val="center"/>
          </w:tcPr>
          <w:p>
            <w:pPr>
              <w:widowControl/>
              <w:spacing w:before="100" w:beforeAutospacing="1" w:after="100" w:afterAutospacing="1"/>
              <w:jc w:val="center"/>
              <w:rPr>
                <w:rFonts w:eastAsia="方正仿宋_GBK"/>
                <w:color w:val="000000"/>
                <w:spacing w:val="-2"/>
                <w:kern w:val="0"/>
                <w:szCs w:val="21"/>
              </w:rPr>
            </w:pPr>
            <w:r>
              <w:rPr>
                <w:rFonts w:eastAsia="方正仿宋_GBK"/>
                <w:color w:val="000000"/>
                <w:spacing w:val="-2"/>
                <w:kern w:val="0"/>
                <w:szCs w:val="21"/>
              </w:rPr>
              <w:t>0.3</w:t>
            </w:r>
            <w:r>
              <w:rPr>
                <w:rFonts w:hint="eastAsia" w:eastAsia="方正仿宋_GBK"/>
                <w:color w:val="000000"/>
                <w:spacing w:val="-2"/>
                <w:kern w:val="0"/>
                <w:szCs w:val="21"/>
              </w:rPr>
              <w:t>（加套管）</w:t>
            </w:r>
          </w:p>
        </w:tc>
      </w:tr>
    </w:tbl>
    <w:p>
      <w:pPr>
        <w:spacing w:line="460" w:lineRule="exact"/>
        <w:ind w:firstLine="472" w:firstLineChars="200"/>
        <w:rPr>
          <w:rFonts w:eastAsia="方正楷体_GBK"/>
          <w:color w:val="000000"/>
          <w:spacing w:val="-2"/>
          <w:sz w:val="24"/>
        </w:rPr>
      </w:pPr>
      <w:r>
        <w:rPr>
          <w:rFonts w:eastAsia="方正楷体_GBK"/>
          <w:color w:val="000000"/>
          <w:spacing w:val="-2"/>
          <w:sz w:val="24"/>
        </w:rPr>
        <w:t>2</w:t>
      </w:r>
      <w:r>
        <w:rPr>
          <w:rFonts w:hint="eastAsia" w:eastAsia="方正楷体_GBK"/>
          <w:color w:val="000000"/>
          <w:spacing w:val="-2"/>
          <w:sz w:val="24"/>
        </w:rPr>
        <w:t>、压力大于</w:t>
      </w:r>
      <w:r>
        <w:rPr>
          <w:rFonts w:eastAsia="方正楷体_GBK"/>
          <w:color w:val="000000"/>
          <w:spacing w:val="-2"/>
          <w:sz w:val="24"/>
        </w:rPr>
        <w:t>1.6 MPa</w:t>
      </w:r>
      <w:r>
        <w:rPr>
          <w:rFonts w:hint="eastAsia" w:eastAsia="方正楷体_GBK"/>
          <w:color w:val="000000"/>
          <w:spacing w:val="-2"/>
          <w:sz w:val="24"/>
        </w:rPr>
        <w:t>地下燃气管道</w:t>
      </w:r>
    </w:p>
    <w:p>
      <w:pPr>
        <w:widowControl/>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）一级或二级地区地下燃气管道与建筑物之间的水平净距不应小于《城镇燃气设计规范》</w:t>
      </w:r>
      <w:r>
        <w:rPr>
          <w:rFonts w:eastAsia="方正仿宋_GBK"/>
          <w:color w:val="000000"/>
          <w:spacing w:val="-2"/>
          <w:sz w:val="24"/>
        </w:rPr>
        <w:t>GB50028</w:t>
      </w:r>
      <w:r>
        <w:rPr>
          <w:rFonts w:hint="eastAsia" w:eastAsia="方正仿宋_GBK"/>
          <w:color w:val="000000"/>
          <w:spacing w:val="-2"/>
          <w:sz w:val="24"/>
        </w:rPr>
        <w:t>表</w:t>
      </w:r>
      <w:r>
        <w:rPr>
          <w:rFonts w:eastAsia="方正仿宋_GBK"/>
          <w:color w:val="000000"/>
          <w:spacing w:val="-2"/>
          <w:sz w:val="24"/>
        </w:rPr>
        <w:t xml:space="preserve">6.4.11 </w:t>
      </w:r>
      <w:r>
        <w:rPr>
          <w:rFonts w:hint="eastAsia" w:eastAsia="方正仿宋_GBK"/>
          <w:color w:val="000000"/>
          <w:spacing w:val="-2"/>
          <w:sz w:val="24"/>
        </w:rPr>
        <w:t>的规定。</w:t>
      </w:r>
    </w:p>
    <w:p>
      <w:pPr>
        <w:spacing w:before="120" w:beforeLines="50" w:line="460" w:lineRule="exact"/>
        <w:jc w:val="center"/>
        <w:rPr>
          <w:rFonts w:eastAsia="方正黑体_GBK"/>
          <w:color w:val="000000"/>
          <w:spacing w:val="-2"/>
          <w:kern w:val="0"/>
          <w:sz w:val="24"/>
        </w:rPr>
      </w:pPr>
      <w:r>
        <w:rPr>
          <w:rFonts w:hint="eastAsia" w:eastAsia="方正黑体_GBK"/>
          <w:color w:val="000000"/>
          <w:spacing w:val="-2"/>
          <w:kern w:val="0"/>
          <w:sz w:val="24"/>
        </w:rPr>
        <w:t>表</w:t>
      </w:r>
      <w:r>
        <w:rPr>
          <w:rFonts w:eastAsia="方正黑体_GBK"/>
          <w:color w:val="000000"/>
          <w:spacing w:val="-2"/>
          <w:kern w:val="0"/>
          <w:sz w:val="24"/>
        </w:rPr>
        <w:t xml:space="preserve">6.4.11 </w:t>
      </w:r>
      <w:r>
        <w:rPr>
          <w:rFonts w:hint="eastAsia" w:eastAsia="方正黑体_GBK"/>
          <w:color w:val="000000"/>
          <w:spacing w:val="-2"/>
          <w:kern w:val="0"/>
          <w:sz w:val="24"/>
        </w:rPr>
        <w:t>一级或二级地区地下燃气管道与建筑物之间的水平净距（</w:t>
      </w:r>
      <w:r>
        <w:rPr>
          <w:rFonts w:eastAsia="方正黑体_GBK"/>
          <w:color w:val="000000"/>
          <w:spacing w:val="-2"/>
          <w:kern w:val="0"/>
          <w:sz w:val="24"/>
        </w:rPr>
        <w:t>m</w:t>
      </w:r>
      <w:r>
        <w:rPr>
          <w:rFonts w:hint="eastAsia" w:eastAsia="方正黑体_GBK"/>
          <w:color w:val="000000"/>
          <w:spacing w:val="-2"/>
          <w:kern w:val="0"/>
          <w:sz w:val="24"/>
        </w:rPr>
        <w:t>）</w:t>
      </w:r>
    </w:p>
    <w:tbl>
      <w:tblPr>
        <w:tblStyle w:val="12"/>
        <w:tblW w:w="0" w:type="auto"/>
        <w:tblInd w:w="-10" w:type="dxa"/>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Layout w:type="fixed"/>
        <w:tblCellMar>
          <w:top w:w="0" w:type="dxa"/>
          <w:left w:w="0" w:type="dxa"/>
          <w:bottom w:w="0" w:type="dxa"/>
          <w:right w:w="0" w:type="dxa"/>
        </w:tblCellMar>
      </w:tblPr>
      <w:tblGrid>
        <w:gridCol w:w="2988"/>
        <w:gridCol w:w="8"/>
        <w:gridCol w:w="2380"/>
        <w:gridCol w:w="1590"/>
        <w:gridCol w:w="1802"/>
      </w:tblGrid>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c>
          <w:tcPr>
            <w:tcW w:w="2988" w:type="dxa"/>
            <w:tcBorders>
              <w:top w:val="single" w:color="auto" w:sz="8" w:space="0"/>
              <w:left w:val="single" w:color="auto" w:sz="8" w:space="0"/>
              <w:bottom w:val="single" w:color="333333" w:sz="6" w:space="0"/>
              <w:right w:val="single" w:color="333333" w:sz="6" w:space="0"/>
            </w:tcBorders>
            <w:noWrap w:val="0"/>
            <w:vAlign w:val="center"/>
          </w:tcPr>
          <w:p>
            <w:pPr>
              <w:widowControl/>
              <w:spacing w:line="330" w:lineRule="atLeas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燃气管道公称直径 DN</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 xml:space="preserve">(mm) </w:t>
            </w:r>
          </w:p>
        </w:tc>
        <w:tc>
          <w:tcPr>
            <w:tcW w:w="5780" w:type="dxa"/>
            <w:gridSpan w:val="4"/>
            <w:tcBorders>
              <w:top w:val="single" w:color="auto" w:sz="8" w:space="0"/>
              <w:left w:val="single" w:color="333333" w:sz="6" w:space="0"/>
              <w:bottom w:val="single" w:color="333333" w:sz="6" w:space="0"/>
              <w:right w:val="single" w:color="auto" w:sz="8" w:space="0"/>
            </w:tcBorders>
            <w:noWrap w:val="0"/>
            <w:vAlign w:val="center"/>
          </w:tcPr>
          <w:p>
            <w:pPr>
              <w:widowControl/>
              <w:spacing w:line="330" w:lineRule="atLeas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 xml:space="preserve">地下燃气管道压力（ MPa ） </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397" w:hRule="exact"/>
        </w:trPr>
        <w:tc>
          <w:tcPr>
            <w:tcW w:w="2996" w:type="dxa"/>
            <w:gridSpan w:val="2"/>
            <w:tcBorders>
              <w:top w:val="single" w:color="333333" w:sz="6" w:space="0"/>
              <w:left w:val="single" w:color="auto" w:sz="8" w:space="0"/>
              <w:bottom w:val="single" w:color="333333" w:sz="6" w:space="0"/>
              <w:right w:val="single" w:color="333333" w:sz="6" w:space="0"/>
            </w:tcBorders>
            <w:noWrap w:val="0"/>
            <w:vAlign w:val="center"/>
          </w:tcPr>
          <w:p>
            <w:pPr>
              <w:widowControl/>
              <w:spacing w:line="240" w:lineRule="exact"/>
              <w:jc w:val="left"/>
              <w:rPr>
                <w:rFonts w:eastAsia="方正仿宋_GBK"/>
                <w:color w:val="000000"/>
                <w:spacing w:val="-2"/>
                <w:kern w:val="0"/>
                <w:szCs w:val="21"/>
              </w:rPr>
            </w:pPr>
          </w:p>
        </w:tc>
        <w:tc>
          <w:tcPr>
            <w:tcW w:w="2380" w:type="dxa"/>
            <w:tcBorders>
              <w:top w:val="single" w:color="333333" w:sz="6" w:space="0"/>
              <w:left w:val="single" w:color="333333" w:sz="6" w:space="0"/>
              <w:bottom w:val="single" w:color="333333" w:sz="6" w:space="0"/>
              <w:right w:val="single" w:color="333333" w:sz="6" w:space="0"/>
            </w:tcBorders>
            <w:noWrap w:val="0"/>
            <w:vAlign w:val="center"/>
          </w:tcPr>
          <w:p>
            <w:pPr>
              <w:widowControl/>
              <w:spacing w:before="100" w:beforeAutospacing="1" w:after="100" w:afterAutospacing="1" w:line="240" w:lineRule="exact"/>
              <w:jc w:val="center"/>
              <w:rPr>
                <w:rFonts w:eastAsia="方正仿宋_GBK"/>
                <w:color w:val="000000"/>
                <w:spacing w:val="-2"/>
                <w:kern w:val="0"/>
                <w:szCs w:val="21"/>
              </w:rPr>
            </w:pPr>
            <w:r>
              <w:rPr>
                <w:rFonts w:eastAsia="方正仿宋_GBK"/>
                <w:color w:val="000000"/>
                <w:spacing w:val="-2"/>
                <w:kern w:val="0"/>
                <w:szCs w:val="21"/>
              </w:rPr>
              <w:t xml:space="preserve">1.61 </w:t>
            </w:r>
          </w:p>
        </w:tc>
        <w:tc>
          <w:tcPr>
            <w:tcW w:w="1590" w:type="dxa"/>
            <w:tcBorders>
              <w:top w:val="single" w:color="333333" w:sz="6" w:space="0"/>
              <w:left w:val="single" w:color="333333" w:sz="6" w:space="0"/>
              <w:bottom w:val="single" w:color="333333" w:sz="6" w:space="0"/>
              <w:right w:val="single" w:color="333333" w:sz="6" w:space="0"/>
            </w:tcBorders>
            <w:noWrap w:val="0"/>
            <w:vAlign w:val="center"/>
          </w:tcPr>
          <w:p>
            <w:pPr>
              <w:widowControl/>
              <w:spacing w:before="100" w:beforeAutospacing="1" w:after="100" w:afterAutospacing="1" w:line="240" w:lineRule="exact"/>
              <w:jc w:val="center"/>
              <w:rPr>
                <w:rFonts w:eastAsia="方正仿宋_GBK"/>
                <w:color w:val="000000"/>
                <w:spacing w:val="-2"/>
                <w:kern w:val="0"/>
                <w:szCs w:val="21"/>
              </w:rPr>
            </w:pPr>
            <w:r>
              <w:rPr>
                <w:rFonts w:eastAsia="方正仿宋_GBK"/>
                <w:color w:val="000000"/>
                <w:spacing w:val="-2"/>
                <w:kern w:val="0"/>
                <w:szCs w:val="21"/>
              </w:rPr>
              <w:t xml:space="preserve">2.50 </w:t>
            </w:r>
          </w:p>
        </w:tc>
        <w:tc>
          <w:tcPr>
            <w:tcW w:w="1802" w:type="dxa"/>
            <w:tcBorders>
              <w:top w:val="single" w:color="333333" w:sz="6" w:space="0"/>
              <w:left w:val="single" w:color="333333" w:sz="6" w:space="0"/>
              <w:bottom w:val="single" w:color="333333" w:sz="6" w:space="0"/>
              <w:right w:val="single" w:color="auto" w:sz="8" w:space="0"/>
            </w:tcBorders>
            <w:noWrap w:val="0"/>
            <w:vAlign w:val="center"/>
          </w:tcPr>
          <w:p>
            <w:pPr>
              <w:widowControl/>
              <w:spacing w:before="100" w:beforeAutospacing="1" w:after="100" w:afterAutospacing="1" w:line="240" w:lineRule="exact"/>
              <w:jc w:val="center"/>
              <w:rPr>
                <w:rFonts w:eastAsia="方正仿宋_GBK"/>
                <w:color w:val="000000"/>
                <w:spacing w:val="-2"/>
                <w:kern w:val="0"/>
                <w:szCs w:val="21"/>
              </w:rPr>
            </w:pPr>
            <w:r>
              <w:rPr>
                <w:rFonts w:eastAsia="方正仿宋_GBK"/>
                <w:color w:val="000000"/>
                <w:spacing w:val="-2"/>
                <w:kern w:val="0"/>
                <w:szCs w:val="21"/>
              </w:rPr>
              <w:t xml:space="preserve">4.00 </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c>
          <w:tcPr>
            <w:tcW w:w="2988" w:type="dxa"/>
            <w:tcBorders>
              <w:top w:val="single" w:color="333333" w:sz="6" w:space="0"/>
              <w:left w:val="single" w:color="auto" w:sz="8" w:space="0"/>
              <w:bottom w:val="single" w:color="auto" w:sz="8" w:space="0"/>
              <w:right w:val="single" w:color="333333" w:sz="6" w:space="0"/>
            </w:tcBorders>
            <w:noWrap w:val="0"/>
            <w:vAlign w:val="center"/>
          </w:tcPr>
          <w:p>
            <w:pPr>
              <w:widowControl/>
              <w:spacing w:line="330" w:lineRule="atLeast"/>
              <w:jc w:val="center"/>
              <w:rPr>
                <w:rFonts w:ascii="Times New Roman" w:hAnsi="Times New Roman"/>
                <w:color w:val="000000"/>
                <w:spacing w:val="-2"/>
                <w:kern w:val="0"/>
                <w:szCs w:val="21"/>
              </w:rPr>
            </w:pPr>
            <w:r>
              <w:rPr>
                <w:rFonts w:hint="eastAsia" w:ascii="Times New Roman" w:hAnsi="Times New Roman"/>
                <w:color w:val="000000"/>
                <w:spacing w:val="-2"/>
                <w:kern w:val="0"/>
                <w:szCs w:val="21"/>
              </w:rPr>
              <w:t>900＜DN≤1050</w:t>
            </w:r>
          </w:p>
          <w:p>
            <w:pPr>
              <w:widowControl/>
              <w:spacing w:line="330" w:lineRule="atLeast"/>
              <w:jc w:val="center"/>
              <w:rPr>
                <w:rFonts w:hint="eastAsia" w:ascii="Times New Roman" w:hAnsi="Times New Roman"/>
                <w:color w:val="000000"/>
                <w:spacing w:val="-2"/>
                <w:kern w:val="0"/>
                <w:szCs w:val="21"/>
              </w:rPr>
            </w:pPr>
            <w:r>
              <w:rPr>
                <w:rFonts w:hint="eastAsia" w:ascii="Times New Roman" w:hAnsi="Times New Roman"/>
                <w:color w:val="000000"/>
                <w:spacing w:val="-2"/>
                <w:kern w:val="0"/>
                <w:szCs w:val="21"/>
              </w:rPr>
              <w:t>750＜DN≤900</w:t>
            </w:r>
          </w:p>
          <w:p>
            <w:pPr>
              <w:widowControl/>
              <w:spacing w:line="330" w:lineRule="atLeast"/>
              <w:jc w:val="center"/>
              <w:rPr>
                <w:rFonts w:hint="eastAsia" w:ascii="Times New Roman" w:hAnsi="Times New Roman"/>
                <w:color w:val="000000"/>
                <w:spacing w:val="-2"/>
                <w:kern w:val="0"/>
                <w:szCs w:val="21"/>
              </w:rPr>
            </w:pPr>
            <w:r>
              <w:rPr>
                <w:rFonts w:hint="eastAsia" w:ascii="Times New Roman" w:hAnsi="Times New Roman"/>
                <w:color w:val="000000"/>
                <w:spacing w:val="-2"/>
                <w:kern w:val="0"/>
                <w:szCs w:val="21"/>
              </w:rPr>
              <w:t>600＜DN≤750</w:t>
            </w:r>
          </w:p>
          <w:p>
            <w:pPr>
              <w:widowControl/>
              <w:spacing w:line="330" w:lineRule="atLeast"/>
              <w:jc w:val="center"/>
              <w:rPr>
                <w:rFonts w:hint="eastAsia" w:ascii="Times New Roman" w:hAnsi="Times New Roman"/>
                <w:color w:val="000000"/>
                <w:spacing w:val="-2"/>
                <w:kern w:val="0"/>
                <w:szCs w:val="21"/>
              </w:rPr>
            </w:pPr>
            <w:r>
              <w:rPr>
                <w:rFonts w:hint="eastAsia" w:ascii="Times New Roman" w:hAnsi="Times New Roman"/>
                <w:color w:val="000000"/>
                <w:spacing w:val="-2"/>
                <w:kern w:val="0"/>
                <w:szCs w:val="21"/>
              </w:rPr>
              <w:t>450＜DN≤600</w:t>
            </w:r>
          </w:p>
          <w:p>
            <w:pPr>
              <w:widowControl/>
              <w:spacing w:line="330" w:lineRule="atLeast"/>
              <w:jc w:val="center"/>
              <w:rPr>
                <w:rFonts w:hint="eastAsia" w:ascii="Times New Roman" w:hAnsi="Times New Roman"/>
                <w:color w:val="000000"/>
                <w:spacing w:val="-2"/>
                <w:kern w:val="0"/>
                <w:szCs w:val="21"/>
              </w:rPr>
            </w:pPr>
            <w:r>
              <w:rPr>
                <w:rFonts w:hint="eastAsia" w:ascii="Times New Roman" w:hAnsi="Times New Roman"/>
                <w:color w:val="000000"/>
                <w:spacing w:val="-2"/>
                <w:kern w:val="0"/>
                <w:szCs w:val="21"/>
              </w:rPr>
              <w:t>300＜DN≤450</w:t>
            </w:r>
          </w:p>
          <w:p>
            <w:pPr>
              <w:widowControl/>
              <w:spacing w:line="330" w:lineRule="atLeast"/>
              <w:jc w:val="center"/>
              <w:rPr>
                <w:rFonts w:hint="eastAsia" w:ascii="Times New Roman" w:hAnsi="Times New Roman"/>
                <w:color w:val="000000"/>
                <w:spacing w:val="-2"/>
                <w:kern w:val="0"/>
                <w:szCs w:val="21"/>
              </w:rPr>
            </w:pPr>
            <w:r>
              <w:rPr>
                <w:rFonts w:hint="eastAsia" w:ascii="Times New Roman" w:hAnsi="Times New Roman"/>
                <w:color w:val="000000"/>
                <w:spacing w:val="-2"/>
                <w:kern w:val="0"/>
                <w:szCs w:val="21"/>
              </w:rPr>
              <w:t>150＜DN≤300</w:t>
            </w:r>
          </w:p>
          <w:p>
            <w:pPr>
              <w:widowControl/>
              <w:spacing w:line="330" w:lineRule="atLeast"/>
              <w:jc w:val="center"/>
              <w:rPr>
                <w:rFonts w:eastAsia="方正仿宋_GBK"/>
                <w:color w:val="000000"/>
                <w:spacing w:val="-2"/>
                <w:kern w:val="0"/>
                <w:szCs w:val="21"/>
              </w:rPr>
            </w:pPr>
            <w:r>
              <w:rPr>
                <w:rFonts w:hint="eastAsia" w:ascii="Times New Roman" w:hAnsi="Times New Roman"/>
                <w:color w:val="000000"/>
                <w:spacing w:val="-2"/>
                <w:kern w:val="0"/>
                <w:szCs w:val="21"/>
              </w:rPr>
              <w:t>DN≤300</w:t>
            </w:r>
            <w:r>
              <w:rPr>
                <w:rFonts w:eastAsia="方正仿宋_GBK"/>
                <w:color w:val="000000"/>
                <w:spacing w:val="-2"/>
                <w:kern w:val="0"/>
                <w:szCs w:val="21"/>
              </w:rPr>
              <w:t xml:space="preserve"> </w:t>
            </w:r>
          </w:p>
        </w:tc>
        <w:tc>
          <w:tcPr>
            <w:tcW w:w="2388" w:type="dxa"/>
            <w:gridSpan w:val="2"/>
            <w:tcBorders>
              <w:top w:val="single" w:color="333333" w:sz="6" w:space="0"/>
              <w:left w:val="single" w:color="333333" w:sz="6" w:space="0"/>
              <w:bottom w:val="single" w:color="auto" w:sz="8" w:space="0"/>
              <w:right w:val="single" w:color="333333" w:sz="6" w:space="0"/>
            </w:tcBorders>
            <w:noWrap w:val="0"/>
            <w:vAlign w:val="center"/>
          </w:tcPr>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53</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40</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31</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24</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19</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14</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11</w:t>
            </w:r>
          </w:p>
        </w:tc>
        <w:tc>
          <w:tcPr>
            <w:tcW w:w="1590" w:type="dxa"/>
            <w:tcBorders>
              <w:top w:val="single" w:color="333333" w:sz="6" w:space="0"/>
              <w:left w:val="single" w:color="333333" w:sz="6" w:space="0"/>
              <w:bottom w:val="single" w:color="auto" w:sz="8" w:space="0"/>
              <w:right w:val="single" w:color="333333" w:sz="6" w:space="0"/>
            </w:tcBorders>
            <w:noWrap w:val="0"/>
            <w:vAlign w:val="center"/>
          </w:tcPr>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60</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47</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37</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28</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23</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18</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13</w:t>
            </w:r>
          </w:p>
        </w:tc>
        <w:tc>
          <w:tcPr>
            <w:tcW w:w="1802" w:type="dxa"/>
            <w:tcBorders>
              <w:top w:val="single" w:color="333333" w:sz="6" w:space="0"/>
              <w:left w:val="single" w:color="333333" w:sz="6" w:space="0"/>
              <w:bottom w:val="single" w:color="auto" w:sz="8" w:space="0"/>
              <w:right w:val="single" w:color="auto" w:sz="8" w:space="0"/>
            </w:tcBorders>
            <w:noWrap w:val="0"/>
            <w:vAlign w:val="center"/>
          </w:tcPr>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70</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57</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45</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35</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28</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22</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15</w:t>
            </w:r>
          </w:p>
        </w:tc>
      </w:tr>
    </w:tbl>
    <w:p>
      <w:pPr>
        <w:widowControl/>
        <w:spacing w:before="120" w:beforeLines="50" w:line="240" w:lineRule="exact"/>
        <w:jc w:val="left"/>
        <w:rPr>
          <w:rFonts w:eastAsia="方正仿宋_GBK"/>
          <w:color w:val="000000"/>
          <w:spacing w:val="-2"/>
          <w:kern w:val="0"/>
          <w:sz w:val="18"/>
          <w:szCs w:val="18"/>
        </w:rPr>
      </w:pPr>
      <w:r>
        <w:rPr>
          <w:rFonts w:hint="eastAsia" w:eastAsia="方正仿宋_GBK"/>
          <w:color w:val="000000"/>
          <w:spacing w:val="-2"/>
          <w:kern w:val="0"/>
          <w:sz w:val="18"/>
          <w:szCs w:val="18"/>
        </w:rPr>
        <w:t>注：</w:t>
      </w:r>
      <w:r>
        <w:rPr>
          <w:rFonts w:eastAsia="方正仿宋_GBK"/>
          <w:color w:val="000000"/>
          <w:spacing w:val="-2"/>
          <w:kern w:val="0"/>
          <w:sz w:val="18"/>
          <w:szCs w:val="18"/>
        </w:rPr>
        <w:t xml:space="preserve"> 1 </w:t>
      </w:r>
      <w:r>
        <w:rPr>
          <w:rFonts w:hint="eastAsia" w:eastAsia="方正仿宋_GBK"/>
          <w:color w:val="000000"/>
          <w:spacing w:val="-2"/>
          <w:kern w:val="0"/>
          <w:sz w:val="18"/>
          <w:szCs w:val="18"/>
        </w:rPr>
        <w:t>如果燃气管道强度设计系数不大于</w:t>
      </w:r>
      <w:r>
        <w:rPr>
          <w:rFonts w:eastAsia="方正仿宋_GBK"/>
          <w:color w:val="000000"/>
          <w:spacing w:val="-2"/>
          <w:kern w:val="0"/>
          <w:sz w:val="18"/>
          <w:szCs w:val="18"/>
        </w:rPr>
        <w:t xml:space="preserve">0.4 </w:t>
      </w:r>
      <w:r>
        <w:rPr>
          <w:rFonts w:hint="eastAsia" w:eastAsia="方正仿宋_GBK"/>
          <w:color w:val="000000"/>
          <w:spacing w:val="-2"/>
          <w:kern w:val="0"/>
          <w:sz w:val="18"/>
          <w:szCs w:val="18"/>
        </w:rPr>
        <w:t>时，一级或二级地区地下燃气管道与建筑之间的水平净距可按表</w:t>
      </w:r>
      <w:r>
        <w:rPr>
          <w:rFonts w:eastAsia="方正仿宋_GBK"/>
          <w:color w:val="000000"/>
          <w:spacing w:val="-2"/>
          <w:kern w:val="0"/>
          <w:sz w:val="18"/>
          <w:szCs w:val="18"/>
        </w:rPr>
        <w:t xml:space="preserve">6.4.12 </w:t>
      </w:r>
      <w:r>
        <w:rPr>
          <w:rFonts w:hint="eastAsia" w:eastAsia="方正仿宋_GBK"/>
          <w:color w:val="000000"/>
          <w:spacing w:val="-2"/>
          <w:kern w:val="0"/>
          <w:sz w:val="18"/>
          <w:szCs w:val="18"/>
        </w:rPr>
        <w:t>确定。</w:t>
      </w:r>
    </w:p>
    <w:p>
      <w:pPr>
        <w:widowControl/>
        <w:spacing w:line="240" w:lineRule="exact"/>
        <w:jc w:val="left"/>
        <w:rPr>
          <w:rFonts w:eastAsia="方正仿宋_GBK"/>
          <w:color w:val="000000"/>
          <w:spacing w:val="-2"/>
          <w:kern w:val="0"/>
          <w:sz w:val="18"/>
          <w:szCs w:val="18"/>
        </w:rPr>
      </w:pPr>
      <w:r>
        <w:rPr>
          <w:rFonts w:eastAsia="方正仿宋_GBK"/>
          <w:color w:val="000000"/>
          <w:spacing w:val="-2"/>
          <w:kern w:val="0"/>
          <w:sz w:val="18"/>
          <w:szCs w:val="18"/>
        </w:rPr>
        <w:t xml:space="preserve">    2 </w:t>
      </w:r>
      <w:r>
        <w:rPr>
          <w:rFonts w:hint="eastAsia" w:eastAsia="方正仿宋_GBK"/>
          <w:color w:val="000000"/>
          <w:spacing w:val="-2"/>
          <w:kern w:val="0"/>
          <w:sz w:val="18"/>
          <w:szCs w:val="18"/>
        </w:rPr>
        <w:t>水平净距是指管道外壁到建筑物出地面处外墙面的距离。建筑物是指平常有人的建筑物。</w:t>
      </w:r>
    </w:p>
    <w:p>
      <w:pPr>
        <w:widowControl/>
        <w:spacing w:line="240" w:lineRule="exact"/>
        <w:jc w:val="left"/>
        <w:rPr>
          <w:rFonts w:eastAsia="方正仿宋_GBK"/>
          <w:color w:val="000000"/>
          <w:spacing w:val="-2"/>
          <w:kern w:val="0"/>
          <w:sz w:val="18"/>
          <w:szCs w:val="18"/>
        </w:rPr>
      </w:pPr>
      <w:r>
        <w:rPr>
          <w:rFonts w:eastAsia="方正仿宋_GBK"/>
          <w:color w:val="000000"/>
          <w:spacing w:val="-2"/>
          <w:kern w:val="0"/>
          <w:sz w:val="18"/>
          <w:szCs w:val="18"/>
        </w:rPr>
        <w:t xml:space="preserve">    3 </w:t>
      </w:r>
      <w:r>
        <w:rPr>
          <w:rFonts w:hint="eastAsia" w:eastAsia="方正仿宋_GBK"/>
          <w:color w:val="000000"/>
          <w:spacing w:val="-2"/>
          <w:kern w:val="0"/>
          <w:sz w:val="18"/>
          <w:szCs w:val="18"/>
        </w:rPr>
        <w:t>当燃气管道压力与表中数不相同时，可采用直线方程内插法确定水平净距。</w:t>
      </w:r>
    </w:p>
    <w:p>
      <w:pPr>
        <w:widowControl/>
        <w:spacing w:line="460" w:lineRule="exact"/>
        <w:ind w:firstLine="462" w:firstLineChars="196"/>
        <w:jc w:val="left"/>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）三级地区地下燃气管道与建筑物之间的水平净距不应小于表</w:t>
      </w:r>
      <w:r>
        <w:rPr>
          <w:rFonts w:eastAsia="方正仿宋_GBK"/>
          <w:color w:val="000000"/>
          <w:spacing w:val="-2"/>
          <w:sz w:val="24"/>
        </w:rPr>
        <w:t xml:space="preserve">6.4.12 </w:t>
      </w:r>
      <w:r>
        <w:rPr>
          <w:rFonts w:hint="eastAsia" w:eastAsia="方正仿宋_GBK"/>
          <w:color w:val="000000"/>
          <w:spacing w:val="-2"/>
          <w:sz w:val="24"/>
        </w:rPr>
        <w:t>的规定。</w:t>
      </w:r>
    </w:p>
    <w:p>
      <w:pPr>
        <w:spacing w:before="120" w:beforeLines="50" w:line="460" w:lineRule="exact"/>
        <w:jc w:val="center"/>
        <w:rPr>
          <w:rFonts w:eastAsia="方正黑体_GBK"/>
          <w:color w:val="000000"/>
          <w:spacing w:val="-2"/>
          <w:kern w:val="0"/>
          <w:sz w:val="24"/>
        </w:rPr>
      </w:pPr>
      <w:r>
        <w:rPr>
          <w:rFonts w:hint="eastAsia" w:eastAsia="方正黑体_GBK"/>
          <w:color w:val="000000"/>
          <w:spacing w:val="-2"/>
          <w:kern w:val="0"/>
          <w:sz w:val="24"/>
        </w:rPr>
        <w:t>表</w:t>
      </w:r>
      <w:r>
        <w:rPr>
          <w:rFonts w:eastAsia="方正黑体_GBK"/>
          <w:color w:val="000000"/>
          <w:spacing w:val="-2"/>
          <w:kern w:val="0"/>
          <w:sz w:val="24"/>
        </w:rPr>
        <w:t xml:space="preserve">6.4.12 </w:t>
      </w:r>
      <w:r>
        <w:rPr>
          <w:rFonts w:hint="eastAsia" w:eastAsia="方正黑体_GBK"/>
          <w:color w:val="000000"/>
          <w:spacing w:val="-2"/>
          <w:kern w:val="0"/>
          <w:sz w:val="24"/>
        </w:rPr>
        <w:t>三级地区地下燃气管道与建筑物之间的水平净距</w:t>
      </w:r>
      <w:r>
        <w:rPr>
          <w:rFonts w:eastAsia="方正黑体_GBK"/>
          <w:color w:val="000000"/>
          <w:spacing w:val="-2"/>
          <w:kern w:val="0"/>
          <w:sz w:val="24"/>
        </w:rPr>
        <w:t xml:space="preserve"> </w:t>
      </w:r>
      <w:r>
        <w:rPr>
          <w:rFonts w:hint="eastAsia" w:eastAsia="方正黑体_GBK"/>
          <w:color w:val="000000"/>
          <w:spacing w:val="-2"/>
          <w:kern w:val="0"/>
          <w:sz w:val="24"/>
        </w:rPr>
        <w:t>（</w:t>
      </w:r>
      <w:r>
        <w:rPr>
          <w:rFonts w:eastAsia="方正黑体_GBK"/>
          <w:color w:val="000000"/>
          <w:spacing w:val="-2"/>
          <w:kern w:val="0"/>
          <w:sz w:val="24"/>
        </w:rPr>
        <w:t>m</w:t>
      </w:r>
      <w:r>
        <w:rPr>
          <w:rFonts w:hint="eastAsia" w:eastAsia="方正黑体_GBK"/>
          <w:color w:val="000000"/>
          <w:spacing w:val="-2"/>
          <w:kern w:val="0"/>
          <w:sz w:val="24"/>
        </w:rPr>
        <w:t>）</w:t>
      </w:r>
    </w:p>
    <w:tbl>
      <w:tblPr>
        <w:tblStyle w:val="12"/>
        <w:tblW w:w="0" w:type="auto"/>
        <w:tblInd w:w="-10" w:type="dxa"/>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Layout w:type="fixed"/>
        <w:tblCellMar>
          <w:top w:w="0" w:type="dxa"/>
          <w:left w:w="0" w:type="dxa"/>
          <w:bottom w:w="0" w:type="dxa"/>
          <w:right w:w="0" w:type="dxa"/>
        </w:tblCellMar>
      </w:tblPr>
      <w:tblGrid>
        <w:gridCol w:w="3585"/>
        <w:gridCol w:w="1717"/>
        <w:gridCol w:w="1718"/>
        <w:gridCol w:w="1718"/>
      </w:tblGrid>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555" w:hRule="atLeast"/>
        </w:trPr>
        <w:tc>
          <w:tcPr>
            <w:tcW w:w="3585" w:type="dxa"/>
            <w:vMerge w:val="restart"/>
            <w:tcBorders>
              <w:top w:val="single" w:color="auto" w:sz="8" w:space="0"/>
              <w:left w:val="single" w:color="auto" w:sz="8" w:space="0"/>
              <w:bottom w:val="single" w:color="333333" w:sz="6" w:space="0"/>
              <w:right w:val="single" w:color="333333" w:sz="6" w:space="0"/>
            </w:tcBorders>
            <w:noWrap w:val="0"/>
            <w:vAlign w:val="center"/>
          </w:tcPr>
          <w:p>
            <w:pPr>
              <w:widowControl/>
              <w:spacing w:line="330" w:lineRule="atLeas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 xml:space="preserve">燃气管道公称直径和壁 </w:t>
            </w:r>
          </w:p>
          <w:p>
            <w:pPr>
              <w:widowControl/>
              <w:spacing w:line="330" w:lineRule="atLeas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厚δ (mm)</w:t>
            </w:r>
          </w:p>
        </w:tc>
        <w:tc>
          <w:tcPr>
            <w:tcW w:w="5153" w:type="dxa"/>
            <w:gridSpan w:val="3"/>
            <w:tcBorders>
              <w:top w:val="single" w:color="auto" w:sz="8" w:space="0"/>
              <w:left w:val="single" w:color="333333" w:sz="6" w:space="0"/>
              <w:bottom w:val="single" w:color="333333" w:sz="6" w:space="0"/>
              <w:right w:val="single" w:color="auto" w:sz="8" w:space="0"/>
            </w:tcBorders>
            <w:noWrap w:val="0"/>
            <w:vAlign w:val="center"/>
          </w:tcPr>
          <w:p>
            <w:pPr>
              <w:widowControl/>
              <w:spacing w:line="330" w:lineRule="atLeas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地下燃气管道压力（ MPa ）</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rPr>
          <w:trHeight w:val="555" w:hRule="atLeast"/>
        </w:trPr>
        <w:tc>
          <w:tcPr>
            <w:tcW w:w="3585" w:type="dxa"/>
            <w:vMerge w:val="continue"/>
            <w:tcBorders>
              <w:top w:val="single" w:color="auto" w:sz="8" w:space="0"/>
              <w:left w:val="single" w:color="auto" w:sz="8" w:space="0"/>
              <w:bottom w:val="single" w:color="333333" w:sz="6" w:space="0"/>
              <w:right w:val="single" w:color="333333" w:sz="6" w:space="0"/>
            </w:tcBorders>
            <w:noWrap w:val="0"/>
            <w:vAlign w:val="center"/>
          </w:tcPr>
          <w:p>
            <w:pPr>
              <w:widowControl/>
              <w:jc w:val="left"/>
              <w:rPr>
                <w:rFonts w:ascii="Times New Roman" w:eastAsia="方正黑体_GBK"/>
                <w:color w:val="000000"/>
                <w:spacing w:val="-2"/>
                <w:kern w:val="0"/>
                <w:szCs w:val="21"/>
              </w:rPr>
            </w:pPr>
          </w:p>
        </w:tc>
        <w:tc>
          <w:tcPr>
            <w:tcW w:w="1717" w:type="dxa"/>
            <w:tcBorders>
              <w:top w:val="single" w:color="333333" w:sz="6" w:space="0"/>
              <w:left w:val="single" w:color="333333" w:sz="6" w:space="0"/>
              <w:bottom w:val="single" w:color="333333" w:sz="6" w:space="0"/>
              <w:right w:val="single" w:color="333333" w:sz="6" w:space="0"/>
            </w:tcBorders>
            <w:noWrap w:val="0"/>
            <w:vAlign w:val="center"/>
          </w:tcPr>
          <w:p>
            <w:pPr>
              <w:widowControl/>
              <w:jc w:val="center"/>
              <w:rPr>
                <w:rFonts w:eastAsia="方正仿宋_GBK"/>
                <w:color w:val="000000"/>
                <w:spacing w:val="-2"/>
                <w:kern w:val="0"/>
                <w:szCs w:val="21"/>
              </w:rPr>
            </w:pPr>
            <w:r>
              <w:rPr>
                <w:rFonts w:eastAsia="方正仿宋_GBK"/>
                <w:color w:val="000000"/>
                <w:spacing w:val="-2"/>
                <w:kern w:val="0"/>
                <w:szCs w:val="21"/>
              </w:rPr>
              <w:t>1.61</w:t>
            </w:r>
          </w:p>
        </w:tc>
        <w:tc>
          <w:tcPr>
            <w:tcW w:w="1718" w:type="dxa"/>
            <w:tcBorders>
              <w:top w:val="single" w:color="333333" w:sz="6" w:space="0"/>
              <w:left w:val="single" w:color="333333" w:sz="6" w:space="0"/>
              <w:bottom w:val="single" w:color="333333" w:sz="6" w:space="0"/>
              <w:right w:val="single" w:color="333333" w:sz="6" w:space="0"/>
            </w:tcBorders>
            <w:noWrap w:val="0"/>
            <w:vAlign w:val="center"/>
          </w:tcPr>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2.50</w:t>
            </w:r>
          </w:p>
        </w:tc>
        <w:tc>
          <w:tcPr>
            <w:tcW w:w="1718" w:type="dxa"/>
            <w:tcBorders>
              <w:top w:val="single" w:color="333333" w:sz="6" w:space="0"/>
              <w:left w:val="single" w:color="333333" w:sz="6" w:space="0"/>
              <w:bottom w:val="single" w:color="333333" w:sz="6" w:space="0"/>
              <w:right w:val="single" w:color="auto" w:sz="8" w:space="0"/>
            </w:tcBorders>
            <w:noWrap w:val="0"/>
            <w:vAlign w:val="center"/>
          </w:tcPr>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4.00</w:t>
            </w:r>
          </w:p>
        </w:tc>
      </w:tr>
      <w:tr>
        <w:tblPrEx>
          <w:tblBorders>
            <w:top w:val="single" w:color="auto" w:sz="8" w:space="0"/>
            <w:left w:val="single" w:color="auto" w:sz="8" w:space="0"/>
            <w:bottom w:val="single" w:color="auto" w:sz="8" w:space="0"/>
            <w:right w:val="single" w:color="auto" w:sz="8" w:space="0"/>
            <w:insideH w:val="single" w:color="333333" w:sz="6" w:space="0"/>
            <w:insideV w:val="single" w:color="333333" w:sz="6" w:space="0"/>
          </w:tblBorders>
          <w:tblCellMar>
            <w:top w:w="0" w:type="dxa"/>
            <w:left w:w="0" w:type="dxa"/>
            <w:bottom w:w="0" w:type="dxa"/>
            <w:right w:w="0" w:type="dxa"/>
          </w:tblCellMar>
        </w:tblPrEx>
        <w:tc>
          <w:tcPr>
            <w:tcW w:w="3585" w:type="dxa"/>
            <w:tcBorders>
              <w:top w:val="single" w:color="333333" w:sz="6" w:space="0"/>
              <w:left w:val="single" w:color="auto" w:sz="8" w:space="0"/>
              <w:bottom w:val="single" w:color="auto" w:sz="8" w:space="0"/>
              <w:right w:val="single" w:color="333333" w:sz="6" w:space="0"/>
            </w:tcBorders>
            <w:noWrap w:val="0"/>
            <w:vAlign w:val="top"/>
          </w:tcPr>
          <w:p>
            <w:pPr>
              <w:widowControl/>
              <w:spacing w:line="330" w:lineRule="atLeast"/>
              <w:ind w:left="109" w:leftChars="52"/>
              <w:jc w:val="center"/>
              <w:rPr>
                <w:rFonts w:eastAsia="方正仿宋_GBK"/>
                <w:color w:val="000000"/>
                <w:spacing w:val="-2"/>
                <w:kern w:val="0"/>
                <w:szCs w:val="21"/>
              </w:rPr>
            </w:pPr>
            <w:r>
              <w:rPr>
                <w:rFonts w:eastAsia="方正仿宋_GBK"/>
                <w:color w:val="000000"/>
                <w:spacing w:val="-2"/>
                <w:kern w:val="0"/>
                <w:szCs w:val="21"/>
              </w:rPr>
              <w:t xml:space="preserve">A </w:t>
            </w:r>
            <w:r>
              <w:rPr>
                <w:rFonts w:hint="eastAsia" w:eastAsia="方正仿宋_GBK"/>
                <w:color w:val="000000"/>
                <w:spacing w:val="-2"/>
                <w:kern w:val="0"/>
                <w:szCs w:val="21"/>
              </w:rPr>
              <w:t>、所有管径</w:t>
            </w:r>
            <w:r>
              <w:rPr>
                <w:rFonts w:eastAsia="方正仿宋_GBK"/>
                <w:color w:val="000000"/>
                <w:spacing w:val="-2"/>
                <w:kern w:val="0"/>
                <w:szCs w:val="21"/>
              </w:rPr>
              <w:t>δ</w:t>
            </w:r>
            <w:r>
              <w:rPr>
                <w:rFonts w:hint="eastAsia" w:eastAsia="方正仿宋_GBK"/>
                <w:color w:val="000000"/>
                <w:spacing w:val="-2"/>
                <w:kern w:val="0"/>
                <w:szCs w:val="21"/>
              </w:rPr>
              <w:t>＜</w:t>
            </w:r>
            <w:r>
              <w:rPr>
                <w:rFonts w:eastAsia="方正仿宋_GBK"/>
                <w:color w:val="000000"/>
                <w:spacing w:val="-2"/>
                <w:kern w:val="0"/>
                <w:szCs w:val="21"/>
              </w:rPr>
              <w:t xml:space="preserve">9.5 </w:t>
            </w:r>
          </w:p>
          <w:p>
            <w:pPr>
              <w:widowControl/>
              <w:spacing w:line="330" w:lineRule="atLeast"/>
              <w:ind w:left="109" w:leftChars="52"/>
              <w:jc w:val="center"/>
              <w:rPr>
                <w:rFonts w:eastAsia="方正仿宋_GBK"/>
                <w:color w:val="000000"/>
                <w:spacing w:val="-2"/>
                <w:kern w:val="0"/>
                <w:szCs w:val="21"/>
              </w:rPr>
            </w:pPr>
            <w:r>
              <w:rPr>
                <w:rFonts w:eastAsia="方正仿宋_GBK"/>
                <w:color w:val="000000"/>
                <w:spacing w:val="-2"/>
                <w:kern w:val="0"/>
                <w:szCs w:val="21"/>
              </w:rPr>
              <w:t xml:space="preserve">B </w:t>
            </w:r>
            <w:r>
              <w:rPr>
                <w:rFonts w:hint="eastAsia" w:eastAsia="方正仿宋_GBK"/>
                <w:color w:val="000000"/>
                <w:spacing w:val="-2"/>
                <w:kern w:val="0"/>
                <w:szCs w:val="21"/>
              </w:rPr>
              <w:t>、所有管径</w:t>
            </w:r>
            <w:r>
              <w:rPr>
                <w:rFonts w:eastAsia="方正仿宋_GBK"/>
                <w:color w:val="000000"/>
                <w:spacing w:val="-2"/>
                <w:kern w:val="0"/>
                <w:szCs w:val="21"/>
              </w:rPr>
              <w:t xml:space="preserve"> 9.5</w:t>
            </w:r>
            <w:r>
              <w:rPr>
                <w:rFonts w:hint="eastAsia" w:ascii="Times New Roman" w:hAnsi="Times New Roman"/>
                <w:color w:val="000000"/>
                <w:spacing w:val="-2"/>
                <w:kern w:val="0"/>
                <w:szCs w:val="21"/>
              </w:rPr>
              <w:t>≤</w:t>
            </w:r>
            <w:r>
              <w:rPr>
                <w:rFonts w:eastAsia="方正仿宋_GBK"/>
                <w:color w:val="000000"/>
                <w:spacing w:val="-2"/>
                <w:kern w:val="0"/>
                <w:szCs w:val="21"/>
              </w:rPr>
              <w:t>δ</w:t>
            </w:r>
            <w:r>
              <w:rPr>
                <w:rFonts w:hint="eastAsia" w:eastAsia="方正仿宋_GBK"/>
                <w:color w:val="000000"/>
                <w:spacing w:val="-2"/>
                <w:kern w:val="0"/>
                <w:szCs w:val="21"/>
              </w:rPr>
              <w:t>＜</w:t>
            </w:r>
            <w:r>
              <w:rPr>
                <w:rFonts w:eastAsia="方正仿宋_GBK"/>
                <w:color w:val="000000"/>
                <w:spacing w:val="-2"/>
                <w:kern w:val="0"/>
                <w:szCs w:val="21"/>
              </w:rPr>
              <w:t xml:space="preserve">11.9 </w:t>
            </w:r>
          </w:p>
          <w:p>
            <w:pPr>
              <w:widowControl/>
              <w:spacing w:line="330" w:lineRule="atLeast"/>
              <w:ind w:left="109" w:leftChars="52"/>
              <w:jc w:val="center"/>
              <w:rPr>
                <w:rFonts w:eastAsia="方正仿宋_GBK"/>
                <w:color w:val="000000"/>
                <w:spacing w:val="-2"/>
                <w:kern w:val="0"/>
                <w:szCs w:val="21"/>
              </w:rPr>
            </w:pPr>
            <w:r>
              <w:rPr>
                <w:rFonts w:eastAsia="方正仿宋_GBK"/>
                <w:color w:val="000000"/>
                <w:spacing w:val="-2"/>
                <w:kern w:val="0"/>
                <w:szCs w:val="21"/>
              </w:rPr>
              <w:t xml:space="preserve">C </w:t>
            </w:r>
            <w:r>
              <w:rPr>
                <w:rFonts w:hint="eastAsia" w:eastAsia="方正仿宋_GBK"/>
                <w:color w:val="000000"/>
                <w:spacing w:val="-2"/>
                <w:kern w:val="0"/>
                <w:szCs w:val="21"/>
              </w:rPr>
              <w:t>、所有管径</w:t>
            </w:r>
            <w:r>
              <w:rPr>
                <w:rFonts w:eastAsia="方正仿宋_GBK"/>
                <w:color w:val="000000"/>
                <w:spacing w:val="-2"/>
                <w:kern w:val="0"/>
                <w:szCs w:val="21"/>
              </w:rPr>
              <w:t>δ</w:t>
            </w:r>
            <w:r>
              <w:rPr>
                <w:rFonts w:hint="eastAsia" w:ascii="Times New Roman" w:hAnsi="Times New Roman"/>
                <w:color w:val="000000"/>
                <w:spacing w:val="-2"/>
                <w:kern w:val="0"/>
                <w:szCs w:val="21"/>
              </w:rPr>
              <w:t>≥</w:t>
            </w:r>
            <w:r>
              <w:rPr>
                <w:rFonts w:eastAsia="方正仿宋_GBK"/>
                <w:color w:val="000000"/>
                <w:spacing w:val="-2"/>
                <w:kern w:val="0"/>
                <w:szCs w:val="21"/>
              </w:rPr>
              <w:t>11.9</w:t>
            </w:r>
          </w:p>
        </w:tc>
        <w:tc>
          <w:tcPr>
            <w:tcW w:w="1717" w:type="dxa"/>
            <w:tcBorders>
              <w:top w:val="single" w:color="333333" w:sz="6" w:space="0"/>
              <w:left w:val="single" w:color="333333" w:sz="6" w:space="0"/>
              <w:bottom w:val="single" w:color="auto" w:sz="8" w:space="0"/>
              <w:right w:val="single" w:color="333333" w:sz="6" w:space="0"/>
            </w:tcBorders>
            <w:noWrap w:val="0"/>
            <w:vAlign w:val="top"/>
          </w:tcPr>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13.5</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6.5</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3.0</w:t>
            </w:r>
          </w:p>
        </w:tc>
        <w:tc>
          <w:tcPr>
            <w:tcW w:w="1718" w:type="dxa"/>
            <w:tcBorders>
              <w:top w:val="single" w:color="333333" w:sz="6" w:space="0"/>
              <w:left w:val="single" w:color="333333" w:sz="6" w:space="0"/>
              <w:bottom w:val="single" w:color="auto" w:sz="8" w:space="0"/>
              <w:right w:val="single" w:color="333333" w:sz="6" w:space="0"/>
            </w:tcBorders>
            <w:noWrap w:val="0"/>
            <w:vAlign w:val="top"/>
          </w:tcPr>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15.0</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7.5</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5.0</w:t>
            </w:r>
          </w:p>
        </w:tc>
        <w:tc>
          <w:tcPr>
            <w:tcW w:w="1718" w:type="dxa"/>
            <w:tcBorders>
              <w:top w:val="single" w:color="333333" w:sz="6" w:space="0"/>
              <w:left w:val="single" w:color="333333" w:sz="6" w:space="0"/>
              <w:bottom w:val="single" w:color="auto" w:sz="8" w:space="0"/>
              <w:right w:val="single" w:color="auto" w:sz="8" w:space="0"/>
            </w:tcBorders>
            <w:noWrap w:val="0"/>
            <w:vAlign w:val="top"/>
          </w:tcPr>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 xml:space="preserve">17.0 </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 xml:space="preserve">9.0 </w:t>
            </w:r>
          </w:p>
          <w:p>
            <w:pPr>
              <w:widowControl/>
              <w:spacing w:line="330" w:lineRule="atLeast"/>
              <w:jc w:val="center"/>
              <w:rPr>
                <w:rFonts w:eastAsia="方正仿宋_GBK"/>
                <w:color w:val="000000"/>
                <w:spacing w:val="-2"/>
                <w:kern w:val="0"/>
                <w:szCs w:val="21"/>
              </w:rPr>
            </w:pPr>
            <w:r>
              <w:rPr>
                <w:rFonts w:eastAsia="方正仿宋_GBK"/>
                <w:color w:val="000000"/>
                <w:spacing w:val="-2"/>
                <w:kern w:val="0"/>
                <w:szCs w:val="21"/>
              </w:rPr>
              <w:t>8.0</w:t>
            </w:r>
          </w:p>
        </w:tc>
      </w:tr>
    </w:tbl>
    <w:p>
      <w:pPr>
        <w:widowControl/>
        <w:spacing w:line="240" w:lineRule="exact"/>
        <w:jc w:val="left"/>
        <w:rPr>
          <w:rFonts w:eastAsia="方正仿宋_GBK"/>
          <w:color w:val="000000"/>
          <w:spacing w:val="-2"/>
          <w:kern w:val="0"/>
          <w:sz w:val="18"/>
          <w:szCs w:val="18"/>
        </w:rPr>
      </w:pPr>
      <w:r>
        <w:rPr>
          <w:rFonts w:hint="eastAsia" w:eastAsia="方正仿宋_GBK"/>
          <w:color w:val="000000"/>
          <w:spacing w:val="-2"/>
          <w:kern w:val="0"/>
          <w:sz w:val="18"/>
          <w:szCs w:val="18"/>
        </w:rPr>
        <w:t>注：</w:t>
      </w:r>
      <w:r>
        <w:rPr>
          <w:rFonts w:eastAsia="方正仿宋_GBK"/>
          <w:color w:val="000000"/>
          <w:spacing w:val="-2"/>
          <w:kern w:val="0"/>
          <w:sz w:val="18"/>
          <w:szCs w:val="18"/>
        </w:rPr>
        <w:t xml:space="preserve"> 1 </w:t>
      </w:r>
      <w:r>
        <w:rPr>
          <w:rFonts w:hint="eastAsia" w:eastAsia="方正仿宋_GBK"/>
          <w:color w:val="000000"/>
          <w:spacing w:val="-2"/>
          <w:kern w:val="0"/>
          <w:sz w:val="18"/>
          <w:szCs w:val="18"/>
        </w:rPr>
        <w:t>如果对燃气管道采取行之有效的保护措施</w:t>
      </w:r>
      <w:r>
        <w:rPr>
          <w:rFonts w:eastAsia="方正仿宋_GBK"/>
          <w:color w:val="000000"/>
          <w:spacing w:val="-2"/>
          <w:kern w:val="0"/>
          <w:sz w:val="18"/>
          <w:szCs w:val="18"/>
        </w:rPr>
        <w:t>, δ</w:t>
      </w:r>
      <w:r>
        <w:rPr>
          <w:rFonts w:hint="eastAsia" w:eastAsia="方正仿宋_GBK"/>
          <w:color w:val="000000"/>
          <w:spacing w:val="-2"/>
          <w:kern w:val="0"/>
          <w:sz w:val="18"/>
          <w:szCs w:val="18"/>
        </w:rPr>
        <w:t>＜</w:t>
      </w:r>
      <w:r>
        <w:rPr>
          <w:rFonts w:eastAsia="方正仿宋_GBK"/>
          <w:color w:val="000000"/>
          <w:spacing w:val="-2"/>
          <w:kern w:val="0"/>
          <w:sz w:val="18"/>
          <w:szCs w:val="18"/>
        </w:rPr>
        <w:t xml:space="preserve">9.5mm </w:t>
      </w:r>
      <w:r>
        <w:rPr>
          <w:rFonts w:hint="eastAsia" w:eastAsia="方正仿宋_GBK"/>
          <w:color w:val="000000"/>
          <w:spacing w:val="-2"/>
          <w:kern w:val="0"/>
          <w:sz w:val="18"/>
          <w:szCs w:val="18"/>
        </w:rPr>
        <w:t>的燃气管道也可采用表中</w:t>
      </w:r>
      <w:r>
        <w:rPr>
          <w:rFonts w:eastAsia="方正仿宋_GBK"/>
          <w:color w:val="000000"/>
          <w:spacing w:val="-2"/>
          <w:kern w:val="0"/>
          <w:sz w:val="18"/>
          <w:szCs w:val="18"/>
        </w:rPr>
        <w:t xml:space="preserve">B </w:t>
      </w:r>
      <w:r>
        <w:rPr>
          <w:rFonts w:hint="eastAsia" w:eastAsia="方正仿宋_GBK"/>
          <w:color w:val="000000"/>
          <w:spacing w:val="-2"/>
          <w:kern w:val="0"/>
          <w:sz w:val="18"/>
          <w:szCs w:val="18"/>
        </w:rPr>
        <w:t>行的水平净距。</w:t>
      </w:r>
    </w:p>
    <w:p>
      <w:pPr>
        <w:widowControl/>
        <w:spacing w:line="240" w:lineRule="exact"/>
        <w:ind w:firstLine="440" w:firstLineChars="250"/>
        <w:jc w:val="left"/>
        <w:rPr>
          <w:rFonts w:eastAsia="方正仿宋_GBK"/>
          <w:color w:val="000000"/>
          <w:spacing w:val="-2"/>
          <w:kern w:val="0"/>
          <w:sz w:val="18"/>
          <w:szCs w:val="18"/>
        </w:rPr>
      </w:pPr>
      <w:r>
        <w:rPr>
          <w:rFonts w:eastAsia="方正仿宋_GBK"/>
          <w:color w:val="000000"/>
          <w:spacing w:val="-2"/>
          <w:kern w:val="0"/>
          <w:sz w:val="18"/>
          <w:szCs w:val="18"/>
        </w:rPr>
        <w:t xml:space="preserve">2 </w:t>
      </w:r>
      <w:r>
        <w:rPr>
          <w:rFonts w:hint="eastAsia" w:eastAsia="方正仿宋_GBK"/>
          <w:color w:val="000000"/>
          <w:spacing w:val="-2"/>
          <w:kern w:val="0"/>
          <w:sz w:val="18"/>
          <w:szCs w:val="18"/>
        </w:rPr>
        <w:t>水平净距是指管道外壁到建筑物出地面处外墙面的距离。建筑物是指平常有人的建筑物。</w:t>
      </w:r>
    </w:p>
    <w:p>
      <w:pPr>
        <w:widowControl/>
        <w:spacing w:line="240" w:lineRule="exact"/>
        <w:ind w:firstLine="440" w:firstLineChars="250"/>
        <w:jc w:val="left"/>
        <w:rPr>
          <w:rFonts w:eastAsia="方正仿宋_GBK"/>
          <w:color w:val="000000"/>
          <w:spacing w:val="-2"/>
          <w:kern w:val="0"/>
          <w:sz w:val="18"/>
          <w:szCs w:val="18"/>
        </w:rPr>
      </w:pPr>
      <w:r>
        <w:rPr>
          <w:rFonts w:eastAsia="方正仿宋_GBK"/>
          <w:color w:val="000000"/>
          <w:spacing w:val="-2"/>
          <w:kern w:val="0"/>
          <w:sz w:val="18"/>
          <w:szCs w:val="18"/>
        </w:rPr>
        <w:t xml:space="preserve">3 </w:t>
      </w:r>
      <w:r>
        <w:rPr>
          <w:rFonts w:hint="eastAsia" w:eastAsia="方正仿宋_GBK"/>
          <w:color w:val="000000"/>
          <w:spacing w:val="-2"/>
          <w:kern w:val="0"/>
          <w:sz w:val="18"/>
          <w:szCs w:val="18"/>
        </w:rPr>
        <w:t>燃气管道压力表中数不相同时，可采用直线方程内插法确定水平距离。</w:t>
      </w:r>
    </w:p>
    <w:p>
      <w:pPr>
        <w:snapToGrid w:val="0"/>
        <w:spacing w:line="460" w:lineRule="exact"/>
        <w:ind w:firstLine="462" w:firstLineChars="196"/>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3</w:t>
      </w:r>
      <w:r>
        <w:rPr>
          <w:rFonts w:hint="eastAsia" w:eastAsia="方正仿宋_GBK"/>
          <w:color w:val="000000"/>
          <w:spacing w:val="-2"/>
          <w:sz w:val="24"/>
        </w:rPr>
        <w:t>）高压地下燃气管道与构筑物或相邻管道之间的水平和垂直净距，不应小于《城镇燃气设计规范》</w:t>
      </w:r>
      <w:r>
        <w:rPr>
          <w:rFonts w:eastAsia="方正仿宋_GBK"/>
          <w:color w:val="000000"/>
          <w:spacing w:val="-2"/>
          <w:sz w:val="24"/>
        </w:rPr>
        <w:t>GB50028</w:t>
      </w:r>
      <w:r>
        <w:rPr>
          <w:rFonts w:hint="eastAsia" w:eastAsia="方正仿宋_GBK"/>
          <w:color w:val="000000"/>
          <w:spacing w:val="-2"/>
          <w:sz w:val="24"/>
        </w:rPr>
        <w:t>表</w:t>
      </w:r>
      <w:r>
        <w:rPr>
          <w:rFonts w:eastAsia="方正仿宋_GBK"/>
          <w:color w:val="000000"/>
          <w:spacing w:val="-2"/>
          <w:sz w:val="24"/>
        </w:rPr>
        <w:t xml:space="preserve">6.3.3-1 </w:t>
      </w:r>
      <w:r>
        <w:rPr>
          <w:rFonts w:hint="eastAsia" w:eastAsia="方正仿宋_GBK"/>
          <w:color w:val="000000"/>
          <w:spacing w:val="-2"/>
          <w:sz w:val="24"/>
        </w:rPr>
        <w:t>和</w:t>
      </w:r>
      <w:r>
        <w:rPr>
          <w:rFonts w:eastAsia="方正仿宋_GBK"/>
          <w:color w:val="000000"/>
          <w:spacing w:val="-2"/>
          <w:sz w:val="24"/>
        </w:rPr>
        <w:t>6.3.3-2</w:t>
      </w:r>
      <w:r>
        <w:rPr>
          <w:rFonts w:hint="eastAsia" w:eastAsia="方正仿宋_GBK"/>
          <w:color w:val="000000"/>
          <w:spacing w:val="-2"/>
          <w:sz w:val="24"/>
        </w:rPr>
        <w:t>次高压</w:t>
      </w:r>
      <w:r>
        <w:rPr>
          <w:rFonts w:eastAsia="方正仿宋_GBK"/>
          <w:color w:val="000000"/>
          <w:spacing w:val="-2"/>
          <w:sz w:val="24"/>
        </w:rPr>
        <w:t xml:space="preserve">A </w:t>
      </w:r>
      <w:r>
        <w:rPr>
          <w:rFonts w:hint="eastAsia" w:eastAsia="方正仿宋_GBK"/>
          <w:color w:val="000000"/>
          <w:spacing w:val="-2"/>
          <w:sz w:val="24"/>
        </w:rPr>
        <w:t>的规定。但高压</w:t>
      </w:r>
      <w:r>
        <w:rPr>
          <w:rFonts w:eastAsia="方正仿宋_GBK"/>
          <w:color w:val="000000"/>
          <w:spacing w:val="-2"/>
          <w:sz w:val="24"/>
        </w:rPr>
        <w:t xml:space="preserve">A </w:t>
      </w:r>
      <w:r>
        <w:rPr>
          <w:rFonts w:hint="eastAsia" w:eastAsia="方正仿宋_GBK"/>
          <w:color w:val="000000"/>
          <w:spacing w:val="-2"/>
          <w:sz w:val="24"/>
        </w:rPr>
        <w:t>和高压</w:t>
      </w:r>
      <w:r>
        <w:rPr>
          <w:rFonts w:eastAsia="方正仿宋_GBK"/>
          <w:color w:val="000000"/>
          <w:spacing w:val="-2"/>
          <w:sz w:val="24"/>
        </w:rPr>
        <w:t xml:space="preserve">B </w:t>
      </w:r>
      <w:r>
        <w:rPr>
          <w:rFonts w:hint="eastAsia" w:eastAsia="方正仿宋_GBK"/>
          <w:color w:val="000000"/>
          <w:spacing w:val="-2"/>
          <w:sz w:val="24"/>
        </w:rPr>
        <w:t>地下燃气管道与铁路路堤坡脚的水平净距分别不应小于</w:t>
      </w:r>
      <w:r>
        <w:rPr>
          <w:rFonts w:eastAsia="方正仿宋_GBK"/>
          <w:color w:val="000000"/>
          <w:spacing w:val="-2"/>
          <w:sz w:val="24"/>
        </w:rPr>
        <w:t xml:space="preserve">8m </w:t>
      </w:r>
      <w:r>
        <w:rPr>
          <w:rFonts w:hint="eastAsia" w:eastAsia="方正仿宋_GBK"/>
          <w:color w:val="000000"/>
          <w:spacing w:val="-2"/>
          <w:sz w:val="24"/>
        </w:rPr>
        <w:t>和</w:t>
      </w:r>
      <w:r>
        <w:rPr>
          <w:rFonts w:eastAsia="方正仿宋_GBK"/>
          <w:color w:val="000000"/>
          <w:spacing w:val="-2"/>
          <w:sz w:val="24"/>
        </w:rPr>
        <w:t>6m</w:t>
      </w:r>
      <w:r>
        <w:rPr>
          <w:rFonts w:hint="eastAsia" w:eastAsia="方正仿宋_GBK"/>
          <w:color w:val="000000"/>
          <w:spacing w:val="-2"/>
          <w:sz w:val="24"/>
        </w:rPr>
        <w:t>；与有轨电车钢轨的水平净距分别不应小于</w:t>
      </w:r>
      <w:r>
        <w:rPr>
          <w:rFonts w:eastAsia="方正仿宋_GBK"/>
          <w:color w:val="000000"/>
          <w:spacing w:val="-2"/>
          <w:sz w:val="24"/>
        </w:rPr>
        <w:t xml:space="preserve">4m </w:t>
      </w:r>
      <w:r>
        <w:rPr>
          <w:rFonts w:hint="eastAsia" w:eastAsia="方正仿宋_GBK"/>
          <w:color w:val="000000"/>
          <w:spacing w:val="-2"/>
          <w:sz w:val="24"/>
        </w:rPr>
        <w:t>和</w:t>
      </w:r>
      <w:r>
        <w:rPr>
          <w:rFonts w:eastAsia="方正仿宋_GBK"/>
          <w:color w:val="000000"/>
          <w:spacing w:val="-2"/>
          <w:sz w:val="24"/>
        </w:rPr>
        <w:t>3m</w:t>
      </w:r>
      <w:r>
        <w:rPr>
          <w:rFonts w:hint="eastAsia" w:eastAsia="方正仿宋_GBK"/>
          <w:color w:val="000000"/>
          <w:spacing w:val="-2"/>
          <w:sz w:val="24"/>
        </w:rPr>
        <w:t>。</w:t>
      </w:r>
      <w:r>
        <w:rPr>
          <w:rFonts w:hint="eastAsia" w:eastAsia="方正仿宋_GBK"/>
          <w:color w:val="000000"/>
          <w:spacing w:val="-2"/>
          <w:kern w:val="0"/>
          <w:sz w:val="24"/>
        </w:rPr>
        <w:t>注：当达不到本条净距要求时，采取行之有效的防护措施后，净距可适当缩小。</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4</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高压燃气管道的布置应符合《城镇燃气设计规范》</w:t>
      </w:r>
      <w:r>
        <w:rPr>
          <w:rFonts w:eastAsia="方正仿宋_GBK"/>
          <w:color w:val="000000"/>
          <w:spacing w:val="-2"/>
          <w:sz w:val="24"/>
        </w:rPr>
        <w:t>GB50028</w:t>
      </w:r>
      <w:r>
        <w:rPr>
          <w:rFonts w:hint="eastAsia" w:eastAsia="方正仿宋_GBK"/>
          <w:color w:val="000000"/>
          <w:spacing w:val="-2"/>
          <w:sz w:val="24"/>
        </w:rPr>
        <w:t>第</w:t>
      </w:r>
      <w:r>
        <w:rPr>
          <w:rFonts w:eastAsia="方正仿宋_GBK"/>
          <w:color w:val="000000"/>
          <w:spacing w:val="-2"/>
          <w:sz w:val="24"/>
        </w:rPr>
        <w:t>6.4.15</w:t>
      </w:r>
      <w:r>
        <w:rPr>
          <w:rFonts w:hint="eastAsia" w:eastAsia="方正仿宋_GBK"/>
          <w:color w:val="000000"/>
          <w:spacing w:val="-2"/>
          <w:sz w:val="24"/>
        </w:rPr>
        <w:t>条要求：高压燃气管道不宜进入四级地区；当受条件限制需要进入或通过四级地区时，应遵守下列规定：、</w:t>
      </w:r>
    </w:p>
    <w:p>
      <w:pPr>
        <w:spacing w:line="460" w:lineRule="exact"/>
        <w:ind w:firstLine="462" w:firstLineChars="196"/>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）高压</w:t>
      </w:r>
      <w:r>
        <w:rPr>
          <w:rFonts w:eastAsia="方正仿宋_GBK"/>
          <w:color w:val="000000"/>
          <w:spacing w:val="-2"/>
          <w:sz w:val="24"/>
        </w:rPr>
        <w:t xml:space="preserve">A </w:t>
      </w:r>
      <w:r>
        <w:rPr>
          <w:rFonts w:hint="eastAsia" w:eastAsia="方正仿宋_GBK"/>
          <w:color w:val="000000"/>
          <w:spacing w:val="-2"/>
          <w:sz w:val="24"/>
        </w:rPr>
        <w:t>地下燃气管道与建筑物外墙面之间的水平净距不应小于</w:t>
      </w:r>
      <w:r>
        <w:rPr>
          <w:rFonts w:eastAsia="方正仿宋_GBK"/>
          <w:color w:val="000000"/>
          <w:spacing w:val="-2"/>
          <w:sz w:val="24"/>
        </w:rPr>
        <w:t>30m</w:t>
      </w:r>
      <w:r>
        <w:rPr>
          <w:rFonts w:hint="eastAsia" w:eastAsia="方正仿宋_GBK"/>
          <w:color w:val="000000"/>
          <w:spacing w:val="-2"/>
          <w:sz w:val="24"/>
        </w:rPr>
        <w:t>（当管壁厚度</w:t>
      </w:r>
      <w:r>
        <w:rPr>
          <w:rFonts w:eastAsia="方正仿宋_GBK"/>
          <w:color w:val="000000"/>
          <w:spacing w:val="-2"/>
          <w:sz w:val="24"/>
        </w:rPr>
        <w:t>δ≥9.5mm</w:t>
      </w:r>
      <w:r>
        <w:rPr>
          <w:rFonts w:hint="eastAsia" w:eastAsia="方正仿宋_GBK"/>
          <w:color w:val="000000"/>
          <w:spacing w:val="-2"/>
          <w:sz w:val="24"/>
        </w:rPr>
        <w:t>或对燃气管道采取有效的保护措施时，不应小于</w:t>
      </w:r>
      <w:r>
        <w:rPr>
          <w:rFonts w:eastAsia="方正仿宋_GBK"/>
          <w:color w:val="000000"/>
          <w:spacing w:val="-2"/>
          <w:sz w:val="24"/>
        </w:rPr>
        <w:t>15m</w:t>
      </w:r>
      <w:r>
        <w:rPr>
          <w:rFonts w:hint="eastAsia" w:eastAsia="方正仿宋_GBK"/>
          <w:color w:val="000000"/>
          <w:spacing w:val="-2"/>
          <w:sz w:val="24"/>
        </w:rPr>
        <w:t>）；</w:t>
      </w:r>
    </w:p>
    <w:p>
      <w:pPr>
        <w:spacing w:line="460" w:lineRule="exact"/>
        <w:ind w:firstLine="462" w:firstLineChars="196"/>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高压</w:t>
      </w:r>
      <w:r>
        <w:rPr>
          <w:rFonts w:eastAsia="方正仿宋_GBK"/>
          <w:color w:val="000000"/>
          <w:spacing w:val="-2"/>
          <w:sz w:val="24"/>
        </w:rPr>
        <w:t xml:space="preserve">B </w:t>
      </w:r>
      <w:r>
        <w:rPr>
          <w:rFonts w:hint="eastAsia" w:eastAsia="方正仿宋_GBK"/>
          <w:color w:val="000000"/>
          <w:spacing w:val="-2"/>
          <w:sz w:val="24"/>
        </w:rPr>
        <w:t>地下燃气管道与建筑物外墙面之间的水平净距不应小于</w:t>
      </w:r>
      <w:r>
        <w:rPr>
          <w:rFonts w:eastAsia="方正仿宋_GBK"/>
          <w:color w:val="000000"/>
          <w:spacing w:val="-2"/>
          <w:sz w:val="24"/>
        </w:rPr>
        <w:t>16m</w:t>
      </w:r>
      <w:r>
        <w:rPr>
          <w:rFonts w:hint="eastAsia" w:eastAsia="方正仿宋_GBK"/>
          <w:color w:val="000000"/>
          <w:spacing w:val="-2"/>
          <w:sz w:val="24"/>
        </w:rPr>
        <w:t>（当管壁厚度</w:t>
      </w:r>
      <w:r>
        <w:rPr>
          <w:rFonts w:eastAsia="方正仿宋_GBK"/>
          <w:color w:val="000000"/>
          <w:spacing w:val="-2"/>
          <w:sz w:val="24"/>
        </w:rPr>
        <w:t>δ≥9.5mm</w:t>
      </w:r>
      <w:r>
        <w:rPr>
          <w:rFonts w:hint="eastAsia" w:eastAsia="方正仿宋_GBK"/>
          <w:color w:val="000000"/>
          <w:spacing w:val="-2"/>
          <w:sz w:val="24"/>
        </w:rPr>
        <w:t>或对燃气管道采取有效的保护措施时，不应小于</w:t>
      </w:r>
      <w:r>
        <w:rPr>
          <w:rFonts w:eastAsia="方正仿宋_GBK"/>
          <w:color w:val="000000"/>
          <w:spacing w:val="-2"/>
          <w:sz w:val="24"/>
        </w:rPr>
        <w:t>10m</w:t>
      </w:r>
      <w:r>
        <w:rPr>
          <w:rFonts w:hint="eastAsia" w:eastAsia="方正仿宋_GBK"/>
          <w:color w:val="000000"/>
          <w:spacing w:val="-2"/>
          <w:sz w:val="24"/>
        </w:rPr>
        <w:t>）；</w:t>
      </w:r>
    </w:p>
    <w:p>
      <w:pPr>
        <w:spacing w:line="460" w:lineRule="exact"/>
        <w:ind w:firstLine="462" w:firstLineChars="196"/>
        <w:rPr>
          <w:rFonts w:ascii="Times New Roman" w:eastAsia="方正黑体_GBK"/>
          <w:color w:val="000000"/>
          <w:spacing w:val="-2"/>
          <w:sz w:val="24"/>
        </w:rPr>
      </w:pPr>
      <w:r>
        <w:rPr>
          <w:rFonts w:hint="eastAsia" w:ascii="Times New Roman" w:eastAsia="方正黑体_GBK"/>
          <w:color w:val="000000"/>
          <w:spacing w:val="-2"/>
          <w:sz w:val="24"/>
        </w:rPr>
        <w:t>二、埋地管道埋深技术规范要求</w:t>
      </w:r>
    </w:p>
    <w:p>
      <w:pPr>
        <w:spacing w:line="460" w:lineRule="exact"/>
        <w:ind w:firstLine="462" w:firstLineChars="196"/>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、地下燃气管道埋设的最小覆土厚度（路面至管顶）应符合《城镇燃气设计规范》</w:t>
      </w:r>
      <w:r>
        <w:rPr>
          <w:rFonts w:eastAsia="方正仿宋_GBK"/>
          <w:color w:val="000000"/>
          <w:spacing w:val="-2"/>
          <w:sz w:val="24"/>
        </w:rPr>
        <w:t>GB50028</w:t>
      </w:r>
      <w:r>
        <w:rPr>
          <w:rFonts w:hint="eastAsia" w:eastAsia="方正仿宋_GBK"/>
          <w:color w:val="000000"/>
          <w:spacing w:val="-2"/>
          <w:sz w:val="24"/>
        </w:rPr>
        <w:t>第</w:t>
      </w:r>
      <w:r>
        <w:rPr>
          <w:rFonts w:eastAsia="方正仿宋_GBK"/>
          <w:color w:val="000000"/>
          <w:spacing w:val="-2"/>
          <w:sz w:val="24"/>
        </w:rPr>
        <w:t>6.3.4</w:t>
      </w:r>
      <w:r>
        <w:rPr>
          <w:rFonts w:hint="eastAsia" w:eastAsia="方正仿宋_GBK"/>
          <w:color w:val="000000"/>
          <w:spacing w:val="-2"/>
          <w:sz w:val="24"/>
        </w:rPr>
        <w:t>条的要求：</w:t>
      </w:r>
    </w:p>
    <w:p>
      <w:pPr>
        <w:spacing w:line="460" w:lineRule="exact"/>
        <w:ind w:firstLine="462" w:firstLineChars="196"/>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）埋设在车行道下时，不得小于</w:t>
      </w:r>
      <w:r>
        <w:rPr>
          <w:rFonts w:eastAsia="方正仿宋_GBK"/>
          <w:color w:val="000000"/>
          <w:spacing w:val="-2"/>
          <w:sz w:val="24"/>
        </w:rPr>
        <w:t>0.9m</w:t>
      </w:r>
      <w:r>
        <w:rPr>
          <w:rFonts w:hint="eastAsia" w:eastAsia="方正仿宋_GBK"/>
          <w:color w:val="000000"/>
          <w:spacing w:val="-2"/>
          <w:sz w:val="24"/>
        </w:rPr>
        <w:t>；</w:t>
      </w:r>
    </w:p>
    <w:p>
      <w:pPr>
        <w:spacing w:line="460" w:lineRule="exact"/>
        <w:ind w:firstLine="462" w:firstLineChars="196"/>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）埋设在非机动车车道（含人行道）下时，不得小于</w:t>
      </w:r>
      <w:r>
        <w:rPr>
          <w:rFonts w:eastAsia="方正仿宋_GBK"/>
          <w:color w:val="000000"/>
          <w:spacing w:val="-2"/>
          <w:sz w:val="24"/>
        </w:rPr>
        <w:t>0.6m</w:t>
      </w:r>
      <w:r>
        <w:rPr>
          <w:rFonts w:hint="eastAsia" w:eastAsia="方正仿宋_GBK"/>
          <w:color w:val="000000"/>
          <w:spacing w:val="-2"/>
          <w:sz w:val="24"/>
        </w:rPr>
        <w:t>；</w:t>
      </w:r>
    </w:p>
    <w:p>
      <w:pPr>
        <w:spacing w:line="460" w:lineRule="exact"/>
        <w:ind w:firstLine="462" w:firstLineChars="196"/>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）埋设在机动车不可能到达的地方时，不得小于</w:t>
      </w:r>
      <w:r>
        <w:rPr>
          <w:rFonts w:eastAsia="方正仿宋_GBK"/>
          <w:color w:val="000000"/>
          <w:spacing w:val="-2"/>
          <w:sz w:val="24"/>
        </w:rPr>
        <w:t>0.3m</w:t>
      </w:r>
      <w:r>
        <w:rPr>
          <w:rFonts w:hint="eastAsia" w:eastAsia="方正仿宋_GBK"/>
          <w:color w:val="000000"/>
          <w:spacing w:val="-2"/>
          <w:sz w:val="24"/>
        </w:rPr>
        <w:t>；</w:t>
      </w:r>
    </w:p>
    <w:p>
      <w:pPr>
        <w:spacing w:line="460" w:lineRule="exact"/>
        <w:ind w:firstLine="462" w:firstLineChars="196"/>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）埋设在水田下时，不得小于</w:t>
      </w:r>
      <w:r>
        <w:rPr>
          <w:rFonts w:eastAsia="方正仿宋_GBK"/>
          <w:color w:val="000000"/>
          <w:spacing w:val="-2"/>
          <w:sz w:val="24"/>
        </w:rPr>
        <w:t>0.8m</w:t>
      </w:r>
      <w:r>
        <w:rPr>
          <w:rFonts w:hint="eastAsia" w:eastAsia="方正仿宋_GBK"/>
          <w:color w:val="000000"/>
          <w:spacing w:val="-2"/>
          <w:sz w:val="24"/>
        </w:rPr>
        <w:t>。</w:t>
      </w:r>
    </w:p>
    <w:p>
      <w:pPr>
        <w:spacing w:line="460" w:lineRule="exact"/>
        <w:ind w:firstLine="462" w:firstLineChars="196"/>
        <w:rPr>
          <w:rFonts w:eastAsia="方正仿宋_GBK"/>
          <w:color w:val="000000"/>
          <w:spacing w:val="-2"/>
          <w:kern w:val="0"/>
          <w:sz w:val="24"/>
        </w:rPr>
      </w:pPr>
      <w:r>
        <w:rPr>
          <w:rFonts w:hint="eastAsia" w:eastAsia="方正仿宋_GBK"/>
          <w:color w:val="000000"/>
          <w:spacing w:val="-2"/>
          <w:kern w:val="0"/>
          <w:sz w:val="24"/>
        </w:rPr>
        <w:t>注：当不能满足上述规定时，应采取行之有效的安全防护措施。</w:t>
      </w:r>
    </w:p>
    <w:p>
      <w:pPr>
        <w:spacing w:line="460" w:lineRule="exact"/>
        <w:ind w:firstLine="462" w:firstLineChars="196"/>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、聚乙烯管道和钢骨架聚乙烯复合管道埋设的最小覆土厚度（地面至管顶）应符合《聚乙烯燃气管道工程技术规程》</w:t>
      </w:r>
      <w:r>
        <w:rPr>
          <w:rFonts w:eastAsia="方正仿宋_GBK"/>
          <w:color w:val="000000"/>
          <w:spacing w:val="-2"/>
          <w:sz w:val="24"/>
        </w:rPr>
        <w:t>CJJ63-2008</w:t>
      </w:r>
      <w:r>
        <w:rPr>
          <w:rFonts w:hint="eastAsia" w:eastAsia="方正仿宋_GBK"/>
          <w:color w:val="000000"/>
          <w:spacing w:val="-2"/>
          <w:sz w:val="24"/>
        </w:rPr>
        <w:t>第</w:t>
      </w:r>
      <w:r>
        <w:rPr>
          <w:rFonts w:eastAsia="方正仿宋_GBK"/>
          <w:color w:val="000000"/>
          <w:spacing w:val="-2"/>
          <w:sz w:val="24"/>
        </w:rPr>
        <w:t>4.3.3</w:t>
      </w:r>
      <w:r>
        <w:rPr>
          <w:rFonts w:hint="eastAsia" w:eastAsia="方正仿宋_GBK"/>
          <w:color w:val="000000"/>
          <w:spacing w:val="-2"/>
          <w:sz w:val="24"/>
        </w:rPr>
        <w:t>条的要求：</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）埋设在车行道下，不得小于</w:t>
      </w:r>
      <w:r>
        <w:rPr>
          <w:rFonts w:eastAsia="方正仿宋_GBK"/>
          <w:color w:val="000000"/>
          <w:spacing w:val="-2"/>
          <w:sz w:val="24"/>
        </w:rPr>
        <w:t>0.9m</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）埋设在非车行道（含人行道）下，不得小于</w:t>
      </w:r>
      <w:r>
        <w:rPr>
          <w:rFonts w:eastAsia="方正仿宋_GBK"/>
          <w:color w:val="000000"/>
          <w:spacing w:val="-2"/>
          <w:sz w:val="24"/>
        </w:rPr>
        <w:t>0.6m</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）埋设在机动车不可能到达的地方时，不得小于</w:t>
      </w:r>
      <w:r>
        <w:rPr>
          <w:rFonts w:eastAsia="方正仿宋_GBK"/>
          <w:color w:val="000000"/>
          <w:spacing w:val="-2"/>
          <w:sz w:val="24"/>
        </w:rPr>
        <w:t>0.5m</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）埋设在水田下时，不得小于</w:t>
      </w:r>
      <w:r>
        <w:rPr>
          <w:rFonts w:eastAsia="方正仿宋_GBK"/>
          <w:color w:val="000000"/>
          <w:spacing w:val="-2"/>
          <w:sz w:val="24"/>
        </w:rPr>
        <w:t>0.8m</w:t>
      </w:r>
      <w:r>
        <w:rPr>
          <w:rFonts w:hint="eastAsia" w:eastAsia="方正仿宋_GBK"/>
          <w:color w:val="000000"/>
          <w:spacing w:val="-2"/>
          <w:sz w:val="24"/>
        </w:rPr>
        <w:t>。</w:t>
      </w:r>
    </w:p>
    <w:p>
      <w:pPr>
        <w:spacing w:line="460" w:lineRule="exact"/>
        <w:ind w:firstLine="462" w:firstLineChars="196"/>
        <w:rPr>
          <w:rFonts w:ascii="Times New Roman" w:eastAsia="方正黑体_GBK"/>
          <w:color w:val="000000"/>
          <w:spacing w:val="-2"/>
          <w:sz w:val="24"/>
        </w:rPr>
      </w:pPr>
      <w:r>
        <w:rPr>
          <w:rFonts w:hint="eastAsia" w:ascii="Times New Roman" w:eastAsia="方正黑体_GBK"/>
          <w:color w:val="000000"/>
          <w:spacing w:val="-2"/>
          <w:sz w:val="24"/>
        </w:rPr>
        <w:t>三、埋地管道保护技术规范要求</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、《城镇燃气设计规范》</w:t>
      </w:r>
      <w:r>
        <w:rPr>
          <w:rFonts w:eastAsia="方正仿宋_GBK"/>
          <w:color w:val="000000"/>
          <w:spacing w:val="-2"/>
          <w:sz w:val="24"/>
        </w:rPr>
        <w:t>GB50028</w:t>
      </w:r>
      <w:r>
        <w:rPr>
          <w:rFonts w:hint="eastAsia" w:eastAsia="方正仿宋_GBK"/>
          <w:color w:val="000000"/>
          <w:spacing w:val="-2"/>
          <w:sz w:val="24"/>
        </w:rPr>
        <w:t>第</w:t>
      </w:r>
      <w:r>
        <w:rPr>
          <w:rFonts w:eastAsia="方正仿宋_GBK"/>
          <w:color w:val="000000"/>
          <w:spacing w:val="-2"/>
          <w:sz w:val="24"/>
        </w:rPr>
        <w:t>6.3.7</w:t>
      </w:r>
      <w:r>
        <w:rPr>
          <w:rFonts w:hint="eastAsia" w:eastAsia="方正仿宋_GBK"/>
          <w:color w:val="000000"/>
          <w:spacing w:val="-2"/>
          <w:sz w:val="24"/>
        </w:rPr>
        <w:t>条：地下燃气管道不得在堆积易燃、易爆材料和具有腐蚀性液体的场地下面穿越，并不宜与其他管道或电缆同沟敷设。当需要同沟敷设时，必须采取防护措施。</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、《城镇燃气设计规范》</w:t>
      </w:r>
      <w:r>
        <w:rPr>
          <w:rFonts w:eastAsia="方正仿宋_GBK"/>
          <w:color w:val="000000"/>
          <w:spacing w:val="-2"/>
          <w:sz w:val="24"/>
        </w:rPr>
        <w:t>GB50028</w:t>
      </w:r>
      <w:r>
        <w:rPr>
          <w:rFonts w:hint="eastAsia" w:eastAsia="方正仿宋_GBK"/>
          <w:color w:val="000000"/>
          <w:spacing w:val="-2"/>
          <w:sz w:val="24"/>
        </w:rPr>
        <w:t>第</w:t>
      </w:r>
      <w:r>
        <w:rPr>
          <w:rFonts w:eastAsia="方正仿宋_GBK"/>
          <w:color w:val="000000"/>
          <w:spacing w:val="-2"/>
          <w:sz w:val="24"/>
        </w:rPr>
        <w:t>6.3.8</w:t>
      </w:r>
      <w:r>
        <w:rPr>
          <w:rFonts w:hint="eastAsia" w:eastAsia="方正仿宋_GBK"/>
          <w:color w:val="000000"/>
          <w:spacing w:val="-2"/>
          <w:sz w:val="24"/>
        </w:rPr>
        <w:t>条：地下燃气管道穿过排水管（沟）、热力管沟、联合地沟、隧道及其他各种用途沟槽内穿过时，应将燃气管道敷设于套管内。套管伸出构筑物外壁不应小于表</w:t>
      </w:r>
      <w:r>
        <w:rPr>
          <w:rFonts w:eastAsia="方正仿宋_GBK"/>
          <w:color w:val="000000"/>
          <w:spacing w:val="-2"/>
          <w:sz w:val="24"/>
        </w:rPr>
        <w:t xml:space="preserve">6.3.3-1 </w:t>
      </w:r>
      <w:r>
        <w:rPr>
          <w:rFonts w:hint="eastAsia" w:eastAsia="方正仿宋_GBK"/>
          <w:color w:val="000000"/>
          <w:spacing w:val="-2"/>
          <w:sz w:val="24"/>
        </w:rPr>
        <w:t>中燃气管道与该构筑物的水平净距。套管两端应采用柔性的防腐、防水材料密封。</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、埋地管道地面标识应符合《城镇燃气标志标准》（</w:t>
      </w:r>
      <w:r>
        <w:rPr>
          <w:rFonts w:eastAsia="方正仿宋_GBK"/>
          <w:color w:val="000000"/>
          <w:spacing w:val="-2"/>
          <w:sz w:val="24"/>
        </w:rPr>
        <w:t>CJJ/T153-2010</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、埋地钢管防腐层应符合《城镇燃气埋地钢质管道腐蚀控制技术规程》</w:t>
      </w:r>
      <w:r>
        <w:rPr>
          <w:rFonts w:eastAsia="方正仿宋_GBK"/>
          <w:color w:val="000000"/>
          <w:spacing w:val="-2"/>
          <w:sz w:val="24"/>
        </w:rPr>
        <w:t>CJJ95-2013</w:t>
      </w:r>
      <w:r>
        <w:rPr>
          <w:rFonts w:hint="eastAsia" w:eastAsia="方正仿宋_GBK"/>
          <w:color w:val="000000"/>
          <w:spacing w:val="-2"/>
          <w:sz w:val="24"/>
        </w:rPr>
        <w:t>第</w:t>
      </w:r>
      <w:r>
        <w:rPr>
          <w:rFonts w:eastAsia="方正仿宋_GBK"/>
          <w:color w:val="000000"/>
          <w:spacing w:val="-2"/>
          <w:sz w:val="24"/>
        </w:rPr>
        <w:t>8.1</w:t>
      </w:r>
      <w:r>
        <w:rPr>
          <w:rFonts w:hint="eastAsia" w:eastAsia="方正仿宋_GBK"/>
          <w:color w:val="000000"/>
          <w:spacing w:val="-2"/>
          <w:sz w:val="24"/>
        </w:rPr>
        <w:t>节规定。</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、埋地钢管阴极保护符合《城镇燃气埋地钢质管道腐蚀控制技术规程》</w:t>
      </w:r>
      <w:r>
        <w:rPr>
          <w:rFonts w:eastAsia="方正仿宋_GBK"/>
          <w:color w:val="000000"/>
          <w:spacing w:val="-2"/>
          <w:sz w:val="24"/>
        </w:rPr>
        <w:t>CJJ95-2013</w:t>
      </w:r>
      <w:r>
        <w:rPr>
          <w:rFonts w:hint="eastAsia" w:eastAsia="方正仿宋_GBK"/>
          <w:color w:val="000000"/>
          <w:spacing w:val="-2"/>
          <w:sz w:val="24"/>
        </w:rPr>
        <w:t>第</w:t>
      </w:r>
      <w:r>
        <w:rPr>
          <w:rFonts w:eastAsia="方正仿宋_GBK"/>
          <w:color w:val="000000"/>
          <w:spacing w:val="-2"/>
          <w:sz w:val="24"/>
        </w:rPr>
        <w:t>8.2</w:t>
      </w:r>
      <w:r>
        <w:rPr>
          <w:rFonts w:hint="eastAsia" w:eastAsia="方正仿宋_GBK"/>
          <w:color w:val="000000"/>
          <w:spacing w:val="-2"/>
          <w:sz w:val="24"/>
        </w:rPr>
        <w:t>节、第</w:t>
      </w:r>
      <w:r>
        <w:rPr>
          <w:rFonts w:eastAsia="方正仿宋_GBK"/>
          <w:color w:val="000000"/>
          <w:spacing w:val="-2"/>
          <w:sz w:val="24"/>
        </w:rPr>
        <w:t>8.3</w:t>
      </w:r>
      <w:r>
        <w:rPr>
          <w:rFonts w:hint="eastAsia" w:eastAsia="方正仿宋_GBK"/>
          <w:color w:val="000000"/>
          <w:spacing w:val="-2"/>
          <w:sz w:val="24"/>
        </w:rPr>
        <w:t>节规定。</w:t>
      </w:r>
    </w:p>
    <w:p>
      <w:pPr>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、《城镇燃气设施运行、维护和抢修安全技术规程》</w:t>
      </w:r>
      <w:r>
        <w:rPr>
          <w:rFonts w:eastAsia="方正仿宋_GBK"/>
          <w:color w:val="000000"/>
          <w:spacing w:val="-2"/>
          <w:sz w:val="24"/>
        </w:rPr>
        <w:t>CJJ51-2006</w:t>
      </w:r>
      <w:r>
        <w:rPr>
          <w:rFonts w:hint="eastAsia" w:eastAsia="方正仿宋_GBK"/>
          <w:color w:val="000000"/>
          <w:spacing w:val="-2"/>
          <w:sz w:val="24"/>
        </w:rPr>
        <w:t>第</w:t>
      </w:r>
      <w:r>
        <w:rPr>
          <w:rFonts w:eastAsia="方正仿宋_GBK"/>
          <w:color w:val="000000"/>
          <w:spacing w:val="-2"/>
          <w:sz w:val="24"/>
        </w:rPr>
        <w:t>3.2.3</w:t>
      </w:r>
      <w:r>
        <w:rPr>
          <w:rFonts w:hint="eastAsia" w:eastAsia="方正仿宋_GBK"/>
          <w:color w:val="000000"/>
          <w:spacing w:val="-2"/>
          <w:sz w:val="24"/>
        </w:rPr>
        <w:t>条，对地下燃气管道的巡查应包括下列内容：在燃气管道设施的安全保护范围内不应有土壤塌陷、滑坡、下沉、人工取土、堆积垃圾或重物、管道裸露、种植深根植物及搭建建（构）筑物等。</w:t>
      </w:r>
    </w:p>
    <w:p>
      <w:pPr>
        <w:spacing w:line="460" w:lineRule="exact"/>
        <w:ind w:firstLine="462" w:firstLineChars="196"/>
        <w:rPr>
          <w:rFonts w:ascii="Times New Roman" w:eastAsia="方正黑体_GBK"/>
          <w:color w:val="000000"/>
          <w:spacing w:val="-2"/>
          <w:sz w:val="24"/>
        </w:rPr>
      </w:pPr>
      <w:r>
        <w:rPr>
          <w:rFonts w:hint="eastAsia" w:ascii="Times New Roman" w:eastAsia="方正黑体_GBK"/>
          <w:color w:val="000000"/>
          <w:spacing w:val="-2"/>
          <w:sz w:val="24"/>
        </w:rPr>
        <w:t>四、管道选用和检测技术规范要求</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、《城镇燃气设施运行、维护和抢修安全技术规程》</w:t>
      </w:r>
      <w:r>
        <w:rPr>
          <w:rFonts w:eastAsia="方正仿宋_GBK"/>
          <w:color w:val="000000"/>
          <w:spacing w:val="-2"/>
          <w:sz w:val="24"/>
        </w:rPr>
        <w:t>CJJ51-2006</w:t>
      </w:r>
      <w:r>
        <w:rPr>
          <w:rFonts w:hint="eastAsia" w:eastAsia="方正仿宋_GBK"/>
          <w:color w:val="000000"/>
          <w:spacing w:val="-2"/>
          <w:sz w:val="24"/>
        </w:rPr>
        <w:t>第</w:t>
      </w:r>
      <w:r>
        <w:rPr>
          <w:rFonts w:eastAsia="方正仿宋_GBK"/>
          <w:color w:val="000000"/>
          <w:spacing w:val="-2"/>
          <w:sz w:val="24"/>
        </w:rPr>
        <w:t>3.2.4</w:t>
      </w:r>
      <w:r>
        <w:rPr>
          <w:rFonts w:hint="eastAsia" w:eastAsia="方正仿宋_GBK"/>
          <w:color w:val="000000"/>
          <w:spacing w:val="-2"/>
          <w:sz w:val="24"/>
        </w:rPr>
        <w:t>条，地下燃气管道的泄漏检测应符合下列规定：</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）高压、次高压管道每年不得少于</w:t>
      </w:r>
      <w:r>
        <w:rPr>
          <w:rFonts w:eastAsia="方正仿宋_GBK"/>
          <w:color w:val="000000"/>
          <w:spacing w:val="-2"/>
          <w:sz w:val="24"/>
        </w:rPr>
        <w:t>1</w:t>
      </w:r>
      <w:r>
        <w:rPr>
          <w:rFonts w:hint="eastAsia" w:eastAsia="方正仿宋_GBK"/>
          <w:color w:val="000000"/>
          <w:spacing w:val="-2"/>
          <w:sz w:val="24"/>
        </w:rPr>
        <w:t>次；</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）聚乙烯塑料管或设有阴极保护的中压钢管，每</w:t>
      </w:r>
      <w:r>
        <w:rPr>
          <w:rFonts w:eastAsia="方正仿宋_GBK"/>
          <w:color w:val="000000"/>
          <w:spacing w:val="-2"/>
          <w:sz w:val="24"/>
        </w:rPr>
        <w:t>2</w:t>
      </w:r>
      <w:r>
        <w:rPr>
          <w:rFonts w:hint="eastAsia" w:eastAsia="方正仿宋_GBK"/>
          <w:color w:val="000000"/>
          <w:spacing w:val="-2"/>
          <w:sz w:val="24"/>
        </w:rPr>
        <w:t>年不得少于</w:t>
      </w:r>
      <w:r>
        <w:rPr>
          <w:rFonts w:eastAsia="方正仿宋_GBK"/>
          <w:color w:val="000000"/>
          <w:spacing w:val="-2"/>
          <w:sz w:val="24"/>
        </w:rPr>
        <w:t>1</w:t>
      </w:r>
      <w:r>
        <w:rPr>
          <w:rFonts w:hint="eastAsia" w:eastAsia="方正仿宋_GBK"/>
          <w:color w:val="000000"/>
          <w:spacing w:val="-2"/>
          <w:sz w:val="24"/>
        </w:rPr>
        <w:t>次；</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）铸铁管道和未设阴极保护的中压钢管，每年不得少于</w:t>
      </w:r>
      <w:r>
        <w:rPr>
          <w:rFonts w:eastAsia="方正仿宋_GBK"/>
          <w:color w:val="000000"/>
          <w:spacing w:val="-2"/>
          <w:sz w:val="24"/>
        </w:rPr>
        <w:t>2</w:t>
      </w:r>
      <w:r>
        <w:rPr>
          <w:rFonts w:hint="eastAsia" w:eastAsia="方正仿宋_GBK"/>
          <w:color w:val="000000"/>
          <w:spacing w:val="-2"/>
          <w:sz w:val="24"/>
        </w:rPr>
        <w:t>次；</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）新通气的管道应在</w:t>
      </w:r>
      <w:r>
        <w:rPr>
          <w:rFonts w:eastAsia="方正仿宋_GBK"/>
          <w:color w:val="000000"/>
          <w:spacing w:val="-2"/>
          <w:sz w:val="24"/>
        </w:rPr>
        <w:t>24h</w:t>
      </w:r>
      <w:r>
        <w:rPr>
          <w:rFonts w:hint="eastAsia" w:eastAsia="方正仿宋_GBK"/>
          <w:color w:val="000000"/>
          <w:spacing w:val="-2"/>
          <w:sz w:val="24"/>
        </w:rPr>
        <w:t>之内检查</w:t>
      </w:r>
      <w:r>
        <w:rPr>
          <w:rFonts w:eastAsia="方正仿宋_GBK"/>
          <w:color w:val="000000"/>
          <w:spacing w:val="-2"/>
          <w:sz w:val="24"/>
        </w:rPr>
        <w:t>1</w:t>
      </w:r>
      <w:r>
        <w:rPr>
          <w:rFonts w:hint="eastAsia" w:eastAsia="方正仿宋_GBK"/>
          <w:color w:val="000000"/>
          <w:spacing w:val="-2"/>
          <w:sz w:val="24"/>
        </w:rPr>
        <w:t>次，并应在通气后的第一周进行</w:t>
      </w:r>
      <w:r>
        <w:rPr>
          <w:rFonts w:eastAsia="方正仿宋_GBK"/>
          <w:color w:val="000000"/>
          <w:spacing w:val="-2"/>
          <w:sz w:val="24"/>
        </w:rPr>
        <w:t>1</w:t>
      </w:r>
      <w:r>
        <w:rPr>
          <w:rFonts w:hint="eastAsia" w:eastAsia="方正仿宋_GBK"/>
          <w:color w:val="000000"/>
          <w:spacing w:val="-2"/>
          <w:sz w:val="24"/>
        </w:rPr>
        <w:t>次复查。</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、《城镇燃气设计规范》</w:t>
      </w:r>
      <w:r>
        <w:rPr>
          <w:rFonts w:eastAsia="方正仿宋_GBK"/>
          <w:color w:val="000000"/>
          <w:spacing w:val="-2"/>
          <w:sz w:val="24"/>
        </w:rPr>
        <w:t>GB50028</w:t>
      </w:r>
      <w:r>
        <w:rPr>
          <w:rFonts w:hint="eastAsia" w:eastAsia="方正仿宋_GBK"/>
          <w:color w:val="000000"/>
          <w:spacing w:val="-2"/>
          <w:sz w:val="24"/>
        </w:rPr>
        <w:t>第</w:t>
      </w:r>
      <w:r>
        <w:rPr>
          <w:rFonts w:eastAsia="方正仿宋_GBK"/>
          <w:color w:val="000000"/>
          <w:spacing w:val="-2"/>
          <w:sz w:val="24"/>
        </w:rPr>
        <w:t>6.3.1</w:t>
      </w:r>
      <w:r>
        <w:rPr>
          <w:rFonts w:hint="eastAsia" w:eastAsia="方正仿宋_GBK"/>
          <w:color w:val="000000"/>
          <w:spacing w:val="-2"/>
          <w:sz w:val="24"/>
        </w:rPr>
        <w:t>条，中压和低压燃气管道宜采用聚乙烯管、机械接口球墨铸铁管、钢管或钢骨架聚乙烯塑料复合管，并应符合下列要求：</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）聚乙烯燃气管道应符合现行的国家标准《燃气用埋地聚乙烯管材》</w:t>
      </w:r>
      <w:r>
        <w:rPr>
          <w:rFonts w:eastAsia="方正仿宋_GBK"/>
          <w:color w:val="000000"/>
          <w:spacing w:val="-2"/>
          <w:sz w:val="24"/>
        </w:rPr>
        <w:t>GB 15558.1</w:t>
      </w:r>
      <w:r>
        <w:rPr>
          <w:rFonts w:hint="eastAsia" w:eastAsia="方正仿宋_GBK"/>
          <w:color w:val="000000"/>
          <w:spacing w:val="-2"/>
          <w:sz w:val="24"/>
        </w:rPr>
        <w:t>和《燃气用埋地聚乙烯管件》</w:t>
      </w:r>
      <w:r>
        <w:rPr>
          <w:rFonts w:eastAsia="方正仿宋_GBK"/>
          <w:color w:val="000000"/>
          <w:spacing w:val="-2"/>
          <w:sz w:val="24"/>
        </w:rPr>
        <w:t>GB 15558.2</w:t>
      </w:r>
      <w:r>
        <w:rPr>
          <w:rFonts w:hint="eastAsia" w:eastAsia="方正仿宋_GBK"/>
          <w:color w:val="000000"/>
          <w:spacing w:val="-2"/>
          <w:sz w:val="24"/>
        </w:rPr>
        <w:t>的规定；</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）机械接口球墨铸铁管道应符合现行的国家标准《水及燃气管道用球墨铸铁管、管件和附件》</w:t>
      </w:r>
      <w:r>
        <w:rPr>
          <w:rFonts w:eastAsia="方正仿宋_GBK"/>
          <w:color w:val="000000"/>
          <w:spacing w:val="-2"/>
          <w:sz w:val="24"/>
        </w:rPr>
        <w:t>GB/T 13295</w:t>
      </w:r>
      <w:r>
        <w:rPr>
          <w:rFonts w:hint="eastAsia" w:eastAsia="方正仿宋_GBK"/>
          <w:color w:val="000000"/>
          <w:spacing w:val="-2"/>
          <w:sz w:val="24"/>
        </w:rPr>
        <w:t>的规定；</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）钢管采用焊接钢管、镀锌钢管或无缝钢管时，应分别符合现行的国家标准《低压流体输送用焊接钢管》</w:t>
      </w:r>
      <w:r>
        <w:rPr>
          <w:rFonts w:eastAsia="方正仿宋_GBK"/>
          <w:color w:val="000000"/>
          <w:spacing w:val="-2"/>
          <w:sz w:val="24"/>
        </w:rPr>
        <w:t>GB/T 3091</w:t>
      </w:r>
      <w:r>
        <w:rPr>
          <w:rFonts w:hint="eastAsia" w:eastAsia="方正仿宋_GBK"/>
          <w:color w:val="000000"/>
          <w:spacing w:val="-2"/>
          <w:sz w:val="24"/>
        </w:rPr>
        <w:t>、《输送流体用无缝钢管》</w:t>
      </w:r>
      <w:r>
        <w:rPr>
          <w:rFonts w:eastAsia="方正仿宋_GBK"/>
          <w:color w:val="000000"/>
          <w:spacing w:val="-2"/>
          <w:sz w:val="24"/>
        </w:rPr>
        <w:t>GB/T 8163</w:t>
      </w:r>
      <w:r>
        <w:rPr>
          <w:rFonts w:hint="eastAsia" w:eastAsia="方正仿宋_GBK"/>
          <w:color w:val="000000"/>
          <w:spacing w:val="-2"/>
          <w:sz w:val="24"/>
        </w:rPr>
        <w:t>的规定；</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）钢骨架聚乙烯塑料复合管道应符合国家现行标准《燃气用钢骨架聚乙烯塑料复合管》</w:t>
      </w:r>
      <w:r>
        <w:rPr>
          <w:rFonts w:eastAsia="方正仿宋_GBK"/>
          <w:color w:val="000000"/>
          <w:spacing w:val="-2"/>
          <w:sz w:val="24"/>
        </w:rPr>
        <w:t>CJ/T 125</w:t>
      </w:r>
      <w:r>
        <w:rPr>
          <w:rFonts w:hint="eastAsia" w:eastAsia="方正仿宋_GBK"/>
          <w:color w:val="000000"/>
          <w:spacing w:val="-2"/>
          <w:sz w:val="24"/>
        </w:rPr>
        <w:t>和《燃气用钢骨架聚乙烯塑料复合管件》</w:t>
      </w:r>
      <w:r>
        <w:rPr>
          <w:rFonts w:eastAsia="方正仿宋_GBK"/>
          <w:color w:val="000000"/>
          <w:spacing w:val="-2"/>
          <w:sz w:val="24"/>
        </w:rPr>
        <w:t>CJ/T 126</w:t>
      </w:r>
      <w:r>
        <w:rPr>
          <w:rFonts w:hint="eastAsia" w:eastAsia="方正仿宋_GBK"/>
          <w:color w:val="000000"/>
          <w:spacing w:val="-2"/>
          <w:sz w:val="24"/>
        </w:rPr>
        <w:t>的规定。</w:t>
      </w:r>
    </w:p>
    <w:p>
      <w:pPr>
        <w:spacing w:line="440" w:lineRule="exact"/>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、埋地铸铁管道接口符合《水及燃气管道用球墨铸铁管、管件和附件》</w:t>
      </w:r>
      <w:r>
        <w:rPr>
          <w:rFonts w:eastAsia="方正仿宋_GBK"/>
          <w:color w:val="000000"/>
          <w:spacing w:val="-2"/>
          <w:sz w:val="24"/>
        </w:rPr>
        <w:t>GB</w:t>
      </w:r>
      <w:r>
        <w:rPr>
          <w:rFonts w:hint="eastAsia" w:eastAsia="方正仿宋_GBK"/>
          <w:color w:val="000000"/>
          <w:spacing w:val="-2"/>
          <w:sz w:val="24"/>
        </w:rPr>
        <w:t>／</w:t>
      </w:r>
      <w:r>
        <w:rPr>
          <w:rFonts w:eastAsia="方正仿宋_GBK"/>
          <w:color w:val="000000"/>
          <w:spacing w:val="-2"/>
          <w:sz w:val="24"/>
        </w:rPr>
        <w:t>T13295-2008</w:t>
      </w:r>
      <w:r>
        <w:rPr>
          <w:rFonts w:hint="eastAsia" w:eastAsia="方正仿宋_GBK"/>
          <w:color w:val="000000"/>
          <w:spacing w:val="-2"/>
          <w:sz w:val="24"/>
        </w:rPr>
        <w:t>规定。</w:t>
      </w:r>
    </w:p>
    <w:p>
      <w:pPr>
        <w:pStyle w:val="2"/>
        <w:spacing w:before="240" w:beforeLines="100" w:after="240" w:afterLines="100" w:line="240" w:lineRule="auto"/>
        <w:jc w:val="center"/>
        <w:rPr>
          <w:rFonts w:ascii="Times New Roman" w:eastAsia="方正小标宋_GBK"/>
          <w:b w:val="0"/>
          <w:sz w:val="36"/>
          <w:szCs w:val="36"/>
        </w:rPr>
      </w:pPr>
      <w:r>
        <w:rPr>
          <w:rFonts w:eastAsia="方正仿宋_GBK"/>
          <w:b w:val="0"/>
          <w:color w:val="000000"/>
          <w:spacing w:val="-2"/>
          <w:sz w:val="24"/>
        </w:rPr>
        <w:br w:type="column"/>
      </w:r>
      <w:bookmarkStart w:id="158" w:name="_Toc20726644"/>
      <w:bookmarkStart w:id="159" w:name="_Toc18315785"/>
      <w:r>
        <w:rPr>
          <w:rFonts w:hint="eastAsia" w:ascii="Times New Roman" w:eastAsia="方正小标宋_GBK"/>
          <w:b w:val="0"/>
          <w:sz w:val="36"/>
          <w:szCs w:val="36"/>
        </w:rPr>
        <w:t>关于进一步加强我省城乡生活垃圾处理设施建设和运行管理工作的意见</w:t>
      </w:r>
      <w:bookmarkEnd w:id="158"/>
      <w:bookmarkEnd w:id="15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60" w:name="_Toc18315786"/>
      <w:bookmarkStart w:id="161" w:name="_Toc20726645"/>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2010</w:t>
      </w:r>
      <w:r>
        <w:rPr>
          <w:rFonts w:hint="eastAsia" w:ascii="Times New Roman" w:hAnsi="Times New Roman" w:eastAsia="方正楷体_GBK"/>
          <w:b w:val="0"/>
          <w:sz w:val="24"/>
          <w:szCs w:val="24"/>
        </w:rPr>
        <w:t>〕</w:t>
      </w:r>
      <w:r>
        <w:rPr>
          <w:rFonts w:ascii="Times New Roman" w:hAnsi="Times New Roman" w:eastAsia="方正楷体_GBK"/>
          <w:b w:val="0"/>
          <w:sz w:val="24"/>
          <w:szCs w:val="24"/>
        </w:rPr>
        <w:t>1</w:t>
      </w:r>
      <w:r>
        <w:rPr>
          <w:rFonts w:hint="eastAsia" w:ascii="Times New Roman" w:hAnsi="Times New Roman" w:eastAsia="方正楷体_GBK"/>
          <w:b w:val="0"/>
          <w:sz w:val="24"/>
          <w:szCs w:val="24"/>
        </w:rPr>
        <w:t>号</w:t>
      </w:r>
      <w:bookmarkEnd w:id="160"/>
      <w:bookmarkEnd w:id="161"/>
    </w:p>
    <w:p>
      <w:pPr>
        <w:spacing w:line="460" w:lineRule="exact"/>
        <w:jc w:val="left"/>
        <w:rPr>
          <w:rFonts w:eastAsia="方正仿宋_GBK"/>
          <w:color w:val="000000"/>
          <w:sz w:val="24"/>
        </w:rPr>
      </w:pPr>
      <w:r>
        <w:rPr>
          <w:rFonts w:hint="eastAsia" w:eastAsia="方正仿宋_GBK"/>
          <w:color w:val="000000"/>
          <w:sz w:val="24"/>
        </w:rPr>
        <w:t>各市、县城管（市容）局，有关县（市）建设局：</w:t>
      </w:r>
    </w:p>
    <w:p>
      <w:pPr>
        <w:spacing w:line="460" w:lineRule="exact"/>
        <w:ind w:firstLine="480" w:firstLineChars="200"/>
        <w:jc w:val="left"/>
        <w:rPr>
          <w:rFonts w:eastAsia="方正仿宋_GBK"/>
          <w:color w:val="000000"/>
          <w:sz w:val="24"/>
        </w:rPr>
      </w:pPr>
      <w:r>
        <w:rPr>
          <w:rFonts w:eastAsia="方正仿宋_GBK"/>
          <w:color w:val="000000"/>
          <w:sz w:val="24"/>
        </w:rPr>
        <w:t>2009</w:t>
      </w:r>
      <w:r>
        <w:rPr>
          <w:rFonts w:hint="eastAsia" w:eastAsia="方正仿宋_GBK"/>
          <w:color w:val="000000"/>
          <w:sz w:val="24"/>
        </w:rPr>
        <w:t>年</w:t>
      </w:r>
      <w:r>
        <w:rPr>
          <w:rFonts w:eastAsia="方正仿宋_GBK"/>
          <w:color w:val="000000"/>
          <w:sz w:val="24"/>
        </w:rPr>
        <w:t>9</w:t>
      </w:r>
      <w:r>
        <w:rPr>
          <w:rFonts w:hint="eastAsia" w:eastAsia="方正仿宋_GBK"/>
          <w:color w:val="000000"/>
          <w:sz w:val="24"/>
        </w:rPr>
        <w:t>月</w:t>
      </w:r>
      <w:r>
        <w:rPr>
          <w:rFonts w:eastAsia="方正仿宋_GBK"/>
          <w:color w:val="000000"/>
          <w:sz w:val="24"/>
        </w:rPr>
        <w:t>23</w:t>
      </w:r>
      <w:r>
        <w:rPr>
          <w:rFonts w:hint="eastAsia" w:eastAsia="方正仿宋_GBK"/>
          <w:color w:val="000000"/>
          <w:sz w:val="24"/>
        </w:rPr>
        <w:t>日，《江苏省固体废物污染环境防治条例》（以下简称《条例》）已经省第十一届人大常委会第十一次会议审议通过，自</w:t>
      </w:r>
      <w:r>
        <w:rPr>
          <w:rFonts w:eastAsia="方正仿宋_GBK"/>
          <w:color w:val="000000"/>
          <w:sz w:val="24"/>
        </w:rPr>
        <w:t>2010</w:t>
      </w:r>
      <w:r>
        <w:rPr>
          <w:rFonts w:hint="eastAsia" w:eastAsia="方正仿宋_GBK"/>
          <w:color w:val="000000"/>
          <w:sz w:val="24"/>
        </w:rPr>
        <w:t>年</w:t>
      </w:r>
      <w:r>
        <w:rPr>
          <w:rFonts w:eastAsia="方正仿宋_GBK"/>
          <w:color w:val="000000"/>
          <w:sz w:val="24"/>
        </w:rPr>
        <w:t>1</w:t>
      </w:r>
      <w:r>
        <w:rPr>
          <w:rFonts w:hint="eastAsia" w:eastAsia="方正仿宋_GBK"/>
          <w:color w:val="000000"/>
          <w:sz w:val="24"/>
        </w:rPr>
        <w:t>月</w:t>
      </w:r>
      <w:r>
        <w:rPr>
          <w:rFonts w:eastAsia="方正仿宋_GBK"/>
          <w:color w:val="000000"/>
          <w:sz w:val="24"/>
        </w:rPr>
        <w:t>1</w:t>
      </w:r>
      <w:r>
        <w:rPr>
          <w:rFonts w:hint="eastAsia" w:eastAsia="方正仿宋_GBK"/>
          <w:color w:val="000000"/>
          <w:sz w:val="24"/>
        </w:rPr>
        <w:t>日起施行。为认真贯彻落实《条例》，进一步加强城乡生活垃圾污染防治工作，现提出如下意见，请遵照执行。</w:t>
      </w:r>
    </w:p>
    <w:p>
      <w:pPr>
        <w:spacing w:line="460" w:lineRule="exact"/>
        <w:ind w:firstLine="480" w:firstLineChars="200"/>
        <w:jc w:val="left"/>
        <w:rPr>
          <w:rFonts w:ascii="Times New Roman" w:eastAsia="黑体"/>
          <w:color w:val="000000"/>
          <w:sz w:val="24"/>
        </w:rPr>
      </w:pPr>
      <w:r>
        <w:rPr>
          <w:rFonts w:hint="eastAsia" w:ascii="Times New Roman" w:eastAsia="黑体"/>
          <w:color w:val="000000"/>
          <w:sz w:val="24"/>
        </w:rPr>
        <w:t>一、切实做好《条例》宣传贯彻工作，进一步提高对加强城乡生活垃圾污染防治重要意义的认识</w:t>
      </w:r>
    </w:p>
    <w:p>
      <w:pPr>
        <w:spacing w:line="460" w:lineRule="exact"/>
        <w:ind w:firstLine="480" w:firstLineChars="200"/>
        <w:jc w:val="left"/>
        <w:rPr>
          <w:rFonts w:hint="eastAsia" w:eastAsia="方正仿宋_GBK"/>
          <w:color w:val="000000"/>
          <w:sz w:val="24"/>
        </w:rPr>
      </w:pPr>
      <w:r>
        <w:rPr>
          <w:rFonts w:hint="eastAsia" w:eastAsia="方正仿宋_GBK"/>
          <w:color w:val="000000"/>
          <w:sz w:val="24"/>
        </w:rPr>
        <w:t>近年来，各地认真贯彻落实环保优先方针，加大投入，城乡生活垃圾处理设施建设取得了明显成效。截至</w:t>
      </w:r>
      <w:r>
        <w:rPr>
          <w:rFonts w:eastAsia="方正仿宋_GBK"/>
          <w:color w:val="000000"/>
          <w:sz w:val="24"/>
        </w:rPr>
        <w:t>2009</w:t>
      </w:r>
      <w:r>
        <w:rPr>
          <w:rFonts w:hint="eastAsia" w:eastAsia="方正仿宋_GBK"/>
          <w:color w:val="000000"/>
          <w:sz w:val="24"/>
        </w:rPr>
        <w:t>年底，全省城市（含县城）共建有生活垃圾处理设施</w:t>
      </w:r>
      <w:r>
        <w:rPr>
          <w:rFonts w:eastAsia="方正仿宋_GBK"/>
          <w:color w:val="000000"/>
          <w:sz w:val="24"/>
        </w:rPr>
        <w:t>72</w:t>
      </w:r>
      <w:r>
        <w:rPr>
          <w:rFonts w:hint="eastAsia" w:eastAsia="方正仿宋_GBK"/>
          <w:color w:val="000000"/>
          <w:sz w:val="24"/>
        </w:rPr>
        <w:t>座，其中，达到无害化处理标准的设施共</w:t>
      </w:r>
      <w:r>
        <w:rPr>
          <w:rFonts w:eastAsia="方正仿宋_GBK"/>
          <w:color w:val="000000"/>
          <w:sz w:val="24"/>
        </w:rPr>
        <w:t>46</w:t>
      </w:r>
      <w:r>
        <w:rPr>
          <w:rFonts w:hint="eastAsia" w:eastAsia="方正仿宋_GBK"/>
          <w:color w:val="000000"/>
          <w:sz w:val="24"/>
        </w:rPr>
        <w:t>座，生活垃圾无害化处理能力达</w:t>
      </w:r>
      <w:r>
        <w:rPr>
          <w:rFonts w:eastAsia="方正仿宋_GBK"/>
          <w:color w:val="000000"/>
          <w:sz w:val="24"/>
        </w:rPr>
        <w:t>3.4</w:t>
      </w:r>
      <w:r>
        <w:rPr>
          <w:rFonts w:hint="eastAsia" w:eastAsia="方正仿宋_GBK"/>
          <w:color w:val="000000"/>
          <w:sz w:val="24"/>
        </w:rPr>
        <w:t>万吨</w:t>
      </w:r>
      <w:r>
        <w:rPr>
          <w:rFonts w:eastAsia="方正仿宋_GBK"/>
          <w:color w:val="000000"/>
          <w:sz w:val="24"/>
        </w:rPr>
        <w:t>/</w:t>
      </w:r>
      <w:r>
        <w:rPr>
          <w:rFonts w:hint="eastAsia" w:eastAsia="方正仿宋_GBK"/>
          <w:color w:val="000000"/>
          <w:sz w:val="24"/>
        </w:rPr>
        <w:t>日，全省城市（含县城）生活垃圾无害化处理率约</w:t>
      </w:r>
      <w:r>
        <w:rPr>
          <w:rFonts w:eastAsia="方正仿宋_GBK"/>
          <w:color w:val="000000"/>
          <w:sz w:val="24"/>
        </w:rPr>
        <w:t>83%</w:t>
      </w:r>
      <w:r>
        <w:rPr>
          <w:rFonts w:hint="eastAsia" w:eastAsia="方正仿宋_GBK"/>
          <w:color w:val="000000"/>
          <w:sz w:val="24"/>
        </w:rPr>
        <w:t>，农村生活垃圾收运体系逐步建立。但是，随着我省城市化和城市现代化进程加快，人民群众环境意识的增强，对生活垃圾处理的标准和要求也不断提高，我省城乡生活垃圾处理工作面临新的形势和新的问题。《条例》总结了我省垃圾污染防治工作的经验，确定了一系列法律制度，具有很强的针对性和可操作性。各级环境卫生行政主管部门要从落实科学发展观、加快推进生态省建设、实现</w:t>
      </w:r>
      <w:r>
        <w:rPr>
          <w:rFonts w:eastAsia="方正仿宋_GBK"/>
          <w:color w:val="000000"/>
          <w:sz w:val="24"/>
        </w:rPr>
        <w:t>“</w:t>
      </w:r>
      <w:r>
        <w:rPr>
          <w:rFonts w:hint="eastAsia" w:eastAsia="方正仿宋_GBK"/>
          <w:color w:val="000000"/>
          <w:sz w:val="24"/>
        </w:rPr>
        <w:t>两个率先</w:t>
      </w:r>
      <w:r>
        <w:rPr>
          <w:rFonts w:eastAsia="方正仿宋_GBK"/>
          <w:color w:val="000000"/>
          <w:sz w:val="24"/>
        </w:rPr>
        <w:t>”</w:t>
      </w:r>
      <w:r>
        <w:rPr>
          <w:rFonts w:hint="eastAsia" w:eastAsia="方正仿宋_GBK"/>
          <w:color w:val="000000"/>
          <w:sz w:val="24"/>
        </w:rPr>
        <w:t>目标的高度，深刻认识加强城乡生活垃圾污染防治工作的重要性和紧迫性。各地要借《条例》施行之机，结合年度普法任务，掀起宣传学习《条例》的高潮。要采取多种形式向全社会宣传《条例》，让企业和广大城乡居民都知晓《条例》中有关城乡生活垃圾污染防治的主要内容，了解法律赋予的相关权利和义务。同时，要抓紧组织学习培训，将有关内容宣传到机关事业单位管理人员、执法人员和相关企业经营管理人员，形成一个宣传、学习《条例》的良好舆论环境，掌握和领会《条例》的精神实质，切实把各项法律制度落到实处。</w:t>
      </w:r>
    </w:p>
    <w:p>
      <w:pPr>
        <w:spacing w:line="460" w:lineRule="exact"/>
        <w:ind w:firstLine="480" w:firstLineChars="200"/>
        <w:jc w:val="left"/>
        <w:rPr>
          <w:rFonts w:ascii="Times New Roman" w:eastAsia="黑体"/>
          <w:color w:val="000000"/>
          <w:sz w:val="24"/>
        </w:rPr>
      </w:pPr>
      <w:r>
        <w:rPr>
          <w:rFonts w:hint="eastAsia" w:ascii="Times New Roman" w:eastAsia="黑体"/>
          <w:color w:val="000000"/>
          <w:sz w:val="24"/>
        </w:rPr>
        <w:t>二、严格执行《条例》规定的各项制度，加快推进城乡生活垃圾处理设施建设</w:t>
      </w:r>
    </w:p>
    <w:p>
      <w:pPr>
        <w:spacing w:line="460" w:lineRule="exact"/>
        <w:ind w:firstLine="480" w:firstLineChars="200"/>
        <w:jc w:val="left"/>
        <w:rPr>
          <w:rFonts w:hint="eastAsia" w:eastAsia="方正仿宋_GBK"/>
          <w:color w:val="000000"/>
          <w:sz w:val="24"/>
        </w:rPr>
      </w:pPr>
      <w:r>
        <w:rPr>
          <w:rFonts w:eastAsia="方正仿宋_GBK"/>
          <w:color w:val="000000"/>
          <w:sz w:val="24"/>
        </w:rPr>
        <w:t>1</w:t>
      </w:r>
      <w:r>
        <w:rPr>
          <w:rFonts w:hint="eastAsia" w:eastAsia="方正仿宋_GBK"/>
          <w:color w:val="000000"/>
          <w:sz w:val="24"/>
        </w:rPr>
        <w:t>、加强环境卫生专业规划编制工作，切实落实分级评审制度。各级环境卫生行政主管部门要按照规定权限和程序，会同城乡规划行政主管部门，以城市总体规划为依据，遵循城乡统筹、区域统筹、节约土地和规模化经营的原则，依照《江苏省城市环境卫生专业规划编制纲要》（苏建城〔</w:t>
      </w:r>
      <w:r>
        <w:rPr>
          <w:rFonts w:eastAsia="方正仿宋_GBK"/>
          <w:color w:val="000000"/>
          <w:sz w:val="24"/>
        </w:rPr>
        <w:t>2009</w:t>
      </w:r>
      <w:r>
        <w:rPr>
          <w:rFonts w:hint="eastAsia" w:eastAsia="方正仿宋_GBK"/>
          <w:color w:val="000000"/>
          <w:sz w:val="24"/>
        </w:rPr>
        <w:t>〕</w:t>
      </w:r>
      <w:r>
        <w:rPr>
          <w:rFonts w:eastAsia="方正仿宋_GBK"/>
          <w:color w:val="000000"/>
          <w:sz w:val="24"/>
        </w:rPr>
        <w:t>175</w:t>
      </w:r>
      <w:r>
        <w:rPr>
          <w:rFonts w:hint="eastAsia" w:eastAsia="方正仿宋_GBK"/>
          <w:color w:val="000000"/>
          <w:sz w:val="24"/>
        </w:rPr>
        <w:t>号）要求，委托具有相应资质的规划编制单位开展规划编制工作，对生活垃圾处理设施布局和规模作出具体安排。生活垃圾处理厂的选址必须符合国家有关标准，项目规划定点后，需严格控制厂址周边的建设开发，特别是居住小区项目开发活动。鼓励以建设</w:t>
      </w:r>
      <w:r>
        <w:rPr>
          <w:rFonts w:eastAsia="方正仿宋_GBK"/>
          <w:color w:val="000000"/>
          <w:sz w:val="24"/>
        </w:rPr>
        <w:t>“</w:t>
      </w:r>
      <w:r>
        <w:rPr>
          <w:rFonts w:hint="eastAsia" w:eastAsia="方正仿宋_GBK"/>
          <w:color w:val="000000"/>
          <w:sz w:val="24"/>
        </w:rPr>
        <w:t>固废处理产业园</w:t>
      </w:r>
      <w:r>
        <w:rPr>
          <w:rFonts w:eastAsia="方正仿宋_GBK"/>
          <w:color w:val="000000"/>
          <w:sz w:val="24"/>
        </w:rPr>
        <w:t>”</w:t>
      </w:r>
      <w:r>
        <w:rPr>
          <w:rFonts w:hint="eastAsia" w:eastAsia="方正仿宋_GBK"/>
          <w:color w:val="000000"/>
          <w:sz w:val="24"/>
        </w:rPr>
        <w:t>的模式，将城乡各类固废垃圾统筹布局、集中处理。全面落实城市环境卫生专业规划的分级指导与评审制度。省辖市的环境卫生专业规划须报送省住房和城乡建设厅审查通过后，报当地人民政府批准实施；县（市）的环境卫生专业规划须报送省辖市环境卫生行政主管部门审查通过后，报当地人民政府批准实施。</w:t>
      </w:r>
    </w:p>
    <w:p>
      <w:pPr>
        <w:spacing w:line="460" w:lineRule="exact"/>
        <w:ind w:firstLine="480" w:firstLineChars="200"/>
        <w:jc w:val="left"/>
        <w:rPr>
          <w:rFonts w:eastAsia="方正仿宋_GBK"/>
          <w:color w:val="000000"/>
          <w:sz w:val="24"/>
        </w:rPr>
      </w:pPr>
      <w:r>
        <w:rPr>
          <w:rFonts w:eastAsia="方正仿宋_GBK"/>
          <w:color w:val="000000"/>
          <w:sz w:val="24"/>
        </w:rPr>
        <w:t>2</w:t>
      </w:r>
      <w:r>
        <w:rPr>
          <w:rFonts w:hint="eastAsia" w:eastAsia="方正仿宋_GBK"/>
          <w:color w:val="000000"/>
          <w:sz w:val="24"/>
        </w:rPr>
        <w:t>、严格执行技术标准和基本建设程序，规范环境卫生基础设施建设。新建（含改扩建）生活垃圾处理设施必须执行国家标准规范；选用新技术、新工艺要有完整的生产性试验报告和专门的技术评估报告，并按照住房和城乡建设部有关规定要求，报请省级以上住房和建设行政主管部门组织审定。要认真开展前期研究，做好项目立项、可行性研究、环境影响评价、初步设计与施工图审查等前期准备工作。严格执行项目建设管理规定，落实项目法人制、招投标制、工程监理制、质量监督制。项目建设应选用具备相应的市政公用行业环境卫生工程设计资质、施工资质、工程监理资质和良好业绩的单位。卫生填埋项目要同步建设人工防渗、渗沥液处理、填埋气导排、环境检测等设施，同步配套相关作业设备。</w:t>
      </w:r>
    </w:p>
    <w:p>
      <w:pPr>
        <w:spacing w:line="460" w:lineRule="exact"/>
        <w:ind w:firstLine="480" w:firstLineChars="200"/>
        <w:jc w:val="left"/>
        <w:rPr>
          <w:rFonts w:eastAsia="方正仿宋_GBK"/>
          <w:color w:val="000000"/>
          <w:sz w:val="24"/>
        </w:rPr>
      </w:pPr>
      <w:r>
        <w:rPr>
          <w:rFonts w:eastAsia="方正仿宋_GBK"/>
          <w:color w:val="000000"/>
          <w:sz w:val="24"/>
        </w:rPr>
        <w:t>3</w:t>
      </w:r>
      <w:r>
        <w:rPr>
          <w:rFonts w:hint="eastAsia" w:eastAsia="方正仿宋_GBK"/>
          <w:color w:val="000000"/>
          <w:sz w:val="24"/>
        </w:rPr>
        <w:t>、合理确定垃圾处理方式，提高生活垃圾处理技术水平。各地要将科技进步放在突出位置，以国家有关生活垃圾处理的技术政策为指导，因地制宜地选择先进适用的垃圾处理技术和工艺设备。垃圾焚烧是当今世界生活垃圾处理的主流技术之一，其技术是成熟的，相比较卫生填埋和生化制肥工艺，其在节约占地、减量化、资源化等方面具有明显优势，适用于地少人多、经济较发达的地区。卫生填埋是现阶段我国生活垃圾处理的主要方式，在具备卫生填埋场地资源和自然条件的城市，应以卫生填埋作为生活垃圾处理的基本方案。尚未普及生活垃圾分类收集的地区，应审慎采用生化制肥等综合处理技术。</w:t>
      </w:r>
    </w:p>
    <w:p>
      <w:pPr>
        <w:spacing w:line="460" w:lineRule="exact"/>
        <w:ind w:firstLine="480" w:firstLineChars="200"/>
        <w:rPr>
          <w:rFonts w:eastAsia="方正仿宋_GBK"/>
          <w:color w:val="000000"/>
          <w:sz w:val="24"/>
        </w:rPr>
      </w:pPr>
      <w:r>
        <w:rPr>
          <w:rFonts w:eastAsia="方正仿宋_GBK"/>
          <w:color w:val="000000"/>
          <w:sz w:val="24"/>
        </w:rPr>
        <w:t>4</w:t>
      </w:r>
      <w:r>
        <w:rPr>
          <w:rFonts w:hint="eastAsia" w:eastAsia="方正仿宋_GBK"/>
          <w:color w:val="000000"/>
          <w:sz w:val="24"/>
        </w:rPr>
        <w:t>、加大政府投入，加快构建完善城乡统筹垃圾收运处置体系。各地要按照《条例》规定统筹规划、建设城乡生活垃圾收运体系和无害化处置设施，全面建立和完善</w:t>
      </w:r>
      <w:r>
        <w:rPr>
          <w:rFonts w:eastAsia="方正仿宋_GBK"/>
          <w:color w:val="000000"/>
          <w:sz w:val="24"/>
        </w:rPr>
        <w:t>“</w:t>
      </w:r>
      <w:r>
        <w:rPr>
          <w:rFonts w:hint="eastAsia" w:eastAsia="方正仿宋_GBK"/>
          <w:color w:val="000000"/>
          <w:sz w:val="24"/>
        </w:rPr>
        <w:t>组保洁、村收集、乡（镇）转运、县（市、区）集中处置</w:t>
      </w:r>
      <w:r>
        <w:rPr>
          <w:rFonts w:eastAsia="方正仿宋_GBK"/>
          <w:color w:val="000000"/>
          <w:sz w:val="24"/>
        </w:rPr>
        <w:t>”</w:t>
      </w:r>
      <w:r>
        <w:rPr>
          <w:rFonts w:hint="eastAsia" w:eastAsia="方正仿宋_GBK"/>
          <w:color w:val="000000"/>
          <w:sz w:val="24"/>
        </w:rPr>
        <w:t>的城乡统筹生活垃圾收运处置体系，实现城乡环境基础设施的共建共享。各地要明确城乡环境卫生的管理体制和乡镇政府职责，落实城乡环境卫生长效管理机制，加大乡镇压缩式中转站和农村垃圾箱（房）等环境卫生基础设施建设力度，市、县、镇（乡）财政要建立城乡垃圾处理分级投入保障机制，设区的市、县（市、区）政府要对农村生活垃圾清扫、收集、运输和处置给予财政补助和支持。到</w:t>
      </w:r>
      <w:r>
        <w:rPr>
          <w:rFonts w:eastAsia="方正仿宋_GBK"/>
          <w:color w:val="000000"/>
          <w:sz w:val="24"/>
        </w:rPr>
        <w:t>2012</w:t>
      </w:r>
      <w:r>
        <w:rPr>
          <w:rFonts w:hint="eastAsia" w:eastAsia="方正仿宋_GBK"/>
          <w:color w:val="000000"/>
          <w:sz w:val="24"/>
        </w:rPr>
        <w:t>年底前，要全部建成运行农村垃圾收运体系。</w:t>
      </w:r>
    </w:p>
    <w:p>
      <w:pPr>
        <w:spacing w:line="460" w:lineRule="exact"/>
        <w:ind w:firstLine="480" w:firstLineChars="200"/>
        <w:jc w:val="left"/>
        <w:rPr>
          <w:rFonts w:eastAsia="方正仿宋_GBK"/>
          <w:color w:val="000000"/>
          <w:sz w:val="24"/>
        </w:rPr>
      </w:pPr>
      <w:r>
        <w:rPr>
          <w:rFonts w:eastAsia="方正仿宋_GBK"/>
          <w:color w:val="000000"/>
          <w:sz w:val="24"/>
        </w:rPr>
        <w:t>5</w:t>
      </w:r>
      <w:r>
        <w:rPr>
          <w:rFonts w:hint="eastAsia" w:eastAsia="方正仿宋_GBK"/>
          <w:color w:val="000000"/>
          <w:sz w:val="24"/>
        </w:rPr>
        <w:t>、注重源头减量，加快推行生活垃圾分类收集。坚持源头治理，结合当地生活垃圾成份特点，选择适用的生活垃圾分类方法，制定相关管理措施，明确居民、企业以及环境卫生行政主管部门在生活垃圾分类收集的责任和义务，逐步将生活垃圾分类收集管理纳入规范化、制度化轨道。倡导净菜上市、文明用餐，减少餐厨垃圾的产生量；加强餐厨垃圾的单独收集、贮存、运输系统建设，推进餐厨垃圾综合利用。因地制宜地选择城市主要干道、重点地区深入开展生活垃圾分类收集试点工作；联合有关部门大力推进生活垃圾资源再生利用工作，依托社区建立健全回收网络，鼓励开展对废纸、废金属、废塑料等回收利用。采取生活垃圾焚烧处理的，要采取措施剔除含氯塑料，减少焚烧产生的有毒有害气体。农村地区要推行生活垃圾</w:t>
      </w:r>
      <w:r>
        <w:rPr>
          <w:rFonts w:eastAsia="方正仿宋_GBK"/>
          <w:color w:val="000000"/>
          <w:sz w:val="24"/>
        </w:rPr>
        <w:t>“</w:t>
      </w:r>
      <w:r>
        <w:rPr>
          <w:rFonts w:hint="eastAsia" w:eastAsia="方正仿宋_GBK"/>
          <w:color w:val="000000"/>
          <w:sz w:val="24"/>
        </w:rPr>
        <w:t>户分类</w:t>
      </w:r>
      <w:r>
        <w:rPr>
          <w:rFonts w:eastAsia="方正仿宋_GBK"/>
          <w:color w:val="000000"/>
          <w:sz w:val="24"/>
        </w:rPr>
        <w:t>”</w:t>
      </w:r>
      <w:r>
        <w:rPr>
          <w:rFonts w:hint="eastAsia" w:eastAsia="方正仿宋_GBK"/>
          <w:color w:val="000000"/>
          <w:sz w:val="24"/>
        </w:rPr>
        <w:t>与源头减量试点工作，倡导有机垃圾回田。鼓励建筑垃圾的综合利用。</w:t>
      </w:r>
    </w:p>
    <w:p>
      <w:pPr>
        <w:spacing w:line="460" w:lineRule="exact"/>
        <w:ind w:firstLine="480" w:firstLineChars="200"/>
        <w:jc w:val="left"/>
        <w:rPr>
          <w:rFonts w:eastAsia="方正仿宋_GBK"/>
          <w:color w:val="000000"/>
          <w:sz w:val="24"/>
        </w:rPr>
      </w:pPr>
      <w:r>
        <w:rPr>
          <w:rFonts w:eastAsia="方正仿宋_GBK"/>
          <w:color w:val="000000"/>
          <w:sz w:val="24"/>
        </w:rPr>
        <w:t>6</w:t>
      </w:r>
      <w:r>
        <w:rPr>
          <w:rFonts w:hint="eastAsia" w:eastAsia="方正仿宋_GBK"/>
          <w:color w:val="000000"/>
          <w:sz w:val="24"/>
        </w:rPr>
        <w:t>、坚持政府投入与市场化并重的原则，加快推进生活垃圾处理设施建设。各地要把环境卫生事业纳入国民经济和社会发展计划，建立健全公共财政为基础的多元化投入机制。要按照《江苏省城市生活垃圾处理收费管理暂行办法》要求，创新生活垃圾处理收费方式，加大征收力度，推进在水费中同步收取生活垃圾处理费的试点面，不断提高生活垃圾处理费的收缴率。同时，进一步完善市场准入机制，打破行业、地域和所有制限制，鼓励不同经济成份和各类投资主体，以独资、合资、</w:t>
      </w:r>
      <w:r>
        <w:rPr>
          <w:rFonts w:eastAsia="方正仿宋_GBK"/>
          <w:color w:val="000000"/>
          <w:sz w:val="24"/>
        </w:rPr>
        <w:t>BOT</w:t>
      </w:r>
      <w:r>
        <w:rPr>
          <w:rFonts w:hint="eastAsia" w:eastAsia="方正仿宋_GBK"/>
          <w:color w:val="000000"/>
          <w:sz w:val="24"/>
        </w:rPr>
        <w:t>等形式参与生活垃圾处理设施的建设。生活垃圾处理设施尚未达标的县（市），应立足于新填埋库区的规范建设与老库区整治相结合，加快实施达标改造，尽快实现无害化处理目标。</w:t>
      </w:r>
    </w:p>
    <w:p>
      <w:pPr>
        <w:spacing w:line="460" w:lineRule="exact"/>
        <w:ind w:firstLine="480" w:firstLineChars="200"/>
        <w:jc w:val="left"/>
        <w:rPr>
          <w:rFonts w:ascii="Times New Roman" w:eastAsia="黑体"/>
          <w:color w:val="000000"/>
          <w:sz w:val="24"/>
        </w:rPr>
      </w:pPr>
      <w:r>
        <w:rPr>
          <w:rFonts w:hint="eastAsia" w:ascii="Times New Roman" w:eastAsia="黑体"/>
          <w:color w:val="000000"/>
          <w:sz w:val="24"/>
        </w:rPr>
        <w:t>三、加强监督管理，提高城乡生活垃圾处理处置水平</w:t>
      </w:r>
    </w:p>
    <w:p>
      <w:pPr>
        <w:spacing w:line="460" w:lineRule="exact"/>
        <w:ind w:firstLine="480" w:firstLineChars="200"/>
        <w:jc w:val="left"/>
        <w:rPr>
          <w:rFonts w:hint="eastAsia" w:eastAsia="方正仿宋_GBK"/>
          <w:color w:val="000000"/>
          <w:sz w:val="24"/>
        </w:rPr>
      </w:pPr>
      <w:r>
        <w:rPr>
          <w:rFonts w:eastAsia="方正仿宋_GBK"/>
          <w:color w:val="000000"/>
          <w:sz w:val="24"/>
        </w:rPr>
        <w:t>1</w:t>
      </w:r>
      <w:r>
        <w:rPr>
          <w:rFonts w:hint="eastAsia" w:eastAsia="方正仿宋_GBK"/>
          <w:color w:val="000000"/>
          <w:sz w:val="24"/>
        </w:rPr>
        <w:t>、严格行政许可，进一步规范垃圾收集处置管理行为。全面落实生活垃圾经营性清扫、收集、运输以及处置服务许可证制度。各地要按照行政许可法的规定，对许可的依据、条件、材料要求、以及办理程序等予以公示，努力提高行政效率和服务水平。县级以上城市从事生活垃圾经营性清扫、收集、运输以及处置服务的单位，应当按照规定向当地城市环境卫生行政主管部门申请领取</w:t>
      </w:r>
      <w:r>
        <w:rPr>
          <w:rFonts w:eastAsia="方正仿宋_GBK"/>
          <w:color w:val="000000"/>
          <w:sz w:val="24"/>
        </w:rPr>
        <w:t>“</w:t>
      </w:r>
      <w:r>
        <w:rPr>
          <w:rFonts w:hint="eastAsia" w:eastAsia="方正仿宋_GBK"/>
          <w:color w:val="000000"/>
          <w:sz w:val="24"/>
        </w:rPr>
        <w:t>城市生活垃圾经营性清扫、收集、运输服务许可证以及城市生活垃圾经营性处置服务许可证</w:t>
      </w:r>
      <w:r>
        <w:rPr>
          <w:rFonts w:eastAsia="方正仿宋_GBK"/>
          <w:color w:val="000000"/>
          <w:sz w:val="24"/>
        </w:rPr>
        <w:t>”</w:t>
      </w:r>
      <w:r>
        <w:rPr>
          <w:rFonts w:hint="eastAsia" w:eastAsia="方正仿宋_GBK"/>
          <w:color w:val="000000"/>
          <w:sz w:val="24"/>
        </w:rPr>
        <w:t>。许可证由国务院建设主管部门统一规定格式，省级政府建设主管部门统一印刷。</w:t>
      </w:r>
    </w:p>
    <w:p>
      <w:pPr>
        <w:spacing w:line="460" w:lineRule="exact"/>
        <w:ind w:firstLine="480" w:firstLineChars="200"/>
        <w:jc w:val="left"/>
        <w:rPr>
          <w:rFonts w:eastAsia="方正仿宋_GBK"/>
          <w:color w:val="000000"/>
          <w:sz w:val="24"/>
        </w:rPr>
      </w:pPr>
      <w:r>
        <w:rPr>
          <w:rFonts w:eastAsia="方正仿宋_GBK"/>
          <w:color w:val="000000"/>
          <w:sz w:val="24"/>
        </w:rPr>
        <w:t>2</w:t>
      </w:r>
      <w:r>
        <w:rPr>
          <w:rFonts w:hint="eastAsia" w:eastAsia="方正仿宋_GBK"/>
          <w:color w:val="000000"/>
          <w:sz w:val="24"/>
        </w:rPr>
        <w:t>、加强建筑垃圾管理，防止运输和处置过程中的二次污染。严格落实建筑垃圾处置行政许可制度。建设单位需要处置建筑垃圾的，应当按照规定在工程开工前向当地环境卫生行政主管部门申请办理建筑垃圾处置核准手续，建筑垃圾消纳场地设置应当经当地环境卫生行政主管部门批准并与公布。加强建筑施工现场管理，施工单位要做好施工现场出入口地面硬化工作，设置清洗设施、设备清洗出场车辆。加强建筑垃圾运输管理，运输单位应当采用密闭式运输工具，按照规定的时间和线路运送到指定的消纳场地。城市环境卫生行政主管部门要积极会同公安等部门加大监管力度，查处超载超速运输、乱倾乱倒以及不按规定线路行驶等行为，防止环境污染，维护良好的市容和交通秩序。</w:t>
      </w:r>
    </w:p>
    <w:p>
      <w:pPr>
        <w:spacing w:line="460" w:lineRule="exact"/>
        <w:ind w:firstLine="480" w:firstLineChars="200"/>
        <w:jc w:val="left"/>
        <w:rPr>
          <w:rFonts w:eastAsia="方正仿宋_GBK"/>
          <w:color w:val="000000"/>
          <w:sz w:val="24"/>
        </w:rPr>
      </w:pPr>
      <w:r>
        <w:rPr>
          <w:rFonts w:eastAsia="方正仿宋_GBK"/>
          <w:color w:val="000000"/>
          <w:sz w:val="24"/>
        </w:rPr>
        <w:t>3</w:t>
      </w:r>
      <w:r>
        <w:rPr>
          <w:rFonts w:hint="eastAsia" w:eastAsia="方正仿宋_GBK"/>
          <w:color w:val="000000"/>
          <w:sz w:val="24"/>
        </w:rPr>
        <w:t>、严格实行无害化等级评定制度，充分发挥生活垃圾处理设施的环境效益。</w:t>
      </w:r>
    </w:p>
    <w:p>
      <w:pPr>
        <w:spacing w:line="460" w:lineRule="exact"/>
        <w:ind w:firstLine="480" w:firstLineChars="200"/>
        <w:jc w:val="left"/>
        <w:rPr>
          <w:rFonts w:eastAsia="方正仿宋_GBK"/>
          <w:color w:val="000000"/>
          <w:sz w:val="24"/>
        </w:rPr>
      </w:pPr>
      <w:r>
        <w:rPr>
          <w:rFonts w:hint="eastAsia" w:eastAsia="方正仿宋_GBK"/>
          <w:color w:val="000000"/>
          <w:sz w:val="24"/>
        </w:rPr>
        <w:t>生活垃圾处理设施工程竣工后，建设单位应组织设计、施工、监理等有关单位进行竣工验收，项目不经验收，不得投入运营。生活垃圾处理设施运行单位，要严格按照国家和省有关要求，规范设施运行管理，充分发挥处理设施的环境效益。各地新建（含改扩建）的生活垃圾处理场（厂）在持续稳定运行</w:t>
      </w:r>
      <w:r>
        <w:rPr>
          <w:rFonts w:eastAsia="方正仿宋_GBK"/>
          <w:color w:val="000000"/>
          <w:sz w:val="24"/>
        </w:rPr>
        <w:t>6</w:t>
      </w:r>
      <w:r>
        <w:rPr>
          <w:rFonts w:hint="eastAsia" w:eastAsia="方正仿宋_GBK"/>
          <w:color w:val="000000"/>
          <w:sz w:val="24"/>
        </w:rPr>
        <w:t>个月后，应向省住房和城乡建设厅申报无害化等级认定。</w:t>
      </w:r>
    </w:p>
    <w:p>
      <w:pPr>
        <w:spacing w:line="460" w:lineRule="exact"/>
        <w:ind w:firstLine="480" w:firstLineChars="200"/>
        <w:jc w:val="left"/>
        <w:rPr>
          <w:rFonts w:eastAsia="方正仿宋_GBK"/>
          <w:color w:val="000000"/>
          <w:sz w:val="24"/>
        </w:rPr>
      </w:pPr>
      <w:r>
        <w:rPr>
          <w:rFonts w:eastAsia="方正仿宋_GBK"/>
          <w:color w:val="000000"/>
          <w:sz w:val="24"/>
        </w:rPr>
        <w:t>4</w:t>
      </w:r>
      <w:r>
        <w:rPr>
          <w:rFonts w:hint="eastAsia" w:eastAsia="方正仿宋_GBK"/>
          <w:color w:val="000000"/>
          <w:sz w:val="24"/>
        </w:rPr>
        <w:t>、强化运行管理，保障生活垃圾处理设施稳定达标运行。省住房和城乡建设厅将依照国家标准规范，制定城市生活垃圾处理设施运行管理考核标准，并组织对生活垃圾处理设施建设和运营管理情况进行检查考核。各地要抓紧制定和完善各项管理制度，强化政府监管与考核。生活垃圾填埋场要落实称重计量、日覆盖、场区消杀、渗沥液处理、环境监测等管理制度。要强化对垃圾焚烧厂运行的监管，逐步将生活垃圾焚烧过程中产生的主要污染物排放情况纳入在线检测，并通过检测炉膛温度、适当增加对二恶英检测频次等辅助手段，实现主要污染物排放指标的实时监控，确保达标排放。要强化已关闭垃圾填埋场的后续监管，定期做好环境与安全等监测工作；鼓励有条件的城市实施规范化封场工作。</w:t>
      </w:r>
    </w:p>
    <w:p>
      <w:pPr>
        <w:spacing w:line="460" w:lineRule="exact"/>
        <w:ind w:firstLine="480" w:firstLineChars="200"/>
        <w:jc w:val="left"/>
        <w:rPr>
          <w:rFonts w:eastAsia="方正仿宋_GBK"/>
          <w:color w:val="000000"/>
          <w:sz w:val="24"/>
        </w:rPr>
      </w:pPr>
      <w:r>
        <w:rPr>
          <w:rFonts w:hint="eastAsia" w:eastAsia="方正仿宋_GBK"/>
          <w:color w:val="000000"/>
          <w:sz w:val="24"/>
        </w:rPr>
        <w:t>各地要认真落实生活垃圾处理信息填报制度，提高填报数据的准确性、及时性和完整性，充分利用信息化等技术手段，强化政府对生活垃圾治理全过程的监督管理。城市环境卫生行政主管部门和从事生活垃圾清扫、收集、运输和处置的单位，要分别制定生活垃圾清扫、收集、运输和处置应急预案，建立应急响应体系，保障社会公众利益，维护城市正常的秩序。</w:t>
      </w:r>
    </w:p>
    <w:p>
      <w:pPr>
        <w:spacing w:line="460" w:lineRule="exact"/>
        <w:ind w:firstLine="480" w:firstLineChars="200"/>
        <w:jc w:val="left"/>
        <w:rPr>
          <w:rFonts w:eastAsia="方正仿宋_GBK"/>
          <w:color w:val="000000"/>
          <w:sz w:val="24"/>
        </w:rPr>
      </w:pPr>
    </w:p>
    <w:p>
      <w:pPr>
        <w:spacing w:line="460" w:lineRule="exact"/>
        <w:ind w:right="598" w:rightChars="285" w:firstLine="480" w:firstLineChars="200"/>
        <w:jc w:val="right"/>
        <w:rPr>
          <w:rFonts w:eastAsia="方正仿宋_GBK"/>
          <w:color w:val="000000"/>
          <w:sz w:val="24"/>
        </w:rPr>
      </w:pPr>
      <w:r>
        <w:rPr>
          <w:rFonts w:hint="eastAsia" w:eastAsia="方正仿宋_GBK"/>
          <w:color w:val="000000"/>
          <w:sz w:val="24"/>
        </w:rPr>
        <w:t>江苏省住房和城乡建设厅</w:t>
      </w:r>
    </w:p>
    <w:p>
      <w:pPr>
        <w:spacing w:line="460" w:lineRule="exact"/>
        <w:ind w:firstLine="5731" w:firstLineChars="2388"/>
        <w:jc w:val="left"/>
        <w:rPr>
          <w:rFonts w:eastAsia="方正仿宋_GBK"/>
          <w:color w:val="000000"/>
          <w:sz w:val="24"/>
        </w:rPr>
      </w:pPr>
      <w:r>
        <w:rPr>
          <w:rFonts w:hint="eastAsia" w:eastAsia="方正仿宋_GBK"/>
          <w:color w:val="000000"/>
          <w:sz w:val="24"/>
        </w:rPr>
        <w:t>二</w:t>
      </w:r>
      <w:r>
        <w:rPr>
          <w:rFonts w:hint="eastAsia" w:ascii="Times New Roman" w:hAnsi="Times New Roman"/>
          <w:color w:val="000000"/>
          <w:sz w:val="24"/>
        </w:rPr>
        <w:t>○</w:t>
      </w:r>
      <w:r>
        <w:rPr>
          <w:rFonts w:hint="eastAsia" w:eastAsia="方正仿宋_GBK"/>
          <w:color w:val="000000"/>
          <w:sz w:val="24"/>
        </w:rPr>
        <w:t>一</w:t>
      </w:r>
      <w:r>
        <w:rPr>
          <w:rFonts w:hint="eastAsia" w:ascii="Times New Roman" w:hAnsi="Times New Roman"/>
          <w:color w:val="000000"/>
          <w:sz w:val="24"/>
        </w:rPr>
        <w:t>○</w:t>
      </w:r>
      <w:r>
        <w:rPr>
          <w:rFonts w:hint="eastAsia" w:eastAsia="方正仿宋_GBK"/>
          <w:color w:val="000000"/>
          <w:sz w:val="24"/>
        </w:rPr>
        <w:t>年三月一日</w:t>
      </w:r>
    </w:p>
    <w:p>
      <w:pPr>
        <w:spacing w:line="460" w:lineRule="exact"/>
        <w:jc w:val="left"/>
        <w:rPr>
          <w:rFonts w:eastAsia="方正仿宋_GBK"/>
          <w:color w:val="000000"/>
          <w:sz w:val="24"/>
        </w:rPr>
      </w:pPr>
    </w:p>
    <w:p>
      <w:pPr>
        <w:spacing w:line="560" w:lineRule="exact"/>
        <w:rPr>
          <w:rFonts w:eastAsia="方正仿宋_GBK"/>
          <w:color w:val="000000"/>
          <w:spacing w:val="-2"/>
          <w:sz w:val="32"/>
          <w:szCs w:val="32"/>
        </w:rPr>
      </w:pPr>
    </w:p>
    <w:p>
      <w:pPr>
        <w:spacing w:line="460" w:lineRule="exact"/>
        <w:jc w:val="center"/>
        <w:rPr>
          <w:rFonts w:ascii="Times New Roman" w:eastAsia="方正小标宋简体"/>
          <w:color w:val="000000"/>
          <w:sz w:val="36"/>
          <w:szCs w:val="36"/>
        </w:rPr>
      </w:pPr>
      <w:r>
        <w:rPr>
          <w:rFonts w:eastAsia="方正仿宋_GBK"/>
          <w:color w:val="000000"/>
          <w:spacing w:val="-2"/>
          <w:sz w:val="32"/>
          <w:szCs w:val="32"/>
        </w:rPr>
        <w:br w:type="column"/>
      </w:r>
    </w:p>
    <w:p>
      <w:pPr>
        <w:pStyle w:val="2"/>
        <w:spacing w:before="240" w:beforeLines="100" w:after="240" w:afterLines="100" w:line="240" w:lineRule="auto"/>
        <w:jc w:val="center"/>
        <w:rPr>
          <w:rFonts w:hint="eastAsia" w:ascii="Times New Roman" w:eastAsia="方正小标宋_GBK"/>
          <w:b w:val="0"/>
          <w:sz w:val="36"/>
          <w:szCs w:val="36"/>
        </w:rPr>
      </w:pPr>
      <w:bookmarkStart w:id="162" w:name="_Toc20726646"/>
      <w:bookmarkStart w:id="163" w:name="_Toc18315787"/>
      <w:r>
        <w:rPr>
          <w:rFonts w:hint="eastAsia" w:ascii="Times New Roman" w:eastAsia="方正小标宋_GBK"/>
          <w:b w:val="0"/>
          <w:sz w:val="36"/>
          <w:szCs w:val="36"/>
        </w:rPr>
        <w:t>关于进一步加强建筑垃圾和工程渣土运输处置       管理工作的意见</w:t>
      </w:r>
      <w:bookmarkEnd w:id="162"/>
      <w:bookmarkEnd w:id="163"/>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64" w:name="_Toc20726647"/>
      <w:bookmarkStart w:id="165" w:name="_Toc18315788"/>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2012</w:t>
      </w:r>
      <w:r>
        <w:rPr>
          <w:rFonts w:hint="eastAsia" w:ascii="Times New Roman" w:hAnsi="Times New Roman" w:eastAsia="方正楷体_GBK"/>
          <w:b w:val="0"/>
          <w:sz w:val="24"/>
          <w:szCs w:val="24"/>
        </w:rPr>
        <w:t>〕</w:t>
      </w:r>
      <w:r>
        <w:rPr>
          <w:rFonts w:ascii="Times New Roman" w:hAnsi="Times New Roman" w:eastAsia="方正楷体_GBK"/>
          <w:b w:val="0"/>
          <w:sz w:val="24"/>
          <w:szCs w:val="24"/>
        </w:rPr>
        <w:t>1</w:t>
      </w:r>
      <w:r>
        <w:rPr>
          <w:rFonts w:hint="eastAsia" w:ascii="Times New Roman" w:hAnsi="Times New Roman" w:eastAsia="方正楷体_GBK"/>
          <w:b w:val="0"/>
          <w:sz w:val="24"/>
          <w:szCs w:val="24"/>
        </w:rPr>
        <w:t>号</w:t>
      </w:r>
      <w:bookmarkEnd w:id="164"/>
      <w:bookmarkEnd w:id="165"/>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为进一步规范全省建筑垃圾和工程渣土（以下统称</w:t>
      </w:r>
      <w:r>
        <w:rPr>
          <w:rFonts w:eastAsia="方正仿宋_GBK"/>
          <w:color w:val="000000"/>
          <w:spacing w:val="-2"/>
          <w:sz w:val="24"/>
        </w:rPr>
        <w:t>“</w:t>
      </w:r>
      <w:r>
        <w:rPr>
          <w:rFonts w:hint="eastAsia" w:eastAsia="方正仿宋_GBK"/>
          <w:color w:val="000000"/>
          <w:spacing w:val="-2"/>
          <w:sz w:val="24"/>
        </w:rPr>
        <w:t>建筑渣土</w:t>
      </w:r>
      <w:r>
        <w:rPr>
          <w:rFonts w:eastAsia="方正仿宋_GBK"/>
          <w:color w:val="000000"/>
          <w:spacing w:val="-2"/>
          <w:sz w:val="24"/>
        </w:rPr>
        <w:t>”</w:t>
      </w:r>
      <w:r>
        <w:rPr>
          <w:rFonts w:hint="eastAsia" w:eastAsia="方正仿宋_GBK"/>
          <w:color w:val="000000"/>
          <w:spacing w:val="-2"/>
          <w:sz w:val="24"/>
        </w:rPr>
        <w:t>）运输处置秩序，巩固和发展建筑渣土运输车辆百日集中整治行动成果，改善城市容貌、环境卫生和交通秩序，推进城乡文明建设，根据《固体废弃物污染环境防治法》、《道路交通安全法》、《城市市容和环境卫生管理条例》、《城市建筑垃圾管理规定》和我省有关法律法规，现就加强全省建筑渣土运输处置管理提出如下意见。</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一、充分认识加强建筑渣土运输处置管理工作的重要意义</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近年来，伴随着城市化进程的加速，建设项目和建筑工地逐步增多，建筑渣土及各类工程材料运输需求及处置数量日益增加，涉及建筑渣土运输车辆的交通事故较为突出。应该看到，建筑渣土运输处置市场在快速发展的同时，也带来了建筑渣土运输处置污染环境、危害人民群众生命财产安全等问题，社会各界对此十分关注。加强建筑渣土统一运输处置、规范管理，是贯彻科学发展观、加快实现</w:t>
      </w:r>
      <w:r>
        <w:rPr>
          <w:rFonts w:eastAsia="方正仿宋_GBK"/>
          <w:color w:val="000000"/>
          <w:spacing w:val="-2"/>
          <w:sz w:val="24"/>
        </w:rPr>
        <w:t>“</w:t>
      </w:r>
      <w:r>
        <w:rPr>
          <w:rFonts w:hint="eastAsia" w:eastAsia="方正仿宋_GBK"/>
          <w:color w:val="000000"/>
          <w:spacing w:val="-2"/>
          <w:sz w:val="24"/>
        </w:rPr>
        <w:t>两个率先</w:t>
      </w:r>
      <w:r>
        <w:rPr>
          <w:rFonts w:eastAsia="方正仿宋_GBK"/>
          <w:color w:val="000000"/>
          <w:spacing w:val="-2"/>
          <w:sz w:val="24"/>
        </w:rPr>
        <w:t>”</w:t>
      </w:r>
      <w:r>
        <w:rPr>
          <w:rFonts w:hint="eastAsia" w:eastAsia="方正仿宋_GBK"/>
          <w:color w:val="000000"/>
          <w:spacing w:val="-2"/>
          <w:sz w:val="24"/>
        </w:rPr>
        <w:t>的现实需要，是改善人居环境、提升生态文明的具体体现，是坚持依法行政、构建和谐社会的重要举措。强化建筑渣土运输处置管理，对于推进生态文明建设，保障道路交通安全，营造安全整洁优美舒适的宜居环境有着重要作用。各地要按照省委、省政府提出的全面贯彻</w:t>
      </w:r>
      <w:r>
        <w:rPr>
          <w:rFonts w:eastAsia="方正仿宋_GBK"/>
          <w:color w:val="000000"/>
          <w:spacing w:val="-2"/>
          <w:sz w:val="24"/>
        </w:rPr>
        <w:t>“</w:t>
      </w:r>
      <w:r>
        <w:rPr>
          <w:rFonts w:hint="eastAsia" w:eastAsia="方正仿宋_GBK"/>
          <w:color w:val="000000"/>
          <w:spacing w:val="-2"/>
          <w:sz w:val="24"/>
        </w:rPr>
        <w:t>六个注重</w:t>
      </w:r>
      <w:r>
        <w:rPr>
          <w:rFonts w:eastAsia="方正仿宋_GBK"/>
          <w:color w:val="000000"/>
          <w:spacing w:val="-2"/>
          <w:sz w:val="24"/>
        </w:rPr>
        <w:t>”</w:t>
      </w:r>
      <w:r>
        <w:rPr>
          <w:rFonts w:hint="eastAsia" w:eastAsia="方正仿宋_GBK"/>
          <w:color w:val="000000"/>
          <w:spacing w:val="-2"/>
          <w:sz w:val="24"/>
        </w:rPr>
        <w:t>、全力实施</w:t>
      </w:r>
      <w:r>
        <w:rPr>
          <w:rFonts w:eastAsia="方正仿宋_GBK"/>
          <w:color w:val="000000"/>
          <w:spacing w:val="-2"/>
          <w:sz w:val="24"/>
        </w:rPr>
        <w:t>“</w:t>
      </w:r>
      <w:r>
        <w:rPr>
          <w:rFonts w:hint="eastAsia" w:eastAsia="方正仿宋_GBK"/>
          <w:color w:val="000000"/>
          <w:spacing w:val="-2"/>
          <w:sz w:val="24"/>
        </w:rPr>
        <w:t>八项工程</w:t>
      </w:r>
      <w:r>
        <w:rPr>
          <w:rFonts w:eastAsia="方正仿宋_GBK"/>
          <w:color w:val="000000"/>
          <w:spacing w:val="-2"/>
          <w:sz w:val="24"/>
        </w:rPr>
        <w:t>”</w:t>
      </w:r>
      <w:r>
        <w:rPr>
          <w:rFonts w:hint="eastAsia" w:eastAsia="方正仿宋_GBK"/>
          <w:color w:val="000000"/>
          <w:spacing w:val="-2"/>
          <w:sz w:val="24"/>
        </w:rPr>
        <w:t>、又好又快推进</w:t>
      </w:r>
      <w:r>
        <w:rPr>
          <w:rFonts w:eastAsia="方正仿宋_GBK"/>
          <w:color w:val="000000"/>
          <w:spacing w:val="-2"/>
          <w:sz w:val="24"/>
        </w:rPr>
        <w:t>“</w:t>
      </w:r>
      <w:r>
        <w:rPr>
          <w:rFonts w:hint="eastAsia" w:eastAsia="方正仿宋_GBK"/>
          <w:color w:val="000000"/>
          <w:spacing w:val="-2"/>
          <w:sz w:val="24"/>
        </w:rPr>
        <w:t>两个率先</w:t>
      </w:r>
      <w:r>
        <w:rPr>
          <w:rFonts w:eastAsia="方正仿宋_GBK"/>
          <w:color w:val="000000"/>
          <w:spacing w:val="-2"/>
          <w:sz w:val="24"/>
        </w:rPr>
        <w:t>”</w:t>
      </w:r>
      <w:r>
        <w:rPr>
          <w:rFonts w:hint="eastAsia" w:eastAsia="方正仿宋_GBK"/>
          <w:color w:val="000000"/>
          <w:spacing w:val="-2"/>
          <w:sz w:val="24"/>
        </w:rPr>
        <w:t>的重大战略部署，进一步统一思想，提高认识，积极配合，落实分工，齐抓共管，推进全省建筑渣土运输处置管理工作步入法制化、规范化、长效化轨道。</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二、明确建筑渣土运输处置管理工作的总体要求</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今后一个时期，全省建筑渣土运输处置管理工作的总体思路是：以科学发展观为统领，以解决建筑渣土运输处置管理中突出问题为重点，坚持</w:t>
      </w:r>
      <w:r>
        <w:rPr>
          <w:rFonts w:eastAsia="方正仿宋_GBK"/>
          <w:color w:val="000000"/>
          <w:spacing w:val="-2"/>
          <w:sz w:val="24"/>
        </w:rPr>
        <w:t>“</w:t>
      </w:r>
      <w:r>
        <w:rPr>
          <w:rFonts w:hint="eastAsia" w:eastAsia="方正仿宋_GBK"/>
          <w:color w:val="000000"/>
          <w:spacing w:val="-2"/>
          <w:sz w:val="24"/>
        </w:rPr>
        <w:t>规划引导、科学定点，统一管理、分级处置，合理收费、规范运输</w:t>
      </w:r>
      <w:r>
        <w:rPr>
          <w:rFonts w:eastAsia="方正仿宋_GBK"/>
          <w:color w:val="000000"/>
          <w:spacing w:val="-2"/>
          <w:sz w:val="24"/>
        </w:rPr>
        <w:t>”</w:t>
      </w:r>
      <w:r>
        <w:rPr>
          <w:rFonts w:hint="eastAsia" w:eastAsia="方正仿宋_GBK"/>
          <w:color w:val="000000"/>
          <w:spacing w:val="-2"/>
          <w:sz w:val="24"/>
        </w:rPr>
        <w:t>的工作思路，遵循源头减量化、运输规范化、处置资源化和谁产生、谁承担处理责任的原则，着力构建布局合理、设置规范、能力充足、循环利用的处理体系和政府主导、社会参与、行业管理、属地负责的管理体系，全面提升建筑渣土运输处置管理水平，为加快推进生态省建设、实现</w:t>
      </w:r>
      <w:r>
        <w:rPr>
          <w:rFonts w:eastAsia="方正仿宋_GBK"/>
          <w:color w:val="000000"/>
          <w:spacing w:val="-2"/>
          <w:sz w:val="24"/>
        </w:rPr>
        <w:t>“</w:t>
      </w:r>
      <w:r>
        <w:rPr>
          <w:rFonts w:hint="eastAsia" w:eastAsia="方正仿宋_GBK"/>
          <w:color w:val="000000"/>
          <w:spacing w:val="-2"/>
          <w:sz w:val="24"/>
        </w:rPr>
        <w:t>两个率先</w:t>
      </w:r>
      <w:r>
        <w:rPr>
          <w:rFonts w:eastAsia="方正仿宋_GBK"/>
          <w:color w:val="000000"/>
          <w:spacing w:val="-2"/>
          <w:sz w:val="24"/>
        </w:rPr>
        <w:t>”</w:t>
      </w:r>
      <w:r>
        <w:rPr>
          <w:rFonts w:hint="eastAsia" w:eastAsia="方正仿宋_GBK"/>
          <w:color w:val="000000"/>
          <w:spacing w:val="-2"/>
          <w:sz w:val="24"/>
        </w:rPr>
        <w:t>提供良好的城市交通秩序和市容环境保障。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全省建筑渣土运输处置管理工作的基本原则：</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w:t>
      </w:r>
      <w:r>
        <w:rPr>
          <w:rFonts w:hint="eastAsia" w:eastAsia="方正仿宋_GBK"/>
          <w:color w:val="000000"/>
          <w:spacing w:val="-2"/>
          <w:kern w:val="0"/>
          <w:sz w:val="24"/>
        </w:rPr>
        <w:t>坚持属地管理、条块结合原则。通过强化组织领导、明确目标责任等方式，形成统一领导、属地管理、条块结合、齐抓共管的运行管理机制。</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w:t>
      </w:r>
      <w:r>
        <w:rPr>
          <w:rFonts w:hint="eastAsia" w:eastAsia="方正仿宋_GBK"/>
          <w:color w:val="000000"/>
          <w:spacing w:val="-2"/>
          <w:kern w:val="0"/>
          <w:sz w:val="24"/>
        </w:rPr>
        <w:t>坚持重点突出、注重效果原则。结合当前建筑渣土运输处置工作的热点、难点问题，着力破解建筑渣土处置场所规划建设、运输处置价格核</w:t>
      </w:r>
      <w:r>
        <w:rPr>
          <w:rFonts w:hint="eastAsia" w:eastAsia="方正仿宋_GBK"/>
          <w:color w:val="000000"/>
          <w:spacing w:val="-2"/>
          <w:sz w:val="24"/>
        </w:rPr>
        <w:t>准、落实企业安全责任等关</w:t>
      </w:r>
      <w:r>
        <w:rPr>
          <w:rFonts w:hint="eastAsia" w:eastAsia="方正仿宋_GBK"/>
          <w:color w:val="000000"/>
          <w:spacing w:val="-2"/>
          <w:kern w:val="0"/>
          <w:sz w:val="24"/>
        </w:rPr>
        <w:t>键问题，提高运输处置工作的整体成效。</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w:t>
      </w:r>
      <w:r>
        <w:rPr>
          <w:rFonts w:hint="eastAsia" w:eastAsia="方正仿宋_GBK"/>
          <w:color w:val="000000"/>
          <w:spacing w:val="-2"/>
          <w:kern w:val="0"/>
          <w:sz w:val="24"/>
        </w:rPr>
        <w:t>坚持控源减量、利用为先原则。切实加强源头管理，综合运用经济、技术等手段消减建筑渣土产生量，积极引导和鼓励建筑渣土的综合处理和资源化利用。</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kern w:val="0"/>
          <w:sz w:val="24"/>
        </w:rPr>
        <w:t>坚持严格执法、常态管控原则。</w:t>
      </w:r>
      <w:r>
        <w:rPr>
          <w:rFonts w:hint="eastAsia" w:eastAsia="方正仿宋_GBK"/>
          <w:color w:val="000000"/>
          <w:spacing w:val="-2"/>
          <w:sz w:val="24"/>
        </w:rPr>
        <w:t>强化建筑渣土运输处置的日常管理，实行多部门联合执法，保持对建筑渣土运输处置违法违规行为的严管态势。</w:t>
      </w:r>
    </w:p>
    <w:p>
      <w:pPr>
        <w:spacing w:line="460" w:lineRule="exact"/>
        <w:ind w:firstLine="472" w:firstLineChars="200"/>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坚持督促检查、落实长效原则。按照相关法律、法规</w:t>
      </w:r>
      <w:r>
        <w:rPr>
          <w:rFonts w:eastAsia="方正仿宋_GBK"/>
          <w:color w:val="000000"/>
          <w:spacing w:val="-2"/>
          <w:kern w:val="0"/>
          <w:sz w:val="24"/>
        </w:rPr>
        <w:t>,</w:t>
      </w:r>
      <w:r>
        <w:rPr>
          <w:rFonts w:hint="eastAsia" w:eastAsia="方正仿宋_GBK"/>
          <w:color w:val="000000"/>
          <w:spacing w:val="-2"/>
          <w:kern w:val="0"/>
          <w:sz w:val="24"/>
        </w:rPr>
        <w:t>细化建筑渣土运输处置工作目标，完善监督考核办法和奖惩措施，确保责任到位、措施到位、监管到位。</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全省建筑渣土运输处置管理工作的目标任务是：</w:t>
      </w:r>
      <w:r>
        <w:rPr>
          <w:rFonts w:eastAsia="方正仿宋_GBK"/>
          <w:color w:val="000000"/>
          <w:spacing w:val="-2"/>
          <w:sz w:val="24"/>
        </w:rPr>
        <w:t>“</w:t>
      </w:r>
      <w:r>
        <w:rPr>
          <w:rFonts w:hint="eastAsia" w:eastAsia="方正仿宋_GBK"/>
          <w:color w:val="000000"/>
          <w:spacing w:val="-2"/>
          <w:sz w:val="24"/>
        </w:rPr>
        <w:t>十二五</w:t>
      </w:r>
      <w:r>
        <w:rPr>
          <w:rFonts w:eastAsia="方正仿宋_GBK"/>
          <w:color w:val="000000"/>
          <w:spacing w:val="-2"/>
          <w:sz w:val="24"/>
        </w:rPr>
        <w:t>”</w:t>
      </w:r>
      <w:r>
        <w:rPr>
          <w:rFonts w:hint="eastAsia" w:eastAsia="方正仿宋_GBK"/>
          <w:color w:val="000000"/>
          <w:spacing w:val="-2"/>
          <w:sz w:val="24"/>
        </w:rPr>
        <w:t>期间，规划建设满足需求的建筑渣土处置场所；加强建筑工地施工管理，实施密闭运输，严格控制扬尘污染，杜绝机动车带泥上路和运输过程中的抛撒滴漏；规范建筑渣土运输秩序，严格落实运输资质审批，严肃查处无证运输，坚决遏制建筑渣土运输车辆不遵守交通信号、超载超速、车容不洁、偷倒乱倒等现象；积极推进资源综合利用，提高资源化管理水平；完善许可制度，强化依法行政，整合管理资源，逐步形成源头控制有力、运输监管严密、处理处置有序、执法查处严厉的建筑渣土全程管理长效机制，改善城市道路交通和生态环境，促进经济与环境协调发展。</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三、严格落实建筑渣土运输管理各项措施</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w:t>
      </w:r>
      <w:r>
        <w:rPr>
          <w:rFonts w:hint="eastAsia" w:ascii="Times New Roman" w:eastAsia="方正楷体_GBK"/>
          <w:color w:val="000000"/>
          <w:spacing w:val="-2"/>
          <w:sz w:val="24"/>
        </w:rPr>
        <w:t>一</w:t>
      </w:r>
      <w:r>
        <w:rPr>
          <w:rFonts w:hint="eastAsia" w:eastAsia="方正仿宋_GBK"/>
          <w:color w:val="000000"/>
          <w:spacing w:val="-2"/>
          <w:sz w:val="24"/>
        </w:rPr>
        <w:t>）</w:t>
      </w:r>
      <w:r>
        <w:rPr>
          <w:rFonts w:hint="eastAsia" w:ascii="Times New Roman" w:eastAsia="方正楷体_GBK"/>
          <w:color w:val="000000"/>
          <w:spacing w:val="-2"/>
          <w:sz w:val="24"/>
        </w:rPr>
        <w:t>健全规章制度</w:t>
      </w:r>
      <w:r>
        <w:rPr>
          <w:rFonts w:hint="eastAsia" w:eastAsia="方正仿宋_GBK"/>
          <w:color w:val="000000"/>
          <w:spacing w:val="-2"/>
          <w:sz w:val="24"/>
        </w:rPr>
        <w:t>。</w:t>
      </w:r>
      <w:r>
        <w:rPr>
          <w:rFonts w:hint="eastAsia" w:eastAsia="方正仿宋_GBK"/>
          <w:color w:val="000000"/>
          <w:spacing w:val="-2"/>
          <w:kern w:val="0"/>
          <w:sz w:val="24"/>
        </w:rPr>
        <w:t>研究制定建筑渣土管理、运输企业资格管理、运输车辆管理等相关规章制度，完善建筑渣土处置管理程序</w:t>
      </w:r>
      <w:r>
        <w:rPr>
          <w:rFonts w:hint="eastAsia" w:eastAsia="方正仿宋_GBK"/>
          <w:color w:val="000000"/>
          <w:spacing w:val="-2"/>
          <w:sz w:val="24"/>
        </w:rPr>
        <w:t>，进一步加强运输企业、运输车辆驾驶人资质检查，凡不是合法取得资质的，一律停止其从业活动。督促运输企业健全安全生产责任制度，明确和落实各个岗位的工作职责，完善相应的制度约束和操作规程。</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sz w:val="24"/>
        </w:rPr>
        <w:t>（</w:t>
      </w:r>
      <w:r>
        <w:rPr>
          <w:rFonts w:hint="eastAsia" w:ascii="Times New Roman" w:eastAsia="方正楷体_GBK"/>
          <w:color w:val="000000"/>
          <w:spacing w:val="-2"/>
          <w:sz w:val="24"/>
        </w:rPr>
        <w:t>二</w:t>
      </w:r>
      <w:r>
        <w:rPr>
          <w:rFonts w:hint="eastAsia" w:eastAsia="方正仿宋_GBK"/>
          <w:color w:val="000000"/>
          <w:spacing w:val="-2"/>
          <w:sz w:val="24"/>
        </w:rPr>
        <w:t>）</w:t>
      </w:r>
      <w:r>
        <w:rPr>
          <w:rFonts w:hint="eastAsia" w:ascii="Times New Roman" w:eastAsia="方正楷体_GBK"/>
          <w:color w:val="000000"/>
          <w:spacing w:val="-2"/>
          <w:sz w:val="24"/>
        </w:rPr>
        <w:t>合理布局定点</w:t>
      </w:r>
      <w:r>
        <w:rPr>
          <w:rFonts w:hint="eastAsia" w:eastAsia="方正仿宋_GBK"/>
          <w:color w:val="000000"/>
          <w:spacing w:val="-2"/>
          <w:sz w:val="24"/>
        </w:rPr>
        <w:t>。各地</w:t>
      </w:r>
      <w:r>
        <w:rPr>
          <w:rFonts w:hint="eastAsia" w:eastAsia="方正仿宋_GBK"/>
          <w:color w:val="000000"/>
          <w:spacing w:val="-2"/>
          <w:kern w:val="0"/>
          <w:sz w:val="24"/>
        </w:rPr>
        <w:t>要结合当前和长远经济社会发展的需要，合理安排建筑渣土处置场所布点。建筑渣土处置场所选择应符合城市规划，满足环境卫生和年度城市建设的需求。要拓宽建筑渣土处置和资源化利用场所建设的投资渠道，鼓励社会资本依法建设建筑渣土处置场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hint="eastAsia" w:ascii="Times New Roman" w:eastAsia="方正楷体_GBK"/>
          <w:color w:val="000000"/>
          <w:spacing w:val="-2"/>
          <w:sz w:val="24"/>
        </w:rPr>
        <w:t>三</w:t>
      </w:r>
      <w:r>
        <w:rPr>
          <w:rFonts w:hint="eastAsia" w:eastAsia="方正仿宋_GBK"/>
          <w:color w:val="000000"/>
          <w:spacing w:val="-2"/>
          <w:sz w:val="24"/>
        </w:rPr>
        <w:t>）</w:t>
      </w:r>
      <w:r>
        <w:rPr>
          <w:rFonts w:hint="eastAsia" w:ascii="Times New Roman" w:eastAsia="方正楷体_GBK"/>
          <w:color w:val="000000"/>
          <w:spacing w:val="-2"/>
          <w:sz w:val="24"/>
        </w:rPr>
        <w:t>严格许可制度</w:t>
      </w:r>
      <w:r>
        <w:rPr>
          <w:rFonts w:hint="eastAsia" w:eastAsia="方正仿宋_GBK"/>
          <w:color w:val="000000"/>
          <w:spacing w:val="-2"/>
          <w:sz w:val="24"/>
        </w:rPr>
        <w:t>。严格落实建筑渣土运输处置行政许可制度。建设单位需要运输处置建筑渣土的，应当按照规定向当地城市管理、公安交管部门履行相关申请手续，获得核准后方可运输。建立和完善建筑渣土运输企业车辆安全运行诚信档案，加强对运输企业的日常检查考核，各级城市管理、公安交管等部门要在当地政府门户网站、主要媒体上定期向社会公示建筑渣土运输企业车辆的交通安全状况和交通违法行为。在由国有资金投资的工程项目中，应严格限制交通违法行为或交通事故较多的运输企业参与工程招投标，杜绝个体渣土运输车辆参与招投标。积极探索建立</w:t>
      </w:r>
      <w:r>
        <w:rPr>
          <w:rFonts w:eastAsia="方正仿宋_GBK"/>
          <w:color w:val="000000"/>
          <w:spacing w:val="-2"/>
          <w:sz w:val="24"/>
        </w:rPr>
        <w:t>“</w:t>
      </w:r>
      <w:r>
        <w:rPr>
          <w:rFonts w:hint="eastAsia" w:eastAsia="方正仿宋_GBK"/>
          <w:color w:val="000000"/>
          <w:spacing w:val="-2"/>
          <w:sz w:val="24"/>
        </w:rPr>
        <w:t>黑名单</w:t>
      </w:r>
      <w:r>
        <w:rPr>
          <w:rFonts w:eastAsia="方正仿宋_GBK"/>
          <w:color w:val="000000"/>
          <w:spacing w:val="-2"/>
          <w:sz w:val="24"/>
        </w:rPr>
        <w:t>”</w:t>
      </w:r>
      <w:r>
        <w:rPr>
          <w:rFonts w:hint="eastAsia" w:eastAsia="方正仿宋_GBK"/>
          <w:color w:val="000000"/>
          <w:spacing w:val="-2"/>
          <w:sz w:val="24"/>
        </w:rPr>
        <w:t>制度，并在有关工程招投标文件中，将建筑渣土运输单位内部安全管理等级和所属建筑渣土运输车辆交通违法行为、交通事故数量、扬尘污染防治措施不到位以及违规运输、处置渣土受处罚记录等纳入准入条件。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hint="eastAsia" w:ascii="Times New Roman" w:eastAsia="方正楷体_GBK"/>
          <w:color w:val="000000"/>
          <w:spacing w:val="-2"/>
          <w:sz w:val="24"/>
        </w:rPr>
        <w:t>四</w:t>
      </w:r>
      <w:r>
        <w:rPr>
          <w:rFonts w:hint="eastAsia" w:eastAsia="方正仿宋_GBK"/>
          <w:color w:val="000000"/>
          <w:spacing w:val="-2"/>
          <w:sz w:val="24"/>
        </w:rPr>
        <w:t>）</w:t>
      </w:r>
      <w:r>
        <w:rPr>
          <w:rFonts w:hint="eastAsia" w:ascii="Times New Roman" w:eastAsia="方正楷体_GBK"/>
          <w:color w:val="000000"/>
          <w:spacing w:val="-2"/>
          <w:sz w:val="24"/>
        </w:rPr>
        <w:t>强化源头管控</w:t>
      </w:r>
      <w:r>
        <w:rPr>
          <w:rFonts w:hint="eastAsia" w:eastAsia="方正仿宋_GBK"/>
          <w:color w:val="000000"/>
          <w:spacing w:val="-2"/>
          <w:sz w:val="24"/>
        </w:rPr>
        <w:t>。加强建筑施工现场管理，</w:t>
      </w:r>
      <w:r>
        <w:rPr>
          <w:rFonts w:hint="eastAsia" w:eastAsia="方正仿宋_GBK"/>
          <w:color w:val="000000"/>
          <w:spacing w:val="-2"/>
          <w:kern w:val="0"/>
          <w:sz w:val="24"/>
        </w:rPr>
        <w:t>施工单位要与当地建设、城管部门签订建筑工地规范施工、市容环境卫生等责任书。</w:t>
      </w:r>
      <w:r>
        <w:rPr>
          <w:rFonts w:hint="eastAsia" w:eastAsia="方正仿宋_GBK"/>
          <w:color w:val="000000"/>
          <w:spacing w:val="-2"/>
          <w:sz w:val="24"/>
        </w:rPr>
        <w:t>已实施</w:t>
      </w:r>
      <w:r>
        <w:rPr>
          <w:rFonts w:eastAsia="方正仿宋_GBK"/>
          <w:color w:val="000000"/>
          <w:spacing w:val="-2"/>
          <w:sz w:val="24"/>
        </w:rPr>
        <w:t>“</w:t>
      </w:r>
      <w:r>
        <w:rPr>
          <w:rFonts w:hint="eastAsia" w:eastAsia="方正仿宋_GBK"/>
          <w:color w:val="000000"/>
          <w:spacing w:val="-2"/>
          <w:sz w:val="24"/>
        </w:rPr>
        <w:t>数字城管</w:t>
      </w:r>
      <w:r>
        <w:rPr>
          <w:rFonts w:eastAsia="方正仿宋_GBK"/>
          <w:color w:val="000000"/>
          <w:spacing w:val="-2"/>
          <w:sz w:val="24"/>
        </w:rPr>
        <w:t>”</w:t>
      </w:r>
      <w:r>
        <w:rPr>
          <w:rFonts w:hint="eastAsia" w:eastAsia="方正仿宋_GBK"/>
          <w:color w:val="000000"/>
          <w:spacing w:val="-2"/>
          <w:sz w:val="24"/>
        </w:rPr>
        <w:t>的城市，要将视频监控监管等信息化手段延伸到建筑工地。</w:t>
      </w:r>
      <w:r>
        <w:rPr>
          <w:rFonts w:hint="eastAsia" w:eastAsia="方正仿宋_GBK"/>
          <w:color w:val="000000"/>
          <w:spacing w:val="-2"/>
          <w:kern w:val="0"/>
          <w:sz w:val="24"/>
        </w:rPr>
        <w:t>建筑工地必须做到封闭施工和降尘施工，场内主要道路及出入口路面硬化，配备冲洗设施，加强卫生保洁，</w:t>
      </w:r>
      <w:r>
        <w:rPr>
          <w:rFonts w:hint="eastAsia" w:eastAsia="方正仿宋_GBK"/>
          <w:color w:val="000000"/>
          <w:spacing w:val="-2"/>
          <w:sz w:val="24"/>
        </w:rPr>
        <w:t>采取密闭运输措施，</w:t>
      </w:r>
      <w:r>
        <w:rPr>
          <w:rFonts w:hint="eastAsia" w:eastAsia="方正仿宋_GBK"/>
          <w:color w:val="000000"/>
          <w:spacing w:val="-2"/>
          <w:kern w:val="0"/>
          <w:sz w:val="24"/>
        </w:rPr>
        <w:t>杜绝车辆带泥出场和</w:t>
      </w:r>
      <w:r>
        <w:rPr>
          <w:rFonts w:hint="eastAsia" w:eastAsia="方正仿宋_GBK"/>
          <w:color w:val="000000"/>
          <w:spacing w:val="-2"/>
          <w:sz w:val="24"/>
        </w:rPr>
        <w:t>抛撒滴漏</w:t>
      </w:r>
      <w:r>
        <w:rPr>
          <w:rFonts w:hint="eastAsia" w:eastAsia="方正仿宋_GBK"/>
          <w:color w:val="000000"/>
          <w:spacing w:val="-2"/>
          <w:kern w:val="0"/>
          <w:sz w:val="24"/>
        </w:rPr>
        <w:t>。</w:t>
      </w:r>
      <w:r>
        <w:rPr>
          <w:rFonts w:hint="eastAsia" w:eastAsia="方正仿宋_GBK"/>
          <w:color w:val="000000"/>
          <w:spacing w:val="-2"/>
          <w:sz w:val="24"/>
        </w:rPr>
        <w:t>鼓励</w:t>
      </w:r>
      <w:r>
        <w:rPr>
          <w:rFonts w:hint="eastAsia" w:eastAsia="方正仿宋_GBK"/>
          <w:color w:val="000000"/>
          <w:spacing w:val="-2"/>
          <w:kern w:val="0"/>
          <w:sz w:val="24"/>
        </w:rPr>
        <w:t>通过委托代包等方式，对建筑工地出入口周边实施机械化清扫（冲洗）保洁服务。</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hint="eastAsia" w:ascii="Times New Roman" w:eastAsia="方正楷体_GBK"/>
          <w:color w:val="000000"/>
          <w:spacing w:val="-2"/>
          <w:sz w:val="24"/>
        </w:rPr>
        <w:t>五</w:t>
      </w:r>
      <w:r>
        <w:rPr>
          <w:rFonts w:hint="eastAsia" w:eastAsia="方正仿宋_GBK"/>
          <w:color w:val="000000"/>
          <w:spacing w:val="-2"/>
          <w:sz w:val="24"/>
        </w:rPr>
        <w:t>）</w:t>
      </w:r>
      <w:r>
        <w:rPr>
          <w:rFonts w:hint="eastAsia" w:ascii="Times New Roman" w:eastAsia="方正楷体_GBK"/>
          <w:color w:val="000000"/>
          <w:spacing w:val="-2"/>
          <w:sz w:val="24"/>
        </w:rPr>
        <w:t>完善收费机制</w:t>
      </w:r>
      <w:r>
        <w:rPr>
          <w:rFonts w:hint="eastAsia" w:eastAsia="方正仿宋_GBK"/>
          <w:color w:val="000000"/>
          <w:spacing w:val="-2"/>
          <w:sz w:val="24"/>
        </w:rPr>
        <w:t>。根据</w:t>
      </w:r>
      <w:r>
        <w:rPr>
          <w:rFonts w:eastAsia="方正仿宋_GBK"/>
          <w:color w:val="000000"/>
          <w:spacing w:val="-2"/>
          <w:sz w:val="24"/>
        </w:rPr>
        <w:t>“</w:t>
      </w:r>
      <w:r>
        <w:rPr>
          <w:rFonts w:hint="eastAsia" w:eastAsia="方正仿宋_GBK"/>
          <w:color w:val="000000"/>
          <w:spacing w:val="-2"/>
          <w:sz w:val="24"/>
        </w:rPr>
        <w:t>谁产生、谁负责、谁付费</w:t>
      </w:r>
      <w:r>
        <w:rPr>
          <w:rFonts w:eastAsia="方正仿宋_GBK"/>
          <w:color w:val="000000"/>
          <w:spacing w:val="-2"/>
          <w:sz w:val="24"/>
        </w:rPr>
        <w:t>”</w:t>
      </w:r>
      <w:r>
        <w:rPr>
          <w:rFonts w:hint="eastAsia" w:eastAsia="方正仿宋_GBK"/>
          <w:color w:val="000000"/>
          <w:spacing w:val="-2"/>
          <w:sz w:val="24"/>
        </w:rPr>
        <w:t>的原则，对建筑渣土实施有偿处置。建设单位应将建筑渣土运输、处置等相关经费列入工程预算。建设工程在办理建筑渣土处置许可手续时，应按规定缴纳有偿处置管理有关费用，并与城市管理部门签订建筑渣土处置责任书。有偿处置管理有关费用专项用于建筑渣土处置场所的建设、运行、维护和建筑渣土管理等相关事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hint="eastAsia" w:ascii="Times New Roman" w:eastAsia="方正楷体_GBK"/>
          <w:color w:val="000000"/>
          <w:spacing w:val="-2"/>
          <w:sz w:val="24"/>
        </w:rPr>
        <w:t>六</w:t>
      </w:r>
      <w:r>
        <w:rPr>
          <w:rFonts w:hint="eastAsia" w:eastAsia="方正仿宋_GBK"/>
          <w:color w:val="000000"/>
          <w:spacing w:val="-2"/>
          <w:sz w:val="24"/>
        </w:rPr>
        <w:t>）</w:t>
      </w:r>
      <w:r>
        <w:rPr>
          <w:rFonts w:hint="eastAsia" w:ascii="Times New Roman" w:eastAsia="方正楷体_GBK"/>
          <w:color w:val="000000"/>
          <w:spacing w:val="-2"/>
          <w:sz w:val="24"/>
        </w:rPr>
        <w:t>规范运输市场</w:t>
      </w:r>
      <w:r>
        <w:rPr>
          <w:rFonts w:hint="eastAsia" w:eastAsia="方正仿宋_GBK"/>
          <w:color w:val="000000"/>
          <w:spacing w:val="-2"/>
          <w:sz w:val="24"/>
        </w:rPr>
        <w:t>。</w:t>
      </w:r>
      <w:r>
        <w:rPr>
          <w:rFonts w:hint="eastAsia" w:eastAsia="方正仿宋_GBK"/>
          <w:color w:val="000000"/>
          <w:spacing w:val="-2"/>
          <w:kern w:val="0"/>
          <w:sz w:val="24"/>
        </w:rPr>
        <w:t>建筑渣土运输实行市场准入制度。从事建筑渣土的运输企业须经当地城市管理部门核准，取得城市建筑渣土经营服务资格。</w:t>
      </w:r>
      <w:r>
        <w:rPr>
          <w:rFonts w:hint="eastAsia" w:eastAsia="方正仿宋_GBK"/>
          <w:color w:val="000000"/>
          <w:spacing w:val="-2"/>
          <w:sz w:val="24"/>
        </w:rPr>
        <w:t>全面加强建筑渣土及各类工程材料运输车辆管理，综合运用监控系统、</w:t>
      </w:r>
      <w:r>
        <w:rPr>
          <w:rFonts w:eastAsia="方正仿宋_GBK"/>
          <w:color w:val="000000"/>
          <w:spacing w:val="-2"/>
          <w:sz w:val="24"/>
        </w:rPr>
        <w:t>GPS</w:t>
      </w:r>
      <w:r>
        <w:rPr>
          <w:rFonts w:hint="eastAsia" w:eastAsia="方正仿宋_GBK"/>
          <w:color w:val="000000"/>
          <w:spacing w:val="-2"/>
          <w:sz w:val="24"/>
        </w:rPr>
        <w:t>定位系统等科技信息手段，监督运输车辆无证偷运、不遵守交通信号和禁行标志等行为，并通过安装使用记录路线、时间和处置场所的电子信息装置，实施对建筑渣土运输车辆的动态管理。运输单位必须采用密闭式运输工具，统一标识，使用运输车辆专用号段并放大号牌。运输建筑渣土时，须随车携带由当地城市管理、公安交管部门核发的相关证件，并按照规定的线路、时间，送到指定的处置场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hint="eastAsia" w:ascii="Times New Roman" w:eastAsia="方正楷体_GBK"/>
          <w:color w:val="000000"/>
          <w:spacing w:val="-2"/>
          <w:sz w:val="24"/>
        </w:rPr>
        <w:t>七</w:t>
      </w:r>
      <w:r>
        <w:rPr>
          <w:rFonts w:hint="eastAsia" w:eastAsia="方正仿宋_GBK"/>
          <w:color w:val="000000"/>
          <w:spacing w:val="-2"/>
          <w:sz w:val="24"/>
        </w:rPr>
        <w:t>）</w:t>
      </w:r>
      <w:r>
        <w:rPr>
          <w:rFonts w:hint="eastAsia" w:ascii="Times New Roman" w:eastAsia="方正楷体_GBK"/>
          <w:color w:val="000000"/>
          <w:spacing w:val="-2"/>
          <w:sz w:val="24"/>
        </w:rPr>
        <w:t>推进综合利用</w:t>
      </w:r>
      <w:r>
        <w:rPr>
          <w:rFonts w:hint="eastAsia" w:eastAsia="方正仿宋_GBK"/>
          <w:color w:val="000000"/>
          <w:spacing w:val="-2"/>
          <w:sz w:val="24"/>
        </w:rPr>
        <w:t>。制定完善建筑渣土再生利用处置相关政策、标准和技术规范，鼓励并逐步推广使用建筑渣土的再生产品，构建新型低碳经济产业链，推动资源综合利用产业化发展，促进建筑渣土由简易填埋向资源化处理和循环利用方向转变。开展建筑渣土分类收集和循环利用的试点工作，积极推行建筑渣土分类利用、源头就地利用、末端综合利用等多种方式，形成各种经济成分投资参与、资源市场配置合理的建筑渣土利用体系，实现各类建筑渣土资源化利用和集约化处置。鼓励建设单位、施工单位优先采用建筑渣土综合利用产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hint="eastAsia" w:ascii="Times New Roman" w:eastAsia="方正楷体_GBK"/>
          <w:color w:val="000000"/>
          <w:spacing w:val="-2"/>
          <w:sz w:val="24"/>
        </w:rPr>
        <w:t>八</w:t>
      </w:r>
      <w:r>
        <w:rPr>
          <w:rFonts w:hint="eastAsia" w:eastAsia="方正仿宋_GBK"/>
          <w:color w:val="000000"/>
          <w:spacing w:val="-2"/>
          <w:sz w:val="24"/>
        </w:rPr>
        <w:t>）</w:t>
      </w:r>
      <w:r>
        <w:rPr>
          <w:rFonts w:hint="eastAsia" w:ascii="Times New Roman" w:eastAsia="方正楷体_GBK"/>
          <w:color w:val="000000"/>
          <w:spacing w:val="-2"/>
          <w:sz w:val="24"/>
        </w:rPr>
        <w:t>加强安全管理</w:t>
      </w:r>
      <w:r>
        <w:rPr>
          <w:rFonts w:hint="eastAsia" w:eastAsia="方正仿宋_GBK"/>
          <w:color w:val="000000"/>
          <w:spacing w:val="-2"/>
          <w:sz w:val="24"/>
        </w:rPr>
        <w:t>。进一步建立健全安全管理联动机制，公安交管部门要督促建筑渣土运输企业建立、落实交通安全管理制度，对建筑渣土运输车辆和驾驶人实行严格的安全管理措施，定期检查车辆安全设施，对驾驶人开展交通安全教育培训。建立建筑渣土运输车辆和驾驶人信息搜集制度，定期对运输车辆、驾驶人的交通违法、交通事故情况进行检查，在责令运输企业限期整改的同时，通报建设、城管等部门，实行重点监管。</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hint="eastAsia" w:ascii="Times New Roman" w:eastAsia="方正楷体_GBK"/>
          <w:color w:val="000000"/>
          <w:spacing w:val="-2"/>
          <w:sz w:val="24"/>
        </w:rPr>
        <w:t>九</w:t>
      </w:r>
      <w:r>
        <w:rPr>
          <w:rFonts w:hint="eastAsia" w:eastAsia="方正仿宋_GBK"/>
          <w:color w:val="000000"/>
          <w:spacing w:val="-2"/>
          <w:sz w:val="24"/>
        </w:rPr>
        <w:t>）</w:t>
      </w:r>
      <w:r>
        <w:rPr>
          <w:rFonts w:hint="eastAsia" w:ascii="Times New Roman" w:eastAsia="方正楷体_GBK"/>
          <w:color w:val="000000"/>
          <w:spacing w:val="-2"/>
          <w:sz w:val="24"/>
        </w:rPr>
        <w:t>坚持联合执法</w:t>
      </w:r>
      <w:r>
        <w:rPr>
          <w:rFonts w:hint="eastAsia" w:eastAsia="方正仿宋_GBK"/>
          <w:color w:val="000000"/>
          <w:spacing w:val="-2"/>
          <w:sz w:val="24"/>
        </w:rPr>
        <w:t>。</w:t>
      </w:r>
      <w:r>
        <w:rPr>
          <w:rFonts w:hint="eastAsia" w:eastAsia="方正仿宋_GBK"/>
          <w:color w:val="000000"/>
          <w:spacing w:val="-2"/>
          <w:kern w:val="0"/>
          <w:sz w:val="24"/>
        </w:rPr>
        <w:t>建立健全联合执法机制，组织开展联合执法和专项整治活动，加大执法力度和频次，严厉打击违法违规运输处置建筑渣土的行为，形成工作合力，提高执法效能。各地公安交管、建设、城管、环保、交通</w:t>
      </w:r>
      <w:r>
        <w:rPr>
          <w:rFonts w:hint="eastAsia" w:eastAsia="方正仿宋_GBK"/>
          <w:color w:val="000000"/>
          <w:spacing w:val="-2"/>
          <w:sz w:val="24"/>
        </w:rPr>
        <w:t>等部门要积极配合，加大监管力度，并通过路面监控、现场执法、</w:t>
      </w:r>
      <w:r>
        <w:rPr>
          <w:rFonts w:eastAsia="方正仿宋_GBK"/>
          <w:color w:val="000000"/>
          <w:spacing w:val="-2"/>
          <w:sz w:val="24"/>
        </w:rPr>
        <w:t>GPS</w:t>
      </w:r>
      <w:r>
        <w:rPr>
          <w:rFonts w:hint="eastAsia" w:eastAsia="方正仿宋_GBK"/>
          <w:color w:val="000000"/>
          <w:spacing w:val="-2"/>
          <w:sz w:val="24"/>
        </w:rPr>
        <w:t>定位系统等手段，严肃查处建筑渣土运输车辆无证偷运、不遵守交通信号和禁行标志、无牌无证、假牌假证、超载超速、乱倾乱倒、抛撒滴漏、带泥上路、未实施密闭运输、不按规定路线行驶、不按规定悬挂以及故意遮挡或污损号牌等行为，维护良好的城市市容和交通秩序。</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四、加强对建筑渣土运输处置管理工作的组织领导</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加强建筑渣土运输处置管理是一项事关全局的系统工程，需要加强领导，各方配合，形成合力，扎实推进。</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健全工作机制</w:t>
      </w:r>
      <w:r>
        <w:rPr>
          <w:rFonts w:hint="eastAsia" w:eastAsia="方正仿宋_GBK"/>
          <w:color w:val="000000"/>
          <w:spacing w:val="-2"/>
          <w:sz w:val="24"/>
        </w:rPr>
        <w:t>。要高度重视建筑渣土运输处置管理工作，进一步创新思路、协调各方、整合资源、强化责任，形成齐心协力、齐抓共管的工作格局。要建立健全建筑渣土运输处置管理工作领导机构及由公安交管、城管、建设、环保、交通等部门参加的联席会议制度，</w:t>
      </w:r>
      <w:r>
        <w:rPr>
          <w:rFonts w:hint="eastAsia" w:eastAsia="方正仿宋_GBK"/>
          <w:color w:val="000000"/>
          <w:spacing w:val="-2"/>
          <w:kern w:val="0"/>
          <w:sz w:val="24"/>
        </w:rPr>
        <w:t>定期召开会议，通报交流工作情况，协调解决重大问题，落实必要经费，</w:t>
      </w:r>
      <w:r>
        <w:rPr>
          <w:rFonts w:hint="eastAsia" w:eastAsia="方正仿宋_GBK"/>
          <w:color w:val="000000"/>
          <w:spacing w:val="-2"/>
          <w:sz w:val="24"/>
        </w:rPr>
        <w:t>顺利推进建筑渣土运输处置工作。建立建筑渣土运输管理信息共享平台，定期交换相关信息，包括运输企业、车辆、驾驶人基础信息，交通违法、交通事故信息、许可信息、扬尘污染防治不到位等情况，确保长效管理制度的落实。</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sz w:val="24"/>
        </w:rPr>
        <w:t>明确工作职责</w:t>
      </w:r>
      <w:r>
        <w:rPr>
          <w:rFonts w:hint="eastAsia" w:eastAsia="方正仿宋_GBK"/>
          <w:color w:val="000000"/>
          <w:spacing w:val="-2"/>
          <w:kern w:val="0"/>
          <w:sz w:val="24"/>
        </w:rPr>
        <w:t>。要按照属地管理原则，以源头控制减量化、运输市场规范化、综合利用资源化为目标，有效落实建筑渣土处置场所，合理调配建筑渣土处置能力，建立完善管理信息通报制度，切实承担起建筑渣土运输处置监管责任。城管部门应加强渣土处置场所日常运营的监管；公安交管部门要在加强对建筑渣土运输车辆</w:t>
      </w:r>
      <w:r>
        <w:rPr>
          <w:rFonts w:hint="eastAsia" w:eastAsia="方正仿宋_GBK"/>
          <w:color w:val="000000"/>
          <w:spacing w:val="-2"/>
          <w:sz w:val="24"/>
        </w:rPr>
        <w:t>和驾驶人交通安全管理的同时，依法查处运输车辆的交通安全违法行为；建设部门要加强对建筑工地施工管理，会同城管、环保等部门开展规范化管理评比考核活动；环保部门要加强建筑工地周边环境及道路积尘监测，及时通报监测结果；交通部门要加强对管辖道路日常巡查，依法对建筑渣土运输车辆违法行为进行查处。</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sz w:val="24"/>
        </w:rPr>
        <w:t>发动全民参与</w:t>
      </w:r>
      <w:r>
        <w:rPr>
          <w:rFonts w:hint="eastAsia" w:eastAsia="方正仿宋_GBK"/>
          <w:color w:val="000000"/>
          <w:spacing w:val="-2"/>
          <w:kern w:val="0"/>
          <w:sz w:val="24"/>
        </w:rPr>
        <w:t>。</w:t>
      </w:r>
      <w:r>
        <w:rPr>
          <w:rFonts w:hint="eastAsia" w:eastAsia="方正仿宋_GBK"/>
          <w:color w:val="000000"/>
          <w:spacing w:val="-2"/>
          <w:sz w:val="24"/>
        </w:rPr>
        <w:t>充分发挥媒体作用，主动邀请新闻单位参与联合整治和日常管理，加大对建筑渣土运输处置管理工作的宣传力度，及时曝光建筑渣土运输车辆违法违规行为，营造浓厚的舆论氛围，切实提高各建设、施工、运输单位遵守有关法律法规的自觉性。建立社会监督机制，设立举报投诉电话，建立举报奖励制度，切实提高社会各界、市民群众参与程度。</w:t>
      </w:r>
    </w:p>
    <w:p>
      <w:pPr>
        <w:spacing w:line="460" w:lineRule="exact"/>
        <w:ind w:firstLine="472" w:firstLineChars="200"/>
        <w:rPr>
          <w:rFonts w:eastAsia="方正仿宋_GBK"/>
          <w:color w:val="000000"/>
          <w:spacing w:val="-2"/>
          <w:kern w:val="0"/>
          <w:sz w:val="24"/>
        </w:rPr>
      </w:pPr>
      <w:r>
        <w:rPr>
          <w:rFonts w:hint="eastAsia" w:ascii="Times New Roman" w:eastAsia="方正楷体_GBK"/>
          <w:color w:val="000000"/>
          <w:spacing w:val="-2"/>
          <w:sz w:val="24"/>
        </w:rPr>
        <w:t>严格监督考核</w:t>
      </w:r>
      <w:r>
        <w:rPr>
          <w:rFonts w:hint="eastAsia" w:eastAsia="方正仿宋_GBK"/>
          <w:color w:val="000000"/>
          <w:spacing w:val="-2"/>
          <w:kern w:val="0"/>
          <w:sz w:val="24"/>
        </w:rPr>
        <w:t>。研究制定建筑渣土运输处置工作的考核标准和检查办法，定期组织开展督查行动，通报检查考核结果。建立健全评比表彰和责任追究制度，对措施得力、成效显著的予以表彰和奖励；对工作不力、进展缓慢以及运输处置违法现象较多，建筑渣土运输车辆发生重大交通事故的，要严肃追究相关部门、相关人员责任。</w:t>
      </w:r>
    </w:p>
    <w:p>
      <w:pPr>
        <w:wordWrap w:val="0"/>
        <w:spacing w:line="460" w:lineRule="exact"/>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jc w:val="right"/>
        <w:rPr>
          <w:rFonts w:eastAsia="方正仿宋_GBK"/>
          <w:color w:val="000000"/>
          <w:spacing w:val="-2"/>
          <w:sz w:val="24"/>
        </w:rPr>
      </w:pPr>
      <w:r>
        <w:rPr>
          <w:rFonts w:hint="eastAsia" w:eastAsia="方正仿宋_GBK"/>
          <w:color w:val="000000"/>
          <w:spacing w:val="120"/>
          <w:kern w:val="0"/>
          <w:sz w:val="24"/>
        </w:rPr>
        <w:t>江苏省公安</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jc w:val="right"/>
        <w:rPr>
          <w:rFonts w:eastAsia="方正仿宋_GBK"/>
          <w:color w:val="000000"/>
          <w:spacing w:val="120"/>
          <w:kern w:val="0"/>
          <w:sz w:val="24"/>
        </w:rPr>
      </w:pPr>
      <w:r>
        <w:rPr>
          <w:rFonts w:hint="eastAsia" w:eastAsia="方正仿宋_GBK"/>
          <w:color w:val="000000"/>
          <w:spacing w:val="51"/>
          <w:kern w:val="0"/>
          <w:sz w:val="24"/>
        </w:rPr>
        <w:t>江苏省环境保护</w:t>
      </w:r>
      <w:r>
        <w:rPr>
          <w:rFonts w:hint="eastAsia" w:eastAsia="方正仿宋_GBK"/>
          <w:color w:val="000000"/>
          <w:spacing w:val="3"/>
          <w:kern w:val="0"/>
          <w:sz w:val="24"/>
        </w:rPr>
        <w:t>厅</w:t>
      </w:r>
      <w:r>
        <w:rPr>
          <w:rFonts w:eastAsia="方正仿宋_GBK"/>
          <w:color w:val="000000"/>
          <w:kern w:val="0"/>
          <w:sz w:val="24"/>
        </w:rPr>
        <w:t xml:space="preserve">    </w:t>
      </w:r>
    </w:p>
    <w:p>
      <w:pPr>
        <w:wordWrap w:val="0"/>
        <w:spacing w:line="460" w:lineRule="exact"/>
        <w:jc w:val="right"/>
        <w:rPr>
          <w:rFonts w:eastAsia="方正仿宋_GBK"/>
          <w:color w:val="000000"/>
          <w:spacing w:val="120"/>
          <w:kern w:val="0"/>
          <w:sz w:val="24"/>
        </w:rPr>
      </w:pPr>
      <w:r>
        <w:rPr>
          <w:rFonts w:hint="eastAsia" w:eastAsia="方正仿宋_GBK"/>
          <w:color w:val="000000"/>
          <w:spacing w:val="51"/>
          <w:kern w:val="0"/>
          <w:sz w:val="24"/>
        </w:rPr>
        <w:t>江苏省交通运输</w:t>
      </w:r>
      <w:r>
        <w:rPr>
          <w:rFonts w:hint="eastAsia" w:eastAsia="方正仿宋_GBK"/>
          <w:color w:val="000000"/>
          <w:spacing w:val="3"/>
          <w:kern w:val="0"/>
          <w:sz w:val="24"/>
        </w:rPr>
        <w:t>厅</w:t>
      </w:r>
      <w:r>
        <w:rPr>
          <w:rFonts w:eastAsia="方正仿宋_GBK"/>
          <w:color w:val="000000"/>
          <w:kern w:val="0"/>
          <w:sz w:val="24"/>
        </w:rPr>
        <w:t xml:space="preserve">    </w:t>
      </w:r>
    </w:p>
    <w:p>
      <w:pPr>
        <w:spacing w:line="460" w:lineRule="exact"/>
        <w:ind w:right="640"/>
        <w:jc w:val="right"/>
        <w:rPr>
          <w:rFonts w:eastAsia="方正仿宋_GBK"/>
          <w:color w:val="000000"/>
          <w:spacing w:val="-2"/>
          <w:sz w:val="24"/>
        </w:rPr>
      </w:pPr>
      <w:r>
        <w:rPr>
          <w:rFonts w:hint="eastAsia" w:eastAsia="方正仿宋_GBK"/>
          <w:color w:val="000000"/>
          <w:spacing w:val="-2"/>
          <w:sz w:val="24"/>
        </w:rPr>
        <w:t>二○一二年一月十一日</w:t>
      </w:r>
    </w:p>
    <w:p>
      <w:pPr>
        <w:spacing w:line="460" w:lineRule="exact"/>
        <w:ind w:firstLine="640" w:firstLineChars="200"/>
        <w:jc w:val="center"/>
        <w:rPr>
          <w:rFonts w:eastAsia="仿宋"/>
          <w:snapToGrid w:val="0"/>
          <w:color w:val="000000"/>
          <w:kern w:val="0"/>
          <w:sz w:val="32"/>
        </w:rPr>
      </w:pPr>
    </w:p>
    <w:p>
      <w:pPr>
        <w:spacing w:line="560" w:lineRule="exact"/>
        <w:rPr>
          <w:rFonts w:eastAsia="方正仿宋_GBK"/>
          <w:color w:val="000000"/>
          <w:spacing w:val="-2"/>
          <w:sz w:val="32"/>
          <w:szCs w:val="32"/>
        </w:rPr>
      </w:pPr>
    </w:p>
    <w:p/>
    <w:p/>
    <w:p/>
    <w:p>
      <w:pPr>
        <w:pStyle w:val="2"/>
        <w:spacing w:before="240" w:beforeLines="100" w:after="240" w:afterLines="100" w:line="240" w:lineRule="auto"/>
        <w:jc w:val="center"/>
        <w:rPr>
          <w:rFonts w:ascii="Times New Roman" w:eastAsia="方正小标宋_GBK"/>
          <w:b w:val="0"/>
          <w:sz w:val="36"/>
          <w:szCs w:val="36"/>
        </w:rPr>
      </w:pPr>
      <w:bookmarkStart w:id="166" w:name="_Toc20726648"/>
      <w:bookmarkStart w:id="167" w:name="_Toc18315789"/>
      <w:r>
        <w:rPr>
          <w:rFonts w:hint="eastAsia" w:ascii="Times New Roman" w:eastAsia="方正小标宋_GBK"/>
          <w:b w:val="0"/>
          <w:sz w:val="36"/>
          <w:szCs w:val="36"/>
        </w:rPr>
        <w:t>关于进一步保障全省环卫行业职工合法权益的实施意见</w:t>
      </w:r>
      <w:bookmarkEnd w:id="166"/>
      <w:bookmarkEnd w:id="16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68" w:name="_Toc18315790"/>
      <w:bookmarkStart w:id="169" w:name="_Toc20726649"/>
      <w:r>
        <w:rPr>
          <w:rFonts w:hint="eastAsia" w:ascii="Times New Roman" w:hAnsi="Times New Roman" w:eastAsia="方正楷体_GBK"/>
          <w:b w:val="0"/>
          <w:sz w:val="24"/>
          <w:szCs w:val="24"/>
        </w:rPr>
        <w:t>苏建城〔</w:t>
      </w:r>
      <w:r>
        <w:rPr>
          <w:rFonts w:ascii="Times New Roman" w:hAnsi="Times New Roman" w:eastAsia="方正楷体_GBK"/>
          <w:b w:val="0"/>
          <w:sz w:val="24"/>
          <w:szCs w:val="24"/>
        </w:rPr>
        <w:t>2012</w:t>
      </w:r>
      <w:r>
        <w:rPr>
          <w:rFonts w:hint="eastAsia" w:ascii="Times New Roman" w:hAnsi="Times New Roman" w:eastAsia="方正楷体_GBK"/>
          <w:b w:val="0"/>
          <w:sz w:val="24"/>
          <w:szCs w:val="24"/>
        </w:rPr>
        <w:t>〕</w:t>
      </w:r>
      <w:r>
        <w:rPr>
          <w:rFonts w:ascii="Times New Roman" w:hAnsi="Times New Roman" w:eastAsia="方正楷体_GBK"/>
          <w:b w:val="0"/>
          <w:sz w:val="24"/>
          <w:szCs w:val="24"/>
        </w:rPr>
        <w:t>614</w:t>
      </w:r>
      <w:r>
        <w:rPr>
          <w:rFonts w:hint="eastAsia" w:ascii="Times New Roman" w:hAnsi="Times New Roman" w:eastAsia="方正楷体_GBK"/>
          <w:b w:val="0"/>
          <w:sz w:val="24"/>
          <w:szCs w:val="24"/>
        </w:rPr>
        <w:t>号</w:t>
      </w:r>
      <w:bookmarkEnd w:id="168"/>
      <w:bookmarkEnd w:id="169"/>
    </w:p>
    <w:p>
      <w:pPr>
        <w:spacing w:line="460" w:lineRule="exact"/>
        <w:rPr>
          <w:rFonts w:eastAsia="方正仿宋_GBK"/>
          <w:color w:val="000000"/>
          <w:spacing w:val="-2"/>
          <w:sz w:val="24"/>
        </w:rPr>
      </w:pPr>
      <w:r>
        <w:rPr>
          <w:rFonts w:hint="eastAsia" w:eastAsia="方正仿宋_GBK"/>
          <w:color w:val="000000"/>
          <w:spacing w:val="-2"/>
          <w:sz w:val="24"/>
        </w:rPr>
        <w:t>各市、县（市）城管（市容市政）局、人力资源和社会保障局、公安局、财政局、卫生局、安监局、总工会：</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为进一步保障我省环卫行业职工的合法权益，推动环境卫生事业持续健康发展，根据国家住房和城乡建设部等七部门《关于进一步保障环卫行业职工合法权益的意见》（建城〔</w:t>
      </w:r>
      <w:r>
        <w:rPr>
          <w:rFonts w:eastAsia="方正仿宋_GBK"/>
          <w:color w:val="000000"/>
          <w:spacing w:val="-2"/>
          <w:sz w:val="24"/>
        </w:rPr>
        <w:t>2012</w:t>
      </w:r>
      <w:r>
        <w:rPr>
          <w:rFonts w:hint="eastAsia" w:eastAsia="方正仿宋_GBK"/>
          <w:color w:val="000000"/>
          <w:spacing w:val="-2"/>
          <w:sz w:val="24"/>
        </w:rPr>
        <w:t>〕</w:t>
      </w:r>
      <w:r>
        <w:rPr>
          <w:rFonts w:eastAsia="方正仿宋_GBK"/>
          <w:color w:val="000000"/>
          <w:spacing w:val="-2"/>
          <w:sz w:val="24"/>
        </w:rPr>
        <w:t>73</w:t>
      </w:r>
      <w:r>
        <w:rPr>
          <w:rFonts w:hint="eastAsia" w:eastAsia="方正仿宋_GBK"/>
          <w:color w:val="000000"/>
          <w:spacing w:val="-2"/>
          <w:sz w:val="24"/>
        </w:rPr>
        <w:t>号）和《省政府关于进一步加强城乡生活垃圾处理工作的实施意见》（苏政发〔</w:t>
      </w:r>
      <w:r>
        <w:rPr>
          <w:rFonts w:eastAsia="方正仿宋_GBK"/>
          <w:color w:val="000000"/>
          <w:spacing w:val="-2"/>
          <w:sz w:val="24"/>
        </w:rPr>
        <w:t>2011</w:t>
      </w:r>
      <w:r>
        <w:rPr>
          <w:rFonts w:hint="eastAsia" w:eastAsia="方正仿宋_GBK"/>
          <w:color w:val="000000"/>
          <w:spacing w:val="-2"/>
          <w:sz w:val="24"/>
        </w:rPr>
        <w:t>〕</w:t>
      </w:r>
      <w:r>
        <w:rPr>
          <w:rFonts w:eastAsia="方正仿宋_GBK"/>
          <w:color w:val="000000"/>
          <w:spacing w:val="-2"/>
          <w:sz w:val="24"/>
        </w:rPr>
        <w:t>185</w:t>
      </w:r>
      <w:r>
        <w:rPr>
          <w:rFonts w:hint="eastAsia" w:eastAsia="方正仿宋_GBK"/>
          <w:color w:val="000000"/>
          <w:spacing w:val="-2"/>
          <w:sz w:val="24"/>
        </w:rPr>
        <w:t>号）精神，现提出以下意见，请各地认真贯彻执行。</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一、充分认识保障环卫行业职工合法权益的重要意义</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市容环境卫生工作是城市管理和公共服务的重要组成部分，是关系民生的基础性公益事业。近年来，我省环卫事业取得了快速发展，城市（县城）生活垃圾无害化处理率达到</w:t>
      </w:r>
      <w:r>
        <w:rPr>
          <w:rFonts w:eastAsia="方正仿宋_GBK"/>
          <w:color w:val="000000"/>
          <w:spacing w:val="-2"/>
          <w:sz w:val="24"/>
        </w:rPr>
        <w:t>87%</w:t>
      </w:r>
      <w:r>
        <w:rPr>
          <w:rFonts w:hint="eastAsia" w:eastAsia="方正仿宋_GBK"/>
          <w:color w:val="000000"/>
          <w:spacing w:val="-2"/>
          <w:sz w:val="24"/>
        </w:rPr>
        <w:t>以上，环卫作业质量和服务水平不断提升，城市市容环境卫生明显改善，为保障全省经济社会的持续快速发展奠定了良好基础，这其中凝结了广大环卫职工的辛勤劳动。但是，我们也要清醒地认识到，全省环卫事业的发展现状与日益增长的社会需求还不适应，大量一线环卫职工工作与生活条件还比较艰苦，工作强度大，合法权益不能得到有效保障，队伍难以稳定，严重制约了环卫事业发展，影响城市正常运行和人居环境质量。因此，各地、各有关部门要从保障民生、构建和谐社会和推动经济社会可持续发展的高度出发，加强领导，把健全市容环卫组织管理机构、规范环卫行业职工队伍建设和管理、保障环卫行业职工合法权益作为提升城市形象、落实政府责任的重要工作，保证环卫职工队伍稳定，实现环卫事业健康和可持续发展。</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二、进一步规范劳动人事管理</w:t>
      </w:r>
    </w:p>
    <w:p>
      <w:pPr>
        <w:spacing w:line="460" w:lineRule="exact"/>
        <w:ind w:firstLine="472" w:firstLineChars="200"/>
        <w:rPr>
          <w:rFonts w:hint="eastAsia" w:eastAsia="方正仿宋_GBK"/>
          <w:color w:val="000000"/>
          <w:spacing w:val="-2"/>
          <w:sz w:val="24"/>
        </w:rPr>
      </w:pPr>
      <w:r>
        <w:rPr>
          <w:rFonts w:hint="eastAsia" w:ascii="Times New Roman" w:eastAsia="方正楷体_GBK"/>
          <w:color w:val="000000"/>
          <w:spacing w:val="-2"/>
          <w:sz w:val="24"/>
        </w:rPr>
        <w:t>（一）企业单位用工</w:t>
      </w:r>
      <w:r>
        <w:rPr>
          <w:rFonts w:hint="eastAsia" w:eastAsia="方正仿宋_GBK"/>
          <w:color w:val="000000"/>
          <w:spacing w:val="-2"/>
          <w:sz w:val="24"/>
        </w:rPr>
        <w:t>。所有环卫企业都必须按照《中华人民共和国劳动合同法》的要求与职工签订劳动合同，明确劳动合同期限、劳动报酬、工作时间和休息休假等必备条款，并按照国家有关规定为环卫工人办理各项社会保险手续，包括养老保险、医疗保险、失业保险、工伤保险和生育保险等，做到应保尽保，及时足额缴纳社会保险费。</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（二）事业单位用人。</w:t>
      </w:r>
      <w:r>
        <w:rPr>
          <w:rFonts w:hint="eastAsia" w:eastAsia="方正仿宋_GBK"/>
          <w:color w:val="000000"/>
          <w:spacing w:val="-2"/>
          <w:sz w:val="24"/>
        </w:rPr>
        <w:t>环卫事业单位与职工应在平等自愿、协商一致的基础上，通过签订聘用合同，明确聘用单位和受聘人员与工作有关的权利和义务，并明确依法参加社会保险的内容。环卫事业单位职工应按照国家或当地有关规定参加养老保险。</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（三）有效抵御风险。</w:t>
      </w:r>
      <w:r>
        <w:rPr>
          <w:rFonts w:hint="eastAsia" w:eastAsia="方正仿宋_GBK"/>
          <w:color w:val="000000"/>
          <w:spacing w:val="-2"/>
          <w:sz w:val="24"/>
        </w:rPr>
        <w:t>针对环卫工作特点，建立环卫职工风险保障机制。各地要将环卫职工纳入政府体制内的社会救助体系。鼓励有条件的市、县（市、区）环卫行业工会成立困难环卫职工帮扶中心（站），设立困难环卫职工救助基金，并积极引导社会各界捐助。救助基金主要用于因工伤或患有重病住院治疗且家庭特别困难的环卫职工的补助。鼓励地方组织开展环卫职工医疗互助互济活动，帮助环卫职工缓解因病致贫、因病返贫的实际问题。</w:t>
      </w:r>
      <w:r>
        <w:rPr>
          <w:rFonts w:hint="eastAsia" w:eastAsia="方正仿宋_GBK"/>
          <w:color w:val="000000"/>
          <w:spacing w:val="-2"/>
          <w:kern w:val="0"/>
          <w:sz w:val="24"/>
        </w:rPr>
        <w:t>定期组织环卫职工健康体检，每两年不得少于一次，有条件的城市应当每年一次。关爱女性环卫职工中特殊困难群体，每年免费进行</w:t>
      </w:r>
      <w:r>
        <w:rPr>
          <w:rFonts w:eastAsia="方正仿宋_GBK"/>
          <w:color w:val="000000"/>
          <w:spacing w:val="-2"/>
          <w:kern w:val="0"/>
          <w:sz w:val="24"/>
        </w:rPr>
        <w:t>“</w:t>
      </w:r>
      <w:r>
        <w:rPr>
          <w:rFonts w:hint="eastAsia" w:eastAsia="方正仿宋_GBK"/>
          <w:color w:val="000000"/>
          <w:spacing w:val="-2"/>
          <w:kern w:val="0"/>
          <w:sz w:val="24"/>
        </w:rPr>
        <w:t>两癌普查</w:t>
      </w:r>
      <w:r>
        <w:rPr>
          <w:rFonts w:eastAsia="方正仿宋_GBK"/>
          <w:color w:val="000000"/>
          <w:spacing w:val="-2"/>
          <w:kern w:val="0"/>
          <w:sz w:val="24"/>
        </w:rPr>
        <w:t>”</w:t>
      </w:r>
      <w:r>
        <w:rPr>
          <w:rFonts w:hint="eastAsia" w:eastAsia="方正仿宋_GBK"/>
          <w:color w:val="000000"/>
          <w:spacing w:val="-2"/>
          <w:kern w:val="0"/>
          <w:sz w:val="24"/>
        </w:rPr>
        <w:t>。</w:t>
      </w:r>
      <w:r>
        <w:rPr>
          <w:rFonts w:hint="eastAsia" w:eastAsia="方正仿宋_GBK"/>
          <w:color w:val="000000"/>
          <w:spacing w:val="-2"/>
          <w:sz w:val="24"/>
        </w:rPr>
        <w:t>整合社会资源，不断提升法律援助的层次和水平，为合法权益受到侵害的环卫职工提供及时有效的法律服务。</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三、切实提高职工薪资福利待遇</w:t>
      </w:r>
    </w:p>
    <w:p>
      <w:pPr>
        <w:spacing w:line="460" w:lineRule="exact"/>
        <w:ind w:firstLine="472" w:firstLineChars="200"/>
        <w:rPr>
          <w:rFonts w:hint="eastAsia" w:eastAsia="方正仿宋_GBK"/>
          <w:color w:val="000000"/>
          <w:spacing w:val="4"/>
          <w:sz w:val="24"/>
        </w:rPr>
      </w:pPr>
      <w:r>
        <w:rPr>
          <w:rFonts w:hint="eastAsia" w:ascii="Times New Roman" w:eastAsia="方正楷体_GBK"/>
          <w:color w:val="000000"/>
          <w:spacing w:val="-2"/>
          <w:sz w:val="24"/>
        </w:rPr>
        <w:t>（一）明确工资待遇</w:t>
      </w:r>
      <w:r>
        <w:rPr>
          <w:rFonts w:hint="eastAsia" w:eastAsia="方正仿宋_GBK"/>
          <w:color w:val="000000"/>
          <w:spacing w:val="4"/>
          <w:sz w:val="24"/>
        </w:rPr>
        <w:t>。各地要切实落实国家有关工资倾斜政策，保障环卫事业单位职工的工资待遇。环卫企业要完善内部工资分配制度，建立健全职工工资决定机制、正常增长机制和支付保障机制，着力提高一线环卫职工工资收入水平，一线环卫职工月工资收入不得低于当地最低工资标准的</w:t>
      </w:r>
      <w:r>
        <w:rPr>
          <w:rFonts w:eastAsia="方正仿宋_GBK"/>
          <w:color w:val="000000"/>
          <w:spacing w:val="4"/>
          <w:sz w:val="24"/>
        </w:rPr>
        <w:t>110%</w:t>
      </w:r>
      <w:r>
        <w:rPr>
          <w:rFonts w:hint="eastAsia" w:eastAsia="方正仿宋_GBK"/>
          <w:color w:val="000000"/>
          <w:spacing w:val="4"/>
          <w:sz w:val="24"/>
        </w:rPr>
        <w:t>。探索建立环卫行业有毒有害岗位津贴制度，鼓励环卫企业建立环卫一线职工工龄工资制度，稳定一线环卫职工队伍。</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（二）解决生活困难。</w:t>
      </w:r>
      <w:r>
        <w:rPr>
          <w:rFonts w:hint="eastAsia" w:eastAsia="方正仿宋_GBK"/>
          <w:color w:val="000000"/>
          <w:spacing w:val="-2"/>
          <w:sz w:val="24"/>
        </w:rPr>
        <w:t>对环卫职工住房方面给予政策倾斜，对符合当地保障性住房申请条件的环卫职工，在同等条件下可优先配租配售。根据各地实际，解决好环卫职工子女医疗和入学问题。</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（三）落实防暑降温措施</w:t>
      </w:r>
      <w:r>
        <w:rPr>
          <w:rFonts w:hint="eastAsia" w:eastAsia="方正仿宋_GBK"/>
          <w:color w:val="000000"/>
          <w:spacing w:val="-2"/>
          <w:sz w:val="24"/>
        </w:rPr>
        <w:t>。按照国家安全生产监督管理总局等部门《防暑降温措施管理办法》的要求，各地环卫企业（单位）应当为在高温天气作业的环卫职工供给足够的、符合食品安全标准的防暑降温饮料及必需的药品，并按规定发放高温津贴，防暑降温饮料和药品不能充抵高温津贴。</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（四）建立健全关爱制度。</w:t>
      </w:r>
      <w:r>
        <w:rPr>
          <w:rFonts w:hint="eastAsia" w:eastAsia="方正仿宋_GBK"/>
          <w:color w:val="000000"/>
          <w:spacing w:val="4"/>
          <w:kern w:val="0"/>
          <w:sz w:val="24"/>
        </w:rPr>
        <w:t>每逢重大节日，及时做好节日慰问工作。</w:t>
      </w:r>
      <w:r>
        <w:rPr>
          <w:rFonts w:hint="eastAsia" w:eastAsia="方正仿宋_GBK"/>
          <w:color w:val="000000"/>
          <w:spacing w:val="4"/>
          <w:sz w:val="24"/>
        </w:rPr>
        <w:t>加强对环卫职工的人文关怀，开展心理疏导，加大对环卫职工先进事迹的宣传，各项表彰和荣誉向一线环卫职工倾斜，加大环卫职工关爱力度，努力营造社会各界尊重关爱环卫职工的良好氛围。制定相关优惠政策，对连续工作满</w:t>
      </w:r>
      <w:r>
        <w:rPr>
          <w:rFonts w:eastAsia="方正仿宋_GBK"/>
          <w:color w:val="000000"/>
          <w:spacing w:val="4"/>
          <w:sz w:val="24"/>
        </w:rPr>
        <w:t>15</w:t>
      </w:r>
      <w:r>
        <w:rPr>
          <w:rFonts w:hint="eastAsia" w:eastAsia="方正仿宋_GBK"/>
          <w:color w:val="000000"/>
          <w:spacing w:val="4"/>
          <w:sz w:val="24"/>
        </w:rPr>
        <w:t>年且获得市（厅）级以上表彰或被评为市级以上劳动模范的优秀环卫工人，可享受本地居民基本福利政策待遇。</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（五）加强环卫职工教育培训</w:t>
      </w:r>
      <w:r>
        <w:rPr>
          <w:rFonts w:hint="eastAsia" w:eastAsia="方正仿宋_GBK"/>
          <w:color w:val="000000"/>
          <w:spacing w:val="-2"/>
          <w:sz w:val="24"/>
        </w:rPr>
        <w:t>。进一步建立健全职工教育培训制度，积极发挥环卫企事业单位在职业培训中的主体作用，足额提取职工教育经费，广泛开展多种形式技能培训，强化实际操作技能训练和职业素质培养。</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四、改善环卫作业条件</w:t>
      </w:r>
    </w:p>
    <w:p>
      <w:pPr>
        <w:spacing w:line="460" w:lineRule="exact"/>
        <w:ind w:firstLine="472" w:firstLineChars="200"/>
        <w:rPr>
          <w:rFonts w:hint="eastAsia" w:eastAsia="方正仿宋_GBK"/>
          <w:color w:val="000000"/>
          <w:spacing w:val="-2"/>
          <w:sz w:val="24"/>
        </w:rPr>
      </w:pPr>
      <w:r>
        <w:rPr>
          <w:rFonts w:hint="eastAsia" w:ascii="Times New Roman" w:eastAsia="方正楷体_GBK"/>
          <w:color w:val="000000"/>
          <w:spacing w:val="-2"/>
          <w:sz w:val="24"/>
        </w:rPr>
        <w:t>（一）保障休息时间。</w:t>
      </w:r>
      <w:r>
        <w:rPr>
          <w:rFonts w:hint="eastAsia" w:eastAsia="方正仿宋_GBK"/>
          <w:color w:val="000000"/>
          <w:spacing w:val="-2"/>
          <w:sz w:val="24"/>
        </w:rPr>
        <w:t>严格执行《职工带薪年休假条例》和相关休假规定，合理安排环卫职工工作量和休息时间，超过法定工作时间的，要按照国家有关规定安排补休或支付加班工资。各地要根据《城镇环境卫生设施设置标准》要求，做好规划布局和控制，合理设置环卫职工休息场所，提供适当的装备和器材，为环卫职工工间休息和车辆停放提供良好的条件。鼓励各地充分挖掘政府机关、企事业单位、居民小区等社会资源，建设环卫职工工间休息场所。</w:t>
      </w:r>
    </w:p>
    <w:p>
      <w:pPr>
        <w:spacing w:line="46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（二）强化作业安全。</w:t>
      </w:r>
      <w:r>
        <w:rPr>
          <w:rFonts w:hint="eastAsia" w:eastAsia="方正仿宋_GBK"/>
          <w:color w:val="000000"/>
          <w:spacing w:val="-2"/>
          <w:sz w:val="24"/>
        </w:rPr>
        <w:t>推进工会与环卫企业（单位）签订劳动保护专项集体合同，从源头落实环卫职工的劳动保护和安全生产工作。严格执行安全生产责任制和环卫安全作业规范，重点做好道路清扫保洁、粪便清运处理、垃圾处理等一线作业人员的安全保障工作，完善应对极端天气工作预案，落实人身安全防护措施，有效防范各类安全事故。要采取切实措施，加强环卫作业道路安全管理，严格执行国家和地方环卫清扫车辆有关安全作业标准，严禁清扫作业车辆在道路上逆向行驶或者随意变更车道。要完善和落实道路清扫作业人员安全防护措施，按照规范设置安全标志和设施，环卫职工进行人工道路清扫作业时应配备使用具有警示和反光性能的安全服和安全帽，有条件的，要划出临时清扫作业区并设置交通围挡。加强环卫职工安全生产知识的培训教育，强化环卫职工安全防范意识，提高环卫职工安全生产素质，增强环卫职工的安全操作技能和自我保护能力，环卫企业（单位）要免费为环卫工人提供安全防护用品。要依法妥善处理环卫作业中发生的交通事故，造成环卫职工伤亡的，积极做好损害赔偿纠纷调解工作，切实维护环卫职工的合法权益。</w:t>
      </w:r>
    </w:p>
    <w:p>
      <w:pPr>
        <w:spacing w:line="48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（三）加强职业病防治。</w:t>
      </w:r>
      <w:r>
        <w:rPr>
          <w:rFonts w:hint="eastAsia" w:eastAsia="方正仿宋_GBK"/>
          <w:color w:val="000000"/>
          <w:spacing w:val="-2"/>
          <w:sz w:val="24"/>
        </w:rPr>
        <w:t>环卫企业（单位）的主要负责人和职业卫生管理人员应当遵守职业病防治法律、法规，接受职业卫生培训，依法组织本单位的职业病防治工作，落实各项职业病防治措施。环卫企业（单位）要建立健全环卫职工职业卫生管理制度、职业卫生档案和劳动者健康监护档案，对环卫职工要进行上岗前和在岗期间的职业卫生培训。加强密闭空间作业的环卫职工的个体防护，加强尘毒、高温及生物等职业病危害因素的防控工作。开展环卫职业卫生的研究和专用劳动保护用品的研发。对从事接触职业病危害因素作业的环卫职工依法组织开展职业健康检查，配备必要的劳动防护用品。推广建立一线职工健康疗养制度。</w:t>
      </w:r>
    </w:p>
    <w:p>
      <w:pPr>
        <w:spacing w:line="480" w:lineRule="exact"/>
        <w:ind w:firstLine="472" w:firstLineChars="200"/>
        <w:rPr>
          <w:rFonts w:eastAsia="方正仿宋_GBK"/>
          <w:color w:val="000000"/>
          <w:spacing w:val="-2"/>
          <w:sz w:val="24"/>
        </w:rPr>
      </w:pPr>
      <w:r>
        <w:rPr>
          <w:rFonts w:hint="eastAsia" w:eastAsia="方正仿宋_GBK"/>
          <w:color w:val="000000"/>
          <w:spacing w:val="-2"/>
          <w:sz w:val="24"/>
        </w:rPr>
        <w:t>（四）逐步提高环卫机械化作业比例。要积极采用先进适用的机械化清扫方式，增加机扫、洒水等作业车辆，不断扩大机械化作业范围和区域，到</w:t>
      </w:r>
      <w:r>
        <w:rPr>
          <w:rFonts w:eastAsia="方正仿宋_GBK"/>
          <w:color w:val="000000"/>
          <w:spacing w:val="-2"/>
          <w:sz w:val="24"/>
        </w:rPr>
        <w:t>2015</w:t>
      </w:r>
      <w:r>
        <w:rPr>
          <w:rFonts w:hint="eastAsia" w:eastAsia="方正仿宋_GBK"/>
          <w:color w:val="000000"/>
          <w:spacing w:val="-2"/>
          <w:sz w:val="24"/>
        </w:rPr>
        <w:t>年底基本实现全省城市主次干道机械化清扫。同时，认真核定工作定额，逐步减轻一线环卫职工劳动强度，提高作业安全系数。</w:t>
      </w:r>
    </w:p>
    <w:p>
      <w:pPr>
        <w:spacing w:line="48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五、努力为保障环卫行业职工合法权益创造良好氛围</w:t>
      </w:r>
    </w:p>
    <w:p>
      <w:pPr>
        <w:spacing w:line="480" w:lineRule="exact"/>
        <w:ind w:firstLine="472" w:firstLineChars="200"/>
        <w:rPr>
          <w:rFonts w:hint="eastAsia" w:eastAsia="方正仿宋_GBK"/>
          <w:color w:val="000000"/>
          <w:spacing w:val="-2"/>
          <w:sz w:val="24"/>
        </w:rPr>
      </w:pPr>
      <w:r>
        <w:rPr>
          <w:rFonts w:hint="eastAsia" w:ascii="Times New Roman" w:eastAsia="方正楷体_GBK"/>
          <w:color w:val="000000"/>
          <w:spacing w:val="-2"/>
          <w:sz w:val="24"/>
        </w:rPr>
        <w:t>（一）加大资金投入。</w:t>
      </w:r>
      <w:r>
        <w:rPr>
          <w:rFonts w:hint="eastAsia" w:eastAsia="方正仿宋_GBK"/>
          <w:color w:val="000000"/>
          <w:spacing w:val="-2"/>
          <w:sz w:val="24"/>
        </w:rPr>
        <w:t>省级城镇基础设施建设引导资金加大对各地垃圾处理设施建设、机械化清扫车辆设备等支持力度。各地要加大对环卫职工权益保障工作的投入，重点保障环卫职工工资福利和休息场所建设，按照国家、省及各地环境卫生劳动定额向作业单位核拨经费。</w:t>
      </w:r>
    </w:p>
    <w:p>
      <w:pPr>
        <w:spacing w:line="480" w:lineRule="exact"/>
        <w:ind w:firstLine="472" w:firstLineChars="200"/>
        <w:rPr>
          <w:rFonts w:eastAsia="方正仿宋_GBK"/>
          <w:color w:val="000000"/>
          <w:spacing w:val="-2"/>
          <w:sz w:val="24"/>
        </w:rPr>
      </w:pPr>
      <w:r>
        <w:rPr>
          <w:rFonts w:hint="eastAsia" w:ascii="Times New Roman" w:eastAsia="方正楷体_GBK"/>
          <w:color w:val="000000"/>
          <w:spacing w:val="-2"/>
          <w:sz w:val="24"/>
        </w:rPr>
        <w:t>（二）落实各级责任。</w:t>
      </w:r>
      <w:r>
        <w:rPr>
          <w:rFonts w:hint="eastAsia" w:eastAsia="方正仿宋_GBK"/>
          <w:color w:val="000000"/>
          <w:spacing w:val="-2"/>
          <w:sz w:val="24"/>
        </w:rPr>
        <w:t>环卫职工权益保障工作的主要责任在地方政府有关部门，省各有关部门做好指导工作。省住房城乡建设厅牵头会同有关部门建立部门协调机制，协调解决有关问题。</w:t>
      </w:r>
    </w:p>
    <w:p>
      <w:pPr>
        <w:spacing w:line="480" w:lineRule="exact"/>
        <w:ind w:firstLine="472" w:firstLineChars="200"/>
        <w:rPr>
          <w:rFonts w:eastAsia="方正仿宋_GBK"/>
          <w:color w:val="000000"/>
          <w:spacing w:val="-2"/>
          <w:sz w:val="24"/>
        </w:rPr>
      </w:pPr>
      <w:r>
        <w:rPr>
          <w:rFonts w:hint="eastAsia" w:ascii="Times New Roman" w:eastAsia="方正楷体_GBK"/>
          <w:color w:val="000000"/>
          <w:spacing w:val="-2"/>
          <w:sz w:val="24"/>
        </w:rPr>
        <w:t>（三）加强监督管理。</w:t>
      </w:r>
      <w:r>
        <w:rPr>
          <w:rFonts w:hint="eastAsia" w:eastAsia="方正仿宋_GBK"/>
          <w:color w:val="000000"/>
          <w:spacing w:val="-2"/>
          <w:sz w:val="24"/>
        </w:rPr>
        <w:t>加大对环卫行业用工和工资福利政策执行情况的监督检查力度，限期整改出现的问题。省住房城乡建设厅牵头建立环卫行业职工合法权益保障工作落实情况的考核制度，并定期开展检查通报。加大工会劳动法律监督力度，对环卫企业（单位）遵守劳动法律、保障环卫职工合法权益情况进行监督，维护环卫职工的合法权益。各地要将环卫职工权益保障工作情况纳入环卫企业市场准入和评价条件，完善行业进入及退出机制，规范环卫企业用工行为，对拒不落实国家、省和地方有关保障环卫职工权益要求的企业，要坚决予以清退。要严肃查处殴打侮辱环卫职工事件。</w:t>
      </w:r>
    </w:p>
    <w:p>
      <w:pPr>
        <w:spacing w:line="480" w:lineRule="exact"/>
        <w:ind w:firstLine="472" w:firstLineChars="200"/>
        <w:rPr>
          <w:rFonts w:eastAsia="方正仿宋_GBK"/>
          <w:color w:val="000000"/>
          <w:spacing w:val="-2"/>
          <w:sz w:val="24"/>
        </w:rPr>
      </w:pPr>
      <w:r>
        <w:rPr>
          <w:rFonts w:hint="eastAsia" w:ascii="Times New Roman" w:eastAsia="方正楷体_GBK"/>
          <w:color w:val="000000"/>
          <w:spacing w:val="-2"/>
          <w:sz w:val="24"/>
        </w:rPr>
        <w:t>（四）做好宣传教育。</w:t>
      </w:r>
      <w:r>
        <w:rPr>
          <w:rFonts w:hint="eastAsia" w:eastAsia="方正仿宋_GBK"/>
          <w:color w:val="000000"/>
          <w:spacing w:val="-2"/>
          <w:sz w:val="24"/>
        </w:rPr>
        <w:t>各地要结合</w:t>
      </w:r>
      <w:r>
        <w:rPr>
          <w:rFonts w:eastAsia="方正仿宋_GBK"/>
          <w:color w:val="000000"/>
          <w:spacing w:val="-2"/>
          <w:sz w:val="24"/>
        </w:rPr>
        <w:t>“</w:t>
      </w:r>
      <w:r>
        <w:rPr>
          <w:rFonts w:hint="eastAsia" w:eastAsia="方正仿宋_GBK"/>
          <w:color w:val="000000"/>
          <w:spacing w:val="-2"/>
          <w:sz w:val="24"/>
        </w:rPr>
        <w:t>五一劳动节</w:t>
      </w:r>
      <w:r>
        <w:rPr>
          <w:rFonts w:eastAsia="方正仿宋_GBK"/>
          <w:color w:val="000000"/>
          <w:spacing w:val="-2"/>
          <w:sz w:val="24"/>
        </w:rPr>
        <w:t>”</w:t>
      </w:r>
      <w:r>
        <w:rPr>
          <w:rFonts w:hint="eastAsia" w:eastAsia="方正仿宋_GBK"/>
          <w:color w:val="000000"/>
          <w:spacing w:val="-2"/>
          <w:sz w:val="24"/>
        </w:rPr>
        <w:t>等节日和活动，丰富环卫职工业余生活。借助各类媒体大力宣传环卫工作的重要意义和作用，弘扬环卫职工的奉献精神。教育群众尊重环卫职工的劳动成果，引导鼓励社会各界开展向环卫职工献爱心活动，树立尊重环卫职工的良好社会风气。</w:t>
      </w:r>
    </w:p>
    <w:p>
      <w:pPr>
        <w:spacing w:line="460" w:lineRule="exact"/>
        <w:ind w:firstLine="432"/>
        <w:rPr>
          <w:rFonts w:eastAsia="方正仿宋_GBK"/>
          <w:color w:val="000000"/>
          <w:spacing w:val="-2"/>
          <w:sz w:val="24"/>
        </w:rPr>
      </w:pPr>
    </w:p>
    <w:p>
      <w:pPr>
        <w:wordWrap w:val="0"/>
        <w:spacing w:line="460" w:lineRule="exact"/>
        <w:ind w:firstLine="720" w:firstLineChars="250"/>
        <w:jc w:val="right"/>
        <w:rPr>
          <w:rFonts w:eastAsia="方正仿宋_GBK"/>
          <w:color w:val="000000"/>
          <w:spacing w:val="54"/>
          <w:kern w:val="0"/>
          <w:sz w:val="24"/>
        </w:rPr>
      </w:pPr>
      <w:r>
        <w:rPr>
          <w:rFonts w:hint="eastAsia" w:eastAsia="方正仿宋_GBK"/>
          <w:color w:val="000000"/>
          <w:spacing w:val="24"/>
          <w:kern w:val="0"/>
          <w:sz w:val="24"/>
        </w:rPr>
        <w:t>江苏省住房和城乡建设</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ind w:firstLine="600" w:firstLineChars="250"/>
        <w:jc w:val="right"/>
        <w:rPr>
          <w:rFonts w:eastAsia="方正仿宋_GBK"/>
          <w:color w:val="000000"/>
          <w:spacing w:val="54"/>
          <w:kern w:val="0"/>
          <w:sz w:val="24"/>
        </w:rPr>
      </w:pPr>
      <w:r>
        <w:rPr>
          <w:rFonts w:hint="eastAsia" w:eastAsia="方正仿宋_GBK"/>
          <w:color w:val="000000"/>
          <w:kern w:val="0"/>
          <w:sz w:val="24"/>
        </w:rPr>
        <w:t>江苏省人力资源和社会保障厅</w:t>
      </w:r>
      <w:r>
        <w:rPr>
          <w:rFonts w:eastAsia="方正仿宋_GBK"/>
          <w:color w:val="000000"/>
          <w:kern w:val="0"/>
          <w:sz w:val="24"/>
        </w:rPr>
        <w:t xml:space="preserve">    </w:t>
      </w:r>
    </w:p>
    <w:p>
      <w:pPr>
        <w:wordWrap w:val="0"/>
        <w:spacing w:line="460" w:lineRule="exact"/>
        <w:ind w:firstLine="870" w:firstLineChars="250"/>
        <w:jc w:val="right"/>
        <w:rPr>
          <w:rFonts w:eastAsia="方正仿宋_GBK"/>
          <w:color w:val="000000"/>
          <w:spacing w:val="24"/>
          <w:kern w:val="0"/>
          <w:sz w:val="24"/>
        </w:rPr>
      </w:pPr>
      <w:r>
        <w:rPr>
          <w:rFonts w:hint="eastAsia" w:eastAsia="方正仿宋_GBK"/>
          <w:color w:val="000000"/>
          <w:spacing w:val="54"/>
          <w:kern w:val="0"/>
          <w:sz w:val="24"/>
        </w:rPr>
        <w:t>江</w:t>
      </w:r>
      <w:r>
        <w:rPr>
          <w:rFonts w:eastAsia="方正仿宋_GBK"/>
          <w:color w:val="000000"/>
          <w:spacing w:val="54"/>
          <w:kern w:val="0"/>
          <w:sz w:val="24"/>
        </w:rPr>
        <w:t xml:space="preserve"> </w:t>
      </w:r>
      <w:r>
        <w:rPr>
          <w:rFonts w:hint="eastAsia" w:eastAsia="方正仿宋_GBK"/>
          <w:color w:val="000000"/>
          <w:spacing w:val="54"/>
          <w:kern w:val="0"/>
          <w:sz w:val="24"/>
        </w:rPr>
        <w:t>苏</w:t>
      </w:r>
      <w:r>
        <w:rPr>
          <w:rFonts w:eastAsia="方正仿宋_GBK"/>
          <w:color w:val="000000"/>
          <w:spacing w:val="54"/>
          <w:kern w:val="0"/>
          <w:sz w:val="24"/>
        </w:rPr>
        <w:t xml:space="preserve"> </w:t>
      </w:r>
      <w:r>
        <w:rPr>
          <w:rFonts w:hint="eastAsia" w:eastAsia="方正仿宋_GBK"/>
          <w:color w:val="000000"/>
          <w:spacing w:val="54"/>
          <w:kern w:val="0"/>
          <w:sz w:val="24"/>
        </w:rPr>
        <w:t>省</w:t>
      </w:r>
      <w:r>
        <w:rPr>
          <w:rFonts w:eastAsia="方正仿宋_GBK"/>
          <w:color w:val="000000"/>
          <w:spacing w:val="54"/>
          <w:kern w:val="0"/>
          <w:sz w:val="24"/>
        </w:rPr>
        <w:t xml:space="preserve"> </w:t>
      </w:r>
      <w:r>
        <w:rPr>
          <w:rFonts w:hint="eastAsia" w:eastAsia="方正仿宋_GBK"/>
          <w:color w:val="000000"/>
          <w:spacing w:val="54"/>
          <w:kern w:val="0"/>
          <w:sz w:val="24"/>
        </w:rPr>
        <w:t>公</w:t>
      </w:r>
      <w:r>
        <w:rPr>
          <w:rFonts w:eastAsia="方正仿宋_GBK"/>
          <w:color w:val="000000"/>
          <w:spacing w:val="54"/>
          <w:kern w:val="0"/>
          <w:sz w:val="24"/>
        </w:rPr>
        <w:t xml:space="preserve"> </w:t>
      </w:r>
      <w:r>
        <w:rPr>
          <w:rFonts w:hint="eastAsia" w:eastAsia="方正仿宋_GBK"/>
          <w:color w:val="000000"/>
          <w:spacing w:val="54"/>
          <w:kern w:val="0"/>
          <w:sz w:val="24"/>
        </w:rPr>
        <w:t>安</w:t>
      </w:r>
      <w:r>
        <w:rPr>
          <w:rFonts w:eastAsia="方正仿宋_GBK"/>
          <w:color w:val="000000"/>
          <w:spacing w:val="54"/>
          <w:kern w:val="0"/>
          <w:sz w:val="24"/>
        </w:rPr>
        <w:t xml:space="preserve"> </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ind w:firstLine="870" w:firstLineChars="250"/>
        <w:jc w:val="right"/>
        <w:rPr>
          <w:rFonts w:eastAsia="方正仿宋_GBK"/>
          <w:color w:val="000000"/>
          <w:spacing w:val="24"/>
          <w:kern w:val="0"/>
          <w:sz w:val="24"/>
        </w:rPr>
      </w:pPr>
      <w:r>
        <w:rPr>
          <w:rFonts w:hint="eastAsia" w:eastAsia="方正仿宋_GBK"/>
          <w:color w:val="000000"/>
          <w:spacing w:val="54"/>
          <w:kern w:val="0"/>
          <w:sz w:val="24"/>
        </w:rPr>
        <w:t>江</w:t>
      </w:r>
      <w:r>
        <w:rPr>
          <w:rFonts w:eastAsia="方正仿宋_GBK"/>
          <w:color w:val="000000"/>
          <w:spacing w:val="54"/>
          <w:kern w:val="0"/>
          <w:sz w:val="24"/>
        </w:rPr>
        <w:t xml:space="preserve"> </w:t>
      </w:r>
      <w:r>
        <w:rPr>
          <w:rFonts w:hint="eastAsia" w:eastAsia="方正仿宋_GBK"/>
          <w:color w:val="000000"/>
          <w:spacing w:val="54"/>
          <w:kern w:val="0"/>
          <w:sz w:val="24"/>
        </w:rPr>
        <w:t>苏</w:t>
      </w:r>
      <w:r>
        <w:rPr>
          <w:rFonts w:eastAsia="方正仿宋_GBK"/>
          <w:color w:val="000000"/>
          <w:spacing w:val="54"/>
          <w:kern w:val="0"/>
          <w:sz w:val="24"/>
        </w:rPr>
        <w:t xml:space="preserve"> </w:t>
      </w:r>
      <w:r>
        <w:rPr>
          <w:rFonts w:hint="eastAsia" w:eastAsia="方正仿宋_GBK"/>
          <w:color w:val="000000"/>
          <w:spacing w:val="54"/>
          <w:kern w:val="0"/>
          <w:sz w:val="24"/>
        </w:rPr>
        <w:t>省</w:t>
      </w:r>
      <w:r>
        <w:rPr>
          <w:rFonts w:eastAsia="方正仿宋_GBK"/>
          <w:color w:val="000000"/>
          <w:spacing w:val="54"/>
          <w:kern w:val="0"/>
          <w:sz w:val="24"/>
        </w:rPr>
        <w:t xml:space="preserve"> </w:t>
      </w:r>
      <w:r>
        <w:rPr>
          <w:rFonts w:hint="eastAsia" w:eastAsia="方正仿宋_GBK"/>
          <w:color w:val="000000"/>
          <w:spacing w:val="54"/>
          <w:kern w:val="0"/>
          <w:sz w:val="24"/>
        </w:rPr>
        <w:t>财</w:t>
      </w:r>
      <w:r>
        <w:rPr>
          <w:rFonts w:eastAsia="方正仿宋_GBK"/>
          <w:color w:val="000000"/>
          <w:spacing w:val="54"/>
          <w:kern w:val="0"/>
          <w:sz w:val="24"/>
        </w:rPr>
        <w:t xml:space="preserve"> </w:t>
      </w:r>
      <w:r>
        <w:rPr>
          <w:rFonts w:hint="eastAsia" w:eastAsia="方正仿宋_GBK"/>
          <w:color w:val="000000"/>
          <w:spacing w:val="54"/>
          <w:kern w:val="0"/>
          <w:sz w:val="24"/>
        </w:rPr>
        <w:t>政</w:t>
      </w:r>
      <w:r>
        <w:rPr>
          <w:rFonts w:eastAsia="方正仿宋_GBK"/>
          <w:color w:val="000000"/>
          <w:spacing w:val="54"/>
          <w:kern w:val="0"/>
          <w:sz w:val="24"/>
        </w:rPr>
        <w:t xml:space="preserve"> </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ind w:firstLine="870" w:firstLineChars="250"/>
        <w:jc w:val="right"/>
        <w:rPr>
          <w:rFonts w:eastAsia="方正仿宋_GBK"/>
          <w:color w:val="000000"/>
          <w:spacing w:val="24"/>
          <w:kern w:val="0"/>
          <w:sz w:val="24"/>
        </w:rPr>
      </w:pPr>
      <w:r>
        <w:rPr>
          <w:rFonts w:hint="eastAsia" w:eastAsia="方正仿宋_GBK"/>
          <w:color w:val="000000"/>
          <w:spacing w:val="54"/>
          <w:kern w:val="0"/>
          <w:sz w:val="24"/>
        </w:rPr>
        <w:t>江</w:t>
      </w:r>
      <w:r>
        <w:rPr>
          <w:rFonts w:eastAsia="方正仿宋_GBK"/>
          <w:color w:val="000000"/>
          <w:spacing w:val="54"/>
          <w:kern w:val="0"/>
          <w:sz w:val="24"/>
        </w:rPr>
        <w:t xml:space="preserve"> </w:t>
      </w:r>
      <w:r>
        <w:rPr>
          <w:rFonts w:hint="eastAsia" w:eastAsia="方正仿宋_GBK"/>
          <w:color w:val="000000"/>
          <w:spacing w:val="54"/>
          <w:kern w:val="0"/>
          <w:sz w:val="24"/>
        </w:rPr>
        <w:t>苏</w:t>
      </w:r>
      <w:r>
        <w:rPr>
          <w:rFonts w:eastAsia="方正仿宋_GBK"/>
          <w:color w:val="000000"/>
          <w:spacing w:val="54"/>
          <w:kern w:val="0"/>
          <w:sz w:val="24"/>
        </w:rPr>
        <w:t xml:space="preserve"> </w:t>
      </w:r>
      <w:r>
        <w:rPr>
          <w:rFonts w:hint="eastAsia" w:eastAsia="方正仿宋_GBK"/>
          <w:color w:val="000000"/>
          <w:spacing w:val="54"/>
          <w:kern w:val="0"/>
          <w:sz w:val="24"/>
        </w:rPr>
        <w:t>省</w:t>
      </w:r>
      <w:r>
        <w:rPr>
          <w:rFonts w:eastAsia="方正仿宋_GBK"/>
          <w:color w:val="000000"/>
          <w:spacing w:val="54"/>
          <w:kern w:val="0"/>
          <w:sz w:val="24"/>
        </w:rPr>
        <w:t xml:space="preserve"> </w:t>
      </w:r>
      <w:r>
        <w:rPr>
          <w:rFonts w:hint="eastAsia" w:eastAsia="方正仿宋_GBK"/>
          <w:color w:val="000000"/>
          <w:spacing w:val="54"/>
          <w:kern w:val="0"/>
          <w:sz w:val="24"/>
        </w:rPr>
        <w:t>卫</w:t>
      </w:r>
      <w:r>
        <w:rPr>
          <w:rFonts w:eastAsia="方正仿宋_GBK"/>
          <w:color w:val="000000"/>
          <w:spacing w:val="54"/>
          <w:kern w:val="0"/>
          <w:sz w:val="24"/>
        </w:rPr>
        <w:t xml:space="preserve"> </w:t>
      </w:r>
      <w:r>
        <w:rPr>
          <w:rFonts w:hint="eastAsia" w:eastAsia="方正仿宋_GBK"/>
          <w:color w:val="000000"/>
          <w:spacing w:val="54"/>
          <w:kern w:val="0"/>
          <w:sz w:val="24"/>
        </w:rPr>
        <w:t>生</w:t>
      </w:r>
      <w:r>
        <w:rPr>
          <w:rFonts w:eastAsia="方正仿宋_GBK"/>
          <w:color w:val="000000"/>
          <w:spacing w:val="54"/>
          <w:kern w:val="0"/>
          <w:sz w:val="24"/>
        </w:rPr>
        <w:t xml:space="preserve"> </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ind w:firstLine="655" w:firstLineChars="250"/>
        <w:jc w:val="right"/>
        <w:rPr>
          <w:rFonts w:eastAsia="方正仿宋_GBK"/>
          <w:color w:val="000000"/>
          <w:spacing w:val="24"/>
          <w:kern w:val="0"/>
          <w:sz w:val="24"/>
        </w:rPr>
      </w:pPr>
      <w:r>
        <w:rPr>
          <w:rFonts w:hint="eastAsia" w:eastAsia="方正仿宋_GBK"/>
          <w:color w:val="000000"/>
          <w:spacing w:val="11"/>
          <w:kern w:val="0"/>
          <w:sz w:val="24"/>
        </w:rPr>
        <w:t>江苏省安全生产监督管理</w:t>
      </w:r>
      <w:r>
        <w:rPr>
          <w:rFonts w:hint="eastAsia" w:eastAsia="方正仿宋_GBK"/>
          <w:color w:val="000000"/>
          <w:spacing w:val="-1"/>
          <w:kern w:val="0"/>
          <w:sz w:val="24"/>
        </w:rPr>
        <w:t>局</w:t>
      </w:r>
      <w:r>
        <w:rPr>
          <w:rFonts w:eastAsia="方正仿宋_GBK"/>
          <w:color w:val="000000"/>
          <w:kern w:val="0"/>
          <w:sz w:val="24"/>
        </w:rPr>
        <w:t xml:space="preserve">    </w:t>
      </w:r>
    </w:p>
    <w:p>
      <w:pPr>
        <w:wordWrap w:val="0"/>
        <w:spacing w:line="460" w:lineRule="exact"/>
        <w:ind w:firstLine="870" w:firstLineChars="250"/>
        <w:jc w:val="right"/>
        <w:rPr>
          <w:rFonts w:eastAsia="方正仿宋_GBK"/>
          <w:color w:val="000000"/>
          <w:spacing w:val="54"/>
          <w:kern w:val="0"/>
          <w:sz w:val="24"/>
        </w:rPr>
      </w:pPr>
      <w:r>
        <w:rPr>
          <w:rFonts w:hint="eastAsia" w:eastAsia="方正仿宋_GBK"/>
          <w:color w:val="000000"/>
          <w:spacing w:val="54"/>
          <w:kern w:val="0"/>
          <w:sz w:val="24"/>
        </w:rPr>
        <w:t>江</w:t>
      </w:r>
      <w:r>
        <w:rPr>
          <w:rFonts w:eastAsia="方正仿宋_GBK"/>
          <w:color w:val="000000"/>
          <w:spacing w:val="54"/>
          <w:kern w:val="0"/>
          <w:sz w:val="24"/>
        </w:rPr>
        <w:t xml:space="preserve"> </w:t>
      </w:r>
      <w:r>
        <w:rPr>
          <w:rFonts w:hint="eastAsia" w:eastAsia="方正仿宋_GBK"/>
          <w:color w:val="000000"/>
          <w:spacing w:val="54"/>
          <w:kern w:val="0"/>
          <w:sz w:val="24"/>
        </w:rPr>
        <w:t>苏</w:t>
      </w:r>
      <w:r>
        <w:rPr>
          <w:rFonts w:eastAsia="方正仿宋_GBK"/>
          <w:color w:val="000000"/>
          <w:spacing w:val="54"/>
          <w:kern w:val="0"/>
          <w:sz w:val="24"/>
        </w:rPr>
        <w:t xml:space="preserve"> </w:t>
      </w:r>
      <w:r>
        <w:rPr>
          <w:rFonts w:hint="eastAsia" w:eastAsia="方正仿宋_GBK"/>
          <w:color w:val="000000"/>
          <w:spacing w:val="54"/>
          <w:kern w:val="0"/>
          <w:sz w:val="24"/>
        </w:rPr>
        <w:t>省</w:t>
      </w:r>
      <w:r>
        <w:rPr>
          <w:rFonts w:eastAsia="方正仿宋_GBK"/>
          <w:color w:val="000000"/>
          <w:spacing w:val="54"/>
          <w:kern w:val="0"/>
          <w:sz w:val="24"/>
        </w:rPr>
        <w:t xml:space="preserve"> </w:t>
      </w:r>
      <w:r>
        <w:rPr>
          <w:rFonts w:hint="eastAsia" w:eastAsia="方正仿宋_GBK"/>
          <w:color w:val="000000"/>
          <w:spacing w:val="54"/>
          <w:kern w:val="0"/>
          <w:sz w:val="24"/>
        </w:rPr>
        <w:t>总</w:t>
      </w:r>
      <w:r>
        <w:rPr>
          <w:rFonts w:eastAsia="方正仿宋_GBK"/>
          <w:color w:val="000000"/>
          <w:spacing w:val="54"/>
          <w:kern w:val="0"/>
          <w:sz w:val="24"/>
        </w:rPr>
        <w:t xml:space="preserve"> </w:t>
      </w:r>
      <w:r>
        <w:rPr>
          <w:rFonts w:hint="eastAsia" w:eastAsia="方正仿宋_GBK"/>
          <w:color w:val="000000"/>
          <w:spacing w:val="54"/>
          <w:kern w:val="0"/>
          <w:sz w:val="24"/>
        </w:rPr>
        <w:t>工</w:t>
      </w:r>
      <w:r>
        <w:rPr>
          <w:rFonts w:eastAsia="方正仿宋_GBK"/>
          <w:color w:val="000000"/>
          <w:spacing w:val="54"/>
          <w:kern w:val="0"/>
          <w:sz w:val="24"/>
        </w:rPr>
        <w:t xml:space="preserve"> </w:t>
      </w:r>
      <w:r>
        <w:rPr>
          <w:rFonts w:hint="eastAsia" w:eastAsia="方正仿宋_GBK"/>
          <w:color w:val="000000"/>
          <w:kern w:val="0"/>
          <w:sz w:val="24"/>
        </w:rPr>
        <w:t>会</w:t>
      </w:r>
      <w:r>
        <w:rPr>
          <w:rFonts w:eastAsia="方正仿宋_GBK"/>
          <w:color w:val="000000"/>
          <w:kern w:val="0"/>
          <w:sz w:val="24"/>
        </w:rPr>
        <w:t xml:space="preserve">    </w:t>
      </w:r>
    </w:p>
    <w:p>
      <w:pPr>
        <w:spacing w:line="460" w:lineRule="exact"/>
        <w:ind w:firstLine="450" w:firstLineChars="200"/>
        <w:rPr>
          <w:rFonts w:eastAsia="方正仿宋_GBK"/>
          <w:color w:val="000000"/>
          <w:spacing w:val="-2"/>
          <w:sz w:val="24"/>
        </w:rPr>
      </w:pPr>
      <w:r>
        <w:rPr>
          <w:rFonts w:eastAsia="方正仿宋_GBK"/>
          <w:color w:val="000000"/>
          <w:w w:val="94"/>
          <w:kern w:val="0"/>
          <w:sz w:val="24"/>
        </w:rPr>
        <w:t xml:space="preserve">                 </w:t>
      </w:r>
      <w:r>
        <w:rPr>
          <w:rFonts w:eastAsia="方正仿宋_GBK"/>
          <w:color w:val="000000"/>
          <w:spacing w:val="21"/>
          <w:w w:val="94"/>
          <w:kern w:val="0"/>
          <w:sz w:val="24"/>
        </w:rPr>
        <w:t xml:space="preserve"> </w:t>
      </w:r>
      <w:r>
        <w:rPr>
          <w:rFonts w:eastAsia="方正仿宋_GBK"/>
          <w:color w:val="000000"/>
          <w:spacing w:val="-2"/>
          <w:sz w:val="24"/>
        </w:rPr>
        <w:t xml:space="preserve">                             2012</w:t>
      </w:r>
      <w:r>
        <w:rPr>
          <w:rFonts w:hint="eastAsia" w:eastAsia="方正仿宋_GBK"/>
          <w:color w:val="000000"/>
          <w:spacing w:val="-2"/>
          <w:sz w:val="24"/>
        </w:rPr>
        <w:t>年</w:t>
      </w:r>
      <w:r>
        <w:rPr>
          <w:rFonts w:eastAsia="方正仿宋_GBK"/>
          <w:color w:val="000000"/>
          <w:spacing w:val="-2"/>
          <w:sz w:val="24"/>
        </w:rPr>
        <w:t>11</w:t>
      </w:r>
      <w:r>
        <w:rPr>
          <w:rFonts w:hint="eastAsia" w:eastAsia="方正仿宋_GBK"/>
          <w:color w:val="000000"/>
          <w:spacing w:val="-2"/>
          <w:sz w:val="24"/>
        </w:rPr>
        <w:t>月</w:t>
      </w:r>
      <w:r>
        <w:rPr>
          <w:rFonts w:eastAsia="方正仿宋_GBK"/>
          <w:color w:val="000000"/>
          <w:spacing w:val="-2"/>
          <w:sz w:val="24"/>
        </w:rPr>
        <w:t>5</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ind w:firstLine="472" w:firstLineChars="200"/>
        <w:outlineLvl w:val="0"/>
        <w:rPr>
          <w:rFonts w:eastAsia="方正仿宋_GBK"/>
          <w:color w:val="000000"/>
          <w:spacing w:val="-2"/>
          <w:kern w:val="0"/>
          <w:sz w:val="24"/>
        </w:rPr>
      </w:pPr>
    </w:p>
    <w:p>
      <w:pPr>
        <w:spacing w:line="460" w:lineRule="exact"/>
        <w:ind w:firstLine="472" w:firstLineChars="200"/>
        <w:outlineLvl w:val="0"/>
        <w:rPr>
          <w:rFonts w:eastAsia="方正仿宋_GBK"/>
          <w:color w:val="000000"/>
          <w:spacing w:val="-2"/>
          <w:kern w:val="0"/>
          <w:sz w:val="24"/>
        </w:rPr>
      </w:pPr>
    </w:p>
    <w:p>
      <w:pPr>
        <w:pStyle w:val="2"/>
        <w:spacing w:before="240" w:beforeLines="100" w:after="240" w:afterLines="100" w:line="240" w:lineRule="auto"/>
        <w:jc w:val="center"/>
        <w:rPr>
          <w:rFonts w:ascii="Times New Roman" w:eastAsia="方正小标宋_GBK"/>
          <w:b w:val="0"/>
          <w:sz w:val="36"/>
          <w:szCs w:val="36"/>
        </w:rPr>
      </w:pPr>
      <w:r>
        <w:rPr>
          <w:rFonts w:eastAsia="方正仿宋_GBK"/>
          <w:b w:val="0"/>
          <w:color w:val="000000"/>
          <w:spacing w:val="-2"/>
          <w:kern w:val="0"/>
          <w:sz w:val="24"/>
        </w:rPr>
        <w:br w:type="column"/>
      </w:r>
      <w:bookmarkStart w:id="170" w:name="_Toc20726216"/>
      <w:bookmarkStart w:id="171" w:name="_Toc18315597"/>
      <w:r>
        <w:rPr>
          <w:rFonts w:hint="eastAsia" w:ascii="Times New Roman" w:eastAsia="方正小标宋_GBK"/>
          <w:b w:val="0"/>
          <w:sz w:val="36"/>
          <w:szCs w:val="36"/>
        </w:rPr>
        <w:t>关于做好我省施工图设计文件审查机构及审查人员认定工作的通知</w:t>
      </w:r>
      <w:bookmarkEnd w:id="170"/>
      <w:bookmarkEnd w:id="17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72" w:name="_Toc18315598"/>
      <w:bookmarkStart w:id="173" w:name="_Toc20726217"/>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2004</w:t>
      </w:r>
      <w:r>
        <w:rPr>
          <w:rFonts w:hint="eastAsia" w:ascii="Times New Roman" w:hAnsi="Times New Roman" w:eastAsia="方正楷体_GBK"/>
          <w:b w:val="0"/>
          <w:sz w:val="24"/>
          <w:szCs w:val="24"/>
        </w:rPr>
        <w:t>）</w:t>
      </w:r>
      <w:r>
        <w:rPr>
          <w:rFonts w:ascii="Times New Roman" w:hAnsi="Times New Roman" w:eastAsia="方正楷体_GBK"/>
          <w:b w:val="0"/>
          <w:sz w:val="24"/>
          <w:szCs w:val="24"/>
        </w:rPr>
        <w:t>433</w:t>
      </w:r>
      <w:r>
        <w:rPr>
          <w:rFonts w:hint="eastAsia" w:ascii="Times New Roman" w:hAnsi="Times New Roman" w:eastAsia="方正楷体_GBK"/>
          <w:b w:val="0"/>
          <w:sz w:val="24"/>
          <w:szCs w:val="24"/>
        </w:rPr>
        <w:t>号</w:t>
      </w:r>
      <w:bookmarkEnd w:id="172"/>
      <w:bookmarkEnd w:id="173"/>
    </w:p>
    <w:p>
      <w:pPr>
        <w:spacing w:line="460" w:lineRule="exact"/>
        <w:rPr>
          <w:rFonts w:eastAsia="方正仿宋_GBK"/>
          <w:color w:val="000000"/>
          <w:kern w:val="0"/>
          <w:sz w:val="24"/>
        </w:rPr>
      </w:pPr>
      <w:r>
        <w:rPr>
          <w:rFonts w:hint="eastAsia" w:eastAsia="方正仿宋_GBK"/>
          <w:color w:val="000000"/>
          <w:kern w:val="0"/>
          <w:sz w:val="24"/>
        </w:rPr>
        <w:t>各设区市建设局（建委）：</w:t>
      </w:r>
    </w:p>
    <w:p>
      <w:pPr>
        <w:spacing w:line="460" w:lineRule="exact"/>
        <w:ind w:firstLine="480" w:firstLineChars="200"/>
        <w:rPr>
          <w:rFonts w:eastAsia="方正仿宋_GBK"/>
          <w:color w:val="000000"/>
          <w:kern w:val="0"/>
          <w:sz w:val="24"/>
        </w:rPr>
      </w:pPr>
      <w:r>
        <w:rPr>
          <w:rFonts w:hint="eastAsia" w:eastAsia="方正仿宋_GBK"/>
          <w:color w:val="000000"/>
          <w:kern w:val="0"/>
          <w:sz w:val="24"/>
        </w:rPr>
        <w:t>根据《房屋建筑和市政基础设施工程施工图设计文件审查管理办法》（住房和城乡建设部令第</w:t>
      </w:r>
      <w:r>
        <w:rPr>
          <w:rFonts w:eastAsia="方正仿宋_GBK"/>
          <w:color w:val="000000"/>
          <w:kern w:val="0"/>
          <w:sz w:val="24"/>
        </w:rPr>
        <w:t>13</w:t>
      </w:r>
      <w:r>
        <w:rPr>
          <w:rFonts w:hint="eastAsia" w:eastAsia="方正仿宋_GBK"/>
          <w:color w:val="000000"/>
          <w:kern w:val="0"/>
          <w:sz w:val="24"/>
        </w:rPr>
        <w:t>号，以下简称住建部</w:t>
      </w:r>
      <w:r>
        <w:rPr>
          <w:rFonts w:eastAsia="方正仿宋_GBK"/>
          <w:color w:val="000000"/>
          <w:kern w:val="0"/>
          <w:sz w:val="24"/>
        </w:rPr>
        <w:t>13</w:t>
      </w:r>
      <w:r>
        <w:rPr>
          <w:rFonts w:hint="eastAsia" w:eastAsia="方正仿宋_GBK"/>
          <w:color w:val="000000"/>
          <w:kern w:val="0"/>
          <w:sz w:val="24"/>
        </w:rPr>
        <w:t>号令）和《住房和城乡建设部</w:t>
      </w:r>
      <w:r>
        <w:rPr>
          <w:rFonts w:hint="eastAsia" w:eastAsia="方正仿宋_GBK"/>
          <w:bCs/>
          <w:color w:val="000000"/>
          <w:kern w:val="0"/>
          <w:sz w:val="24"/>
        </w:rPr>
        <w:t>关于实施〈房屋建筑和市政基础设施工程施工图设计文件审查管理办法〉有关问题的通知》（建质〔</w:t>
      </w:r>
      <w:r>
        <w:rPr>
          <w:rFonts w:eastAsia="方正仿宋_GBK"/>
          <w:bCs/>
          <w:color w:val="000000"/>
          <w:kern w:val="0"/>
          <w:sz w:val="24"/>
        </w:rPr>
        <w:t>2013</w:t>
      </w:r>
      <w:r>
        <w:rPr>
          <w:rFonts w:hint="eastAsia" w:eastAsia="方正仿宋_GBK"/>
          <w:bCs/>
          <w:color w:val="000000"/>
          <w:kern w:val="0"/>
          <w:sz w:val="24"/>
        </w:rPr>
        <w:t>〕</w:t>
      </w:r>
      <w:r>
        <w:rPr>
          <w:rFonts w:eastAsia="方正仿宋_GBK"/>
          <w:bCs/>
          <w:color w:val="000000"/>
          <w:kern w:val="0"/>
          <w:sz w:val="24"/>
        </w:rPr>
        <w:t>111</w:t>
      </w:r>
      <w:r>
        <w:rPr>
          <w:rFonts w:hint="eastAsia" w:eastAsia="方正仿宋_GBK"/>
          <w:bCs/>
          <w:color w:val="000000"/>
          <w:kern w:val="0"/>
          <w:sz w:val="24"/>
        </w:rPr>
        <w:t>号）的规定，我省对房屋建筑和市政基础设施工程施工图设计文件审查机构（以下简称审图机构）实施认定制度。为</w:t>
      </w:r>
      <w:r>
        <w:rPr>
          <w:rFonts w:hint="eastAsia" w:eastAsia="方正仿宋_GBK"/>
          <w:color w:val="000000"/>
          <w:kern w:val="0"/>
          <w:sz w:val="24"/>
        </w:rPr>
        <w:t>做好认定工作，现将有关问题事项通知如下：</w:t>
      </w:r>
    </w:p>
    <w:p>
      <w:pPr>
        <w:spacing w:line="460" w:lineRule="exact"/>
        <w:ind w:firstLine="480" w:firstLineChars="200"/>
        <w:rPr>
          <w:rFonts w:eastAsia="黑体"/>
          <w:bCs/>
          <w:color w:val="000000"/>
          <w:kern w:val="0"/>
          <w:sz w:val="24"/>
        </w:rPr>
      </w:pPr>
      <w:r>
        <w:rPr>
          <w:rFonts w:hint="eastAsia" w:eastAsia="黑体"/>
          <w:bCs/>
          <w:color w:val="000000"/>
          <w:kern w:val="0"/>
          <w:sz w:val="24"/>
        </w:rPr>
        <w:t>一、认定原则</w:t>
      </w:r>
    </w:p>
    <w:p>
      <w:pPr>
        <w:spacing w:line="460" w:lineRule="exact"/>
        <w:ind w:firstLine="480" w:firstLineChars="200"/>
        <w:rPr>
          <w:rFonts w:eastAsia="方正仿宋_GBK"/>
          <w:color w:val="000000"/>
          <w:sz w:val="24"/>
        </w:rPr>
      </w:pPr>
      <w:r>
        <w:rPr>
          <w:rFonts w:eastAsia="方正仿宋_GBK"/>
          <w:color w:val="000000"/>
          <w:sz w:val="24"/>
        </w:rPr>
        <w:t>1</w:t>
      </w:r>
      <w:r>
        <w:rPr>
          <w:rFonts w:hint="eastAsia" w:eastAsia="方正仿宋_GBK"/>
          <w:color w:val="000000"/>
          <w:sz w:val="24"/>
        </w:rPr>
        <w:t>、我省审查机构的认定实行总量控制。省建设行政主管部门应当会同有关部门从有利于巩固和提高施工图设计文件审查的覆盖面，有利于现有审查机构的稳定过渡和持续发展，有利于促进审查质量和服务水平的提高等因素出发，根据各地房屋建筑建设规模和审查技术力量情况，进行合理测算，控制全省审查机构总数和各市审查机构数量，并定期予以调整和公布，稳步开展审查机构的认定工作。</w:t>
      </w:r>
    </w:p>
    <w:p>
      <w:pPr>
        <w:spacing w:line="460" w:lineRule="exact"/>
        <w:ind w:firstLine="480" w:firstLineChars="200"/>
        <w:rPr>
          <w:rFonts w:eastAsia="方正仿宋_GBK"/>
          <w:color w:val="000000"/>
          <w:sz w:val="24"/>
        </w:rPr>
      </w:pPr>
      <w:r>
        <w:rPr>
          <w:rFonts w:eastAsia="方正仿宋_GBK"/>
          <w:color w:val="000000"/>
          <w:sz w:val="24"/>
        </w:rPr>
        <w:t>2</w:t>
      </w:r>
      <w:r>
        <w:rPr>
          <w:rFonts w:hint="eastAsia" w:eastAsia="方正仿宋_GBK"/>
          <w:color w:val="000000"/>
          <w:sz w:val="24"/>
        </w:rPr>
        <w:t>、各市审查机构数量，暂按各地建设规模确定。对于年均房屋建筑建设规模在</w:t>
      </w:r>
      <w:r>
        <w:rPr>
          <w:rFonts w:eastAsia="方正仿宋_GBK"/>
          <w:color w:val="000000"/>
          <w:sz w:val="24"/>
        </w:rPr>
        <w:t>500</w:t>
      </w:r>
      <w:r>
        <w:rPr>
          <w:rFonts w:hint="eastAsia" w:eastAsia="方正仿宋_GBK"/>
          <w:color w:val="000000"/>
          <w:sz w:val="24"/>
        </w:rPr>
        <w:t>万平方米以下的省辖市、市区或县（市），审查机构认定数原则上不超过</w:t>
      </w:r>
      <w:r>
        <w:rPr>
          <w:rFonts w:eastAsia="方正仿宋_GBK"/>
          <w:color w:val="000000"/>
          <w:sz w:val="24"/>
        </w:rPr>
        <w:t>1</w:t>
      </w:r>
      <w:r>
        <w:rPr>
          <w:rFonts w:hint="eastAsia" w:eastAsia="方正仿宋_GBK"/>
          <w:color w:val="000000"/>
          <w:sz w:val="24"/>
        </w:rPr>
        <w:t>家；对于年均房屋建筑建设规模超过</w:t>
      </w:r>
      <w:r>
        <w:rPr>
          <w:rFonts w:eastAsia="方正仿宋_GBK"/>
          <w:color w:val="000000"/>
          <w:sz w:val="24"/>
        </w:rPr>
        <w:t>500</w:t>
      </w:r>
      <w:r>
        <w:rPr>
          <w:rFonts w:hint="eastAsia" w:eastAsia="方正仿宋_GBK"/>
          <w:color w:val="000000"/>
          <w:sz w:val="24"/>
        </w:rPr>
        <w:t>万平方米的，每超过</w:t>
      </w:r>
      <w:r>
        <w:rPr>
          <w:rFonts w:eastAsia="方正仿宋_GBK"/>
          <w:color w:val="000000"/>
          <w:sz w:val="24"/>
        </w:rPr>
        <w:t>500</w:t>
      </w:r>
      <w:r>
        <w:rPr>
          <w:rFonts w:hint="eastAsia" w:eastAsia="方正仿宋_GBK"/>
          <w:color w:val="000000"/>
          <w:sz w:val="24"/>
        </w:rPr>
        <w:t>万平方米可再增设</w:t>
      </w:r>
      <w:r>
        <w:rPr>
          <w:rFonts w:eastAsia="方正仿宋_GBK"/>
          <w:color w:val="000000"/>
          <w:sz w:val="24"/>
        </w:rPr>
        <w:t>1</w:t>
      </w:r>
      <w:r>
        <w:rPr>
          <w:rFonts w:hint="eastAsia" w:eastAsia="方正仿宋_GBK"/>
          <w:color w:val="000000"/>
          <w:sz w:val="24"/>
        </w:rPr>
        <w:t>家审查机构。</w:t>
      </w:r>
    </w:p>
    <w:p>
      <w:pPr>
        <w:spacing w:line="460" w:lineRule="exact"/>
        <w:ind w:firstLine="480" w:firstLineChars="200"/>
        <w:rPr>
          <w:rFonts w:eastAsia="方正仿宋_GBK"/>
          <w:color w:val="000000"/>
          <w:sz w:val="24"/>
        </w:rPr>
      </w:pPr>
      <w:r>
        <w:rPr>
          <w:rFonts w:eastAsia="方正仿宋_GBK"/>
          <w:color w:val="000000"/>
          <w:sz w:val="24"/>
        </w:rPr>
        <w:t>3</w:t>
      </w:r>
      <w:r>
        <w:rPr>
          <w:rFonts w:hint="eastAsia" w:eastAsia="方正仿宋_GBK"/>
          <w:color w:val="000000"/>
          <w:sz w:val="24"/>
        </w:rPr>
        <w:t>、审查机构需取得省建设行政主管部门颁发的《施工图设计文件审查机构认定书》后，方可从事施工图审查，并不得超出认定的范围从事施工图审查。</w:t>
      </w:r>
    </w:p>
    <w:p>
      <w:pPr>
        <w:spacing w:line="460" w:lineRule="exact"/>
        <w:ind w:firstLine="480" w:firstLineChars="200"/>
        <w:rPr>
          <w:rFonts w:eastAsia="黑体"/>
          <w:bCs/>
          <w:color w:val="000000"/>
          <w:kern w:val="0"/>
          <w:sz w:val="24"/>
        </w:rPr>
      </w:pPr>
      <w:r>
        <w:rPr>
          <w:rFonts w:hint="eastAsia" w:eastAsia="黑体"/>
          <w:bCs/>
          <w:color w:val="000000"/>
          <w:kern w:val="0"/>
          <w:sz w:val="24"/>
        </w:rPr>
        <w:t>二、认定条件</w:t>
      </w:r>
    </w:p>
    <w:p>
      <w:pPr>
        <w:spacing w:line="460" w:lineRule="exact"/>
        <w:ind w:firstLine="480" w:firstLineChars="200"/>
        <w:rPr>
          <w:rFonts w:eastAsia="方正仿宋_GBK"/>
          <w:color w:val="000000"/>
          <w:sz w:val="24"/>
        </w:rPr>
      </w:pPr>
      <w:r>
        <w:rPr>
          <w:rFonts w:eastAsia="方正仿宋_GBK"/>
          <w:color w:val="000000"/>
          <w:sz w:val="24"/>
        </w:rPr>
        <w:t>1</w:t>
      </w:r>
      <w:r>
        <w:rPr>
          <w:rFonts w:hint="eastAsia" w:eastAsia="方正仿宋_GBK"/>
          <w:color w:val="000000"/>
          <w:sz w:val="24"/>
        </w:rPr>
        <w:t>、审查机构应是专门从事施工图设计审查、不以营利为目的的独立法人实体，不得兼营工程勘察设计业务。审查机构按承接业务范围分为一类和二类。一类、二类机构以及承担超限高层建筑工程施工图审查的设立条件和承接业务范围按住建部</w:t>
      </w:r>
      <w:r>
        <w:rPr>
          <w:rFonts w:eastAsia="方正仿宋_GBK"/>
          <w:color w:val="000000"/>
          <w:sz w:val="24"/>
        </w:rPr>
        <w:t>13</w:t>
      </w:r>
      <w:r>
        <w:rPr>
          <w:rFonts w:hint="eastAsia" w:eastAsia="方正仿宋_GBK"/>
          <w:color w:val="000000"/>
          <w:sz w:val="24"/>
        </w:rPr>
        <w:t>号令和</w:t>
      </w:r>
      <w:r>
        <w:rPr>
          <w:rFonts w:hint="eastAsia" w:eastAsia="方正仿宋_GBK"/>
          <w:bCs/>
          <w:color w:val="000000"/>
          <w:sz w:val="24"/>
        </w:rPr>
        <w:t>建质〔</w:t>
      </w:r>
      <w:r>
        <w:rPr>
          <w:rFonts w:eastAsia="方正仿宋_GBK"/>
          <w:bCs/>
          <w:color w:val="000000"/>
          <w:sz w:val="24"/>
        </w:rPr>
        <w:t>2013</w:t>
      </w:r>
      <w:r>
        <w:rPr>
          <w:rFonts w:hint="eastAsia" w:eastAsia="方正仿宋_GBK"/>
          <w:bCs/>
          <w:color w:val="000000"/>
          <w:sz w:val="24"/>
        </w:rPr>
        <w:t>〕</w:t>
      </w:r>
      <w:r>
        <w:rPr>
          <w:rFonts w:eastAsia="方正仿宋_GBK"/>
          <w:color w:val="000000"/>
          <w:sz w:val="24"/>
        </w:rPr>
        <w:t>111</w:t>
      </w:r>
      <w:r>
        <w:rPr>
          <w:rFonts w:hint="eastAsia" w:eastAsia="方正仿宋_GBK"/>
          <w:color w:val="000000"/>
          <w:sz w:val="24"/>
        </w:rPr>
        <w:t>号文规定执行，但中型及以下房屋建筑工程，不宜跨市审查。</w:t>
      </w:r>
    </w:p>
    <w:p>
      <w:pPr>
        <w:adjustRightInd w:val="0"/>
        <w:spacing w:line="460" w:lineRule="exact"/>
        <w:ind w:firstLine="480" w:firstLineChars="200"/>
        <w:rPr>
          <w:rFonts w:eastAsia="方正仿宋_GBK"/>
          <w:color w:val="000000"/>
          <w:sz w:val="24"/>
        </w:rPr>
      </w:pPr>
      <w:r>
        <w:rPr>
          <w:rFonts w:eastAsia="方正仿宋_GBK"/>
          <w:color w:val="000000"/>
          <w:sz w:val="24"/>
        </w:rPr>
        <w:t>2</w:t>
      </w:r>
      <w:r>
        <w:rPr>
          <w:rFonts w:hint="eastAsia" w:eastAsia="方正仿宋_GBK"/>
          <w:color w:val="000000"/>
          <w:sz w:val="24"/>
        </w:rPr>
        <w:t>、审查人员的审查级别分为两级。一级审查人员负责审查相应专业的项目范围不受限制；二级审查人员可以负责中型及以下房屋建筑、市政基础设施工程相应专业的审查工作。</w:t>
      </w:r>
    </w:p>
    <w:p>
      <w:pPr>
        <w:adjustRightInd w:val="0"/>
        <w:spacing w:line="460" w:lineRule="exact"/>
        <w:ind w:firstLine="480" w:firstLineChars="200"/>
        <w:rPr>
          <w:rFonts w:eastAsia="方正仿宋_GBK"/>
          <w:color w:val="000000"/>
          <w:sz w:val="24"/>
        </w:rPr>
      </w:pPr>
      <w:r>
        <w:rPr>
          <w:rFonts w:hint="eastAsia" w:eastAsia="方正仿宋_GBK"/>
          <w:color w:val="000000"/>
          <w:sz w:val="24"/>
        </w:rPr>
        <w:t>一级、二级审查人员应当分别符合住建部</w:t>
      </w:r>
      <w:r>
        <w:rPr>
          <w:rFonts w:eastAsia="方正仿宋_GBK"/>
          <w:color w:val="000000"/>
          <w:sz w:val="24"/>
        </w:rPr>
        <w:t>13</w:t>
      </w:r>
      <w:r>
        <w:rPr>
          <w:rFonts w:hint="eastAsia" w:eastAsia="方正仿宋_GBK"/>
          <w:color w:val="000000"/>
          <w:sz w:val="24"/>
        </w:rPr>
        <w:t>号令关于一类、二类审查机构规定的审查人员条件。</w:t>
      </w:r>
    </w:p>
    <w:p>
      <w:pPr>
        <w:adjustRightInd w:val="0"/>
        <w:spacing w:line="460" w:lineRule="exact"/>
        <w:ind w:firstLine="480" w:firstLineChars="200"/>
        <w:rPr>
          <w:rFonts w:eastAsia="方正仿宋_GBK"/>
          <w:color w:val="000000"/>
          <w:sz w:val="24"/>
        </w:rPr>
      </w:pPr>
      <w:r>
        <w:rPr>
          <w:rFonts w:hint="eastAsia" w:eastAsia="方正仿宋_GBK"/>
          <w:color w:val="000000"/>
          <w:sz w:val="24"/>
        </w:rPr>
        <w:t>审查人员只能在一个审查机构从事审查工作。</w:t>
      </w:r>
    </w:p>
    <w:p>
      <w:pPr>
        <w:spacing w:line="460" w:lineRule="exact"/>
        <w:ind w:firstLine="480" w:firstLineChars="200"/>
        <w:rPr>
          <w:rFonts w:eastAsia="黑体"/>
          <w:bCs/>
          <w:color w:val="000000"/>
          <w:kern w:val="0"/>
          <w:sz w:val="24"/>
        </w:rPr>
      </w:pPr>
      <w:r>
        <w:rPr>
          <w:rFonts w:hint="eastAsia" w:eastAsia="黑体"/>
          <w:bCs/>
          <w:color w:val="000000"/>
          <w:kern w:val="0"/>
          <w:sz w:val="24"/>
        </w:rPr>
        <w:t>三、认定程序和要求</w:t>
      </w:r>
    </w:p>
    <w:p>
      <w:pPr>
        <w:spacing w:line="460" w:lineRule="exact"/>
        <w:ind w:firstLine="480" w:firstLineChars="200"/>
        <w:rPr>
          <w:rFonts w:eastAsia="方正仿宋_GBK"/>
          <w:color w:val="000000"/>
          <w:kern w:val="0"/>
          <w:sz w:val="24"/>
        </w:rPr>
      </w:pPr>
      <w:r>
        <w:rPr>
          <w:rFonts w:hint="eastAsia" w:eastAsia="方正仿宋_GBK"/>
          <w:color w:val="000000"/>
          <w:kern w:val="0"/>
          <w:sz w:val="24"/>
        </w:rPr>
        <w:t>审查机构的认定工作应按下列程序和要求进行申报：</w:t>
      </w:r>
    </w:p>
    <w:p>
      <w:pPr>
        <w:spacing w:line="460" w:lineRule="exact"/>
        <w:ind w:firstLine="480" w:firstLineChars="200"/>
        <w:rPr>
          <w:rFonts w:ascii="Times New Roman" w:eastAsia="楷体_GB2312"/>
          <w:color w:val="000000"/>
          <w:kern w:val="0"/>
          <w:sz w:val="24"/>
        </w:rPr>
      </w:pPr>
      <w:r>
        <w:rPr>
          <w:rFonts w:hint="eastAsia" w:ascii="Times New Roman" w:eastAsia="楷体_GB2312"/>
          <w:color w:val="000000"/>
          <w:kern w:val="0"/>
          <w:sz w:val="24"/>
        </w:rPr>
        <w:t>（一）审查机构申报材料</w:t>
      </w:r>
    </w:p>
    <w:p>
      <w:pPr>
        <w:spacing w:line="460" w:lineRule="exact"/>
        <w:ind w:firstLine="480" w:firstLineChars="200"/>
        <w:rPr>
          <w:rFonts w:hint="eastAsia" w:eastAsia="方正仿宋_GBK"/>
          <w:color w:val="000000"/>
          <w:kern w:val="0"/>
          <w:sz w:val="24"/>
        </w:rPr>
      </w:pPr>
      <w:r>
        <w:rPr>
          <w:rFonts w:eastAsia="方正仿宋_GBK"/>
          <w:color w:val="000000"/>
          <w:kern w:val="0"/>
          <w:sz w:val="24"/>
        </w:rPr>
        <w:t>1</w:t>
      </w:r>
      <w:r>
        <w:rPr>
          <w:rFonts w:hint="eastAsia" w:eastAsia="方正仿宋_GBK"/>
          <w:color w:val="000000"/>
          <w:kern w:val="0"/>
          <w:sz w:val="24"/>
        </w:rPr>
        <w:t>、审查机构填写《施工图设计文件审查机构认定申请表》（见附件</w:t>
      </w:r>
      <w:r>
        <w:rPr>
          <w:rFonts w:eastAsia="方正仿宋_GBK"/>
          <w:color w:val="000000"/>
          <w:kern w:val="0"/>
          <w:sz w:val="24"/>
        </w:rPr>
        <w:t>1</w:t>
      </w:r>
      <w:r>
        <w:rPr>
          <w:rFonts w:hint="eastAsia" w:eastAsia="方正仿宋_GBK"/>
          <w:color w:val="000000"/>
          <w:kern w:val="0"/>
          <w:sz w:val="24"/>
        </w:rPr>
        <w:t>，一式二份，</w:t>
      </w:r>
      <w:r>
        <w:rPr>
          <w:rFonts w:eastAsia="方正仿宋_GBK"/>
          <w:color w:val="000000"/>
          <w:kern w:val="0"/>
          <w:sz w:val="24"/>
        </w:rPr>
        <w:t>A4</w:t>
      </w:r>
      <w:r>
        <w:rPr>
          <w:rFonts w:hint="eastAsia" w:eastAsia="方正仿宋_GBK"/>
          <w:color w:val="000000"/>
          <w:kern w:val="0"/>
          <w:sz w:val="24"/>
        </w:rPr>
        <w:t>大小）；《施工图设计文件审查机构自审表》（见附件</w:t>
      </w:r>
      <w:r>
        <w:rPr>
          <w:rFonts w:eastAsia="方正仿宋_GBK"/>
          <w:color w:val="000000"/>
          <w:kern w:val="0"/>
          <w:sz w:val="24"/>
        </w:rPr>
        <w:t>2</w:t>
      </w:r>
      <w:r>
        <w:rPr>
          <w:rFonts w:hint="eastAsia" w:eastAsia="方正仿宋_GBK"/>
          <w:color w:val="000000"/>
          <w:kern w:val="0"/>
          <w:sz w:val="24"/>
        </w:rPr>
        <w:t>，</w:t>
      </w:r>
      <w:r>
        <w:rPr>
          <w:rFonts w:eastAsia="方正仿宋_GBK"/>
          <w:color w:val="000000"/>
          <w:kern w:val="0"/>
          <w:sz w:val="24"/>
        </w:rPr>
        <w:t>A4</w:t>
      </w:r>
      <w:r>
        <w:rPr>
          <w:rFonts w:hint="eastAsia" w:eastAsia="方正仿宋_GBK"/>
          <w:color w:val="000000"/>
          <w:kern w:val="0"/>
          <w:sz w:val="24"/>
        </w:rPr>
        <w:t>大小）；</w:t>
      </w:r>
      <w:bookmarkStart w:id="174" w:name="_Hlk493785190"/>
      <w:r>
        <w:rPr>
          <w:rFonts w:hint="eastAsia" w:eastAsia="方正仿宋_GBK"/>
          <w:color w:val="000000"/>
          <w:kern w:val="0"/>
          <w:sz w:val="24"/>
        </w:rPr>
        <w:t>《施工图设计文件审查人员核查汇总表》</w:t>
      </w:r>
      <w:bookmarkEnd w:id="174"/>
      <w:r>
        <w:rPr>
          <w:rFonts w:hint="eastAsia" w:eastAsia="方正仿宋_GBK"/>
          <w:color w:val="000000"/>
          <w:kern w:val="0"/>
          <w:sz w:val="24"/>
        </w:rPr>
        <w:t>（见附件</w:t>
      </w:r>
      <w:r>
        <w:rPr>
          <w:rFonts w:eastAsia="方正仿宋_GBK"/>
          <w:color w:val="000000"/>
          <w:kern w:val="0"/>
          <w:sz w:val="24"/>
        </w:rPr>
        <w:t>3</w:t>
      </w:r>
      <w:r>
        <w:rPr>
          <w:rFonts w:hint="eastAsia" w:eastAsia="方正仿宋_GBK"/>
          <w:color w:val="000000"/>
          <w:kern w:val="0"/>
          <w:sz w:val="24"/>
        </w:rPr>
        <w:t>，</w:t>
      </w:r>
      <w:r>
        <w:rPr>
          <w:rFonts w:eastAsia="方正仿宋_GBK"/>
          <w:color w:val="000000"/>
          <w:kern w:val="0"/>
          <w:sz w:val="24"/>
        </w:rPr>
        <w:t>A3</w:t>
      </w:r>
      <w:r>
        <w:rPr>
          <w:rFonts w:hint="eastAsia" w:eastAsia="方正仿宋_GBK"/>
          <w:color w:val="000000"/>
          <w:kern w:val="0"/>
          <w:sz w:val="24"/>
        </w:rPr>
        <w:t>大小）。</w:t>
      </w:r>
    </w:p>
    <w:p>
      <w:pPr>
        <w:spacing w:line="460" w:lineRule="exact"/>
        <w:ind w:firstLine="480" w:firstLineChars="200"/>
        <w:rPr>
          <w:rFonts w:eastAsia="方正仿宋_GBK"/>
          <w:color w:val="000000"/>
          <w:kern w:val="0"/>
          <w:sz w:val="24"/>
        </w:rPr>
      </w:pPr>
      <w:r>
        <w:rPr>
          <w:rFonts w:eastAsia="方正仿宋_GBK"/>
          <w:color w:val="000000"/>
          <w:kern w:val="0"/>
          <w:sz w:val="24"/>
        </w:rPr>
        <w:t>2</w:t>
      </w:r>
      <w:r>
        <w:rPr>
          <w:rFonts w:hint="eastAsia" w:eastAsia="方正仿宋_GBK"/>
          <w:color w:val="000000"/>
          <w:kern w:val="0"/>
          <w:sz w:val="24"/>
        </w:rPr>
        <w:t>、提供相应的附件材料。包括：</w:t>
      </w:r>
      <w:r>
        <w:rPr>
          <w:rFonts w:hint="eastAsia" w:ascii="Times New Roman" w:hAnsi="Times New Roman" w:cs="宋体"/>
          <w:color w:val="000000"/>
          <w:kern w:val="0"/>
          <w:sz w:val="24"/>
        </w:rPr>
        <w:t>①</w:t>
      </w:r>
      <w:r>
        <w:rPr>
          <w:rFonts w:hint="eastAsia" w:eastAsia="方正仿宋_GBK"/>
          <w:color w:val="000000"/>
          <w:kern w:val="0"/>
          <w:sz w:val="24"/>
        </w:rPr>
        <w:t>单位组织机构代码证（复印件）；</w:t>
      </w:r>
      <w:r>
        <w:rPr>
          <w:rFonts w:hint="eastAsia" w:ascii="Times New Roman" w:hAnsi="Times New Roman" w:cs="宋体"/>
          <w:color w:val="000000"/>
          <w:kern w:val="0"/>
          <w:sz w:val="24"/>
        </w:rPr>
        <w:t>②</w:t>
      </w:r>
      <w:r>
        <w:rPr>
          <w:rFonts w:hint="eastAsia" w:eastAsia="方正仿宋_GBK"/>
          <w:color w:val="000000"/>
          <w:kern w:val="0"/>
          <w:sz w:val="24"/>
        </w:rPr>
        <w:t>事业法人登记证书或营业执照（或工商预核准材料）或民办非企业登记证书（复印件）；</w:t>
      </w:r>
      <w:r>
        <w:rPr>
          <w:rFonts w:hint="eastAsia" w:ascii="Times New Roman" w:hAnsi="Times New Roman" w:cs="宋体"/>
          <w:color w:val="000000"/>
          <w:kern w:val="0"/>
          <w:sz w:val="24"/>
        </w:rPr>
        <w:t>③</w:t>
      </w:r>
      <w:r>
        <w:rPr>
          <w:rFonts w:hint="eastAsia" w:eastAsia="方正仿宋_GBK"/>
          <w:color w:val="000000"/>
          <w:kern w:val="0"/>
          <w:sz w:val="24"/>
        </w:rPr>
        <w:t>事业或企业法定代表人和技术负责人简历；</w:t>
      </w:r>
      <w:r>
        <w:rPr>
          <w:rFonts w:hint="eastAsia" w:ascii="Times New Roman" w:hAnsi="Times New Roman" w:cs="宋体"/>
          <w:color w:val="000000"/>
          <w:kern w:val="0"/>
          <w:sz w:val="24"/>
        </w:rPr>
        <w:t>④</w:t>
      </w:r>
      <w:r>
        <w:rPr>
          <w:rFonts w:hint="eastAsia" w:eastAsia="方正仿宋_GBK"/>
          <w:color w:val="000000"/>
          <w:kern w:val="0"/>
          <w:sz w:val="24"/>
        </w:rPr>
        <w:t>办公场所证明（复印件）；</w:t>
      </w:r>
      <w:r>
        <w:rPr>
          <w:rFonts w:hint="eastAsia" w:ascii="Times New Roman" w:hAnsi="Times New Roman" w:cs="宋体"/>
          <w:color w:val="000000"/>
          <w:kern w:val="0"/>
          <w:sz w:val="24"/>
        </w:rPr>
        <w:t>⑤</w:t>
      </w:r>
      <w:r>
        <w:rPr>
          <w:rFonts w:hint="eastAsia" w:eastAsia="方正仿宋_GBK"/>
          <w:color w:val="000000"/>
          <w:kern w:val="0"/>
          <w:sz w:val="24"/>
        </w:rPr>
        <w:t>质量保证体系及规章制度等。</w:t>
      </w:r>
    </w:p>
    <w:p>
      <w:pPr>
        <w:spacing w:line="460" w:lineRule="exact"/>
        <w:ind w:firstLine="480" w:firstLineChars="200"/>
        <w:rPr>
          <w:rFonts w:eastAsia="方正仿宋_GBK"/>
          <w:color w:val="000000"/>
          <w:kern w:val="0"/>
          <w:sz w:val="24"/>
        </w:rPr>
      </w:pPr>
      <w:r>
        <w:rPr>
          <w:rFonts w:eastAsia="方正仿宋_GBK"/>
          <w:color w:val="000000"/>
          <w:kern w:val="0"/>
          <w:sz w:val="24"/>
        </w:rPr>
        <w:t>3</w:t>
      </w:r>
      <w:r>
        <w:rPr>
          <w:rFonts w:hint="eastAsia" w:eastAsia="方正仿宋_GBK"/>
          <w:color w:val="000000"/>
          <w:kern w:val="0"/>
          <w:sz w:val="24"/>
        </w:rPr>
        <w:t>、《施工图设计文件审查机构认定申请表》一份与附件材料（</w:t>
      </w:r>
      <w:r>
        <w:rPr>
          <w:rFonts w:eastAsia="方正仿宋_GBK"/>
          <w:color w:val="000000"/>
          <w:kern w:val="0"/>
          <w:sz w:val="24"/>
        </w:rPr>
        <w:t>A4</w:t>
      </w:r>
      <w:r>
        <w:rPr>
          <w:rFonts w:hint="eastAsia" w:eastAsia="方正仿宋_GBK"/>
          <w:color w:val="000000"/>
          <w:kern w:val="0"/>
          <w:sz w:val="24"/>
        </w:rPr>
        <w:t>大小，应有封面和目录）按顺序装订成册；其他一份申请表、《施工图设计文件审查机构自审表》、《施工图设计文件审查人员核查汇总表》单列。</w:t>
      </w:r>
    </w:p>
    <w:p>
      <w:pPr>
        <w:spacing w:line="460" w:lineRule="exact"/>
        <w:ind w:firstLine="480" w:firstLineChars="200"/>
        <w:rPr>
          <w:rFonts w:ascii="Times New Roman" w:eastAsia="楷体_GB2312"/>
          <w:color w:val="000000"/>
          <w:kern w:val="0"/>
          <w:sz w:val="24"/>
        </w:rPr>
      </w:pPr>
      <w:r>
        <w:rPr>
          <w:rFonts w:hint="eastAsia" w:ascii="Times New Roman" w:eastAsia="楷体_GB2312"/>
          <w:color w:val="000000"/>
          <w:kern w:val="0"/>
          <w:sz w:val="24"/>
        </w:rPr>
        <w:t>（二）审查人员申报材料</w:t>
      </w:r>
    </w:p>
    <w:p>
      <w:pPr>
        <w:adjustRightInd w:val="0"/>
        <w:spacing w:line="460" w:lineRule="exact"/>
        <w:ind w:firstLine="480" w:firstLineChars="200"/>
        <w:rPr>
          <w:rFonts w:hint="eastAsia" w:eastAsia="方正仿宋_GBK"/>
          <w:color w:val="000000"/>
          <w:sz w:val="24"/>
        </w:rPr>
      </w:pPr>
      <w:r>
        <w:rPr>
          <w:rFonts w:eastAsia="方正仿宋_GBK"/>
          <w:color w:val="000000"/>
          <w:sz w:val="24"/>
        </w:rPr>
        <w:t>1</w:t>
      </w:r>
      <w:r>
        <w:rPr>
          <w:rFonts w:hint="eastAsia" w:eastAsia="方正仿宋_GBK"/>
          <w:color w:val="000000"/>
          <w:sz w:val="24"/>
        </w:rPr>
        <w:t>、审查人员填写《施工图设计文件审查人员认定申请表》（见附件</w:t>
      </w:r>
      <w:r>
        <w:rPr>
          <w:rFonts w:eastAsia="方正仿宋_GBK"/>
          <w:color w:val="000000"/>
          <w:sz w:val="24"/>
        </w:rPr>
        <w:t>4</w:t>
      </w:r>
      <w:r>
        <w:rPr>
          <w:rFonts w:hint="eastAsia" w:eastAsia="方正仿宋_GBK"/>
          <w:color w:val="000000"/>
          <w:sz w:val="24"/>
        </w:rPr>
        <w:t>，一式二份）；</w:t>
      </w:r>
    </w:p>
    <w:p>
      <w:pPr>
        <w:adjustRightInd w:val="0"/>
        <w:spacing w:line="460" w:lineRule="exact"/>
        <w:ind w:firstLine="480" w:firstLineChars="200"/>
        <w:rPr>
          <w:rFonts w:eastAsia="方正仿宋_GBK"/>
          <w:color w:val="000000"/>
          <w:sz w:val="24"/>
        </w:rPr>
      </w:pPr>
      <w:r>
        <w:rPr>
          <w:rFonts w:eastAsia="方正仿宋_GBK"/>
          <w:color w:val="000000"/>
          <w:sz w:val="24"/>
        </w:rPr>
        <w:t>2</w:t>
      </w:r>
      <w:r>
        <w:rPr>
          <w:rFonts w:hint="eastAsia" w:eastAsia="方正仿宋_GBK"/>
          <w:color w:val="000000"/>
          <w:sz w:val="24"/>
        </w:rPr>
        <w:t>、提供相应附件材料：</w:t>
      </w:r>
      <w:r>
        <w:rPr>
          <w:rFonts w:hint="eastAsia" w:ascii="Times New Roman" w:hAnsi="Times New Roman" w:cs="宋体"/>
          <w:color w:val="000000"/>
          <w:sz w:val="24"/>
        </w:rPr>
        <w:t>①</w:t>
      </w:r>
      <w:r>
        <w:rPr>
          <w:rFonts w:hint="eastAsia" w:eastAsia="方正仿宋_GBK"/>
          <w:color w:val="000000"/>
          <w:sz w:val="24"/>
        </w:rPr>
        <w:t>近两年曾工作过单位出具的职业道德证明；</w:t>
      </w:r>
      <w:r>
        <w:rPr>
          <w:rFonts w:hint="eastAsia" w:ascii="Times New Roman" w:hAnsi="Times New Roman" w:cs="宋体"/>
          <w:color w:val="000000"/>
          <w:sz w:val="24"/>
        </w:rPr>
        <w:t>②</w:t>
      </w:r>
      <w:r>
        <w:rPr>
          <w:rFonts w:hint="eastAsia" w:eastAsia="方正仿宋_GBK"/>
          <w:color w:val="000000"/>
          <w:sz w:val="24"/>
        </w:rPr>
        <w:t>身份证（复印件）；</w:t>
      </w:r>
      <w:r>
        <w:rPr>
          <w:rFonts w:hint="eastAsia" w:ascii="Times New Roman" w:hAnsi="Times New Roman" w:cs="宋体"/>
          <w:color w:val="000000"/>
          <w:sz w:val="24"/>
        </w:rPr>
        <w:t>③</w:t>
      </w:r>
      <w:r>
        <w:rPr>
          <w:rFonts w:hint="eastAsia" w:eastAsia="方正仿宋_GBK"/>
          <w:color w:val="000000"/>
          <w:sz w:val="24"/>
        </w:rPr>
        <w:t>职称证书及执业资格注册证书（复印件）；</w:t>
      </w:r>
      <w:r>
        <w:rPr>
          <w:rFonts w:hint="eastAsia" w:ascii="Times New Roman" w:hAnsi="Times New Roman" w:cs="宋体"/>
          <w:color w:val="000000"/>
          <w:sz w:val="24"/>
        </w:rPr>
        <w:t>④</w:t>
      </w:r>
      <w:r>
        <w:rPr>
          <w:rFonts w:hint="eastAsia" w:eastAsia="方正仿宋_GBK"/>
          <w:color w:val="000000"/>
          <w:sz w:val="24"/>
        </w:rPr>
        <w:t>符合规定的工作关系证明或与审查机构签订的聘用合同（复印件）；</w:t>
      </w:r>
      <w:r>
        <w:rPr>
          <w:rFonts w:hint="eastAsia" w:ascii="Times New Roman" w:hAnsi="Times New Roman" w:cs="宋体"/>
          <w:color w:val="000000"/>
          <w:sz w:val="24"/>
        </w:rPr>
        <w:t>⑤</w:t>
      </w:r>
      <w:r>
        <w:rPr>
          <w:rFonts w:hint="eastAsia" w:eastAsia="方正仿宋_GBK"/>
          <w:color w:val="000000"/>
          <w:sz w:val="24"/>
        </w:rPr>
        <w:t>近期</w:t>
      </w:r>
      <w:r>
        <w:rPr>
          <w:rFonts w:eastAsia="方正仿宋_GBK"/>
          <w:color w:val="000000"/>
          <w:sz w:val="24"/>
        </w:rPr>
        <w:t>1</w:t>
      </w:r>
      <w:r>
        <w:rPr>
          <w:rFonts w:hint="eastAsia" w:eastAsia="方正仿宋_GBK"/>
          <w:color w:val="000000"/>
          <w:sz w:val="24"/>
        </w:rPr>
        <w:t>寸彩色标准照片</w:t>
      </w:r>
      <w:r>
        <w:rPr>
          <w:rFonts w:eastAsia="方正仿宋_GBK"/>
          <w:color w:val="000000"/>
          <w:sz w:val="24"/>
        </w:rPr>
        <w:t>1</w:t>
      </w:r>
      <w:r>
        <w:rPr>
          <w:rFonts w:hint="eastAsia" w:eastAsia="方正仿宋_GBK"/>
          <w:color w:val="000000"/>
          <w:sz w:val="24"/>
        </w:rPr>
        <w:t>张（背面注明机构名称、专业和姓名）。</w:t>
      </w:r>
    </w:p>
    <w:p>
      <w:pPr>
        <w:adjustRightInd w:val="0"/>
        <w:spacing w:line="460" w:lineRule="exact"/>
        <w:ind w:firstLine="480" w:firstLineChars="200"/>
        <w:rPr>
          <w:rFonts w:eastAsia="方正仿宋_GBK"/>
          <w:color w:val="000000"/>
          <w:sz w:val="24"/>
        </w:rPr>
      </w:pPr>
      <w:r>
        <w:rPr>
          <w:rFonts w:eastAsia="方正仿宋_GBK"/>
          <w:color w:val="000000"/>
          <w:sz w:val="24"/>
        </w:rPr>
        <w:t>3</w:t>
      </w:r>
      <w:r>
        <w:rPr>
          <w:rFonts w:hint="eastAsia" w:eastAsia="方正仿宋_GBK"/>
          <w:color w:val="000000"/>
          <w:sz w:val="24"/>
        </w:rPr>
        <w:t>、申请表一份与附件材料（</w:t>
      </w:r>
      <w:r>
        <w:rPr>
          <w:rFonts w:eastAsia="方正仿宋_GBK"/>
          <w:color w:val="000000"/>
          <w:sz w:val="24"/>
        </w:rPr>
        <w:t>A4</w:t>
      </w:r>
      <w:r>
        <w:rPr>
          <w:rFonts w:hint="eastAsia" w:eastAsia="方正仿宋_GBK"/>
          <w:color w:val="000000"/>
          <w:sz w:val="24"/>
        </w:rPr>
        <w:t>大小，应有封面和目录）按《施工图设计文件审查人员核查汇总表》的填报顺序排列装订成册，其他一份申请表单列。</w:t>
      </w:r>
    </w:p>
    <w:p>
      <w:pPr>
        <w:adjustRightInd w:val="0"/>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kern w:val="0"/>
          <w:sz w:val="24"/>
        </w:rPr>
      </w:pPr>
      <w:r>
        <w:rPr>
          <w:rFonts w:hint="eastAsia" w:eastAsia="方正仿宋_GBK"/>
          <w:color w:val="000000"/>
          <w:kern w:val="0"/>
          <w:sz w:val="24"/>
        </w:rPr>
        <w:t>附件：</w:t>
      </w:r>
      <w:r>
        <w:rPr>
          <w:rFonts w:eastAsia="方正仿宋_GBK"/>
          <w:color w:val="000000"/>
          <w:kern w:val="0"/>
          <w:sz w:val="24"/>
        </w:rPr>
        <w:t>1. </w:t>
      </w:r>
      <w:r>
        <w:rPr>
          <w:rFonts w:hint="eastAsia" w:eastAsia="方正仿宋_GBK"/>
          <w:color w:val="000000"/>
          <w:kern w:val="0"/>
          <w:sz w:val="24"/>
        </w:rPr>
        <w:t>施工图设计文件审查机构认定申请表；</w:t>
      </w:r>
      <w:r>
        <w:rPr>
          <w:rFonts w:eastAsia="方正仿宋_GBK"/>
          <w:color w:val="000000"/>
          <w:kern w:val="0"/>
          <w:sz w:val="24"/>
        </w:rPr>
        <w:t xml:space="preserve"> </w:t>
      </w:r>
    </w:p>
    <w:p>
      <w:pPr>
        <w:spacing w:line="460" w:lineRule="exact"/>
        <w:ind w:firstLine="1171" w:firstLineChars="488"/>
        <w:rPr>
          <w:rFonts w:eastAsia="方正仿宋_GBK"/>
          <w:bCs/>
          <w:color w:val="000000"/>
          <w:kern w:val="0"/>
          <w:sz w:val="24"/>
        </w:rPr>
      </w:pPr>
      <w:r>
        <w:rPr>
          <w:rFonts w:eastAsia="方正仿宋_GBK"/>
          <w:color w:val="000000"/>
          <w:kern w:val="0"/>
          <w:sz w:val="24"/>
        </w:rPr>
        <w:t xml:space="preserve">2. </w:t>
      </w:r>
      <w:r>
        <w:rPr>
          <w:rFonts w:hint="eastAsia" w:eastAsia="方正仿宋_GBK"/>
          <w:color w:val="000000"/>
          <w:kern w:val="0"/>
          <w:sz w:val="24"/>
        </w:rPr>
        <w:t>施工图设计文件审查机构自审表；</w:t>
      </w:r>
    </w:p>
    <w:p>
      <w:pPr>
        <w:spacing w:line="460" w:lineRule="exact"/>
        <w:ind w:firstLine="1171" w:firstLineChars="488"/>
        <w:rPr>
          <w:rFonts w:eastAsia="方正仿宋_GBK"/>
          <w:color w:val="000000"/>
          <w:kern w:val="0"/>
          <w:sz w:val="24"/>
        </w:rPr>
      </w:pPr>
      <w:r>
        <w:rPr>
          <w:rFonts w:eastAsia="方正仿宋_GBK"/>
          <w:bCs/>
          <w:color w:val="000000"/>
          <w:kern w:val="0"/>
          <w:sz w:val="24"/>
        </w:rPr>
        <w:t>3</w:t>
      </w:r>
      <w:r>
        <w:rPr>
          <w:rFonts w:eastAsia="方正仿宋_GBK"/>
          <w:color w:val="000000"/>
          <w:kern w:val="0"/>
          <w:sz w:val="24"/>
        </w:rPr>
        <w:t>. </w:t>
      </w:r>
      <w:r>
        <w:rPr>
          <w:rFonts w:hint="eastAsia" w:eastAsia="方正仿宋_GBK"/>
          <w:color w:val="000000"/>
          <w:kern w:val="0"/>
          <w:sz w:val="24"/>
        </w:rPr>
        <w:t>施工图设计文件审查人员核查汇总表；</w:t>
      </w:r>
    </w:p>
    <w:p>
      <w:pPr>
        <w:spacing w:line="460" w:lineRule="exact"/>
        <w:ind w:firstLine="1171" w:firstLineChars="488"/>
        <w:rPr>
          <w:rFonts w:eastAsia="方正仿宋_GBK"/>
          <w:color w:val="000000"/>
          <w:kern w:val="0"/>
          <w:sz w:val="24"/>
        </w:rPr>
      </w:pPr>
      <w:r>
        <w:rPr>
          <w:rFonts w:eastAsia="方正仿宋_GBK"/>
          <w:color w:val="000000"/>
          <w:kern w:val="0"/>
          <w:sz w:val="24"/>
        </w:rPr>
        <w:t>4. </w:t>
      </w:r>
      <w:r>
        <w:rPr>
          <w:rFonts w:hint="eastAsia" w:eastAsia="方正仿宋_GBK"/>
          <w:color w:val="000000"/>
          <w:kern w:val="0"/>
          <w:sz w:val="24"/>
        </w:rPr>
        <w:t>施工图设计文件审查人员认定申请表。</w:t>
      </w:r>
    </w:p>
    <w:p>
      <w:pPr>
        <w:spacing w:line="460" w:lineRule="exact"/>
        <w:ind w:firstLine="480" w:firstLineChars="200"/>
        <w:rPr>
          <w:rFonts w:eastAsia="方正仿宋_GBK"/>
          <w:color w:val="000000"/>
          <w:kern w:val="0"/>
          <w:sz w:val="24"/>
        </w:rPr>
      </w:pPr>
    </w:p>
    <w:p>
      <w:pPr>
        <w:spacing w:line="460" w:lineRule="exact"/>
        <w:ind w:firstLine="480" w:firstLineChars="200"/>
        <w:rPr>
          <w:rFonts w:eastAsia="方正仿宋_GBK"/>
          <w:color w:val="000000"/>
          <w:kern w:val="0"/>
          <w:sz w:val="24"/>
        </w:rPr>
      </w:pPr>
    </w:p>
    <w:p>
      <w:pPr>
        <w:spacing w:line="460" w:lineRule="exact"/>
        <w:ind w:right="439" w:rightChars="209" w:firstLine="480" w:firstLineChars="200"/>
        <w:jc w:val="right"/>
        <w:rPr>
          <w:rFonts w:eastAsia="仿宋_GB2312"/>
          <w:color w:val="000000"/>
          <w:spacing w:val="20"/>
          <w:kern w:val="0"/>
          <w:sz w:val="32"/>
        </w:rPr>
      </w:pPr>
      <w:r>
        <w:rPr>
          <w:rFonts w:hint="eastAsia" w:eastAsia="方正仿宋_GBK"/>
          <w:color w:val="000000"/>
          <w:kern w:val="0"/>
          <w:sz w:val="24"/>
        </w:rPr>
        <w:t>二</w:t>
      </w:r>
      <w:r>
        <w:rPr>
          <w:rFonts w:hint="eastAsia" w:ascii="Times New Roman" w:hAnsi="Times New Roman"/>
          <w:color w:val="000000"/>
          <w:kern w:val="0"/>
          <w:sz w:val="24"/>
        </w:rPr>
        <w:t>○○</w:t>
      </w:r>
      <w:r>
        <w:rPr>
          <w:rFonts w:hint="eastAsia" w:eastAsia="方正仿宋_GBK"/>
          <w:color w:val="000000"/>
          <w:kern w:val="0"/>
          <w:sz w:val="24"/>
        </w:rPr>
        <w:t>四年十二月九日</w:t>
      </w:r>
    </w:p>
    <w:p>
      <w:pPr>
        <w:spacing w:line="560" w:lineRule="exact"/>
        <w:rPr>
          <w:rFonts w:eastAsia="黑体"/>
          <w:color w:val="000000"/>
          <w:sz w:val="28"/>
          <w:szCs w:val="28"/>
        </w:rPr>
      </w:pPr>
      <w:r>
        <w:rPr>
          <w:rFonts w:eastAsia="仿宋_GB2312"/>
          <w:color w:val="000000"/>
          <w:spacing w:val="20"/>
          <w:kern w:val="0"/>
          <w:sz w:val="32"/>
        </w:rPr>
        <w:br w:type="column"/>
      </w:r>
      <w:r>
        <w:rPr>
          <w:rFonts w:hint="eastAsia" w:eastAsia="黑体"/>
          <w:color w:val="000000"/>
          <w:sz w:val="28"/>
          <w:szCs w:val="28"/>
        </w:rPr>
        <w:t>附件</w:t>
      </w:r>
      <w:r>
        <w:rPr>
          <w:rFonts w:eastAsia="黑体"/>
          <w:color w:val="000000"/>
          <w:sz w:val="28"/>
          <w:szCs w:val="28"/>
        </w:rPr>
        <w:t>1</w:t>
      </w:r>
      <w:r>
        <w:rPr>
          <w:rFonts w:hint="eastAsia" w:eastAsia="黑体"/>
          <w:color w:val="000000"/>
          <w:sz w:val="28"/>
          <w:szCs w:val="28"/>
        </w:rPr>
        <w:t>：</w:t>
      </w:r>
    </w:p>
    <w:p>
      <w:pPr>
        <w:jc w:val="center"/>
        <w:rPr>
          <w:rFonts w:eastAsia="黑体"/>
          <w:color w:val="000000"/>
          <w:sz w:val="44"/>
        </w:rPr>
      </w:pPr>
    </w:p>
    <w:p>
      <w:pPr>
        <w:jc w:val="center"/>
        <w:rPr>
          <w:rFonts w:eastAsia="黑体"/>
          <w:color w:val="000000"/>
          <w:sz w:val="44"/>
        </w:rPr>
      </w:pPr>
    </w:p>
    <w:p>
      <w:pPr>
        <w:jc w:val="center"/>
        <w:rPr>
          <w:rFonts w:eastAsia="黑体"/>
          <w:color w:val="000000"/>
          <w:sz w:val="44"/>
        </w:rPr>
      </w:pPr>
      <w:r>
        <w:rPr>
          <w:rFonts w:hint="eastAsia" w:eastAsia="黑体"/>
          <w:color w:val="000000"/>
          <w:sz w:val="44"/>
        </w:rPr>
        <w:t>施工图设计文件审查机构认定申请表</w:t>
      </w:r>
    </w:p>
    <w:p>
      <w:pPr>
        <w:jc w:val="center"/>
        <w:rPr>
          <w:rFonts w:eastAsia="黑体"/>
          <w:color w:val="000000"/>
          <w:sz w:val="36"/>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color w:val="000000"/>
        </w:rPr>
      </w:pPr>
    </w:p>
    <w:p>
      <w:pPr>
        <w:rPr>
          <w:rFonts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sz w:val="32"/>
        </w:rPr>
      </w:pPr>
      <w:r>
        <w:rPr>
          <w:rFonts w:hint="eastAsia" w:ascii="Times New Roman" w:eastAsia="仿宋_GB2312"/>
          <w:color w:val="000000"/>
        </w:rPr>
        <w:t xml:space="preserve"> </w:t>
      </w:r>
      <w:r>
        <w:rPr>
          <w:rFonts w:hint="eastAsia" w:ascii="Times New Roman" w:eastAsia="仿宋_GB2312"/>
          <w:color w:val="000000"/>
          <w:sz w:val="28"/>
        </w:rPr>
        <w:t xml:space="preserve">       </w:t>
      </w:r>
      <w:r>
        <w:rPr>
          <w:rFonts w:hint="eastAsia" w:ascii="Times New Roman" w:eastAsia="仿宋_GB2312"/>
          <w:color w:val="000000"/>
          <w:sz w:val="32"/>
        </w:rPr>
        <w:t xml:space="preserve">申报机构：                         </w:t>
      </w:r>
    </w:p>
    <w:p>
      <w:pPr>
        <w:rPr>
          <w:rFonts w:hint="eastAsia" w:ascii="Times New Roman" w:eastAsia="仿宋_GB2312"/>
          <w:color w:val="000000"/>
          <w:sz w:val="28"/>
        </w:rPr>
      </w:pPr>
      <w:r>
        <w:rPr>
          <w:rFonts w:hint="eastAsia" w:ascii="Times New Roman" w:eastAsia="仿宋_GB2312"/>
          <w:color w:val="000000"/>
        </w:rPr>
        <w:t xml:space="preserve"> </w:t>
      </w:r>
      <w:r>
        <w:rPr>
          <w:rFonts w:hint="eastAsia" w:ascii="Times New Roman" w:eastAsia="仿宋_GB2312"/>
          <w:color w:val="000000"/>
          <w:sz w:val="28"/>
        </w:rPr>
        <w:t xml:space="preserve">       </w:t>
      </w:r>
    </w:p>
    <w:p>
      <w:pPr>
        <w:rPr>
          <w:rFonts w:hint="eastAsia" w:ascii="Times New Roman" w:eastAsia="仿宋_GB2312"/>
          <w:color w:val="000000"/>
          <w:sz w:val="28"/>
        </w:rPr>
      </w:pPr>
    </w:p>
    <w:p>
      <w:pPr>
        <w:ind w:firstLine="1072" w:firstLineChars="335"/>
        <w:rPr>
          <w:rFonts w:hint="eastAsia" w:ascii="Times New Roman" w:eastAsia="仿宋_GB2312"/>
          <w:color w:val="000000"/>
          <w:sz w:val="32"/>
        </w:rPr>
      </w:pPr>
      <w:r>
        <w:rPr>
          <w:rFonts w:hint="eastAsia" w:ascii="Times New Roman" w:eastAsia="仿宋_GB2312"/>
          <w:color w:val="000000"/>
          <w:sz w:val="32"/>
        </w:rPr>
        <w:t xml:space="preserve">申报级别：                         </w:t>
      </w:r>
    </w:p>
    <w:p>
      <w:pPr>
        <w:ind w:firstLine="1072" w:firstLineChars="335"/>
        <w:rPr>
          <w:rFonts w:hint="eastAsia" w:ascii="Times New Roman" w:eastAsia="仿宋_GB2312"/>
          <w:color w:val="000000"/>
          <w:sz w:val="32"/>
        </w:rPr>
      </w:pPr>
      <w:r>
        <w:rPr>
          <w:rFonts w:hint="eastAsia" w:ascii="Times New Roman" w:eastAsia="仿宋_GB2312"/>
          <w:color w:val="000000"/>
          <w:sz w:val="32"/>
        </w:rPr>
        <w:t xml:space="preserve">       </w:t>
      </w:r>
    </w:p>
    <w:p>
      <w:pPr>
        <w:ind w:firstLine="1072" w:firstLineChars="335"/>
        <w:rPr>
          <w:rFonts w:hint="eastAsia" w:ascii="Times New Roman" w:eastAsia="仿宋_GB2312"/>
          <w:color w:val="000000"/>
          <w:sz w:val="32"/>
        </w:rPr>
      </w:pPr>
    </w:p>
    <w:p>
      <w:pPr>
        <w:ind w:firstLine="1072" w:firstLineChars="335"/>
        <w:rPr>
          <w:rFonts w:hint="eastAsia" w:ascii="Times New Roman" w:eastAsia="仿宋_GB2312"/>
          <w:color w:val="000000"/>
          <w:sz w:val="32"/>
        </w:rPr>
      </w:pPr>
      <w:r>
        <w:rPr>
          <w:rFonts w:hint="eastAsia" w:ascii="Times New Roman" w:eastAsia="仿宋_GB2312"/>
          <w:color w:val="000000"/>
          <w:sz w:val="32"/>
        </w:rPr>
        <w:t xml:space="preserve">填报日期：                         </w:t>
      </w: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rPr>
          <w:rFonts w:hint="eastAsia" w:ascii="Times New Roman" w:eastAsia="仿宋_GB2312"/>
          <w:color w:val="000000"/>
        </w:rPr>
      </w:pPr>
    </w:p>
    <w:p>
      <w:pPr>
        <w:tabs>
          <w:tab w:val="left" w:pos="5940"/>
        </w:tabs>
        <w:jc w:val="center"/>
        <w:rPr>
          <w:rFonts w:hint="eastAsia" w:ascii="Times New Roman" w:eastAsia="仿宋_GB2312"/>
          <w:color w:val="000000"/>
          <w:sz w:val="32"/>
        </w:rPr>
      </w:pPr>
      <w:r>
        <w:rPr>
          <w:rFonts w:hint="eastAsia" w:ascii="Times New Roman" w:eastAsia="仿宋_GB2312"/>
          <w:color w:val="000000"/>
          <w:sz w:val="32"/>
        </w:rPr>
        <w:t>江苏省住房和城乡建设厅制</w:t>
      </w:r>
    </w:p>
    <w:p>
      <w:pPr>
        <w:tabs>
          <w:tab w:val="left" w:pos="5940"/>
        </w:tabs>
        <w:jc w:val="center"/>
        <w:rPr>
          <w:rFonts w:hint="eastAsia"/>
          <w:color w:val="000000"/>
          <w:sz w:val="32"/>
        </w:rPr>
      </w:pPr>
    </w:p>
    <w:p>
      <w:pPr>
        <w:jc w:val="center"/>
        <w:rPr>
          <w:rFonts w:eastAsia="仿宋_GB2312"/>
          <w:b/>
          <w:color w:val="000000"/>
          <w:sz w:val="24"/>
        </w:rPr>
      </w:pPr>
      <w:r>
        <w:rPr>
          <w:rFonts w:eastAsia="仿宋_GB2312"/>
          <w:b/>
          <w:color w:val="000000"/>
          <w:sz w:val="32"/>
        </w:rPr>
        <w:br w:type="column"/>
      </w:r>
      <w:r>
        <w:rPr>
          <w:rFonts w:hint="eastAsia" w:eastAsia="仿宋_GB2312"/>
          <w:b/>
          <w:color w:val="000000"/>
          <w:sz w:val="24"/>
        </w:rPr>
        <w:t>一、机构基本情况</w:t>
      </w:r>
    </w:p>
    <w:tbl>
      <w:tblPr>
        <w:tblStyle w:val="12"/>
        <w:tblW w:w="0" w:type="auto"/>
        <w:jc w:val="center"/>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
      <w:tblGrid>
        <w:gridCol w:w="1683"/>
        <w:gridCol w:w="80"/>
        <w:gridCol w:w="465"/>
        <w:gridCol w:w="175"/>
        <w:gridCol w:w="540"/>
        <w:gridCol w:w="180"/>
        <w:gridCol w:w="1259"/>
        <w:gridCol w:w="395"/>
        <w:gridCol w:w="1224"/>
        <w:gridCol w:w="1619"/>
        <w:gridCol w:w="180"/>
        <w:gridCol w:w="1569"/>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449" w:hRule="atLeast"/>
          <w:jc w:val="center"/>
        </w:trPr>
        <w:tc>
          <w:tcPr>
            <w:tcW w:w="168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distribute"/>
              <w:rPr>
                <w:rFonts w:eastAsia="仿宋_GB2312"/>
                <w:color w:val="000000"/>
                <w:kern w:val="0"/>
                <w:szCs w:val="21"/>
              </w:rPr>
            </w:pPr>
            <w:r>
              <w:rPr>
                <w:rFonts w:hint="eastAsia" w:eastAsia="仿宋_GB2312"/>
                <w:color w:val="000000"/>
                <w:kern w:val="0"/>
                <w:szCs w:val="21"/>
              </w:rPr>
              <w:t>机构名称</w:t>
            </w:r>
          </w:p>
        </w:tc>
        <w:tc>
          <w:tcPr>
            <w:tcW w:w="4318" w:type="dxa"/>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rPr>
                <w:rFonts w:eastAsia="仿宋_GB2312"/>
                <w:color w:val="000000"/>
                <w:kern w:val="0"/>
                <w:szCs w:val="21"/>
              </w:rPr>
            </w:pPr>
          </w:p>
        </w:tc>
        <w:tc>
          <w:tcPr>
            <w:tcW w:w="161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distribute"/>
              <w:rPr>
                <w:rFonts w:eastAsia="仿宋_GB2312"/>
                <w:color w:val="000000"/>
                <w:kern w:val="0"/>
                <w:szCs w:val="21"/>
              </w:rPr>
            </w:pPr>
            <w:r>
              <w:rPr>
                <w:rFonts w:hint="eastAsia" w:eastAsia="仿宋_GB2312"/>
                <w:color w:val="000000"/>
                <w:kern w:val="0"/>
                <w:szCs w:val="21"/>
              </w:rPr>
              <w:t>联系人</w:t>
            </w:r>
          </w:p>
        </w:tc>
        <w:tc>
          <w:tcPr>
            <w:tcW w:w="1749" w:type="dxa"/>
            <w:gridSpan w:val="2"/>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eastAsia="仿宋_GB2312"/>
                <w:color w:val="000000"/>
                <w:kern w:val="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168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distribute"/>
              <w:rPr>
                <w:rFonts w:eastAsia="仿宋_GB2312"/>
                <w:color w:val="000000"/>
                <w:kern w:val="0"/>
                <w:szCs w:val="21"/>
              </w:rPr>
            </w:pPr>
            <w:r>
              <w:rPr>
                <w:rFonts w:hint="eastAsia" w:eastAsia="仿宋_GB2312"/>
                <w:color w:val="000000"/>
                <w:kern w:val="0"/>
                <w:szCs w:val="21"/>
              </w:rPr>
              <w:t>机构地址</w:t>
            </w:r>
          </w:p>
        </w:tc>
        <w:tc>
          <w:tcPr>
            <w:tcW w:w="4318" w:type="dxa"/>
            <w:gridSpan w:val="8"/>
            <w:tcBorders>
              <w:top w:val="single" w:color="auto" w:sz="4" w:space="0"/>
              <w:left w:val="single" w:color="auto" w:sz="4" w:space="0"/>
              <w:bottom w:val="single" w:color="auto" w:sz="4" w:space="0"/>
              <w:right w:val="single" w:color="auto" w:sz="4" w:space="0"/>
            </w:tcBorders>
            <w:noWrap w:val="0"/>
            <w:vAlign w:val="top"/>
          </w:tcPr>
          <w:p>
            <w:pPr>
              <w:spacing w:line="480" w:lineRule="exact"/>
              <w:rPr>
                <w:rFonts w:eastAsia="仿宋_GB2312"/>
                <w:color w:val="000000"/>
                <w:kern w:val="0"/>
                <w:szCs w:val="21"/>
              </w:rPr>
            </w:pPr>
          </w:p>
        </w:tc>
        <w:tc>
          <w:tcPr>
            <w:tcW w:w="161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distribute"/>
              <w:rPr>
                <w:rFonts w:eastAsia="仿宋_GB2312"/>
                <w:color w:val="000000"/>
                <w:kern w:val="0"/>
                <w:szCs w:val="21"/>
              </w:rPr>
            </w:pPr>
            <w:r>
              <w:rPr>
                <w:rFonts w:hint="eastAsia" w:eastAsia="仿宋_GB2312"/>
                <w:color w:val="000000"/>
                <w:kern w:val="0"/>
                <w:szCs w:val="21"/>
              </w:rPr>
              <w:t>邮政编码</w:t>
            </w:r>
          </w:p>
        </w:tc>
        <w:tc>
          <w:tcPr>
            <w:tcW w:w="1749" w:type="dxa"/>
            <w:gridSpan w:val="2"/>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eastAsia="仿宋_GB2312"/>
                <w:color w:val="000000"/>
                <w:kern w:val="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1683"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distribute"/>
              <w:rPr>
                <w:rFonts w:eastAsia="仿宋_GB2312"/>
                <w:color w:val="000000"/>
                <w:kern w:val="0"/>
                <w:szCs w:val="21"/>
              </w:rPr>
            </w:pPr>
            <w:r>
              <w:rPr>
                <w:rFonts w:hint="eastAsia" w:eastAsia="仿宋_GB2312"/>
                <w:color w:val="000000"/>
                <w:kern w:val="0"/>
                <w:szCs w:val="21"/>
              </w:rPr>
              <w:t>成立时间</w:t>
            </w:r>
          </w:p>
        </w:tc>
        <w:tc>
          <w:tcPr>
            <w:tcW w:w="1260" w:type="dxa"/>
            <w:gridSpan w:val="4"/>
            <w:tcBorders>
              <w:top w:val="single" w:color="auto" w:sz="4" w:space="0"/>
              <w:left w:val="single" w:color="auto" w:sz="4" w:space="0"/>
              <w:bottom w:val="single" w:color="auto" w:sz="4" w:space="0"/>
              <w:right w:val="single" w:color="auto" w:sz="4" w:space="0"/>
            </w:tcBorders>
            <w:noWrap w:val="0"/>
            <w:vAlign w:val="top"/>
          </w:tcPr>
          <w:p>
            <w:pPr>
              <w:spacing w:line="480" w:lineRule="exact"/>
              <w:rPr>
                <w:rFonts w:eastAsia="仿宋_GB2312"/>
                <w:color w:val="000000"/>
                <w:kern w:val="0"/>
                <w:szCs w:val="21"/>
              </w:rPr>
            </w:pPr>
          </w:p>
        </w:tc>
        <w:tc>
          <w:tcPr>
            <w:tcW w:w="1439" w:type="dxa"/>
            <w:gridSpan w:val="2"/>
            <w:tcBorders>
              <w:top w:val="single" w:color="auto" w:sz="4" w:space="0"/>
              <w:left w:val="single" w:color="auto" w:sz="4" w:space="0"/>
              <w:bottom w:val="single" w:color="auto" w:sz="4" w:space="0"/>
              <w:right w:val="single" w:color="auto" w:sz="4" w:space="0"/>
            </w:tcBorders>
            <w:noWrap w:val="0"/>
            <w:vAlign w:val="center"/>
          </w:tcPr>
          <w:p>
            <w:pPr>
              <w:spacing w:line="480" w:lineRule="exact"/>
              <w:jc w:val="distribute"/>
              <w:rPr>
                <w:rFonts w:eastAsia="仿宋_GB2312"/>
                <w:color w:val="000000"/>
                <w:kern w:val="0"/>
                <w:szCs w:val="21"/>
              </w:rPr>
            </w:pPr>
            <w:r>
              <w:rPr>
                <w:rFonts w:hint="eastAsia" w:eastAsia="仿宋_GB2312"/>
                <w:color w:val="000000"/>
                <w:kern w:val="0"/>
                <w:szCs w:val="21"/>
              </w:rPr>
              <w:t>机构性质</w:t>
            </w:r>
          </w:p>
        </w:tc>
        <w:tc>
          <w:tcPr>
            <w:tcW w:w="1619" w:type="dxa"/>
            <w:gridSpan w:val="2"/>
            <w:tcBorders>
              <w:top w:val="single" w:color="auto" w:sz="4" w:space="0"/>
              <w:left w:val="single" w:color="auto" w:sz="4" w:space="0"/>
              <w:bottom w:val="single" w:color="auto" w:sz="4" w:space="0"/>
              <w:right w:val="single" w:color="auto" w:sz="4" w:space="0"/>
            </w:tcBorders>
            <w:noWrap w:val="0"/>
            <w:vAlign w:val="top"/>
          </w:tcPr>
          <w:p>
            <w:pPr>
              <w:spacing w:line="480" w:lineRule="exact"/>
              <w:rPr>
                <w:rFonts w:eastAsia="仿宋_GB2312"/>
                <w:color w:val="000000"/>
                <w:kern w:val="0"/>
                <w:szCs w:val="21"/>
              </w:rPr>
            </w:pPr>
          </w:p>
        </w:tc>
        <w:tc>
          <w:tcPr>
            <w:tcW w:w="1619" w:type="dxa"/>
            <w:tcBorders>
              <w:top w:val="single" w:color="auto" w:sz="4" w:space="0"/>
              <w:left w:val="single" w:color="auto" w:sz="4" w:space="0"/>
              <w:bottom w:val="single" w:color="auto" w:sz="4" w:space="0"/>
              <w:right w:val="single" w:color="auto" w:sz="4" w:space="0"/>
            </w:tcBorders>
            <w:noWrap w:val="0"/>
            <w:vAlign w:val="center"/>
          </w:tcPr>
          <w:p>
            <w:pPr>
              <w:spacing w:line="480" w:lineRule="exact"/>
              <w:jc w:val="distribute"/>
              <w:rPr>
                <w:rFonts w:eastAsia="仿宋_GB2312"/>
                <w:color w:val="000000"/>
                <w:kern w:val="0"/>
                <w:szCs w:val="21"/>
              </w:rPr>
            </w:pPr>
            <w:r>
              <w:rPr>
                <w:rFonts w:hint="eastAsia" w:eastAsia="仿宋_GB2312"/>
                <w:color w:val="000000"/>
                <w:kern w:val="0"/>
                <w:szCs w:val="21"/>
              </w:rPr>
              <w:t>联系电话</w:t>
            </w:r>
          </w:p>
        </w:tc>
        <w:tc>
          <w:tcPr>
            <w:tcW w:w="1749" w:type="dxa"/>
            <w:gridSpan w:val="2"/>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eastAsia="仿宋_GB2312"/>
                <w:color w:val="000000"/>
                <w:kern w:val="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94" w:hRule="atLeast"/>
          <w:jc w:val="center"/>
        </w:trPr>
        <w:tc>
          <w:tcPr>
            <w:tcW w:w="168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distribute"/>
              <w:rPr>
                <w:rFonts w:eastAsia="仿宋_GB2312"/>
                <w:color w:val="000000"/>
                <w:spacing w:val="-20"/>
                <w:kern w:val="0"/>
                <w:szCs w:val="21"/>
              </w:rPr>
            </w:pPr>
            <w:r>
              <w:rPr>
                <w:rFonts w:hint="eastAsia" w:eastAsia="仿宋_GB2312"/>
                <w:color w:val="000000"/>
                <w:spacing w:val="-20"/>
                <w:kern w:val="0"/>
                <w:szCs w:val="21"/>
              </w:rPr>
              <w:t>办公场所面积</w:t>
            </w:r>
          </w:p>
          <w:p>
            <w:pPr>
              <w:spacing w:line="300" w:lineRule="exact"/>
              <w:jc w:val="distribute"/>
              <w:rPr>
                <w:rFonts w:eastAsia="仿宋_GB2312"/>
                <w:color w:val="000000"/>
                <w:spacing w:val="-20"/>
                <w:kern w:val="0"/>
                <w:szCs w:val="21"/>
              </w:rPr>
            </w:pPr>
            <w:r>
              <w:rPr>
                <w:rFonts w:hint="eastAsia" w:eastAsia="仿宋_GB2312"/>
                <w:color w:val="000000"/>
                <w:spacing w:val="-20"/>
                <w:kern w:val="0"/>
                <w:szCs w:val="21"/>
              </w:rPr>
              <w:t>（平米）</w:t>
            </w:r>
          </w:p>
        </w:tc>
        <w:tc>
          <w:tcPr>
            <w:tcW w:w="1260" w:type="dxa"/>
            <w:gridSpan w:val="4"/>
            <w:tcBorders>
              <w:top w:val="single" w:color="auto" w:sz="4" w:space="0"/>
              <w:left w:val="single" w:color="auto" w:sz="4" w:space="0"/>
              <w:bottom w:val="single" w:color="auto" w:sz="4" w:space="0"/>
              <w:right w:val="single" w:color="auto" w:sz="4" w:space="0"/>
            </w:tcBorders>
            <w:noWrap w:val="0"/>
            <w:vAlign w:val="top"/>
          </w:tcPr>
          <w:p>
            <w:pPr>
              <w:spacing w:line="300" w:lineRule="exact"/>
              <w:jc w:val="left"/>
              <w:rPr>
                <w:rFonts w:eastAsia="仿宋_GB2312"/>
                <w:color w:val="000000"/>
                <w:kern w:val="0"/>
                <w:szCs w:val="21"/>
              </w:rPr>
            </w:pPr>
          </w:p>
          <w:p>
            <w:pPr>
              <w:spacing w:line="300" w:lineRule="exact"/>
              <w:rPr>
                <w:rFonts w:eastAsia="仿宋_GB2312"/>
                <w:color w:val="000000"/>
                <w:kern w:val="0"/>
                <w:szCs w:val="21"/>
              </w:rPr>
            </w:pPr>
          </w:p>
        </w:tc>
        <w:tc>
          <w:tcPr>
            <w:tcW w:w="1439" w:type="dxa"/>
            <w:gridSpan w:val="2"/>
            <w:tcBorders>
              <w:top w:val="single" w:color="auto" w:sz="4" w:space="0"/>
              <w:left w:val="single" w:color="auto" w:sz="4" w:space="0"/>
              <w:bottom w:val="single" w:color="auto" w:sz="4" w:space="0"/>
              <w:right w:val="single" w:color="auto" w:sz="4" w:space="0"/>
            </w:tcBorders>
            <w:noWrap w:val="0"/>
            <w:vAlign w:val="center"/>
          </w:tcPr>
          <w:p>
            <w:pPr>
              <w:spacing w:line="300" w:lineRule="exact"/>
              <w:jc w:val="distribute"/>
              <w:rPr>
                <w:rFonts w:eastAsia="仿宋_GB2312"/>
                <w:color w:val="000000"/>
                <w:kern w:val="0"/>
                <w:szCs w:val="21"/>
              </w:rPr>
            </w:pPr>
            <w:r>
              <w:rPr>
                <w:rFonts w:hint="eastAsia" w:eastAsia="仿宋_GB2312"/>
                <w:color w:val="000000"/>
                <w:kern w:val="0"/>
                <w:szCs w:val="21"/>
              </w:rPr>
              <w:t>注册资金</w:t>
            </w:r>
          </w:p>
          <w:p>
            <w:pPr>
              <w:spacing w:line="300" w:lineRule="exact"/>
              <w:jc w:val="distribute"/>
              <w:rPr>
                <w:rFonts w:eastAsia="仿宋_GB2312"/>
                <w:color w:val="000000"/>
                <w:kern w:val="0"/>
                <w:szCs w:val="21"/>
              </w:rPr>
            </w:pPr>
            <w:r>
              <w:rPr>
                <w:rFonts w:hint="eastAsia" w:eastAsia="仿宋_GB2312"/>
                <w:color w:val="000000"/>
                <w:kern w:val="0"/>
                <w:szCs w:val="21"/>
              </w:rPr>
              <w:t>（万元）</w:t>
            </w:r>
          </w:p>
        </w:tc>
        <w:tc>
          <w:tcPr>
            <w:tcW w:w="1619" w:type="dxa"/>
            <w:gridSpan w:val="2"/>
            <w:tcBorders>
              <w:top w:val="single" w:color="auto" w:sz="4" w:space="0"/>
              <w:left w:val="single" w:color="auto" w:sz="4" w:space="0"/>
              <w:bottom w:val="single" w:color="auto" w:sz="4" w:space="0"/>
              <w:right w:val="single" w:color="auto" w:sz="4" w:space="0"/>
            </w:tcBorders>
            <w:noWrap w:val="0"/>
            <w:vAlign w:val="top"/>
          </w:tcPr>
          <w:p>
            <w:pPr>
              <w:spacing w:line="300" w:lineRule="exact"/>
              <w:jc w:val="left"/>
              <w:rPr>
                <w:rFonts w:eastAsia="仿宋_GB2312"/>
                <w:color w:val="000000"/>
                <w:kern w:val="0"/>
                <w:szCs w:val="21"/>
              </w:rPr>
            </w:pPr>
          </w:p>
          <w:p>
            <w:pPr>
              <w:spacing w:line="300" w:lineRule="exact"/>
              <w:rPr>
                <w:rFonts w:eastAsia="仿宋_GB2312"/>
                <w:color w:val="000000"/>
                <w:kern w:val="0"/>
                <w:szCs w:val="21"/>
              </w:rPr>
            </w:pPr>
          </w:p>
        </w:tc>
        <w:tc>
          <w:tcPr>
            <w:tcW w:w="1619"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distribute"/>
              <w:rPr>
                <w:rFonts w:eastAsia="仿宋_GB2312"/>
                <w:color w:val="000000"/>
                <w:kern w:val="0"/>
                <w:szCs w:val="21"/>
              </w:rPr>
            </w:pPr>
            <w:r>
              <w:rPr>
                <w:rFonts w:hint="eastAsia" w:eastAsia="仿宋_GB2312"/>
                <w:color w:val="000000"/>
                <w:kern w:val="0"/>
                <w:szCs w:val="21"/>
              </w:rPr>
              <w:t>人员总数</w:t>
            </w:r>
          </w:p>
        </w:tc>
        <w:tc>
          <w:tcPr>
            <w:tcW w:w="1749" w:type="dxa"/>
            <w:gridSpan w:val="2"/>
            <w:tcBorders>
              <w:top w:val="single" w:color="auto" w:sz="4" w:space="0"/>
              <w:left w:val="single" w:color="auto" w:sz="4" w:space="0"/>
              <w:bottom w:val="single" w:color="auto" w:sz="4" w:space="0"/>
              <w:right w:val="single" w:color="auto" w:sz="4" w:space="0"/>
            </w:tcBorders>
            <w:noWrap w:val="0"/>
            <w:vAlign w:val="top"/>
          </w:tcPr>
          <w:p>
            <w:pPr>
              <w:spacing w:line="300" w:lineRule="exact"/>
              <w:jc w:val="center"/>
              <w:rPr>
                <w:rFonts w:eastAsia="仿宋_GB2312"/>
                <w:color w:val="000000"/>
                <w:kern w:val="0"/>
                <w:szCs w:val="21"/>
              </w:rPr>
            </w:pPr>
          </w:p>
          <w:p>
            <w:pPr>
              <w:spacing w:line="300" w:lineRule="exact"/>
              <w:jc w:val="center"/>
              <w:rPr>
                <w:rFonts w:eastAsia="仿宋_GB2312"/>
                <w:color w:val="000000"/>
                <w:kern w:val="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306" w:hRule="atLeast"/>
          <w:jc w:val="center"/>
        </w:trPr>
        <w:tc>
          <w:tcPr>
            <w:tcW w:w="168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仿宋_GB2312"/>
                <w:color w:val="000000"/>
                <w:szCs w:val="21"/>
              </w:rPr>
            </w:pPr>
            <w:r>
              <w:rPr>
                <w:rFonts w:hint="eastAsia" w:eastAsia="仿宋_GB2312"/>
                <w:color w:val="000000"/>
                <w:szCs w:val="21"/>
              </w:rPr>
              <w:t>审查</w:t>
            </w:r>
          </w:p>
          <w:p>
            <w:pPr>
              <w:jc w:val="center"/>
              <w:rPr>
                <w:rFonts w:eastAsia="仿宋_GB2312"/>
                <w:color w:val="000000"/>
                <w:szCs w:val="21"/>
              </w:rPr>
            </w:pPr>
            <w:r>
              <w:rPr>
                <w:rFonts w:hint="eastAsia" w:eastAsia="仿宋_GB2312"/>
                <w:color w:val="000000"/>
                <w:szCs w:val="21"/>
              </w:rPr>
              <w:t>人员</w:t>
            </w:r>
          </w:p>
          <w:p>
            <w:pPr>
              <w:jc w:val="center"/>
              <w:rPr>
                <w:rFonts w:eastAsia="仿宋_GB2312"/>
                <w:color w:val="000000"/>
                <w:szCs w:val="21"/>
              </w:rPr>
            </w:pPr>
            <w:r>
              <w:rPr>
                <w:rFonts w:hint="eastAsia" w:eastAsia="仿宋_GB2312"/>
                <w:color w:val="000000"/>
                <w:szCs w:val="21"/>
              </w:rPr>
              <w:t>总数</w:t>
            </w:r>
          </w:p>
          <w:p>
            <w:pPr>
              <w:jc w:val="center"/>
              <w:rPr>
                <w:rFonts w:eastAsia="仿宋_GB2312"/>
                <w:color w:val="000000"/>
                <w:szCs w:val="21"/>
              </w:rPr>
            </w:pPr>
            <w:r>
              <w:rPr>
                <w:rFonts w:hint="eastAsia" w:eastAsia="仿宋_GB2312"/>
                <w:color w:val="000000"/>
                <w:szCs w:val="21"/>
              </w:rPr>
              <w:t>人</w:t>
            </w:r>
          </w:p>
        </w:tc>
        <w:tc>
          <w:tcPr>
            <w:tcW w:w="7686" w:type="dxa"/>
            <w:gridSpan w:val="11"/>
            <w:tcBorders>
              <w:top w:val="single" w:color="auto" w:sz="4" w:space="0"/>
              <w:left w:val="single" w:color="auto" w:sz="4" w:space="0"/>
              <w:bottom w:val="single" w:color="auto" w:sz="4" w:space="0"/>
              <w:right w:val="single" w:color="auto" w:sz="4" w:space="0"/>
            </w:tcBorders>
            <w:noWrap w:val="0"/>
            <w:vAlign w:val="top"/>
          </w:tcPr>
          <w:p>
            <w:pPr>
              <w:snapToGrid w:val="0"/>
              <w:spacing w:line="480" w:lineRule="exact"/>
              <w:rPr>
                <w:rFonts w:eastAsia="仿宋_GB2312"/>
                <w:color w:val="000000"/>
                <w:szCs w:val="21"/>
              </w:rPr>
            </w:pPr>
          </w:p>
          <w:p>
            <w:pPr>
              <w:snapToGrid w:val="0"/>
              <w:spacing w:line="480" w:lineRule="exact"/>
              <w:ind w:firstLine="630" w:firstLineChars="300"/>
              <w:rPr>
                <w:rFonts w:eastAsia="仿宋_GB2312"/>
                <w:color w:val="000000"/>
                <w:szCs w:val="21"/>
              </w:rPr>
            </w:pPr>
            <w:r>
              <w:rPr>
                <w:rFonts w:hint="eastAsia" w:eastAsia="仿宋_GB2312"/>
                <w:color w:val="000000"/>
                <w:szCs w:val="21"/>
              </w:rPr>
              <w:t>专职审查人员总数</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465" w:hRule="atLeast"/>
          <w:jc w:val="center"/>
        </w:trPr>
        <w:tc>
          <w:tcPr>
            <w:tcW w:w="1683" w:type="dxa"/>
            <w:vMerge w:val="restart"/>
            <w:tcBorders>
              <w:top w:val="nil"/>
              <w:left w:val="single" w:color="auto" w:sz="4" w:space="0"/>
              <w:bottom w:val="single" w:color="auto" w:sz="4" w:space="0"/>
              <w:right w:val="single" w:color="auto" w:sz="4" w:space="0"/>
            </w:tcBorders>
            <w:noWrap w:val="0"/>
            <w:vAlign w:val="center"/>
          </w:tcPr>
          <w:p>
            <w:pPr>
              <w:rPr>
                <w:color w:val="000000"/>
                <w:szCs w:val="21"/>
              </w:rPr>
            </w:pPr>
          </w:p>
        </w:tc>
        <w:tc>
          <w:tcPr>
            <w:tcW w:w="545"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napToGrid w:val="0"/>
              <w:spacing w:line="480" w:lineRule="exact"/>
              <w:jc w:val="center"/>
              <w:rPr>
                <w:rFonts w:eastAsia="仿宋_GB2312"/>
                <w:color w:val="000000"/>
                <w:szCs w:val="21"/>
              </w:rPr>
            </w:pPr>
            <w:r>
              <w:rPr>
                <w:rFonts w:hint="eastAsia" w:eastAsia="仿宋_GB2312"/>
                <w:color w:val="000000"/>
                <w:szCs w:val="21"/>
              </w:rPr>
              <w:t>其中</w:t>
            </w:r>
          </w:p>
        </w:tc>
        <w:tc>
          <w:tcPr>
            <w:tcW w:w="7141" w:type="dxa"/>
            <w:gridSpan w:val="9"/>
            <w:tcBorders>
              <w:top w:val="single" w:color="auto" w:sz="4" w:space="0"/>
              <w:left w:val="single" w:color="auto" w:sz="4" w:space="0"/>
              <w:bottom w:val="single" w:color="auto" w:sz="4" w:space="0"/>
              <w:right w:val="single" w:color="auto" w:sz="4" w:space="0"/>
            </w:tcBorders>
            <w:noWrap w:val="0"/>
            <w:vAlign w:val="center"/>
          </w:tcPr>
          <w:p>
            <w:pPr>
              <w:snapToGrid w:val="0"/>
              <w:spacing w:line="300" w:lineRule="exact"/>
              <w:rPr>
                <w:rFonts w:eastAsia="仿宋_GB2312"/>
                <w:color w:val="000000"/>
                <w:szCs w:val="21"/>
              </w:rPr>
            </w:pPr>
            <w:r>
              <w:rPr>
                <w:rFonts w:hint="eastAsia" w:eastAsia="仿宋_GB2312"/>
                <w:color w:val="000000"/>
                <w:szCs w:val="21"/>
              </w:rPr>
              <w:t>勘察</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435" w:hRule="atLeast"/>
          <w:jc w:val="center"/>
        </w:trPr>
        <w:tc>
          <w:tcPr>
            <w:tcW w:w="1683"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szCs w:val="21"/>
              </w:rPr>
            </w:pPr>
          </w:p>
        </w:tc>
        <w:tc>
          <w:tcPr>
            <w:tcW w:w="54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zCs w:val="21"/>
              </w:rPr>
            </w:pPr>
          </w:p>
        </w:tc>
        <w:tc>
          <w:tcPr>
            <w:tcW w:w="7141" w:type="dxa"/>
            <w:gridSpan w:val="9"/>
            <w:tcBorders>
              <w:top w:val="single" w:color="auto" w:sz="4" w:space="0"/>
              <w:left w:val="single" w:color="auto" w:sz="4" w:space="0"/>
              <w:bottom w:val="single" w:color="auto" w:sz="4" w:space="0"/>
              <w:right w:val="single" w:color="auto" w:sz="4" w:space="0"/>
            </w:tcBorders>
            <w:noWrap w:val="0"/>
            <w:tcMar>
              <w:top w:w="28" w:type="dxa"/>
              <w:left w:w="108" w:type="dxa"/>
              <w:bottom w:w="28" w:type="dxa"/>
              <w:right w:w="108" w:type="dxa"/>
            </w:tcMar>
            <w:vAlign w:val="top"/>
          </w:tcPr>
          <w:p>
            <w:pPr>
              <w:snapToGrid w:val="0"/>
              <w:spacing w:line="300" w:lineRule="exact"/>
              <w:rPr>
                <w:rFonts w:eastAsia="仿宋_GB2312"/>
                <w:color w:val="000000"/>
                <w:szCs w:val="21"/>
              </w:rPr>
            </w:pPr>
            <w:r>
              <w:rPr>
                <w:rFonts w:hint="eastAsia" w:eastAsia="仿宋_GB2312"/>
                <w:color w:val="000000"/>
                <w:szCs w:val="21"/>
              </w:rPr>
              <w:t>建筑工程：建筑</w:t>
            </w:r>
            <w:r>
              <w:rPr>
                <w:rFonts w:eastAsia="仿宋_GB2312"/>
                <w:color w:val="000000"/>
                <w:szCs w:val="21"/>
              </w:rPr>
              <w:t xml:space="preserve">  </w:t>
            </w:r>
            <w:r>
              <w:rPr>
                <w:rFonts w:hint="eastAsia" w:eastAsia="仿宋_GB2312"/>
                <w:color w:val="000000"/>
                <w:szCs w:val="21"/>
              </w:rPr>
              <w:t>人；结构</w:t>
            </w:r>
            <w:r>
              <w:rPr>
                <w:rFonts w:eastAsia="仿宋_GB2312"/>
                <w:color w:val="000000"/>
                <w:szCs w:val="21"/>
              </w:rPr>
              <w:t xml:space="preserve">  </w:t>
            </w:r>
            <w:r>
              <w:rPr>
                <w:rFonts w:hint="eastAsia" w:eastAsia="仿宋_GB2312"/>
                <w:color w:val="000000"/>
                <w:szCs w:val="21"/>
              </w:rPr>
              <w:t>人；暖通</w:t>
            </w:r>
            <w:r>
              <w:rPr>
                <w:rFonts w:eastAsia="仿宋_GB2312"/>
                <w:color w:val="000000"/>
                <w:szCs w:val="21"/>
              </w:rPr>
              <w:t xml:space="preserve">  </w:t>
            </w:r>
            <w:r>
              <w:rPr>
                <w:rFonts w:hint="eastAsia" w:eastAsia="仿宋_GB2312"/>
                <w:color w:val="000000"/>
                <w:szCs w:val="21"/>
              </w:rPr>
              <w:t>人；</w:t>
            </w:r>
          </w:p>
          <w:p>
            <w:pPr>
              <w:snapToGrid w:val="0"/>
              <w:spacing w:line="300" w:lineRule="exact"/>
              <w:rPr>
                <w:rFonts w:eastAsia="仿宋_GB2312"/>
                <w:color w:val="000000"/>
                <w:szCs w:val="21"/>
              </w:rPr>
            </w:pPr>
            <w:r>
              <w:rPr>
                <w:rFonts w:hint="eastAsia" w:eastAsia="仿宋_GB2312"/>
                <w:color w:val="000000"/>
                <w:szCs w:val="21"/>
              </w:rPr>
              <w:t>给排水</w:t>
            </w:r>
            <w:r>
              <w:rPr>
                <w:rFonts w:eastAsia="仿宋_GB2312"/>
                <w:color w:val="000000"/>
                <w:szCs w:val="21"/>
              </w:rPr>
              <w:t xml:space="preserve">  </w:t>
            </w:r>
            <w:r>
              <w:rPr>
                <w:rFonts w:hint="eastAsia" w:eastAsia="仿宋_GB2312"/>
                <w:color w:val="000000"/>
                <w:szCs w:val="21"/>
              </w:rPr>
              <w:t>人；电气</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135" w:hRule="atLeast"/>
          <w:jc w:val="center"/>
        </w:trPr>
        <w:tc>
          <w:tcPr>
            <w:tcW w:w="1683"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szCs w:val="21"/>
              </w:rPr>
            </w:pPr>
          </w:p>
        </w:tc>
        <w:tc>
          <w:tcPr>
            <w:tcW w:w="54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zCs w:val="21"/>
              </w:rPr>
            </w:pPr>
          </w:p>
        </w:tc>
        <w:tc>
          <w:tcPr>
            <w:tcW w:w="7141" w:type="dxa"/>
            <w:gridSpan w:val="9"/>
            <w:tcBorders>
              <w:top w:val="single" w:color="auto" w:sz="4" w:space="0"/>
              <w:left w:val="single" w:color="auto" w:sz="4" w:space="0"/>
              <w:bottom w:val="single" w:color="auto" w:sz="4" w:space="0"/>
              <w:right w:val="single" w:color="auto" w:sz="4" w:space="0"/>
            </w:tcBorders>
            <w:noWrap w:val="0"/>
            <w:tcMar>
              <w:top w:w="28" w:type="dxa"/>
              <w:left w:w="108" w:type="dxa"/>
              <w:bottom w:w="28" w:type="dxa"/>
              <w:right w:w="108" w:type="dxa"/>
            </w:tcMar>
            <w:vAlign w:val="top"/>
          </w:tcPr>
          <w:p>
            <w:pPr>
              <w:snapToGrid w:val="0"/>
              <w:spacing w:line="300" w:lineRule="exact"/>
              <w:rPr>
                <w:rFonts w:eastAsia="仿宋_GB2312"/>
                <w:color w:val="000000"/>
                <w:szCs w:val="21"/>
              </w:rPr>
            </w:pPr>
            <w:r>
              <w:rPr>
                <w:rFonts w:hint="eastAsia" w:eastAsia="仿宋_GB2312"/>
                <w:color w:val="000000"/>
                <w:szCs w:val="21"/>
              </w:rPr>
              <w:t>市政基础设施工程：给水</w:t>
            </w:r>
            <w:r>
              <w:rPr>
                <w:rFonts w:eastAsia="仿宋_GB2312"/>
                <w:color w:val="000000"/>
                <w:szCs w:val="21"/>
              </w:rPr>
              <w:t xml:space="preserve">  </w:t>
            </w:r>
            <w:r>
              <w:rPr>
                <w:rFonts w:hint="eastAsia" w:eastAsia="仿宋_GB2312"/>
                <w:color w:val="000000"/>
                <w:szCs w:val="21"/>
              </w:rPr>
              <w:t>人；排水</w:t>
            </w:r>
            <w:r>
              <w:rPr>
                <w:rFonts w:eastAsia="仿宋_GB2312"/>
                <w:color w:val="000000"/>
                <w:szCs w:val="21"/>
              </w:rPr>
              <w:t xml:space="preserve">  </w:t>
            </w:r>
            <w:r>
              <w:rPr>
                <w:rFonts w:hint="eastAsia" w:eastAsia="仿宋_GB2312"/>
                <w:color w:val="000000"/>
                <w:szCs w:val="21"/>
              </w:rPr>
              <w:t>人；道路</w:t>
            </w:r>
            <w:r>
              <w:rPr>
                <w:rFonts w:eastAsia="仿宋_GB2312"/>
                <w:color w:val="000000"/>
                <w:szCs w:val="21"/>
              </w:rPr>
              <w:t xml:space="preserve">  </w:t>
            </w:r>
            <w:r>
              <w:rPr>
                <w:rFonts w:hint="eastAsia" w:eastAsia="仿宋_GB2312"/>
                <w:color w:val="000000"/>
                <w:szCs w:val="21"/>
              </w:rPr>
              <w:t>人；</w:t>
            </w:r>
          </w:p>
          <w:p>
            <w:pPr>
              <w:snapToGrid w:val="0"/>
              <w:spacing w:line="300" w:lineRule="exact"/>
              <w:rPr>
                <w:rFonts w:eastAsia="仿宋_GB2312"/>
                <w:color w:val="000000"/>
                <w:szCs w:val="21"/>
              </w:rPr>
            </w:pPr>
            <w:r>
              <w:rPr>
                <w:rFonts w:hint="eastAsia" w:eastAsia="仿宋_GB2312"/>
                <w:color w:val="000000"/>
                <w:szCs w:val="21"/>
              </w:rPr>
              <w:t>桥隧</w:t>
            </w:r>
            <w:r>
              <w:rPr>
                <w:rFonts w:eastAsia="仿宋_GB2312"/>
                <w:color w:val="000000"/>
                <w:szCs w:val="21"/>
              </w:rPr>
              <w:t xml:space="preserve">  </w:t>
            </w:r>
            <w:r>
              <w:rPr>
                <w:rFonts w:hint="eastAsia" w:eastAsia="仿宋_GB2312"/>
                <w:color w:val="000000"/>
                <w:szCs w:val="21"/>
              </w:rPr>
              <w:t>人；燃气</w:t>
            </w:r>
            <w:r>
              <w:rPr>
                <w:rFonts w:eastAsia="仿宋_GB2312"/>
                <w:color w:val="000000"/>
                <w:szCs w:val="21"/>
              </w:rPr>
              <w:t xml:space="preserve">  </w:t>
            </w:r>
            <w:r>
              <w:rPr>
                <w:rFonts w:hint="eastAsia" w:eastAsia="仿宋_GB2312"/>
                <w:color w:val="000000"/>
                <w:szCs w:val="21"/>
              </w:rPr>
              <w:t>人；热力</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375" w:hRule="atLeast"/>
          <w:jc w:val="center"/>
        </w:trPr>
        <w:tc>
          <w:tcPr>
            <w:tcW w:w="1683"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szCs w:val="21"/>
              </w:rPr>
            </w:pPr>
          </w:p>
        </w:tc>
        <w:tc>
          <w:tcPr>
            <w:tcW w:w="7686" w:type="dxa"/>
            <w:gridSpan w:val="11"/>
            <w:tcBorders>
              <w:top w:val="single" w:color="auto" w:sz="4" w:space="0"/>
              <w:left w:val="single" w:color="auto" w:sz="4" w:space="0"/>
              <w:bottom w:val="single" w:color="auto" w:sz="4" w:space="0"/>
              <w:right w:val="single" w:color="auto" w:sz="4" w:space="0"/>
            </w:tcBorders>
            <w:noWrap w:val="0"/>
            <w:tcMar>
              <w:top w:w="28" w:type="dxa"/>
              <w:left w:w="108" w:type="dxa"/>
              <w:bottom w:w="28" w:type="dxa"/>
              <w:right w:w="108" w:type="dxa"/>
            </w:tcMar>
            <w:vAlign w:val="top"/>
          </w:tcPr>
          <w:p>
            <w:pPr>
              <w:snapToGrid w:val="0"/>
              <w:spacing w:line="300" w:lineRule="exact"/>
              <w:jc w:val="center"/>
              <w:rPr>
                <w:rFonts w:eastAsia="仿宋_GB2312"/>
                <w:color w:val="000000"/>
                <w:szCs w:val="21"/>
              </w:rPr>
            </w:pPr>
            <w:r>
              <w:rPr>
                <w:rFonts w:hint="eastAsia" w:eastAsia="仿宋_GB2312"/>
                <w:color w:val="000000"/>
                <w:szCs w:val="21"/>
              </w:rPr>
              <w:t>兼职审查人员总数</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495" w:hRule="atLeast"/>
          <w:jc w:val="center"/>
        </w:trPr>
        <w:tc>
          <w:tcPr>
            <w:tcW w:w="1683"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szCs w:val="21"/>
              </w:rPr>
            </w:pPr>
          </w:p>
        </w:tc>
        <w:tc>
          <w:tcPr>
            <w:tcW w:w="545"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napToGrid w:val="0"/>
              <w:spacing w:line="480" w:lineRule="exact"/>
              <w:jc w:val="center"/>
              <w:rPr>
                <w:rFonts w:eastAsia="仿宋_GB2312"/>
                <w:color w:val="000000"/>
                <w:szCs w:val="21"/>
              </w:rPr>
            </w:pPr>
            <w:r>
              <w:rPr>
                <w:rFonts w:hint="eastAsia" w:eastAsia="仿宋_GB2312"/>
                <w:color w:val="000000"/>
                <w:szCs w:val="21"/>
              </w:rPr>
              <w:t>其中</w:t>
            </w:r>
          </w:p>
        </w:tc>
        <w:tc>
          <w:tcPr>
            <w:tcW w:w="7141" w:type="dxa"/>
            <w:gridSpan w:val="9"/>
            <w:tcBorders>
              <w:top w:val="single" w:color="auto" w:sz="4" w:space="0"/>
              <w:left w:val="single" w:color="auto" w:sz="4" w:space="0"/>
              <w:bottom w:val="single" w:color="auto" w:sz="4" w:space="0"/>
              <w:right w:val="single" w:color="auto" w:sz="4" w:space="0"/>
            </w:tcBorders>
            <w:noWrap w:val="0"/>
            <w:tcMar>
              <w:top w:w="28" w:type="dxa"/>
              <w:left w:w="108" w:type="dxa"/>
              <w:bottom w:w="28" w:type="dxa"/>
              <w:right w:w="108" w:type="dxa"/>
            </w:tcMar>
            <w:vAlign w:val="center"/>
          </w:tcPr>
          <w:p>
            <w:pPr>
              <w:snapToGrid w:val="0"/>
              <w:spacing w:line="300" w:lineRule="exact"/>
              <w:rPr>
                <w:rFonts w:eastAsia="仿宋_GB2312"/>
                <w:color w:val="000000"/>
                <w:szCs w:val="21"/>
              </w:rPr>
            </w:pPr>
            <w:r>
              <w:rPr>
                <w:rFonts w:hint="eastAsia" w:eastAsia="仿宋_GB2312"/>
                <w:color w:val="000000"/>
                <w:szCs w:val="21"/>
              </w:rPr>
              <w:t>勘察</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300" w:hRule="atLeast"/>
          <w:jc w:val="center"/>
        </w:trPr>
        <w:tc>
          <w:tcPr>
            <w:tcW w:w="1683"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szCs w:val="21"/>
              </w:rPr>
            </w:pPr>
          </w:p>
        </w:tc>
        <w:tc>
          <w:tcPr>
            <w:tcW w:w="54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zCs w:val="21"/>
              </w:rPr>
            </w:pPr>
          </w:p>
        </w:tc>
        <w:tc>
          <w:tcPr>
            <w:tcW w:w="7141" w:type="dxa"/>
            <w:gridSpan w:val="9"/>
            <w:tcBorders>
              <w:top w:val="single" w:color="auto" w:sz="4" w:space="0"/>
              <w:left w:val="single" w:color="auto" w:sz="4" w:space="0"/>
              <w:bottom w:val="single" w:color="auto" w:sz="4" w:space="0"/>
              <w:right w:val="single" w:color="auto" w:sz="4" w:space="0"/>
            </w:tcBorders>
            <w:noWrap w:val="0"/>
            <w:tcMar>
              <w:top w:w="28" w:type="dxa"/>
              <w:left w:w="108" w:type="dxa"/>
              <w:bottom w:w="28" w:type="dxa"/>
              <w:right w:w="108" w:type="dxa"/>
            </w:tcMar>
            <w:vAlign w:val="top"/>
          </w:tcPr>
          <w:p>
            <w:pPr>
              <w:snapToGrid w:val="0"/>
              <w:spacing w:line="300" w:lineRule="exact"/>
              <w:rPr>
                <w:rFonts w:eastAsia="仿宋_GB2312"/>
                <w:color w:val="000000"/>
                <w:szCs w:val="21"/>
              </w:rPr>
            </w:pPr>
            <w:r>
              <w:rPr>
                <w:rFonts w:hint="eastAsia" w:eastAsia="仿宋_GB2312"/>
                <w:color w:val="000000"/>
                <w:szCs w:val="21"/>
              </w:rPr>
              <w:t>建筑工程：建筑</w:t>
            </w:r>
            <w:r>
              <w:rPr>
                <w:rFonts w:eastAsia="仿宋_GB2312"/>
                <w:color w:val="000000"/>
                <w:szCs w:val="21"/>
              </w:rPr>
              <w:t xml:space="preserve">  </w:t>
            </w:r>
            <w:r>
              <w:rPr>
                <w:rFonts w:hint="eastAsia" w:eastAsia="仿宋_GB2312"/>
                <w:color w:val="000000"/>
                <w:szCs w:val="21"/>
              </w:rPr>
              <w:t>人；结构</w:t>
            </w:r>
            <w:r>
              <w:rPr>
                <w:rFonts w:eastAsia="仿宋_GB2312"/>
                <w:color w:val="000000"/>
                <w:szCs w:val="21"/>
              </w:rPr>
              <w:t xml:space="preserve">  </w:t>
            </w:r>
            <w:r>
              <w:rPr>
                <w:rFonts w:hint="eastAsia" w:eastAsia="仿宋_GB2312"/>
                <w:color w:val="000000"/>
                <w:szCs w:val="21"/>
              </w:rPr>
              <w:t>人；暖通</w:t>
            </w:r>
            <w:r>
              <w:rPr>
                <w:rFonts w:eastAsia="仿宋_GB2312"/>
                <w:color w:val="000000"/>
                <w:szCs w:val="21"/>
              </w:rPr>
              <w:t xml:space="preserve">  </w:t>
            </w:r>
            <w:r>
              <w:rPr>
                <w:rFonts w:hint="eastAsia" w:eastAsia="仿宋_GB2312"/>
                <w:color w:val="000000"/>
                <w:szCs w:val="21"/>
              </w:rPr>
              <w:t>人；</w:t>
            </w:r>
          </w:p>
          <w:p>
            <w:pPr>
              <w:snapToGrid w:val="0"/>
              <w:spacing w:line="300" w:lineRule="exact"/>
              <w:rPr>
                <w:rFonts w:eastAsia="仿宋_GB2312"/>
                <w:color w:val="000000"/>
                <w:szCs w:val="21"/>
              </w:rPr>
            </w:pPr>
            <w:r>
              <w:rPr>
                <w:rFonts w:hint="eastAsia" w:eastAsia="仿宋_GB2312"/>
                <w:color w:val="000000"/>
                <w:szCs w:val="21"/>
              </w:rPr>
              <w:t>给排水</w:t>
            </w:r>
            <w:r>
              <w:rPr>
                <w:rFonts w:eastAsia="仿宋_GB2312"/>
                <w:color w:val="000000"/>
                <w:szCs w:val="21"/>
              </w:rPr>
              <w:t xml:space="preserve">  </w:t>
            </w:r>
            <w:r>
              <w:rPr>
                <w:rFonts w:hint="eastAsia" w:eastAsia="仿宋_GB2312"/>
                <w:color w:val="000000"/>
                <w:szCs w:val="21"/>
              </w:rPr>
              <w:t>人；电气</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165" w:hRule="atLeast"/>
          <w:jc w:val="center"/>
        </w:trPr>
        <w:tc>
          <w:tcPr>
            <w:tcW w:w="1683"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szCs w:val="21"/>
              </w:rPr>
            </w:pPr>
          </w:p>
        </w:tc>
        <w:tc>
          <w:tcPr>
            <w:tcW w:w="545"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zCs w:val="21"/>
              </w:rPr>
            </w:pPr>
          </w:p>
        </w:tc>
        <w:tc>
          <w:tcPr>
            <w:tcW w:w="7141" w:type="dxa"/>
            <w:gridSpan w:val="9"/>
            <w:tcBorders>
              <w:top w:val="single" w:color="auto" w:sz="4" w:space="0"/>
              <w:left w:val="single" w:color="auto" w:sz="4" w:space="0"/>
              <w:bottom w:val="single" w:color="auto" w:sz="4" w:space="0"/>
              <w:right w:val="single" w:color="auto" w:sz="4" w:space="0"/>
            </w:tcBorders>
            <w:noWrap w:val="0"/>
            <w:tcMar>
              <w:top w:w="28" w:type="dxa"/>
              <w:left w:w="108" w:type="dxa"/>
              <w:bottom w:w="28" w:type="dxa"/>
              <w:right w:w="108" w:type="dxa"/>
            </w:tcMar>
            <w:vAlign w:val="top"/>
          </w:tcPr>
          <w:p>
            <w:pPr>
              <w:snapToGrid w:val="0"/>
              <w:spacing w:line="300" w:lineRule="exact"/>
              <w:rPr>
                <w:rFonts w:eastAsia="仿宋_GB2312"/>
                <w:color w:val="000000"/>
                <w:szCs w:val="21"/>
              </w:rPr>
            </w:pPr>
            <w:r>
              <w:rPr>
                <w:rFonts w:hint="eastAsia" w:eastAsia="仿宋_GB2312"/>
                <w:color w:val="000000"/>
                <w:szCs w:val="21"/>
              </w:rPr>
              <w:t>市政基础设施工程：给水</w:t>
            </w:r>
            <w:r>
              <w:rPr>
                <w:rFonts w:eastAsia="仿宋_GB2312"/>
                <w:color w:val="000000"/>
                <w:szCs w:val="21"/>
              </w:rPr>
              <w:t xml:space="preserve">  </w:t>
            </w:r>
            <w:r>
              <w:rPr>
                <w:rFonts w:hint="eastAsia" w:eastAsia="仿宋_GB2312"/>
                <w:color w:val="000000"/>
                <w:szCs w:val="21"/>
              </w:rPr>
              <w:t>人；排水</w:t>
            </w:r>
            <w:r>
              <w:rPr>
                <w:rFonts w:eastAsia="仿宋_GB2312"/>
                <w:color w:val="000000"/>
                <w:szCs w:val="21"/>
              </w:rPr>
              <w:t xml:space="preserve">  </w:t>
            </w:r>
            <w:r>
              <w:rPr>
                <w:rFonts w:hint="eastAsia" w:eastAsia="仿宋_GB2312"/>
                <w:color w:val="000000"/>
                <w:szCs w:val="21"/>
              </w:rPr>
              <w:t>人；道路</w:t>
            </w:r>
            <w:r>
              <w:rPr>
                <w:rFonts w:eastAsia="仿宋_GB2312"/>
                <w:color w:val="000000"/>
                <w:szCs w:val="21"/>
              </w:rPr>
              <w:t xml:space="preserve">  </w:t>
            </w:r>
            <w:r>
              <w:rPr>
                <w:rFonts w:hint="eastAsia" w:eastAsia="仿宋_GB2312"/>
                <w:color w:val="000000"/>
                <w:szCs w:val="21"/>
              </w:rPr>
              <w:t>人；</w:t>
            </w:r>
          </w:p>
          <w:p>
            <w:pPr>
              <w:snapToGrid w:val="0"/>
              <w:spacing w:line="300" w:lineRule="exact"/>
              <w:rPr>
                <w:rFonts w:eastAsia="仿宋_GB2312"/>
                <w:color w:val="000000"/>
                <w:szCs w:val="21"/>
              </w:rPr>
            </w:pPr>
            <w:r>
              <w:rPr>
                <w:rFonts w:hint="eastAsia" w:eastAsia="仿宋_GB2312"/>
                <w:color w:val="000000"/>
                <w:szCs w:val="21"/>
              </w:rPr>
              <w:t>桥隧</w:t>
            </w:r>
            <w:r>
              <w:rPr>
                <w:rFonts w:eastAsia="仿宋_GB2312"/>
                <w:color w:val="000000"/>
                <w:szCs w:val="21"/>
              </w:rPr>
              <w:t xml:space="preserve">  </w:t>
            </w:r>
            <w:r>
              <w:rPr>
                <w:rFonts w:hint="eastAsia" w:eastAsia="仿宋_GB2312"/>
                <w:color w:val="000000"/>
                <w:szCs w:val="21"/>
              </w:rPr>
              <w:t>人；燃气</w:t>
            </w:r>
            <w:r>
              <w:rPr>
                <w:rFonts w:eastAsia="仿宋_GB2312"/>
                <w:color w:val="000000"/>
                <w:szCs w:val="21"/>
              </w:rPr>
              <w:t xml:space="preserve">  </w:t>
            </w:r>
            <w:r>
              <w:rPr>
                <w:rFonts w:hint="eastAsia" w:eastAsia="仿宋_GB2312"/>
                <w:color w:val="000000"/>
                <w:szCs w:val="21"/>
              </w:rPr>
              <w:t>人；热力</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390" w:hRule="atLeast"/>
          <w:jc w:val="center"/>
        </w:trPr>
        <w:tc>
          <w:tcPr>
            <w:tcW w:w="1683"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szCs w:val="21"/>
              </w:rPr>
            </w:pPr>
          </w:p>
        </w:tc>
        <w:tc>
          <w:tcPr>
            <w:tcW w:w="7686" w:type="dxa"/>
            <w:gridSpan w:val="11"/>
            <w:tcBorders>
              <w:top w:val="single" w:color="auto" w:sz="4" w:space="0"/>
              <w:left w:val="single" w:color="auto" w:sz="4" w:space="0"/>
              <w:bottom w:val="single" w:color="auto" w:sz="4" w:space="0"/>
              <w:right w:val="single" w:color="auto" w:sz="4" w:space="0"/>
            </w:tcBorders>
            <w:noWrap w:val="0"/>
            <w:vAlign w:val="top"/>
          </w:tcPr>
          <w:p>
            <w:pPr>
              <w:spacing w:line="480" w:lineRule="exact"/>
              <w:jc w:val="center"/>
              <w:rPr>
                <w:rFonts w:eastAsia="仿宋_GB2312"/>
                <w:color w:val="000000"/>
                <w:szCs w:val="21"/>
              </w:rPr>
            </w:pPr>
            <w:r>
              <w:rPr>
                <w:rFonts w:hint="eastAsia" w:eastAsia="仿宋_GB2312"/>
                <w:color w:val="000000"/>
                <w:szCs w:val="21"/>
              </w:rPr>
              <w:t>其它专业审查人员数</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cantSplit/>
          <w:trHeight w:val="953" w:hRule="atLeast"/>
          <w:jc w:val="center"/>
        </w:trPr>
        <w:tc>
          <w:tcPr>
            <w:tcW w:w="1683"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szCs w:val="21"/>
              </w:rPr>
            </w:pPr>
          </w:p>
        </w:tc>
        <w:tc>
          <w:tcPr>
            <w:tcW w:w="545" w:type="dxa"/>
            <w:gridSpan w:val="2"/>
            <w:tcBorders>
              <w:top w:val="single" w:color="auto" w:sz="4" w:space="0"/>
              <w:left w:val="single" w:color="auto" w:sz="4" w:space="0"/>
              <w:bottom w:val="single" w:color="auto" w:sz="4" w:space="0"/>
              <w:right w:val="single" w:color="auto" w:sz="4" w:space="0"/>
            </w:tcBorders>
            <w:noWrap w:val="0"/>
            <w:vAlign w:val="top"/>
          </w:tcPr>
          <w:p>
            <w:pPr>
              <w:spacing w:line="480" w:lineRule="exact"/>
              <w:rPr>
                <w:rFonts w:eastAsia="仿宋_GB2312"/>
                <w:color w:val="000000"/>
                <w:szCs w:val="21"/>
              </w:rPr>
            </w:pPr>
            <w:r>
              <w:rPr>
                <w:rFonts w:hint="eastAsia" w:eastAsia="仿宋_GB2312"/>
                <w:color w:val="000000"/>
                <w:szCs w:val="21"/>
              </w:rPr>
              <w:t>其中</w:t>
            </w:r>
          </w:p>
        </w:tc>
        <w:tc>
          <w:tcPr>
            <w:tcW w:w="7141" w:type="dxa"/>
            <w:gridSpan w:val="9"/>
            <w:tcBorders>
              <w:top w:val="single" w:color="auto" w:sz="4" w:space="0"/>
              <w:left w:val="single" w:color="auto" w:sz="4" w:space="0"/>
              <w:bottom w:val="single" w:color="auto" w:sz="4" w:space="0"/>
              <w:right w:val="single" w:color="auto" w:sz="4" w:space="0"/>
            </w:tcBorders>
            <w:noWrap w:val="0"/>
            <w:vAlign w:val="top"/>
          </w:tcPr>
          <w:p>
            <w:pPr>
              <w:spacing w:line="480" w:lineRule="exact"/>
              <w:rPr>
                <w:rFonts w:eastAsia="仿宋_GB2312"/>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98" w:hRule="atLeast"/>
          <w:jc w:val="center"/>
        </w:trPr>
        <w:tc>
          <w:tcPr>
            <w:tcW w:w="9369" w:type="dxa"/>
            <w:gridSpan w:val="12"/>
            <w:tcBorders>
              <w:top w:val="single" w:color="auto" w:sz="4" w:space="0"/>
              <w:left w:val="single" w:color="auto" w:sz="4" w:space="0"/>
              <w:bottom w:val="single" w:color="auto" w:sz="4" w:space="0"/>
              <w:right w:val="single" w:color="auto" w:sz="4" w:space="0"/>
            </w:tcBorders>
            <w:noWrap w:val="0"/>
            <w:vAlign w:val="center"/>
          </w:tcPr>
          <w:p>
            <w:pPr>
              <w:jc w:val="center"/>
              <w:rPr>
                <w:rFonts w:eastAsia="仿宋_GB2312"/>
                <w:color w:val="000000"/>
                <w:szCs w:val="21"/>
              </w:rPr>
            </w:pPr>
            <w:r>
              <w:rPr>
                <w:rFonts w:hint="eastAsia" w:eastAsia="仿宋_GB2312"/>
                <w:color w:val="000000"/>
                <w:szCs w:val="21"/>
              </w:rPr>
              <w:t>单</w:t>
            </w:r>
            <w:r>
              <w:rPr>
                <w:rFonts w:eastAsia="仿宋_GB2312"/>
                <w:color w:val="000000"/>
                <w:szCs w:val="21"/>
              </w:rPr>
              <w:t xml:space="preserve"> </w:t>
            </w:r>
            <w:r>
              <w:rPr>
                <w:rFonts w:hint="eastAsia" w:eastAsia="仿宋_GB2312"/>
                <w:color w:val="000000"/>
                <w:szCs w:val="21"/>
              </w:rPr>
              <w:t>位</w:t>
            </w:r>
            <w:r>
              <w:rPr>
                <w:rFonts w:eastAsia="仿宋_GB2312"/>
                <w:color w:val="000000"/>
                <w:szCs w:val="21"/>
              </w:rPr>
              <w:t xml:space="preserve"> </w:t>
            </w:r>
            <w:r>
              <w:rPr>
                <w:rFonts w:hint="eastAsia" w:eastAsia="仿宋_GB2312"/>
                <w:color w:val="000000"/>
                <w:szCs w:val="21"/>
              </w:rPr>
              <w:t>法</w:t>
            </w:r>
            <w:r>
              <w:rPr>
                <w:rFonts w:eastAsia="仿宋_GB2312"/>
                <w:color w:val="000000"/>
                <w:szCs w:val="21"/>
              </w:rPr>
              <w:t xml:space="preserve"> </w:t>
            </w:r>
            <w:r>
              <w:rPr>
                <w:rFonts w:hint="eastAsia" w:eastAsia="仿宋_GB2312"/>
                <w:color w:val="000000"/>
                <w:szCs w:val="21"/>
              </w:rPr>
              <w:t>定</w:t>
            </w:r>
            <w:r>
              <w:rPr>
                <w:rFonts w:eastAsia="仿宋_GB2312"/>
                <w:color w:val="000000"/>
                <w:szCs w:val="21"/>
              </w:rPr>
              <w:t xml:space="preserve"> </w:t>
            </w:r>
            <w:r>
              <w:rPr>
                <w:rFonts w:hint="eastAsia" w:eastAsia="仿宋_GB2312"/>
                <w:color w:val="000000"/>
                <w:szCs w:val="21"/>
              </w:rPr>
              <w:t>代</w:t>
            </w:r>
            <w:r>
              <w:rPr>
                <w:rFonts w:eastAsia="仿宋_GB2312"/>
                <w:color w:val="000000"/>
                <w:szCs w:val="21"/>
              </w:rPr>
              <w:t xml:space="preserve"> </w:t>
            </w:r>
            <w:r>
              <w:rPr>
                <w:rFonts w:hint="eastAsia" w:eastAsia="仿宋_GB2312"/>
                <w:color w:val="000000"/>
                <w:szCs w:val="21"/>
              </w:rPr>
              <w:t>表</w:t>
            </w:r>
            <w:r>
              <w:rPr>
                <w:rFonts w:eastAsia="仿宋_GB2312"/>
                <w:color w:val="000000"/>
                <w:szCs w:val="21"/>
              </w:rPr>
              <w:t xml:space="preserve"> </w:t>
            </w:r>
            <w:r>
              <w:rPr>
                <w:rFonts w:hint="eastAsia" w:eastAsia="仿宋_GB2312"/>
                <w:color w:val="000000"/>
                <w:szCs w:val="21"/>
              </w:rPr>
              <w:t>人</w:t>
            </w:r>
            <w:r>
              <w:rPr>
                <w:rFonts w:eastAsia="仿宋_GB2312"/>
                <w:color w:val="000000"/>
                <w:szCs w:val="21"/>
              </w:rPr>
              <w:t xml:space="preserve"> </w:t>
            </w:r>
            <w:r>
              <w:rPr>
                <w:rFonts w:hint="eastAsia" w:eastAsia="仿宋_GB2312"/>
                <w:color w:val="000000"/>
                <w:szCs w:val="21"/>
              </w:rPr>
              <w:t>和</w:t>
            </w:r>
            <w:r>
              <w:rPr>
                <w:rFonts w:eastAsia="仿宋_GB2312"/>
                <w:color w:val="000000"/>
                <w:szCs w:val="21"/>
              </w:rPr>
              <w:t xml:space="preserve"> </w:t>
            </w:r>
            <w:r>
              <w:rPr>
                <w:rFonts w:hint="eastAsia" w:eastAsia="仿宋_GB2312"/>
                <w:color w:val="000000"/>
                <w:szCs w:val="21"/>
              </w:rPr>
              <w:t>技</w:t>
            </w:r>
            <w:r>
              <w:rPr>
                <w:rFonts w:eastAsia="仿宋_GB2312"/>
                <w:color w:val="000000"/>
                <w:szCs w:val="21"/>
              </w:rPr>
              <w:t xml:space="preserve"> </w:t>
            </w:r>
            <w:r>
              <w:rPr>
                <w:rFonts w:hint="eastAsia" w:eastAsia="仿宋_GB2312"/>
                <w:color w:val="000000"/>
                <w:szCs w:val="21"/>
              </w:rPr>
              <w:t>术</w:t>
            </w:r>
            <w:r>
              <w:rPr>
                <w:rFonts w:eastAsia="仿宋_GB2312"/>
                <w:color w:val="000000"/>
                <w:szCs w:val="21"/>
              </w:rPr>
              <w:t xml:space="preserve"> </w:t>
            </w:r>
            <w:r>
              <w:rPr>
                <w:rFonts w:hint="eastAsia" w:eastAsia="仿宋_GB2312"/>
                <w:color w:val="000000"/>
                <w:szCs w:val="21"/>
              </w:rPr>
              <w:t>负</w:t>
            </w:r>
            <w:r>
              <w:rPr>
                <w:rFonts w:eastAsia="仿宋_GB2312"/>
                <w:color w:val="000000"/>
                <w:szCs w:val="21"/>
              </w:rPr>
              <w:t xml:space="preserve"> </w:t>
            </w:r>
            <w:r>
              <w:rPr>
                <w:rFonts w:hint="eastAsia" w:eastAsia="仿宋_GB2312"/>
                <w:color w:val="000000"/>
                <w:szCs w:val="21"/>
              </w:rPr>
              <w:t>责</w:t>
            </w:r>
            <w:r>
              <w:rPr>
                <w:rFonts w:eastAsia="仿宋_GB2312"/>
                <w:color w:val="000000"/>
                <w:szCs w:val="21"/>
              </w:rPr>
              <w:t xml:space="preserve"> </w:t>
            </w:r>
            <w:r>
              <w:rPr>
                <w:rFonts w:hint="eastAsia" w:eastAsia="仿宋_GB2312"/>
                <w:color w:val="000000"/>
                <w:szCs w:val="21"/>
              </w:rPr>
              <w:t>人</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784" w:hRule="atLeast"/>
          <w:jc w:val="center"/>
        </w:trPr>
        <w:tc>
          <w:tcPr>
            <w:tcW w:w="1763"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姓</w:t>
            </w:r>
            <w:r>
              <w:rPr>
                <w:rFonts w:eastAsia="仿宋_GB2312"/>
                <w:color w:val="000000"/>
                <w:szCs w:val="21"/>
              </w:rPr>
              <w:t xml:space="preserve">   </w:t>
            </w:r>
            <w:r>
              <w:rPr>
                <w:rFonts w:hint="eastAsia" w:eastAsia="仿宋_GB2312"/>
                <w:color w:val="000000"/>
                <w:szCs w:val="21"/>
              </w:rPr>
              <w:t>名</w:t>
            </w:r>
          </w:p>
        </w:tc>
        <w:tc>
          <w:tcPr>
            <w:tcW w:w="640"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性别</w:t>
            </w:r>
          </w:p>
        </w:tc>
        <w:tc>
          <w:tcPr>
            <w:tcW w:w="720"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年龄</w:t>
            </w:r>
          </w:p>
        </w:tc>
        <w:tc>
          <w:tcPr>
            <w:tcW w:w="1654" w:type="dxa"/>
            <w:gridSpan w:val="2"/>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职</w:t>
            </w:r>
            <w:r>
              <w:rPr>
                <w:rFonts w:eastAsia="仿宋_GB2312"/>
                <w:color w:val="000000"/>
                <w:szCs w:val="21"/>
              </w:rPr>
              <w:t xml:space="preserve">  </w:t>
            </w:r>
            <w:r>
              <w:rPr>
                <w:rFonts w:hint="eastAsia" w:eastAsia="仿宋_GB2312"/>
                <w:color w:val="000000"/>
                <w:szCs w:val="21"/>
              </w:rPr>
              <w:t>务</w:t>
            </w:r>
          </w:p>
        </w:tc>
        <w:tc>
          <w:tcPr>
            <w:tcW w:w="3023" w:type="dxa"/>
            <w:gridSpan w:val="3"/>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技术职称及执业资格</w:t>
            </w:r>
          </w:p>
        </w:tc>
        <w:tc>
          <w:tcPr>
            <w:tcW w:w="156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专</w:t>
            </w:r>
            <w:r>
              <w:rPr>
                <w:rFonts w:eastAsia="仿宋_GB2312"/>
                <w:color w:val="000000"/>
                <w:szCs w:val="21"/>
              </w:rPr>
              <w:t xml:space="preserve">    </w:t>
            </w:r>
            <w:r>
              <w:rPr>
                <w:rFonts w:hint="eastAsia" w:eastAsia="仿宋_GB2312"/>
                <w:color w:val="000000"/>
                <w:szCs w:val="21"/>
              </w:rPr>
              <w:t>业</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176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72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65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3023"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569"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176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72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65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3023"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569"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176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72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65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3023"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569"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176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72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65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3023"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569"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bl>
    <w:p>
      <w:pPr>
        <w:jc w:val="center"/>
        <w:rPr>
          <w:rFonts w:eastAsia="仿宋_GB2312"/>
          <w:b/>
          <w:color w:val="000000"/>
          <w:sz w:val="24"/>
        </w:rPr>
      </w:pPr>
    </w:p>
    <w:p>
      <w:pPr>
        <w:jc w:val="center"/>
        <w:rPr>
          <w:rFonts w:eastAsia="仿宋_GB2312"/>
          <w:b/>
          <w:color w:val="000000"/>
          <w:sz w:val="24"/>
        </w:rPr>
      </w:pPr>
      <w:r>
        <w:rPr>
          <w:rFonts w:eastAsia="仿宋_GB2312"/>
          <w:b/>
          <w:color w:val="000000"/>
          <w:sz w:val="24"/>
        </w:rPr>
        <w:br w:type="column"/>
      </w:r>
      <w:r>
        <w:rPr>
          <w:rFonts w:hint="eastAsia" w:eastAsia="仿宋_GB2312"/>
          <w:b/>
          <w:color w:val="000000"/>
          <w:sz w:val="24"/>
        </w:rPr>
        <w:t>二、在职和退休返聘审查人员概况</w:t>
      </w:r>
    </w:p>
    <w:tbl>
      <w:tblPr>
        <w:tblStyle w:val="12"/>
        <w:tblW w:w="0" w:type="auto"/>
        <w:jc w:val="center"/>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
      <w:tblGrid>
        <w:gridCol w:w="528"/>
        <w:gridCol w:w="1178"/>
        <w:gridCol w:w="622"/>
        <w:gridCol w:w="540"/>
        <w:gridCol w:w="1080"/>
        <w:gridCol w:w="1260"/>
        <w:gridCol w:w="1260"/>
        <w:gridCol w:w="1080"/>
        <w:gridCol w:w="1260"/>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725"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序号</w:t>
            </w:r>
          </w:p>
        </w:tc>
        <w:tc>
          <w:tcPr>
            <w:tcW w:w="1178"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姓</w:t>
            </w:r>
            <w:r>
              <w:rPr>
                <w:rFonts w:eastAsia="仿宋_GB2312"/>
                <w:color w:val="000000"/>
                <w:szCs w:val="21"/>
              </w:rPr>
              <w:t xml:space="preserve">  </w:t>
            </w:r>
            <w:r>
              <w:rPr>
                <w:rFonts w:hint="eastAsia" w:eastAsia="仿宋_GB2312"/>
                <w:color w:val="000000"/>
                <w:szCs w:val="21"/>
              </w:rPr>
              <w:t>名</w:t>
            </w:r>
          </w:p>
        </w:tc>
        <w:tc>
          <w:tcPr>
            <w:tcW w:w="62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性别</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年龄</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技术职称</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执业</w:t>
            </w:r>
          </w:p>
          <w:p>
            <w:pPr>
              <w:spacing w:line="360" w:lineRule="exact"/>
              <w:jc w:val="center"/>
              <w:rPr>
                <w:rFonts w:eastAsia="仿宋_GB2312"/>
                <w:color w:val="000000"/>
                <w:szCs w:val="21"/>
              </w:rPr>
            </w:pPr>
            <w:r>
              <w:rPr>
                <w:rFonts w:hint="eastAsia" w:eastAsia="仿宋_GB2312"/>
                <w:color w:val="000000"/>
                <w:szCs w:val="21"/>
              </w:rPr>
              <w:t>资格</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从事勘察设计工作年限</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审查专业</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备注</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bl>
    <w:p>
      <w:pPr>
        <w:jc w:val="center"/>
        <w:rPr>
          <w:rFonts w:eastAsia="仿宋_GB2312"/>
          <w:b/>
          <w:color w:val="000000"/>
          <w:sz w:val="24"/>
        </w:rPr>
      </w:pPr>
      <w:r>
        <w:rPr>
          <w:rFonts w:hint="eastAsia" w:eastAsia="仿宋_GB2312"/>
          <w:b/>
          <w:color w:val="000000"/>
          <w:sz w:val="24"/>
        </w:rPr>
        <w:t>三、兼职审查人员概况</w:t>
      </w:r>
    </w:p>
    <w:tbl>
      <w:tblPr>
        <w:tblStyle w:val="12"/>
        <w:tblW w:w="0" w:type="auto"/>
        <w:jc w:val="center"/>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
      <w:tblGrid>
        <w:gridCol w:w="528"/>
        <w:gridCol w:w="1178"/>
        <w:gridCol w:w="622"/>
        <w:gridCol w:w="540"/>
        <w:gridCol w:w="1080"/>
        <w:gridCol w:w="1260"/>
        <w:gridCol w:w="1260"/>
        <w:gridCol w:w="1080"/>
        <w:gridCol w:w="1260"/>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725"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序号</w:t>
            </w:r>
          </w:p>
        </w:tc>
        <w:tc>
          <w:tcPr>
            <w:tcW w:w="1178"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姓</w:t>
            </w:r>
            <w:r>
              <w:rPr>
                <w:rFonts w:eastAsia="仿宋_GB2312"/>
                <w:color w:val="000000"/>
                <w:szCs w:val="21"/>
              </w:rPr>
              <w:t xml:space="preserve">  </w:t>
            </w:r>
            <w:r>
              <w:rPr>
                <w:rFonts w:hint="eastAsia" w:eastAsia="仿宋_GB2312"/>
                <w:color w:val="000000"/>
                <w:szCs w:val="21"/>
              </w:rPr>
              <w:t>名</w:t>
            </w:r>
          </w:p>
        </w:tc>
        <w:tc>
          <w:tcPr>
            <w:tcW w:w="622"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性别</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年龄</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技术职称</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执业</w:t>
            </w:r>
          </w:p>
          <w:p>
            <w:pPr>
              <w:spacing w:line="360" w:lineRule="exact"/>
              <w:jc w:val="center"/>
              <w:rPr>
                <w:rFonts w:eastAsia="仿宋_GB2312"/>
                <w:color w:val="000000"/>
                <w:szCs w:val="21"/>
              </w:rPr>
            </w:pPr>
            <w:r>
              <w:rPr>
                <w:rFonts w:hint="eastAsia" w:eastAsia="仿宋_GB2312"/>
                <w:color w:val="000000"/>
                <w:szCs w:val="21"/>
              </w:rPr>
              <w:t>资格</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从事勘察设计工作年限</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审查专业</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仿宋_GB2312"/>
                <w:color w:val="000000"/>
                <w:szCs w:val="21"/>
              </w:rPr>
            </w:pPr>
            <w:r>
              <w:rPr>
                <w:rFonts w:hint="eastAsia" w:eastAsia="仿宋_GB2312"/>
                <w:color w:val="000000"/>
                <w:szCs w:val="21"/>
              </w:rPr>
              <w:t>备注</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529" w:hRule="atLeast"/>
          <w:jc w:val="center"/>
        </w:trPr>
        <w:tc>
          <w:tcPr>
            <w:tcW w:w="528"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17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622"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rPr>
                <w:color w:val="000000"/>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szCs w:val="21"/>
              </w:rPr>
            </w:pPr>
          </w:p>
        </w:tc>
      </w:tr>
    </w:tbl>
    <w:p>
      <w:pPr>
        <w:jc w:val="center"/>
        <w:rPr>
          <w:rFonts w:eastAsia="仿宋_GB2312"/>
          <w:b/>
          <w:color w:val="000000"/>
          <w:sz w:val="24"/>
        </w:rPr>
      </w:pPr>
      <w:r>
        <w:rPr>
          <w:rFonts w:hint="eastAsia" w:eastAsia="仿宋_GB2312"/>
          <w:b/>
          <w:color w:val="000000"/>
          <w:sz w:val="24"/>
        </w:rPr>
        <w:t>四、单位技术及质量保证体系情况（含审查规程）</w:t>
      </w:r>
    </w:p>
    <w:tbl>
      <w:tblPr>
        <w:tblStyle w:val="12"/>
        <w:tblW w:w="0" w:type="auto"/>
        <w:jc w:val="center"/>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
      <w:tblGrid>
        <w:gridCol w:w="9365"/>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12949" w:hRule="atLeast"/>
          <w:jc w:val="center"/>
        </w:trPr>
        <w:tc>
          <w:tcPr>
            <w:tcW w:w="9365" w:type="dxa"/>
            <w:tcBorders>
              <w:top w:val="single" w:color="auto" w:sz="4" w:space="0"/>
              <w:left w:val="single" w:color="auto" w:sz="4" w:space="0"/>
              <w:bottom w:val="single" w:color="auto" w:sz="4" w:space="0"/>
              <w:right w:val="single" w:color="auto" w:sz="4" w:space="0"/>
            </w:tcBorders>
            <w:noWrap w:val="0"/>
            <w:vAlign w:val="top"/>
          </w:tcPr>
          <w:p>
            <w:pPr>
              <w:rPr>
                <w:b/>
                <w:color w:val="000000"/>
                <w:sz w:val="28"/>
              </w:rPr>
            </w:pPr>
          </w:p>
        </w:tc>
      </w:tr>
    </w:tbl>
    <w:p>
      <w:pPr>
        <w:jc w:val="center"/>
        <w:rPr>
          <w:rFonts w:eastAsia="仿宋_GB2312"/>
          <w:b/>
          <w:color w:val="000000"/>
          <w:sz w:val="32"/>
        </w:rPr>
      </w:pPr>
    </w:p>
    <w:p>
      <w:pPr>
        <w:jc w:val="center"/>
        <w:rPr>
          <w:rFonts w:eastAsia="仿宋_GB2312"/>
          <w:b/>
          <w:color w:val="000000"/>
          <w:sz w:val="24"/>
        </w:rPr>
      </w:pPr>
      <w:r>
        <w:rPr>
          <w:rFonts w:hint="eastAsia" w:eastAsia="仿宋_GB2312"/>
          <w:b/>
          <w:color w:val="000000"/>
          <w:sz w:val="24"/>
        </w:rPr>
        <w:t>五、申请类别及认定意见</w:t>
      </w:r>
    </w:p>
    <w:tbl>
      <w:tblPr>
        <w:tblStyle w:val="12"/>
        <w:tblW w:w="0" w:type="auto"/>
        <w:jc w:val="center"/>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
      <w:tblGrid>
        <w:gridCol w:w="1320"/>
        <w:gridCol w:w="7737"/>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2790" w:hRule="atLeast"/>
          <w:jc w:val="center"/>
        </w:trPr>
        <w:tc>
          <w:tcPr>
            <w:tcW w:w="9057" w:type="dxa"/>
            <w:gridSpan w:val="2"/>
            <w:tcBorders>
              <w:top w:val="single" w:color="auto" w:sz="4" w:space="0"/>
              <w:left w:val="single" w:color="auto" w:sz="4" w:space="0"/>
              <w:bottom w:val="single" w:color="auto" w:sz="4" w:space="0"/>
              <w:right w:val="single" w:color="auto" w:sz="4" w:space="0"/>
            </w:tcBorders>
            <w:noWrap w:val="0"/>
            <w:vAlign w:val="top"/>
          </w:tcPr>
          <w:p>
            <w:pPr>
              <w:spacing w:before="156"/>
              <w:rPr>
                <w:rFonts w:eastAsia="仿宋_GB2312"/>
                <w:color w:val="000000"/>
                <w:szCs w:val="21"/>
              </w:rPr>
            </w:pPr>
            <w:r>
              <w:rPr>
                <w:rFonts w:hint="eastAsia" w:eastAsia="仿宋_GB2312"/>
                <w:color w:val="000000"/>
                <w:szCs w:val="21"/>
              </w:rPr>
              <w:t>申请审查类别及范围：</w:t>
            </w:r>
          </w:p>
          <w:p>
            <w:pPr>
              <w:rPr>
                <w:rFonts w:eastAsia="仿宋_GB2312"/>
                <w:color w:val="000000"/>
                <w:szCs w:val="21"/>
              </w:rPr>
            </w:pPr>
          </w:p>
          <w:p>
            <w:pPr>
              <w:rPr>
                <w:rFonts w:eastAsia="仿宋_GB2312"/>
                <w:color w:val="000000"/>
                <w:szCs w:val="21"/>
              </w:rPr>
            </w:pPr>
          </w:p>
          <w:p>
            <w:pPr>
              <w:rPr>
                <w:rFonts w:eastAsia="仿宋_GB2312"/>
                <w:color w:val="000000"/>
                <w:szCs w:val="21"/>
              </w:rPr>
            </w:pPr>
          </w:p>
          <w:p>
            <w:pPr>
              <w:rPr>
                <w:rFonts w:eastAsia="仿宋_GB2312"/>
                <w:color w:val="000000"/>
                <w:szCs w:val="21"/>
              </w:rPr>
            </w:pPr>
          </w:p>
          <w:p>
            <w:pPr>
              <w:rPr>
                <w:color w:val="000000"/>
                <w:szCs w:val="21"/>
              </w:rPr>
            </w:pPr>
            <w:r>
              <w:rPr>
                <w:rFonts w:hint="eastAsia" w:eastAsia="仿宋_GB2312"/>
                <w:color w:val="000000"/>
                <w:szCs w:val="21"/>
              </w:rPr>
              <w:t>（法定代表人签字）</w:t>
            </w:r>
            <w:r>
              <w:rPr>
                <w:rFonts w:eastAsia="仿宋_GB2312"/>
                <w:color w:val="000000"/>
                <w:szCs w:val="21"/>
              </w:rPr>
              <w:t xml:space="preserve">                          </w:t>
            </w:r>
            <w:r>
              <w:rPr>
                <w:rFonts w:hint="eastAsia" w:eastAsia="仿宋_GB2312"/>
                <w:color w:val="000000"/>
                <w:szCs w:val="21"/>
              </w:rPr>
              <w:t>（申请单位盖章）</w:t>
            </w:r>
          </w:p>
          <w:p>
            <w:pPr>
              <w:rPr>
                <w:rFonts w:eastAsia="仿宋_GB2312"/>
                <w:color w:val="000000"/>
                <w:szCs w:val="21"/>
              </w:rPr>
            </w:pPr>
            <w:r>
              <w:rPr>
                <w:color w:val="000000"/>
                <w:szCs w:val="21"/>
              </w:rPr>
              <w:t xml:space="preserve">             </w:t>
            </w:r>
            <w:r>
              <w:rPr>
                <w:rFonts w:hint="eastAsia" w:eastAsia="仿宋_GB2312"/>
                <w:color w:val="000000"/>
                <w:szCs w:val="21"/>
              </w:rPr>
              <w:t>年</w:t>
            </w:r>
            <w:r>
              <w:rPr>
                <w:rFonts w:eastAsia="仿宋_GB2312"/>
                <w:color w:val="000000"/>
                <w:szCs w:val="21"/>
              </w:rPr>
              <w:t xml:space="preserve">   </w:t>
            </w:r>
            <w:r>
              <w:rPr>
                <w:rFonts w:hint="eastAsia" w:eastAsia="仿宋_GB2312"/>
                <w:color w:val="000000"/>
                <w:szCs w:val="21"/>
              </w:rPr>
              <w:t>月</w:t>
            </w:r>
            <w:r>
              <w:rPr>
                <w:rFonts w:eastAsia="仿宋_GB2312"/>
                <w:color w:val="000000"/>
                <w:szCs w:val="21"/>
              </w:rPr>
              <w:t xml:space="preserve">   </w:t>
            </w:r>
            <w:r>
              <w:rPr>
                <w:rFonts w:hint="eastAsia" w:eastAsia="仿宋_GB2312"/>
                <w:color w:val="000000"/>
                <w:szCs w:val="21"/>
              </w:rPr>
              <w:t>日</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2120" w:hRule="atLeast"/>
          <w:jc w:val="center"/>
        </w:trPr>
        <w:tc>
          <w:tcPr>
            <w:tcW w:w="9057" w:type="dxa"/>
            <w:gridSpan w:val="2"/>
            <w:tcBorders>
              <w:top w:val="single" w:color="auto" w:sz="4" w:space="0"/>
              <w:left w:val="single" w:color="auto" w:sz="4" w:space="0"/>
              <w:bottom w:val="single" w:color="auto" w:sz="4" w:space="0"/>
              <w:right w:val="single" w:color="auto" w:sz="4" w:space="0"/>
            </w:tcBorders>
            <w:noWrap w:val="0"/>
            <w:vAlign w:val="top"/>
          </w:tcPr>
          <w:p>
            <w:pPr>
              <w:spacing w:before="156"/>
              <w:rPr>
                <w:rFonts w:eastAsia="仿宋_GB2312"/>
                <w:color w:val="000000"/>
                <w:szCs w:val="21"/>
              </w:rPr>
            </w:pPr>
            <w:r>
              <w:rPr>
                <w:rFonts w:hint="eastAsia" w:eastAsia="仿宋_GB2312"/>
                <w:color w:val="000000"/>
                <w:szCs w:val="21"/>
              </w:rPr>
              <w:t>县（市）建设行政主管部门审核意见：</w:t>
            </w:r>
          </w:p>
          <w:p>
            <w:pPr>
              <w:rPr>
                <w:rFonts w:eastAsia="仿宋_GB2312"/>
                <w:color w:val="000000"/>
                <w:szCs w:val="21"/>
              </w:rPr>
            </w:pPr>
          </w:p>
          <w:p>
            <w:pPr>
              <w:rPr>
                <w:rFonts w:eastAsia="仿宋_GB2312"/>
                <w:color w:val="000000"/>
                <w:szCs w:val="21"/>
              </w:rPr>
            </w:pPr>
          </w:p>
          <w:p>
            <w:pPr>
              <w:rPr>
                <w:rFonts w:eastAsia="仿宋_GB2312"/>
                <w:color w:val="000000"/>
                <w:szCs w:val="21"/>
              </w:rPr>
            </w:pPr>
          </w:p>
          <w:p>
            <w:pPr>
              <w:rPr>
                <w:rFonts w:eastAsia="仿宋_GB2312"/>
                <w:color w:val="000000"/>
                <w:szCs w:val="21"/>
              </w:rPr>
            </w:pPr>
            <w:r>
              <w:rPr>
                <w:rFonts w:eastAsia="仿宋_GB2312"/>
                <w:color w:val="000000"/>
                <w:szCs w:val="21"/>
              </w:rPr>
              <w:t xml:space="preserve">                                        </w:t>
            </w:r>
            <w:r>
              <w:rPr>
                <w:rFonts w:hint="eastAsia" w:eastAsia="仿宋_GB2312"/>
                <w:color w:val="000000"/>
                <w:szCs w:val="21"/>
              </w:rPr>
              <w:t>签字（盖章）</w:t>
            </w:r>
          </w:p>
          <w:p>
            <w:pPr>
              <w:spacing w:before="156"/>
              <w:rPr>
                <w:color w:val="000000"/>
                <w:szCs w:val="21"/>
              </w:rPr>
            </w:pPr>
            <w:r>
              <w:rPr>
                <w:rFonts w:eastAsia="仿宋_GB2312"/>
                <w:color w:val="000000"/>
                <w:szCs w:val="21"/>
              </w:rPr>
              <w:t xml:space="preserve">                                         </w:t>
            </w:r>
            <w:r>
              <w:rPr>
                <w:rFonts w:hint="eastAsia" w:eastAsia="仿宋_GB2312"/>
                <w:color w:val="000000"/>
                <w:szCs w:val="21"/>
              </w:rPr>
              <w:t>年</w:t>
            </w:r>
            <w:r>
              <w:rPr>
                <w:rFonts w:eastAsia="仿宋_GB2312"/>
                <w:color w:val="000000"/>
                <w:szCs w:val="21"/>
              </w:rPr>
              <w:t xml:space="preserve">   </w:t>
            </w:r>
            <w:r>
              <w:rPr>
                <w:rFonts w:hint="eastAsia" w:eastAsia="仿宋_GB2312"/>
                <w:color w:val="000000"/>
                <w:szCs w:val="21"/>
              </w:rPr>
              <w:t>月</w:t>
            </w:r>
            <w:r>
              <w:rPr>
                <w:rFonts w:eastAsia="仿宋_GB2312"/>
                <w:color w:val="000000"/>
                <w:szCs w:val="21"/>
              </w:rPr>
              <w:t xml:space="preserve">   </w:t>
            </w:r>
            <w:r>
              <w:rPr>
                <w:rFonts w:hint="eastAsia" w:eastAsia="仿宋_GB2312"/>
                <w:color w:val="000000"/>
                <w:szCs w:val="21"/>
              </w:rPr>
              <w:t>日</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2340" w:hRule="atLeast"/>
          <w:jc w:val="center"/>
        </w:trPr>
        <w:tc>
          <w:tcPr>
            <w:tcW w:w="9057" w:type="dxa"/>
            <w:gridSpan w:val="2"/>
            <w:tcBorders>
              <w:top w:val="single" w:color="auto" w:sz="4" w:space="0"/>
              <w:left w:val="single" w:color="auto" w:sz="4" w:space="0"/>
              <w:bottom w:val="single" w:color="auto" w:sz="4" w:space="0"/>
              <w:right w:val="single" w:color="auto" w:sz="4" w:space="0"/>
            </w:tcBorders>
            <w:noWrap w:val="0"/>
            <w:vAlign w:val="top"/>
          </w:tcPr>
          <w:p>
            <w:pPr>
              <w:spacing w:before="156"/>
              <w:rPr>
                <w:rFonts w:eastAsia="仿宋_GB2312"/>
                <w:color w:val="000000"/>
                <w:szCs w:val="21"/>
              </w:rPr>
            </w:pPr>
            <w:r>
              <w:rPr>
                <w:rFonts w:hint="eastAsia" w:eastAsia="仿宋_GB2312"/>
                <w:color w:val="000000"/>
                <w:szCs w:val="21"/>
              </w:rPr>
              <w:t>省辖市建设行政主管部门审核意见：</w:t>
            </w:r>
          </w:p>
          <w:p>
            <w:pPr>
              <w:rPr>
                <w:rFonts w:eastAsia="仿宋_GB2312"/>
                <w:color w:val="000000"/>
                <w:szCs w:val="21"/>
              </w:rPr>
            </w:pPr>
          </w:p>
          <w:p>
            <w:pPr>
              <w:rPr>
                <w:rFonts w:eastAsia="仿宋_GB2312"/>
                <w:color w:val="000000"/>
                <w:szCs w:val="21"/>
              </w:rPr>
            </w:pPr>
            <w:r>
              <w:rPr>
                <w:rFonts w:eastAsia="仿宋_GB2312"/>
                <w:color w:val="000000"/>
                <w:szCs w:val="21"/>
              </w:rPr>
              <w:t xml:space="preserve">                                        </w:t>
            </w:r>
            <w:r>
              <w:rPr>
                <w:rFonts w:hint="eastAsia" w:eastAsia="仿宋_GB2312"/>
                <w:color w:val="000000"/>
                <w:szCs w:val="21"/>
              </w:rPr>
              <w:t>签字（盖章）</w:t>
            </w:r>
          </w:p>
          <w:p>
            <w:pPr>
              <w:rPr>
                <w:rFonts w:eastAsia="仿宋_GB2312"/>
                <w:color w:val="000000"/>
                <w:szCs w:val="21"/>
              </w:rPr>
            </w:pPr>
            <w:r>
              <w:rPr>
                <w:rFonts w:eastAsia="仿宋_GB2312"/>
                <w:color w:val="000000"/>
                <w:szCs w:val="21"/>
              </w:rPr>
              <w:t xml:space="preserve">                                         </w:t>
            </w:r>
            <w:r>
              <w:rPr>
                <w:rFonts w:hint="eastAsia" w:eastAsia="仿宋_GB2312"/>
                <w:color w:val="000000"/>
                <w:szCs w:val="21"/>
              </w:rPr>
              <w:t>年</w:t>
            </w:r>
            <w:r>
              <w:rPr>
                <w:rFonts w:eastAsia="仿宋_GB2312"/>
                <w:color w:val="000000"/>
                <w:szCs w:val="21"/>
              </w:rPr>
              <w:t xml:space="preserve">   </w:t>
            </w:r>
            <w:r>
              <w:rPr>
                <w:rFonts w:hint="eastAsia" w:eastAsia="仿宋_GB2312"/>
                <w:color w:val="000000"/>
                <w:szCs w:val="21"/>
              </w:rPr>
              <w:t>月</w:t>
            </w:r>
            <w:r>
              <w:rPr>
                <w:rFonts w:eastAsia="仿宋_GB2312"/>
                <w:color w:val="000000"/>
                <w:szCs w:val="21"/>
              </w:rPr>
              <w:t xml:space="preserve">   </w:t>
            </w:r>
            <w:r>
              <w:rPr>
                <w:rFonts w:hint="eastAsia" w:eastAsia="仿宋_GB2312"/>
                <w:color w:val="000000"/>
                <w:szCs w:val="21"/>
              </w:rPr>
              <w:t>日</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2431" w:hRule="atLeast"/>
          <w:jc w:val="center"/>
        </w:trPr>
        <w:tc>
          <w:tcPr>
            <w:tcW w:w="9057" w:type="dxa"/>
            <w:gridSpan w:val="2"/>
            <w:tcBorders>
              <w:top w:val="single" w:color="auto" w:sz="4" w:space="0"/>
              <w:left w:val="single" w:color="auto" w:sz="4" w:space="0"/>
              <w:bottom w:val="single" w:color="auto" w:sz="4" w:space="0"/>
              <w:right w:val="single" w:color="auto" w:sz="4" w:space="0"/>
            </w:tcBorders>
            <w:noWrap w:val="0"/>
            <w:vAlign w:val="top"/>
          </w:tcPr>
          <w:p>
            <w:pPr>
              <w:spacing w:before="156"/>
              <w:rPr>
                <w:rFonts w:eastAsia="仿宋_GB2312"/>
                <w:b/>
                <w:color w:val="000000"/>
                <w:szCs w:val="21"/>
              </w:rPr>
            </w:pPr>
            <w:r>
              <w:rPr>
                <w:rFonts w:hint="eastAsia" w:eastAsia="仿宋_GB2312"/>
                <w:color w:val="000000"/>
                <w:szCs w:val="21"/>
              </w:rPr>
              <w:t>省住房和城乡建设行政主管部门认定意见</w:t>
            </w:r>
            <w:r>
              <w:rPr>
                <w:rFonts w:hint="eastAsia" w:eastAsia="仿宋_GB2312"/>
                <w:b/>
                <w:color w:val="000000"/>
                <w:szCs w:val="21"/>
              </w:rPr>
              <w:t>：</w:t>
            </w:r>
          </w:p>
          <w:p>
            <w:pPr>
              <w:rPr>
                <w:rFonts w:eastAsia="仿宋_GB2312"/>
                <w:color w:val="000000"/>
                <w:szCs w:val="21"/>
              </w:rPr>
            </w:pPr>
            <w:r>
              <w:rPr>
                <w:rFonts w:eastAsia="仿宋_GB2312"/>
                <w:color w:val="000000"/>
                <w:szCs w:val="21"/>
              </w:rPr>
              <w:t xml:space="preserve">  </w:t>
            </w:r>
          </w:p>
          <w:p>
            <w:pPr>
              <w:rPr>
                <w:rFonts w:eastAsia="仿宋_GB2312"/>
                <w:color w:val="000000"/>
                <w:szCs w:val="21"/>
              </w:rPr>
            </w:pPr>
            <w:r>
              <w:rPr>
                <w:rFonts w:eastAsia="仿宋_GB2312"/>
                <w:color w:val="000000"/>
                <w:szCs w:val="21"/>
              </w:rPr>
              <w:t xml:space="preserve">                                            </w:t>
            </w:r>
            <w:r>
              <w:rPr>
                <w:rFonts w:hint="eastAsia" w:eastAsia="仿宋_GB2312"/>
                <w:color w:val="000000"/>
                <w:szCs w:val="21"/>
              </w:rPr>
              <w:t>（盖章）</w:t>
            </w:r>
          </w:p>
          <w:p>
            <w:pPr>
              <w:rPr>
                <w:b/>
                <w:color w:val="000000"/>
                <w:szCs w:val="21"/>
              </w:rPr>
            </w:pPr>
            <w:r>
              <w:rPr>
                <w:rFonts w:eastAsia="仿宋_GB2312"/>
                <w:color w:val="000000"/>
                <w:szCs w:val="21"/>
              </w:rPr>
              <w:t xml:space="preserve">                                          </w:t>
            </w:r>
            <w:r>
              <w:rPr>
                <w:rFonts w:hint="eastAsia" w:eastAsia="仿宋_GB2312"/>
                <w:color w:val="000000"/>
                <w:szCs w:val="21"/>
              </w:rPr>
              <w:t>年</w:t>
            </w:r>
            <w:r>
              <w:rPr>
                <w:rFonts w:eastAsia="仿宋_GB2312"/>
                <w:color w:val="000000"/>
                <w:szCs w:val="21"/>
              </w:rPr>
              <w:t xml:space="preserve">   </w:t>
            </w:r>
            <w:r>
              <w:rPr>
                <w:rFonts w:hint="eastAsia" w:eastAsia="仿宋_GB2312"/>
                <w:color w:val="000000"/>
                <w:szCs w:val="21"/>
              </w:rPr>
              <w:t>月</w:t>
            </w:r>
            <w:r>
              <w:rPr>
                <w:rFonts w:eastAsia="仿宋_GB2312"/>
                <w:color w:val="000000"/>
                <w:szCs w:val="21"/>
              </w:rPr>
              <w:t xml:space="preserve">   </w:t>
            </w:r>
            <w:r>
              <w:rPr>
                <w:rFonts w:hint="eastAsia" w:eastAsia="仿宋_GB2312"/>
                <w:color w:val="000000"/>
                <w:szCs w:val="21"/>
              </w:rPr>
              <w:t>日</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2559" w:hRule="atLeast"/>
          <w:jc w:val="center"/>
        </w:trPr>
        <w:tc>
          <w:tcPr>
            <w:tcW w:w="1320" w:type="dxa"/>
            <w:tcBorders>
              <w:top w:val="single" w:color="auto" w:sz="4" w:space="0"/>
              <w:left w:val="single" w:color="auto" w:sz="4" w:space="0"/>
              <w:bottom w:val="single" w:color="auto" w:sz="4" w:space="0"/>
              <w:right w:val="single" w:color="auto" w:sz="4" w:space="0"/>
            </w:tcBorders>
            <w:noWrap w:val="0"/>
            <w:vAlign w:val="center"/>
          </w:tcPr>
          <w:p>
            <w:pPr>
              <w:spacing w:before="156"/>
              <w:jc w:val="center"/>
              <w:rPr>
                <w:rFonts w:eastAsia="仿宋_GB2312"/>
                <w:color w:val="000000"/>
                <w:szCs w:val="21"/>
              </w:rPr>
            </w:pPr>
            <w:r>
              <w:rPr>
                <w:rFonts w:hint="eastAsia" w:eastAsia="仿宋_GB2312"/>
                <w:color w:val="000000"/>
                <w:szCs w:val="21"/>
              </w:rPr>
              <w:t>备</w:t>
            </w:r>
            <w:r>
              <w:rPr>
                <w:rFonts w:eastAsia="仿宋_GB2312"/>
                <w:color w:val="000000"/>
                <w:szCs w:val="21"/>
              </w:rPr>
              <w:t xml:space="preserve"> </w:t>
            </w:r>
            <w:r>
              <w:rPr>
                <w:rFonts w:hint="eastAsia" w:eastAsia="仿宋_GB2312"/>
                <w:color w:val="000000"/>
                <w:szCs w:val="21"/>
              </w:rPr>
              <w:t>注</w:t>
            </w:r>
          </w:p>
        </w:tc>
        <w:tc>
          <w:tcPr>
            <w:tcW w:w="7737" w:type="dxa"/>
            <w:tcBorders>
              <w:top w:val="single" w:color="auto" w:sz="4" w:space="0"/>
              <w:left w:val="single" w:color="auto" w:sz="4" w:space="0"/>
              <w:bottom w:val="single" w:color="auto" w:sz="4" w:space="0"/>
              <w:right w:val="single" w:color="auto" w:sz="4" w:space="0"/>
            </w:tcBorders>
            <w:noWrap w:val="0"/>
            <w:vAlign w:val="top"/>
          </w:tcPr>
          <w:p>
            <w:pPr>
              <w:spacing w:before="156"/>
              <w:rPr>
                <w:rFonts w:eastAsia="仿宋_GB2312"/>
                <w:color w:val="000000"/>
                <w:szCs w:val="21"/>
              </w:rPr>
            </w:pPr>
          </w:p>
        </w:tc>
      </w:tr>
    </w:tbl>
    <w:p>
      <w:pPr>
        <w:spacing w:line="500" w:lineRule="exact"/>
        <w:ind w:left="-7" w:leftChars="-119" w:hanging="243" w:hangingChars="87"/>
        <w:rPr>
          <w:rFonts w:eastAsia="黑体"/>
          <w:color w:val="000000"/>
          <w:sz w:val="28"/>
          <w:szCs w:val="28"/>
        </w:rPr>
      </w:pPr>
      <w:r>
        <w:rPr>
          <w:rFonts w:hint="eastAsia" w:eastAsia="黑体"/>
          <w:color w:val="000000"/>
          <w:sz w:val="28"/>
          <w:szCs w:val="28"/>
        </w:rPr>
        <w:t>附件</w:t>
      </w:r>
      <w:r>
        <w:rPr>
          <w:rFonts w:eastAsia="黑体"/>
          <w:color w:val="000000"/>
          <w:sz w:val="28"/>
          <w:szCs w:val="28"/>
        </w:rPr>
        <w:t>2</w:t>
      </w:r>
      <w:r>
        <w:rPr>
          <w:rFonts w:hint="eastAsia" w:eastAsia="黑体"/>
          <w:color w:val="000000"/>
          <w:sz w:val="28"/>
          <w:szCs w:val="28"/>
        </w:rPr>
        <w:t>：</w:t>
      </w:r>
    </w:p>
    <w:p>
      <w:pPr>
        <w:spacing w:after="120" w:afterLines="50" w:line="500" w:lineRule="exact"/>
        <w:jc w:val="center"/>
        <w:rPr>
          <w:color w:val="000000"/>
        </w:rPr>
      </w:pPr>
      <w:r>
        <w:rPr>
          <w:rFonts w:hint="eastAsia" w:eastAsia="黑体"/>
          <w:color w:val="000000"/>
          <w:sz w:val="36"/>
        </w:rPr>
        <w:t>施工图设计文件审查机构自审表</w:t>
      </w:r>
    </w:p>
    <w:tbl>
      <w:tblPr>
        <w:tblStyle w:val="12"/>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068"/>
        <w:gridCol w:w="480"/>
        <w:gridCol w:w="57"/>
        <w:gridCol w:w="1258"/>
        <w:gridCol w:w="1085"/>
        <w:gridCol w:w="552"/>
        <w:gridCol w:w="720"/>
        <w:gridCol w:w="177"/>
        <w:gridCol w:w="711"/>
        <w:gridCol w:w="732"/>
        <w:gridCol w:w="720"/>
        <w:gridCol w:w="6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397" w:type="dxa"/>
            <w:gridSpan w:val="8"/>
            <w:tcBorders>
              <w:top w:val="single" w:color="000000" w:sz="4" w:space="0"/>
              <w:left w:val="single" w:color="000000" w:sz="4" w:space="0"/>
              <w:bottom w:val="single" w:color="000000" w:sz="4" w:space="0"/>
              <w:right w:val="single" w:color="000000" w:sz="4" w:space="0"/>
            </w:tcBorders>
            <w:noWrap w:val="0"/>
            <w:vAlign w:val="center"/>
          </w:tcPr>
          <w:p>
            <w:pPr>
              <w:spacing w:line="360" w:lineRule="exact"/>
              <w:rPr>
                <w:rFonts w:eastAsia="方正仿宋_GBK"/>
                <w:color w:val="000000"/>
                <w:sz w:val="18"/>
                <w:szCs w:val="18"/>
              </w:rPr>
            </w:pPr>
            <w:r>
              <w:rPr>
                <w:rFonts w:hint="eastAsia" w:eastAsia="方正仿宋_GBK"/>
                <w:color w:val="000000"/>
                <w:sz w:val="18"/>
                <w:szCs w:val="18"/>
              </w:rPr>
              <w:t>单位名称：</w:t>
            </w:r>
            <w:r>
              <w:rPr>
                <w:rFonts w:eastAsia="方正仿宋_GBK"/>
                <w:color w:val="000000"/>
                <w:sz w:val="18"/>
                <w:szCs w:val="18"/>
              </w:rPr>
              <w:t xml:space="preserve"> </w:t>
            </w:r>
          </w:p>
        </w:tc>
        <w:tc>
          <w:tcPr>
            <w:tcW w:w="2831" w:type="dxa"/>
            <w:gridSpan w:val="4"/>
            <w:tcBorders>
              <w:top w:val="single" w:color="000000" w:sz="4" w:space="0"/>
              <w:left w:val="single" w:color="000000" w:sz="4" w:space="0"/>
              <w:bottom w:val="single" w:color="000000" w:sz="4" w:space="0"/>
              <w:right w:val="single" w:color="000000" w:sz="4" w:space="0"/>
            </w:tcBorders>
            <w:noWrap w:val="0"/>
            <w:vAlign w:val="center"/>
          </w:tcPr>
          <w:p>
            <w:pPr>
              <w:spacing w:line="360" w:lineRule="exact"/>
              <w:rPr>
                <w:rFonts w:eastAsia="方正仿宋_GBK"/>
                <w:color w:val="000000"/>
                <w:sz w:val="18"/>
                <w:szCs w:val="18"/>
              </w:rPr>
            </w:pPr>
            <w:r>
              <w:rPr>
                <w:rFonts w:hint="eastAsia" w:eastAsia="方正仿宋_GBK"/>
                <w:color w:val="000000"/>
                <w:sz w:val="18"/>
                <w:szCs w:val="18"/>
              </w:rPr>
              <w:t>自审日期：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397" w:type="dxa"/>
            <w:gridSpan w:val="8"/>
            <w:vMerge w:val="restart"/>
            <w:tcBorders>
              <w:top w:val="single" w:color="000000" w:sz="4" w:space="0"/>
              <w:left w:val="single" w:color="000000" w:sz="4" w:space="0"/>
              <w:bottom w:val="single" w:color="000000" w:sz="4" w:space="0"/>
              <w:right w:val="single" w:color="auto"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原证书审查类别、范围：</w:t>
            </w:r>
          </w:p>
          <w:p>
            <w:pPr>
              <w:spacing w:line="360" w:lineRule="exact"/>
              <w:rPr>
                <w:rFonts w:eastAsia="方正仿宋_GBK"/>
                <w:color w:val="000000"/>
                <w:sz w:val="18"/>
                <w:szCs w:val="18"/>
              </w:rPr>
            </w:pPr>
          </w:p>
        </w:tc>
        <w:tc>
          <w:tcPr>
            <w:tcW w:w="2831" w:type="dxa"/>
            <w:gridSpan w:val="4"/>
            <w:tcBorders>
              <w:top w:val="single" w:color="000000" w:sz="4" w:space="0"/>
              <w:left w:val="single" w:color="auto" w:sz="4" w:space="0"/>
              <w:bottom w:val="single" w:color="auto" w:sz="4" w:space="0"/>
              <w:right w:val="single" w:color="000000" w:sz="4" w:space="0"/>
            </w:tcBorders>
            <w:noWrap w:val="0"/>
            <w:vAlign w:val="center"/>
          </w:tcPr>
          <w:p>
            <w:pPr>
              <w:spacing w:line="360" w:lineRule="exact"/>
              <w:rPr>
                <w:rFonts w:eastAsia="方正仿宋_GBK"/>
                <w:color w:val="000000"/>
                <w:sz w:val="18"/>
                <w:szCs w:val="18"/>
              </w:rPr>
            </w:pPr>
            <w:r>
              <w:rPr>
                <w:rFonts w:hint="eastAsia" w:eastAsia="方正仿宋_GBK"/>
                <w:color w:val="000000"/>
                <w:sz w:val="18"/>
                <w:szCs w:val="18"/>
              </w:rPr>
              <w:t>原证书号：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6397" w:type="dxa"/>
            <w:gridSpan w:val="8"/>
            <w:vMerge w:val="continue"/>
            <w:tcBorders>
              <w:top w:val="single" w:color="000000" w:sz="4" w:space="0"/>
              <w:left w:val="single" w:color="000000" w:sz="4" w:space="0"/>
              <w:bottom w:val="single" w:color="000000" w:sz="4" w:space="0"/>
              <w:right w:val="single" w:color="auto" w:sz="4" w:space="0"/>
            </w:tcBorders>
            <w:noWrap w:val="0"/>
            <w:vAlign w:val="center"/>
          </w:tcPr>
          <w:p>
            <w:pPr>
              <w:widowControl/>
              <w:jc w:val="left"/>
              <w:rPr>
                <w:rFonts w:eastAsia="方正仿宋_GBK"/>
                <w:color w:val="000000"/>
                <w:sz w:val="18"/>
                <w:szCs w:val="18"/>
              </w:rPr>
            </w:pPr>
          </w:p>
        </w:tc>
        <w:tc>
          <w:tcPr>
            <w:tcW w:w="2831" w:type="dxa"/>
            <w:gridSpan w:val="4"/>
            <w:tcBorders>
              <w:top w:val="single" w:color="auto" w:sz="4" w:space="0"/>
              <w:left w:val="single" w:color="auto" w:sz="4" w:space="0"/>
              <w:bottom w:val="single" w:color="000000" w:sz="4" w:space="0"/>
              <w:right w:val="single" w:color="000000" w:sz="4" w:space="0"/>
            </w:tcBorders>
            <w:noWrap w:val="0"/>
            <w:vAlign w:val="center"/>
          </w:tcPr>
          <w:p>
            <w:pPr>
              <w:spacing w:line="360" w:lineRule="exact"/>
              <w:rPr>
                <w:rFonts w:eastAsia="方正仿宋_GBK"/>
                <w:color w:val="000000"/>
                <w:sz w:val="18"/>
                <w:szCs w:val="18"/>
              </w:rPr>
            </w:pPr>
            <w:r>
              <w:rPr>
                <w:rFonts w:hint="eastAsia" w:eastAsia="方正仿宋_GBK"/>
                <w:color w:val="000000"/>
                <w:sz w:val="18"/>
                <w:szCs w:val="18"/>
              </w:rPr>
              <w:t>有效日期：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228" w:type="dxa"/>
            <w:gridSpan w:val="1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现申请认定类别、范围：</w:t>
            </w:r>
          </w:p>
          <w:p>
            <w:pPr>
              <w:spacing w:line="360" w:lineRule="exact"/>
              <w:rPr>
                <w:rFonts w:eastAsia="方正仿宋_GBK"/>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48" w:type="dxa"/>
            <w:gridSpan w:val="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成立时间：</w:t>
            </w:r>
          </w:p>
        </w:tc>
        <w:tc>
          <w:tcPr>
            <w:tcW w:w="240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机构性质：</w:t>
            </w:r>
            <w:r>
              <w:rPr>
                <w:rFonts w:eastAsia="方正仿宋_GBK"/>
                <w:color w:val="000000"/>
                <w:sz w:val="18"/>
                <w:szCs w:val="18"/>
              </w:rPr>
              <w:t xml:space="preserve"> </w:t>
            </w:r>
          </w:p>
        </w:tc>
        <w:tc>
          <w:tcPr>
            <w:tcW w:w="4280" w:type="dxa"/>
            <w:gridSpan w:val="7"/>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法定代表人：</w:t>
            </w:r>
            <w:r>
              <w:rPr>
                <w:rFonts w:eastAsia="方正仿宋_GBK"/>
                <w:color w:val="000000"/>
                <w:sz w:val="18"/>
                <w:szCs w:val="18"/>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548" w:type="dxa"/>
            <w:gridSpan w:val="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注册资金：</w:t>
            </w:r>
            <w:r>
              <w:rPr>
                <w:rFonts w:eastAsia="方正仿宋_GBK"/>
                <w:color w:val="000000"/>
                <w:sz w:val="18"/>
                <w:szCs w:val="18"/>
              </w:rPr>
              <w:t xml:space="preserve"> </w:t>
            </w:r>
          </w:p>
        </w:tc>
        <w:tc>
          <w:tcPr>
            <w:tcW w:w="240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人员总数：</w:t>
            </w:r>
          </w:p>
        </w:tc>
        <w:tc>
          <w:tcPr>
            <w:tcW w:w="4280" w:type="dxa"/>
            <w:gridSpan w:val="7"/>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单位办公场所面积（</w:t>
            </w:r>
            <w:r>
              <w:rPr>
                <w:rFonts w:eastAsia="方正仿宋_GBK"/>
                <w:color w:val="000000"/>
                <w:sz w:val="18"/>
                <w:szCs w:val="18"/>
              </w:rPr>
              <w:t>M</w:t>
            </w:r>
            <w:r>
              <w:rPr>
                <w:rFonts w:eastAsia="方正仿宋_GBK"/>
                <w:color w:val="000000"/>
                <w:sz w:val="18"/>
                <w:szCs w:val="18"/>
                <w:vertAlign w:val="superscript"/>
              </w:rPr>
              <w:t>2</w:t>
            </w:r>
            <w:r>
              <w:rPr>
                <w:rFonts w:hint="eastAsia" w:eastAsia="方正仿宋_GBK"/>
                <w:color w:val="000000"/>
                <w:sz w:val="18"/>
                <w:szCs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3863"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房屋建筑工程审查人员总数：</w:t>
            </w:r>
          </w:p>
        </w:tc>
        <w:tc>
          <w:tcPr>
            <w:tcW w:w="2534"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其中专职：</w:t>
            </w:r>
          </w:p>
        </w:tc>
        <w:tc>
          <w:tcPr>
            <w:tcW w:w="2831"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其中兼职：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建筑专业：</w:t>
            </w:r>
          </w:p>
        </w:tc>
        <w:tc>
          <w:tcPr>
            <w:tcW w:w="480" w:type="dxa"/>
            <w:vMerge w:val="restart"/>
            <w:tcBorders>
              <w:top w:val="single" w:color="000000" w:sz="4" w:space="0"/>
              <w:left w:val="single" w:color="000000" w:sz="4" w:space="0"/>
              <w:bottom w:val="single" w:color="000000" w:sz="4" w:space="0"/>
              <w:right w:val="single" w:color="000000" w:sz="4" w:space="0"/>
            </w:tcBorders>
            <w:noWrap w:val="0"/>
            <w:vAlign w:val="center"/>
          </w:tcPr>
          <w:p>
            <w:pPr>
              <w:spacing w:line="360" w:lineRule="exact"/>
              <w:jc w:val="center"/>
              <w:rPr>
                <w:rFonts w:eastAsia="方正仿宋_GBK"/>
                <w:color w:val="000000"/>
                <w:sz w:val="18"/>
                <w:szCs w:val="18"/>
              </w:rPr>
            </w:pPr>
            <w:r>
              <w:rPr>
                <w:rFonts w:hint="eastAsia" w:eastAsia="方正仿宋_GBK"/>
                <w:color w:val="000000"/>
                <w:sz w:val="18"/>
                <w:szCs w:val="18"/>
              </w:rPr>
              <w:t>其</w:t>
            </w:r>
          </w:p>
          <w:p>
            <w:pPr>
              <w:spacing w:line="360" w:lineRule="exact"/>
              <w:jc w:val="center"/>
              <w:rPr>
                <w:rFonts w:eastAsia="方正仿宋_GBK"/>
                <w:color w:val="000000"/>
                <w:sz w:val="18"/>
                <w:szCs w:val="18"/>
              </w:rPr>
            </w:pPr>
          </w:p>
          <w:p>
            <w:pPr>
              <w:spacing w:line="360" w:lineRule="exact"/>
              <w:jc w:val="center"/>
              <w:rPr>
                <w:rFonts w:eastAsia="方正仿宋_GBK"/>
                <w:color w:val="000000"/>
                <w:sz w:val="18"/>
                <w:szCs w:val="18"/>
              </w:rPr>
            </w:pPr>
            <w:r>
              <w:rPr>
                <w:rFonts w:hint="eastAsia" w:eastAsia="方正仿宋_GBK"/>
                <w:color w:val="000000"/>
                <w:sz w:val="18"/>
                <w:szCs w:val="18"/>
              </w:rPr>
              <w:t>中</w:t>
            </w:r>
          </w:p>
        </w:tc>
        <w:tc>
          <w:tcPr>
            <w:tcW w:w="1315" w:type="dxa"/>
            <w:gridSpan w:val="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结构专业：</w:t>
            </w:r>
          </w:p>
        </w:tc>
        <w:tc>
          <w:tcPr>
            <w:tcW w:w="4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方正仿宋_GBK"/>
                <w:color w:val="000000"/>
                <w:sz w:val="18"/>
                <w:szCs w:val="18"/>
              </w:rPr>
            </w:pPr>
          </w:p>
        </w:tc>
        <w:tc>
          <w:tcPr>
            <w:tcW w:w="1315" w:type="dxa"/>
            <w:gridSpan w:val="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nil"/>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给排水专业：</w:t>
            </w:r>
          </w:p>
        </w:tc>
        <w:tc>
          <w:tcPr>
            <w:tcW w:w="4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方正仿宋_GBK"/>
                <w:color w:val="000000"/>
                <w:sz w:val="18"/>
                <w:szCs w:val="18"/>
              </w:rPr>
            </w:pPr>
          </w:p>
        </w:tc>
        <w:tc>
          <w:tcPr>
            <w:tcW w:w="1315" w:type="dxa"/>
            <w:gridSpan w:val="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nil"/>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电气专业：</w:t>
            </w:r>
          </w:p>
        </w:tc>
        <w:tc>
          <w:tcPr>
            <w:tcW w:w="4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方正仿宋_GBK"/>
                <w:color w:val="000000"/>
                <w:sz w:val="18"/>
                <w:szCs w:val="18"/>
              </w:rPr>
            </w:pPr>
          </w:p>
        </w:tc>
        <w:tc>
          <w:tcPr>
            <w:tcW w:w="1315" w:type="dxa"/>
            <w:gridSpan w:val="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暖通专业：</w:t>
            </w:r>
          </w:p>
        </w:tc>
        <w:tc>
          <w:tcPr>
            <w:tcW w:w="4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方正仿宋_GBK"/>
                <w:color w:val="000000"/>
                <w:sz w:val="18"/>
                <w:szCs w:val="18"/>
              </w:rPr>
            </w:pPr>
          </w:p>
        </w:tc>
        <w:tc>
          <w:tcPr>
            <w:tcW w:w="1315" w:type="dxa"/>
            <w:gridSpan w:val="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勘察专业：</w:t>
            </w:r>
          </w:p>
        </w:tc>
        <w:tc>
          <w:tcPr>
            <w:tcW w:w="48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方正仿宋_GBK"/>
                <w:color w:val="000000"/>
                <w:sz w:val="18"/>
                <w:szCs w:val="18"/>
              </w:rPr>
            </w:pPr>
          </w:p>
        </w:tc>
        <w:tc>
          <w:tcPr>
            <w:tcW w:w="1315" w:type="dxa"/>
            <w:gridSpan w:val="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3863"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市政基础设施工程审查人员总数：</w:t>
            </w:r>
          </w:p>
        </w:tc>
        <w:tc>
          <w:tcPr>
            <w:tcW w:w="2534"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其中专职：</w:t>
            </w:r>
          </w:p>
        </w:tc>
        <w:tc>
          <w:tcPr>
            <w:tcW w:w="2831"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其中兼职：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（相关）专业：</w:t>
            </w:r>
          </w:p>
        </w:tc>
        <w:tc>
          <w:tcPr>
            <w:tcW w:w="537"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spacing w:line="360" w:lineRule="exact"/>
              <w:jc w:val="center"/>
              <w:rPr>
                <w:rFonts w:eastAsia="方正仿宋_GBK"/>
                <w:color w:val="000000"/>
                <w:sz w:val="18"/>
                <w:szCs w:val="18"/>
              </w:rPr>
            </w:pPr>
            <w:r>
              <w:rPr>
                <w:rFonts w:hint="eastAsia" w:eastAsia="方正仿宋_GBK"/>
                <w:color w:val="000000"/>
                <w:sz w:val="18"/>
                <w:szCs w:val="18"/>
              </w:rPr>
              <w:t>其</w:t>
            </w:r>
          </w:p>
          <w:p>
            <w:pPr>
              <w:spacing w:line="360" w:lineRule="exact"/>
              <w:jc w:val="center"/>
              <w:rPr>
                <w:rFonts w:eastAsia="方正仿宋_GBK"/>
                <w:color w:val="000000"/>
                <w:sz w:val="18"/>
                <w:szCs w:val="18"/>
              </w:rPr>
            </w:pPr>
            <w:r>
              <w:rPr>
                <w:rFonts w:hint="eastAsia" w:eastAsia="方正仿宋_GBK"/>
                <w:color w:val="000000"/>
                <w:sz w:val="18"/>
                <w:szCs w:val="18"/>
              </w:rPr>
              <w:t>中</w:t>
            </w:r>
          </w:p>
        </w:tc>
        <w:tc>
          <w:tcPr>
            <w:tcW w:w="125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（相关）专业：</w:t>
            </w:r>
          </w:p>
        </w:tc>
        <w:tc>
          <w:tcPr>
            <w:tcW w:w="53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方正仿宋_GBK"/>
                <w:color w:val="000000"/>
                <w:sz w:val="18"/>
                <w:szCs w:val="18"/>
              </w:rPr>
            </w:pPr>
          </w:p>
        </w:tc>
        <w:tc>
          <w:tcPr>
            <w:tcW w:w="125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3863"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专项工程审查人员总数：</w:t>
            </w:r>
          </w:p>
        </w:tc>
        <w:tc>
          <w:tcPr>
            <w:tcW w:w="2534"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其中专职：</w:t>
            </w:r>
          </w:p>
        </w:tc>
        <w:tc>
          <w:tcPr>
            <w:tcW w:w="2831"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其中兼职：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（相关）专业：</w:t>
            </w:r>
          </w:p>
        </w:tc>
        <w:tc>
          <w:tcPr>
            <w:tcW w:w="537" w:type="dxa"/>
            <w:gridSpan w:val="2"/>
            <w:vMerge w:val="restart"/>
            <w:tcBorders>
              <w:top w:val="nil"/>
              <w:left w:val="single" w:color="000000" w:sz="4" w:space="0"/>
              <w:bottom w:val="single" w:color="000000" w:sz="4" w:space="0"/>
              <w:right w:val="single" w:color="000000" w:sz="4" w:space="0"/>
            </w:tcBorders>
            <w:noWrap w:val="0"/>
            <w:vAlign w:val="center"/>
          </w:tcPr>
          <w:p>
            <w:pPr>
              <w:spacing w:line="360" w:lineRule="exact"/>
              <w:jc w:val="center"/>
              <w:rPr>
                <w:rFonts w:eastAsia="方正仿宋_GBK"/>
                <w:color w:val="000000"/>
                <w:sz w:val="18"/>
                <w:szCs w:val="18"/>
              </w:rPr>
            </w:pPr>
            <w:r>
              <w:rPr>
                <w:rFonts w:hint="eastAsia" w:eastAsia="方正仿宋_GBK"/>
                <w:color w:val="000000"/>
                <w:sz w:val="18"/>
                <w:szCs w:val="18"/>
              </w:rPr>
              <w:t>其</w:t>
            </w:r>
          </w:p>
          <w:p>
            <w:pPr>
              <w:jc w:val="center"/>
              <w:rPr>
                <w:rFonts w:eastAsia="方正仿宋_GBK"/>
                <w:color w:val="000000"/>
                <w:sz w:val="18"/>
                <w:szCs w:val="18"/>
              </w:rPr>
            </w:pPr>
            <w:r>
              <w:rPr>
                <w:rFonts w:hint="eastAsia" w:eastAsia="方正仿宋_GBK"/>
                <w:color w:val="000000"/>
                <w:sz w:val="18"/>
                <w:szCs w:val="18"/>
              </w:rPr>
              <w:t>中</w:t>
            </w:r>
          </w:p>
        </w:tc>
        <w:tc>
          <w:tcPr>
            <w:tcW w:w="125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206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（相关）专业：</w:t>
            </w:r>
          </w:p>
        </w:tc>
        <w:tc>
          <w:tcPr>
            <w:tcW w:w="537"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方正仿宋_GBK"/>
                <w:color w:val="000000"/>
                <w:sz w:val="18"/>
                <w:szCs w:val="18"/>
              </w:rPr>
            </w:pPr>
          </w:p>
        </w:tc>
        <w:tc>
          <w:tcPr>
            <w:tcW w:w="1258"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专职：</w:t>
            </w:r>
          </w:p>
        </w:tc>
        <w:tc>
          <w:tcPr>
            <w:tcW w:w="1085" w:type="dxa"/>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兼职：</w:t>
            </w:r>
          </w:p>
        </w:tc>
        <w:tc>
          <w:tcPr>
            <w:tcW w:w="2160" w:type="dxa"/>
            <w:gridSpan w:val="4"/>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高工及以上：</w:t>
            </w:r>
          </w:p>
        </w:tc>
        <w:tc>
          <w:tcPr>
            <w:tcW w:w="2120" w:type="dxa"/>
            <w:gridSpan w:val="3"/>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工程师：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12" w:hRule="atLeast"/>
          <w:jc w:val="center"/>
        </w:trPr>
        <w:tc>
          <w:tcPr>
            <w:tcW w:w="9228" w:type="dxa"/>
            <w:gridSpan w:val="12"/>
            <w:tcBorders>
              <w:top w:val="single" w:color="000000" w:sz="4" w:space="0"/>
              <w:left w:val="single" w:color="000000" w:sz="4" w:space="0"/>
              <w:bottom w:val="single" w:color="000000" w:sz="4" w:space="0"/>
              <w:right w:val="single" w:color="000000" w:sz="4" w:space="0"/>
            </w:tcBorders>
            <w:noWrap w:val="0"/>
            <w:vAlign w:val="top"/>
          </w:tcPr>
          <w:p>
            <w:pPr>
              <w:spacing w:line="360" w:lineRule="exact"/>
              <w:rPr>
                <w:rFonts w:eastAsia="方正仿宋_GBK"/>
                <w:color w:val="000000"/>
                <w:sz w:val="18"/>
                <w:szCs w:val="18"/>
              </w:rPr>
            </w:pPr>
            <w:r>
              <w:rPr>
                <w:rFonts w:hint="eastAsia" w:eastAsia="方正仿宋_GBK"/>
                <w:color w:val="000000"/>
                <w:sz w:val="18"/>
                <w:szCs w:val="18"/>
              </w:rPr>
              <w:t>其他需要说明的问题：</w:t>
            </w:r>
          </w:p>
          <w:p>
            <w:pPr>
              <w:spacing w:line="360" w:lineRule="exact"/>
              <w:rPr>
                <w:rFonts w:eastAsia="方正仿宋_GBK"/>
                <w:b/>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jc w:val="center"/>
        </w:trPr>
        <w:tc>
          <w:tcPr>
            <w:tcW w:w="5500" w:type="dxa"/>
            <w:gridSpan w:val="6"/>
            <w:vMerge w:val="restart"/>
            <w:tcBorders>
              <w:top w:val="single" w:color="000000" w:sz="4" w:space="0"/>
              <w:left w:val="single" w:color="000000" w:sz="4" w:space="0"/>
              <w:bottom w:val="single" w:color="auto" w:sz="4" w:space="0"/>
              <w:right w:val="single" w:color="auto" w:sz="4" w:space="0"/>
            </w:tcBorders>
            <w:noWrap w:val="0"/>
            <w:vAlign w:val="top"/>
          </w:tcPr>
          <w:p>
            <w:pPr>
              <w:spacing w:line="360" w:lineRule="exact"/>
              <w:rPr>
                <w:rFonts w:eastAsia="方正仿宋_GBK"/>
                <w:b/>
                <w:color w:val="000000"/>
                <w:sz w:val="18"/>
                <w:szCs w:val="18"/>
              </w:rPr>
            </w:pPr>
            <w:r>
              <w:rPr>
                <w:rFonts w:hint="eastAsia" w:eastAsia="方正仿宋_GBK"/>
                <w:b/>
                <w:color w:val="000000"/>
                <w:sz w:val="18"/>
                <w:szCs w:val="18"/>
              </w:rPr>
              <w:t>专家审查意见</w:t>
            </w:r>
            <w:r>
              <w:rPr>
                <w:rFonts w:eastAsia="方正仿宋_GBK"/>
                <w:b/>
                <w:color w:val="000000"/>
                <w:sz w:val="18"/>
                <w:szCs w:val="18"/>
              </w:rPr>
              <w:t>(</w:t>
            </w:r>
            <w:r>
              <w:rPr>
                <w:rFonts w:hint="eastAsia" w:eastAsia="方正仿宋_GBK"/>
                <w:b/>
                <w:color w:val="000000"/>
                <w:sz w:val="18"/>
                <w:szCs w:val="18"/>
              </w:rPr>
              <w:t>包括明确的审查结论和详细原因</w:t>
            </w:r>
            <w:r>
              <w:rPr>
                <w:rFonts w:eastAsia="方正仿宋_GBK"/>
                <w:b/>
                <w:color w:val="000000"/>
                <w:sz w:val="18"/>
                <w:szCs w:val="18"/>
              </w:rPr>
              <w:t>)</w:t>
            </w:r>
            <w:r>
              <w:rPr>
                <w:rFonts w:hint="eastAsia" w:eastAsia="方正仿宋_GBK"/>
                <w:b/>
                <w:color w:val="000000"/>
                <w:sz w:val="18"/>
                <w:szCs w:val="18"/>
              </w:rPr>
              <w:t>：</w:t>
            </w:r>
          </w:p>
          <w:p>
            <w:pPr>
              <w:spacing w:line="360" w:lineRule="exact"/>
              <w:rPr>
                <w:rFonts w:eastAsia="方正仿宋_GBK"/>
                <w:b/>
                <w:color w:val="000000"/>
                <w:sz w:val="18"/>
                <w:szCs w:val="18"/>
              </w:rPr>
            </w:pPr>
            <w:r>
              <w:rPr>
                <w:rFonts w:eastAsia="方正仿宋_GBK"/>
                <w:b/>
                <w:color w:val="000000"/>
                <w:sz w:val="18"/>
                <w:szCs w:val="18"/>
              </w:rPr>
              <w:t xml:space="preserve">                                                                                   </w:t>
            </w:r>
          </w:p>
          <w:p>
            <w:pPr>
              <w:spacing w:line="360" w:lineRule="exact"/>
              <w:rPr>
                <w:rFonts w:eastAsia="方正仿宋_GBK"/>
                <w:b/>
                <w:color w:val="000000"/>
                <w:sz w:val="18"/>
                <w:szCs w:val="18"/>
              </w:rPr>
            </w:pPr>
          </w:p>
          <w:p>
            <w:pPr>
              <w:spacing w:line="360" w:lineRule="exact"/>
              <w:rPr>
                <w:rFonts w:eastAsia="方正仿宋_GBK"/>
                <w:b/>
                <w:color w:val="000000"/>
                <w:sz w:val="18"/>
                <w:szCs w:val="18"/>
              </w:rPr>
            </w:pPr>
          </w:p>
        </w:tc>
        <w:tc>
          <w:tcPr>
            <w:tcW w:w="720" w:type="dxa"/>
            <w:tcBorders>
              <w:top w:val="single" w:color="000000" w:sz="4" w:space="0"/>
              <w:left w:val="single" w:color="auto" w:sz="4" w:space="0"/>
              <w:bottom w:val="single" w:color="000000" w:sz="4" w:space="0"/>
              <w:right w:val="single" w:color="000000" w:sz="4" w:space="0"/>
            </w:tcBorders>
            <w:noWrap w:val="0"/>
            <w:vAlign w:val="center"/>
          </w:tcPr>
          <w:p>
            <w:pPr>
              <w:spacing w:line="360" w:lineRule="exact"/>
              <w:jc w:val="center"/>
              <w:rPr>
                <w:rFonts w:eastAsia="方正仿宋_GBK"/>
                <w:b/>
                <w:color w:val="000000"/>
                <w:sz w:val="18"/>
                <w:szCs w:val="18"/>
              </w:rPr>
            </w:pPr>
            <w:r>
              <w:rPr>
                <w:rFonts w:hint="eastAsia" w:eastAsia="方正仿宋_GBK"/>
                <w:b/>
                <w:color w:val="000000"/>
                <w:sz w:val="18"/>
                <w:szCs w:val="18"/>
              </w:rPr>
              <w:t>标准</w:t>
            </w:r>
          </w:p>
        </w:tc>
        <w:tc>
          <w:tcPr>
            <w:tcW w:w="888" w:type="dxa"/>
            <w:gridSpan w:val="2"/>
            <w:tcBorders>
              <w:top w:val="single" w:color="000000" w:sz="4" w:space="0"/>
              <w:left w:val="single" w:color="auto" w:sz="4" w:space="0"/>
              <w:bottom w:val="single" w:color="000000" w:sz="4" w:space="0"/>
              <w:right w:val="single" w:color="000000" w:sz="4" w:space="0"/>
            </w:tcBorders>
            <w:noWrap w:val="0"/>
            <w:vAlign w:val="center"/>
          </w:tcPr>
          <w:p>
            <w:pPr>
              <w:spacing w:line="360" w:lineRule="exact"/>
              <w:jc w:val="center"/>
              <w:rPr>
                <w:rFonts w:eastAsia="方正仿宋_GBK"/>
                <w:b/>
                <w:color w:val="000000"/>
                <w:sz w:val="18"/>
                <w:szCs w:val="18"/>
              </w:rPr>
            </w:pPr>
            <w:r>
              <w:rPr>
                <w:rFonts w:hint="eastAsia" w:eastAsia="方正仿宋_GBK"/>
                <w:b/>
                <w:color w:val="000000"/>
                <w:sz w:val="18"/>
                <w:szCs w:val="18"/>
              </w:rPr>
              <w:t>专业</w:t>
            </w:r>
          </w:p>
        </w:tc>
        <w:tc>
          <w:tcPr>
            <w:tcW w:w="732" w:type="dxa"/>
            <w:tcBorders>
              <w:top w:val="single" w:color="000000" w:sz="4" w:space="0"/>
              <w:left w:val="single" w:color="auto" w:sz="4" w:space="0"/>
              <w:bottom w:val="single" w:color="000000" w:sz="4" w:space="0"/>
              <w:right w:val="single" w:color="000000" w:sz="4" w:space="0"/>
            </w:tcBorders>
            <w:noWrap w:val="0"/>
            <w:vAlign w:val="center"/>
          </w:tcPr>
          <w:p>
            <w:pPr>
              <w:spacing w:line="360" w:lineRule="exact"/>
              <w:jc w:val="center"/>
              <w:rPr>
                <w:rFonts w:eastAsia="方正仿宋_GBK"/>
                <w:b/>
                <w:color w:val="000000"/>
                <w:sz w:val="18"/>
                <w:szCs w:val="18"/>
              </w:rPr>
            </w:pPr>
            <w:r>
              <w:rPr>
                <w:rFonts w:hint="eastAsia" w:eastAsia="方正仿宋_GBK"/>
                <w:b/>
                <w:color w:val="000000"/>
                <w:sz w:val="18"/>
                <w:szCs w:val="18"/>
              </w:rPr>
              <w:t>专职</w:t>
            </w:r>
          </w:p>
        </w:tc>
        <w:tc>
          <w:tcPr>
            <w:tcW w:w="720" w:type="dxa"/>
            <w:tcBorders>
              <w:top w:val="single" w:color="000000" w:sz="4" w:space="0"/>
              <w:left w:val="single" w:color="auto" w:sz="4" w:space="0"/>
              <w:bottom w:val="single" w:color="000000" w:sz="4" w:space="0"/>
              <w:right w:val="single" w:color="000000" w:sz="4" w:space="0"/>
            </w:tcBorders>
            <w:noWrap w:val="0"/>
            <w:vAlign w:val="center"/>
          </w:tcPr>
          <w:p>
            <w:pPr>
              <w:spacing w:line="360" w:lineRule="exact"/>
              <w:jc w:val="center"/>
              <w:rPr>
                <w:rFonts w:eastAsia="方正仿宋_GBK"/>
                <w:b/>
                <w:color w:val="000000"/>
                <w:sz w:val="18"/>
                <w:szCs w:val="18"/>
              </w:rPr>
            </w:pPr>
            <w:r>
              <w:rPr>
                <w:rFonts w:hint="eastAsia" w:eastAsia="方正仿宋_GBK"/>
                <w:b/>
                <w:color w:val="000000"/>
                <w:sz w:val="18"/>
                <w:szCs w:val="18"/>
              </w:rPr>
              <w:t>兼职</w:t>
            </w:r>
          </w:p>
        </w:tc>
        <w:tc>
          <w:tcPr>
            <w:tcW w:w="668" w:type="dxa"/>
            <w:tcBorders>
              <w:top w:val="single" w:color="000000" w:sz="4" w:space="0"/>
              <w:left w:val="single" w:color="auto" w:sz="4" w:space="0"/>
              <w:bottom w:val="single" w:color="000000" w:sz="4" w:space="0"/>
              <w:right w:val="single" w:color="000000" w:sz="4" w:space="0"/>
            </w:tcBorders>
            <w:noWrap w:val="0"/>
            <w:vAlign w:val="center"/>
          </w:tcPr>
          <w:p>
            <w:pPr>
              <w:spacing w:line="360" w:lineRule="exact"/>
              <w:jc w:val="center"/>
              <w:rPr>
                <w:rFonts w:eastAsia="方正仿宋_GBK"/>
                <w:b/>
                <w:color w:val="000000"/>
                <w:sz w:val="18"/>
                <w:szCs w:val="18"/>
              </w:rPr>
            </w:pPr>
            <w:r>
              <w:rPr>
                <w:rFonts w:hint="eastAsia" w:eastAsia="方正仿宋_GBK"/>
                <w:b/>
                <w:color w:val="000000"/>
                <w:sz w:val="18"/>
                <w:szCs w:val="18"/>
              </w:rPr>
              <w:t>合计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jc w:val="center"/>
        </w:trPr>
        <w:tc>
          <w:tcPr>
            <w:tcW w:w="5500" w:type="dxa"/>
            <w:gridSpan w:val="6"/>
            <w:vMerge w:val="continue"/>
            <w:tcBorders>
              <w:top w:val="single" w:color="000000" w:sz="4" w:space="0"/>
              <w:left w:val="single" w:color="000000" w:sz="4" w:space="0"/>
              <w:bottom w:val="single" w:color="auto" w:sz="4" w:space="0"/>
              <w:right w:val="single" w:color="auto" w:sz="4" w:space="0"/>
            </w:tcBorders>
            <w:noWrap w:val="0"/>
            <w:vAlign w:val="center"/>
          </w:tcPr>
          <w:p>
            <w:pPr>
              <w:widowControl/>
              <w:jc w:val="left"/>
              <w:rPr>
                <w:rFonts w:eastAsia="方正仿宋_GBK"/>
                <w:b/>
                <w:color w:val="000000"/>
                <w:sz w:val="18"/>
                <w:szCs w:val="18"/>
              </w:rPr>
            </w:pPr>
          </w:p>
        </w:tc>
        <w:tc>
          <w:tcPr>
            <w:tcW w:w="720" w:type="dxa"/>
            <w:tcBorders>
              <w:top w:val="single" w:color="000000" w:sz="4" w:space="0"/>
              <w:left w:val="single" w:color="auto" w:sz="4" w:space="0"/>
              <w:bottom w:val="single" w:color="auto" w:sz="4" w:space="0"/>
              <w:right w:val="single" w:color="000000" w:sz="4" w:space="0"/>
            </w:tcBorders>
            <w:noWrap w:val="0"/>
            <w:vAlign w:val="center"/>
          </w:tcPr>
          <w:p>
            <w:pPr>
              <w:jc w:val="center"/>
              <w:rPr>
                <w:rFonts w:eastAsia="方正仿宋_GBK"/>
                <w:b/>
                <w:color w:val="000000"/>
                <w:spacing w:val="-4"/>
                <w:sz w:val="18"/>
                <w:szCs w:val="18"/>
              </w:rPr>
            </w:pPr>
          </w:p>
        </w:tc>
        <w:tc>
          <w:tcPr>
            <w:tcW w:w="888" w:type="dxa"/>
            <w:gridSpan w:val="2"/>
            <w:tcBorders>
              <w:top w:val="single" w:color="000000" w:sz="4" w:space="0"/>
              <w:left w:val="single" w:color="auto" w:sz="4" w:space="0"/>
              <w:bottom w:val="single" w:color="auto" w:sz="4" w:space="0"/>
              <w:right w:val="single" w:color="000000" w:sz="4" w:space="0"/>
            </w:tcBorders>
            <w:noWrap w:val="0"/>
            <w:vAlign w:val="center"/>
          </w:tcPr>
          <w:p>
            <w:pPr>
              <w:jc w:val="center"/>
              <w:rPr>
                <w:rFonts w:eastAsia="方正仿宋_GBK"/>
                <w:b/>
                <w:color w:val="000000"/>
                <w:spacing w:val="-4"/>
                <w:sz w:val="18"/>
                <w:szCs w:val="18"/>
              </w:rPr>
            </w:pPr>
          </w:p>
        </w:tc>
        <w:tc>
          <w:tcPr>
            <w:tcW w:w="732" w:type="dxa"/>
            <w:tcBorders>
              <w:top w:val="single" w:color="000000" w:sz="4" w:space="0"/>
              <w:left w:val="single" w:color="auto" w:sz="4" w:space="0"/>
              <w:bottom w:val="single" w:color="auto" w:sz="4" w:space="0"/>
              <w:right w:val="single" w:color="000000" w:sz="4" w:space="0"/>
            </w:tcBorders>
            <w:noWrap w:val="0"/>
            <w:vAlign w:val="center"/>
          </w:tcPr>
          <w:p>
            <w:pPr>
              <w:jc w:val="center"/>
              <w:rPr>
                <w:rFonts w:eastAsia="方正仿宋_GBK"/>
                <w:b/>
                <w:color w:val="000000"/>
                <w:spacing w:val="-8"/>
                <w:sz w:val="18"/>
                <w:szCs w:val="18"/>
              </w:rPr>
            </w:pPr>
          </w:p>
        </w:tc>
        <w:tc>
          <w:tcPr>
            <w:tcW w:w="720" w:type="dxa"/>
            <w:tcBorders>
              <w:top w:val="single" w:color="000000"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668" w:type="dxa"/>
            <w:tcBorders>
              <w:top w:val="single" w:color="000000"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jc w:val="center"/>
        </w:trPr>
        <w:tc>
          <w:tcPr>
            <w:tcW w:w="5500" w:type="dxa"/>
            <w:gridSpan w:val="6"/>
            <w:vMerge w:val="continue"/>
            <w:tcBorders>
              <w:top w:val="single" w:color="000000" w:sz="4" w:space="0"/>
              <w:left w:val="single" w:color="000000" w:sz="4" w:space="0"/>
              <w:bottom w:val="single" w:color="auto" w:sz="4" w:space="0"/>
              <w:right w:val="single" w:color="auto" w:sz="4" w:space="0"/>
            </w:tcBorders>
            <w:noWrap w:val="0"/>
            <w:vAlign w:val="center"/>
          </w:tcPr>
          <w:p>
            <w:pPr>
              <w:widowControl/>
              <w:jc w:val="left"/>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888" w:type="dxa"/>
            <w:gridSpan w:val="2"/>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732"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668"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jc w:val="center"/>
        </w:trPr>
        <w:tc>
          <w:tcPr>
            <w:tcW w:w="5500" w:type="dxa"/>
            <w:gridSpan w:val="6"/>
            <w:vMerge w:val="continue"/>
            <w:tcBorders>
              <w:top w:val="single" w:color="000000" w:sz="4" w:space="0"/>
              <w:left w:val="single" w:color="000000" w:sz="4" w:space="0"/>
              <w:bottom w:val="single" w:color="auto" w:sz="4" w:space="0"/>
              <w:right w:val="single" w:color="auto" w:sz="4" w:space="0"/>
            </w:tcBorders>
            <w:noWrap w:val="0"/>
            <w:vAlign w:val="center"/>
          </w:tcPr>
          <w:p>
            <w:pPr>
              <w:widowControl/>
              <w:jc w:val="left"/>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rPr>
                <w:rFonts w:eastAsia="方正仿宋_GBK"/>
                <w:b/>
                <w:color w:val="000000"/>
                <w:sz w:val="18"/>
                <w:szCs w:val="18"/>
              </w:rPr>
            </w:pPr>
          </w:p>
        </w:tc>
        <w:tc>
          <w:tcPr>
            <w:tcW w:w="888" w:type="dxa"/>
            <w:gridSpan w:val="2"/>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732" w:type="dxa"/>
            <w:tcBorders>
              <w:top w:val="single" w:color="auto" w:sz="4" w:space="0"/>
              <w:left w:val="single" w:color="auto" w:sz="4" w:space="0"/>
              <w:bottom w:val="single" w:color="auto" w:sz="4" w:space="0"/>
              <w:right w:val="single" w:color="000000" w:sz="4" w:space="0"/>
            </w:tcBorders>
            <w:noWrap w:val="0"/>
            <w:vAlign w:val="center"/>
          </w:tcPr>
          <w:p>
            <w:pPr>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rPr>
                <w:rFonts w:eastAsia="方正仿宋_GBK"/>
                <w:b/>
                <w:color w:val="000000"/>
                <w:sz w:val="18"/>
                <w:szCs w:val="18"/>
              </w:rPr>
            </w:pPr>
          </w:p>
        </w:tc>
        <w:tc>
          <w:tcPr>
            <w:tcW w:w="668" w:type="dxa"/>
            <w:tcBorders>
              <w:top w:val="single" w:color="auto" w:sz="4" w:space="0"/>
              <w:left w:val="single" w:color="auto" w:sz="4" w:space="0"/>
              <w:bottom w:val="single" w:color="auto" w:sz="4" w:space="0"/>
              <w:right w:val="single" w:color="000000" w:sz="4" w:space="0"/>
            </w:tcBorders>
            <w:noWrap w:val="0"/>
            <w:vAlign w:val="center"/>
          </w:tcPr>
          <w:p>
            <w:pPr>
              <w:rPr>
                <w:rFonts w:eastAsia="方正仿宋_GBK"/>
                <w:b/>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jc w:val="center"/>
        </w:trPr>
        <w:tc>
          <w:tcPr>
            <w:tcW w:w="5500" w:type="dxa"/>
            <w:gridSpan w:val="6"/>
            <w:vMerge w:val="continue"/>
            <w:tcBorders>
              <w:top w:val="single" w:color="000000" w:sz="4" w:space="0"/>
              <w:left w:val="single" w:color="000000" w:sz="4" w:space="0"/>
              <w:bottom w:val="single" w:color="auto" w:sz="4" w:space="0"/>
              <w:right w:val="single" w:color="auto" w:sz="4" w:space="0"/>
            </w:tcBorders>
            <w:noWrap w:val="0"/>
            <w:vAlign w:val="center"/>
          </w:tcPr>
          <w:p>
            <w:pPr>
              <w:widowControl/>
              <w:jc w:val="left"/>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rPr>
                <w:rFonts w:eastAsia="方正仿宋_GBK"/>
                <w:b/>
                <w:color w:val="000000"/>
                <w:sz w:val="18"/>
                <w:szCs w:val="18"/>
              </w:rPr>
            </w:pPr>
          </w:p>
        </w:tc>
        <w:tc>
          <w:tcPr>
            <w:tcW w:w="888" w:type="dxa"/>
            <w:gridSpan w:val="2"/>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732" w:type="dxa"/>
            <w:tcBorders>
              <w:top w:val="single" w:color="auto" w:sz="4" w:space="0"/>
              <w:left w:val="single" w:color="auto" w:sz="4" w:space="0"/>
              <w:bottom w:val="single" w:color="auto" w:sz="4" w:space="0"/>
              <w:right w:val="single" w:color="000000" w:sz="4" w:space="0"/>
            </w:tcBorders>
            <w:noWrap w:val="0"/>
            <w:vAlign w:val="center"/>
          </w:tcPr>
          <w:p>
            <w:pPr>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668"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jc w:val="center"/>
        </w:trPr>
        <w:tc>
          <w:tcPr>
            <w:tcW w:w="5500" w:type="dxa"/>
            <w:gridSpan w:val="6"/>
            <w:vMerge w:val="continue"/>
            <w:tcBorders>
              <w:top w:val="single" w:color="000000" w:sz="4" w:space="0"/>
              <w:left w:val="single" w:color="000000" w:sz="4" w:space="0"/>
              <w:bottom w:val="single" w:color="auto" w:sz="4" w:space="0"/>
              <w:right w:val="single" w:color="auto" w:sz="4" w:space="0"/>
            </w:tcBorders>
            <w:noWrap w:val="0"/>
            <w:vAlign w:val="center"/>
          </w:tcPr>
          <w:p>
            <w:pPr>
              <w:widowControl/>
              <w:jc w:val="left"/>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888" w:type="dxa"/>
            <w:gridSpan w:val="2"/>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732"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668"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315" w:hRule="atLeast"/>
          <w:jc w:val="center"/>
        </w:trPr>
        <w:tc>
          <w:tcPr>
            <w:tcW w:w="5500" w:type="dxa"/>
            <w:gridSpan w:val="6"/>
            <w:vMerge w:val="continue"/>
            <w:tcBorders>
              <w:top w:val="single" w:color="000000" w:sz="4" w:space="0"/>
              <w:left w:val="single" w:color="000000" w:sz="4" w:space="0"/>
              <w:bottom w:val="single" w:color="auto" w:sz="4" w:space="0"/>
              <w:right w:val="single" w:color="auto" w:sz="4" w:space="0"/>
            </w:tcBorders>
            <w:noWrap w:val="0"/>
            <w:vAlign w:val="center"/>
          </w:tcPr>
          <w:p>
            <w:pPr>
              <w:widowControl/>
              <w:jc w:val="left"/>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888" w:type="dxa"/>
            <w:gridSpan w:val="2"/>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732"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720"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c>
          <w:tcPr>
            <w:tcW w:w="668"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b/>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210" w:hRule="atLeast"/>
          <w:jc w:val="center"/>
        </w:trPr>
        <w:tc>
          <w:tcPr>
            <w:tcW w:w="5500" w:type="dxa"/>
            <w:gridSpan w:val="6"/>
            <w:vMerge w:val="continue"/>
            <w:tcBorders>
              <w:top w:val="single" w:color="000000" w:sz="4" w:space="0"/>
              <w:left w:val="single" w:color="000000" w:sz="4" w:space="0"/>
              <w:bottom w:val="single" w:color="auto" w:sz="4" w:space="0"/>
              <w:right w:val="single" w:color="auto" w:sz="4" w:space="0"/>
            </w:tcBorders>
            <w:noWrap w:val="0"/>
            <w:vAlign w:val="center"/>
          </w:tcPr>
          <w:p>
            <w:pPr>
              <w:widowControl/>
              <w:jc w:val="left"/>
              <w:rPr>
                <w:rFonts w:eastAsia="方正仿宋_GBK"/>
                <w:b/>
                <w:color w:val="000000"/>
                <w:sz w:val="18"/>
                <w:szCs w:val="18"/>
              </w:rPr>
            </w:pPr>
          </w:p>
        </w:tc>
        <w:tc>
          <w:tcPr>
            <w:tcW w:w="3728" w:type="dxa"/>
            <w:gridSpan w:val="6"/>
            <w:tcBorders>
              <w:top w:val="single" w:color="auto" w:sz="4" w:space="0"/>
              <w:left w:val="single" w:color="auto" w:sz="4" w:space="0"/>
              <w:bottom w:val="single" w:color="auto" w:sz="4" w:space="0"/>
              <w:right w:val="single" w:color="000000" w:sz="4" w:space="0"/>
            </w:tcBorders>
            <w:noWrap w:val="0"/>
            <w:vAlign w:val="center"/>
          </w:tcPr>
          <w:p>
            <w:pPr>
              <w:rPr>
                <w:rFonts w:eastAsia="方正仿宋_GBK"/>
                <w:b/>
                <w:color w:val="000000"/>
                <w:sz w:val="18"/>
                <w:szCs w:val="18"/>
              </w:rPr>
            </w:pPr>
            <w:r>
              <w:rPr>
                <w:rFonts w:hint="eastAsia" w:eastAsia="方正仿宋_GBK"/>
                <w:b/>
                <w:color w:val="000000"/>
                <w:sz w:val="18"/>
                <w:szCs w:val="18"/>
              </w:rPr>
              <w:t>专家签字：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40" w:hRule="atLeast"/>
          <w:jc w:val="center"/>
        </w:trPr>
        <w:tc>
          <w:tcPr>
            <w:tcW w:w="9228" w:type="dxa"/>
            <w:gridSpan w:val="12"/>
            <w:tcBorders>
              <w:top w:val="single" w:color="auto" w:sz="4" w:space="0"/>
              <w:left w:val="single" w:color="000000" w:sz="4" w:space="0"/>
              <w:bottom w:val="single" w:color="000000" w:sz="4" w:space="0"/>
              <w:right w:val="single" w:color="000000" w:sz="4" w:space="0"/>
            </w:tcBorders>
            <w:noWrap w:val="0"/>
            <w:vAlign w:val="top"/>
          </w:tcPr>
          <w:p>
            <w:pPr>
              <w:spacing w:line="360" w:lineRule="exact"/>
              <w:rPr>
                <w:rFonts w:eastAsia="方正仿宋_GBK"/>
                <w:b/>
                <w:color w:val="000000"/>
                <w:sz w:val="18"/>
                <w:szCs w:val="18"/>
              </w:rPr>
            </w:pPr>
            <w:r>
              <w:rPr>
                <w:rFonts w:hint="eastAsia" w:eastAsia="方正仿宋_GBK"/>
                <w:b/>
                <w:color w:val="000000"/>
                <w:sz w:val="18"/>
                <w:szCs w:val="18"/>
              </w:rPr>
              <w:t>初审专家委员会如对专家审查意见进行调整，调整后的意见及调整理由：</w:t>
            </w:r>
          </w:p>
          <w:p>
            <w:pPr>
              <w:spacing w:line="360" w:lineRule="exact"/>
              <w:rPr>
                <w:rFonts w:eastAsia="方正仿宋_GBK"/>
                <w:b/>
                <w:color w:val="000000"/>
                <w:sz w:val="18"/>
                <w:szCs w:val="18"/>
              </w:rPr>
            </w:pPr>
          </w:p>
          <w:p>
            <w:pPr>
              <w:spacing w:line="360" w:lineRule="exact"/>
              <w:rPr>
                <w:rFonts w:eastAsia="方正仿宋_GBK"/>
                <w:b/>
                <w:color w:val="000000"/>
                <w:sz w:val="18"/>
                <w:szCs w:val="18"/>
              </w:rPr>
            </w:pPr>
            <w:r>
              <w:rPr>
                <w:rFonts w:hint="eastAsia" w:eastAsia="方正仿宋_GBK"/>
                <w:b/>
                <w:color w:val="000000"/>
                <w:sz w:val="18"/>
                <w:szCs w:val="18"/>
              </w:rPr>
              <w:t>初审负责人签字：</w:t>
            </w:r>
          </w:p>
        </w:tc>
      </w:tr>
    </w:tbl>
    <w:p>
      <w:pPr>
        <w:spacing w:line="360" w:lineRule="exact"/>
        <w:rPr>
          <w:color w:val="000000"/>
          <w:sz w:val="18"/>
          <w:szCs w:val="18"/>
        </w:rPr>
      </w:pPr>
      <w:r>
        <w:rPr>
          <w:rFonts w:hint="eastAsia"/>
          <w:color w:val="000000"/>
          <w:sz w:val="18"/>
          <w:szCs w:val="18"/>
        </w:rPr>
        <w:t>注：本表格请各机构填写除最后两栏（加粗部分）以外的内容。</w:t>
      </w:r>
    </w:p>
    <w:p>
      <w:pPr>
        <w:widowControl/>
        <w:jc w:val="left"/>
        <w:rPr>
          <w:rFonts w:eastAsia="仿宋_GB2312"/>
          <w:color w:val="000000"/>
          <w:spacing w:val="20"/>
          <w:kern w:val="0"/>
          <w:sz w:val="18"/>
          <w:szCs w:val="18"/>
        </w:rPr>
        <w:sectPr>
          <w:pgSz w:w="11905" w:h="16838"/>
          <w:pgMar w:top="1701" w:right="1587" w:bottom="1701" w:left="1587" w:header="850" w:footer="1361" w:gutter="0"/>
          <w:paperSrc w:first="4" w:other="4"/>
          <w:pgNumType w:start="1"/>
          <w:cols w:space="720" w:num="1"/>
        </w:sectPr>
      </w:pPr>
    </w:p>
    <w:p>
      <w:pPr>
        <w:spacing w:line="560" w:lineRule="exact"/>
        <w:rPr>
          <w:rFonts w:eastAsia="黑体"/>
          <w:color w:val="000000"/>
          <w:sz w:val="28"/>
          <w:szCs w:val="28"/>
        </w:rPr>
      </w:pPr>
      <w:r>
        <w:rPr>
          <w:rFonts w:hint="eastAsia" w:eastAsia="黑体"/>
          <w:color w:val="000000"/>
          <w:sz w:val="28"/>
          <w:szCs w:val="28"/>
        </w:rPr>
        <w:t>附件</w:t>
      </w:r>
      <w:r>
        <w:rPr>
          <w:rFonts w:eastAsia="黑体"/>
          <w:color w:val="000000"/>
          <w:sz w:val="28"/>
          <w:szCs w:val="28"/>
        </w:rPr>
        <w:t>3</w:t>
      </w:r>
      <w:r>
        <w:rPr>
          <w:rFonts w:hint="eastAsia" w:eastAsia="黑体"/>
          <w:color w:val="000000"/>
          <w:sz w:val="28"/>
          <w:szCs w:val="28"/>
        </w:rPr>
        <w:t>：</w:t>
      </w:r>
    </w:p>
    <w:p>
      <w:pPr>
        <w:spacing w:line="560" w:lineRule="exact"/>
        <w:jc w:val="center"/>
        <w:rPr>
          <w:rFonts w:eastAsia="黑体"/>
          <w:color w:val="000000"/>
          <w:sz w:val="36"/>
        </w:rPr>
      </w:pPr>
      <w:r>
        <w:rPr>
          <w:rFonts w:hint="eastAsia" w:eastAsia="黑体"/>
          <w:color w:val="000000"/>
          <w:sz w:val="36"/>
        </w:rPr>
        <w:t>施工图设计文件审查人员核查汇总表</w:t>
      </w:r>
    </w:p>
    <w:p>
      <w:pPr>
        <w:spacing w:line="240" w:lineRule="exact"/>
        <w:jc w:val="center"/>
        <w:rPr>
          <w:rFonts w:eastAsia="黑体"/>
          <w:color w:val="000000"/>
          <w:sz w:val="36"/>
        </w:rPr>
      </w:pPr>
    </w:p>
    <w:tbl>
      <w:tblPr>
        <w:tblStyle w:val="12"/>
        <w:tblW w:w="0" w:type="auto"/>
        <w:jc w:val="center"/>
        <w:tblLayout w:type="fixed"/>
        <w:tblCellMar>
          <w:top w:w="0" w:type="dxa"/>
          <w:left w:w="108" w:type="dxa"/>
          <w:bottom w:w="0" w:type="dxa"/>
          <w:right w:w="108" w:type="dxa"/>
        </w:tblCellMar>
      </w:tblPr>
      <w:tblGrid>
        <w:gridCol w:w="433"/>
        <w:gridCol w:w="836"/>
        <w:gridCol w:w="407"/>
        <w:gridCol w:w="1177"/>
        <w:gridCol w:w="722"/>
        <w:gridCol w:w="748"/>
        <w:gridCol w:w="734"/>
        <w:gridCol w:w="481"/>
        <w:gridCol w:w="481"/>
        <w:gridCol w:w="469"/>
        <w:gridCol w:w="469"/>
        <w:gridCol w:w="924"/>
        <w:gridCol w:w="1928"/>
        <w:gridCol w:w="1325"/>
        <w:gridCol w:w="1348"/>
        <w:gridCol w:w="1738"/>
      </w:tblGrid>
      <w:tr>
        <w:tblPrEx>
          <w:tblCellMar>
            <w:top w:w="0" w:type="dxa"/>
            <w:left w:w="108" w:type="dxa"/>
            <w:bottom w:w="0" w:type="dxa"/>
            <w:right w:w="108" w:type="dxa"/>
          </w:tblCellMar>
        </w:tblPrEx>
        <w:trPr>
          <w:trHeight w:val="344" w:hRule="atLeast"/>
          <w:jc w:val="center"/>
        </w:trPr>
        <w:tc>
          <w:tcPr>
            <w:tcW w:w="9809" w:type="dxa"/>
            <w:gridSpan w:val="13"/>
            <w:tcBorders>
              <w:top w:val="single" w:color="auto" w:sz="4" w:space="0"/>
              <w:left w:val="single" w:color="auto" w:sz="4" w:space="0"/>
              <w:bottom w:val="single" w:color="auto" w:sz="4" w:space="0"/>
              <w:right w:val="nil"/>
            </w:tcBorders>
            <w:noWrap w:val="0"/>
            <w:vAlign w:val="center"/>
          </w:tcPr>
          <w:p>
            <w:pPr>
              <w:spacing w:line="240" w:lineRule="exact"/>
              <w:jc w:val="left"/>
              <w:rPr>
                <w:b/>
                <w:bCs/>
                <w:color w:val="000000"/>
                <w:kern w:val="0"/>
                <w:sz w:val="15"/>
                <w:szCs w:val="15"/>
              </w:rPr>
            </w:pPr>
            <w:r>
              <w:rPr>
                <w:rFonts w:hint="eastAsia"/>
                <w:b/>
                <w:bCs/>
                <w:color w:val="000000"/>
                <w:kern w:val="0"/>
                <w:sz w:val="15"/>
                <w:szCs w:val="15"/>
              </w:rPr>
              <w:t>申请单位：</w:t>
            </w:r>
          </w:p>
        </w:tc>
        <w:tc>
          <w:tcPr>
            <w:tcW w:w="4411" w:type="dxa"/>
            <w:gridSpan w:val="3"/>
            <w:tcBorders>
              <w:top w:val="single" w:color="auto" w:sz="4" w:space="0"/>
              <w:left w:val="single" w:color="auto" w:sz="4" w:space="0"/>
              <w:bottom w:val="single" w:color="auto" w:sz="4" w:space="0"/>
              <w:right w:val="single" w:color="000000" w:sz="4" w:space="0"/>
            </w:tcBorders>
            <w:noWrap w:val="0"/>
            <w:vAlign w:val="center"/>
          </w:tcPr>
          <w:p>
            <w:pPr>
              <w:spacing w:line="240" w:lineRule="exact"/>
              <w:jc w:val="center"/>
              <w:rPr>
                <w:b/>
                <w:bCs/>
                <w:color w:val="000000"/>
                <w:kern w:val="0"/>
                <w:sz w:val="15"/>
                <w:szCs w:val="15"/>
              </w:rPr>
            </w:pPr>
            <w:r>
              <w:rPr>
                <w:rFonts w:hint="eastAsia"/>
                <w:b/>
                <w:bCs/>
                <w:color w:val="000000"/>
                <w:kern w:val="0"/>
                <w:sz w:val="15"/>
                <w:szCs w:val="15"/>
              </w:rPr>
              <w:t>省住房和城乡建设厅核查专家填写列</w:t>
            </w:r>
          </w:p>
        </w:tc>
      </w:tr>
      <w:tr>
        <w:tblPrEx>
          <w:tblCellMar>
            <w:top w:w="0" w:type="dxa"/>
            <w:left w:w="108" w:type="dxa"/>
            <w:bottom w:w="0" w:type="dxa"/>
            <w:right w:w="108" w:type="dxa"/>
          </w:tblCellMar>
        </w:tblPrEx>
        <w:trPr>
          <w:trHeight w:val="415" w:hRule="atLeast"/>
          <w:jc w:val="center"/>
        </w:trPr>
        <w:tc>
          <w:tcPr>
            <w:tcW w:w="433" w:type="dxa"/>
            <w:tcBorders>
              <w:top w:val="nil"/>
              <w:left w:val="single" w:color="auto" w:sz="4" w:space="0"/>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序号</w:t>
            </w:r>
          </w:p>
        </w:tc>
        <w:tc>
          <w:tcPr>
            <w:tcW w:w="836"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姓名</w:t>
            </w:r>
          </w:p>
        </w:tc>
        <w:tc>
          <w:tcPr>
            <w:tcW w:w="407"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年龄</w:t>
            </w:r>
          </w:p>
        </w:tc>
        <w:tc>
          <w:tcPr>
            <w:tcW w:w="1177"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身份证号码</w:t>
            </w:r>
          </w:p>
        </w:tc>
        <w:tc>
          <w:tcPr>
            <w:tcW w:w="722"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申请级别</w:t>
            </w:r>
          </w:p>
        </w:tc>
        <w:tc>
          <w:tcPr>
            <w:tcW w:w="748"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审查行业</w:t>
            </w:r>
          </w:p>
        </w:tc>
        <w:tc>
          <w:tcPr>
            <w:tcW w:w="734"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审查专业</w:t>
            </w:r>
          </w:p>
        </w:tc>
        <w:tc>
          <w:tcPr>
            <w:tcW w:w="481"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受聘</w:t>
            </w:r>
          </w:p>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性质</w:t>
            </w:r>
          </w:p>
        </w:tc>
        <w:tc>
          <w:tcPr>
            <w:tcW w:w="481"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学历</w:t>
            </w:r>
          </w:p>
        </w:tc>
        <w:tc>
          <w:tcPr>
            <w:tcW w:w="469"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职称</w:t>
            </w:r>
          </w:p>
        </w:tc>
        <w:tc>
          <w:tcPr>
            <w:tcW w:w="469"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工作</w:t>
            </w:r>
          </w:p>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年限</w:t>
            </w:r>
          </w:p>
        </w:tc>
        <w:tc>
          <w:tcPr>
            <w:tcW w:w="924"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执业资格及执业印章号</w:t>
            </w:r>
          </w:p>
        </w:tc>
        <w:tc>
          <w:tcPr>
            <w:tcW w:w="1928"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原勘察设计单位</w:t>
            </w:r>
          </w:p>
        </w:tc>
        <w:tc>
          <w:tcPr>
            <w:tcW w:w="1325"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专家审查意见</w:t>
            </w:r>
          </w:p>
        </w:tc>
        <w:tc>
          <w:tcPr>
            <w:tcW w:w="1348"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审核意见</w:t>
            </w:r>
          </w:p>
        </w:tc>
        <w:tc>
          <w:tcPr>
            <w:tcW w:w="1738" w:type="dxa"/>
            <w:tcBorders>
              <w:top w:val="nil"/>
              <w:left w:val="nil"/>
              <w:bottom w:val="single" w:color="auto" w:sz="4" w:space="0"/>
              <w:right w:val="single" w:color="auto" w:sz="4" w:space="0"/>
            </w:tcBorders>
            <w:noWrap w:val="0"/>
            <w:vAlign w:val="center"/>
          </w:tcPr>
          <w:p>
            <w:pPr>
              <w:spacing w:line="200" w:lineRule="exact"/>
              <w:ind w:left="-105" w:leftChars="-50" w:right="-105" w:rightChars="-50"/>
              <w:jc w:val="center"/>
              <w:rPr>
                <w:rFonts w:eastAsia="黑体"/>
                <w:bCs/>
                <w:color w:val="000000"/>
                <w:kern w:val="0"/>
                <w:sz w:val="15"/>
                <w:szCs w:val="15"/>
              </w:rPr>
            </w:pPr>
            <w:r>
              <w:rPr>
                <w:rFonts w:hint="eastAsia" w:eastAsia="黑体"/>
                <w:bCs/>
                <w:color w:val="000000"/>
                <w:kern w:val="0"/>
                <w:sz w:val="15"/>
                <w:szCs w:val="15"/>
              </w:rPr>
              <w:t>备注</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2</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3</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4</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5</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6</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7</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8</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9</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10</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11</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12</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13</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14</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15</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16</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17</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18</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19</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r>
        <w:tblPrEx>
          <w:tblCellMar>
            <w:top w:w="0" w:type="dxa"/>
            <w:left w:w="108" w:type="dxa"/>
            <w:bottom w:w="0" w:type="dxa"/>
            <w:right w:w="108" w:type="dxa"/>
          </w:tblCellMar>
        </w:tblPrEx>
        <w:trPr>
          <w:trHeight w:val="312" w:hRule="exact"/>
          <w:jc w:val="center"/>
        </w:trPr>
        <w:tc>
          <w:tcPr>
            <w:tcW w:w="433" w:type="dxa"/>
            <w:tcBorders>
              <w:top w:val="nil"/>
              <w:left w:val="single" w:color="auto" w:sz="4" w:space="0"/>
              <w:bottom w:val="single" w:color="auto" w:sz="4" w:space="0"/>
              <w:right w:val="single" w:color="auto" w:sz="4" w:space="0"/>
            </w:tcBorders>
            <w:noWrap w:val="0"/>
            <w:vAlign w:val="center"/>
          </w:tcPr>
          <w:p>
            <w:pPr>
              <w:spacing w:line="240" w:lineRule="exact"/>
              <w:jc w:val="center"/>
              <w:rPr>
                <w:color w:val="000000"/>
                <w:kern w:val="0"/>
                <w:sz w:val="15"/>
                <w:szCs w:val="15"/>
              </w:rPr>
            </w:pPr>
            <w:r>
              <w:rPr>
                <w:color w:val="000000"/>
                <w:kern w:val="0"/>
                <w:sz w:val="15"/>
                <w:szCs w:val="15"/>
              </w:rPr>
              <w:t>20</w:t>
            </w:r>
          </w:p>
        </w:tc>
        <w:tc>
          <w:tcPr>
            <w:tcW w:w="836"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0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1177"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22"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48" w:type="dxa"/>
            <w:tcBorders>
              <w:top w:val="nil"/>
              <w:left w:val="nil"/>
              <w:bottom w:val="single" w:color="auto" w:sz="4" w:space="0"/>
              <w:right w:val="single" w:color="auto" w:sz="4" w:space="0"/>
            </w:tcBorders>
            <w:noWrap w:val="0"/>
            <w:vAlign w:val="center"/>
          </w:tcPr>
          <w:p>
            <w:pPr>
              <w:spacing w:line="240" w:lineRule="exact"/>
              <w:jc w:val="center"/>
              <w:rPr>
                <w:color w:val="000000"/>
                <w:kern w:val="0"/>
                <w:sz w:val="15"/>
                <w:szCs w:val="15"/>
              </w:rPr>
            </w:pPr>
            <w:r>
              <w:rPr>
                <w:rFonts w:hint="eastAsia"/>
                <w:color w:val="000000"/>
                <w:kern w:val="0"/>
                <w:sz w:val="15"/>
                <w:szCs w:val="15"/>
              </w:rPr>
              <w:t>　</w:t>
            </w:r>
          </w:p>
        </w:tc>
        <w:tc>
          <w:tcPr>
            <w:tcW w:w="73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81"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469"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924"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92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25"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348" w:type="dxa"/>
            <w:tcBorders>
              <w:top w:val="nil"/>
              <w:left w:val="nil"/>
              <w:bottom w:val="single" w:color="auto" w:sz="4" w:space="0"/>
              <w:right w:val="single" w:color="auto" w:sz="4" w:space="0"/>
            </w:tcBorders>
            <w:noWrap w:val="0"/>
            <w:vAlign w:val="bottom"/>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c>
          <w:tcPr>
            <w:tcW w:w="1738" w:type="dxa"/>
            <w:tcBorders>
              <w:top w:val="nil"/>
              <w:left w:val="nil"/>
              <w:bottom w:val="single" w:color="auto" w:sz="4" w:space="0"/>
              <w:right w:val="single" w:color="auto" w:sz="4" w:space="0"/>
            </w:tcBorders>
            <w:noWrap w:val="0"/>
            <w:vAlign w:val="center"/>
          </w:tcPr>
          <w:p>
            <w:pPr>
              <w:spacing w:line="240" w:lineRule="exact"/>
              <w:jc w:val="center"/>
              <w:rPr>
                <w:rFonts w:eastAsia="仿宋_GB2312"/>
                <w:color w:val="000000"/>
                <w:kern w:val="0"/>
                <w:sz w:val="15"/>
                <w:szCs w:val="15"/>
              </w:rPr>
            </w:pPr>
            <w:r>
              <w:rPr>
                <w:rFonts w:hint="eastAsia" w:eastAsia="仿宋_GB2312"/>
                <w:color w:val="000000"/>
                <w:kern w:val="0"/>
                <w:sz w:val="15"/>
                <w:szCs w:val="15"/>
              </w:rPr>
              <w:t>　</w:t>
            </w:r>
          </w:p>
        </w:tc>
      </w:tr>
    </w:tbl>
    <w:p>
      <w:pPr>
        <w:spacing w:line="240" w:lineRule="exact"/>
        <w:rPr>
          <w:rFonts w:eastAsia="仿宋_GB2312"/>
          <w:color w:val="000000"/>
          <w:spacing w:val="20"/>
          <w:kern w:val="0"/>
          <w:sz w:val="18"/>
          <w:szCs w:val="18"/>
        </w:rPr>
      </w:pPr>
      <w:r>
        <w:rPr>
          <w:rFonts w:hint="eastAsia" w:eastAsia="仿宋_GB2312"/>
          <w:color w:val="000000"/>
          <w:spacing w:val="20"/>
          <w:kern w:val="0"/>
          <w:sz w:val="18"/>
          <w:szCs w:val="18"/>
        </w:rPr>
        <w:t>注：本表格请各机构填写除最后三列以外的内容。</w:t>
      </w:r>
    </w:p>
    <w:p>
      <w:pPr>
        <w:widowControl/>
        <w:jc w:val="left"/>
        <w:rPr>
          <w:rFonts w:eastAsia="仿宋_GB2312"/>
          <w:color w:val="000000"/>
          <w:spacing w:val="20"/>
          <w:kern w:val="0"/>
          <w:sz w:val="18"/>
          <w:szCs w:val="18"/>
        </w:rPr>
        <w:sectPr>
          <w:pgSz w:w="16838" w:h="11905" w:orient="landscape"/>
          <w:pgMar w:top="1587" w:right="1701" w:bottom="1587" w:left="1701" w:header="850" w:footer="1361" w:gutter="0"/>
          <w:paperSrc w:first="4" w:other="4"/>
          <w:cols w:space="720" w:num="1"/>
        </w:sectPr>
      </w:pPr>
    </w:p>
    <w:p>
      <w:pPr>
        <w:spacing w:before="156" w:line="240" w:lineRule="atLeast"/>
        <w:jc w:val="left"/>
        <w:rPr>
          <w:rFonts w:eastAsia="黑体"/>
          <w:color w:val="000000"/>
          <w:sz w:val="28"/>
          <w:szCs w:val="28"/>
        </w:rPr>
      </w:pPr>
      <w:r>
        <w:rPr>
          <w:rFonts w:hint="eastAsia" w:eastAsia="黑体"/>
          <w:color w:val="000000"/>
          <w:sz w:val="28"/>
          <w:szCs w:val="28"/>
        </w:rPr>
        <w:t>附件</w:t>
      </w:r>
      <w:r>
        <w:rPr>
          <w:rFonts w:eastAsia="黑体"/>
          <w:color w:val="000000"/>
          <w:sz w:val="28"/>
          <w:szCs w:val="28"/>
        </w:rPr>
        <w:t>4</w:t>
      </w:r>
      <w:r>
        <w:rPr>
          <w:rFonts w:hint="eastAsia" w:eastAsia="黑体"/>
          <w:color w:val="000000"/>
          <w:sz w:val="28"/>
          <w:szCs w:val="28"/>
        </w:rPr>
        <w:t>：</w:t>
      </w:r>
    </w:p>
    <w:p>
      <w:pPr>
        <w:spacing w:before="156" w:line="240" w:lineRule="atLeast"/>
        <w:jc w:val="center"/>
        <w:rPr>
          <w:b/>
          <w:color w:val="000000"/>
          <w:sz w:val="44"/>
        </w:rPr>
      </w:pPr>
    </w:p>
    <w:p>
      <w:pPr>
        <w:spacing w:before="156" w:line="240" w:lineRule="atLeast"/>
        <w:jc w:val="center"/>
        <w:rPr>
          <w:b/>
          <w:color w:val="000000"/>
          <w:sz w:val="44"/>
        </w:rPr>
      </w:pPr>
      <w:r>
        <w:rPr>
          <w:rFonts w:hint="eastAsia"/>
          <w:b/>
          <w:color w:val="000000"/>
          <w:sz w:val="44"/>
        </w:rPr>
        <w:t>施工图设计文件审查人员认定申请表</w:t>
      </w:r>
    </w:p>
    <w:p>
      <w:pPr>
        <w:spacing w:line="240" w:lineRule="atLeast"/>
        <w:jc w:val="center"/>
        <w:rPr>
          <w:rFonts w:eastAsia="黑体"/>
          <w:b/>
          <w:color w:val="000000"/>
          <w:sz w:val="32"/>
        </w:rPr>
      </w:pPr>
    </w:p>
    <w:p>
      <w:pPr>
        <w:spacing w:line="240" w:lineRule="atLeast"/>
        <w:rPr>
          <w:rFonts w:eastAsia="黑体"/>
          <w:b/>
          <w:color w:val="000000"/>
          <w:sz w:val="32"/>
        </w:rPr>
      </w:pPr>
    </w:p>
    <w:p>
      <w:pPr>
        <w:spacing w:line="240" w:lineRule="atLeast"/>
        <w:jc w:val="center"/>
        <w:rPr>
          <w:rFonts w:eastAsia="黑体"/>
          <w:b/>
          <w:color w:val="000000"/>
          <w:sz w:val="32"/>
        </w:rPr>
      </w:pPr>
    </w:p>
    <w:p>
      <w:pPr>
        <w:spacing w:before="312" w:line="240" w:lineRule="atLeast"/>
        <w:ind w:firstLine="1792" w:firstLineChars="560"/>
        <w:jc w:val="left"/>
        <w:rPr>
          <w:color w:val="000000"/>
          <w:sz w:val="32"/>
        </w:rPr>
      </w:pPr>
      <w:r>
        <w:rPr>
          <w:rFonts w:hint="eastAsia"/>
          <w:color w:val="000000"/>
          <w:sz w:val="32"/>
        </w:rPr>
        <w:t>所在机构：</w:t>
      </w:r>
      <w:r>
        <w:rPr>
          <w:color w:val="000000"/>
          <w:sz w:val="32"/>
        </w:rPr>
        <w:t>__________________________</w:t>
      </w:r>
    </w:p>
    <w:p>
      <w:pPr>
        <w:spacing w:before="312" w:line="240" w:lineRule="atLeast"/>
        <w:ind w:firstLine="1792" w:firstLineChars="560"/>
        <w:jc w:val="left"/>
        <w:rPr>
          <w:color w:val="000000"/>
          <w:sz w:val="32"/>
        </w:rPr>
      </w:pPr>
      <w:r>
        <w:rPr>
          <w:rFonts w:hint="eastAsia"/>
          <w:color w:val="000000"/>
          <w:sz w:val="32"/>
        </w:rPr>
        <w:t>姓</w:t>
      </w:r>
      <w:r>
        <w:rPr>
          <w:color w:val="000000"/>
          <w:sz w:val="32"/>
        </w:rPr>
        <w:t xml:space="preserve">    </w:t>
      </w:r>
      <w:r>
        <w:rPr>
          <w:rFonts w:hint="eastAsia"/>
          <w:color w:val="000000"/>
          <w:sz w:val="32"/>
        </w:rPr>
        <w:t>名：</w:t>
      </w:r>
      <w:r>
        <w:rPr>
          <w:color w:val="000000"/>
          <w:sz w:val="32"/>
        </w:rPr>
        <w:t>______________</w:t>
      </w:r>
    </w:p>
    <w:p>
      <w:pPr>
        <w:spacing w:before="312" w:line="240" w:lineRule="atLeast"/>
        <w:ind w:firstLine="1792" w:firstLineChars="560"/>
        <w:jc w:val="left"/>
        <w:rPr>
          <w:color w:val="000000"/>
          <w:sz w:val="32"/>
        </w:rPr>
      </w:pPr>
      <w:r>
        <w:rPr>
          <w:rFonts w:hint="eastAsia"/>
          <w:color w:val="000000"/>
          <w:sz w:val="32"/>
        </w:rPr>
        <w:t>审查专业：</w:t>
      </w:r>
      <w:r>
        <w:rPr>
          <w:color w:val="000000"/>
          <w:sz w:val="32"/>
        </w:rPr>
        <w:t>______________</w:t>
      </w:r>
    </w:p>
    <w:p>
      <w:pPr>
        <w:spacing w:before="312" w:line="240" w:lineRule="atLeast"/>
        <w:ind w:firstLine="1792" w:firstLineChars="560"/>
        <w:jc w:val="left"/>
        <w:rPr>
          <w:color w:val="000000"/>
          <w:sz w:val="32"/>
        </w:rPr>
      </w:pPr>
      <w:r>
        <w:rPr>
          <w:rFonts w:hint="eastAsia"/>
          <w:color w:val="000000"/>
          <w:sz w:val="32"/>
        </w:rPr>
        <w:t>申请级别：</w:t>
      </w:r>
      <w:r>
        <w:rPr>
          <w:color w:val="000000"/>
          <w:sz w:val="32"/>
        </w:rPr>
        <w:t>______________</w:t>
      </w:r>
    </w:p>
    <w:p>
      <w:pPr>
        <w:spacing w:before="312" w:line="240" w:lineRule="atLeast"/>
        <w:ind w:firstLine="1792" w:firstLineChars="560"/>
        <w:jc w:val="left"/>
        <w:rPr>
          <w:b/>
          <w:color w:val="000000"/>
          <w:sz w:val="32"/>
        </w:rPr>
      </w:pPr>
      <w:r>
        <w:rPr>
          <w:rFonts w:hint="eastAsia"/>
          <w:color w:val="000000"/>
          <w:sz w:val="32"/>
        </w:rPr>
        <w:t>填报日期：</w:t>
      </w:r>
      <w:r>
        <w:rPr>
          <w:color w:val="000000"/>
          <w:sz w:val="32"/>
        </w:rPr>
        <w:t>______________</w:t>
      </w:r>
    </w:p>
    <w:p>
      <w:pPr>
        <w:spacing w:line="240" w:lineRule="atLeast"/>
        <w:jc w:val="center"/>
        <w:rPr>
          <w:b/>
          <w:color w:val="000000"/>
          <w:sz w:val="32"/>
        </w:rPr>
      </w:pPr>
    </w:p>
    <w:p>
      <w:pPr>
        <w:spacing w:line="240" w:lineRule="atLeast"/>
        <w:jc w:val="center"/>
        <w:rPr>
          <w:b/>
          <w:color w:val="000000"/>
          <w:sz w:val="32"/>
        </w:rPr>
      </w:pPr>
    </w:p>
    <w:p>
      <w:pPr>
        <w:spacing w:line="240" w:lineRule="atLeast"/>
        <w:jc w:val="center"/>
        <w:rPr>
          <w:b/>
          <w:color w:val="000000"/>
          <w:sz w:val="32"/>
        </w:rPr>
      </w:pPr>
    </w:p>
    <w:p>
      <w:pPr>
        <w:spacing w:line="240" w:lineRule="atLeast"/>
        <w:rPr>
          <w:b/>
          <w:color w:val="000000"/>
          <w:sz w:val="32"/>
        </w:rPr>
      </w:pPr>
    </w:p>
    <w:p>
      <w:pPr>
        <w:spacing w:line="240" w:lineRule="atLeast"/>
        <w:jc w:val="center"/>
        <w:rPr>
          <w:bCs/>
          <w:color w:val="000000"/>
          <w:spacing w:val="30"/>
          <w:sz w:val="32"/>
        </w:rPr>
      </w:pPr>
      <w:r>
        <w:rPr>
          <w:rFonts w:hint="eastAsia"/>
          <w:bCs/>
          <w:color w:val="000000"/>
          <w:spacing w:val="30"/>
          <w:sz w:val="32"/>
        </w:rPr>
        <w:t>江苏省住房和城乡建设厅制</w:t>
      </w:r>
    </w:p>
    <w:p>
      <w:pPr>
        <w:spacing w:line="240" w:lineRule="atLeast"/>
        <w:rPr>
          <w:rFonts w:eastAsia="黑体"/>
          <w:b/>
          <w:color w:val="000000"/>
          <w:sz w:val="32"/>
        </w:rPr>
      </w:pPr>
    </w:p>
    <w:p>
      <w:pPr>
        <w:spacing w:after="240" w:line="240" w:lineRule="atLeast"/>
        <w:jc w:val="center"/>
        <w:rPr>
          <w:rFonts w:eastAsia="黑体"/>
          <w:b/>
          <w:color w:val="000000"/>
          <w:sz w:val="32"/>
        </w:rPr>
      </w:pPr>
    </w:p>
    <w:p>
      <w:pPr>
        <w:spacing w:after="240" w:line="240" w:lineRule="atLeast"/>
        <w:jc w:val="center"/>
        <w:rPr>
          <w:b/>
          <w:color w:val="000000"/>
          <w:sz w:val="32"/>
        </w:rPr>
      </w:pPr>
      <w:r>
        <w:rPr>
          <w:rFonts w:hint="eastAsia"/>
          <w:b/>
          <w:color w:val="000000"/>
          <w:sz w:val="32"/>
        </w:rPr>
        <w:t>一、基本情况</w:t>
      </w:r>
      <w:r>
        <w:rPr>
          <w:b/>
          <w:color w:val="000000"/>
          <w:sz w:val="32"/>
        </w:rPr>
        <w:t xml:space="preserve"> </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2"/>
        <w:gridCol w:w="1599"/>
        <w:gridCol w:w="79"/>
        <w:gridCol w:w="1260"/>
        <w:gridCol w:w="285"/>
        <w:gridCol w:w="420"/>
        <w:gridCol w:w="765"/>
        <w:gridCol w:w="195"/>
        <w:gridCol w:w="165"/>
        <w:gridCol w:w="315"/>
        <w:gridCol w:w="480"/>
        <w:gridCol w:w="210"/>
        <w:gridCol w:w="30"/>
        <w:gridCol w:w="180"/>
        <w:gridCol w:w="330"/>
        <w:gridCol w:w="210"/>
        <w:gridCol w:w="90"/>
        <w:gridCol w:w="630"/>
        <w:gridCol w:w="105"/>
        <w:gridCol w:w="135"/>
        <w:gridCol w:w="375"/>
        <w:gridCol w:w="105"/>
        <w:gridCol w:w="480"/>
        <w:gridCol w:w="7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atLeast"/>
          <w:jc w:val="center"/>
        </w:trPr>
        <w:tc>
          <w:tcPr>
            <w:tcW w:w="42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姓</w:t>
            </w:r>
          </w:p>
          <w:p>
            <w:pPr>
              <w:spacing w:line="240" w:lineRule="exact"/>
              <w:jc w:val="center"/>
              <w:rPr>
                <w:rFonts w:eastAsia="楷体_GB2312"/>
                <w:color w:val="000000"/>
                <w:szCs w:val="21"/>
              </w:rPr>
            </w:pPr>
            <w:r>
              <w:rPr>
                <w:rFonts w:hint="eastAsia" w:eastAsia="楷体_GB2312"/>
                <w:color w:val="000000"/>
                <w:szCs w:val="21"/>
              </w:rPr>
              <w:t>名</w:t>
            </w: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姓</w:t>
            </w:r>
            <w:r>
              <w:rPr>
                <w:rFonts w:eastAsia="楷体_GB2312"/>
                <w:color w:val="000000"/>
                <w:szCs w:val="21"/>
              </w:rPr>
              <w:t xml:space="preserve">  </w:t>
            </w:r>
            <w:r>
              <w:rPr>
                <w:rFonts w:hint="eastAsia" w:eastAsia="楷体_GB2312"/>
                <w:color w:val="000000"/>
                <w:szCs w:val="21"/>
              </w:rPr>
              <w:t>名</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47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出生年月</w:t>
            </w:r>
          </w:p>
        </w:tc>
        <w:tc>
          <w:tcPr>
            <w:tcW w:w="1365"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840"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性别</w:t>
            </w:r>
          </w:p>
        </w:tc>
        <w:tc>
          <w:tcPr>
            <w:tcW w:w="735"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818" w:type="dxa"/>
            <w:gridSpan w:val="5"/>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exact"/>
          <w:jc w:val="center"/>
        </w:trPr>
        <w:tc>
          <w:tcPr>
            <w:tcW w:w="4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曾用名</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47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身份证号</w:t>
            </w:r>
          </w:p>
        </w:tc>
        <w:tc>
          <w:tcPr>
            <w:tcW w:w="2940" w:type="dxa"/>
            <w:gridSpan w:val="1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818"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exact"/>
          <w:jc w:val="center"/>
        </w:trPr>
        <w:tc>
          <w:tcPr>
            <w:tcW w:w="210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从事专业</w:t>
            </w:r>
          </w:p>
        </w:tc>
        <w:tc>
          <w:tcPr>
            <w:tcW w:w="2730"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575" w:type="dxa"/>
            <w:gridSpan w:val="7"/>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身体状况</w:t>
            </w:r>
          </w:p>
        </w:tc>
        <w:tc>
          <w:tcPr>
            <w:tcW w:w="1365"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818"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exact"/>
          <w:jc w:val="center"/>
        </w:trPr>
        <w:tc>
          <w:tcPr>
            <w:tcW w:w="42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所</w:t>
            </w:r>
          </w:p>
          <w:p>
            <w:pPr>
              <w:spacing w:line="240" w:lineRule="exact"/>
              <w:jc w:val="center"/>
              <w:rPr>
                <w:rFonts w:eastAsia="楷体_GB2312"/>
                <w:color w:val="000000"/>
                <w:szCs w:val="21"/>
              </w:rPr>
            </w:pPr>
            <w:r>
              <w:rPr>
                <w:rFonts w:hint="eastAsia" w:eastAsia="楷体_GB2312"/>
                <w:color w:val="000000"/>
                <w:szCs w:val="21"/>
              </w:rPr>
              <w:t>在</w:t>
            </w:r>
          </w:p>
          <w:p>
            <w:pPr>
              <w:spacing w:line="240" w:lineRule="exact"/>
              <w:jc w:val="center"/>
              <w:rPr>
                <w:rFonts w:eastAsia="楷体_GB2312"/>
                <w:color w:val="000000"/>
                <w:szCs w:val="21"/>
              </w:rPr>
            </w:pPr>
            <w:r>
              <w:rPr>
                <w:rFonts w:hint="eastAsia" w:eastAsia="楷体_GB2312"/>
                <w:color w:val="000000"/>
                <w:szCs w:val="21"/>
              </w:rPr>
              <w:t>机</w:t>
            </w:r>
          </w:p>
          <w:p>
            <w:pPr>
              <w:spacing w:line="240" w:lineRule="exact"/>
              <w:jc w:val="center"/>
              <w:rPr>
                <w:rFonts w:eastAsia="楷体_GB2312"/>
                <w:color w:val="000000"/>
                <w:szCs w:val="21"/>
              </w:rPr>
            </w:pPr>
            <w:r>
              <w:rPr>
                <w:rFonts w:hint="eastAsia" w:eastAsia="楷体_GB2312"/>
                <w:color w:val="000000"/>
                <w:szCs w:val="21"/>
              </w:rPr>
              <w:t>构</w:t>
            </w: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机构名称</w:t>
            </w:r>
          </w:p>
        </w:tc>
        <w:tc>
          <w:tcPr>
            <w:tcW w:w="5670" w:type="dxa"/>
            <w:gridSpan w:val="1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818"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exact"/>
          <w:jc w:val="center"/>
        </w:trPr>
        <w:tc>
          <w:tcPr>
            <w:tcW w:w="4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通讯地址</w:t>
            </w:r>
          </w:p>
        </w:tc>
        <w:tc>
          <w:tcPr>
            <w:tcW w:w="4125" w:type="dxa"/>
            <w:gridSpan w:val="10"/>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545"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受聘性质</w:t>
            </w:r>
          </w:p>
        </w:tc>
        <w:tc>
          <w:tcPr>
            <w:tcW w:w="1818"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exact"/>
          <w:jc w:val="center"/>
        </w:trPr>
        <w:tc>
          <w:tcPr>
            <w:tcW w:w="4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联系电话</w:t>
            </w:r>
          </w:p>
        </w:tc>
        <w:tc>
          <w:tcPr>
            <w:tcW w:w="4125" w:type="dxa"/>
            <w:gridSpan w:val="10"/>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545"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邮</w:t>
            </w:r>
            <w:r>
              <w:rPr>
                <w:rFonts w:eastAsia="楷体_GB2312"/>
                <w:color w:val="000000"/>
                <w:szCs w:val="21"/>
              </w:rPr>
              <w:t xml:space="preserve">   </w:t>
            </w:r>
            <w:r>
              <w:rPr>
                <w:rFonts w:hint="eastAsia" w:eastAsia="楷体_GB2312"/>
                <w:color w:val="000000"/>
                <w:szCs w:val="21"/>
              </w:rPr>
              <w:t>编</w:t>
            </w:r>
          </w:p>
        </w:tc>
        <w:tc>
          <w:tcPr>
            <w:tcW w:w="1818"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42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学</w:t>
            </w:r>
          </w:p>
          <w:p>
            <w:pPr>
              <w:spacing w:line="240" w:lineRule="exact"/>
              <w:jc w:val="center"/>
              <w:rPr>
                <w:rFonts w:eastAsia="楷体_GB2312"/>
                <w:color w:val="000000"/>
                <w:szCs w:val="21"/>
              </w:rPr>
            </w:pPr>
            <w:r>
              <w:rPr>
                <w:rFonts w:hint="eastAsia" w:eastAsia="楷体_GB2312"/>
                <w:color w:val="000000"/>
                <w:szCs w:val="21"/>
              </w:rPr>
              <w:t>历</w:t>
            </w: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毕（肄、结）业时间</w:t>
            </w:r>
          </w:p>
        </w:tc>
        <w:tc>
          <w:tcPr>
            <w:tcW w:w="1545"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毕业院校</w:t>
            </w:r>
          </w:p>
        </w:tc>
        <w:tc>
          <w:tcPr>
            <w:tcW w:w="154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专业</w:t>
            </w:r>
          </w:p>
        </w:tc>
        <w:tc>
          <w:tcPr>
            <w:tcW w:w="1545"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学历</w:t>
            </w:r>
          </w:p>
        </w:tc>
        <w:tc>
          <w:tcPr>
            <w:tcW w:w="1545"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学制</w:t>
            </w:r>
          </w:p>
        </w:tc>
        <w:tc>
          <w:tcPr>
            <w:tcW w:w="1308"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学位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4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c>
          <w:tcPr>
            <w:tcW w:w="1678"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545"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54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545"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545"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308"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210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从事勘察设计工作年限</w:t>
            </w:r>
          </w:p>
        </w:tc>
        <w:tc>
          <w:tcPr>
            <w:tcW w:w="1965"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440"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执业资格</w:t>
            </w:r>
          </w:p>
        </w:tc>
        <w:tc>
          <w:tcPr>
            <w:tcW w:w="1440"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440"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执业印章号</w:t>
            </w:r>
          </w:p>
        </w:tc>
        <w:tc>
          <w:tcPr>
            <w:tcW w:w="1203"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9" w:hRule="exact"/>
          <w:jc w:val="center"/>
        </w:trPr>
        <w:tc>
          <w:tcPr>
            <w:tcW w:w="4065"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技术职称</w:t>
            </w:r>
          </w:p>
        </w:tc>
        <w:tc>
          <w:tcPr>
            <w:tcW w:w="2160" w:type="dxa"/>
            <w:gridSpan w:val="7"/>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440"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eastAsia="楷体_GB2312"/>
                <w:color w:val="000000"/>
                <w:szCs w:val="21"/>
              </w:rPr>
            </w:pPr>
            <w:r>
              <w:rPr>
                <w:rFonts w:hint="eastAsia" w:eastAsia="楷体_GB2312"/>
                <w:color w:val="000000"/>
                <w:szCs w:val="21"/>
              </w:rPr>
              <w:t>评定时间</w:t>
            </w:r>
          </w:p>
        </w:tc>
        <w:tc>
          <w:tcPr>
            <w:tcW w:w="1923"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4065" w:type="dxa"/>
            <w:gridSpan w:val="6"/>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从事勘察设计类型</w:t>
            </w:r>
          </w:p>
        </w:tc>
        <w:tc>
          <w:tcPr>
            <w:tcW w:w="96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工程</w:t>
            </w:r>
          </w:p>
          <w:p>
            <w:pPr>
              <w:spacing w:line="240" w:lineRule="exact"/>
              <w:jc w:val="center"/>
              <w:rPr>
                <w:rFonts w:eastAsia="楷体_GB2312"/>
                <w:color w:val="000000"/>
                <w:szCs w:val="21"/>
              </w:rPr>
            </w:pPr>
            <w:r>
              <w:rPr>
                <w:rFonts w:hint="eastAsia" w:eastAsia="楷体_GB2312"/>
                <w:color w:val="000000"/>
                <w:szCs w:val="21"/>
              </w:rPr>
              <w:t>勘察</w:t>
            </w:r>
          </w:p>
        </w:tc>
        <w:tc>
          <w:tcPr>
            <w:tcW w:w="96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960"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建筑</w:t>
            </w:r>
          </w:p>
          <w:p>
            <w:pPr>
              <w:spacing w:line="240" w:lineRule="exact"/>
              <w:jc w:val="center"/>
              <w:rPr>
                <w:rFonts w:eastAsia="楷体_GB2312"/>
                <w:color w:val="000000"/>
                <w:szCs w:val="21"/>
              </w:rPr>
            </w:pPr>
            <w:r>
              <w:rPr>
                <w:rFonts w:hint="eastAsia" w:eastAsia="楷体_GB2312"/>
                <w:color w:val="000000"/>
                <w:szCs w:val="21"/>
              </w:rPr>
              <w:t>工程</w:t>
            </w:r>
          </w:p>
        </w:tc>
        <w:tc>
          <w:tcPr>
            <w:tcW w:w="960"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960"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市政</w:t>
            </w:r>
          </w:p>
          <w:p>
            <w:pPr>
              <w:spacing w:line="240" w:lineRule="exact"/>
              <w:jc w:val="center"/>
              <w:rPr>
                <w:rFonts w:eastAsia="楷体_GB2312"/>
                <w:color w:val="000000"/>
                <w:szCs w:val="21"/>
              </w:rPr>
            </w:pPr>
            <w:r>
              <w:rPr>
                <w:rFonts w:hint="eastAsia" w:eastAsia="楷体_GB2312"/>
                <w:color w:val="000000"/>
                <w:szCs w:val="21"/>
              </w:rPr>
              <w:t>工程</w:t>
            </w:r>
          </w:p>
        </w:tc>
        <w:tc>
          <w:tcPr>
            <w:tcW w:w="72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422"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进修或培训情况</w:t>
            </w:r>
          </w:p>
        </w:tc>
        <w:tc>
          <w:tcPr>
            <w:tcW w:w="15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起止时间</w:t>
            </w:r>
          </w:p>
          <w:p>
            <w:pPr>
              <w:spacing w:line="240" w:lineRule="exact"/>
              <w:jc w:val="center"/>
              <w:rPr>
                <w:rFonts w:eastAsia="楷体_GB2312"/>
                <w:color w:val="000000"/>
                <w:szCs w:val="21"/>
              </w:rPr>
            </w:pPr>
            <w:r>
              <w:rPr>
                <w:rFonts w:hint="eastAsia" w:eastAsia="楷体_GB2312"/>
                <w:color w:val="000000"/>
                <w:szCs w:val="21"/>
              </w:rPr>
              <w:t>（年月）</w:t>
            </w:r>
          </w:p>
        </w:tc>
        <w:tc>
          <w:tcPr>
            <w:tcW w:w="2809"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进修或培训单位</w:t>
            </w:r>
          </w:p>
        </w:tc>
        <w:tc>
          <w:tcPr>
            <w:tcW w:w="2940" w:type="dxa"/>
            <w:gridSpan w:val="1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专业或课程主要内容</w:t>
            </w:r>
          </w:p>
        </w:tc>
        <w:tc>
          <w:tcPr>
            <w:tcW w:w="1818"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结业证明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3" w:hRule="exact"/>
          <w:jc w:val="center"/>
        </w:trPr>
        <w:tc>
          <w:tcPr>
            <w:tcW w:w="4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c>
          <w:tcPr>
            <w:tcW w:w="15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809"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940" w:type="dxa"/>
            <w:gridSpan w:val="1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818"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4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c>
          <w:tcPr>
            <w:tcW w:w="15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809"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940" w:type="dxa"/>
            <w:gridSpan w:val="1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818"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4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c>
          <w:tcPr>
            <w:tcW w:w="15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809"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940" w:type="dxa"/>
            <w:gridSpan w:val="1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818"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6" w:hRule="exact"/>
          <w:jc w:val="center"/>
        </w:trPr>
        <w:tc>
          <w:tcPr>
            <w:tcW w:w="4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c>
          <w:tcPr>
            <w:tcW w:w="15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809"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940" w:type="dxa"/>
            <w:gridSpan w:val="1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818"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exact"/>
          <w:jc w:val="center"/>
        </w:trPr>
        <w:tc>
          <w:tcPr>
            <w:tcW w:w="4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楷体_GB2312"/>
                <w:color w:val="000000"/>
                <w:szCs w:val="21"/>
              </w:rPr>
            </w:pPr>
          </w:p>
        </w:tc>
        <w:tc>
          <w:tcPr>
            <w:tcW w:w="159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809"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2940" w:type="dxa"/>
            <w:gridSpan w:val="12"/>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c>
          <w:tcPr>
            <w:tcW w:w="1818" w:type="dxa"/>
            <w:gridSpan w:val="5"/>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p>
        </w:tc>
      </w:tr>
    </w:tbl>
    <w:p>
      <w:pPr>
        <w:spacing w:before="240" w:after="120" w:line="120" w:lineRule="atLeast"/>
        <w:jc w:val="center"/>
        <w:rPr>
          <w:b/>
          <w:color w:val="000000"/>
          <w:sz w:val="32"/>
        </w:rPr>
      </w:pPr>
    </w:p>
    <w:p>
      <w:pPr>
        <w:spacing w:before="240" w:after="120" w:line="120" w:lineRule="atLeast"/>
        <w:jc w:val="center"/>
        <w:rPr>
          <w:b/>
          <w:color w:val="000000"/>
          <w:sz w:val="32"/>
        </w:rPr>
      </w:pPr>
      <w:r>
        <w:rPr>
          <w:rFonts w:hint="eastAsia"/>
          <w:b/>
          <w:color w:val="000000"/>
          <w:sz w:val="32"/>
        </w:rPr>
        <w:t>二、主要勘察设计及审查工作经历</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03"/>
        <w:gridCol w:w="3150"/>
        <w:gridCol w:w="2520"/>
        <w:gridCol w:w="20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before="120" w:line="120" w:lineRule="atLeast"/>
              <w:jc w:val="center"/>
              <w:rPr>
                <w:rFonts w:eastAsia="楷体_GB2312"/>
                <w:color w:val="000000"/>
                <w:szCs w:val="21"/>
              </w:rPr>
            </w:pPr>
            <w:r>
              <w:rPr>
                <w:rFonts w:hint="eastAsia" w:eastAsia="楷体_GB2312"/>
                <w:color w:val="000000"/>
                <w:szCs w:val="21"/>
              </w:rPr>
              <w:t>起止日期</w:t>
            </w: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before="120" w:line="120" w:lineRule="atLeast"/>
              <w:jc w:val="center"/>
              <w:rPr>
                <w:rFonts w:eastAsia="楷体_GB2312"/>
                <w:color w:val="000000"/>
                <w:szCs w:val="21"/>
              </w:rPr>
            </w:pPr>
            <w:r>
              <w:rPr>
                <w:rFonts w:hint="eastAsia" w:eastAsia="楷体_GB2312"/>
                <w:color w:val="000000"/>
                <w:szCs w:val="21"/>
              </w:rPr>
              <w:t>工作单位</w:t>
            </w: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before="120" w:line="120" w:lineRule="atLeast"/>
              <w:jc w:val="center"/>
              <w:rPr>
                <w:rFonts w:eastAsia="楷体_GB2312"/>
                <w:color w:val="000000"/>
                <w:szCs w:val="21"/>
              </w:rPr>
            </w:pPr>
            <w:r>
              <w:rPr>
                <w:rFonts w:hint="eastAsia" w:eastAsia="楷体_GB2312"/>
                <w:color w:val="000000"/>
                <w:szCs w:val="21"/>
              </w:rPr>
              <w:t>从事何技术工作</w:t>
            </w: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before="120" w:line="120" w:lineRule="atLeast"/>
              <w:jc w:val="center"/>
              <w:rPr>
                <w:rFonts w:eastAsia="楷体_GB2312"/>
                <w:color w:val="000000"/>
                <w:szCs w:val="21"/>
              </w:rPr>
            </w:pPr>
            <w:r>
              <w:rPr>
                <w:rFonts w:hint="eastAsia" w:eastAsia="楷体_GB2312"/>
                <w:color w:val="000000"/>
                <w:szCs w:val="21"/>
              </w:rPr>
              <w:t>职务及职称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315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520"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c>
          <w:tcPr>
            <w:tcW w:w="2055" w:type="dxa"/>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34"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top"/>
          </w:tcPr>
          <w:p>
            <w:pPr>
              <w:spacing w:before="480" w:line="120" w:lineRule="atLeast"/>
              <w:jc w:val="center"/>
              <w:rPr>
                <w:rFonts w:eastAsia="楷体_GB2312"/>
                <w:color w:val="000000"/>
                <w:szCs w:val="21"/>
              </w:rPr>
            </w:pPr>
            <w:r>
              <w:rPr>
                <w:rFonts w:hint="eastAsia" w:eastAsia="楷体_GB2312"/>
                <w:color w:val="000000"/>
                <w:szCs w:val="21"/>
              </w:rPr>
              <w:t>遵守职业道德情况</w:t>
            </w:r>
          </w:p>
        </w:tc>
        <w:tc>
          <w:tcPr>
            <w:tcW w:w="7725" w:type="dxa"/>
            <w:gridSpan w:val="3"/>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22" w:hRule="atLeast"/>
          <w:jc w:val="center"/>
        </w:trPr>
        <w:tc>
          <w:tcPr>
            <w:tcW w:w="2103" w:type="dxa"/>
            <w:tcBorders>
              <w:top w:val="single" w:color="auto" w:sz="4" w:space="0"/>
              <w:left w:val="single" w:color="auto" w:sz="4" w:space="0"/>
              <w:bottom w:val="single" w:color="auto" w:sz="4" w:space="0"/>
              <w:right w:val="single" w:color="auto" w:sz="4" w:space="0"/>
            </w:tcBorders>
            <w:noWrap w:val="0"/>
            <w:vAlign w:val="center"/>
          </w:tcPr>
          <w:p>
            <w:pPr>
              <w:spacing w:line="120" w:lineRule="atLeast"/>
              <w:jc w:val="center"/>
              <w:rPr>
                <w:rFonts w:eastAsia="楷体_GB2312"/>
                <w:color w:val="000000"/>
                <w:szCs w:val="21"/>
              </w:rPr>
            </w:pPr>
            <w:r>
              <w:rPr>
                <w:rFonts w:hint="eastAsia" w:eastAsia="楷体_GB2312"/>
                <w:color w:val="000000"/>
                <w:szCs w:val="21"/>
              </w:rPr>
              <w:t>现行相应专业标准、规范掌握程度</w:t>
            </w:r>
          </w:p>
        </w:tc>
        <w:tc>
          <w:tcPr>
            <w:tcW w:w="7725" w:type="dxa"/>
            <w:gridSpan w:val="3"/>
            <w:tcBorders>
              <w:top w:val="single" w:color="auto" w:sz="4" w:space="0"/>
              <w:left w:val="single" w:color="auto" w:sz="4" w:space="0"/>
              <w:bottom w:val="single" w:color="auto" w:sz="4" w:space="0"/>
              <w:right w:val="single" w:color="auto" w:sz="4" w:space="0"/>
            </w:tcBorders>
            <w:noWrap w:val="0"/>
            <w:vAlign w:val="top"/>
          </w:tcPr>
          <w:p>
            <w:pPr>
              <w:spacing w:line="120" w:lineRule="atLeast"/>
              <w:jc w:val="center"/>
              <w:rPr>
                <w:rFonts w:eastAsia="楷体_GB2312"/>
                <w:color w:val="000000"/>
                <w:szCs w:val="21"/>
              </w:rPr>
            </w:pPr>
          </w:p>
        </w:tc>
      </w:tr>
    </w:tbl>
    <w:p>
      <w:pPr>
        <w:spacing w:after="120" w:line="40" w:lineRule="atLeast"/>
        <w:rPr>
          <w:rFonts w:eastAsia="楷体_GB2312"/>
          <w:color w:val="000000"/>
          <w:sz w:val="28"/>
        </w:rPr>
      </w:pPr>
    </w:p>
    <w:p>
      <w:pPr>
        <w:spacing w:after="120" w:line="40" w:lineRule="atLeast"/>
        <w:jc w:val="center"/>
        <w:rPr>
          <w:b/>
          <w:color w:val="000000"/>
          <w:sz w:val="32"/>
        </w:rPr>
      </w:pPr>
      <w:r>
        <w:rPr>
          <w:rFonts w:hint="eastAsia"/>
          <w:b/>
          <w:color w:val="000000"/>
          <w:sz w:val="32"/>
        </w:rPr>
        <w:t>三、主要勘察设计业绩</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6"/>
        <w:gridCol w:w="858"/>
        <w:gridCol w:w="2565"/>
        <w:gridCol w:w="1349"/>
        <w:gridCol w:w="1568"/>
        <w:gridCol w:w="14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435" w:hRule="atLeast"/>
          <w:jc w:val="center"/>
        </w:trPr>
        <w:tc>
          <w:tcPr>
            <w:tcW w:w="496"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序号</w:t>
            </w:r>
          </w:p>
        </w:tc>
        <w:tc>
          <w:tcPr>
            <w:tcW w:w="85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起始</w:t>
            </w:r>
            <w:r>
              <w:rPr>
                <w:rFonts w:eastAsia="楷体_GB2312"/>
                <w:color w:val="000000"/>
                <w:szCs w:val="21"/>
              </w:rPr>
              <w:t xml:space="preserve">  </w:t>
            </w:r>
            <w:r>
              <w:rPr>
                <w:rFonts w:hint="eastAsia" w:eastAsia="楷体_GB2312"/>
                <w:color w:val="000000"/>
                <w:szCs w:val="21"/>
              </w:rPr>
              <w:t>时间</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勘察设计项目</w:t>
            </w:r>
          </w:p>
          <w:p>
            <w:pPr>
              <w:spacing w:line="240" w:lineRule="exact"/>
              <w:jc w:val="center"/>
              <w:rPr>
                <w:rFonts w:eastAsia="楷体_GB2312"/>
                <w:color w:val="000000"/>
                <w:szCs w:val="21"/>
              </w:rPr>
            </w:pPr>
            <w:r>
              <w:rPr>
                <w:rFonts w:hint="eastAsia" w:eastAsia="楷体_GB2312"/>
                <w:color w:val="000000"/>
                <w:szCs w:val="21"/>
              </w:rPr>
              <w:t>名称</w:t>
            </w:r>
          </w:p>
        </w:tc>
        <w:tc>
          <w:tcPr>
            <w:tcW w:w="134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规模及</w:t>
            </w:r>
            <w:r>
              <w:rPr>
                <w:rFonts w:eastAsia="楷体_GB2312"/>
                <w:color w:val="000000"/>
                <w:szCs w:val="21"/>
              </w:rPr>
              <w:t xml:space="preserve">  </w:t>
            </w:r>
            <w:r>
              <w:rPr>
                <w:rFonts w:hint="eastAsia" w:eastAsia="楷体_GB2312"/>
                <w:color w:val="000000"/>
                <w:szCs w:val="21"/>
              </w:rPr>
              <w:t>等级</w:t>
            </w:r>
          </w:p>
        </w:tc>
        <w:tc>
          <w:tcPr>
            <w:tcW w:w="156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勘察设计阶段（初勘、详勘、方案、初设、施工图）</w:t>
            </w:r>
          </w:p>
        </w:tc>
        <w:tc>
          <w:tcPr>
            <w:tcW w:w="146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楷体_GB2312"/>
                <w:color w:val="000000"/>
                <w:szCs w:val="21"/>
              </w:rPr>
            </w:pPr>
            <w:r>
              <w:rPr>
                <w:rFonts w:hint="eastAsia" w:eastAsia="楷体_GB2312"/>
                <w:color w:val="000000"/>
                <w:szCs w:val="21"/>
              </w:rPr>
              <w:t>完成情况及效果（获何奖励）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5" w:hRule="atLeast"/>
          <w:jc w:val="center"/>
        </w:trPr>
        <w:tc>
          <w:tcPr>
            <w:tcW w:w="496"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2565"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349"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56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460"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5" w:hRule="atLeast"/>
          <w:jc w:val="center"/>
        </w:trPr>
        <w:tc>
          <w:tcPr>
            <w:tcW w:w="496"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2565"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349"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56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460"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5" w:hRule="atLeast"/>
          <w:jc w:val="center"/>
        </w:trPr>
        <w:tc>
          <w:tcPr>
            <w:tcW w:w="496"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2565"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349"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56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460"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5" w:hRule="atLeast"/>
          <w:jc w:val="center"/>
        </w:trPr>
        <w:tc>
          <w:tcPr>
            <w:tcW w:w="496"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2565"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349"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56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460"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5" w:hRule="atLeast"/>
          <w:jc w:val="center"/>
        </w:trPr>
        <w:tc>
          <w:tcPr>
            <w:tcW w:w="496"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2565"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349"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56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460"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5" w:hRule="atLeast"/>
          <w:jc w:val="center"/>
        </w:trPr>
        <w:tc>
          <w:tcPr>
            <w:tcW w:w="496"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2565"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349"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56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460"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5" w:hRule="atLeast"/>
          <w:jc w:val="center"/>
        </w:trPr>
        <w:tc>
          <w:tcPr>
            <w:tcW w:w="496"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2565"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349"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56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460"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05" w:hRule="atLeast"/>
          <w:jc w:val="center"/>
        </w:trPr>
        <w:tc>
          <w:tcPr>
            <w:tcW w:w="496"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85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2565"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349"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568"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c>
          <w:tcPr>
            <w:tcW w:w="1460"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楷体_GB2312"/>
                <w:color w:val="000000"/>
                <w:szCs w:val="21"/>
              </w:rPr>
            </w:pPr>
          </w:p>
        </w:tc>
      </w:tr>
    </w:tbl>
    <w:p>
      <w:pPr>
        <w:jc w:val="left"/>
        <w:rPr>
          <w:rFonts w:eastAsia="仿宋_GB2312"/>
          <w:color w:val="000000"/>
          <w:szCs w:val="21"/>
        </w:rPr>
      </w:pPr>
    </w:p>
    <w:p>
      <w:pPr>
        <w:jc w:val="left"/>
        <w:rPr>
          <w:rFonts w:eastAsia="仿宋_GB2312"/>
          <w:color w:val="000000"/>
          <w:szCs w:val="21"/>
        </w:rPr>
      </w:pPr>
      <w:r>
        <w:rPr>
          <w:rFonts w:hint="eastAsia" w:eastAsia="仿宋_GB2312"/>
          <w:color w:val="000000"/>
          <w:szCs w:val="21"/>
        </w:rPr>
        <w:t>注：主要勘察设计业绩不少于</w:t>
      </w:r>
      <w:r>
        <w:rPr>
          <w:rFonts w:eastAsia="仿宋_GB2312"/>
          <w:color w:val="000000"/>
          <w:szCs w:val="21"/>
        </w:rPr>
        <w:t>5</w:t>
      </w:r>
      <w:r>
        <w:rPr>
          <w:rFonts w:hint="eastAsia" w:eastAsia="仿宋_GB2312"/>
          <w:color w:val="000000"/>
          <w:szCs w:val="21"/>
        </w:rPr>
        <w:t>项，且应作为主持人完成的、符合申请级别要求的项目。</w:t>
      </w:r>
    </w:p>
    <w:p>
      <w:pPr>
        <w:jc w:val="center"/>
        <w:rPr>
          <w:rFonts w:eastAsia="仿宋_GB2312"/>
          <w:color w:val="000000"/>
          <w:sz w:val="28"/>
        </w:rPr>
      </w:pPr>
      <w:r>
        <w:rPr>
          <w:rFonts w:hint="eastAsia"/>
          <w:b/>
          <w:color w:val="000000"/>
          <w:sz w:val="32"/>
        </w:rPr>
        <w:t>四、主要施工图设计审查业绩</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2"/>
        <w:gridCol w:w="856"/>
        <w:gridCol w:w="4832"/>
        <w:gridCol w:w="1046"/>
        <w:gridCol w:w="13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3" w:hRule="atLeas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hint="eastAsia" w:eastAsia="楷体_GB2312"/>
                <w:color w:val="000000"/>
                <w:szCs w:val="21"/>
              </w:rPr>
              <w:t>序号</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hint="eastAsia" w:eastAsia="楷体_GB2312"/>
                <w:color w:val="000000"/>
                <w:szCs w:val="21"/>
              </w:rPr>
              <w:t>时间</w:t>
            </w: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hint="eastAsia" w:eastAsia="楷体_GB2312"/>
                <w:color w:val="000000"/>
                <w:szCs w:val="21"/>
              </w:rPr>
              <w:t>审查项目名称</w:t>
            </w: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hint="eastAsia" w:eastAsia="楷体_GB2312"/>
                <w:color w:val="000000"/>
                <w:szCs w:val="21"/>
              </w:rPr>
              <w:t>规模及等级</w:t>
            </w: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hint="eastAsia" w:eastAsia="楷体_GB2312"/>
                <w:color w:val="000000"/>
                <w:szCs w:val="21"/>
              </w:rPr>
              <w:t>担任工作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1</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2</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3</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4</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5</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6</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7</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8</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9</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10</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11</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exact"/>
          <w:jc w:val="center"/>
        </w:trPr>
        <w:tc>
          <w:tcPr>
            <w:tcW w:w="75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r>
              <w:rPr>
                <w:rFonts w:eastAsia="楷体_GB2312"/>
                <w:color w:val="000000"/>
                <w:szCs w:val="21"/>
              </w:rPr>
              <w:t>12</w:t>
            </w:r>
          </w:p>
        </w:tc>
        <w:tc>
          <w:tcPr>
            <w:tcW w:w="85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pacing w:val="-20"/>
                <w:szCs w:val="21"/>
              </w:rPr>
            </w:pPr>
          </w:p>
        </w:tc>
        <w:tc>
          <w:tcPr>
            <w:tcW w:w="4832" w:type="dxa"/>
            <w:tcBorders>
              <w:top w:val="single" w:color="auto" w:sz="4" w:space="0"/>
              <w:left w:val="single" w:color="auto" w:sz="4" w:space="0"/>
              <w:bottom w:val="single" w:color="auto" w:sz="4" w:space="0"/>
              <w:right w:val="single" w:color="auto" w:sz="4" w:space="0"/>
            </w:tcBorders>
            <w:noWrap w:val="0"/>
            <w:vAlign w:val="center"/>
          </w:tcPr>
          <w:p>
            <w:pPr>
              <w:spacing w:line="420" w:lineRule="exact"/>
              <w:rPr>
                <w:rFonts w:eastAsia="楷体_GB2312"/>
                <w:color w:val="000000"/>
                <w:szCs w:val="21"/>
              </w:rPr>
            </w:pPr>
          </w:p>
        </w:tc>
        <w:tc>
          <w:tcPr>
            <w:tcW w:w="10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c>
          <w:tcPr>
            <w:tcW w:w="1346" w:type="dxa"/>
            <w:tcBorders>
              <w:top w:val="single" w:color="auto" w:sz="4" w:space="0"/>
              <w:left w:val="single" w:color="auto" w:sz="4" w:space="0"/>
              <w:bottom w:val="single" w:color="auto" w:sz="4" w:space="0"/>
              <w:right w:val="single" w:color="auto" w:sz="4" w:space="0"/>
            </w:tcBorders>
            <w:noWrap w:val="0"/>
            <w:vAlign w:val="center"/>
          </w:tcPr>
          <w:p>
            <w:pPr>
              <w:spacing w:line="420" w:lineRule="exact"/>
              <w:jc w:val="center"/>
              <w:rPr>
                <w:rFonts w:eastAsia="楷体_GB2312"/>
                <w:color w:val="000000"/>
                <w:szCs w:val="21"/>
              </w:rPr>
            </w:pPr>
          </w:p>
        </w:tc>
      </w:tr>
    </w:tbl>
    <w:p>
      <w:pPr>
        <w:jc w:val="left"/>
        <w:rPr>
          <w:rFonts w:eastAsia="仿宋_GB2312"/>
          <w:color w:val="000000"/>
          <w:szCs w:val="21"/>
        </w:rPr>
      </w:pPr>
    </w:p>
    <w:p>
      <w:pPr>
        <w:jc w:val="left"/>
        <w:rPr>
          <w:rFonts w:eastAsia="仿宋_GB2312"/>
          <w:color w:val="000000"/>
          <w:szCs w:val="21"/>
        </w:rPr>
      </w:pPr>
      <w:r>
        <w:rPr>
          <w:rFonts w:hint="eastAsia" w:eastAsia="仿宋_GB2312"/>
          <w:color w:val="000000"/>
          <w:szCs w:val="21"/>
        </w:rPr>
        <w:t>注：主要施工图设计审查业绩不少于</w:t>
      </w:r>
      <w:r>
        <w:rPr>
          <w:rFonts w:eastAsia="仿宋_GB2312"/>
          <w:color w:val="000000"/>
          <w:szCs w:val="21"/>
        </w:rPr>
        <w:t>10</w:t>
      </w:r>
      <w:r>
        <w:rPr>
          <w:rFonts w:hint="eastAsia" w:eastAsia="仿宋_GB2312"/>
          <w:color w:val="000000"/>
          <w:szCs w:val="21"/>
        </w:rPr>
        <w:t>项，且应符合申请级别要求的项目。担任工作（填写）：审查或复审。</w:t>
      </w:r>
    </w:p>
    <w:p>
      <w:pPr>
        <w:spacing w:line="240" w:lineRule="exact"/>
        <w:jc w:val="left"/>
        <w:rPr>
          <w:rFonts w:eastAsia="仿宋_GB2312"/>
          <w:color w:val="000000"/>
          <w:sz w:val="28"/>
        </w:rPr>
      </w:pPr>
      <w:r>
        <w:rPr>
          <w:rFonts w:eastAsia="仿宋_GB2312"/>
          <w:color w:val="000000"/>
          <w:sz w:val="28"/>
        </w:rPr>
        <w:br w:type="column"/>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8"/>
        <w:gridCol w:w="3546"/>
        <w:gridCol w:w="49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6" w:hRule="atLeast"/>
          <w:jc w:val="center"/>
        </w:trPr>
        <w:tc>
          <w:tcPr>
            <w:tcW w:w="491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楷体_GB2312"/>
                <w:color w:val="000000"/>
                <w:szCs w:val="21"/>
              </w:rPr>
            </w:pPr>
            <w:r>
              <w:rPr>
                <w:rFonts w:hint="eastAsia" w:eastAsia="楷体_GB2312"/>
                <w:color w:val="000000"/>
                <w:szCs w:val="21"/>
              </w:rPr>
              <w:t>所在审查机构意见</w:t>
            </w:r>
          </w:p>
        </w:tc>
        <w:tc>
          <w:tcPr>
            <w:tcW w:w="491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楷体_GB2312"/>
                <w:color w:val="000000"/>
                <w:szCs w:val="21"/>
              </w:rPr>
            </w:pPr>
            <w:r>
              <w:rPr>
                <w:rFonts w:hint="eastAsia" w:eastAsia="楷体_GB2312"/>
                <w:color w:val="000000"/>
                <w:szCs w:val="21"/>
              </w:rPr>
              <w:t>兼职人员所在勘察设计企业意见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75" w:hRule="atLeast"/>
          <w:jc w:val="center"/>
        </w:trPr>
        <w:tc>
          <w:tcPr>
            <w:tcW w:w="491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eastAsia="楷体_GB2312"/>
                <w:color w:val="000000"/>
                <w:szCs w:val="21"/>
              </w:rPr>
            </w:pPr>
          </w:p>
          <w:p>
            <w:pPr>
              <w:spacing w:line="360" w:lineRule="exact"/>
              <w:rPr>
                <w:rFonts w:eastAsia="楷体_GB2312"/>
                <w:color w:val="000000"/>
                <w:szCs w:val="21"/>
              </w:rPr>
            </w:pPr>
            <w:r>
              <w:rPr>
                <w:rFonts w:eastAsia="楷体_GB2312"/>
                <w:color w:val="000000"/>
                <w:szCs w:val="21"/>
              </w:rPr>
              <w:t xml:space="preserve"> </w:t>
            </w: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jc w:val="center"/>
              <w:rPr>
                <w:rFonts w:eastAsia="楷体_GB2312"/>
                <w:color w:val="000000"/>
                <w:szCs w:val="21"/>
              </w:rPr>
            </w:pPr>
          </w:p>
          <w:p>
            <w:pPr>
              <w:spacing w:line="360" w:lineRule="exact"/>
              <w:rPr>
                <w:rFonts w:eastAsia="楷体_GB2312"/>
                <w:color w:val="000000"/>
                <w:szCs w:val="21"/>
              </w:rPr>
            </w:pPr>
            <w:r>
              <w:rPr>
                <w:rFonts w:hint="eastAsia" w:eastAsia="楷体_GB2312"/>
                <w:color w:val="000000"/>
                <w:szCs w:val="21"/>
              </w:rPr>
              <w:t>负责人签字：</w:t>
            </w:r>
          </w:p>
          <w:p>
            <w:pPr>
              <w:spacing w:before="240" w:line="360" w:lineRule="exact"/>
              <w:rPr>
                <w:rFonts w:eastAsia="楷体_GB2312"/>
                <w:color w:val="000000"/>
                <w:szCs w:val="21"/>
              </w:rPr>
            </w:pPr>
            <w:r>
              <w:rPr>
                <w:rFonts w:hint="eastAsia" w:eastAsia="楷体_GB2312"/>
                <w:color w:val="000000"/>
                <w:szCs w:val="21"/>
              </w:rPr>
              <w:t>（公章）</w:t>
            </w:r>
            <w:r>
              <w:rPr>
                <w:rFonts w:eastAsia="楷体_GB2312"/>
                <w:color w:val="000000"/>
                <w:szCs w:val="21"/>
              </w:rPr>
              <w:t xml:space="preserve">    </w:t>
            </w:r>
          </w:p>
          <w:p>
            <w:pPr>
              <w:spacing w:line="360" w:lineRule="exact"/>
              <w:jc w:val="right"/>
              <w:rPr>
                <w:rFonts w:eastAsia="楷体_GB2312"/>
                <w:color w:val="000000"/>
                <w:szCs w:val="21"/>
              </w:rPr>
            </w:pPr>
            <w:r>
              <w:rPr>
                <w:rFonts w:hint="eastAsia" w:eastAsia="楷体_GB2312"/>
                <w:color w:val="000000"/>
                <w:szCs w:val="21"/>
              </w:rPr>
              <w:t>年</w:t>
            </w:r>
            <w:r>
              <w:rPr>
                <w:rFonts w:eastAsia="楷体_GB2312"/>
                <w:color w:val="000000"/>
                <w:szCs w:val="21"/>
              </w:rPr>
              <w:t xml:space="preserve">  </w:t>
            </w:r>
            <w:r>
              <w:rPr>
                <w:rFonts w:hint="eastAsia" w:eastAsia="楷体_GB2312"/>
                <w:color w:val="000000"/>
                <w:szCs w:val="21"/>
              </w:rPr>
              <w:t>月</w:t>
            </w:r>
            <w:r>
              <w:rPr>
                <w:rFonts w:eastAsia="楷体_GB2312"/>
                <w:color w:val="000000"/>
                <w:szCs w:val="21"/>
              </w:rPr>
              <w:t xml:space="preserve">  </w:t>
            </w:r>
            <w:r>
              <w:rPr>
                <w:rFonts w:hint="eastAsia" w:eastAsia="楷体_GB2312"/>
                <w:color w:val="000000"/>
                <w:szCs w:val="21"/>
              </w:rPr>
              <w:t>日</w:t>
            </w:r>
          </w:p>
        </w:tc>
        <w:tc>
          <w:tcPr>
            <w:tcW w:w="4914" w:type="dxa"/>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jc w:val="center"/>
              <w:rPr>
                <w:rFonts w:eastAsia="楷体_GB2312"/>
                <w:color w:val="000000"/>
                <w:szCs w:val="21"/>
              </w:rPr>
            </w:pPr>
          </w:p>
          <w:p>
            <w:pPr>
              <w:spacing w:line="360" w:lineRule="exact"/>
              <w:rPr>
                <w:rFonts w:eastAsia="楷体_GB2312"/>
                <w:color w:val="000000"/>
                <w:szCs w:val="21"/>
              </w:rPr>
            </w:pPr>
            <w:r>
              <w:rPr>
                <w:rFonts w:hint="eastAsia" w:eastAsia="楷体_GB2312"/>
                <w:color w:val="000000"/>
                <w:szCs w:val="21"/>
              </w:rPr>
              <w:t>负责人签字：</w:t>
            </w:r>
          </w:p>
          <w:p>
            <w:pPr>
              <w:spacing w:before="240" w:line="360" w:lineRule="exact"/>
              <w:rPr>
                <w:rFonts w:eastAsia="楷体_GB2312"/>
                <w:color w:val="000000"/>
                <w:szCs w:val="21"/>
              </w:rPr>
            </w:pPr>
            <w:r>
              <w:rPr>
                <w:rFonts w:hint="eastAsia" w:eastAsia="楷体_GB2312"/>
                <w:color w:val="000000"/>
                <w:szCs w:val="21"/>
              </w:rPr>
              <w:t>（公章）</w:t>
            </w:r>
            <w:r>
              <w:rPr>
                <w:rFonts w:eastAsia="楷体_GB2312"/>
                <w:color w:val="000000"/>
                <w:szCs w:val="21"/>
              </w:rPr>
              <w:t xml:space="preserve">    </w:t>
            </w:r>
          </w:p>
          <w:p>
            <w:pPr>
              <w:spacing w:line="360" w:lineRule="exact"/>
              <w:jc w:val="right"/>
              <w:rPr>
                <w:rFonts w:eastAsia="楷体_GB2312"/>
                <w:color w:val="000000"/>
                <w:szCs w:val="21"/>
              </w:rPr>
            </w:pPr>
            <w:r>
              <w:rPr>
                <w:rFonts w:hint="eastAsia" w:eastAsia="楷体_GB2312"/>
                <w:color w:val="000000"/>
                <w:szCs w:val="21"/>
              </w:rPr>
              <w:t>年</w:t>
            </w:r>
            <w:r>
              <w:rPr>
                <w:rFonts w:eastAsia="楷体_GB2312"/>
                <w:color w:val="000000"/>
                <w:szCs w:val="21"/>
              </w:rPr>
              <w:t xml:space="preserve">  </w:t>
            </w:r>
            <w:r>
              <w:rPr>
                <w:rFonts w:hint="eastAsia" w:eastAsia="楷体_GB2312"/>
                <w:color w:val="000000"/>
                <w:szCs w:val="21"/>
              </w:rPr>
              <w:t>月</w:t>
            </w:r>
            <w:r>
              <w:rPr>
                <w:rFonts w:eastAsia="楷体_GB2312"/>
                <w:color w:val="000000"/>
                <w:szCs w:val="21"/>
              </w:rPr>
              <w:t xml:space="preserve">  </w:t>
            </w:r>
            <w:r>
              <w:rPr>
                <w:rFonts w:hint="eastAsia" w:eastAsia="楷体_GB2312"/>
                <w:color w:val="000000"/>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8" w:hRule="atLeast"/>
          <w:jc w:val="center"/>
        </w:trPr>
        <w:tc>
          <w:tcPr>
            <w:tcW w:w="491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楷体_GB2312"/>
                <w:color w:val="000000"/>
                <w:szCs w:val="21"/>
              </w:rPr>
            </w:pPr>
            <w:r>
              <w:rPr>
                <w:rFonts w:hint="eastAsia" w:eastAsia="楷体_GB2312"/>
                <w:color w:val="000000"/>
                <w:szCs w:val="21"/>
              </w:rPr>
              <w:t>县（市）建设行政主管部门审核意见</w:t>
            </w:r>
          </w:p>
        </w:tc>
        <w:tc>
          <w:tcPr>
            <w:tcW w:w="491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楷体_GB2312"/>
                <w:color w:val="000000"/>
                <w:szCs w:val="21"/>
              </w:rPr>
            </w:pPr>
            <w:r>
              <w:rPr>
                <w:rFonts w:hint="eastAsia" w:eastAsia="楷体_GB2312"/>
                <w:color w:val="000000"/>
                <w:szCs w:val="21"/>
              </w:rPr>
              <w:t>省辖市建设行政主管部门审核意见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2" w:hRule="atLeast"/>
          <w:jc w:val="center"/>
        </w:trPr>
        <w:tc>
          <w:tcPr>
            <w:tcW w:w="4914"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jc w:val="center"/>
              <w:rPr>
                <w:rFonts w:eastAsia="楷体_GB2312"/>
                <w:color w:val="000000"/>
                <w:szCs w:val="21"/>
              </w:rPr>
            </w:pPr>
          </w:p>
          <w:p>
            <w:pPr>
              <w:spacing w:line="360" w:lineRule="exact"/>
              <w:rPr>
                <w:rFonts w:eastAsia="楷体_GB2312"/>
                <w:color w:val="000000"/>
                <w:szCs w:val="21"/>
              </w:rPr>
            </w:pPr>
            <w:r>
              <w:rPr>
                <w:rFonts w:hint="eastAsia" w:eastAsia="楷体_GB2312"/>
                <w:color w:val="000000"/>
                <w:szCs w:val="21"/>
              </w:rPr>
              <w:t>负责人签字：</w:t>
            </w:r>
          </w:p>
          <w:p>
            <w:pPr>
              <w:spacing w:before="240" w:line="360" w:lineRule="exact"/>
              <w:rPr>
                <w:rFonts w:eastAsia="楷体_GB2312"/>
                <w:color w:val="000000"/>
                <w:szCs w:val="21"/>
              </w:rPr>
            </w:pPr>
            <w:r>
              <w:rPr>
                <w:rFonts w:hint="eastAsia" w:eastAsia="楷体_GB2312"/>
                <w:color w:val="000000"/>
                <w:szCs w:val="21"/>
              </w:rPr>
              <w:t>（公章）</w:t>
            </w:r>
            <w:r>
              <w:rPr>
                <w:rFonts w:eastAsia="楷体_GB2312"/>
                <w:color w:val="000000"/>
                <w:szCs w:val="21"/>
              </w:rPr>
              <w:t xml:space="preserve">    </w:t>
            </w:r>
          </w:p>
          <w:p>
            <w:pPr>
              <w:spacing w:line="360" w:lineRule="exact"/>
              <w:jc w:val="right"/>
              <w:rPr>
                <w:rFonts w:eastAsia="楷体_GB2312"/>
                <w:color w:val="000000"/>
                <w:szCs w:val="21"/>
              </w:rPr>
            </w:pPr>
            <w:r>
              <w:rPr>
                <w:rFonts w:hint="eastAsia" w:eastAsia="楷体_GB2312"/>
                <w:color w:val="000000"/>
                <w:szCs w:val="21"/>
              </w:rPr>
              <w:t>年</w:t>
            </w:r>
            <w:r>
              <w:rPr>
                <w:rFonts w:eastAsia="楷体_GB2312"/>
                <w:color w:val="000000"/>
                <w:szCs w:val="21"/>
              </w:rPr>
              <w:t xml:space="preserve">  </w:t>
            </w:r>
            <w:r>
              <w:rPr>
                <w:rFonts w:hint="eastAsia" w:eastAsia="楷体_GB2312"/>
                <w:color w:val="000000"/>
                <w:szCs w:val="21"/>
              </w:rPr>
              <w:t>月</w:t>
            </w:r>
            <w:r>
              <w:rPr>
                <w:rFonts w:eastAsia="楷体_GB2312"/>
                <w:color w:val="000000"/>
                <w:szCs w:val="21"/>
              </w:rPr>
              <w:t xml:space="preserve">  </w:t>
            </w:r>
            <w:r>
              <w:rPr>
                <w:rFonts w:hint="eastAsia" w:eastAsia="楷体_GB2312"/>
                <w:color w:val="000000"/>
                <w:szCs w:val="21"/>
              </w:rPr>
              <w:t>日</w:t>
            </w:r>
          </w:p>
        </w:tc>
        <w:tc>
          <w:tcPr>
            <w:tcW w:w="4914" w:type="dxa"/>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jc w:val="center"/>
              <w:rPr>
                <w:rFonts w:eastAsia="楷体_GB2312"/>
                <w:color w:val="000000"/>
                <w:szCs w:val="21"/>
              </w:rPr>
            </w:pPr>
          </w:p>
          <w:p>
            <w:pPr>
              <w:spacing w:line="360" w:lineRule="exact"/>
              <w:rPr>
                <w:rFonts w:eastAsia="楷体_GB2312"/>
                <w:color w:val="000000"/>
                <w:szCs w:val="21"/>
              </w:rPr>
            </w:pPr>
            <w:r>
              <w:rPr>
                <w:rFonts w:hint="eastAsia" w:eastAsia="楷体_GB2312"/>
                <w:color w:val="000000"/>
                <w:szCs w:val="21"/>
              </w:rPr>
              <w:t>负责人签字：</w:t>
            </w:r>
          </w:p>
          <w:p>
            <w:pPr>
              <w:spacing w:before="240" w:line="360" w:lineRule="exact"/>
              <w:rPr>
                <w:rFonts w:eastAsia="楷体_GB2312"/>
                <w:color w:val="000000"/>
                <w:szCs w:val="21"/>
              </w:rPr>
            </w:pPr>
            <w:r>
              <w:rPr>
                <w:rFonts w:hint="eastAsia" w:eastAsia="楷体_GB2312"/>
                <w:color w:val="000000"/>
                <w:szCs w:val="21"/>
              </w:rPr>
              <w:t>（公章）</w:t>
            </w:r>
            <w:r>
              <w:rPr>
                <w:rFonts w:eastAsia="楷体_GB2312"/>
                <w:color w:val="000000"/>
                <w:szCs w:val="21"/>
              </w:rPr>
              <w:t xml:space="preserve">    </w:t>
            </w:r>
          </w:p>
          <w:p>
            <w:pPr>
              <w:spacing w:line="360" w:lineRule="exact"/>
              <w:jc w:val="right"/>
              <w:rPr>
                <w:rFonts w:eastAsia="楷体_GB2312"/>
                <w:color w:val="000000"/>
                <w:szCs w:val="21"/>
              </w:rPr>
            </w:pPr>
            <w:r>
              <w:rPr>
                <w:rFonts w:hint="eastAsia" w:eastAsia="楷体_GB2312"/>
                <w:color w:val="000000"/>
                <w:szCs w:val="21"/>
              </w:rPr>
              <w:t>年</w:t>
            </w:r>
            <w:r>
              <w:rPr>
                <w:rFonts w:eastAsia="楷体_GB2312"/>
                <w:color w:val="000000"/>
                <w:szCs w:val="21"/>
              </w:rPr>
              <w:t xml:space="preserve">  </w:t>
            </w:r>
            <w:r>
              <w:rPr>
                <w:rFonts w:hint="eastAsia" w:eastAsia="楷体_GB2312"/>
                <w:color w:val="000000"/>
                <w:szCs w:val="21"/>
              </w:rPr>
              <w:t>月</w:t>
            </w:r>
            <w:r>
              <w:rPr>
                <w:rFonts w:eastAsia="楷体_GB2312"/>
                <w:color w:val="000000"/>
                <w:szCs w:val="21"/>
              </w:rPr>
              <w:t xml:space="preserve">  </w:t>
            </w:r>
            <w:r>
              <w:rPr>
                <w:rFonts w:hint="eastAsia" w:eastAsia="楷体_GB2312"/>
                <w:color w:val="000000"/>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7" w:hRule="atLeast"/>
          <w:jc w:val="center"/>
        </w:trPr>
        <w:tc>
          <w:tcPr>
            <w:tcW w:w="9828" w:type="dxa"/>
            <w:gridSpan w:val="3"/>
            <w:tcBorders>
              <w:top w:val="single" w:color="auto" w:sz="4" w:space="0"/>
              <w:left w:val="single" w:color="auto" w:sz="4" w:space="0"/>
              <w:bottom w:val="single" w:color="auto" w:sz="4" w:space="0"/>
              <w:right w:val="single" w:color="auto" w:sz="4" w:space="0"/>
            </w:tcBorders>
            <w:noWrap w:val="0"/>
            <w:vAlign w:val="top"/>
          </w:tcPr>
          <w:p>
            <w:pPr>
              <w:spacing w:before="240" w:line="360" w:lineRule="exact"/>
              <w:jc w:val="center"/>
              <w:rPr>
                <w:rFonts w:eastAsia="楷体_GB2312"/>
                <w:color w:val="000000"/>
                <w:szCs w:val="21"/>
              </w:rPr>
            </w:pPr>
            <w:r>
              <w:rPr>
                <w:rFonts w:hint="eastAsia" w:eastAsia="楷体_GB2312"/>
                <w:color w:val="000000"/>
                <w:szCs w:val="21"/>
              </w:rPr>
              <w:t>省</w:t>
            </w:r>
            <w:r>
              <w:rPr>
                <w:rFonts w:eastAsia="楷体_GB2312"/>
                <w:color w:val="000000"/>
                <w:szCs w:val="21"/>
              </w:rPr>
              <w:t xml:space="preserve"> </w:t>
            </w:r>
            <w:r>
              <w:rPr>
                <w:rFonts w:hint="eastAsia" w:eastAsia="楷体_GB2312"/>
                <w:color w:val="000000"/>
                <w:szCs w:val="21"/>
              </w:rPr>
              <w:t>住</w:t>
            </w:r>
            <w:r>
              <w:rPr>
                <w:rFonts w:eastAsia="楷体_GB2312"/>
                <w:color w:val="000000"/>
                <w:szCs w:val="21"/>
              </w:rPr>
              <w:t xml:space="preserve"> </w:t>
            </w:r>
            <w:r>
              <w:rPr>
                <w:rFonts w:hint="eastAsia" w:eastAsia="楷体_GB2312"/>
                <w:color w:val="000000"/>
                <w:szCs w:val="21"/>
              </w:rPr>
              <w:t>房</w:t>
            </w:r>
            <w:r>
              <w:rPr>
                <w:rFonts w:eastAsia="楷体_GB2312"/>
                <w:color w:val="000000"/>
                <w:szCs w:val="21"/>
              </w:rPr>
              <w:t xml:space="preserve"> </w:t>
            </w:r>
            <w:r>
              <w:rPr>
                <w:rFonts w:hint="eastAsia" w:eastAsia="楷体_GB2312"/>
                <w:color w:val="000000"/>
                <w:szCs w:val="21"/>
              </w:rPr>
              <w:t>和</w:t>
            </w:r>
            <w:r>
              <w:rPr>
                <w:rFonts w:eastAsia="楷体_GB2312"/>
                <w:color w:val="000000"/>
                <w:szCs w:val="21"/>
              </w:rPr>
              <w:t xml:space="preserve"> </w:t>
            </w:r>
            <w:r>
              <w:rPr>
                <w:rFonts w:hint="eastAsia" w:eastAsia="楷体_GB2312"/>
                <w:color w:val="000000"/>
                <w:szCs w:val="21"/>
              </w:rPr>
              <w:t>城</w:t>
            </w:r>
            <w:r>
              <w:rPr>
                <w:rFonts w:eastAsia="楷体_GB2312"/>
                <w:color w:val="000000"/>
                <w:szCs w:val="21"/>
              </w:rPr>
              <w:t xml:space="preserve"> </w:t>
            </w:r>
            <w:r>
              <w:rPr>
                <w:rFonts w:hint="eastAsia" w:eastAsia="楷体_GB2312"/>
                <w:color w:val="000000"/>
                <w:szCs w:val="21"/>
              </w:rPr>
              <w:t>乡</w:t>
            </w:r>
            <w:r>
              <w:rPr>
                <w:rFonts w:eastAsia="楷体_GB2312"/>
                <w:color w:val="000000"/>
                <w:szCs w:val="21"/>
              </w:rPr>
              <w:t xml:space="preserve"> </w:t>
            </w:r>
            <w:r>
              <w:rPr>
                <w:rFonts w:hint="eastAsia" w:eastAsia="楷体_GB2312"/>
                <w:color w:val="000000"/>
                <w:szCs w:val="21"/>
              </w:rPr>
              <w:t>建</w:t>
            </w:r>
            <w:r>
              <w:rPr>
                <w:rFonts w:eastAsia="楷体_GB2312"/>
                <w:color w:val="000000"/>
                <w:szCs w:val="21"/>
              </w:rPr>
              <w:t xml:space="preserve"> </w:t>
            </w:r>
            <w:r>
              <w:rPr>
                <w:rFonts w:hint="eastAsia" w:eastAsia="楷体_GB2312"/>
                <w:color w:val="000000"/>
                <w:szCs w:val="21"/>
              </w:rPr>
              <w:t>设</w:t>
            </w:r>
            <w:r>
              <w:rPr>
                <w:rFonts w:eastAsia="楷体_GB2312"/>
                <w:color w:val="000000"/>
                <w:szCs w:val="21"/>
              </w:rPr>
              <w:t xml:space="preserve"> </w:t>
            </w:r>
            <w:r>
              <w:rPr>
                <w:rFonts w:hint="eastAsia" w:eastAsia="楷体_GB2312"/>
                <w:color w:val="000000"/>
                <w:szCs w:val="21"/>
              </w:rPr>
              <w:t>行</w:t>
            </w:r>
            <w:r>
              <w:rPr>
                <w:rFonts w:eastAsia="楷体_GB2312"/>
                <w:color w:val="000000"/>
                <w:szCs w:val="21"/>
              </w:rPr>
              <w:t xml:space="preserve"> </w:t>
            </w:r>
            <w:r>
              <w:rPr>
                <w:rFonts w:hint="eastAsia" w:eastAsia="楷体_GB2312"/>
                <w:color w:val="000000"/>
                <w:szCs w:val="21"/>
              </w:rPr>
              <w:t>政</w:t>
            </w:r>
            <w:r>
              <w:rPr>
                <w:rFonts w:eastAsia="楷体_GB2312"/>
                <w:color w:val="000000"/>
                <w:szCs w:val="21"/>
              </w:rPr>
              <w:t xml:space="preserve"> </w:t>
            </w:r>
            <w:r>
              <w:rPr>
                <w:rFonts w:hint="eastAsia" w:eastAsia="楷体_GB2312"/>
                <w:color w:val="000000"/>
                <w:szCs w:val="21"/>
              </w:rPr>
              <w:t>主</w:t>
            </w:r>
            <w:r>
              <w:rPr>
                <w:rFonts w:eastAsia="楷体_GB2312"/>
                <w:color w:val="000000"/>
                <w:szCs w:val="21"/>
              </w:rPr>
              <w:t xml:space="preserve"> </w:t>
            </w:r>
            <w:r>
              <w:rPr>
                <w:rFonts w:hint="eastAsia" w:eastAsia="楷体_GB2312"/>
                <w:color w:val="000000"/>
                <w:szCs w:val="21"/>
              </w:rPr>
              <w:t>管</w:t>
            </w:r>
            <w:r>
              <w:rPr>
                <w:rFonts w:eastAsia="楷体_GB2312"/>
                <w:color w:val="000000"/>
                <w:szCs w:val="21"/>
              </w:rPr>
              <w:t xml:space="preserve"> </w:t>
            </w:r>
            <w:r>
              <w:rPr>
                <w:rFonts w:hint="eastAsia" w:eastAsia="楷体_GB2312"/>
                <w:color w:val="000000"/>
                <w:szCs w:val="21"/>
              </w:rPr>
              <w:t>部</w:t>
            </w:r>
            <w:r>
              <w:rPr>
                <w:rFonts w:eastAsia="楷体_GB2312"/>
                <w:color w:val="000000"/>
                <w:szCs w:val="21"/>
              </w:rPr>
              <w:t xml:space="preserve"> </w:t>
            </w:r>
            <w:r>
              <w:rPr>
                <w:rFonts w:hint="eastAsia" w:eastAsia="楷体_GB2312"/>
                <w:color w:val="000000"/>
                <w:szCs w:val="21"/>
              </w:rPr>
              <w:t>门</w:t>
            </w:r>
            <w:r>
              <w:rPr>
                <w:rFonts w:eastAsia="楷体_GB2312"/>
                <w:color w:val="000000"/>
                <w:szCs w:val="21"/>
              </w:rPr>
              <w:t xml:space="preserve"> </w:t>
            </w:r>
            <w:r>
              <w:rPr>
                <w:rFonts w:hint="eastAsia" w:eastAsia="楷体_GB2312"/>
                <w:color w:val="000000"/>
                <w:szCs w:val="21"/>
              </w:rPr>
              <w:t>认</w:t>
            </w:r>
            <w:r>
              <w:rPr>
                <w:rFonts w:eastAsia="楷体_GB2312"/>
                <w:color w:val="000000"/>
                <w:szCs w:val="21"/>
              </w:rPr>
              <w:t xml:space="preserve"> </w:t>
            </w:r>
            <w:r>
              <w:rPr>
                <w:rFonts w:hint="eastAsia" w:eastAsia="楷体_GB2312"/>
                <w:color w:val="000000"/>
                <w:szCs w:val="21"/>
              </w:rPr>
              <w:t>定</w:t>
            </w:r>
            <w:r>
              <w:rPr>
                <w:rFonts w:eastAsia="楷体_GB2312"/>
                <w:color w:val="000000"/>
                <w:szCs w:val="21"/>
              </w:rPr>
              <w:t xml:space="preserve"> </w:t>
            </w:r>
            <w:r>
              <w:rPr>
                <w:rFonts w:hint="eastAsia" w:eastAsia="楷体_GB2312"/>
                <w:color w:val="000000"/>
                <w:szCs w:val="21"/>
              </w:rPr>
              <w:t>意</w:t>
            </w:r>
            <w:r>
              <w:rPr>
                <w:rFonts w:eastAsia="楷体_GB2312"/>
                <w:color w:val="000000"/>
                <w:szCs w:val="21"/>
              </w:rPr>
              <w:t xml:space="preserve"> </w:t>
            </w:r>
            <w:r>
              <w:rPr>
                <w:rFonts w:hint="eastAsia" w:eastAsia="楷体_GB2312"/>
                <w:color w:val="000000"/>
                <w:szCs w:val="21"/>
              </w:rPr>
              <w:t>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02" w:hRule="atLeast"/>
          <w:jc w:val="center"/>
        </w:trPr>
        <w:tc>
          <w:tcPr>
            <w:tcW w:w="9828" w:type="dxa"/>
            <w:gridSpan w:val="3"/>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jc w:val="center"/>
              <w:rPr>
                <w:rFonts w:eastAsia="楷体_GB2312"/>
                <w:color w:val="000000"/>
                <w:szCs w:val="21"/>
              </w:rPr>
            </w:pPr>
            <w:r>
              <w:rPr>
                <w:rFonts w:eastAsia="楷体_GB2312"/>
                <w:color w:val="000000"/>
                <w:szCs w:val="21"/>
              </w:rPr>
              <w:t xml:space="preserve">                                     </w:t>
            </w:r>
            <w:r>
              <w:rPr>
                <w:rFonts w:hint="eastAsia" w:eastAsia="楷体_GB2312"/>
                <w:color w:val="000000"/>
                <w:szCs w:val="21"/>
              </w:rPr>
              <w:t>（公章）</w:t>
            </w:r>
          </w:p>
          <w:p>
            <w:pPr>
              <w:spacing w:line="360" w:lineRule="exact"/>
              <w:rPr>
                <w:rFonts w:eastAsia="楷体_GB2312"/>
                <w:color w:val="000000"/>
                <w:szCs w:val="21"/>
              </w:rPr>
            </w:pPr>
            <w:r>
              <w:rPr>
                <w:rFonts w:eastAsia="楷体_GB2312"/>
                <w:color w:val="000000"/>
                <w:szCs w:val="21"/>
              </w:rPr>
              <w:t xml:space="preserve">                                                           </w:t>
            </w:r>
            <w:r>
              <w:rPr>
                <w:rFonts w:hint="eastAsia" w:eastAsia="楷体_GB2312"/>
                <w:color w:val="000000"/>
                <w:szCs w:val="21"/>
              </w:rPr>
              <w:t>年</w:t>
            </w:r>
            <w:r>
              <w:rPr>
                <w:rFonts w:eastAsia="楷体_GB2312"/>
                <w:color w:val="000000"/>
                <w:szCs w:val="21"/>
              </w:rPr>
              <w:t xml:space="preserve">  </w:t>
            </w:r>
            <w:r>
              <w:rPr>
                <w:rFonts w:hint="eastAsia" w:eastAsia="楷体_GB2312"/>
                <w:color w:val="000000"/>
                <w:szCs w:val="21"/>
              </w:rPr>
              <w:t>月</w:t>
            </w:r>
            <w:r>
              <w:rPr>
                <w:rFonts w:eastAsia="楷体_GB2312"/>
                <w:color w:val="000000"/>
                <w:szCs w:val="21"/>
              </w:rPr>
              <w:t xml:space="preserve">  </w:t>
            </w:r>
            <w:r>
              <w:rPr>
                <w:rFonts w:hint="eastAsia" w:eastAsia="楷体_GB2312"/>
                <w:color w:val="000000"/>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jc w:val="center"/>
        </w:trPr>
        <w:tc>
          <w:tcPr>
            <w:tcW w:w="1368" w:type="dxa"/>
            <w:tcBorders>
              <w:top w:val="single" w:color="auto" w:sz="4" w:space="0"/>
              <w:left w:val="single" w:color="auto" w:sz="4" w:space="0"/>
              <w:bottom w:val="single" w:color="auto" w:sz="4" w:space="0"/>
              <w:right w:val="single" w:color="auto" w:sz="4" w:space="0"/>
            </w:tcBorders>
            <w:noWrap w:val="0"/>
            <w:vAlign w:val="center"/>
          </w:tcPr>
          <w:p>
            <w:pPr>
              <w:spacing w:before="120" w:line="360" w:lineRule="exact"/>
              <w:jc w:val="center"/>
              <w:rPr>
                <w:rFonts w:eastAsia="楷体_GB2312"/>
                <w:color w:val="000000"/>
                <w:szCs w:val="21"/>
              </w:rPr>
            </w:pPr>
            <w:r>
              <w:rPr>
                <w:rFonts w:hint="eastAsia" w:eastAsia="楷体_GB2312"/>
                <w:color w:val="000000"/>
                <w:szCs w:val="21"/>
              </w:rPr>
              <w:t>备</w:t>
            </w:r>
            <w:r>
              <w:rPr>
                <w:rFonts w:eastAsia="楷体_GB2312"/>
                <w:color w:val="000000"/>
                <w:szCs w:val="21"/>
              </w:rPr>
              <w:t xml:space="preserve">  </w:t>
            </w:r>
            <w:r>
              <w:rPr>
                <w:rFonts w:hint="eastAsia" w:eastAsia="楷体_GB2312"/>
                <w:color w:val="000000"/>
                <w:szCs w:val="21"/>
              </w:rPr>
              <w:t>注</w:t>
            </w:r>
          </w:p>
        </w:tc>
        <w:tc>
          <w:tcPr>
            <w:tcW w:w="8460" w:type="dxa"/>
            <w:gridSpan w:val="2"/>
            <w:tcBorders>
              <w:top w:val="single" w:color="auto" w:sz="4" w:space="0"/>
              <w:left w:val="single" w:color="auto" w:sz="4" w:space="0"/>
              <w:bottom w:val="single" w:color="auto" w:sz="4" w:space="0"/>
              <w:right w:val="single" w:color="auto" w:sz="4" w:space="0"/>
            </w:tcBorders>
            <w:noWrap w:val="0"/>
            <w:vAlign w:val="top"/>
          </w:tcPr>
          <w:p>
            <w:pPr>
              <w:spacing w:line="360" w:lineRule="exact"/>
              <w:rPr>
                <w:rFonts w:eastAsia="楷体_GB2312"/>
                <w:color w:val="000000"/>
                <w:szCs w:val="21"/>
              </w:rPr>
            </w:pPr>
          </w:p>
          <w:p>
            <w:pPr>
              <w:spacing w:line="360" w:lineRule="exact"/>
              <w:rPr>
                <w:rFonts w:eastAsia="楷体_GB2312"/>
                <w:color w:val="000000"/>
                <w:szCs w:val="21"/>
              </w:rPr>
            </w:pPr>
          </w:p>
          <w:p>
            <w:pPr>
              <w:spacing w:line="360" w:lineRule="exact"/>
              <w:rPr>
                <w:rFonts w:eastAsia="楷体_GB2312"/>
                <w:color w:val="000000"/>
                <w:szCs w:val="21"/>
              </w:rPr>
            </w:pPr>
          </w:p>
        </w:tc>
      </w:tr>
    </w:tbl>
    <w:p>
      <w:pPr>
        <w:spacing w:line="500" w:lineRule="exact"/>
        <w:jc w:val="center"/>
        <w:outlineLvl w:val="2"/>
        <w:rPr>
          <w:rFonts w:eastAsia="黑体"/>
          <w:b/>
          <w:color w:val="000000"/>
          <w:sz w:val="30"/>
        </w:rPr>
      </w:pPr>
    </w:p>
    <w:p/>
    <w:p/>
    <w:p>
      <w:pPr>
        <w:pStyle w:val="2"/>
        <w:spacing w:before="240" w:beforeLines="100" w:after="240" w:afterLines="100" w:line="240" w:lineRule="auto"/>
        <w:jc w:val="center"/>
        <w:rPr>
          <w:rFonts w:ascii="Times New Roman" w:eastAsia="方正小标宋_GBK"/>
          <w:b w:val="0"/>
          <w:sz w:val="36"/>
          <w:szCs w:val="36"/>
        </w:rPr>
      </w:pPr>
      <w:bookmarkStart w:id="175" w:name="_Toc20726218"/>
      <w:bookmarkStart w:id="176" w:name="_Toc18315599"/>
      <w:r>
        <w:rPr>
          <w:rFonts w:hint="eastAsia" w:ascii="Times New Roman" w:eastAsia="方正小标宋_GBK"/>
          <w:b w:val="0"/>
          <w:sz w:val="36"/>
          <w:szCs w:val="36"/>
        </w:rPr>
        <w:t>关于印发《江苏省房屋建筑和市政基础设施工程施工图设计文件审查管理实施意见》的通知</w:t>
      </w:r>
      <w:bookmarkEnd w:id="175"/>
      <w:bookmarkEnd w:id="176"/>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177" w:name="_Toc18315600"/>
      <w:bookmarkStart w:id="178" w:name="_Toc20726219"/>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2005</w:t>
      </w:r>
      <w:r>
        <w:rPr>
          <w:rFonts w:hint="eastAsia" w:ascii="Times New Roman" w:hAnsi="Times New Roman" w:eastAsia="方正楷体_GBK"/>
          <w:b w:val="0"/>
          <w:sz w:val="24"/>
          <w:szCs w:val="24"/>
        </w:rPr>
        <w:t>）</w:t>
      </w:r>
      <w:r>
        <w:rPr>
          <w:rFonts w:ascii="Times New Roman" w:hAnsi="Times New Roman" w:eastAsia="方正楷体_GBK"/>
          <w:b w:val="0"/>
          <w:sz w:val="24"/>
          <w:szCs w:val="24"/>
        </w:rPr>
        <w:t>226</w:t>
      </w:r>
      <w:r>
        <w:rPr>
          <w:rFonts w:hint="eastAsia" w:ascii="Times New Roman" w:hAnsi="Times New Roman" w:eastAsia="方正楷体_GBK"/>
          <w:b w:val="0"/>
          <w:sz w:val="24"/>
          <w:szCs w:val="24"/>
        </w:rPr>
        <w:t>号</w:t>
      </w:r>
      <w:bookmarkEnd w:id="177"/>
      <w:bookmarkEnd w:id="178"/>
    </w:p>
    <w:p>
      <w:pPr>
        <w:spacing w:line="460" w:lineRule="exact"/>
        <w:rPr>
          <w:rFonts w:eastAsia="方正仿宋_GBK"/>
          <w:color w:val="000000"/>
          <w:sz w:val="24"/>
        </w:rPr>
      </w:pPr>
      <w:r>
        <w:rPr>
          <w:rFonts w:hint="eastAsia" w:eastAsia="方正仿宋_GBK"/>
          <w:color w:val="000000"/>
          <w:sz w:val="24"/>
        </w:rPr>
        <w:t>各设区市建设局（建委）、市政公用局，省有关厅、局、总公司：</w:t>
      </w:r>
    </w:p>
    <w:p>
      <w:pPr>
        <w:spacing w:line="460" w:lineRule="exact"/>
        <w:ind w:firstLine="480" w:firstLineChars="200"/>
        <w:rPr>
          <w:rFonts w:eastAsia="方正仿宋_GBK"/>
          <w:color w:val="000000"/>
          <w:sz w:val="24"/>
        </w:rPr>
      </w:pPr>
      <w:r>
        <w:rPr>
          <w:rFonts w:hint="eastAsia" w:eastAsia="方正仿宋_GBK"/>
          <w:color w:val="000000"/>
          <w:sz w:val="24"/>
        </w:rPr>
        <w:t>为加强对房屋建筑和市政基础设施工程施工图设计文件审查的管理</w:t>
      </w:r>
      <w:r>
        <w:rPr>
          <w:rFonts w:eastAsia="方正仿宋_GBK"/>
          <w:color w:val="000000"/>
          <w:sz w:val="24"/>
        </w:rPr>
        <w:t>,</w:t>
      </w:r>
      <w:r>
        <w:rPr>
          <w:rFonts w:hint="eastAsia" w:eastAsia="方正仿宋_GBK"/>
          <w:color w:val="000000"/>
          <w:sz w:val="24"/>
        </w:rPr>
        <w:t>保证建设工程质量，维护国家及人民生命财产安全和社会公众利益，根据《建设工程质量管理条例》、《建设工程勘察设计管理条例》、《房屋建筑和市政基础设施工程施工图设计文件审查管理办法》（住房和城乡建设部第</w:t>
      </w:r>
      <w:r>
        <w:rPr>
          <w:rFonts w:eastAsia="方正仿宋_GBK"/>
          <w:color w:val="000000"/>
          <w:sz w:val="24"/>
        </w:rPr>
        <w:t>13</w:t>
      </w:r>
      <w:r>
        <w:rPr>
          <w:rFonts w:hint="eastAsia" w:eastAsia="方正仿宋_GBK"/>
          <w:color w:val="000000"/>
          <w:sz w:val="24"/>
        </w:rPr>
        <w:t>号令）和《住房和城乡建设部关于实施〈房屋建筑和市政基础设施工程施工图设计文件审查管理办法〉有关问题的通知》（建质〔</w:t>
      </w:r>
      <w:r>
        <w:rPr>
          <w:rFonts w:eastAsia="方正仿宋_GBK"/>
          <w:color w:val="000000"/>
          <w:sz w:val="24"/>
        </w:rPr>
        <w:t>2013</w:t>
      </w:r>
      <w:r>
        <w:rPr>
          <w:rFonts w:hint="eastAsia" w:eastAsia="方正仿宋_GBK"/>
          <w:color w:val="000000"/>
          <w:sz w:val="24"/>
        </w:rPr>
        <w:t>〕</w:t>
      </w:r>
      <w:r>
        <w:rPr>
          <w:rFonts w:eastAsia="方正仿宋_GBK"/>
          <w:color w:val="000000"/>
          <w:sz w:val="24"/>
        </w:rPr>
        <w:t>111</w:t>
      </w:r>
      <w:r>
        <w:rPr>
          <w:rFonts w:hint="eastAsia" w:eastAsia="方正仿宋_GBK"/>
          <w:color w:val="000000"/>
          <w:sz w:val="24"/>
        </w:rPr>
        <w:t>号），结合我省实际，我厅制定了《江苏省房屋建筑和市政基础设施工程施工图设计文件审查管理实施意见》，现印发给你们，请认真贯彻执行。在执行中有何问题和建议，请及时告我厅建筑节能与科研设计处。</w:t>
      </w:r>
    </w:p>
    <w:p>
      <w:pPr>
        <w:spacing w:line="460" w:lineRule="exact"/>
        <w:rPr>
          <w:rFonts w:eastAsia="方正仿宋_GBK"/>
          <w:color w:val="000000"/>
          <w:sz w:val="24"/>
        </w:rPr>
      </w:pPr>
      <w:r>
        <w:rPr>
          <w:rFonts w:eastAsia="方正仿宋_GBK"/>
          <w:color w:val="000000"/>
          <w:sz w:val="24"/>
        </w:rPr>
        <w:t xml:space="preserve">    </w:t>
      </w:r>
    </w:p>
    <w:p>
      <w:pPr>
        <w:spacing w:line="460" w:lineRule="exact"/>
        <w:ind w:firstLine="480" w:firstLineChars="200"/>
        <w:rPr>
          <w:rFonts w:eastAsia="方正仿宋_GBK"/>
          <w:color w:val="000000"/>
          <w:sz w:val="24"/>
        </w:rPr>
      </w:pPr>
      <w:r>
        <w:rPr>
          <w:rFonts w:hint="eastAsia" w:eastAsia="方正仿宋_GBK"/>
          <w:color w:val="000000"/>
          <w:sz w:val="24"/>
        </w:rPr>
        <w:t>附件：江苏省房屋建筑和市政基础设施工程施工图设计文件审查管理实施意见。</w:t>
      </w:r>
    </w:p>
    <w:p>
      <w:pPr>
        <w:spacing w:line="460" w:lineRule="exact"/>
        <w:ind w:firstLine="861"/>
        <w:rPr>
          <w:rFonts w:eastAsia="方正仿宋_GBK"/>
          <w:color w:val="000000"/>
          <w:sz w:val="24"/>
        </w:rPr>
      </w:pPr>
    </w:p>
    <w:p>
      <w:pPr>
        <w:spacing w:line="460" w:lineRule="exact"/>
        <w:ind w:right="498" w:rightChars="237"/>
        <w:jc w:val="right"/>
        <w:rPr>
          <w:rFonts w:eastAsia="方正仿宋_GBK"/>
          <w:color w:val="000000"/>
          <w:sz w:val="24"/>
        </w:rPr>
      </w:pPr>
      <w:r>
        <w:rPr>
          <w:rFonts w:eastAsia="方正仿宋_GBK"/>
          <w:color w:val="000000"/>
          <w:sz w:val="24"/>
        </w:rPr>
        <w:t xml:space="preserve">                   </w:t>
      </w:r>
      <w:r>
        <w:rPr>
          <w:rFonts w:hint="eastAsia" w:eastAsia="方正仿宋_GBK"/>
          <w:color w:val="000000"/>
          <w:sz w:val="24"/>
        </w:rPr>
        <w:t>二</w:t>
      </w:r>
      <w:r>
        <w:rPr>
          <w:rFonts w:eastAsia="方正仿宋_GBK"/>
          <w:color w:val="000000"/>
          <w:sz w:val="24"/>
        </w:rPr>
        <w:t>ΟΟ</w:t>
      </w:r>
      <w:r>
        <w:rPr>
          <w:rFonts w:hint="eastAsia" w:eastAsia="方正仿宋_GBK"/>
          <w:color w:val="000000"/>
          <w:sz w:val="24"/>
        </w:rPr>
        <w:t>五年七月十八日</w:t>
      </w:r>
    </w:p>
    <w:p>
      <w:pPr>
        <w:spacing w:line="500" w:lineRule="exact"/>
        <w:jc w:val="left"/>
        <w:rPr>
          <w:rFonts w:eastAsia="仿宋_GB2312"/>
          <w:color w:val="000000"/>
          <w:spacing w:val="20"/>
          <w:sz w:val="30"/>
        </w:rPr>
      </w:pPr>
    </w:p>
    <w:p>
      <w:pPr>
        <w:spacing w:line="500" w:lineRule="exact"/>
        <w:jc w:val="left"/>
        <w:rPr>
          <w:rFonts w:eastAsia="仿宋_GB2312"/>
          <w:color w:val="000000"/>
          <w:spacing w:val="20"/>
          <w:sz w:val="30"/>
        </w:rPr>
      </w:pPr>
    </w:p>
    <w:p>
      <w:pPr>
        <w:spacing w:line="500" w:lineRule="exact"/>
        <w:rPr>
          <w:rFonts w:eastAsia="仿宋_GB2312"/>
          <w:color w:val="000000"/>
          <w:spacing w:val="20"/>
          <w:sz w:val="30"/>
        </w:rPr>
      </w:pPr>
    </w:p>
    <w:p>
      <w:pPr>
        <w:spacing w:line="500" w:lineRule="exact"/>
        <w:rPr>
          <w:rFonts w:eastAsia="仿宋_GB2312"/>
          <w:color w:val="000000"/>
          <w:spacing w:val="20"/>
          <w:sz w:val="30"/>
        </w:rPr>
      </w:pPr>
    </w:p>
    <w:p>
      <w:pPr>
        <w:spacing w:line="500" w:lineRule="exact"/>
        <w:rPr>
          <w:rFonts w:eastAsia="仿宋_GB2312"/>
          <w:color w:val="000000"/>
          <w:spacing w:val="20"/>
          <w:sz w:val="30"/>
        </w:rPr>
      </w:pPr>
    </w:p>
    <w:p>
      <w:pPr>
        <w:spacing w:line="500" w:lineRule="exact"/>
        <w:rPr>
          <w:rFonts w:eastAsia="仿宋_GB2312"/>
          <w:color w:val="000000"/>
          <w:spacing w:val="20"/>
          <w:sz w:val="30"/>
        </w:rPr>
      </w:pPr>
    </w:p>
    <w:p>
      <w:pPr>
        <w:spacing w:line="500" w:lineRule="exact"/>
        <w:rPr>
          <w:rFonts w:eastAsia="仿宋_GB2312"/>
          <w:color w:val="000000"/>
          <w:spacing w:val="20"/>
          <w:sz w:val="30"/>
        </w:rPr>
      </w:pPr>
    </w:p>
    <w:p>
      <w:pPr>
        <w:snapToGrid w:val="0"/>
        <w:spacing w:line="500" w:lineRule="atLeast"/>
        <w:jc w:val="left"/>
        <w:rPr>
          <w:rFonts w:eastAsia="黑体"/>
          <w:color w:val="000000"/>
          <w:spacing w:val="20"/>
          <w:sz w:val="28"/>
          <w:szCs w:val="28"/>
        </w:rPr>
      </w:pPr>
      <w:r>
        <w:rPr>
          <w:rFonts w:eastAsia="仿宋_GB2312"/>
          <w:color w:val="000000"/>
          <w:spacing w:val="20"/>
          <w:sz w:val="30"/>
        </w:rPr>
        <w:br w:type="column"/>
      </w:r>
      <w:r>
        <w:rPr>
          <w:rFonts w:hint="eastAsia" w:eastAsia="黑体"/>
          <w:color w:val="000000"/>
          <w:spacing w:val="20"/>
          <w:sz w:val="28"/>
          <w:szCs w:val="28"/>
        </w:rPr>
        <w:t>附件：</w:t>
      </w:r>
    </w:p>
    <w:p>
      <w:pPr>
        <w:snapToGrid w:val="0"/>
        <w:spacing w:line="500" w:lineRule="atLeast"/>
        <w:ind w:left="1031" w:hanging="1034" w:hangingChars="303"/>
        <w:jc w:val="left"/>
        <w:rPr>
          <w:rFonts w:eastAsia="仿宋_GB2312"/>
          <w:b/>
          <w:color w:val="000000"/>
          <w:spacing w:val="20"/>
          <w:sz w:val="30"/>
        </w:rPr>
      </w:pPr>
    </w:p>
    <w:p>
      <w:pPr>
        <w:spacing w:line="500" w:lineRule="exact"/>
        <w:jc w:val="center"/>
        <w:outlineLvl w:val="2"/>
        <w:rPr>
          <w:rFonts w:eastAsia="方正小标宋简体"/>
          <w:color w:val="000000"/>
          <w:sz w:val="36"/>
          <w:szCs w:val="36"/>
        </w:rPr>
      </w:pPr>
      <w:r>
        <w:rPr>
          <w:rFonts w:hint="eastAsia" w:eastAsia="方正小标宋简体"/>
          <w:color w:val="000000"/>
          <w:sz w:val="36"/>
          <w:szCs w:val="36"/>
        </w:rPr>
        <w:t>江苏省房屋建筑和市政基础设施工程施工图设计文件</w:t>
      </w:r>
    </w:p>
    <w:p>
      <w:pPr>
        <w:spacing w:line="500" w:lineRule="exact"/>
        <w:jc w:val="center"/>
        <w:outlineLvl w:val="2"/>
        <w:rPr>
          <w:rFonts w:eastAsia="方正小标宋简体"/>
          <w:color w:val="000000"/>
          <w:sz w:val="36"/>
          <w:szCs w:val="36"/>
        </w:rPr>
      </w:pPr>
      <w:r>
        <w:rPr>
          <w:rFonts w:hint="eastAsia" w:eastAsia="方正小标宋简体"/>
          <w:color w:val="000000"/>
          <w:sz w:val="36"/>
          <w:szCs w:val="36"/>
        </w:rPr>
        <w:t>审查管理实施意见</w:t>
      </w:r>
    </w:p>
    <w:p>
      <w:pPr>
        <w:snapToGrid w:val="0"/>
        <w:spacing w:line="460" w:lineRule="exact"/>
        <w:ind w:firstLine="560" w:firstLineChars="200"/>
        <w:rPr>
          <w:rFonts w:eastAsia="仿宋_GB2312"/>
          <w:color w:val="000000"/>
          <w:spacing w:val="20"/>
          <w:sz w:val="24"/>
        </w:rPr>
      </w:pPr>
    </w:p>
    <w:p>
      <w:pPr>
        <w:snapToGrid w:val="0"/>
        <w:spacing w:line="460" w:lineRule="exact"/>
        <w:ind w:firstLine="480" w:firstLineChars="200"/>
        <w:rPr>
          <w:rFonts w:eastAsia="方正仿宋_GBK"/>
          <w:color w:val="000000"/>
          <w:sz w:val="24"/>
        </w:rPr>
      </w:pPr>
      <w:r>
        <w:rPr>
          <w:rFonts w:hint="eastAsia" w:eastAsia="方正仿宋_GBK"/>
          <w:color w:val="000000"/>
          <w:sz w:val="24"/>
        </w:rPr>
        <w:t>根据《房屋建筑和市政基础设施工程施工图设计文件审查管理办法》（住房和城乡建设部第</w:t>
      </w:r>
      <w:r>
        <w:rPr>
          <w:rFonts w:eastAsia="方正仿宋_GBK"/>
          <w:color w:val="000000"/>
          <w:sz w:val="24"/>
        </w:rPr>
        <w:t>13</w:t>
      </w:r>
      <w:r>
        <w:rPr>
          <w:rFonts w:hint="eastAsia" w:eastAsia="方正仿宋_GBK"/>
          <w:color w:val="000000"/>
          <w:sz w:val="24"/>
        </w:rPr>
        <w:t>号令）和《住房和城乡建设部关于实施〈房屋建筑和市政基础设施工程施工图设计文件审查管理办法〉有关问题的通知》（建质〔</w:t>
      </w:r>
      <w:r>
        <w:rPr>
          <w:rFonts w:eastAsia="方正仿宋_GBK"/>
          <w:color w:val="000000"/>
          <w:sz w:val="24"/>
        </w:rPr>
        <w:t>2013</w:t>
      </w:r>
      <w:r>
        <w:rPr>
          <w:rFonts w:hint="eastAsia" w:eastAsia="方正仿宋_GBK"/>
          <w:color w:val="000000"/>
          <w:sz w:val="24"/>
        </w:rPr>
        <w:t>〕</w:t>
      </w:r>
      <w:r>
        <w:rPr>
          <w:rFonts w:eastAsia="方正仿宋_GBK"/>
          <w:color w:val="000000"/>
          <w:sz w:val="24"/>
        </w:rPr>
        <w:t>111</w:t>
      </w:r>
      <w:r>
        <w:rPr>
          <w:rFonts w:hint="eastAsia" w:eastAsia="方正仿宋_GBK"/>
          <w:color w:val="000000"/>
          <w:sz w:val="24"/>
        </w:rPr>
        <w:t>号）的相关规定，为做好我省房屋建筑和市政基础设施工程施工图设计文件审查工作</w:t>
      </w:r>
      <w:r>
        <w:rPr>
          <w:rFonts w:eastAsia="方正仿宋_GBK"/>
          <w:color w:val="000000"/>
          <w:sz w:val="24"/>
        </w:rPr>
        <w:t>,</w:t>
      </w:r>
      <w:r>
        <w:rPr>
          <w:rFonts w:hint="eastAsia" w:eastAsia="方正仿宋_GBK"/>
          <w:color w:val="000000"/>
          <w:sz w:val="24"/>
        </w:rPr>
        <w:t>结合我省实际，制定本实施意见。</w:t>
      </w:r>
    </w:p>
    <w:p>
      <w:pPr>
        <w:snapToGrid w:val="0"/>
        <w:spacing w:line="460" w:lineRule="exact"/>
        <w:ind w:firstLine="480" w:firstLineChars="200"/>
        <w:outlineLvl w:val="0"/>
        <w:rPr>
          <w:rFonts w:eastAsia="黑体"/>
          <w:color w:val="000000"/>
          <w:sz w:val="24"/>
        </w:rPr>
      </w:pPr>
      <w:bookmarkStart w:id="179" w:name="_Toc20667694"/>
      <w:bookmarkStart w:id="180" w:name="_Toc18315601"/>
      <w:bookmarkStart w:id="181" w:name="_Toc20726220"/>
      <w:r>
        <w:rPr>
          <w:rFonts w:hint="eastAsia" w:eastAsia="黑体"/>
          <w:color w:val="000000"/>
          <w:sz w:val="24"/>
        </w:rPr>
        <w:t>一、审查范围及内容</w:t>
      </w:r>
      <w:bookmarkEnd w:id="179"/>
      <w:bookmarkEnd w:id="180"/>
      <w:bookmarkEnd w:id="181"/>
    </w:p>
    <w:p>
      <w:pPr>
        <w:snapToGrid w:val="0"/>
        <w:spacing w:line="460" w:lineRule="exact"/>
        <w:ind w:firstLine="480" w:firstLineChars="200"/>
        <w:rPr>
          <w:rFonts w:eastAsia="方正仿宋_GBK"/>
          <w:color w:val="000000"/>
          <w:sz w:val="24"/>
        </w:rPr>
      </w:pPr>
      <w:r>
        <w:rPr>
          <w:rFonts w:hint="eastAsia" w:eastAsia="方正仿宋_GBK"/>
          <w:color w:val="000000"/>
          <w:sz w:val="24"/>
        </w:rPr>
        <w:t>（一）除法律、法规另有规定外，我省行政区域内房屋建筑和市政基础设施工程项目的施工图设计文件（含工程地质勘察文件，以下简称施工图）须进行审查，重点审查以下范围的项目：</w:t>
      </w:r>
    </w:p>
    <w:p>
      <w:pPr>
        <w:snapToGrid w:val="0"/>
        <w:spacing w:line="460" w:lineRule="exact"/>
        <w:ind w:firstLine="480" w:firstLineChars="200"/>
        <w:rPr>
          <w:rFonts w:eastAsia="方正仿宋_GBK"/>
          <w:color w:val="000000"/>
          <w:sz w:val="24"/>
        </w:rPr>
      </w:pPr>
      <w:r>
        <w:rPr>
          <w:rFonts w:eastAsia="方正仿宋_GBK"/>
          <w:color w:val="000000"/>
          <w:sz w:val="24"/>
        </w:rPr>
        <w:t>1</w:t>
      </w:r>
      <w:r>
        <w:rPr>
          <w:rFonts w:hint="eastAsia" w:eastAsia="方正仿宋_GBK"/>
          <w:color w:val="000000"/>
          <w:sz w:val="24"/>
        </w:rPr>
        <w:t>、住宅小区、工厂生活区、地下工程，三层及以上的住宅工程</w:t>
      </w:r>
      <w:r>
        <w:rPr>
          <w:rFonts w:eastAsia="方正仿宋_GBK"/>
          <w:color w:val="000000"/>
          <w:sz w:val="24"/>
        </w:rPr>
        <w:t>(</w:t>
      </w:r>
      <w:r>
        <w:rPr>
          <w:rFonts w:hint="eastAsia" w:eastAsia="方正仿宋_GBK"/>
          <w:color w:val="000000"/>
          <w:sz w:val="24"/>
        </w:rPr>
        <w:t>含建制镇、集镇规划建设用地范围</w:t>
      </w:r>
      <w:r>
        <w:rPr>
          <w:rFonts w:eastAsia="方正仿宋_GBK"/>
          <w:color w:val="000000"/>
          <w:sz w:val="24"/>
        </w:rPr>
        <w:t>)</w:t>
      </w:r>
      <w:r>
        <w:rPr>
          <w:rFonts w:hint="eastAsia" w:eastAsia="方正仿宋_GBK"/>
          <w:color w:val="000000"/>
          <w:sz w:val="24"/>
        </w:rPr>
        <w:t>；</w:t>
      </w:r>
    </w:p>
    <w:p>
      <w:pPr>
        <w:snapToGrid w:val="0"/>
        <w:spacing w:line="460" w:lineRule="exact"/>
        <w:ind w:firstLine="480" w:firstLineChars="200"/>
        <w:rPr>
          <w:rFonts w:eastAsia="方正仿宋_GBK"/>
          <w:color w:val="000000"/>
          <w:sz w:val="24"/>
        </w:rPr>
      </w:pPr>
      <w:r>
        <w:rPr>
          <w:rFonts w:eastAsia="方正仿宋_GBK"/>
          <w:color w:val="000000"/>
          <w:sz w:val="24"/>
        </w:rPr>
        <w:t>2</w:t>
      </w:r>
      <w:r>
        <w:rPr>
          <w:rFonts w:hint="eastAsia" w:eastAsia="方正仿宋_GBK"/>
          <w:color w:val="000000"/>
          <w:sz w:val="24"/>
        </w:rPr>
        <w:t>、建筑面积在</w:t>
      </w:r>
      <w:r>
        <w:rPr>
          <w:rFonts w:eastAsia="方正仿宋_GBK"/>
          <w:color w:val="000000"/>
          <w:sz w:val="24"/>
        </w:rPr>
        <w:t>300</w:t>
      </w:r>
      <w:r>
        <w:rPr>
          <w:rFonts w:hint="eastAsia" w:eastAsia="方正仿宋_GBK"/>
          <w:color w:val="000000"/>
          <w:sz w:val="24"/>
        </w:rPr>
        <w:t>平方米及以上的一般公共建筑工程，国家民用建筑工程设计等级分类标准规定的特殊公共建筑；</w:t>
      </w:r>
    </w:p>
    <w:p>
      <w:pPr>
        <w:snapToGrid w:val="0"/>
        <w:spacing w:line="460" w:lineRule="exact"/>
        <w:ind w:firstLine="480" w:firstLineChars="200"/>
        <w:rPr>
          <w:rFonts w:eastAsia="方正仿宋_GBK"/>
          <w:color w:val="000000"/>
          <w:sz w:val="24"/>
        </w:rPr>
      </w:pPr>
      <w:r>
        <w:rPr>
          <w:rFonts w:eastAsia="方正仿宋_GBK"/>
          <w:color w:val="000000"/>
          <w:sz w:val="24"/>
        </w:rPr>
        <w:t>3</w:t>
      </w:r>
      <w:r>
        <w:rPr>
          <w:rFonts w:hint="eastAsia" w:eastAsia="方正仿宋_GBK"/>
          <w:color w:val="000000"/>
          <w:sz w:val="24"/>
        </w:rPr>
        <w:t>、工程投资额在</w:t>
      </w:r>
      <w:r>
        <w:rPr>
          <w:rFonts w:eastAsia="方正仿宋_GBK"/>
          <w:color w:val="000000"/>
          <w:sz w:val="24"/>
        </w:rPr>
        <w:t>30</w:t>
      </w:r>
      <w:r>
        <w:rPr>
          <w:rFonts w:hint="eastAsia" w:eastAsia="方正仿宋_GBK"/>
          <w:color w:val="000000"/>
          <w:sz w:val="24"/>
        </w:rPr>
        <w:t>万元及以上的工业建筑工程，乙级及以上设计单位方可承接的构筑物；</w:t>
      </w:r>
    </w:p>
    <w:p>
      <w:pPr>
        <w:snapToGrid w:val="0"/>
        <w:spacing w:line="460" w:lineRule="exact"/>
        <w:ind w:firstLine="480" w:firstLineChars="200"/>
        <w:rPr>
          <w:rFonts w:eastAsia="方正仿宋_GBK"/>
          <w:color w:val="000000"/>
          <w:sz w:val="24"/>
        </w:rPr>
      </w:pPr>
      <w:r>
        <w:rPr>
          <w:rFonts w:eastAsia="方正仿宋_GBK"/>
          <w:color w:val="000000"/>
          <w:sz w:val="24"/>
        </w:rPr>
        <w:t>4</w:t>
      </w:r>
      <w:r>
        <w:rPr>
          <w:rFonts w:hint="eastAsia" w:eastAsia="方正仿宋_GBK"/>
          <w:color w:val="000000"/>
          <w:sz w:val="24"/>
        </w:rPr>
        <w:t>、工程投资额在</w:t>
      </w:r>
      <w:r>
        <w:rPr>
          <w:rFonts w:eastAsia="方正仿宋_GBK"/>
          <w:color w:val="000000"/>
          <w:sz w:val="24"/>
        </w:rPr>
        <w:t>50</w:t>
      </w:r>
      <w:r>
        <w:rPr>
          <w:rFonts w:hint="eastAsia" w:eastAsia="方正仿宋_GBK"/>
          <w:color w:val="000000"/>
          <w:sz w:val="24"/>
        </w:rPr>
        <w:t>万元以上的给水、排水、燃气、道路、桥隧、热力等市政基础设施工程；</w:t>
      </w:r>
    </w:p>
    <w:p>
      <w:pPr>
        <w:snapToGrid w:val="0"/>
        <w:spacing w:line="460" w:lineRule="exact"/>
        <w:ind w:firstLine="480" w:firstLineChars="200"/>
        <w:rPr>
          <w:rFonts w:eastAsia="方正仿宋_GBK"/>
          <w:color w:val="000000"/>
          <w:sz w:val="24"/>
        </w:rPr>
      </w:pPr>
      <w:r>
        <w:rPr>
          <w:rFonts w:eastAsia="方正仿宋_GBK"/>
          <w:color w:val="000000"/>
          <w:sz w:val="24"/>
        </w:rPr>
        <w:t>5</w:t>
      </w:r>
      <w:r>
        <w:rPr>
          <w:rFonts w:hint="eastAsia" w:eastAsia="方正仿宋_GBK"/>
          <w:color w:val="000000"/>
          <w:sz w:val="24"/>
        </w:rPr>
        <w:t>、涉及城镇生命线的低于</w:t>
      </w:r>
      <w:r>
        <w:rPr>
          <w:rFonts w:eastAsia="方正仿宋_GBK"/>
          <w:color w:val="000000"/>
          <w:sz w:val="24"/>
        </w:rPr>
        <w:t>30</w:t>
      </w:r>
      <w:r>
        <w:rPr>
          <w:rFonts w:hint="eastAsia" w:eastAsia="方正仿宋_GBK"/>
          <w:color w:val="000000"/>
          <w:sz w:val="24"/>
        </w:rPr>
        <w:t>万元或</w:t>
      </w:r>
      <w:r>
        <w:rPr>
          <w:rFonts w:eastAsia="方正仿宋_GBK"/>
          <w:color w:val="000000"/>
          <w:sz w:val="24"/>
        </w:rPr>
        <w:t>300M</w:t>
      </w:r>
      <w:r>
        <w:rPr>
          <w:rFonts w:eastAsia="方正仿宋_GBK"/>
          <w:color w:val="000000"/>
          <w:sz w:val="24"/>
          <w:vertAlign w:val="superscript"/>
        </w:rPr>
        <w:t>2</w:t>
      </w:r>
      <w:r>
        <w:rPr>
          <w:rFonts w:hint="eastAsia" w:eastAsia="方正仿宋_GBK"/>
          <w:color w:val="000000"/>
          <w:sz w:val="24"/>
        </w:rPr>
        <w:t>的建筑物和构筑物；</w:t>
      </w:r>
    </w:p>
    <w:p>
      <w:pPr>
        <w:snapToGrid w:val="0"/>
        <w:spacing w:line="460" w:lineRule="exact"/>
        <w:ind w:firstLine="480" w:firstLineChars="200"/>
        <w:rPr>
          <w:rFonts w:eastAsia="方正仿宋_GBK"/>
          <w:color w:val="000000"/>
          <w:sz w:val="24"/>
        </w:rPr>
      </w:pPr>
      <w:r>
        <w:rPr>
          <w:rFonts w:eastAsia="方正仿宋_GBK"/>
          <w:color w:val="000000"/>
          <w:sz w:val="24"/>
        </w:rPr>
        <w:t>6</w:t>
      </w:r>
      <w:r>
        <w:rPr>
          <w:rFonts w:hint="eastAsia" w:eastAsia="方正仿宋_GBK"/>
          <w:color w:val="000000"/>
          <w:sz w:val="24"/>
        </w:rPr>
        <w:t>、国家民用建筑工程设计等级分类标准规定的中型及以上民用建筑工程的装饰装修，工程投资额在</w:t>
      </w:r>
      <w:r>
        <w:rPr>
          <w:rFonts w:eastAsia="方正仿宋_GBK"/>
          <w:color w:val="000000"/>
          <w:sz w:val="24"/>
        </w:rPr>
        <w:t>50</w:t>
      </w:r>
      <w:r>
        <w:rPr>
          <w:rFonts w:hint="eastAsia" w:eastAsia="方正仿宋_GBK"/>
          <w:color w:val="000000"/>
          <w:sz w:val="24"/>
        </w:rPr>
        <w:t>万元及以上的建筑智能化、建筑幕墙、轻型钢结构等专项工程。</w:t>
      </w:r>
    </w:p>
    <w:p>
      <w:pPr>
        <w:snapToGrid w:val="0"/>
        <w:spacing w:line="460" w:lineRule="exact"/>
        <w:ind w:firstLine="480" w:firstLineChars="200"/>
        <w:rPr>
          <w:rFonts w:eastAsia="方正仿宋_GBK"/>
          <w:color w:val="000000"/>
          <w:sz w:val="24"/>
        </w:rPr>
      </w:pPr>
      <w:r>
        <w:rPr>
          <w:rFonts w:hint="eastAsia" w:eastAsia="方正仿宋_GBK"/>
          <w:color w:val="000000"/>
          <w:sz w:val="24"/>
        </w:rPr>
        <w:t>凡列入重点审查范围的项目，未取得施工图审查合格书，施工图设计文件未加盖审查专用章的，不得使用。</w:t>
      </w:r>
    </w:p>
    <w:p>
      <w:pPr>
        <w:snapToGrid w:val="0"/>
        <w:spacing w:line="460" w:lineRule="exact"/>
        <w:ind w:firstLine="480" w:firstLineChars="200"/>
        <w:rPr>
          <w:rFonts w:eastAsia="方正仿宋_GBK"/>
          <w:color w:val="000000"/>
          <w:sz w:val="24"/>
        </w:rPr>
      </w:pPr>
      <w:r>
        <w:rPr>
          <w:rFonts w:hint="eastAsia" w:eastAsia="方正仿宋_GBK"/>
          <w:color w:val="000000"/>
          <w:sz w:val="24"/>
        </w:rPr>
        <w:t>（二）施工图审查包括下列内容：</w:t>
      </w:r>
    </w:p>
    <w:p>
      <w:pPr>
        <w:snapToGrid w:val="0"/>
        <w:spacing w:line="460" w:lineRule="exact"/>
        <w:ind w:firstLine="480" w:firstLineChars="200"/>
        <w:rPr>
          <w:rFonts w:eastAsia="方正仿宋_GBK"/>
          <w:color w:val="000000"/>
          <w:sz w:val="24"/>
        </w:rPr>
      </w:pPr>
      <w:r>
        <w:rPr>
          <w:rFonts w:eastAsia="方正仿宋_GBK"/>
          <w:color w:val="000000"/>
          <w:sz w:val="24"/>
        </w:rPr>
        <w:t>1</w:t>
      </w:r>
      <w:r>
        <w:rPr>
          <w:rFonts w:hint="eastAsia" w:eastAsia="方正仿宋_GBK"/>
          <w:color w:val="000000"/>
          <w:sz w:val="24"/>
        </w:rPr>
        <w:t>、是否符合工程建设强制性标准；</w:t>
      </w:r>
    </w:p>
    <w:p>
      <w:pPr>
        <w:snapToGrid w:val="0"/>
        <w:spacing w:line="460" w:lineRule="exact"/>
        <w:ind w:firstLine="480" w:firstLineChars="200"/>
        <w:rPr>
          <w:rFonts w:eastAsia="方正仿宋_GBK"/>
          <w:color w:val="000000"/>
          <w:sz w:val="24"/>
        </w:rPr>
      </w:pPr>
      <w:r>
        <w:rPr>
          <w:rFonts w:eastAsia="方正仿宋_GBK"/>
          <w:color w:val="000000"/>
          <w:sz w:val="24"/>
        </w:rPr>
        <w:t>2</w:t>
      </w:r>
      <w:r>
        <w:rPr>
          <w:rFonts w:hint="eastAsia" w:eastAsia="方正仿宋_GBK"/>
          <w:color w:val="000000"/>
          <w:sz w:val="24"/>
        </w:rPr>
        <w:t>、地基基础和主体结构的安全性；</w:t>
      </w:r>
    </w:p>
    <w:p>
      <w:pPr>
        <w:snapToGrid w:val="0"/>
        <w:spacing w:line="460" w:lineRule="exact"/>
        <w:ind w:firstLine="480" w:firstLineChars="200"/>
        <w:rPr>
          <w:rFonts w:eastAsia="方正仿宋_GBK"/>
          <w:color w:val="000000"/>
          <w:sz w:val="24"/>
        </w:rPr>
      </w:pPr>
      <w:r>
        <w:rPr>
          <w:rFonts w:eastAsia="方正仿宋_GBK"/>
          <w:color w:val="000000"/>
          <w:sz w:val="24"/>
        </w:rPr>
        <w:t>3</w:t>
      </w:r>
      <w:r>
        <w:rPr>
          <w:rFonts w:hint="eastAsia" w:eastAsia="方正仿宋_GBK"/>
          <w:color w:val="000000"/>
          <w:sz w:val="24"/>
        </w:rPr>
        <w:t>、消防安全性；</w:t>
      </w:r>
    </w:p>
    <w:p>
      <w:pPr>
        <w:snapToGrid w:val="0"/>
        <w:spacing w:line="460" w:lineRule="exact"/>
        <w:ind w:firstLine="480" w:firstLineChars="200"/>
        <w:rPr>
          <w:rFonts w:eastAsia="方正仿宋_GBK"/>
          <w:color w:val="000000"/>
          <w:sz w:val="24"/>
        </w:rPr>
      </w:pPr>
      <w:r>
        <w:rPr>
          <w:rFonts w:eastAsia="方正仿宋_GBK"/>
          <w:color w:val="000000"/>
          <w:sz w:val="24"/>
        </w:rPr>
        <w:t>4</w:t>
      </w:r>
      <w:r>
        <w:rPr>
          <w:rFonts w:hint="eastAsia" w:eastAsia="方正仿宋_GBK"/>
          <w:color w:val="000000"/>
          <w:sz w:val="24"/>
        </w:rPr>
        <w:t>、人防工程（不含人防指挥工程）防护安全性；</w:t>
      </w:r>
    </w:p>
    <w:p>
      <w:pPr>
        <w:snapToGrid w:val="0"/>
        <w:spacing w:line="460" w:lineRule="exact"/>
        <w:ind w:firstLine="480" w:firstLineChars="200"/>
        <w:rPr>
          <w:rFonts w:eastAsia="方正仿宋_GBK"/>
          <w:color w:val="000000"/>
          <w:sz w:val="24"/>
        </w:rPr>
      </w:pPr>
      <w:r>
        <w:rPr>
          <w:rFonts w:eastAsia="方正仿宋_GBK"/>
          <w:color w:val="000000"/>
          <w:sz w:val="24"/>
        </w:rPr>
        <w:t>5</w:t>
      </w:r>
      <w:r>
        <w:rPr>
          <w:rFonts w:hint="eastAsia" w:eastAsia="方正仿宋_GBK"/>
          <w:color w:val="000000"/>
          <w:sz w:val="24"/>
        </w:rPr>
        <w:t>、是否符合民用建筑节能强制性标准，对执行绿色建筑标准的项目，还应当审查是否符合绿色建筑标准；</w:t>
      </w:r>
    </w:p>
    <w:p>
      <w:pPr>
        <w:snapToGrid w:val="0"/>
        <w:spacing w:line="460" w:lineRule="exact"/>
        <w:ind w:firstLine="480" w:firstLineChars="200"/>
        <w:rPr>
          <w:rFonts w:eastAsia="方正仿宋_GBK"/>
          <w:color w:val="000000"/>
          <w:sz w:val="24"/>
        </w:rPr>
      </w:pPr>
      <w:r>
        <w:rPr>
          <w:rFonts w:eastAsia="方正仿宋_GBK"/>
          <w:color w:val="000000"/>
          <w:sz w:val="24"/>
        </w:rPr>
        <w:t>6</w:t>
      </w:r>
      <w:r>
        <w:rPr>
          <w:rFonts w:hint="eastAsia" w:eastAsia="方正仿宋_GBK"/>
          <w:color w:val="000000"/>
          <w:sz w:val="24"/>
        </w:rPr>
        <w:t>、是否执行了超限高层建筑工程抗震设防专项审查意见；</w:t>
      </w:r>
    </w:p>
    <w:p>
      <w:pPr>
        <w:snapToGrid w:val="0"/>
        <w:spacing w:line="460" w:lineRule="exact"/>
        <w:ind w:firstLine="480" w:firstLineChars="200"/>
        <w:rPr>
          <w:rFonts w:eastAsia="方正仿宋_GBK"/>
          <w:color w:val="000000"/>
          <w:sz w:val="24"/>
        </w:rPr>
      </w:pPr>
      <w:r>
        <w:rPr>
          <w:rFonts w:eastAsia="方正仿宋_GBK"/>
          <w:color w:val="000000"/>
          <w:sz w:val="24"/>
        </w:rPr>
        <w:t>7</w:t>
      </w:r>
      <w:r>
        <w:rPr>
          <w:rFonts w:hint="eastAsia" w:eastAsia="方正仿宋_GBK"/>
          <w:color w:val="000000"/>
          <w:sz w:val="24"/>
        </w:rPr>
        <w:t>、勘察设计企业和注册执业人员以及相关人员是否按规定在施工图上加盖相应的图章和签字；</w:t>
      </w:r>
    </w:p>
    <w:p>
      <w:pPr>
        <w:snapToGrid w:val="0"/>
        <w:spacing w:line="460" w:lineRule="exact"/>
        <w:ind w:firstLine="480" w:firstLineChars="200"/>
        <w:rPr>
          <w:rFonts w:eastAsia="方正仿宋_GBK"/>
          <w:color w:val="000000"/>
          <w:sz w:val="24"/>
        </w:rPr>
      </w:pPr>
      <w:r>
        <w:rPr>
          <w:rFonts w:eastAsia="方正仿宋_GBK"/>
          <w:color w:val="000000"/>
          <w:sz w:val="24"/>
        </w:rPr>
        <w:t>8</w:t>
      </w:r>
      <w:r>
        <w:rPr>
          <w:rFonts w:hint="eastAsia" w:eastAsia="方正仿宋_GBK"/>
          <w:color w:val="000000"/>
          <w:sz w:val="24"/>
        </w:rPr>
        <w:t>、法律、法规、规章规定必须审查的其他内容。</w:t>
      </w:r>
    </w:p>
    <w:p>
      <w:pPr>
        <w:snapToGrid w:val="0"/>
        <w:spacing w:line="460" w:lineRule="exact"/>
        <w:ind w:firstLine="480" w:firstLineChars="200"/>
        <w:outlineLvl w:val="0"/>
        <w:rPr>
          <w:rFonts w:eastAsia="黑体"/>
          <w:color w:val="000000"/>
          <w:sz w:val="24"/>
        </w:rPr>
      </w:pPr>
      <w:bookmarkStart w:id="182" w:name="_Toc20726221"/>
      <w:bookmarkStart w:id="183" w:name="_Toc20667695"/>
      <w:bookmarkStart w:id="184" w:name="_Toc18315602"/>
      <w:r>
        <w:rPr>
          <w:rFonts w:hint="eastAsia" w:eastAsia="黑体"/>
          <w:color w:val="000000"/>
          <w:sz w:val="24"/>
        </w:rPr>
        <w:t>二、审查机构及人员管理</w:t>
      </w:r>
      <w:bookmarkEnd w:id="182"/>
      <w:bookmarkEnd w:id="183"/>
      <w:bookmarkEnd w:id="184"/>
    </w:p>
    <w:p>
      <w:pPr>
        <w:snapToGrid w:val="0"/>
        <w:spacing w:line="460" w:lineRule="exact"/>
        <w:ind w:firstLine="480" w:firstLineChars="200"/>
        <w:outlineLvl w:val="0"/>
        <w:rPr>
          <w:rFonts w:eastAsia="方正仿宋_GBK"/>
          <w:color w:val="000000"/>
          <w:sz w:val="24"/>
        </w:rPr>
      </w:pPr>
      <w:bookmarkStart w:id="185" w:name="_Toc20726222"/>
      <w:bookmarkStart w:id="186" w:name="_Toc18315603"/>
      <w:bookmarkStart w:id="187" w:name="_Toc20667696"/>
      <w:r>
        <w:rPr>
          <w:rFonts w:hint="eastAsia" w:eastAsia="方正仿宋_GBK"/>
          <w:color w:val="000000"/>
          <w:sz w:val="24"/>
        </w:rPr>
        <w:t>（三）建设行政主管部门对审查机构实施认定制度。审查机构取得省建设行政主管部门颁发的《施工图设计文件审查机构认定书》后，方可从事施工图审查。</w:t>
      </w:r>
      <w:bookmarkEnd w:id="185"/>
      <w:bookmarkEnd w:id="186"/>
      <w:bookmarkEnd w:id="187"/>
    </w:p>
    <w:p>
      <w:pPr>
        <w:spacing w:line="460" w:lineRule="exact"/>
        <w:ind w:firstLine="480" w:firstLineChars="200"/>
        <w:rPr>
          <w:rFonts w:eastAsia="方正仿宋_GBK"/>
          <w:color w:val="000000"/>
          <w:sz w:val="24"/>
        </w:rPr>
      </w:pPr>
      <w:r>
        <w:rPr>
          <w:rFonts w:hint="eastAsia" w:eastAsia="方正仿宋_GBK"/>
          <w:color w:val="000000"/>
          <w:sz w:val="24"/>
        </w:rPr>
        <w:t>（四）根据国家有关规定，审查机构的认定实行总量控制。</w:t>
      </w:r>
    </w:p>
    <w:p>
      <w:pPr>
        <w:spacing w:line="460" w:lineRule="exact"/>
        <w:ind w:firstLine="480" w:firstLineChars="200"/>
        <w:rPr>
          <w:rFonts w:eastAsia="方正仿宋_GBK"/>
          <w:color w:val="000000"/>
          <w:sz w:val="24"/>
        </w:rPr>
      </w:pPr>
      <w:r>
        <w:rPr>
          <w:rFonts w:hint="eastAsia" w:eastAsia="方正仿宋_GBK"/>
          <w:color w:val="000000"/>
          <w:sz w:val="24"/>
        </w:rPr>
        <w:t>省建设行政主管部门应当会同有关部门根据各地房屋建筑建设规模和审查技术力量情况，结合各地提出的审查机构发展初步计划，进行合理测算，控制全省审查机构总数和各市设置数量，并定期予以调整和公布。</w:t>
      </w:r>
    </w:p>
    <w:p>
      <w:pPr>
        <w:spacing w:line="460" w:lineRule="exact"/>
        <w:ind w:firstLine="480" w:firstLineChars="200"/>
        <w:rPr>
          <w:rFonts w:eastAsia="方正仿宋_GBK"/>
          <w:color w:val="000000"/>
          <w:sz w:val="24"/>
        </w:rPr>
      </w:pPr>
      <w:r>
        <w:rPr>
          <w:rFonts w:hint="eastAsia" w:eastAsia="方正仿宋_GBK"/>
          <w:color w:val="000000"/>
          <w:sz w:val="24"/>
        </w:rPr>
        <w:t>（五）审查机构应是专门从事施工图审查、不以营利为目的的独立法人实体，不得兼营工程勘察设计业务，不得审查与其有隶属关系或者其他利害关系的建设单位、勘察设计企业的项目，并接受建设行政主管部门的指导和监督。</w:t>
      </w:r>
    </w:p>
    <w:p>
      <w:pPr>
        <w:snapToGrid w:val="0"/>
        <w:spacing w:line="460" w:lineRule="exact"/>
        <w:ind w:firstLine="480" w:firstLineChars="200"/>
        <w:rPr>
          <w:rFonts w:eastAsia="方正仿宋_GBK"/>
          <w:color w:val="000000"/>
          <w:sz w:val="24"/>
        </w:rPr>
      </w:pPr>
      <w:r>
        <w:rPr>
          <w:rFonts w:hint="eastAsia" w:eastAsia="方正仿宋_GBK"/>
          <w:color w:val="000000"/>
          <w:sz w:val="24"/>
        </w:rPr>
        <w:t>（六）审查机构按承接业务范围分为两类。一类机构在全省行政区域内承接认定范围内的施工图审查业务，等级不受限制；二类机构在机构所在地行政区域内承接认定范围内的中型及以下房屋建筑、市政基础设施工程的施工图审查业务。</w:t>
      </w:r>
    </w:p>
    <w:p>
      <w:pPr>
        <w:snapToGrid w:val="0"/>
        <w:spacing w:line="460" w:lineRule="exact"/>
        <w:ind w:firstLine="480" w:firstLineChars="200"/>
        <w:rPr>
          <w:rFonts w:eastAsia="方正仿宋_GBK"/>
          <w:color w:val="000000"/>
          <w:sz w:val="24"/>
        </w:rPr>
      </w:pPr>
      <w:r>
        <w:rPr>
          <w:rFonts w:hint="eastAsia" w:eastAsia="方正仿宋_GBK"/>
          <w:color w:val="000000"/>
          <w:sz w:val="24"/>
        </w:rPr>
        <w:t>一类、二类机构以及承担超限高层建筑工程施工图审查的设立条件按住房和城乡建设部第</w:t>
      </w:r>
      <w:r>
        <w:rPr>
          <w:rFonts w:eastAsia="方正仿宋_GBK"/>
          <w:color w:val="000000"/>
          <w:sz w:val="24"/>
        </w:rPr>
        <w:t>13</w:t>
      </w:r>
      <w:r>
        <w:rPr>
          <w:rFonts w:hint="eastAsia" w:eastAsia="方正仿宋_GBK"/>
          <w:color w:val="000000"/>
          <w:sz w:val="24"/>
        </w:rPr>
        <w:t>号令及有关规定执行。</w:t>
      </w:r>
    </w:p>
    <w:p>
      <w:pPr>
        <w:snapToGrid w:val="0"/>
        <w:spacing w:line="460" w:lineRule="exact"/>
        <w:ind w:firstLine="480" w:firstLineChars="200"/>
        <w:rPr>
          <w:rFonts w:eastAsia="方正仿宋_GBK"/>
          <w:color w:val="000000"/>
          <w:sz w:val="24"/>
        </w:rPr>
      </w:pPr>
      <w:r>
        <w:rPr>
          <w:rFonts w:hint="eastAsia" w:eastAsia="方正仿宋_GBK"/>
          <w:color w:val="000000"/>
          <w:sz w:val="24"/>
        </w:rPr>
        <w:t>（七）审查人员分为两级。一级审查人员负责审查相应专业的项目，范围不受限制；二级审查人员可以负责中型及以下房屋建筑、市政基础设施工程相应专业的审查工作。</w:t>
      </w:r>
    </w:p>
    <w:p>
      <w:pPr>
        <w:snapToGrid w:val="0"/>
        <w:spacing w:line="460" w:lineRule="exact"/>
        <w:ind w:firstLine="480" w:firstLineChars="200"/>
        <w:rPr>
          <w:rFonts w:eastAsia="方正仿宋_GBK"/>
          <w:color w:val="000000"/>
          <w:sz w:val="24"/>
        </w:rPr>
      </w:pPr>
      <w:r>
        <w:rPr>
          <w:rFonts w:hint="eastAsia" w:eastAsia="方正仿宋_GBK"/>
          <w:color w:val="000000"/>
          <w:sz w:val="24"/>
        </w:rPr>
        <w:t>一级、二级审查人员应当分别符合住房和城乡建设部第</w:t>
      </w:r>
      <w:r>
        <w:rPr>
          <w:rFonts w:eastAsia="方正仿宋_GBK"/>
          <w:color w:val="000000"/>
          <w:sz w:val="24"/>
        </w:rPr>
        <w:t>13</w:t>
      </w:r>
      <w:r>
        <w:rPr>
          <w:rFonts w:hint="eastAsia" w:eastAsia="方正仿宋_GBK"/>
          <w:color w:val="000000"/>
          <w:sz w:val="24"/>
        </w:rPr>
        <w:t>号令关于一类、二类审查机构规定的审查人员条件。审查人员只能在一个审查机构从事审查工作。</w:t>
      </w:r>
    </w:p>
    <w:p>
      <w:pPr>
        <w:snapToGrid w:val="0"/>
        <w:spacing w:line="460" w:lineRule="exact"/>
        <w:ind w:firstLine="480" w:firstLineChars="200"/>
        <w:rPr>
          <w:rFonts w:eastAsia="方正仿宋_GBK"/>
          <w:color w:val="000000"/>
          <w:sz w:val="24"/>
        </w:rPr>
      </w:pPr>
      <w:r>
        <w:rPr>
          <w:rFonts w:hint="eastAsia" w:eastAsia="方正仿宋_GBK"/>
          <w:color w:val="000000"/>
          <w:sz w:val="24"/>
        </w:rPr>
        <w:t>省建设行政主管部门对施工图审查人员进行统一管理，颁发《施工图设计文件审查人员工作手册》并编发专业审查号。审查人员从业、考核及接受技术培训或继续教育等情况，应在《施工图设计文件审查人员工作手册》上予以登记。审查人员脱离审查工作岗位或不再符合相应条件的，其所在审查机构应及时向省建设行政主管部门交回其《施工图设计文件审查人员工作手册》，注销专业审查号。</w:t>
      </w:r>
    </w:p>
    <w:p>
      <w:pPr>
        <w:snapToGrid w:val="0"/>
        <w:spacing w:line="460" w:lineRule="exact"/>
        <w:ind w:firstLine="480" w:firstLineChars="200"/>
        <w:outlineLvl w:val="0"/>
        <w:rPr>
          <w:rFonts w:eastAsia="黑体"/>
          <w:color w:val="000000"/>
          <w:sz w:val="24"/>
        </w:rPr>
      </w:pPr>
      <w:bookmarkStart w:id="188" w:name="_Toc20667697"/>
      <w:bookmarkStart w:id="189" w:name="_Toc18315604"/>
      <w:bookmarkStart w:id="190" w:name="_Toc20726223"/>
      <w:r>
        <w:rPr>
          <w:rFonts w:hint="eastAsia" w:eastAsia="黑体"/>
          <w:color w:val="000000"/>
          <w:sz w:val="24"/>
        </w:rPr>
        <w:t>三、审查业务的委托和承接</w:t>
      </w:r>
      <w:bookmarkEnd w:id="188"/>
      <w:bookmarkEnd w:id="189"/>
      <w:bookmarkEnd w:id="190"/>
    </w:p>
    <w:p>
      <w:pPr>
        <w:snapToGrid w:val="0"/>
        <w:spacing w:line="460" w:lineRule="exact"/>
        <w:ind w:firstLine="480" w:firstLineChars="200"/>
        <w:rPr>
          <w:rFonts w:eastAsia="方正仿宋_GBK"/>
          <w:color w:val="000000"/>
          <w:sz w:val="24"/>
        </w:rPr>
      </w:pPr>
      <w:r>
        <w:rPr>
          <w:rFonts w:hint="eastAsia" w:eastAsia="方正仿宋_GBK"/>
          <w:color w:val="000000"/>
          <w:sz w:val="24"/>
        </w:rPr>
        <w:t>（八）建设单位可在一定范围内自主选择具备相应认定资格的审查机构。中型及以下房屋建筑工程宜在设区市范围内委托审查，积极鼓励中型及以上市政基础设施工程跨市委托审查。</w:t>
      </w:r>
    </w:p>
    <w:p>
      <w:pPr>
        <w:snapToGrid w:val="0"/>
        <w:spacing w:line="460" w:lineRule="exact"/>
        <w:ind w:firstLine="480" w:firstLineChars="200"/>
        <w:rPr>
          <w:rFonts w:eastAsia="方正仿宋_GBK"/>
          <w:color w:val="000000"/>
          <w:sz w:val="24"/>
        </w:rPr>
      </w:pPr>
      <w:r>
        <w:rPr>
          <w:rFonts w:hint="eastAsia" w:eastAsia="方正仿宋_GBK"/>
          <w:color w:val="000000"/>
          <w:sz w:val="24"/>
        </w:rPr>
        <w:t>（九）审查机构应当在认定范围内承接业务。未经认定或超出认定范围从事审查的，所出具的审查合格书无效，由建设行政主管部门责令审查机构收回审查合格书，并依法予以处罚。造成损失的，应当依法承担赔偿责任。</w:t>
      </w:r>
    </w:p>
    <w:p>
      <w:pPr>
        <w:snapToGrid w:val="0"/>
        <w:spacing w:line="460" w:lineRule="exact"/>
        <w:ind w:firstLine="480" w:firstLineChars="200"/>
        <w:outlineLvl w:val="0"/>
        <w:rPr>
          <w:rFonts w:eastAsia="黑体"/>
          <w:color w:val="000000"/>
          <w:sz w:val="24"/>
        </w:rPr>
      </w:pPr>
      <w:bookmarkStart w:id="191" w:name="_Toc18315605"/>
      <w:bookmarkStart w:id="192" w:name="_Toc20726224"/>
      <w:bookmarkStart w:id="193" w:name="_Toc20667698"/>
      <w:r>
        <w:rPr>
          <w:rFonts w:hint="eastAsia" w:eastAsia="黑体"/>
          <w:color w:val="000000"/>
          <w:sz w:val="24"/>
        </w:rPr>
        <w:t>四、审查程序及结果处置</w:t>
      </w:r>
      <w:bookmarkEnd w:id="191"/>
      <w:bookmarkEnd w:id="192"/>
      <w:bookmarkEnd w:id="193"/>
    </w:p>
    <w:p>
      <w:pPr>
        <w:snapToGrid w:val="0"/>
        <w:spacing w:line="460" w:lineRule="exact"/>
        <w:ind w:firstLine="480" w:firstLineChars="200"/>
        <w:jc w:val="left"/>
        <w:rPr>
          <w:rFonts w:eastAsia="方正仿宋_GBK"/>
          <w:color w:val="000000"/>
          <w:sz w:val="24"/>
        </w:rPr>
      </w:pPr>
      <w:r>
        <w:rPr>
          <w:rFonts w:hint="eastAsia" w:eastAsia="方正仿宋_GBK"/>
          <w:color w:val="000000"/>
          <w:sz w:val="24"/>
        </w:rPr>
        <w:t>（十）施工图审查分两阶段进行，先期进行工程勘察文件审查，审查通过后，建设单位方可申报其他专业施工图审查。</w:t>
      </w:r>
    </w:p>
    <w:p>
      <w:pPr>
        <w:snapToGrid w:val="0"/>
        <w:spacing w:line="460" w:lineRule="exact"/>
        <w:ind w:firstLine="480" w:firstLineChars="200"/>
        <w:jc w:val="left"/>
        <w:rPr>
          <w:rFonts w:eastAsia="方正仿宋_GBK"/>
          <w:color w:val="000000"/>
          <w:sz w:val="24"/>
        </w:rPr>
      </w:pPr>
      <w:r>
        <w:rPr>
          <w:rFonts w:hint="eastAsia" w:eastAsia="方正仿宋_GBK"/>
          <w:color w:val="000000"/>
          <w:sz w:val="24"/>
        </w:rPr>
        <w:t>（十一）审查机构对施工图进行审查后，应当根据下列情况分别作出处理：</w:t>
      </w:r>
    </w:p>
    <w:p>
      <w:pPr>
        <w:overflowPunct w:val="0"/>
        <w:autoSpaceDE w:val="0"/>
        <w:autoSpaceDN w:val="0"/>
        <w:snapToGrid w:val="0"/>
        <w:spacing w:line="460" w:lineRule="exact"/>
        <w:ind w:firstLine="480" w:firstLineChars="200"/>
        <w:rPr>
          <w:rFonts w:eastAsia="方正仿宋_GBK"/>
          <w:color w:val="000000"/>
          <w:sz w:val="24"/>
        </w:rPr>
      </w:pPr>
      <w:r>
        <w:rPr>
          <w:rFonts w:hint="eastAsia" w:eastAsia="方正仿宋_GBK"/>
          <w:color w:val="000000"/>
          <w:sz w:val="24"/>
        </w:rPr>
        <w:t>审查合格的，审查机构应当向建设单位出具审查合格书，并在项目全套施工图（包括须经审查的设计变更文件）的每一张图纸上加盖审查专用章。审查合格书应采用由省建设行政主管部门制定的统一格式，经法定代表人签发，并加盖审查机构公章。</w:t>
      </w:r>
    </w:p>
    <w:p>
      <w:pPr>
        <w:tabs>
          <w:tab w:val="left" w:pos="287"/>
        </w:tabs>
        <w:overflowPunct w:val="0"/>
        <w:autoSpaceDE w:val="0"/>
        <w:autoSpaceDN w:val="0"/>
        <w:snapToGrid w:val="0"/>
        <w:spacing w:line="460" w:lineRule="exact"/>
        <w:ind w:firstLine="480" w:firstLineChars="200"/>
        <w:rPr>
          <w:rFonts w:eastAsia="方正仿宋_GBK"/>
          <w:color w:val="000000"/>
          <w:sz w:val="24"/>
        </w:rPr>
      </w:pPr>
      <w:r>
        <w:rPr>
          <w:rFonts w:hint="eastAsia" w:eastAsia="方正仿宋_GBK"/>
          <w:color w:val="000000"/>
          <w:sz w:val="24"/>
        </w:rPr>
        <w:t>审查不合格的，审查机构应当出具审查意见书。审查意见书应将审查中发现的违反工程建设强制性标准和建设单位、勘察设计企业和注册执业人员违反法律、法规的问题逐一列出。</w:t>
      </w:r>
    </w:p>
    <w:p>
      <w:pPr>
        <w:tabs>
          <w:tab w:val="left" w:pos="287"/>
        </w:tabs>
        <w:overflowPunct w:val="0"/>
        <w:autoSpaceDE w:val="0"/>
        <w:autoSpaceDN w:val="0"/>
        <w:snapToGrid w:val="0"/>
        <w:spacing w:line="460" w:lineRule="exact"/>
        <w:ind w:firstLine="480" w:firstLineChars="200"/>
        <w:rPr>
          <w:rFonts w:eastAsia="方正仿宋_GBK"/>
          <w:color w:val="000000"/>
          <w:sz w:val="24"/>
        </w:rPr>
      </w:pPr>
      <w:r>
        <w:rPr>
          <w:rFonts w:hint="eastAsia" w:eastAsia="方正仿宋_GBK"/>
          <w:color w:val="000000"/>
          <w:sz w:val="24"/>
        </w:rPr>
        <w:t>对审查机构出具的审查意见书，建设单位应责成原勘察、设计企业进行修改调整，并将修改后的施工图报原审查机构复审。</w:t>
      </w:r>
    </w:p>
    <w:p>
      <w:pPr>
        <w:overflowPunct w:val="0"/>
        <w:autoSpaceDE w:val="0"/>
        <w:autoSpaceDN w:val="0"/>
        <w:snapToGrid w:val="0"/>
        <w:spacing w:line="460" w:lineRule="exact"/>
        <w:ind w:firstLine="480" w:firstLineChars="200"/>
        <w:rPr>
          <w:rFonts w:eastAsia="方正仿宋_GBK"/>
          <w:color w:val="000000"/>
          <w:sz w:val="24"/>
        </w:rPr>
      </w:pPr>
      <w:r>
        <w:rPr>
          <w:rFonts w:hint="eastAsia" w:eastAsia="方正仿宋_GBK"/>
          <w:color w:val="000000"/>
          <w:sz w:val="24"/>
        </w:rPr>
        <w:t>（十二）建设单位或勘察设计企业对审查机构作出的审查意见有重大原则分歧时，可由建设单位或勘察设计企业向省建设行政主管部门提出复查申请，由省建设行政主管部门组织专家论证并作出复查结论。</w:t>
      </w:r>
    </w:p>
    <w:p>
      <w:pPr>
        <w:spacing w:line="460" w:lineRule="exact"/>
        <w:ind w:firstLine="480" w:firstLineChars="200"/>
        <w:rPr>
          <w:rFonts w:eastAsia="方正仿宋_GBK"/>
          <w:color w:val="000000"/>
          <w:sz w:val="24"/>
        </w:rPr>
      </w:pPr>
      <w:r>
        <w:rPr>
          <w:rFonts w:hint="eastAsia" w:eastAsia="方正仿宋_GBK"/>
          <w:color w:val="000000"/>
          <w:sz w:val="24"/>
        </w:rPr>
        <w:t>（十三）任何单位或者个人不得擅自修改审查通过的施工图。</w:t>
      </w:r>
    </w:p>
    <w:p>
      <w:pPr>
        <w:overflowPunct w:val="0"/>
        <w:autoSpaceDE w:val="0"/>
        <w:autoSpaceDN w:val="0"/>
        <w:spacing w:line="460" w:lineRule="exact"/>
        <w:ind w:firstLine="480" w:firstLineChars="200"/>
        <w:rPr>
          <w:rFonts w:eastAsia="方正仿宋_GBK"/>
          <w:color w:val="000000"/>
          <w:sz w:val="24"/>
        </w:rPr>
      </w:pPr>
      <w:r>
        <w:rPr>
          <w:rFonts w:hint="eastAsia" w:eastAsia="方正仿宋_GBK"/>
          <w:color w:val="000000"/>
          <w:sz w:val="24"/>
        </w:rPr>
        <w:t>确需修改的，凡涉及实施意见规定的审查内容，建设单位应当将修改后的施工图送原审查机构重新审查。对于修改涉及建筑物性质、规模、结构特点，地基基础设计等内容或建（构）筑物总平面布置发生较大变化的，建设单位还应先期重新送审工程勘察文件。</w:t>
      </w:r>
    </w:p>
    <w:p>
      <w:pPr>
        <w:snapToGrid w:val="0"/>
        <w:spacing w:line="460" w:lineRule="exact"/>
        <w:ind w:firstLine="480" w:firstLineChars="200"/>
        <w:outlineLvl w:val="0"/>
        <w:rPr>
          <w:rFonts w:eastAsia="黑体"/>
          <w:color w:val="000000"/>
          <w:sz w:val="24"/>
        </w:rPr>
      </w:pPr>
      <w:bookmarkStart w:id="194" w:name="_Toc20667699"/>
      <w:bookmarkStart w:id="195" w:name="_Toc20726225"/>
      <w:bookmarkStart w:id="196" w:name="_Toc18315606"/>
      <w:r>
        <w:rPr>
          <w:rFonts w:hint="eastAsia" w:eastAsia="黑体"/>
          <w:color w:val="000000"/>
          <w:sz w:val="24"/>
        </w:rPr>
        <w:t>五、备案、信息报送及信息公示</w:t>
      </w:r>
      <w:bookmarkEnd w:id="194"/>
      <w:bookmarkEnd w:id="195"/>
      <w:bookmarkEnd w:id="196"/>
    </w:p>
    <w:p>
      <w:pPr>
        <w:spacing w:line="460" w:lineRule="exact"/>
        <w:ind w:firstLine="480" w:firstLineChars="200"/>
        <w:rPr>
          <w:rFonts w:eastAsia="方正仿宋_GBK"/>
          <w:color w:val="000000"/>
          <w:sz w:val="24"/>
        </w:rPr>
      </w:pPr>
      <w:r>
        <w:rPr>
          <w:rFonts w:hint="eastAsia" w:eastAsia="方正仿宋_GBK"/>
          <w:color w:val="000000"/>
          <w:sz w:val="24"/>
        </w:rPr>
        <w:t>（十四）审查机构应在审查意见书和审查合格书签发后</w:t>
      </w:r>
      <w:r>
        <w:rPr>
          <w:rFonts w:eastAsia="方正仿宋_GBK"/>
          <w:color w:val="000000"/>
          <w:sz w:val="24"/>
        </w:rPr>
        <w:t>5</w:t>
      </w:r>
      <w:r>
        <w:rPr>
          <w:rFonts w:hint="eastAsia" w:eastAsia="方正仿宋_GBK"/>
          <w:color w:val="000000"/>
          <w:sz w:val="24"/>
        </w:rPr>
        <w:t>个工作日内，按项目管理权限将其报项目所在地建设行政主管部门备案。</w:t>
      </w:r>
    </w:p>
    <w:p>
      <w:pPr>
        <w:spacing w:line="460" w:lineRule="exact"/>
        <w:ind w:firstLine="480" w:firstLineChars="200"/>
        <w:rPr>
          <w:rFonts w:eastAsia="方正仿宋_GBK"/>
          <w:color w:val="000000"/>
          <w:sz w:val="24"/>
        </w:rPr>
      </w:pPr>
      <w:r>
        <w:rPr>
          <w:rFonts w:hint="eastAsia" w:eastAsia="方正仿宋_GBK"/>
          <w:color w:val="000000"/>
          <w:sz w:val="24"/>
        </w:rPr>
        <w:t>对于审查中发现的建设单位、勘察设计企业和注册执业人员违反法律、法规和工程建设强制性标准的问题，审查机构应当通过审查意见书的形式报告相关建设行政主管部门。</w:t>
      </w:r>
    </w:p>
    <w:p>
      <w:pPr>
        <w:spacing w:line="460" w:lineRule="exact"/>
        <w:ind w:firstLine="480" w:firstLineChars="200"/>
        <w:rPr>
          <w:rFonts w:eastAsia="方正仿宋_GBK"/>
          <w:color w:val="000000"/>
          <w:sz w:val="24"/>
        </w:rPr>
      </w:pPr>
      <w:bookmarkStart w:id="197" w:name="_268435457"/>
      <w:bookmarkStart w:id="198" w:name="_268435456"/>
      <w:bookmarkStart w:id="199" w:name="_268435459"/>
      <w:bookmarkStart w:id="200" w:name="_268435465"/>
      <w:r>
        <w:rPr>
          <w:rFonts w:hint="eastAsia" w:eastAsia="方正仿宋_GBK"/>
          <w:color w:val="000000"/>
          <w:sz w:val="24"/>
        </w:rPr>
        <w:t>审查合格书、审查意见书应采用由省建设行政主管部门制定的统一格式。</w:t>
      </w:r>
    </w:p>
    <w:p>
      <w:pPr>
        <w:spacing w:line="460" w:lineRule="exact"/>
        <w:ind w:firstLine="480" w:firstLineChars="200"/>
        <w:rPr>
          <w:rFonts w:eastAsia="方正仿宋_GBK"/>
          <w:color w:val="000000"/>
          <w:sz w:val="24"/>
        </w:rPr>
      </w:pPr>
      <w:r>
        <w:rPr>
          <w:rFonts w:hint="eastAsia" w:eastAsia="方正仿宋_GBK"/>
          <w:color w:val="000000"/>
          <w:sz w:val="24"/>
        </w:rPr>
        <w:t>（十五）在施工图审查过程中，发现存在以下情形之一的，审查机构应在出具审查意见书后</w:t>
      </w:r>
      <w:r>
        <w:rPr>
          <w:rFonts w:eastAsia="方正仿宋_GBK"/>
          <w:color w:val="000000"/>
          <w:sz w:val="24"/>
        </w:rPr>
        <w:t>5</w:t>
      </w:r>
      <w:r>
        <w:rPr>
          <w:rFonts w:hint="eastAsia" w:eastAsia="方正仿宋_GBK"/>
          <w:color w:val="000000"/>
          <w:sz w:val="24"/>
        </w:rPr>
        <w:t>个工作日内，将审查意见书</w:t>
      </w:r>
      <w:bookmarkEnd w:id="197"/>
      <w:r>
        <w:rPr>
          <w:rFonts w:hint="eastAsia" w:eastAsia="方正仿宋_GBK"/>
          <w:color w:val="000000"/>
          <w:sz w:val="24"/>
        </w:rPr>
        <w:t>抄</w:t>
      </w:r>
      <w:bookmarkEnd w:id="198"/>
      <w:r>
        <w:rPr>
          <w:rFonts w:hint="eastAsia" w:eastAsia="方正仿宋_GBK"/>
          <w:color w:val="000000"/>
          <w:sz w:val="24"/>
        </w:rPr>
        <w:t>报省建设</w:t>
      </w:r>
      <w:bookmarkEnd w:id="199"/>
      <w:r>
        <w:rPr>
          <w:rFonts w:hint="eastAsia" w:eastAsia="方正仿宋_GBK"/>
          <w:color w:val="000000"/>
          <w:sz w:val="24"/>
        </w:rPr>
        <w:t>行</w:t>
      </w:r>
      <w:bookmarkEnd w:id="200"/>
      <w:r>
        <w:rPr>
          <w:rFonts w:hint="eastAsia" w:eastAsia="方正仿宋_GBK"/>
          <w:color w:val="000000"/>
          <w:sz w:val="24"/>
        </w:rPr>
        <w:t>政主管部门：</w:t>
      </w:r>
    </w:p>
    <w:p>
      <w:pPr>
        <w:spacing w:line="460" w:lineRule="exact"/>
        <w:ind w:firstLine="480" w:firstLineChars="200"/>
        <w:rPr>
          <w:rFonts w:eastAsia="方正仿宋_GBK"/>
          <w:color w:val="000000"/>
          <w:sz w:val="24"/>
        </w:rPr>
      </w:pPr>
      <w:r>
        <w:rPr>
          <w:rFonts w:eastAsia="方正仿宋_GBK"/>
          <w:color w:val="000000"/>
          <w:sz w:val="24"/>
        </w:rPr>
        <w:t>1</w:t>
      </w:r>
      <w:r>
        <w:rPr>
          <w:rFonts w:hint="eastAsia" w:eastAsia="方正仿宋_GBK"/>
          <w:color w:val="000000"/>
          <w:sz w:val="24"/>
        </w:rPr>
        <w:t>、施工图存在重大安全隐患的；</w:t>
      </w:r>
    </w:p>
    <w:p>
      <w:pPr>
        <w:spacing w:line="460" w:lineRule="exact"/>
        <w:ind w:firstLine="480" w:firstLineChars="200"/>
        <w:rPr>
          <w:rFonts w:eastAsia="方正仿宋_GBK"/>
          <w:color w:val="000000"/>
          <w:sz w:val="24"/>
        </w:rPr>
      </w:pPr>
      <w:r>
        <w:rPr>
          <w:rFonts w:eastAsia="方正仿宋_GBK"/>
          <w:color w:val="000000"/>
          <w:sz w:val="24"/>
        </w:rPr>
        <w:t>2</w:t>
      </w:r>
      <w:r>
        <w:rPr>
          <w:rFonts w:hint="eastAsia" w:eastAsia="方正仿宋_GBK"/>
          <w:color w:val="000000"/>
          <w:sz w:val="24"/>
        </w:rPr>
        <w:t>、未取得资质（资格）证书、超越本单位（个人）资质（资格）等级进行勘察设计或执业的，转让、出售、出租或者伪造图签图章、印章、资质（资格）证书等违反勘察设计市场管理和注册执业管理规定的；</w:t>
      </w:r>
    </w:p>
    <w:p>
      <w:pPr>
        <w:spacing w:line="460" w:lineRule="exact"/>
        <w:ind w:firstLine="480" w:firstLineChars="200"/>
        <w:rPr>
          <w:rFonts w:eastAsia="方正仿宋_GBK"/>
          <w:color w:val="000000"/>
          <w:sz w:val="24"/>
        </w:rPr>
      </w:pPr>
      <w:r>
        <w:rPr>
          <w:rFonts w:eastAsia="方正仿宋_GBK"/>
          <w:color w:val="000000"/>
          <w:sz w:val="24"/>
        </w:rPr>
        <w:t>3</w:t>
      </w:r>
      <w:r>
        <w:rPr>
          <w:rFonts w:hint="eastAsia" w:eastAsia="方正仿宋_GBK"/>
          <w:color w:val="000000"/>
          <w:sz w:val="24"/>
        </w:rPr>
        <w:t>、施工图指定建筑材料、建筑构配件生产厂、供应商的；</w:t>
      </w:r>
    </w:p>
    <w:p>
      <w:pPr>
        <w:overflowPunct w:val="0"/>
        <w:autoSpaceDE w:val="0"/>
        <w:autoSpaceDN w:val="0"/>
        <w:spacing w:line="460" w:lineRule="exact"/>
        <w:ind w:firstLine="480" w:firstLineChars="200"/>
        <w:rPr>
          <w:rFonts w:eastAsia="方正仿宋_GBK"/>
          <w:color w:val="000000"/>
          <w:sz w:val="24"/>
        </w:rPr>
      </w:pPr>
      <w:r>
        <w:rPr>
          <w:rFonts w:eastAsia="方正仿宋_GBK"/>
          <w:color w:val="000000"/>
          <w:sz w:val="24"/>
        </w:rPr>
        <w:t>4</w:t>
      </w:r>
      <w:r>
        <w:rPr>
          <w:rFonts w:hint="eastAsia" w:eastAsia="方正仿宋_GBK"/>
          <w:color w:val="000000"/>
          <w:sz w:val="24"/>
        </w:rPr>
        <w:t>、超限高层建筑工程未报省建设行政主管部门进行抗震设防专项审查的。</w:t>
      </w:r>
    </w:p>
    <w:p>
      <w:pPr>
        <w:overflowPunct w:val="0"/>
        <w:autoSpaceDE w:val="0"/>
        <w:autoSpaceDN w:val="0"/>
        <w:snapToGrid w:val="0"/>
        <w:spacing w:line="460" w:lineRule="exact"/>
        <w:ind w:firstLine="480" w:firstLineChars="200"/>
        <w:rPr>
          <w:rFonts w:eastAsia="方正仿宋_GBK"/>
          <w:color w:val="000000"/>
          <w:sz w:val="24"/>
        </w:rPr>
      </w:pPr>
      <w:r>
        <w:rPr>
          <w:rFonts w:hint="eastAsia" w:eastAsia="方正仿宋_GBK"/>
          <w:color w:val="000000"/>
          <w:sz w:val="24"/>
        </w:rPr>
        <w:t>（十六）施工图审查数据信息实行月报、季报和年报制度。审查机构应当及时记录、整理审查项目的数据信息情况，报送项目所在地建设行政主管部门。市、县建设行政主管部门应当按时汇总本地区施工图审查数据信息，向省建设行政主管部门上报。</w:t>
      </w:r>
    </w:p>
    <w:p>
      <w:pPr>
        <w:snapToGrid w:val="0"/>
        <w:spacing w:line="460" w:lineRule="exact"/>
        <w:ind w:firstLine="480" w:firstLineChars="200"/>
        <w:rPr>
          <w:rFonts w:eastAsia="方正仿宋_GBK"/>
          <w:color w:val="000000"/>
          <w:sz w:val="24"/>
        </w:rPr>
      </w:pPr>
      <w:r>
        <w:rPr>
          <w:rFonts w:hint="eastAsia" w:eastAsia="方正仿宋_GBK"/>
          <w:color w:val="000000"/>
          <w:sz w:val="24"/>
        </w:rPr>
        <w:t>（十七）审查机构应将施工图审查过程中发现的勘察设计单位违反工程建设标准强制性条文情况按半年和年度周期进行汇总，并向社会进行公示。并应在汇总公示工作完成后五个工作日内将公示结果报送上级建设行政主管部门及省住房和城乡建设厅备案。</w:t>
      </w:r>
    </w:p>
    <w:p>
      <w:pPr>
        <w:snapToGrid w:val="0"/>
        <w:spacing w:line="460" w:lineRule="exact"/>
        <w:ind w:firstLine="480" w:firstLineChars="200"/>
        <w:outlineLvl w:val="0"/>
        <w:rPr>
          <w:rFonts w:eastAsia="黑体"/>
          <w:color w:val="000000"/>
          <w:sz w:val="24"/>
        </w:rPr>
      </w:pPr>
      <w:bookmarkStart w:id="201" w:name="_Toc20726226"/>
      <w:bookmarkStart w:id="202" w:name="_Toc20667700"/>
      <w:bookmarkStart w:id="203" w:name="_Toc18315607"/>
      <w:r>
        <w:rPr>
          <w:rFonts w:hint="eastAsia" w:eastAsia="黑体"/>
          <w:color w:val="000000"/>
          <w:sz w:val="24"/>
        </w:rPr>
        <w:t>六、职责与监督</w:t>
      </w:r>
      <w:bookmarkEnd w:id="201"/>
      <w:bookmarkEnd w:id="202"/>
      <w:bookmarkEnd w:id="203"/>
    </w:p>
    <w:p>
      <w:pPr>
        <w:spacing w:line="460" w:lineRule="exact"/>
        <w:ind w:firstLine="480" w:firstLineChars="200"/>
        <w:rPr>
          <w:rFonts w:eastAsia="方正仿宋_GBK"/>
          <w:color w:val="000000"/>
          <w:sz w:val="24"/>
        </w:rPr>
      </w:pPr>
      <w:r>
        <w:rPr>
          <w:rFonts w:hint="eastAsia" w:eastAsia="方正仿宋_GBK"/>
          <w:color w:val="000000"/>
          <w:sz w:val="24"/>
        </w:rPr>
        <w:t>（十八）建设单位应对施工图审查送审材料的真实性、有效性负责；勘察、设计企业应对提交的勘察、设计文件的真实性、有效性负责，并应积极配合审查。</w:t>
      </w:r>
    </w:p>
    <w:p>
      <w:pPr>
        <w:spacing w:line="460" w:lineRule="exact"/>
        <w:ind w:firstLine="480" w:firstLineChars="200"/>
        <w:rPr>
          <w:rFonts w:eastAsia="方正仿宋_GBK"/>
          <w:color w:val="000000"/>
          <w:sz w:val="24"/>
        </w:rPr>
      </w:pPr>
      <w:r>
        <w:rPr>
          <w:rFonts w:hint="eastAsia" w:eastAsia="方正仿宋_GBK"/>
          <w:color w:val="000000"/>
          <w:sz w:val="24"/>
        </w:rPr>
        <w:t>因弄虚作假、报送材料不及时等原因产生的后果由相关责任单位承担。</w:t>
      </w:r>
    </w:p>
    <w:p>
      <w:pPr>
        <w:spacing w:line="460" w:lineRule="exact"/>
        <w:ind w:firstLine="480" w:firstLineChars="200"/>
        <w:rPr>
          <w:rFonts w:eastAsia="方正仿宋_GBK"/>
          <w:color w:val="000000"/>
          <w:sz w:val="24"/>
        </w:rPr>
      </w:pPr>
      <w:r>
        <w:rPr>
          <w:rFonts w:hint="eastAsia" w:eastAsia="方正仿宋_GBK"/>
          <w:color w:val="000000"/>
          <w:sz w:val="24"/>
        </w:rPr>
        <w:t>（十九）审查机构应当认真履行法律、法规赋予的审查职责，秉公办事，不得徇私舞弊、弄虚作假，对施工图审查工作负责，承担审查责任，但不替代勘察设计单位的质量责任。</w:t>
      </w:r>
    </w:p>
    <w:p>
      <w:pPr>
        <w:spacing w:line="440" w:lineRule="exact"/>
        <w:ind w:firstLine="480" w:firstLineChars="200"/>
        <w:rPr>
          <w:rFonts w:eastAsia="方正仿宋_GBK"/>
          <w:color w:val="000000"/>
          <w:sz w:val="24"/>
        </w:rPr>
      </w:pPr>
      <w:r>
        <w:rPr>
          <w:rFonts w:hint="eastAsia" w:eastAsia="方正仿宋_GBK"/>
          <w:color w:val="000000"/>
          <w:sz w:val="24"/>
        </w:rPr>
        <w:t>施工图经审查通过后，仍有未查出的违反法律、法规和工程建设强制性标准的问题，给建设单位造成损失的，审查机构依法承担相应的赔偿责任；建设行政主管部门对审查机构、审查机构的法定代表人和审查人员依法作出处理或处罚。</w:t>
      </w:r>
    </w:p>
    <w:p>
      <w:pPr>
        <w:spacing w:line="440" w:lineRule="exact"/>
        <w:ind w:firstLine="480" w:firstLineChars="200"/>
        <w:rPr>
          <w:rFonts w:eastAsia="方正仿宋_GBK"/>
          <w:color w:val="000000"/>
          <w:sz w:val="24"/>
        </w:rPr>
      </w:pPr>
      <w:r>
        <w:rPr>
          <w:rFonts w:hint="eastAsia" w:eastAsia="方正仿宋_GBK"/>
          <w:color w:val="000000"/>
          <w:sz w:val="24"/>
        </w:rPr>
        <w:t>（二十）审查机构应当建立、健全岗位质量责任和档案管理制度。施工图审查应当有经各专业审查人员签字的审查记录，审查记录、审查意见书及合格书等全套审查资料应当归档保存。</w:t>
      </w:r>
    </w:p>
    <w:p>
      <w:pPr>
        <w:overflowPunct w:val="0"/>
        <w:autoSpaceDE w:val="0"/>
        <w:autoSpaceDN w:val="0"/>
        <w:spacing w:line="440" w:lineRule="exact"/>
        <w:ind w:firstLine="480" w:firstLineChars="200"/>
        <w:rPr>
          <w:rFonts w:eastAsia="方正仿宋_GBK"/>
          <w:color w:val="000000"/>
          <w:sz w:val="24"/>
        </w:rPr>
      </w:pPr>
      <w:r>
        <w:rPr>
          <w:rFonts w:hint="eastAsia" w:eastAsia="方正仿宋_GBK"/>
          <w:color w:val="000000"/>
          <w:sz w:val="24"/>
        </w:rPr>
        <w:t>（二十一）建设行政主管部门对审查机构报告的建设单位、勘察单位、设计单位和注册执业人员等的违规行为，应当及时核查，作为不良记录予以公布，或对有关单位或人员依法给予相应的处罚。</w:t>
      </w:r>
    </w:p>
    <w:p>
      <w:pPr>
        <w:overflowPunct w:val="0"/>
        <w:autoSpaceDE w:val="0"/>
        <w:autoSpaceDN w:val="0"/>
        <w:spacing w:line="440" w:lineRule="exact"/>
        <w:ind w:firstLine="480" w:firstLineChars="200"/>
        <w:rPr>
          <w:rFonts w:eastAsia="方正仿宋_GBK"/>
          <w:color w:val="000000"/>
          <w:sz w:val="24"/>
        </w:rPr>
      </w:pPr>
      <w:r>
        <w:rPr>
          <w:rFonts w:hint="eastAsia" w:eastAsia="方正仿宋_GBK"/>
          <w:color w:val="000000"/>
          <w:sz w:val="24"/>
        </w:rPr>
        <w:t>（二十二）建设行政主管部门应当依据国家和省有关规定，加强对审查机构在技术条件和能力、审查人员的培训认定情况、审查质量、审查行为等方面的日常监督。发现审查机构和审查人员有违规行为的，建设行政主管部门应当依法给予相应的处罚。涉及消防安全性、人防工程（不含人防指挥工程）防护安全性的，由县级以上人民政府有关部门按照职责分工实施监督检查和行政处罚，并将监督检查结果向社会公布。</w:t>
      </w:r>
    </w:p>
    <w:p>
      <w:pPr>
        <w:overflowPunct w:val="0"/>
        <w:autoSpaceDE w:val="0"/>
        <w:autoSpaceDN w:val="0"/>
        <w:spacing w:line="440" w:lineRule="exact"/>
        <w:ind w:firstLine="480" w:firstLineChars="200"/>
      </w:pPr>
      <w:r>
        <w:rPr>
          <w:rFonts w:hint="eastAsia" w:eastAsia="方正仿宋_GBK"/>
          <w:color w:val="000000"/>
          <w:sz w:val="24"/>
        </w:rPr>
        <w:t>建设行政主管部门实施监督检查时，有权要求被检查的审查机构提供有关施工图审查的文件和资料。</w:t>
      </w:r>
    </w:p>
    <w:p/>
    <w:p>
      <w:pPr>
        <w:pStyle w:val="2"/>
        <w:spacing w:before="240" w:beforeLines="100" w:after="240" w:afterLines="100" w:line="240" w:lineRule="auto"/>
        <w:jc w:val="center"/>
      </w:pPr>
    </w:p>
    <w:p/>
    <w:p/>
    <w:p/>
    <w:p/>
    <w:p/>
    <w:p/>
    <w:p/>
    <w:p>
      <w:pPr>
        <w:pStyle w:val="2"/>
        <w:spacing w:before="240" w:beforeLines="100" w:after="240" w:afterLines="100" w:line="240" w:lineRule="auto"/>
        <w:jc w:val="center"/>
        <w:rPr>
          <w:rFonts w:ascii="Times New Roman" w:eastAsia="方正小标宋_GBK"/>
          <w:b w:val="0"/>
          <w:sz w:val="36"/>
          <w:szCs w:val="36"/>
        </w:rPr>
      </w:pPr>
      <w:bookmarkStart w:id="204" w:name="_Toc20726272"/>
      <w:bookmarkStart w:id="205" w:name="_Toc18315349"/>
      <w:r>
        <w:rPr>
          <w:rFonts w:hint="eastAsia" w:ascii="Times New Roman" w:eastAsia="方正小标宋_GBK"/>
          <w:b w:val="0"/>
          <w:sz w:val="36"/>
          <w:szCs w:val="36"/>
        </w:rPr>
        <w:t>关于进一步加强施工图审查档案管理工作的通知</w:t>
      </w:r>
      <w:bookmarkEnd w:id="204"/>
      <w:bookmarkEnd w:id="20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06" w:name="_Toc20726273"/>
      <w:bookmarkStart w:id="207" w:name="_Toc18315350"/>
      <w:r>
        <w:rPr>
          <w:rFonts w:hint="eastAsia" w:ascii="Times New Roman" w:hAnsi="Times New Roman" w:eastAsia="方正楷体_GBK"/>
          <w:b w:val="0"/>
          <w:sz w:val="24"/>
          <w:szCs w:val="24"/>
        </w:rPr>
        <w:t>苏建函科〔</w:t>
      </w:r>
      <w:r>
        <w:rPr>
          <w:rFonts w:ascii="Times New Roman" w:hAnsi="Times New Roman" w:eastAsia="方正楷体_GBK"/>
          <w:b w:val="0"/>
          <w:sz w:val="24"/>
          <w:szCs w:val="24"/>
        </w:rPr>
        <w:t>2008</w:t>
      </w:r>
      <w:r>
        <w:rPr>
          <w:rFonts w:hint="eastAsia" w:ascii="Times New Roman" w:hAnsi="Times New Roman" w:eastAsia="方正楷体_GBK"/>
          <w:b w:val="0"/>
          <w:sz w:val="24"/>
          <w:szCs w:val="24"/>
        </w:rPr>
        <w:t>〕</w:t>
      </w:r>
      <w:r>
        <w:rPr>
          <w:rFonts w:ascii="Times New Roman" w:hAnsi="Times New Roman" w:eastAsia="方正楷体_GBK"/>
          <w:b w:val="0"/>
          <w:sz w:val="24"/>
          <w:szCs w:val="24"/>
        </w:rPr>
        <w:t>186</w:t>
      </w:r>
      <w:r>
        <w:rPr>
          <w:rFonts w:hint="eastAsia" w:ascii="Times New Roman" w:hAnsi="Times New Roman" w:eastAsia="方正楷体_GBK"/>
          <w:b w:val="0"/>
          <w:sz w:val="24"/>
          <w:szCs w:val="24"/>
        </w:rPr>
        <w:t>号</w:t>
      </w:r>
      <w:bookmarkEnd w:id="206"/>
      <w:bookmarkEnd w:id="207"/>
    </w:p>
    <w:p>
      <w:pPr>
        <w:spacing w:line="460" w:lineRule="exact"/>
        <w:rPr>
          <w:rFonts w:eastAsia="方正仿宋_GBK"/>
          <w:color w:val="000000"/>
          <w:spacing w:val="-2"/>
          <w:sz w:val="24"/>
        </w:rPr>
      </w:pPr>
      <w:r>
        <w:rPr>
          <w:rFonts w:hint="eastAsia" w:eastAsia="方正仿宋_GBK"/>
          <w:color w:val="000000"/>
          <w:spacing w:val="-2"/>
          <w:sz w:val="24"/>
        </w:rPr>
        <w:t>各省辖市建设局（建委）：</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施工图审查档案是施工图审查过程的记录，是审查机构接受监督检查需要提供的资料，是建设行政主管部门依法实施监管的依据。做好施工图审查档案工作，对促进我省施工图审查工作发展具有重要的意义。近年来，我省施工图审查工作发展迅速，施工图审查档案日益增加，规范管理急待加强。为了进一步加强我省施工图审查档案管理工作，特作如下通知：</w:t>
      </w:r>
    </w:p>
    <w:p>
      <w:pPr>
        <w:pStyle w:val="6"/>
        <w:spacing w:after="0" w:line="460" w:lineRule="exact"/>
        <w:ind w:left="0" w:leftChars="0" w:firstLine="472" w:firstLineChars="200"/>
        <w:rPr>
          <w:rFonts w:eastAsia="方正仿宋_GBK"/>
          <w:color w:val="000000"/>
          <w:spacing w:val="-2"/>
          <w:sz w:val="24"/>
        </w:rPr>
      </w:pPr>
      <w:r>
        <w:rPr>
          <w:rFonts w:hint="eastAsia" w:eastAsia="方正仿宋_GBK"/>
          <w:color w:val="000000"/>
          <w:spacing w:val="-2"/>
          <w:sz w:val="24"/>
        </w:rPr>
        <w:t>一、施工图审查各阶段相关文件资料作为施工图审查流程的记录，应包含以下内容，由施工图审查机构长期保存：</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、作为勘察、设计依据的政府有关部门的批准文件及附件（复印件）；</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、建设工程施工图审查报审表和绿色建筑报审表；</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、施工图审查意见书；</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、勘察、设计单位针对施工图审查意见的回复意见和修改、变更图纸；</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、审查机构对回复意见和修改、变更图纸的复审意见；</w:t>
      </w:r>
    </w:p>
    <w:p>
      <w:pPr>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、施工图审查合格书（复印件）。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二、全套施工图纸（含工程勘察文件、施工图设计文件及各专业计算资料）作为工程建设阶段性资料，由施工图审查机构保存至工程竣工验收，之后交还建设单位。</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建设单位向工程所在地城建档案馆移交的竣工图，应当在盖有施工图审查专用章的全套施工图上（包括工程勘察文件、施工图设计文件，以及勘察、设计单位针对施工图审查意见的回复意见和修改、变更图纸）进行编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建设单位在移交竣工图时，应同时移交施工图审查意见书、施工图审查合格书。</w:t>
      </w:r>
    </w:p>
    <w:p>
      <w:pPr>
        <w:spacing w:line="460" w:lineRule="exact"/>
        <w:rPr>
          <w:rFonts w:eastAsia="方正仿宋_GBK"/>
          <w:color w:val="000000"/>
          <w:spacing w:val="-2"/>
          <w:sz w:val="24"/>
        </w:rPr>
      </w:pPr>
    </w:p>
    <w:p>
      <w:pPr>
        <w:spacing w:line="460" w:lineRule="exact"/>
        <w:ind w:right="657" w:rightChars="313"/>
        <w:jc w:val="right"/>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spacing w:line="460" w:lineRule="exact"/>
        <w:ind w:right="437" w:rightChars="208"/>
        <w:jc w:val="right"/>
        <w:rPr>
          <w:rFonts w:eastAsia="方正仿宋_GBK"/>
          <w:color w:val="000000"/>
          <w:spacing w:val="-2"/>
          <w:sz w:val="24"/>
        </w:rPr>
      </w:pPr>
      <w:r>
        <w:rPr>
          <w:rFonts w:hint="eastAsia" w:eastAsia="方正仿宋_GBK"/>
          <w:color w:val="000000"/>
          <w:spacing w:val="-2"/>
          <w:sz w:val="24"/>
        </w:rPr>
        <w:t>二〇〇八年四月三日</w:t>
      </w:r>
      <w:r>
        <w:rPr>
          <w:rFonts w:eastAsia="方正仿宋_GBK"/>
          <w:color w:val="000000"/>
          <w:spacing w:val="-2"/>
          <w:sz w:val="24"/>
        </w:rPr>
        <w:t xml:space="preserve">    </w:t>
      </w:r>
    </w:p>
    <w:p/>
    <w:p>
      <w:pPr>
        <w:pStyle w:val="2"/>
        <w:spacing w:before="240" w:beforeLines="100" w:after="240" w:afterLines="100" w:line="240" w:lineRule="auto"/>
        <w:jc w:val="center"/>
        <w:rPr>
          <w:rFonts w:ascii="Times New Roman" w:eastAsia="方正小标宋_GBK"/>
          <w:b w:val="0"/>
          <w:sz w:val="36"/>
          <w:szCs w:val="36"/>
        </w:rPr>
      </w:pPr>
      <w:r>
        <w:rPr>
          <w:b w:val="0"/>
        </w:rPr>
        <w:br w:type="column"/>
      </w:r>
      <w:bookmarkStart w:id="208" w:name="_Toc18315617"/>
      <w:bookmarkStart w:id="209" w:name="_Toc20726235"/>
      <w:r>
        <w:rPr>
          <w:rFonts w:hint="eastAsia" w:ascii="Times New Roman" w:eastAsia="方正小标宋_GBK"/>
          <w:b w:val="0"/>
          <w:sz w:val="36"/>
          <w:szCs w:val="36"/>
        </w:rPr>
        <w:t>关于印发《关于加强我省工程勘察市场及质量管理工作的实施意见》的通知</w:t>
      </w:r>
      <w:bookmarkEnd w:id="208"/>
      <w:bookmarkEnd w:id="20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10" w:name="_Toc20726236"/>
      <w:bookmarkStart w:id="211" w:name="_Toc18315618"/>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2010</w:t>
      </w:r>
      <w:r>
        <w:rPr>
          <w:rFonts w:hint="eastAsia" w:ascii="Times New Roman" w:hAnsi="Times New Roman" w:eastAsia="方正楷体_GBK"/>
          <w:b w:val="0"/>
          <w:sz w:val="24"/>
          <w:szCs w:val="24"/>
        </w:rPr>
        <w:t>〕</w:t>
      </w:r>
      <w:r>
        <w:rPr>
          <w:rFonts w:ascii="Times New Roman" w:hAnsi="Times New Roman" w:eastAsia="方正楷体_GBK"/>
          <w:b w:val="0"/>
          <w:sz w:val="24"/>
          <w:szCs w:val="24"/>
        </w:rPr>
        <w:t>389</w:t>
      </w:r>
      <w:r>
        <w:rPr>
          <w:rFonts w:hint="eastAsia" w:ascii="Times New Roman" w:hAnsi="Times New Roman" w:eastAsia="方正楷体_GBK"/>
          <w:b w:val="0"/>
          <w:sz w:val="24"/>
          <w:szCs w:val="24"/>
        </w:rPr>
        <w:t>号</w:t>
      </w:r>
      <w:bookmarkEnd w:id="210"/>
      <w:bookmarkEnd w:id="211"/>
    </w:p>
    <w:p>
      <w:pPr>
        <w:spacing w:line="460" w:lineRule="exact"/>
        <w:rPr>
          <w:rFonts w:eastAsia="方正仿宋_GBK"/>
          <w:color w:val="000000"/>
          <w:sz w:val="24"/>
        </w:rPr>
      </w:pPr>
      <w:r>
        <w:rPr>
          <w:rFonts w:hint="eastAsia" w:eastAsia="方正仿宋_GBK"/>
          <w:color w:val="000000"/>
          <w:sz w:val="24"/>
        </w:rPr>
        <w:t>各省辖市、县（市）建设局（委）：</w:t>
      </w:r>
    </w:p>
    <w:p>
      <w:pPr>
        <w:spacing w:line="460" w:lineRule="exact"/>
        <w:ind w:firstLine="480" w:firstLineChars="200"/>
        <w:rPr>
          <w:rFonts w:eastAsia="方正仿宋_GBK"/>
          <w:color w:val="000000"/>
          <w:sz w:val="24"/>
        </w:rPr>
      </w:pPr>
      <w:r>
        <w:rPr>
          <w:rFonts w:hint="eastAsia" w:eastAsia="方正仿宋_GBK"/>
          <w:color w:val="000000"/>
          <w:kern w:val="0"/>
          <w:sz w:val="24"/>
        </w:rPr>
        <w:t>根据《中华人民共和国建筑法》、《建设工程质量管理条例》、《建设工程勘察设计管理条例》、《建设工程勘察质量管理办法》、《江苏省工程建设管理条例》、《江苏省建设工程勘察设计管理办法》等有关法律、法规及规章的规定和</w:t>
      </w:r>
      <w:r>
        <w:rPr>
          <w:rFonts w:hint="eastAsia" w:eastAsia="方正仿宋_GBK"/>
          <w:color w:val="000000"/>
          <w:sz w:val="24"/>
        </w:rPr>
        <w:t>住房和城乡建设部</w:t>
      </w:r>
      <w:r>
        <w:rPr>
          <w:rFonts w:hint="eastAsia" w:eastAsia="方正仿宋_GBK"/>
          <w:color w:val="000000"/>
          <w:kern w:val="0"/>
          <w:sz w:val="24"/>
        </w:rPr>
        <w:t>《</w:t>
      </w:r>
      <w:r>
        <w:rPr>
          <w:rFonts w:hint="eastAsia" w:eastAsia="方正仿宋_GBK"/>
          <w:bCs/>
          <w:color w:val="000000"/>
          <w:sz w:val="24"/>
        </w:rPr>
        <w:t>关于加强工程勘察质量管理工作的若干意见</w:t>
      </w:r>
      <w:r>
        <w:rPr>
          <w:rFonts w:hint="eastAsia" w:eastAsia="方正仿宋_GBK"/>
          <w:color w:val="000000"/>
          <w:kern w:val="0"/>
          <w:sz w:val="24"/>
        </w:rPr>
        <w:t>》（</w:t>
      </w:r>
      <w:r>
        <w:rPr>
          <w:rFonts w:hint="eastAsia" w:eastAsia="方正仿宋_GBK"/>
          <w:color w:val="000000"/>
          <w:sz w:val="24"/>
        </w:rPr>
        <w:t>建质〔</w:t>
      </w:r>
      <w:r>
        <w:rPr>
          <w:rFonts w:eastAsia="方正仿宋_GBK"/>
          <w:color w:val="000000"/>
          <w:sz w:val="24"/>
        </w:rPr>
        <w:t>2008</w:t>
      </w:r>
      <w:r>
        <w:rPr>
          <w:rFonts w:hint="eastAsia" w:eastAsia="方正仿宋_GBK"/>
          <w:color w:val="000000"/>
          <w:sz w:val="24"/>
        </w:rPr>
        <w:t>〕</w:t>
      </w:r>
      <w:r>
        <w:rPr>
          <w:rFonts w:eastAsia="方正仿宋_GBK"/>
          <w:color w:val="000000"/>
          <w:sz w:val="24"/>
        </w:rPr>
        <w:t>231</w:t>
      </w:r>
      <w:r>
        <w:rPr>
          <w:rFonts w:hint="eastAsia" w:eastAsia="方正仿宋_GBK"/>
          <w:color w:val="000000"/>
          <w:sz w:val="24"/>
        </w:rPr>
        <w:t>号）</w:t>
      </w:r>
      <w:r>
        <w:rPr>
          <w:rFonts w:hint="eastAsia" w:eastAsia="方正仿宋_GBK"/>
          <w:color w:val="000000"/>
          <w:kern w:val="0"/>
          <w:sz w:val="24"/>
        </w:rPr>
        <w:t>的要求，结合我省实际，</w:t>
      </w:r>
      <w:r>
        <w:rPr>
          <w:rFonts w:hint="eastAsia" w:eastAsia="方正仿宋_GBK"/>
          <w:color w:val="000000"/>
          <w:sz w:val="24"/>
        </w:rPr>
        <w:t>我厅研究制定了《</w:t>
      </w:r>
      <w:r>
        <w:rPr>
          <w:rFonts w:hint="eastAsia" w:eastAsia="方正仿宋_GBK"/>
          <w:bCs/>
          <w:color w:val="000000"/>
          <w:kern w:val="36"/>
          <w:sz w:val="24"/>
        </w:rPr>
        <w:t>关于加强我省工程勘察市场及质量管理工作的实施意见</w:t>
      </w:r>
      <w:r>
        <w:rPr>
          <w:rFonts w:hint="eastAsia" w:eastAsia="方正仿宋_GBK"/>
          <w:color w:val="000000"/>
          <w:sz w:val="24"/>
        </w:rPr>
        <w:t>》，现印发给你们，请遵照执行。</w:t>
      </w:r>
    </w:p>
    <w:p>
      <w:pPr>
        <w:spacing w:line="460" w:lineRule="exact"/>
        <w:ind w:firstLine="480" w:firstLineChars="200"/>
        <w:rPr>
          <w:rFonts w:eastAsia="方正仿宋_GBK"/>
          <w:color w:val="000000"/>
          <w:sz w:val="24"/>
        </w:rPr>
      </w:pPr>
    </w:p>
    <w:p>
      <w:pPr>
        <w:spacing w:line="460" w:lineRule="exact"/>
        <w:ind w:firstLine="448" w:firstLineChars="200"/>
        <w:rPr>
          <w:rFonts w:eastAsia="方正仿宋_GBK"/>
          <w:color w:val="000000"/>
          <w:spacing w:val="-8"/>
          <w:sz w:val="24"/>
        </w:rPr>
      </w:pPr>
      <w:r>
        <w:rPr>
          <w:rFonts w:hint="eastAsia" w:eastAsia="方正仿宋_GBK"/>
          <w:color w:val="000000"/>
          <w:spacing w:val="-8"/>
          <w:sz w:val="24"/>
        </w:rPr>
        <w:t>附件：《</w:t>
      </w:r>
      <w:r>
        <w:rPr>
          <w:rFonts w:hint="eastAsia" w:eastAsia="方正仿宋_GBK"/>
          <w:bCs/>
          <w:color w:val="000000"/>
          <w:spacing w:val="-8"/>
          <w:kern w:val="36"/>
          <w:sz w:val="24"/>
        </w:rPr>
        <w:t>关于加强我省工程勘察市场及质量管理工作的实施意见</w:t>
      </w:r>
      <w:r>
        <w:rPr>
          <w:rFonts w:hint="eastAsia" w:eastAsia="方正仿宋_GBK"/>
          <w:color w:val="000000"/>
          <w:spacing w:val="-8"/>
          <w:sz w:val="24"/>
        </w:rPr>
        <w:t>》</w:t>
      </w:r>
    </w:p>
    <w:p>
      <w:pPr>
        <w:spacing w:line="460" w:lineRule="exact"/>
        <w:ind w:firstLine="480" w:firstLineChars="200"/>
        <w:jc w:val="right"/>
        <w:rPr>
          <w:rFonts w:eastAsia="方正仿宋_GBK"/>
          <w:color w:val="000000"/>
          <w:sz w:val="24"/>
        </w:rPr>
      </w:pPr>
    </w:p>
    <w:p>
      <w:pPr>
        <w:spacing w:line="460" w:lineRule="exact"/>
        <w:ind w:firstLine="480" w:firstLineChars="200"/>
        <w:jc w:val="right"/>
        <w:rPr>
          <w:rFonts w:eastAsia="方正仿宋_GBK"/>
          <w:color w:val="000000"/>
          <w:sz w:val="24"/>
        </w:rPr>
      </w:pPr>
    </w:p>
    <w:p>
      <w:pPr>
        <w:spacing w:line="460" w:lineRule="exact"/>
        <w:ind w:right="464" w:rightChars="221" w:firstLine="480" w:firstLineChars="200"/>
        <w:jc w:val="right"/>
        <w:rPr>
          <w:rFonts w:eastAsia="方正仿宋_GBK"/>
          <w:color w:val="000000"/>
          <w:sz w:val="24"/>
        </w:rPr>
      </w:pPr>
      <w:r>
        <w:rPr>
          <w:rFonts w:eastAsia="方正仿宋_GBK"/>
          <w:color w:val="000000"/>
          <w:sz w:val="24"/>
        </w:rPr>
        <w:t xml:space="preserve">                    </w:t>
      </w:r>
      <w:r>
        <w:rPr>
          <w:rFonts w:hint="eastAsia" w:eastAsia="方正仿宋_GBK"/>
          <w:color w:val="000000"/>
          <w:sz w:val="24"/>
        </w:rPr>
        <w:t>二</w:t>
      </w:r>
      <w:r>
        <w:rPr>
          <w:rFonts w:hint="eastAsia" w:ascii="Times New Roman" w:hAnsi="Times New Roman"/>
          <w:color w:val="000000"/>
          <w:spacing w:val="-20"/>
          <w:sz w:val="24"/>
        </w:rPr>
        <w:t>○</w:t>
      </w:r>
      <w:r>
        <w:rPr>
          <w:rFonts w:hint="eastAsia" w:eastAsia="方正仿宋_GBK"/>
          <w:color w:val="000000"/>
          <w:spacing w:val="-20"/>
          <w:sz w:val="24"/>
        </w:rPr>
        <w:t>一</w:t>
      </w:r>
      <w:r>
        <w:rPr>
          <w:rFonts w:hint="eastAsia" w:ascii="Times New Roman" w:hAnsi="Times New Roman"/>
          <w:color w:val="000000"/>
          <w:spacing w:val="-20"/>
          <w:sz w:val="24"/>
        </w:rPr>
        <w:t>○</w:t>
      </w:r>
      <w:r>
        <w:rPr>
          <w:rFonts w:hint="eastAsia" w:eastAsia="方正仿宋_GBK"/>
          <w:color w:val="000000"/>
          <w:sz w:val="24"/>
        </w:rPr>
        <w:t>年八月二十五日</w:t>
      </w:r>
    </w:p>
    <w:p>
      <w:pPr>
        <w:spacing w:line="460" w:lineRule="exact"/>
        <w:ind w:firstLine="480" w:firstLineChars="200"/>
        <w:jc w:val="center"/>
        <w:rPr>
          <w:rFonts w:eastAsia="方正仿宋_GBK"/>
          <w:color w:val="000000"/>
          <w:sz w:val="24"/>
        </w:rPr>
      </w:pPr>
    </w:p>
    <w:p>
      <w:pPr>
        <w:widowControl/>
        <w:jc w:val="left"/>
        <w:rPr>
          <w:rFonts w:eastAsia="方正仿宋_GBK"/>
          <w:color w:val="000000"/>
          <w:spacing w:val="-2"/>
          <w:sz w:val="24"/>
        </w:rPr>
        <w:sectPr>
          <w:pgSz w:w="11905" w:h="16838"/>
          <w:pgMar w:top="1701" w:right="1587" w:bottom="1701" w:left="1587" w:header="850" w:footer="1361" w:gutter="0"/>
          <w:paperSrc w:first="4" w:other="4"/>
          <w:cols w:space="720" w:num="1"/>
        </w:sectPr>
      </w:pPr>
    </w:p>
    <w:p>
      <w:pPr>
        <w:spacing w:line="460" w:lineRule="exact"/>
        <w:rPr>
          <w:rFonts w:ascii="Times New Roman" w:eastAsia="黑体"/>
          <w:bCs/>
          <w:color w:val="000000"/>
          <w:kern w:val="36"/>
          <w:sz w:val="28"/>
          <w:szCs w:val="28"/>
        </w:rPr>
      </w:pPr>
      <w:r>
        <w:rPr>
          <w:rFonts w:hint="eastAsia" w:ascii="Times New Roman" w:eastAsia="黑体"/>
          <w:bCs/>
          <w:color w:val="000000"/>
          <w:kern w:val="36"/>
          <w:sz w:val="28"/>
          <w:szCs w:val="28"/>
        </w:rPr>
        <w:t>附件：</w:t>
      </w:r>
    </w:p>
    <w:p>
      <w:pPr>
        <w:spacing w:line="460" w:lineRule="exact"/>
        <w:ind w:firstLine="480" w:firstLineChars="200"/>
        <w:rPr>
          <w:rFonts w:hint="eastAsia" w:eastAsia="方正仿宋_GBK"/>
          <w:bCs/>
          <w:color w:val="000000"/>
          <w:kern w:val="36"/>
          <w:sz w:val="24"/>
        </w:rPr>
      </w:pPr>
    </w:p>
    <w:p>
      <w:pPr>
        <w:spacing w:line="460" w:lineRule="exact"/>
        <w:jc w:val="center"/>
        <w:rPr>
          <w:rFonts w:ascii="Times New Roman" w:eastAsia="方正小标宋简体"/>
          <w:bCs/>
          <w:color w:val="000000"/>
          <w:kern w:val="36"/>
          <w:sz w:val="36"/>
          <w:szCs w:val="36"/>
        </w:rPr>
      </w:pPr>
      <w:r>
        <w:rPr>
          <w:rFonts w:hint="eastAsia" w:ascii="Times New Roman" w:eastAsia="方正小标宋简体"/>
          <w:bCs/>
          <w:color w:val="000000"/>
          <w:kern w:val="36"/>
          <w:sz w:val="36"/>
          <w:szCs w:val="36"/>
        </w:rPr>
        <w:t>关于加强我省工程勘察市场及质量管理工作的</w:t>
      </w:r>
    </w:p>
    <w:p>
      <w:pPr>
        <w:spacing w:line="460" w:lineRule="exact"/>
        <w:jc w:val="center"/>
        <w:rPr>
          <w:rFonts w:hint="eastAsia" w:ascii="Times New Roman" w:eastAsia="方正小标宋简体"/>
          <w:bCs/>
          <w:color w:val="000000"/>
          <w:kern w:val="36"/>
          <w:sz w:val="36"/>
          <w:szCs w:val="36"/>
        </w:rPr>
      </w:pPr>
      <w:r>
        <w:rPr>
          <w:rFonts w:hint="eastAsia" w:ascii="Times New Roman" w:eastAsia="方正小标宋简体"/>
          <w:bCs/>
          <w:color w:val="000000"/>
          <w:kern w:val="36"/>
          <w:sz w:val="36"/>
          <w:szCs w:val="36"/>
        </w:rPr>
        <w:t>实施意见</w:t>
      </w:r>
    </w:p>
    <w:p>
      <w:pPr>
        <w:spacing w:line="460" w:lineRule="exact"/>
        <w:ind w:firstLine="480" w:firstLineChars="200"/>
        <w:rPr>
          <w:rFonts w:hint="eastAsia" w:eastAsia="方正仿宋_GBK"/>
          <w:color w:val="000000"/>
          <w:kern w:val="0"/>
          <w:sz w:val="24"/>
        </w:rPr>
      </w:pPr>
    </w:p>
    <w:p>
      <w:pPr>
        <w:spacing w:line="460" w:lineRule="exact"/>
        <w:ind w:firstLine="480" w:firstLineChars="200"/>
        <w:rPr>
          <w:rFonts w:eastAsia="方正仿宋_GBK"/>
          <w:color w:val="000000"/>
          <w:kern w:val="0"/>
          <w:sz w:val="24"/>
        </w:rPr>
      </w:pPr>
      <w:r>
        <w:rPr>
          <w:rFonts w:hint="eastAsia" w:eastAsia="方正仿宋_GBK"/>
          <w:color w:val="000000"/>
          <w:kern w:val="0"/>
          <w:sz w:val="24"/>
        </w:rPr>
        <w:t>为了进一步规范全省工程勘察市场秩序，确保工程勘察质量，提高工程勘察水平，根据《中华人民共和国建筑法》、《建设工程质量管理条例》、《建设工程勘察设计管理条例》、《建设工程勘察质量管理办法》、《江苏省工程建设管理条例》、《江苏省建设工程勘察设计管理办法》等有关法律、法规及规章的规定和</w:t>
      </w:r>
      <w:r>
        <w:rPr>
          <w:rFonts w:hint="eastAsia" w:eastAsia="方正仿宋_GBK"/>
          <w:color w:val="000000"/>
          <w:sz w:val="24"/>
        </w:rPr>
        <w:t>住房和城乡建设部</w:t>
      </w:r>
      <w:r>
        <w:rPr>
          <w:rFonts w:hint="eastAsia" w:eastAsia="方正仿宋_GBK"/>
          <w:color w:val="000000"/>
          <w:kern w:val="0"/>
          <w:sz w:val="24"/>
        </w:rPr>
        <w:t>《</w:t>
      </w:r>
      <w:r>
        <w:rPr>
          <w:rFonts w:hint="eastAsia" w:eastAsia="方正仿宋_GBK"/>
          <w:bCs/>
          <w:color w:val="000000"/>
          <w:sz w:val="24"/>
        </w:rPr>
        <w:t>关于加强工程勘察质量管理工作的若干意见</w:t>
      </w:r>
      <w:r>
        <w:rPr>
          <w:rFonts w:hint="eastAsia" w:eastAsia="方正仿宋_GBK"/>
          <w:color w:val="000000"/>
          <w:kern w:val="0"/>
          <w:sz w:val="24"/>
        </w:rPr>
        <w:t>》（</w:t>
      </w:r>
      <w:r>
        <w:rPr>
          <w:rFonts w:hint="eastAsia" w:eastAsia="方正仿宋_GBK"/>
          <w:color w:val="000000"/>
          <w:sz w:val="24"/>
        </w:rPr>
        <w:t>建质〔</w:t>
      </w:r>
      <w:r>
        <w:rPr>
          <w:rFonts w:eastAsia="方正仿宋_GBK"/>
          <w:color w:val="000000"/>
          <w:sz w:val="24"/>
        </w:rPr>
        <w:t>2008</w:t>
      </w:r>
      <w:r>
        <w:rPr>
          <w:rFonts w:hint="eastAsia" w:eastAsia="方正仿宋_GBK"/>
          <w:color w:val="000000"/>
          <w:sz w:val="24"/>
        </w:rPr>
        <w:t>〕</w:t>
      </w:r>
      <w:r>
        <w:rPr>
          <w:rFonts w:eastAsia="方正仿宋_GBK"/>
          <w:color w:val="000000"/>
          <w:sz w:val="24"/>
        </w:rPr>
        <w:t>231</w:t>
      </w:r>
      <w:r>
        <w:rPr>
          <w:rFonts w:hint="eastAsia" w:eastAsia="方正仿宋_GBK"/>
          <w:color w:val="000000"/>
          <w:sz w:val="24"/>
        </w:rPr>
        <w:t>号）</w:t>
      </w:r>
      <w:r>
        <w:rPr>
          <w:rFonts w:hint="eastAsia" w:eastAsia="方正仿宋_GBK"/>
          <w:color w:val="000000"/>
          <w:kern w:val="0"/>
          <w:sz w:val="24"/>
        </w:rPr>
        <w:t>的要求，结合我省实际，现就加强我省工程勘察市场及质量管理工作提出以下意见：</w:t>
      </w:r>
    </w:p>
    <w:p>
      <w:pPr>
        <w:spacing w:line="460" w:lineRule="exact"/>
        <w:ind w:firstLine="480" w:firstLineChars="200"/>
        <w:rPr>
          <w:rFonts w:ascii="Times New Roman" w:eastAsia="黑体"/>
          <w:bCs/>
          <w:color w:val="000000"/>
          <w:kern w:val="0"/>
          <w:sz w:val="24"/>
        </w:rPr>
      </w:pPr>
      <w:r>
        <w:rPr>
          <w:rFonts w:hint="eastAsia" w:ascii="Times New Roman" w:eastAsia="黑体"/>
          <w:bCs/>
          <w:color w:val="000000"/>
          <w:kern w:val="0"/>
          <w:sz w:val="24"/>
        </w:rPr>
        <w:t>一、</w:t>
      </w:r>
      <w:r>
        <w:rPr>
          <w:rFonts w:hint="eastAsia" w:ascii="Times New Roman" w:eastAsia="黑体"/>
          <w:color w:val="000000"/>
          <w:sz w:val="24"/>
        </w:rPr>
        <w:t>加大对工程勘察市场的监管力度，营造规范、公平的市场环境</w:t>
      </w:r>
    </w:p>
    <w:p>
      <w:pPr>
        <w:spacing w:line="460" w:lineRule="exact"/>
        <w:ind w:firstLine="480" w:firstLineChars="200"/>
        <w:rPr>
          <w:rFonts w:hint="eastAsia" w:eastAsia="方正仿宋_GBK"/>
          <w:bCs/>
          <w:color w:val="000000"/>
          <w:kern w:val="0"/>
          <w:sz w:val="24"/>
        </w:rPr>
      </w:pPr>
      <w:r>
        <w:rPr>
          <w:rFonts w:eastAsia="方正仿宋_GBK"/>
          <w:bCs/>
          <w:color w:val="000000"/>
          <w:kern w:val="0"/>
          <w:sz w:val="24"/>
        </w:rPr>
        <w:t>1</w:t>
      </w:r>
      <w:r>
        <w:rPr>
          <w:rFonts w:hint="eastAsia" w:eastAsia="方正仿宋_GBK"/>
          <w:bCs/>
          <w:color w:val="000000"/>
          <w:kern w:val="0"/>
          <w:sz w:val="24"/>
        </w:rPr>
        <w:t>、加强监督检查。通过市场集中检查、资质审查、施工图审查、资质核验、动态监管等措施，严厉查处挂靠、转包、违法分包以及无资质、超越资质承揽业务等违法违规行为，整顿市场秩序，净化市场环境。对存在上述问题的单位及个人要依法严肃查处，并向社会公布。</w:t>
      </w:r>
    </w:p>
    <w:p>
      <w:pPr>
        <w:spacing w:line="460" w:lineRule="exact"/>
        <w:ind w:firstLine="480" w:firstLineChars="200"/>
        <w:rPr>
          <w:rFonts w:eastAsia="方正仿宋_GBK"/>
          <w:bCs/>
          <w:color w:val="000000"/>
          <w:kern w:val="0"/>
          <w:sz w:val="24"/>
        </w:rPr>
      </w:pPr>
      <w:r>
        <w:rPr>
          <w:rFonts w:eastAsia="方正仿宋_GBK"/>
          <w:bCs/>
          <w:color w:val="000000"/>
          <w:kern w:val="0"/>
          <w:sz w:val="24"/>
        </w:rPr>
        <w:t>2</w:t>
      </w:r>
      <w:r>
        <w:rPr>
          <w:rFonts w:hint="eastAsia" w:eastAsia="方正仿宋_GBK"/>
          <w:bCs/>
          <w:color w:val="000000"/>
          <w:kern w:val="0"/>
          <w:sz w:val="24"/>
        </w:rPr>
        <w:t>、进一步完善诚信体系建设。</w:t>
      </w:r>
      <w:r>
        <w:rPr>
          <w:rFonts w:hint="eastAsia" w:eastAsia="方正仿宋_GBK"/>
          <w:color w:val="000000"/>
          <w:sz w:val="24"/>
        </w:rPr>
        <w:t>各地要逐渐在行政许可、市场准入、招标投标、资质管理、表彰评优等工作中，积极利用已公布的诚信行为信息，依法对守信行为给予激励和支持，对失信行为给予惩戒，逐步健全有效的诚信奖惩机制。</w:t>
      </w:r>
    </w:p>
    <w:p>
      <w:pPr>
        <w:spacing w:line="460" w:lineRule="exact"/>
        <w:ind w:firstLine="480" w:firstLineChars="200"/>
        <w:rPr>
          <w:rFonts w:ascii="Times New Roman" w:eastAsia="黑体"/>
          <w:bCs/>
          <w:color w:val="000000"/>
          <w:kern w:val="0"/>
          <w:sz w:val="24"/>
        </w:rPr>
      </w:pPr>
      <w:r>
        <w:rPr>
          <w:rFonts w:hint="eastAsia" w:ascii="Times New Roman" w:eastAsia="黑体"/>
          <w:bCs/>
          <w:color w:val="000000"/>
          <w:kern w:val="0"/>
          <w:sz w:val="24"/>
        </w:rPr>
        <w:t>二、加强质量监督，提高工程勘察质量</w:t>
      </w:r>
    </w:p>
    <w:p>
      <w:pPr>
        <w:spacing w:line="460" w:lineRule="exact"/>
        <w:ind w:firstLine="480" w:firstLineChars="200"/>
        <w:rPr>
          <w:rFonts w:hint="eastAsia" w:eastAsia="方正仿宋_GBK"/>
          <w:color w:val="000000"/>
          <w:sz w:val="24"/>
        </w:rPr>
      </w:pPr>
      <w:r>
        <w:rPr>
          <w:rFonts w:eastAsia="方正仿宋_GBK"/>
          <w:bCs/>
          <w:color w:val="000000"/>
          <w:kern w:val="0"/>
          <w:sz w:val="24"/>
        </w:rPr>
        <w:t>1</w:t>
      </w:r>
      <w:r>
        <w:rPr>
          <w:rFonts w:hint="eastAsia" w:eastAsia="方正仿宋_GBK"/>
          <w:bCs/>
          <w:color w:val="000000"/>
          <w:kern w:val="0"/>
          <w:sz w:val="24"/>
        </w:rPr>
        <w:t>、加大工程勘察质量检查的力度、深度和频次。</w:t>
      </w:r>
      <w:r>
        <w:rPr>
          <w:rFonts w:hint="eastAsia" w:eastAsia="方正仿宋_GBK"/>
          <w:color w:val="000000"/>
          <w:sz w:val="24"/>
        </w:rPr>
        <w:t>要持续开展工程勘察质量专项治理工作，重点检查钻孔数量、深度等现场作业是否符合规范要求和勘察方案，现场编录与试验记录的真实性等问题，注重根据施工中反映出的实际地质情况核查勘察成果质量。对于未按工程建设强制性标准和勘察方案进行勘察、弄虚作假等行为，要依法严肃处罚，并及时向社会公布。</w:t>
      </w:r>
    </w:p>
    <w:p>
      <w:pPr>
        <w:spacing w:line="460" w:lineRule="exact"/>
        <w:ind w:firstLine="480" w:firstLineChars="200"/>
        <w:rPr>
          <w:rFonts w:eastAsia="方正仿宋_GBK"/>
          <w:bCs/>
          <w:color w:val="000000"/>
          <w:kern w:val="0"/>
          <w:sz w:val="24"/>
        </w:rPr>
      </w:pPr>
      <w:r>
        <w:rPr>
          <w:rFonts w:eastAsia="方正仿宋_GBK"/>
          <w:color w:val="000000"/>
          <w:sz w:val="24"/>
        </w:rPr>
        <w:t>2</w:t>
      </w:r>
      <w:r>
        <w:rPr>
          <w:rFonts w:hint="eastAsia" w:eastAsia="方正仿宋_GBK"/>
          <w:color w:val="000000"/>
          <w:sz w:val="24"/>
        </w:rPr>
        <w:t>、</w:t>
      </w:r>
      <w:r>
        <w:rPr>
          <w:rFonts w:hint="eastAsia" w:eastAsia="方正仿宋_GBK"/>
          <w:bCs/>
          <w:color w:val="000000"/>
          <w:kern w:val="0"/>
          <w:sz w:val="24"/>
        </w:rPr>
        <w:t>加强工程勘察现场作业的动态监管。</w:t>
      </w:r>
      <w:r>
        <w:rPr>
          <w:rFonts w:hint="eastAsia" w:eastAsia="方正仿宋_GBK"/>
          <w:color w:val="000000"/>
          <w:sz w:val="24"/>
        </w:rPr>
        <w:t>勘察单位应在现场作业前三个工作日告知项目所在地建设行政主管部门，建设行政主管部门可以组织有关人员对现场作业情况进行抽查。有条件的地区或单位可以实施</w:t>
      </w:r>
      <w:r>
        <w:rPr>
          <w:rFonts w:hint="eastAsia" w:eastAsia="方正仿宋_GBK"/>
          <w:bCs/>
          <w:color w:val="000000"/>
          <w:sz w:val="24"/>
        </w:rPr>
        <w:t>工程勘察现场作业见证。</w:t>
      </w:r>
      <w:r>
        <w:rPr>
          <w:rFonts w:hint="eastAsia" w:eastAsia="方正仿宋_GBK"/>
          <w:color w:val="000000"/>
          <w:sz w:val="24"/>
        </w:rPr>
        <w:t>建立并实施工程勘察现场作业质量举报制度。任何单位和个人都有权对工程勘察现场作业时不按照标准、规范或技术规程进行勘察，编录数据时弄虚作假等行为进行举报。各市（县）建设行政主管部门要公布举报联系方式，对被举报的行为认真核查，一经查实，须按照相关法律、法规和规章对责任单位和责任人进行处罚。</w:t>
      </w:r>
    </w:p>
    <w:p>
      <w:pPr>
        <w:spacing w:line="460" w:lineRule="exact"/>
        <w:ind w:firstLine="480" w:firstLineChars="200"/>
        <w:rPr>
          <w:rFonts w:eastAsia="方正仿宋_GBK"/>
          <w:bCs/>
          <w:color w:val="000000"/>
          <w:kern w:val="0"/>
          <w:sz w:val="24"/>
        </w:rPr>
      </w:pPr>
      <w:r>
        <w:rPr>
          <w:rFonts w:eastAsia="方正仿宋_GBK"/>
          <w:bCs/>
          <w:color w:val="000000"/>
          <w:kern w:val="0"/>
          <w:sz w:val="24"/>
        </w:rPr>
        <w:t>3</w:t>
      </w:r>
      <w:r>
        <w:rPr>
          <w:rFonts w:hint="eastAsia" w:eastAsia="方正仿宋_GBK"/>
          <w:bCs/>
          <w:color w:val="000000"/>
          <w:kern w:val="0"/>
          <w:sz w:val="24"/>
        </w:rPr>
        <w:t>、加强对施工图审查机构的监管力度。要定期开展对施工图审查机构的监督检查，重点检查其是否错审、漏审强制性标准或强制性条文及审查的内容是否缺项等。对于在检查中存在上述问题的审图机构要依法予以处理。</w:t>
      </w:r>
    </w:p>
    <w:p>
      <w:pPr>
        <w:spacing w:line="460" w:lineRule="exact"/>
        <w:ind w:firstLine="480" w:firstLineChars="200"/>
        <w:rPr>
          <w:rFonts w:eastAsia="方正仿宋_GBK"/>
          <w:bCs/>
          <w:color w:val="000000"/>
          <w:sz w:val="24"/>
        </w:rPr>
      </w:pPr>
      <w:r>
        <w:rPr>
          <w:rFonts w:eastAsia="方正仿宋_GBK"/>
          <w:bCs/>
          <w:color w:val="000000"/>
          <w:sz w:val="24"/>
        </w:rPr>
        <w:t>4</w:t>
      </w:r>
      <w:r>
        <w:rPr>
          <w:rFonts w:hint="eastAsia" w:eastAsia="方正仿宋_GBK"/>
          <w:bCs/>
          <w:color w:val="000000"/>
          <w:sz w:val="24"/>
        </w:rPr>
        <w:t>、建立并实施工程勘察质量定期公布制度。施工图审查机构应及时向项目所在地建设行政主管部门上报勘察单位违反强制性标准的情况，建设行政主管部门应定期汇总施工图审查机构的上报信息，并向社会公布。</w:t>
      </w:r>
    </w:p>
    <w:p>
      <w:pPr>
        <w:spacing w:line="460" w:lineRule="exact"/>
        <w:ind w:firstLine="480" w:firstLineChars="200"/>
        <w:rPr>
          <w:rFonts w:eastAsia="方正仿宋_GBK"/>
          <w:color w:val="000000"/>
          <w:sz w:val="24"/>
        </w:rPr>
      </w:pPr>
      <w:r>
        <w:rPr>
          <w:rFonts w:eastAsia="方正仿宋_GBK"/>
          <w:color w:val="000000"/>
          <w:kern w:val="0"/>
          <w:sz w:val="24"/>
        </w:rPr>
        <w:t>5</w:t>
      </w:r>
      <w:r>
        <w:rPr>
          <w:rFonts w:hint="eastAsia" w:eastAsia="方正仿宋_GBK"/>
          <w:color w:val="000000"/>
          <w:kern w:val="0"/>
          <w:sz w:val="24"/>
        </w:rPr>
        <w:t>、认真落实工程勘察从业人员执业、持证上岗制度。要依据部、省有关注册土木工程师（岩土）执业的要求，认真落实注册土木工程师（岩土）执业制度。</w:t>
      </w:r>
      <w:r>
        <w:rPr>
          <w:rFonts w:hint="eastAsia" w:eastAsia="方正仿宋_GBK"/>
          <w:color w:val="000000"/>
          <w:sz w:val="24"/>
        </w:rPr>
        <w:t>注册土木工程师（岩土）须按照住房和城乡建设部《</w:t>
      </w:r>
      <w:r>
        <w:rPr>
          <w:rStyle w:val="14"/>
          <w:rFonts w:hint="eastAsia" w:eastAsia="方正仿宋_GBK"/>
          <w:color w:val="000000"/>
        </w:rPr>
        <w:t>注册土木工程师（岩土）执业及管理工作暂行规定</w:t>
      </w:r>
      <w:r>
        <w:rPr>
          <w:rFonts w:hint="eastAsia" w:eastAsia="方正仿宋_GBK"/>
          <w:color w:val="000000"/>
          <w:sz w:val="24"/>
        </w:rPr>
        <w:t>》的要求在相关技术文件上签字、盖章，并对其签章技术文件的技术质量负责。凡未经注册土木工程师（岩土）签章的技术文件，不得作为岩土工程项目实施的依据。</w:t>
      </w:r>
      <w:r>
        <w:rPr>
          <w:rFonts w:hint="eastAsia" w:eastAsia="方正仿宋_GBK"/>
          <w:color w:val="000000"/>
          <w:kern w:val="0"/>
          <w:sz w:val="24"/>
        </w:rPr>
        <w:t>要对工程勘察现场作业人员和土工试验人员实施持证上岗制度。</w:t>
      </w:r>
      <w:r>
        <w:rPr>
          <w:rFonts w:hint="eastAsia" w:eastAsia="方正仿宋_GBK"/>
          <w:color w:val="000000"/>
          <w:sz w:val="24"/>
        </w:rPr>
        <w:t>上述人员必须经过专业培训，经培训合格后方可上岗。各级建设行政主管部门及勘察单位应建立现场作业和土工试验人员的培训档案。</w:t>
      </w:r>
    </w:p>
    <w:p>
      <w:pPr>
        <w:spacing w:line="460" w:lineRule="exact"/>
        <w:ind w:firstLine="456" w:firstLineChars="200"/>
        <w:rPr>
          <w:rFonts w:ascii="Times New Roman" w:eastAsia="黑体"/>
          <w:bCs/>
          <w:color w:val="000000"/>
          <w:spacing w:val="-6"/>
          <w:kern w:val="0"/>
          <w:sz w:val="24"/>
        </w:rPr>
      </w:pPr>
      <w:r>
        <w:rPr>
          <w:rFonts w:hint="eastAsia" w:ascii="Times New Roman" w:eastAsia="黑体"/>
          <w:bCs/>
          <w:color w:val="000000"/>
          <w:spacing w:val="-6"/>
          <w:kern w:val="0"/>
          <w:sz w:val="24"/>
        </w:rPr>
        <w:t>三、进一步提高工程勘察质量责任意识，全面落实工程勘察有关各方质量责任</w:t>
      </w:r>
    </w:p>
    <w:p>
      <w:pPr>
        <w:spacing w:line="460" w:lineRule="exact"/>
        <w:ind w:firstLine="480" w:firstLineChars="200"/>
        <w:rPr>
          <w:rFonts w:hint="eastAsia" w:eastAsia="方正仿宋_GBK"/>
          <w:bCs/>
          <w:color w:val="000000"/>
          <w:kern w:val="0"/>
          <w:sz w:val="24"/>
        </w:rPr>
      </w:pPr>
      <w:r>
        <w:rPr>
          <w:rFonts w:hint="eastAsia" w:eastAsia="方正仿宋_GBK"/>
          <w:color w:val="000000"/>
          <w:kern w:val="0"/>
          <w:sz w:val="24"/>
        </w:rPr>
        <w:t>工程勘察是工程建设的基础，其质量的优劣直接关系到建设工程质量、投资效益和使用安全。各方责任主体应切实增强质量意识，落实质量责任，保证工程勘察质量。</w:t>
      </w:r>
    </w:p>
    <w:p>
      <w:pPr>
        <w:spacing w:line="460" w:lineRule="exact"/>
        <w:ind w:firstLine="480" w:firstLineChars="200"/>
        <w:rPr>
          <w:rFonts w:eastAsia="方正仿宋_GBK"/>
          <w:bCs/>
          <w:color w:val="000000"/>
          <w:kern w:val="0"/>
          <w:sz w:val="24"/>
        </w:rPr>
      </w:pPr>
      <w:r>
        <w:rPr>
          <w:rFonts w:hint="eastAsia" w:eastAsia="方正仿宋_GBK"/>
          <w:bCs/>
          <w:color w:val="000000"/>
          <w:kern w:val="0"/>
          <w:sz w:val="24"/>
        </w:rPr>
        <w:t>建设</w:t>
      </w:r>
      <w:r>
        <w:rPr>
          <w:rFonts w:hint="eastAsia" w:eastAsia="方正仿宋_GBK"/>
          <w:color w:val="000000"/>
          <w:sz w:val="24"/>
        </w:rPr>
        <w:t>单位要为勘察工作提供必要的现场工作条件，保证合理的勘察周期，提供真实、可靠的勘察依据和相关资料，同时要充分利用城建档案资料。要严格执行工程勘察收费标准。不得明示或暗示勘察企业违反工程建设强制性标准。</w:t>
      </w:r>
    </w:p>
    <w:p>
      <w:pPr>
        <w:spacing w:line="460" w:lineRule="exact"/>
        <w:ind w:firstLine="480" w:firstLineChars="200"/>
        <w:rPr>
          <w:rFonts w:eastAsia="方正仿宋_GBK"/>
          <w:bCs/>
          <w:color w:val="000000"/>
          <w:kern w:val="0"/>
          <w:sz w:val="24"/>
        </w:rPr>
      </w:pPr>
      <w:r>
        <w:rPr>
          <w:rFonts w:hint="eastAsia" w:eastAsia="方正仿宋_GBK"/>
          <w:bCs/>
          <w:color w:val="000000"/>
          <w:kern w:val="0"/>
          <w:sz w:val="24"/>
        </w:rPr>
        <w:t>工程勘察单位</w:t>
      </w:r>
      <w:r>
        <w:rPr>
          <w:rFonts w:hint="eastAsia" w:eastAsia="方正仿宋_GBK"/>
          <w:color w:val="000000"/>
          <w:sz w:val="24"/>
        </w:rPr>
        <w:t>要严格按照有关法律、法规和技术标准开展勘察工作，并对勘察质量全面负责。要按照《工程建设勘察企业质量管理规范》要求，建立健全内部质量管理体系和质量责任制度，强化现场作业质量和土工试验管理，保证原始记录和试验数据的可靠性、真实性和完整性，严禁离开现场进行追记、补记和修改记录。勘察文件（含原始资料）应符合国家有关勘察规范、标准、编制深度规定及国家关于城建档案管理的要求，并在勘察报告中对复杂场地条件和可能给工程造成危险的环境条件，做出必要说明。</w:t>
      </w:r>
    </w:p>
    <w:p>
      <w:pPr>
        <w:spacing w:line="460" w:lineRule="exact"/>
        <w:ind w:firstLine="480" w:firstLineChars="200"/>
        <w:rPr>
          <w:rFonts w:eastAsia="方正仿宋_GBK"/>
          <w:bCs/>
          <w:color w:val="000000"/>
          <w:kern w:val="0"/>
          <w:sz w:val="24"/>
        </w:rPr>
      </w:pPr>
      <w:r>
        <w:rPr>
          <w:rFonts w:hint="eastAsia" w:eastAsia="方正仿宋_GBK"/>
          <w:bCs/>
          <w:color w:val="000000"/>
          <w:kern w:val="0"/>
          <w:sz w:val="24"/>
        </w:rPr>
        <w:t>施工图审查机构</w:t>
      </w:r>
      <w:r>
        <w:rPr>
          <w:rFonts w:hint="eastAsia" w:eastAsia="方正仿宋_GBK"/>
          <w:color w:val="000000"/>
          <w:sz w:val="24"/>
        </w:rPr>
        <w:t>要对勘察文件（含原始资料）中涉及工程建设强制性标准的内容严格把关，并认真核查原始资料与勘察报告的有关内容是否吻合。审查不合格的勘察文件要及时退建设单位并书面说明不合格原因，发现有关违反法律、法规和工程建设强制性标准的问题，应及时报建设行政主管部门。</w:t>
      </w:r>
    </w:p>
    <w:p>
      <w:pPr>
        <w:spacing w:line="460" w:lineRule="exact"/>
        <w:ind w:firstLine="480" w:firstLineChars="200"/>
        <w:rPr>
          <w:rFonts w:eastAsia="方正仿宋_GBK"/>
          <w:bCs/>
          <w:color w:val="000000"/>
          <w:kern w:val="0"/>
          <w:sz w:val="24"/>
        </w:rPr>
      </w:pPr>
      <w:r>
        <w:rPr>
          <w:rFonts w:hint="eastAsia" w:eastAsia="方正仿宋_GBK"/>
          <w:bCs/>
          <w:color w:val="000000"/>
          <w:kern w:val="0"/>
          <w:sz w:val="24"/>
        </w:rPr>
        <w:t>工程设计、施工、监理企业</w:t>
      </w:r>
      <w:r>
        <w:rPr>
          <w:rFonts w:hint="eastAsia" w:eastAsia="方正仿宋_GBK"/>
          <w:color w:val="000000"/>
          <w:sz w:val="24"/>
        </w:rPr>
        <w:t>发现勘察文件不符合工程建设强制性标准，存在质量安全问题和隐患的，要及时报告建设单位和有关部门。</w:t>
      </w:r>
    </w:p>
    <w:p>
      <w:pPr>
        <w:spacing w:line="460" w:lineRule="exact"/>
        <w:ind w:firstLine="480" w:firstLineChars="200"/>
        <w:rPr>
          <w:rFonts w:ascii="Times New Roman" w:eastAsia="黑体"/>
          <w:bCs/>
          <w:color w:val="000000"/>
          <w:kern w:val="0"/>
          <w:sz w:val="24"/>
        </w:rPr>
      </w:pPr>
      <w:r>
        <w:rPr>
          <w:rFonts w:hint="eastAsia" w:ascii="Times New Roman" w:eastAsia="黑体"/>
          <w:bCs/>
          <w:color w:val="000000"/>
          <w:kern w:val="0"/>
          <w:sz w:val="24"/>
        </w:rPr>
        <w:t>四、建立健全企业内部质量管理制度，全面提高工程勘察水平</w:t>
      </w:r>
    </w:p>
    <w:p>
      <w:pPr>
        <w:spacing w:line="460" w:lineRule="exact"/>
        <w:ind w:firstLine="480" w:firstLineChars="200"/>
        <w:rPr>
          <w:rFonts w:hint="eastAsia" w:eastAsia="方正仿宋_GBK"/>
          <w:color w:val="000000"/>
          <w:kern w:val="0"/>
          <w:sz w:val="24"/>
        </w:rPr>
      </w:pPr>
      <w:r>
        <w:rPr>
          <w:rFonts w:hint="eastAsia" w:eastAsia="方正仿宋_GBK"/>
          <w:color w:val="000000"/>
          <w:kern w:val="0"/>
          <w:sz w:val="24"/>
        </w:rPr>
        <w:t>（一）建立健全质量管理的长效机制。工程勘察单位要全面建立健全质量责任管理制度，科学划分本单位法定代表人、技术负责人、项目负责人、审核人、审定人的质量职责范围，设置必要的质量保证组织。法定代表人应对本单位勘察质量全面负责。</w:t>
      </w:r>
    </w:p>
    <w:p>
      <w:pPr>
        <w:spacing w:line="460" w:lineRule="exact"/>
        <w:ind w:firstLine="480" w:firstLineChars="200"/>
        <w:rPr>
          <w:rFonts w:eastAsia="方正仿宋_GBK"/>
          <w:color w:val="000000"/>
          <w:kern w:val="0"/>
          <w:sz w:val="24"/>
        </w:rPr>
      </w:pPr>
      <w:r>
        <w:rPr>
          <w:rFonts w:hint="eastAsia" w:eastAsia="方正仿宋_GBK"/>
          <w:color w:val="000000"/>
          <w:kern w:val="0"/>
          <w:sz w:val="24"/>
        </w:rPr>
        <w:t>（二）建立工程勘察文件质量的内部审查制度。要严格执行签字签章制度，相关技术人员应按照有关规定在勘察文件上签字（不得代签或打印），注册执业人员应</w:t>
      </w:r>
      <w:r>
        <w:rPr>
          <w:rFonts w:hint="eastAsia" w:eastAsia="方正仿宋_GBK"/>
          <w:color w:val="000000"/>
          <w:sz w:val="24"/>
        </w:rPr>
        <w:t>在规定的技术文件上签字并加盖执业印章</w:t>
      </w:r>
      <w:r>
        <w:rPr>
          <w:rFonts w:hint="eastAsia" w:eastAsia="方正仿宋_GBK"/>
          <w:color w:val="000000"/>
          <w:kern w:val="0"/>
          <w:sz w:val="24"/>
        </w:rPr>
        <w:t>，并对工程勘察质量承担相应责任；项目负责人必须对工程勘察过程中各项作业资料包括现场作业原始记录和试验资料进行验收和签字，对勘察资料的真实性负责，并对项目的勘察文件负主要质量责任。勘察文件须经本单位校审合格后方可盖章出图，由项目业主报送施工图审查机构进行审查，勘察单位不得以施工图审查机构审查代替本单位的审查。</w:t>
      </w:r>
    </w:p>
    <w:p>
      <w:pPr>
        <w:spacing w:line="460" w:lineRule="exact"/>
        <w:ind w:firstLine="480" w:firstLineChars="200"/>
        <w:rPr>
          <w:rFonts w:eastAsia="方正仿宋_GBK"/>
          <w:color w:val="000000"/>
          <w:kern w:val="0"/>
          <w:sz w:val="24"/>
        </w:rPr>
      </w:pPr>
      <w:r>
        <w:rPr>
          <w:rFonts w:hint="eastAsia" w:eastAsia="方正仿宋_GBK"/>
          <w:color w:val="000000"/>
          <w:kern w:val="0"/>
          <w:sz w:val="24"/>
        </w:rPr>
        <w:t>（三）建立健全工程勘察文件档案管理制度。工程勘察成果资料是工程建设的依据，为保证对工程勘察质量全过程进行系统的管理，各工程勘察单位应在勘察过程中收集所必须的文件和资料，进行规范整理，并根据有关要求认真做好工程勘察文件的档案管理工作，强化工程勘察质量记录的可追溯性。</w:t>
      </w:r>
    </w:p>
    <w:p>
      <w:pPr>
        <w:spacing w:line="460" w:lineRule="exact"/>
        <w:ind w:firstLine="480" w:firstLineChars="200"/>
        <w:rPr>
          <w:rFonts w:ascii="Times New Roman" w:eastAsia="黑体"/>
          <w:bCs/>
          <w:color w:val="000000"/>
          <w:kern w:val="0"/>
          <w:sz w:val="24"/>
        </w:rPr>
      </w:pPr>
      <w:r>
        <w:rPr>
          <w:rFonts w:hint="eastAsia" w:ascii="Times New Roman" w:eastAsia="黑体"/>
          <w:bCs/>
          <w:color w:val="000000"/>
          <w:kern w:val="0"/>
          <w:sz w:val="24"/>
        </w:rPr>
        <w:t>五、加强人才培养，切实提高勘察人员的技术水平</w:t>
      </w:r>
    </w:p>
    <w:p>
      <w:pPr>
        <w:spacing w:line="460" w:lineRule="exact"/>
        <w:ind w:firstLine="480" w:firstLineChars="200"/>
        <w:rPr>
          <w:rFonts w:hint="eastAsia" w:eastAsia="方正仿宋_GBK"/>
          <w:color w:val="000000"/>
          <w:kern w:val="0"/>
          <w:sz w:val="24"/>
        </w:rPr>
      </w:pPr>
      <w:r>
        <w:rPr>
          <w:rFonts w:hint="eastAsia" w:eastAsia="方正仿宋_GBK"/>
          <w:color w:val="000000"/>
          <w:kern w:val="0"/>
          <w:sz w:val="24"/>
        </w:rPr>
        <w:t>各工程勘察单位应制定技术人员中长期培训计划，采取行之有效的方式，组织管理人员、技术人员进行培训，系统学习工程建设相关法律法规、工程勘察文件编制深度规定、勘察标准、规范和相关文件等，增强管理人员与技术人员的法律意识和责任意识，切实提高管理水平与业务技术水平。</w:t>
      </w:r>
    </w:p>
    <w:p>
      <w:pPr>
        <w:spacing w:line="460" w:lineRule="exact"/>
        <w:ind w:firstLine="480" w:firstLineChars="200"/>
        <w:rPr>
          <w:rFonts w:ascii="Times New Roman" w:eastAsia="黑体"/>
          <w:bCs/>
          <w:color w:val="000000"/>
          <w:kern w:val="0"/>
          <w:sz w:val="24"/>
        </w:rPr>
      </w:pPr>
      <w:r>
        <w:rPr>
          <w:rFonts w:hint="eastAsia" w:ascii="Times New Roman" w:eastAsia="黑体"/>
          <w:bCs/>
          <w:color w:val="000000"/>
          <w:kern w:val="0"/>
          <w:sz w:val="24"/>
        </w:rPr>
        <w:t>六、充分发挥行业协会作用，加强行业自律</w:t>
      </w:r>
    </w:p>
    <w:p>
      <w:pPr>
        <w:spacing w:line="460" w:lineRule="exact"/>
        <w:ind w:firstLine="480" w:firstLineChars="200"/>
        <w:rPr>
          <w:rFonts w:hint="eastAsia" w:eastAsia="方正仿宋_GBK"/>
          <w:color w:val="000000"/>
          <w:sz w:val="24"/>
        </w:rPr>
      </w:pPr>
      <w:r>
        <w:rPr>
          <w:rFonts w:hint="eastAsia" w:eastAsia="方正仿宋_GBK"/>
          <w:color w:val="000000"/>
          <w:sz w:val="24"/>
        </w:rPr>
        <w:t>在行业自律建设方面，行业协会担负着重要职责，要围绕规范市场秩序，健全各项自律性管理制度，制定并组织实施行业职业道德准则，大力推动行业诚信建设，建立完善行业自律性管理约束机制，规范会员行为，协调会员关系，维护公平竞争的市场秩序。</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p>
    <w:p/>
    <w:p/>
    <w:p/>
    <w:p/>
    <w:p/>
    <w:p/>
    <w:p/>
    <w:p/>
    <w:p/>
    <w:p/>
    <w:p/>
    <w:p/>
    <w:p/>
    <w:p/>
    <w:p/>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212" w:name="_Toc20726456"/>
      <w:bookmarkStart w:id="213" w:name="_Toc18315562"/>
      <w:r>
        <w:rPr>
          <w:rFonts w:hint="eastAsia" w:ascii="Times New Roman" w:eastAsia="方正小标宋_GBK"/>
          <w:b w:val="0"/>
          <w:sz w:val="36"/>
          <w:szCs w:val="36"/>
        </w:rPr>
        <w:t>省住房城乡建设厅、省通信管理局关于全面贯彻落实光纤到户国家标准的通知</w:t>
      </w:r>
      <w:bookmarkEnd w:id="212"/>
      <w:bookmarkEnd w:id="213"/>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14" w:name="_Toc20726457"/>
      <w:bookmarkStart w:id="215" w:name="_Toc18315563"/>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348</w:t>
      </w:r>
      <w:r>
        <w:rPr>
          <w:rFonts w:hint="eastAsia" w:ascii="Times New Roman" w:hAnsi="Times New Roman" w:eastAsia="方正楷体_GBK"/>
          <w:b w:val="0"/>
          <w:sz w:val="24"/>
          <w:szCs w:val="24"/>
        </w:rPr>
        <w:t>号</w:t>
      </w:r>
      <w:bookmarkEnd w:id="214"/>
      <w:bookmarkEnd w:id="215"/>
    </w:p>
    <w:p>
      <w:pPr>
        <w:spacing w:line="420" w:lineRule="exact"/>
        <w:rPr>
          <w:rFonts w:eastAsia="方正仿宋_GBK"/>
          <w:color w:val="000000"/>
          <w:spacing w:val="-2"/>
          <w:sz w:val="24"/>
        </w:rPr>
      </w:pPr>
      <w:r>
        <w:rPr>
          <w:rFonts w:hint="eastAsia" w:eastAsia="方正仿宋_GBK"/>
          <w:color w:val="000000"/>
          <w:spacing w:val="-2"/>
          <w:sz w:val="24"/>
        </w:rPr>
        <w:t>各省辖市建设局（委）、规划局、房管局，昆山、泰兴、沭阳县（市）建设局、规划局，中国电信股份有限公司江苏分公司、中国移动通信集团江苏有限公司、中国联合网络通信有限公司江苏省分公司，江苏省通信行业协会、各市通信行业协会：</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为贯彻落实《住房城乡建设部、工业和信息化部关于贯彻落实光纤到户国家标准的通知》（建标〔</w:t>
      </w:r>
      <w:r>
        <w:rPr>
          <w:rFonts w:eastAsia="方正仿宋_GBK"/>
          <w:color w:val="000000"/>
          <w:spacing w:val="-2"/>
          <w:sz w:val="24"/>
        </w:rPr>
        <w:t>2013</w:t>
      </w:r>
      <w:r>
        <w:rPr>
          <w:rFonts w:hint="eastAsia" w:eastAsia="方正仿宋_GBK"/>
          <w:color w:val="000000"/>
          <w:spacing w:val="-2"/>
          <w:sz w:val="24"/>
        </w:rPr>
        <w:t>〕</w:t>
      </w:r>
      <w:r>
        <w:rPr>
          <w:rFonts w:eastAsia="方正仿宋_GBK"/>
          <w:color w:val="000000"/>
          <w:spacing w:val="-2"/>
          <w:sz w:val="24"/>
        </w:rPr>
        <w:t>36</w:t>
      </w:r>
      <w:r>
        <w:rPr>
          <w:rFonts w:hint="eastAsia" w:eastAsia="方正仿宋_GBK"/>
          <w:color w:val="000000"/>
          <w:spacing w:val="-2"/>
          <w:sz w:val="24"/>
        </w:rPr>
        <w:t>号）精神，进一步规范我省住宅区和住宅建筑内光纤到户通信设施建设（以下简称光纤到户），提升住宅区通信基础设施建设水平，实现资源共享，满足居民对通信业务的需求，保障居住者的合法权益，结合我省实际情况，就有关要求通知如下：</w:t>
      </w:r>
    </w:p>
    <w:p>
      <w:pPr>
        <w:spacing w:line="42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一、全面推进新建住宅建筑光纤到户</w:t>
      </w:r>
    </w:p>
    <w:p>
      <w:pPr>
        <w:pStyle w:val="18"/>
        <w:spacing w:line="420" w:lineRule="exact"/>
        <w:ind w:firstLine="354" w:firstLineChars="150"/>
        <w:rPr>
          <w:rFonts w:hint="eastAsia" w:eastAsia="方正仿宋_GBK"/>
          <w:color w:val="000000"/>
          <w:spacing w:val="-2"/>
          <w:sz w:val="24"/>
        </w:rPr>
      </w:pPr>
      <w:r>
        <w:rPr>
          <w:rFonts w:hint="eastAsia" w:eastAsia="方正仿宋_GBK"/>
          <w:color w:val="000000"/>
          <w:spacing w:val="-2"/>
          <w:sz w:val="24"/>
        </w:rPr>
        <w:t>（一）贯彻落实好光纤到户国家标准。国家标准《住宅区和住宅建筑内光纤到户通信设施工程设计规范》（</w:t>
      </w:r>
      <w:r>
        <w:rPr>
          <w:rFonts w:eastAsia="方正仿宋_GBK"/>
          <w:color w:val="000000"/>
          <w:spacing w:val="-2"/>
          <w:sz w:val="24"/>
        </w:rPr>
        <w:t>GB 50846-2012</w:t>
      </w:r>
      <w:r>
        <w:rPr>
          <w:rFonts w:hint="eastAsia" w:eastAsia="方正仿宋_GBK"/>
          <w:color w:val="000000"/>
          <w:spacing w:val="-2"/>
          <w:sz w:val="24"/>
        </w:rPr>
        <w:t>）、《住宅区和住宅建筑内光纤到户通信设施工程施工及验收规范》（</w:t>
      </w:r>
      <w:r>
        <w:rPr>
          <w:rFonts w:eastAsia="方正仿宋_GBK"/>
          <w:color w:val="000000"/>
          <w:spacing w:val="-2"/>
          <w:sz w:val="24"/>
        </w:rPr>
        <w:t>GB 50847-2012</w:t>
      </w:r>
      <w:r>
        <w:rPr>
          <w:rFonts w:hint="eastAsia" w:eastAsia="方正仿宋_GBK"/>
          <w:color w:val="000000"/>
          <w:spacing w:val="-2"/>
          <w:sz w:val="24"/>
        </w:rPr>
        <w:t>）（以下简称光纤到户国家标准）已于</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4</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正式实施。各省辖市有关部门和单位要根据各自职责做好国家标准的贯彻落实工作。全省县级及以上城区新建住宅区、住宅建筑及商住楼的建设规划、设计、施工和验收等活动，应当执行光纤到户国家标准。江苏省《住宅小区光纤到户通信配套设施建设标准》（</w:t>
      </w:r>
      <w:r>
        <w:rPr>
          <w:rFonts w:eastAsia="方正仿宋_GBK"/>
          <w:color w:val="000000"/>
          <w:spacing w:val="-2"/>
          <w:sz w:val="24"/>
        </w:rPr>
        <w:t>DGJ32/TJ 118—2011</w:t>
      </w:r>
      <w:r>
        <w:rPr>
          <w:rFonts w:hint="eastAsia" w:eastAsia="方正仿宋_GBK"/>
          <w:color w:val="000000"/>
          <w:spacing w:val="-2"/>
          <w:sz w:val="24"/>
        </w:rPr>
        <w:t>）中技术指标高于国标的仍以省标执行。</w:t>
      </w:r>
    </w:p>
    <w:p>
      <w:pPr>
        <w:spacing w:line="420" w:lineRule="exact"/>
        <w:ind w:firstLine="354" w:firstLineChars="150"/>
        <w:rPr>
          <w:rFonts w:eastAsia="方正仿宋_GBK"/>
          <w:color w:val="000000"/>
          <w:spacing w:val="-2"/>
          <w:sz w:val="24"/>
          <w:u w:val="single"/>
        </w:rPr>
      </w:pPr>
      <w:r>
        <w:rPr>
          <w:rFonts w:hint="eastAsia" w:eastAsia="方正仿宋_GBK"/>
          <w:color w:val="000000"/>
          <w:spacing w:val="-2"/>
          <w:sz w:val="24"/>
        </w:rPr>
        <w:t>（二）工程设计单位应按照光纤到户国家要求和合同约定进行住宅建筑及商住楼通信配套设施的设计。</w:t>
      </w:r>
    </w:p>
    <w:p>
      <w:pPr>
        <w:spacing w:line="420" w:lineRule="exact"/>
        <w:ind w:firstLine="354" w:firstLineChars="150"/>
        <w:rPr>
          <w:rFonts w:eastAsia="方正仿宋_GBK"/>
          <w:color w:val="000000"/>
          <w:spacing w:val="-2"/>
          <w:sz w:val="24"/>
          <w:u w:val="single"/>
        </w:rPr>
      </w:pPr>
      <w:r>
        <w:rPr>
          <w:rFonts w:hint="eastAsia" w:eastAsia="方正仿宋_GBK"/>
          <w:color w:val="000000"/>
          <w:spacing w:val="-2"/>
          <w:sz w:val="24"/>
        </w:rPr>
        <w:t>（三）施工图审查机构在审查建设单位报送的施工图设计文件时，应根据规范规定的要求对设计光纤到户的内容进行审查。建设行政主管部门应在含光纤到户国家标准实施内容的施工图设计审查合格后，核发《施工许可证》。</w:t>
      </w:r>
    </w:p>
    <w:p>
      <w:pPr>
        <w:pStyle w:val="18"/>
        <w:spacing w:line="420" w:lineRule="exact"/>
        <w:ind w:firstLine="354" w:firstLineChars="150"/>
        <w:rPr>
          <w:rFonts w:eastAsia="方正仿宋_GBK"/>
          <w:color w:val="000000"/>
          <w:spacing w:val="-2"/>
          <w:sz w:val="24"/>
        </w:rPr>
      </w:pPr>
      <w:r>
        <w:rPr>
          <w:rFonts w:hint="eastAsia" w:eastAsia="方正仿宋_GBK"/>
          <w:color w:val="000000"/>
          <w:spacing w:val="-2"/>
          <w:sz w:val="24"/>
        </w:rPr>
        <w:t>（四）住宅建设单位必须组织对光纤到户通信设施进行验收，并将验收文件报通信主管部门备案。各地市通信行业协会应积极组织力量，配合做好住宅建筑及商住楼通信配套设施专项验收，向住宅建设单位提供相关技术标准服务。省通信工程质量监督中心应根据光纤到户标准要求加大检查力度，严格光纤到户工程质量。</w:t>
      </w:r>
    </w:p>
    <w:p>
      <w:pPr>
        <w:pStyle w:val="18"/>
        <w:spacing w:line="420" w:lineRule="exact"/>
        <w:ind w:firstLine="354" w:firstLineChars="150"/>
        <w:rPr>
          <w:rFonts w:eastAsia="方正仿宋_GBK"/>
          <w:color w:val="000000"/>
          <w:spacing w:val="-2"/>
          <w:sz w:val="24"/>
        </w:rPr>
      </w:pPr>
      <w:r>
        <w:rPr>
          <w:rFonts w:hint="eastAsia" w:eastAsia="方正仿宋_GBK"/>
          <w:color w:val="000000"/>
          <w:spacing w:val="-2"/>
          <w:sz w:val="24"/>
        </w:rPr>
        <w:t>（五）通信配套设施专项验收备案工作由省通信管理局委托各市通信行业协会受理。各市通信行业协会按月汇总报送江苏省通信管理局。光纤到户通信设施未按要求验收或者验收不合格的，不得接入公用电信网；对擅自为未取得验收备案意见的住宅区和住宅项目提供公用通信接入的通信运营企业和用户驻地网业务经营单位，省通信管理局将根据有关规定严肃处理。</w:t>
      </w:r>
    </w:p>
    <w:p>
      <w:pPr>
        <w:spacing w:line="42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二、加快推动老小区光纤到户的改造</w:t>
      </w:r>
    </w:p>
    <w:p>
      <w:pPr>
        <w:pStyle w:val="18"/>
        <w:spacing w:line="420" w:lineRule="exact"/>
        <w:ind w:firstLine="354" w:firstLineChars="150"/>
        <w:rPr>
          <w:rFonts w:hint="eastAsia" w:eastAsia="方正仿宋_GBK"/>
          <w:color w:val="000000"/>
          <w:spacing w:val="-2"/>
          <w:sz w:val="24"/>
        </w:rPr>
      </w:pPr>
      <w:r>
        <w:rPr>
          <w:rFonts w:hint="eastAsia" w:eastAsia="方正仿宋_GBK"/>
          <w:color w:val="000000"/>
          <w:spacing w:val="-2"/>
          <w:sz w:val="24"/>
        </w:rPr>
        <w:t>（一）既有住宅区、住宅建筑及商住楼进行通信基础设施及相关配套改造时，应当按照光纤到户强制性标准的要求实施。</w:t>
      </w:r>
    </w:p>
    <w:p>
      <w:pPr>
        <w:pStyle w:val="18"/>
        <w:spacing w:line="420" w:lineRule="exact"/>
        <w:ind w:firstLine="354" w:firstLineChars="150"/>
        <w:rPr>
          <w:rFonts w:eastAsia="方正仿宋_GBK"/>
          <w:color w:val="000000"/>
          <w:spacing w:val="-2"/>
          <w:sz w:val="24"/>
        </w:rPr>
      </w:pPr>
      <w:r>
        <w:rPr>
          <w:rFonts w:hint="eastAsia" w:eastAsia="方正仿宋_GBK"/>
          <w:color w:val="000000"/>
          <w:spacing w:val="-2"/>
          <w:sz w:val="24"/>
        </w:rPr>
        <w:t>（二）各市通信行业协会应组织各电信运营企业主动分析本地区光纤到户的改造实施进度和存在问题，共同制定可行的实施计划。</w:t>
      </w:r>
    </w:p>
    <w:p>
      <w:pPr>
        <w:pStyle w:val="18"/>
        <w:spacing w:line="420" w:lineRule="exact"/>
        <w:ind w:firstLine="354" w:firstLineChars="150"/>
        <w:rPr>
          <w:rFonts w:eastAsia="方正仿宋_GBK"/>
          <w:color w:val="000000"/>
          <w:spacing w:val="-2"/>
          <w:sz w:val="24"/>
        </w:rPr>
      </w:pPr>
      <w:r>
        <w:rPr>
          <w:rFonts w:hint="eastAsia" w:eastAsia="方正仿宋_GBK"/>
          <w:color w:val="000000"/>
          <w:spacing w:val="-2"/>
          <w:sz w:val="24"/>
        </w:rPr>
        <w:t>（三）既有小区改造中住宅原建设单位、物业服务企业不得阻挠正常光纤到户改造，不得与任何企业签订垄断性协议，不得以任何方式限制用户选择权。对违法违规行为，依照相关法规规章，依法予以严肃处罚。</w:t>
      </w:r>
    </w:p>
    <w:p>
      <w:pPr>
        <w:spacing w:line="42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三、加强标准宣贯和监督检查</w:t>
      </w:r>
    </w:p>
    <w:p>
      <w:pPr>
        <w:spacing w:line="420" w:lineRule="exact"/>
        <w:ind w:firstLine="472" w:firstLineChars="200"/>
        <w:rPr>
          <w:rFonts w:hint="eastAsia" w:eastAsia="方正仿宋_GBK"/>
          <w:color w:val="000000"/>
          <w:spacing w:val="-2"/>
          <w:sz w:val="24"/>
        </w:rPr>
      </w:pPr>
      <w:r>
        <w:rPr>
          <w:rFonts w:hint="eastAsia" w:eastAsia="方正仿宋_GBK"/>
          <w:color w:val="000000"/>
          <w:spacing w:val="-2"/>
          <w:sz w:val="24"/>
        </w:rPr>
        <w:t>省住房和城乡建设厅、省通信管理局将继续组织对全省建设行政主管部门、施工图审查机构、工程质量监督部门，以及建设、设计、施工、监理、电信运营商等单位进行光纤到户国家标准宣贯培训。各市县有关单位要组织落实好标准宣贯培训工作。省住房和城乡建设厅、省通信管理局将根据各市贯彻实施光纤入户国家标准实际情况，适时组织联合监督检查，对执行国家标准不力的建设单位和责任人进行通报，并按相关规定进行处罚。</w:t>
      </w:r>
    </w:p>
    <w:p>
      <w:pPr>
        <w:spacing w:line="420" w:lineRule="exact"/>
        <w:rPr>
          <w:rFonts w:eastAsia="方正仿宋_GBK"/>
          <w:color w:val="000000"/>
          <w:spacing w:val="-2"/>
          <w:sz w:val="24"/>
        </w:rPr>
      </w:pPr>
    </w:p>
    <w:p>
      <w:pPr>
        <w:spacing w:line="420" w:lineRule="exact"/>
        <w:ind w:left="-2" w:leftChars="-1" w:firstLine="472" w:firstLineChars="200"/>
        <w:jc w:val="left"/>
        <w:rPr>
          <w:rFonts w:eastAsia="方正仿宋_GBK"/>
          <w:color w:val="000000"/>
          <w:spacing w:val="-2"/>
          <w:sz w:val="24"/>
        </w:rPr>
      </w:pPr>
      <w:r>
        <w:rPr>
          <w:rFonts w:hint="eastAsia" w:eastAsia="方正仿宋_GBK"/>
          <w:color w:val="000000"/>
          <w:spacing w:val="-2"/>
          <w:sz w:val="24"/>
        </w:rPr>
        <w:t>附件：《住房城乡建设部</w:t>
      </w:r>
      <w:r>
        <w:rPr>
          <w:rFonts w:eastAsia="方正仿宋_GBK"/>
          <w:color w:val="000000"/>
          <w:spacing w:val="-2"/>
          <w:sz w:val="24"/>
        </w:rPr>
        <w:t xml:space="preserve">  </w:t>
      </w:r>
      <w:r>
        <w:rPr>
          <w:rFonts w:hint="eastAsia" w:eastAsia="方正仿宋_GBK"/>
          <w:color w:val="000000"/>
          <w:spacing w:val="-2"/>
          <w:sz w:val="24"/>
        </w:rPr>
        <w:t>工业和信息化部关于贯彻落实光纤到户国家标准的通</w:t>
      </w:r>
    </w:p>
    <w:p>
      <w:pPr>
        <w:spacing w:line="420" w:lineRule="exact"/>
        <w:ind w:left="-2" w:leftChars="-1" w:firstLine="1253" w:firstLineChars="531"/>
        <w:jc w:val="left"/>
        <w:rPr>
          <w:rFonts w:eastAsia="方正仿宋_GBK"/>
          <w:color w:val="000000"/>
          <w:spacing w:val="-2"/>
          <w:sz w:val="24"/>
        </w:rPr>
      </w:pPr>
      <w:r>
        <w:rPr>
          <w:rFonts w:hint="eastAsia" w:eastAsia="方正仿宋_GBK"/>
          <w:color w:val="000000"/>
          <w:spacing w:val="-2"/>
          <w:sz w:val="24"/>
        </w:rPr>
        <w:t>知》（建标〔</w:t>
      </w:r>
      <w:r>
        <w:rPr>
          <w:rFonts w:eastAsia="方正仿宋_GBK"/>
          <w:color w:val="000000"/>
          <w:spacing w:val="-2"/>
          <w:sz w:val="24"/>
        </w:rPr>
        <w:t>2013</w:t>
      </w:r>
      <w:r>
        <w:rPr>
          <w:rFonts w:hint="eastAsia" w:eastAsia="方正仿宋_GBK"/>
          <w:color w:val="000000"/>
          <w:spacing w:val="-2"/>
          <w:sz w:val="24"/>
        </w:rPr>
        <w:t>〕</w:t>
      </w:r>
      <w:r>
        <w:rPr>
          <w:rFonts w:eastAsia="方正仿宋_GBK"/>
          <w:color w:val="000000"/>
          <w:spacing w:val="-2"/>
          <w:sz w:val="24"/>
        </w:rPr>
        <w:t>36</w:t>
      </w:r>
      <w:r>
        <w:rPr>
          <w:rFonts w:hint="eastAsia" w:eastAsia="方正仿宋_GBK"/>
          <w:color w:val="000000"/>
          <w:spacing w:val="-2"/>
          <w:sz w:val="24"/>
        </w:rPr>
        <w:t>号）</w:t>
      </w:r>
    </w:p>
    <w:p>
      <w:pPr>
        <w:spacing w:line="420" w:lineRule="exact"/>
        <w:jc w:val="left"/>
        <w:rPr>
          <w:rFonts w:eastAsia="方正仿宋_GBK"/>
          <w:color w:val="000000"/>
          <w:spacing w:val="-2"/>
          <w:sz w:val="24"/>
        </w:rPr>
      </w:pPr>
    </w:p>
    <w:p>
      <w:pPr>
        <w:spacing w:line="420" w:lineRule="exact"/>
        <w:ind w:right="458" w:rightChars="218" w:firstLine="472" w:firstLineChars="200"/>
        <w:jc w:val="righ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20" w:lineRule="exact"/>
        <w:ind w:right="458" w:rightChars="218" w:firstLine="684" w:firstLineChars="200"/>
        <w:jc w:val="right"/>
        <w:rPr>
          <w:rFonts w:eastAsia="方正仿宋_GBK"/>
          <w:color w:val="000000"/>
          <w:spacing w:val="-2"/>
          <w:sz w:val="24"/>
        </w:rPr>
      </w:pPr>
      <w:r>
        <w:rPr>
          <w:rFonts w:hint="eastAsia" w:eastAsia="方正仿宋_GBK"/>
          <w:color w:val="000000"/>
          <w:spacing w:val="51"/>
          <w:kern w:val="0"/>
          <w:sz w:val="24"/>
        </w:rPr>
        <w:t>江苏省通信管理</w:t>
      </w:r>
      <w:r>
        <w:rPr>
          <w:rFonts w:hint="eastAsia" w:eastAsia="方正仿宋_GBK"/>
          <w:color w:val="000000"/>
          <w:spacing w:val="3"/>
          <w:kern w:val="0"/>
          <w:sz w:val="24"/>
        </w:rPr>
        <w:t>局</w:t>
      </w:r>
      <w:r>
        <w:rPr>
          <w:rFonts w:eastAsia="方正仿宋_GBK"/>
          <w:color w:val="000000"/>
          <w:kern w:val="0"/>
          <w:sz w:val="24"/>
        </w:rPr>
        <w:t xml:space="preserve">    </w:t>
      </w:r>
    </w:p>
    <w:p>
      <w:pPr>
        <w:spacing w:line="420" w:lineRule="exact"/>
        <w:ind w:right="838" w:rightChars="399" w:firstLine="4012" w:firstLineChars="1700"/>
        <w:jc w:val="right"/>
        <w:rPr>
          <w:rFonts w:eastAsia="方正仿宋_GBK"/>
          <w:color w:val="000000"/>
          <w:spacing w:val="-2"/>
          <w:sz w:val="24"/>
        </w:rPr>
      </w:pP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16</w:t>
      </w:r>
      <w:r>
        <w:rPr>
          <w:rFonts w:hint="eastAsia" w:eastAsia="方正仿宋_GBK"/>
          <w:color w:val="000000"/>
          <w:spacing w:val="-2"/>
          <w:sz w:val="24"/>
        </w:rPr>
        <w:t>日</w:t>
      </w:r>
      <w:r>
        <w:rPr>
          <w:rFonts w:eastAsia="方正仿宋_GBK"/>
          <w:color w:val="000000"/>
          <w:spacing w:val="-2"/>
          <w:sz w:val="24"/>
        </w:rPr>
        <w:t xml:space="preserve">       </w:t>
      </w:r>
    </w:p>
    <w:p>
      <w:pPr>
        <w:shd w:val="clear" w:color="auto" w:fill="FFFFFF"/>
        <w:spacing w:line="460" w:lineRule="exact"/>
        <w:rPr>
          <w:rFonts w:eastAsia="方正仿宋_GBK"/>
          <w:bCs/>
          <w:color w:val="000000"/>
          <w:spacing w:val="-2"/>
          <w:kern w:val="0"/>
          <w:sz w:val="24"/>
        </w:rPr>
      </w:pPr>
    </w:p>
    <w:p>
      <w:pPr>
        <w:shd w:val="clear" w:color="auto" w:fill="FFFFFF"/>
        <w:spacing w:line="460" w:lineRule="exact"/>
        <w:rPr>
          <w:rFonts w:ascii="Times New Roman" w:eastAsia="方正黑体_GBK"/>
          <w:bCs/>
          <w:color w:val="000000"/>
          <w:spacing w:val="-2"/>
          <w:kern w:val="0"/>
          <w:sz w:val="28"/>
          <w:szCs w:val="28"/>
        </w:rPr>
      </w:pPr>
      <w:r>
        <w:rPr>
          <w:rFonts w:eastAsia="方正仿宋_GBK"/>
          <w:bCs/>
          <w:color w:val="000000"/>
          <w:spacing w:val="-2"/>
          <w:kern w:val="0"/>
          <w:sz w:val="24"/>
        </w:rPr>
        <w:br w:type="column"/>
      </w:r>
      <w:r>
        <w:rPr>
          <w:rFonts w:hint="eastAsia" w:ascii="Times New Roman" w:eastAsia="方正黑体_GBK"/>
          <w:bCs/>
          <w:color w:val="000000"/>
          <w:spacing w:val="-2"/>
          <w:kern w:val="0"/>
          <w:sz w:val="28"/>
          <w:szCs w:val="28"/>
        </w:rPr>
        <w:t>附件：</w:t>
      </w:r>
    </w:p>
    <w:p>
      <w:pPr>
        <w:shd w:val="clear" w:color="auto" w:fill="FFFFFF"/>
        <w:spacing w:line="460" w:lineRule="exact"/>
        <w:rPr>
          <w:rFonts w:hint="eastAsia" w:ascii="Times New Roman" w:eastAsia="方正黑体_GBK"/>
          <w:bCs/>
          <w:color w:val="000000"/>
          <w:spacing w:val="-2"/>
          <w:kern w:val="0"/>
          <w:sz w:val="28"/>
          <w:szCs w:val="28"/>
        </w:rPr>
      </w:pPr>
    </w:p>
    <w:p>
      <w:pPr>
        <w:spacing w:line="500" w:lineRule="exact"/>
        <w:ind w:left="-7" w:leftChars="-8" w:hanging="10" w:hangingChars="3"/>
        <w:jc w:val="center"/>
        <w:rPr>
          <w:rFonts w:hint="eastAsia" w:ascii="Times New Roman" w:eastAsia="方正小标宋简体"/>
          <w:sz w:val="36"/>
          <w:szCs w:val="36"/>
        </w:rPr>
      </w:pPr>
      <w:r>
        <w:rPr>
          <w:rFonts w:hint="eastAsia" w:ascii="Times New Roman" w:eastAsia="方正小标宋简体"/>
          <w:sz w:val="36"/>
          <w:szCs w:val="36"/>
        </w:rPr>
        <w:t>住房城乡建设部　工业和信息化部</w:t>
      </w:r>
    </w:p>
    <w:p>
      <w:pPr>
        <w:spacing w:line="500" w:lineRule="exact"/>
        <w:ind w:left="-7" w:leftChars="-8" w:hanging="10" w:hangingChars="3"/>
        <w:jc w:val="center"/>
        <w:rPr>
          <w:rFonts w:hint="eastAsia" w:ascii="Times New Roman" w:eastAsia="方正小标宋简体"/>
          <w:sz w:val="36"/>
          <w:szCs w:val="36"/>
        </w:rPr>
      </w:pPr>
      <w:r>
        <w:rPr>
          <w:rFonts w:hint="eastAsia" w:ascii="Times New Roman" w:eastAsia="方正小标宋简体"/>
          <w:sz w:val="36"/>
          <w:szCs w:val="36"/>
        </w:rPr>
        <w:t>关于贯彻落实光纤到户国家标准的通知</w:t>
      </w:r>
    </w:p>
    <w:p>
      <w:pPr>
        <w:shd w:val="clear" w:color="auto" w:fill="FFFFFF"/>
        <w:spacing w:line="460" w:lineRule="exact"/>
        <w:ind w:firstLine="472" w:firstLineChars="200"/>
        <w:jc w:val="center"/>
        <w:rPr>
          <w:rFonts w:hint="eastAsia" w:eastAsia="方正仿宋_GBK"/>
          <w:color w:val="000000"/>
          <w:spacing w:val="-2"/>
          <w:kern w:val="0"/>
          <w:sz w:val="24"/>
        </w:rPr>
      </w:pPr>
    </w:p>
    <w:p>
      <w:pPr>
        <w:spacing w:line="460" w:lineRule="exact"/>
        <w:jc w:val="center"/>
        <w:rPr>
          <w:rFonts w:eastAsia="方正楷体_GBK"/>
          <w:sz w:val="24"/>
        </w:rPr>
      </w:pPr>
      <w:r>
        <w:rPr>
          <w:rFonts w:hint="eastAsia" w:eastAsia="方正楷体_GBK"/>
          <w:sz w:val="24"/>
        </w:rPr>
        <w:t>建标〔</w:t>
      </w:r>
      <w:r>
        <w:rPr>
          <w:rFonts w:eastAsia="方正楷体_GBK"/>
          <w:sz w:val="24"/>
        </w:rPr>
        <w:t>2013</w:t>
      </w:r>
      <w:r>
        <w:rPr>
          <w:rFonts w:hint="eastAsia" w:eastAsia="方正楷体_GBK"/>
          <w:sz w:val="24"/>
        </w:rPr>
        <w:t>〕</w:t>
      </w:r>
      <w:r>
        <w:rPr>
          <w:rFonts w:eastAsia="方正楷体_GBK"/>
          <w:sz w:val="24"/>
        </w:rPr>
        <w:t>36</w:t>
      </w:r>
      <w:r>
        <w:rPr>
          <w:rFonts w:hint="eastAsia" w:eastAsia="方正楷体_GBK"/>
          <w:sz w:val="24"/>
        </w:rPr>
        <w:t>号</w:t>
      </w:r>
    </w:p>
    <w:p>
      <w:pPr>
        <w:shd w:val="clear" w:color="auto" w:fill="FFFFFF"/>
        <w:spacing w:line="460" w:lineRule="exact"/>
        <w:jc w:val="left"/>
        <w:rPr>
          <w:rFonts w:eastAsia="方正仿宋_GBK"/>
          <w:color w:val="000000"/>
          <w:spacing w:val="-2"/>
          <w:kern w:val="0"/>
          <w:sz w:val="24"/>
        </w:rPr>
      </w:pPr>
    </w:p>
    <w:p>
      <w:pPr>
        <w:shd w:val="clear" w:color="auto" w:fill="FFFFFF"/>
        <w:spacing w:line="460" w:lineRule="exact"/>
        <w:jc w:val="left"/>
        <w:rPr>
          <w:rFonts w:eastAsia="方正仿宋_GBK"/>
          <w:color w:val="000000"/>
          <w:spacing w:val="-2"/>
          <w:kern w:val="0"/>
          <w:sz w:val="24"/>
        </w:rPr>
      </w:pPr>
      <w:r>
        <w:rPr>
          <w:rFonts w:hint="eastAsia" w:eastAsia="方正仿宋_GBK"/>
          <w:color w:val="000000"/>
          <w:spacing w:val="-2"/>
          <w:kern w:val="0"/>
          <w:sz w:val="24"/>
        </w:rPr>
        <w:t>各省、自治区、直辖市住房城乡建设厅（建委、建交委）、通信管理局，有关单位：</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为全面贯彻《国民经济和社会发展第十二个五年规划纲要》、《</w:t>
      </w:r>
      <w:r>
        <w:rPr>
          <w:rFonts w:eastAsia="方正仿宋_GBK"/>
          <w:color w:val="000000"/>
          <w:spacing w:val="-2"/>
          <w:kern w:val="0"/>
          <w:sz w:val="24"/>
        </w:rPr>
        <w:t>“</w:t>
      </w:r>
      <w:r>
        <w:rPr>
          <w:rFonts w:hint="eastAsia" w:eastAsia="方正仿宋_GBK"/>
          <w:color w:val="000000"/>
          <w:spacing w:val="-2"/>
          <w:kern w:val="0"/>
          <w:sz w:val="24"/>
        </w:rPr>
        <w:t>十二五</w:t>
      </w:r>
      <w:r>
        <w:rPr>
          <w:rFonts w:eastAsia="方正仿宋_GBK"/>
          <w:color w:val="000000"/>
          <w:spacing w:val="-2"/>
          <w:kern w:val="0"/>
          <w:sz w:val="24"/>
        </w:rPr>
        <w:t>”</w:t>
      </w:r>
      <w:r>
        <w:rPr>
          <w:rFonts w:hint="eastAsia" w:eastAsia="方正仿宋_GBK"/>
          <w:color w:val="000000"/>
          <w:spacing w:val="-2"/>
          <w:kern w:val="0"/>
          <w:sz w:val="24"/>
        </w:rPr>
        <w:t>国家战略性新兴产业发展规划》以及国务院关于加快宽带中国建设的要求，加快推进光纤到户建设，充分发挥光纤宽带网络在经济社会发展中的战略性、基础性作用，全面提升国家信息化水平，住房城乡建设部发布了《住宅区和住宅建筑内光纤到户通信设施工程设计规范》及《住宅区和住宅建筑内光纤到户通信设施工程施工及验收规范》两项国家标准（以下简称光纤到户国家标准），现就贯彻落实标准有关要求通知如下：</w:t>
      </w:r>
    </w:p>
    <w:p>
      <w:pPr>
        <w:shd w:val="clear" w:color="auto" w:fill="FFFFFF"/>
        <w:spacing w:line="460" w:lineRule="exact"/>
        <w:ind w:firstLine="472" w:firstLineChars="200"/>
        <w:jc w:val="left"/>
        <w:rPr>
          <w:rFonts w:ascii="Times New Roman" w:eastAsia="方正黑体_GBK"/>
          <w:color w:val="000000"/>
          <w:spacing w:val="-2"/>
          <w:kern w:val="0"/>
          <w:sz w:val="24"/>
        </w:rPr>
      </w:pPr>
      <w:r>
        <w:rPr>
          <w:rFonts w:hint="eastAsia" w:ascii="Times New Roman" w:eastAsia="方正黑体_GBK"/>
          <w:bCs/>
          <w:color w:val="000000"/>
          <w:spacing w:val="-2"/>
          <w:kern w:val="0"/>
          <w:sz w:val="24"/>
        </w:rPr>
        <w:t>一、充分认识贯彻落实光纤到户国家标准的重要性和必要性</w:t>
      </w:r>
    </w:p>
    <w:p>
      <w:pPr>
        <w:shd w:val="clear" w:color="auto" w:fill="FFFFFF"/>
        <w:spacing w:line="460" w:lineRule="exact"/>
        <w:ind w:firstLine="472" w:firstLineChars="200"/>
        <w:jc w:val="left"/>
        <w:rPr>
          <w:rFonts w:hint="eastAsia" w:eastAsia="方正仿宋_GBK"/>
          <w:color w:val="000000"/>
          <w:spacing w:val="-2"/>
          <w:kern w:val="0"/>
          <w:sz w:val="24"/>
        </w:rPr>
      </w:pPr>
      <w:r>
        <w:rPr>
          <w:rFonts w:hint="eastAsia" w:eastAsia="方正仿宋_GBK"/>
          <w:color w:val="000000"/>
          <w:spacing w:val="-2"/>
          <w:kern w:val="0"/>
          <w:sz w:val="24"/>
        </w:rPr>
        <w:t>贯彻落实光纤到户国家标准、加快推进光纤到户建设是加快宽带网络发展、提升宽带基础设施水平的关键要素，是实施宽带中国工程，构建宽带、泛在、融合、安全的国家信息基础设施的迫切需要，是促进传统产业改造升级、推动信息化与工业化深度融合的重要动力，对于转变经济发展方式，调整优化产业结构，促进经济社会可持续发展，提升国家综合竞争力具有重要的战略意义。</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近年来，我国宽带网络发展取得了长足的进步，宽带网络覆盖和接入能力逐步提高，但我国宽带发展水平与全社会日益增长的需求还存在比较突出的矛盾、与国际先进水平相比还存在较大差距，面临</w:t>
      </w:r>
      <w:r>
        <w:rPr>
          <w:rFonts w:eastAsia="方正仿宋_GBK"/>
          <w:color w:val="000000"/>
          <w:spacing w:val="-2"/>
          <w:kern w:val="0"/>
          <w:sz w:val="24"/>
        </w:rPr>
        <w:t>“</w:t>
      </w:r>
      <w:r>
        <w:rPr>
          <w:rFonts w:hint="eastAsia" w:eastAsia="方正仿宋_GBK"/>
          <w:color w:val="000000"/>
          <w:spacing w:val="-2"/>
          <w:kern w:val="0"/>
          <w:sz w:val="24"/>
        </w:rPr>
        <w:t>慢进亦退</w:t>
      </w:r>
      <w:r>
        <w:rPr>
          <w:rFonts w:eastAsia="方正仿宋_GBK"/>
          <w:color w:val="000000"/>
          <w:spacing w:val="-2"/>
          <w:kern w:val="0"/>
          <w:sz w:val="24"/>
        </w:rPr>
        <w:t>”</w:t>
      </w:r>
      <w:r>
        <w:rPr>
          <w:rFonts w:hint="eastAsia" w:eastAsia="方正仿宋_GBK"/>
          <w:color w:val="000000"/>
          <w:spacing w:val="-2"/>
          <w:kern w:val="0"/>
          <w:sz w:val="24"/>
        </w:rPr>
        <w:t>的风险，加快宽带发展势在必行。目前，我国宽带接入主要采用以非对称数字用户环路（</w:t>
      </w:r>
      <w:r>
        <w:rPr>
          <w:rFonts w:eastAsia="方正仿宋_GBK"/>
          <w:color w:val="000000"/>
          <w:spacing w:val="-2"/>
          <w:kern w:val="0"/>
          <w:sz w:val="24"/>
        </w:rPr>
        <w:t>ADSL</w:t>
      </w:r>
      <w:r>
        <w:rPr>
          <w:rFonts w:hint="eastAsia" w:eastAsia="方正仿宋_GBK"/>
          <w:color w:val="000000"/>
          <w:spacing w:val="-2"/>
          <w:kern w:val="0"/>
          <w:sz w:val="24"/>
        </w:rPr>
        <w:t>）为代表的铜线宽带技术，升级改造存在固有的技术瓶颈。要加快宽带发展，必须推动技术换代和网络改造，实现光纤到户。与此同时，光纤到户建设中存在建设标准难以落实、多部门管理协调机制不完善、责任要求需进一步明确等问题，有必要制定政策措施，切实贯彻落实光纤到户国家标准的有关规定，着力解决光纤到户建设中的现实难题。</w:t>
      </w:r>
    </w:p>
    <w:p>
      <w:pPr>
        <w:shd w:val="clear" w:color="auto" w:fill="FFFFFF"/>
        <w:spacing w:line="460" w:lineRule="exact"/>
        <w:ind w:firstLine="472" w:firstLineChars="200"/>
        <w:jc w:val="left"/>
        <w:rPr>
          <w:rFonts w:ascii="Times New Roman" w:eastAsia="方正黑体_GBK"/>
          <w:bCs/>
          <w:color w:val="000000"/>
          <w:spacing w:val="-2"/>
          <w:kern w:val="0"/>
          <w:sz w:val="24"/>
        </w:rPr>
      </w:pPr>
      <w:r>
        <w:rPr>
          <w:rFonts w:hint="eastAsia" w:ascii="Times New Roman" w:eastAsia="方正黑体_GBK"/>
          <w:bCs/>
          <w:color w:val="000000"/>
          <w:spacing w:val="-2"/>
          <w:kern w:val="0"/>
          <w:sz w:val="24"/>
        </w:rPr>
        <w:t>二、全面实施新建住宅建筑光纤到户</w:t>
      </w:r>
    </w:p>
    <w:p>
      <w:pPr>
        <w:shd w:val="clear" w:color="auto" w:fill="FFFFFF"/>
        <w:spacing w:line="460" w:lineRule="exact"/>
        <w:ind w:firstLine="472" w:firstLineChars="200"/>
        <w:jc w:val="left"/>
        <w:rPr>
          <w:rFonts w:hint="eastAsia" w:eastAsia="方正仿宋_GBK"/>
          <w:color w:val="000000"/>
          <w:spacing w:val="-2"/>
          <w:kern w:val="0"/>
          <w:sz w:val="24"/>
        </w:rPr>
      </w:pPr>
      <w:r>
        <w:rPr>
          <w:rFonts w:hint="eastAsia" w:eastAsia="方正仿宋_GBK"/>
          <w:color w:val="000000"/>
          <w:spacing w:val="-2"/>
          <w:kern w:val="0"/>
          <w:sz w:val="24"/>
        </w:rPr>
        <w:t>根据光纤到户国家标准的要求，自</w:t>
      </w:r>
      <w:r>
        <w:rPr>
          <w:rFonts w:eastAsia="方正仿宋_GBK"/>
          <w:color w:val="000000"/>
          <w:spacing w:val="-2"/>
          <w:kern w:val="0"/>
          <w:sz w:val="24"/>
        </w:rPr>
        <w:t>2013</w:t>
      </w:r>
      <w:r>
        <w:rPr>
          <w:rFonts w:hint="eastAsia" w:eastAsia="方正仿宋_GBK"/>
          <w:color w:val="000000"/>
          <w:spacing w:val="-2"/>
          <w:kern w:val="0"/>
          <w:sz w:val="24"/>
        </w:rPr>
        <w:t>年</w:t>
      </w:r>
      <w:r>
        <w:rPr>
          <w:rFonts w:eastAsia="方正仿宋_GBK"/>
          <w:color w:val="000000"/>
          <w:spacing w:val="-2"/>
          <w:kern w:val="0"/>
          <w:sz w:val="24"/>
        </w:rPr>
        <w:t>4</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日起，在公用电信网已实现光纤传输的县级及以上城区，新建住宅区和住宅建筑的通信设施应采用光纤到户方式建设，同时鼓励和支持有条件的乡镇、农村地区新建住宅区和住宅建筑实现光纤到户。</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（一）住宅建设单位必须同步建设住宅区内通信管道和楼内通信暗管、暗线等通信设施，预先铺设入户光纤、预留设备间，所需投资纳入相应建设项目概算。</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（二）新建住宅区和住宅建筑涉及的通信管道、楼内光纤、设备间等通信配套设施，应满足多家电信运营企业共享使用的需要，保障用户自由选择的权利。</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三）设计单位应按照光纤到户国家标准要求和合同约定进行住宅区和住宅建筑通信配套设施的设计，施工图设计文件审查机构应对涉及光纤到户国家标准的内容进行设计审查。住房城乡建设、规划主管部门在核发建设工程规划许可证、施工许可证时，应依照法定职责严格把关。</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四）住宅建设单位应组织对光纤到户通信设施进行验收，并将验收文件报所在地通信行业主管部门备案。各地通信行业主管部门及通信工程质量监督机构要认真履行职责，严把质量关，加强对光纤到户工程质量的监督管理。光纤到户通信设施未按要求验收或者验收不合格的，不得接入公用电信网。</w:t>
      </w:r>
    </w:p>
    <w:p>
      <w:pPr>
        <w:shd w:val="clear" w:color="auto" w:fill="FFFFFF"/>
        <w:spacing w:line="460" w:lineRule="exact"/>
        <w:ind w:firstLine="472" w:firstLineChars="200"/>
        <w:jc w:val="left"/>
        <w:rPr>
          <w:rFonts w:ascii="Times New Roman" w:eastAsia="方正黑体_GBK"/>
          <w:bCs/>
          <w:color w:val="000000"/>
          <w:spacing w:val="-2"/>
          <w:kern w:val="0"/>
          <w:sz w:val="24"/>
        </w:rPr>
      </w:pPr>
      <w:r>
        <w:rPr>
          <w:rFonts w:hint="eastAsia" w:ascii="Times New Roman" w:eastAsia="方正黑体_GBK"/>
          <w:bCs/>
          <w:color w:val="000000"/>
          <w:spacing w:val="-2"/>
          <w:kern w:val="0"/>
          <w:sz w:val="24"/>
        </w:rPr>
        <w:t>三、加快推动既有住宅建筑光纤到户改造</w:t>
      </w:r>
    </w:p>
    <w:p>
      <w:pPr>
        <w:shd w:val="clear" w:color="auto" w:fill="FFFFFF"/>
        <w:spacing w:line="460" w:lineRule="exact"/>
        <w:ind w:firstLine="472" w:firstLineChars="200"/>
        <w:jc w:val="left"/>
        <w:rPr>
          <w:rFonts w:hint="eastAsia" w:eastAsia="方正仿宋_GBK"/>
          <w:color w:val="000000"/>
          <w:spacing w:val="-2"/>
          <w:kern w:val="0"/>
          <w:sz w:val="24"/>
        </w:rPr>
      </w:pPr>
      <w:r>
        <w:rPr>
          <w:rFonts w:hint="eastAsia" w:eastAsia="方正仿宋_GBK"/>
          <w:color w:val="000000"/>
          <w:spacing w:val="-2"/>
          <w:kern w:val="0"/>
          <w:sz w:val="24"/>
        </w:rPr>
        <w:t>既有住宅建筑光纤到户改造是全面实现光纤到户的难点，各单位应参照光纤到户国家标准，加快推动既有住宅建筑逐步实施光纤到户改造。</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（一）各地住房城乡建设、通信行业主管部门要加大对既有住宅区和住宅建筑通信配套设施资源共享的监管力度，对阻挠正常光纤到户改造的行为予以纠正，切实解决光纤到户改造入场难的问题。</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（二）各地通信行业主管部门要加强对电信运营企业的指导，积极组织编制光纤到户改造的实施计划。</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（三）住宅建设单位、物业服务企业要积极支持光纤到户改造，为光纤到户改造提供便利条件。不得与任何企业签订垄断性协议，不得限制各电信运营企业平等接入和使用，不得以任何方式限制用户选择权。</w:t>
      </w:r>
    </w:p>
    <w:p>
      <w:pPr>
        <w:shd w:val="clear" w:color="auto" w:fill="FFFFFF"/>
        <w:spacing w:line="460" w:lineRule="exact"/>
        <w:ind w:firstLine="472" w:firstLineChars="200"/>
        <w:jc w:val="left"/>
        <w:rPr>
          <w:rFonts w:ascii="Times New Roman" w:eastAsia="方正黑体_GBK"/>
          <w:bCs/>
          <w:color w:val="000000"/>
          <w:spacing w:val="-2"/>
          <w:kern w:val="0"/>
          <w:sz w:val="24"/>
        </w:rPr>
      </w:pPr>
      <w:r>
        <w:rPr>
          <w:rFonts w:hint="eastAsia" w:ascii="Times New Roman" w:eastAsia="方正黑体_GBK"/>
          <w:bCs/>
          <w:color w:val="000000"/>
          <w:spacing w:val="-2"/>
          <w:kern w:val="0"/>
          <w:sz w:val="24"/>
        </w:rPr>
        <w:t>四、切实落实各项保障措施</w:t>
      </w:r>
    </w:p>
    <w:p>
      <w:pPr>
        <w:shd w:val="clear" w:color="auto" w:fill="FFFFFF"/>
        <w:spacing w:line="460" w:lineRule="exact"/>
        <w:ind w:firstLine="472" w:firstLineChars="200"/>
        <w:jc w:val="left"/>
        <w:rPr>
          <w:rFonts w:hint="eastAsia" w:eastAsia="方正仿宋_GBK"/>
          <w:color w:val="000000"/>
          <w:spacing w:val="-2"/>
          <w:kern w:val="0"/>
          <w:sz w:val="24"/>
        </w:rPr>
      </w:pPr>
      <w:r>
        <w:rPr>
          <w:rFonts w:hint="eastAsia" w:eastAsia="方正仿宋_GBK"/>
          <w:color w:val="000000"/>
          <w:spacing w:val="-2"/>
          <w:kern w:val="0"/>
          <w:sz w:val="24"/>
        </w:rPr>
        <w:t>各地、各有关部门要以光纤到户国家标准发布实施为契机，加强组织领导，密切协调配合，切实落实各项保障措施。</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一）统一思想认识。各有关单位要统一思想，从解决社会关注、群众关切的民生问题，实践科学发展观、构建社会主义和谐社会的高度深刻认识贯彻落实光纤到户国家标准的重要意义，进一步增强责任感、使命感和紧迫感，加快推进光纤到户建设。</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（二）加大宣传力度。各有关单位要积极组织开展科普和政策宣传活动，增强公众对光纤到户的认识，争取社会各界的广泛理解和支持，营造良好的建设环境。</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三）做好宣贯培训。各地住房城乡建设、通信行业主管部门要及时组织对工程质量监督、施工图审查、电信运营、设计、施工、监理等单位的宣贯培训，帮助相关企业准确理解和掌握标准有关规定，保障标准的顺利实施。</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（四）强化监督管理。各地住房城乡建设、通信行业主管部门要加大协调力度，组织开展光纤到户国家标准实施情况的监督检查，强化对相关单位的监督管理。</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 </w:t>
      </w:r>
    </w:p>
    <w:p>
      <w:pPr>
        <w:shd w:val="clear" w:color="auto" w:fill="FFFFFF"/>
        <w:spacing w:line="460" w:lineRule="exact"/>
        <w:ind w:right="418" w:rightChars="199" w:firstLine="472" w:firstLineChars="200"/>
        <w:jc w:val="right"/>
        <w:rPr>
          <w:rFonts w:eastAsia="方正仿宋_GBK"/>
          <w:color w:val="000000"/>
          <w:spacing w:val="-2"/>
          <w:kern w:val="0"/>
          <w:sz w:val="24"/>
        </w:rPr>
      </w:pPr>
      <w:r>
        <w:rPr>
          <w:rFonts w:hint="eastAsia" w:eastAsia="方正仿宋_GBK"/>
          <w:color w:val="000000"/>
          <w:spacing w:val="-2"/>
          <w:kern w:val="0"/>
          <w:sz w:val="24"/>
        </w:rPr>
        <w:t>中华人民共和国住房和城乡建设部</w:t>
      </w:r>
      <w:r>
        <w:rPr>
          <w:rFonts w:eastAsia="方正仿宋_GBK"/>
          <w:color w:val="000000"/>
          <w:spacing w:val="-2"/>
          <w:kern w:val="0"/>
          <w:sz w:val="24"/>
        </w:rPr>
        <w:t xml:space="preserve">    </w:t>
      </w:r>
    </w:p>
    <w:p>
      <w:pPr>
        <w:shd w:val="clear" w:color="auto" w:fill="FFFFFF"/>
        <w:spacing w:line="460" w:lineRule="exact"/>
        <w:ind w:right="437" w:rightChars="208" w:firstLine="3263" w:firstLineChars="1265"/>
        <w:jc w:val="right"/>
        <w:rPr>
          <w:rFonts w:eastAsia="方正仿宋_GBK"/>
          <w:color w:val="000000"/>
          <w:spacing w:val="-2"/>
          <w:kern w:val="0"/>
          <w:sz w:val="24"/>
        </w:rPr>
      </w:pPr>
      <w:r>
        <w:rPr>
          <w:rFonts w:hint="eastAsia" w:eastAsia="方正仿宋_GBK"/>
          <w:color w:val="000000"/>
          <w:spacing w:val="9"/>
          <w:kern w:val="0"/>
          <w:sz w:val="24"/>
        </w:rPr>
        <w:t>中华人民共和国工业和信息化</w:t>
      </w:r>
      <w:r>
        <w:rPr>
          <w:rFonts w:hint="eastAsia" w:eastAsia="方正仿宋_GBK"/>
          <w:color w:val="000000"/>
          <w:spacing w:val="3"/>
          <w:kern w:val="0"/>
          <w:sz w:val="24"/>
        </w:rPr>
        <w:t>部</w:t>
      </w:r>
      <w:r>
        <w:rPr>
          <w:rFonts w:eastAsia="方正仿宋_GBK"/>
          <w:color w:val="000000"/>
          <w:kern w:val="0"/>
          <w:sz w:val="24"/>
        </w:rPr>
        <w:t xml:space="preserve">    </w:t>
      </w:r>
    </w:p>
    <w:p>
      <w:pPr>
        <w:shd w:val="clear" w:color="auto" w:fill="FFFFFF"/>
        <w:spacing w:line="460" w:lineRule="exact"/>
        <w:ind w:right="1338" w:rightChars="637" w:firstLine="4002" w:firstLineChars="1696"/>
        <w:jc w:val="right"/>
        <w:rPr>
          <w:rFonts w:eastAsia="方正仿宋_GBK"/>
          <w:color w:val="000000"/>
          <w:spacing w:val="-2"/>
          <w:kern w:val="0"/>
          <w:sz w:val="24"/>
        </w:rPr>
      </w:pPr>
      <w:r>
        <w:rPr>
          <w:rFonts w:eastAsia="方正仿宋_GBK"/>
          <w:color w:val="000000"/>
          <w:spacing w:val="-2"/>
          <w:kern w:val="0"/>
          <w:sz w:val="24"/>
        </w:rPr>
        <w:t>2013</w:t>
      </w:r>
      <w:r>
        <w:rPr>
          <w:rFonts w:hint="eastAsia" w:eastAsia="方正仿宋_GBK"/>
          <w:color w:val="000000"/>
          <w:spacing w:val="-2"/>
          <w:kern w:val="0"/>
          <w:sz w:val="24"/>
        </w:rPr>
        <w:t>年</w:t>
      </w:r>
      <w:r>
        <w:rPr>
          <w:rFonts w:eastAsia="方正仿宋_GBK"/>
          <w:color w:val="000000"/>
          <w:spacing w:val="-2"/>
          <w:kern w:val="0"/>
          <w:sz w:val="24"/>
        </w:rPr>
        <w:t>3</w:t>
      </w:r>
      <w:r>
        <w:rPr>
          <w:rFonts w:hint="eastAsia" w:eastAsia="方正仿宋_GBK"/>
          <w:color w:val="000000"/>
          <w:spacing w:val="-2"/>
          <w:kern w:val="0"/>
          <w:sz w:val="24"/>
        </w:rPr>
        <w:t>月</w:t>
      </w:r>
      <w:r>
        <w:rPr>
          <w:rFonts w:eastAsia="方正仿宋_GBK"/>
          <w:color w:val="000000"/>
          <w:spacing w:val="-2"/>
          <w:kern w:val="0"/>
          <w:sz w:val="24"/>
        </w:rPr>
        <w:t>11</w:t>
      </w:r>
      <w:r>
        <w:rPr>
          <w:rFonts w:hint="eastAsia" w:eastAsia="方正仿宋_GBK"/>
          <w:color w:val="000000"/>
          <w:spacing w:val="-2"/>
          <w:kern w:val="0"/>
          <w:sz w:val="24"/>
        </w:rPr>
        <w:t>日</w:t>
      </w:r>
      <w:r>
        <w:rPr>
          <w:rFonts w:eastAsia="方正仿宋_GBK"/>
          <w:color w:val="000000"/>
          <w:spacing w:val="-2"/>
          <w:kern w:val="0"/>
          <w:sz w:val="24"/>
        </w:rPr>
        <w:t xml:space="preserve">           </w:t>
      </w:r>
    </w:p>
    <w:p>
      <w:pPr>
        <w:spacing w:line="460" w:lineRule="exact"/>
        <w:rPr>
          <w:rFonts w:eastAsia="方正仿宋_GBK"/>
          <w:color w:val="000000"/>
          <w:spacing w:val="-2"/>
          <w:sz w:val="24"/>
        </w:rPr>
      </w:pPr>
    </w:p>
    <w:p/>
    <w:p/>
    <w:p/>
    <w:p/>
    <w:p/>
    <w:p/>
    <w:p/>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216" w:name="_Toc18315638"/>
      <w:bookmarkStart w:id="217" w:name="_Toc20726255"/>
      <w:r>
        <w:rPr>
          <w:rFonts w:hint="eastAsia" w:ascii="Times New Roman" w:eastAsia="方正小标宋_GBK"/>
          <w:b w:val="0"/>
          <w:sz w:val="36"/>
          <w:szCs w:val="36"/>
        </w:rPr>
        <w:t>省住房城乡建设厅关于启用江苏省勘察设计行业     管理信息系统的通知</w:t>
      </w:r>
      <w:bookmarkEnd w:id="216"/>
      <w:bookmarkEnd w:id="21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18" w:name="_Toc20726256"/>
      <w:bookmarkStart w:id="219" w:name="_Toc18315639"/>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623</w:t>
      </w:r>
      <w:r>
        <w:rPr>
          <w:rFonts w:hint="eastAsia" w:ascii="Times New Roman" w:hAnsi="Times New Roman" w:eastAsia="方正楷体_GBK"/>
          <w:b w:val="0"/>
          <w:sz w:val="24"/>
          <w:szCs w:val="24"/>
        </w:rPr>
        <w:t>号</w:t>
      </w:r>
      <w:bookmarkEnd w:id="218"/>
      <w:bookmarkEnd w:id="219"/>
    </w:p>
    <w:p>
      <w:pPr>
        <w:spacing w:line="460" w:lineRule="exact"/>
        <w:rPr>
          <w:rFonts w:eastAsia="方正仿宋_GBK"/>
          <w:color w:val="000000"/>
          <w:spacing w:val="-2"/>
          <w:sz w:val="24"/>
        </w:rPr>
      </w:pPr>
      <w:r>
        <w:rPr>
          <w:rFonts w:hint="eastAsia" w:eastAsia="方正仿宋_GBK"/>
          <w:color w:val="000000"/>
          <w:spacing w:val="-2"/>
          <w:sz w:val="24"/>
        </w:rPr>
        <w:t>各省辖市、县（市）建设局（委）：</w:t>
      </w:r>
    </w:p>
    <w:p>
      <w:pPr>
        <w:shd w:val="clear" w:color="auto" w:fill="FFFFFF"/>
        <w:spacing w:line="460" w:lineRule="exact"/>
        <w:ind w:firstLine="472" w:firstLineChars="200"/>
        <w:rPr>
          <w:rFonts w:eastAsia="方正仿宋_GBK"/>
          <w:color w:val="000000"/>
          <w:spacing w:val="-2"/>
          <w:sz w:val="24"/>
        </w:rPr>
      </w:pPr>
      <w:r>
        <w:rPr>
          <w:rFonts w:hint="eastAsia" w:eastAsia="方正仿宋_GBK"/>
          <w:color w:val="000000"/>
          <w:spacing w:val="-2"/>
          <w:sz w:val="24"/>
        </w:rPr>
        <w:t>为进一步规范我省工程勘察设计市场秩序，确保勘察设计质量，提高监管效能，我厅组织开发了</w:t>
      </w:r>
      <w:r>
        <w:rPr>
          <w:rFonts w:eastAsia="方正仿宋_GBK"/>
          <w:color w:val="000000"/>
          <w:spacing w:val="-2"/>
          <w:sz w:val="24"/>
        </w:rPr>
        <w:t>“</w:t>
      </w:r>
      <w:r>
        <w:rPr>
          <w:rFonts w:hint="eastAsia" w:eastAsia="方正仿宋_GBK"/>
          <w:color w:val="000000"/>
          <w:spacing w:val="-2"/>
          <w:sz w:val="24"/>
        </w:rPr>
        <w:t>江苏省勘察设计行业管理信息系统</w:t>
      </w:r>
      <w:r>
        <w:rPr>
          <w:rFonts w:eastAsia="方正仿宋_GBK"/>
          <w:color w:val="000000"/>
          <w:spacing w:val="-2"/>
          <w:sz w:val="24"/>
        </w:rPr>
        <w:t>”</w:t>
      </w:r>
      <w:r>
        <w:rPr>
          <w:rFonts w:hint="eastAsia" w:eastAsia="方正仿宋_GBK"/>
          <w:color w:val="000000"/>
          <w:spacing w:val="-2"/>
          <w:sz w:val="24"/>
        </w:rPr>
        <w:t>，并在部分城市进行了试运行。经研究，决定自</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12</w:t>
      </w:r>
      <w:r>
        <w:rPr>
          <w:rFonts w:hint="eastAsia" w:eastAsia="方正仿宋_GBK"/>
          <w:color w:val="000000"/>
          <w:spacing w:val="-2"/>
          <w:sz w:val="24"/>
        </w:rPr>
        <w:t>月</w:t>
      </w:r>
      <w:r>
        <w:rPr>
          <w:rFonts w:eastAsia="方正仿宋_GBK"/>
          <w:color w:val="000000"/>
          <w:spacing w:val="-2"/>
          <w:sz w:val="24"/>
        </w:rPr>
        <w:t>26</w:t>
      </w:r>
      <w:r>
        <w:rPr>
          <w:rFonts w:hint="eastAsia" w:eastAsia="方正仿宋_GBK"/>
          <w:color w:val="000000"/>
          <w:spacing w:val="-2"/>
          <w:sz w:val="24"/>
        </w:rPr>
        <w:t>日起在全省范围内全面启用该系统。现就有关事项通知如下。</w:t>
      </w:r>
    </w:p>
    <w:p>
      <w:pPr>
        <w:shd w:val="clear" w:color="auto" w:fill="FFFFFF"/>
        <w:spacing w:line="460" w:lineRule="exact"/>
        <w:ind w:firstLine="472" w:firstLineChars="200"/>
        <w:jc w:val="left"/>
        <w:rPr>
          <w:rFonts w:ascii="Times New Roman" w:eastAsia="方正黑体_GBK"/>
          <w:color w:val="000000"/>
          <w:spacing w:val="-2"/>
          <w:sz w:val="24"/>
        </w:rPr>
      </w:pPr>
      <w:r>
        <w:rPr>
          <w:rFonts w:hint="eastAsia" w:ascii="Times New Roman" w:eastAsia="方正黑体_GBK"/>
          <w:bCs/>
          <w:color w:val="000000"/>
          <w:spacing w:val="-2"/>
          <w:sz w:val="24"/>
        </w:rPr>
        <w:t>一、该系统的内容及功能</w:t>
      </w:r>
    </w:p>
    <w:p>
      <w:pPr>
        <w:shd w:val="clear" w:color="auto" w:fill="FFFFFF"/>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运用现代化网络手段，采集工程勘察设计企业、人员信息，建立相关基础数据库，</w:t>
      </w:r>
      <w:r>
        <w:rPr>
          <w:rFonts w:hint="eastAsia" w:eastAsia="方正仿宋_GBK"/>
          <w:bCs/>
          <w:color w:val="000000"/>
          <w:spacing w:val="-2"/>
          <w:sz w:val="24"/>
        </w:rPr>
        <w:t>实现在网上办理工程勘察现场作业提前告知、勘察设计市场集中检查、勘察设计行业注册人员继续教育管理、统计年报和季报分析、优秀勘察设计奖评选等具体工作，并可实时地对全省勘察设计企业、技术人员及项目进行信息查询、统计与监督管理。</w:t>
      </w:r>
    </w:p>
    <w:p>
      <w:pPr>
        <w:shd w:val="clear" w:color="auto" w:fill="FFFFFF"/>
        <w:spacing w:line="460" w:lineRule="exact"/>
        <w:ind w:firstLine="472" w:firstLineChars="200"/>
        <w:jc w:val="left"/>
        <w:rPr>
          <w:rFonts w:ascii="Times New Roman" w:eastAsia="方正黑体_GBK"/>
          <w:bCs/>
          <w:color w:val="000000"/>
          <w:spacing w:val="-2"/>
          <w:sz w:val="24"/>
        </w:rPr>
      </w:pPr>
      <w:r>
        <w:rPr>
          <w:rFonts w:hint="eastAsia" w:ascii="Times New Roman" w:eastAsia="方正黑体_GBK"/>
          <w:bCs/>
          <w:color w:val="000000"/>
          <w:spacing w:val="-2"/>
          <w:sz w:val="24"/>
        </w:rPr>
        <w:t>二、时间安排</w:t>
      </w:r>
    </w:p>
    <w:p>
      <w:pPr>
        <w:shd w:val="clear" w:color="auto" w:fill="FFFFFF"/>
        <w:spacing w:line="460" w:lineRule="exact"/>
        <w:ind w:firstLine="472" w:firstLineChars="200"/>
        <w:jc w:val="left"/>
        <w:rPr>
          <w:rFonts w:hint="eastAsia" w:eastAsia="方正仿宋_GBK"/>
          <w:bCs/>
          <w:color w:val="000000"/>
          <w:spacing w:val="-2"/>
          <w:sz w:val="24"/>
        </w:rPr>
      </w:pPr>
      <w:r>
        <w:rPr>
          <w:rFonts w:hint="eastAsia" w:eastAsia="方正仿宋_GBK"/>
          <w:color w:val="000000"/>
          <w:spacing w:val="-2"/>
          <w:sz w:val="24"/>
        </w:rPr>
        <w:t>江苏省勘察设计行业信息管理系统从</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12</w:t>
      </w:r>
      <w:r>
        <w:rPr>
          <w:rFonts w:hint="eastAsia" w:eastAsia="方正仿宋_GBK"/>
          <w:color w:val="000000"/>
          <w:spacing w:val="-2"/>
          <w:sz w:val="24"/>
        </w:rPr>
        <w:t>月</w:t>
      </w:r>
      <w:r>
        <w:rPr>
          <w:rFonts w:eastAsia="方正仿宋_GBK"/>
          <w:color w:val="000000"/>
          <w:spacing w:val="-2"/>
          <w:sz w:val="24"/>
        </w:rPr>
        <w:t>26</w:t>
      </w:r>
      <w:r>
        <w:rPr>
          <w:rFonts w:hint="eastAsia" w:eastAsia="方正仿宋_GBK"/>
          <w:color w:val="000000"/>
          <w:spacing w:val="-2"/>
          <w:sz w:val="24"/>
        </w:rPr>
        <w:t>日起正式启用，各企业在</w:t>
      </w:r>
      <w:r>
        <w:rPr>
          <w:rFonts w:eastAsia="方正仿宋_GBK"/>
          <w:color w:val="000000"/>
          <w:spacing w:val="-2"/>
          <w:sz w:val="24"/>
        </w:rPr>
        <w:t>2014</w:t>
      </w:r>
      <w:r>
        <w:rPr>
          <w:rFonts w:hint="eastAsia" w:eastAsia="方正仿宋_GBK"/>
          <w:color w:val="000000"/>
          <w:spacing w:val="-2"/>
          <w:sz w:val="24"/>
        </w:rPr>
        <w:t>年</w:t>
      </w:r>
      <w:r>
        <w:rPr>
          <w:rFonts w:eastAsia="方正仿宋_GBK"/>
          <w:color w:val="000000"/>
          <w:spacing w:val="-2"/>
          <w:sz w:val="24"/>
        </w:rPr>
        <w:t>3</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日前必须将企业及人员信息录入完毕。自</w:t>
      </w:r>
      <w:r>
        <w:rPr>
          <w:rFonts w:eastAsia="方正仿宋_GBK"/>
          <w:color w:val="000000"/>
          <w:spacing w:val="-2"/>
          <w:sz w:val="24"/>
        </w:rPr>
        <w:t>2014</w:t>
      </w:r>
      <w:r>
        <w:rPr>
          <w:rFonts w:hint="eastAsia" w:eastAsia="方正仿宋_GBK"/>
          <w:color w:val="000000"/>
          <w:spacing w:val="-2"/>
          <w:sz w:val="24"/>
        </w:rPr>
        <w:t>年</w:t>
      </w:r>
      <w:r>
        <w:rPr>
          <w:rFonts w:eastAsia="方正仿宋_GBK"/>
          <w:color w:val="000000"/>
          <w:spacing w:val="-2"/>
          <w:sz w:val="24"/>
        </w:rPr>
        <w:t>4</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w:t>
      </w:r>
      <w:r>
        <w:rPr>
          <w:rFonts w:hint="eastAsia" w:eastAsia="方正仿宋_GBK"/>
          <w:bCs/>
          <w:color w:val="000000"/>
          <w:spacing w:val="-2"/>
          <w:sz w:val="24"/>
        </w:rPr>
        <w:t>工程勘察现场作业提前告知、勘察设计市场集中检查、勘察设计行业注册人员继续教育管理、优秀勘察设计奖评选等具体工作都须通过该系统办理。</w:t>
      </w:r>
    </w:p>
    <w:p>
      <w:pPr>
        <w:shd w:val="clear" w:color="auto" w:fill="FFFFFF"/>
        <w:spacing w:line="460" w:lineRule="exact"/>
        <w:ind w:firstLine="472" w:firstLineChars="200"/>
        <w:rPr>
          <w:rFonts w:eastAsia="方正仿宋_GBK"/>
          <w:color w:val="000000"/>
          <w:spacing w:val="-2"/>
          <w:sz w:val="24"/>
        </w:rPr>
      </w:pPr>
      <w:r>
        <w:rPr>
          <w:rFonts w:hint="eastAsia" w:eastAsia="方正仿宋_GBK"/>
          <w:color w:val="000000"/>
          <w:spacing w:val="-2"/>
          <w:sz w:val="24"/>
        </w:rPr>
        <w:t>各省辖市、县（市）住房城乡建设主管部门负责指导和督促，并对企业录入信息按权限及时进行审核。各省辖市建设主管部门对工商注册所在地在市区的单位及承接市区项目的省外单位的企业、人员和项目等的相关资料的原件进行审核；各县（市）建设主管部门对工商注册所在地在本行政区域内的单位及承接本行政区域内项目的省外单位的企业、人员和项目等的相关资料的原件进行审核。在对原件进行审核时，要确保进入省勘察设计行业信息管理系统中的各项资料的扫描件与原件一致。</w:t>
      </w:r>
    </w:p>
    <w:p>
      <w:pPr>
        <w:shd w:val="clear" w:color="auto" w:fill="FFFFFF"/>
        <w:spacing w:line="460" w:lineRule="exact"/>
        <w:ind w:firstLine="472" w:firstLineChars="200"/>
        <w:jc w:val="left"/>
        <w:rPr>
          <w:rFonts w:ascii="Times New Roman" w:eastAsia="方正黑体_GBK"/>
          <w:bCs/>
          <w:color w:val="000000"/>
          <w:spacing w:val="-2"/>
          <w:sz w:val="24"/>
        </w:rPr>
      </w:pPr>
      <w:r>
        <w:rPr>
          <w:rFonts w:hint="eastAsia" w:ascii="Times New Roman" w:eastAsia="方正黑体_GBK"/>
          <w:bCs/>
          <w:color w:val="000000"/>
          <w:spacing w:val="-2"/>
          <w:sz w:val="24"/>
        </w:rPr>
        <w:t>三、操作步骤</w:t>
      </w:r>
    </w:p>
    <w:p>
      <w:pPr>
        <w:shd w:val="clear" w:color="auto" w:fill="FFFFFF"/>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用户需注册才能使用本系统。在浏览器地址栏中输入网址</w:t>
      </w:r>
      <w:r>
        <w:rPr>
          <w:rFonts w:eastAsia="方正仿宋_GBK"/>
          <w:color w:val="000000"/>
          <w:spacing w:val="-2"/>
          <w:sz w:val="24"/>
        </w:rPr>
        <w:t>“http://www.jscst.cn/Jskcsjfront/”</w:t>
      </w:r>
      <w:r>
        <w:rPr>
          <w:rFonts w:hint="eastAsia" w:eastAsia="方正仿宋_GBK"/>
          <w:color w:val="000000"/>
          <w:spacing w:val="-2"/>
          <w:sz w:val="24"/>
        </w:rPr>
        <w:t>，进入注册页面，填入相关信息后上报省级系统管理员。用户注册成功后，可以登陆使用本系统。登陆时，用户名为企业组织机构代码，初始密码为</w:t>
      </w:r>
      <w:r>
        <w:rPr>
          <w:rFonts w:eastAsia="方正仿宋_GBK"/>
          <w:color w:val="000000"/>
          <w:spacing w:val="-2"/>
          <w:sz w:val="24"/>
        </w:rPr>
        <w:t>11111</w:t>
      </w:r>
      <w:r>
        <w:rPr>
          <w:rFonts w:hint="eastAsia" w:eastAsia="方正仿宋_GBK"/>
          <w:color w:val="000000"/>
          <w:spacing w:val="-2"/>
          <w:sz w:val="24"/>
        </w:rPr>
        <w:t>。为确保用户信息安全，用户登陆后应修改密码。住房城乡建设主管部门的用户名及密码另行通知。</w:t>
      </w:r>
    </w:p>
    <w:p>
      <w:pPr>
        <w:shd w:val="clear" w:color="auto" w:fill="FFFFFF"/>
        <w:spacing w:line="460" w:lineRule="exact"/>
        <w:ind w:firstLine="472" w:firstLineChars="200"/>
        <w:rPr>
          <w:rFonts w:eastAsia="方正仿宋_GBK"/>
          <w:color w:val="000000"/>
          <w:spacing w:val="-2"/>
          <w:sz w:val="24"/>
        </w:rPr>
      </w:pPr>
      <w:r>
        <w:rPr>
          <w:rFonts w:hint="eastAsia" w:eastAsia="方正仿宋_GBK"/>
          <w:color w:val="000000"/>
          <w:spacing w:val="-2"/>
          <w:sz w:val="24"/>
        </w:rPr>
        <w:t>该系统的具体操作步骤见《江苏省勘察设计行业管理信息系统操作手册》（企业用户操作手册在</w:t>
      </w:r>
      <w:r>
        <w:rPr>
          <w:rFonts w:eastAsia="方正仿宋_GBK"/>
          <w:color w:val="000000"/>
          <w:spacing w:val="-2"/>
          <w:sz w:val="24"/>
        </w:rPr>
        <w:t>http://www.jscst.cn/Jskcsjfront/</w:t>
      </w:r>
      <w:r>
        <w:rPr>
          <w:rFonts w:hint="eastAsia" w:eastAsia="方正仿宋_GBK"/>
          <w:color w:val="000000"/>
          <w:spacing w:val="-2"/>
          <w:sz w:val="24"/>
        </w:rPr>
        <w:t>系统登录页面的</w:t>
      </w:r>
      <w:r>
        <w:rPr>
          <w:rFonts w:eastAsia="方正仿宋_GBK"/>
          <w:color w:val="000000"/>
          <w:spacing w:val="-2"/>
          <w:sz w:val="24"/>
        </w:rPr>
        <w:t>“</w:t>
      </w:r>
      <w:r>
        <w:rPr>
          <w:rFonts w:hint="eastAsia" w:eastAsia="方正仿宋_GBK"/>
          <w:color w:val="000000"/>
          <w:spacing w:val="-2"/>
          <w:sz w:val="24"/>
        </w:rPr>
        <w:t>用户手册</w:t>
      </w:r>
      <w:r>
        <w:rPr>
          <w:rFonts w:eastAsia="方正仿宋_GBK"/>
          <w:color w:val="000000"/>
          <w:spacing w:val="-2"/>
          <w:sz w:val="24"/>
        </w:rPr>
        <w:t>”</w:t>
      </w:r>
      <w:r>
        <w:rPr>
          <w:rFonts w:hint="eastAsia" w:eastAsia="方正仿宋_GBK"/>
          <w:color w:val="000000"/>
          <w:spacing w:val="-2"/>
          <w:sz w:val="24"/>
        </w:rPr>
        <w:t>点击下载；管理机关操作手册需要在取得帐号后登录系统，在首页面的</w:t>
      </w:r>
      <w:r>
        <w:rPr>
          <w:rFonts w:eastAsia="方正仿宋_GBK"/>
          <w:color w:val="000000"/>
          <w:spacing w:val="-2"/>
          <w:sz w:val="24"/>
        </w:rPr>
        <w:t>“</w:t>
      </w:r>
      <w:r>
        <w:rPr>
          <w:rFonts w:hint="eastAsia" w:eastAsia="方正仿宋_GBK"/>
          <w:color w:val="000000"/>
          <w:spacing w:val="-2"/>
          <w:sz w:val="24"/>
        </w:rPr>
        <w:t>通知公告</w:t>
      </w:r>
      <w:r>
        <w:rPr>
          <w:rFonts w:eastAsia="方正仿宋_GBK"/>
          <w:color w:val="000000"/>
          <w:spacing w:val="-2"/>
          <w:sz w:val="24"/>
        </w:rPr>
        <w:t>”</w:t>
      </w:r>
      <w:r>
        <w:rPr>
          <w:rFonts w:hint="eastAsia" w:eastAsia="方正仿宋_GBK"/>
          <w:color w:val="000000"/>
          <w:spacing w:val="-2"/>
          <w:sz w:val="24"/>
        </w:rPr>
        <w:t>栏进行下载）。</w:t>
      </w:r>
    </w:p>
    <w:p>
      <w:pPr>
        <w:shd w:val="clear" w:color="auto" w:fill="FFFFFF"/>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本系统启用后，我厅将委托省勘察设计协会组织培训，以便于各企业及各级住房城乡建设主管部门尽快熟悉操作。</w:t>
      </w:r>
    </w:p>
    <w:p>
      <w:pPr>
        <w:shd w:val="clear" w:color="auto" w:fill="FFFFFF"/>
        <w:spacing w:line="460" w:lineRule="exact"/>
        <w:ind w:firstLine="472" w:firstLineChars="200"/>
        <w:jc w:val="left"/>
        <w:rPr>
          <w:rFonts w:ascii="Times New Roman" w:eastAsia="方正黑体_GBK"/>
          <w:bCs/>
          <w:color w:val="000000"/>
          <w:spacing w:val="-2"/>
          <w:sz w:val="24"/>
        </w:rPr>
      </w:pPr>
      <w:r>
        <w:rPr>
          <w:rFonts w:hint="eastAsia" w:ascii="Times New Roman" w:eastAsia="方正黑体_GBK"/>
          <w:bCs/>
          <w:color w:val="000000"/>
          <w:spacing w:val="-2"/>
          <w:sz w:val="24"/>
        </w:rPr>
        <w:t>四、工作要求</w:t>
      </w:r>
    </w:p>
    <w:p>
      <w:pPr>
        <w:shd w:val="clear" w:color="auto" w:fill="FFFFFF"/>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、各企业要按要求及时录入相关信息。</w:t>
      </w:r>
    </w:p>
    <w:p>
      <w:pPr>
        <w:shd w:val="clear" w:color="auto" w:fill="FFFFFF"/>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、企业在利用该系统参加全省工程勘察设计市场集中检查时，不需提供相关材料的原件及复印件，只需提供从该系统中打印出的检查申报表。本省企业应于每年</w:t>
      </w:r>
      <w:r>
        <w:rPr>
          <w:rFonts w:eastAsia="方正仿宋_GBK"/>
          <w:color w:val="000000"/>
          <w:spacing w:val="-2"/>
          <w:sz w:val="24"/>
        </w:rPr>
        <w:t>6</w:t>
      </w:r>
      <w:r>
        <w:rPr>
          <w:rFonts w:hint="eastAsia" w:eastAsia="方正仿宋_GBK"/>
          <w:color w:val="000000"/>
          <w:spacing w:val="-2"/>
          <w:sz w:val="24"/>
        </w:rPr>
        <w:t>月底前将本单位所有资质相对应的人员、设备等相关信息填入市场集中检查子系统，如遇人员等发生变化，应及时进行调整。各级住房城乡建设主管部门通过系统中已由企业工商注册所在地住房城乡建设主管部门审查通过的企业、人员、办公场所及设备等的相关材料的扫描件和企业填报的其它相关信息进行审核。</w:t>
      </w:r>
    </w:p>
    <w:p>
      <w:pPr>
        <w:shd w:val="clear" w:color="auto" w:fill="FFFFFF"/>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、通过该系统进行的评优申报，适用于省城乡建设系统优秀勘察设计奖评选或省级</w:t>
      </w:r>
      <w:r>
        <w:rPr>
          <w:rFonts w:eastAsia="方正仿宋_GBK"/>
          <w:color w:val="000000"/>
          <w:spacing w:val="-2"/>
          <w:sz w:val="24"/>
        </w:rPr>
        <w:t>“</w:t>
      </w:r>
      <w:r>
        <w:rPr>
          <w:rFonts w:hint="eastAsia" w:eastAsia="方正仿宋_GBK"/>
          <w:color w:val="000000"/>
          <w:spacing w:val="-2"/>
          <w:sz w:val="24"/>
        </w:rPr>
        <w:t>四优</w:t>
      </w:r>
      <w:r>
        <w:rPr>
          <w:rFonts w:eastAsia="方正仿宋_GBK"/>
          <w:color w:val="000000"/>
          <w:spacing w:val="-2"/>
          <w:sz w:val="24"/>
        </w:rPr>
        <w:t>”</w:t>
      </w:r>
      <w:r>
        <w:rPr>
          <w:rFonts w:hint="eastAsia" w:eastAsia="方正仿宋_GBK"/>
          <w:color w:val="000000"/>
          <w:spacing w:val="-2"/>
          <w:sz w:val="24"/>
        </w:rPr>
        <w:t>奖评选。进行评优申报时，应遵照当年的申报细则及相关的评选管理办法。具体程序为：拟申报项目应先通过系统录入相关信息，并上传项目合同主要页</w:t>
      </w:r>
      <w:r>
        <w:rPr>
          <w:rFonts w:eastAsia="方正仿宋_GBK"/>
          <w:color w:val="000000"/>
          <w:spacing w:val="-2"/>
          <w:sz w:val="24"/>
        </w:rPr>
        <w:t>(</w:t>
      </w:r>
      <w:r>
        <w:rPr>
          <w:rFonts w:hint="eastAsia" w:eastAsia="方正仿宋_GBK"/>
          <w:color w:val="000000"/>
          <w:spacing w:val="-2"/>
          <w:sz w:val="24"/>
        </w:rPr>
        <w:t>封面页、包含项目名称及规模等信息的合同页、签字盖章页</w:t>
      </w:r>
      <w:r>
        <w:rPr>
          <w:rFonts w:eastAsia="方正仿宋_GBK"/>
          <w:color w:val="000000"/>
          <w:spacing w:val="-2"/>
          <w:sz w:val="24"/>
        </w:rPr>
        <w:t>)</w:t>
      </w:r>
      <w:r>
        <w:rPr>
          <w:rFonts w:hint="eastAsia" w:eastAsia="方正仿宋_GBK"/>
          <w:color w:val="000000"/>
          <w:spacing w:val="-2"/>
          <w:sz w:val="24"/>
        </w:rPr>
        <w:t>、施工图设计文件审查合格书、消防部门竣工验收合格证明、使用单位对设计的反馈意见、施工单位对设计的反馈意见等材料的扫描件及项目报优成果的电子文件。项目申报单位将系统生成的申报表</w:t>
      </w:r>
      <w:r>
        <w:rPr>
          <w:rFonts w:eastAsia="方正仿宋_GBK"/>
          <w:color w:val="000000"/>
          <w:spacing w:val="-2"/>
          <w:sz w:val="24"/>
        </w:rPr>
        <w:t>3</w:t>
      </w:r>
      <w:r>
        <w:rPr>
          <w:rFonts w:hint="eastAsia" w:eastAsia="方正仿宋_GBK"/>
          <w:color w:val="000000"/>
          <w:spacing w:val="-2"/>
          <w:sz w:val="24"/>
        </w:rPr>
        <w:t>份、</w:t>
      </w:r>
      <w:r>
        <w:rPr>
          <w:rFonts w:eastAsia="方正仿宋_GBK"/>
          <w:color w:val="000000"/>
          <w:spacing w:val="-2"/>
          <w:sz w:val="24"/>
        </w:rPr>
        <w:t>A3</w:t>
      </w:r>
      <w:r>
        <w:rPr>
          <w:rFonts w:hint="eastAsia" w:eastAsia="方正仿宋_GBK"/>
          <w:color w:val="000000"/>
          <w:spacing w:val="-2"/>
          <w:sz w:val="24"/>
        </w:rPr>
        <w:t>报优文本</w:t>
      </w:r>
      <w:r>
        <w:rPr>
          <w:rFonts w:eastAsia="方正仿宋_GBK"/>
          <w:color w:val="000000"/>
          <w:spacing w:val="-2"/>
          <w:sz w:val="24"/>
        </w:rPr>
        <w:t>1</w:t>
      </w:r>
      <w:r>
        <w:rPr>
          <w:rFonts w:hint="eastAsia" w:eastAsia="方正仿宋_GBK"/>
          <w:color w:val="000000"/>
          <w:spacing w:val="-2"/>
          <w:sz w:val="24"/>
        </w:rPr>
        <w:t>份及上述扫描件的原件，报单位所在地省辖市住房城乡建设主管部门进行审核，审核无误的，省辖市住房城乡建设主管部门在申报表中相应栏目签署意见、加盖单位公章，并在该系统中签署意见。符合申报条件及申报程序的项目，推荐参加省城乡建设系统优秀勘察设计奖或省级</w:t>
      </w:r>
      <w:r>
        <w:rPr>
          <w:rFonts w:eastAsia="方正仿宋_GBK"/>
          <w:color w:val="000000"/>
          <w:spacing w:val="-2"/>
          <w:sz w:val="24"/>
        </w:rPr>
        <w:t>“</w:t>
      </w:r>
      <w:r>
        <w:rPr>
          <w:rFonts w:hint="eastAsia" w:eastAsia="方正仿宋_GBK"/>
          <w:color w:val="000000"/>
          <w:spacing w:val="-2"/>
          <w:sz w:val="24"/>
        </w:rPr>
        <w:t>四优</w:t>
      </w:r>
      <w:r>
        <w:rPr>
          <w:rFonts w:eastAsia="方正仿宋_GBK"/>
          <w:color w:val="000000"/>
          <w:spacing w:val="-2"/>
          <w:sz w:val="24"/>
        </w:rPr>
        <w:t>”</w:t>
      </w:r>
      <w:r>
        <w:rPr>
          <w:rFonts w:hint="eastAsia" w:eastAsia="方正仿宋_GBK"/>
          <w:color w:val="000000"/>
          <w:spacing w:val="-2"/>
          <w:sz w:val="24"/>
        </w:rPr>
        <w:t>奖的评选活动。</w:t>
      </w:r>
    </w:p>
    <w:p>
      <w:pPr>
        <w:shd w:val="clear" w:color="auto" w:fill="FFFFFF"/>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各省辖市、县（市）建设主管部门要从规范工程勘察设计市场秩序、加强质量监管的高度，认真做好系统启用运行的相关工作，明确责任人及工作职责；督促各相关企业在规定时间内完成相关数据录入，并认真做好系统启用后的组织协调和后续监管等工作，确保系统全面启用实施。</w:t>
      </w:r>
    </w:p>
    <w:p>
      <w:pPr>
        <w:shd w:val="clear" w:color="auto" w:fill="FFFFFF"/>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、各省辖市、县（市）住房城乡建设主管部门要及时将本部门需使用该系统的人员相关信息于</w:t>
      </w:r>
      <w:r>
        <w:rPr>
          <w:rFonts w:eastAsia="方正仿宋_GBK"/>
          <w:color w:val="000000"/>
          <w:spacing w:val="-2"/>
          <w:sz w:val="24"/>
        </w:rPr>
        <w:t>2014</w:t>
      </w:r>
      <w:r>
        <w:rPr>
          <w:rFonts w:hint="eastAsia" w:eastAsia="方正仿宋_GBK"/>
          <w:color w:val="000000"/>
          <w:spacing w:val="-2"/>
          <w:sz w:val="24"/>
        </w:rPr>
        <w:t>年</w:t>
      </w:r>
      <w:r>
        <w:rPr>
          <w:rFonts w:eastAsia="方正仿宋_GBK"/>
          <w:color w:val="000000"/>
          <w:spacing w:val="-2"/>
          <w:sz w:val="24"/>
        </w:rPr>
        <w:t>1</w:t>
      </w:r>
      <w:r>
        <w:rPr>
          <w:rFonts w:hint="eastAsia" w:eastAsia="方正仿宋_GBK"/>
          <w:color w:val="000000"/>
          <w:spacing w:val="-2"/>
          <w:sz w:val="24"/>
        </w:rPr>
        <w:t>月</w:t>
      </w:r>
      <w:r>
        <w:rPr>
          <w:rFonts w:eastAsia="方正仿宋_GBK"/>
          <w:color w:val="000000"/>
          <w:spacing w:val="-2"/>
          <w:sz w:val="24"/>
        </w:rPr>
        <w:t>10</w:t>
      </w:r>
      <w:r>
        <w:rPr>
          <w:rFonts w:hint="eastAsia" w:eastAsia="方正仿宋_GBK"/>
          <w:color w:val="000000"/>
          <w:spacing w:val="-2"/>
          <w:sz w:val="24"/>
        </w:rPr>
        <w:t>日前报我厅建筑节能与科研设计处（格式见附件，各县（市）住房城乡建设主管部门的相关人员信息由省辖市住房城乡建设主管部门汇总后上报）。</w:t>
      </w:r>
    </w:p>
    <w:p>
      <w:pPr>
        <w:shd w:val="clear" w:color="auto" w:fill="FFFFFF"/>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我厅将对各企业的上报信息及各省辖市、县（市）住房城乡建设主管部门通过该系统办理的各项业务进行不定期抽查。对于上报虚假信息的企业、违反规定或审查不严导致不符合条件的企业通过审查的各级住房城乡建设主管部门，我厅将予以通报批评，并责令该主管部门重新办理相关业务事项。</w:t>
      </w:r>
    </w:p>
    <w:p>
      <w:pPr>
        <w:shd w:val="clear" w:color="auto" w:fill="FFFFFF"/>
        <w:spacing w:line="460" w:lineRule="exact"/>
        <w:ind w:firstLine="472" w:firstLineChars="200"/>
        <w:rPr>
          <w:rFonts w:eastAsia="方正仿宋_GBK"/>
          <w:color w:val="000000"/>
          <w:spacing w:val="-2"/>
          <w:sz w:val="24"/>
        </w:rPr>
      </w:pPr>
      <w:r>
        <w:rPr>
          <w:rFonts w:hint="eastAsia" w:eastAsia="方正仿宋_GBK"/>
          <w:bCs/>
          <w:color w:val="000000"/>
          <w:spacing w:val="-2"/>
          <w:sz w:val="24"/>
        </w:rPr>
        <w:t>联系人：</w:t>
      </w:r>
      <w:r>
        <w:rPr>
          <w:rFonts w:hint="eastAsia" w:eastAsia="方正仿宋_GBK"/>
          <w:color w:val="000000"/>
          <w:spacing w:val="-2"/>
          <w:sz w:val="24"/>
        </w:rPr>
        <w:t>罗荣彪、倪梅仙，</w:t>
      </w:r>
      <w:r>
        <w:rPr>
          <w:rFonts w:eastAsia="方正仿宋_GBK"/>
          <w:color w:val="000000"/>
          <w:spacing w:val="-2"/>
          <w:sz w:val="24"/>
        </w:rPr>
        <w:t>025-51868833</w:t>
      </w:r>
      <w:r>
        <w:rPr>
          <w:rFonts w:hint="eastAsia" w:eastAsia="方正仿宋_GBK"/>
          <w:color w:val="000000"/>
          <w:spacing w:val="-2"/>
          <w:sz w:val="24"/>
        </w:rPr>
        <w:t>、</w:t>
      </w:r>
      <w:r>
        <w:rPr>
          <w:rFonts w:eastAsia="方正仿宋_GBK"/>
          <w:color w:val="000000"/>
          <w:spacing w:val="-2"/>
          <w:sz w:val="24"/>
        </w:rPr>
        <w:t>51868129</w:t>
      </w:r>
      <w:r>
        <w:rPr>
          <w:rFonts w:hint="eastAsia" w:eastAsia="方正仿宋_GBK"/>
          <w:color w:val="000000"/>
          <w:spacing w:val="-2"/>
          <w:sz w:val="24"/>
        </w:rPr>
        <w:t>，邮箱：</w:t>
      </w:r>
      <w:r>
        <w:fldChar w:fldCharType="begin"/>
      </w:r>
      <w:r>
        <w:instrText xml:space="preserve"> HYPERLINK "mailto:njlrb@163.com" </w:instrText>
      </w:r>
      <w:r>
        <w:fldChar w:fldCharType="separate"/>
      </w:r>
      <w:r>
        <w:rPr>
          <w:rStyle w:val="16"/>
          <w:rFonts w:eastAsia="方正仿宋_GBK"/>
          <w:spacing w:val="-2"/>
          <w:sz w:val="24"/>
        </w:rPr>
        <w:t>njlrb@163.com</w:t>
      </w:r>
      <w:r>
        <w:fldChar w:fldCharType="end"/>
      </w:r>
      <w:r>
        <w:rPr>
          <w:rFonts w:hint="eastAsia" w:eastAsia="方正仿宋_GBK"/>
          <w:color w:val="000000"/>
          <w:spacing w:val="-2"/>
          <w:sz w:val="24"/>
        </w:rPr>
        <w:t>。</w:t>
      </w:r>
    </w:p>
    <w:p>
      <w:pPr>
        <w:shd w:val="clear" w:color="auto" w:fill="FFFFFF"/>
        <w:spacing w:line="460" w:lineRule="exact"/>
        <w:ind w:firstLine="472" w:firstLineChars="200"/>
        <w:rPr>
          <w:rFonts w:eastAsia="方正仿宋_GBK"/>
          <w:color w:val="000000"/>
          <w:spacing w:val="-2"/>
          <w:sz w:val="24"/>
        </w:rPr>
      </w:pPr>
      <w:r>
        <w:rPr>
          <w:rFonts w:hint="eastAsia" w:eastAsia="方正仿宋_GBK"/>
          <w:bCs/>
          <w:color w:val="000000"/>
          <w:spacing w:val="-2"/>
          <w:sz w:val="24"/>
        </w:rPr>
        <w:t>技术咨询：</w:t>
      </w:r>
      <w:r>
        <w:rPr>
          <w:rFonts w:hint="eastAsia" w:eastAsia="方正仿宋_GBK"/>
          <w:color w:val="000000"/>
          <w:spacing w:val="-2"/>
          <w:sz w:val="24"/>
        </w:rPr>
        <w:t>吉峰，</w:t>
      </w:r>
      <w:r>
        <w:rPr>
          <w:rFonts w:eastAsia="方正仿宋_GBK"/>
          <w:color w:val="000000"/>
          <w:spacing w:val="-2"/>
          <w:sz w:val="24"/>
        </w:rPr>
        <w:t>18625172298</w:t>
      </w:r>
      <w:r>
        <w:rPr>
          <w:rFonts w:hint="eastAsia" w:eastAsia="方正仿宋_GBK"/>
          <w:color w:val="000000"/>
          <w:spacing w:val="-2"/>
          <w:sz w:val="24"/>
        </w:rPr>
        <w:t>，</w:t>
      </w:r>
      <w:r>
        <w:rPr>
          <w:rFonts w:eastAsia="方正仿宋_GBK"/>
          <w:color w:val="000000"/>
          <w:spacing w:val="-2"/>
          <w:sz w:val="24"/>
        </w:rPr>
        <w:t>QQ:582886282</w:t>
      </w:r>
    </w:p>
    <w:p>
      <w:pPr>
        <w:pStyle w:val="10"/>
        <w:widowControl w:val="0"/>
        <w:spacing w:before="0" w:beforeAutospacing="0" w:after="0" w:afterAutospacing="0" w:line="460" w:lineRule="exact"/>
        <w:ind w:left="1346" w:leftChars="304" w:hanging="708" w:hangingChars="300"/>
        <w:jc w:val="both"/>
        <w:rPr>
          <w:rFonts w:ascii="Times New Roman" w:hAnsi="Times New Roman" w:eastAsia="方正仿宋_GBK"/>
          <w:color w:val="000000"/>
          <w:spacing w:val="-2"/>
        </w:rPr>
      </w:pPr>
    </w:p>
    <w:p>
      <w:pPr>
        <w:pStyle w:val="10"/>
        <w:widowControl w:val="0"/>
        <w:spacing w:before="0" w:beforeAutospacing="0" w:after="0" w:afterAutospacing="0" w:line="460" w:lineRule="exact"/>
        <w:ind w:left="1346" w:leftChars="304" w:hanging="708" w:hangingChars="3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附件：住房城乡建设主管部门使用</w:t>
      </w:r>
      <w:r>
        <w:rPr>
          <w:rFonts w:ascii="Times New Roman" w:hAnsi="Times New Roman" w:eastAsia="方正仿宋_GBK"/>
          <w:color w:val="000000"/>
          <w:spacing w:val="-2"/>
        </w:rPr>
        <w:t>“</w:t>
      </w:r>
      <w:r>
        <w:rPr>
          <w:rFonts w:hint="eastAsia" w:ascii="Times New Roman" w:hAnsi="Times New Roman" w:eastAsia="方正仿宋_GBK"/>
          <w:color w:val="000000"/>
          <w:spacing w:val="-2"/>
        </w:rPr>
        <w:t>江苏省勘察设计行业管理信息系统</w:t>
      </w:r>
      <w:r>
        <w:rPr>
          <w:rFonts w:ascii="Times New Roman" w:hAnsi="Times New Roman" w:eastAsia="方正仿宋_GBK"/>
          <w:color w:val="000000"/>
          <w:spacing w:val="-2"/>
        </w:rPr>
        <w:t>”</w:t>
      </w:r>
      <w:r>
        <w:rPr>
          <w:rFonts w:hint="eastAsia" w:ascii="Times New Roman" w:hAnsi="Times New Roman" w:eastAsia="方正仿宋_GBK"/>
          <w:color w:val="000000"/>
          <w:spacing w:val="-2"/>
        </w:rPr>
        <w:t>人员的相关信息汇总表</w:t>
      </w:r>
    </w:p>
    <w:p>
      <w:pPr>
        <w:pStyle w:val="10"/>
        <w:widowControl w:val="0"/>
        <w:spacing w:before="0" w:beforeAutospacing="0" w:after="0" w:afterAutospacing="0" w:line="460" w:lineRule="exact"/>
        <w:ind w:firstLine="472" w:firstLineChars="200"/>
        <w:jc w:val="both"/>
        <w:rPr>
          <w:rFonts w:ascii="Times New Roman" w:hAnsi="Times New Roman" w:eastAsia="方正仿宋_GBK"/>
          <w:color w:val="000000"/>
          <w:spacing w:val="-2"/>
        </w:rPr>
      </w:pPr>
    </w:p>
    <w:p>
      <w:pPr>
        <w:pStyle w:val="10"/>
        <w:widowControl w:val="0"/>
        <w:spacing w:before="0" w:beforeAutospacing="0" w:after="0" w:afterAutospacing="0" w:line="460" w:lineRule="exact"/>
        <w:ind w:right="437" w:rightChars="208" w:firstLine="3422" w:firstLineChars="1450"/>
        <w:jc w:val="right"/>
        <w:rPr>
          <w:rFonts w:ascii="Times New Roman" w:hAnsi="Times New Roman" w:eastAsia="方正仿宋_GBK"/>
          <w:color w:val="000000"/>
          <w:spacing w:val="-2"/>
        </w:rPr>
      </w:pPr>
      <w:r>
        <w:rPr>
          <w:rFonts w:hint="eastAsia" w:ascii="Times New Roman" w:hAnsi="Times New Roman" w:eastAsia="方正仿宋_GBK"/>
          <w:color w:val="000000"/>
          <w:spacing w:val="-2"/>
        </w:rPr>
        <w:t>江苏省住房和城乡建设厅</w:t>
      </w:r>
      <w:r>
        <w:rPr>
          <w:rFonts w:ascii="Times New Roman" w:hAnsi="Times New Roman" w:eastAsia="方正仿宋_GBK"/>
          <w:color w:val="000000"/>
          <w:spacing w:val="-2"/>
        </w:rPr>
        <w:t xml:space="preserve">    </w:t>
      </w:r>
    </w:p>
    <w:p>
      <w:pPr>
        <w:pStyle w:val="10"/>
        <w:widowControl w:val="0"/>
        <w:spacing w:before="0" w:beforeAutospacing="0" w:after="0" w:afterAutospacing="0" w:line="460" w:lineRule="exact"/>
        <w:ind w:right="878" w:rightChars="418"/>
        <w:jc w:val="right"/>
        <w:rPr>
          <w:rFonts w:ascii="Times New Roman" w:hAnsi="Times New Roman" w:eastAsia="方正仿宋_GBK"/>
          <w:color w:val="000000"/>
          <w:spacing w:val="-2"/>
        </w:rPr>
      </w:pPr>
      <w:r>
        <w:rPr>
          <w:rFonts w:ascii="Times New Roman" w:hAnsi="Times New Roman" w:eastAsia="方正仿宋_GBK"/>
          <w:color w:val="000000"/>
          <w:spacing w:val="-2"/>
        </w:rPr>
        <w:t xml:space="preserve">                          2013</w:t>
      </w:r>
      <w:r>
        <w:rPr>
          <w:rFonts w:hint="eastAsia" w:ascii="Times New Roman" w:hAnsi="Times New Roman" w:eastAsia="方正仿宋_GBK"/>
          <w:color w:val="000000"/>
          <w:spacing w:val="-2"/>
        </w:rPr>
        <w:t>年</w:t>
      </w:r>
      <w:r>
        <w:rPr>
          <w:rFonts w:ascii="Times New Roman" w:hAnsi="Times New Roman" w:eastAsia="方正仿宋_GBK"/>
          <w:color w:val="000000"/>
          <w:spacing w:val="-2"/>
        </w:rPr>
        <w:t>12</w:t>
      </w:r>
      <w:r>
        <w:rPr>
          <w:rFonts w:hint="eastAsia" w:ascii="Times New Roman" w:hAnsi="Times New Roman" w:eastAsia="方正仿宋_GBK"/>
          <w:color w:val="000000"/>
          <w:spacing w:val="-2"/>
        </w:rPr>
        <w:t>月</w:t>
      </w:r>
      <w:r>
        <w:rPr>
          <w:rFonts w:ascii="Times New Roman" w:hAnsi="Times New Roman" w:eastAsia="方正仿宋_GBK"/>
          <w:color w:val="000000"/>
          <w:spacing w:val="-2"/>
        </w:rPr>
        <w:t>16</w:t>
      </w:r>
      <w:r>
        <w:rPr>
          <w:rFonts w:hint="eastAsia" w:ascii="Times New Roman" w:hAnsi="Times New Roman" w:eastAsia="方正仿宋_GBK"/>
          <w:color w:val="000000"/>
          <w:spacing w:val="-2"/>
        </w:rPr>
        <w:t>日</w:t>
      </w:r>
      <w:r>
        <w:rPr>
          <w:rFonts w:ascii="Times New Roman" w:hAnsi="Times New Roman" w:eastAsia="方正仿宋_GBK"/>
          <w:color w:val="000000"/>
          <w:spacing w:val="-2"/>
        </w:rPr>
        <w:t xml:space="preserve">      </w:t>
      </w:r>
    </w:p>
    <w:p>
      <w:pPr>
        <w:pStyle w:val="10"/>
        <w:widowControl w:val="0"/>
        <w:spacing w:before="0" w:beforeAutospacing="0" w:after="0" w:afterAutospacing="0" w:line="460" w:lineRule="exact"/>
        <w:ind w:firstLine="292" w:firstLineChars="124"/>
        <w:jc w:val="both"/>
        <w:rPr>
          <w:rFonts w:ascii="Times New Roman" w:hAnsi="Times New Roman" w:eastAsia="方正仿宋_GBK"/>
          <w:color w:val="000000"/>
          <w:spacing w:val="-2"/>
        </w:rPr>
      </w:pPr>
    </w:p>
    <w:p/>
    <w:p/>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220" w:name="_Toc20726259"/>
      <w:bookmarkStart w:id="221" w:name="_Toc18315642"/>
      <w:r>
        <w:rPr>
          <w:rFonts w:hint="eastAsia" w:ascii="Times New Roman" w:eastAsia="方正小标宋_GBK"/>
          <w:b w:val="0"/>
          <w:sz w:val="36"/>
          <w:szCs w:val="36"/>
        </w:rPr>
        <w:t>省住房城乡建设厅关于加强全省工程勘察设计市场    动态核查工作的通知</w:t>
      </w:r>
      <w:bookmarkEnd w:id="220"/>
      <w:bookmarkEnd w:id="22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22" w:name="_Toc20726260"/>
      <w:bookmarkStart w:id="223" w:name="_Toc18315643"/>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2014</w:t>
      </w:r>
      <w:r>
        <w:rPr>
          <w:rFonts w:hint="eastAsia" w:ascii="Times New Roman" w:hAnsi="Times New Roman" w:eastAsia="方正楷体_GBK"/>
          <w:b w:val="0"/>
          <w:sz w:val="24"/>
          <w:szCs w:val="24"/>
        </w:rPr>
        <w:t>〕</w:t>
      </w:r>
      <w:r>
        <w:rPr>
          <w:rFonts w:ascii="Times New Roman" w:hAnsi="Times New Roman" w:eastAsia="方正楷体_GBK"/>
          <w:b w:val="0"/>
          <w:sz w:val="24"/>
          <w:szCs w:val="24"/>
        </w:rPr>
        <w:t>705</w:t>
      </w:r>
      <w:r>
        <w:rPr>
          <w:rFonts w:hint="eastAsia" w:ascii="Times New Roman" w:hAnsi="Times New Roman" w:eastAsia="方正楷体_GBK"/>
          <w:b w:val="0"/>
          <w:sz w:val="24"/>
          <w:szCs w:val="24"/>
        </w:rPr>
        <w:t>号</w:t>
      </w:r>
      <w:bookmarkEnd w:id="222"/>
      <w:bookmarkEnd w:id="223"/>
    </w:p>
    <w:p>
      <w:pPr>
        <w:spacing w:line="460" w:lineRule="exact"/>
        <w:rPr>
          <w:rFonts w:eastAsia="方正仿宋_GBK"/>
          <w:color w:val="000000"/>
          <w:spacing w:val="-2"/>
          <w:sz w:val="24"/>
        </w:rPr>
      </w:pPr>
      <w:r>
        <w:rPr>
          <w:rFonts w:hint="eastAsia" w:eastAsia="方正仿宋_GBK"/>
          <w:color w:val="000000"/>
          <w:spacing w:val="-2"/>
          <w:sz w:val="24"/>
        </w:rPr>
        <w:t>各省辖市建设局（委）：</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为进一步规范全省工程勘察设计市场秩序，推动行业诚信体系建设，确保勘察设计质量，根据国家及省有关法律、法规及规章要求，我省将大力加强工程勘察设计市场动态核查工作。现就有关事项通知如下：</w:t>
      </w:r>
    </w:p>
    <w:p>
      <w:pPr>
        <w:spacing w:line="460" w:lineRule="exact"/>
        <w:rPr>
          <w:rFonts w:ascii="Times New Roman" w:eastAsia="方正黑体_GBK"/>
          <w:color w:val="000000"/>
          <w:spacing w:val="-2"/>
          <w:sz w:val="24"/>
        </w:rPr>
      </w:pPr>
      <w:r>
        <w:rPr>
          <w:rFonts w:hint="eastAsia" w:ascii="Times New Roman" w:eastAsia="方正黑体_GBK"/>
          <w:color w:val="000000"/>
          <w:spacing w:val="-2"/>
          <w:sz w:val="24"/>
        </w:rPr>
        <w:t xml:space="preserve">    一、核查对象</w:t>
      </w:r>
    </w:p>
    <w:p>
      <w:pPr>
        <w:spacing w:line="460" w:lineRule="exact"/>
        <w:ind w:firstLine="472" w:firstLineChars="200"/>
        <w:rPr>
          <w:rFonts w:hint="eastAsia" w:eastAsia="方正仿宋_GBK"/>
          <w:bCs/>
          <w:color w:val="000000"/>
          <w:spacing w:val="-2"/>
          <w:kern w:val="0"/>
          <w:sz w:val="24"/>
        </w:rPr>
      </w:pPr>
      <w:r>
        <w:rPr>
          <w:rFonts w:hint="eastAsia" w:eastAsia="方正仿宋_GBK"/>
          <w:bCs/>
          <w:color w:val="000000"/>
          <w:spacing w:val="-2"/>
          <w:kern w:val="0"/>
          <w:sz w:val="24"/>
        </w:rPr>
        <w:t>持有工程勘察、工程设计及设计施工一体化资质的本省单位及在我省承接勘察设计业务的省外单位。重点核查以下单位：</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、新申请、升级、增项、延续资质的单位；</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、未通过省勘察设计行业管理信息系统上报相关信息的单位；</w:t>
      </w:r>
    </w:p>
    <w:p>
      <w:pPr>
        <w:spacing w:line="460" w:lineRule="exact"/>
        <w:ind w:firstLine="472" w:firstLineChars="200"/>
        <w:rPr>
          <w:rFonts w:eastAsia="方正仿宋_GBK"/>
          <w:color w:val="000000"/>
          <w:spacing w:val="-2"/>
          <w:sz w:val="24"/>
        </w:rPr>
      </w:pPr>
      <w:r>
        <w:rPr>
          <w:rFonts w:eastAsia="方正仿宋_GBK"/>
          <w:bCs/>
          <w:color w:val="000000"/>
          <w:spacing w:val="-2"/>
          <w:kern w:val="0"/>
          <w:sz w:val="24"/>
        </w:rPr>
        <w:t>3</w:t>
      </w:r>
      <w:r>
        <w:rPr>
          <w:rFonts w:hint="eastAsia" w:eastAsia="方正仿宋_GBK"/>
          <w:bCs/>
          <w:color w:val="000000"/>
          <w:spacing w:val="-2"/>
          <w:kern w:val="0"/>
          <w:sz w:val="24"/>
        </w:rPr>
        <w:t>、通过</w:t>
      </w:r>
      <w:r>
        <w:rPr>
          <w:rFonts w:hint="eastAsia" w:eastAsia="方正仿宋_GBK"/>
          <w:color w:val="000000"/>
          <w:spacing w:val="-2"/>
          <w:sz w:val="24"/>
        </w:rPr>
        <w:t>省勘察设计行业管理信息系统发现的人员不足的单位；</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、上级主管部门通报处理的单位；</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、业绩核查中有疑义的单位；</w:t>
      </w:r>
    </w:p>
    <w:p>
      <w:pPr>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、通过市场检查或动态核查发现的涉嫌违法违规或存在问题的单位；</w:t>
      </w:r>
    </w:p>
    <w:p>
      <w:pPr>
        <w:spacing w:line="460" w:lineRule="exact"/>
        <w:ind w:firstLine="472" w:firstLineChars="200"/>
        <w:rPr>
          <w:rFonts w:eastAsia="方正仿宋_GBK"/>
          <w:color w:val="000000"/>
          <w:spacing w:val="-2"/>
          <w:sz w:val="24"/>
        </w:rPr>
      </w:pPr>
      <w:r>
        <w:rPr>
          <w:rFonts w:eastAsia="方正仿宋_GBK"/>
          <w:color w:val="000000"/>
          <w:spacing w:val="-2"/>
          <w:sz w:val="24"/>
        </w:rPr>
        <w:t>7</w:t>
      </w:r>
      <w:r>
        <w:rPr>
          <w:rFonts w:hint="eastAsia" w:eastAsia="方正仿宋_GBK"/>
          <w:color w:val="000000"/>
          <w:spacing w:val="-2"/>
          <w:sz w:val="24"/>
        </w:rPr>
        <w:t>、群众举报的单位；</w:t>
      </w:r>
    </w:p>
    <w:p>
      <w:pPr>
        <w:spacing w:line="460" w:lineRule="exact"/>
        <w:ind w:firstLine="472" w:firstLineChars="200"/>
        <w:rPr>
          <w:rFonts w:eastAsia="方正仿宋_GBK"/>
          <w:color w:val="000000"/>
          <w:spacing w:val="-2"/>
          <w:sz w:val="24"/>
        </w:rPr>
      </w:pPr>
      <w:r>
        <w:rPr>
          <w:rFonts w:eastAsia="方正仿宋_GBK"/>
          <w:color w:val="000000"/>
          <w:spacing w:val="-2"/>
          <w:sz w:val="24"/>
        </w:rPr>
        <w:t>8</w:t>
      </w:r>
      <w:r>
        <w:rPr>
          <w:rFonts w:hint="eastAsia" w:eastAsia="方正仿宋_GBK"/>
          <w:color w:val="000000"/>
          <w:spacing w:val="-2"/>
          <w:sz w:val="24"/>
        </w:rPr>
        <w:t>、违反强条较多的单位；</w:t>
      </w:r>
    </w:p>
    <w:p>
      <w:pPr>
        <w:spacing w:line="460" w:lineRule="exact"/>
        <w:ind w:firstLine="472" w:firstLineChars="200"/>
        <w:rPr>
          <w:rFonts w:eastAsia="方正仿宋_GBK"/>
          <w:color w:val="000000"/>
          <w:spacing w:val="-2"/>
          <w:sz w:val="24"/>
        </w:rPr>
      </w:pPr>
      <w:r>
        <w:rPr>
          <w:rFonts w:eastAsia="方正仿宋_GBK"/>
          <w:color w:val="000000"/>
          <w:spacing w:val="-2"/>
          <w:sz w:val="24"/>
        </w:rPr>
        <w:t>9</w:t>
      </w:r>
      <w:r>
        <w:rPr>
          <w:rFonts w:hint="eastAsia" w:eastAsia="方正仿宋_GBK"/>
          <w:color w:val="000000"/>
          <w:spacing w:val="-2"/>
          <w:sz w:val="24"/>
        </w:rPr>
        <w:t>、未上报统计年报或季报的单位；</w:t>
      </w:r>
    </w:p>
    <w:p>
      <w:pPr>
        <w:spacing w:line="460" w:lineRule="exact"/>
        <w:ind w:firstLine="472" w:firstLineChars="200"/>
        <w:rPr>
          <w:rFonts w:eastAsia="方正仿宋_GBK"/>
          <w:color w:val="000000"/>
          <w:spacing w:val="-2"/>
          <w:sz w:val="24"/>
        </w:rPr>
      </w:pPr>
      <w:r>
        <w:rPr>
          <w:rFonts w:eastAsia="方正仿宋_GBK"/>
          <w:color w:val="000000"/>
          <w:spacing w:val="-2"/>
          <w:sz w:val="24"/>
        </w:rPr>
        <w:t>10</w:t>
      </w:r>
      <w:r>
        <w:rPr>
          <w:rFonts w:hint="eastAsia" w:eastAsia="方正仿宋_GBK"/>
          <w:color w:val="000000"/>
          <w:spacing w:val="-2"/>
          <w:sz w:val="24"/>
        </w:rPr>
        <w:t>、在我省设有非独立法人分支机构且分支机构管理较差的单位等。</w:t>
      </w:r>
    </w:p>
    <w:p>
      <w:pPr>
        <w:spacing w:line="460" w:lineRule="exact"/>
        <w:ind w:firstLine="462" w:firstLineChars="196"/>
        <w:rPr>
          <w:rFonts w:ascii="Times New Roman" w:eastAsia="方正黑体_GBK"/>
          <w:color w:val="000000"/>
          <w:spacing w:val="-2"/>
          <w:sz w:val="24"/>
        </w:rPr>
      </w:pPr>
      <w:r>
        <w:rPr>
          <w:rFonts w:hint="eastAsia" w:ascii="Times New Roman" w:eastAsia="方正黑体_GBK"/>
          <w:color w:val="000000"/>
          <w:spacing w:val="-2"/>
          <w:sz w:val="24"/>
        </w:rPr>
        <w:t>二、核查内容</w:t>
      </w:r>
    </w:p>
    <w:p>
      <w:pPr>
        <w:spacing w:line="460" w:lineRule="exact"/>
        <w:ind w:firstLine="472" w:firstLineChars="200"/>
        <w:rPr>
          <w:rFonts w:hint="eastAsia" w:eastAsia="方正仿宋_GBK"/>
          <w:b/>
          <w:color w:val="000000"/>
          <w:spacing w:val="-2"/>
          <w:sz w:val="24"/>
        </w:rPr>
      </w:pPr>
      <w:r>
        <w:rPr>
          <w:rFonts w:eastAsia="方正仿宋_GBK"/>
          <w:color w:val="000000"/>
          <w:spacing w:val="-2"/>
          <w:sz w:val="24"/>
        </w:rPr>
        <w:t>1</w:t>
      </w:r>
      <w:r>
        <w:rPr>
          <w:rFonts w:hint="eastAsia" w:eastAsia="方正仿宋_GBK"/>
          <w:color w:val="000000"/>
          <w:spacing w:val="-2"/>
          <w:sz w:val="24"/>
        </w:rPr>
        <w:t>、被核查单位的资质现状是否符合相应的资质标准；</w:t>
      </w:r>
    </w:p>
    <w:p>
      <w:pPr>
        <w:spacing w:line="460" w:lineRule="exact"/>
        <w:ind w:firstLine="462" w:firstLineChars="196"/>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、被核查单位和专业技术人员遵守国家有关法律、法规和规章的情况；</w:t>
      </w:r>
    </w:p>
    <w:p>
      <w:pPr>
        <w:spacing w:line="460" w:lineRule="exact"/>
        <w:ind w:firstLine="462" w:firstLineChars="196"/>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、被核查单位的质量保证体系情况、执行国家和地方工程建设强制性标准的情况及勘察设计文件的规范性等。</w:t>
      </w:r>
    </w:p>
    <w:p>
      <w:pPr>
        <w:spacing w:line="460" w:lineRule="exact"/>
        <w:ind w:firstLine="462" w:firstLineChars="196"/>
        <w:rPr>
          <w:rFonts w:ascii="Times New Roman" w:eastAsia="方正黑体_GBK"/>
          <w:color w:val="000000"/>
          <w:spacing w:val="-2"/>
          <w:sz w:val="24"/>
        </w:rPr>
      </w:pPr>
      <w:r>
        <w:rPr>
          <w:rFonts w:hint="eastAsia" w:ascii="Times New Roman" w:eastAsia="方正黑体_GBK"/>
          <w:color w:val="000000"/>
          <w:spacing w:val="-2"/>
          <w:sz w:val="24"/>
        </w:rPr>
        <w:t>三、核查程序</w:t>
      </w:r>
    </w:p>
    <w:p>
      <w:pPr>
        <w:snapToGrid w:val="0"/>
        <w:spacing w:line="460" w:lineRule="exact"/>
        <w:ind w:firstLine="462" w:firstLineChars="196"/>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、住房城乡建设行政主管部门对有关单位进行核查时，应当在核查前不少于</w:t>
      </w:r>
      <w:r>
        <w:rPr>
          <w:rFonts w:eastAsia="方正仿宋_GBK"/>
          <w:color w:val="000000"/>
          <w:spacing w:val="-2"/>
          <w:sz w:val="24"/>
        </w:rPr>
        <w:t>2</w:t>
      </w:r>
      <w:r>
        <w:rPr>
          <w:rFonts w:hint="eastAsia" w:eastAsia="方正仿宋_GBK"/>
          <w:color w:val="000000"/>
          <w:spacing w:val="-2"/>
          <w:sz w:val="24"/>
        </w:rPr>
        <w:t>个工作日向被核查单位以书面形式发出《江苏省工程勘察设计市场动态核查通知书》（详见附件</w:t>
      </w:r>
      <w:r>
        <w:rPr>
          <w:rFonts w:eastAsia="方正仿宋_GBK"/>
          <w:color w:val="000000"/>
          <w:spacing w:val="-2"/>
          <w:sz w:val="24"/>
        </w:rPr>
        <w:t>1</w:t>
      </w:r>
      <w:r>
        <w:rPr>
          <w:rFonts w:hint="eastAsia" w:eastAsia="方正仿宋_GBK"/>
          <w:color w:val="000000"/>
          <w:spacing w:val="-2"/>
          <w:sz w:val="24"/>
        </w:rPr>
        <w:t>）。</w:t>
      </w:r>
    </w:p>
    <w:p>
      <w:pPr>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、住房城乡建设行政主管部门应当指派</w:t>
      </w:r>
      <w:r>
        <w:rPr>
          <w:rFonts w:eastAsia="方正仿宋_GBK"/>
          <w:color w:val="000000"/>
          <w:spacing w:val="-2"/>
          <w:sz w:val="24"/>
        </w:rPr>
        <w:t>2</w:t>
      </w:r>
      <w:r>
        <w:rPr>
          <w:rFonts w:hint="eastAsia" w:eastAsia="方正仿宋_GBK"/>
          <w:color w:val="000000"/>
          <w:spacing w:val="-2"/>
          <w:sz w:val="24"/>
        </w:rPr>
        <w:t>名以上行政执法人员及专家在规定的核查工作日到达核查场所。核查人员与被核查单位有直接利害关系的，应当主动申请回避。</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被核查单位的法定代表人（负责人）或其委托代理人、工程勘察、设计项目负责人以及有关专业技术人员应当在办公经营场所或规定的核查场所配合核查。属于委托代理人的，核查人员应先核实其身份，并留存授权委托书原件。</w:t>
      </w:r>
    </w:p>
    <w:p>
      <w:pPr>
        <w:spacing w:line="460" w:lineRule="exact"/>
        <w:ind w:firstLine="462" w:firstLineChars="196"/>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、核查人员对被核查单位的资质状况、市场行为或质量状况等进行核查。</w:t>
      </w:r>
    </w:p>
    <w:p>
      <w:pPr>
        <w:spacing w:line="460" w:lineRule="exact"/>
        <w:ind w:firstLine="462" w:firstLineChars="196"/>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、核查人员根据核查的情况填写《江苏省工程勘察设计市场动态核查结果意见表》（详见附件</w:t>
      </w:r>
      <w:r>
        <w:rPr>
          <w:rFonts w:eastAsia="方正仿宋_GBK"/>
          <w:color w:val="000000"/>
          <w:spacing w:val="-2"/>
          <w:sz w:val="24"/>
        </w:rPr>
        <w:t>2</w:t>
      </w:r>
      <w:r>
        <w:rPr>
          <w:rFonts w:hint="eastAsia" w:eastAsia="方正仿宋_GBK"/>
          <w:color w:val="000000"/>
          <w:spacing w:val="-2"/>
          <w:sz w:val="24"/>
        </w:rPr>
        <w:t>）。核查人员、被核查单位法定代表人或委托代理人在核查表上签字确认。</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除上述核查方式外，省住房和城乡建设厅也可根据日常监管的情况指定相关省辖市建设局（委）对其行政区域内的有关工程勘察设计单位进行核查，并将核查意见及有关材料及时向省住房和城乡建设厅上报，省住房和城乡建设厅对核查意见及上述材料进行审查（必要时现场核查），并依法做出处理决定。</w:t>
      </w:r>
    </w:p>
    <w:p>
      <w:pPr>
        <w:spacing w:line="460" w:lineRule="exact"/>
        <w:ind w:firstLine="462" w:firstLineChars="196"/>
        <w:rPr>
          <w:rFonts w:ascii="Times New Roman" w:eastAsia="方正黑体_GBK"/>
          <w:color w:val="000000"/>
          <w:spacing w:val="-2"/>
          <w:sz w:val="24"/>
        </w:rPr>
      </w:pPr>
      <w:r>
        <w:rPr>
          <w:rFonts w:hint="eastAsia" w:ascii="Times New Roman" w:eastAsia="方正黑体_GBK"/>
          <w:color w:val="000000"/>
          <w:spacing w:val="-2"/>
          <w:sz w:val="24"/>
        </w:rPr>
        <w:t>四、核查处理</w:t>
      </w:r>
    </w:p>
    <w:p>
      <w:pPr>
        <w:spacing w:line="460" w:lineRule="exact"/>
        <w:ind w:firstLine="462" w:firstLineChars="196"/>
        <w:rPr>
          <w:rFonts w:hint="eastAsia" w:eastAsia="方正仿宋_GBK"/>
          <w:color w:val="000000"/>
          <w:spacing w:val="-2"/>
          <w:sz w:val="24"/>
        </w:rPr>
      </w:pPr>
      <w:r>
        <w:rPr>
          <w:rFonts w:hint="eastAsia" w:eastAsia="方正仿宋_GBK"/>
          <w:color w:val="000000"/>
          <w:spacing w:val="-2"/>
          <w:sz w:val="24"/>
        </w:rPr>
        <w:t>工程勘察设计市场动态核查结果分为合格和不合格。有下列情形之一的，核查结果为不合格：</w:t>
      </w:r>
    </w:p>
    <w:p>
      <w:pPr>
        <w:pStyle w:val="7"/>
        <w:snapToGrid w:val="0"/>
        <w:spacing w:after="0" w:line="460" w:lineRule="exact"/>
        <w:ind w:left="0" w:leftChars="0" w:firstLine="462" w:firstLineChars="196"/>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、被核查单位的资质现状不符合资质标准要求的；</w:t>
      </w:r>
    </w:p>
    <w:p>
      <w:pPr>
        <w:pStyle w:val="7"/>
        <w:snapToGrid w:val="0"/>
        <w:spacing w:after="0" w:line="460" w:lineRule="exact"/>
        <w:ind w:left="0" w:leftChars="0" w:firstLine="462" w:firstLineChars="196"/>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、被核查单位及技术人员存在违法违规行为的；</w:t>
      </w:r>
    </w:p>
    <w:p>
      <w:pPr>
        <w:pStyle w:val="7"/>
        <w:snapToGrid w:val="0"/>
        <w:spacing w:after="0" w:line="460" w:lineRule="exact"/>
        <w:ind w:left="0" w:leftChars="0" w:firstLine="462" w:firstLineChars="196"/>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、被核查单位内部质量管理不完善的；</w:t>
      </w:r>
    </w:p>
    <w:p>
      <w:pPr>
        <w:pStyle w:val="7"/>
        <w:snapToGrid w:val="0"/>
        <w:spacing w:after="0" w:line="460" w:lineRule="exact"/>
        <w:ind w:left="0" w:leftChars="0" w:firstLine="462" w:firstLineChars="196"/>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、被核查单位未按照核查要求提供核查材料的；</w:t>
      </w:r>
    </w:p>
    <w:p>
      <w:pPr>
        <w:pStyle w:val="7"/>
        <w:snapToGrid w:val="0"/>
        <w:spacing w:after="0" w:line="460" w:lineRule="exact"/>
        <w:ind w:left="0" w:leftChars="0" w:firstLine="462" w:firstLineChars="196"/>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、被核查单位拒绝接受核查的。</w:t>
      </w:r>
    </w:p>
    <w:p>
      <w:pPr>
        <w:pStyle w:val="7"/>
        <w:snapToGrid w:val="0"/>
        <w:spacing w:after="0" w:line="460" w:lineRule="exact"/>
        <w:ind w:left="0" w:leftChars="0" w:firstLine="462" w:firstLineChars="196"/>
        <w:rPr>
          <w:rFonts w:eastAsia="方正仿宋_GBK"/>
          <w:color w:val="000000"/>
          <w:spacing w:val="-2"/>
          <w:sz w:val="24"/>
        </w:rPr>
      </w:pPr>
      <w:r>
        <w:rPr>
          <w:rFonts w:hint="eastAsia" w:eastAsia="方正仿宋_GBK"/>
          <w:color w:val="000000"/>
          <w:spacing w:val="-2"/>
          <w:sz w:val="24"/>
        </w:rPr>
        <w:t>对于资质现状不符合资质标准的单位，限期三个月予以整改。整改期结束后仍不符合资质标准的，由资质审批部门撤回其相应资质；对于住房城乡建设部审批的资质，由省住房城乡建设厅上报住房城乡建设部处理。</w:t>
      </w:r>
    </w:p>
    <w:p>
      <w:pPr>
        <w:pStyle w:val="7"/>
        <w:snapToGrid w:val="0"/>
        <w:spacing w:after="0" w:line="460" w:lineRule="exact"/>
        <w:ind w:left="0" w:leftChars="0" w:firstLine="462" w:firstLineChars="196"/>
        <w:rPr>
          <w:rFonts w:eastAsia="方正仿宋_GBK"/>
          <w:color w:val="000000"/>
          <w:spacing w:val="-2"/>
          <w:sz w:val="24"/>
        </w:rPr>
      </w:pPr>
      <w:r>
        <w:rPr>
          <w:rFonts w:hint="eastAsia" w:eastAsia="方正仿宋_GBK"/>
          <w:color w:val="000000"/>
          <w:spacing w:val="-2"/>
          <w:sz w:val="24"/>
        </w:rPr>
        <w:t>对于存在违法违规行为的单位或技术人员，由企业工商注册所在地或违法违规行为发生地省辖市、县（市）住房城乡建设主管部门核查处理，并将处理结果上报省住房城乡建设厅。</w:t>
      </w:r>
    </w:p>
    <w:p>
      <w:pPr>
        <w:widowControl/>
        <w:spacing w:line="460" w:lineRule="exact"/>
        <w:ind w:left="-42" w:leftChars="-20" w:right="-42" w:rightChars="-20"/>
        <w:jc w:val="left"/>
        <w:rPr>
          <w:rFonts w:ascii="Times New Roman" w:hAnsi="Times New Roman" w:eastAsia="方正仿宋_GBK"/>
          <w:color w:val="000000"/>
          <w:spacing w:val="-2"/>
          <w:sz w:val="24"/>
        </w:rPr>
      </w:pPr>
      <w:r>
        <w:rPr>
          <w:rFonts w:hint="eastAsia" w:ascii="Times New Roman" w:hAnsi="Times New Roman" w:eastAsia="方正仿宋_GBK"/>
          <w:color w:val="000000"/>
          <w:spacing w:val="-2"/>
          <w:sz w:val="24"/>
        </w:rPr>
        <w:t>对于内部质量管理不完善的、未按照核查要求提供核查材料、拒绝接受核查的单位，限期一个月内予以整改。整改期结束后仍不符合要求的，向社会公布其存在问题，并列为重点监管对象，加大检查力度和频次。</w:t>
      </w:r>
    </w:p>
    <w:p>
      <w:pPr>
        <w:pStyle w:val="7"/>
        <w:snapToGrid w:val="0"/>
        <w:spacing w:after="0" w:line="460" w:lineRule="exact"/>
        <w:ind w:left="0" w:leftChars="0" w:firstLine="462" w:firstLineChars="196"/>
        <w:rPr>
          <w:rFonts w:ascii="Times New Roman" w:eastAsia="方正黑体_GBK"/>
          <w:color w:val="000000"/>
          <w:spacing w:val="-2"/>
          <w:sz w:val="24"/>
        </w:rPr>
      </w:pPr>
      <w:r>
        <w:rPr>
          <w:rFonts w:hint="eastAsia" w:ascii="Times New Roman" w:eastAsia="方正黑体_GBK"/>
          <w:color w:val="000000"/>
          <w:spacing w:val="-2"/>
          <w:sz w:val="24"/>
        </w:rPr>
        <w:t>五、核查要求</w:t>
      </w:r>
    </w:p>
    <w:p>
      <w:pPr>
        <w:pStyle w:val="7"/>
        <w:snapToGrid w:val="0"/>
        <w:spacing w:after="0" w:line="460" w:lineRule="exact"/>
        <w:ind w:left="0" w:leftChars="0" w:firstLine="462" w:firstLineChars="196"/>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、各级住房城乡建设主管部门应当建立健全工程勘察设计市场动态监管机制，加强监督检查。各省辖市应对重点核查对象中的第</w:t>
      </w:r>
      <w:r>
        <w:rPr>
          <w:rFonts w:eastAsia="方正仿宋_GBK"/>
          <w:color w:val="000000"/>
          <w:spacing w:val="-2"/>
          <w:sz w:val="24"/>
        </w:rPr>
        <w:t>1</w:t>
      </w: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w:t>
      </w:r>
      <w:r>
        <w:rPr>
          <w:rFonts w:eastAsia="方正仿宋_GBK"/>
          <w:color w:val="000000"/>
          <w:spacing w:val="-2"/>
          <w:sz w:val="24"/>
        </w:rPr>
        <w:t>9</w:t>
      </w:r>
      <w:r>
        <w:rPr>
          <w:rFonts w:hint="eastAsia" w:eastAsia="方正仿宋_GBK"/>
          <w:color w:val="000000"/>
          <w:spacing w:val="-2"/>
          <w:sz w:val="24"/>
        </w:rPr>
        <w:t>、</w:t>
      </w:r>
      <w:r>
        <w:rPr>
          <w:rFonts w:eastAsia="方正仿宋_GBK"/>
          <w:color w:val="000000"/>
          <w:spacing w:val="-2"/>
          <w:sz w:val="24"/>
        </w:rPr>
        <w:t>10</w:t>
      </w:r>
      <w:r>
        <w:rPr>
          <w:rFonts w:hint="eastAsia" w:eastAsia="方正仿宋_GBK"/>
          <w:color w:val="000000"/>
          <w:spacing w:val="-2"/>
          <w:sz w:val="24"/>
        </w:rPr>
        <w:t>类单位每年核查不少于一次，对其他单位应在发现问题后及时核查。核查处理结果或建议应在核查后一个月内上报省住房和城乡建设厅。</w:t>
      </w:r>
    </w:p>
    <w:p>
      <w:pPr>
        <w:pStyle w:val="7"/>
        <w:snapToGrid w:val="0"/>
        <w:spacing w:after="0" w:line="460" w:lineRule="exact"/>
        <w:ind w:left="0" w:leftChars="0" w:firstLine="462" w:firstLineChars="196"/>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、核查人员应当严格按照法律、法规及规章的要求进行核查，对发现的问题依法处理，不得违反检查纪律。</w:t>
      </w:r>
    </w:p>
    <w:p>
      <w:pPr>
        <w:pStyle w:val="7"/>
        <w:snapToGrid w:val="0"/>
        <w:spacing w:after="0" w:line="460" w:lineRule="exact"/>
        <w:ind w:left="0" w:leftChars="0" w:firstLine="462" w:firstLineChars="196"/>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、各相关工程勘察设计单位应当积极配合核查工作，对存在的问题及时整改，不断提高勘察设计水平。</w:t>
      </w:r>
    </w:p>
    <w:p>
      <w:pPr>
        <w:pStyle w:val="7"/>
        <w:snapToGrid w:val="0"/>
        <w:spacing w:after="0" w:line="460" w:lineRule="exact"/>
        <w:ind w:left="0" w:leftChars="0" w:firstLine="462" w:firstLineChars="196"/>
        <w:rPr>
          <w:rFonts w:eastAsia="方正仿宋_GBK"/>
          <w:color w:val="000000"/>
          <w:spacing w:val="-2"/>
          <w:sz w:val="24"/>
        </w:rPr>
      </w:pPr>
    </w:p>
    <w:p>
      <w:pPr>
        <w:pStyle w:val="7"/>
        <w:snapToGrid w:val="0"/>
        <w:spacing w:after="0" w:line="460" w:lineRule="exact"/>
        <w:ind w:left="0" w:leftChars="0" w:firstLine="462" w:firstLineChars="196"/>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cs" w:eastAsia="方正仿宋_GBK"/>
          <w:color w:val="000000"/>
          <w:spacing w:val="-2"/>
          <w:sz w:val="24"/>
          <w:cs/>
        </w:rPr>
        <w:t> </w:t>
      </w:r>
      <w:r>
        <w:rPr>
          <w:rFonts w:hint="eastAsia" w:eastAsia="方正仿宋_GBK"/>
          <w:color w:val="000000"/>
          <w:spacing w:val="-2"/>
          <w:sz w:val="24"/>
        </w:rPr>
        <w:t>江苏省工程勘察设计市场动态核查通知书</w:t>
      </w:r>
    </w:p>
    <w:p>
      <w:pPr>
        <w:pStyle w:val="7"/>
        <w:snapToGrid w:val="0"/>
        <w:spacing w:after="0" w:line="460" w:lineRule="exact"/>
        <w:ind w:left="0" w:leftChars="0" w:firstLine="462" w:firstLineChars="196"/>
        <w:rPr>
          <w:rFonts w:eastAsia="方正仿宋_GBK"/>
          <w:color w:val="000000"/>
          <w:spacing w:val="-2"/>
          <w:sz w:val="24"/>
        </w:rPr>
      </w:pPr>
      <w:r>
        <w:rPr>
          <w:rFonts w:eastAsia="方正仿宋_GBK"/>
          <w:color w:val="000000"/>
          <w:spacing w:val="-2"/>
          <w:sz w:val="24"/>
        </w:rPr>
        <w:t xml:space="preserve">      2.</w:t>
      </w:r>
      <w:r>
        <w:rPr>
          <w:rFonts w:hint="cs" w:eastAsia="方正仿宋_GBK"/>
          <w:color w:val="000000"/>
          <w:spacing w:val="-2"/>
          <w:sz w:val="24"/>
          <w:cs/>
        </w:rPr>
        <w:t> </w:t>
      </w:r>
      <w:r>
        <w:rPr>
          <w:rFonts w:hint="eastAsia" w:eastAsia="方正仿宋_GBK"/>
          <w:color w:val="000000"/>
          <w:spacing w:val="-2"/>
          <w:sz w:val="24"/>
        </w:rPr>
        <w:t>江苏省工程勘察设计市场动态核查结果意见表</w:t>
      </w:r>
    </w:p>
    <w:p>
      <w:pPr>
        <w:spacing w:line="460" w:lineRule="exact"/>
        <w:ind w:firstLine="462" w:firstLineChars="196"/>
        <w:jc w:val="right"/>
        <w:rPr>
          <w:rFonts w:eastAsia="方正仿宋_GBK"/>
          <w:color w:val="000000"/>
          <w:spacing w:val="-2"/>
          <w:sz w:val="24"/>
        </w:rPr>
      </w:pPr>
    </w:p>
    <w:p>
      <w:pPr>
        <w:spacing w:line="460" w:lineRule="exact"/>
        <w:ind w:right="418" w:rightChars="199" w:firstLine="4078" w:firstLineChars="1728"/>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256" w:rightChars="122" w:firstLine="6022" w:firstLineChars="2552"/>
        <w:rPr>
          <w:rFonts w:eastAsia="方正仿宋_GBK"/>
          <w:b/>
          <w:color w:val="000000"/>
          <w:spacing w:val="-2"/>
          <w:sz w:val="24"/>
        </w:rPr>
      </w:pPr>
      <w:r>
        <w:rPr>
          <w:rFonts w:hint="cs" w:eastAsia="方正仿宋_GBK"/>
          <w:color w:val="000000"/>
          <w:spacing w:val="-2"/>
          <w:sz w:val="24"/>
          <w:cs/>
        </w:rPr>
        <w:t> </w:t>
      </w:r>
      <w:r>
        <w:rPr>
          <w:rFonts w:eastAsia="方正仿宋_GBK"/>
          <w:color w:val="000000"/>
          <w:spacing w:val="-2"/>
          <w:sz w:val="24"/>
        </w:rPr>
        <w:t>2014</w:t>
      </w:r>
      <w:r>
        <w:rPr>
          <w:rFonts w:hint="eastAsia" w:eastAsia="方正仿宋_GBK"/>
          <w:color w:val="000000"/>
          <w:spacing w:val="-2"/>
          <w:sz w:val="24"/>
        </w:rPr>
        <w:t>年</w:t>
      </w:r>
      <w:r>
        <w:rPr>
          <w:rFonts w:eastAsia="方正仿宋_GBK"/>
          <w:color w:val="000000"/>
          <w:spacing w:val="-2"/>
          <w:sz w:val="24"/>
        </w:rPr>
        <w:t>12</w:t>
      </w:r>
      <w:r>
        <w:rPr>
          <w:rFonts w:hint="eastAsia" w:eastAsia="方正仿宋_GBK"/>
          <w:color w:val="000000"/>
          <w:spacing w:val="-2"/>
          <w:sz w:val="24"/>
        </w:rPr>
        <w:t>月</w:t>
      </w:r>
      <w:r>
        <w:rPr>
          <w:rFonts w:eastAsia="方正仿宋_GBK"/>
          <w:color w:val="000000"/>
          <w:spacing w:val="-2"/>
          <w:sz w:val="24"/>
        </w:rPr>
        <w:t>17</w:t>
      </w:r>
      <w:r>
        <w:rPr>
          <w:rFonts w:hint="eastAsia" w:eastAsia="方正仿宋_GBK"/>
          <w:color w:val="000000"/>
          <w:spacing w:val="-2"/>
          <w:sz w:val="24"/>
        </w:rPr>
        <w:t>日</w:t>
      </w:r>
      <w:r>
        <w:rPr>
          <w:rFonts w:eastAsia="方正仿宋_GBK"/>
          <w:color w:val="000000"/>
          <w:spacing w:val="-2"/>
          <w:sz w:val="24"/>
        </w:rPr>
        <w:t xml:space="preserve">  </w:t>
      </w:r>
      <w:r>
        <w:rPr>
          <w:rFonts w:hint="cs" w:eastAsia="方正仿宋_GBK"/>
          <w:color w:val="000000"/>
          <w:spacing w:val="-2"/>
          <w:sz w:val="24"/>
          <w:cs/>
        </w:rPr>
        <w:t> </w:t>
      </w:r>
      <w:r>
        <w:rPr>
          <w:rFonts w:eastAsia="方正仿宋_GBK"/>
          <w:color w:val="000000"/>
          <w:spacing w:val="-2"/>
          <w:sz w:val="24"/>
        </w:rPr>
        <w:t xml:space="preserve">  </w:t>
      </w:r>
    </w:p>
    <w:p>
      <w:pPr>
        <w:spacing w:line="460" w:lineRule="exact"/>
        <w:rPr>
          <w:rFonts w:eastAsia="方正仿宋_GBK"/>
          <w:color w:val="000000"/>
          <w:spacing w:val="-2"/>
          <w:sz w:val="24"/>
        </w:rPr>
      </w:pPr>
    </w:p>
    <w:p>
      <w:pPr>
        <w:spacing w:line="460" w:lineRule="exac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附件1：</w:t>
      </w:r>
    </w:p>
    <w:p>
      <w:pPr>
        <w:spacing w:line="460" w:lineRule="exact"/>
        <w:ind w:firstLine="7209" w:firstLineChars="3055"/>
        <w:rPr>
          <w:rFonts w:hint="eastAsia" w:eastAsia="方正仿宋_GBK"/>
          <w:color w:val="000000"/>
          <w:spacing w:val="-2"/>
          <w:sz w:val="24"/>
        </w:rPr>
      </w:pPr>
      <w:r>
        <w:rPr>
          <w:rFonts w:hint="eastAsia" w:eastAsia="方正仿宋_GBK"/>
          <w:color w:val="000000"/>
          <w:spacing w:val="-2"/>
          <w:sz w:val="24"/>
        </w:rPr>
        <w:t>编号：</w:t>
      </w:r>
    </w:p>
    <w:p>
      <w:pPr>
        <w:spacing w:line="460" w:lineRule="exact"/>
        <w:ind w:firstLine="5706" w:firstLineChars="2418"/>
        <w:rPr>
          <w:rFonts w:eastAsia="方正仿宋_GBK"/>
          <w:color w:val="000000"/>
          <w:spacing w:val="-2"/>
          <w:sz w:val="24"/>
        </w:rPr>
      </w:pPr>
    </w:p>
    <w:p>
      <w:pPr>
        <w:spacing w:line="460" w:lineRule="exact"/>
        <w:jc w:val="center"/>
        <w:rPr>
          <w:rFonts w:eastAsia="方正仿宋_GBK"/>
          <w:b/>
          <w:color w:val="000000"/>
          <w:spacing w:val="-2"/>
          <w:sz w:val="36"/>
          <w:szCs w:val="36"/>
        </w:rPr>
      </w:pPr>
      <w:r>
        <w:rPr>
          <w:rFonts w:hint="eastAsia" w:eastAsia="方正仿宋_GBK"/>
          <w:b/>
          <w:color w:val="000000"/>
          <w:spacing w:val="-2"/>
          <w:sz w:val="36"/>
          <w:szCs w:val="36"/>
        </w:rPr>
        <w:t>江苏省工程勘察设计市场动态核查通知书</w:t>
      </w:r>
    </w:p>
    <w:p>
      <w:pPr>
        <w:spacing w:line="460" w:lineRule="exact"/>
        <w:jc w:val="center"/>
        <w:rPr>
          <w:rFonts w:eastAsia="方正仿宋_GBK"/>
          <w:b/>
          <w:color w:val="000000"/>
          <w:spacing w:val="-2"/>
          <w:sz w:val="24"/>
        </w:rPr>
      </w:pPr>
    </w:p>
    <w:p>
      <w:pPr>
        <w:spacing w:line="460" w:lineRule="exact"/>
        <w:rPr>
          <w:rFonts w:eastAsia="方正仿宋_GBK"/>
          <w:color w:val="000000"/>
          <w:spacing w:val="-2"/>
          <w:sz w:val="24"/>
        </w:rPr>
      </w:pPr>
      <w:r>
        <w:rPr>
          <w:rFonts w:eastAsia="方正仿宋_GBK"/>
          <w:color w:val="000000"/>
          <w:spacing w:val="-2"/>
          <w:sz w:val="24"/>
          <w:u w:val="single"/>
        </w:rPr>
        <w:t xml:space="preserve">                              </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u w:val="single"/>
        </w:rPr>
      </w:pPr>
      <w:r>
        <w:rPr>
          <w:rFonts w:hint="eastAsia" w:eastAsia="方正仿宋_GBK"/>
          <w:color w:val="000000"/>
          <w:spacing w:val="-2"/>
          <w:sz w:val="24"/>
        </w:rPr>
        <w:t>根据《中华人民共和国建筑法》、《建设工程勘察设计管理条例》（国务院令第</w:t>
      </w:r>
      <w:r>
        <w:rPr>
          <w:rFonts w:eastAsia="方正仿宋_GBK"/>
          <w:color w:val="000000"/>
          <w:spacing w:val="-2"/>
          <w:sz w:val="24"/>
        </w:rPr>
        <w:t>293</w:t>
      </w:r>
      <w:r>
        <w:rPr>
          <w:rFonts w:hint="eastAsia" w:eastAsia="方正仿宋_GBK"/>
          <w:color w:val="000000"/>
          <w:spacing w:val="-2"/>
          <w:sz w:val="24"/>
        </w:rPr>
        <w:t>号）、《建设工程质量管理条例》（国务院令第</w:t>
      </w:r>
      <w:r>
        <w:rPr>
          <w:rFonts w:eastAsia="方正仿宋_GBK"/>
          <w:color w:val="000000"/>
          <w:spacing w:val="-2"/>
          <w:sz w:val="24"/>
        </w:rPr>
        <w:t>279</w:t>
      </w:r>
      <w:r>
        <w:rPr>
          <w:rFonts w:hint="eastAsia" w:eastAsia="方正仿宋_GBK"/>
          <w:color w:val="000000"/>
          <w:spacing w:val="-2"/>
          <w:sz w:val="24"/>
        </w:rPr>
        <w:t>号）、《建设工程勘察设计资质管理规定》（建设部令第</w:t>
      </w:r>
      <w:r>
        <w:rPr>
          <w:rFonts w:eastAsia="方正仿宋_GBK"/>
          <w:color w:val="000000"/>
          <w:spacing w:val="-2"/>
          <w:sz w:val="24"/>
        </w:rPr>
        <w:t>160</w:t>
      </w:r>
      <w:r>
        <w:rPr>
          <w:rFonts w:hint="eastAsia" w:eastAsia="方正仿宋_GBK"/>
          <w:color w:val="000000"/>
          <w:spacing w:val="-2"/>
          <w:sz w:val="24"/>
        </w:rPr>
        <w:t>号）、《建设工程勘察质量管理办法》（建设部令第</w:t>
      </w:r>
      <w:r>
        <w:rPr>
          <w:rFonts w:eastAsia="方正仿宋_GBK"/>
          <w:color w:val="000000"/>
          <w:spacing w:val="-2"/>
          <w:sz w:val="24"/>
        </w:rPr>
        <w:t>163</w:t>
      </w:r>
      <w:r>
        <w:rPr>
          <w:rFonts w:hint="eastAsia" w:eastAsia="方正仿宋_GBK"/>
          <w:color w:val="000000"/>
          <w:spacing w:val="-2"/>
          <w:sz w:val="24"/>
        </w:rPr>
        <w:t>号）等的有关规定，我单位将派核查人员对你单位进行资质条件</w:t>
      </w:r>
      <w:r>
        <w:rPr>
          <w:rFonts w:eastAsia="方正仿宋_GBK"/>
          <w:color w:val="000000"/>
          <w:spacing w:val="-2"/>
          <w:sz w:val="24"/>
        </w:rPr>
        <w:t>/</w:t>
      </w:r>
      <w:r>
        <w:rPr>
          <w:rFonts w:hint="eastAsia" w:eastAsia="方正仿宋_GBK"/>
          <w:color w:val="000000"/>
          <w:spacing w:val="-2"/>
          <w:sz w:val="24"/>
        </w:rPr>
        <w:t>市场行为</w:t>
      </w:r>
      <w:r>
        <w:rPr>
          <w:rFonts w:eastAsia="方正仿宋_GBK"/>
          <w:color w:val="000000"/>
          <w:spacing w:val="-2"/>
          <w:sz w:val="24"/>
        </w:rPr>
        <w:t>/</w:t>
      </w:r>
      <w:r>
        <w:rPr>
          <w:rFonts w:hint="eastAsia" w:eastAsia="方正仿宋_GBK"/>
          <w:color w:val="000000"/>
          <w:spacing w:val="-2"/>
          <w:sz w:val="24"/>
        </w:rPr>
        <w:t>质量状况动态核查，请予配合。为保证此次现场核查工作的顺利进行，请你单位的</w:t>
      </w:r>
      <w:r>
        <w:rPr>
          <w:rFonts w:eastAsia="方正仿宋_GBK"/>
          <w:color w:val="000000"/>
          <w:spacing w:val="-2"/>
          <w:sz w:val="24"/>
          <w:u w:val="single"/>
        </w:rPr>
        <w:t xml:space="preserve">                                                        </w:t>
      </w:r>
    </w:p>
    <w:p>
      <w:pPr>
        <w:spacing w:line="460" w:lineRule="exact"/>
        <w:rPr>
          <w:rFonts w:eastAsia="方正仿宋_GBK"/>
          <w:color w:val="000000"/>
          <w:spacing w:val="-2"/>
          <w:sz w:val="24"/>
        </w:rPr>
      </w:pPr>
      <w:r>
        <w:rPr>
          <w:rFonts w:eastAsia="方正仿宋_GBK"/>
          <w:color w:val="000000"/>
          <w:spacing w:val="-2"/>
          <w:sz w:val="24"/>
          <w:u w:val="single"/>
        </w:rPr>
        <w:t xml:space="preserve">                                                                                                                                                  </w:t>
      </w:r>
    </w:p>
    <w:p>
      <w:pPr>
        <w:spacing w:line="460" w:lineRule="exact"/>
        <w:rPr>
          <w:rFonts w:eastAsia="方正仿宋_GBK"/>
          <w:color w:val="000000"/>
          <w:spacing w:val="-2"/>
          <w:sz w:val="24"/>
        </w:rPr>
      </w:pPr>
      <w:r>
        <w:rPr>
          <w:rFonts w:hint="eastAsia" w:eastAsia="方正仿宋_GBK"/>
          <w:color w:val="000000"/>
          <w:spacing w:val="-2"/>
          <w:sz w:val="24"/>
        </w:rPr>
        <w:t>于</w:t>
      </w:r>
      <w:r>
        <w:rPr>
          <w:rFonts w:eastAsia="方正仿宋_GBK"/>
          <w:color w:val="000000"/>
          <w:spacing w:val="-2"/>
          <w:sz w:val="24"/>
        </w:rPr>
        <w:t xml:space="preserve">   </w:t>
      </w:r>
      <w:r>
        <w:rPr>
          <w:rFonts w:hint="eastAsia" w:eastAsia="方正仿宋_GBK"/>
          <w:color w:val="000000"/>
          <w:spacing w:val="-2"/>
          <w:sz w:val="24"/>
        </w:rPr>
        <w:t>年</w:t>
      </w:r>
      <w:r>
        <w:rPr>
          <w:rFonts w:eastAsia="方正仿宋_GBK"/>
          <w:color w:val="000000"/>
          <w:spacing w:val="-2"/>
          <w:sz w:val="24"/>
        </w:rPr>
        <w:t xml:space="preserve">  </w:t>
      </w:r>
      <w:r>
        <w:rPr>
          <w:rFonts w:hint="eastAsia" w:eastAsia="方正仿宋_GBK"/>
          <w:color w:val="000000"/>
          <w:spacing w:val="-2"/>
          <w:sz w:val="24"/>
        </w:rPr>
        <w:t>月</w:t>
      </w:r>
      <w:r>
        <w:rPr>
          <w:rFonts w:eastAsia="方正仿宋_GBK"/>
          <w:color w:val="000000"/>
          <w:spacing w:val="-2"/>
          <w:sz w:val="24"/>
        </w:rPr>
        <w:t xml:space="preserve">  </w:t>
      </w:r>
      <w:r>
        <w:rPr>
          <w:rFonts w:hint="eastAsia" w:eastAsia="方正仿宋_GBK"/>
          <w:color w:val="000000"/>
          <w:spacing w:val="-2"/>
          <w:sz w:val="24"/>
        </w:rPr>
        <w:t>日</w:t>
      </w:r>
      <w:r>
        <w:rPr>
          <w:rFonts w:eastAsia="方正仿宋_GBK"/>
          <w:color w:val="000000"/>
          <w:spacing w:val="-2"/>
          <w:sz w:val="24"/>
        </w:rPr>
        <w:t xml:space="preserve">  </w:t>
      </w:r>
      <w:r>
        <w:rPr>
          <w:rFonts w:hint="eastAsia" w:eastAsia="方正仿宋_GBK"/>
          <w:color w:val="000000"/>
          <w:spacing w:val="-2"/>
          <w:sz w:val="24"/>
        </w:rPr>
        <w:t>时到</w:t>
      </w:r>
      <w:r>
        <w:rPr>
          <w:rFonts w:eastAsia="方正仿宋_GBK"/>
          <w:color w:val="000000"/>
          <w:spacing w:val="-2"/>
          <w:sz w:val="24"/>
          <w:u w:val="single"/>
        </w:rPr>
        <w:t xml:space="preserve">                                </w:t>
      </w:r>
      <w:r>
        <w:rPr>
          <w:rFonts w:hint="eastAsia" w:eastAsia="方正仿宋_GBK"/>
          <w:color w:val="000000"/>
          <w:spacing w:val="-2"/>
          <w:sz w:val="24"/>
        </w:rPr>
        <w:t>配合核查，并按照附表的要求提供有关资料。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特此通知。</w:t>
      </w:r>
    </w:p>
    <w:p>
      <w:pPr>
        <w:spacing w:line="460" w:lineRule="exact"/>
        <w:ind w:firstLine="578" w:firstLineChars="245"/>
        <w:jc w:val="right"/>
        <w:rPr>
          <w:rFonts w:eastAsia="方正仿宋_GBK"/>
          <w:color w:val="000000"/>
          <w:spacing w:val="-2"/>
          <w:sz w:val="24"/>
        </w:rPr>
      </w:pPr>
    </w:p>
    <w:p>
      <w:pPr>
        <w:spacing w:line="460" w:lineRule="exact"/>
        <w:ind w:firstLine="578" w:firstLineChars="245"/>
        <w:jc w:val="center"/>
        <w:rPr>
          <w:rFonts w:eastAsia="方正仿宋_GBK"/>
          <w:b/>
          <w:color w:val="000000"/>
          <w:spacing w:val="-2"/>
          <w:sz w:val="24"/>
        </w:rPr>
      </w:pPr>
      <w:r>
        <w:rPr>
          <w:rFonts w:eastAsia="方正仿宋_GBK"/>
          <w:color w:val="000000"/>
          <w:spacing w:val="-2"/>
          <w:sz w:val="24"/>
        </w:rPr>
        <w:t xml:space="preserve">                                     </w:t>
      </w:r>
      <w:r>
        <w:rPr>
          <w:rFonts w:hint="eastAsia" w:eastAsia="方正仿宋_GBK"/>
          <w:color w:val="000000"/>
          <w:spacing w:val="-2"/>
          <w:sz w:val="24"/>
        </w:rPr>
        <w:t>（印章）</w:t>
      </w:r>
    </w:p>
    <w:p>
      <w:pPr>
        <w:spacing w:line="460" w:lineRule="exact"/>
        <w:ind w:firstLine="7065" w:firstLineChars="2994"/>
        <w:rPr>
          <w:rFonts w:eastAsia="方正仿宋_GBK"/>
          <w:color w:val="000000"/>
          <w:spacing w:val="-2"/>
          <w:sz w:val="24"/>
        </w:rPr>
      </w:pPr>
      <w:r>
        <w:rPr>
          <w:rFonts w:hint="eastAsia" w:eastAsia="方正仿宋_GBK"/>
          <w:color w:val="000000"/>
          <w:spacing w:val="-2"/>
          <w:sz w:val="24"/>
        </w:rPr>
        <w:t>年</w:t>
      </w:r>
      <w:r>
        <w:rPr>
          <w:rFonts w:eastAsia="方正仿宋_GBK"/>
          <w:color w:val="000000"/>
          <w:spacing w:val="-2"/>
          <w:sz w:val="24"/>
        </w:rPr>
        <w:t xml:space="preserve">  </w:t>
      </w:r>
      <w:r>
        <w:rPr>
          <w:rFonts w:hint="eastAsia" w:eastAsia="方正仿宋_GBK"/>
          <w:color w:val="000000"/>
          <w:spacing w:val="-2"/>
          <w:sz w:val="24"/>
        </w:rPr>
        <w:t>月</w:t>
      </w:r>
      <w:r>
        <w:rPr>
          <w:rFonts w:eastAsia="方正仿宋_GBK"/>
          <w:color w:val="000000"/>
          <w:spacing w:val="-2"/>
          <w:sz w:val="24"/>
        </w:rPr>
        <w:t xml:space="preserve">  </w:t>
      </w:r>
      <w:r>
        <w:rPr>
          <w:rFonts w:hint="eastAsia" w:eastAsia="方正仿宋_GBK"/>
          <w:color w:val="000000"/>
          <w:spacing w:val="-2"/>
          <w:sz w:val="24"/>
        </w:rPr>
        <w:t>日</w:t>
      </w:r>
    </w:p>
    <w:p>
      <w:pPr>
        <w:spacing w:line="460" w:lineRule="exact"/>
        <w:rPr>
          <w:rFonts w:eastAsia="仿宋_GB2312"/>
          <w:color w:val="000000"/>
          <w:spacing w:val="-2"/>
          <w:sz w:val="32"/>
          <w:szCs w:val="32"/>
        </w:rPr>
      </w:pPr>
    </w:p>
    <w:p>
      <w:pPr>
        <w:spacing w:line="460" w:lineRule="exact"/>
        <w:rPr>
          <w:rFonts w:eastAsia="仿宋_GB2312"/>
          <w:color w:val="000000"/>
          <w:spacing w:val="-2"/>
          <w:sz w:val="32"/>
          <w:szCs w:val="32"/>
        </w:rPr>
      </w:pPr>
    </w:p>
    <w:p>
      <w:pPr>
        <w:spacing w:line="460" w:lineRule="exact"/>
        <w:rPr>
          <w:rFonts w:ascii="Times New Roman" w:eastAsia="方正黑体_GBK"/>
          <w:color w:val="000000"/>
          <w:spacing w:val="-2"/>
          <w:sz w:val="28"/>
          <w:szCs w:val="28"/>
        </w:rPr>
      </w:pPr>
      <w:r>
        <w:rPr>
          <w:rFonts w:eastAsia="仿宋_GB2312"/>
          <w:color w:val="000000"/>
          <w:spacing w:val="-2"/>
          <w:sz w:val="32"/>
          <w:szCs w:val="32"/>
        </w:rPr>
        <w:br w:type="column"/>
      </w:r>
      <w:r>
        <w:rPr>
          <w:rFonts w:hint="eastAsia" w:ascii="Times New Roman" w:eastAsia="方正黑体_GBK"/>
          <w:color w:val="000000"/>
          <w:spacing w:val="-2"/>
          <w:sz w:val="28"/>
          <w:szCs w:val="28"/>
        </w:rPr>
        <w:t>附表：</w:t>
      </w:r>
    </w:p>
    <w:p>
      <w:pPr>
        <w:jc w:val="center"/>
        <w:rPr>
          <w:rFonts w:hint="eastAsia" w:ascii="Times New Roman" w:eastAsia="方正黑体_GBK"/>
          <w:color w:val="000000"/>
          <w:spacing w:val="-2"/>
          <w:sz w:val="28"/>
          <w:szCs w:val="28"/>
        </w:rPr>
      </w:pPr>
      <w:r>
        <w:rPr>
          <w:rFonts w:hint="eastAsia" w:ascii="Times New Roman" w:eastAsia="方正黑体_GBK"/>
          <w:color w:val="000000"/>
          <w:spacing w:val="-2"/>
          <w:sz w:val="28"/>
          <w:szCs w:val="28"/>
        </w:rPr>
        <w:t>工程勘察设计市场动态核查所需资料清单</w:t>
      </w:r>
    </w:p>
    <w:tbl>
      <w:tblPr>
        <w:tblStyle w:val="12"/>
        <w:tblW w:w="0" w:type="auto"/>
        <w:tblInd w:w="12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0"/>
        <w:gridCol w:w="3700"/>
        <w:gridCol w:w="2160"/>
        <w:gridCol w:w="19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8" w:space="0"/>
              <w:left w:val="single" w:color="auto" w:sz="8" w:space="0"/>
              <w:bottom w:val="single" w:color="auto" w:sz="4" w:space="0"/>
              <w:right w:val="single" w:color="auto" w:sz="4" w:space="0"/>
            </w:tcBorders>
            <w:noWrap w:val="0"/>
            <w:vAlign w:val="center"/>
          </w:tcPr>
          <w:p>
            <w:pPr>
              <w:spacing w:line="260" w:lineRule="exact"/>
              <w:jc w:val="center"/>
              <w:rPr>
                <w:rFonts w:eastAsia="方正黑体_GBK"/>
                <w:color w:val="000000"/>
                <w:spacing w:val="-2"/>
                <w:szCs w:val="21"/>
              </w:rPr>
            </w:pPr>
            <w:r>
              <w:rPr>
                <w:rFonts w:hint="eastAsia" w:eastAsia="方正黑体_GBK"/>
                <w:color w:val="000000"/>
                <w:spacing w:val="-2"/>
                <w:szCs w:val="21"/>
              </w:rPr>
              <w:t>序号</w:t>
            </w:r>
          </w:p>
        </w:tc>
        <w:tc>
          <w:tcPr>
            <w:tcW w:w="3700" w:type="dxa"/>
            <w:tcBorders>
              <w:top w:val="single" w:color="auto" w:sz="8" w:space="0"/>
              <w:left w:val="single" w:color="auto" w:sz="4" w:space="0"/>
              <w:bottom w:val="single" w:color="auto" w:sz="4" w:space="0"/>
              <w:right w:val="single" w:color="auto" w:sz="4" w:space="0"/>
            </w:tcBorders>
            <w:noWrap w:val="0"/>
            <w:vAlign w:val="center"/>
          </w:tcPr>
          <w:p>
            <w:pPr>
              <w:spacing w:line="260" w:lineRule="exact"/>
              <w:jc w:val="center"/>
              <w:rPr>
                <w:rFonts w:eastAsia="方正黑体_GBK"/>
                <w:color w:val="000000"/>
                <w:spacing w:val="-2"/>
                <w:szCs w:val="21"/>
              </w:rPr>
            </w:pPr>
            <w:r>
              <w:rPr>
                <w:rFonts w:hint="eastAsia" w:eastAsia="方正黑体_GBK"/>
                <w:color w:val="000000"/>
                <w:spacing w:val="-2"/>
                <w:szCs w:val="21"/>
              </w:rPr>
              <w:t>材料清单</w:t>
            </w:r>
          </w:p>
        </w:tc>
        <w:tc>
          <w:tcPr>
            <w:tcW w:w="2160" w:type="dxa"/>
            <w:tcBorders>
              <w:top w:val="single" w:color="auto" w:sz="8" w:space="0"/>
              <w:left w:val="single" w:color="auto" w:sz="4" w:space="0"/>
              <w:bottom w:val="single" w:color="auto" w:sz="4" w:space="0"/>
              <w:right w:val="single" w:color="auto" w:sz="4" w:space="0"/>
            </w:tcBorders>
            <w:noWrap w:val="0"/>
            <w:vAlign w:val="center"/>
          </w:tcPr>
          <w:p>
            <w:pPr>
              <w:spacing w:line="260" w:lineRule="exact"/>
              <w:jc w:val="center"/>
              <w:rPr>
                <w:rFonts w:eastAsia="方正黑体_GBK"/>
                <w:color w:val="000000"/>
                <w:spacing w:val="-2"/>
                <w:szCs w:val="21"/>
              </w:rPr>
            </w:pPr>
            <w:r>
              <w:rPr>
                <w:rFonts w:hint="eastAsia" w:eastAsia="方正黑体_GBK"/>
                <w:color w:val="000000"/>
                <w:spacing w:val="-2"/>
                <w:szCs w:val="21"/>
              </w:rPr>
              <w:t>核查所需的材料（如需要，则打</w:t>
            </w:r>
            <w:r>
              <w:rPr>
                <w:rFonts w:eastAsia="方正黑体_GBK"/>
                <w:color w:val="000000"/>
                <w:spacing w:val="-2"/>
                <w:szCs w:val="21"/>
              </w:rPr>
              <w:t>“√”</w:t>
            </w:r>
            <w:r>
              <w:rPr>
                <w:rFonts w:hint="eastAsia" w:eastAsia="方正黑体_GBK"/>
                <w:color w:val="000000"/>
                <w:spacing w:val="-2"/>
                <w:szCs w:val="21"/>
              </w:rPr>
              <w:t>；如不需要，则空）</w:t>
            </w:r>
          </w:p>
        </w:tc>
        <w:tc>
          <w:tcPr>
            <w:tcW w:w="1980" w:type="dxa"/>
            <w:tcBorders>
              <w:top w:val="single" w:color="auto" w:sz="8" w:space="0"/>
              <w:left w:val="single" w:color="auto" w:sz="4" w:space="0"/>
              <w:bottom w:val="single" w:color="auto" w:sz="4" w:space="0"/>
              <w:right w:val="single" w:color="auto" w:sz="8" w:space="0"/>
            </w:tcBorders>
            <w:noWrap w:val="0"/>
            <w:vAlign w:val="center"/>
          </w:tcPr>
          <w:p>
            <w:pPr>
              <w:spacing w:line="260" w:lineRule="exact"/>
              <w:jc w:val="center"/>
              <w:rPr>
                <w:rFonts w:eastAsia="方正黑体_GBK"/>
                <w:color w:val="000000"/>
                <w:spacing w:val="-2"/>
                <w:szCs w:val="21"/>
              </w:rPr>
            </w:pPr>
            <w:r>
              <w:rPr>
                <w:rFonts w:hint="eastAsia" w:eastAsia="方正黑体_GBK"/>
                <w:color w:val="000000"/>
                <w:spacing w:val="-2"/>
                <w:szCs w:val="21"/>
              </w:rPr>
              <w:t>备注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1</w:t>
            </w:r>
          </w:p>
        </w:tc>
        <w:tc>
          <w:tcPr>
            <w:tcW w:w="3700"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rFonts w:eastAsia="方正仿宋_GBK"/>
                <w:color w:val="000000"/>
                <w:spacing w:val="-2"/>
                <w:szCs w:val="21"/>
              </w:rPr>
            </w:pPr>
            <w:r>
              <w:rPr>
                <w:rFonts w:hint="eastAsia" w:eastAsia="方正仿宋_GBK"/>
                <w:color w:val="000000"/>
                <w:spacing w:val="-2"/>
                <w:szCs w:val="21"/>
              </w:rPr>
              <w:t>江苏省工程勘察设计市场检查申报表</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通过江苏省勘察设计行业管理信息系统中的市场检查模块产生</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2</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企业法人营业执照正、副本</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3</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与受检业务范围相对应的企业勘察设计资质证书正、副本</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4</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企业技术负责人的身份证、毕业证书、职称证书（或注册执业证书）、任职文件、劳动合同、社保证明及其《专业技术人员基本情况及业绩表》</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5</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主要专业技术人员（注册执业人员除外）的身份证、毕业证书、职称证书、劳动合同、社保证明及其《专业技术人员基本情况及业绩表》</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省外单位提供参加项目的专业技术人员的身份证、毕业证书、职称证书、劳动合同和社保证明</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6</w:t>
            </w:r>
          </w:p>
        </w:tc>
        <w:tc>
          <w:tcPr>
            <w:tcW w:w="3700" w:type="dxa"/>
            <w:tcBorders>
              <w:top w:val="single" w:color="auto" w:sz="4" w:space="0"/>
              <w:left w:val="single" w:color="auto" w:sz="4" w:space="0"/>
              <w:bottom w:val="single" w:color="auto" w:sz="4" w:space="0"/>
              <w:right w:val="single" w:color="auto" w:sz="4" w:space="0"/>
            </w:tcBorders>
            <w:noWrap w:val="0"/>
            <w:vAlign w:val="center"/>
          </w:tcPr>
          <w:p>
            <w:pPr>
              <w:spacing w:line="260" w:lineRule="exact"/>
              <w:rPr>
                <w:rFonts w:eastAsia="方正仿宋_GBK"/>
                <w:color w:val="000000"/>
                <w:spacing w:val="-2"/>
                <w:szCs w:val="21"/>
              </w:rPr>
            </w:pPr>
            <w:r>
              <w:rPr>
                <w:rFonts w:hint="eastAsia" w:eastAsia="方正仿宋_GBK"/>
                <w:color w:val="000000"/>
                <w:spacing w:val="-2"/>
                <w:szCs w:val="21"/>
              </w:rPr>
              <w:t>注册执业人员身份证、社保证明、加盖执业印章的注册执业证书复印件</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省外单位提供参加项目的注册执业人员身份证、社保证明、加盖执业印章的注册执业证书复印件</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7</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技术工人的身份证、考核或培训合格证书、劳动合同和社保证明</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8</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与质量保证体系相关的材料</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9</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主要技术装备购置发票</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10</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固定办公场所证明（自有的：提供产权证；租用的：提供出租方产权证及租用合同（协议））</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11</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近</w:t>
            </w:r>
            <w:r>
              <w:rPr>
                <w:rFonts w:eastAsia="方正仿宋_GBK"/>
                <w:color w:val="000000"/>
                <w:spacing w:val="-2"/>
                <w:szCs w:val="21"/>
              </w:rPr>
              <w:t>2</w:t>
            </w:r>
            <w:r>
              <w:rPr>
                <w:rFonts w:hint="eastAsia" w:eastAsia="方正仿宋_GBK"/>
                <w:color w:val="000000"/>
                <w:spacing w:val="-2"/>
                <w:szCs w:val="21"/>
              </w:rPr>
              <w:t>年来企业承接的项目清单（含竣工和正在进行的）</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12</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受检项目的勘察设计合同</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13</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受检项目的设计文件或勘察成果报告</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900" w:type="dxa"/>
            <w:tcBorders>
              <w:top w:val="single" w:color="auto" w:sz="4" w:space="0"/>
              <w:left w:val="single" w:color="auto" w:sz="8" w:space="0"/>
              <w:bottom w:val="single" w:color="auto" w:sz="4"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14</w:t>
            </w:r>
          </w:p>
        </w:tc>
        <w:tc>
          <w:tcPr>
            <w:tcW w:w="370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r>
              <w:rPr>
                <w:rFonts w:hint="eastAsia" w:eastAsia="方正仿宋_GBK"/>
                <w:color w:val="000000"/>
                <w:spacing w:val="-2"/>
                <w:szCs w:val="21"/>
              </w:rPr>
              <w:t>受检项目的施工图审查意见书及审查合格书</w:t>
            </w:r>
          </w:p>
        </w:tc>
        <w:tc>
          <w:tcPr>
            <w:tcW w:w="2160" w:type="dxa"/>
            <w:tcBorders>
              <w:top w:val="single" w:color="auto" w:sz="4" w:space="0"/>
              <w:left w:val="single" w:color="auto" w:sz="4" w:space="0"/>
              <w:bottom w:val="single" w:color="auto" w:sz="4" w:space="0"/>
              <w:right w:val="single" w:color="auto" w:sz="4" w:space="0"/>
            </w:tcBorders>
            <w:noWrap w:val="0"/>
            <w:vAlign w:val="top"/>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4" w:space="0"/>
              <w:right w:val="single" w:color="auto" w:sz="8" w:space="0"/>
            </w:tcBorders>
            <w:noWrap w:val="0"/>
            <w:vAlign w:val="top"/>
          </w:tcPr>
          <w:p>
            <w:pPr>
              <w:spacing w:line="26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900" w:type="dxa"/>
            <w:tcBorders>
              <w:top w:val="single" w:color="auto" w:sz="4" w:space="0"/>
              <w:left w:val="single" w:color="auto" w:sz="8" w:space="0"/>
              <w:bottom w:val="single" w:color="auto" w:sz="8" w:space="0"/>
              <w:right w:val="single" w:color="auto" w:sz="4" w:space="0"/>
            </w:tcBorders>
            <w:noWrap w:val="0"/>
            <w:vAlign w:val="center"/>
          </w:tcPr>
          <w:p>
            <w:pPr>
              <w:spacing w:line="260" w:lineRule="exact"/>
              <w:jc w:val="center"/>
              <w:rPr>
                <w:rFonts w:eastAsia="方正仿宋_GBK"/>
                <w:color w:val="000000"/>
                <w:spacing w:val="-2"/>
                <w:szCs w:val="21"/>
              </w:rPr>
            </w:pPr>
            <w:r>
              <w:rPr>
                <w:rFonts w:eastAsia="方正仿宋_GBK"/>
                <w:color w:val="000000"/>
                <w:spacing w:val="-2"/>
                <w:szCs w:val="21"/>
              </w:rPr>
              <w:t>15</w:t>
            </w:r>
          </w:p>
        </w:tc>
        <w:tc>
          <w:tcPr>
            <w:tcW w:w="3700" w:type="dxa"/>
            <w:tcBorders>
              <w:top w:val="single" w:color="auto" w:sz="4" w:space="0"/>
              <w:left w:val="single" w:color="auto" w:sz="4" w:space="0"/>
              <w:bottom w:val="single" w:color="auto" w:sz="8" w:space="0"/>
              <w:right w:val="single" w:color="auto" w:sz="4" w:space="0"/>
            </w:tcBorders>
            <w:noWrap w:val="0"/>
            <w:vAlign w:val="center"/>
          </w:tcPr>
          <w:p>
            <w:pPr>
              <w:spacing w:line="260" w:lineRule="exact"/>
              <w:rPr>
                <w:rFonts w:eastAsia="方正仿宋_GBK"/>
                <w:color w:val="000000"/>
                <w:spacing w:val="-2"/>
                <w:szCs w:val="21"/>
              </w:rPr>
            </w:pPr>
            <w:r>
              <w:rPr>
                <w:rFonts w:hint="eastAsia" w:eastAsia="方正仿宋_GBK"/>
                <w:color w:val="000000"/>
                <w:spacing w:val="-2"/>
                <w:szCs w:val="21"/>
              </w:rPr>
              <w:t>其它需要提供的材料</w:t>
            </w:r>
          </w:p>
        </w:tc>
        <w:tc>
          <w:tcPr>
            <w:tcW w:w="2160" w:type="dxa"/>
            <w:tcBorders>
              <w:top w:val="single" w:color="auto" w:sz="4" w:space="0"/>
              <w:left w:val="single" w:color="auto" w:sz="4" w:space="0"/>
              <w:bottom w:val="single" w:color="auto" w:sz="8" w:space="0"/>
              <w:right w:val="single" w:color="auto" w:sz="4" w:space="0"/>
            </w:tcBorders>
            <w:noWrap w:val="0"/>
            <w:vAlign w:val="center"/>
          </w:tcPr>
          <w:p>
            <w:pPr>
              <w:spacing w:line="260" w:lineRule="exact"/>
              <w:rPr>
                <w:rFonts w:eastAsia="方正仿宋_GBK"/>
                <w:color w:val="000000"/>
                <w:spacing w:val="-2"/>
                <w:szCs w:val="21"/>
              </w:rPr>
            </w:pPr>
          </w:p>
        </w:tc>
        <w:tc>
          <w:tcPr>
            <w:tcW w:w="1980" w:type="dxa"/>
            <w:tcBorders>
              <w:top w:val="single" w:color="auto" w:sz="4" w:space="0"/>
              <w:left w:val="single" w:color="auto" w:sz="4" w:space="0"/>
              <w:bottom w:val="single" w:color="auto" w:sz="8" w:space="0"/>
              <w:right w:val="single" w:color="auto" w:sz="8" w:space="0"/>
            </w:tcBorders>
            <w:noWrap w:val="0"/>
            <w:vAlign w:val="center"/>
          </w:tcPr>
          <w:p>
            <w:pPr>
              <w:spacing w:line="260" w:lineRule="exact"/>
              <w:rPr>
                <w:rFonts w:eastAsia="方正仿宋_GBK"/>
                <w:color w:val="000000"/>
                <w:spacing w:val="-2"/>
                <w:szCs w:val="21"/>
              </w:rPr>
            </w:pPr>
          </w:p>
        </w:tc>
      </w:tr>
    </w:tbl>
    <w:p>
      <w:pPr>
        <w:spacing w:line="240" w:lineRule="exact"/>
        <w:rPr>
          <w:rFonts w:hint="eastAsia" w:eastAsia="方正仿宋_GBK"/>
          <w:color w:val="000000"/>
          <w:spacing w:val="-2"/>
          <w:szCs w:val="21"/>
        </w:rPr>
      </w:pPr>
      <w:r>
        <w:rPr>
          <w:rFonts w:hint="eastAsia" w:eastAsia="方正仿宋_GBK"/>
          <w:color w:val="000000"/>
          <w:spacing w:val="-2"/>
          <w:szCs w:val="21"/>
        </w:rPr>
        <w:t>注：以上材料未注明复印件的，均为原件。</w:t>
      </w:r>
    </w:p>
    <w:p>
      <w:pPr>
        <w:rPr>
          <w:rFonts w:ascii="Times New Roman" w:eastAsia="方正黑体_GBK" w:cs="宋体"/>
          <w:color w:val="000000"/>
          <w:spacing w:val="-2"/>
          <w:sz w:val="28"/>
          <w:szCs w:val="28"/>
        </w:rPr>
      </w:pPr>
      <w:r>
        <w:rPr>
          <w:rFonts w:eastAsia="仿宋_GB2312" w:cs="宋体"/>
          <w:color w:val="000000"/>
          <w:spacing w:val="-2"/>
          <w:sz w:val="32"/>
          <w:szCs w:val="32"/>
        </w:rPr>
        <w:br w:type="column"/>
      </w:r>
      <w:r>
        <w:rPr>
          <w:rFonts w:hint="eastAsia" w:ascii="Times New Roman" w:eastAsia="方正黑体_GBK" w:cs="宋体"/>
          <w:color w:val="000000"/>
          <w:spacing w:val="-2"/>
          <w:sz w:val="28"/>
          <w:szCs w:val="28"/>
        </w:rPr>
        <w:t>附件2：</w:t>
      </w:r>
    </w:p>
    <w:p>
      <w:pPr>
        <w:spacing w:line="600" w:lineRule="exact"/>
        <w:jc w:val="center"/>
        <w:rPr>
          <w:rFonts w:hint="eastAsia" w:eastAsia="黑体"/>
          <w:b/>
          <w:color w:val="000000"/>
          <w:spacing w:val="-2"/>
          <w:sz w:val="32"/>
          <w:szCs w:val="32"/>
        </w:rPr>
      </w:pPr>
      <w:r>
        <w:rPr>
          <w:rFonts w:hint="eastAsia" w:eastAsia="黑体"/>
          <w:color w:val="000000"/>
          <w:spacing w:val="-2"/>
          <w:sz w:val="32"/>
          <w:szCs w:val="32"/>
        </w:rPr>
        <w:t>江苏省工程勘察设计市场动态核查结果意见表（用于本省单位）</w:t>
      </w:r>
    </w:p>
    <w:p>
      <w:pPr>
        <w:spacing w:line="600" w:lineRule="exact"/>
        <w:jc w:val="center"/>
        <w:rPr>
          <w:rFonts w:eastAsia="仿宋_GB2312"/>
          <w:color w:val="000000"/>
          <w:spacing w:val="-2"/>
          <w:szCs w:val="21"/>
        </w:rPr>
      </w:pPr>
      <w:r>
        <w:rPr>
          <w:rFonts w:eastAsia="仿宋_GB2312"/>
          <w:color w:val="000000"/>
          <w:spacing w:val="-2"/>
          <w:szCs w:val="21"/>
        </w:rPr>
        <w:t xml:space="preserve">                                                        </w:t>
      </w:r>
      <w:r>
        <w:rPr>
          <w:rFonts w:hint="eastAsia" w:eastAsia="仿宋_GB2312"/>
          <w:color w:val="000000"/>
          <w:spacing w:val="-2"/>
          <w:szCs w:val="21"/>
        </w:rPr>
        <w:t>核查时间：</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48"/>
        <w:gridCol w:w="3103"/>
        <w:gridCol w:w="1551"/>
        <w:gridCol w:w="1160"/>
        <w:gridCol w:w="178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348"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单位名称</w:t>
            </w:r>
          </w:p>
        </w:tc>
        <w:tc>
          <w:tcPr>
            <w:tcW w:w="4654" w:type="dxa"/>
            <w:gridSpan w:val="2"/>
            <w:tcBorders>
              <w:top w:val="single" w:color="auto" w:sz="8" w:space="0"/>
              <w:left w:val="single" w:color="auto" w:sz="4" w:space="0"/>
              <w:bottom w:val="single" w:color="auto" w:sz="4" w:space="0"/>
              <w:right w:val="single" w:color="auto" w:sz="4" w:space="0"/>
            </w:tcBorders>
            <w:noWrap w:val="0"/>
            <w:vAlign w:val="center"/>
          </w:tcPr>
          <w:p>
            <w:pPr>
              <w:spacing w:line="240" w:lineRule="exact"/>
              <w:rPr>
                <w:rFonts w:eastAsia="仿宋_GB2312"/>
                <w:color w:val="000000"/>
                <w:spacing w:val="-2"/>
                <w:szCs w:val="21"/>
              </w:rPr>
            </w:pPr>
          </w:p>
        </w:tc>
        <w:tc>
          <w:tcPr>
            <w:tcW w:w="1160"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法人代表</w:t>
            </w:r>
          </w:p>
        </w:tc>
        <w:tc>
          <w:tcPr>
            <w:tcW w:w="1784" w:type="dxa"/>
            <w:tcBorders>
              <w:top w:val="single" w:color="auto" w:sz="8" w:space="0"/>
              <w:left w:val="single" w:color="auto" w:sz="4" w:space="0"/>
              <w:bottom w:val="single" w:color="auto" w:sz="4" w:space="0"/>
              <w:right w:val="single" w:color="auto" w:sz="8" w:space="0"/>
            </w:tcBorders>
            <w:noWrap w:val="0"/>
            <w:vAlign w:val="top"/>
          </w:tcPr>
          <w:p>
            <w:pPr>
              <w:spacing w:line="240" w:lineRule="exact"/>
              <w:rPr>
                <w:rFonts w:eastAsia="仿宋_GB2312"/>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348"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rFonts w:eastAsia="仿宋_GB2312"/>
                <w:color w:val="000000"/>
                <w:spacing w:val="-2"/>
                <w:szCs w:val="21"/>
              </w:rPr>
            </w:pPr>
            <w:r>
              <w:rPr>
                <w:rFonts w:hint="eastAsia" w:eastAsia="仿宋_GB2312"/>
                <w:color w:val="000000"/>
                <w:spacing w:val="-2"/>
                <w:szCs w:val="21"/>
              </w:rPr>
              <w:t>资质证书级别和范围</w:t>
            </w:r>
          </w:p>
        </w:tc>
        <w:tc>
          <w:tcPr>
            <w:tcW w:w="4654"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eastAsia="仿宋_GB2312"/>
                <w:color w:val="000000"/>
                <w:spacing w:val="-2"/>
                <w:szCs w:val="21"/>
              </w:rPr>
            </w:pPr>
          </w:p>
        </w:tc>
        <w:tc>
          <w:tcPr>
            <w:tcW w:w="116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仿宋_GB2312"/>
                <w:color w:val="000000"/>
                <w:spacing w:val="-2"/>
                <w:szCs w:val="21"/>
              </w:rPr>
            </w:pPr>
            <w:r>
              <w:rPr>
                <w:rFonts w:hint="eastAsia" w:eastAsia="仿宋_GB2312"/>
                <w:color w:val="000000"/>
                <w:spacing w:val="-2"/>
                <w:szCs w:val="21"/>
              </w:rPr>
              <w:t>联系电话</w:t>
            </w:r>
          </w:p>
        </w:tc>
        <w:tc>
          <w:tcPr>
            <w:tcW w:w="1784" w:type="dxa"/>
            <w:tcBorders>
              <w:top w:val="single" w:color="auto" w:sz="4" w:space="0"/>
              <w:left w:val="single" w:color="auto" w:sz="4" w:space="0"/>
              <w:bottom w:val="single" w:color="auto" w:sz="4" w:space="0"/>
              <w:right w:val="single" w:color="auto" w:sz="8" w:space="0"/>
            </w:tcBorders>
            <w:noWrap w:val="0"/>
            <w:vAlign w:val="top"/>
          </w:tcPr>
          <w:p>
            <w:pPr>
              <w:spacing w:line="240" w:lineRule="exact"/>
              <w:rPr>
                <w:rFonts w:eastAsia="仿宋_GB2312"/>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946" w:type="dxa"/>
            <w:gridSpan w:val="5"/>
            <w:tcBorders>
              <w:top w:val="single" w:color="auto" w:sz="4" w:space="0"/>
              <w:left w:val="single" w:color="auto" w:sz="8" w:space="0"/>
              <w:bottom w:val="single" w:color="auto" w:sz="4" w:space="0"/>
              <w:right w:val="single" w:color="auto" w:sz="8" w:space="0"/>
            </w:tcBorders>
            <w:noWrap w:val="0"/>
            <w:vAlign w:val="top"/>
          </w:tcPr>
          <w:p>
            <w:pPr>
              <w:spacing w:line="240" w:lineRule="exact"/>
              <w:rPr>
                <w:rFonts w:eastAsia="仿宋_GB2312"/>
                <w:color w:val="000000"/>
                <w:spacing w:val="-2"/>
                <w:szCs w:val="21"/>
              </w:rPr>
            </w:pPr>
            <w:r>
              <w:rPr>
                <w:rFonts w:hint="eastAsia" w:eastAsia="仿宋_GB2312"/>
                <w:color w:val="000000"/>
                <w:spacing w:val="-2"/>
                <w:szCs w:val="21"/>
              </w:rPr>
              <w:t>一、资质状况：</w:t>
            </w:r>
          </w:p>
          <w:p>
            <w:pPr>
              <w:spacing w:line="240" w:lineRule="exact"/>
              <w:rPr>
                <w:rFonts w:eastAsia="仿宋_GB2312"/>
                <w:color w:val="000000"/>
                <w:spacing w:val="-2"/>
                <w:szCs w:val="21"/>
              </w:rPr>
            </w:pPr>
            <w:r>
              <w:rPr>
                <w:rFonts w:eastAsia="仿宋_GB2312"/>
                <w:color w:val="000000"/>
                <w:spacing w:val="-2"/>
                <w:szCs w:val="21"/>
              </w:rPr>
              <w:t>1</w:t>
            </w:r>
            <w:r>
              <w:rPr>
                <w:rFonts w:hint="eastAsia" w:eastAsia="仿宋_GB2312"/>
                <w:color w:val="000000"/>
                <w:spacing w:val="-2"/>
                <w:szCs w:val="21"/>
              </w:rPr>
              <w:t>、注册资本：□符合标准</w:t>
            </w:r>
            <w:r>
              <w:rPr>
                <w:rFonts w:eastAsia="仿宋_GB2312"/>
                <w:color w:val="000000"/>
                <w:spacing w:val="-2"/>
                <w:szCs w:val="21"/>
              </w:rPr>
              <w:t xml:space="preserve">  </w:t>
            </w:r>
            <w:r>
              <w:rPr>
                <w:rFonts w:hint="eastAsia" w:eastAsia="仿宋_GB2312"/>
                <w:color w:val="000000"/>
                <w:spacing w:val="-2"/>
                <w:szCs w:val="21"/>
              </w:rPr>
              <w:t>□不符合标准及原因：</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2</w:t>
            </w:r>
            <w:r>
              <w:rPr>
                <w:rFonts w:hint="eastAsia" w:eastAsia="仿宋_GB2312"/>
                <w:color w:val="000000"/>
                <w:spacing w:val="-2"/>
                <w:szCs w:val="21"/>
              </w:rPr>
              <w:t>、技术负责人情况：□符合标准</w:t>
            </w:r>
            <w:r>
              <w:rPr>
                <w:rFonts w:eastAsia="仿宋_GB2312"/>
                <w:color w:val="000000"/>
                <w:spacing w:val="-2"/>
                <w:szCs w:val="21"/>
              </w:rPr>
              <w:t xml:space="preserve">  </w:t>
            </w:r>
            <w:r>
              <w:rPr>
                <w:rFonts w:hint="eastAsia" w:eastAsia="仿宋_GB2312"/>
                <w:color w:val="000000"/>
                <w:spacing w:val="-2"/>
                <w:szCs w:val="21"/>
              </w:rPr>
              <w:t>□不符合标准及原因：</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3</w:t>
            </w:r>
            <w:r>
              <w:rPr>
                <w:rFonts w:hint="eastAsia" w:eastAsia="仿宋_GB2312"/>
                <w:color w:val="000000"/>
                <w:spacing w:val="-2"/>
                <w:szCs w:val="21"/>
              </w:rPr>
              <w:t>、注册人员情况：□符合标准</w:t>
            </w:r>
            <w:r>
              <w:rPr>
                <w:rFonts w:eastAsia="仿宋_GB2312"/>
                <w:color w:val="000000"/>
                <w:spacing w:val="-2"/>
                <w:szCs w:val="21"/>
              </w:rPr>
              <w:t xml:space="preserve">  </w:t>
            </w:r>
            <w:r>
              <w:rPr>
                <w:rFonts w:hint="eastAsia" w:eastAsia="仿宋_GB2312"/>
                <w:color w:val="000000"/>
                <w:spacing w:val="-2"/>
                <w:szCs w:val="21"/>
              </w:rPr>
              <w:t>□不符合标准及原因：</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4</w:t>
            </w:r>
            <w:r>
              <w:rPr>
                <w:rFonts w:hint="eastAsia" w:eastAsia="仿宋_GB2312"/>
                <w:color w:val="000000"/>
                <w:spacing w:val="-2"/>
                <w:szCs w:val="21"/>
              </w:rPr>
              <w:t>、主要专业技术人员（注册人员除外）情况：□符合标准</w:t>
            </w:r>
            <w:r>
              <w:rPr>
                <w:rFonts w:eastAsia="仿宋_GB2312"/>
                <w:color w:val="000000"/>
                <w:spacing w:val="-2"/>
                <w:szCs w:val="21"/>
              </w:rPr>
              <w:t xml:space="preserve">  </w:t>
            </w:r>
            <w:r>
              <w:rPr>
                <w:rFonts w:hint="eastAsia" w:eastAsia="仿宋_GB2312"/>
                <w:color w:val="000000"/>
                <w:spacing w:val="-2"/>
                <w:szCs w:val="21"/>
              </w:rPr>
              <w:t>□不符合标准及原因：</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5</w:t>
            </w:r>
            <w:r>
              <w:rPr>
                <w:rFonts w:hint="eastAsia" w:eastAsia="仿宋_GB2312"/>
                <w:color w:val="000000"/>
                <w:spacing w:val="-2"/>
                <w:szCs w:val="21"/>
              </w:rPr>
              <w:t>、技术装备及管理水平：□符合标准</w:t>
            </w:r>
            <w:r>
              <w:rPr>
                <w:rFonts w:eastAsia="仿宋_GB2312"/>
                <w:color w:val="000000"/>
                <w:spacing w:val="-2"/>
                <w:szCs w:val="21"/>
              </w:rPr>
              <w:t xml:space="preserve">  </w:t>
            </w:r>
            <w:r>
              <w:rPr>
                <w:rFonts w:hint="eastAsia" w:eastAsia="仿宋_GB2312"/>
                <w:color w:val="000000"/>
                <w:spacing w:val="-2"/>
                <w:szCs w:val="21"/>
              </w:rPr>
              <w:t>□不符合标准及原因：</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946" w:type="dxa"/>
            <w:gridSpan w:val="5"/>
            <w:tcBorders>
              <w:top w:val="single" w:color="auto" w:sz="4" w:space="0"/>
              <w:left w:val="single" w:color="auto" w:sz="8" w:space="0"/>
              <w:bottom w:val="single" w:color="auto" w:sz="4" w:space="0"/>
              <w:right w:val="single" w:color="auto" w:sz="8" w:space="0"/>
            </w:tcBorders>
            <w:noWrap w:val="0"/>
            <w:vAlign w:val="top"/>
          </w:tcPr>
          <w:p>
            <w:pPr>
              <w:spacing w:line="240" w:lineRule="exact"/>
              <w:rPr>
                <w:rFonts w:eastAsia="仿宋_GB2312"/>
                <w:color w:val="000000"/>
                <w:spacing w:val="-2"/>
                <w:szCs w:val="21"/>
              </w:rPr>
            </w:pPr>
            <w:r>
              <w:rPr>
                <w:rFonts w:hint="eastAsia" w:eastAsia="仿宋_GB2312"/>
                <w:color w:val="000000"/>
                <w:spacing w:val="-2"/>
                <w:szCs w:val="21"/>
              </w:rPr>
              <w:t>二、市场及质量行为：</w:t>
            </w:r>
          </w:p>
          <w:p>
            <w:pPr>
              <w:spacing w:line="240" w:lineRule="exact"/>
              <w:rPr>
                <w:rFonts w:eastAsia="仿宋_GB2312"/>
                <w:color w:val="000000"/>
                <w:spacing w:val="-2"/>
                <w:szCs w:val="21"/>
              </w:rPr>
            </w:pPr>
            <w:r>
              <w:rPr>
                <w:rFonts w:eastAsia="仿宋_GB2312"/>
                <w:color w:val="000000"/>
                <w:spacing w:val="-2"/>
                <w:szCs w:val="21"/>
              </w:rPr>
              <w:t>1</w:t>
            </w:r>
            <w:r>
              <w:rPr>
                <w:rFonts w:hint="eastAsia" w:eastAsia="仿宋_GB2312"/>
                <w:color w:val="000000"/>
                <w:spacing w:val="-2"/>
                <w:szCs w:val="21"/>
              </w:rPr>
              <w:t>、有无以欺骗手段取得资质证书的情况：</w:t>
            </w:r>
          </w:p>
          <w:p>
            <w:pPr>
              <w:spacing w:line="240" w:lineRule="exact"/>
              <w:ind w:firstLine="309" w:firstLineChars="15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2</w:t>
            </w:r>
            <w:r>
              <w:rPr>
                <w:rFonts w:hint="eastAsia" w:eastAsia="仿宋_GB2312"/>
                <w:color w:val="000000"/>
                <w:spacing w:val="-2"/>
                <w:szCs w:val="21"/>
              </w:rPr>
              <w:t>、有无采用无证或超越资质和业务范围等不正当手段承揽勘察、设计业务的情况：</w:t>
            </w:r>
          </w:p>
          <w:p>
            <w:pPr>
              <w:spacing w:line="240" w:lineRule="exact"/>
              <w:ind w:firstLine="309" w:firstLineChars="15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3</w:t>
            </w:r>
            <w:r>
              <w:rPr>
                <w:rFonts w:hint="eastAsia" w:eastAsia="仿宋_GB2312"/>
                <w:color w:val="000000"/>
                <w:spacing w:val="-2"/>
                <w:szCs w:val="21"/>
              </w:rPr>
              <w:t>、有无将承揽的勘察、设计业务转包或者违法分包的情况：</w:t>
            </w:r>
          </w:p>
          <w:p>
            <w:pPr>
              <w:spacing w:line="240" w:lineRule="exact"/>
              <w:rPr>
                <w:rFonts w:eastAsia="仿宋_GB2312"/>
                <w:color w:val="000000"/>
                <w:spacing w:val="-2"/>
                <w:szCs w:val="21"/>
              </w:rPr>
            </w:pPr>
            <w:r>
              <w:rPr>
                <w:rFonts w:eastAsia="仿宋_GB2312"/>
                <w:color w:val="000000"/>
                <w:spacing w:val="-2"/>
                <w:szCs w:val="21"/>
              </w:rPr>
              <w:t xml:space="preserve">   </w:t>
            </w: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4</w:t>
            </w:r>
            <w:r>
              <w:rPr>
                <w:rFonts w:hint="eastAsia" w:eastAsia="仿宋_GB2312"/>
                <w:color w:val="000000"/>
                <w:spacing w:val="-2"/>
                <w:szCs w:val="21"/>
              </w:rPr>
              <w:t>、有无出借、转让、出卖资质证书、图签、图章或以挂靠方式允许他人以本单位名义承接勘察设计业务的情况：</w:t>
            </w:r>
          </w:p>
          <w:p>
            <w:pPr>
              <w:spacing w:line="240" w:lineRule="exact"/>
              <w:ind w:firstLine="309" w:firstLineChars="15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5</w:t>
            </w:r>
            <w:r>
              <w:rPr>
                <w:rFonts w:hint="eastAsia" w:eastAsia="仿宋_GB2312"/>
                <w:color w:val="000000"/>
                <w:spacing w:val="-2"/>
                <w:szCs w:val="21"/>
              </w:rPr>
              <w:t>、有无伪造、涂改资质证书、注册证书或注册执业印章的情况：</w:t>
            </w:r>
          </w:p>
          <w:p>
            <w:pPr>
              <w:spacing w:line="240" w:lineRule="exact"/>
              <w:ind w:firstLine="309" w:firstLineChars="15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6</w:t>
            </w:r>
            <w:r>
              <w:rPr>
                <w:rFonts w:hint="eastAsia" w:eastAsia="仿宋_GB2312"/>
                <w:color w:val="000000"/>
                <w:spacing w:val="-2"/>
                <w:szCs w:val="21"/>
              </w:rPr>
              <w:t>、有无专业技术人员和注册执业人员私人挂靠、私下组织或参与承接勘察设计业务活动的情况：</w:t>
            </w:r>
          </w:p>
          <w:p>
            <w:pPr>
              <w:spacing w:line="240" w:lineRule="exact"/>
              <w:ind w:firstLine="309" w:firstLineChars="15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7</w:t>
            </w:r>
            <w:r>
              <w:rPr>
                <w:rFonts w:hint="eastAsia" w:eastAsia="仿宋_GB2312"/>
                <w:color w:val="000000"/>
                <w:spacing w:val="-2"/>
                <w:szCs w:val="21"/>
              </w:rPr>
              <w:t>、有无专业技术人员和注册执业人员同时受聘于两个及以上单位的情况：</w:t>
            </w:r>
          </w:p>
          <w:p>
            <w:pPr>
              <w:spacing w:line="240" w:lineRule="exact"/>
              <w:ind w:firstLine="309" w:firstLineChars="15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8</w:t>
            </w:r>
            <w:r>
              <w:rPr>
                <w:rFonts w:hint="eastAsia" w:eastAsia="仿宋_GB2312"/>
                <w:color w:val="000000"/>
                <w:spacing w:val="-2"/>
                <w:szCs w:val="21"/>
              </w:rPr>
              <w:t>、有无注册执业人员出借、转让、出卖执业资格证书、执业印章，或私自为其他单位设计项目签字、盖章的，或允许他人以本人名义执业的情况：</w:t>
            </w:r>
          </w:p>
          <w:p>
            <w:pPr>
              <w:spacing w:line="240" w:lineRule="exact"/>
              <w:ind w:firstLine="309" w:firstLineChars="15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9</w:t>
            </w:r>
            <w:r>
              <w:rPr>
                <w:rFonts w:hint="eastAsia" w:eastAsia="仿宋_GB2312"/>
                <w:color w:val="000000"/>
                <w:spacing w:val="-2"/>
                <w:szCs w:val="21"/>
              </w:rPr>
              <w:t>、有无勘察单位及其注册执业人员弄虚作假、提供虚假勘察成果资料或设计单位及其注册执业人员无勘察报告或未按照审查批准的勘察报告进行设计的情况：</w:t>
            </w:r>
          </w:p>
          <w:p>
            <w:pPr>
              <w:spacing w:line="240" w:lineRule="exact"/>
              <w:ind w:firstLine="412" w:firstLineChars="20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10</w:t>
            </w:r>
            <w:r>
              <w:rPr>
                <w:rFonts w:hint="eastAsia" w:eastAsia="仿宋_GB2312"/>
                <w:color w:val="000000"/>
                <w:spacing w:val="-2"/>
                <w:szCs w:val="21"/>
              </w:rPr>
              <w:t>、有无勘察、设计单位及其注册执业人员违反国家工程建设强制性标准的情况：</w:t>
            </w:r>
          </w:p>
          <w:p>
            <w:pPr>
              <w:spacing w:line="240" w:lineRule="exact"/>
              <w:ind w:firstLine="412" w:firstLineChars="20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11</w:t>
            </w:r>
            <w:r>
              <w:rPr>
                <w:rFonts w:hint="eastAsia" w:eastAsia="仿宋_GB2312"/>
                <w:color w:val="000000"/>
                <w:spacing w:val="-2"/>
                <w:szCs w:val="21"/>
              </w:rPr>
              <w:t>、有无勘察设计文件没有责任人签字或者签字不全的情况：</w:t>
            </w:r>
          </w:p>
          <w:p>
            <w:pPr>
              <w:spacing w:line="240" w:lineRule="exact"/>
              <w:ind w:firstLine="412" w:firstLineChars="20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12</w:t>
            </w:r>
            <w:r>
              <w:rPr>
                <w:rFonts w:hint="eastAsia" w:eastAsia="仿宋_GB2312"/>
                <w:color w:val="000000"/>
                <w:spacing w:val="-2"/>
                <w:szCs w:val="21"/>
              </w:rPr>
              <w:t>、有无注册执业人员未按照规定在勘察设计文件上签字的情况：</w:t>
            </w:r>
          </w:p>
          <w:p>
            <w:pPr>
              <w:spacing w:line="240" w:lineRule="exact"/>
              <w:ind w:firstLine="412" w:firstLineChars="20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eastAsia="仿宋_GB2312"/>
                <w:color w:val="000000"/>
                <w:spacing w:val="-2"/>
                <w:szCs w:val="21"/>
              </w:rPr>
              <w:t>13</w:t>
            </w:r>
            <w:r>
              <w:rPr>
                <w:rFonts w:hint="eastAsia" w:eastAsia="仿宋_GB2312"/>
                <w:color w:val="000000"/>
                <w:spacing w:val="-2"/>
                <w:szCs w:val="21"/>
              </w:rPr>
              <w:t>、有无其它违反法律、法规、规章的情况：</w:t>
            </w:r>
          </w:p>
          <w:p>
            <w:pPr>
              <w:spacing w:line="240" w:lineRule="exact"/>
              <w:ind w:firstLine="412" w:firstLineChars="200"/>
              <w:rPr>
                <w:rFonts w:eastAsia="仿宋_GB2312"/>
                <w:color w:val="000000"/>
                <w:spacing w:val="-2"/>
                <w:szCs w:val="21"/>
              </w:rPr>
            </w:pPr>
            <w:r>
              <w:rPr>
                <w:rFonts w:hint="eastAsia" w:eastAsia="仿宋_GB2312"/>
                <w:color w:val="000000"/>
                <w:spacing w:val="-2"/>
                <w:szCs w:val="21"/>
              </w:rPr>
              <w:t>□无</w:t>
            </w:r>
            <w:r>
              <w:rPr>
                <w:rFonts w:eastAsia="仿宋_GB2312"/>
                <w:color w:val="000000"/>
                <w:spacing w:val="-2"/>
                <w:szCs w:val="21"/>
              </w:rPr>
              <w:t xml:space="preserve"> </w:t>
            </w:r>
            <w:r>
              <w:rPr>
                <w:rFonts w:hint="eastAsia" w:eastAsia="仿宋_GB2312"/>
                <w:color w:val="000000"/>
                <w:spacing w:val="-2"/>
                <w:szCs w:val="21"/>
              </w:rPr>
              <w:t>□有及依据：</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451" w:type="dxa"/>
            <w:gridSpan w:val="2"/>
            <w:tcBorders>
              <w:top w:val="single" w:color="auto" w:sz="4" w:space="0"/>
              <w:left w:val="single" w:color="auto" w:sz="8" w:space="0"/>
              <w:bottom w:val="single" w:color="auto" w:sz="8" w:space="0"/>
              <w:right w:val="single" w:color="auto" w:sz="4" w:space="0"/>
            </w:tcBorders>
            <w:noWrap w:val="0"/>
            <w:vAlign w:val="top"/>
          </w:tcPr>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hint="eastAsia" w:eastAsia="仿宋_GB2312"/>
                <w:color w:val="000000"/>
                <w:spacing w:val="-2"/>
                <w:szCs w:val="21"/>
              </w:rPr>
              <w:t>核查结论意见：</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r>
              <w:rPr>
                <w:rFonts w:hint="eastAsia" w:eastAsia="仿宋_GB2312"/>
                <w:color w:val="000000"/>
                <w:spacing w:val="-2"/>
                <w:szCs w:val="21"/>
              </w:rPr>
              <w:t>核查组人员：</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tc>
        <w:tc>
          <w:tcPr>
            <w:tcW w:w="4495" w:type="dxa"/>
            <w:gridSpan w:val="3"/>
            <w:tcBorders>
              <w:top w:val="single" w:color="auto" w:sz="4" w:space="0"/>
              <w:left w:val="single" w:color="auto" w:sz="4" w:space="0"/>
              <w:bottom w:val="single" w:color="auto" w:sz="8" w:space="0"/>
              <w:right w:val="single" w:color="auto" w:sz="8" w:space="0"/>
            </w:tcBorders>
            <w:noWrap w:val="0"/>
            <w:vAlign w:val="top"/>
          </w:tcPr>
          <w:p>
            <w:pPr>
              <w:spacing w:line="240" w:lineRule="exact"/>
              <w:ind w:left="87"/>
              <w:rPr>
                <w:rFonts w:eastAsia="仿宋_GB2312"/>
                <w:color w:val="000000"/>
                <w:spacing w:val="-2"/>
                <w:szCs w:val="21"/>
              </w:rPr>
            </w:pPr>
          </w:p>
          <w:p>
            <w:pPr>
              <w:spacing w:line="240" w:lineRule="exact"/>
              <w:ind w:left="87"/>
              <w:rPr>
                <w:rFonts w:eastAsia="仿宋_GB2312"/>
                <w:color w:val="000000"/>
                <w:spacing w:val="-2"/>
                <w:szCs w:val="21"/>
              </w:rPr>
            </w:pPr>
            <w:r>
              <w:rPr>
                <w:rFonts w:hint="eastAsia" w:eastAsia="仿宋_GB2312"/>
                <w:color w:val="000000"/>
                <w:spacing w:val="-2"/>
                <w:szCs w:val="21"/>
              </w:rPr>
              <w:t>被检单位对核查结果的意见：</w:t>
            </w:r>
          </w:p>
          <w:p>
            <w:pPr>
              <w:spacing w:line="240" w:lineRule="exact"/>
              <w:jc w:val="left"/>
              <w:rPr>
                <w:rFonts w:eastAsia="仿宋_GB2312"/>
                <w:color w:val="000000"/>
                <w:spacing w:val="-2"/>
                <w:szCs w:val="21"/>
              </w:rPr>
            </w:pPr>
          </w:p>
          <w:p>
            <w:pPr>
              <w:spacing w:line="240" w:lineRule="exact"/>
              <w:jc w:val="left"/>
              <w:rPr>
                <w:rFonts w:eastAsia="仿宋_GB2312"/>
                <w:color w:val="000000"/>
                <w:spacing w:val="-2"/>
                <w:szCs w:val="21"/>
              </w:rPr>
            </w:pPr>
          </w:p>
          <w:p>
            <w:pPr>
              <w:spacing w:line="240" w:lineRule="exact"/>
              <w:jc w:val="left"/>
              <w:rPr>
                <w:rFonts w:eastAsia="仿宋_GB2312"/>
                <w:color w:val="000000"/>
                <w:spacing w:val="-2"/>
                <w:szCs w:val="21"/>
              </w:rPr>
            </w:pPr>
          </w:p>
          <w:p>
            <w:pPr>
              <w:spacing w:line="240" w:lineRule="exact"/>
              <w:jc w:val="left"/>
              <w:rPr>
                <w:rFonts w:eastAsia="仿宋_GB2312"/>
                <w:color w:val="000000"/>
                <w:spacing w:val="-2"/>
                <w:szCs w:val="21"/>
              </w:rPr>
            </w:pPr>
          </w:p>
          <w:p>
            <w:pPr>
              <w:spacing w:line="240" w:lineRule="exact"/>
              <w:jc w:val="left"/>
              <w:rPr>
                <w:rFonts w:eastAsia="仿宋_GB2312"/>
                <w:color w:val="000000"/>
                <w:spacing w:val="-2"/>
                <w:szCs w:val="21"/>
              </w:rPr>
            </w:pPr>
          </w:p>
          <w:p>
            <w:pPr>
              <w:spacing w:line="240" w:lineRule="exact"/>
              <w:jc w:val="left"/>
              <w:rPr>
                <w:rFonts w:eastAsia="仿宋_GB2312"/>
                <w:color w:val="000000"/>
                <w:spacing w:val="-2"/>
                <w:szCs w:val="21"/>
              </w:rPr>
            </w:pPr>
          </w:p>
          <w:p>
            <w:pPr>
              <w:spacing w:line="240" w:lineRule="exact"/>
              <w:jc w:val="left"/>
              <w:rPr>
                <w:rFonts w:eastAsia="仿宋_GB2312"/>
                <w:color w:val="000000"/>
                <w:spacing w:val="-2"/>
                <w:szCs w:val="21"/>
              </w:rPr>
            </w:pPr>
          </w:p>
          <w:p>
            <w:pPr>
              <w:spacing w:line="240" w:lineRule="exact"/>
              <w:jc w:val="left"/>
              <w:rPr>
                <w:rFonts w:eastAsia="仿宋_GB2312"/>
                <w:color w:val="000000"/>
                <w:spacing w:val="-2"/>
                <w:szCs w:val="21"/>
              </w:rPr>
            </w:pPr>
          </w:p>
          <w:p>
            <w:pPr>
              <w:spacing w:line="240" w:lineRule="exact"/>
              <w:jc w:val="left"/>
              <w:rPr>
                <w:rFonts w:eastAsia="仿宋_GB2312"/>
                <w:color w:val="000000"/>
                <w:spacing w:val="-2"/>
                <w:szCs w:val="21"/>
              </w:rPr>
            </w:pPr>
          </w:p>
          <w:p>
            <w:pPr>
              <w:spacing w:line="240" w:lineRule="exact"/>
              <w:rPr>
                <w:rFonts w:eastAsia="仿宋_GB2312"/>
                <w:color w:val="000000"/>
                <w:spacing w:val="-2"/>
                <w:szCs w:val="21"/>
              </w:rPr>
            </w:pPr>
            <w:r>
              <w:rPr>
                <w:rFonts w:hint="eastAsia" w:eastAsia="仿宋_GB2312"/>
                <w:color w:val="000000"/>
                <w:spacing w:val="-2"/>
                <w:szCs w:val="21"/>
              </w:rPr>
              <w:t>被检单位负责人（或委托代理人）：</w:t>
            </w:r>
          </w:p>
          <w:p>
            <w:pPr>
              <w:spacing w:line="240" w:lineRule="exact"/>
              <w:rPr>
                <w:rFonts w:eastAsia="仿宋_GB2312"/>
                <w:color w:val="000000"/>
                <w:spacing w:val="-2"/>
                <w:szCs w:val="21"/>
              </w:rPr>
            </w:pPr>
          </w:p>
          <w:p>
            <w:pPr>
              <w:spacing w:line="240" w:lineRule="exact"/>
              <w:rPr>
                <w:rFonts w:eastAsia="仿宋_GB2312"/>
                <w:color w:val="000000"/>
                <w:spacing w:val="-2"/>
                <w:szCs w:val="21"/>
              </w:rPr>
            </w:pPr>
          </w:p>
          <w:p>
            <w:pPr>
              <w:spacing w:line="240" w:lineRule="exact"/>
              <w:rPr>
                <w:rFonts w:eastAsia="仿宋_GB2312"/>
                <w:color w:val="000000"/>
                <w:spacing w:val="-2"/>
                <w:szCs w:val="21"/>
              </w:rPr>
            </w:pPr>
          </w:p>
        </w:tc>
      </w:tr>
    </w:tbl>
    <w:p>
      <w:pPr>
        <w:rPr>
          <w:rFonts w:eastAsia="仿宋_GB2312"/>
          <w:color w:val="000000"/>
          <w:spacing w:val="-2"/>
          <w:szCs w:val="21"/>
        </w:rPr>
      </w:pPr>
    </w:p>
    <w:p>
      <w:pPr>
        <w:tabs>
          <w:tab w:val="left" w:pos="9193"/>
          <w:tab w:val="left" w:pos="9827"/>
        </w:tabs>
        <w:autoSpaceDE w:val="0"/>
        <w:autoSpaceDN w:val="0"/>
        <w:snapToGrid w:val="0"/>
        <w:spacing w:line="460" w:lineRule="exact"/>
        <w:rPr>
          <w:rFonts w:eastAsia="方正小标宋_GBK"/>
          <w:snapToGrid w:val="0"/>
          <w:color w:val="000000"/>
          <w:kern w:val="0"/>
          <w:sz w:val="44"/>
        </w:rPr>
      </w:pPr>
      <w:r>
        <w:rPr>
          <w:rFonts w:hint="eastAsia" w:eastAsia="仿宋_GB2312"/>
          <w:color w:val="000000"/>
          <w:spacing w:val="-2"/>
          <w:szCs w:val="21"/>
        </w:rPr>
        <w:t>注：此表按实际核查情况填写，一式三份（被检单位留一份）。</w:t>
      </w:r>
    </w:p>
    <w:p>
      <w:pPr>
        <w:spacing w:line="360" w:lineRule="atLeast"/>
        <w:jc w:val="left"/>
        <w:rPr>
          <w:rFonts w:eastAsia="宋体 ，Arial" w:cs="宋体"/>
          <w:color w:val="000000"/>
          <w:spacing w:val="-2"/>
          <w:kern w:val="0"/>
          <w:sz w:val="24"/>
        </w:rPr>
      </w:pPr>
    </w:p>
    <w:p>
      <w:pPr>
        <w:pStyle w:val="2"/>
        <w:spacing w:before="240" w:beforeLines="100" w:after="240" w:afterLines="100" w:line="240" w:lineRule="auto"/>
        <w:jc w:val="center"/>
        <w:rPr>
          <w:rFonts w:ascii="Times New Roman" w:eastAsia="方正小标宋_GBK"/>
          <w:b w:val="0"/>
          <w:sz w:val="36"/>
          <w:szCs w:val="36"/>
        </w:rPr>
      </w:pPr>
      <w:bookmarkStart w:id="224" w:name="_Toc18315644"/>
      <w:bookmarkStart w:id="225" w:name="_Toc20726261"/>
      <w:r>
        <w:rPr>
          <w:rFonts w:hint="eastAsia" w:ascii="Times New Roman" w:eastAsia="方正小标宋_GBK"/>
          <w:b w:val="0"/>
          <w:sz w:val="36"/>
          <w:szCs w:val="36"/>
        </w:rPr>
        <w:t>省住房城乡建设厅关于印发《江苏省省级抗震加固    专项资金项目绩效自评价办法》的通知</w:t>
      </w:r>
      <w:bookmarkEnd w:id="224"/>
      <w:bookmarkEnd w:id="22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26" w:name="_Toc20726262"/>
      <w:bookmarkStart w:id="227" w:name="_Toc18315645"/>
      <w:r>
        <w:rPr>
          <w:rFonts w:hint="eastAsia" w:ascii="Times New Roman" w:hAnsi="Times New Roman" w:eastAsia="方正楷体_GBK"/>
          <w:b w:val="0"/>
          <w:sz w:val="24"/>
          <w:szCs w:val="24"/>
        </w:rPr>
        <w:t>苏建抗〔</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69</w:t>
      </w:r>
      <w:r>
        <w:rPr>
          <w:rFonts w:hint="eastAsia" w:ascii="Times New Roman" w:hAnsi="Times New Roman" w:eastAsia="方正楷体_GBK"/>
          <w:b w:val="0"/>
          <w:sz w:val="24"/>
          <w:szCs w:val="24"/>
        </w:rPr>
        <w:t>号</w:t>
      </w:r>
      <w:bookmarkEnd w:id="226"/>
      <w:bookmarkEnd w:id="227"/>
    </w:p>
    <w:p>
      <w:pPr>
        <w:spacing w:line="460" w:lineRule="exact"/>
        <w:rPr>
          <w:rFonts w:eastAsia="方正仿宋_GBK"/>
          <w:color w:val="000000"/>
          <w:spacing w:val="-2"/>
          <w:sz w:val="24"/>
        </w:rPr>
      </w:pPr>
      <w:r>
        <w:rPr>
          <w:rFonts w:hint="eastAsia" w:eastAsia="方正仿宋_GBK"/>
          <w:color w:val="000000"/>
          <w:spacing w:val="-2"/>
          <w:sz w:val="24"/>
        </w:rPr>
        <w:t>各市、县（市）建设局（委）：</w:t>
      </w:r>
    </w:p>
    <w:p>
      <w:pPr>
        <w:spacing w:line="460" w:lineRule="exact"/>
        <w:ind w:firstLine="472" w:firstLineChars="200"/>
        <w:rPr>
          <w:rFonts w:eastAsia="方正仿宋_GBK"/>
          <w:color w:val="000000"/>
          <w:spacing w:val="-2"/>
          <w:sz w:val="24"/>
        </w:rPr>
      </w:pPr>
      <w:r>
        <w:rPr>
          <w:rFonts w:hint="eastAsia" w:eastAsia="方正仿宋_GBK"/>
          <w:color w:val="000000"/>
          <w:spacing w:val="-2"/>
          <w:kern w:val="0"/>
          <w:sz w:val="24"/>
        </w:rPr>
        <w:t>为加强江苏省省级抗震加固专项资金绩效管理</w:t>
      </w:r>
      <w:r>
        <w:rPr>
          <w:rFonts w:eastAsia="方正仿宋_GBK"/>
          <w:color w:val="000000"/>
          <w:spacing w:val="-2"/>
          <w:kern w:val="0"/>
          <w:sz w:val="24"/>
        </w:rPr>
        <w:t>,</w:t>
      </w:r>
      <w:r>
        <w:rPr>
          <w:rFonts w:hint="eastAsia" w:eastAsia="方正仿宋_GBK"/>
          <w:color w:val="000000"/>
          <w:spacing w:val="-2"/>
          <w:kern w:val="0"/>
          <w:sz w:val="24"/>
        </w:rPr>
        <w:t>提高财政资金使用效率，保障项目实施达到预期效益，根据省财政厅《江苏省财政专项资金绩效管理办法》（苏财规〔</w:t>
      </w:r>
      <w:r>
        <w:rPr>
          <w:rFonts w:eastAsia="方正仿宋_GBK"/>
          <w:color w:val="000000"/>
          <w:spacing w:val="-2"/>
          <w:kern w:val="0"/>
          <w:sz w:val="24"/>
        </w:rPr>
        <w:t>2010</w:t>
      </w:r>
      <w:r>
        <w:rPr>
          <w:rFonts w:hint="eastAsia" w:eastAsia="方正仿宋_GBK"/>
          <w:color w:val="000000"/>
          <w:spacing w:val="-2"/>
          <w:kern w:val="0"/>
          <w:sz w:val="24"/>
        </w:rPr>
        <w:t>〕</w:t>
      </w:r>
      <w:r>
        <w:rPr>
          <w:rFonts w:eastAsia="方正仿宋_GBK"/>
          <w:color w:val="000000"/>
          <w:spacing w:val="-2"/>
          <w:kern w:val="0"/>
          <w:sz w:val="24"/>
        </w:rPr>
        <w:t>36</w:t>
      </w:r>
      <w:r>
        <w:rPr>
          <w:rFonts w:hint="eastAsia" w:eastAsia="方正仿宋_GBK"/>
          <w:color w:val="000000"/>
          <w:spacing w:val="-2"/>
          <w:kern w:val="0"/>
          <w:sz w:val="24"/>
        </w:rPr>
        <w:t>号）、《江苏省住房城乡建设系统专项资金管理办法》（苏建计〔</w:t>
      </w:r>
      <w:r>
        <w:rPr>
          <w:rFonts w:eastAsia="方正仿宋_GBK"/>
          <w:color w:val="000000"/>
          <w:spacing w:val="-2"/>
          <w:kern w:val="0"/>
          <w:sz w:val="24"/>
        </w:rPr>
        <w:t>2014</w:t>
      </w:r>
      <w:r>
        <w:rPr>
          <w:rFonts w:hint="eastAsia" w:eastAsia="方正仿宋_GBK"/>
          <w:color w:val="000000"/>
          <w:spacing w:val="-2"/>
          <w:kern w:val="0"/>
          <w:sz w:val="24"/>
        </w:rPr>
        <w:t>〕</w:t>
      </w:r>
      <w:r>
        <w:rPr>
          <w:rFonts w:eastAsia="方正仿宋_GBK"/>
          <w:color w:val="000000"/>
          <w:spacing w:val="-2"/>
          <w:kern w:val="0"/>
          <w:sz w:val="24"/>
        </w:rPr>
        <w:t>295</w:t>
      </w:r>
      <w:r>
        <w:rPr>
          <w:rFonts w:hint="eastAsia" w:eastAsia="方正仿宋_GBK"/>
          <w:color w:val="000000"/>
          <w:spacing w:val="-2"/>
          <w:kern w:val="0"/>
          <w:sz w:val="24"/>
        </w:rPr>
        <w:t>号）、《省级城镇基础设施建设引导资金管理暂行办法》（苏财规〔</w:t>
      </w:r>
      <w:r>
        <w:rPr>
          <w:rFonts w:eastAsia="方正仿宋_GBK"/>
          <w:color w:val="000000"/>
          <w:spacing w:val="-2"/>
          <w:kern w:val="0"/>
          <w:sz w:val="24"/>
        </w:rPr>
        <w:t>2014</w:t>
      </w:r>
      <w:r>
        <w:rPr>
          <w:rFonts w:hint="eastAsia" w:eastAsia="方正仿宋_GBK"/>
          <w:color w:val="000000"/>
          <w:spacing w:val="-2"/>
          <w:kern w:val="0"/>
          <w:sz w:val="24"/>
        </w:rPr>
        <w:t>〕</w:t>
      </w:r>
      <w:r>
        <w:rPr>
          <w:rFonts w:eastAsia="方正仿宋_GBK"/>
          <w:color w:val="000000"/>
          <w:spacing w:val="-2"/>
          <w:kern w:val="0"/>
          <w:sz w:val="24"/>
        </w:rPr>
        <w:t>26</w:t>
      </w:r>
      <w:r>
        <w:rPr>
          <w:rFonts w:hint="eastAsia" w:eastAsia="方正仿宋_GBK"/>
          <w:color w:val="000000"/>
          <w:spacing w:val="-2"/>
          <w:kern w:val="0"/>
          <w:sz w:val="24"/>
        </w:rPr>
        <w:t>号）等规定，制定了《江苏省省级抗震加固专项资金项目绩效自评价办法》，现印发给你们</w:t>
      </w:r>
      <w:r>
        <w:rPr>
          <w:rFonts w:hint="eastAsia" w:eastAsia="方正仿宋_GBK"/>
          <w:color w:val="000000"/>
          <w:spacing w:val="-2"/>
          <w:sz w:val="24"/>
        </w:rPr>
        <w:t>，请遵照执行。执行中如有问题，请及时联系省住房和城乡建设厅负责抗震管理的处室。</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附件：江苏省省级抗震加固专项资金项目绩效自评价办法</w:t>
      </w:r>
    </w:p>
    <w:p>
      <w:pPr>
        <w:spacing w:line="460" w:lineRule="exact"/>
        <w:rPr>
          <w:rFonts w:eastAsia="方正仿宋_GBK"/>
          <w:color w:val="000000"/>
          <w:spacing w:val="-2"/>
          <w:sz w:val="24"/>
        </w:rPr>
      </w:pPr>
    </w:p>
    <w:p>
      <w:pPr>
        <w:spacing w:line="460" w:lineRule="exact"/>
        <w:ind w:right="640"/>
        <w:jc w:val="righ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省住房和城乡建设厅</w:t>
      </w:r>
      <w:r>
        <w:rPr>
          <w:rFonts w:eastAsia="方正仿宋_GBK"/>
          <w:color w:val="000000"/>
          <w:spacing w:val="-2"/>
          <w:sz w:val="24"/>
        </w:rPr>
        <w:t xml:space="preserve">     </w:t>
      </w:r>
    </w:p>
    <w:p>
      <w:pPr>
        <w:spacing w:line="460" w:lineRule="exact"/>
        <w:ind w:right="817" w:rightChars="389"/>
        <w:jc w:val="right"/>
        <w:rPr>
          <w:rFonts w:eastAsia="方正仿宋_GBK"/>
          <w:color w:val="000000"/>
          <w:spacing w:val="-2"/>
          <w:sz w:val="24"/>
        </w:rPr>
      </w:pPr>
      <w:r>
        <w:rPr>
          <w:rFonts w:eastAsia="方正仿宋_GBK"/>
          <w:color w:val="000000"/>
          <w:spacing w:val="-2"/>
          <w:sz w:val="24"/>
        </w:rPr>
        <w:t> 2015</w:t>
      </w:r>
      <w:r>
        <w:rPr>
          <w:rFonts w:hint="eastAsia" w:eastAsia="方正仿宋_GBK"/>
          <w:color w:val="000000"/>
          <w:spacing w:val="-2"/>
          <w:sz w:val="24"/>
        </w:rPr>
        <w:t>年</w:t>
      </w:r>
      <w:r>
        <w:rPr>
          <w:rFonts w:eastAsia="方正仿宋_GBK"/>
          <w:color w:val="000000"/>
          <w:spacing w:val="-2"/>
          <w:sz w:val="24"/>
        </w:rPr>
        <w:t>2</w:t>
      </w:r>
      <w:r>
        <w:rPr>
          <w:rFonts w:hint="eastAsia" w:eastAsia="方正仿宋_GBK"/>
          <w:color w:val="000000"/>
          <w:spacing w:val="-2"/>
          <w:sz w:val="24"/>
        </w:rPr>
        <w:t>月</w:t>
      </w:r>
      <w:r>
        <w:rPr>
          <w:rFonts w:eastAsia="方正仿宋_GBK"/>
          <w:color w:val="000000"/>
          <w:spacing w:val="-2"/>
          <w:sz w:val="24"/>
        </w:rPr>
        <w:t>11</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jc w:val="left"/>
        <w:rPr>
          <w:rFonts w:eastAsia="方正仿宋_GBK"/>
          <w:color w:val="000000"/>
          <w:spacing w:val="-2"/>
          <w:sz w:val="24"/>
        </w:rPr>
      </w:pPr>
    </w:p>
    <w:p>
      <w:pPr>
        <w:spacing w:line="460" w:lineRule="exact"/>
        <w:rPr>
          <w:rFonts w:eastAsia="方正仿宋_GBK"/>
          <w:color w:val="000000"/>
          <w:spacing w:val="-2"/>
          <w:kern w:val="0"/>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江苏省省级抗震加固专项资金</w:t>
      </w: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项目绩效自评价办法</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为加强江苏省省级抗震加固专项资金绩效管理</w:t>
      </w:r>
      <w:r>
        <w:rPr>
          <w:rFonts w:eastAsia="方正仿宋_GBK"/>
          <w:color w:val="000000"/>
          <w:spacing w:val="-2"/>
          <w:sz w:val="24"/>
        </w:rPr>
        <w:t>,</w:t>
      </w:r>
      <w:r>
        <w:rPr>
          <w:rFonts w:hint="eastAsia" w:eastAsia="方正仿宋_GBK"/>
          <w:color w:val="000000"/>
          <w:spacing w:val="-2"/>
          <w:kern w:val="0"/>
          <w:sz w:val="24"/>
        </w:rPr>
        <w:t>提高财政资金使用效率，保障项目实施达到预期效益，</w:t>
      </w:r>
      <w:r>
        <w:rPr>
          <w:rFonts w:hint="eastAsia" w:eastAsia="方正仿宋_GBK"/>
          <w:color w:val="000000"/>
          <w:spacing w:val="-2"/>
          <w:sz w:val="24"/>
        </w:rPr>
        <w:t>根据省财政厅《江苏省财政专项资金绩效管理办法》（苏财规〔</w:t>
      </w:r>
      <w:r>
        <w:rPr>
          <w:rFonts w:eastAsia="方正仿宋_GBK"/>
          <w:color w:val="000000"/>
          <w:spacing w:val="-2"/>
          <w:sz w:val="24"/>
        </w:rPr>
        <w:t>2010</w:t>
      </w:r>
      <w:r>
        <w:rPr>
          <w:rFonts w:hint="eastAsia" w:eastAsia="方正仿宋_GBK"/>
          <w:color w:val="000000"/>
          <w:spacing w:val="-2"/>
          <w:sz w:val="24"/>
        </w:rPr>
        <w:t>〕</w:t>
      </w:r>
      <w:r>
        <w:rPr>
          <w:rFonts w:eastAsia="方正仿宋_GBK"/>
          <w:color w:val="000000"/>
          <w:spacing w:val="-2"/>
          <w:sz w:val="24"/>
        </w:rPr>
        <w:t>36</w:t>
      </w:r>
      <w:r>
        <w:rPr>
          <w:rFonts w:hint="eastAsia" w:eastAsia="方正仿宋_GBK"/>
          <w:color w:val="000000"/>
          <w:spacing w:val="-2"/>
          <w:sz w:val="24"/>
        </w:rPr>
        <w:t>号）、《江苏省住房城乡建设系统专项资金管理办法》（苏建计〔</w:t>
      </w:r>
      <w:r>
        <w:rPr>
          <w:rFonts w:eastAsia="方正仿宋_GBK"/>
          <w:color w:val="000000"/>
          <w:spacing w:val="-2"/>
          <w:sz w:val="24"/>
        </w:rPr>
        <w:t>2014</w:t>
      </w:r>
      <w:r>
        <w:rPr>
          <w:rFonts w:hint="eastAsia" w:eastAsia="方正仿宋_GBK"/>
          <w:color w:val="000000"/>
          <w:spacing w:val="-2"/>
          <w:sz w:val="24"/>
        </w:rPr>
        <w:t>〕</w:t>
      </w:r>
      <w:r>
        <w:rPr>
          <w:rFonts w:eastAsia="方正仿宋_GBK"/>
          <w:color w:val="000000"/>
          <w:spacing w:val="-2"/>
          <w:sz w:val="24"/>
        </w:rPr>
        <w:t>295</w:t>
      </w:r>
      <w:r>
        <w:rPr>
          <w:rFonts w:hint="eastAsia" w:eastAsia="方正仿宋_GBK"/>
          <w:color w:val="000000"/>
          <w:spacing w:val="-2"/>
          <w:sz w:val="24"/>
        </w:rPr>
        <w:t>号）、《省级城镇基础设施建设引导资金管理暂行办法》（苏财规〔</w:t>
      </w:r>
      <w:r>
        <w:rPr>
          <w:rFonts w:eastAsia="方正仿宋_GBK"/>
          <w:color w:val="000000"/>
          <w:spacing w:val="-2"/>
          <w:sz w:val="24"/>
        </w:rPr>
        <w:t>2014</w:t>
      </w:r>
      <w:r>
        <w:rPr>
          <w:rFonts w:hint="eastAsia" w:eastAsia="方正仿宋_GBK"/>
          <w:color w:val="000000"/>
          <w:spacing w:val="-2"/>
          <w:sz w:val="24"/>
        </w:rPr>
        <w:t>〕</w:t>
      </w:r>
      <w:r>
        <w:rPr>
          <w:rFonts w:eastAsia="方正仿宋_GBK"/>
          <w:color w:val="000000"/>
          <w:spacing w:val="-2"/>
          <w:sz w:val="24"/>
        </w:rPr>
        <w:t>26</w:t>
      </w:r>
      <w:r>
        <w:rPr>
          <w:rFonts w:hint="eastAsia" w:eastAsia="方正仿宋_GBK"/>
          <w:color w:val="000000"/>
          <w:spacing w:val="-2"/>
          <w:sz w:val="24"/>
        </w:rPr>
        <w:t>号）等规定，制定本办法。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年度省级抗震加固专项资金项目均需进行绩效自评价。本年度省级抗震加固专项资金项目应在下一年度专项资金申报日期截止前完成，未完成的地区不予申报下一年度专项资金项目。</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省住房和城乡建设厅负责全省省级抗震加固专项资金项目绩效自评价监督管理。省住房和城乡建设厅负责抗震管理的处室具体实施省级单位的专项资金项目绩效自评价工作</w:t>
      </w:r>
      <w:r>
        <w:rPr>
          <w:rFonts w:eastAsia="方正仿宋_GBK"/>
          <w:color w:val="000000"/>
          <w:spacing w:val="-2"/>
          <w:sz w:val="24"/>
        </w:rPr>
        <w:t>,</w:t>
      </w:r>
      <w:r>
        <w:rPr>
          <w:rFonts w:hint="eastAsia" w:eastAsia="方正仿宋_GBK"/>
          <w:color w:val="000000"/>
          <w:spacing w:val="-2"/>
          <w:sz w:val="24"/>
        </w:rPr>
        <w:t>省辖市建设局（委）负责抗震管理的处室具体实施本地区省级抗震加固专项资金项目绩效自评价工作。</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绩效自评价工作依照科学规范、简明实用、公正公开的原则。</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市、县（市）建设局（委）采取项目跟踪、信息录入反映序时进度的方式，督促项目实施单位于每季度末及时将《专项资金项目实施情况季报表》</w:t>
      </w:r>
      <w:r>
        <w:rPr>
          <w:rFonts w:eastAsia="方正仿宋_GBK"/>
          <w:color w:val="000000"/>
          <w:spacing w:val="-2"/>
          <w:sz w:val="24"/>
        </w:rPr>
        <w:t>(</w:t>
      </w:r>
      <w:r>
        <w:rPr>
          <w:rFonts w:hint="eastAsia" w:eastAsia="方正仿宋_GBK"/>
          <w:color w:val="000000"/>
          <w:spacing w:val="-2"/>
          <w:sz w:val="24"/>
        </w:rPr>
        <w:t>附件</w:t>
      </w:r>
      <w:r>
        <w:rPr>
          <w:rFonts w:eastAsia="方正仿宋_GBK"/>
          <w:color w:val="000000"/>
          <w:spacing w:val="-2"/>
          <w:sz w:val="24"/>
        </w:rPr>
        <w:t>1)</w:t>
      </w:r>
      <w:r>
        <w:rPr>
          <w:rFonts w:hint="eastAsia" w:eastAsia="方正仿宋_GBK"/>
          <w:color w:val="000000"/>
          <w:spacing w:val="-2"/>
          <w:sz w:val="24"/>
        </w:rPr>
        <w:t>信息录入</w:t>
      </w:r>
      <w:r>
        <w:rPr>
          <w:rFonts w:eastAsia="方正仿宋_GBK"/>
          <w:color w:val="000000"/>
          <w:spacing w:val="-2"/>
          <w:sz w:val="24"/>
        </w:rPr>
        <w:t>“</w:t>
      </w:r>
      <w:r>
        <w:rPr>
          <w:rFonts w:hint="eastAsia" w:eastAsia="方正仿宋_GBK"/>
          <w:color w:val="000000"/>
          <w:spacing w:val="-2"/>
          <w:sz w:val="24"/>
        </w:rPr>
        <w:t>江苏省住房城乡建设专项资金监管系统</w:t>
      </w:r>
      <w:r>
        <w:rPr>
          <w:rFonts w:eastAsia="方正仿宋_GBK"/>
          <w:color w:val="000000"/>
          <w:spacing w:val="-2"/>
          <w:sz w:val="24"/>
        </w:rPr>
        <w:t>”——</w:t>
      </w:r>
      <w:r>
        <w:rPr>
          <w:rFonts w:hint="eastAsia" w:eastAsia="方正仿宋_GBK"/>
          <w:color w:val="000000"/>
          <w:spacing w:val="-2"/>
          <w:sz w:val="24"/>
        </w:rPr>
        <w:t>实施管理阶段</w:t>
      </w:r>
      <w:r>
        <w:rPr>
          <w:rFonts w:eastAsia="方正仿宋_GBK"/>
          <w:color w:val="000000"/>
          <w:spacing w:val="-2"/>
          <w:sz w:val="24"/>
        </w:rPr>
        <w:t xml:space="preserve">, </w:t>
      </w:r>
      <w:r>
        <w:rPr>
          <w:rFonts w:hint="eastAsia" w:eastAsia="方正仿宋_GBK"/>
          <w:color w:val="000000"/>
          <w:spacing w:val="-2"/>
          <w:sz w:val="24"/>
        </w:rPr>
        <w:t>动态地了解和掌握项目实施过程和实现程度。</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绩效自评价的主要内容：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（一）项目实施结果评价，包括项目按申报内容实施情况等；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（二）项目实施效果评价，包括项目产生的示范作用等。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具体评价内容和分值详见附件。</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开展绩效自评价的工作程序：</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（一）省级抗震加固专项资金项目完成后，项目实施单位组织验收，合格后向所在地省辖市建设局（委）提出项目绩效自评价申请，并提供所需资料；同时，相关信息录入</w:t>
      </w:r>
      <w:r>
        <w:rPr>
          <w:rFonts w:eastAsia="方正仿宋_GBK"/>
          <w:color w:val="000000"/>
          <w:spacing w:val="-2"/>
          <w:sz w:val="24"/>
        </w:rPr>
        <w:t>“</w:t>
      </w:r>
      <w:r>
        <w:rPr>
          <w:rFonts w:hint="eastAsia" w:eastAsia="方正仿宋_GBK"/>
          <w:color w:val="000000"/>
          <w:spacing w:val="-2"/>
          <w:sz w:val="24"/>
        </w:rPr>
        <w:t>江苏省住房城乡建设专项资金监管系统</w:t>
      </w:r>
      <w:r>
        <w:rPr>
          <w:rFonts w:eastAsia="方正仿宋_GBK"/>
          <w:color w:val="000000"/>
          <w:spacing w:val="-2"/>
          <w:sz w:val="24"/>
        </w:rPr>
        <w:t>”——</w:t>
      </w:r>
      <w:r>
        <w:rPr>
          <w:rFonts w:hint="eastAsia" w:eastAsia="方正仿宋_GBK"/>
          <w:color w:val="000000"/>
          <w:spacing w:val="-2"/>
          <w:sz w:val="24"/>
        </w:rPr>
        <w:t>验收管理阶段。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应急避难场所项目验收和绩效自评价可一并实施。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省辖市建设局（委）组织评价专家到项目现场考核评价、对照打分表综合打分，形成初步评价结果。省级单位实施的专项资金项目由省住房和城乡建设厅负责抗震管理的处室直接组织专家进行考核评价、综合打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（三）省辖市建设局（委）撰写绩效自评价报告并附考核打分表，提交省住房和城乡建设厅负责抗震管理的处室审核。</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绩效自评价报告内容包括：项目基本概况、绩效自评价工作的组织实施、绩效自评价结果、问题及建议等。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（四）省住房和城乡建设厅负责抗震管理的处室对各地专项资金项目绩效自评价结果进行复核，对绩效自评价工作进行抽查。</w:t>
      </w:r>
    </w:p>
    <w:p>
      <w:pPr>
        <w:spacing w:line="460" w:lineRule="exact"/>
        <w:ind w:firstLine="590" w:firstLineChars="25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五</w:t>
      </w:r>
      <w:r>
        <w:rPr>
          <w:rFonts w:eastAsia="方正仿宋_GBK"/>
          <w:color w:val="000000"/>
          <w:spacing w:val="-2"/>
          <w:sz w:val="24"/>
        </w:rPr>
        <w:t>)</w:t>
      </w:r>
      <w:r>
        <w:rPr>
          <w:rFonts w:hint="eastAsia" w:eastAsia="方正仿宋_GBK"/>
          <w:color w:val="000000"/>
          <w:spacing w:val="-2"/>
          <w:sz w:val="24"/>
        </w:rPr>
        <w:t>省住房和城乡建设厅负责抗震管理的处室在总结全省抗震加固专项资金项目绩效自评价工作的基础上，编制省级抗震加固专项资金年度自评价报告。</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申请绩效自评价需提供的资料</w:t>
      </w:r>
      <w:r>
        <w:rPr>
          <w:rFonts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（一）申报专项资金时的报送材料；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（二）项目自述材料</w:t>
      </w:r>
      <w:r>
        <w:rPr>
          <w:rFonts w:eastAsia="方正仿宋_GBK"/>
          <w:color w:val="000000"/>
          <w:spacing w:val="-2"/>
          <w:sz w:val="24"/>
        </w:rPr>
        <w:t>(</w:t>
      </w:r>
      <w:r>
        <w:rPr>
          <w:rFonts w:hint="eastAsia" w:eastAsia="方正仿宋_GBK"/>
          <w:color w:val="000000"/>
          <w:spacing w:val="-2"/>
          <w:sz w:val="24"/>
        </w:rPr>
        <w:t>主要是申报内容完成情况、实施效果</w:t>
      </w:r>
      <w:r>
        <w:rPr>
          <w:rFonts w:eastAsia="方正仿宋_GBK"/>
          <w:color w:val="000000"/>
          <w:spacing w:val="-2"/>
          <w:sz w:val="24"/>
        </w:rPr>
        <w:t>)</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（三）各季度《专项资金项目实施情况季度报表》；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（四）项目实施经费情况报告（附台账）；</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（五）工程实施过程的照片（电子版）。</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绩效自评价结果实行量化评分，量化分值为百分制（自评价表详见附件</w:t>
      </w:r>
      <w:r>
        <w:rPr>
          <w:rFonts w:eastAsia="方正仿宋_GBK"/>
          <w:color w:val="000000"/>
          <w:spacing w:val="-2"/>
          <w:sz w:val="24"/>
        </w:rPr>
        <w:t>2</w:t>
      </w:r>
      <w:r>
        <w:rPr>
          <w:rFonts w:hint="eastAsia" w:eastAsia="方正仿宋_GBK"/>
          <w:color w:val="000000"/>
          <w:spacing w:val="-2"/>
          <w:sz w:val="24"/>
        </w:rPr>
        <w:t>）。绩效自评价等级标准分为：优秀、合格、不合格三个等级。评分</w:t>
      </w:r>
      <w:r>
        <w:rPr>
          <w:rFonts w:eastAsia="方正仿宋_GBK"/>
          <w:color w:val="000000"/>
          <w:spacing w:val="-2"/>
          <w:sz w:val="24"/>
        </w:rPr>
        <w:t>90</w:t>
      </w:r>
      <w:r>
        <w:rPr>
          <w:rFonts w:hint="eastAsia" w:eastAsia="方正仿宋_GBK"/>
          <w:color w:val="000000"/>
          <w:spacing w:val="-2"/>
          <w:sz w:val="24"/>
        </w:rPr>
        <w:t>分以上为优秀；</w:t>
      </w:r>
      <w:r>
        <w:rPr>
          <w:rFonts w:eastAsia="方正仿宋_GBK"/>
          <w:color w:val="000000"/>
          <w:spacing w:val="-2"/>
          <w:sz w:val="24"/>
        </w:rPr>
        <w:t>80-90</w:t>
      </w:r>
      <w:r>
        <w:rPr>
          <w:rFonts w:hint="eastAsia" w:eastAsia="方正仿宋_GBK"/>
          <w:color w:val="000000"/>
          <w:spacing w:val="-2"/>
          <w:sz w:val="24"/>
        </w:rPr>
        <w:t>分为合格；低于</w:t>
      </w:r>
      <w:r>
        <w:rPr>
          <w:rFonts w:eastAsia="方正仿宋_GBK"/>
          <w:color w:val="000000"/>
          <w:spacing w:val="-2"/>
          <w:sz w:val="24"/>
        </w:rPr>
        <w:t>80</w:t>
      </w:r>
      <w:r>
        <w:rPr>
          <w:rFonts w:hint="eastAsia" w:eastAsia="方正仿宋_GBK"/>
          <w:color w:val="000000"/>
          <w:spacing w:val="-2"/>
          <w:sz w:val="24"/>
        </w:rPr>
        <w:t>分为不合格。</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color w:val="000000"/>
          <w:spacing w:val="-2"/>
          <w:sz w:val="24"/>
        </w:rPr>
        <w:t xml:space="preserve">  </w:t>
      </w:r>
      <w:r>
        <w:rPr>
          <w:rFonts w:hint="eastAsia" w:eastAsia="方正仿宋_GBK"/>
          <w:color w:val="000000"/>
          <w:spacing w:val="-2"/>
          <w:sz w:val="24"/>
        </w:rPr>
        <w:t>绩效自评价结果运用：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（一）项目绩效自评价为优秀的地区，优先支持下一年度专项资金项目申报。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（二）项目绩效自评价结果不合格的，各地住房城乡建设主管部门责令其限期整改；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（三）未按要求及时报送绩效自评价报告的地区，取消申报下一年度省级专项资金项目资格。</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（四）因项目单位失信导致未按申报内容实施，项目不能达到预期绩效目标的，调整或收回已拨付的省级专项补助资金，并向所在地人民政府通报该失信行为。</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省住房城乡建设厅建立绩效自评价档案制度，项目绩效自评价结果作为下一年度专项资金预算安排的重要依据。</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绩效自评价结果在一定范围内公开发布或公示，接受社会公众监督。</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本办法由省住房城乡建设厅负责解释。</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本办法自颁布之日起实施。</w:t>
      </w:r>
    </w:p>
    <w:p>
      <w:pPr>
        <w:spacing w:line="460" w:lineRule="exact"/>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1. </w:t>
      </w:r>
      <w:r>
        <w:rPr>
          <w:rFonts w:hint="eastAsia" w:eastAsia="方正仿宋_GBK"/>
          <w:color w:val="000000"/>
          <w:spacing w:val="-2"/>
          <w:sz w:val="24"/>
        </w:rPr>
        <w:t>专项资金项目实施情况季度报表</w:t>
      </w:r>
    </w:p>
    <w:p>
      <w:pPr>
        <w:spacing w:line="460" w:lineRule="exact"/>
        <w:ind w:firstLine="944" w:firstLineChars="400"/>
        <w:rPr>
          <w:rFonts w:eastAsia="方正仿宋_GBK"/>
          <w:color w:val="000000"/>
          <w:spacing w:val="-2"/>
          <w:sz w:val="24"/>
        </w:rPr>
      </w:pPr>
      <w:r>
        <w:rPr>
          <w:rFonts w:eastAsia="方正仿宋_GBK"/>
          <w:color w:val="000000"/>
          <w:spacing w:val="-2"/>
          <w:sz w:val="24"/>
        </w:rPr>
        <w:t xml:space="preserve">  2. </w:t>
      </w:r>
      <w:r>
        <w:rPr>
          <w:rFonts w:hint="eastAsia" w:eastAsia="方正仿宋_GBK"/>
          <w:color w:val="000000"/>
          <w:spacing w:val="-2"/>
          <w:sz w:val="24"/>
        </w:rPr>
        <w:t>专项资金项目绩效自评价表</w:t>
      </w:r>
    </w:p>
    <w:p>
      <w:pPr>
        <w:spacing w:line="460" w:lineRule="exac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附件1：</w:t>
      </w:r>
    </w:p>
    <w:p>
      <w:pPr>
        <w:spacing w:line="560" w:lineRule="exact"/>
        <w:jc w:val="center"/>
        <w:rPr>
          <w:rFonts w:hint="eastAsia" w:ascii="Times New Roman" w:eastAsia="方正黑体_GBK"/>
          <w:color w:val="000000"/>
          <w:spacing w:val="-2"/>
          <w:sz w:val="28"/>
          <w:szCs w:val="28"/>
        </w:rPr>
      </w:pPr>
      <w:r>
        <w:rPr>
          <w:rFonts w:hint="eastAsia" w:ascii="Times New Roman" w:eastAsia="方正黑体_GBK"/>
          <w:color w:val="000000"/>
          <w:spacing w:val="-2"/>
          <w:sz w:val="28"/>
          <w:szCs w:val="28"/>
        </w:rPr>
        <w:t>省级抗震加固专项资金项目实施情况第</w:t>
      </w:r>
      <w:r>
        <w:rPr>
          <w:rFonts w:hint="eastAsia" w:ascii="Times New Roman" w:eastAsia="方正黑体_GBK"/>
          <w:color w:val="000000"/>
          <w:spacing w:val="-2"/>
          <w:sz w:val="28"/>
          <w:szCs w:val="28"/>
          <w:u w:val="single"/>
        </w:rPr>
        <w:t xml:space="preserve">    </w:t>
      </w:r>
      <w:r>
        <w:rPr>
          <w:rFonts w:hint="eastAsia" w:ascii="Times New Roman" w:eastAsia="方正黑体_GBK"/>
          <w:color w:val="000000"/>
          <w:spacing w:val="-2"/>
          <w:sz w:val="28"/>
          <w:szCs w:val="28"/>
        </w:rPr>
        <w:t>季度报表</w:t>
      </w:r>
    </w:p>
    <w:p>
      <w:pPr>
        <w:spacing w:after="120" w:afterLines="50" w:line="560" w:lineRule="exact"/>
        <w:rPr>
          <w:rFonts w:hint="eastAsia" w:eastAsia="方正仿宋_GBK"/>
          <w:color w:val="000000"/>
          <w:spacing w:val="-2"/>
          <w:sz w:val="24"/>
          <w:u w:val="single"/>
        </w:rPr>
      </w:pPr>
      <w:r>
        <w:rPr>
          <w:rFonts w:hint="eastAsia" w:eastAsia="方正仿宋_GBK"/>
          <w:color w:val="000000"/>
          <w:spacing w:val="-2"/>
          <w:sz w:val="24"/>
        </w:rPr>
        <w:t>项目类型：</w:t>
      </w:r>
      <w:r>
        <w:rPr>
          <w:rFonts w:hint="eastAsia" w:eastAsia="方正仿宋_GBK"/>
          <w:color w:val="000000"/>
          <w:spacing w:val="-2"/>
          <w:sz w:val="24"/>
          <w:u w:val="single"/>
        </w:rPr>
        <w:t>　　　　　</w:t>
      </w:r>
      <w:r>
        <w:rPr>
          <w:rFonts w:eastAsia="方正仿宋_GBK"/>
          <w:color w:val="000000"/>
          <w:spacing w:val="-2"/>
          <w:sz w:val="24"/>
          <w:u w:val="single"/>
        </w:rPr>
        <w:t xml:space="preserve">    </w:t>
      </w:r>
      <w:r>
        <w:rPr>
          <w:rFonts w:hint="eastAsia" w:eastAsia="方正仿宋_GBK"/>
          <w:color w:val="000000"/>
          <w:spacing w:val="-2"/>
          <w:sz w:val="24"/>
          <w:u w:val="single"/>
        </w:rPr>
        <w:t>　</w:t>
      </w:r>
      <w:r>
        <w:rPr>
          <w:rFonts w:hint="eastAsia" w:eastAsia="方正仿宋_GBK"/>
          <w:color w:val="000000"/>
          <w:spacing w:val="-2"/>
          <w:sz w:val="24"/>
        </w:rPr>
        <w:t>　　　　　　　　　　　　　　　</w:t>
      </w:r>
    </w:p>
    <w:tbl>
      <w:tblPr>
        <w:tblStyle w:val="12"/>
        <w:tblpPr w:leftFromText="180" w:rightFromText="180" w:vertAnchor="text" w:tblpX="48" w:tblpY="1"/>
        <w:tblOverlap w:val="never"/>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028"/>
        <w:gridCol w:w="676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028" w:type="dxa"/>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 w:val="24"/>
              </w:rPr>
            </w:pPr>
            <w:r>
              <w:rPr>
                <w:rFonts w:hint="eastAsia" w:eastAsia="方正仿宋_GBK"/>
                <w:color w:val="000000"/>
                <w:spacing w:val="-2"/>
                <w:sz w:val="24"/>
              </w:rPr>
              <w:t>项目名称</w:t>
            </w:r>
          </w:p>
        </w:tc>
        <w:tc>
          <w:tcPr>
            <w:tcW w:w="6760" w:type="dxa"/>
            <w:tcBorders>
              <w:top w:val="single" w:color="auto" w:sz="8"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02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 w:val="24"/>
              </w:rPr>
            </w:pPr>
            <w:r>
              <w:rPr>
                <w:rFonts w:hint="eastAsia" w:eastAsia="方正仿宋_GBK"/>
                <w:color w:val="000000"/>
                <w:spacing w:val="-2"/>
                <w:sz w:val="24"/>
              </w:rPr>
              <w:t>项目实施单位</w:t>
            </w:r>
          </w:p>
        </w:tc>
        <w:tc>
          <w:tcPr>
            <w:tcW w:w="676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43" w:hRule="atLeast"/>
        </w:trPr>
        <w:tc>
          <w:tcPr>
            <w:tcW w:w="2028"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 w:val="24"/>
              </w:rPr>
            </w:pPr>
            <w:r>
              <w:rPr>
                <w:rFonts w:hint="eastAsia" w:eastAsia="方正仿宋_GBK"/>
                <w:color w:val="000000"/>
                <w:spacing w:val="-2"/>
                <w:sz w:val="24"/>
              </w:rPr>
              <w:t>项目实施情况</w:t>
            </w:r>
          </w:p>
          <w:p>
            <w:pPr>
              <w:jc w:val="center"/>
              <w:rPr>
                <w:rFonts w:eastAsia="方正仿宋_GBK"/>
                <w:color w:val="000000"/>
                <w:spacing w:val="-2"/>
                <w:szCs w:val="21"/>
              </w:rPr>
            </w:pPr>
            <w:r>
              <w:rPr>
                <w:rFonts w:hint="eastAsia" w:eastAsia="方正仿宋_GBK"/>
                <w:color w:val="000000"/>
                <w:spacing w:val="-2"/>
                <w:szCs w:val="21"/>
              </w:rPr>
              <w:t>（本栏填写项目工程的进展情况）</w:t>
            </w:r>
          </w:p>
        </w:tc>
        <w:tc>
          <w:tcPr>
            <w:tcW w:w="6760"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 w:val="24"/>
              </w:rPr>
            </w:pP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项目已立项</w:t>
            </w:r>
            <w:r>
              <w:rPr>
                <w:rFonts w:eastAsia="方正仿宋_GBK"/>
                <w:color w:val="000000"/>
                <w:spacing w:val="-2"/>
                <w:sz w:val="24"/>
              </w:rPr>
              <w:t xml:space="preserve">                  </w:t>
            </w: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通过施工图专项审查</w:t>
            </w:r>
          </w:p>
          <w:p>
            <w:pPr>
              <w:rPr>
                <w:rFonts w:eastAsia="方正仿宋_GBK"/>
                <w:color w:val="000000"/>
                <w:spacing w:val="-2"/>
                <w:sz w:val="24"/>
              </w:rPr>
            </w:pP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工程已经开始施工</w:t>
            </w:r>
            <w:r>
              <w:rPr>
                <w:rFonts w:eastAsia="方正仿宋_GBK"/>
                <w:color w:val="000000"/>
                <w:spacing w:val="-2"/>
                <w:sz w:val="24"/>
              </w:rPr>
              <w:t xml:space="preserve">           </w:t>
            </w:r>
            <w:r>
              <w:rPr>
                <w:rFonts w:hint="eastAsia" w:ascii="Times New Roman" w:hAnsi="Times New Roman"/>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专项工程验收</w:t>
            </w:r>
          </w:p>
          <w:p>
            <w:pPr>
              <w:rPr>
                <w:rFonts w:eastAsia="方正仿宋_GBK"/>
                <w:color w:val="000000"/>
                <w:spacing w:val="-2"/>
                <w:sz w:val="24"/>
              </w:rPr>
            </w:pPr>
            <w:r>
              <w:rPr>
                <w:rFonts w:hint="eastAsia" w:ascii="Times New Roman" w:hAnsi="Times New Roman"/>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工程竣工验收</w:t>
            </w:r>
            <w:r>
              <w:rPr>
                <w:rFonts w:eastAsia="方正仿宋_GBK"/>
                <w:color w:val="000000"/>
                <w:spacing w:val="-2"/>
                <w:sz w:val="24"/>
              </w:rPr>
              <w:t xml:space="preserve">                </w:t>
            </w: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已申请验收</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5" w:hRule="atLeast"/>
        </w:trPr>
        <w:tc>
          <w:tcPr>
            <w:tcW w:w="202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6760" w:type="dxa"/>
            <w:tcBorders>
              <w:top w:val="single" w:color="auto" w:sz="4" w:space="0"/>
              <w:left w:val="single" w:color="auto" w:sz="4" w:space="0"/>
              <w:bottom w:val="single" w:color="auto" w:sz="4" w:space="0"/>
              <w:right w:val="single" w:color="auto" w:sz="8" w:space="0"/>
            </w:tcBorders>
            <w:noWrap w:val="0"/>
            <w:vAlign w:val="top"/>
          </w:tcPr>
          <w:p>
            <w:pPr>
              <w:rPr>
                <w:rFonts w:eastAsia="方正仿宋_GBK"/>
                <w:color w:val="000000"/>
                <w:spacing w:val="-2"/>
                <w:sz w:val="24"/>
              </w:rPr>
            </w:pPr>
            <w:r>
              <w:rPr>
                <w:rFonts w:hint="eastAsia" w:eastAsia="方正仿宋_GBK"/>
                <w:color w:val="000000"/>
                <w:spacing w:val="-2"/>
                <w:sz w:val="24"/>
              </w:rPr>
              <w:t>简要说明：</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4" w:hRule="atLeast"/>
        </w:trPr>
        <w:tc>
          <w:tcPr>
            <w:tcW w:w="202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 w:val="24"/>
              </w:rPr>
            </w:pPr>
            <w:r>
              <w:rPr>
                <w:rFonts w:hint="eastAsia" w:eastAsia="方正仿宋_GBK"/>
                <w:color w:val="000000"/>
                <w:spacing w:val="-2"/>
                <w:sz w:val="24"/>
              </w:rPr>
              <w:t>项目实施进度</w:t>
            </w:r>
          </w:p>
        </w:tc>
        <w:tc>
          <w:tcPr>
            <w:tcW w:w="6760"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 w:val="24"/>
              </w:rPr>
            </w:pPr>
            <w:r>
              <w:rPr>
                <w:rFonts w:hint="eastAsia" w:ascii="Times New Roman" w:hAnsi="Times New Roman"/>
                <w:color w:val="000000"/>
                <w:spacing w:val="-2"/>
                <w:sz w:val="24"/>
              </w:rPr>
              <w:t>□</w:t>
            </w:r>
            <w:r>
              <w:rPr>
                <w:rFonts w:hint="eastAsia" w:eastAsia="方正仿宋_GBK"/>
                <w:color w:val="000000"/>
                <w:spacing w:val="-2"/>
                <w:sz w:val="24"/>
              </w:rPr>
              <w:t>符合实施进度计划　　　</w:t>
            </w:r>
            <w:r>
              <w:rPr>
                <w:rFonts w:hint="eastAsia" w:ascii="Times New Roman" w:hAnsi="Times New Roman"/>
                <w:color w:val="000000"/>
                <w:spacing w:val="-2"/>
                <w:sz w:val="24"/>
              </w:rPr>
              <w:t>□</w:t>
            </w:r>
            <w:r>
              <w:rPr>
                <w:rFonts w:hint="eastAsia" w:eastAsia="方正仿宋_GBK"/>
                <w:color w:val="000000"/>
                <w:spacing w:val="-2"/>
                <w:sz w:val="24"/>
              </w:rPr>
              <w:t>延迟于实施进度计划</w:t>
            </w:r>
          </w:p>
          <w:p>
            <w:pPr>
              <w:rPr>
                <w:rFonts w:eastAsia="方正仿宋_GBK"/>
                <w:color w:val="000000"/>
                <w:spacing w:val="-2"/>
                <w:sz w:val="24"/>
              </w:rPr>
            </w:pPr>
            <w:r>
              <w:rPr>
                <w:rFonts w:hint="eastAsia" w:ascii="Times New Roman" w:hAnsi="Times New Roman"/>
                <w:color w:val="000000"/>
                <w:spacing w:val="-2"/>
                <w:sz w:val="24"/>
              </w:rPr>
              <w:t>□</w:t>
            </w:r>
            <w:r>
              <w:rPr>
                <w:rFonts w:hint="eastAsia" w:eastAsia="方正仿宋_GBK"/>
                <w:color w:val="000000"/>
                <w:spacing w:val="-2"/>
                <w:sz w:val="24"/>
              </w:rPr>
              <w:t>超前于实施进度计划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32" w:hRule="atLeast"/>
        </w:trPr>
        <w:tc>
          <w:tcPr>
            <w:tcW w:w="2028" w:type="dxa"/>
            <w:tcBorders>
              <w:top w:val="single" w:color="auto" w:sz="4" w:space="0"/>
              <w:left w:val="single" w:color="auto" w:sz="8" w:space="0"/>
              <w:bottom w:val="single" w:color="auto" w:sz="4" w:space="0"/>
              <w:right w:val="single" w:color="auto" w:sz="4" w:space="0"/>
            </w:tcBorders>
            <w:noWrap w:val="0"/>
            <w:vAlign w:val="center"/>
          </w:tcPr>
          <w:p>
            <w:pPr>
              <w:spacing w:line="320" w:lineRule="exact"/>
              <w:rPr>
                <w:rFonts w:eastAsia="方正仿宋_GBK"/>
                <w:color w:val="000000"/>
                <w:spacing w:val="-2"/>
                <w:sz w:val="24"/>
              </w:rPr>
            </w:pPr>
            <w:r>
              <w:rPr>
                <w:rFonts w:hint="eastAsia" w:eastAsia="方正仿宋_GBK"/>
                <w:color w:val="000000"/>
                <w:spacing w:val="-2"/>
                <w:sz w:val="24"/>
              </w:rPr>
              <w:t>资金拨付和</w:t>
            </w:r>
          </w:p>
          <w:p>
            <w:pPr>
              <w:spacing w:line="320" w:lineRule="exact"/>
              <w:rPr>
                <w:rFonts w:eastAsia="方正仿宋_GBK"/>
                <w:color w:val="000000"/>
                <w:spacing w:val="-2"/>
                <w:sz w:val="24"/>
              </w:rPr>
            </w:pPr>
            <w:r>
              <w:rPr>
                <w:rFonts w:hint="eastAsia" w:eastAsia="方正仿宋_GBK"/>
                <w:color w:val="000000"/>
                <w:spacing w:val="-2"/>
                <w:sz w:val="24"/>
              </w:rPr>
              <w:t>使用情况</w:t>
            </w:r>
          </w:p>
        </w:tc>
        <w:tc>
          <w:tcPr>
            <w:tcW w:w="6760"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 w:val="24"/>
              </w:rPr>
            </w:pPr>
            <w:r>
              <w:rPr>
                <w:rFonts w:hint="eastAsia" w:eastAsia="方正仿宋_GBK"/>
                <w:color w:val="000000"/>
                <w:spacing w:val="-2"/>
                <w:sz w:val="24"/>
              </w:rPr>
              <w:t>项目预算资金总额</w:t>
            </w:r>
            <w:r>
              <w:rPr>
                <w:rFonts w:hint="eastAsia" w:eastAsia="方正仿宋_GBK"/>
                <w:color w:val="000000"/>
                <w:spacing w:val="-2"/>
                <w:sz w:val="24"/>
                <w:u w:val="single"/>
              </w:rPr>
              <w:t>　　</w:t>
            </w:r>
            <w:r>
              <w:rPr>
                <w:rFonts w:eastAsia="方正仿宋_GBK"/>
                <w:color w:val="000000"/>
                <w:spacing w:val="-2"/>
                <w:sz w:val="24"/>
                <w:u w:val="single"/>
              </w:rPr>
              <w:t xml:space="preserve">    </w:t>
            </w:r>
            <w:r>
              <w:rPr>
                <w:rFonts w:hint="eastAsia" w:eastAsia="方正仿宋_GBK"/>
                <w:color w:val="000000"/>
                <w:spacing w:val="-2"/>
                <w:sz w:val="24"/>
              </w:rPr>
              <w:t>万元；</w:t>
            </w:r>
          </w:p>
          <w:p>
            <w:pPr>
              <w:rPr>
                <w:rFonts w:eastAsia="方正仿宋_GBK"/>
                <w:color w:val="000000"/>
                <w:spacing w:val="-2"/>
                <w:sz w:val="24"/>
              </w:rPr>
            </w:pPr>
            <w:r>
              <w:rPr>
                <w:rFonts w:hint="eastAsia" w:eastAsia="方正仿宋_GBK"/>
                <w:color w:val="000000"/>
                <w:spacing w:val="-2"/>
                <w:sz w:val="24"/>
              </w:rPr>
              <w:t>省级专项资金应拨付</w:t>
            </w:r>
            <w:r>
              <w:rPr>
                <w:rFonts w:hint="eastAsia" w:eastAsia="方正仿宋_GBK"/>
                <w:color w:val="000000"/>
                <w:spacing w:val="-2"/>
                <w:sz w:val="24"/>
                <w:u w:val="single"/>
              </w:rPr>
              <w:t>　　　</w:t>
            </w:r>
            <w:r>
              <w:rPr>
                <w:rFonts w:eastAsia="方正仿宋_GBK"/>
                <w:color w:val="000000"/>
                <w:spacing w:val="-2"/>
                <w:sz w:val="24"/>
                <w:u w:val="single"/>
              </w:rPr>
              <w:t xml:space="preserve">  </w:t>
            </w:r>
            <w:r>
              <w:rPr>
                <w:rFonts w:hint="eastAsia" w:eastAsia="方正仿宋_GBK"/>
                <w:color w:val="000000"/>
                <w:spacing w:val="-2"/>
                <w:sz w:val="24"/>
              </w:rPr>
              <w:t>万元；地方应配套资金</w:t>
            </w:r>
            <w:r>
              <w:rPr>
                <w:rFonts w:hint="eastAsia" w:eastAsia="方正仿宋_GBK"/>
                <w:color w:val="000000"/>
                <w:spacing w:val="-2"/>
                <w:sz w:val="24"/>
                <w:u w:val="single"/>
              </w:rPr>
              <w:t>　　</w:t>
            </w:r>
            <w:r>
              <w:rPr>
                <w:rFonts w:eastAsia="方正仿宋_GBK"/>
                <w:color w:val="000000"/>
                <w:spacing w:val="-2"/>
                <w:sz w:val="24"/>
                <w:u w:val="single"/>
              </w:rPr>
              <w:t xml:space="preserve">    </w:t>
            </w:r>
            <w:r>
              <w:rPr>
                <w:rFonts w:hint="eastAsia" w:eastAsia="方正仿宋_GBK"/>
                <w:color w:val="000000"/>
                <w:spacing w:val="-2"/>
                <w:sz w:val="24"/>
              </w:rPr>
              <w:t>万元；</w:t>
            </w:r>
          </w:p>
          <w:p>
            <w:pPr>
              <w:rPr>
                <w:rFonts w:eastAsia="方正仿宋_GBK"/>
                <w:color w:val="000000"/>
                <w:spacing w:val="-2"/>
                <w:sz w:val="24"/>
              </w:rPr>
            </w:pPr>
            <w:r>
              <w:rPr>
                <w:rFonts w:hint="eastAsia" w:eastAsia="方正仿宋_GBK"/>
                <w:color w:val="000000"/>
                <w:spacing w:val="-2"/>
                <w:sz w:val="24"/>
              </w:rPr>
              <w:t>省级专项资金已拨付</w:t>
            </w:r>
            <w:r>
              <w:rPr>
                <w:rFonts w:eastAsia="方正仿宋_GBK"/>
                <w:color w:val="000000"/>
                <w:spacing w:val="-2"/>
                <w:sz w:val="24"/>
                <w:u w:val="single"/>
              </w:rPr>
              <w:t xml:space="preserve">      </w:t>
            </w:r>
            <w:r>
              <w:rPr>
                <w:rFonts w:hint="eastAsia" w:eastAsia="方正仿宋_GBK"/>
                <w:color w:val="000000"/>
                <w:spacing w:val="-2"/>
                <w:sz w:val="24"/>
              </w:rPr>
              <w:t>万元；地方配套用资金已使用</w:t>
            </w:r>
            <w:r>
              <w:rPr>
                <w:rFonts w:eastAsia="方正仿宋_GBK"/>
                <w:color w:val="000000"/>
                <w:spacing w:val="-2"/>
                <w:sz w:val="24"/>
                <w:u w:val="single"/>
              </w:rPr>
              <w:t xml:space="preserve">       </w:t>
            </w:r>
            <w:r>
              <w:rPr>
                <w:rFonts w:hint="eastAsia" w:eastAsia="方正仿宋_GBK"/>
                <w:color w:val="000000"/>
                <w:spacing w:val="-2"/>
                <w:sz w:val="24"/>
              </w:rPr>
              <w:t>万元。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73" w:hRule="atLeast"/>
        </w:trPr>
        <w:tc>
          <w:tcPr>
            <w:tcW w:w="202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 w:val="24"/>
              </w:rPr>
            </w:pPr>
            <w:r>
              <w:rPr>
                <w:rFonts w:hint="eastAsia" w:eastAsia="方正仿宋_GBK"/>
                <w:color w:val="000000"/>
                <w:spacing w:val="-2"/>
                <w:sz w:val="24"/>
              </w:rPr>
              <w:t>项目实施过程需说明的情况</w:t>
            </w:r>
          </w:p>
          <w:p>
            <w:pPr>
              <w:jc w:val="center"/>
              <w:rPr>
                <w:rFonts w:eastAsia="方正仿宋_GBK"/>
                <w:color w:val="000000"/>
                <w:spacing w:val="-2"/>
                <w:sz w:val="24"/>
              </w:rPr>
            </w:pPr>
            <w:r>
              <w:rPr>
                <w:rFonts w:hint="eastAsia" w:eastAsia="方正仿宋_GBK"/>
                <w:color w:val="000000"/>
                <w:spacing w:val="-2"/>
                <w:szCs w:val="21"/>
              </w:rPr>
              <w:t>（未按实施方案和项目延迟的原因）</w:t>
            </w:r>
          </w:p>
        </w:tc>
        <w:tc>
          <w:tcPr>
            <w:tcW w:w="6760"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10" w:hRule="atLeast"/>
        </w:trPr>
        <w:tc>
          <w:tcPr>
            <w:tcW w:w="2028"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 w:val="24"/>
              </w:rPr>
            </w:pPr>
            <w:r>
              <w:rPr>
                <w:rFonts w:hint="eastAsia" w:eastAsia="方正仿宋_GBK"/>
                <w:color w:val="000000"/>
                <w:spacing w:val="-2"/>
                <w:sz w:val="24"/>
              </w:rPr>
              <w:t>项目实施单位</w:t>
            </w:r>
          </w:p>
          <w:p>
            <w:pPr>
              <w:jc w:val="center"/>
              <w:rPr>
                <w:rFonts w:eastAsia="方正仿宋_GBK"/>
                <w:color w:val="000000"/>
                <w:spacing w:val="-2"/>
                <w:sz w:val="24"/>
              </w:rPr>
            </w:pPr>
            <w:r>
              <w:rPr>
                <w:rFonts w:hint="eastAsia" w:eastAsia="方正仿宋_GBK"/>
                <w:color w:val="000000"/>
                <w:spacing w:val="-2"/>
                <w:sz w:val="24"/>
              </w:rPr>
              <w:t>意见</w:t>
            </w:r>
          </w:p>
        </w:tc>
        <w:tc>
          <w:tcPr>
            <w:tcW w:w="6760" w:type="dxa"/>
            <w:tcBorders>
              <w:top w:val="single" w:color="auto" w:sz="4" w:space="0"/>
              <w:left w:val="single" w:color="auto" w:sz="4" w:space="0"/>
              <w:bottom w:val="single" w:color="auto" w:sz="8" w:space="0"/>
              <w:right w:val="single" w:color="auto" w:sz="8" w:space="0"/>
            </w:tcBorders>
            <w:noWrap w:val="0"/>
            <w:vAlign w:val="center"/>
          </w:tcPr>
          <w:p>
            <w:pPr>
              <w:ind w:firstLine="4602" w:firstLineChars="1950"/>
              <w:rPr>
                <w:rFonts w:eastAsia="方正仿宋_GBK"/>
                <w:color w:val="000000"/>
                <w:spacing w:val="-2"/>
                <w:sz w:val="24"/>
              </w:rPr>
            </w:pPr>
          </w:p>
          <w:p>
            <w:pPr>
              <w:ind w:firstLine="4720" w:firstLineChars="2000"/>
              <w:rPr>
                <w:rFonts w:eastAsia="方正仿宋_GBK"/>
                <w:color w:val="000000"/>
                <w:spacing w:val="-2"/>
                <w:sz w:val="24"/>
              </w:rPr>
            </w:pPr>
            <w:r>
              <w:rPr>
                <w:rFonts w:hint="eastAsia" w:eastAsia="方正仿宋_GBK"/>
                <w:color w:val="000000"/>
                <w:spacing w:val="-2"/>
                <w:sz w:val="24"/>
              </w:rPr>
              <w:t>签字</w:t>
            </w:r>
          </w:p>
          <w:p>
            <w:pPr>
              <w:ind w:firstLine="4484" w:firstLineChars="1900"/>
              <w:rPr>
                <w:rFonts w:eastAsia="方正仿宋_GBK"/>
                <w:color w:val="000000"/>
                <w:spacing w:val="-2"/>
                <w:sz w:val="24"/>
              </w:rPr>
            </w:pPr>
            <w:r>
              <w:rPr>
                <w:rFonts w:hint="eastAsia" w:eastAsia="方正仿宋_GBK"/>
                <w:color w:val="000000"/>
                <w:spacing w:val="-2"/>
                <w:sz w:val="24"/>
              </w:rPr>
              <w:t>（盖章）</w:t>
            </w:r>
          </w:p>
          <w:p>
            <w:pPr>
              <w:rPr>
                <w:rFonts w:eastAsia="方正仿宋_GBK"/>
                <w:color w:val="000000"/>
                <w:spacing w:val="-2"/>
                <w:sz w:val="24"/>
              </w:rPr>
            </w:pPr>
            <w:r>
              <w:rPr>
                <w:rFonts w:hint="eastAsia" w:eastAsia="方正仿宋_GBK"/>
                <w:color w:val="000000"/>
                <w:spacing w:val="-2"/>
                <w:sz w:val="24"/>
              </w:rPr>
              <w:t>　　　　　　　　　　　　　</w:t>
            </w:r>
            <w:r>
              <w:rPr>
                <w:rFonts w:eastAsia="方正仿宋_GBK"/>
                <w:color w:val="000000"/>
                <w:spacing w:val="-2"/>
                <w:sz w:val="24"/>
              </w:rPr>
              <w:t xml:space="preserve">      </w:t>
            </w:r>
            <w:r>
              <w:rPr>
                <w:rFonts w:hint="eastAsia" w:eastAsia="方正仿宋_GBK"/>
                <w:color w:val="000000"/>
                <w:spacing w:val="-2"/>
                <w:sz w:val="24"/>
              </w:rPr>
              <w:t>　　年　月　日</w:t>
            </w:r>
          </w:p>
        </w:tc>
      </w:tr>
    </w:tbl>
    <w:p/>
    <w:p>
      <w:pPr>
        <w:rPr>
          <w:rFonts w:ascii="Times New Roman" w:eastAsia="方正黑体_GBK"/>
          <w:color w:val="000000"/>
          <w:spacing w:val="-2"/>
          <w:sz w:val="28"/>
          <w:szCs w:val="28"/>
        </w:rPr>
      </w:pPr>
      <w:r>
        <w:br w:type="column"/>
      </w:r>
      <w:r>
        <w:rPr>
          <w:rFonts w:hint="eastAsia" w:ascii="Times New Roman" w:eastAsia="方正黑体_GBK"/>
          <w:color w:val="000000"/>
          <w:spacing w:val="-2"/>
          <w:sz w:val="28"/>
          <w:szCs w:val="28"/>
        </w:rPr>
        <w:t>附件2</w:t>
      </w:r>
    </w:p>
    <w:p>
      <w:pPr>
        <w:spacing w:line="560" w:lineRule="exact"/>
        <w:jc w:val="center"/>
        <w:rPr>
          <w:rFonts w:hint="eastAsia" w:ascii="Times New Roman" w:eastAsia="方正黑体_GBK"/>
          <w:color w:val="000000"/>
          <w:spacing w:val="-2"/>
          <w:sz w:val="28"/>
          <w:szCs w:val="28"/>
        </w:rPr>
      </w:pPr>
      <w:r>
        <w:rPr>
          <w:rFonts w:hint="eastAsia" w:ascii="Times New Roman" w:eastAsia="方正黑体_GBK"/>
          <w:color w:val="000000"/>
          <w:spacing w:val="-2"/>
          <w:sz w:val="28"/>
          <w:szCs w:val="28"/>
        </w:rPr>
        <w:t>绩效自评价表一(项目基本信息)</w:t>
      </w:r>
    </w:p>
    <w:tbl>
      <w:tblPr>
        <w:tblStyle w:val="12"/>
        <w:tblW w:w="0" w:type="auto"/>
        <w:tblInd w:w="8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02"/>
        <w:gridCol w:w="1320"/>
        <w:gridCol w:w="1321"/>
        <w:gridCol w:w="1665"/>
        <w:gridCol w:w="36"/>
        <w:gridCol w:w="1443"/>
        <w:gridCol w:w="131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0" w:hRule="atLeast"/>
        </w:trPr>
        <w:tc>
          <w:tcPr>
            <w:tcW w:w="1702" w:type="dxa"/>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项目名称</w:t>
            </w:r>
            <w:r>
              <w:rPr>
                <w:rFonts w:eastAsia="方正仿宋_GBK"/>
                <w:color w:val="000000"/>
                <w:spacing w:val="-2"/>
                <w:szCs w:val="21"/>
              </w:rPr>
              <w:t>*</w:t>
            </w:r>
          </w:p>
        </w:tc>
        <w:tc>
          <w:tcPr>
            <w:tcW w:w="7098" w:type="dxa"/>
            <w:gridSpan w:val="6"/>
            <w:tcBorders>
              <w:top w:val="single" w:color="auto" w:sz="8"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70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项目位置</w:t>
            </w:r>
            <w:r>
              <w:rPr>
                <w:rFonts w:eastAsia="方正仿宋_GBK"/>
                <w:color w:val="000000"/>
                <w:spacing w:val="-2"/>
                <w:szCs w:val="21"/>
              </w:rPr>
              <w:t>*</w:t>
            </w:r>
          </w:p>
        </w:tc>
        <w:tc>
          <w:tcPr>
            <w:tcW w:w="7098" w:type="dxa"/>
            <w:gridSpan w:val="6"/>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市</w:t>
            </w:r>
            <w:r>
              <w:rPr>
                <w:rFonts w:eastAsia="方正仿宋_GBK"/>
                <w:color w:val="000000"/>
                <w:spacing w:val="-2"/>
                <w:szCs w:val="21"/>
              </w:rPr>
              <w:t xml:space="preserve">        </w:t>
            </w:r>
            <w:r>
              <w:rPr>
                <w:rFonts w:hint="eastAsia" w:eastAsia="方正仿宋_GBK"/>
                <w:color w:val="000000"/>
                <w:spacing w:val="-2"/>
                <w:szCs w:val="21"/>
              </w:rPr>
              <w:t>县（市、区）</w:t>
            </w:r>
            <w:r>
              <w:rPr>
                <w:rFonts w:eastAsia="方正仿宋_GBK"/>
                <w:color w:val="000000"/>
                <w:spacing w:val="-2"/>
                <w:szCs w:val="21"/>
              </w:rPr>
              <w:t xml:space="preserve">           </w:t>
            </w:r>
            <w:r>
              <w:rPr>
                <w:rFonts w:hint="eastAsia" w:eastAsia="方正仿宋_GBK"/>
                <w:color w:val="000000"/>
                <w:spacing w:val="-2"/>
                <w:szCs w:val="21"/>
              </w:rPr>
              <w:t>街道（镇、乡）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170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项目实施单位</w:t>
            </w:r>
            <w:r>
              <w:rPr>
                <w:rFonts w:eastAsia="方正仿宋_GBK"/>
                <w:color w:val="000000"/>
                <w:spacing w:val="-2"/>
                <w:szCs w:val="21"/>
              </w:rPr>
              <w:t>*</w:t>
            </w:r>
          </w:p>
        </w:tc>
        <w:tc>
          <w:tcPr>
            <w:tcW w:w="7098" w:type="dxa"/>
            <w:gridSpan w:val="6"/>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170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联系人</w:t>
            </w:r>
            <w:r>
              <w:rPr>
                <w:rFonts w:eastAsia="方正仿宋_GBK"/>
                <w:color w:val="000000"/>
                <w:spacing w:val="-2"/>
                <w:szCs w:val="21"/>
              </w:rPr>
              <w:t>*</w:t>
            </w:r>
          </w:p>
        </w:tc>
        <w:tc>
          <w:tcPr>
            <w:tcW w:w="264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66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联系电话</w:t>
            </w:r>
            <w:r>
              <w:rPr>
                <w:rFonts w:eastAsia="方正仿宋_GBK"/>
                <w:color w:val="000000"/>
                <w:spacing w:val="-2"/>
                <w:szCs w:val="21"/>
              </w:rPr>
              <w:t>*</w:t>
            </w:r>
          </w:p>
        </w:tc>
        <w:tc>
          <w:tcPr>
            <w:tcW w:w="2792" w:type="dxa"/>
            <w:gridSpan w:val="3"/>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170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项目主管部门</w:t>
            </w:r>
          </w:p>
        </w:tc>
        <w:tc>
          <w:tcPr>
            <w:tcW w:w="7098" w:type="dxa"/>
            <w:gridSpan w:val="6"/>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170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联系人</w:t>
            </w:r>
          </w:p>
        </w:tc>
        <w:tc>
          <w:tcPr>
            <w:tcW w:w="264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0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联系电话</w:t>
            </w:r>
          </w:p>
        </w:tc>
        <w:tc>
          <w:tcPr>
            <w:tcW w:w="2756"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170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绩效自评价</w:t>
            </w:r>
          </w:p>
          <w:p>
            <w:pPr>
              <w:jc w:val="center"/>
              <w:rPr>
                <w:rFonts w:eastAsia="方正仿宋_GBK"/>
                <w:color w:val="000000"/>
                <w:spacing w:val="-2"/>
                <w:szCs w:val="21"/>
              </w:rPr>
            </w:pPr>
            <w:r>
              <w:rPr>
                <w:rFonts w:hint="eastAsia" w:eastAsia="方正仿宋_GBK"/>
                <w:color w:val="000000"/>
                <w:spacing w:val="-2"/>
                <w:szCs w:val="21"/>
              </w:rPr>
              <w:t>实施部门</w:t>
            </w:r>
          </w:p>
        </w:tc>
        <w:tc>
          <w:tcPr>
            <w:tcW w:w="7098" w:type="dxa"/>
            <w:gridSpan w:val="6"/>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6" w:hRule="atLeast"/>
        </w:trPr>
        <w:tc>
          <w:tcPr>
            <w:tcW w:w="170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联系人</w:t>
            </w:r>
          </w:p>
        </w:tc>
        <w:tc>
          <w:tcPr>
            <w:tcW w:w="264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0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联系电话</w:t>
            </w:r>
          </w:p>
        </w:tc>
        <w:tc>
          <w:tcPr>
            <w:tcW w:w="2756"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702"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预算安排资金</w:t>
            </w:r>
          </w:p>
          <w:p>
            <w:pPr>
              <w:jc w:val="center"/>
              <w:rPr>
                <w:rFonts w:eastAsia="方正仿宋_GBK"/>
                <w:color w:val="000000"/>
                <w:spacing w:val="-2"/>
                <w:szCs w:val="21"/>
              </w:rPr>
            </w:pPr>
            <w:r>
              <w:rPr>
                <w:rFonts w:eastAsia="方正仿宋_GBK"/>
                <w:color w:val="000000"/>
                <w:spacing w:val="-2"/>
                <w:szCs w:val="21"/>
              </w:rPr>
              <w:t>(</w:t>
            </w:r>
            <w:r>
              <w:rPr>
                <w:rFonts w:hint="eastAsia" w:eastAsia="方正仿宋_GBK"/>
                <w:color w:val="000000"/>
                <w:spacing w:val="-2"/>
                <w:szCs w:val="21"/>
              </w:rPr>
              <w:t>万元</w:t>
            </w:r>
            <w:r>
              <w:rPr>
                <w:rFonts w:eastAsia="方正仿宋_GBK"/>
                <w:color w:val="000000"/>
                <w:spacing w:val="-2"/>
                <w:szCs w:val="21"/>
              </w:rPr>
              <w:t>)*</w:t>
            </w:r>
          </w:p>
        </w:tc>
        <w:tc>
          <w:tcPr>
            <w:tcW w:w="13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省级投入</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0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实际到位资金</w:t>
            </w:r>
          </w:p>
          <w:p>
            <w:pPr>
              <w:jc w:val="center"/>
              <w:rPr>
                <w:rFonts w:eastAsia="方正仿宋_GBK"/>
                <w:color w:val="000000"/>
                <w:spacing w:val="-2"/>
                <w:szCs w:val="21"/>
              </w:rPr>
            </w:pPr>
            <w:r>
              <w:rPr>
                <w:rFonts w:eastAsia="方正仿宋_GBK"/>
                <w:color w:val="000000"/>
                <w:spacing w:val="-2"/>
                <w:szCs w:val="21"/>
              </w:rPr>
              <w:t>(</w:t>
            </w:r>
            <w:r>
              <w:rPr>
                <w:rFonts w:hint="eastAsia" w:eastAsia="方正仿宋_GBK"/>
                <w:color w:val="000000"/>
                <w:spacing w:val="-2"/>
                <w:szCs w:val="21"/>
              </w:rPr>
              <w:t>万元</w:t>
            </w:r>
            <w:r>
              <w:rPr>
                <w:rFonts w:eastAsia="方正仿宋_GBK"/>
                <w:color w:val="000000"/>
                <w:spacing w:val="-2"/>
                <w:szCs w:val="21"/>
              </w:rPr>
              <w:t>)*</w:t>
            </w:r>
          </w:p>
        </w:tc>
        <w:tc>
          <w:tcPr>
            <w:tcW w:w="144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省级投入</w:t>
            </w:r>
          </w:p>
        </w:tc>
        <w:tc>
          <w:tcPr>
            <w:tcW w:w="131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70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3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地方投入</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0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地方投入</w:t>
            </w:r>
          </w:p>
        </w:tc>
        <w:tc>
          <w:tcPr>
            <w:tcW w:w="131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70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3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单位自筹</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0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单位自筹</w:t>
            </w:r>
          </w:p>
        </w:tc>
        <w:tc>
          <w:tcPr>
            <w:tcW w:w="131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702"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实际支出资金</w:t>
            </w:r>
          </w:p>
          <w:p>
            <w:pPr>
              <w:jc w:val="center"/>
              <w:rPr>
                <w:rFonts w:eastAsia="方正仿宋_GBK"/>
                <w:color w:val="000000"/>
                <w:spacing w:val="-2"/>
                <w:szCs w:val="21"/>
              </w:rPr>
            </w:pPr>
            <w:r>
              <w:rPr>
                <w:rFonts w:hint="eastAsia" w:eastAsia="方正仿宋_GBK"/>
                <w:color w:val="000000"/>
                <w:spacing w:val="-2"/>
                <w:szCs w:val="21"/>
              </w:rPr>
              <w:t>（万元）</w:t>
            </w:r>
            <w:r>
              <w:rPr>
                <w:rFonts w:eastAsia="方正仿宋_GBK"/>
                <w:color w:val="000000"/>
                <w:spacing w:val="-2"/>
                <w:szCs w:val="21"/>
              </w:rPr>
              <w:t>*</w:t>
            </w:r>
          </w:p>
        </w:tc>
        <w:tc>
          <w:tcPr>
            <w:tcW w:w="13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省级投入</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0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财务管理状况</w:t>
            </w:r>
          </w:p>
        </w:tc>
        <w:tc>
          <w:tcPr>
            <w:tcW w:w="144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信息录入</w:t>
            </w:r>
          </w:p>
          <w:p>
            <w:pPr>
              <w:jc w:val="center"/>
              <w:rPr>
                <w:rFonts w:eastAsia="方正仿宋_GBK"/>
                <w:color w:val="000000"/>
                <w:spacing w:val="-2"/>
                <w:szCs w:val="21"/>
              </w:rPr>
            </w:pPr>
            <w:r>
              <w:rPr>
                <w:rFonts w:hint="eastAsia" w:eastAsia="方正仿宋_GBK"/>
                <w:color w:val="000000"/>
                <w:spacing w:val="-2"/>
                <w:szCs w:val="21"/>
              </w:rPr>
              <w:t>系统情况</w:t>
            </w:r>
          </w:p>
        </w:tc>
        <w:tc>
          <w:tcPr>
            <w:tcW w:w="131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70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3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地方投入</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0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项目过程</w:t>
            </w:r>
          </w:p>
          <w:p>
            <w:pPr>
              <w:jc w:val="center"/>
              <w:rPr>
                <w:rFonts w:eastAsia="方正仿宋_GBK"/>
                <w:color w:val="000000"/>
                <w:spacing w:val="-2"/>
                <w:szCs w:val="21"/>
              </w:rPr>
            </w:pPr>
            <w:r>
              <w:rPr>
                <w:rFonts w:hint="eastAsia" w:eastAsia="方正仿宋_GBK"/>
                <w:color w:val="000000"/>
                <w:spacing w:val="-2"/>
                <w:szCs w:val="21"/>
              </w:rPr>
              <w:t>跟踪情况</w:t>
            </w:r>
          </w:p>
        </w:tc>
        <w:tc>
          <w:tcPr>
            <w:tcW w:w="131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70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3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单位自筹</w:t>
            </w:r>
          </w:p>
        </w:tc>
        <w:tc>
          <w:tcPr>
            <w:tcW w:w="132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0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4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财务管理</w:t>
            </w:r>
          </w:p>
          <w:p>
            <w:pPr>
              <w:jc w:val="center"/>
              <w:rPr>
                <w:rFonts w:eastAsia="方正仿宋_GBK"/>
                <w:color w:val="000000"/>
                <w:spacing w:val="-2"/>
                <w:szCs w:val="21"/>
              </w:rPr>
            </w:pPr>
            <w:r>
              <w:rPr>
                <w:rFonts w:hint="eastAsia" w:eastAsia="方正仿宋_GBK"/>
                <w:color w:val="000000"/>
                <w:spacing w:val="-2"/>
                <w:szCs w:val="21"/>
              </w:rPr>
              <w:t>制度落实</w:t>
            </w:r>
          </w:p>
        </w:tc>
        <w:tc>
          <w:tcPr>
            <w:tcW w:w="1313"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170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项目实施时间</w:t>
            </w:r>
            <w:r>
              <w:rPr>
                <w:rFonts w:eastAsia="方正仿宋_GBK"/>
                <w:color w:val="000000"/>
                <w:spacing w:val="-2"/>
                <w:szCs w:val="21"/>
              </w:rPr>
              <w:t>*</w:t>
            </w:r>
          </w:p>
        </w:tc>
        <w:tc>
          <w:tcPr>
            <w:tcW w:w="264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0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资金管理情况</w:t>
            </w:r>
          </w:p>
        </w:tc>
        <w:tc>
          <w:tcPr>
            <w:tcW w:w="2756"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r>
              <w:rPr>
                <w:rFonts w:hint="eastAsia" w:eastAsia="方正仿宋_GBK"/>
                <w:color w:val="000000"/>
                <w:spacing w:val="-2"/>
                <w:szCs w:val="21"/>
              </w:rPr>
              <w:t>专款专用率</w:t>
            </w: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1702"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项目计划完成</w:t>
            </w:r>
          </w:p>
          <w:p>
            <w:pPr>
              <w:jc w:val="center"/>
              <w:rPr>
                <w:rFonts w:eastAsia="方正仿宋_GBK"/>
                <w:color w:val="000000"/>
                <w:spacing w:val="-2"/>
                <w:szCs w:val="21"/>
              </w:rPr>
            </w:pPr>
            <w:r>
              <w:rPr>
                <w:rFonts w:hint="eastAsia" w:eastAsia="方正仿宋_GBK"/>
                <w:color w:val="000000"/>
                <w:spacing w:val="-2"/>
                <w:szCs w:val="21"/>
              </w:rPr>
              <w:t>时间</w:t>
            </w:r>
            <w:r>
              <w:rPr>
                <w:rFonts w:eastAsia="方正仿宋_GBK"/>
                <w:color w:val="000000"/>
                <w:spacing w:val="-2"/>
                <w:szCs w:val="21"/>
              </w:rPr>
              <w:t>*</w:t>
            </w:r>
          </w:p>
        </w:tc>
        <w:tc>
          <w:tcPr>
            <w:tcW w:w="2641" w:type="dxa"/>
            <w:gridSpan w:val="2"/>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p>
        </w:tc>
        <w:tc>
          <w:tcPr>
            <w:tcW w:w="1701" w:type="dxa"/>
            <w:gridSpan w:val="2"/>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项目实际完成</w:t>
            </w:r>
          </w:p>
          <w:p>
            <w:pPr>
              <w:jc w:val="center"/>
              <w:rPr>
                <w:rFonts w:eastAsia="方正仿宋_GBK"/>
                <w:color w:val="000000"/>
                <w:spacing w:val="-2"/>
                <w:szCs w:val="21"/>
              </w:rPr>
            </w:pPr>
            <w:r>
              <w:rPr>
                <w:rFonts w:hint="eastAsia" w:eastAsia="方正仿宋_GBK"/>
                <w:color w:val="000000"/>
                <w:spacing w:val="-2"/>
                <w:szCs w:val="21"/>
              </w:rPr>
              <w:t>时间</w:t>
            </w:r>
            <w:r>
              <w:rPr>
                <w:rFonts w:eastAsia="方正仿宋_GBK"/>
                <w:color w:val="000000"/>
                <w:spacing w:val="-2"/>
                <w:szCs w:val="21"/>
              </w:rPr>
              <w:t>*</w:t>
            </w:r>
          </w:p>
        </w:tc>
        <w:tc>
          <w:tcPr>
            <w:tcW w:w="2756" w:type="dxa"/>
            <w:gridSpan w:val="2"/>
            <w:tcBorders>
              <w:top w:val="single" w:color="auto" w:sz="4" w:space="0"/>
              <w:left w:val="single" w:color="auto" w:sz="4" w:space="0"/>
              <w:bottom w:val="single" w:color="auto" w:sz="8" w:space="0"/>
              <w:right w:val="single" w:color="auto" w:sz="8" w:space="0"/>
            </w:tcBorders>
            <w:noWrap w:val="0"/>
            <w:vAlign w:val="center"/>
          </w:tcPr>
          <w:p>
            <w:pPr>
              <w:jc w:val="center"/>
              <w:rPr>
                <w:rFonts w:eastAsia="方正仿宋_GBK"/>
                <w:color w:val="000000"/>
                <w:spacing w:val="-2"/>
                <w:szCs w:val="21"/>
              </w:rPr>
            </w:pPr>
          </w:p>
        </w:tc>
      </w:tr>
    </w:tbl>
    <w:p>
      <w:pPr>
        <w:spacing w:before="120" w:beforeLines="50"/>
        <w:jc w:val="left"/>
        <w:rPr>
          <w:rFonts w:hint="eastAsia" w:eastAsia="方正仿宋_GBK"/>
          <w:color w:val="000000"/>
          <w:spacing w:val="-2"/>
          <w:szCs w:val="21"/>
        </w:rPr>
      </w:pPr>
      <w:r>
        <w:rPr>
          <w:rFonts w:eastAsia="方正仿宋_GBK"/>
          <w:color w:val="000000"/>
          <w:spacing w:val="-2"/>
          <w:szCs w:val="21"/>
        </w:rPr>
        <w:t>(</w:t>
      </w:r>
      <w:r>
        <w:rPr>
          <w:rFonts w:hint="eastAsia" w:eastAsia="方正仿宋_GBK"/>
          <w:color w:val="000000"/>
          <w:spacing w:val="-2"/>
          <w:szCs w:val="21"/>
        </w:rPr>
        <w:t>注</w:t>
      </w:r>
      <w:r>
        <w:rPr>
          <w:rFonts w:eastAsia="方正仿宋_GBK"/>
          <w:color w:val="000000"/>
          <w:spacing w:val="-2"/>
          <w:szCs w:val="21"/>
        </w:rPr>
        <w:t>:</w:t>
      </w:r>
      <w:r>
        <w:rPr>
          <w:rFonts w:hint="eastAsia" w:eastAsia="方正仿宋_GBK"/>
          <w:color w:val="000000"/>
          <w:spacing w:val="-2"/>
          <w:szCs w:val="21"/>
        </w:rPr>
        <w:t>带</w:t>
      </w:r>
      <w:r>
        <w:rPr>
          <w:rFonts w:eastAsia="方正仿宋_GBK"/>
          <w:color w:val="000000"/>
          <w:spacing w:val="-2"/>
          <w:szCs w:val="21"/>
        </w:rPr>
        <w:t>*</w:t>
      </w:r>
      <w:r>
        <w:rPr>
          <w:rFonts w:hint="eastAsia" w:eastAsia="方正仿宋_GBK"/>
          <w:color w:val="000000"/>
          <w:spacing w:val="-2"/>
          <w:szCs w:val="21"/>
        </w:rPr>
        <w:t>内容由项目实施单位填写</w:t>
      </w:r>
      <w:r>
        <w:rPr>
          <w:rFonts w:eastAsia="方正仿宋_GBK"/>
          <w:color w:val="000000"/>
          <w:spacing w:val="-2"/>
          <w:szCs w:val="21"/>
        </w:rPr>
        <w:t>)</w:t>
      </w:r>
    </w:p>
    <w:p>
      <w:pPr>
        <w:spacing w:line="560" w:lineRule="exact"/>
        <w:jc w:val="center"/>
        <w:rPr>
          <w:rFonts w:ascii="Times New Roman" w:eastAsia="方正黑体_GBK"/>
          <w:color w:val="000000"/>
          <w:spacing w:val="-2"/>
          <w:sz w:val="28"/>
          <w:szCs w:val="28"/>
        </w:rPr>
      </w:pPr>
      <w:r>
        <w:rPr>
          <w:rFonts w:hint="eastAsia" w:ascii="Times New Roman" w:eastAsia="方正黑体_GBK"/>
          <w:color w:val="000000"/>
          <w:spacing w:val="-2"/>
          <w:sz w:val="28"/>
          <w:szCs w:val="28"/>
        </w:rPr>
        <w:br w:type="column"/>
      </w:r>
      <w:r>
        <w:rPr>
          <w:rFonts w:hint="eastAsia" w:ascii="Times New Roman" w:eastAsia="方正黑体_GBK"/>
          <w:color w:val="000000"/>
          <w:spacing w:val="-2"/>
          <w:sz w:val="28"/>
          <w:szCs w:val="28"/>
        </w:rPr>
        <w:t>绩效自评价表二(应急避难场所项目)</w:t>
      </w:r>
    </w:p>
    <w:tbl>
      <w:tblPr>
        <w:tblStyle w:val="12"/>
        <w:tblW w:w="0" w:type="auto"/>
        <w:tblInd w:w="6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83"/>
        <w:gridCol w:w="1537"/>
        <w:gridCol w:w="1040"/>
        <w:gridCol w:w="1790"/>
        <w:gridCol w:w="1250"/>
        <w:gridCol w:w="1528"/>
        <w:gridCol w:w="89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2220" w:type="dxa"/>
            <w:gridSpan w:val="2"/>
            <w:tcBorders>
              <w:top w:val="single" w:color="auto" w:sz="8" w:space="0"/>
              <w:left w:val="single" w:color="auto" w:sz="8" w:space="0"/>
              <w:bottom w:val="single" w:color="auto" w:sz="4" w:space="0"/>
              <w:right w:val="single" w:color="auto" w:sz="4"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自评价内容</w:t>
            </w:r>
          </w:p>
        </w:tc>
        <w:tc>
          <w:tcPr>
            <w:tcW w:w="4080" w:type="dxa"/>
            <w:gridSpan w:val="3"/>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自评价指标</w:t>
            </w:r>
          </w:p>
        </w:tc>
        <w:tc>
          <w:tcPr>
            <w:tcW w:w="1528"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分值</w:t>
            </w:r>
          </w:p>
        </w:tc>
        <w:tc>
          <w:tcPr>
            <w:tcW w:w="895" w:type="dxa"/>
            <w:tcBorders>
              <w:top w:val="single" w:color="auto" w:sz="8" w:space="0"/>
              <w:left w:val="single" w:color="auto" w:sz="4" w:space="0"/>
              <w:bottom w:val="single" w:color="auto" w:sz="4" w:space="0"/>
              <w:right w:val="single" w:color="auto" w:sz="8"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得分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9" w:hRule="atLeast"/>
        </w:trPr>
        <w:tc>
          <w:tcPr>
            <w:tcW w:w="683"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基本情况</w:t>
            </w:r>
          </w:p>
          <w:p>
            <w:pPr>
              <w:jc w:val="center"/>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场所级别</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中心</w:t>
            </w:r>
            <w:r>
              <w:rPr>
                <w:rFonts w:eastAsia="方正仿宋_GBK"/>
                <w:color w:val="000000"/>
                <w:spacing w:val="-2"/>
                <w:szCs w:val="21"/>
              </w:rPr>
              <w:t xml:space="preserve">   </w:t>
            </w:r>
          </w:p>
          <w:p>
            <w:pPr>
              <w:jc w:val="cente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固定</w:t>
            </w:r>
          </w:p>
        </w:tc>
        <w:tc>
          <w:tcPr>
            <w:tcW w:w="179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场所类型</w:t>
            </w:r>
          </w:p>
        </w:tc>
        <w:tc>
          <w:tcPr>
            <w:tcW w:w="12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场所型</w:t>
            </w:r>
            <w:r>
              <w:rPr>
                <w:rFonts w:eastAsia="方正仿宋_GBK"/>
                <w:color w:val="000000"/>
                <w:spacing w:val="-2"/>
                <w:szCs w:val="21"/>
              </w:rPr>
              <w:t xml:space="preserve"> </w:t>
            </w:r>
          </w:p>
          <w:p>
            <w:pPr>
              <w:jc w:val="cente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建筑型</w:t>
            </w:r>
          </w:p>
          <w:p>
            <w:pPr>
              <w:jc w:val="cente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综合型</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专门建设</w:t>
            </w:r>
          </w:p>
          <w:p>
            <w:pPr>
              <w:spacing w:line="240" w:lineRule="exact"/>
              <w:jc w:val="center"/>
              <w:rPr>
                <w:rFonts w:eastAsia="方正仿宋_GBK"/>
                <w:color w:val="000000"/>
                <w:spacing w:val="-2"/>
                <w:szCs w:val="21"/>
              </w:rPr>
            </w:pPr>
            <w:r>
              <w:rPr>
                <w:rFonts w:hint="eastAsia" w:eastAsia="方正仿宋_GBK"/>
                <w:color w:val="000000"/>
                <w:spacing w:val="-2"/>
                <w:szCs w:val="21"/>
              </w:rPr>
              <w:t>的避难场所</w:t>
            </w:r>
            <w:r>
              <w:rPr>
                <w:rFonts w:eastAsia="方正仿宋_GBK"/>
                <w:color w:val="000000"/>
                <w:spacing w:val="-2"/>
                <w:szCs w:val="21"/>
              </w:rPr>
              <w:t xml:space="preserve">   </w:t>
            </w:r>
          </w:p>
          <w:p>
            <w:pPr>
              <w:spacing w:line="240" w:lineRule="exact"/>
              <w:jc w:val="cente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结合其他</w:t>
            </w:r>
          </w:p>
          <w:p>
            <w:pPr>
              <w:spacing w:line="240" w:lineRule="exact"/>
              <w:jc w:val="center"/>
              <w:rPr>
                <w:rFonts w:eastAsia="方正仿宋_GBK"/>
                <w:color w:val="000000"/>
                <w:spacing w:val="-2"/>
                <w:szCs w:val="21"/>
              </w:rPr>
            </w:pPr>
            <w:r>
              <w:rPr>
                <w:rFonts w:hint="eastAsia" w:eastAsia="方正仿宋_GBK"/>
                <w:color w:val="000000"/>
                <w:spacing w:val="-2"/>
                <w:szCs w:val="21"/>
              </w:rPr>
              <w:t>项目同期建设</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683"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项目占地面积</w:t>
            </w:r>
          </w:p>
          <w:p>
            <w:pPr>
              <w:jc w:val="center"/>
              <w:rPr>
                <w:rFonts w:eastAsia="方正仿宋_GBK"/>
                <w:color w:val="000000"/>
                <w:spacing w:val="-2"/>
                <w:szCs w:val="21"/>
              </w:rPr>
            </w:pPr>
            <w:r>
              <w:rPr>
                <w:rFonts w:hint="eastAsia" w:eastAsia="方正仿宋_GBK"/>
                <w:color w:val="000000"/>
                <w:spacing w:val="-2"/>
                <w:szCs w:val="21"/>
              </w:rPr>
              <w:t>（万平方米）</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9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有效避难面积</w:t>
            </w:r>
          </w:p>
          <w:p>
            <w:pPr>
              <w:jc w:val="center"/>
              <w:rPr>
                <w:rFonts w:eastAsia="方正仿宋_GBK"/>
                <w:color w:val="000000"/>
                <w:spacing w:val="-2"/>
                <w:szCs w:val="21"/>
              </w:rPr>
            </w:pPr>
            <w:r>
              <w:rPr>
                <w:rFonts w:hint="eastAsia" w:eastAsia="方正仿宋_GBK"/>
                <w:color w:val="000000"/>
                <w:spacing w:val="-2"/>
                <w:szCs w:val="21"/>
              </w:rPr>
              <w:t>（万平方米）</w:t>
            </w:r>
          </w:p>
        </w:tc>
        <w:tc>
          <w:tcPr>
            <w:tcW w:w="12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683"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可容纳避难</w:t>
            </w:r>
          </w:p>
          <w:p>
            <w:pPr>
              <w:jc w:val="center"/>
              <w:rPr>
                <w:rFonts w:eastAsia="方正仿宋_GBK"/>
                <w:color w:val="000000"/>
                <w:spacing w:val="-2"/>
                <w:szCs w:val="21"/>
              </w:rPr>
            </w:pPr>
            <w:r>
              <w:rPr>
                <w:rFonts w:hint="eastAsia" w:eastAsia="方正仿宋_GBK"/>
                <w:color w:val="000000"/>
                <w:spacing w:val="-2"/>
                <w:szCs w:val="21"/>
              </w:rPr>
              <w:t>人数（万人）</w:t>
            </w:r>
          </w:p>
        </w:tc>
        <w:tc>
          <w:tcPr>
            <w:tcW w:w="10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79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人均避难</w:t>
            </w:r>
          </w:p>
          <w:p>
            <w:pPr>
              <w:jc w:val="center"/>
              <w:rPr>
                <w:rFonts w:eastAsia="方正仿宋_GBK"/>
                <w:color w:val="000000"/>
                <w:spacing w:val="-2"/>
                <w:szCs w:val="21"/>
              </w:rPr>
            </w:pPr>
            <w:r>
              <w:rPr>
                <w:rFonts w:hint="eastAsia" w:eastAsia="方正仿宋_GBK"/>
                <w:color w:val="000000"/>
                <w:spacing w:val="-2"/>
                <w:szCs w:val="21"/>
              </w:rPr>
              <w:t>面积（</w:t>
            </w:r>
            <w:r>
              <w:rPr>
                <w:rFonts w:eastAsia="方正仿宋_GBK"/>
                <w:color w:val="000000"/>
                <w:spacing w:val="-2"/>
                <w:szCs w:val="21"/>
              </w:rPr>
              <w:t>m</w:t>
            </w:r>
            <w:r>
              <w:rPr>
                <w:rFonts w:eastAsia="方正仿宋_GBK"/>
                <w:color w:val="000000"/>
                <w:spacing w:val="-2"/>
                <w:szCs w:val="21"/>
                <w:vertAlign w:val="superscript"/>
              </w:rPr>
              <w:t>2</w:t>
            </w:r>
            <w:r>
              <w:rPr>
                <w:rFonts w:hint="eastAsia" w:eastAsia="方正仿宋_GBK"/>
                <w:color w:val="000000"/>
                <w:spacing w:val="-2"/>
                <w:szCs w:val="21"/>
              </w:rPr>
              <w:t>）</w:t>
            </w:r>
          </w:p>
        </w:tc>
        <w:tc>
          <w:tcPr>
            <w:tcW w:w="12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1" w:hRule="atLeast"/>
        </w:trPr>
        <w:tc>
          <w:tcPr>
            <w:tcW w:w="683"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实</w:t>
            </w:r>
          </w:p>
          <w:p>
            <w:pPr>
              <w:jc w:val="center"/>
              <w:rPr>
                <w:rFonts w:eastAsia="方正仿宋_GBK"/>
                <w:color w:val="000000"/>
                <w:spacing w:val="-2"/>
                <w:szCs w:val="21"/>
              </w:rPr>
            </w:pPr>
            <w:r>
              <w:rPr>
                <w:rFonts w:hint="eastAsia" w:eastAsia="方正仿宋_GBK"/>
                <w:color w:val="000000"/>
                <w:spacing w:val="-2"/>
                <w:szCs w:val="21"/>
              </w:rPr>
              <w:t>施</w:t>
            </w:r>
          </w:p>
          <w:p>
            <w:pPr>
              <w:jc w:val="center"/>
              <w:rPr>
                <w:rFonts w:eastAsia="方正仿宋_GBK"/>
                <w:color w:val="000000"/>
                <w:spacing w:val="-2"/>
                <w:szCs w:val="21"/>
              </w:rPr>
            </w:pPr>
            <w:r>
              <w:rPr>
                <w:rFonts w:hint="eastAsia" w:eastAsia="方正仿宋_GBK"/>
                <w:color w:val="000000"/>
                <w:spacing w:val="-2"/>
                <w:szCs w:val="21"/>
              </w:rPr>
              <w:t>结</w:t>
            </w:r>
          </w:p>
          <w:p>
            <w:pPr>
              <w:jc w:val="center"/>
              <w:rPr>
                <w:rFonts w:eastAsia="方正仿宋_GBK"/>
                <w:color w:val="000000"/>
                <w:spacing w:val="-2"/>
                <w:szCs w:val="21"/>
              </w:rPr>
            </w:pPr>
            <w:r>
              <w:rPr>
                <w:rFonts w:hint="eastAsia" w:eastAsia="方正仿宋_GBK"/>
                <w:color w:val="000000"/>
                <w:spacing w:val="-2"/>
                <w:szCs w:val="21"/>
              </w:rPr>
              <w:t>果</w:t>
            </w:r>
          </w:p>
          <w:p>
            <w:pPr>
              <w:jc w:val="center"/>
              <w:rPr>
                <w:rFonts w:eastAsia="方正仿宋_GBK"/>
                <w:color w:val="000000"/>
                <w:spacing w:val="-2"/>
                <w:szCs w:val="21"/>
              </w:rPr>
            </w:pPr>
            <w:r>
              <w:rPr>
                <w:rFonts w:hint="eastAsia" w:eastAsia="方正仿宋_GBK"/>
                <w:color w:val="000000"/>
                <w:spacing w:val="-2"/>
                <w:szCs w:val="21"/>
              </w:rPr>
              <w:t>评</w:t>
            </w:r>
          </w:p>
          <w:p>
            <w:pPr>
              <w:jc w:val="center"/>
              <w:rPr>
                <w:rFonts w:eastAsia="方正仿宋_GBK"/>
                <w:color w:val="000000"/>
                <w:spacing w:val="-2"/>
                <w:szCs w:val="21"/>
              </w:rPr>
            </w:pPr>
            <w:r>
              <w:rPr>
                <w:rFonts w:hint="eastAsia" w:eastAsia="方正仿宋_GBK"/>
                <w:color w:val="000000"/>
                <w:spacing w:val="-2"/>
                <w:szCs w:val="21"/>
              </w:rPr>
              <w:t>价</w:t>
            </w:r>
          </w:p>
          <w:p>
            <w:pPr>
              <w:jc w:val="center"/>
              <w:rPr>
                <w:rFonts w:eastAsia="方正仿宋_GBK"/>
                <w:color w:val="000000"/>
                <w:spacing w:val="-2"/>
                <w:szCs w:val="21"/>
              </w:rPr>
            </w:pPr>
            <w:r>
              <w:rPr>
                <w:rFonts w:hint="eastAsia" w:eastAsia="方正仿宋_GBK"/>
                <w:color w:val="000000"/>
                <w:spacing w:val="-2"/>
                <w:szCs w:val="21"/>
              </w:rPr>
              <w:t>（</w:t>
            </w:r>
            <w:r>
              <w:rPr>
                <w:rFonts w:eastAsia="方正仿宋_GBK"/>
                <w:color w:val="000000"/>
                <w:spacing w:val="-2"/>
                <w:szCs w:val="21"/>
              </w:rPr>
              <w:t>60</w:t>
            </w:r>
            <w:r>
              <w:rPr>
                <w:rFonts w:hint="eastAsia" w:eastAsia="方正仿宋_GBK"/>
                <w:color w:val="000000"/>
                <w:spacing w:val="-2"/>
                <w:szCs w:val="21"/>
              </w:rPr>
              <w:t>分）</w:t>
            </w: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设计审查</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避难功能设计图纸是否通过审查</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5</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683"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季报制度</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是否按季度在网上填报项目实施管理情况</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5</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2" w:hRule="atLeast"/>
        </w:trPr>
        <w:tc>
          <w:tcPr>
            <w:tcW w:w="683"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基本设施</w:t>
            </w:r>
          </w:p>
          <w:p>
            <w:pPr>
              <w:jc w:val="center"/>
              <w:rPr>
                <w:rFonts w:eastAsia="方正仿宋_GBK"/>
                <w:color w:val="000000"/>
                <w:spacing w:val="-2"/>
                <w:szCs w:val="21"/>
              </w:rPr>
            </w:pPr>
            <w:r>
              <w:rPr>
                <w:rFonts w:hint="eastAsia" w:eastAsia="方正仿宋_GBK"/>
                <w:color w:val="000000"/>
                <w:spacing w:val="-2"/>
                <w:szCs w:val="21"/>
              </w:rPr>
              <w:t>配置情况</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应急管理区</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应急蓬宿区</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应急通道</w:t>
            </w:r>
          </w:p>
          <w:p>
            <w:pP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物资储备区</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医疗救护区</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应急供水</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应急厕所</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应急消防</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应急供电</w:t>
            </w:r>
            <w:r>
              <w:rPr>
                <w:rFonts w:eastAsia="方正仿宋_GBK"/>
                <w:color w:val="000000"/>
                <w:spacing w:val="-2"/>
                <w:szCs w:val="21"/>
              </w:rPr>
              <w:t xml:space="preserve">    </w:t>
            </w:r>
          </w:p>
          <w:p>
            <w:pP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功能分布牌</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应急标志</w:t>
            </w:r>
            <w:r>
              <w:rPr>
                <w:rFonts w:eastAsia="方正仿宋_GBK"/>
                <w:color w:val="000000"/>
                <w:spacing w:val="-2"/>
                <w:szCs w:val="21"/>
              </w:rPr>
              <w:t xml:space="preserve">     </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33</w:t>
            </w:r>
            <w:r>
              <w:rPr>
                <w:rFonts w:hint="eastAsia" w:eastAsia="方正仿宋_GBK"/>
                <w:color w:val="000000"/>
                <w:spacing w:val="-2"/>
                <w:szCs w:val="21"/>
              </w:rPr>
              <w:t>分</w:t>
            </w:r>
            <w:r>
              <w:rPr>
                <w:rFonts w:eastAsia="方正仿宋_GBK"/>
                <w:color w:val="000000"/>
                <w:spacing w:val="-2"/>
                <w:szCs w:val="21"/>
              </w:rPr>
              <w:t>(</w:t>
            </w:r>
            <w:r>
              <w:rPr>
                <w:rFonts w:hint="eastAsia" w:eastAsia="方正仿宋_GBK"/>
                <w:color w:val="000000"/>
                <w:spacing w:val="-2"/>
                <w:szCs w:val="21"/>
              </w:rPr>
              <w:t>每个</w:t>
            </w:r>
            <w:r>
              <w:rPr>
                <w:rFonts w:eastAsia="方正仿宋_GBK"/>
                <w:color w:val="000000"/>
                <w:spacing w:val="-2"/>
                <w:szCs w:val="21"/>
              </w:rPr>
              <w:t>3</w:t>
            </w:r>
            <w:r>
              <w:rPr>
                <w:rFonts w:hint="eastAsia" w:eastAsia="方正仿宋_GBK"/>
                <w:color w:val="000000"/>
                <w:spacing w:val="-2"/>
                <w:szCs w:val="21"/>
              </w:rPr>
              <w:t>分</w:t>
            </w:r>
            <w:r>
              <w:rPr>
                <w:rFonts w:eastAsia="方正仿宋_GBK"/>
                <w:color w:val="000000"/>
                <w:spacing w:val="-2"/>
                <w:szCs w:val="21"/>
              </w:rPr>
              <w:t>)</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3" w:hRule="atLeast"/>
        </w:trPr>
        <w:tc>
          <w:tcPr>
            <w:tcW w:w="683"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一般设施</w:t>
            </w:r>
          </w:p>
          <w:p>
            <w:pPr>
              <w:jc w:val="center"/>
              <w:rPr>
                <w:rFonts w:eastAsia="方正仿宋_GBK"/>
                <w:color w:val="000000"/>
                <w:spacing w:val="-2"/>
                <w:szCs w:val="21"/>
              </w:rPr>
            </w:pPr>
            <w:r>
              <w:rPr>
                <w:rFonts w:hint="eastAsia" w:eastAsia="方正仿宋_GBK"/>
                <w:color w:val="000000"/>
                <w:spacing w:val="-2"/>
                <w:szCs w:val="21"/>
              </w:rPr>
              <w:t>配置情况</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应急排污</w:t>
            </w:r>
            <w:r>
              <w:rPr>
                <w:rFonts w:eastAsia="方正仿宋_GBK"/>
                <w:color w:val="000000"/>
                <w:spacing w:val="-2"/>
                <w:szCs w:val="21"/>
              </w:rPr>
              <w:t xml:space="preserve">       </w:t>
            </w:r>
            <w:r>
              <w:rPr>
                <w:rFonts w:hint="eastAsia" w:ascii="Times New Roman" w:hAnsi="Times New Roman"/>
                <w:color w:val="000000"/>
                <w:spacing w:val="-2"/>
                <w:szCs w:val="21"/>
              </w:rPr>
              <w:t xml:space="preserve"> □</w:t>
            </w:r>
            <w:r>
              <w:rPr>
                <w:rFonts w:hint="eastAsia" w:eastAsia="方正仿宋_GBK"/>
                <w:color w:val="000000"/>
                <w:spacing w:val="-2"/>
                <w:szCs w:val="21"/>
              </w:rPr>
              <w:t>应急停车场</w:t>
            </w:r>
            <w:r>
              <w:rPr>
                <w:rFonts w:eastAsia="方正仿宋_GBK"/>
                <w:color w:val="000000"/>
                <w:spacing w:val="-2"/>
                <w:szCs w:val="21"/>
              </w:rPr>
              <w:t xml:space="preserve">  </w:t>
            </w:r>
          </w:p>
          <w:p>
            <w:pP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应急洗浴</w:t>
            </w:r>
            <w:r>
              <w:rPr>
                <w:rFonts w:eastAsia="方正仿宋_GBK"/>
                <w:color w:val="000000"/>
                <w:spacing w:val="-2"/>
                <w:szCs w:val="21"/>
              </w:rPr>
              <w:t xml:space="preserve">       </w:t>
            </w:r>
            <w:r>
              <w:rPr>
                <w:rFonts w:hint="eastAsia" w:ascii="Times New Roman" w:hAnsi="Times New Roman"/>
                <w:color w:val="000000"/>
                <w:spacing w:val="-2"/>
                <w:szCs w:val="21"/>
              </w:rPr>
              <w:t xml:space="preserve"> □</w:t>
            </w:r>
            <w:r>
              <w:rPr>
                <w:rFonts w:hint="eastAsia" w:eastAsia="方正仿宋_GBK"/>
                <w:color w:val="000000"/>
                <w:spacing w:val="-2"/>
                <w:szCs w:val="21"/>
              </w:rPr>
              <w:t>应急垃圾储运</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8</w:t>
            </w:r>
            <w:r>
              <w:rPr>
                <w:rFonts w:hint="eastAsia" w:eastAsia="方正仿宋_GBK"/>
                <w:color w:val="000000"/>
                <w:spacing w:val="-2"/>
                <w:szCs w:val="21"/>
              </w:rPr>
              <w:t>分（每个</w:t>
            </w:r>
            <w:r>
              <w:rPr>
                <w:rFonts w:eastAsia="方正仿宋_GBK"/>
                <w:color w:val="000000"/>
                <w:spacing w:val="-2"/>
                <w:szCs w:val="21"/>
              </w:rPr>
              <w:t>2</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683"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综合设施</w:t>
            </w:r>
          </w:p>
          <w:p>
            <w:pPr>
              <w:jc w:val="center"/>
              <w:rPr>
                <w:rFonts w:eastAsia="方正仿宋_GBK"/>
                <w:color w:val="000000"/>
                <w:spacing w:val="-2"/>
                <w:szCs w:val="21"/>
              </w:rPr>
            </w:pPr>
            <w:r>
              <w:rPr>
                <w:rFonts w:hint="eastAsia" w:eastAsia="方正仿宋_GBK"/>
                <w:color w:val="000000"/>
                <w:spacing w:val="-2"/>
                <w:szCs w:val="21"/>
              </w:rPr>
              <w:t>配置情况</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应急指挥中心</w:t>
            </w:r>
            <w:r>
              <w:rPr>
                <w:rFonts w:eastAsia="方正仿宋_GBK"/>
                <w:color w:val="000000"/>
                <w:spacing w:val="-2"/>
                <w:szCs w:val="21"/>
              </w:rPr>
              <w:t xml:space="preserve">   </w:t>
            </w:r>
            <w:r>
              <w:rPr>
                <w:rFonts w:hint="eastAsia" w:ascii="Times New Roman" w:hAnsi="Times New Roman"/>
                <w:color w:val="000000"/>
                <w:spacing w:val="-2"/>
                <w:szCs w:val="21"/>
              </w:rPr>
              <w:t xml:space="preserve"> □</w:t>
            </w:r>
            <w:r>
              <w:rPr>
                <w:rFonts w:hint="eastAsia" w:eastAsia="方正仿宋_GBK"/>
                <w:color w:val="000000"/>
                <w:spacing w:val="-2"/>
                <w:szCs w:val="21"/>
              </w:rPr>
              <w:t>应急停机坪</w:t>
            </w:r>
            <w:r>
              <w:rPr>
                <w:rFonts w:eastAsia="方正仿宋_GBK"/>
                <w:color w:val="000000"/>
                <w:spacing w:val="-2"/>
                <w:szCs w:val="21"/>
              </w:rPr>
              <w:t xml:space="preserve">    </w:t>
            </w:r>
          </w:p>
          <w:p>
            <w:pP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应急物资</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9</w:t>
            </w:r>
            <w:r>
              <w:rPr>
                <w:rFonts w:hint="eastAsia" w:eastAsia="方正仿宋_GBK"/>
                <w:color w:val="000000"/>
                <w:spacing w:val="-2"/>
                <w:szCs w:val="21"/>
              </w:rPr>
              <w:t>分（每个</w:t>
            </w:r>
            <w:r>
              <w:rPr>
                <w:rFonts w:eastAsia="方正仿宋_GBK"/>
                <w:color w:val="000000"/>
                <w:spacing w:val="-2"/>
                <w:szCs w:val="21"/>
              </w:rPr>
              <w:t>3</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83" w:type="dxa"/>
            <w:vMerge w:val="restart"/>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实施效果评价</w:t>
            </w:r>
          </w:p>
          <w:p>
            <w:pPr>
              <w:jc w:val="center"/>
              <w:rPr>
                <w:rFonts w:eastAsia="方正仿宋_GBK"/>
                <w:color w:val="000000"/>
                <w:spacing w:val="-2"/>
                <w:szCs w:val="21"/>
              </w:rPr>
            </w:pPr>
            <w:r>
              <w:rPr>
                <w:rFonts w:hint="eastAsia" w:eastAsia="方正仿宋_GBK"/>
                <w:color w:val="000000"/>
                <w:spacing w:val="-2"/>
                <w:szCs w:val="21"/>
              </w:rPr>
              <w:t>（</w:t>
            </w:r>
            <w:r>
              <w:rPr>
                <w:rFonts w:eastAsia="方正仿宋_GBK"/>
                <w:color w:val="000000"/>
                <w:spacing w:val="-2"/>
                <w:szCs w:val="21"/>
              </w:rPr>
              <w:t>40</w:t>
            </w:r>
            <w:r>
              <w:rPr>
                <w:rFonts w:hint="eastAsia" w:eastAsia="方正仿宋_GBK"/>
                <w:color w:val="000000"/>
                <w:spacing w:val="-2"/>
                <w:szCs w:val="21"/>
              </w:rPr>
              <w:t>分）</w:t>
            </w: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基本设施</w:t>
            </w:r>
          </w:p>
          <w:p>
            <w:pPr>
              <w:jc w:val="center"/>
              <w:rPr>
                <w:rFonts w:eastAsia="方正仿宋_GBK"/>
                <w:color w:val="000000"/>
                <w:spacing w:val="-2"/>
                <w:szCs w:val="21"/>
              </w:rPr>
            </w:pPr>
            <w:r>
              <w:rPr>
                <w:rFonts w:hint="eastAsia" w:eastAsia="方正仿宋_GBK"/>
                <w:color w:val="000000"/>
                <w:spacing w:val="-2"/>
                <w:szCs w:val="21"/>
              </w:rPr>
              <w:t>建设数量</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是否符合避难人数需求</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9</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83"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一般设施</w:t>
            </w:r>
          </w:p>
          <w:p>
            <w:pPr>
              <w:jc w:val="center"/>
              <w:rPr>
                <w:rFonts w:eastAsia="方正仿宋_GBK"/>
                <w:color w:val="000000"/>
                <w:spacing w:val="-2"/>
                <w:szCs w:val="21"/>
              </w:rPr>
            </w:pPr>
            <w:r>
              <w:rPr>
                <w:rFonts w:hint="eastAsia" w:eastAsia="方正仿宋_GBK"/>
                <w:color w:val="000000"/>
                <w:spacing w:val="-2"/>
                <w:szCs w:val="21"/>
              </w:rPr>
              <w:t>建设数量</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是否符合避难人数需求</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9</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683"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综合设施</w:t>
            </w:r>
          </w:p>
          <w:p>
            <w:pPr>
              <w:jc w:val="center"/>
              <w:rPr>
                <w:rFonts w:eastAsia="方正仿宋_GBK"/>
                <w:color w:val="000000"/>
                <w:spacing w:val="-2"/>
                <w:szCs w:val="21"/>
              </w:rPr>
            </w:pPr>
            <w:r>
              <w:rPr>
                <w:rFonts w:hint="eastAsia" w:eastAsia="方正仿宋_GBK"/>
                <w:color w:val="000000"/>
                <w:spacing w:val="-2"/>
                <w:szCs w:val="21"/>
              </w:rPr>
              <w:t>建设数量</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是否符合避难人数需求</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9</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683"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工期控制</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是否按期完成</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3</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25" w:hRule="atLeast"/>
        </w:trPr>
        <w:tc>
          <w:tcPr>
            <w:tcW w:w="683"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质量控制</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是否验收合格</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3</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5" w:hRule="atLeast"/>
        </w:trPr>
        <w:tc>
          <w:tcPr>
            <w:tcW w:w="683"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bookmarkStart w:id="228" w:name="_Hlk408501934" w:colFirst="1" w:colLast="6"/>
          </w:p>
        </w:tc>
        <w:tc>
          <w:tcPr>
            <w:tcW w:w="1537"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资金成本控制</w:t>
            </w:r>
          </w:p>
        </w:tc>
        <w:tc>
          <w:tcPr>
            <w:tcW w:w="40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是否与预算成本相符</w:t>
            </w:r>
          </w:p>
        </w:tc>
        <w:tc>
          <w:tcPr>
            <w:tcW w:w="152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3</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bookmarkEnd w:id="228"/>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683"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537"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省级财政</w:t>
            </w:r>
          </w:p>
          <w:p>
            <w:pPr>
              <w:jc w:val="center"/>
              <w:rPr>
                <w:rFonts w:eastAsia="方正仿宋_GBK"/>
                <w:color w:val="000000"/>
                <w:spacing w:val="-2"/>
                <w:szCs w:val="21"/>
              </w:rPr>
            </w:pPr>
            <w:r>
              <w:rPr>
                <w:rFonts w:hint="eastAsia" w:eastAsia="方正仿宋_GBK"/>
                <w:color w:val="000000"/>
                <w:spacing w:val="-2"/>
                <w:szCs w:val="21"/>
              </w:rPr>
              <w:t>投入乘数</w:t>
            </w:r>
          </w:p>
        </w:tc>
        <w:tc>
          <w:tcPr>
            <w:tcW w:w="4080" w:type="dxa"/>
            <w:gridSpan w:val="3"/>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以（预算投入资金</w:t>
            </w:r>
            <w:r>
              <w:rPr>
                <w:rFonts w:eastAsia="方正仿宋_GBK"/>
                <w:color w:val="000000"/>
                <w:spacing w:val="-2"/>
                <w:szCs w:val="21"/>
              </w:rPr>
              <w:t>÷</w:t>
            </w:r>
            <w:r>
              <w:rPr>
                <w:rFonts w:hint="eastAsia" w:eastAsia="方正仿宋_GBK"/>
                <w:color w:val="000000"/>
                <w:spacing w:val="-2"/>
                <w:szCs w:val="21"/>
              </w:rPr>
              <w:t>省级财政资金）</w:t>
            </w:r>
            <w:r>
              <w:rPr>
                <w:rFonts w:eastAsia="方正仿宋_GBK"/>
                <w:color w:val="000000"/>
                <w:spacing w:val="-2"/>
                <w:szCs w:val="21"/>
              </w:rPr>
              <w:t>≥4</w:t>
            </w:r>
            <w:r>
              <w:rPr>
                <w:rFonts w:hint="eastAsia" w:eastAsia="方正仿宋_GBK"/>
                <w:color w:val="000000"/>
                <w:spacing w:val="-2"/>
                <w:szCs w:val="21"/>
              </w:rPr>
              <w:t>为标准值</w:t>
            </w:r>
          </w:p>
        </w:tc>
        <w:tc>
          <w:tcPr>
            <w:tcW w:w="1528"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4</w:t>
            </w:r>
            <w:r>
              <w:rPr>
                <w:rFonts w:hint="eastAsia" w:eastAsia="方正仿宋_GBK"/>
                <w:color w:val="000000"/>
                <w:spacing w:val="-2"/>
                <w:szCs w:val="21"/>
              </w:rPr>
              <w:t>分</w:t>
            </w:r>
          </w:p>
        </w:tc>
        <w:tc>
          <w:tcPr>
            <w:tcW w:w="895" w:type="dxa"/>
            <w:tcBorders>
              <w:top w:val="single" w:color="auto" w:sz="4" w:space="0"/>
              <w:left w:val="single" w:color="auto" w:sz="4" w:space="0"/>
              <w:bottom w:val="single" w:color="auto" w:sz="8" w:space="0"/>
              <w:right w:val="single" w:color="auto" w:sz="8" w:space="0"/>
            </w:tcBorders>
            <w:noWrap w:val="0"/>
            <w:vAlign w:val="center"/>
          </w:tcPr>
          <w:p>
            <w:pPr>
              <w:jc w:val="center"/>
              <w:rPr>
                <w:rFonts w:eastAsia="方正仿宋_GBK"/>
                <w:color w:val="000000"/>
                <w:spacing w:val="-2"/>
                <w:szCs w:val="21"/>
              </w:rPr>
            </w:pPr>
          </w:p>
        </w:tc>
      </w:tr>
    </w:tbl>
    <w:p>
      <w:pPr>
        <w:spacing w:before="120" w:beforeLines="50"/>
        <w:jc w:val="left"/>
        <w:rPr>
          <w:rFonts w:hint="eastAsia" w:eastAsia="方正仿宋_GBK"/>
          <w:color w:val="000000"/>
          <w:spacing w:val="-2"/>
          <w:szCs w:val="21"/>
        </w:rPr>
      </w:pPr>
      <w:r>
        <w:rPr>
          <w:rFonts w:hint="eastAsia" w:eastAsia="方正仿宋_GBK"/>
          <w:color w:val="000000"/>
          <w:spacing w:val="-2"/>
          <w:szCs w:val="21"/>
        </w:rPr>
        <w:t>（注：基本情况由项目实施单位填写；此表适用于中心应急避难场所绩效自评价，固定应急避难场所绩效自评价要对选项和分值进行调整后使用）</w:t>
      </w:r>
    </w:p>
    <w:p>
      <w:pPr>
        <w:spacing w:line="560" w:lineRule="exact"/>
        <w:jc w:val="center"/>
        <w:rPr>
          <w:rFonts w:ascii="Times New Roman" w:eastAsia="方正黑体_GBK"/>
          <w:color w:val="000000"/>
          <w:spacing w:val="-2"/>
          <w:sz w:val="28"/>
          <w:szCs w:val="28"/>
        </w:rPr>
      </w:pPr>
      <w:r>
        <w:rPr>
          <w:rFonts w:hAnsi="Times New Roman" w:eastAsia="黑体"/>
          <w:color w:val="000000"/>
          <w:spacing w:val="-2"/>
          <w:sz w:val="32"/>
          <w:szCs w:val="32"/>
        </w:rPr>
        <w:br w:type="column"/>
      </w:r>
      <w:r>
        <w:rPr>
          <w:rFonts w:hint="eastAsia" w:ascii="Times New Roman" w:eastAsia="方正黑体_GBK"/>
          <w:color w:val="000000"/>
          <w:spacing w:val="-2"/>
          <w:sz w:val="28"/>
          <w:szCs w:val="28"/>
        </w:rPr>
        <w:t>绩效自评价表三（重点抗震加固项目）</w:t>
      </w:r>
    </w:p>
    <w:tbl>
      <w:tblPr>
        <w:tblStyle w:val="12"/>
        <w:tblW w:w="0" w:type="auto"/>
        <w:tblInd w:w="8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80"/>
        <w:gridCol w:w="1600"/>
        <w:gridCol w:w="1182"/>
        <w:gridCol w:w="1689"/>
        <w:gridCol w:w="1589"/>
        <w:gridCol w:w="1118"/>
        <w:gridCol w:w="112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2280" w:type="dxa"/>
            <w:gridSpan w:val="2"/>
            <w:tcBorders>
              <w:top w:val="single" w:color="auto" w:sz="8" w:space="0"/>
              <w:left w:val="single" w:color="auto" w:sz="8" w:space="0"/>
              <w:bottom w:val="single" w:color="auto" w:sz="4" w:space="0"/>
              <w:right w:val="single" w:color="auto" w:sz="4"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自评价内容</w:t>
            </w:r>
          </w:p>
        </w:tc>
        <w:tc>
          <w:tcPr>
            <w:tcW w:w="4460" w:type="dxa"/>
            <w:gridSpan w:val="3"/>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自评价指标</w:t>
            </w:r>
          </w:p>
        </w:tc>
        <w:tc>
          <w:tcPr>
            <w:tcW w:w="1118"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分值</w:t>
            </w:r>
          </w:p>
        </w:tc>
        <w:tc>
          <w:tcPr>
            <w:tcW w:w="1127" w:type="dxa"/>
            <w:tcBorders>
              <w:top w:val="single" w:color="auto" w:sz="8" w:space="0"/>
              <w:left w:val="single" w:color="auto" w:sz="4" w:space="0"/>
              <w:bottom w:val="single" w:color="auto" w:sz="4" w:space="0"/>
              <w:right w:val="single" w:color="auto" w:sz="8"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得分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680"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基本情况</w:t>
            </w: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项目类型</w:t>
            </w:r>
          </w:p>
        </w:tc>
        <w:tc>
          <w:tcPr>
            <w:tcW w:w="118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建筑</w:t>
            </w:r>
            <w:r>
              <w:rPr>
                <w:rFonts w:eastAsia="方正仿宋_GBK"/>
                <w:color w:val="000000"/>
                <w:spacing w:val="-2"/>
                <w:szCs w:val="21"/>
              </w:rPr>
              <w:t xml:space="preserve"> </w:t>
            </w:r>
          </w:p>
          <w:p>
            <w:pPr>
              <w:jc w:val="cente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市政</w:t>
            </w:r>
          </w:p>
        </w:tc>
        <w:tc>
          <w:tcPr>
            <w:tcW w:w="1689"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项目建筑年代</w:t>
            </w:r>
          </w:p>
        </w:tc>
        <w:tc>
          <w:tcPr>
            <w:tcW w:w="1589"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结构类型</w:t>
            </w:r>
          </w:p>
        </w:tc>
        <w:tc>
          <w:tcPr>
            <w:tcW w:w="118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689"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层数</w:t>
            </w:r>
          </w:p>
        </w:tc>
        <w:tc>
          <w:tcPr>
            <w:tcW w:w="1589"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7"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项目建筑面积</w:t>
            </w:r>
          </w:p>
        </w:tc>
        <w:tc>
          <w:tcPr>
            <w:tcW w:w="118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689"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改造内容</w:t>
            </w:r>
          </w:p>
        </w:tc>
        <w:tc>
          <w:tcPr>
            <w:tcW w:w="1589"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仅加固</w:t>
            </w:r>
            <w:r>
              <w:rPr>
                <w:rFonts w:eastAsia="方正仿宋_GBK"/>
                <w:color w:val="000000"/>
                <w:spacing w:val="-2"/>
                <w:szCs w:val="21"/>
              </w:rPr>
              <w:t xml:space="preserve">    </w:t>
            </w:r>
          </w:p>
          <w:p>
            <w:pPr>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加固及节能</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680"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实</w:t>
            </w:r>
          </w:p>
          <w:p>
            <w:pPr>
              <w:jc w:val="center"/>
              <w:rPr>
                <w:rFonts w:eastAsia="方正仿宋_GBK"/>
                <w:color w:val="000000"/>
                <w:spacing w:val="-2"/>
                <w:szCs w:val="21"/>
              </w:rPr>
            </w:pPr>
            <w:r>
              <w:rPr>
                <w:rFonts w:hint="eastAsia" w:eastAsia="方正仿宋_GBK"/>
                <w:color w:val="000000"/>
                <w:spacing w:val="-2"/>
                <w:szCs w:val="21"/>
              </w:rPr>
              <w:t>施</w:t>
            </w:r>
          </w:p>
          <w:p>
            <w:pPr>
              <w:jc w:val="center"/>
              <w:rPr>
                <w:rFonts w:eastAsia="方正仿宋_GBK"/>
                <w:color w:val="000000"/>
                <w:spacing w:val="-2"/>
                <w:szCs w:val="21"/>
              </w:rPr>
            </w:pPr>
            <w:r>
              <w:rPr>
                <w:rFonts w:hint="eastAsia" w:eastAsia="方正仿宋_GBK"/>
                <w:color w:val="000000"/>
                <w:spacing w:val="-2"/>
                <w:szCs w:val="21"/>
              </w:rPr>
              <w:t>结</w:t>
            </w:r>
          </w:p>
          <w:p>
            <w:pPr>
              <w:jc w:val="center"/>
              <w:rPr>
                <w:rFonts w:eastAsia="方正仿宋_GBK"/>
                <w:color w:val="000000"/>
                <w:spacing w:val="-2"/>
                <w:szCs w:val="21"/>
              </w:rPr>
            </w:pPr>
            <w:r>
              <w:rPr>
                <w:rFonts w:hint="eastAsia" w:eastAsia="方正仿宋_GBK"/>
                <w:color w:val="000000"/>
                <w:spacing w:val="-2"/>
                <w:szCs w:val="21"/>
              </w:rPr>
              <w:t>果</w:t>
            </w:r>
          </w:p>
          <w:p>
            <w:pPr>
              <w:jc w:val="center"/>
              <w:rPr>
                <w:rFonts w:eastAsia="方正仿宋_GBK"/>
                <w:color w:val="000000"/>
                <w:spacing w:val="-2"/>
                <w:szCs w:val="21"/>
              </w:rPr>
            </w:pPr>
            <w:r>
              <w:rPr>
                <w:rFonts w:hint="eastAsia" w:eastAsia="方正仿宋_GBK"/>
                <w:color w:val="000000"/>
                <w:spacing w:val="-2"/>
                <w:szCs w:val="21"/>
              </w:rPr>
              <w:t>评</w:t>
            </w:r>
          </w:p>
          <w:p>
            <w:pPr>
              <w:jc w:val="center"/>
              <w:rPr>
                <w:rFonts w:eastAsia="方正仿宋_GBK"/>
                <w:color w:val="000000"/>
                <w:spacing w:val="-2"/>
                <w:szCs w:val="21"/>
              </w:rPr>
            </w:pPr>
            <w:r>
              <w:rPr>
                <w:rFonts w:hint="eastAsia" w:eastAsia="方正仿宋_GBK"/>
                <w:color w:val="000000"/>
                <w:spacing w:val="-2"/>
                <w:szCs w:val="21"/>
              </w:rPr>
              <w:t>价</w:t>
            </w:r>
          </w:p>
          <w:p>
            <w:pPr>
              <w:ind w:left="-105" w:leftChars="-50" w:right="-105" w:rightChars="-50"/>
              <w:jc w:val="center"/>
              <w:rPr>
                <w:rFonts w:eastAsia="方正仿宋_GBK"/>
                <w:color w:val="000000"/>
                <w:spacing w:val="-2"/>
                <w:w w:val="80"/>
                <w:szCs w:val="21"/>
              </w:rPr>
            </w:pPr>
            <w:r>
              <w:rPr>
                <w:rFonts w:hint="eastAsia" w:eastAsia="方正仿宋_GBK"/>
                <w:color w:val="000000"/>
                <w:spacing w:val="-2"/>
                <w:w w:val="80"/>
                <w:szCs w:val="21"/>
              </w:rPr>
              <w:t>（</w:t>
            </w:r>
            <w:r>
              <w:rPr>
                <w:rFonts w:eastAsia="方正仿宋_GBK"/>
                <w:color w:val="000000"/>
                <w:spacing w:val="-2"/>
                <w:w w:val="80"/>
                <w:szCs w:val="21"/>
              </w:rPr>
              <w:t>50</w:t>
            </w:r>
            <w:r>
              <w:rPr>
                <w:rFonts w:hint="eastAsia" w:eastAsia="方正仿宋_GBK"/>
                <w:color w:val="000000"/>
                <w:spacing w:val="-2"/>
                <w:w w:val="80"/>
                <w:szCs w:val="21"/>
              </w:rPr>
              <w:t>分）</w:t>
            </w: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设计审查</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加固设计图纸是否通过审查</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w w:val="80"/>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季报制度</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是否按季度在网上填报项目实施管理情况</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w w:val="80"/>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质量监督</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是否进行质量监督管理</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1"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w w:val="80"/>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采用的加固</w:t>
            </w:r>
          </w:p>
          <w:p>
            <w:pPr>
              <w:jc w:val="center"/>
              <w:rPr>
                <w:rFonts w:eastAsia="方正仿宋_GBK"/>
                <w:color w:val="000000"/>
                <w:spacing w:val="-2"/>
                <w:szCs w:val="21"/>
              </w:rPr>
            </w:pPr>
            <w:r>
              <w:rPr>
                <w:rFonts w:hint="eastAsia" w:eastAsia="方正仿宋_GBK"/>
                <w:color w:val="000000"/>
                <w:spacing w:val="-2"/>
                <w:szCs w:val="21"/>
              </w:rPr>
              <w:t>技术措施</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有一项的算</w:t>
            </w:r>
            <w:r>
              <w:rPr>
                <w:rFonts w:eastAsia="方正仿宋_GBK"/>
                <w:color w:val="000000"/>
                <w:spacing w:val="-2"/>
                <w:szCs w:val="21"/>
              </w:rPr>
              <w:t>5</w:t>
            </w:r>
            <w:r>
              <w:rPr>
                <w:rFonts w:hint="eastAsia" w:eastAsia="方正仿宋_GBK"/>
                <w:color w:val="000000"/>
                <w:spacing w:val="-2"/>
                <w:szCs w:val="21"/>
              </w:rPr>
              <w:t>分</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20</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8" w:hRule="atLeast"/>
        </w:trPr>
        <w:tc>
          <w:tcPr>
            <w:tcW w:w="680"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实施效果评价</w:t>
            </w:r>
          </w:p>
          <w:p>
            <w:pPr>
              <w:ind w:left="-105" w:leftChars="-50" w:right="-105" w:rightChars="-50"/>
              <w:jc w:val="center"/>
              <w:rPr>
                <w:rFonts w:eastAsia="方正仿宋_GBK"/>
                <w:color w:val="000000"/>
                <w:spacing w:val="-2"/>
                <w:szCs w:val="21"/>
              </w:rPr>
            </w:pPr>
            <w:r>
              <w:rPr>
                <w:rFonts w:hint="eastAsia" w:eastAsia="方正仿宋_GBK"/>
                <w:color w:val="000000"/>
                <w:spacing w:val="-2"/>
                <w:w w:val="80"/>
                <w:szCs w:val="21"/>
              </w:rPr>
              <w:t>（</w:t>
            </w:r>
            <w:r>
              <w:rPr>
                <w:rFonts w:eastAsia="方正仿宋_GBK"/>
                <w:color w:val="000000"/>
                <w:spacing w:val="-2"/>
                <w:w w:val="80"/>
                <w:szCs w:val="21"/>
              </w:rPr>
              <w:t>50</w:t>
            </w:r>
            <w:r>
              <w:rPr>
                <w:rFonts w:hint="eastAsia" w:eastAsia="方正仿宋_GBK"/>
                <w:color w:val="000000"/>
                <w:spacing w:val="-2"/>
                <w:w w:val="80"/>
                <w:szCs w:val="21"/>
              </w:rPr>
              <w:t>分）</w:t>
            </w: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项目后续</w:t>
            </w:r>
          </w:p>
          <w:p>
            <w:pPr>
              <w:jc w:val="center"/>
              <w:rPr>
                <w:rFonts w:eastAsia="方正仿宋_GBK"/>
                <w:color w:val="000000"/>
                <w:spacing w:val="-2"/>
                <w:szCs w:val="21"/>
              </w:rPr>
            </w:pPr>
            <w:r>
              <w:rPr>
                <w:rFonts w:hint="eastAsia" w:eastAsia="方正仿宋_GBK"/>
                <w:color w:val="000000"/>
                <w:spacing w:val="-2"/>
                <w:szCs w:val="21"/>
              </w:rPr>
              <w:t>使用年限</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是否延长使用年限（以原使用年限为标准值）</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6</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1"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质量控制</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是否验收合格</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8</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工期控制</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是否按期完成</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8</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资金成本控制</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是否与预算成本相符</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8</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9"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省级财政</w:t>
            </w:r>
          </w:p>
          <w:p>
            <w:pPr>
              <w:jc w:val="center"/>
              <w:rPr>
                <w:rFonts w:eastAsia="方正仿宋_GBK"/>
                <w:color w:val="000000"/>
                <w:spacing w:val="-2"/>
                <w:szCs w:val="21"/>
              </w:rPr>
            </w:pPr>
            <w:r>
              <w:rPr>
                <w:rFonts w:hint="eastAsia" w:eastAsia="方正仿宋_GBK"/>
                <w:color w:val="000000"/>
                <w:spacing w:val="-2"/>
                <w:szCs w:val="21"/>
              </w:rPr>
              <w:t>投入乘数</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以（预算投入资金</w:t>
            </w:r>
            <w:r>
              <w:rPr>
                <w:rFonts w:eastAsia="方正仿宋_GBK"/>
                <w:color w:val="000000"/>
                <w:spacing w:val="-2"/>
                <w:szCs w:val="21"/>
              </w:rPr>
              <w:t>÷</w:t>
            </w:r>
            <w:r>
              <w:rPr>
                <w:rFonts w:hint="eastAsia" w:eastAsia="方正仿宋_GBK"/>
                <w:color w:val="000000"/>
                <w:spacing w:val="-2"/>
                <w:szCs w:val="21"/>
              </w:rPr>
              <w:t>省级财政资金</w:t>
            </w:r>
            <w:r>
              <w:rPr>
                <w:rFonts w:hint="eastAsia" w:ascii="Times New Roman" w:hAnsi="Times New Roman"/>
                <w:color w:val="000000"/>
                <w:spacing w:val="-2"/>
                <w:szCs w:val="21"/>
              </w:rPr>
              <w:t>）≥</w:t>
            </w:r>
            <w:r>
              <w:rPr>
                <w:rFonts w:eastAsia="方正仿宋_GBK"/>
                <w:color w:val="000000"/>
                <w:spacing w:val="-2"/>
                <w:szCs w:val="21"/>
              </w:rPr>
              <w:t>4</w:t>
            </w:r>
          </w:p>
          <w:p>
            <w:pPr>
              <w:jc w:val="center"/>
              <w:rPr>
                <w:rFonts w:eastAsia="方正仿宋_GBK"/>
                <w:color w:val="000000"/>
                <w:spacing w:val="-2"/>
                <w:szCs w:val="21"/>
              </w:rPr>
            </w:pPr>
            <w:r>
              <w:rPr>
                <w:rFonts w:hint="eastAsia" w:eastAsia="方正仿宋_GBK"/>
                <w:color w:val="000000"/>
                <w:spacing w:val="-2"/>
                <w:szCs w:val="21"/>
              </w:rPr>
              <w:t>为标准值</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3" w:hRule="atLeast"/>
        </w:trPr>
        <w:tc>
          <w:tcPr>
            <w:tcW w:w="68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6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示范效应</w:t>
            </w:r>
          </w:p>
        </w:tc>
        <w:tc>
          <w:tcPr>
            <w:tcW w:w="446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加固项目在区域内的推广意义</w:t>
            </w:r>
          </w:p>
          <w:p>
            <w:pPr>
              <w:jc w:val="center"/>
              <w:rPr>
                <w:rFonts w:eastAsia="方正仿宋_GBK"/>
                <w:color w:val="000000"/>
                <w:spacing w:val="-2"/>
                <w:szCs w:val="21"/>
              </w:rPr>
            </w:pPr>
            <w:r>
              <w:rPr>
                <w:rFonts w:hint="eastAsia" w:eastAsia="方正仿宋_GBK"/>
                <w:color w:val="000000"/>
                <w:spacing w:val="-2"/>
                <w:szCs w:val="21"/>
              </w:rPr>
              <w:t>（项目实施单位自述）</w:t>
            </w:r>
          </w:p>
        </w:tc>
        <w:tc>
          <w:tcPr>
            <w:tcW w:w="111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14" w:hRule="atLeast"/>
        </w:trPr>
        <w:tc>
          <w:tcPr>
            <w:tcW w:w="680"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加</w:t>
            </w:r>
          </w:p>
          <w:p>
            <w:pPr>
              <w:jc w:val="center"/>
              <w:rPr>
                <w:rFonts w:eastAsia="方正仿宋_GBK"/>
                <w:color w:val="000000"/>
                <w:spacing w:val="-2"/>
                <w:szCs w:val="21"/>
              </w:rPr>
            </w:pPr>
            <w:r>
              <w:rPr>
                <w:rFonts w:hint="eastAsia" w:eastAsia="方正仿宋_GBK"/>
                <w:color w:val="000000"/>
                <w:spacing w:val="-2"/>
                <w:szCs w:val="21"/>
              </w:rPr>
              <w:t>分</w:t>
            </w:r>
          </w:p>
          <w:p>
            <w:pPr>
              <w:jc w:val="center"/>
              <w:rPr>
                <w:rFonts w:eastAsia="方正仿宋_GBK"/>
                <w:color w:val="000000"/>
                <w:spacing w:val="-2"/>
                <w:szCs w:val="21"/>
              </w:rPr>
            </w:pPr>
            <w:r>
              <w:rPr>
                <w:rFonts w:hint="eastAsia" w:eastAsia="方正仿宋_GBK"/>
                <w:color w:val="000000"/>
                <w:spacing w:val="-2"/>
                <w:szCs w:val="21"/>
              </w:rPr>
              <w:t>项</w:t>
            </w:r>
          </w:p>
        </w:tc>
        <w:tc>
          <w:tcPr>
            <w:tcW w:w="160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新技术</w:t>
            </w:r>
          </w:p>
        </w:tc>
        <w:tc>
          <w:tcPr>
            <w:tcW w:w="4460" w:type="dxa"/>
            <w:gridSpan w:val="3"/>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采用隔震减震技术予以加分</w:t>
            </w:r>
          </w:p>
        </w:tc>
        <w:tc>
          <w:tcPr>
            <w:tcW w:w="1118"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5</w:t>
            </w:r>
            <w:r>
              <w:rPr>
                <w:rFonts w:hint="eastAsia" w:eastAsia="方正仿宋_GBK"/>
                <w:color w:val="000000"/>
                <w:spacing w:val="-2"/>
                <w:szCs w:val="21"/>
              </w:rPr>
              <w:t>分</w:t>
            </w:r>
          </w:p>
        </w:tc>
        <w:tc>
          <w:tcPr>
            <w:tcW w:w="1127" w:type="dxa"/>
            <w:tcBorders>
              <w:top w:val="single" w:color="auto" w:sz="4" w:space="0"/>
              <w:left w:val="single" w:color="auto" w:sz="4" w:space="0"/>
              <w:bottom w:val="single" w:color="auto" w:sz="8" w:space="0"/>
              <w:right w:val="single" w:color="auto" w:sz="8" w:space="0"/>
            </w:tcBorders>
            <w:noWrap w:val="0"/>
            <w:vAlign w:val="center"/>
          </w:tcPr>
          <w:p>
            <w:pPr>
              <w:jc w:val="center"/>
              <w:rPr>
                <w:rFonts w:eastAsia="方正仿宋_GBK"/>
                <w:color w:val="000000"/>
                <w:spacing w:val="-2"/>
                <w:szCs w:val="21"/>
              </w:rPr>
            </w:pPr>
          </w:p>
        </w:tc>
      </w:tr>
    </w:tbl>
    <w:p>
      <w:pPr>
        <w:spacing w:before="120" w:beforeLines="50"/>
        <w:jc w:val="left"/>
        <w:rPr>
          <w:rFonts w:hint="eastAsia" w:eastAsia="方正仿宋_GBK"/>
          <w:color w:val="000000"/>
          <w:spacing w:val="-2"/>
          <w:szCs w:val="21"/>
        </w:rPr>
      </w:pPr>
      <w:r>
        <w:rPr>
          <w:rFonts w:hint="eastAsia" w:eastAsia="方正仿宋_GBK"/>
          <w:color w:val="000000"/>
          <w:spacing w:val="-2"/>
          <w:szCs w:val="21"/>
        </w:rPr>
        <w:t>（注：基本情况由项目实施单位填写）</w:t>
      </w:r>
    </w:p>
    <w:p>
      <w:pPr>
        <w:spacing w:line="560" w:lineRule="exact"/>
        <w:jc w:val="center"/>
        <w:rPr>
          <w:rFonts w:ascii="Times New Roman" w:eastAsia="方正黑体_GBK"/>
          <w:color w:val="000000"/>
          <w:spacing w:val="-2"/>
          <w:sz w:val="28"/>
          <w:szCs w:val="28"/>
        </w:rPr>
      </w:pPr>
      <w:r>
        <w:rPr>
          <w:rFonts w:hint="eastAsia" w:ascii="Times New Roman" w:eastAsia="方正黑体_GBK"/>
          <w:color w:val="000000"/>
          <w:spacing w:val="-2"/>
          <w:sz w:val="28"/>
          <w:szCs w:val="28"/>
        </w:rPr>
        <w:br w:type="column"/>
      </w:r>
      <w:r>
        <w:rPr>
          <w:rFonts w:hint="eastAsia" w:ascii="Times New Roman" w:eastAsia="方正黑体_GBK"/>
          <w:color w:val="000000"/>
          <w:spacing w:val="-2"/>
          <w:sz w:val="28"/>
          <w:szCs w:val="28"/>
        </w:rPr>
        <w:t>绩效自评价表四（农村抗震防灾推进项目）</w:t>
      </w:r>
    </w:p>
    <w:tbl>
      <w:tblPr>
        <w:tblStyle w:val="12"/>
        <w:tblW w:w="0" w:type="auto"/>
        <w:tblInd w:w="8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51"/>
        <w:gridCol w:w="1770"/>
        <w:gridCol w:w="1259"/>
        <w:gridCol w:w="1540"/>
        <w:gridCol w:w="1399"/>
        <w:gridCol w:w="1124"/>
        <w:gridCol w:w="91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2521" w:type="dxa"/>
            <w:gridSpan w:val="2"/>
            <w:tcBorders>
              <w:top w:val="single" w:color="auto" w:sz="8" w:space="0"/>
              <w:left w:val="single" w:color="auto" w:sz="8" w:space="0"/>
              <w:bottom w:val="single" w:color="auto" w:sz="4" w:space="0"/>
              <w:right w:val="single" w:color="auto" w:sz="4"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自评价内容</w:t>
            </w:r>
          </w:p>
        </w:tc>
        <w:tc>
          <w:tcPr>
            <w:tcW w:w="4198" w:type="dxa"/>
            <w:gridSpan w:val="3"/>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自评价指标</w:t>
            </w:r>
          </w:p>
        </w:tc>
        <w:tc>
          <w:tcPr>
            <w:tcW w:w="1124"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分值</w:t>
            </w:r>
          </w:p>
        </w:tc>
        <w:tc>
          <w:tcPr>
            <w:tcW w:w="917" w:type="dxa"/>
            <w:tcBorders>
              <w:top w:val="single" w:color="auto" w:sz="8" w:space="0"/>
              <w:left w:val="single" w:color="auto" w:sz="4" w:space="0"/>
              <w:bottom w:val="single" w:color="auto" w:sz="4" w:space="0"/>
              <w:right w:val="single" w:color="auto" w:sz="8" w:space="0"/>
            </w:tcBorders>
            <w:noWrap w:val="0"/>
            <w:vAlign w:val="center"/>
          </w:tcPr>
          <w:p>
            <w:pPr>
              <w:jc w:val="center"/>
              <w:rPr>
                <w:rFonts w:ascii="Times New Roman" w:eastAsia="方正黑体_GBK"/>
                <w:color w:val="000000"/>
                <w:spacing w:val="-2"/>
                <w:szCs w:val="21"/>
              </w:rPr>
            </w:pPr>
            <w:r>
              <w:rPr>
                <w:rFonts w:hint="eastAsia" w:ascii="Times New Roman" w:eastAsia="方正黑体_GBK"/>
                <w:color w:val="000000"/>
                <w:spacing w:val="-2"/>
                <w:szCs w:val="21"/>
              </w:rPr>
              <w:t>得分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0" w:hRule="atLeast"/>
        </w:trPr>
        <w:tc>
          <w:tcPr>
            <w:tcW w:w="751"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基本情况</w:t>
            </w:r>
          </w:p>
        </w:tc>
        <w:tc>
          <w:tcPr>
            <w:tcW w:w="177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项目区内</w:t>
            </w:r>
          </w:p>
          <w:p>
            <w:pPr>
              <w:jc w:val="center"/>
              <w:rPr>
                <w:rFonts w:eastAsia="方正仿宋_GBK"/>
                <w:color w:val="000000"/>
                <w:spacing w:val="-2"/>
                <w:szCs w:val="21"/>
              </w:rPr>
            </w:pPr>
            <w:r>
              <w:rPr>
                <w:rFonts w:hint="eastAsia" w:eastAsia="方正仿宋_GBK"/>
                <w:color w:val="000000"/>
                <w:spacing w:val="-2"/>
                <w:szCs w:val="21"/>
              </w:rPr>
              <w:t>房屋建筑面积</w:t>
            </w:r>
          </w:p>
        </w:tc>
        <w:tc>
          <w:tcPr>
            <w:tcW w:w="1259"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5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试点项目</w:t>
            </w:r>
          </w:p>
          <w:p>
            <w:pPr>
              <w:jc w:val="center"/>
              <w:rPr>
                <w:rFonts w:eastAsia="方正仿宋_GBK"/>
                <w:color w:val="000000"/>
                <w:spacing w:val="-2"/>
                <w:szCs w:val="21"/>
              </w:rPr>
            </w:pPr>
            <w:r>
              <w:rPr>
                <w:rFonts w:hint="eastAsia" w:eastAsia="方正仿宋_GBK"/>
                <w:color w:val="000000"/>
                <w:spacing w:val="-2"/>
                <w:szCs w:val="21"/>
              </w:rPr>
              <w:t>建筑面积</w:t>
            </w:r>
          </w:p>
        </w:tc>
        <w:tc>
          <w:tcPr>
            <w:tcW w:w="1399"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0" w:hRule="atLeast"/>
        </w:trPr>
        <w:tc>
          <w:tcPr>
            <w:tcW w:w="7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77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项目区内农房</w:t>
            </w:r>
          </w:p>
          <w:p>
            <w:pPr>
              <w:jc w:val="center"/>
              <w:rPr>
                <w:rFonts w:eastAsia="方正仿宋_GBK"/>
                <w:color w:val="000000"/>
                <w:spacing w:val="-2"/>
                <w:szCs w:val="21"/>
              </w:rPr>
            </w:pPr>
            <w:r>
              <w:rPr>
                <w:rFonts w:hint="eastAsia" w:eastAsia="方正仿宋_GBK"/>
                <w:color w:val="000000"/>
                <w:spacing w:val="-2"/>
                <w:szCs w:val="21"/>
              </w:rPr>
              <w:t>原抗震设防率</w:t>
            </w:r>
          </w:p>
        </w:tc>
        <w:tc>
          <w:tcPr>
            <w:tcW w:w="1259"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5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项目区内农房</w:t>
            </w:r>
          </w:p>
          <w:p>
            <w:pPr>
              <w:jc w:val="center"/>
              <w:rPr>
                <w:rFonts w:eastAsia="方正仿宋_GBK"/>
                <w:color w:val="000000"/>
                <w:spacing w:val="-2"/>
                <w:szCs w:val="21"/>
              </w:rPr>
            </w:pPr>
            <w:r>
              <w:rPr>
                <w:rFonts w:hint="eastAsia" w:eastAsia="方正仿宋_GBK"/>
                <w:color w:val="000000"/>
                <w:spacing w:val="-2"/>
                <w:szCs w:val="21"/>
              </w:rPr>
              <w:t>现抗震设防率</w:t>
            </w:r>
          </w:p>
        </w:tc>
        <w:tc>
          <w:tcPr>
            <w:tcW w:w="1399"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751"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实</w:t>
            </w:r>
          </w:p>
          <w:p>
            <w:pPr>
              <w:jc w:val="center"/>
              <w:rPr>
                <w:rFonts w:eastAsia="方正仿宋_GBK"/>
                <w:color w:val="000000"/>
                <w:spacing w:val="-2"/>
                <w:szCs w:val="21"/>
              </w:rPr>
            </w:pPr>
            <w:r>
              <w:rPr>
                <w:rFonts w:hint="eastAsia" w:eastAsia="方正仿宋_GBK"/>
                <w:color w:val="000000"/>
                <w:spacing w:val="-2"/>
                <w:szCs w:val="21"/>
              </w:rPr>
              <w:t>施</w:t>
            </w:r>
          </w:p>
          <w:p>
            <w:pPr>
              <w:jc w:val="center"/>
              <w:rPr>
                <w:rFonts w:eastAsia="方正仿宋_GBK"/>
                <w:color w:val="000000"/>
                <w:spacing w:val="-2"/>
                <w:szCs w:val="21"/>
              </w:rPr>
            </w:pPr>
            <w:r>
              <w:rPr>
                <w:rFonts w:hint="eastAsia" w:eastAsia="方正仿宋_GBK"/>
                <w:color w:val="000000"/>
                <w:spacing w:val="-2"/>
                <w:szCs w:val="21"/>
              </w:rPr>
              <w:t>结</w:t>
            </w:r>
          </w:p>
          <w:p>
            <w:pPr>
              <w:jc w:val="center"/>
              <w:rPr>
                <w:rFonts w:eastAsia="方正仿宋_GBK"/>
                <w:color w:val="000000"/>
                <w:spacing w:val="-2"/>
                <w:szCs w:val="21"/>
              </w:rPr>
            </w:pPr>
            <w:r>
              <w:rPr>
                <w:rFonts w:hint="eastAsia" w:eastAsia="方正仿宋_GBK"/>
                <w:color w:val="000000"/>
                <w:spacing w:val="-2"/>
                <w:szCs w:val="21"/>
              </w:rPr>
              <w:t>果</w:t>
            </w:r>
          </w:p>
          <w:p>
            <w:pPr>
              <w:jc w:val="center"/>
              <w:rPr>
                <w:rFonts w:eastAsia="方正仿宋_GBK"/>
                <w:color w:val="000000"/>
                <w:spacing w:val="-2"/>
                <w:szCs w:val="21"/>
              </w:rPr>
            </w:pPr>
            <w:r>
              <w:rPr>
                <w:rFonts w:hint="eastAsia" w:eastAsia="方正仿宋_GBK"/>
                <w:color w:val="000000"/>
                <w:spacing w:val="-2"/>
                <w:szCs w:val="21"/>
              </w:rPr>
              <w:t>评</w:t>
            </w:r>
          </w:p>
          <w:p>
            <w:pPr>
              <w:jc w:val="center"/>
              <w:rPr>
                <w:rFonts w:eastAsia="方正仿宋_GBK"/>
                <w:color w:val="000000"/>
                <w:spacing w:val="-2"/>
                <w:szCs w:val="21"/>
              </w:rPr>
            </w:pPr>
            <w:r>
              <w:rPr>
                <w:rFonts w:hint="eastAsia" w:eastAsia="方正仿宋_GBK"/>
                <w:color w:val="000000"/>
                <w:spacing w:val="-2"/>
                <w:szCs w:val="21"/>
              </w:rPr>
              <w:t>价</w:t>
            </w:r>
          </w:p>
          <w:p>
            <w:pPr>
              <w:jc w:val="center"/>
              <w:rPr>
                <w:rFonts w:eastAsia="方正仿宋_GBK"/>
                <w:color w:val="000000"/>
                <w:spacing w:val="-2"/>
                <w:szCs w:val="21"/>
              </w:rPr>
            </w:pPr>
            <w:r>
              <w:rPr>
                <w:rFonts w:hint="eastAsia" w:eastAsia="方正仿宋_GBK"/>
                <w:color w:val="000000"/>
                <w:spacing w:val="-2"/>
                <w:szCs w:val="21"/>
              </w:rPr>
              <w:t>（</w:t>
            </w:r>
            <w:r>
              <w:rPr>
                <w:rFonts w:eastAsia="方正仿宋_GBK"/>
                <w:color w:val="000000"/>
                <w:spacing w:val="-2"/>
                <w:szCs w:val="21"/>
              </w:rPr>
              <w:t>50</w:t>
            </w:r>
            <w:r>
              <w:rPr>
                <w:rFonts w:hint="eastAsia" w:eastAsia="方正仿宋_GBK"/>
                <w:color w:val="000000"/>
                <w:spacing w:val="-2"/>
                <w:szCs w:val="21"/>
              </w:rPr>
              <w:t>分）</w:t>
            </w:r>
          </w:p>
        </w:tc>
        <w:tc>
          <w:tcPr>
            <w:tcW w:w="177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季报制度</w:t>
            </w: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是否按季度在网上填报项目实施管理情况</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77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农村抗震</w:t>
            </w:r>
          </w:p>
          <w:p>
            <w:pPr>
              <w:jc w:val="center"/>
              <w:rPr>
                <w:rFonts w:eastAsia="方正仿宋_GBK"/>
                <w:color w:val="000000"/>
                <w:spacing w:val="-2"/>
                <w:szCs w:val="21"/>
              </w:rPr>
            </w:pPr>
            <w:r>
              <w:rPr>
                <w:rFonts w:hint="eastAsia" w:eastAsia="方正仿宋_GBK"/>
                <w:color w:val="000000"/>
                <w:spacing w:val="-2"/>
                <w:szCs w:val="21"/>
              </w:rPr>
              <w:t>设防管理</w:t>
            </w: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由相应设计资质的单位、个人设计</w:t>
            </w:r>
          </w:p>
          <w:p>
            <w:pPr>
              <w:jc w:val="center"/>
              <w:rPr>
                <w:rFonts w:eastAsia="方正仿宋_GBK"/>
                <w:color w:val="000000"/>
                <w:spacing w:val="-2"/>
                <w:szCs w:val="21"/>
              </w:rPr>
            </w:pPr>
            <w:r>
              <w:rPr>
                <w:rFonts w:hint="eastAsia" w:eastAsia="方正仿宋_GBK"/>
                <w:color w:val="000000"/>
                <w:spacing w:val="-2"/>
                <w:szCs w:val="21"/>
              </w:rPr>
              <w:t>或者选用通用图集</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7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对施工企业和个人工匠进行培训</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7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村镇建设部门进行质量监督管理</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8" w:hRule="atLeast"/>
        </w:trPr>
        <w:tc>
          <w:tcPr>
            <w:tcW w:w="7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77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项目验收合格</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69" w:hRule="atLeast"/>
        </w:trPr>
        <w:tc>
          <w:tcPr>
            <w:tcW w:w="751" w:type="dxa"/>
            <w:vMerge w:val="restart"/>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实</w:t>
            </w:r>
          </w:p>
          <w:p>
            <w:pPr>
              <w:jc w:val="center"/>
              <w:rPr>
                <w:rFonts w:eastAsia="方正仿宋_GBK"/>
                <w:color w:val="000000"/>
                <w:spacing w:val="-2"/>
                <w:szCs w:val="21"/>
              </w:rPr>
            </w:pPr>
            <w:r>
              <w:rPr>
                <w:rFonts w:hint="eastAsia" w:eastAsia="方正仿宋_GBK"/>
                <w:color w:val="000000"/>
                <w:spacing w:val="-2"/>
                <w:szCs w:val="21"/>
              </w:rPr>
              <w:t>施</w:t>
            </w:r>
          </w:p>
          <w:p>
            <w:pPr>
              <w:jc w:val="center"/>
              <w:rPr>
                <w:rFonts w:eastAsia="方正仿宋_GBK"/>
                <w:color w:val="000000"/>
                <w:spacing w:val="-2"/>
                <w:szCs w:val="21"/>
              </w:rPr>
            </w:pPr>
            <w:r>
              <w:rPr>
                <w:rFonts w:hint="eastAsia" w:eastAsia="方正仿宋_GBK"/>
                <w:color w:val="000000"/>
                <w:spacing w:val="-2"/>
                <w:szCs w:val="21"/>
              </w:rPr>
              <w:t>效</w:t>
            </w:r>
          </w:p>
          <w:p>
            <w:pPr>
              <w:jc w:val="center"/>
              <w:rPr>
                <w:rFonts w:eastAsia="方正仿宋_GBK"/>
                <w:color w:val="000000"/>
                <w:spacing w:val="-2"/>
                <w:szCs w:val="21"/>
              </w:rPr>
            </w:pPr>
            <w:r>
              <w:rPr>
                <w:rFonts w:hint="eastAsia" w:eastAsia="方正仿宋_GBK"/>
                <w:color w:val="000000"/>
                <w:spacing w:val="-2"/>
                <w:szCs w:val="21"/>
              </w:rPr>
              <w:t>果</w:t>
            </w:r>
          </w:p>
          <w:p>
            <w:pPr>
              <w:jc w:val="center"/>
              <w:rPr>
                <w:rFonts w:eastAsia="方正仿宋_GBK"/>
                <w:color w:val="000000"/>
                <w:spacing w:val="-2"/>
                <w:szCs w:val="21"/>
              </w:rPr>
            </w:pPr>
            <w:r>
              <w:rPr>
                <w:rFonts w:hint="eastAsia" w:eastAsia="方正仿宋_GBK"/>
                <w:color w:val="000000"/>
                <w:spacing w:val="-2"/>
                <w:szCs w:val="21"/>
              </w:rPr>
              <w:t>评</w:t>
            </w:r>
          </w:p>
          <w:p>
            <w:pPr>
              <w:jc w:val="center"/>
              <w:rPr>
                <w:rFonts w:eastAsia="方正仿宋_GBK"/>
                <w:color w:val="000000"/>
                <w:spacing w:val="-2"/>
                <w:szCs w:val="21"/>
              </w:rPr>
            </w:pPr>
            <w:r>
              <w:rPr>
                <w:rFonts w:hint="eastAsia" w:eastAsia="方正仿宋_GBK"/>
                <w:color w:val="000000"/>
                <w:spacing w:val="-2"/>
                <w:szCs w:val="21"/>
              </w:rPr>
              <w:t>价</w:t>
            </w:r>
          </w:p>
          <w:p>
            <w:pPr>
              <w:jc w:val="center"/>
              <w:rPr>
                <w:rFonts w:eastAsia="方正仿宋_GBK"/>
                <w:color w:val="000000"/>
                <w:spacing w:val="-2"/>
                <w:szCs w:val="21"/>
              </w:rPr>
            </w:pPr>
            <w:r>
              <w:rPr>
                <w:rFonts w:hint="eastAsia" w:eastAsia="方正仿宋_GBK"/>
                <w:color w:val="000000"/>
                <w:spacing w:val="-2"/>
                <w:szCs w:val="21"/>
              </w:rPr>
              <w:t>（</w:t>
            </w:r>
            <w:r>
              <w:rPr>
                <w:rFonts w:eastAsia="方正仿宋_GBK"/>
                <w:color w:val="000000"/>
                <w:spacing w:val="-2"/>
                <w:szCs w:val="21"/>
              </w:rPr>
              <w:t>50</w:t>
            </w:r>
            <w:r>
              <w:rPr>
                <w:rFonts w:hint="eastAsia" w:eastAsia="方正仿宋_GBK"/>
                <w:color w:val="000000"/>
                <w:spacing w:val="-2"/>
                <w:szCs w:val="21"/>
              </w:rPr>
              <w:t>分）</w:t>
            </w:r>
          </w:p>
        </w:tc>
        <w:tc>
          <w:tcPr>
            <w:tcW w:w="177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项目区内抗震设防覆盖程度</w:t>
            </w: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抗震设防率比项目实施前提高幅度</w:t>
            </w:r>
            <w:r>
              <w:rPr>
                <w:rFonts w:eastAsia="方正仿宋_GBK"/>
                <w:color w:val="000000"/>
                <w:spacing w:val="-2"/>
                <w:szCs w:val="21"/>
              </w:rPr>
              <w:t xml:space="preserve">≥10% </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751"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77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工期控制</w:t>
            </w: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是否按期完成</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5</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3" w:hRule="atLeast"/>
        </w:trPr>
        <w:tc>
          <w:tcPr>
            <w:tcW w:w="751"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77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资金成本控制</w:t>
            </w: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是否与预算成本相符</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5</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751"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77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省级财政</w:t>
            </w:r>
          </w:p>
          <w:p>
            <w:pPr>
              <w:jc w:val="center"/>
              <w:rPr>
                <w:rFonts w:eastAsia="方正仿宋_GBK"/>
                <w:color w:val="000000"/>
                <w:spacing w:val="-2"/>
                <w:szCs w:val="21"/>
              </w:rPr>
            </w:pPr>
            <w:r>
              <w:rPr>
                <w:rFonts w:hint="eastAsia" w:eastAsia="方正仿宋_GBK"/>
                <w:color w:val="000000"/>
                <w:spacing w:val="-2"/>
                <w:szCs w:val="21"/>
              </w:rPr>
              <w:t>投入乘数</w:t>
            </w: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eastAsia="方正仿宋_GBK"/>
                <w:color w:val="000000"/>
                <w:spacing w:val="-2"/>
                <w:szCs w:val="21"/>
              </w:rPr>
            </w:pPr>
            <w:r>
              <w:rPr>
                <w:rFonts w:hint="eastAsia" w:eastAsia="方正仿宋_GBK"/>
                <w:color w:val="000000"/>
                <w:spacing w:val="-2"/>
                <w:szCs w:val="21"/>
              </w:rPr>
              <w:t>以（预算投入资金</w:t>
            </w:r>
            <w:r>
              <w:rPr>
                <w:rFonts w:eastAsia="方正仿宋_GBK"/>
                <w:color w:val="000000"/>
                <w:spacing w:val="-2"/>
                <w:szCs w:val="21"/>
              </w:rPr>
              <w:t>÷</w:t>
            </w:r>
            <w:r>
              <w:rPr>
                <w:rFonts w:hint="eastAsia" w:eastAsia="方正仿宋_GBK"/>
                <w:color w:val="000000"/>
                <w:spacing w:val="-2"/>
                <w:szCs w:val="21"/>
              </w:rPr>
              <w:t>省级财政资金）</w:t>
            </w:r>
            <w:r>
              <w:rPr>
                <w:rFonts w:eastAsia="方正仿宋_GBK"/>
                <w:color w:val="000000"/>
                <w:spacing w:val="-2"/>
                <w:szCs w:val="21"/>
              </w:rPr>
              <w:t>≥4</w:t>
            </w:r>
            <w:r>
              <w:rPr>
                <w:rFonts w:hint="eastAsia" w:eastAsia="方正仿宋_GBK"/>
                <w:color w:val="000000"/>
                <w:spacing w:val="-2"/>
                <w:szCs w:val="21"/>
              </w:rPr>
              <w:t>为标准值</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48" w:hRule="atLeast"/>
        </w:trPr>
        <w:tc>
          <w:tcPr>
            <w:tcW w:w="751"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77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示范效应</w:t>
            </w:r>
          </w:p>
        </w:tc>
        <w:tc>
          <w:tcPr>
            <w:tcW w:w="419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农房项目在区域内的推广意义</w:t>
            </w:r>
          </w:p>
          <w:p>
            <w:pPr>
              <w:jc w:val="center"/>
              <w:rPr>
                <w:rFonts w:eastAsia="方正仿宋_GBK"/>
                <w:color w:val="000000"/>
                <w:spacing w:val="-2"/>
                <w:szCs w:val="21"/>
              </w:rPr>
            </w:pPr>
            <w:r>
              <w:rPr>
                <w:rFonts w:hint="eastAsia" w:eastAsia="方正仿宋_GBK"/>
                <w:color w:val="000000"/>
                <w:spacing w:val="-2"/>
                <w:szCs w:val="21"/>
              </w:rPr>
              <w:t>（项目实施单位自述）</w:t>
            </w:r>
          </w:p>
        </w:tc>
        <w:tc>
          <w:tcPr>
            <w:tcW w:w="112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4" w:hRule="atLeast"/>
        </w:trPr>
        <w:tc>
          <w:tcPr>
            <w:tcW w:w="751"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177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公众满意度</w:t>
            </w:r>
          </w:p>
        </w:tc>
        <w:tc>
          <w:tcPr>
            <w:tcW w:w="4198" w:type="dxa"/>
            <w:gridSpan w:val="3"/>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从受益人员中抽</w:t>
            </w:r>
            <w:r>
              <w:rPr>
                <w:rFonts w:eastAsia="方正仿宋_GBK"/>
                <w:color w:val="000000"/>
                <w:spacing w:val="-2"/>
                <w:szCs w:val="21"/>
              </w:rPr>
              <w:t>20</w:t>
            </w:r>
            <w:r>
              <w:rPr>
                <w:rFonts w:hint="eastAsia" w:eastAsia="方正仿宋_GBK"/>
                <w:color w:val="000000"/>
                <w:spacing w:val="-2"/>
                <w:szCs w:val="21"/>
              </w:rPr>
              <w:t>人，</w:t>
            </w:r>
          </w:p>
          <w:p>
            <w:pPr>
              <w:jc w:val="center"/>
              <w:rPr>
                <w:rFonts w:eastAsia="方正仿宋_GBK"/>
                <w:color w:val="000000"/>
                <w:spacing w:val="-2"/>
                <w:szCs w:val="21"/>
              </w:rPr>
            </w:pPr>
            <w:r>
              <w:rPr>
                <w:rFonts w:hint="eastAsia" w:eastAsia="方正仿宋_GBK"/>
                <w:color w:val="000000"/>
                <w:spacing w:val="-2"/>
                <w:szCs w:val="21"/>
              </w:rPr>
              <w:t>以（满意人员</w:t>
            </w:r>
            <w:r>
              <w:rPr>
                <w:rFonts w:eastAsia="方正仿宋_GBK"/>
                <w:color w:val="000000"/>
                <w:spacing w:val="-2"/>
                <w:szCs w:val="21"/>
              </w:rPr>
              <w:t>÷</w:t>
            </w:r>
            <w:r>
              <w:rPr>
                <w:rFonts w:hint="eastAsia" w:eastAsia="方正仿宋_GBK"/>
                <w:color w:val="000000"/>
                <w:spacing w:val="-2"/>
                <w:szCs w:val="21"/>
              </w:rPr>
              <w:t>抽样人员）</w:t>
            </w:r>
            <w:r>
              <w:rPr>
                <w:rFonts w:eastAsia="方正仿宋_GBK"/>
                <w:color w:val="000000"/>
                <w:spacing w:val="-2"/>
                <w:szCs w:val="21"/>
              </w:rPr>
              <w:t>≥80%</w:t>
            </w:r>
            <w:r>
              <w:rPr>
                <w:rFonts w:hint="eastAsia" w:eastAsia="方正仿宋_GBK"/>
                <w:color w:val="000000"/>
                <w:spacing w:val="-2"/>
                <w:szCs w:val="21"/>
              </w:rPr>
              <w:t>为标准值</w:t>
            </w:r>
          </w:p>
        </w:tc>
        <w:tc>
          <w:tcPr>
            <w:tcW w:w="1124"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10</w:t>
            </w:r>
            <w:r>
              <w:rPr>
                <w:rFonts w:hint="eastAsia" w:eastAsia="方正仿宋_GBK"/>
                <w:color w:val="000000"/>
                <w:spacing w:val="-2"/>
                <w:szCs w:val="21"/>
              </w:rPr>
              <w:t>分</w:t>
            </w:r>
          </w:p>
        </w:tc>
        <w:tc>
          <w:tcPr>
            <w:tcW w:w="917" w:type="dxa"/>
            <w:tcBorders>
              <w:top w:val="single" w:color="auto" w:sz="4" w:space="0"/>
              <w:left w:val="single" w:color="auto" w:sz="4" w:space="0"/>
              <w:bottom w:val="single" w:color="auto" w:sz="8" w:space="0"/>
              <w:right w:val="single" w:color="auto" w:sz="8" w:space="0"/>
            </w:tcBorders>
            <w:noWrap w:val="0"/>
            <w:vAlign w:val="center"/>
          </w:tcPr>
          <w:p>
            <w:pPr>
              <w:jc w:val="center"/>
              <w:rPr>
                <w:rFonts w:eastAsia="方正仿宋_GBK"/>
                <w:color w:val="000000"/>
                <w:spacing w:val="-2"/>
                <w:szCs w:val="21"/>
              </w:rPr>
            </w:pPr>
          </w:p>
        </w:tc>
      </w:tr>
    </w:tbl>
    <w:p>
      <w:pPr>
        <w:spacing w:line="460" w:lineRule="exact"/>
        <w:rPr>
          <w:rFonts w:hint="eastAsia"/>
          <w:sz w:val="24"/>
        </w:rPr>
      </w:pPr>
      <w:r>
        <w:rPr>
          <w:rFonts w:hint="eastAsia" w:eastAsia="方正仿宋_GBK"/>
          <w:color w:val="000000"/>
          <w:spacing w:val="-2"/>
          <w:szCs w:val="21"/>
        </w:rPr>
        <w:t>（注：基本情况由项目实施单位填写）</w:t>
      </w:r>
    </w:p>
    <w:p>
      <w:pPr>
        <w:widowControl/>
        <w:jc w:val="left"/>
        <w:sectPr>
          <w:pgSz w:w="11905" w:h="16838"/>
          <w:pgMar w:top="1701" w:right="1587" w:bottom="1701" w:left="1587" w:header="850" w:footer="1361" w:gutter="0"/>
          <w:paperSrc w:first="4" w:other="4"/>
          <w:cols w:space="720" w:num="1"/>
        </w:sectPr>
      </w:pPr>
    </w:p>
    <w:p>
      <w:pPr>
        <w:shd w:val="clear" w:color="auto" w:fill="FFFFFF"/>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w:t>
      </w:r>
    </w:p>
    <w:p>
      <w:pPr>
        <w:pStyle w:val="10"/>
        <w:widowControl w:val="0"/>
        <w:spacing w:before="0" w:beforeAutospacing="0" w:after="0" w:afterAutospacing="0"/>
        <w:ind w:firstLine="552" w:firstLineChars="200"/>
        <w:jc w:val="center"/>
        <w:rPr>
          <w:rFonts w:hint="eastAsia" w:ascii="Times New Roman" w:hAnsi="Times New Roman" w:eastAsia="方正黑体_GBK"/>
          <w:color w:val="000000"/>
          <w:spacing w:val="-2"/>
          <w:sz w:val="28"/>
          <w:szCs w:val="28"/>
        </w:rPr>
      </w:pPr>
      <w:r>
        <w:rPr>
          <w:rFonts w:hint="eastAsia" w:ascii="Times New Roman" w:hAnsi="Times New Roman" w:eastAsia="方正黑体_GBK"/>
          <w:color w:val="000000"/>
          <w:spacing w:val="-2"/>
          <w:sz w:val="28"/>
          <w:szCs w:val="28"/>
        </w:rPr>
        <w:t>住房城乡建设主管部门使用“江苏省勘察设计行业管理</w:t>
      </w:r>
    </w:p>
    <w:p>
      <w:pPr>
        <w:pStyle w:val="10"/>
        <w:widowControl w:val="0"/>
        <w:spacing w:before="0" w:beforeAutospacing="0" w:after="0" w:afterAutospacing="0"/>
        <w:ind w:firstLine="552" w:firstLineChars="200"/>
        <w:jc w:val="center"/>
        <w:rPr>
          <w:rFonts w:hint="eastAsia" w:ascii="Times New Roman" w:hAnsi="Times New Roman" w:eastAsia="方正黑体_GBK"/>
          <w:color w:val="000000"/>
          <w:spacing w:val="-2"/>
          <w:sz w:val="28"/>
          <w:szCs w:val="28"/>
        </w:rPr>
      </w:pPr>
      <w:r>
        <w:rPr>
          <w:rFonts w:hint="eastAsia" w:ascii="Times New Roman" w:hAnsi="Times New Roman" w:eastAsia="方正黑体_GBK"/>
          <w:color w:val="000000"/>
          <w:spacing w:val="-2"/>
          <w:sz w:val="28"/>
          <w:szCs w:val="28"/>
        </w:rPr>
        <w:t>信息系统”人员的相关信息汇总表</w:t>
      </w:r>
    </w:p>
    <w:p>
      <w:pPr>
        <w:pStyle w:val="10"/>
        <w:widowControl w:val="0"/>
        <w:spacing w:before="0" w:beforeAutospacing="0" w:after="0" w:afterAutospacing="0"/>
        <w:rPr>
          <w:rFonts w:hint="eastAsia" w:ascii="Times New Roman" w:hAnsi="Times New Roman" w:eastAsia="方正仿宋_GBK"/>
          <w:color w:val="000000"/>
          <w:spacing w:val="-2"/>
          <w:sz w:val="21"/>
          <w:szCs w:val="21"/>
        </w:rPr>
      </w:pPr>
    </w:p>
    <w:p>
      <w:pPr>
        <w:pStyle w:val="10"/>
        <w:widowControl w:val="0"/>
        <w:spacing w:before="0" w:beforeAutospacing="0" w:after="0" w:afterAutospacing="0"/>
        <w:rPr>
          <w:rFonts w:ascii="Times New Roman" w:hAnsi="Times New Roman" w:eastAsia="方正黑体_GBK"/>
          <w:color w:val="000000"/>
          <w:spacing w:val="-2"/>
          <w:sz w:val="28"/>
          <w:szCs w:val="28"/>
        </w:rPr>
      </w:pPr>
      <w:r>
        <w:rPr>
          <w:rFonts w:hint="eastAsia" w:ascii="Times New Roman" w:hAnsi="Times New Roman" w:eastAsia="方正仿宋_GBK"/>
          <w:color w:val="000000"/>
          <w:spacing w:val="-2"/>
          <w:sz w:val="21"/>
          <w:szCs w:val="21"/>
        </w:rPr>
        <w:t>单位名称：（盖单位公章）</w:t>
      </w:r>
      <w:r>
        <w:rPr>
          <w:rFonts w:ascii="Times New Roman" w:hAnsi="Times New Roman" w:eastAsia="方正仿宋_GBK"/>
          <w:color w:val="000000"/>
          <w:spacing w:val="-2"/>
          <w:sz w:val="21"/>
          <w:szCs w:val="21"/>
        </w:rPr>
        <w:t xml:space="preserve">                                                                    </w:t>
      </w:r>
      <w:r>
        <w:rPr>
          <w:rFonts w:hint="eastAsia" w:ascii="Times New Roman" w:hAnsi="Times New Roman" w:eastAsia="方正仿宋_GBK"/>
          <w:color w:val="000000"/>
          <w:spacing w:val="-2"/>
          <w:sz w:val="21"/>
          <w:szCs w:val="21"/>
        </w:rPr>
        <w:t>上报日期：</w:t>
      </w:r>
    </w:p>
    <w:tbl>
      <w:tblPr>
        <w:tblStyle w:val="12"/>
        <w:tblW w:w="0" w:type="auto"/>
        <w:jc w:val="center"/>
        <w:tblLayout w:type="fixed"/>
        <w:tblCellMar>
          <w:top w:w="0" w:type="dxa"/>
          <w:left w:w="108" w:type="dxa"/>
          <w:bottom w:w="0" w:type="dxa"/>
          <w:right w:w="108" w:type="dxa"/>
        </w:tblCellMar>
      </w:tblPr>
      <w:tblGrid>
        <w:gridCol w:w="403"/>
        <w:gridCol w:w="495"/>
        <w:gridCol w:w="702"/>
        <w:gridCol w:w="760"/>
        <w:gridCol w:w="480"/>
        <w:gridCol w:w="450"/>
        <w:gridCol w:w="455"/>
        <w:gridCol w:w="675"/>
        <w:gridCol w:w="435"/>
        <w:gridCol w:w="420"/>
        <w:gridCol w:w="306"/>
        <w:gridCol w:w="789"/>
        <w:gridCol w:w="435"/>
        <w:gridCol w:w="420"/>
        <w:gridCol w:w="375"/>
        <w:gridCol w:w="375"/>
        <w:gridCol w:w="375"/>
        <w:gridCol w:w="390"/>
        <w:gridCol w:w="648"/>
        <w:gridCol w:w="580"/>
        <w:gridCol w:w="574"/>
        <w:gridCol w:w="666"/>
        <w:gridCol w:w="465"/>
        <w:gridCol w:w="660"/>
        <w:gridCol w:w="765"/>
        <w:gridCol w:w="720"/>
      </w:tblGrid>
      <w:tr>
        <w:tblPrEx>
          <w:tblCellMar>
            <w:top w:w="0" w:type="dxa"/>
            <w:left w:w="108" w:type="dxa"/>
            <w:bottom w:w="0" w:type="dxa"/>
            <w:right w:w="108" w:type="dxa"/>
          </w:tblCellMar>
        </w:tblPrEx>
        <w:trPr>
          <w:trHeight w:val="795" w:hRule="atLeast"/>
          <w:jc w:val="center"/>
        </w:trPr>
        <w:tc>
          <w:tcPr>
            <w:tcW w:w="403" w:type="dxa"/>
            <w:vMerge w:val="restart"/>
            <w:tcBorders>
              <w:top w:val="single" w:color="auto" w:sz="8" w:space="0"/>
              <w:left w:val="single" w:color="auto" w:sz="8" w:space="0"/>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序号</w:t>
            </w:r>
          </w:p>
        </w:tc>
        <w:tc>
          <w:tcPr>
            <w:tcW w:w="495" w:type="dxa"/>
            <w:vMerge w:val="restart"/>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姓名</w:t>
            </w:r>
          </w:p>
        </w:tc>
        <w:tc>
          <w:tcPr>
            <w:tcW w:w="702" w:type="dxa"/>
            <w:vMerge w:val="restart"/>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工作</w:t>
            </w:r>
          </w:p>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单位</w:t>
            </w:r>
          </w:p>
        </w:tc>
        <w:tc>
          <w:tcPr>
            <w:tcW w:w="760" w:type="dxa"/>
            <w:vMerge w:val="restart"/>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职务</w:t>
            </w:r>
          </w:p>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（职称）</w:t>
            </w:r>
          </w:p>
        </w:tc>
        <w:tc>
          <w:tcPr>
            <w:tcW w:w="480" w:type="dxa"/>
            <w:vMerge w:val="restart"/>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电话</w:t>
            </w:r>
          </w:p>
        </w:tc>
        <w:tc>
          <w:tcPr>
            <w:tcW w:w="450" w:type="dxa"/>
            <w:vMerge w:val="restart"/>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手机</w:t>
            </w:r>
          </w:p>
        </w:tc>
        <w:tc>
          <w:tcPr>
            <w:tcW w:w="455" w:type="dxa"/>
            <w:vMerge w:val="restart"/>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邮箱</w:t>
            </w:r>
          </w:p>
        </w:tc>
        <w:tc>
          <w:tcPr>
            <w:tcW w:w="675" w:type="dxa"/>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优秀奖评选</w:t>
            </w:r>
          </w:p>
        </w:tc>
        <w:tc>
          <w:tcPr>
            <w:tcW w:w="1950" w:type="dxa"/>
            <w:gridSpan w:val="4"/>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市场集中检查</w:t>
            </w:r>
          </w:p>
        </w:tc>
        <w:tc>
          <w:tcPr>
            <w:tcW w:w="855" w:type="dxa"/>
            <w:gridSpan w:val="2"/>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合同备案</w:t>
            </w:r>
          </w:p>
        </w:tc>
        <w:tc>
          <w:tcPr>
            <w:tcW w:w="1515" w:type="dxa"/>
            <w:gridSpan w:val="4"/>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诚信手册</w:t>
            </w:r>
          </w:p>
        </w:tc>
        <w:tc>
          <w:tcPr>
            <w:tcW w:w="648" w:type="dxa"/>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企业信息审核</w:t>
            </w:r>
          </w:p>
        </w:tc>
        <w:tc>
          <w:tcPr>
            <w:tcW w:w="1154" w:type="dxa"/>
            <w:gridSpan w:val="2"/>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省外单位资质核验</w:t>
            </w:r>
          </w:p>
        </w:tc>
        <w:tc>
          <w:tcPr>
            <w:tcW w:w="666" w:type="dxa"/>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工程勘察现场作业提前告知</w:t>
            </w:r>
          </w:p>
        </w:tc>
        <w:tc>
          <w:tcPr>
            <w:tcW w:w="465" w:type="dxa"/>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继续教育</w:t>
            </w:r>
          </w:p>
        </w:tc>
        <w:tc>
          <w:tcPr>
            <w:tcW w:w="660" w:type="dxa"/>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诚信档案</w:t>
            </w:r>
          </w:p>
        </w:tc>
        <w:tc>
          <w:tcPr>
            <w:tcW w:w="765" w:type="dxa"/>
            <w:tcBorders>
              <w:top w:val="single" w:color="auto" w:sz="8" w:space="0"/>
              <w:left w:val="nil"/>
              <w:bottom w:val="single" w:color="000000" w:sz="4" w:space="0"/>
              <w:right w:val="single" w:color="000000" w:sz="4"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质量监督</w:t>
            </w:r>
          </w:p>
        </w:tc>
        <w:tc>
          <w:tcPr>
            <w:tcW w:w="720" w:type="dxa"/>
            <w:tcBorders>
              <w:top w:val="single" w:color="auto" w:sz="8" w:space="0"/>
              <w:left w:val="single" w:color="000000" w:sz="4" w:space="0"/>
              <w:bottom w:val="single" w:color="000000" w:sz="4" w:space="0"/>
              <w:right w:val="single" w:color="auto" w:sz="8" w:space="0"/>
            </w:tcBorders>
            <w:noWrap w:val="0"/>
            <w:vAlign w:val="center"/>
          </w:tcPr>
          <w:p>
            <w:pPr>
              <w:autoSpaceDN w:val="0"/>
              <w:adjustRightInd w:val="0"/>
              <w:spacing w:line="240" w:lineRule="exact"/>
              <w:jc w:val="center"/>
              <w:textAlignment w:val="center"/>
              <w:rPr>
                <w:rFonts w:eastAsia="方正仿宋_GBK"/>
                <w:color w:val="000000"/>
                <w:spacing w:val="-2"/>
                <w:sz w:val="18"/>
                <w:szCs w:val="18"/>
              </w:rPr>
            </w:pPr>
            <w:r>
              <w:rPr>
                <w:rFonts w:hint="eastAsia" w:eastAsia="方正仿宋_GBK"/>
                <w:color w:val="000000"/>
                <w:spacing w:val="-2"/>
                <w:sz w:val="18"/>
                <w:szCs w:val="18"/>
              </w:rPr>
              <w:t>备注</w:t>
            </w:r>
          </w:p>
        </w:tc>
      </w:tr>
      <w:tr>
        <w:tblPrEx>
          <w:tblCellMar>
            <w:top w:w="0" w:type="dxa"/>
            <w:left w:w="108" w:type="dxa"/>
            <w:bottom w:w="0" w:type="dxa"/>
            <w:right w:w="108" w:type="dxa"/>
          </w:tblCellMar>
        </w:tblPrEx>
        <w:trPr>
          <w:trHeight w:val="1489" w:hRule="atLeast"/>
          <w:jc w:val="center"/>
        </w:trPr>
        <w:tc>
          <w:tcPr>
            <w:tcW w:w="403" w:type="dxa"/>
            <w:vMerge w:val="continue"/>
            <w:tcBorders>
              <w:top w:val="single" w:color="auto" w:sz="8" w:space="0"/>
              <w:left w:val="single" w:color="auto" w:sz="8" w:space="0"/>
              <w:bottom w:val="single" w:color="000000" w:sz="4" w:space="0"/>
              <w:right w:val="single" w:color="000000" w:sz="4" w:space="0"/>
            </w:tcBorders>
            <w:noWrap w:val="0"/>
            <w:vAlign w:val="center"/>
          </w:tcPr>
          <w:p>
            <w:pPr>
              <w:widowControl/>
              <w:jc w:val="left"/>
              <w:rPr>
                <w:rFonts w:eastAsia="方正仿宋_GBK"/>
                <w:color w:val="000000"/>
                <w:spacing w:val="-2"/>
                <w:sz w:val="18"/>
                <w:szCs w:val="18"/>
              </w:rPr>
            </w:pPr>
          </w:p>
        </w:tc>
        <w:tc>
          <w:tcPr>
            <w:tcW w:w="495" w:type="dxa"/>
            <w:vMerge w:val="continue"/>
            <w:tcBorders>
              <w:top w:val="single" w:color="auto" w:sz="8" w:space="0"/>
              <w:left w:val="nil"/>
              <w:bottom w:val="single" w:color="000000" w:sz="4" w:space="0"/>
              <w:right w:val="single" w:color="000000" w:sz="4" w:space="0"/>
            </w:tcBorders>
            <w:noWrap w:val="0"/>
            <w:vAlign w:val="center"/>
          </w:tcPr>
          <w:p>
            <w:pPr>
              <w:widowControl/>
              <w:jc w:val="left"/>
              <w:rPr>
                <w:rFonts w:eastAsia="方正仿宋_GBK"/>
                <w:color w:val="000000"/>
                <w:spacing w:val="-2"/>
                <w:sz w:val="18"/>
                <w:szCs w:val="18"/>
              </w:rPr>
            </w:pPr>
          </w:p>
        </w:tc>
        <w:tc>
          <w:tcPr>
            <w:tcW w:w="702" w:type="dxa"/>
            <w:vMerge w:val="continue"/>
            <w:tcBorders>
              <w:top w:val="single" w:color="auto" w:sz="8" w:space="0"/>
              <w:left w:val="nil"/>
              <w:bottom w:val="single" w:color="000000" w:sz="4" w:space="0"/>
              <w:right w:val="single" w:color="000000" w:sz="4" w:space="0"/>
            </w:tcBorders>
            <w:noWrap w:val="0"/>
            <w:vAlign w:val="center"/>
          </w:tcPr>
          <w:p>
            <w:pPr>
              <w:widowControl/>
              <w:jc w:val="left"/>
              <w:rPr>
                <w:rFonts w:eastAsia="方正仿宋_GBK"/>
                <w:color w:val="000000"/>
                <w:spacing w:val="-2"/>
                <w:sz w:val="18"/>
                <w:szCs w:val="18"/>
              </w:rPr>
            </w:pPr>
          </w:p>
        </w:tc>
        <w:tc>
          <w:tcPr>
            <w:tcW w:w="760" w:type="dxa"/>
            <w:vMerge w:val="continue"/>
            <w:tcBorders>
              <w:top w:val="single" w:color="auto" w:sz="8" w:space="0"/>
              <w:left w:val="nil"/>
              <w:bottom w:val="single" w:color="000000" w:sz="4" w:space="0"/>
              <w:right w:val="single" w:color="000000" w:sz="4" w:space="0"/>
            </w:tcBorders>
            <w:noWrap w:val="0"/>
            <w:vAlign w:val="center"/>
          </w:tcPr>
          <w:p>
            <w:pPr>
              <w:widowControl/>
              <w:jc w:val="left"/>
              <w:rPr>
                <w:rFonts w:eastAsia="方正仿宋_GBK"/>
                <w:color w:val="000000"/>
                <w:spacing w:val="-2"/>
                <w:sz w:val="18"/>
                <w:szCs w:val="18"/>
              </w:rPr>
            </w:pPr>
          </w:p>
        </w:tc>
        <w:tc>
          <w:tcPr>
            <w:tcW w:w="480" w:type="dxa"/>
            <w:vMerge w:val="continue"/>
            <w:tcBorders>
              <w:top w:val="single" w:color="auto" w:sz="8" w:space="0"/>
              <w:left w:val="nil"/>
              <w:bottom w:val="single" w:color="000000" w:sz="4" w:space="0"/>
              <w:right w:val="single" w:color="000000" w:sz="4" w:space="0"/>
            </w:tcBorders>
            <w:noWrap w:val="0"/>
            <w:vAlign w:val="center"/>
          </w:tcPr>
          <w:p>
            <w:pPr>
              <w:widowControl/>
              <w:jc w:val="left"/>
              <w:rPr>
                <w:rFonts w:eastAsia="方正仿宋_GBK"/>
                <w:color w:val="000000"/>
                <w:spacing w:val="-2"/>
                <w:sz w:val="18"/>
                <w:szCs w:val="18"/>
              </w:rPr>
            </w:pPr>
          </w:p>
        </w:tc>
        <w:tc>
          <w:tcPr>
            <w:tcW w:w="450" w:type="dxa"/>
            <w:vMerge w:val="continue"/>
            <w:tcBorders>
              <w:top w:val="single" w:color="auto" w:sz="8" w:space="0"/>
              <w:left w:val="nil"/>
              <w:bottom w:val="single" w:color="000000" w:sz="4" w:space="0"/>
              <w:right w:val="single" w:color="000000" w:sz="4" w:space="0"/>
            </w:tcBorders>
            <w:noWrap w:val="0"/>
            <w:vAlign w:val="center"/>
          </w:tcPr>
          <w:p>
            <w:pPr>
              <w:widowControl/>
              <w:jc w:val="left"/>
              <w:rPr>
                <w:rFonts w:eastAsia="方正仿宋_GBK"/>
                <w:color w:val="000000"/>
                <w:spacing w:val="-2"/>
                <w:sz w:val="18"/>
                <w:szCs w:val="18"/>
              </w:rPr>
            </w:pPr>
          </w:p>
        </w:tc>
        <w:tc>
          <w:tcPr>
            <w:tcW w:w="455" w:type="dxa"/>
            <w:vMerge w:val="continue"/>
            <w:tcBorders>
              <w:top w:val="single" w:color="auto" w:sz="8" w:space="0"/>
              <w:left w:val="nil"/>
              <w:bottom w:val="single" w:color="000000" w:sz="4" w:space="0"/>
              <w:right w:val="single" w:color="000000" w:sz="4" w:space="0"/>
            </w:tcBorders>
            <w:noWrap w:val="0"/>
            <w:vAlign w:val="center"/>
          </w:tcPr>
          <w:p>
            <w:pPr>
              <w:widowControl/>
              <w:jc w:val="left"/>
              <w:rPr>
                <w:rFonts w:eastAsia="方正仿宋_GBK"/>
                <w:color w:val="000000"/>
                <w:spacing w:val="-2"/>
                <w:sz w:val="18"/>
                <w:szCs w:val="18"/>
              </w:rPr>
            </w:pPr>
          </w:p>
        </w:tc>
        <w:tc>
          <w:tcPr>
            <w:tcW w:w="675" w:type="dxa"/>
            <w:tcBorders>
              <w:top w:val="nil"/>
              <w:left w:val="nil"/>
              <w:bottom w:val="nil"/>
              <w:right w:val="single" w:color="000000" w:sz="4" w:space="0"/>
            </w:tcBorders>
            <w:noWrap w:val="0"/>
            <w:vAlign w:val="top"/>
          </w:tcPr>
          <w:p>
            <w:pPr>
              <w:autoSpaceDN w:val="0"/>
              <w:adjustRightInd w:val="0"/>
              <w:spacing w:line="240" w:lineRule="exact"/>
              <w:jc w:val="center"/>
              <w:textAlignment w:val="top"/>
              <w:rPr>
                <w:rFonts w:eastAsia="方正仿宋_GBK"/>
                <w:color w:val="000000"/>
                <w:spacing w:val="-2"/>
                <w:sz w:val="18"/>
                <w:szCs w:val="18"/>
              </w:rPr>
            </w:pPr>
            <w:r>
              <w:rPr>
                <w:rFonts w:hint="eastAsia" w:eastAsia="方正仿宋_GBK"/>
                <w:color w:val="000000"/>
                <w:spacing w:val="-2"/>
                <w:sz w:val="18"/>
                <w:szCs w:val="18"/>
              </w:rPr>
              <w:t>大市级管理员</w:t>
            </w:r>
          </w:p>
        </w:tc>
        <w:tc>
          <w:tcPr>
            <w:tcW w:w="435" w:type="dxa"/>
            <w:tcBorders>
              <w:top w:val="nil"/>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市受理</w:t>
            </w:r>
          </w:p>
        </w:tc>
        <w:tc>
          <w:tcPr>
            <w:tcW w:w="420" w:type="dxa"/>
            <w:tcBorders>
              <w:top w:val="nil"/>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市初审</w:t>
            </w:r>
          </w:p>
        </w:tc>
        <w:tc>
          <w:tcPr>
            <w:tcW w:w="306" w:type="dxa"/>
            <w:tcBorders>
              <w:top w:val="nil"/>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市处长审核</w:t>
            </w:r>
          </w:p>
        </w:tc>
        <w:tc>
          <w:tcPr>
            <w:tcW w:w="789" w:type="dxa"/>
            <w:tcBorders>
              <w:top w:val="nil"/>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市分管局长审定</w:t>
            </w:r>
          </w:p>
        </w:tc>
        <w:tc>
          <w:tcPr>
            <w:tcW w:w="435" w:type="dxa"/>
            <w:tcBorders>
              <w:top w:val="nil"/>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受理</w:t>
            </w:r>
          </w:p>
        </w:tc>
        <w:tc>
          <w:tcPr>
            <w:tcW w:w="420" w:type="dxa"/>
            <w:tcBorders>
              <w:top w:val="nil"/>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审核</w:t>
            </w:r>
          </w:p>
        </w:tc>
        <w:tc>
          <w:tcPr>
            <w:tcW w:w="375" w:type="dxa"/>
            <w:tcBorders>
              <w:top w:val="nil"/>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受理</w:t>
            </w:r>
          </w:p>
        </w:tc>
        <w:tc>
          <w:tcPr>
            <w:tcW w:w="375" w:type="dxa"/>
            <w:tcBorders>
              <w:top w:val="nil"/>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审核</w:t>
            </w:r>
          </w:p>
        </w:tc>
        <w:tc>
          <w:tcPr>
            <w:tcW w:w="375" w:type="dxa"/>
            <w:tcBorders>
              <w:top w:val="nil"/>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打印</w:t>
            </w:r>
          </w:p>
        </w:tc>
        <w:tc>
          <w:tcPr>
            <w:tcW w:w="390" w:type="dxa"/>
            <w:tcBorders>
              <w:top w:val="single" w:color="000000" w:sz="4" w:space="0"/>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发放</w:t>
            </w:r>
          </w:p>
        </w:tc>
        <w:tc>
          <w:tcPr>
            <w:tcW w:w="648" w:type="dxa"/>
            <w:tcBorders>
              <w:top w:val="single" w:color="000000" w:sz="4" w:space="0"/>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企业信息审核</w:t>
            </w:r>
          </w:p>
        </w:tc>
        <w:tc>
          <w:tcPr>
            <w:tcW w:w="580" w:type="dxa"/>
            <w:tcBorders>
              <w:top w:val="single" w:color="000000" w:sz="4" w:space="0"/>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单项核验受理</w:t>
            </w:r>
          </w:p>
        </w:tc>
        <w:tc>
          <w:tcPr>
            <w:tcW w:w="574" w:type="dxa"/>
            <w:tcBorders>
              <w:top w:val="single" w:color="000000" w:sz="4" w:space="0"/>
              <w:left w:val="nil"/>
              <w:bottom w:val="nil"/>
              <w:right w:val="single" w:color="000000" w:sz="4" w:space="0"/>
            </w:tcBorders>
            <w:noWrap w:val="0"/>
            <w:vAlign w:val="top"/>
          </w:tcPr>
          <w:p>
            <w:pPr>
              <w:autoSpaceDN w:val="0"/>
              <w:adjustRightInd w:val="0"/>
              <w:spacing w:line="240" w:lineRule="exact"/>
              <w:textAlignment w:val="top"/>
              <w:rPr>
                <w:rFonts w:eastAsia="方正仿宋_GBK"/>
                <w:color w:val="000000"/>
                <w:spacing w:val="-2"/>
                <w:sz w:val="18"/>
                <w:szCs w:val="18"/>
              </w:rPr>
            </w:pPr>
            <w:r>
              <w:rPr>
                <w:rFonts w:hint="eastAsia" w:eastAsia="方正仿宋_GBK"/>
                <w:color w:val="000000"/>
                <w:spacing w:val="-2"/>
                <w:sz w:val="18"/>
                <w:szCs w:val="18"/>
              </w:rPr>
              <w:t>年度核验受理</w:t>
            </w:r>
          </w:p>
        </w:tc>
        <w:tc>
          <w:tcPr>
            <w:tcW w:w="666" w:type="dxa"/>
            <w:tcBorders>
              <w:top w:val="single" w:color="000000" w:sz="4" w:space="0"/>
              <w:left w:val="nil"/>
              <w:bottom w:val="nil"/>
              <w:right w:val="single" w:color="000000" w:sz="4" w:space="0"/>
            </w:tcBorders>
            <w:noWrap w:val="0"/>
            <w:vAlign w:val="top"/>
          </w:tcPr>
          <w:p>
            <w:pPr>
              <w:autoSpaceDN w:val="0"/>
              <w:adjustRightInd w:val="0"/>
              <w:spacing w:line="240" w:lineRule="exact"/>
              <w:jc w:val="left"/>
              <w:textAlignment w:val="top"/>
              <w:rPr>
                <w:rFonts w:eastAsia="方正仿宋_GBK"/>
                <w:color w:val="000000"/>
                <w:spacing w:val="-2"/>
                <w:sz w:val="18"/>
                <w:szCs w:val="18"/>
              </w:rPr>
            </w:pPr>
            <w:r>
              <w:rPr>
                <w:rFonts w:hint="eastAsia" w:eastAsia="方正仿宋_GBK"/>
                <w:color w:val="000000"/>
                <w:spacing w:val="-2"/>
                <w:sz w:val="18"/>
                <w:szCs w:val="18"/>
              </w:rPr>
              <w:t>告知管理员</w:t>
            </w:r>
          </w:p>
        </w:tc>
        <w:tc>
          <w:tcPr>
            <w:tcW w:w="465" w:type="dxa"/>
            <w:tcBorders>
              <w:top w:val="single" w:color="000000" w:sz="4" w:space="0"/>
              <w:left w:val="nil"/>
              <w:bottom w:val="nil"/>
              <w:right w:val="single" w:color="000000" w:sz="4" w:space="0"/>
            </w:tcBorders>
            <w:noWrap w:val="0"/>
            <w:vAlign w:val="top"/>
          </w:tcPr>
          <w:p>
            <w:pPr>
              <w:autoSpaceDN w:val="0"/>
              <w:adjustRightInd w:val="0"/>
              <w:spacing w:line="240" w:lineRule="exact"/>
              <w:jc w:val="left"/>
              <w:textAlignment w:val="top"/>
              <w:rPr>
                <w:rFonts w:eastAsia="方正仿宋_GBK"/>
                <w:color w:val="000000"/>
                <w:spacing w:val="-2"/>
                <w:sz w:val="18"/>
                <w:szCs w:val="18"/>
              </w:rPr>
            </w:pPr>
            <w:r>
              <w:rPr>
                <w:rFonts w:hint="eastAsia" w:eastAsia="方正仿宋_GBK"/>
                <w:color w:val="000000"/>
                <w:spacing w:val="-2"/>
                <w:sz w:val="18"/>
                <w:szCs w:val="18"/>
              </w:rPr>
              <w:t>大市管理员</w:t>
            </w:r>
          </w:p>
        </w:tc>
        <w:tc>
          <w:tcPr>
            <w:tcW w:w="660" w:type="dxa"/>
            <w:tcBorders>
              <w:top w:val="single" w:color="000000" w:sz="4" w:space="0"/>
              <w:left w:val="nil"/>
              <w:bottom w:val="nil"/>
              <w:right w:val="single" w:color="000000" w:sz="4" w:space="0"/>
            </w:tcBorders>
            <w:noWrap w:val="0"/>
            <w:vAlign w:val="top"/>
          </w:tcPr>
          <w:p>
            <w:pPr>
              <w:autoSpaceDN w:val="0"/>
              <w:adjustRightInd w:val="0"/>
              <w:spacing w:line="240" w:lineRule="exact"/>
              <w:jc w:val="left"/>
              <w:textAlignment w:val="top"/>
              <w:rPr>
                <w:rFonts w:eastAsia="方正仿宋_GBK"/>
                <w:color w:val="000000"/>
                <w:spacing w:val="-2"/>
                <w:sz w:val="18"/>
                <w:szCs w:val="18"/>
              </w:rPr>
            </w:pPr>
            <w:r>
              <w:rPr>
                <w:rFonts w:hint="eastAsia" w:eastAsia="方正仿宋_GBK"/>
                <w:color w:val="000000"/>
                <w:spacing w:val="-2"/>
                <w:sz w:val="18"/>
                <w:szCs w:val="18"/>
              </w:rPr>
              <w:t>档案管理员</w:t>
            </w:r>
          </w:p>
        </w:tc>
        <w:tc>
          <w:tcPr>
            <w:tcW w:w="765" w:type="dxa"/>
            <w:tcBorders>
              <w:top w:val="single" w:color="000000" w:sz="4" w:space="0"/>
              <w:left w:val="nil"/>
              <w:bottom w:val="nil"/>
              <w:right w:val="single" w:color="000000" w:sz="4" w:space="0"/>
            </w:tcBorders>
            <w:noWrap w:val="0"/>
            <w:vAlign w:val="top"/>
          </w:tcPr>
          <w:p>
            <w:pPr>
              <w:autoSpaceDN w:val="0"/>
              <w:adjustRightInd w:val="0"/>
              <w:spacing w:line="240" w:lineRule="exact"/>
              <w:jc w:val="left"/>
              <w:textAlignment w:val="top"/>
              <w:rPr>
                <w:rFonts w:eastAsia="方正仿宋_GBK"/>
                <w:color w:val="000000"/>
                <w:spacing w:val="-2"/>
                <w:sz w:val="18"/>
                <w:szCs w:val="18"/>
              </w:rPr>
            </w:pPr>
            <w:r>
              <w:rPr>
                <w:rFonts w:hint="eastAsia" w:eastAsia="方正仿宋_GBK"/>
                <w:color w:val="000000"/>
                <w:spacing w:val="-2"/>
                <w:sz w:val="18"/>
                <w:szCs w:val="18"/>
              </w:rPr>
              <w:t>审图结果查看</w:t>
            </w:r>
          </w:p>
        </w:tc>
        <w:tc>
          <w:tcPr>
            <w:tcW w:w="720" w:type="dxa"/>
            <w:tcBorders>
              <w:top w:val="single" w:color="000000" w:sz="4" w:space="0"/>
              <w:left w:val="single" w:color="000000" w:sz="4" w:space="0"/>
              <w:bottom w:val="single" w:color="000000" w:sz="4" w:space="0"/>
              <w:right w:val="single" w:color="auto" w:sz="8" w:space="0"/>
            </w:tcBorders>
            <w:noWrap w:val="0"/>
            <w:vAlign w:val="center"/>
          </w:tcPr>
          <w:p>
            <w:pPr>
              <w:autoSpaceDN w:val="0"/>
              <w:adjustRightInd w:val="0"/>
              <w:spacing w:line="240" w:lineRule="exact"/>
              <w:rPr>
                <w:rFonts w:eastAsia="方正仿宋_GBK"/>
                <w:color w:val="000000"/>
                <w:spacing w:val="-2"/>
                <w:sz w:val="18"/>
                <w:szCs w:val="18"/>
              </w:rPr>
            </w:pPr>
          </w:p>
        </w:tc>
      </w:tr>
      <w:tr>
        <w:tblPrEx>
          <w:tblCellMar>
            <w:top w:w="0" w:type="dxa"/>
            <w:left w:w="108" w:type="dxa"/>
            <w:bottom w:w="0" w:type="dxa"/>
            <w:right w:w="108" w:type="dxa"/>
          </w:tblCellMar>
        </w:tblPrEx>
        <w:trPr>
          <w:trHeight w:val="460" w:hRule="atLeast"/>
          <w:jc w:val="center"/>
        </w:trPr>
        <w:tc>
          <w:tcPr>
            <w:tcW w:w="403" w:type="dxa"/>
            <w:tcBorders>
              <w:top w:val="single" w:color="000000" w:sz="4" w:space="0"/>
              <w:left w:val="single" w:color="auto" w:sz="8"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0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789"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r>
              <w:rPr>
                <w:rFonts w:eastAsia="方正仿宋_GBK"/>
                <w:color w:val="000000"/>
                <w:spacing w:val="-2"/>
                <w:sz w:val="18"/>
                <w:szCs w:val="18"/>
              </w:rPr>
              <w:t xml:space="preserve"> </w:t>
            </w: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9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48"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74"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6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color="000000" w:sz="4" w:space="0"/>
              <w:left w:val="single" w:color="000000" w:sz="4" w:space="0"/>
              <w:bottom w:val="single" w:color="000000" w:sz="4" w:space="0"/>
              <w:right w:val="single" w:color="auto" w:sz="8"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r>
      <w:tr>
        <w:tblPrEx>
          <w:tblCellMar>
            <w:top w:w="0" w:type="dxa"/>
            <w:left w:w="108" w:type="dxa"/>
            <w:bottom w:w="0" w:type="dxa"/>
            <w:right w:w="108" w:type="dxa"/>
          </w:tblCellMar>
        </w:tblPrEx>
        <w:trPr>
          <w:trHeight w:val="460" w:hRule="atLeast"/>
          <w:jc w:val="center"/>
        </w:trPr>
        <w:tc>
          <w:tcPr>
            <w:tcW w:w="403" w:type="dxa"/>
            <w:tcBorders>
              <w:top w:val="single" w:color="000000" w:sz="4" w:space="0"/>
              <w:left w:val="single" w:color="auto" w:sz="8"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0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789"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9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48"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74"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6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color="000000" w:sz="4" w:space="0"/>
              <w:left w:val="single" w:color="000000" w:sz="4" w:space="0"/>
              <w:bottom w:val="single" w:color="000000" w:sz="4" w:space="0"/>
              <w:right w:val="single" w:color="auto" w:sz="8"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r>
      <w:tr>
        <w:tblPrEx>
          <w:tblCellMar>
            <w:top w:w="0" w:type="dxa"/>
            <w:left w:w="108" w:type="dxa"/>
            <w:bottom w:w="0" w:type="dxa"/>
            <w:right w:w="108" w:type="dxa"/>
          </w:tblCellMar>
        </w:tblPrEx>
        <w:trPr>
          <w:trHeight w:val="460" w:hRule="atLeast"/>
          <w:jc w:val="center"/>
        </w:trPr>
        <w:tc>
          <w:tcPr>
            <w:tcW w:w="403" w:type="dxa"/>
            <w:tcBorders>
              <w:top w:val="single" w:color="000000" w:sz="4" w:space="0"/>
              <w:left w:val="single" w:color="auto" w:sz="8"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0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789"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9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48"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74"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6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color="000000" w:sz="4" w:space="0"/>
              <w:left w:val="single" w:color="000000" w:sz="4" w:space="0"/>
              <w:bottom w:val="single" w:color="000000" w:sz="4" w:space="0"/>
              <w:right w:val="single" w:color="auto" w:sz="8"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r>
      <w:tr>
        <w:tblPrEx>
          <w:tblCellMar>
            <w:top w:w="0" w:type="dxa"/>
            <w:left w:w="108" w:type="dxa"/>
            <w:bottom w:w="0" w:type="dxa"/>
            <w:right w:w="108" w:type="dxa"/>
          </w:tblCellMar>
        </w:tblPrEx>
        <w:trPr>
          <w:trHeight w:val="460" w:hRule="atLeast"/>
          <w:jc w:val="center"/>
        </w:trPr>
        <w:tc>
          <w:tcPr>
            <w:tcW w:w="403" w:type="dxa"/>
            <w:tcBorders>
              <w:top w:val="single" w:color="000000" w:sz="4" w:space="0"/>
              <w:left w:val="single" w:color="auto" w:sz="8"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0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789"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9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48"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74"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6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color="000000" w:sz="4" w:space="0"/>
              <w:left w:val="single" w:color="000000" w:sz="4" w:space="0"/>
              <w:bottom w:val="single" w:color="000000" w:sz="4" w:space="0"/>
              <w:right w:val="single" w:color="auto" w:sz="8"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r>
      <w:tr>
        <w:tblPrEx>
          <w:tblCellMar>
            <w:top w:w="0" w:type="dxa"/>
            <w:left w:w="108" w:type="dxa"/>
            <w:bottom w:w="0" w:type="dxa"/>
            <w:right w:w="108" w:type="dxa"/>
          </w:tblCellMar>
        </w:tblPrEx>
        <w:trPr>
          <w:trHeight w:val="460" w:hRule="atLeast"/>
          <w:jc w:val="center"/>
        </w:trPr>
        <w:tc>
          <w:tcPr>
            <w:tcW w:w="403" w:type="dxa"/>
            <w:tcBorders>
              <w:top w:val="single" w:color="000000" w:sz="4" w:space="0"/>
              <w:left w:val="single" w:color="auto" w:sz="8"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0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789"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9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48"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74"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6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color="000000" w:sz="4" w:space="0"/>
              <w:left w:val="single" w:color="000000" w:sz="4" w:space="0"/>
              <w:bottom w:val="single" w:color="000000" w:sz="4" w:space="0"/>
              <w:right w:val="single" w:color="auto" w:sz="8"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r>
      <w:tr>
        <w:tblPrEx>
          <w:tblCellMar>
            <w:top w:w="0" w:type="dxa"/>
            <w:left w:w="108" w:type="dxa"/>
            <w:bottom w:w="0" w:type="dxa"/>
            <w:right w:w="108" w:type="dxa"/>
          </w:tblCellMar>
        </w:tblPrEx>
        <w:trPr>
          <w:trHeight w:val="460" w:hRule="atLeast"/>
          <w:jc w:val="center"/>
        </w:trPr>
        <w:tc>
          <w:tcPr>
            <w:tcW w:w="403" w:type="dxa"/>
            <w:tcBorders>
              <w:top w:val="single" w:color="000000" w:sz="4" w:space="0"/>
              <w:left w:val="single" w:color="auto" w:sz="8"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0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789"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9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48"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74"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6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color="000000" w:sz="4" w:space="0"/>
              <w:left w:val="single" w:color="000000" w:sz="4" w:space="0"/>
              <w:bottom w:val="single" w:color="000000" w:sz="4" w:space="0"/>
              <w:right w:val="single" w:color="auto" w:sz="8"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r>
      <w:tr>
        <w:tblPrEx>
          <w:tblCellMar>
            <w:top w:w="0" w:type="dxa"/>
            <w:left w:w="108" w:type="dxa"/>
            <w:bottom w:w="0" w:type="dxa"/>
            <w:right w:w="108" w:type="dxa"/>
          </w:tblCellMar>
        </w:tblPrEx>
        <w:trPr>
          <w:trHeight w:val="460" w:hRule="atLeast"/>
          <w:jc w:val="center"/>
        </w:trPr>
        <w:tc>
          <w:tcPr>
            <w:tcW w:w="403" w:type="dxa"/>
            <w:tcBorders>
              <w:top w:val="single" w:color="000000" w:sz="4" w:space="0"/>
              <w:left w:val="single" w:color="auto" w:sz="8"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color="000000" w:sz="4" w:space="0"/>
              <w:left w:val="single" w:color="000000" w:sz="4" w:space="0"/>
              <w:bottom w:val="single" w:color="000000" w:sz="4"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0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789"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9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48"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8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74"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66"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color="000000" w:sz="4" w:space="0"/>
              <w:left w:val="single" w:color="000000" w:sz="4" w:space="0"/>
              <w:bottom w:val="single" w:color="000000" w:sz="4"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color="000000" w:sz="4" w:space="0"/>
              <w:left w:val="single" w:color="000000" w:sz="4" w:space="0"/>
              <w:bottom w:val="single" w:color="000000" w:sz="4" w:space="0"/>
              <w:right w:val="single" w:color="auto" w:sz="8"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r>
      <w:tr>
        <w:tblPrEx>
          <w:tblCellMar>
            <w:top w:w="0" w:type="dxa"/>
            <w:left w:w="108" w:type="dxa"/>
            <w:bottom w:w="0" w:type="dxa"/>
            <w:right w:w="108" w:type="dxa"/>
          </w:tblCellMar>
        </w:tblPrEx>
        <w:trPr>
          <w:trHeight w:val="460" w:hRule="atLeast"/>
          <w:jc w:val="center"/>
        </w:trPr>
        <w:tc>
          <w:tcPr>
            <w:tcW w:w="403" w:type="dxa"/>
            <w:tcBorders>
              <w:top w:val="single" w:color="000000" w:sz="4" w:space="0"/>
              <w:left w:val="single" w:color="auto" w:sz="8" w:space="0"/>
              <w:bottom w:val="single" w:color="auto" w:sz="8"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495" w:type="dxa"/>
            <w:tcBorders>
              <w:top w:val="single" w:color="000000" w:sz="4" w:space="0"/>
              <w:left w:val="single" w:color="000000" w:sz="4" w:space="0"/>
              <w:bottom w:val="single" w:color="auto" w:sz="8"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02" w:type="dxa"/>
            <w:tcBorders>
              <w:top w:val="single" w:color="000000" w:sz="4" w:space="0"/>
              <w:left w:val="single" w:color="000000" w:sz="4" w:space="0"/>
              <w:bottom w:val="single" w:color="auto" w:sz="8" w:space="0"/>
              <w:right w:val="single" w:color="000000" w:sz="4"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c>
          <w:tcPr>
            <w:tcW w:w="760"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80"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0"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55"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75"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06"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789"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35"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420"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75"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390"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48"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80"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574"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textAlignment w:val="top"/>
              <w:rPr>
                <w:rFonts w:eastAsia="方正仿宋_GBK"/>
                <w:color w:val="000000"/>
                <w:spacing w:val="-2"/>
                <w:sz w:val="18"/>
                <w:szCs w:val="18"/>
              </w:rPr>
            </w:pPr>
          </w:p>
        </w:tc>
        <w:tc>
          <w:tcPr>
            <w:tcW w:w="666"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465"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660"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65" w:type="dxa"/>
            <w:tcBorders>
              <w:top w:val="single" w:color="000000" w:sz="4" w:space="0"/>
              <w:left w:val="single" w:color="000000" w:sz="4" w:space="0"/>
              <w:bottom w:val="single" w:color="auto" w:sz="8" w:space="0"/>
              <w:right w:val="single" w:color="000000" w:sz="4" w:space="0"/>
            </w:tcBorders>
            <w:noWrap w:val="0"/>
            <w:vAlign w:val="top"/>
          </w:tcPr>
          <w:p>
            <w:pPr>
              <w:autoSpaceDN w:val="0"/>
              <w:adjustRightInd w:val="0"/>
              <w:spacing w:line="312" w:lineRule="atLeast"/>
              <w:jc w:val="left"/>
              <w:textAlignment w:val="top"/>
              <w:rPr>
                <w:rFonts w:eastAsia="方正仿宋_GBK"/>
                <w:color w:val="000000"/>
                <w:spacing w:val="-2"/>
                <w:sz w:val="18"/>
                <w:szCs w:val="18"/>
              </w:rPr>
            </w:pPr>
          </w:p>
        </w:tc>
        <w:tc>
          <w:tcPr>
            <w:tcW w:w="720" w:type="dxa"/>
            <w:tcBorders>
              <w:top w:val="single" w:color="000000" w:sz="4" w:space="0"/>
              <w:left w:val="single" w:color="000000" w:sz="4" w:space="0"/>
              <w:bottom w:val="single" w:color="auto" w:sz="8" w:space="0"/>
              <w:right w:val="single" w:color="auto" w:sz="8" w:space="0"/>
            </w:tcBorders>
            <w:noWrap w:val="0"/>
            <w:vAlign w:val="bottom"/>
          </w:tcPr>
          <w:p>
            <w:pPr>
              <w:autoSpaceDN w:val="0"/>
              <w:adjustRightInd w:val="0"/>
              <w:spacing w:line="312" w:lineRule="atLeast"/>
              <w:jc w:val="left"/>
              <w:textAlignment w:val="bottom"/>
              <w:rPr>
                <w:rFonts w:eastAsia="方正仿宋_GBK"/>
                <w:color w:val="000000"/>
                <w:spacing w:val="-2"/>
                <w:sz w:val="18"/>
                <w:szCs w:val="18"/>
              </w:rPr>
            </w:pPr>
          </w:p>
        </w:tc>
      </w:tr>
    </w:tbl>
    <w:p>
      <w:pPr>
        <w:widowControl/>
        <w:jc w:val="left"/>
        <w:rPr>
          <w:rFonts w:ascii="Times New Roman" w:eastAsia="仿宋_GB2312"/>
          <w:color w:val="000000"/>
          <w:spacing w:val="-2"/>
          <w:sz w:val="32"/>
          <w:szCs w:val="32"/>
        </w:rPr>
        <w:sectPr>
          <w:pgSz w:w="16838" w:h="11905" w:orient="landscape"/>
          <w:pgMar w:top="1587" w:right="1701" w:bottom="1587" w:left="1701" w:header="850" w:footer="1361" w:gutter="0"/>
          <w:paperSrc w:first="4" w:other="4"/>
          <w:cols w:space="720" w:num="1"/>
        </w:sectPr>
      </w:pPr>
    </w:p>
    <w:p>
      <w:pPr>
        <w:pStyle w:val="2"/>
        <w:spacing w:before="240" w:beforeLines="100" w:after="240" w:afterLines="100" w:line="240" w:lineRule="auto"/>
        <w:jc w:val="center"/>
        <w:rPr>
          <w:rFonts w:hint="eastAsia" w:ascii="Times New Roman" w:eastAsia="方正小标宋_GBK"/>
          <w:b w:val="0"/>
          <w:sz w:val="36"/>
          <w:szCs w:val="36"/>
        </w:rPr>
      </w:pPr>
      <w:bookmarkStart w:id="229" w:name="_Toc18315648"/>
      <w:bookmarkStart w:id="230" w:name="_Toc20726265"/>
      <w:r>
        <w:rPr>
          <w:rFonts w:hint="eastAsia" w:ascii="Times New Roman" w:eastAsia="方正小标宋_GBK"/>
          <w:b w:val="0"/>
          <w:sz w:val="36"/>
          <w:szCs w:val="36"/>
        </w:rPr>
        <w:t>省住房和城乡建设厅关于对省勘察设计行业协会《关于对人防工程设计管理有关问题的建议》的复函</w:t>
      </w:r>
      <w:bookmarkEnd w:id="229"/>
      <w:bookmarkEnd w:id="230"/>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31" w:name="_Toc20726266"/>
      <w:bookmarkStart w:id="232" w:name="_Toc18315649"/>
      <w:r>
        <w:rPr>
          <w:rFonts w:hint="eastAsia" w:ascii="Times New Roman" w:hAnsi="Times New Roman" w:eastAsia="方正楷体_GBK"/>
          <w:b w:val="0"/>
          <w:sz w:val="24"/>
          <w:szCs w:val="24"/>
        </w:rPr>
        <w:t>苏建函科〔</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483</w:t>
      </w:r>
      <w:r>
        <w:rPr>
          <w:rFonts w:hint="eastAsia" w:ascii="Times New Roman" w:hAnsi="Times New Roman" w:eastAsia="方正楷体_GBK"/>
          <w:b w:val="0"/>
          <w:sz w:val="24"/>
          <w:szCs w:val="24"/>
        </w:rPr>
        <w:t>号</w:t>
      </w:r>
      <w:bookmarkEnd w:id="231"/>
      <w:bookmarkEnd w:id="232"/>
    </w:p>
    <w:p>
      <w:pPr>
        <w:spacing w:line="460" w:lineRule="exact"/>
        <w:rPr>
          <w:rFonts w:eastAsia="方正仿宋_GBK"/>
          <w:color w:val="000000"/>
          <w:spacing w:val="-2"/>
          <w:sz w:val="24"/>
        </w:rPr>
      </w:pPr>
      <w:r>
        <w:rPr>
          <w:rFonts w:hint="eastAsia" w:eastAsia="方正仿宋_GBK"/>
          <w:color w:val="000000"/>
          <w:spacing w:val="-2"/>
          <w:sz w:val="24"/>
        </w:rPr>
        <w:t>省勘察设计行业协会：</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你会《关于对人防工程设计管理有关问题的建议》收悉，经研究，答复如下：</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一、关于含附建式人防工程的民用建筑项目的承发包问题</w:t>
      </w:r>
    </w:p>
    <w:p>
      <w:pPr>
        <w:spacing w:line="460" w:lineRule="exact"/>
        <w:ind w:left="-6" w:leftChars="-3" w:firstLine="483" w:firstLineChars="205"/>
        <w:rPr>
          <w:rFonts w:hint="eastAsia" w:eastAsia="方正仿宋_GBK"/>
          <w:color w:val="000000"/>
          <w:spacing w:val="-2"/>
          <w:sz w:val="24"/>
        </w:rPr>
      </w:pPr>
      <w:r>
        <w:rPr>
          <w:rFonts w:hint="eastAsia" w:eastAsia="方正仿宋_GBK"/>
          <w:color w:val="000000"/>
          <w:spacing w:val="-2"/>
          <w:sz w:val="24"/>
        </w:rPr>
        <w:t>将含附建式人防工程的民用建筑项目主体部分的地上工程、地下工程进行分割，分别由不同设计单位进行设计，容易产生结构安全隐患、管线错漏碰以及责任主体不明确等问题，也违反了《建设工程质量管理条例》和《建设工程勘察设计管理条例》的相关规定。</w:t>
      </w:r>
    </w:p>
    <w:p>
      <w:pPr>
        <w:spacing w:line="460" w:lineRule="exact"/>
        <w:ind w:left="-6" w:leftChars="-3" w:firstLine="483" w:firstLineChars="205"/>
        <w:rPr>
          <w:rFonts w:eastAsia="方正仿宋_GBK"/>
          <w:color w:val="000000"/>
          <w:spacing w:val="-2"/>
          <w:sz w:val="24"/>
        </w:rPr>
      </w:pPr>
      <w:r>
        <w:rPr>
          <w:rFonts w:hint="eastAsia" w:eastAsia="方正仿宋_GBK"/>
          <w:color w:val="000000"/>
          <w:spacing w:val="-2"/>
          <w:sz w:val="24"/>
        </w:rPr>
        <w:t>根据《建设工程质量管理条例》第七条建设单位不得将建设工程肢解发包以及《建设工程勘察设计管理条例》第十九条建设工程主体部分不得分包的规定，民用建筑主体部分的地下、地上工程应由同一家设计单位进行设计，发包方不得肢解发包，设计单位不得违法分包。</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二、关于人防工程设计资质管理问题</w:t>
      </w:r>
    </w:p>
    <w:p>
      <w:pPr>
        <w:spacing w:line="460" w:lineRule="exact"/>
        <w:ind w:left="-6" w:leftChars="-3" w:firstLine="483" w:firstLineChars="205"/>
        <w:rPr>
          <w:rFonts w:hint="eastAsia" w:eastAsia="方正仿宋_GBK"/>
          <w:color w:val="000000"/>
          <w:spacing w:val="-2"/>
          <w:sz w:val="24"/>
        </w:rPr>
      </w:pPr>
      <w:r>
        <w:rPr>
          <w:rFonts w:hint="eastAsia" w:eastAsia="方正仿宋_GBK"/>
          <w:color w:val="000000"/>
          <w:spacing w:val="-2"/>
          <w:sz w:val="24"/>
        </w:rPr>
        <w:t>根据《中华人民共和国建筑法》、《建设工程勘察设计管理条例》、《建设工程勘察设计资质管理规定》（建设部令第</w:t>
      </w:r>
      <w:r>
        <w:rPr>
          <w:rFonts w:eastAsia="方正仿宋_GBK"/>
          <w:color w:val="000000"/>
          <w:spacing w:val="-2"/>
          <w:sz w:val="24"/>
        </w:rPr>
        <w:t>160</w:t>
      </w:r>
      <w:r>
        <w:rPr>
          <w:rFonts w:hint="eastAsia" w:eastAsia="方正仿宋_GBK"/>
          <w:color w:val="000000"/>
          <w:spacing w:val="-2"/>
          <w:sz w:val="24"/>
        </w:rPr>
        <w:t>号）、《工程设计资质标准》（建市〔</w:t>
      </w:r>
      <w:r>
        <w:rPr>
          <w:rFonts w:eastAsia="方正仿宋_GBK"/>
          <w:color w:val="000000"/>
          <w:spacing w:val="-2"/>
          <w:sz w:val="24"/>
        </w:rPr>
        <w:t>2007</w:t>
      </w:r>
      <w:r>
        <w:rPr>
          <w:rFonts w:hint="eastAsia" w:eastAsia="方正仿宋_GBK"/>
          <w:color w:val="000000"/>
          <w:spacing w:val="-2"/>
          <w:sz w:val="24"/>
        </w:rPr>
        <w:t>〕</w:t>
      </w:r>
      <w:r>
        <w:rPr>
          <w:rFonts w:eastAsia="方正仿宋_GBK"/>
          <w:color w:val="000000"/>
          <w:spacing w:val="-2"/>
          <w:sz w:val="24"/>
        </w:rPr>
        <w:t>86</w:t>
      </w:r>
      <w:r>
        <w:rPr>
          <w:rFonts w:hint="eastAsia" w:eastAsia="方正仿宋_GBK"/>
          <w:color w:val="000000"/>
          <w:spacing w:val="-2"/>
          <w:sz w:val="24"/>
        </w:rPr>
        <w:t>号）的有关规定，承接建筑工程项目及人防工程项目设计，必须持有住房城乡建设主管部门核发的具有相应资质等级及业务范围的工程设计资质证书；取得建筑工程设计专业资质的单位，可承接相应等级的附建式人防工程的设计业务。</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三、关于出图专用章的问题</w:t>
      </w:r>
    </w:p>
    <w:p>
      <w:pPr>
        <w:spacing w:line="460" w:lineRule="exact"/>
        <w:ind w:left="-6" w:leftChars="-3" w:firstLine="483" w:firstLineChars="205"/>
        <w:rPr>
          <w:rFonts w:hint="eastAsia" w:eastAsia="方正仿宋_GBK"/>
          <w:color w:val="000000"/>
          <w:spacing w:val="-2"/>
          <w:sz w:val="24"/>
        </w:rPr>
      </w:pPr>
      <w:r>
        <w:rPr>
          <w:rFonts w:hint="eastAsia" w:eastAsia="方正仿宋_GBK"/>
          <w:color w:val="000000"/>
          <w:spacing w:val="-2"/>
          <w:sz w:val="24"/>
        </w:rPr>
        <w:t>根据《江苏省建设工程勘察设计管理办法》第二十四条规定，设计图纸必须使用本单位专用图签，并加盖由本省省人民政府建设行政主管部门统一刻制的出图专用章后方为有效。其他无法律、法规或规章依据的出图专用章不得在图纸上加盖。</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四、其他问题</w:t>
      </w:r>
    </w:p>
    <w:p>
      <w:pPr>
        <w:spacing w:line="460" w:lineRule="exact"/>
        <w:ind w:left="-6" w:leftChars="-3" w:firstLine="483" w:firstLineChars="205"/>
        <w:rPr>
          <w:rFonts w:hint="eastAsia" w:eastAsia="方正仿宋_GBK"/>
          <w:color w:val="000000"/>
          <w:spacing w:val="-2"/>
          <w:sz w:val="24"/>
        </w:rPr>
      </w:pPr>
      <w:r>
        <w:rPr>
          <w:rFonts w:hint="eastAsia" w:eastAsia="方正仿宋_GBK"/>
          <w:color w:val="000000"/>
          <w:spacing w:val="-2"/>
          <w:sz w:val="24"/>
        </w:rPr>
        <w:t>其他问题我厅已向相关主管部门反映。</w:t>
      </w:r>
    </w:p>
    <w:p>
      <w:pPr>
        <w:spacing w:line="460" w:lineRule="exact"/>
        <w:ind w:left="-6" w:leftChars="-3" w:firstLine="483" w:firstLineChars="205"/>
        <w:rPr>
          <w:rFonts w:eastAsia="方正仿宋_GBK"/>
          <w:color w:val="000000"/>
          <w:spacing w:val="-2"/>
          <w:sz w:val="24"/>
        </w:rPr>
      </w:pPr>
      <w:r>
        <w:rPr>
          <w:rFonts w:hint="eastAsia" w:eastAsia="方正仿宋_GBK"/>
          <w:color w:val="000000"/>
          <w:spacing w:val="-2"/>
          <w:sz w:val="24"/>
        </w:rPr>
        <w:t>下一步，我厅将督促各级住房城乡建设主管部门对建筑工程项目加强动态监管，对违法违规的建设单位及设计单位及时依法处理，并记入不良记录。</w:t>
      </w:r>
    </w:p>
    <w:p>
      <w:pPr>
        <w:spacing w:line="460" w:lineRule="exact"/>
        <w:ind w:left="-6" w:leftChars="-3" w:firstLine="483" w:firstLineChars="205"/>
        <w:rPr>
          <w:rFonts w:eastAsia="方正仿宋_GBK"/>
          <w:color w:val="000000"/>
          <w:spacing w:val="-2"/>
          <w:sz w:val="24"/>
        </w:rPr>
      </w:pPr>
      <w:r>
        <w:rPr>
          <w:rFonts w:hint="eastAsia" w:eastAsia="方正仿宋_GBK"/>
          <w:color w:val="000000"/>
          <w:spacing w:val="-2"/>
          <w:sz w:val="24"/>
        </w:rPr>
        <w:t>特此函复。</w:t>
      </w:r>
    </w:p>
    <w:p>
      <w:pPr>
        <w:spacing w:line="460" w:lineRule="exact"/>
        <w:ind w:left="-6" w:leftChars="-3" w:firstLine="483" w:firstLineChars="205"/>
        <w:rPr>
          <w:rFonts w:eastAsia="方正仿宋_GBK"/>
          <w:color w:val="000000"/>
          <w:spacing w:val="-2"/>
          <w:sz w:val="24"/>
        </w:rPr>
      </w:pPr>
    </w:p>
    <w:p>
      <w:pPr>
        <w:spacing w:line="460" w:lineRule="exact"/>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firstLine="6608" w:firstLineChars="2800"/>
        <w:rPr>
          <w:sz w:val="24"/>
        </w:rPr>
      </w:pP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8</w:t>
      </w:r>
      <w:r>
        <w:rPr>
          <w:rFonts w:hint="eastAsia" w:eastAsia="方正仿宋_GBK"/>
          <w:color w:val="000000"/>
          <w:spacing w:val="-2"/>
          <w:sz w:val="24"/>
        </w:rPr>
        <w:t>日</w:t>
      </w:r>
    </w:p>
    <w:p>
      <w:pPr>
        <w:pStyle w:val="2"/>
        <w:spacing w:before="240" w:beforeLines="100" w:after="240" w:afterLines="100" w:line="240" w:lineRule="auto"/>
        <w:jc w:val="center"/>
        <w:rPr>
          <w:rFonts w:ascii="Times New Roman" w:eastAsia="方正小标宋_GBK"/>
          <w:b w:val="0"/>
          <w:sz w:val="36"/>
          <w:szCs w:val="36"/>
        </w:rPr>
      </w:pPr>
      <w:r>
        <w:rPr>
          <w:b w:val="0"/>
          <w:sz w:val="24"/>
        </w:rPr>
        <w:br w:type="column"/>
      </w:r>
      <w:bookmarkStart w:id="233" w:name="_Toc20726267"/>
      <w:bookmarkStart w:id="234" w:name="_Toc18315650"/>
      <w:r>
        <w:rPr>
          <w:rFonts w:hint="eastAsia" w:ascii="Times New Roman" w:eastAsia="方正小标宋_GBK"/>
          <w:b w:val="0"/>
          <w:sz w:val="36"/>
          <w:szCs w:val="36"/>
        </w:rPr>
        <w:t>省住房城乡建设厅关于印发《江苏省优秀工程勘察设计奖评选办法》《江苏省城乡建设系统优秀勘察设计奖   评选办法》的通知</w:t>
      </w:r>
      <w:bookmarkEnd w:id="233"/>
      <w:bookmarkEnd w:id="234"/>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35" w:name="_Toc20726268"/>
      <w:bookmarkStart w:id="236" w:name="_Toc18315651"/>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2017</w:t>
      </w:r>
      <w:r>
        <w:rPr>
          <w:rFonts w:hint="eastAsia" w:ascii="Times New Roman" w:hAnsi="Times New Roman" w:eastAsia="方正楷体_GBK"/>
          <w:b w:val="0"/>
          <w:sz w:val="24"/>
          <w:szCs w:val="24"/>
        </w:rPr>
        <w:t>〕</w:t>
      </w:r>
      <w:r>
        <w:rPr>
          <w:rFonts w:ascii="Times New Roman" w:hAnsi="Times New Roman" w:eastAsia="方正楷体_GBK"/>
          <w:b w:val="0"/>
          <w:sz w:val="24"/>
          <w:szCs w:val="24"/>
        </w:rPr>
        <w:t>59</w:t>
      </w:r>
      <w:r>
        <w:rPr>
          <w:rFonts w:hint="eastAsia" w:ascii="Times New Roman" w:hAnsi="Times New Roman" w:eastAsia="方正楷体_GBK"/>
          <w:b w:val="0"/>
          <w:sz w:val="24"/>
          <w:szCs w:val="24"/>
        </w:rPr>
        <w:t>号</w:t>
      </w:r>
      <w:bookmarkEnd w:id="235"/>
      <w:bookmarkEnd w:id="236"/>
    </w:p>
    <w:p>
      <w:pPr>
        <w:spacing w:line="460" w:lineRule="exact"/>
        <w:ind w:right="-512" w:rightChars="-244"/>
        <w:jc w:val="left"/>
        <w:rPr>
          <w:rFonts w:ascii="Times New Roman" w:hAnsi="Times New Roman" w:eastAsia="方正仿宋_GBK" w:cs="方正仿宋_GBK"/>
          <w:color w:val="000000"/>
          <w:sz w:val="24"/>
        </w:rPr>
      </w:pPr>
      <w:r>
        <w:rPr>
          <w:rFonts w:hint="eastAsia" w:ascii="Times New Roman" w:hAnsi="Times New Roman" w:eastAsia="方正仿宋_GBK" w:cs="方正仿宋_GBK"/>
          <w:sz w:val="24"/>
        </w:rPr>
        <w:t>各设区市建设局（建委）</w:t>
      </w:r>
      <w:r>
        <w:rPr>
          <w:rFonts w:hint="eastAsia" w:ascii="Times New Roman" w:hAnsi="Times New Roman" w:eastAsia="方正仿宋_GBK" w:cs="方正仿宋_GBK"/>
          <w:color w:val="000000"/>
          <w:sz w:val="24"/>
        </w:rPr>
        <w:t>：</w:t>
      </w:r>
    </w:p>
    <w:p>
      <w:pPr>
        <w:spacing w:line="46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为了推动我省工程勘察设计行业技术创新，提高工程勘察设计质量，根据住房和城乡建设部《全国优秀工程勘察设计奖评选办法》及《江苏省建设工程勘察设计管理办法》有关规定,我厅对《江苏省优秀工程勘察设计奖评选办法》第十二条，及《江苏省城乡建设系统优秀勘察设计奖评选办法》第七条进行了修订，现印发给你们，请各地各部门遵照执行，做好省优秀工程勘察设计奖及省城乡建设系统优秀工程勘察设计奖评选工作。</w:t>
      </w:r>
    </w:p>
    <w:p>
      <w:pPr>
        <w:spacing w:line="460" w:lineRule="exact"/>
        <w:ind w:right="-512" w:rightChars="-244"/>
        <w:rPr>
          <w:rFonts w:hint="eastAsia" w:ascii="Times New Roman" w:hAnsi="Times New Roman" w:eastAsia="方正仿宋_GBK" w:cs="方正仿宋_GBK"/>
          <w:sz w:val="24"/>
        </w:rPr>
      </w:pPr>
    </w:p>
    <w:p>
      <w:pPr>
        <w:spacing w:line="460" w:lineRule="exact"/>
        <w:ind w:right="-512" w:rightChars="-244" w:firstLine="645"/>
        <w:jc w:val="right"/>
        <w:rPr>
          <w:rFonts w:hint="eastAsia" w:ascii="Times New Roman" w:hAnsi="Times New Roman" w:eastAsia="方正仿宋_GBK" w:cs="方正仿宋_GBK"/>
          <w:sz w:val="24"/>
        </w:rPr>
      </w:pPr>
      <w:r>
        <w:rPr>
          <w:rFonts w:hint="eastAsia" w:ascii="Times New Roman" w:hAnsi="Times New Roman" w:eastAsia="方正仿宋_GBK" w:cs="方正仿宋_GBK"/>
          <w:sz w:val="24"/>
        </w:rPr>
        <w:t xml:space="preserve">江苏省住房和城乡建设厅    </w:t>
      </w:r>
    </w:p>
    <w:p>
      <w:pPr>
        <w:spacing w:line="460" w:lineRule="exact"/>
        <w:ind w:right="-512" w:rightChars="-244" w:firstLine="645"/>
        <w:jc w:val="right"/>
        <w:rPr>
          <w:rFonts w:hint="eastAsia" w:ascii="Times New Roman" w:hAnsi="Times New Roman" w:eastAsia="方正仿宋_GBK" w:cs="方正仿宋_GBK"/>
          <w:sz w:val="24"/>
        </w:rPr>
      </w:pPr>
      <w:r>
        <w:rPr>
          <w:rFonts w:hint="eastAsia" w:ascii="Times New Roman" w:hAnsi="Times New Roman" w:eastAsia="方正仿宋_GBK" w:cs="方正仿宋_GBK"/>
          <w:sz w:val="24"/>
        </w:rPr>
        <w:t xml:space="preserve">2017年2月4日        </w:t>
      </w:r>
    </w:p>
    <w:p>
      <w:pPr>
        <w:rPr>
          <w:rFonts w:hint="eastAsia" w:ascii="Times New Roman" w:hAnsi="Times New Roman" w:eastAsia="方正仿宋_GBK" w:cs="方正仿宋_GBK"/>
          <w:sz w:val="24"/>
        </w:rPr>
      </w:pPr>
    </w:p>
    <w:p>
      <w:pPr>
        <w:spacing w:line="570" w:lineRule="exact"/>
        <w:ind w:right="-512" w:rightChars="-244"/>
        <w:jc w:val="left"/>
        <w:rPr>
          <w:rFonts w:hint="eastAsia" w:ascii="Times New Roman" w:hAnsi="Times New Roman" w:eastAsia="方正仿宋_GBK" w:cs="方正仿宋_GBK"/>
          <w:sz w:val="24"/>
        </w:rPr>
      </w:pPr>
    </w:p>
    <w:p>
      <w:pPr>
        <w:spacing w:line="570" w:lineRule="exact"/>
        <w:ind w:right="-512" w:rightChars="-244"/>
        <w:jc w:val="left"/>
        <w:rPr>
          <w:rFonts w:hint="eastAsia" w:ascii="Times New Roman" w:hAnsi="Times New Roman" w:eastAsia="方正仿宋_GBK" w:cs="方正仿宋_GBK"/>
          <w:sz w:val="24"/>
        </w:rPr>
      </w:pPr>
    </w:p>
    <w:p>
      <w:pPr>
        <w:spacing w:line="570" w:lineRule="exact"/>
        <w:ind w:right="-512" w:rightChars="-244"/>
        <w:jc w:val="left"/>
        <w:rPr>
          <w:rFonts w:hint="eastAsia" w:ascii="Times New Roman" w:hAnsi="Times New Roman" w:eastAsia="方正仿宋_GBK" w:cs="方正仿宋_GBK"/>
          <w:sz w:val="24"/>
        </w:rPr>
      </w:pPr>
    </w:p>
    <w:p>
      <w:pPr>
        <w:spacing w:line="570" w:lineRule="exact"/>
        <w:ind w:right="-512" w:rightChars="-244"/>
        <w:jc w:val="left"/>
        <w:rPr>
          <w:rFonts w:hint="eastAsia" w:ascii="Times New Roman" w:hAnsi="Times New Roman" w:eastAsia="方正仿宋_GBK" w:cs="方正仿宋_GBK"/>
          <w:sz w:val="24"/>
        </w:rPr>
      </w:pPr>
    </w:p>
    <w:p>
      <w:pPr>
        <w:spacing w:line="570" w:lineRule="exact"/>
        <w:ind w:right="-512" w:rightChars="-244"/>
        <w:jc w:val="left"/>
        <w:rPr>
          <w:rFonts w:hint="eastAsia" w:ascii="Times New Roman" w:hAnsi="Times New Roman" w:eastAsia="方正仿宋_GBK" w:cs="方正仿宋_GBK"/>
          <w:sz w:val="24"/>
        </w:rPr>
      </w:pPr>
    </w:p>
    <w:p>
      <w:pPr>
        <w:spacing w:line="570" w:lineRule="exact"/>
        <w:ind w:right="-512" w:rightChars="-244"/>
        <w:jc w:val="left"/>
        <w:rPr>
          <w:rFonts w:hint="eastAsia" w:ascii="Times New Roman" w:hAnsi="Times New Roman" w:eastAsia="方正仿宋_GBK" w:cs="方正仿宋_GBK"/>
          <w:sz w:val="24"/>
        </w:rPr>
      </w:pPr>
    </w:p>
    <w:p>
      <w:pPr>
        <w:spacing w:line="570" w:lineRule="exact"/>
        <w:ind w:right="-512" w:rightChars="-244"/>
        <w:jc w:val="left"/>
        <w:rPr>
          <w:rFonts w:hint="eastAsia" w:ascii="Times New Roman" w:hAnsi="Times New Roman" w:eastAsia="方正仿宋_GBK" w:cs="方正仿宋_GBK"/>
          <w:sz w:val="24"/>
        </w:rPr>
      </w:pPr>
    </w:p>
    <w:p>
      <w:pPr>
        <w:spacing w:line="570" w:lineRule="exact"/>
        <w:ind w:right="-512" w:rightChars="-244"/>
        <w:jc w:val="left"/>
        <w:rPr>
          <w:rFonts w:hint="eastAsia" w:ascii="Times New Roman" w:hAnsi="Times New Roman" w:eastAsia="方正仿宋_GBK" w:cs="方正仿宋_GBK"/>
          <w:sz w:val="24"/>
        </w:rPr>
      </w:pPr>
    </w:p>
    <w:p>
      <w:pPr>
        <w:spacing w:line="480" w:lineRule="exact"/>
        <w:ind w:right="-512" w:rightChars="-244"/>
        <w:jc w:val="left"/>
        <w:rPr>
          <w:rFonts w:hint="eastAsia" w:ascii="Times New Roman" w:hAnsi="Times New Roman" w:eastAsia="方正黑体_GBK" w:cs="方正仿宋_GBK"/>
          <w:sz w:val="28"/>
          <w:szCs w:val="28"/>
        </w:rPr>
      </w:pPr>
      <w:r>
        <w:rPr>
          <w:rFonts w:hint="eastAsia" w:ascii="Times New Roman" w:hAnsi="Times New Roman" w:eastAsia="方正黑体_GBK" w:cs="方正仿宋_GBK"/>
          <w:sz w:val="28"/>
          <w:szCs w:val="28"/>
        </w:rPr>
        <w:br w:type="column"/>
      </w:r>
      <w:r>
        <w:rPr>
          <w:rFonts w:hint="eastAsia" w:ascii="Times New Roman" w:hAnsi="Times New Roman" w:eastAsia="方正黑体_GBK" w:cs="方正仿宋_GBK"/>
          <w:sz w:val="28"/>
          <w:szCs w:val="28"/>
        </w:rPr>
        <w:t>附1</w:t>
      </w:r>
    </w:p>
    <w:p>
      <w:pPr>
        <w:spacing w:line="480" w:lineRule="exact"/>
        <w:ind w:right="-512" w:rightChars="-244"/>
        <w:jc w:val="left"/>
        <w:rPr>
          <w:rFonts w:hint="eastAsia" w:ascii="Times New Roman" w:hAnsi="Times New Roman" w:eastAsia="方正黑体_GBK" w:cs="方正仿宋_GBK"/>
          <w:sz w:val="28"/>
          <w:szCs w:val="28"/>
        </w:rPr>
      </w:pPr>
    </w:p>
    <w:p>
      <w:pPr>
        <w:spacing w:line="480" w:lineRule="exact"/>
        <w:ind w:right="-512" w:rightChars="-244"/>
        <w:jc w:val="center"/>
        <w:rPr>
          <w:rFonts w:hint="eastAsia" w:ascii="Times New Roman" w:hAnsi="Times New Roman" w:eastAsia="方正小标宋_GBK" w:cs="方正仿宋_GBK"/>
          <w:sz w:val="36"/>
          <w:szCs w:val="36"/>
        </w:rPr>
      </w:pPr>
      <w:r>
        <w:rPr>
          <w:rFonts w:hint="eastAsia" w:ascii="Times New Roman" w:hAnsi="Times New Roman" w:eastAsia="方正小标宋_GBK" w:cs="方正仿宋_GBK"/>
          <w:sz w:val="36"/>
          <w:szCs w:val="36"/>
        </w:rPr>
        <w:t>江苏省优秀工程勘察设计奖评选办法</w:t>
      </w:r>
    </w:p>
    <w:p>
      <w:pPr>
        <w:spacing w:line="480" w:lineRule="exact"/>
        <w:ind w:right="-512" w:rightChars="-244"/>
        <w:jc w:val="center"/>
        <w:rPr>
          <w:rFonts w:hint="eastAsia" w:ascii="Times New Roman" w:hAnsi="Times New Roman" w:eastAsia="方正小标宋_GBK" w:cs="方正仿宋_GBK"/>
          <w:sz w:val="36"/>
          <w:szCs w:val="36"/>
        </w:rPr>
      </w:pPr>
    </w:p>
    <w:p>
      <w:pPr>
        <w:pStyle w:val="3"/>
        <w:spacing w:before="0" w:after="0" w:line="480" w:lineRule="exact"/>
        <w:ind w:right="-512" w:rightChars="-244"/>
        <w:jc w:val="center"/>
        <w:rPr>
          <w:rFonts w:hint="eastAsia" w:ascii="Times New Roman" w:hAnsi="Times New Roman" w:eastAsia="方正仿宋_GBK" w:cs="方正仿宋_GBK"/>
          <w:sz w:val="24"/>
          <w:szCs w:val="24"/>
        </w:rPr>
      </w:pPr>
      <w:bookmarkStart w:id="237" w:name="_Toc20726269"/>
      <w:bookmarkStart w:id="238" w:name="_Toc20667743"/>
      <w:bookmarkStart w:id="239" w:name="_Toc18315652"/>
      <w:r>
        <w:rPr>
          <w:rFonts w:hint="eastAsia" w:ascii="Times New Roman" w:hAnsi="Times New Roman" w:eastAsia="方正仿宋_GBK" w:cs="方正仿宋_GBK"/>
          <w:sz w:val="24"/>
          <w:szCs w:val="24"/>
        </w:rPr>
        <w:t>第一章　总　　则</w:t>
      </w:r>
      <w:bookmarkEnd w:id="237"/>
      <w:bookmarkEnd w:id="238"/>
      <w:bookmarkEnd w:id="239"/>
    </w:p>
    <w:p>
      <w:pPr>
        <w:spacing w:line="480" w:lineRule="exact"/>
        <w:ind w:right="-512" w:rightChars="-244" w:firstLine="645"/>
        <w:rPr>
          <w:rFonts w:hint="eastAsia" w:ascii="Times New Roman" w:hAnsi="Times New Roman" w:eastAsia="方正仿宋_GBK" w:cs="方正仿宋_GBK"/>
          <w:sz w:val="24"/>
        </w:rPr>
      </w:pP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第一条　为贯彻落实科学发展观，推动工程勘察设计行业技术创新，提高工程勘察设计水平，引导、鼓励工程勘察设计单位和工程勘察设计人员创作出更多质量优、水平高、效益好的工程勘察设计项目，根据建设部《全国优秀工程勘察设计奖评选办法》、《江苏省建设工程勘察设计管理办法》，特制定本办法。</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第二条　江苏省优秀工程勘察设计奖是我省工程勘察设计行业的省级最高奖项,包括优秀工程勘察、优秀工程设计、优秀工程建设标准设计、优秀工程勘察设计计算机软件。</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第三条　江苏省优秀工程勘察设计奖每两年评选一次，分设一等奖、二等奖和三等奖。</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获奖项目中一、二等奖的比例原则上不超过获奖总数的15%、35%，达不到评定等级标准的奖项可空缺。</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第四条　江苏省优秀工程勘察设计奖评选工作应当遵循实事求是、科学严谨和公开、公平、公正的原则。</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第五条　省建设厅负责江苏省优秀工程勘察设计奖的评选工作。</w:t>
      </w:r>
    </w:p>
    <w:p>
      <w:pPr>
        <w:pStyle w:val="3"/>
        <w:spacing w:before="0" w:after="0" w:line="480" w:lineRule="exact"/>
        <w:ind w:right="-512" w:rightChars="-244"/>
        <w:rPr>
          <w:rFonts w:hint="eastAsia" w:ascii="Times New Roman" w:hAnsi="Times New Roman" w:eastAsia="方正仿宋_GBK" w:cs="方正仿宋_GBK"/>
          <w:sz w:val="24"/>
          <w:szCs w:val="24"/>
        </w:rPr>
      </w:pPr>
    </w:p>
    <w:p>
      <w:pPr>
        <w:pStyle w:val="3"/>
        <w:spacing w:before="0" w:after="0" w:line="480" w:lineRule="exact"/>
        <w:ind w:right="-512" w:rightChars="-244"/>
        <w:jc w:val="center"/>
        <w:rPr>
          <w:rFonts w:hint="eastAsia" w:ascii="Times New Roman" w:hAnsi="Times New Roman" w:eastAsia="方正仿宋_GBK" w:cs="方正仿宋_GBK"/>
          <w:sz w:val="24"/>
          <w:szCs w:val="24"/>
        </w:rPr>
      </w:pPr>
      <w:bookmarkStart w:id="240" w:name="_Toc20667744"/>
      <w:bookmarkStart w:id="241" w:name="_Toc18315653"/>
      <w:bookmarkStart w:id="242" w:name="_Toc20726270"/>
      <w:r>
        <w:rPr>
          <w:rFonts w:hint="eastAsia" w:ascii="Times New Roman" w:hAnsi="Times New Roman" w:eastAsia="方正仿宋_GBK" w:cs="方正仿宋_GBK"/>
          <w:sz w:val="24"/>
          <w:szCs w:val="24"/>
        </w:rPr>
        <w:t>第二章　评选的范围</w:t>
      </w:r>
      <w:bookmarkEnd w:id="240"/>
      <w:bookmarkEnd w:id="241"/>
      <w:bookmarkEnd w:id="242"/>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第六条  申报项目应为我省勘察设计、规划单位承接或为主承接的国内外勘察设计项目,或由省外勘察设计、规划单位承接或为主承接的我省勘察设计项目。</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第七条　江苏省优秀工程勘察奖评选范围包括：</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 结构主体工程完成一年以上（以项目业主或有关部门证明的日期为准）的工程地质勘察项目，或地基基础工程竣工验收后经一年以上时间检验的岩土工程项目；</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二、规划、建设方验收后的工程测量项目（含城市规划测量项目）；</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三、开采性抽水试验（抽水能力大于设计水量50%），或开采未达到设计水平但有一年以上长期观测资料，或经相关机构认可的水资源评价与钻井工程等水文地质勘察项目；</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四、地质条件复杂的大型水利、铁道、公路等工程勘察，可按批准立项文件或批准的初步设计分期、分单项或以单位工程申报，按整个项目申报时，其子项目原则上不再另行申报。</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第八条　江苏省优秀工程设计奖评选范围包括：</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一、建成并经过交（竣）工验收，经过一年以上（以项目业主或有关部门验收证明的日期为准）生产运营（使用），已形成生产能力或独立功能的整体工程设计项目（包括新建、扩建和改建项目）；</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二、大型工程设计项目如矿井、水利工程、铁道、公路等，可按批准立项文件或批准的初步设计分期、分单项或以单位工程申报，按整个项目申报时，其子项目原则上不再另行申报；</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三、经规定程序审查批准并付诸实施的城乡规划项目及其他规划项目（如江河流域规划、水利工程专项规划等）；</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四、引进国外（境外）技术或者中外合作设计的工程设计项目，凡由中方进行初步设计或施工图设计的项目可以申报。</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第九条　江苏省优秀工程建设标准设计奖评选范围：</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经国家或省有关行政主管部门、行业协会批准、出版的江苏省工程建设标准设计。</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第十条　江苏省优秀工程勘察设计计算机软件奖评选范围包括：</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一、具有自主知识产权，适用于工程勘察设计行业的国产软件；</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二、引进后经二次开发，适用于工程勘察设计行业的软件或数据库。</w:t>
      </w:r>
    </w:p>
    <w:p>
      <w:pPr>
        <w:pStyle w:val="3"/>
        <w:spacing w:before="0" w:after="0" w:line="480" w:lineRule="exact"/>
        <w:ind w:right="-512" w:rightChars="-244"/>
        <w:rPr>
          <w:rFonts w:hint="eastAsia" w:ascii="Times New Roman" w:hAnsi="Times New Roman" w:eastAsia="方正仿宋_GBK" w:cs="方正仿宋_GBK"/>
          <w:sz w:val="24"/>
          <w:szCs w:val="24"/>
        </w:rPr>
      </w:pPr>
    </w:p>
    <w:p>
      <w:pPr>
        <w:pStyle w:val="3"/>
        <w:spacing w:before="0" w:after="0" w:line="480" w:lineRule="exact"/>
        <w:ind w:right="-512" w:rightChars="-244"/>
        <w:jc w:val="center"/>
        <w:rPr>
          <w:rFonts w:hint="eastAsia" w:ascii="Times New Roman" w:hAnsi="Times New Roman" w:eastAsia="方正仿宋_GBK" w:cs="方正仿宋_GBK"/>
          <w:sz w:val="24"/>
          <w:szCs w:val="24"/>
        </w:rPr>
      </w:pPr>
      <w:bookmarkStart w:id="243" w:name="_Toc18315654"/>
      <w:bookmarkStart w:id="244" w:name="_Toc20726271"/>
      <w:bookmarkStart w:id="245" w:name="_Toc20667745"/>
      <w:r>
        <w:rPr>
          <w:rFonts w:hint="eastAsia" w:ascii="Times New Roman" w:hAnsi="Times New Roman" w:eastAsia="方正仿宋_GBK" w:cs="方正仿宋_GBK"/>
          <w:sz w:val="24"/>
          <w:szCs w:val="24"/>
        </w:rPr>
        <w:t>第三章　评选的条件和标准</w:t>
      </w:r>
      <w:bookmarkEnd w:id="243"/>
      <w:bookmarkEnd w:id="244"/>
      <w:bookmarkEnd w:id="245"/>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第十一条　申报江苏省优秀工程勘察设计奖评选的项目必须具备下列条件：</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一、符合国家工程建设的方针、政策和法律、法规，规定、标准图、技术标准及严格执行工程建设强制性标准；采用突破国家技术标准的新技术、新材料，须按照规定通过技术审定；</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二、贯彻执行国家的产业政策，具有先进的勘察设计理念，其主导专业或多个专业采用适用、安全、经济、可靠的新技术，经实践检验取得良好的经济、社会和环境效益；</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三、符合基本建设程序，各项手续完备，取得建设规划、环保、节能、安全、消防、卫生、城建档案管理等相关审批、验收文件，申报项目的业主、生产运行单位对工程勘察设计书面评价意见；</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四、申报项目的单位，必须具有相应的工程勘察设计、规划资质证书，且最近3年内没有发生过重大勘察设计质量安全事故；</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五、工程勘察和城乡建设系统设计项目需获得江苏省城乡建设系统优秀工程勘察设计等级奖；</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六、申报优秀工程建设标准设计的项目应在工程设计或施工中使用满一年且使用效果显著；　</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七、申报优秀工程勘察设计计算机软件应通过鉴定和行业测评，经过实际应用,具有显著经济效益或能提高管理效率。</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第十二条　江苏省优秀工程勘察设计奖各奖项水平应达到以下标准：</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一等奖项目：其主要技术成果指标在全省同类项目中属最高水平，并达到同期国内领先水平，有突出技术创新；</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二等奖项目：其主要技术成果指标应达到同期国内先进水平，有较大的技术创新；</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三等奖项目：其主要技术成果指标应达到同期省内先进水平，有一定的技术创新。</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高星级绿色建筑、装配式建筑、地下综合管廊工程、应用BIM技术项目，及对行业技术发展具有引领推动作用的项目，在评选时予以鼓励和优先。</w:t>
      </w:r>
    </w:p>
    <w:p>
      <w:pPr>
        <w:spacing w:line="480" w:lineRule="exact"/>
        <w:ind w:right="-512" w:rightChars="-244" w:firstLine="480" w:firstLineChars="200"/>
        <w:rPr>
          <w:rFonts w:hint="eastAsia" w:ascii="Times New Roman" w:hAnsi="Times New Roman" w:eastAsia="方正仿宋_GBK" w:cs="方正仿宋_GBK"/>
          <w:sz w:val="24"/>
        </w:rPr>
      </w:pPr>
    </w:p>
    <w:p>
      <w:pPr>
        <w:widowControl/>
        <w:numPr>
          <w:ilvl w:val="0"/>
          <w:numId w:val="1"/>
        </w:numPr>
        <w:autoSpaceDN w:val="0"/>
        <w:spacing w:line="480" w:lineRule="exact"/>
        <w:ind w:left="2580" w:right="-512" w:rightChars="-244"/>
        <w:jc w:val="center"/>
        <w:rPr>
          <w:rFonts w:hint="eastAsia" w:ascii="Times New Roman" w:hAnsi="Times New Roman" w:eastAsia="方正仿宋_GBK" w:cs="方正仿宋_GBK"/>
          <w:b/>
          <w:bCs/>
          <w:sz w:val="24"/>
        </w:rPr>
      </w:pPr>
      <w:r>
        <w:rPr>
          <w:rFonts w:hint="eastAsia" w:ascii="Times New Roman" w:hAnsi="Times New Roman" w:eastAsia="方正仿宋_GBK" w:cs="方正仿宋_GBK"/>
          <w:b/>
          <w:bCs/>
          <w:sz w:val="24"/>
        </w:rPr>
        <w:t xml:space="preserve">  申报、评审及评选结果的公布</w:t>
      </w:r>
    </w:p>
    <w:p>
      <w:pPr>
        <w:spacing w:line="480" w:lineRule="exact"/>
        <w:ind w:right="-512" w:rightChars="-244"/>
        <w:jc w:val="center"/>
        <w:rPr>
          <w:rFonts w:hint="eastAsia" w:ascii="Times New Roman" w:hAnsi="Times New Roman" w:eastAsia="方正仿宋_GBK" w:cs="方正仿宋_GBK"/>
          <w:b/>
          <w:bCs/>
          <w:sz w:val="24"/>
        </w:rPr>
      </w:pPr>
    </w:p>
    <w:p>
      <w:pPr>
        <w:spacing w:line="480" w:lineRule="exact"/>
        <w:ind w:left="92" w:leftChars="44" w:right="-512" w:rightChars="-244" w:firstLine="396" w:firstLineChars="16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第十三条　江苏省优秀工程勘察设计奖项目,由申报单位将申报材料报各省辖市建（委）设局、省有关行业管理部门或行业协会，申报材料应包括申报表、本办法规定的评选范围和评选条件所要求的材料和相关证明等。各省辖市建（委）设局、省有关行业管理部门或行业协会对申报材料进行复核，并根据评选条件择优排序后报送省建设厅。</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第十四条　同一个项目只能申报一次，不得通过不同渠道重复申报。</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第十五条　省建设厅组织江苏省优秀工程勘察设计各专业评审组，负责相应专业项目的初评工作。</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第十六条　江苏省优秀工程勘察设计奖各专业评审组评委人数为奇数。评选组评委应为具有高级技术职称及20年以上的工程勘察设计工作经验，身体健康，年龄一般不超过70周岁。院士和工程勘察设计大师优先选任。</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第十七条　江苏省优秀工程勘察设计奖评审程序：</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召开初步评审会议。专业评审组对申报材料进行初步评选，采取无记名投票方式，评出本专业组的优秀工程勘察设计获奖项目初评名单。一等奖项目得票数需达到所有评委的2/3，二、三等奖项目得票数需达到所有评委的1/2。</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二、召开综合评审会议。组织各专业评选组主任评委或评审组组长对各专业评选组提交的优秀工程勘察设计项目初评名单进行综合评审，采用记名投票方式，提出优秀工程勘察设计获奖项目提名名单。</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三、公示。将江苏省优秀工程勘察设计奖提名名单在江苏省建设厅网站上公示10个工作日，广泛征求意见。</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四、审定、公布评选结果。省建设厅根据公示情况和有关规定审定江苏省优秀工程勘察设计获奖名单并公布。</w:t>
      </w:r>
    </w:p>
    <w:p>
      <w:pPr>
        <w:spacing w:line="480" w:lineRule="exact"/>
        <w:ind w:right="-512" w:rightChars="-244"/>
        <w:jc w:val="center"/>
        <w:rPr>
          <w:rFonts w:hint="eastAsia" w:ascii="Times New Roman" w:hAnsi="Times New Roman" w:eastAsia="方正仿宋_GBK" w:cs="方正仿宋_GBK"/>
          <w:b/>
          <w:bCs/>
          <w:sz w:val="24"/>
        </w:rPr>
      </w:pPr>
    </w:p>
    <w:p>
      <w:pPr>
        <w:spacing w:line="480" w:lineRule="exact"/>
        <w:ind w:right="-512" w:rightChars="-244"/>
        <w:jc w:val="center"/>
        <w:rPr>
          <w:rFonts w:hint="eastAsia" w:ascii="Times New Roman" w:hAnsi="Times New Roman" w:eastAsia="方正仿宋_GBK" w:cs="方正仿宋_GBK"/>
          <w:b/>
          <w:bCs/>
          <w:sz w:val="24"/>
        </w:rPr>
      </w:pPr>
      <w:r>
        <w:rPr>
          <w:rFonts w:hint="eastAsia" w:ascii="Times New Roman" w:hAnsi="Times New Roman" w:eastAsia="方正仿宋_GBK" w:cs="方正仿宋_GBK"/>
          <w:b/>
          <w:bCs/>
          <w:sz w:val="24"/>
        </w:rPr>
        <w:t>第五章　奖　　惩</w:t>
      </w:r>
    </w:p>
    <w:p>
      <w:pPr>
        <w:spacing w:line="480" w:lineRule="exact"/>
        <w:ind w:right="-512" w:rightChars="-244"/>
        <w:jc w:val="center"/>
        <w:rPr>
          <w:rFonts w:hint="eastAsia" w:ascii="Times New Roman" w:hAnsi="Times New Roman" w:eastAsia="方正仿宋_GBK" w:cs="方正仿宋_GBK"/>
          <w:sz w:val="24"/>
        </w:rPr>
      </w:pP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第十八条　对获江苏省优秀工程勘察设计奖的项目，由省建设厅向获奖单位颁发奖状，向主要勘察设计人员颁发个人荣誉证书。</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第十九条　江苏省优秀工程勘察和优秀工程设计单项授奖人数不超过15人，江苏省优秀工程标准设计和江苏省优秀工程勘察设计计算机软件单项授奖人数不超过10人。</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第二十条　对获江苏省优秀工程勘察设计奖的主要勘察设计人员，所在单位应将其业绩记入本人技术档案，作为职称评定和晋级的依据并予以表彰和奖励。</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第二十一条　申报评选的单位必须实事求是，不得弄虚作假。评选结果公布后如发现与获奖条件不符或重复申报，将视情节轻重和影响程度，分别给予降低奖励等级、撤销奖励、通报批评、暂停该单位两届申报资格的处理。</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第二十二条　参加评审的专家要以严肃、认真和高度负责的态度进行评选工作，对违反评选纪律者，取消其评审专家资格。</w:t>
      </w:r>
    </w:p>
    <w:p>
      <w:pPr>
        <w:spacing w:line="480" w:lineRule="exact"/>
        <w:ind w:right="-512" w:rightChars="-244"/>
        <w:jc w:val="center"/>
        <w:rPr>
          <w:rFonts w:hint="eastAsia" w:ascii="Times New Roman" w:hAnsi="Times New Roman" w:eastAsia="方正仿宋_GBK" w:cs="方正仿宋_GBK"/>
          <w:b/>
          <w:bCs/>
          <w:sz w:val="24"/>
        </w:rPr>
      </w:pPr>
    </w:p>
    <w:p>
      <w:pPr>
        <w:spacing w:line="480" w:lineRule="exact"/>
        <w:ind w:right="-512" w:rightChars="-244"/>
        <w:jc w:val="center"/>
        <w:rPr>
          <w:rFonts w:hint="eastAsia" w:ascii="Times New Roman" w:hAnsi="Times New Roman" w:eastAsia="方正仿宋_GBK" w:cs="方正仿宋_GBK"/>
          <w:b/>
          <w:bCs/>
          <w:sz w:val="24"/>
        </w:rPr>
      </w:pPr>
      <w:r>
        <w:rPr>
          <w:rFonts w:hint="eastAsia" w:ascii="Times New Roman" w:hAnsi="Times New Roman" w:eastAsia="方正仿宋_GBK" w:cs="方正仿宋_GBK"/>
          <w:b/>
          <w:bCs/>
          <w:sz w:val="24"/>
        </w:rPr>
        <w:t xml:space="preserve">第六章　附　　则 </w:t>
      </w:r>
    </w:p>
    <w:p>
      <w:pPr>
        <w:spacing w:line="480" w:lineRule="exact"/>
        <w:ind w:right="-512" w:rightChars="-244"/>
        <w:jc w:val="center"/>
        <w:rPr>
          <w:rFonts w:hint="eastAsia" w:ascii="Times New Roman" w:hAnsi="Times New Roman" w:eastAsia="方正仿宋_GBK" w:cs="方正仿宋_GBK"/>
          <w:b/>
          <w:bCs/>
          <w:sz w:val="24"/>
        </w:rPr>
      </w:pP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第二十三条　本办法自公布之日起施行。</w:t>
      </w:r>
    </w:p>
    <w:p>
      <w:pPr>
        <w:spacing w:line="480" w:lineRule="exact"/>
        <w:ind w:right="-512" w:rightChars="-244" w:firstLine="645"/>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第二十四条　本办法由省建设厅负责解释。</w:t>
      </w:r>
    </w:p>
    <w:p>
      <w:pPr>
        <w:spacing w:line="480" w:lineRule="exact"/>
        <w:ind w:right="-512" w:rightChars="-244"/>
        <w:jc w:val="left"/>
        <w:rPr>
          <w:rFonts w:hint="eastAsia" w:ascii="Times New Roman" w:hAnsi="Times New Roman" w:eastAsia="方正黑体_GBK" w:cs="方正仿宋_GBK"/>
          <w:sz w:val="28"/>
          <w:szCs w:val="28"/>
        </w:rPr>
      </w:pPr>
      <w:r>
        <w:rPr>
          <w:rFonts w:hint="eastAsia" w:ascii="Times New Roman" w:hAnsi="Times New Roman" w:eastAsia="方正仿宋_GBK" w:cs="方正仿宋_GBK"/>
          <w:sz w:val="24"/>
        </w:rPr>
        <w:br w:type="column"/>
      </w:r>
      <w:r>
        <w:rPr>
          <w:rFonts w:hint="eastAsia" w:ascii="Times New Roman" w:hAnsi="Times New Roman" w:eastAsia="方正黑体_GBK" w:cs="方正仿宋_GBK"/>
          <w:sz w:val="28"/>
          <w:szCs w:val="28"/>
        </w:rPr>
        <w:t>附2</w:t>
      </w:r>
    </w:p>
    <w:p>
      <w:pPr>
        <w:spacing w:line="480" w:lineRule="exact"/>
        <w:ind w:right="-512" w:rightChars="-244"/>
        <w:jc w:val="left"/>
        <w:rPr>
          <w:rFonts w:hint="eastAsia" w:ascii="Times New Roman" w:hAnsi="Times New Roman" w:eastAsia="方正仿宋_GBK" w:cs="方正仿宋_GBK"/>
          <w:sz w:val="24"/>
        </w:rPr>
      </w:pPr>
    </w:p>
    <w:p>
      <w:pPr>
        <w:spacing w:line="480" w:lineRule="exact"/>
        <w:ind w:right="-512" w:rightChars="-244"/>
        <w:jc w:val="center"/>
        <w:rPr>
          <w:rFonts w:hint="eastAsia" w:ascii="Times New Roman" w:hAnsi="Times New Roman" w:eastAsia="方正小标宋_GBK" w:cs="方正仿宋_GBK"/>
          <w:sz w:val="36"/>
          <w:szCs w:val="36"/>
        </w:rPr>
      </w:pPr>
      <w:r>
        <w:rPr>
          <w:rFonts w:hint="eastAsia" w:ascii="Times New Roman" w:hAnsi="Times New Roman" w:eastAsia="方正小标宋_GBK" w:cs="方正仿宋_GBK"/>
          <w:sz w:val="36"/>
          <w:szCs w:val="36"/>
        </w:rPr>
        <w:t>江苏省城乡建设系统优秀勘察设计奖评选办法</w:t>
      </w:r>
    </w:p>
    <w:p>
      <w:pPr>
        <w:spacing w:line="480" w:lineRule="exact"/>
        <w:rPr>
          <w:rFonts w:hint="eastAsia" w:ascii="Times New Roman" w:hAnsi="Times New Roman" w:eastAsia="方正仿宋_GBK" w:cs="方正仿宋_GBK"/>
          <w:sz w:val="24"/>
        </w:rPr>
      </w:pPr>
    </w:p>
    <w:p>
      <w:pPr>
        <w:spacing w:line="480" w:lineRule="exact"/>
        <w:ind w:firstLine="480" w:firstLineChars="200"/>
        <w:jc w:val="center"/>
        <w:rPr>
          <w:rFonts w:hint="eastAsia" w:ascii="Times New Roman" w:hAnsi="Times New Roman" w:eastAsia="方正仿宋_GBK" w:cs="方正仿宋_GBK"/>
          <w:b/>
          <w:sz w:val="24"/>
        </w:rPr>
      </w:pPr>
      <w:r>
        <w:rPr>
          <w:rFonts w:hint="eastAsia" w:ascii="Times New Roman" w:hAnsi="Times New Roman" w:eastAsia="方正仿宋_GBK" w:cs="方正仿宋_GBK"/>
          <w:sz w:val="24"/>
        </w:rPr>
        <w:t>第一章 总则</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第一条</w:t>
      </w:r>
      <w:r>
        <w:rPr>
          <w:rFonts w:hint="eastAsia" w:ascii="Times New Roman" w:hAnsi="Times New Roman" w:eastAsia="方正仿宋_GBK" w:cs="方正仿宋_GBK"/>
          <w:sz w:val="24"/>
        </w:rPr>
        <w:t>为了促进我省工程勘察设计单位技术进步，发挥技术人员的创新精神，积极采用新技术、新工艺，繁荣设计创作，提高工程勘察设计水平，规范优秀勘察设计评选工作。根据建设部《全国优秀工程勘察设计奖评选办法》、《江苏省建设工程勘察设计管理办法》，特制定本办法。</w:t>
      </w:r>
    </w:p>
    <w:p>
      <w:pPr>
        <w:spacing w:line="480" w:lineRule="exact"/>
        <w:ind w:firstLine="482" w:firstLineChars="200"/>
        <w:rPr>
          <w:rFonts w:hint="eastAsia" w:ascii="Times New Roman" w:hAnsi="Times New Roman" w:eastAsia="方正仿宋_GBK" w:cs="方正仿宋_GBK"/>
          <w:b/>
          <w:sz w:val="24"/>
        </w:rPr>
      </w:pPr>
      <w:r>
        <w:rPr>
          <w:rFonts w:hint="eastAsia" w:ascii="Times New Roman" w:hAnsi="Times New Roman" w:eastAsia="方正仿宋_GBK" w:cs="方正仿宋_GBK"/>
          <w:b/>
          <w:sz w:val="24"/>
        </w:rPr>
        <w:t>第二条</w:t>
      </w:r>
      <w:r>
        <w:rPr>
          <w:rFonts w:hint="eastAsia" w:ascii="Times New Roman" w:hAnsi="Times New Roman" w:eastAsia="方正仿宋_GBK" w:cs="方正仿宋_GBK"/>
          <w:sz w:val="24"/>
        </w:rPr>
        <w:t>江苏省城乡建设系统优秀勘察设计奖包括：建筑工程设计（含地下建筑、人防工程）、市政公用工程设计、园林绿化工程设计、住宅设计、村镇设计；城市设计与专项规划、园林绿化规划设计、村镇建设规划；城市与工程勘察。</w:t>
      </w:r>
      <w:r>
        <w:rPr>
          <w:rFonts w:hint="eastAsia" w:ascii="Times New Roman" w:hAnsi="Times New Roman" w:cs="宋体"/>
          <w:color w:val="000000"/>
          <w:spacing w:val="-6"/>
          <w:kern w:val="0"/>
          <w:sz w:val="18"/>
          <w:szCs w:val="18"/>
        </w:rPr>
        <w:t xml:space="preserve">      </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第三条</w:t>
      </w:r>
      <w:r>
        <w:rPr>
          <w:rFonts w:hint="eastAsia" w:ascii="Times New Roman" w:hAnsi="Times New Roman" w:eastAsia="方正仿宋_GBK" w:cs="方正仿宋_GBK"/>
          <w:sz w:val="24"/>
        </w:rPr>
        <w:t>江苏省城乡建设系统优秀勘察设计奖每年评选一次，设一、二、三等奖。另为优秀工程设计项目设表扬奖。</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优秀勘察设计奖等级奖评选总数原则上不超过申报数的50%，表扬奖不超过申报数的10%；一、二等奖的获奖比例原则上不超过获奖项目总数的15%、35%。达不到评定等级标准的奖项可空缺。</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第四条</w:t>
      </w:r>
      <w:r>
        <w:rPr>
          <w:rFonts w:hint="eastAsia" w:ascii="Times New Roman" w:hAnsi="Times New Roman" w:eastAsia="方正仿宋_GBK" w:cs="方正仿宋_GBK"/>
          <w:sz w:val="24"/>
        </w:rPr>
        <w:t>省住房和城乡建设厅负责江苏省城乡建设系统优秀勘察设计评选；各省辖市住房和城乡建设局（建委）负责市级本行业城乡建设系统优秀勘察设计评选和推荐申报省城乡建设系统优秀勘察设计评审。</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江苏省城乡建设系统优秀勘察设计奖在各省辖市评选出的优秀工程勘察设计项目的基础上进行。</w:t>
      </w:r>
    </w:p>
    <w:p>
      <w:pPr>
        <w:spacing w:line="480" w:lineRule="exact"/>
        <w:ind w:firstLine="480" w:firstLineChars="200"/>
        <w:rPr>
          <w:rFonts w:hint="eastAsia" w:ascii="Times New Roman" w:hAnsi="Times New Roman" w:eastAsia="方正仿宋_GBK" w:cs="方正仿宋_GBK"/>
          <w:sz w:val="24"/>
        </w:rPr>
      </w:pPr>
    </w:p>
    <w:p>
      <w:pPr>
        <w:spacing w:line="480" w:lineRule="exact"/>
        <w:ind w:firstLine="480" w:firstLineChars="200"/>
        <w:jc w:val="center"/>
        <w:rPr>
          <w:rFonts w:hint="eastAsia" w:ascii="Times New Roman" w:hAnsi="Times New Roman" w:eastAsia="方正仿宋_GBK" w:cs="方正仿宋_GBK"/>
          <w:b/>
          <w:sz w:val="24"/>
        </w:rPr>
      </w:pPr>
      <w:r>
        <w:rPr>
          <w:rFonts w:hint="eastAsia" w:ascii="Times New Roman" w:hAnsi="Times New Roman" w:eastAsia="方正仿宋_GBK" w:cs="方正仿宋_GBK"/>
          <w:sz w:val="24"/>
        </w:rPr>
        <w:t>第二章 评选条件和范围</w:t>
      </w:r>
    </w:p>
    <w:p>
      <w:pPr>
        <w:spacing w:line="480" w:lineRule="exact"/>
        <w:ind w:firstLine="482" w:firstLineChars="200"/>
        <w:rPr>
          <w:rFonts w:hint="eastAsia" w:ascii="Times New Roman" w:hAnsi="Times New Roman" w:eastAsia="方正仿宋_GBK" w:cs="方正仿宋_GBK"/>
          <w:b/>
          <w:sz w:val="24"/>
        </w:rPr>
      </w:pPr>
      <w:r>
        <w:rPr>
          <w:rFonts w:hint="eastAsia" w:ascii="Times New Roman" w:hAnsi="Times New Roman" w:eastAsia="方正仿宋_GBK" w:cs="方正仿宋_GBK"/>
          <w:b/>
          <w:sz w:val="24"/>
        </w:rPr>
        <w:t>第五条</w:t>
      </w:r>
      <w:r>
        <w:rPr>
          <w:rFonts w:hint="eastAsia" w:ascii="Times New Roman" w:hAnsi="Times New Roman" w:eastAsia="方正仿宋_GBK" w:cs="方正仿宋_GBK"/>
          <w:sz w:val="24"/>
        </w:rPr>
        <w:t>评选条件和范围</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（一）江苏省城乡建设系统优秀勘察设计奖评选条件：</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1、申报优秀勘察设计奖的项目，必须具有相应的工程勘察设计资质证书，且最近3年内没有发生过重大勘察设计质量安全事故。</w:t>
      </w:r>
    </w:p>
    <w:p>
      <w:pPr>
        <w:pStyle w:val="24"/>
        <w:spacing w:line="480" w:lineRule="exact"/>
        <w:rPr>
          <w:rFonts w:hint="eastAsia" w:ascii="Times New Roman" w:hAnsi="Times New Roman" w:eastAsia="方正仿宋_GBK" w:cs="方正仿宋_GBK"/>
          <w:color w:val="auto"/>
          <w:sz w:val="24"/>
          <w:szCs w:val="24"/>
        </w:rPr>
      </w:pPr>
      <w:r>
        <w:rPr>
          <w:rFonts w:hint="eastAsia" w:ascii="Times New Roman" w:hAnsi="Times New Roman" w:eastAsia="方正仿宋_GBK" w:cs="方正仿宋_GBK"/>
          <w:color w:val="auto"/>
          <w:sz w:val="24"/>
          <w:szCs w:val="24"/>
        </w:rPr>
        <w:t>2、由我省勘察设计单位或城市规划编制单位近年来承接或为主承接的勘察设计和相关规划项目；</w:t>
      </w:r>
    </w:p>
    <w:p>
      <w:pPr>
        <w:pStyle w:val="24"/>
        <w:spacing w:line="480" w:lineRule="exact"/>
        <w:rPr>
          <w:rFonts w:hint="eastAsia" w:ascii="Times New Roman" w:hAnsi="Times New Roman" w:eastAsia="方正仿宋_GBK" w:cs="方正仿宋_GBK"/>
          <w:color w:val="auto"/>
          <w:sz w:val="24"/>
          <w:szCs w:val="24"/>
        </w:rPr>
      </w:pPr>
      <w:r>
        <w:rPr>
          <w:rFonts w:hint="eastAsia" w:ascii="Times New Roman" w:hAnsi="Times New Roman" w:eastAsia="方正仿宋_GBK" w:cs="方正仿宋_GBK"/>
          <w:color w:val="auto"/>
          <w:sz w:val="24"/>
          <w:szCs w:val="24"/>
        </w:rPr>
        <w:t>由省外勘察设计单位或城市规划编制单位近年来承接的我省境内的勘察设计和城乡规划项目。</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3、申报项目应是单位的优秀勘察设计项目，且经过省辖市评选获二等奖以上项目。</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4、按规定要求报送有关申报材料和必要的证明材料。已申报过本项奖的项目不得再次申报。</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（二）优秀工程勘察评选范围包括：</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1、结构主体工程完成两年以上（以项目业主或有关部门证明的日期为准）的岩土工程（工程地质）勘察项目，地下工程竣工后经两年以上时间检验的岩土工程设计、治理项目。</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2、规划、建设方验收后的工程测量项目（含城市规划测量项目）。</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3、地下水开采达到设计要求，或暂示达到设计水平但有开采性抽水试验（试验抽水能力大于设计水量）或经两年以上长期观测资料验证，并经相关机构认可的水资源评价（论证）、钻井工程、专门水文地质勘察（评价）等水文地质勘察项目。</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4、地质条件复杂的大型水利、铁道、公路等工程勘察，可按批准立项文件或批准的初步设计分期、分单项或以单位工程申报，</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（三）优秀工程设计评选范围：</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工程设计项目须已完成竣工验收，且经过一个冬夏以上使用考验。</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经规定程序审查批准并付诸实施的城市设计与专项规划、园林绿化规划、村镇建设规划项目。</w:t>
      </w:r>
    </w:p>
    <w:p>
      <w:pPr>
        <w:spacing w:line="480" w:lineRule="exact"/>
        <w:ind w:firstLine="480" w:firstLineChars="200"/>
        <w:rPr>
          <w:rFonts w:hint="eastAsia" w:ascii="Times New Roman" w:hAnsi="Times New Roman" w:eastAsia="方正仿宋_GBK" w:cs="方正仿宋_GBK"/>
          <w:sz w:val="24"/>
        </w:rPr>
      </w:pPr>
    </w:p>
    <w:p>
      <w:pPr>
        <w:spacing w:line="480" w:lineRule="exact"/>
        <w:ind w:firstLine="480" w:firstLineChars="200"/>
        <w:jc w:val="center"/>
        <w:rPr>
          <w:rFonts w:hint="eastAsia" w:ascii="Times New Roman" w:hAnsi="Times New Roman" w:eastAsia="方正仿宋_GBK" w:cs="方正仿宋_GBK"/>
          <w:b/>
          <w:sz w:val="24"/>
        </w:rPr>
      </w:pPr>
      <w:r>
        <w:rPr>
          <w:rFonts w:hint="eastAsia" w:ascii="Times New Roman" w:hAnsi="Times New Roman" w:eastAsia="方正仿宋_GBK" w:cs="方正仿宋_GBK"/>
          <w:sz w:val="24"/>
        </w:rPr>
        <w:t>第三章 评选标准</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第六条</w:t>
      </w:r>
      <w:r>
        <w:rPr>
          <w:rFonts w:hint="eastAsia" w:ascii="Times New Roman" w:hAnsi="Times New Roman" w:eastAsia="方正仿宋_GBK" w:cs="方正仿宋_GBK"/>
          <w:sz w:val="24"/>
        </w:rPr>
        <w:t>江苏省城乡建设系统优秀勘察设计必须符合以下标准：</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（一）优秀工程勘察</w:t>
      </w:r>
    </w:p>
    <w:p>
      <w:pPr>
        <w:pStyle w:val="21"/>
        <w:spacing w:line="480" w:lineRule="exact"/>
        <w:ind w:firstLine="480" w:firstLineChars="200"/>
        <w:rPr>
          <w:rFonts w:hint="eastAsia" w:ascii="Times New Roman" w:hAnsi="Times New Roman" w:eastAsia="方正仿宋_GBK" w:cs="方正仿宋_GBK"/>
          <w:color w:val="auto"/>
          <w:sz w:val="24"/>
          <w:szCs w:val="24"/>
        </w:rPr>
      </w:pPr>
      <w:r>
        <w:rPr>
          <w:rFonts w:hint="eastAsia" w:ascii="Times New Roman" w:hAnsi="Times New Roman" w:eastAsia="方正仿宋_GBK" w:cs="方正仿宋_GBK"/>
          <w:color w:val="auto"/>
          <w:sz w:val="24"/>
          <w:szCs w:val="24"/>
        </w:rPr>
        <w:t>１、正确贯彻执行国家有关法规、方针、政策及相应的规范、规程、规定。</w:t>
      </w:r>
    </w:p>
    <w:p>
      <w:pPr>
        <w:pStyle w:val="21"/>
        <w:spacing w:line="480" w:lineRule="exact"/>
        <w:ind w:firstLine="480" w:firstLineChars="200"/>
        <w:rPr>
          <w:rFonts w:hint="eastAsia" w:ascii="Times New Roman" w:hAnsi="Times New Roman" w:eastAsia="方正仿宋_GBK" w:cs="方正仿宋_GBK"/>
          <w:color w:val="auto"/>
          <w:sz w:val="24"/>
          <w:szCs w:val="24"/>
        </w:rPr>
      </w:pPr>
      <w:r>
        <w:rPr>
          <w:rFonts w:hint="eastAsia" w:ascii="Times New Roman" w:hAnsi="Times New Roman" w:eastAsia="方正仿宋_GBK" w:cs="方正仿宋_GBK"/>
          <w:color w:val="auto"/>
          <w:sz w:val="24"/>
          <w:szCs w:val="24"/>
        </w:rPr>
        <w:t>２、勘察方法和勘察手段选用适当，积极采用新技术，能以恰当的工作量和勘察精度解决关键技术问题。</w:t>
      </w:r>
    </w:p>
    <w:p>
      <w:pPr>
        <w:pStyle w:val="21"/>
        <w:spacing w:line="480" w:lineRule="exact"/>
        <w:ind w:firstLine="360" w:firstLineChars="150"/>
        <w:rPr>
          <w:rFonts w:hint="eastAsia" w:ascii="Times New Roman" w:hAnsi="Times New Roman" w:eastAsia="方正仿宋_GBK" w:cs="方正仿宋_GBK"/>
          <w:color w:val="auto"/>
          <w:sz w:val="24"/>
          <w:szCs w:val="24"/>
        </w:rPr>
      </w:pPr>
      <w:r>
        <w:rPr>
          <w:rFonts w:hint="eastAsia" w:ascii="Times New Roman" w:hAnsi="Times New Roman" w:eastAsia="方正仿宋_GBK" w:cs="方正仿宋_GBK"/>
          <w:color w:val="auto"/>
          <w:sz w:val="24"/>
          <w:szCs w:val="24"/>
        </w:rPr>
        <w:t>３、勘察全过程均经过严格检查和审核，成果能正确地反映客观实际。</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4、具有先进的勘察理念，采用适用、安全、经济、可靠和促进可持续发展的新技术，经实践检验，能较好地满足工程设计等使用要求，有显著的经济效益、社会效益、环境效益。</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（二）优秀工程设计</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1、正确贯彻执行国家、省有关法规、方针、政策及相应的新规范、规程、规定、标准图、技术标准。</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2、设计文件的内容，深度质量符合要求，能保证工程建设的需要；</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3、采用的工艺、主要设备、材料和结构，技术先进、选型合理、符合国情、有创新、有特色。</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4、经多方案技术经济比较、分析、优化，在节约资源和环境保护等方面有明显效果，经过实践检验，能较好满足建设、生产和使用的要求，有显著的经济效益、社会效益、环境效益。</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5、积极开展对新技术、新工艺、新设备、新材料的推广应用；对设计中采用淘汰落后产品的项目不予评选。</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（三）优秀城市设计与专项规划、园林绿化规划、村镇建设规划</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1、项目技术参数符合国家有关技术标准、规范和规定。</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2、项目在理论应用、规划构思、设计手法、工作内容及新技术应用等方面有所创新。</w:t>
      </w:r>
    </w:p>
    <w:p>
      <w:pPr>
        <w:spacing w:line="480" w:lineRule="exact"/>
        <w:ind w:firstLine="480" w:firstLineChars="200"/>
        <w:rPr>
          <w:rFonts w:hint="eastAsia" w:ascii="Times New Roman" w:hAnsi="Times New Roman" w:eastAsia="方正仿宋_GBK" w:cs="方正仿宋_GBK"/>
          <w:b/>
          <w:sz w:val="24"/>
        </w:rPr>
      </w:pPr>
      <w:r>
        <w:rPr>
          <w:rFonts w:hint="eastAsia" w:ascii="Times New Roman" w:hAnsi="Times New Roman" w:eastAsia="方正仿宋_GBK" w:cs="方正仿宋_GBK"/>
          <w:sz w:val="24"/>
        </w:rPr>
        <w:t>3、项目实施具有较好的经济效益、社会效益和环境效益。</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第七条</w:t>
      </w:r>
      <w:r>
        <w:rPr>
          <w:rFonts w:hint="eastAsia" w:ascii="Times New Roman" w:hAnsi="Times New Roman" w:eastAsia="方正仿宋_GBK" w:cs="方正仿宋_GBK"/>
          <w:sz w:val="24"/>
        </w:rPr>
        <w:t xml:space="preserve"> 江苏省城乡建设系统优秀勘察设计奖各奖项水平应达到如下要求：</w:t>
      </w:r>
    </w:p>
    <w:p>
      <w:pPr>
        <w:pStyle w:val="25"/>
        <w:spacing w:line="480" w:lineRule="exact"/>
        <w:rPr>
          <w:rFonts w:hint="eastAsia" w:ascii="Times New Roman" w:hAnsi="Times New Roman" w:eastAsia="方正仿宋_GBK" w:cs="方正仿宋_GBK"/>
          <w:color w:val="auto"/>
          <w:sz w:val="24"/>
          <w:szCs w:val="24"/>
        </w:rPr>
      </w:pPr>
      <w:r>
        <w:rPr>
          <w:rFonts w:hint="eastAsia" w:ascii="Times New Roman" w:hAnsi="Times New Roman" w:eastAsia="方正仿宋_GBK" w:cs="方正仿宋_GBK"/>
          <w:color w:val="auto"/>
          <w:sz w:val="24"/>
          <w:szCs w:val="24"/>
        </w:rPr>
        <w:t>一等奖项目：技术水平和综合效益等方面在全省同类项目中居最高水平，并有突出的技术创新，主要指标达到或接近国内同期先进水平；</w:t>
      </w:r>
    </w:p>
    <w:p>
      <w:pPr>
        <w:pStyle w:val="25"/>
        <w:spacing w:line="480" w:lineRule="exact"/>
        <w:rPr>
          <w:rFonts w:hint="eastAsia" w:ascii="Times New Roman" w:hAnsi="Times New Roman" w:eastAsia="方正仿宋_GBK" w:cs="方正仿宋_GBK"/>
          <w:color w:val="auto"/>
          <w:sz w:val="24"/>
          <w:szCs w:val="24"/>
        </w:rPr>
      </w:pPr>
      <w:r>
        <w:rPr>
          <w:rFonts w:hint="eastAsia" w:ascii="Times New Roman" w:hAnsi="Times New Roman" w:eastAsia="方正仿宋_GBK" w:cs="方正仿宋_GBK"/>
          <w:color w:val="auto"/>
          <w:sz w:val="24"/>
          <w:szCs w:val="24"/>
        </w:rPr>
        <w:t>二等奖项目：有较大的技术创新，主要指标在全省同类项目中居领先水平；</w:t>
      </w:r>
    </w:p>
    <w:p>
      <w:pPr>
        <w:pStyle w:val="25"/>
        <w:spacing w:line="480" w:lineRule="exact"/>
        <w:rPr>
          <w:rFonts w:hint="eastAsia" w:ascii="Times New Roman" w:hAnsi="Times New Roman" w:eastAsia="方正仿宋_GBK" w:cs="方正仿宋_GBK"/>
          <w:color w:val="auto"/>
          <w:sz w:val="24"/>
          <w:szCs w:val="24"/>
        </w:rPr>
      </w:pPr>
      <w:r>
        <w:rPr>
          <w:rFonts w:hint="eastAsia" w:ascii="Times New Roman" w:hAnsi="Times New Roman" w:eastAsia="方正仿宋_GBK" w:cs="方正仿宋_GBK"/>
          <w:color w:val="auto"/>
          <w:sz w:val="24"/>
          <w:szCs w:val="24"/>
        </w:rPr>
        <w:t>三等奖项目：有一定的技术创新，主要指标在全省同类项目中居先进水平。</w:t>
      </w:r>
    </w:p>
    <w:p>
      <w:pPr>
        <w:pStyle w:val="25"/>
        <w:spacing w:line="480" w:lineRule="exact"/>
        <w:ind w:firstLine="583" w:firstLineChars="243"/>
        <w:rPr>
          <w:rFonts w:hint="eastAsia" w:ascii="Times New Roman" w:hAnsi="Times New Roman" w:eastAsia="方正仿宋_GBK" w:cs="方正仿宋_GBK"/>
          <w:color w:val="auto"/>
          <w:sz w:val="24"/>
          <w:szCs w:val="24"/>
        </w:rPr>
      </w:pPr>
      <w:r>
        <w:rPr>
          <w:rFonts w:hint="eastAsia" w:ascii="Times New Roman" w:hAnsi="Times New Roman" w:eastAsia="方正仿宋_GBK" w:cs="方正仿宋_GBK"/>
          <w:color w:val="auto"/>
          <w:sz w:val="24"/>
          <w:szCs w:val="24"/>
        </w:rPr>
        <w:t>表扬奖项目：在技术水平和综合效益等某方向有一定技术创新，主要指标在全省同类项目中居先进水平。</w:t>
      </w:r>
    </w:p>
    <w:p>
      <w:pPr>
        <w:spacing w:line="480" w:lineRule="exact"/>
        <w:ind w:right="-512" w:rightChars="-244"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高星级绿色建筑、装配式建筑、地下综合管廊工程、应用BIM技术项目，及对行业技术发展具有引领推动作用的项目，在评选时予以鼓励和优先。</w:t>
      </w:r>
    </w:p>
    <w:p>
      <w:pPr>
        <w:spacing w:line="480" w:lineRule="exact"/>
        <w:ind w:right="-512" w:rightChars="-244" w:firstLine="480" w:firstLineChars="200"/>
        <w:rPr>
          <w:rFonts w:hint="eastAsia" w:ascii="Times New Roman" w:hAnsi="Times New Roman" w:eastAsia="方正仿宋_GBK" w:cs="方正仿宋_GBK"/>
          <w:kern w:val="0"/>
          <w:sz w:val="24"/>
        </w:rPr>
      </w:pPr>
    </w:p>
    <w:p>
      <w:pPr>
        <w:spacing w:line="480" w:lineRule="exact"/>
        <w:ind w:firstLine="480" w:firstLineChars="200"/>
        <w:jc w:val="center"/>
        <w:rPr>
          <w:rFonts w:hint="eastAsia" w:ascii="Times New Roman" w:hAnsi="Times New Roman" w:eastAsia="方正仿宋_GBK" w:cs="方正仿宋_GBK"/>
          <w:b/>
          <w:sz w:val="24"/>
        </w:rPr>
      </w:pPr>
      <w:r>
        <w:rPr>
          <w:rFonts w:hint="eastAsia" w:ascii="Times New Roman" w:hAnsi="Times New Roman" w:eastAsia="方正仿宋_GBK" w:cs="方正仿宋_GBK"/>
          <w:sz w:val="24"/>
        </w:rPr>
        <w:t>第四章 申报程序</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第八条</w:t>
      </w:r>
      <w:r>
        <w:rPr>
          <w:rFonts w:hint="eastAsia" w:ascii="Times New Roman" w:hAnsi="Times New Roman" w:eastAsia="方正仿宋_GBK" w:cs="方正仿宋_GBK"/>
          <w:sz w:val="24"/>
        </w:rPr>
        <w:t>勘察设计单位在本单位评选优秀勘察设计项目的基础上，按各省辖市规定的期限，将推荐的工程勘察设计项目报送参加各市优秀勘察设计评选。</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部、省属勘察设计单位可参加单位所在地的省辖市优秀勘察设计评选，也可直接参加全省城乡建设系统优秀勘察设计奖评选，但申报项目不得重复。</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第九条</w:t>
      </w:r>
      <w:r>
        <w:rPr>
          <w:rFonts w:hint="eastAsia" w:ascii="Times New Roman" w:hAnsi="Times New Roman" w:eastAsia="方正仿宋_GBK" w:cs="方正仿宋_GBK"/>
          <w:sz w:val="24"/>
        </w:rPr>
        <w:t>各省辖市将本地区获二等奖及以上的优秀勘察设计项目汇总填写排序推荐表后，推荐参加省城乡建设系统优秀勘察设计奖评审。</w:t>
      </w:r>
    </w:p>
    <w:p>
      <w:pPr>
        <w:spacing w:line="480" w:lineRule="exact"/>
        <w:ind w:firstLine="480" w:firstLineChars="200"/>
        <w:rPr>
          <w:rFonts w:hint="eastAsia" w:ascii="Times New Roman" w:hAnsi="Times New Roman" w:eastAsia="方正仿宋_GBK" w:cs="方正仿宋_GBK"/>
          <w:sz w:val="24"/>
        </w:rPr>
      </w:pPr>
    </w:p>
    <w:p>
      <w:pPr>
        <w:spacing w:line="480" w:lineRule="exact"/>
        <w:ind w:firstLine="480" w:firstLineChars="200"/>
        <w:jc w:val="center"/>
        <w:rPr>
          <w:rFonts w:hint="eastAsia" w:ascii="Times New Roman" w:hAnsi="Times New Roman" w:eastAsia="方正仿宋_GBK" w:cs="方正仿宋_GBK"/>
          <w:b/>
          <w:sz w:val="24"/>
        </w:rPr>
      </w:pPr>
      <w:r>
        <w:rPr>
          <w:rFonts w:hint="eastAsia" w:ascii="Times New Roman" w:hAnsi="Times New Roman" w:eastAsia="方正仿宋_GBK" w:cs="方正仿宋_GBK"/>
          <w:sz w:val="24"/>
        </w:rPr>
        <w:t>第五章 评选机构组织</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第十条</w:t>
      </w:r>
      <w:r>
        <w:rPr>
          <w:rFonts w:hint="eastAsia" w:ascii="Times New Roman" w:hAnsi="Times New Roman" w:eastAsia="方正仿宋_GBK" w:cs="方正仿宋_GBK"/>
          <w:sz w:val="24"/>
        </w:rPr>
        <w:t>省城乡建设系统优秀勘察设计评选工作由省住房和城乡建设厅建筑节能与科研设计处负责组织实施。</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第十一条</w:t>
      </w:r>
      <w:r>
        <w:rPr>
          <w:rFonts w:hint="eastAsia" w:ascii="Times New Roman" w:hAnsi="Times New Roman" w:eastAsia="方正仿宋_GBK" w:cs="方正仿宋_GBK"/>
          <w:sz w:val="24"/>
        </w:rPr>
        <w:t>设立由厅领导、相关处室负责人和各专业委员会主任委员组成的省城乡建设系统优秀勘察设计评选委员会，负责省城乡建设系统优秀勘察设计评选获奖项目的评定工作。</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 xml:space="preserve">省城乡建设系统优秀勘察设计评选委员会下设建筑工程设计、城市与工程勘察等六个专业评选委员会，负责对申报项目进行初评。 </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各专业评选委员会组成人员由相关处室负责推荐，并设主任委员和副主任委员各一名。</w:t>
      </w:r>
    </w:p>
    <w:p>
      <w:pPr>
        <w:spacing w:line="480" w:lineRule="exact"/>
        <w:ind w:firstLine="480" w:firstLineChars="200"/>
        <w:rPr>
          <w:rFonts w:hint="eastAsia" w:ascii="Times New Roman" w:hAnsi="Times New Roman" w:eastAsia="方正仿宋_GBK" w:cs="方正仿宋_GBK"/>
          <w:sz w:val="24"/>
        </w:rPr>
      </w:pPr>
    </w:p>
    <w:p>
      <w:pPr>
        <w:spacing w:line="480" w:lineRule="exact"/>
        <w:ind w:firstLine="480" w:firstLineChars="200"/>
        <w:jc w:val="center"/>
        <w:rPr>
          <w:rFonts w:hint="eastAsia" w:ascii="Times New Roman" w:hAnsi="Times New Roman" w:eastAsia="方正仿宋_GBK" w:cs="方正仿宋_GBK"/>
          <w:b/>
          <w:sz w:val="24"/>
        </w:rPr>
      </w:pPr>
      <w:r>
        <w:rPr>
          <w:rFonts w:hint="eastAsia" w:ascii="Times New Roman" w:hAnsi="Times New Roman" w:eastAsia="方正仿宋_GBK" w:cs="方正仿宋_GBK"/>
          <w:sz w:val="24"/>
        </w:rPr>
        <w:t>第六章 评选程序和方法</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第十二条</w:t>
      </w:r>
      <w:r>
        <w:rPr>
          <w:rFonts w:hint="eastAsia" w:ascii="Times New Roman" w:hAnsi="Times New Roman" w:eastAsia="方正仿宋_GBK" w:cs="方正仿宋_GBK"/>
          <w:sz w:val="24"/>
        </w:rPr>
        <w:t>初评。各专业评选委员会对申报材料进行初步评审，采取记名投票方式，提出本专业的优秀勘察设计奖获奖项目建议名单。</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第十三条</w:t>
      </w:r>
      <w:r>
        <w:rPr>
          <w:rFonts w:hint="eastAsia" w:ascii="Times New Roman" w:hAnsi="Times New Roman" w:eastAsia="方正仿宋_GBK" w:cs="方正仿宋_GBK"/>
          <w:sz w:val="24"/>
        </w:rPr>
        <w:t>综评。省城乡建设系统优秀勘察设计评选委员会对各专业委员会提出的推荐获奖项目名单进行审定，将拟获奖项目名单在网上进行公示，公示期限为15个工作日。省住房和城乡建设厅根据公示情况，按有关规定公布评选结果。</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第十四条</w:t>
      </w:r>
      <w:r>
        <w:rPr>
          <w:rFonts w:hint="eastAsia" w:ascii="Times New Roman" w:hAnsi="Times New Roman" w:eastAsia="方正仿宋_GBK" w:cs="方正仿宋_GBK"/>
          <w:sz w:val="24"/>
        </w:rPr>
        <w:t>省城乡建设系统优秀勘察设计各专业评选委员会评选采用先分组后集中，专家评议与记名投票相结合的方式进行，先评出三等奖以上项目，再评出二等奖项目，最后评出一等奖项目。另推荐评出表扬奖项目。</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第十五条</w:t>
      </w:r>
      <w:r>
        <w:rPr>
          <w:rFonts w:hint="eastAsia" w:ascii="Times New Roman" w:hAnsi="Times New Roman" w:eastAsia="方正仿宋_GBK" w:cs="方正仿宋_GBK"/>
          <w:sz w:val="24"/>
        </w:rPr>
        <w:t>各专业评选委员会评选一般按下列程序进行：</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一、按项目类型或项目数量进行分组评审。</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二、各组介绍小组评审意见后，由专业评选委员会评议。</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三、专业评选委员会全体专家进行记名投票，以得票数多少评出奖项。</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第一轮先评出三等奖以上（含三等奖）项目，第二轮评出二等奖以上（含二等奖）项目，第三轮评出一等奖项目。另根据比例评出表扬奖若干名。</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各专业评选委员人数一般为奇数，表扬奖、二等奖、三等奖项目得票数需超过所有评委数的1/2，一等奖项目得票数需达到所有评委数的2/3。</w:t>
      </w:r>
    </w:p>
    <w:p>
      <w:pPr>
        <w:spacing w:line="480" w:lineRule="exact"/>
        <w:ind w:firstLine="480" w:firstLineChars="200"/>
        <w:rPr>
          <w:rFonts w:hint="eastAsia" w:ascii="Times New Roman" w:hAnsi="Times New Roman" w:eastAsia="方正仿宋_GBK" w:cs="方正仿宋_GBK"/>
          <w:sz w:val="24"/>
        </w:rPr>
      </w:pPr>
    </w:p>
    <w:p>
      <w:pPr>
        <w:spacing w:line="480" w:lineRule="exact"/>
        <w:ind w:firstLine="480" w:firstLineChars="200"/>
        <w:jc w:val="center"/>
        <w:rPr>
          <w:rFonts w:hint="eastAsia" w:ascii="Times New Roman" w:hAnsi="Times New Roman" w:eastAsia="方正仿宋_GBK" w:cs="方正仿宋_GBK"/>
          <w:b/>
          <w:sz w:val="24"/>
        </w:rPr>
      </w:pPr>
      <w:r>
        <w:rPr>
          <w:rFonts w:hint="eastAsia" w:ascii="Times New Roman" w:hAnsi="Times New Roman" w:eastAsia="方正仿宋_GBK" w:cs="方正仿宋_GBK"/>
          <w:sz w:val="24"/>
        </w:rPr>
        <w:t>第七章 评选纪律</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第十六条</w:t>
      </w:r>
      <w:r>
        <w:rPr>
          <w:rFonts w:hint="eastAsia" w:ascii="Times New Roman" w:hAnsi="Times New Roman" w:eastAsia="方正仿宋_GBK" w:cs="方正仿宋_GBK"/>
          <w:sz w:val="24"/>
        </w:rPr>
        <w:t>在评选中，各评委须本着认真、严谨的工作态度，对参评项目按评选标准要求进行充分讨论筛选。</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第十七条</w:t>
      </w:r>
      <w:r>
        <w:rPr>
          <w:rFonts w:hint="eastAsia" w:ascii="Times New Roman" w:hAnsi="Times New Roman" w:eastAsia="方正仿宋_GBK" w:cs="方正仿宋_GBK"/>
          <w:sz w:val="24"/>
        </w:rPr>
        <w:t>评委在评选中要秉公行事，评选期间不得向外界透露评选内容，不得收受报评单位或个人的贿赂，一经发现立即取消评委资格。</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第十八条</w:t>
      </w:r>
      <w:r>
        <w:rPr>
          <w:rFonts w:hint="eastAsia" w:ascii="Times New Roman" w:hAnsi="Times New Roman" w:eastAsia="方正仿宋_GBK" w:cs="方正仿宋_GBK"/>
          <w:sz w:val="24"/>
        </w:rPr>
        <w:t>省城乡建设系统优秀勘察设计各专业委员会评选时采取回避原则，分组时凡项目涉及所在单位或本人的，评委均应回避。</w:t>
      </w:r>
    </w:p>
    <w:p>
      <w:pPr>
        <w:spacing w:line="480" w:lineRule="exact"/>
        <w:jc w:val="center"/>
        <w:rPr>
          <w:rFonts w:hint="eastAsia" w:ascii="Times New Roman" w:hAnsi="Times New Roman" w:eastAsia="方正仿宋_GBK" w:cs="方正仿宋_GBK"/>
          <w:sz w:val="24"/>
        </w:rPr>
      </w:pPr>
    </w:p>
    <w:p>
      <w:pPr>
        <w:spacing w:line="480" w:lineRule="exact"/>
        <w:jc w:val="center"/>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第八章 奖惩</w:t>
      </w:r>
    </w:p>
    <w:p>
      <w:pPr>
        <w:spacing w:line="480" w:lineRule="exact"/>
        <w:ind w:firstLine="472" w:firstLineChars="196"/>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第十九条</w:t>
      </w:r>
      <w:r>
        <w:rPr>
          <w:rFonts w:hint="eastAsia" w:ascii="Times New Roman" w:hAnsi="Times New Roman" w:eastAsia="方正仿宋_GBK" w:cs="方正仿宋_GBK"/>
          <w:sz w:val="24"/>
        </w:rPr>
        <w:t>对获省城乡建设系统优秀勘察设计奖的项目，省住房和城乡建设厅向获奖单位及主要勘察设计人员(不超过15人)颁发奖状和个人荣誉证书。</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获奖项目的主要设计人员可由所在单位给予表彰、奖励，并将获奖情况记入本人档案，作为考核、晋升的依据。</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第二十条</w:t>
      </w:r>
      <w:r>
        <w:rPr>
          <w:rFonts w:hint="eastAsia" w:ascii="Times New Roman" w:hAnsi="Times New Roman" w:eastAsia="方正仿宋_GBK" w:cs="方正仿宋_GBK"/>
          <w:sz w:val="24"/>
        </w:rPr>
        <w:t>凡被评为省城乡建设系统优秀勘察设计一等奖及以上奖项，由省住房和城乡建设厅推荐申报全国优秀工程勘察设计奖。</w:t>
      </w:r>
    </w:p>
    <w:p>
      <w:pPr>
        <w:spacing w:line="480" w:lineRule="exact"/>
        <w:ind w:firstLine="482" w:firstLineChars="200"/>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第二十一条</w:t>
      </w:r>
      <w:r>
        <w:rPr>
          <w:rFonts w:hint="eastAsia" w:ascii="Times New Roman" w:hAnsi="Times New Roman" w:eastAsia="方正仿宋_GBK" w:cs="方正仿宋_GBK"/>
          <w:sz w:val="24"/>
        </w:rPr>
        <w:t>凡申报项目，必须实事求是，不得弄虚作假。申报单位弄虚作假，或者向评委行贿的，取消评选资格；已获奖的，撤销奖励，追回奖状、证书。</w:t>
      </w:r>
    </w:p>
    <w:p>
      <w:pPr>
        <w:spacing w:line="48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项目获奖后如发生因勘察设计原因导致的质量安全事故或严重问题，将撤消奖励，停止获奖单位两次申报资格。</w:t>
      </w:r>
    </w:p>
    <w:p>
      <w:pPr>
        <w:spacing w:line="480" w:lineRule="exact"/>
        <w:ind w:firstLine="480" w:firstLineChars="200"/>
        <w:jc w:val="center"/>
        <w:rPr>
          <w:rFonts w:hint="eastAsia" w:ascii="Times New Roman" w:hAnsi="Times New Roman" w:eastAsia="方正仿宋_GBK" w:cs="方正仿宋_GBK"/>
          <w:sz w:val="24"/>
        </w:rPr>
      </w:pPr>
    </w:p>
    <w:p>
      <w:pPr>
        <w:spacing w:line="480" w:lineRule="exact"/>
        <w:ind w:firstLine="480" w:firstLineChars="200"/>
        <w:jc w:val="center"/>
        <w:rPr>
          <w:rFonts w:hint="eastAsia" w:ascii="Times New Roman" w:hAnsi="Times New Roman" w:eastAsia="方正仿宋_GBK" w:cs="方正仿宋_GBK"/>
          <w:sz w:val="24"/>
        </w:rPr>
      </w:pPr>
      <w:r>
        <w:rPr>
          <w:rFonts w:hint="eastAsia" w:ascii="Times New Roman" w:hAnsi="Times New Roman" w:eastAsia="方正仿宋_GBK" w:cs="方正仿宋_GBK"/>
          <w:sz w:val="24"/>
        </w:rPr>
        <w:t>第九章 附则</w:t>
      </w:r>
    </w:p>
    <w:p>
      <w:pPr>
        <w:spacing w:line="480" w:lineRule="exact"/>
        <w:rPr>
          <w:rFonts w:hint="eastAsia" w:ascii="Times New Roman" w:hAnsi="Times New Roman" w:eastAsia="方正仿宋_GBK" w:cs="方正仿宋_GBK"/>
          <w:sz w:val="24"/>
        </w:rPr>
      </w:pPr>
      <w:r>
        <w:rPr>
          <w:rFonts w:hint="eastAsia" w:ascii="Times New Roman" w:hAnsi="Times New Roman" w:eastAsia="方正仿宋_GBK" w:cs="方正仿宋_GBK"/>
          <w:b/>
          <w:sz w:val="24"/>
        </w:rPr>
        <w:t xml:space="preserve">     第二十二条</w:t>
      </w:r>
      <w:r>
        <w:rPr>
          <w:rFonts w:hint="eastAsia" w:ascii="Times New Roman" w:hAnsi="Times New Roman" w:eastAsia="方正仿宋_GBK" w:cs="方正仿宋_GBK"/>
          <w:sz w:val="24"/>
        </w:rPr>
        <w:t>本办法自公布之日起施行。原《江苏省城乡建设系统优秀勘察设计评选管理办法》(苏建科〔2008〕136号)同时废止。</w:t>
      </w:r>
    </w:p>
    <w:p>
      <w:pPr>
        <w:spacing w:line="480" w:lineRule="exact"/>
        <w:ind w:firstLine="482" w:firstLineChars="200"/>
        <w:rPr>
          <w:rFonts w:hint="eastAsia"/>
        </w:rPr>
      </w:pPr>
      <w:r>
        <w:rPr>
          <w:rFonts w:hint="eastAsia" w:ascii="Times New Roman" w:hAnsi="Times New Roman" w:eastAsia="方正仿宋_GBK" w:cs="方正仿宋_GBK"/>
          <w:b/>
          <w:sz w:val="24"/>
        </w:rPr>
        <w:t>第二十三条</w:t>
      </w:r>
      <w:r>
        <w:rPr>
          <w:rFonts w:hint="eastAsia" w:ascii="Times New Roman" w:hAnsi="Times New Roman" w:eastAsia="方正仿宋_GBK" w:cs="方正仿宋_GBK"/>
          <w:sz w:val="24"/>
        </w:rPr>
        <w:t>本办法由省住房和城乡建设厅负责解释。</w:t>
      </w:r>
    </w:p>
    <w:p/>
    <w:p>
      <w:pPr>
        <w:pStyle w:val="2"/>
        <w:spacing w:before="240" w:beforeLines="100" w:after="240" w:afterLines="100" w:line="240" w:lineRule="auto"/>
        <w:jc w:val="center"/>
        <w:rPr>
          <w:rFonts w:ascii="Times New Roman" w:eastAsia="方正小标宋_GBK"/>
          <w:b w:val="0"/>
          <w:sz w:val="36"/>
          <w:szCs w:val="36"/>
        </w:rPr>
      </w:pPr>
      <w:r>
        <w:rPr>
          <w:b w:val="0"/>
        </w:rPr>
        <w:br w:type="column"/>
      </w:r>
      <w:bookmarkStart w:id="246" w:name="_Toc20726418"/>
      <w:bookmarkStart w:id="247" w:name="_Toc18315501"/>
      <w:r>
        <w:rPr>
          <w:rFonts w:hint="eastAsia" w:ascii="Times New Roman" w:eastAsia="方正小标宋_GBK"/>
          <w:b w:val="0"/>
          <w:sz w:val="36"/>
          <w:szCs w:val="36"/>
        </w:rPr>
        <w:t>省住房和城乡建设厅关于印发《江苏省建设科技项目  管理实施细则》的通知</w:t>
      </w:r>
      <w:bookmarkEnd w:id="246"/>
      <w:bookmarkEnd w:id="24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48" w:name="_Toc20726419"/>
      <w:bookmarkStart w:id="249" w:name="_Toc18315502"/>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2002</w:t>
      </w:r>
      <w:r>
        <w:rPr>
          <w:rFonts w:hint="eastAsia" w:ascii="Times New Roman" w:hAnsi="Times New Roman" w:eastAsia="方正楷体_GBK"/>
          <w:b w:val="0"/>
          <w:sz w:val="24"/>
          <w:szCs w:val="24"/>
        </w:rPr>
        <w:t>〕</w:t>
      </w:r>
      <w:r>
        <w:rPr>
          <w:rFonts w:ascii="Times New Roman" w:hAnsi="Times New Roman" w:eastAsia="方正楷体_GBK"/>
          <w:b w:val="0"/>
          <w:sz w:val="24"/>
          <w:szCs w:val="24"/>
        </w:rPr>
        <w:t>199</w:t>
      </w:r>
      <w:r>
        <w:rPr>
          <w:rFonts w:hint="eastAsia" w:ascii="Times New Roman" w:hAnsi="Times New Roman" w:eastAsia="方正楷体_GBK"/>
          <w:b w:val="0"/>
          <w:sz w:val="24"/>
          <w:szCs w:val="24"/>
        </w:rPr>
        <w:t>号</w:t>
      </w:r>
      <w:bookmarkEnd w:id="248"/>
      <w:bookmarkEnd w:id="249"/>
    </w:p>
    <w:p>
      <w:pPr>
        <w:spacing w:line="460" w:lineRule="exact"/>
        <w:rPr>
          <w:rFonts w:eastAsia="方正仿宋_GBK"/>
          <w:color w:val="000000"/>
          <w:sz w:val="24"/>
        </w:rPr>
      </w:pPr>
      <w:r>
        <w:rPr>
          <w:rFonts w:hint="eastAsia" w:eastAsia="方正仿宋_GBK"/>
          <w:color w:val="000000"/>
          <w:sz w:val="24"/>
        </w:rPr>
        <w:t>各省设区市建设局</w:t>
      </w:r>
      <w:r>
        <w:rPr>
          <w:rFonts w:eastAsia="方正仿宋_GBK"/>
          <w:color w:val="000000"/>
          <w:sz w:val="24"/>
        </w:rPr>
        <w:t>(</w:t>
      </w:r>
      <w:r>
        <w:rPr>
          <w:rFonts w:hint="eastAsia" w:eastAsia="方正仿宋_GBK"/>
          <w:color w:val="000000"/>
          <w:sz w:val="24"/>
        </w:rPr>
        <w:t>委</w:t>
      </w:r>
      <w:r>
        <w:rPr>
          <w:rFonts w:eastAsia="方正仿宋_GBK"/>
          <w:color w:val="000000"/>
          <w:sz w:val="24"/>
        </w:rPr>
        <w:t>)</w:t>
      </w:r>
      <w:r>
        <w:rPr>
          <w:rFonts w:hint="eastAsia" w:eastAsia="方正仿宋_GBK"/>
          <w:color w:val="000000"/>
          <w:sz w:val="24"/>
        </w:rPr>
        <w:t>、规划局、市政公用局、园林局、城管</w:t>
      </w:r>
      <w:r>
        <w:rPr>
          <w:rFonts w:eastAsia="方正仿宋_GBK"/>
          <w:color w:val="000000"/>
          <w:sz w:val="24"/>
        </w:rPr>
        <w:t>(</w:t>
      </w:r>
      <w:r>
        <w:rPr>
          <w:rFonts w:hint="eastAsia" w:eastAsia="方正仿宋_GBK"/>
          <w:color w:val="000000"/>
          <w:sz w:val="24"/>
        </w:rPr>
        <w:t>市容管理</w:t>
      </w:r>
      <w:r>
        <w:rPr>
          <w:rFonts w:eastAsia="方正仿宋_GBK"/>
          <w:color w:val="000000"/>
          <w:sz w:val="24"/>
        </w:rPr>
        <w:t>)</w:t>
      </w:r>
      <w:r>
        <w:rPr>
          <w:rFonts w:hint="eastAsia" w:eastAsia="方正仿宋_GBK"/>
          <w:color w:val="000000"/>
          <w:sz w:val="24"/>
        </w:rPr>
        <w:t>局、房管局</w:t>
      </w:r>
      <w:r>
        <w:rPr>
          <w:rFonts w:eastAsia="方正仿宋_GBK"/>
          <w:color w:val="000000"/>
          <w:sz w:val="24"/>
        </w:rPr>
        <w:t>(</w:t>
      </w:r>
      <w:r>
        <w:rPr>
          <w:rFonts w:hint="eastAsia" w:eastAsia="方正仿宋_GBK"/>
          <w:color w:val="000000"/>
          <w:sz w:val="24"/>
        </w:rPr>
        <w:t>房改办</w:t>
      </w:r>
      <w:r>
        <w:rPr>
          <w:rFonts w:eastAsia="方正仿宋_GBK"/>
          <w:color w:val="000000"/>
          <w:sz w:val="24"/>
        </w:rPr>
        <w:t>)</w:t>
      </w:r>
      <w:r>
        <w:rPr>
          <w:rFonts w:hint="eastAsia" w:eastAsia="方正仿宋_GBK"/>
          <w:color w:val="000000"/>
          <w:sz w:val="24"/>
        </w:rPr>
        <w:t>、建工局：</w:t>
      </w:r>
    </w:p>
    <w:p>
      <w:pPr>
        <w:spacing w:line="460" w:lineRule="exact"/>
        <w:ind w:firstLine="480" w:firstLineChars="200"/>
        <w:rPr>
          <w:rFonts w:eastAsia="方正仿宋_GBK"/>
          <w:color w:val="000000"/>
          <w:sz w:val="24"/>
        </w:rPr>
      </w:pPr>
      <w:r>
        <w:rPr>
          <w:rFonts w:hint="eastAsia" w:eastAsia="方正仿宋_GBK"/>
          <w:color w:val="000000"/>
          <w:sz w:val="24"/>
        </w:rPr>
        <w:t>为规范和加强全省建设系统科技计划项目的管理，适应建设科技的发展需要，在广泛征求意见的基础上，我厅制定了《江苏省建设科技项目管理实施细则》，现印发给你们，请遵照执行。</w:t>
      </w:r>
    </w:p>
    <w:p>
      <w:pPr>
        <w:spacing w:line="460" w:lineRule="exact"/>
        <w:ind w:firstLine="480" w:firstLineChars="200"/>
        <w:rPr>
          <w:rFonts w:eastAsia="方正仿宋_GBK"/>
          <w:color w:val="000000"/>
          <w:sz w:val="24"/>
        </w:rPr>
      </w:pPr>
      <w:r>
        <w:rPr>
          <w:rFonts w:eastAsia="方正仿宋_GBK"/>
          <w:color w:val="000000"/>
          <w:sz w:val="24"/>
        </w:rPr>
        <w:t xml:space="preserve"> </w:t>
      </w:r>
    </w:p>
    <w:p>
      <w:pPr>
        <w:spacing w:line="460" w:lineRule="exact"/>
        <w:ind w:firstLine="480" w:firstLineChars="200"/>
        <w:rPr>
          <w:rFonts w:eastAsia="方正仿宋_GBK"/>
          <w:color w:val="000000"/>
          <w:sz w:val="24"/>
        </w:rPr>
      </w:pPr>
      <w:r>
        <w:rPr>
          <w:rFonts w:hint="eastAsia" w:eastAsia="方正仿宋_GBK"/>
          <w:color w:val="000000"/>
          <w:sz w:val="24"/>
        </w:rPr>
        <w:t>附件：《江苏省建设科技项目管理实施细则》</w:t>
      </w:r>
    </w:p>
    <w:p>
      <w:pPr>
        <w:spacing w:line="460" w:lineRule="exact"/>
        <w:ind w:firstLine="480" w:firstLineChars="200"/>
        <w:rPr>
          <w:rFonts w:eastAsia="方正仿宋_GBK"/>
          <w:color w:val="000000"/>
          <w:sz w:val="24"/>
        </w:rPr>
      </w:pPr>
      <w:r>
        <w:rPr>
          <w:rFonts w:eastAsia="方正仿宋_GBK"/>
          <w:color w:val="000000"/>
          <w:sz w:val="24"/>
        </w:rPr>
        <w:t xml:space="preserve">  </w:t>
      </w:r>
    </w:p>
    <w:p>
      <w:pPr>
        <w:spacing w:line="460" w:lineRule="exact"/>
        <w:ind w:firstLine="6000" w:firstLineChars="2500"/>
        <w:rPr>
          <w:rFonts w:eastAsia="方正仿宋_GBK"/>
          <w:color w:val="000000"/>
          <w:sz w:val="24"/>
        </w:rPr>
      </w:pPr>
      <w:r>
        <w:rPr>
          <w:rFonts w:hint="eastAsia" w:eastAsia="方正仿宋_GBK"/>
          <w:color w:val="000000"/>
          <w:sz w:val="24"/>
        </w:rPr>
        <w:t>江苏省住房和城乡建设厅</w:t>
      </w:r>
    </w:p>
    <w:p>
      <w:pPr>
        <w:spacing w:line="460" w:lineRule="exact"/>
        <w:ind w:firstLine="480" w:firstLineChars="200"/>
        <w:jc w:val="right"/>
        <w:rPr>
          <w:rFonts w:eastAsia="方正仿宋_GBK"/>
          <w:color w:val="000000"/>
          <w:sz w:val="24"/>
        </w:rPr>
      </w:pPr>
      <w:r>
        <w:rPr>
          <w:rFonts w:eastAsia="方正仿宋_GBK"/>
          <w:color w:val="000000"/>
          <w:sz w:val="24"/>
        </w:rPr>
        <w:t xml:space="preserve">                              </w:t>
      </w:r>
      <w:r>
        <w:rPr>
          <w:rFonts w:hint="eastAsia" w:eastAsia="方正仿宋_GBK"/>
          <w:color w:val="000000"/>
          <w:sz w:val="24"/>
        </w:rPr>
        <w:t>二</w:t>
      </w:r>
      <w:r>
        <w:rPr>
          <w:rFonts w:hint="eastAsia" w:ascii="Times New Roman" w:hAnsi="Times New Roman"/>
          <w:color w:val="000000"/>
          <w:sz w:val="24"/>
        </w:rPr>
        <w:t>○○</w:t>
      </w:r>
      <w:r>
        <w:rPr>
          <w:rFonts w:hint="eastAsia" w:eastAsia="方正仿宋_GBK"/>
          <w:color w:val="000000"/>
          <w:sz w:val="24"/>
        </w:rPr>
        <w:t>二年六月二十六日</w:t>
      </w:r>
    </w:p>
    <w:p>
      <w:pPr>
        <w:spacing w:line="460" w:lineRule="exact"/>
        <w:rPr>
          <w:rFonts w:eastAsia="黑体"/>
          <w:color w:val="000000"/>
          <w:sz w:val="28"/>
          <w:szCs w:val="28"/>
        </w:rPr>
      </w:pPr>
      <w:r>
        <w:rPr>
          <w:rFonts w:eastAsia="方正仿宋_GBK"/>
          <w:color w:val="000000"/>
          <w:sz w:val="24"/>
        </w:rPr>
        <w:br w:type="column"/>
      </w:r>
      <w:r>
        <w:rPr>
          <w:rFonts w:hint="eastAsia" w:eastAsia="黑体"/>
          <w:color w:val="000000"/>
          <w:sz w:val="28"/>
          <w:szCs w:val="28"/>
        </w:rPr>
        <w:t>附件</w:t>
      </w:r>
    </w:p>
    <w:p>
      <w:pPr>
        <w:spacing w:line="460" w:lineRule="exact"/>
        <w:ind w:firstLine="480" w:firstLineChars="200"/>
        <w:rPr>
          <w:rFonts w:eastAsia="方正仿宋_GBK"/>
          <w:color w:val="000000"/>
          <w:sz w:val="24"/>
        </w:rPr>
      </w:pPr>
    </w:p>
    <w:p>
      <w:pPr>
        <w:spacing w:line="460" w:lineRule="exact"/>
        <w:jc w:val="center"/>
        <w:rPr>
          <w:rFonts w:eastAsia="方正小标宋简体"/>
          <w:color w:val="000000"/>
          <w:sz w:val="36"/>
          <w:szCs w:val="36"/>
        </w:rPr>
      </w:pPr>
      <w:r>
        <w:rPr>
          <w:rFonts w:hint="eastAsia" w:eastAsia="方正小标宋简体"/>
          <w:color w:val="000000"/>
          <w:sz w:val="36"/>
          <w:szCs w:val="36"/>
        </w:rPr>
        <w:t>江苏省建设科技项目管理实施细则</w:t>
      </w:r>
    </w:p>
    <w:p>
      <w:pPr>
        <w:spacing w:line="460" w:lineRule="exact"/>
        <w:ind w:firstLine="480" w:firstLineChars="200"/>
        <w:jc w:val="center"/>
        <w:rPr>
          <w:rFonts w:eastAsia="方正仿宋_GBK"/>
          <w:color w:val="000000"/>
          <w:sz w:val="24"/>
        </w:rPr>
      </w:pPr>
    </w:p>
    <w:p>
      <w:pPr>
        <w:spacing w:line="460" w:lineRule="exact"/>
        <w:jc w:val="center"/>
        <w:rPr>
          <w:rFonts w:eastAsia="黑体"/>
          <w:color w:val="000000"/>
          <w:sz w:val="24"/>
        </w:rPr>
      </w:pPr>
      <w:r>
        <w:rPr>
          <w:rFonts w:hint="eastAsia" w:eastAsia="黑体"/>
          <w:color w:val="000000"/>
          <w:sz w:val="24"/>
        </w:rPr>
        <w:t>第一章</w:t>
      </w:r>
      <w:r>
        <w:rPr>
          <w:rFonts w:eastAsia="黑体"/>
          <w:color w:val="000000"/>
          <w:sz w:val="24"/>
        </w:rPr>
        <w:t xml:space="preserve">  </w:t>
      </w:r>
      <w:r>
        <w:rPr>
          <w:rFonts w:hint="eastAsia" w:eastAsia="黑体"/>
          <w:color w:val="000000"/>
          <w:sz w:val="24"/>
        </w:rPr>
        <w:t>总</w:t>
      </w:r>
      <w:r>
        <w:rPr>
          <w:rFonts w:eastAsia="黑体"/>
          <w:color w:val="000000"/>
          <w:sz w:val="24"/>
        </w:rPr>
        <w:t xml:space="preserve"> </w:t>
      </w:r>
      <w:r>
        <w:rPr>
          <w:rFonts w:hint="eastAsia" w:eastAsia="黑体"/>
          <w:color w:val="000000"/>
          <w:sz w:val="24"/>
        </w:rPr>
        <w:t>则</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r>
        <w:rPr>
          <w:rFonts w:hint="eastAsia" w:eastAsia="黑体"/>
          <w:color w:val="000000"/>
          <w:sz w:val="24"/>
        </w:rPr>
        <w:t>第一条</w:t>
      </w:r>
      <w:r>
        <w:rPr>
          <w:rFonts w:eastAsia="方正仿宋_GBK"/>
          <w:color w:val="000000"/>
          <w:sz w:val="24"/>
        </w:rPr>
        <w:t xml:space="preserve"> </w:t>
      </w:r>
      <w:r>
        <w:rPr>
          <w:rFonts w:hint="eastAsia" w:eastAsia="方正仿宋_GBK"/>
          <w:color w:val="000000"/>
          <w:sz w:val="24"/>
        </w:rPr>
        <w:t>为加强我省建设科技计划项目管理，促进技术创新，加快科技成果转化，根据《住房和城乡建设部科学技术计划项目管理办法》、《建设部科技成果评估工作管理暂行办法》以及国家和省其他有关规定，结合我省实际，制定本细则。</w:t>
      </w:r>
    </w:p>
    <w:p>
      <w:pPr>
        <w:spacing w:line="460" w:lineRule="exact"/>
        <w:ind w:firstLine="480" w:firstLineChars="200"/>
        <w:rPr>
          <w:rFonts w:eastAsia="方正仿宋_GBK"/>
          <w:color w:val="000000"/>
          <w:sz w:val="24"/>
        </w:rPr>
      </w:pPr>
      <w:r>
        <w:rPr>
          <w:rFonts w:hint="eastAsia" w:eastAsia="黑体"/>
          <w:color w:val="000000"/>
          <w:sz w:val="24"/>
        </w:rPr>
        <w:t>第二条</w:t>
      </w:r>
      <w:r>
        <w:rPr>
          <w:rFonts w:eastAsia="方正仿宋_GBK"/>
          <w:color w:val="000000"/>
          <w:sz w:val="24"/>
        </w:rPr>
        <w:t xml:space="preserve"> </w:t>
      </w:r>
      <w:r>
        <w:rPr>
          <w:rFonts w:hint="eastAsia" w:eastAsia="方正仿宋_GBK"/>
          <w:color w:val="000000"/>
          <w:sz w:val="24"/>
        </w:rPr>
        <w:t>本细则适用于省建设科技计划项目的管理。</w:t>
      </w:r>
    </w:p>
    <w:p>
      <w:pPr>
        <w:spacing w:line="460" w:lineRule="exact"/>
        <w:ind w:firstLine="480" w:firstLineChars="200"/>
        <w:rPr>
          <w:rFonts w:eastAsia="方正仿宋_GBK"/>
          <w:color w:val="000000"/>
          <w:sz w:val="24"/>
        </w:rPr>
      </w:pPr>
      <w:r>
        <w:rPr>
          <w:rFonts w:hint="eastAsia" w:eastAsia="黑体"/>
          <w:color w:val="000000"/>
          <w:sz w:val="24"/>
        </w:rPr>
        <w:t>第三条</w:t>
      </w:r>
      <w:r>
        <w:rPr>
          <w:rFonts w:eastAsia="方正仿宋_GBK"/>
          <w:color w:val="000000"/>
          <w:sz w:val="24"/>
        </w:rPr>
        <w:t xml:space="preserve"> </w:t>
      </w:r>
      <w:r>
        <w:rPr>
          <w:rFonts w:hint="eastAsia" w:eastAsia="方正仿宋_GBK"/>
          <w:color w:val="000000"/>
          <w:sz w:val="24"/>
        </w:rPr>
        <w:t>省建设科技计划项目由省建设行政主管部门归口管理。各设区的市建设局</w:t>
      </w:r>
      <w:r>
        <w:rPr>
          <w:rFonts w:eastAsia="方正仿宋_GBK"/>
          <w:color w:val="000000"/>
          <w:sz w:val="24"/>
        </w:rPr>
        <w:t>(</w:t>
      </w:r>
      <w:r>
        <w:rPr>
          <w:rFonts w:hint="eastAsia" w:eastAsia="方正仿宋_GBK"/>
          <w:color w:val="000000"/>
          <w:sz w:val="24"/>
        </w:rPr>
        <w:t>建委</w:t>
      </w:r>
      <w:r>
        <w:rPr>
          <w:rFonts w:eastAsia="方正仿宋_GBK"/>
          <w:color w:val="000000"/>
          <w:sz w:val="24"/>
        </w:rPr>
        <w:t>)</w:t>
      </w:r>
      <w:r>
        <w:rPr>
          <w:rFonts w:hint="eastAsia" w:eastAsia="方正仿宋_GBK"/>
          <w:color w:val="000000"/>
          <w:sz w:val="24"/>
        </w:rPr>
        <w:t>负责省建设科技计划项目的征集、申报项目初审与推荐、项目实施监督与检查以及项目成果鉴定和项目验收的初审工作，当受省建设行政主管部门委托时主持科技成果鉴定和项目验收。</w:t>
      </w:r>
    </w:p>
    <w:p>
      <w:pPr>
        <w:spacing w:line="460" w:lineRule="exact"/>
        <w:ind w:firstLine="480" w:firstLineChars="200"/>
        <w:rPr>
          <w:rFonts w:eastAsia="方正仿宋_GBK"/>
          <w:color w:val="000000"/>
          <w:sz w:val="24"/>
        </w:rPr>
      </w:pPr>
    </w:p>
    <w:p>
      <w:pPr>
        <w:spacing w:line="460" w:lineRule="exact"/>
        <w:jc w:val="center"/>
        <w:rPr>
          <w:rFonts w:eastAsia="黑体"/>
          <w:color w:val="000000"/>
          <w:sz w:val="24"/>
        </w:rPr>
      </w:pPr>
      <w:r>
        <w:rPr>
          <w:rFonts w:hint="eastAsia" w:eastAsia="黑体"/>
          <w:color w:val="000000"/>
          <w:sz w:val="24"/>
        </w:rPr>
        <w:t>第二章</w:t>
      </w:r>
      <w:r>
        <w:rPr>
          <w:rFonts w:eastAsia="黑体"/>
          <w:color w:val="000000"/>
          <w:sz w:val="24"/>
        </w:rPr>
        <w:t xml:space="preserve">  </w:t>
      </w:r>
      <w:r>
        <w:rPr>
          <w:rFonts w:hint="eastAsia" w:eastAsia="黑体"/>
          <w:color w:val="000000"/>
          <w:sz w:val="24"/>
        </w:rPr>
        <w:t>计划项目选题</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r>
        <w:rPr>
          <w:rFonts w:hint="eastAsia" w:eastAsia="黑体"/>
          <w:color w:val="000000"/>
          <w:sz w:val="24"/>
        </w:rPr>
        <w:t>第四条</w:t>
      </w:r>
      <w:r>
        <w:rPr>
          <w:rFonts w:eastAsia="方正仿宋_GBK"/>
          <w:color w:val="000000"/>
          <w:sz w:val="24"/>
        </w:rPr>
        <w:t xml:space="preserve"> </w:t>
      </w:r>
      <w:r>
        <w:rPr>
          <w:rFonts w:hint="eastAsia" w:eastAsia="方正仿宋_GBK"/>
          <w:color w:val="000000"/>
          <w:sz w:val="24"/>
        </w:rPr>
        <w:t>省建设行政主管部门每年编制省建设科技项目年度计划。计划分指令性和指导性两类。指令性计划项目经费由省财政专项拨款和承担单位自筹经费组成。指导性计划项目经费由承担单位自筹。</w:t>
      </w:r>
    </w:p>
    <w:p>
      <w:pPr>
        <w:spacing w:line="460" w:lineRule="exact"/>
        <w:ind w:firstLine="480" w:firstLineChars="200"/>
        <w:rPr>
          <w:rFonts w:eastAsia="方正仿宋_GBK"/>
          <w:color w:val="000000"/>
          <w:sz w:val="24"/>
        </w:rPr>
      </w:pPr>
      <w:r>
        <w:rPr>
          <w:rFonts w:hint="eastAsia" w:eastAsia="黑体"/>
          <w:color w:val="000000"/>
          <w:sz w:val="24"/>
        </w:rPr>
        <w:t>第五条</w:t>
      </w:r>
      <w:r>
        <w:rPr>
          <w:rFonts w:eastAsia="方正仿宋_GBK"/>
          <w:color w:val="000000"/>
          <w:sz w:val="24"/>
        </w:rPr>
        <w:t xml:space="preserve"> </w:t>
      </w:r>
      <w:r>
        <w:rPr>
          <w:rFonts w:hint="eastAsia" w:eastAsia="方正仿宋_GBK"/>
          <w:color w:val="000000"/>
          <w:sz w:val="24"/>
        </w:rPr>
        <w:t>省建设行政主管部门按年度编制并发布</w:t>
      </w:r>
      <w:r>
        <w:rPr>
          <w:rFonts w:eastAsia="方正仿宋_GBK"/>
          <w:color w:val="000000"/>
          <w:sz w:val="24"/>
        </w:rPr>
        <w:t>“</w:t>
      </w:r>
      <w:r>
        <w:rPr>
          <w:rFonts w:hint="eastAsia" w:eastAsia="方正仿宋_GBK"/>
          <w:color w:val="000000"/>
          <w:sz w:val="24"/>
        </w:rPr>
        <w:t>省建设科技计划项目指南</w:t>
      </w:r>
      <w:r>
        <w:rPr>
          <w:rFonts w:eastAsia="方正仿宋_GBK"/>
          <w:color w:val="000000"/>
          <w:sz w:val="24"/>
        </w:rPr>
        <w:t>”(</w:t>
      </w:r>
      <w:r>
        <w:rPr>
          <w:rFonts w:hint="eastAsia" w:eastAsia="方正仿宋_GBK"/>
          <w:color w:val="000000"/>
          <w:sz w:val="24"/>
        </w:rPr>
        <w:t>以下简称</w:t>
      </w:r>
      <w:r>
        <w:rPr>
          <w:rFonts w:eastAsia="方正仿宋_GBK"/>
          <w:color w:val="000000"/>
          <w:sz w:val="24"/>
        </w:rPr>
        <w:t>“</w:t>
      </w:r>
      <w:r>
        <w:rPr>
          <w:rFonts w:hint="eastAsia" w:eastAsia="方正仿宋_GBK"/>
          <w:color w:val="000000"/>
          <w:sz w:val="24"/>
        </w:rPr>
        <w:t>项目指南</w:t>
      </w:r>
      <w:r>
        <w:rPr>
          <w:rFonts w:eastAsia="方正仿宋_GBK"/>
          <w:color w:val="000000"/>
          <w:sz w:val="24"/>
        </w:rPr>
        <w:t>”)</w:t>
      </w:r>
      <w:r>
        <w:rPr>
          <w:rFonts w:hint="eastAsia" w:eastAsia="方正仿宋_GBK"/>
          <w:color w:val="000000"/>
          <w:sz w:val="24"/>
        </w:rPr>
        <w:t>，指导项目申请。</w:t>
      </w:r>
    </w:p>
    <w:p>
      <w:pPr>
        <w:spacing w:line="460" w:lineRule="exact"/>
        <w:ind w:firstLine="480" w:firstLineChars="200"/>
        <w:rPr>
          <w:rFonts w:eastAsia="方正仿宋_GBK"/>
          <w:color w:val="000000"/>
          <w:sz w:val="24"/>
        </w:rPr>
      </w:pPr>
      <w:r>
        <w:rPr>
          <w:rFonts w:hint="eastAsia" w:eastAsia="黑体"/>
          <w:color w:val="000000"/>
          <w:sz w:val="24"/>
        </w:rPr>
        <w:t>第六条</w:t>
      </w:r>
      <w:r>
        <w:rPr>
          <w:rFonts w:eastAsia="方正仿宋_GBK"/>
          <w:color w:val="000000"/>
          <w:sz w:val="24"/>
        </w:rPr>
        <w:t xml:space="preserve"> </w:t>
      </w:r>
      <w:r>
        <w:rPr>
          <w:rFonts w:hint="eastAsia" w:eastAsia="方正仿宋_GBK"/>
          <w:color w:val="000000"/>
          <w:sz w:val="24"/>
        </w:rPr>
        <w:t>科技计划项目包括科研攻关、技术开发、重点产品开发、重点推广技术、科技示范项目</w:t>
      </w:r>
      <w:r>
        <w:rPr>
          <w:rFonts w:eastAsia="方正仿宋_GBK"/>
          <w:color w:val="000000"/>
          <w:sz w:val="24"/>
        </w:rPr>
        <w:t>(</w:t>
      </w:r>
      <w:r>
        <w:rPr>
          <w:rFonts w:hint="eastAsia" w:eastAsia="方正仿宋_GBK"/>
          <w:color w:val="000000"/>
          <w:sz w:val="24"/>
        </w:rPr>
        <w:t>或者科技试点项目</w:t>
      </w:r>
      <w:r>
        <w:rPr>
          <w:rFonts w:eastAsia="方正仿宋_GBK"/>
          <w:color w:val="000000"/>
          <w:sz w:val="24"/>
        </w:rPr>
        <w:t>)</w:t>
      </w:r>
      <w:r>
        <w:rPr>
          <w:rFonts w:hint="eastAsia" w:eastAsia="方正仿宋_GBK"/>
          <w:color w:val="000000"/>
          <w:sz w:val="24"/>
        </w:rPr>
        <w:t>、产业化基地、软科学研究及有关专项项目，其选题范围：</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一</w:t>
      </w:r>
      <w:r>
        <w:rPr>
          <w:rFonts w:eastAsia="方正仿宋_GBK"/>
          <w:color w:val="000000"/>
          <w:sz w:val="24"/>
        </w:rPr>
        <w:t>)</w:t>
      </w:r>
      <w:r>
        <w:rPr>
          <w:rFonts w:hint="eastAsia" w:eastAsia="方正仿宋_GBK"/>
          <w:color w:val="000000"/>
          <w:sz w:val="24"/>
        </w:rPr>
        <w:t>对推动行业技术进步和行业发展有重大作用、有利于促进产业结构调整、改造传统产业、具有创新价值的新技术、新工艺、新设备、新产品研究开发项目</w:t>
      </w:r>
      <w:r>
        <w:rPr>
          <w:rFonts w:eastAsia="方正仿宋_GBK"/>
          <w:color w:val="000000"/>
          <w:sz w:val="24"/>
        </w:rPr>
        <w:t>;</w:t>
      </w:r>
    </w:p>
    <w:p>
      <w:pPr>
        <w:spacing w:line="460" w:lineRule="exact"/>
        <w:ind w:firstLine="480" w:firstLineChars="200"/>
        <w:rPr>
          <w:rFonts w:eastAsia="方正仿宋_GBK"/>
          <w:color w:val="000000"/>
          <w:spacing w:val="-6"/>
          <w:sz w:val="24"/>
        </w:rPr>
      </w:pPr>
      <w:r>
        <w:rPr>
          <w:rFonts w:eastAsia="方正仿宋_GBK"/>
          <w:color w:val="000000"/>
          <w:sz w:val="24"/>
        </w:rPr>
        <w:t>(</w:t>
      </w:r>
      <w:r>
        <w:rPr>
          <w:rFonts w:hint="eastAsia" w:eastAsia="方正仿宋_GBK"/>
          <w:color w:val="000000"/>
          <w:sz w:val="24"/>
        </w:rPr>
        <w:t>二</w:t>
      </w:r>
      <w:r>
        <w:rPr>
          <w:rFonts w:eastAsia="方正仿宋_GBK"/>
          <w:color w:val="000000"/>
          <w:sz w:val="24"/>
        </w:rPr>
        <w:t>)</w:t>
      </w:r>
      <w:r>
        <w:rPr>
          <w:rFonts w:hint="eastAsia" w:eastAsia="方正仿宋_GBK"/>
          <w:color w:val="000000"/>
          <w:spacing w:val="-6"/>
          <w:sz w:val="24"/>
        </w:rPr>
        <w:t>具有较好社会环境效益的综合研究开发项目及新技术、新产品整合研究项目</w:t>
      </w:r>
      <w:r>
        <w:rPr>
          <w:rFonts w:eastAsia="方正仿宋_GBK"/>
          <w:color w:val="000000"/>
          <w:spacing w:val="-6"/>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三</w:t>
      </w:r>
      <w:r>
        <w:rPr>
          <w:rFonts w:eastAsia="方正仿宋_GBK"/>
          <w:color w:val="000000"/>
          <w:sz w:val="24"/>
        </w:rPr>
        <w:t>)</w:t>
      </w:r>
      <w:r>
        <w:rPr>
          <w:rFonts w:hint="eastAsia" w:eastAsia="方正仿宋_GBK"/>
          <w:color w:val="000000"/>
          <w:sz w:val="24"/>
        </w:rPr>
        <w:t>能指导行业发展的经济政策、技术政策及法规研究等软科学研究项目</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四</w:t>
      </w:r>
      <w:r>
        <w:rPr>
          <w:rFonts w:eastAsia="方正仿宋_GBK"/>
          <w:color w:val="000000"/>
          <w:sz w:val="24"/>
        </w:rPr>
        <w:t>)</w:t>
      </w:r>
      <w:r>
        <w:rPr>
          <w:rFonts w:hint="eastAsia" w:eastAsia="方正仿宋_GBK"/>
          <w:color w:val="000000"/>
          <w:sz w:val="24"/>
        </w:rPr>
        <w:t>具有显著社会、经济效益的科技成果推广转化项目和试点示范项目。</w:t>
      </w:r>
    </w:p>
    <w:p>
      <w:pPr>
        <w:spacing w:line="460" w:lineRule="exact"/>
        <w:ind w:firstLine="480" w:firstLineChars="200"/>
        <w:rPr>
          <w:rFonts w:eastAsia="方正仿宋_GBK"/>
          <w:color w:val="000000"/>
          <w:sz w:val="24"/>
        </w:rPr>
      </w:pPr>
    </w:p>
    <w:p>
      <w:pPr>
        <w:spacing w:line="460" w:lineRule="exact"/>
        <w:jc w:val="center"/>
        <w:rPr>
          <w:rFonts w:eastAsia="黑体"/>
          <w:color w:val="000000"/>
          <w:sz w:val="24"/>
        </w:rPr>
      </w:pPr>
      <w:r>
        <w:rPr>
          <w:rFonts w:hint="eastAsia" w:eastAsia="黑体"/>
          <w:color w:val="000000"/>
          <w:sz w:val="24"/>
        </w:rPr>
        <w:t>第三章</w:t>
      </w:r>
      <w:r>
        <w:rPr>
          <w:rFonts w:eastAsia="黑体"/>
          <w:color w:val="000000"/>
          <w:sz w:val="24"/>
        </w:rPr>
        <w:t xml:space="preserve">  </w:t>
      </w:r>
      <w:r>
        <w:rPr>
          <w:rFonts w:hint="eastAsia" w:eastAsia="黑体"/>
          <w:color w:val="000000"/>
          <w:sz w:val="24"/>
        </w:rPr>
        <w:t>计划项目的申请与审批</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r>
        <w:rPr>
          <w:rFonts w:hint="eastAsia" w:eastAsia="黑体"/>
          <w:color w:val="000000"/>
          <w:sz w:val="24"/>
        </w:rPr>
        <w:t>第七条</w:t>
      </w:r>
      <w:r>
        <w:rPr>
          <w:rFonts w:eastAsia="方正仿宋_GBK"/>
          <w:color w:val="000000"/>
          <w:sz w:val="24"/>
        </w:rPr>
        <w:t xml:space="preserve"> </w:t>
      </w:r>
      <w:r>
        <w:rPr>
          <w:rFonts w:hint="eastAsia" w:eastAsia="方正仿宋_GBK"/>
          <w:color w:val="000000"/>
          <w:sz w:val="24"/>
        </w:rPr>
        <w:t>计划项目申请原则上每年集中受理一次。</w:t>
      </w:r>
    </w:p>
    <w:p>
      <w:pPr>
        <w:spacing w:line="460" w:lineRule="exact"/>
        <w:ind w:firstLine="480" w:firstLineChars="200"/>
        <w:rPr>
          <w:rFonts w:eastAsia="方正仿宋_GBK"/>
          <w:color w:val="000000"/>
          <w:sz w:val="24"/>
        </w:rPr>
      </w:pPr>
      <w:r>
        <w:rPr>
          <w:rFonts w:hint="eastAsia" w:eastAsia="黑体"/>
          <w:color w:val="000000"/>
          <w:sz w:val="24"/>
        </w:rPr>
        <w:t>第八条</w:t>
      </w:r>
      <w:r>
        <w:rPr>
          <w:rFonts w:eastAsia="方正仿宋_GBK"/>
          <w:color w:val="000000"/>
          <w:sz w:val="24"/>
        </w:rPr>
        <w:t xml:space="preserve"> </w:t>
      </w:r>
      <w:r>
        <w:rPr>
          <w:rFonts w:hint="eastAsia" w:eastAsia="方正仿宋_GBK"/>
          <w:color w:val="000000"/>
          <w:sz w:val="24"/>
        </w:rPr>
        <w:t>申请立项基本条件：</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一</w:t>
      </w:r>
      <w:r>
        <w:rPr>
          <w:rFonts w:eastAsia="方正仿宋_GBK"/>
          <w:color w:val="000000"/>
          <w:sz w:val="24"/>
        </w:rPr>
        <w:t>)</w:t>
      </w:r>
      <w:r>
        <w:rPr>
          <w:rFonts w:hint="eastAsia" w:eastAsia="方正仿宋_GBK"/>
          <w:color w:val="000000"/>
          <w:sz w:val="24"/>
        </w:rPr>
        <w:t>申请项目的研究内容应当符合</w:t>
      </w:r>
      <w:r>
        <w:rPr>
          <w:rFonts w:eastAsia="方正仿宋_GBK"/>
          <w:color w:val="000000"/>
          <w:sz w:val="24"/>
        </w:rPr>
        <w:t>“</w:t>
      </w:r>
      <w:r>
        <w:rPr>
          <w:rFonts w:hint="eastAsia" w:eastAsia="方正仿宋_GBK"/>
          <w:color w:val="000000"/>
          <w:sz w:val="24"/>
        </w:rPr>
        <w:t>项目指南</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二</w:t>
      </w:r>
      <w:r>
        <w:rPr>
          <w:rFonts w:eastAsia="方正仿宋_GBK"/>
          <w:color w:val="000000"/>
          <w:sz w:val="24"/>
        </w:rPr>
        <w:t>)</w:t>
      </w:r>
      <w:r>
        <w:rPr>
          <w:rFonts w:hint="eastAsia" w:eastAsia="方正仿宋_GBK"/>
          <w:color w:val="000000"/>
          <w:sz w:val="24"/>
        </w:rPr>
        <w:t>项目第一负责人应当是项目的实际主持人，具备相关专业副高级</w:t>
      </w:r>
      <w:r>
        <w:rPr>
          <w:rFonts w:eastAsia="方正仿宋_GBK"/>
          <w:color w:val="000000"/>
          <w:sz w:val="24"/>
        </w:rPr>
        <w:t>(</w:t>
      </w:r>
      <w:r>
        <w:rPr>
          <w:rFonts w:hint="eastAsia" w:eastAsia="方正仿宋_GBK"/>
          <w:color w:val="000000"/>
          <w:sz w:val="24"/>
        </w:rPr>
        <w:t>或者博士学历</w:t>
      </w:r>
      <w:r>
        <w:rPr>
          <w:rFonts w:eastAsia="方正仿宋_GBK"/>
          <w:color w:val="000000"/>
          <w:sz w:val="24"/>
        </w:rPr>
        <w:t>)</w:t>
      </w:r>
      <w:r>
        <w:rPr>
          <w:rFonts w:hint="eastAsia" w:eastAsia="方正仿宋_GBK"/>
          <w:color w:val="000000"/>
          <w:sz w:val="24"/>
        </w:rPr>
        <w:t>以上技术专业职称的在职人员，具备完成项目所需的组织管理及协调能力</w:t>
      </w:r>
      <w:r>
        <w:rPr>
          <w:rFonts w:eastAsia="方正仿宋_GBK"/>
          <w:color w:val="000000"/>
          <w:sz w:val="24"/>
        </w:rPr>
        <w:t>;</w:t>
      </w:r>
      <w:r>
        <w:rPr>
          <w:rFonts w:hint="eastAsia" w:eastAsia="方正仿宋_GBK"/>
          <w:color w:val="000000"/>
          <w:sz w:val="24"/>
        </w:rPr>
        <w:t>中级专业技术职称的，必须有两名具备副高级以上专业技术职称的同行专家推荐</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三</w:t>
      </w:r>
      <w:r>
        <w:rPr>
          <w:rFonts w:eastAsia="方正仿宋_GBK"/>
          <w:color w:val="000000"/>
          <w:sz w:val="24"/>
        </w:rPr>
        <w:t>)</w:t>
      </w:r>
      <w:r>
        <w:rPr>
          <w:rFonts w:hint="eastAsia" w:eastAsia="方正仿宋_GBK"/>
          <w:color w:val="000000"/>
          <w:sz w:val="24"/>
        </w:rPr>
        <w:t>申请单位及其合作单位必须是独立法人资格的实体或者学术团体，具备完成研究任务的科研实力</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四</w:t>
      </w:r>
      <w:r>
        <w:rPr>
          <w:rFonts w:eastAsia="方正仿宋_GBK"/>
          <w:color w:val="000000"/>
          <w:sz w:val="24"/>
        </w:rPr>
        <w:t>)</w:t>
      </w:r>
      <w:r>
        <w:rPr>
          <w:rFonts w:hint="eastAsia" w:eastAsia="方正仿宋_GBK"/>
          <w:color w:val="000000"/>
          <w:sz w:val="24"/>
        </w:rPr>
        <w:t>第一负责人原则上每年只能申请一个指令性计划项目</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五</w:t>
      </w:r>
      <w:r>
        <w:rPr>
          <w:rFonts w:eastAsia="方正仿宋_GBK"/>
          <w:color w:val="000000"/>
          <w:sz w:val="24"/>
        </w:rPr>
        <w:t>)</w:t>
      </w:r>
      <w:r>
        <w:rPr>
          <w:rFonts w:hint="eastAsia" w:eastAsia="方正仿宋_GBK"/>
          <w:color w:val="000000"/>
          <w:sz w:val="24"/>
        </w:rPr>
        <w:t>申请项目不得是国家、省、地区等各部门已经批准立项的项目或者类似项目</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六</w:t>
      </w:r>
      <w:r>
        <w:rPr>
          <w:rFonts w:eastAsia="方正仿宋_GBK"/>
          <w:color w:val="000000"/>
          <w:sz w:val="24"/>
        </w:rPr>
        <w:t>)</w:t>
      </w:r>
      <w:r>
        <w:rPr>
          <w:rFonts w:hint="eastAsia" w:eastAsia="方正仿宋_GBK"/>
          <w:color w:val="000000"/>
          <w:sz w:val="24"/>
        </w:rPr>
        <w:t>计划项目研究期限一般为</w:t>
      </w:r>
      <w:r>
        <w:rPr>
          <w:rFonts w:eastAsia="方正仿宋_GBK"/>
          <w:color w:val="000000"/>
          <w:sz w:val="24"/>
        </w:rPr>
        <w:t>1~2</w:t>
      </w:r>
      <w:r>
        <w:rPr>
          <w:rFonts w:hint="eastAsia" w:eastAsia="方正仿宋_GBK"/>
          <w:color w:val="000000"/>
          <w:sz w:val="24"/>
        </w:rPr>
        <w:t>年，原则上不超过</w:t>
      </w:r>
      <w:r>
        <w:rPr>
          <w:rFonts w:eastAsia="方正仿宋_GBK"/>
          <w:color w:val="000000"/>
          <w:sz w:val="24"/>
        </w:rPr>
        <w:t>2</w:t>
      </w:r>
      <w:r>
        <w:rPr>
          <w:rFonts w:hint="eastAsia" w:eastAsia="方正仿宋_GBK"/>
          <w:color w:val="000000"/>
          <w:sz w:val="24"/>
        </w:rPr>
        <w:t>年</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七</w:t>
      </w:r>
      <w:r>
        <w:rPr>
          <w:rFonts w:eastAsia="方正仿宋_GBK"/>
          <w:color w:val="000000"/>
          <w:sz w:val="24"/>
        </w:rPr>
        <w:t>)</w:t>
      </w:r>
      <w:r>
        <w:rPr>
          <w:rFonts w:hint="eastAsia" w:eastAsia="方正仿宋_GBK"/>
          <w:color w:val="000000"/>
          <w:sz w:val="24"/>
        </w:rPr>
        <w:t>申请资料必须齐全且在规定的受理期间内报送。</w:t>
      </w:r>
    </w:p>
    <w:p>
      <w:pPr>
        <w:spacing w:line="460" w:lineRule="exact"/>
        <w:ind w:firstLine="480" w:firstLineChars="200"/>
        <w:rPr>
          <w:rFonts w:eastAsia="方正仿宋_GBK"/>
          <w:color w:val="000000"/>
          <w:sz w:val="24"/>
        </w:rPr>
      </w:pPr>
      <w:r>
        <w:rPr>
          <w:rFonts w:hint="eastAsia" w:eastAsia="黑体"/>
          <w:color w:val="000000"/>
          <w:sz w:val="24"/>
        </w:rPr>
        <w:t>第九条</w:t>
      </w:r>
      <w:r>
        <w:rPr>
          <w:rFonts w:eastAsia="方正仿宋_GBK"/>
          <w:color w:val="000000"/>
          <w:sz w:val="24"/>
        </w:rPr>
        <w:t xml:space="preserve"> </w:t>
      </w:r>
      <w:r>
        <w:rPr>
          <w:rFonts w:hint="eastAsia" w:eastAsia="方正仿宋_GBK"/>
          <w:color w:val="000000"/>
          <w:sz w:val="24"/>
        </w:rPr>
        <w:t>申请单位应当根据</w:t>
      </w:r>
      <w:r>
        <w:rPr>
          <w:rFonts w:eastAsia="方正仿宋_GBK"/>
          <w:color w:val="000000"/>
          <w:sz w:val="24"/>
        </w:rPr>
        <w:t>“</w:t>
      </w:r>
      <w:r>
        <w:rPr>
          <w:rFonts w:hint="eastAsia" w:eastAsia="方正仿宋_GBK"/>
          <w:color w:val="000000"/>
          <w:sz w:val="24"/>
        </w:rPr>
        <w:t>项目指南</w:t>
      </w:r>
      <w:r>
        <w:rPr>
          <w:rFonts w:eastAsia="方正仿宋_GBK"/>
          <w:color w:val="000000"/>
          <w:sz w:val="24"/>
        </w:rPr>
        <w:t>”</w:t>
      </w:r>
      <w:r>
        <w:rPr>
          <w:rFonts w:hint="eastAsia" w:eastAsia="方正仿宋_GBK"/>
          <w:color w:val="000000"/>
          <w:sz w:val="24"/>
        </w:rPr>
        <w:t>及申报通知要求，如实填报《科技项目计划设计任务书》</w:t>
      </w:r>
      <w:r>
        <w:rPr>
          <w:rFonts w:eastAsia="方正仿宋_GBK"/>
          <w:color w:val="000000"/>
          <w:sz w:val="24"/>
        </w:rPr>
        <w:t>(</w:t>
      </w:r>
      <w:r>
        <w:rPr>
          <w:rFonts w:hint="eastAsia" w:eastAsia="方正仿宋_GBK"/>
          <w:color w:val="000000"/>
          <w:sz w:val="24"/>
        </w:rPr>
        <w:t>以下简称</w:t>
      </w:r>
      <w:r>
        <w:rPr>
          <w:rFonts w:eastAsia="方正仿宋_GBK"/>
          <w:color w:val="000000"/>
          <w:sz w:val="24"/>
        </w:rPr>
        <w:t>“</w:t>
      </w:r>
      <w:r>
        <w:rPr>
          <w:rFonts w:hint="eastAsia" w:eastAsia="方正仿宋_GBK"/>
          <w:color w:val="000000"/>
          <w:sz w:val="24"/>
        </w:rPr>
        <w:t>计划任务书</w:t>
      </w:r>
      <w:r>
        <w:rPr>
          <w:rFonts w:eastAsia="方正仿宋_GBK"/>
          <w:color w:val="000000"/>
          <w:sz w:val="24"/>
        </w:rPr>
        <w:t>”)</w:t>
      </w:r>
      <w:r>
        <w:rPr>
          <w:rFonts w:hint="eastAsia" w:eastAsia="方正仿宋_GBK"/>
          <w:color w:val="000000"/>
          <w:sz w:val="24"/>
        </w:rPr>
        <w:t>，由第一申请单位所在地设区的市有关主管局审查后送设区的市建设局</w:t>
      </w:r>
      <w:r>
        <w:rPr>
          <w:rFonts w:eastAsia="方正仿宋_GBK"/>
          <w:color w:val="000000"/>
          <w:sz w:val="24"/>
        </w:rPr>
        <w:t>(</w:t>
      </w:r>
      <w:r>
        <w:rPr>
          <w:rFonts w:hint="eastAsia" w:eastAsia="方正仿宋_GBK"/>
          <w:color w:val="000000"/>
          <w:sz w:val="24"/>
        </w:rPr>
        <w:t>建委</w:t>
      </w:r>
      <w:r>
        <w:rPr>
          <w:rFonts w:eastAsia="方正仿宋_GBK"/>
          <w:color w:val="000000"/>
          <w:sz w:val="24"/>
        </w:rPr>
        <w:t>)</w:t>
      </w:r>
      <w:r>
        <w:rPr>
          <w:rFonts w:hint="eastAsia" w:eastAsia="方正仿宋_GBK"/>
          <w:color w:val="000000"/>
          <w:sz w:val="24"/>
        </w:rPr>
        <w:t>汇总初审，集中申报。</w:t>
      </w:r>
    </w:p>
    <w:p>
      <w:pPr>
        <w:spacing w:line="460" w:lineRule="exact"/>
        <w:ind w:firstLine="480" w:firstLineChars="200"/>
        <w:rPr>
          <w:rFonts w:eastAsia="方正仿宋_GBK"/>
          <w:color w:val="000000"/>
          <w:sz w:val="24"/>
        </w:rPr>
      </w:pPr>
      <w:r>
        <w:rPr>
          <w:rFonts w:hint="eastAsia" w:eastAsia="方正仿宋_GBK"/>
          <w:color w:val="000000"/>
          <w:sz w:val="24"/>
        </w:rPr>
        <w:t>部属或者省属单位可以直接向省建设行政主管部门申报。</w:t>
      </w:r>
    </w:p>
    <w:p>
      <w:pPr>
        <w:spacing w:line="460" w:lineRule="exact"/>
        <w:ind w:firstLine="480" w:firstLineChars="200"/>
        <w:rPr>
          <w:rFonts w:eastAsia="方正仿宋_GBK"/>
          <w:color w:val="000000"/>
          <w:spacing w:val="-6"/>
          <w:sz w:val="24"/>
        </w:rPr>
      </w:pPr>
      <w:r>
        <w:rPr>
          <w:rFonts w:hint="eastAsia" w:eastAsia="黑体"/>
          <w:color w:val="000000"/>
          <w:sz w:val="24"/>
        </w:rPr>
        <w:t>第十条</w:t>
      </w:r>
      <w:r>
        <w:rPr>
          <w:rFonts w:eastAsia="方正仿宋_GBK"/>
          <w:color w:val="000000"/>
          <w:sz w:val="24"/>
        </w:rPr>
        <w:t xml:space="preserve"> </w:t>
      </w:r>
      <w:r>
        <w:rPr>
          <w:rFonts w:hint="eastAsia" w:eastAsia="方正仿宋_GBK"/>
          <w:color w:val="000000"/>
          <w:spacing w:val="-6"/>
          <w:sz w:val="24"/>
        </w:rPr>
        <w:t>申请项目受理后，由省建设行政主管部门组织技术和管理专家进行评审，提出计划项目建议方案，会省财政主管部门，审定下达年度项目计划及经费计划。</w:t>
      </w:r>
    </w:p>
    <w:p>
      <w:pPr>
        <w:spacing w:line="460" w:lineRule="exact"/>
        <w:ind w:firstLine="480" w:firstLineChars="200"/>
        <w:rPr>
          <w:rFonts w:eastAsia="方正仿宋_GBK"/>
          <w:color w:val="000000"/>
          <w:sz w:val="24"/>
        </w:rPr>
      </w:pPr>
      <w:r>
        <w:rPr>
          <w:rFonts w:hint="eastAsia" w:eastAsia="黑体"/>
          <w:color w:val="000000"/>
          <w:sz w:val="24"/>
        </w:rPr>
        <w:t>第十一条</w:t>
      </w:r>
      <w:r>
        <w:rPr>
          <w:rFonts w:eastAsia="方正仿宋_GBK"/>
          <w:color w:val="000000"/>
          <w:sz w:val="24"/>
        </w:rPr>
        <w:t xml:space="preserve"> </w:t>
      </w:r>
      <w:r>
        <w:rPr>
          <w:rFonts w:hint="eastAsia" w:eastAsia="方正仿宋_GBK"/>
          <w:color w:val="000000"/>
          <w:sz w:val="24"/>
        </w:rPr>
        <w:t>重大科技研究项目推行项目招投标，投标项目应当提供科技查新报告、项目研究可行性报告。</w:t>
      </w:r>
    </w:p>
    <w:p>
      <w:pPr>
        <w:spacing w:line="460" w:lineRule="exact"/>
        <w:ind w:firstLine="480" w:firstLineChars="200"/>
        <w:rPr>
          <w:rFonts w:eastAsia="方正仿宋_GBK"/>
          <w:color w:val="000000"/>
          <w:sz w:val="24"/>
        </w:rPr>
      </w:pPr>
    </w:p>
    <w:p>
      <w:pPr>
        <w:spacing w:line="460" w:lineRule="exact"/>
        <w:jc w:val="center"/>
        <w:rPr>
          <w:rFonts w:eastAsia="黑体"/>
          <w:color w:val="000000"/>
          <w:sz w:val="24"/>
        </w:rPr>
      </w:pPr>
      <w:r>
        <w:rPr>
          <w:rFonts w:hint="eastAsia" w:eastAsia="黑体"/>
          <w:color w:val="000000"/>
          <w:sz w:val="24"/>
        </w:rPr>
        <w:t>第四章</w:t>
      </w:r>
      <w:r>
        <w:rPr>
          <w:rFonts w:eastAsia="黑体"/>
          <w:color w:val="000000"/>
          <w:sz w:val="24"/>
        </w:rPr>
        <w:t xml:space="preserve">  </w:t>
      </w:r>
      <w:r>
        <w:rPr>
          <w:rFonts w:hint="eastAsia" w:eastAsia="黑体"/>
          <w:color w:val="000000"/>
          <w:sz w:val="24"/>
        </w:rPr>
        <w:t>计划项目的实施与管理</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r>
        <w:rPr>
          <w:rFonts w:hint="eastAsia" w:eastAsia="黑体"/>
          <w:color w:val="000000"/>
          <w:sz w:val="24"/>
        </w:rPr>
        <w:t>第十二条</w:t>
      </w:r>
      <w:r>
        <w:rPr>
          <w:rFonts w:eastAsia="方正仿宋_GBK"/>
          <w:color w:val="000000"/>
          <w:sz w:val="24"/>
        </w:rPr>
        <w:t xml:space="preserve"> </w:t>
      </w:r>
      <w:r>
        <w:rPr>
          <w:rFonts w:hint="eastAsia" w:eastAsia="方正仿宋_GBK"/>
          <w:color w:val="000000"/>
          <w:sz w:val="24"/>
        </w:rPr>
        <w:t>省建设科技项目计划下达后，项目承担单位及项目监督单位应当在规定的时间期限内与省建设行政主管部门签定《科技项目合同》</w:t>
      </w:r>
      <w:r>
        <w:rPr>
          <w:rFonts w:eastAsia="方正仿宋_GBK"/>
          <w:color w:val="000000"/>
          <w:sz w:val="24"/>
        </w:rPr>
        <w:t>(</w:t>
      </w:r>
      <w:r>
        <w:rPr>
          <w:rFonts w:hint="eastAsia" w:eastAsia="方正仿宋_GBK"/>
          <w:color w:val="000000"/>
          <w:sz w:val="24"/>
        </w:rPr>
        <w:t>以下简称</w:t>
      </w:r>
      <w:r>
        <w:rPr>
          <w:rFonts w:eastAsia="方正仿宋_GBK"/>
          <w:color w:val="000000"/>
          <w:sz w:val="24"/>
        </w:rPr>
        <w:t>“</w:t>
      </w:r>
      <w:r>
        <w:rPr>
          <w:rFonts w:hint="eastAsia" w:eastAsia="方正仿宋_GBK"/>
          <w:color w:val="000000"/>
          <w:sz w:val="24"/>
        </w:rPr>
        <w:t>合同</w:t>
      </w:r>
      <w:r>
        <w:rPr>
          <w:rFonts w:eastAsia="方正仿宋_GBK"/>
          <w:color w:val="000000"/>
          <w:sz w:val="24"/>
        </w:rPr>
        <w:t>”)</w:t>
      </w:r>
      <w:r>
        <w:rPr>
          <w:rFonts w:hint="eastAsia" w:eastAsia="方正仿宋_GBK"/>
          <w:color w:val="000000"/>
          <w:sz w:val="24"/>
        </w:rPr>
        <w:t>，明确研究开发任务和考核内容。无正当理由而逾期未签定合同的视为自动放弃。</w:t>
      </w:r>
    </w:p>
    <w:p>
      <w:pPr>
        <w:spacing w:line="460" w:lineRule="exact"/>
        <w:ind w:firstLine="480" w:firstLineChars="200"/>
        <w:rPr>
          <w:rFonts w:eastAsia="方正仿宋_GBK"/>
          <w:color w:val="000000"/>
          <w:sz w:val="24"/>
        </w:rPr>
      </w:pPr>
      <w:r>
        <w:rPr>
          <w:rFonts w:hint="eastAsia" w:eastAsia="黑体"/>
          <w:color w:val="000000"/>
          <w:sz w:val="24"/>
        </w:rPr>
        <w:t>第十三条</w:t>
      </w:r>
      <w:r>
        <w:rPr>
          <w:rFonts w:eastAsia="方正仿宋_GBK"/>
          <w:color w:val="000000"/>
          <w:sz w:val="24"/>
        </w:rPr>
        <w:t xml:space="preserve"> </w:t>
      </w:r>
      <w:r>
        <w:rPr>
          <w:rFonts w:hint="eastAsia" w:eastAsia="方正仿宋_GBK"/>
          <w:color w:val="000000"/>
          <w:sz w:val="24"/>
        </w:rPr>
        <w:t>项目监督单位为项目第一承担单位所在地设区的市建设局</w:t>
      </w:r>
      <w:r>
        <w:rPr>
          <w:rFonts w:eastAsia="方正仿宋_GBK"/>
          <w:color w:val="000000"/>
          <w:sz w:val="24"/>
        </w:rPr>
        <w:t>(</w:t>
      </w:r>
      <w:r>
        <w:rPr>
          <w:rFonts w:hint="eastAsia" w:eastAsia="方正仿宋_GBK"/>
          <w:color w:val="000000"/>
          <w:sz w:val="24"/>
        </w:rPr>
        <w:t>建委</w:t>
      </w:r>
      <w:r>
        <w:rPr>
          <w:rFonts w:eastAsia="方正仿宋_GBK"/>
          <w:color w:val="000000"/>
          <w:sz w:val="24"/>
        </w:rPr>
        <w:t>)</w:t>
      </w:r>
      <w:r>
        <w:rPr>
          <w:rFonts w:hint="eastAsia" w:eastAsia="方正仿宋_GBK"/>
          <w:color w:val="000000"/>
          <w:sz w:val="24"/>
        </w:rPr>
        <w:t>，高等院校的项目为院校科技管理部门。在项目执行过程中其职责是：</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一</w:t>
      </w:r>
      <w:r>
        <w:rPr>
          <w:rFonts w:eastAsia="方正仿宋_GBK"/>
          <w:color w:val="000000"/>
          <w:sz w:val="24"/>
        </w:rPr>
        <w:t>)</w:t>
      </w:r>
      <w:r>
        <w:rPr>
          <w:rFonts w:hint="eastAsia" w:eastAsia="方正仿宋_GBK"/>
          <w:color w:val="000000"/>
          <w:sz w:val="24"/>
        </w:rPr>
        <w:t>督促项目开题，审查实施方案并协调组织实施</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二</w:t>
      </w:r>
      <w:r>
        <w:rPr>
          <w:rFonts w:eastAsia="方正仿宋_GBK"/>
          <w:color w:val="000000"/>
          <w:sz w:val="24"/>
        </w:rPr>
        <w:t>)</w:t>
      </w:r>
      <w:r>
        <w:rPr>
          <w:rFonts w:hint="eastAsia" w:eastAsia="方正仿宋_GBK"/>
          <w:color w:val="000000"/>
          <w:sz w:val="24"/>
        </w:rPr>
        <w:t>协同省建设行政主管部门检查项目执行情况，协调解决执行中的有关问题</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三</w:t>
      </w:r>
      <w:r>
        <w:rPr>
          <w:rFonts w:eastAsia="方正仿宋_GBK"/>
          <w:color w:val="000000"/>
          <w:sz w:val="24"/>
        </w:rPr>
        <w:t>)</w:t>
      </w:r>
      <w:r>
        <w:rPr>
          <w:rFonts w:hint="eastAsia" w:eastAsia="方正仿宋_GBK"/>
          <w:color w:val="000000"/>
          <w:sz w:val="24"/>
        </w:rPr>
        <w:t>协助审查项目年度预算，负责监督资助经费使用</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四</w:t>
      </w:r>
      <w:r>
        <w:rPr>
          <w:rFonts w:eastAsia="方正仿宋_GBK"/>
          <w:color w:val="000000"/>
          <w:sz w:val="24"/>
        </w:rPr>
        <w:t>)</w:t>
      </w:r>
      <w:r>
        <w:rPr>
          <w:rFonts w:hint="eastAsia" w:eastAsia="方正仿宋_GBK"/>
          <w:color w:val="000000"/>
          <w:sz w:val="24"/>
        </w:rPr>
        <w:t>初步审查项目成果的技术研究报告、工作总结报告和经费决算报告。</w:t>
      </w:r>
    </w:p>
    <w:p>
      <w:pPr>
        <w:spacing w:line="460" w:lineRule="exact"/>
        <w:ind w:firstLine="480" w:firstLineChars="200"/>
        <w:rPr>
          <w:rFonts w:eastAsia="方正仿宋_GBK"/>
          <w:color w:val="000000"/>
          <w:sz w:val="24"/>
        </w:rPr>
      </w:pPr>
      <w:r>
        <w:rPr>
          <w:rFonts w:hint="eastAsia" w:eastAsia="黑体"/>
          <w:color w:val="000000"/>
          <w:sz w:val="24"/>
        </w:rPr>
        <w:t>第十四条</w:t>
      </w:r>
      <w:r>
        <w:rPr>
          <w:rFonts w:eastAsia="方正仿宋_GBK"/>
          <w:color w:val="000000"/>
          <w:sz w:val="24"/>
        </w:rPr>
        <w:t xml:space="preserve"> </w:t>
      </w:r>
      <w:r>
        <w:rPr>
          <w:rFonts w:hint="eastAsia" w:eastAsia="方正仿宋_GBK"/>
          <w:color w:val="000000"/>
          <w:sz w:val="24"/>
        </w:rPr>
        <w:t>计划项目承担单位的职责：</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一</w:t>
      </w:r>
      <w:r>
        <w:rPr>
          <w:rFonts w:eastAsia="方正仿宋_GBK"/>
          <w:color w:val="000000"/>
          <w:sz w:val="24"/>
        </w:rPr>
        <w:t>)</w:t>
      </w:r>
      <w:r>
        <w:rPr>
          <w:rFonts w:hint="eastAsia" w:eastAsia="方正仿宋_GBK"/>
          <w:color w:val="000000"/>
          <w:sz w:val="24"/>
        </w:rPr>
        <w:t>严格执行合同和计划任务书的规定，组织项目实施，建立项目管理档案，按规定的内容和进度完成目标任务</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二</w:t>
      </w:r>
      <w:r>
        <w:rPr>
          <w:rFonts w:eastAsia="方正仿宋_GBK"/>
          <w:color w:val="000000"/>
          <w:sz w:val="24"/>
        </w:rPr>
        <w:t>)</w:t>
      </w:r>
      <w:r>
        <w:rPr>
          <w:rFonts w:hint="eastAsia" w:eastAsia="方正仿宋_GBK"/>
          <w:color w:val="000000"/>
          <w:sz w:val="24"/>
        </w:rPr>
        <w:t>资助经费单独立帐核算，专款专用，不得挪作它用</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三</w:t>
      </w:r>
      <w:r>
        <w:rPr>
          <w:rFonts w:eastAsia="方正仿宋_GBK"/>
          <w:color w:val="000000"/>
          <w:sz w:val="24"/>
        </w:rPr>
        <w:t>)</w:t>
      </w:r>
      <w:r>
        <w:rPr>
          <w:rFonts w:hint="eastAsia" w:eastAsia="方正仿宋_GBK"/>
          <w:color w:val="000000"/>
          <w:sz w:val="24"/>
        </w:rPr>
        <w:t>定期报告项目执行情况和经费年度决算</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四</w:t>
      </w:r>
      <w:r>
        <w:rPr>
          <w:rFonts w:eastAsia="方正仿宋_GBK"/>
          <w:color w:val="000000"/>
          <w:sz w:val="24"/>
        </w:rPr>
        <w:t>)</w:t>
      </w:r>
      <w:r>
        <w:rPr>
          <w:rFonts w:hint="eastAsia" w:eastAsia="方正仿宋_GBK"/>
          <w:color w:val="000000"/>
          <w:sz w:val="24"/>
        </w:rPr>
        <w:t>接受省建设行政主管部门和项目监督单位的检查和监督</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五</w:t>
      </w:r>
      <w:r>
        <w:rPr>
          <w:rFonts w:eastAsia="方正仿宋_GBK"/>
          <w:color w:val="000000"/>
          <w:sz w:val="24"/>
        </w:rPr>
        <w:t>)</w:t>
      </w:r>
      <w:r>
        <w:rPr>
          <w:rFonts w:hint="eastAsia" w:eastAsia="方正仿宋_GBK"/>
          <w:color w:val="000000"/>
          <w:sz w:val="24"/>
        </w:rPr>
        <w:t>项目完成后，作出全面的工作总结，提交技术研究报告和经费结算报告，申请项目结题。</w:t>
      </w:r>
    </w:p>
    <w:p>
      <w:pPr>
        <w:spacing w:line="460" w:lineRule="exact"/>
        <w:ind w:firstLine="480" w:firstLineChars="200"/>
        <w:rPr>
          <w:rFonts w:eastAsia="方正仿宋_GBK"/>
          <w:color w:val="000000"/>
          <w:sz w:val="24"/>
        </w:rPr>
      </w:pPr>
      <w:r>
        <w:rPr>
          <w:rFonts w:hint="eastAsia" w:eastAsia="黑体"/>
          <w:color w:val="000000"/>
          <w:sz w:val="24"/>
        </w:rPr>
        <w:t>第十五条</w:t>
      </w:r>
      <w:r>
        <w:rPr>
          <w:rFonts w:eastAsia="方正仿宋_GBK"/>
          <w:color w:val="000000"/>
          <w:sz w:val="24"/>
        </w:rPr>
        <w:t xml:space="preserve"> </w:t>
      </w:r>
      <w:r>
        <w:rPr>
          <w:rFonts w:hint="eastAsia" w:eastAsia="方正仿宋_GBK"/>
          <w:color w:val="000000"/>
          <w:sz w:val="24"/>
        </w:rPr>
        <w:t>计划项目实施过程中，如需对合同中所列的研究目标、内容、进度、经费等进行调整，应当向项目监督单位提出申请。经项目监督单位审查并报省建设行政主管部门同意后，按调整后的计划和目标予以实施。</w:t>
      </w:r>
    </w:p>
    <w:p>
      <w:pPr>
        <w:spacing w:line="460" w:lineRule="exact"/>
        <w:ind w:firstLine="480" w:firstLineChars="200"/>
        <w:rPr>
          <w:rFonts w:eastAsia="方正仿宋_GBK"/>
          <w:color w:val="000000"/>
          <w:sz w:val="24"/>
        </w:rPr>
      </w:pPr>
      <w:r>
        <w:rPr>
          <w:rFonts w:hint="eastAsia" w:eastAsia="黑体"/>
          <w:color w:val="000000"/>
          <w:sz w:val="24"/>
        </w:rPr>
        <w:t>第十六条</w:t>
      </w:r>
      <w:r>
        <w:rPr>
          <w:rFonts w:eastAsia="方正仿宋_GBK"/>
          <w:color w:val="000000"/>
          <w:sz w:val="24"/>
        </w:rPr>
        <w:t xml:space="preserve"> </w:t>
      </w:r>
      <w:r>
        <w:rPr>
          <w:rFonts w:hint="eastAsia" w:eastAsia="方正仿宋_GBK"/>
          <w:color w:val="000000"/>
          <w:sz w:val="24"/>
        </w:rPr>
        <w:t>计划项目实行年度目标管理制度。项目承担单位每年年底应当将项目执行及进展情况，报省建设行政主管部门。计划项目的年度执行情况与下年度承担单位新申请项目及经费挂钩。</w:t>
      </w:r>
    </w:p>
    <w:p>
      <w:pPr>
        <w:spacing w:line="460" w:lineRule="exact"/>
        <w:ind w:firstLine="480" w:firstLineChars="200"/>
        <w:rPr>
          <w:rFonts w:eastAsia="方正仿宋_GBK"/>
          <w:color w:val="000000"/>
          <w:sz w:val="24"/>
        </w:rPr>
      </w:pPr>
      <w:r>
        <w:rPr>
          <w:rFonts w:hint="eastAsia" w:eastAsia="黑体"/>
          <w:color w:val="000000"/>
          <w:sz w:val="24"/>
        </w:rPr>
        <w:t>第十七条</w:t>
      </w:r>
      <w:r>
        <w:rPr>
          <w:rFonts w:eastAsia="方正仿宋_GBK"/>
          <w:color w:val="000000"/>
          <w:sz w:val="24"/>
        </w:rPr>
        <w:t xml:space="preserve"> </w:t>
      </w:r>
      <w:r>
        <w:rPr>
          <w:rFonts w:hint="eastAsia" w:eastAsia="方正仿宋_GBK"/>
          <w:color w:val="000000"/>
          <w:sz w:val="24"/>
        </w:rPr>
        <w:t>省建设行政主管部门根据当年计划项目立项情况，选择重大项目组织开题并开展动态跟踪，组织有关部门、专家对实施进度、经费使用及日常管理进行中期检查。</w:t>
      </w:r>
    </w:p>
    <w:p>
      <w:pPr>
        <w:spacing w:line="460" w:lineRule="exact"/>
        <w:ind w:firstLine="480" w:firstLineChars="200"/>
        <w:rPr>
          <w:rFonts w:eastAsia="方正仿宋_GBK"/>
          <w:color w:val="000000"/>
          <w:sz w:val="24"/>
        </w:rPr>
      </w:pPr>
      <w:r>
        <w:rPr>
          <w:rFonts w:hint="eastAsia" w:eastAsia="黑体"/>
          <w:color w:val="000000"/>
          <w:sz w:val="24"/>
        </w:rPr>
        <w:t>第十八条</w:t>
      </w:r>
      <w:r>
        <w:rPr>
          <w:rFonts w:eastAsia="方正仿宋_GBK"/>
          <w:color w:val="000000"/>
          <w:sz w:val="24"/>
        </w:rPr>
        <w:t xml:space="preserve"> </w:t>
      </w:r>
      <w:r>
        <w:rPr>
          <w:rFonts w:hint="eastAsia" w:eastAsia="方正仿宋_GBK"/>
          <w:color w:val="000000"/>
          <w:sz w:val="24"/>
        </w:rPr>
        <w:t>计划项目在实施过程中，当发现下列情况之一的，省建设行政主管部门可以中止、撤消计划项目：</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一</w:t>
      </w:r>
      <w:r>
        <w:rPr>
          <w:rFonts w:eastAsia="方正仿宋_GBK"/>
          <w:color w:val="000000"/>
          <w:sz w:val="24"/>
        </w:rPr>
        <w:t>)</w:t>
      </w:r>
      <w:r>
        <w:rPr>
          <w:rFonts w:hint="eastAsia" w:eastAsia="方正仿宋_GBK"/>
          <w:color w:val="000000"/>
          <w:sz w:val="24"/>
        </w:rPr>
        <w:t>经实践证明，所选技术路线不合理或者研究内容已无实用价值，或者国内已有相同或者更高水平同类科研成果的</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二</w:t>
      </w:r>
      <w:r>
        <w:rPr>
          <w:rFonts w:eastAsia="方正仿宋_GBK"/>
          <w:color w:val="000000"/>
          <w:sz w:val="24"/>
        </w:rPr>
        <w:t>)</w:t>
      </w:r>
      <w:r>
        <w:rPr>
          <w:rFonts w:hint="eastAsia" w:eastAsia="方正仿宋_GBK"/>
          <w:color w:val="000000"/>
          <w:sz w:val="24"/>
        </w:rPr>
        <w:t>项目知识产权不清晰，有严重知识产权纠纷或者侵权行为，经调解无效的</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三</w:t>
      </w:r>
      <w:r>
        <w:rPr>
          <w:rFonts w:eastAsia="方正仿宋_GBK"/>
          <w:color w:val="000000"/>
          <w:sz w:val="24"/>
        </w:rPr>
        <w:t>)</w:t>
      </w:r>
      <w:r>
        <w:rPr>
          <w:rFonts w:hint="eastAsia" w:eastAsia="方正仿宋_GBK"/>
          <w:color w:val="000000"/>
          <w:sz w:val="24"/>
        </w:rPr>
        <w:t>承担单位解体、组织管理松懈或者技术骨干配备发生重大变化，使项目无法进行的</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四</w:t>
      </w:r>
      <w:r>
        <w:rPr>
          <w:rFonts w:eastAsia="方正仿宋_GBK"/>
          <w:color w:val="000000"/>
          <w:sz w:val="24"/>
        </w:rPr>
        <w:t>)</w:t>
      </w:r>
      <w:r>
        <w:rPr>
          <w:rFonts w:hint="eastAsia" w:eastAsia="方正仿宋_GBK"/>
          <w:color w:val="000000"/>
          <w:sz w:val="24"/>
        </w:rPr>
        <w:t>项目经费</w:t>
      </w:r>
      <w:r>
        <w:rPr>
          <w:rFonts w:eastAsia="方正仿宋_GBK"/>
          <w:color w:val="000000"/>
          <w:sz w:val="24"/>
        </w:rPr>
        <w:t>(</w:t>
      </w:r>
      <w:r>
        <w:rPr>
          <w:rFonts w:hint="eastAsia" w:eastAsia="方正仿宋_GBK"/>
          <w:color w:val="000000"/>
          <w:sz w:val="24"/>
        </w:rPr>
        <w:t>拨款、贷款、自筹经费、外汇</w:t>
      </w:r>
      <w:r>
        <w:rPr>
          <w:rFonts w:eastAsia="方正仿宋_GBK"/>
          <w:color w:val="000000"/>
          <w:sz w:val="24"/>
        </w:rPr>
        <w:t>)</w:t>
      </w:r>
      <w:r>
        <w:rPr>
          <w:rFonts w:hint="eastAsia" w:eastAsia="方正仿宋_GBK"/>
          <w:color w:val="000000"/>
          <w:sz w:val="24"/>
        </w:rPr>
        <w:t>、设备材料等条件不能及时落实的，或者项目依托的基本建设、技术改造、技术引进或者协作合作关系发生变化而不落实的。</w:t>
      </w:r>
    </w:p>
    <w:p>
      <w:pPr>
        <w:spacing w:line="460" w:lineRule="exact"/>
        <w:ind w:firstLine="480" w:firstLineChars="200"/>
        <w:rPr>
          <w:rFonts w:eastAsia="方正仿宋_GBK"/>
          <w:color w:val="000000"/>
          <w:sz w:val="24"/>
        </w:rPr>
      </w:pPr>
      <w:r>
        <w:rPr>
          <w:rFonts w:hint="eastAsia" w:eastAsia="方正仿宋_GBK"/>
          <w:color w:val="000000"/>
          <w:sz w:val="24"/>
        </w:rPr>
        <w:t>中止、撤消的项目，其第一承担单位应当对经费使用和已开展的工作、购置的设备仪器、取得的成果等情况进行总结，并以书面形式报省建设行政主管部门。</w:t>
      </w:r>
    </w:p>
    <w:p>
      <w:pPr>
        <w:spacing w:line="460" w:lineRule="exact"/>
        <w:ind w:firstLine="480" w:firstLineChars="200"/>
        <w:rPr>
          <w:rFonts w:eastAsia="方正仿宋_GBK"/>
          <w:color w:val="000000"/>
          <w:sz w:val="24"/>
        </w:rPr>
      </w:pPr>
      <w:r>
        <w:rPr>
          <w:rFonts w:hint="eastAsia" w:eastAsia="黑体"/>
          <w:color w:val="000000"/>
          <w:sz w:val="24"/>
        </w:rPr>
        <w:t>第十九条</w:t>
      </w:r>
      <w:r>
        <w:rPr>
          <w:rFonts w:eastAsia="方正仿宋_GBK"/>
          <w:color w:val="000000"/>
          <w:sz w:val="24"/>
        </w:rPr>
        <w:t xml:space="preserve"> </w:t>
      </w:r>
      <w:r>
        <w:rPr>
          <w:rFonts w:hint="eastAsia" w:eastAsia="方正仿宋_GBK"/>
          <w:color w:val="000000"/>
          <w:sz w:val="24"/>
        </w:rPr>
        <w:t>计划项目下达后无故不完成的项目，或者被中止、撤消的项目，其承担单位应当如实作出经费决算，退还结余的资助经费的，并依法承担相应责任。</w:t>
      </w:r>
    </w:p>
    <w:p>
      <w:pPr>
        <w:spacing w:line="460" w:lineRule="exact"/>
        <w:ind w:firstLine="480" w:firstLineChars="200"/>
        <w:rPr>
          <w:rFonts w:eastAsia="方正仿宋_GBK"/>
          <w:color w:val="000000"/>
          <w:sz w:val="24"/>
        </w:rPr>
      </w:pPr>
      <w:r>
        <w:rPr>
          <w:rFonts w:hint="eastAsia" w:eastAsia="黑体"/>
          <w:color w:val="000000"/>
          <w:sz w:val="24"/>
        </w:rPr>
        <w:t>第二十条</w:t>
      </w:r>
      <w:r>
        <w:rPr>
          <w:rFonts w:eastAsia="方正仿宋_GBK"/>
          <w:color w:val="000000"/>
          <w:sz w:val="24"/>
        </w:rPr>
        <w:t xml:space="preserve"> </w:t>
      </w:r>
      <w:r>
        <w:rPr>
          <w:rFonts w:hint="eastAsia" w:eastAsia="方正仿宋_GBK"/>
          <w:color w:val="000000"/>
          <w:sz w:val="24"/>
        </w:rPr>
        <w:t>对延期一年以上而未按年度报告说明项目进展情况、无故不完成或者被强制中止撤消的项目，取消其第一承担单位五年内承担省建设科技计划项目的资格，并不予推荐其申请建设部和省科技计划项目。</w:t>
      </w:r>
    </w:p>
    <w:p>
      <w:pPr>
        <w:spacing w:line="460" w:lineRule="exact"/>
        <w:ind w:firstLine="480" w:firstLineChars="200"/>
        <w:rPr>
          <w:rFonts w:eastAsia="方正仿宋_GBK"/>
          <w:color w:val="000000"/>
          <w:sz w:val="24"/>
        </w:rPr>
      </w:pPr>
    </w:p>
    <w:p>
      <w:pPr>
        <w:spacing w:line="460" w:lineRule="exact"/>
        <w:jc w:val="center"/>
        <w:rPr>
          <w:rFonts w:eastAsia="黑体"/>
          <w:color w:val="000000"/>
          <w:sz w:val="24"/>
        </w:rPr>
      </w:pPr>
      <w:r>
        <w:rPr>
          <w:rFonts w:hint="eastAsia" w:eastAsia="黑体"/>
          <w:color w:val="000000"/>
          <w:sz w:val="24"/>
        </w:rPr>
        <w:t>第五章</w:t>
      </w:r>
      <w:r>
        <w:rPr>
          <w:rFonts w:eastAsia="黑体"/>
          <w:color w:val="000000"/>
          <w:sz w:val="24"/>
        </w:rPr>
        <w:t xml:space="preserve">  </w:t>
      </w:r>
      <w:r>
        <w:rPr>
          <w:rFonts w:hint="eastAsia" w:eastAsia="黑体"/>
          <w:color w:val="000000"/>
          <w:sz w:val="24"/>
        </w:rPr>
        <w:t>计划项目结题</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r>
        <w:rPr>
          <w:rFonts w:hint="eastAsia" w:eastAsia="黑体"/>
          <w:color w:val="000000"/>
          <w:sz w:val="24"/>
        </w:rPr>
        <w:t>第二十一条</w:t>
      </w:r>
      <w:r>
        <w:rPr>
          <w:rFonts w:eastAsia="方正仿宋_GBK"/>
          <w:color w:val="000000"/>
          <w:sz w:val="24"/>
        </w:rPr>
        <w:t xml:space="preserve"> </w:t>
      </w:r>
      <w:r>
        <w:rPr>
          <w:rFonts w:hint="eastAsia" w:eastAsia="方正仿宋_GBK"/>
          <w:color w:val="000000"/>
          <w:sz w:val="24"/>
        </w:rPr>
        <w:t>计划项目完成合同和计划任务书规定的目标及任务后，项目承担单位应当及时申请项目结题。</w:t>
      </w:r>
    </w:p>
    <w:p>
      <w:pPr>
        <w:spacing w:line="460" w:lineRule="exact"/>
        <w:ind w:firstLine="480" w:firstLineChars="200"/>
        <w:rPr>
          <w:rFonts w:eastAsia="方正仿宋_GBK"/>
          <w:color w:val="000000"/>
          <w:sz w:val="24"/>
        </w:rPr>
      </w:pPr>
      <w:r>
        <w:rPr>
          <w:rFonts w:hint="eastAsia" w:eastAsia="黑体"/>
          <w:color w:val="000000"/>
          <w:sz w:val="24"/>
        </w:rPr>
        <w:t>第二十二条</w:t>
      </w:r>
      <w:r>
        <w:rPr>
          <w:rFonts w:eastAsia="方正仿宋_GBK"/>
          <w:color w:val="000000"/>
          <w:sz w:val="24"/>
        </w:rPr>
        <w:t xml:space="preserve"> </w:t>
      </w:r>
      <w:r>
        <w:rPr>
          <w:rFonts w:hint="eastAsia" w:eastAsia="方正仿宋_GBK"/>
          <w:color w:val="000000"/>
          <w:sz w:val="24"/>
        </w:rPr>
        <w:t>计划项目结题应当提交以下形式研究成果：产品成品或者样品、软件及其应用系统、数据库系统、工程应用实例、论文以及技术标准</w:t>
      </w:r>
      <w:r>
        <w:rPr>
          <w:rFonts w:eastAsia="方正仿宋_GBK"/>
          <w:color w:val="000000"/>
          <w:sz w:val="24"/>
        </w:rPr>
        <w:t>(</w:t>
      </w:r>
      <w:r>
        <w:rPr>
          <w:rFonts w:hint="eastAsia" w:eastAsia="方正仿宋_GBK"/>
          <w:color w:val="000000"/>
          <w:sz w:val="24"/>
        </w:rPr>
        <w:t>或者规程、规范</w:t>
      </w:r>
      <w:r>
        <w:rPr>
          <w:rFonts w:eastAsia="方正仿宋_GBK"/>
          <w:color w:val="000000"/>
          <w:sz w:val="24"/>
        </w:rPr>
        <w:t>)</w:t>
      </w:r>
      <w:r>
        <w:rPr>
          <w:rFonts w:hint="eastAsia" w:eastAsia="方正仿宋_GBK"/>
          <w:color w:val="000000"/>
          <w:sz w:val="24"/>
        </w:rPr>
        <w:t>和标准设计图集等。</w:t>
      </w:r>
    </w:p>
    <w:p>
      <w:pPr>
        <w:spacing w:line="460" w:lineRule="exact"/>
        <w:ind w:firstLine="480" w:firstLineChars="200"/>
        <w:rPr>
          <w:rFonts w:eastAsia="方正仿宋_GBK"/>
          <w:color w:val="000000"/>
          <w:sz w:val="24"/>
        </w:rPr>
      </w:pPr>
      <w:r>
        <w:rPr>
          <w:rFonts w:hint="eastAsia" w:eastAsia="黑体"/>
          <w:color w:val="000000"/>
          <w:sz w:val="24"/>
        </w:rPr>
        <w:t>第二十三条</w:t>
      </w:r>
      <w:r>
        <w:rPr>
          <w:rFonts w:eastAsia="方正仿宋_GBK"/>
          <w:color w:val="000000"/>
          <w:sz w:val="24"/>
        </w:rPr>
        <w:t xml:space="preserve"> </w:t>
      </w:r>
      <w:r>
        <w:rPr>
          <w:rFonts w:hint="eastAsia" w:eastAsia="方正仿宋_GBK"/>
          <w:color w:val="000000"/>
          <w:sz w:val="24"/>
        </w:rPr>
        <w:t>计划项目结题分为总结、鉴定和验收三种方式。软课题研究项目采取总结评审方式结题</w:t>
      </w:r>
      <w:r>
        <w:rPr>
          <w:rFonts w:eastAsia="方正仿宋_GBK"/>
          <w:color w:val="000000"/>
          <w:sz w:val="24"/>
        </w:rPr>
        <w:t>;</w:t>
      </w:r>
      <w:r>
        <w:rPr>
          <w:rFonts w:hint="eastAsia" w:eastAsia="方正仿宋_GBK"/>
          <w:color w:val="000000"/>
          <w:sz w:val="24"/>
        </w:rPr>
        <w:t>科研攻关、技术开发、重点产品开发、有关专项项目采取成果鉴定方式结题</w:t>
      </w:r>
      <w:r>
        <w:rPr>
          <w:rFonts w:eastAsia="方正仿宋_GBK"/>
          <w:color w:val="000000"/>
          <w:sz w:val="24"/>
        </w:rPr>
        <w:t>;</w:t>
      </w:r>
      <w:r>
        <w:rPr>
          <w:rFonts w:hint="eastAsia" w:eastAsia="方正仿宋_GBK"/>
          <w:color w:val="000000"/>
          <w:sz w:val="24"/>
        </w:rPr>
        <w:t>重点推广技术项目、科技示范项目</w:t>
      </w:r>
      <w:r>
        <w:rPr>
          <w:rFonts w:eastAsia="方正仿宋_GBK"/>
          <w:color w:val="000000"/>
          <w:sz w:val="24"/>
        </w:rPr>
        <w:t>(</w:t>
      </w:r>
      <w:r>
        <w:rPr>
          <w:rFonts w:hint="eastAsia" w:eastAsia="方正仿宋_GBK"/>
          <w:color w:val="000000"/>
          <w:sz w:val="24"/>
        </w:rPr>
        <w:t>或者科技试点项目</w:t>
      </w:r>
      <w:r>
        <w:rPr>
          <w:rFonts w:eastAsia="方正仿宋_GBK"/>
          <w:color w:val="000000"/>
          <w:sz w:val="24"/>
        </w:rPr>
        <w:t>)</w:t>
      </w:r>
      <w:r>
        <w:rPr>
          <w:rFonts w:hint="eastAsia" w:eastAsia="方正仿宋_GBK"/>
          <w:color w:val="000000"/>
          <w:sz w:val="24"/>
        </w:rPr>
        <w:t>、产业化基地采取验收方式结题。</w:t>
      </w:r>
    </w:p>
    <w:p>
      <w:pPr>
        <w:spacing w:line="460" w:lineRule="exact"/>
        <w:ind w:firstLine="480" w:firstLineChars="200"/>
        <w:rPr>
          <w:rFonts w:eastAsia="方正仿宋_GBK"/>
          <w:color w:val="000000"/>
          <w:sz w:val="24"/>
        </w:rPr>
      </w:pPr>
      <w:r>
        <w:rPr>
          <w:rFonts w:hint="eastAsia" w:eastAsia="方正仿宋_GBK"/>
          <w:color w:val="000000"/>
          <w:sz w:val="24"/>
        </w:rPr>
        <w:t>应该采取鉴定或者验收方式结题的计划项目，在完成目标任务但尚不完全具备鉴定和验收条件的，经省建设行政主管部门审查批准后采取总结方式结题。</w:t>
      </w:r>
    </w:p>
    <w:p>
      <w:pPr>
        <w:spacing w:line="460" w:lineRule="exact"/>
        <w:ind w:firstLine="480" w:firstLineChars="200"/>
        <w:rPr>
          <w:rFonts w:eastAsia="方正仿宋_GBK"/>
          <w:color w:val="000000"/>
          <w:sz w:val="24"/>
        </w:rPr>
      </w:pPr>
      <w:r>
        <w:rPr>
          <w:rFonts w:hint="eastAsia" w:eastAsia="黑体"/>
          <w:color w:val="000000"/>
          <w:sz w:val="24"/>
        </w:rPr>
        <w:t>第二十四条</w:t>
      </w:r>
      <w:r>
        <w:rPr>
          <w:rFonts w:eastAsia="方正仿宋_GBK"/>
          <w:color w:val="000000"/>
          <w:sz w:val="24"/>
        </w:rPr>
        <w:t xml:space="preserve"> </w:t>
      </w:r>
      <w:r>
        <w:rPr>
          <w:rFonts w:hint="eastAsia" w:eastAsia="方正仿宋_GBK"/>
          <w:color w:val="000000"/>
          <w:sz w:val="24"/>
        </w:rPr>
        <w:t>申请成果鉴定、项目验收应当由项目承担单位编写鉴定和验收资料、资助经费决算，填写申请表格。申请程序同计划项目申请程序。</w:t>
      </w:r>
    </w:p>
    <w:p>
      <w:pPr>
        <w:spacing w:line="460" w:lineRule="exact"/>
        <w:ind w:firstLine="480" w:firstLineChars="200"/>
        <w:rPr>
          <w:rFonts w:eastAsia="方正仿宋_GBK"/>
          <w:color w:val="000000"/>
          <w:sz w:val="24"/>
        </w:rPr>
      </w:pPr>
      <w:r>
        <w:rPr>
          <w:rFonts w:hint="eastAsia" w:eastAsia="方正仿宋_GBK"/>
          <w:color w:val="000000"/>
          <w:sz w:val="24"/>
        </w:rPr>
        <w:t>省建设行政主管部门自申请受理之日起一周内审查申请材料，符合条件的，组织鉴定或者验收委员会对项目进行成果鉴定和项目验收。</w:t>
      </w:r>
    </w:p>
    <w:p>
      <w:pPr>
        <w:spacing w:line="460" w:lineRule="exact"/>
        <w:ind w:firstLine="480" w:firstLineChars="200"/>
        <w:rPr>
          <w:rFonts w:eastAsia="方正仿宋_GBK"/>
          <w:color w:val="000000"/>
          <w:sz w:val="24"/>
        </w:rPr>
      </w:pPr>
      <w:r>
        <w:rPr>
          <w:rFonts w:hint="eastAsia" w:eastAsia="黑体"/>
          <w:color w:val="000000"/>
          <w:sz w:val="24"/>
        </w:rPr>
        <w:t>第二十五条</w:t>
      </w:r>
      <w:r>
        <w:rPr>
          <w:rFonts w:eastAsia="方正仿宋_GBK"/>
          <w:color w:val="000000"/>
          <w:sz w:val="24"/>
        </w:rPr>
        <w:t xml:space="preserve"> </w:t>
      </w:r>
      <w:r>
        <w:rPr>
          <w:rFonts w:hint="eastAsia" w:eastAsia="方正仿宋_GBK"/>
          <w:color w:val="000000"/>
          <w:sz w:val="24"/>
        </w:rPr>
        <w:t>申请成果鉴定、项目验收应当具备以下条件：</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一</w:t>
      </w:r>
      <w:r>
        <w:rPr>
          <w:rFonts w:eastAsia="方正仿宋_GBK"/>
          <w:color w:val="000000"/>
          <w:sz w:val="24"/>
        </w:rPr>
        <w:t>)</w:t>
      </w:r>
      <w:r>
        <w:rPr>
          <w:rFonts w:hint="eastAsia" w:eastAsia="方正仿宋_GBK"/>
          <w:color w:val="000000"/>
          <w:sz w:val="24"/>
        </w:rPr>
        <w:t>已完成合同和计划设计任务书规定的任务，并有具体的研究成果形式</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二</w:t>
      </w:r>
      <w:r>
        <w:rPr>
          <w:rFonts w:eastAsia="方正仿宋_GBK"/>
          <w:color w:val="000000"/>
          <w:sz w:val="24"/>
        </w:rPr>
        <w:t>)</w:t>
      </w:r>
      <w:r>
        <w:rPr>
          <w:rFonts w:hint="eastAsia" w:eastAsia="方正仿宋_GBK"/>
          <w:color w:val="000000"/>
          <w:sz w:val="24"/>
        </w:rPr>
        <w:t>应用技术成果应当经实践证明达到成熟程度，并基本具备推广应用的条件</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三</w:t>
      </w:r>
      <w:r>
        <w:rPr>
          <w:rFonts w:eastAsia="方正仿宋_GBK"/>
          <w:color w:val="000000"/>
          <w:sz w:val="24"/>
        </w:rPr>
        <w:t>)</w:t>
      </w:r>
      <w:r>
        <w:rPr>
          <w:rFonts w:hint="eastAsia" w:eastAsia="方正仿宋_GBK"/>
          <w:color w:val="000000"/>
          <w:sz w:val="24"/>
        </w:rPr>
        <w:t>完成单位或者人员名次排列顺序和知识权属方面无争议。</w:t>
      </w:r>
    </w:p>
    <w:p>
      <w:pPr>
        <w:spacing w:line="460" w:lineRule="exact"/>
        <w:ind w:firstLine="480" w:firstLineChars="200"/>
        <w:rPr>
          <w:rFonts w:eastAsia="方正仿宋_GBK"/>
          <w:color w:val="000000"/>
          <w:sz w:val="24"/>
        </w:rPr>
      </w:pPr>
      <w:r>
        <w:rPr>
          <w:rFonts w:hint="eastAsia" w:eastAsia="黑体"/>
          <w:color w:val="000000"/>
          <w:sz w:val="24"/>
        </w:rPr>
        <w:t>第二十六条</w:t>
      </w:r>
      <w:r>
        <w:rPr>
          <w:rFonts w:eastAsia="方正仿宋_GBK"/>
          <w:color w:val="000000"/>
          <w:sz w:val="24"/>
        </w:rPr>
        <w:t xml:space="preserve"> </w:t>
      </w:r>
      <w:r>
        <w:rPr>
          <w:rFonts w:hint="eastAsia" w:eastAsia="方正仿宋_GBK"/>
          <w:color w:val="000000"/>
          <w:sz w:val="24"/>
        </w:rPr>
        <w:t>科技成果鉴定资料必须真实可靠，并打印装订整齐、符合科技档案管理部门的要求，应当包括：</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一</w:t>
      </w:r>
      <w:r>
        <w:rPr>
          <w:rFonts w:eastAsia="方正仿宋_GBK"/>
          <w:color w:val="000000"/>
          <w:sz w:val="24"/>
        </w:rPr>
        <w:t>)</w:t>
      </w:r>
      <w:r>
        <w:rPr>
          <w:rFonts w:hint="eastAsia" w:eastAsia="方正仿宋_GBK"/>
          <w:color w:val="000000"/>
          <w:sz w:val="24"/>
        </w:rPr>
        <w:t>《科技成果鉴定申请表》</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二</w:t>
      </w:r>
      <w:r>
        <w:rPr>
          <w:rFonts w:eastAsia="方正仿宋_GBK"/>
          <w:color w:val="000000"/>
          <w:sz w:val="24"/>
        </w:rPr>
        <w:t>)</w:t>
      </w:r>
      <w:r>
        <w:rPr>
          <w:rFonts w:hint="eastAsia" w:eastAsia="方正仿宋_GBK"/>
          <w:color w:val="000000"/>
          <w:sz w:val="24"/>
        </w:rPr>
        <w:t>计划任务书、合同、计划项目批准文件</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三</w:t>
      </w:r>
      <w:r>
        <w:rPr>
          <w:rFonts w:eastAsia="方正仿宋_GBK"/>
          <w:color w:val="000000"/>
          <w:sz w:val="24"/>
        </w:rPr>
        <w:t>)</w:t>
      </w:r>
      <w:r>
        <w:rPr>
          <w:rFonts w:hint="eastAsia" w:eastAsia="方正仿宋_GBK"/>
          <w:color w:val="000000"/>
          <w:sz w:val="24"/>
        </w:rPr>
        <w:t>项目研究开发工作总结报告和技术研究报告</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四</w:t>
      </w:r>
      <w:r>
        <w:rPr>
          <w:rFonts w:eastAsia="方正仿宋_GBK"/>
          <w:color w:val="000000"/>
          <w:sz w:val="24"/>
        </w:rPr>
        <w:t>)</w:t>
      </w:r>
      <w:r>
        <w:rPr>
          <w:rFonts w:hint="eastAsia" w:eastAsia="方正仿宋_GBK"/>
          <w:color w:val="000000"/>
          <w:sz w:val="24"/>
        </w:rPr>
        <w:t>科技新产品检测报告、软件系统测试报告</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五</w:t>
      </w:r>
      <w:r>
        <w:rPr>
          <w:rFonts w:eastAsia="方正仿宋_GBK"/>
          <w:color w:val="000000"/>
          <w:sz w:val="24"/>
        </w:rPr>
        <w:t>)</w:t>
      </w:r>
      <w:r>
        <w:rPr>
          <w:rFonts w:hint="eastAsia" w:eastAsia="方正仿宋_GBK"/>
          <w:color w:val="000000"/>
          <w:sz w:val="24"/>
        </w:rPr>
        <w:t>科技新产品生产质量保证体系、企业标准及标准化分析报告</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六</w:t>
      </w:r>
      <w:r>
        <w:rPr>
          <w:rFonts w:eastAsia="方正仿宋_GBK"/>
          <w:color w:val="000000"/>
          <w:sz w:val="24"/>
        </w:rPr>
        <w:t>)</w:t>
      </w:r>
      <w:r>
        <w:rPr>
          <w:rFonts w:hint="eastAsia" w:eastAsia="方正仿宋_GBK"/>
          <w:color w:val="000000"/>
          <w:sz w:val="24"/>
        </w:rPr>
        <w:t>重大科技成果还必须提供科技项目查新报告、专利证书等</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七</w:t>
      </w:r>
      <w:r>
        <w:rPr>
          <w:rFonts w:eastAsia="方正仿宋_GBK"/>
          <w:color w:val="000000"/>
          <w:sz w:val="24"/>
        </w:rPr>
        <w:t>)</w:t>
      </w:r>
      <w:r>
        <w:rPr>
          <w:rFonts w:hint="eastAsia" w:eastAsia="方正仿宋_GBK"/>
          <w:color w:val="000000"/>
          <w:sz w:val="24"/>
        </w:rPr>
        <w:t>应用实例和用户使用意见</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八</w:t>
      </w:r>
      <w:r>
        <w:rPr>
          <w:rFonts w:eastAsia="方正仿宋_GBK"/>
          <w:color w:val="000000"/>
          <w:sz w:val="24"/>
        </w:rPr>
        <w:t>)</w:t>
      </w:r>
      <w:r>
        <w:rPr>
          <w:rFonts w:hint="eastAsia" w:eastAsia="方正仿宋_GBK"/>
          <w:color w:val="000000"/>
          <w:sz w:val="24"/>
        </w:rPr>
        <w:t>技术经济分析报告、社会效益分析报告及证明材料</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九</w:t>
      </w:r>
      <w:r>
        <w:rPr>
          <w:rFonts w:eastAsia="方正仿宋_GBK"/>
          <w:color w:val="000000"/>
          <w:sz w:val="24"/>
        </w:rPr>
        <w:t>)</w:t>
      </w:r>
      <w:r>
        <w:rPr>
          <w:rFonts w:hint="eastAsia" w:eastAsia="方正仿宋_GBK"/>
          <w:color w:val="000000"/>
          <w:sz w:val="24"/>
        </w:rPr>
        <w:t>涉及环保、卫生和劳动安全的科技成果，还必须出具有权机构出具的检验报告或者证明</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十</w:t>
      </w:r>
      <w:r>
        <w:rPr>
          <w:rFonts w:eastAsia="方正仿宋_GBK"/>
          <w:color w:val="000000"/>
          <w:sz w:val="24"/>
        </w:rPr>
        <w:t>)</w:t>
      </w:r>
      <w:r>
        <w:rPr>
          <w:rFonts w:hint="eastAsia" w:eastAsia="方正仿宋_GBK"/>
          <w:color w:val="000000"/>
          <w:sz w:val="24"/>
        </w:rPr>
        <w:t>技术成果应用说明书、用户手册、施工安装手册等</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十一</w:t>
      </w:r>
      <w:r>
        <w:rPr>
          <w:rFonts w:eastAsia="方正仿宋_GBK"/>
          <w:color w:val="000000"/>
          <w:sz w:val="24"/>
        </w:rPr>
        <w:t>)</w:t>
      </w:r>
      <w:r>
        <w:rPr>
          <w:rFonts w:hint="eastAsia" w:eastAsia="方正仿宋_GBK"/>
          <w:color w:val="000000"/>
          <w:sz w:val="24"/>
        </w:rPr>
        <w:t>指令性计划项目还必须提供项目经费决算等财务报表或者审计报告。</w:t>
      </w:r>
    </w:p>
    <w:p>
      <w:pPr>
        <w:spacing w:line="460" w:lineRule="exact"/>
        <w:ind w:firstLine="480" w:firstLineChars="200"/>
        <w:rPr>
          <w:rFonts w:eastAsia="方正仿宋_GBK"/>
          <w:color w:val="000000"/>
          <w:sz w:val="24"/>
        </w:rPr>
      </w:pPr>
      <w:r>
        <w:rPr>
          <w:rFonts w:hint="eastAsia" w:eastAsia="黑体"/>
          <w:color w:val="000000"/>
          <w:sz w:val="24"/>
        </w:rPr>
        <w:t>第二十七条</w:t>
      </w:r>
      <w:r>
        <w:rPr>
          <w:rFonts w:eastAsia="方正仿宋_GBK"/>
          <w:color w:val="000000"/>
          <w:sz w:val="24"/>
        </w:rPr>
        <w:t xml:space="preserve"> </w:t>
      </w:r>
      <w:r>
        <w:rPr>
          <w:rFonts w:hint="eastAsia" w:eastAsia="方正仿宋_GBK"/>
          <w:color w:val="000000"/>
          <w:sz w:val="24"/>
        </w:rPr>
        <w:t>项目验收以批准的合同以及计划任务书约定的内容和考核目标为基本依据，对项目所产生的科技成果、应用效果以及攻克关键技术的方案和效果、知识产权的形式和管理、项目实施的组织管理经验和教训、科技人才队伍、经费使用合理性等作出客观、实事求是的评价。</w:t>
      </w:r>
    </w:p>
    <w:p>
      <w:pPr>
        <w:spacing w:line="460" w:lineRule="exact"/>
        <w:ind w:firstLine="480" w:firstLineChars="200"/>
        <w:rPr>
          <w:rFonts w:eastAsia="方正仿宋_GBK"/>
          <w:color w:val="000000"/>
          <w:sz w:val="24"/>
        </w:rPr>
      </w:pPr>
      <w:r>
        <w:rPr>
          <w:rFonts w:hint="eastAsia" w:eastAsia="黑体"/>
          <w:color w:val="000000"/>
          <w:sz w:val="24"/>
        </w:rPr>
        <w:t>第二十八条</w:t>
      </w:r>
      <w:r>
        <w:rPr>
          <w:rFonts w:eastAsia="方正仿宋_GBK"/>
          <w:color w:val="000000"/>
          <w:sz w:val="24"/>
        </w:rPr>
        <w:t xml:space="preserve"> </w:t>
      </w:r>
      <w:r>
        <w:rPr>
          <w:rFonts w:hint="eastAsia" w:eastAsia="方正仿宋_GBK"/>
          <w:color w:val="000000"/>
          <w:sz w:val="24"/>
        </w:rPr>
        <w:t>项目验收一般在完成项目成果鉴定或者专家客观评价基础上进行。验收前，可以对项目成果或者其中某项关键技术成果申请鉴定，成果鉴定完成后再行申请组织验收。</w:t>
      </w:r>
    </w:p>
    <w:p>
      <w:pPr>
        <w:spacing w:line="460" w:lineRule="exact"/>
        <w:ind w:firstLine="480" w:firstLineChars="200"/>
        <w:rPr>
          <w:rFonts w:eastAsia="方正仿宋_GBK"/>
          <w:color w:val="000000"/>
          <w:sz w:val="24"/>
        </w:rPr>
      </w:pPr>
      <w:r>
        <w:rPr>
          <w:rFonts w:hint="eastAsia" w:eastAsia="黑体"/>
          <w:color w:val="000000"/>
          <w:sz w:val="24"/>
        </w:rPr>
        <w:t>第二十九条</w:t>
      </w:r>
      <w:r>
        <w:rPr>
          <w:rFonts w:eastAsia="方正仿宋_GBK"/>
          <w:color w:val="000000"/>
          <w:sz w:val="24"/>
        </w:rPr>
        <w:t xml:space="preserve"> </w:t>
      </w:r>
      <w:r>
        <w:rPr>
          <w:rFonts w:hint="eastAsia" w:eastAsia="方正仿宋_GBK"/>
          <w:color w:val="000000"/>
          <w:sz w:val="24"/>
        </w:rPr>
        <w:t>项目验收资料应当参照科技成果鉴定的有关内容，还必须提供：</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一</w:t>
      </w:r>
      <w:r>
        <w:rPr>
          <w:rFonts w:eastAsia="方正仿宋_GBK"/>
          <w:color w:val="000000"/>
          <w:sz w:val="24"/>
        </w:rPr>
        <w:t>)</w:t>
      </w:r>
      <w:r>
        <w:rPr>
          <w:rFonts w:hint="eastAsia" w:eastAsia="方正仿宋_GBK"/>
          <w:color w:val="000000"/>
          <w:sz w:val="24"/>
        </w:rPr>
        <w:t>《科学技术项目验收申请书》</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二</w:t>
      </w:r>
      <w:r>
        <w:rPr>
          <w:rFonts w:eastAsia="方正仿宋_GBK"/>
          <w:color w:val="000000"/>
          <w:sz w:val="24"/>
        </w:rPr>
        <w:t>)</w:t>
      </w:r>
      <w:r>
        <w:rPr>
          <w:rFonts w:hint="eastAsia" w:eastAsia="方正仿宋_GBK"/>
          <w:color w:val="000000"/>
          <w:sz w:val="24"/>
        </w:rPr>
        <w:t>项目成果或者项目关键技术成果鉴定证书或者专家客观评价报告</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三</w:t>
      </w:r>
      <w:r>
        <w:rPr>
          <w:rFonts w:eastAsia="方正仿宋_GBK"/>
          <w:color w:val="000000"/>
          <w:sz w:val="24"/>
        </w:rPr>
        <w:t>)</w:t>
      </w:r>
      <w:r>
        <w:rPr>
          <w:rFonts w:hint="eastAsia" w:eastAsia="方正仿宋_GBK"/>
          <w:color w:val="000000"/>
          <w:sz w:val="24"/>
        </w:rPr>
        <w:t>项目成果初步转化、产业化情况报告及中试基地、示范点情况报告</w:t>
      </w:r>
      <w:r>
        <w:rPr>
          <w:rFonts w:eastAsia="方正仿宋_GBK"/>
          <w:color w:val="000000"/>
          <w:sz w:val="24"/>
        </w:rPr>
        <w:t>;</w:t>
      </w:r>
    </w:p>
    <w:p>
      <w:pPr>
        <w:spacing w:line="460" w:lineRule="exact"/>
        <w:ind w:firstLine="480" w:firstLineChars="200"/>
        <w:rPr>
          <w:rFonts w:eastAsia="方正仿宋_GBK"/>
          <w:color w:val="000000"/>
          <w:sz w:val="24"/>
        </w:rPr>
      </w:pPr>
      <w:r>
        <w:rPr>
          <w:rFonts w:eastAsia="方正仿宋_GBK"/>
          <w:color w:val="000000"/>
          <w:sz w:val="24"/>
        </w:rPr>
        <w:t>(</w:t>
      </w:r>
      <w:r>
        <w:rPr>
          <w:rFonts w:hint="eastAsia" w:eastAsia="方正仿宋_GBK"/>
          <w:color w:val="000000"/>
          <w:sz w:val="24"/>
        </w:rPr>
        <w:t>四</w:t>
      </w:r>
      <w:r>
        <w:rPr>
          <w:rFonts w:eastAsia="方正仿宋_GBK"/>
          <w:color w:val="000000"/>
          <w:sz w:val="24"/>
        </w:rPr>
        <w:t>)</w:t>
      </w:r>
      <w:r>
        <w:rPr>
          <w:rFonts w:hint="eastAsia" w:eastAsia="方正仿宋_GBK"/>
          <w:color w:val="000000"/>
          <w:sz w:val="24"/>
        </w:rPr>
        <w:t>利用资助经费购置的仪器、设备等固定资产清单。</w:t>
      </w:r>
    </w:p>
    <w:p>
      <w:pPr>
        <w:spacing w:line="460" w:lineRule="exact"/>
        <w:ind w:firstLine="480" w:firstLineChars="200"/>
        <w:rPr>
          <w:rFonts w:eastAsia="方正仿宋_GBK"/>
          <w:color w:val="000000"/>
          <w:sz w:val="24"/>
        </w:rPr>
      </w:pPr>
      <w:r>
        <w:rPr>
          <w:rFonts w:hint="eastAsia" w:eastAsia="黑体"/>
          <w:color w:val="000000"/>
          <w:sz w:val="24"/>
        </w:rPr>
        <w:t>第三十条</w:t>
      </w:r>
      <w:r>
        <w:rPr>
          <w:rFonts w:eastAsia="方正仿宋_GBK"/>
          <w:color w:val="000000"/>
          <w:sz w:val="24"/>
        </w:rPr>
        <w:t xml:space="preserve"> </w:t>
      </w:r>
      <w:r>
        <w:rPr>
          <w:rFonts w:hint="eastAsia" w:eastAsia="方正仿宋_GBK"/>
          <w:color w:val="000000"/>
          <w:sz w:val="24"/>
        </w:rPr>
        <w:t>鉴定委员会和验收专家委员会原则上为</w:t>
      </w:r>
      <w:r>
        <w:rPr>
          <w:rFonts w:eastAsia="方正仿宋_GBK"/>
          <w:color w:val="000000"/>
          <w:sz w:val="24"/>
        </w:rPr>
        <w:t>7</w:t>
      </w:r>
      <w:r>
        <w:rPr>
          <w:rFonts w:hint="eastAsia" w:eastAsia="方正仿宋_GBK"/>
          <w:color w:val="000000"/>
          <w:sz w:val="24"/>
        </w:rPr>
        <w:t>人以上</w:t>
      </w:r>
      <w:r>
        <w:rPr>
          <w:rFonts w:eastAsia="方正仿宋_GBK"/>
          <w:color w:val="000000"/>
          <w:sz w:val="24"/>
        </w:rPr>
        <w:t>(</w:t>
      </w:r>
      <w:r>
        <w:rPr>
          <w:rFonts w:hint="eastAsia" w:eastAsia="方正仿宋_GBK"/>
          <w:color w:val="000000"/>
          <w:sz w:val="24"/>
        </w:rPr>
        <w:t>含</w:t>
      </w:r>
      <w:r>
        <w:rPr>
          <w:rFonts w:eastAsia="方正仿宋_GBK"/>
          <w:color w:val="000000"/>
          <w:sz w:val="24"/>
        </w:rPr>
        <w:t>7</w:t>
      </w:r>
      <w:r>
        <w:rPr>
          <w:rFonts w:hint="eastAsia" w:eastAsia="方正仿宋_GBK"/>
          <w:color w:val="000000"/>
          <w:sz w:val="24"/>
        </w:rPr>
        <w:t>人，一般为单数</w:t>
      </w:r>
      <w:r>
        <w:rPr>
          <w:rFonts w:eastAsia="方正仿宋_GBK"/>
          <w:color w:val="000000"/>
          <w:sz w:val="24"/>
        </w:rPr>
        <w:t>)</w:t>
      </w:r>
      <w:r>
        <w:rPr>
          <w:rFonts w:hint="eastAsia" w:eastAsia="方正仿宋_GBK"/>
          <w:color w:val="000000"/>
          <w:sz w:val="24"/>
        </w:rPr>
        <w:t>专家组成。专家应当具备相关专业副高以上技术专业职称。省内具有较高知名度的中青年专家可以占委员会成员的三分之一。参加鉴定、验收的单位和人员应当采取回避制度。</w:t>
      </w:r>
    </w:p>
    <w:p>
      <w:pPr>
        <w:spacing w:line="460" w:lineRule="exact"/>
        <w:ind w:firstLine="480" w:firstLineChars="200"/>
        <w:rPr>
          <w:rFonts w:eastAsia="方正仿宋_GBK"/>
          <w:color w:val="000000"/>
          <w:sz w:val="24"/>
        </w:rPr>
      </w:pPr>
      <w:r>
        <w:rPr>
          <w:rFonts w:hint="eastAsia" w:eastAsia="黑体"/>
          <w:color w:val="000000"/>
          <w:sz w:val="24"/>
        </w:rPr>
        <w:t>第三十一条</w:t>
      </w:r>
      <w:r>
        <w:rPr>
          <w:rFonts w:eastAsia="方正仿宋_GBK"/>
          <w:color w:val="000000"/>
          <w:sz w:val="24"/>
        </w:rPr>
        <w:t xml:space="preserve"> </w:t>
      </w:r>
      <w:r>
        <w:rPr>
          <w:rFonts w:hint="eastAsia" w:eastAsia="方正仿宋_GBK"/>
          <w:color w:val="000000"/>
          <w:sz w:val="24"/>
        </w:rPr>
        <w:t>科技成果鉴定、科技项目验收通过后，由省建设行政主管部门分别颁发《科学技术成果鉴定证书》、《科学技术项目验收合格证书》。科技成果鉴定应当同时办理科技成果登记手续，由省建设行政主管部门定期集中送达省科技行政主管部门。</w:t>
      </w:r>
    </w:p>
    <w:p>
      <w:pPr>
        <w:spacing w:line="460" w:lineRule="exact"/>
        <w:ind w:firstLine="480" w:firstLineChars="200"/>
        <w:rPr>
          <w:rFonts w:eastAsia="方正仿宋_GBK"/>
          <w:color w:val="000000"/>
          <w:sz w:val="24"/>
        </w:rPr>
      </w:pPr>
      <w:r>
        <w:rPr>
          <w:rFonts w:hint="eastAsia" w:eastAsia="黑体"/>
          <w:color w:val="000000"/>
          <w:sz w:val="24"/>
        </w:rPr>
        <w:t>第三十二条</w:t>
      </w:r>
      <w:r>
        <w:rPr>
          <w:rFonts w:eastAsia="方正仿宋_GBK"/>
          <w:color w:val="000000"/>
          <w:sz w:val="24"/>
        </w:rPr>
        <w:t xml:space="preserve"> </w:t>
      </w:r>
      <w:r>
        <w:rPr>
          <w:rFonts w:hint="eastAsia" w:eastAsia="方正仿宋_GBK"/>
          <w:color w:val="000000"/>
          <w:sz w:val="24"/>
        </w:rPr>
        <w:t>各单位自行研究开发的具备较大技术创新和效益、在我省建设领域有较大影响的科研项目成果，可以参照本细则申请省建设主管部门组织的科技成果鉴定。</w:t>
      </w:r>
    </w:p>
    <w:p>
      <w:pPr>
        <w:spacing w:line="460" w:lineRule="exact"/>
        <w:ind w:firstLine="480" w:firstLineChars="200"/>
        <w:rPr>
          <w:rFonts w:eastAsia="方正仿宋_GBK"/>
          <w:color w:val="000000"/>
          <w:sz w:val="24"/>
        </w:rPr>
      </w:pPr>
      <w:r>
        <w:rPr>
          <w:rFonts w:hint="eastAsia" w:eastAsia="方正仿宋_GBK"/>
          <w:color w:val="000000"/>
          <w:sz w:val="24"/>
        </w:rPr>
        <w:t>各单位自行研究的已有国家标准的建设科技新产品研发成果，不再组织鉴定。研发单位要求组织应用技术水平评价的，由研发单位报请省建设行政主管部门组织科技成果评估，评估参照《建设部科技成果评估工作管理暂行办法》执行。</w:t>
      </w:r>
    </w:p>
    <w:p>
      <w:pPr>
        <w:spacing w:line="460" w:lineRule="exact"/>
        <w:ind w:firstLine="480" w:firstLineChars="200"/>
        <w:rPr>
          <w:rFonts w:eastAsia="方正仿宋_GBK"/>
          <w:color w:val="000000"/>
          <w:sz w:val="24"/>
        </w:rPr>
      </w:pPr>
    </w:p>
    <w:p>
      <w:pPr>
        <w:spacing w:line="460" w:lineRule="exact"/>
        <w:jc w:val="center"/>
        <w:rPr>
          <w:rFonts w:eastAsia="黑体"/>
          <w:color w:val="000000"/>
          <w:sz w:val="24"/>
        </w:rPr>
      </w:pPr>
      <w:r>
        <w:rPr>
          <w:rFonts w:hint="eastAsia" w:eastAsia="黑体"/>
          <w:color w:val="000000"/>
          <w:sz w:val="24"/>
        </w:rPr>
        <w:t>第六章</w:t>
      </w:r>
      <w:r>
        <w:rPr>
          <w:rFonts w:eastAsia="黑体"/>
          <w:color w:val="000000"/>
          <w:sz w:val="24"/>
        </w:rPr>
        <w:t xml:space="preserve">  </w:t>
      </w:r>
      <w:r>
        <w:rPr>
          <w:rFonts w:hint="eastAsia" w:eastAsia="黑体"/>
          <w:color w:val="000000"/>
          <w:sz w:val="24"/>
        </w:rPr>
        <w:t>附</w:t>
      </w:r>
      <w:r>
        <w:rPr>
          <w:rFonts w:eastAsia="黑体"/>
          <w:color w:val="000000"/>
          <w:sz w:val="24"/>
        </w:rPr>
        <w:t xml:space="preserve"> </w:t>
      </w:r>
      <w:r>
        <w:rPr>
          <w:rFonts w:hint="eastAsia" w:eastAsia="黑体"/>
          <w:color w:val="000000"/>
          <w:sz w:val="24"/>
        </w:rPr>
        <w:t>则</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r>
        <w:rPr>
          <w:rFonts w:hint="eastAsia" w:eastAsia="黑体"/>
          <w:color w:val="000000"/>
          <w:sz w:val="24"/>
        </w:rPr>
        <w:t>第三十三条</w:t>
      </w:r>
      <w:r>
        <w:rPr>
          <w:rFonts w:eastAsia="方正仿宋_GBK"/>
          <w:color w:val="000000"/>
          <w:sz w:val="24"/>
        </w:rPr>
        <w:t xml:space="preserve"> </w:t>
      </w:r>
      <w:r>
        <w:rPr>
          <w:rFonts w:hint="eastAsia" w:eastAsia="方正仿宋_GBK"/>
          <w:color w:val="000000"/>
          <w:sz w:val="24"/>
        </w:rPr>
        <w:t>本细则自公布之日起执行。原江苏省建设委员会发布的《江苏省建设系统科技项目管理办法</w:t>
      </w:r>
      <w:r>
        <w:rPr>
          <w:rFonts w:eastAsia="方正仿宋_GBK"/>
          <w:color w:val="000000"/>
          <w:sz w:val="24"/>
        </w:rPr>
        <w:t>(</w:t>
      </w:r>
      <w:r>
        <w:rPr>
          <w:rFonts w:hint="eastAsia" w:eastAsia="方正仿宋_GBK"/>
          <w:color w:val="000000"/>
          <w:sz w:val="24"/>
        </w:rPr>
        <w:t>试行</w:t>
      </w:r>
      <w:r>
        <w:rPr>
          <w:rFonts w:eastAsia="方正仿宋_GBK"/>
          <w:color w:val="000000"/>
          <w:sz w:val="24"/>
        </w:rPr>
        <w:t>)</w:t>
      </w:r>
      <w:r>
        <w:rPr>
          <w:rFonts w:hint="eastAsia" w:eastAsia="方正仿宋_GBK"/>
          <w:color w:val="000000"/>
          <w:sz w:val="24"/>
        </w:rPr>
        <w:t>》</w:t>
      </w:r>
      <w:r>
        <w:rPr>
          <w:rFonts w:eastAsia="方正仿宋_GBK"/>
          <w:color w:val="000000"/>
          <w:sz w:val="24"/>
        </w:rPr>
        <w:t>(</w:t>
      </w:r>
      <w:r>
        <w:rPr>
          <w:rFonts w:hint="eastAsia" w:eastAsia="方正仿宋_GBK"/>
          <w:color w:val="000000"/>
          <w:sz w:val="24"/>
        </w:rPr>
        <w:t>苏建科〔</w:t>
      </w:r>
      <w:r>
        <w:rPr>
          <w:rFonts w:eastAsia="方正仿宋_GBK"/>
          <w:color w:val="000000"/>
          <w:sz w:val="24"/>
        </w:rPr>
        <w:t>1992</w:t>
      </w:r>
      <w:r>
        <w:rPr>
          <w:rFonts w:hint="eastAsia" w:eastAsia="方正仿宋_GBK"/>
          <w:color w:val="000000"/>
          <w:sz w:val="24"/>
        </w:rPr>
        <w:t>〕</w:t>
      </w:r>
      <w:r>
        <w:rPr>
          <w:rFonts w:eastAsia="方正仿宋_GBK"/>
          <w:color w:val="000000"/>
          <w:sz w:val="24"/>
        </w:rPr>
        <w:t>124</w:t>
      </w:r>
      <w:r>
        <w:rPr>
          <w:rFonts w:hint="eastAsia" w:eastAsia="方正仿宋_GBK"/>
          <w:color w:val="000000"/>
          <w:sz w:val="24"/>
        </w:rPr>
        <w:t>号</w:t>
      </w:r>
      <w:r>
        <w:rPr>
          <w:rFonts w:eastAsia="方正仿宋_GBK"/>
          <w:color w:val="000000"/>
          <w:sz w:val="24"/>
        </w:rPr>
        <w:t>)</w:t>
      </w:r>
      <w:r>
        <w:rPr>
          <w:rFonts w:hint="eastAsia" w:eastAsia="方正仿宋_GBK"/>
          <w:color w:val="000000"/>
          <w:sz w:val="24"/>
        </w:rPr>
        <w:t>同时废止。</w:t>
      </w:r>
    </w:p>
    <w:p>
      <w:pPr>
        <w:spacing w:line="460" w:lineRule="exact"/>
        <w:ind w:firstLine="480" w:firstLineChars="200"/>
        <w:rPr>
          <w:rFonts w:eastAsia="方正仿宋_GBK"/>
          <w:color w:val="000000"/>
          <w:sz w:val="24"/>
        </w:rPr>
      </w:pPr>
      <w:r>
        <w:rPr>
          <w:rFonts w:hint="eastAsia" w:eastAsia="黑体"/>
          <w:color w:val="000000"/>
          <w:sz w:val="24"/>
        </w:rPr>
        <w:t>第三十四条</w:t>
      </w:r>
      <w:r>
        <w:rPr>
          <w:rFonts w:eastAsia="方正仿宋_GBK"/>
          <w:color w:val="000000"/>
          <w:sz w:val="24"/>
        </w:rPr>
        <w:t xml:space="preserve"> </w:t>
      </w:r>
      <w:r>
        <w:rPr>
          <w:rFonts w:hint="eastAsia" w:eastAsia="方正仿宋_GBK"/>
          <w:color w:val="000000"/>
          <w:sz w:val="24"/>
        </w:rPr>
        <w:t>本细则由江苏省建设厅负责解释。</w:t>
      </w: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p>
    <w:p>
      <w:pPr>
        <w:pStyle w:val="2"/>
        <w:spacing w:before="240" w:beforeLines="100" w:after="240" w:afterLines="100" w:line="240" w:lineRule="auto"/>
        <w:jc w:val="center"/>
        <w:rPr>
          <w:rFonts w:ascii="Times New Roman" w:eastAsia="方正小标宋_GBK"/>
          <w:b w:val="0"/>
          <w:sz w:val="36"/>
          <w:szCs w:val="36"/>
        </w:rPr>
      </w:pPr>
      <w:bookmarkStart w:id="250" w:name="_Toc18315503"/>
      <w:bookmarkStart w:id="251" w:name="_Toc20726420"/>
      <w:r>
        <w:rPr>
          <w:rFonts w:hint="eastAsia" w:ascii="Times New Roman" w:eastAsia="方正小标宋_GBK"/>
          <w:b w:val="0"/>
          <w:sz w:val="36"/>
          <w:szCs w:val="36"/>
        </w:rPr>
        <w:t>关于印发《江苏省建设领域新技术产业化基地和      科技示范工程管理实施细则》的通知</w:t>
      </w:r>
      <w:bookmarkEnd w:id="250"/>
      <w:bookmarkEnd w:id="25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52" w:name="_Toc20726421"/>
      <w:bookmarkStart w:id="253" w:name="_Toc18315504"/>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2003</w:t>
      </w:r>
      <w:r>
        <w:rPr>
          <w:rFonts w:hint="eastAsia" w:ascii="Times New Roman" w:hAnsi="Times New Roman" w:eastAsia="方正楷体_GBK"/>
          <w:b w:val="0"/>
          <w:sz w:val="24"/>
          <w:szCs w:val="24"/>
        </w:rPr>
        <w:t>〕</w:t>
      </w:r>
      <w:r>
        <w:rPr>
          <w:rFonts w:ascii="Times New Roman" w:hAnsi="Times New Roman" w:eastAsia="方正楷体_GBK"/>
          <w:b w:val="0"/>
          <w:sz w:val="24"/>
          <w:szCs w:val="24"/>
        </w:rPr>
        <w:t>99</w:t>
      </w:r>
      <w:r>
        <w:rPr>
          <w:rFonts w:hint="eastAsia" w:ascii="Times New Roman" w:hAnsi="Times New Roman" w:eastAsia="方正楷体_GBK"/>
          <w:b w:val="0"/>
          <w:sz w:val="24"/>
          <w:szCs w:val="24"/>
        </w:rPr>
        <w:t>号</w:t>
      </w:r>
      <w:bookmarkEnd w:id="252"/>
      <w:bookmarkEnd w:id="253"/>
    </w:p>
    <w:p>
      <w:pPr>
        <w:spacing w:line="460" w:lineRule="exact"/>
        <w:rPr>
          <w:rFonts w:eastAsia="方正仿宋_GBK"/>
          <w:bCs/>
          <w:color w:val="000000"/>
          <w:spacing w:val="-2"/>
          <w:kern w:val="0"/>
          <w:sz w:val="24"/>
        </w:rPr>
      </w:pPr>
      <w:r>
        <w:rPr>
          <w:rFonts w:hint="eastAsia" w:eastAsia="方正仿宋_GBK"/>
          <w:bCs/>
          <w:color w:val="000000"/>
          <w:spacing w:val="-2"/>
          <w:kern w:val="0"/>
          <w:sz w:val="24"/>
        </w:rPr>
        <w:t>南京市建委，各省辖市建设局：</w:t>
      </w:r>
    </w:p>
    <w:p>
      <w:pPr>
        <w:spacing w:line="460" w:lineRule="exact"/>
        <w:ind w:firstLine="472" w:firstLineChars="200"/>
        <w:rPr>
          <w:rFonts w:eastAsia="方正仿宋_GBK"/>
          <w:bCs/>
          <w:snapToGrid w:val="0"/>
          <w:color w:val="000000"/>
          <w:spacing w:val="-2"/>
          <w:kern w:val="0"/>
          <w:sz w:val="24"/>
        </w:rPr>
      </w:pPr>
      <w:r>
        <w:rPr>
          <w:rFonts w:hint="eastAsia" w:eastAsia="方正仿宋_GBK"/>
          <w:bCs/>
          <w:snapToGrid w:val="0"/>
          <w:color w:val="000000"/>
          <w:spacing w:val="-2"/>
          <w:kern w:val="0"/>
          <w:sz w:val="24"/>
        </w:rPr>
        <w:t>根据《建设领域推广应用新技术管理规定》</w:t>
      </w:r>
      <w:r>
        <w:rPr>
          <w:rFonts w:eastAsia="方正仿宋_GBK"/>
          <w:bCs/>
          <w:snapToGrid w:val="0"/>
          <w:color w:val="000000"/>
          <w:spacing w:val="-2"/>
          <w:kern w:val="0"/>
          <w:sz w:val="24"/>
        </w:rPr>
        <w:t>(</w:t>
      </w:r>
      <w:r>
        <w:rPr>
          <w:rFonts w:hint="eastAsia" w:eastAsia="方正仿宋_GBK"/>
          <w:bCs/>
          <w:snapToGrid w:val="0"/>
          <w:color w:val="000000"/>
          <w:spacing w:val="-2"/>
          <w:kern w:val="0"/>
          <w:sz w:val="24"/>
        </w:rPr>
        <w:t>建设部令第</w:t>
      </w:r>
      <w:r>
        <w:rPr>
          <w:rFonts w:eastAsia="方正仿宋_GBK"/>
          <w:bCs/>
          <w:snapToGrid w:val="0"/>
          <w:color w:val="000000"/>
          <w:spacing w:val="-2"/>
          <w:kern w:val="0"/>
          <w:sz w:val="24"/>
        </w:rPr>
        <w:t>109</w:t>
      </w:r>
      <w:r>
        <w:rPr>
          <w:rFonts w:hint="eastAsia" w:eastAsia="方正仿宋_GBK"/>
          <w:bCs/>
          <w:snapToGrid w:val="0"/>
          <w:color w:val="000000"/>
          <w:spacing w:val="-2"/>
          <w:kern w:val="0"/>
          <w:sz w:val="24"/>
        </w:rPr>
        <w:t>号</w:t>
      </w:r>
      <w:r>
        <w:rPr>
          <w:rFonts w:eastAsia="方正仿宋_GBK"/>
          <w:bCs/>
          <w:snapToGrid w:val="0"/>
          <w:color w:val="000000"/>
          <w:spacing w:val="-2"/>
          <w:kern w:val="0"/>
          <w:sz w:val="24"/>
        </w:rPr>
        <w:t>),</w:t>
      </w:r>
      <w:r>
        <w:rPr>
          <w:rFonts w:hint="eastAsia" w:eastAsia="方正仿宋_GBK"/>
          <w:bCs/>
          <w:snapToGrid w:val="0"/>
          <w:color w:val="000000"/>
          <w:spacing w:val="-2"/>
          <w:kern w:val="0"/>
          <w:sz w:val="24"/>
        </w:rPr>
        <w:t>结合我省实际，我厅制定了《江苏省建设领域新技术产业化基地和科技示范工程管理实施细则》。现印发给你们，请遵照执行。</w:t>
      </w:r>
    </w:p>
    <w:p>
      <w:pPr>
        <w:spacing w:line="460" w:lineRule="exact"/>
        <w:ind w:firstLine="472" w:firstLineChars="200"/>
        <w:rPr>
          <w:rFonts w:eastAsia="方正仿宋_GBK"/>
          <w:bCs/>
          <w:snapToGrid w:val="0"/>
          <w:color w:val="000000"/>
          <w:spacing w:val="-2"/>
          <w:kern w:val="0"/>
          <w:sz w:val="24"/>
        </w:rPr>
      </w:pPr>
    </w:p>
    <w:p>
      <w:pPr>
        <w:spacing w:line="460" w:lineRule="exact"/>
        <w:ind w:firstLine="472" w:firstLineChars="200"/>
        <w:rPr>
          <w:rFonts w:eastAsia="方正仿宋_GBK"/>
          <w:bCs/>
          <w:snapToGrid w:val="0"/>
          <w:color w:val="000000"/>
          <w:spacing w:val="-2"/>
          <w:kern w:val="0"/>
          <w:sz w:val="24"/>
        </w:rPr>
      </w:pPr>
      <w:r>
        <w:rPr>
          <w:rFonts w:hint="eastAsia" w:eastAsia="方正仿宋_GBK"/>
          <w:bCs/>
          <w:snapToGrid w:val="0"/>
          <w:color w:val="000000"/>
          <w:spacing w:val="-2"/>
          <w:kern w:val="0"/>
          <w:sz w:val="24"/>
        </w:rPr>
        <w:t>附件：《江苏省建设领域新技术产业化基地和科技示范工程管理实施细则》</w:t>
      </w:r>
    </w:p>
    <w:p>
      <w:pPr>
        <w:spacing w:line="460" w:lineRule="exact"/>
        <w:ind w:firstLine="472" w:firstLineChars="200"/>
        <w:rPr>
          <w:rFonts w:eastAsia="方正仿宋_GBK"/>
          <w:bCs/>
          <w:snapToGrid w:val="0"/>
          <w:color w:val="000000"/>
          <w:spacing w:val="-2"/>
          <w:kern w:val="0"/>
          <w:sz w:val="24"/>
        </w:rPr>
      </w:pPr>
    </w:p>
    <w:p>
      <w:pPr>
        <w:adjustRightInd w:val="0"/>
        <w:snapToGrid w:val="0"/>
        <w:spacing w:line="460" w:lineRule="exact"/>
        <w:ind w:right="1037" w:rightChars="494"/>
        <w:jc w:val="right"/>
        <w:rPr>
          <w:rFonts w:eastAsia="方正仿宋_GBK"/>
          <w:bCs/>
          <w:color w:val="000000"/>
          <w:spacing w:val="-2"/>
          <w:kern w:val="0"/>
          <w:sz w:val="24"/>
        </w:rPr>
      </w:pPr>
      <w:r>
        <w:rPr>
          <w:rFonts w:hint="eastAsia" w:eastAsia="方正仿宋_GBK"/>
          <w:bCs/>
          <w:color w:val="000000"/>
          <w:spacing w:val="-2"/>
          <w:kern w:val="0"/>
          <w:sz w:val="24"/>
        </w:rPr>
        <w:t>江苏省建设厅</w:t>
      </w:r>
      <w:r>
        <w:rPr>
          <w:rFonts w:eastAsia="方正仿宋_GBK"/>
          <w:bCs/>
          <w:color w:val="000000"/>
          <w:spacing w:val="-2"/>
          <w:kern w:val="0"/>
          <w:sz w:val="24"/>
        </w:rPr>
        <w:t xml:space="preserve">       </w:t>
      </w:r>
    </w:p>
    <w:p>
      <w:pPr>
        <w:spacing w:line="460" w:lineRule="exact"/>
        <w:ind w:right="437" w:rightChars="208" w:firstLine="472" w:firstLineChars="200"/>
        <w:jc w:val="right"/>
        <w:rPr>
          <w:rFonts w:eastAsia="方正仿宋_GBK"/>
          <w:bCs/>
          <w:snapToGrid w:val="0"/>
          <w:color w:val="000000"/>
          <w:spacing w:val="-2"/>
          <w:kern w:val="0"/>
          <w:sz w:val="24"/>
        </w:rPr>
      </w:pPr>
      <w:r>
        <w:rPr>
          <w:rFonts w:hint="eastAsia" w:eastAsia="方正仿宋_GBK"/>
          <w:bCs/>
          <w:snapToGrid w:val="0"/>
          <w:color w:val="000000"/>
          <w:spacing w:val="-2"/>
          <w:kern w:val="0"/>
          <w:sz w:val="24"/>
        </w:rPr>
        <w:t>二○○三年三月二十六日</w:t>
      </w:r>
      <w:r>
        <w:rPr>
          <w:rFonts w:eastAsia="方正仿宋_GBK"/>
          <w:bCs/>
          <w:snapToGrid w:val="0"/>
          <w:color w:val="000000"/>
          <w:spacing w:val="-2"/>
          <w:kern w:val="0"/>
          <w:sz w:val="24"/>
        </w:rPr>
        <w:t xml:space="preserve">    </w:t>
      </w:r>
    </w:p>
    <w:p>
      <w:pPr>
        <w:spacing w:line="460" w:lineRule="exact"/>
        <w:rPr>
          <w:rFonts w:eastAsia="方正仿宋_GBK"/>
          <w:bCs/>
          <w:color w:val="000000"/>
          <w:spacing w:val="-2"/>
          <w:kern w:val="0"/>
          <w:sz w:val="24"/>
        </w:rPr>
      </w:pPr>
    </w:p>
    <w:p>
      <w:pPr>
        <w:spacing w:line="460" w:lineRule="exact"/>
        <w:rPr>
          <w:rFonts w:eastAsia="方正仿宋_GBK"/>
          <w:color w:val="000000"/>
          <w:spacing w:val="-2"/>
          <w:kern w:val="0"/>
          <w:sz w:val="24"/>
        </w:rPr>
      </w:pPr>
    </w:p>
    <w:p>
      <w:pPr>
        <w:spacing w:line="460" w:lineRule="exact"/>
        <w:jc w:val="center"/>
        <w:rPr>
          <w:rFonts w:ascii="Times New Roman" w:eastAsia="方正黑体_GBK"/>
          <w:bCs/>
          <w:color w:val="000000"/>
          <w:spacing w:val="-2"/>
          <w:kern w:val="0"/>
          <w:sz w:val="36"/>
          <w:szCs w:val="36"/>
        </w:rPr>
      </w:pPr>
      <w:r>
        <w:rPr>
          <w:rFonts w:hint="eastAsia" w:ascii="Times New Roman" w:eastAsia="方正黑体_GBK"/>
          <w:bCs/>
          <w:color w:val="000000"/>
          <w:spacing w:val="-2"/>
          <w:kern w:val="0"/>
          <w:sz w:val="36"/>
          <w:szCs w:val="36"/>
        </w:rPr>
        <w:t>江苏省建设领域新技术产业化基地和</w:t>
      </w:r>
    </w:p>
    <w:p>
      <w:pPr>
        <w:spacing w:line="460" w:lineRule="exact"/>
        <w:jc w:val="center"/>
        <w:rPr>
          <w:rFonts w:hint="eastAsia" w:ascii="Times New Roman" w:eastAsia="方正黑体_GBK"/>
          <w:bCs/>
          <w:color w:val="000000"/>
          <w:spacing w:val="-2"/>
          <w:kern w:val="0"/>
          <w:sz w:val="36"/>
          <w:szCs w:val="36"/>
        </w:rPr>
      </w:pPr>
      <w:r>
        <w:rPr>
          <w:rFonts w:hint="eastAsia" w:ascii="Times New Roman" w:eastAsia="方正黑体_GBK"/>
          <w:bCs/>
          <w:color w:val="000000"/>
          <w:spacing w:val="-2"/>
          <w:kern w:val="0"/>
          <w:sz w:val="36"/>
          <w:szCs w:val="36"/>
        </w:rPr>
        <w:t>科技示范工程管理实施细则</w:t>
      </w:r>
    </w:p>
    <w:p>
      <w:pPr>
        <w:spacing w:line="460" w:lineRule="exact"/>
        <w:jc w:val="center"/>
        <w:rPr>
          <w:rFonts w:hint="eastAsia" w:eastAsia="方正仿宋_GBK"/>
          <w:bCs/>
          <w:color w:val="000000"/>
          <w:spacing w:val="-2"/>
          <w:kern w:val="0"/>
          <w:sz w:val="24"/>
        </w:rPr>
      </w:pPr>
    </w:p>
    <w:p>
      <w:pPr>
        <w:spacing w:line="460" w:lineRule="exact"/>
        <w:jc w:val="center"/>
        <w:rPr>
          <w:rFonts w:ascii="Times New Roman" w:eastAsia="方正黑体_GBK"/>
          <w:bCs/>
          <w:color w:val="000000"/>
          <w:spacing w:val="-2"/>
          <w:kern w:val="0"/>
          <w:sz w:val="24"/>
        </w:rPr>
      </w:pPr>
      <w:r>
        <w:rPr>
          <w:rFonts w:hint="eastAsia" w:ascii="Times New Roman" w:eastAsia="方正黑体_GBK"/>
          <w:bCs/>
          <w:color w:val="000000"/>
          <w:spacing w:val="-2"/>
          <w:kern w:val="0"/>
          <w:sz w:val="24"/>
        </w:rPr>
        <w:t>第一章  总 则</w:t>
      </w:r>
    </w:p>
    <w:p>
      <w:pPr>
        <w:spacing w:line="460" w:lineRule="exact"/>
        <w:rPr>
          <w:rFonts w:hint="eastAsia" w:eastAsia="方正仿宋_GBK"/>
          <w:bCs/>
          <w:color w:val="000000"/>
          <w:spacing w:val="-2"/>
          <w:kern w:val="0"/>
          <w:sz w:val="24"/>
        </w:rPr>
      </w:pPr>
    </w:p>
    <w:p>
      <w:pPr>
        <w:spacing w:line="460" w:lineRule="exact"/>
        <w:ind w:firstLine="472" w:firstLineChars="200"/>
        <w:rPr>
          <w:rFonts w:eastAsia="方正仿宋_GBK"/>
          <w:bCs/>
          <w:color w:val="000000"/>
          <w:spacing w:val="-2"/>
          <w:kern w:val="0"/>
          <w:sz w:val="24"/>
        </w:rPr>
      </w:pPr>
      <w:r>
        <w:rPr>
          <w:rFonts w:hint="eastAsia" w:ascii="Times New Roman" w:eastAsia="方正黑体_GBK"/>
          <w:bCs/>
          <w:color w:val="000000"/>
          <w:spacing w:val="-2"/>
          <w:kern w:val="0"/>
          <w:sz w:val="24"/>
        </w:rPr>
        <w:t xml:space="preserve">第一条 </w:t>
      </w:r>
      <w:r>
        <w:rPr>
          <w:rFonts w:eastAsia="方正仿宋_GBK"/>
          <w:bCs/>
          <w:color w:val="000000"/>
          <w:spacing w:val="-2"/>
          <w:kern w:val="0"/>
          <w:sz w:val="24"/>
        </w:rPr>
        <w:t xml:space="preserve"> </w:t>
      </w:r>
      <w:r>
        <w:rPr>
          <w:rFonts w:hint="eastAsia" w:eastAsia="方正仿宋_GBK"/>
          <w:bCs/>
          <w:color w:val="000000"/>
          <w:spacing w:val="-2"/>
          <w:kern w:val="0"/>
          <w:sz w:val="24"/>
        </w:rPr>
        <w:t>为推动全省建设科技推广项目转化，促进行业技术进步，根据建设部第</w:t>
      </w:r>
      <w:r>
        <w:rPr>
          <w:rFonts w:eastAsia="方正仿宋_GBK"/>
          <w:bCs/>
          <w:color w:val="000000"/>
          <w:spacing w:val="-2"/>
          <w:kern w:val="0"/>
          <w:sz w:val="24"/>
        </w:rPr>
        <w:t>109</w:t>
      </w:r>
      <w:r>
        <w:rPr>
          <w:rFonts w:hint="eastAsia" w:eastAsia="方正仿宋_GBK"/>
          <w:bCs/>
          <w:color w:val="000000"/>
          <w:spacing w:val="-2"/>
          <w:kern w:val="0"/>
          <w:sz w:val="24"/>
        </w:rPr>
        <w:t>号令《建设领域推广应用新技术管理规定》，结合本省实际，制定本细则。</w:t>
      </w:r>
    </w:p>
    <w:p>
      <w:pPr>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第二条 </w:t>
      </w:r>
      <w:r>
        <w:rPr>
          <w:rFonts w:eastAsia="方正仿宋_GBK"/>
          <w:bCs/>
          <w:color w:val="000000"/>
          <w:spacing w:val="-2"/>
          <w:kern w:val="0"/>
          <w:sz w:val="24"/>
        </w:rPr>
        <w:t xml:space="preserve"> </w:t>
      </w:r>
      <w:r>
        <w:rPr>
          <w:rFonts w:hint="eastAsia" w:eastAsia="方正仿宋_GBK"/>
          <w:bCs/>
          <w:color w:val="000000"/>
          <w:spacing w:val="-2"/>
          <w:kern w:val="0"/>
          <w:sz w:val="24"/>
        </w:rPr>
        <w:t>凡在本省行政区域内建设领域建立新技术产业化基地（以下简称产业化基地）和科技示范工程（以下简称示范工程）的活动及其监督管理，均应遵守本细则。</w:t>
      </w:r>
    </w:p>
    <w:p>
      <w:pPr>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第三条</w:t>
      </w:r>
      <w:r>
        <w:rPr>
          <w:rFonts w:eastAsia="方正仿宋_GBK"/>
          <w:bCs/>
          <w:color w:val="000000"/>
          <w:spacing w:val="-2"/>
          <w:kern w:val="0"/>
          <w:sz w:val="24"/>
        </w:rPr>
        <w:t xml:space="preserve">  </w:t>
      </w:r>
      <w:r>
        <w:rPr>
          <w:rFonts w:hint="eastAsia" w:eastAsia="方正仿宋_GBK"/>
          <w:bCs/>
          <w:color w:val="000000"/>
          <w:spacing w:val="-2"/>
          <w:kern w:val="0"/>
          <w:sz w:val="24"/>
        </w:rPr>
        <w:t>本细则所称的产业化基地是指在具有一定规模和研发能力的企业中，以设立开发、生产和推广应用建设领域某项或某类新技术成果（产品）为目的的研发生产基地。</w:t>
      </w:r>
    </w:p>
    <w:p>
      <w:pPr>
        <w:spacing w:line="460" w:lineRule="exact"/>
        <w:ind w:firstLine="462" w:firstLineChars="196"/>
        <w:rPr>
          <w:rFonts w:eastAsia="方正仿宋_GBK"/>
          <w:bCs/>
          <w:color w:val="000000"/>
          <w:spacing w:val="-2"/>
          <w:kern w:val="0"/>
          <w:sz w:val="24"/>
        </w:rPr>
      </w:pPr>
      <w:r>
        <w:rPr>
          <w:rFonts w:hint="eastAsia" w:eastAsia="方正仿宋_GBK"/>
          <w:bCs/>
          <w:color w:val="000000"/>
          <w:spacing w:val="-2"/>
          <w:kern w:val="0"/>
          <w:sz w:val="24"/>
        </w:rPr>
        <w:t>本细则所称新技术产业包括涉及到建设工程应用的化学建材（建筑涂料、塑料管、混凝土外加剂、保温隔热材料、塑料门窗、建筑防水材料、粘结剂）、钢结构（重钢、轻钢、索模）、新型墙体材料（承重、非承重）、建筑用玻璃、建筑节能产品（太阳能、地热、水热）、中水回用、污水处理、垃圾处理、建筑智能化等行业。</w:t>
      </w:r>
    </w:p>
    <w:p>
      <w:pPr>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第四条 </w:t>
      </w:r>
      <w:r>
        <w:rPr>
          <w:rFonts w:eastAsia="方正仿宋_GBK"/>
          <w:bCs/>
          <w:color w:val="000000"/>
          <w:spacing w:val="-2"/>
          <w:kern w:val="0"/>
          <w:sz w:val="24"/>
        </w:rPr>
        <w:t xml:space="preserve"> </w:t>
      </w:r>
      <w:r>
        <w:rPr>
          <w:rFonts w:hint="eastAsia" w:eastAsia="方正仿宋_GBK"/>
          <w:bCs/>
          <w:color w:val="000000"/>
          <w:spacing w:val="-2"/>
          <w:kern w:val="0"/>
          <w:sz w:val="24"/>
        </w:rPr>
        <w:t>本细则所称的示范工程，是指优化集成先进适用成套技术，为不同类型工程推广应用新技术提供范例的工程项目。</w:t>
      </w:r>
      <w:r>
        <w:rPr>
          <w:rFonts w:eastAsia="方正仿宋_GBK"/>
          <w:bCs/>
          <w:color w:val="000000"/>
          <w:spacing w:val="-2"/>
          <w:kern w:val="0"/>
          <w:sz w:val="24"/>
        </w:rPr>
        <w:t xml:space="preserve"> </w:t>
      </w:r>
    </w:p>
    <w:p>
      <w:pPr>
        <w:spacing w:line="460" w:lineRule="exact"/>
        <w:ind w:firstLine="462" w:firstLineChars="196"/>
        <w:rPr>
          <w:rFonts w:eastAsia="方正仿宋_GBK"/>
          <w:bCs/>
          <w:color w:val="000000"/>
          <w:spacing w:val="-2"/>
          <w:kern w:val="0"/>
          <w:sz w:val="24"/>
        </w:rPr>
      </w:pPr>
      <w:r>
        <w:rPr>
          <w:rFonts w:hint="eastAsia" w:eastAsia="方正仿宋_GBK"/>
          <w:bCs/>
          <w:color w:val="000000"/>
          <w:spacing w:val="-2"/>
          <w:kern w:val="0"/>
          <w:sz w:val="24"/>
        </w:rPr>
        <w:t>本细则所称优化集成先进适用成套技术，是指建设部或我省《技术公告》中所确定的推广应用项目或通过省级及以上建设行政主管部门组织技术认证的成套技术。</w:t>
      </w:r>
    </w:p>
    <w:p>
      <w:pPr>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第五条</w:t>
      </w:r>
      <w:r>
        <w:rPr>
          <w:rFonts w:eastAsia="方正仿宋_GBK"/>
          <w:bCs/>
          <w:color w:val="000000"/>
          <w:spacing w:val="-2"/>
          <w:kern w:val="0"/>
          <w:sz w:val="24"/>
        </w:rPr>
        <w:t xml:space="preserve">  </w:t>
      </w:r>
      <w:r>
        <w:rPr>
          <w:rFonts w:hint="eastAsia" w:eastAsia="方正仿宋_GBK"/>
          <w:bCs/>
          <w:color w:val="000000"/>
          <w:spacing w:val="-2"/>
          <w:kern w:val="0"/>
          <w:sz w:val="24"/>
        </w:rPr>
        <w:t>省、设区的市及县（市）建设行政主管部门按照分级管理的原则，负责对本行政区域内产业化基地及示范工程的申报、批准、验收和发布实施监督管理。</w:t>
      </w:r>
    </w:p>
    <w:p>
      <w:pPr>
        <w:spacing w:line="460" w:lineRule="exact"/>
        <w:ind w:firstLine="462" w:firstLineChars="196"/>
        <w:rPr>
          <w:rFonts w:eastAsia="方正仿宋_GBK"/>
          <w:bCs/>
          <w:color w:val="000000"/>
          <w:spacing w:val="-2"/>
          <w:kern w:val="0"/>
          <w:sz w:val="24"/>
        </w:rPr>
      </w:pPr>
    </w:p>
    <w:p>
      <w:pPr>
        <w:spacing w:line="460" w:lineRule="exact"/>
        <w:jc w:val="center"/>
        <w:rPr>
          <w:rFonts w:ascii="Times New Roman" w:eastAsia="方正黑体_GBK"/>
          <w:bCs/>
          <w:color w:val="000000"/>
          <w:spacing w:val="-2"/>
          <w:kern w:val="0"/>
          <w:sz w:val="24"/>
        </w:rPr>
      </w:pPr>
      <w:r>
        <w:rPr>
          <w:rFonts w:hint="eastAsia" w:ascii="Times New Roman" w:eastAsia="方正黑体_GBK"/>
          <w:bCs/>
          <w:color w:val="000000"/>
          <w:spacing w:val="-2"/>
          <w:kern w:val="0"/>
          <w:sz w:val="24"/>
        </w:rPr>
        <w:t>第二章  申报和批准</w:t>
      </w:r>
    </w:p>
    <w:p>
      <w:pPr>
        <w:tabs>
          <w:tab w:val="left" w:pos="658"/>
        </w:tabs>
        <w:spacing w:line="460" w:lineRule="exact"/>
        <w:ind w:firstLine="462" w:firstLineChars="196"/>
        <w:rPr>
          <w:rFonts w:hint="eastAsia" w:eastAsia="方正仿宋_GBK"/>
          <w:bCs/>
          <w:color w:val="000000"/>
          <w:spacing w:val="-2"/>
          <w:kern w:val="0"/>
          <w:sz w:val="24"/>
        </w:rPr>
      </w:pPr>
    </w:p>
    <w:p>
      <w:pPr>
        <w:tabs>
          <w:tab w:val="left" w:pos="658"/>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第六条 </w:t>
      </w:r>
      <w:r>
        <w:rPr>
          <w:rFonts w:eastAsia="方正仿宋_GBK"/>
          <w:bCs/>
          <w:color w:val="000000"/>
          <w:spacing w:val="-2"/>
          <w:kern w:val="0"/>
          <w:sz w:val="24"/>
        </w:rPr>
        <w:t xml:space="preserve"> </w:t>
      </w:r>
      <w:r>
        <w:rPr>
          <w:rFonts w:hint="eastAsia" w:eastAsia="方正仿宋_GBK"/>
          <w:bCs/>
          <w:color w:val="000000"/>
          <w:spacing w:val="-2"/>
          <w:kern w:val="0"/>
          <w:sz w:val="24"/>
        </w:rPr>
        <w:t>产业化基地或者示范工程每年上半年组织申报一次。</w:t>
      </w:r>
    </w:p>
    <w:p>
      <w:pPr>
        <w:tabs>
          <w:tab w:val="left" w:pos="1316"/>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第七条</w:t>
      </w:r>
      <w:r>
        <w:rPr>
          <w:rFonts w:eastAsia="方正仿宋_GBK"/>
          <w:bCs/>
          <w:color w:val="000000"/>
          <w:spacing w:val="-2"/>
          <w:kern w:val="0"/>
          <w:sz w:val="24"/>
        </w:rPr>
        <w:t xml:space="preserve">  </w:t>
      </w:r>
      <w:r>
        <w:rPr>
          <w:rFonts w:hint="eastAsia" w:eastAsia="方正仿宋_GBK"/>
          <w:bCs/>
          <w:color w:val="000000"/>
          <w:spacing w:val="-2"/>
          <w:kern w:val="0"/>
          <w:sz w:val="24"/>
        </w:rPr>
        <w:t>申报产业化基地应同时符合以下条件：</w:t>
      </w:r>
    </w:p>
    <w:p>
      <w:pPr>
        <w:tabs>
          <w:tab w:val="left" w:pos="1316"/>
        </w:tabs>
        <w:spacing w:line="460" w:lineRule="exact"/>
        <w:ind w:firstLine="472" w:firstLineChars="200"/>
        <w:rPr>
          <w:rFonts w:eastAsia="方正仿宋_GBK"/>
          <w:bCs/>
          <w:color w:val="000000"/>
          <w:spacing w:val="-2"/>
          <w:kern w:val="0"/>
          <w:sz w:val="24"/>
        </w:rPr>
      </w:pPr>
      <w:r>
        <w:rPr>
          <w:rFonts w:hint="eastAsia" w:eastAsia="方正仿宋_GBK"/>
          <w:bCs/>
          <w:color w:val="000000"/>
          <w:spacing w:val="-2"/>
          <w:kern w:val="0"/>
          <w:sz w:val="24"/>
        </w:rPr>
        <w:t>（一）具有良好的管理体制和运行机制（通过</w:t>
      </w:r>
      <w:r>
        <w:rPr>
          <w:rFonts w:eastAsia="方正仿宋_GBK"/>
          <w:bCs/>
          <w:color w:val="000000"/>
          <w:spacing w:val="-2"/>
          <w:kern w:val="0"/>
          <w:sz w:val="24"/>
        </w:rPr>
        <w:t>ISO9000</w:t>
      </w:r>
      <w:r>
        <w:rPr>
          <w:rFonts w:hint="eastAsia" w:eastAsia="方正仿宋_GBK"/>
          <w:bCs/>
          <w:color w:val="000000"/>
          <w:spacing w:val="-2"/>
          <w:kern w:val="0"/>
          <w:sz w:val="24"/>
        </w:rPr>
        <w:t>和</w:t>
      </w:r>
      <w:r>
        <w:rPr>
          <w:rFonts w:eastAsia="方正仿宋_GBK"/>
          <w:bCs/>
          <w:color w:val="000000"/>
          <w:spacing w:val="-2"/>
          <w:kern w:val="0"/>
          <w:sz w:val="24"/>
        </w:rPr>
        <w:t>14000</w:t>
      </w:r>
      <w:r>
        <w:rPr>
          <w:rFonts w:hint="eastAsia" w:eastAsia="方正仿宋_GBK"/>
          <w:bCs/>
          <w:color w:val="000000"/>
          <w:spacing w:val="-2"/>
          <w:kern w:val="0"/>
          <w:sz w:val="24"/>
        </w:rPr>
        <w:t>标准的认证），组织机构健全，管理科学合理，人员素质较高；</w:t>
      </w:r>
    </w:p>
    <w:p>
      <w:pPr>
        <w:tabs>
          <w:tab w:val="left" w:pos="1316"/>
        </w:tabs>
        <w:spacing w:line="460" w:lineRule="exact"/>
        <w:ind w:firstLine="472" w:firstLineChars="200"/>
        <w:rPr>
          <w:rFonts w:eastAsia="方正仿宋_GBK"/>
          <w:bCs/>
          <w:color w:val="000000"/>
          <w:spacing w:val="-2"/>
          <w:kern w:val="0"/>
          <w:sz w:val="24"/>
        </w:rPr>
      </w:pPr>
      <w:r>
        <w:rPr>
          <w:rFonts w:hint="eastAsia" w:eastAsia="方正仿宋_GBK"/>
          <w:bCs/>
          <w:color w:val="000000"/>
          <w:spacing w:val="-2"/>
          <w:kern w:val="0"/>
          <w:sz w:val="24"/>
        </w:rPr>
        <w:t>（二）具有一定规模和效益，其产品规模在行业中有一定的影响力，在国内或省内名列前茅，在市场中有良好的质量信誉；</w:t>
      </w:r>
    </w:p>
    <w:p>
      <w:pPr>
        <w:tabs>
          <w:tab w:val="left" w:pos="1316"/>
        </w:tabs>
        <w:spacing w:line="460" w:lineRule="exact"/>
        <w:ind w:firstLine="472" w:firstLineChars="200"/>
        <w:rPr>
          <w:rFonts w:eastAsia="方正仿宋_GBK"/>
          <w:bCs/>
          <w:color w:val="000000"/>
          <w:spacing w:val="-2"/>
          <w:kern w:val="0"/>
          <w:sz w:val="24"/>
        </w:rPr>
      </w:pPr>
      <w:r>
        <w:rPr>
          <w:rFonts w:hint="eastAsia" w:eastAsia="方正仿宋_GBK"/>
          <w:bCs/>
          <w:color w:val="000000"/>
          <w:spacing w:val="-2"/>
          <w:kern w:val="0"/>
          <w:sz w:val="24"/>
        </w:rPr>
        <w:t>（三）具有研发能力，设有技术中心，技术创新能力较强，每年有不少于其产值的</w:t>
      </w:r>
      <w:r>
        <w:rPr>
          <w:rFonts w:eastAsia="方正仿宋_GBK"/>
          <w:bCs/>
          <w:color w:val="000000"/>
          <w:spacing w:val="-2"/>
          <w:kern w:val="0"/>
          <w:sz w:val="24"/>
        </w:rPr>
        <w:t>3%</w:t>
      </w:r>
      <w:r>
        <w:rPr>
          <w:rFonts w:hint="eastAsia" w:eastAsia="方正仿宋_GBK"/>
          <w:bCs/>
          <w:color w:val="000000"/>
          <w:spacing w:val="-2"/>
          <w:kern w:val="0"/>
          <w:sz w:val="24"/>
        </w:rPr>
        <w:t>的研发经费，其成果居行业先进水平；</w:t>
      </w:r>
    </w:p>
    <w:p>
      <w:pPr>
        <w:tabs>
          <w:tab w:val="left" w:pos="1316"/>
        </w:tabs>
        <w:spacing w:line="460" w:lineRule="exact"/>
        <w:ind w:firstLine="472" w:firstLineChars="200"/>
        <w:rPr>
          <w:rFonts w:eastAsia="方正仿宋_GBK"/>
          <w:bCs/>
          <w:color w:val="000000"/>
          <w:spacing w:val="-2"/>
          <w:kern w:val="0"/>
          <w:sz w:val="24"/>
        </w:rPr>
      </w:pPr>
      <w:r>
        <w:rPr>
          <w:rFonts w:hint="eastAsia" w:eastAsia="方正仿宋_GBK"/>
          <w:bCs/>
          <w:color w:val="000000"/>
          <w:spacing w:val="-2"/>
          <w:kern w:val="0"/>
          <w:sz w:val="24"/>
        </w:rPr>
        <w:t>（四）具有行业发展的示范作用，在技术创新、产业化和人力资源开发等方面，能为行业发展提供服务；</w:t>
      </w:r>
    </w:p>
    <w:p>
      <w:pPr>
        <w:tabs>
          <w:tab w:val="left" w:pos="1316"/>
        </w:tabs>
        <w:spacing w:line="460" w:lineRule="exact"/>
        <w:ind w:firstLine="472" w:firstLineChars="200"/>
        <w:rPr>
          <w:rFonts w:eastAsia="方正仿宋_GBK"/>
          <w:bCs/>
          <w:color w:val="000000"/>
          <w:spacing w:val="-2"/>
          <w:kern w:val="0"/>
          <w:sz w:val="24"/>
        </w:rPr>
      </w:pPr>
      <w:r>
        <w:rPr>
          <w:rFonts w:hint="eastAsia" w:eastAsia="方正仿宋_GBK"/>
          <w:bCs/>
          <w:color w:val="000000"/>
          <w:spacing w:val="-2"/>
          <w:kern w:val="0"/>
          <w:sz w:val="24"/>
        </w:rPr>
        <w:t>（五）具有切实可行的产业化基地建设规划和工作目标。</w:t>
      </w:r>
    </w:p>
    <w:p>
      <w:pPr>
        <w:tabs>
          <w:tab w:val="left" w:pos="1316"/>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第八条 </w:t>
      </w:r>
      <w:r>
        <w:rPr>
          <w:rFonts w:eastAsia="方正仿宋_GBK"/>
          <w:bCs/>
          <w:color w:val="000000"/>
          <w:spacing w:val="-2"/>
          <w:kern w:val="0"/>
          <w:sz w:val="24"/>
        </w:rPr>
        <w:t xml:space="preserve"> </w:t>
      </w:r>
      <w:r>
        <w:rPr>
          <w:rFonts w:hint="eastAsia" w:eastAsia="方正仿宋_GBK"/>
          <w:bCs/>
          <w:color w:val="000000"/>
          <w:spacing w:val="-2"/>
          <w:kern w:val="0"/>
          <w:sz w:val="24"/>
        </w:rPr>
        <w:t>申报示范工程应同时符合以下条件：</w:t>
      </w:r>
    </w:p>
    <w:p>
      <w:pPr>
        <w:tabs>
          <w:tab w:val="left" w:pos="1316"/>
        </w:tabs>
        <w:spacing w:line="460" w:lineRule="exact"/>
        <w:ind w:firstLine="472" w:firstLineChars="200"/>
        <w:rPr>
          <w:rFonts w:eastAsia="方正仿宋_GBK"/>
          <w:bCs/>
          <w:color w:val="000000"/>
          <w:spacing w:val="-2"/>
          <w:kern w:val="0"/>
          <w:sz w:val="24"/>
        </w:rPr>
      </w:pPr>
      <w:r>
        <w:rPr>
          <w:rFonts w:hint="eastAsia" w:eastAsia="方正仿宋_GBK"/>
          <w:bCs/>
          <w:color w:val="000000"/>
          <w:spacing w:val="-2"/>
          <w:kern w:val="0"/>
          <w:sz w:val="24"/>
        </w:rPr>
        <w:t>（一）应是国家或地方的重点工程、标志性建筑或面广量大具有普遍意义的工程项目。可以是拟建、在建或竣工时间在一年内的工程。拟建工程应在申请示范工程立项前办理有关工程审批手续；</w:t>
      </w:r>
    </w:p>
    <w:p>
      <w:pPr>
        <w:tabs>
          <w:tab w:val="left" w:pos="1316"/>
        </w:tabs>
        <w:spacing w:line="460" w:lineRule="exact"/>
        <w:ind w:firstLine="472" w:firstLineChars="200"/>
        <w:rPr>
          <w:rFonts w:eastAsia="方正仿宋_GBK"/>
          <w:bCs/>
          <w:color w:val="000000"/>
          <w:spacing w:val="-2"/>
          <w:kern w:val="0"/>
          <w:sz w:val="24"/>
        </w:rPr>
      </w:pPr>
      <w:r>
        <w:rPr>
          <w:rFonts w:hint="eastAsia" w:eastAsia="方正仿宋_GBK"/>
          <w:bCs/>
          <w:color w:val="000000"/>
          <w:spacing w:val="-2"/>
          <w:kern w:val="0"/>
          <w:sz w:val="24"/>
        </w:rPr>
        <w:t>（二）以提高工程整体效益为目标，实现技术的集成与优化，形成完整的成套技术；</w:t>
      </w:r>
    </w:p>
    <w:p>
      <w:pPr>
        <w:tabs>
          <w:tab w:val="left" w:pos="1316"/>
        </w:tabs>
        <w:spacing w:line="460" w:lineRule="exact"/>
        <w:ind w:firstLine="472" w:firstLineChars="200"/>
        <w:rPr>
          <w:rFonts w:eastAsia="方正仿宋_GBK"/>
          <w:bCs/>
          <w:color w:val="000000"/>
          <w:spacing w:val="-2"/>
          <w:kern w:val="0"/>
          <w:sz w:val="24"/>
        </w:rPr>
      </w:pPr>
      <w:r>
        <w:rPr>
          <w:rFonts w:hint="eastAsia" w:eastAsia="方正仿宋_GBK"/>
          <w:bCs/>
          <w:color w:val="000000"/>
          <w:spacing w:val="-2"/>
          <w:kern w:val="0"/>
          <w:sz w:val="24"/>
        </w:rPr>
        <w:t>（三）选用技术应为省级及以上建设行政主管部门发布的推广项目，且必须是示范工程需要使用的重大关键技术，其他配套技术可根据需要选用，但必须经过省建设行政主管部门组织的技术论证。</w:t>
      </w:r>
    </w:p>
    <w:p>
      <w:pPr>
        <w:spacing w:line="460" w:lineRule="exact"/>
        <w:ind w:firstLine="660"/>
        <w:rPr>
          <w:rFonts w:eastAsia="方正仿宋_GBK"/>
          <w:bCs/>
          <w:color w:val="000000"/>
          <w:spacing w:val="-2"/>
          <w:kern w:val="0"/>
          <w:sz w:val="24"/>
        </w:rPr>
      </w:pPr>
      <w:r>
        <w:rPr>
          <w:rFonts w:hint="eastAsia" w:eastAsia="方正仿宋_GBK"/>
          <w:bCs/>
          <w:color w:val="000000"/>
          <w:spacing w:val="-2"/>
          <w:kern w:val="0"/>
          <w:sz w:val="24"/>
        </w:rPr>
        <w:t>示范工程申报单位可以由业主、施工安装单位、工程总承包单位、工程勘察设计单位、选用技术的持有单位单独或联合申报。</w:t>
      </w:r>
    </w:p>
    <w:p>
      <w:pPr>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第九条</w:t>
      </w:r>
      <w:r>
        <w:rPr>
          <w:rFonts w:eastAsia="方正仿宋_GBK"/>
          <w:bCs/>
          <w:color w:val="000000"/>
          <w:spacing w:val="-2"/>
          <w:kern w:val="0"/>
          <w:sz w:val="24"/>
        </w:rPr>
        <w:t xml:space="preserve">  </w:t>
      </w:r>
      <w:r>
        <w:rPr>
          <w:rFonts w:hint="eastAsia" w:eastAsia="方正仿宋_GBK"/>
          <w:bCs/>
          <w:color w:val="000000"/>
          <w:spacing w:val="-2"/>
          <w:kern w:val="0"/>
          <w:sz w:val="24"/>
        </w:rPr>
        <w:t>申报单位需持填写好的《江苏省建设领域新技术产业化基地申请书》（附件一）或《江苏省建设领域科技示范工程申请书》（附件二）以及按要求应当提供的附件材料，向所在地设区的市建设行政主管部门提出申请。</w:t>
      </w:r>
    </w:p>
    <w:p>
      <w:pPr>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第十条 </w:t>
      </w:r>
      <w:r>
        <w:rPr>
          <w:rFonts w:eastAsia="方正仿宋_GBK"/>
          <w:bCs/>
          <w:color w:val="000000"/>
          <w:spacing w:val="-2"/>
          <w:kern w:val="0"/>
          <w:sz w:val="24"/>
        </w:rPr>
        <w:t xml:space="preserve"> </w:t>
      </w:r>
      <w:r>
        <w:rPr>
          <w:rFonts w:hint="eastAsia" w:eastAsia="方正仿宋_GBK"/>
          <w:bCs/>
          <w:color w:val="000000"/>
          <w:spacing w:val="-2"/>
          <w:kern w:val="0"/>
          <w:sz w:val="24"/>
        </w:rPr>
        <w:t>设区的市建设行政主管部门对申报材料和申请单位的条件进行初审，签署初审意见后报送省建设行政主管部门组织评审。对符合条件的项目由省建设行政主管部门批准列为江苏省建设领域产业化基地或示范工程。</w:t>
      </w:r>
    </w:p>
    <w:p>
      <w:pPr>
        <w:tabs>
          <w:tab w:val="left" w:pos="0"/>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第十一条</w:t>
      </w:r>
      <w:r>
        <w:rPr>
          <w:rFonts w:eastAsia="方正仿宋_GBK"/>
          <w:bCs/>
          <w:color w:val="000000"/>
          <w:spacing w:val="-2"/>
          <w:kern w:val="0"/>
          <w:sz w:val="24"/>
        </w:rPr>
        <w:t xml:space="preserve">  </w:t>
      </w:r>
      <w:r>
        <w:rPr>
          <w:rFonts w:hint="eastAsia" w:eastAsia="方正仿宋_GBK"/>
          <w:bCs/>
          <w:color w:val="000000"/>
          <w:spacing w:val="-2"/>
          <w:kern w:val="0"/>
          <w:sz w:val="24"/>
        </w:rPr>
        <w:t>申报建设部的产业化基地或示范工程，原则上应是经省建设行政主管部门批准的产业化基地或示范工程。其申报材料应经所在地设区的市建设行政主管部门预审并报省建设行政主管部门，由省建设行政主管部门审查后统一向建设部申报。</w:t>
      </w:r>
      <w:r>
        <w:rPr>
          <w:rFonts w:eastAsia="方正仿宋_GBK"/>
          <w:bCs/>
          <w:color w:val="000000"/>
          <w:spacing w:val="-2"/>
          <w:kern w:val="0"/>
          <w:sz w:val="24"/>
        </w:rPr>
        <w:t xml:space="preserve"> </w:t>
      </w:r>
    </w:p>
    <w:p>
      <w:pPr>
        <w:tabs>
          <w:tab w:val="left" w:pos="0"/>
        </w:tabs>
        <w:spacing w:line="460" w:lineRule="exact"/>
        <w:ind w:firstLine="462" w:firstLineChars="196"/>
        <w:rPr>
          <w:rFonts w:eastAsia="方正仿宋_GBK"/>
          <w:bCs/>
          <w:color w:val="000000"/>
          <w:spacing w:val="-2"/>
          <w:kern w:val="0"/>
          <w:sz w:val="24"/>
        </w:rPr>
      </w:pPr>
    </w:p>
    <w:p>
      <w:pPr>
        <w:spacing w:line="460" w:lineRule="exact"/>
        <w:jc w:val="center"/>
        <w:rPr>
          <w:rFonts w:ascii="Times New Roman" w:eastAsia="方正黑体_GBK"/>
          <w:bCs/>
          <w:color w:val="000000"/>
          <w:spacing w:val="-2"/>
          <w:kern w:val="0"/>
          <w:sz w:val="24"/>
        </w:rPr>
      </w:pPr>
      <w:r>
        <w:rPr>
          <w:rFonts w:hint="eastAsia" w:ascii="Times New Roman" w:eastAsia="方正黑体_GBK"/>
          <w:bCs/>
          <w:color w:val="000000"/>
          <w:spacing w:val="-2"/>
          <w:kern w:val="0"/>
          <w:sz w:val="24"/>
        </w:rPr>
        <w:t>第三章  实施和验收</w:t>
      </w:r>
    </w:p>
    <w:p>
      <w:pPr>
        <w:tabs>
          <w:tab w:val="left" w:pos="658"/>
        </w:tabs>
        <w:spacing w:line="460" w:lineRule="exact"/>
        <w:ind w:firstLine="462" w:firstLineChars="196"/>
        <w:rPr>
          <w:rFonts w:hint="eastAsia" w:eastAsia="方正仿宋_GBK"/>
          <w:bCs/>
          <w:color w:val="000000"/>
          <w:spacing w:val="-2"/>
          <w:kern w:val="0"/>
          <w:sz w:val="24"/>
        </w:rPr>
      </w:pPr>
    </w:p>
    <w:p>
      <w:pPr>
        <w:tabs>
          <w:tab w:val="left" w:pos="658"/>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第十二条 </w:t>
      </w:r>
      <w:r>
        <w:rPr>
          <w:rFonts w:eastAsia="方正仿宋_GBK"/>
          <w:bCs/>
          <w:color w:val="000000"/>
          <w:spacing w:val="-2"/>
          <w:kern w:val="0"/>
          <w:sz w:val="24"/>
        </w:rPr>
        <w:t xml:space="preserve"> </w:t>
      </w:r>
      <w:r>
        <w:rPr>
          <w:rFonts w:hint="eastAsia" w:eastAsia="方正仿宋_GBK"/>
          <w:bCs/>
          <w:color w:val="000000"/>
          <w:spacing w:val="-2"/>
          <w:kern w:val="0"/>
          <w:sz w:val="24"/>
        </w:rPr>
        <w:t>设区的市建设行政主管部门要加强对产业化基地和示范工程在实施中的监督管理，省建设行政主管部门将不定期地对产业化基地和示范工程进行检查。</w:t>
      </w:r>
    </w:p>
    <w:p>
      <w:pPr>
        <w:tabs>
          <w:tab w:val="left" w:pos="658"/>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第十三条 </w:t>
      </w:r>
      <w:r>
        <w:rPr>
          <w:rFonts w:eastAsia="方正仿宋_GBK"/>
          <w:bCs/>
          <w:color w:val="000000"/>
          <w:spacing w:val="-2"/>
          <w:kern w:val="0"/>
          <w:sz w:val="24"/>
        </w:rPr>
        <w:t xml:space="preserve"> </w:t>
      </w:r>
      <w:r>
        <w:rPr>
          <w:rFonts w:hint="eastAsia" w:eastAsia="方正仿宋_GBK"/>
          <w:bCs/>
          <w:color w:val="000000"/>
          <w:spacing w:val="-2"/>
          <w:kern w:val="0"/>
          <w:sz w:val="24"/>
        </w:rPr>
        <w:t>产业化基地的实施单位，应根据基地建设规划和工作计划认真组织实施，并负责编制本行业的新技术产业化导则。</w:t>
      </w:r>
    </w:p>
    <w:p>
      <w:pPr>
        <w:tabs>
          <w:tab w:val="left" w:pos="658"/>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第十四条</w:t>
      </w:r>
      <w:r>
        <w:rPr>
          <w:rFonts w:eastAsia="方正仿宋_GBK"/>
          <w:bCs/>
          <w:color w:val="000000"/>
          <w:spacing w:val="-2"/>
          <w:kern w:val="0"/>
          <w:sz w:val="24"/>
        </w:rPr>
        <w:t xml:space="preserve">  </w:t>
      </w:r>
      <w:r>
        <w:rPr>
          <w:rFonts w:hint="eastAsia" w:eastAsia="方正仿宋_GBK"/>
          <w:bCs/>
          <w:color w:val="000000"/>
          <w:spacing w:val="-2"/>
          <w:kern w:val="0"/>
          <w:sz w:val="24"/>
        </w:rPr>
        <w:t>示范工程的实施单位，应根据计划认真组织实施，并提出相应的规程、工法、标准图等标准化应用技术文件，编制必要的计算机应用软件，对示范工程的成效进行总结并提出工作报告（包括示范工程推广应用新技术指南）。</w:t>
      </w:r>
    </w:p>
    <w:p>
      <w:pPr>
        <w:tabs>
          <w:tab w:val="left" w:pos="658"/>
          <w:tab w:val="left" w:pos="1316"/>
        </w:tabs>
        <w:spacing w:line="460" w:lineRule="exact"/>
        <w:ind w:firstLine="460" w:firstLineChars="195"/>
        <w:rPr>
          <w:rFonts w:eastAsia="方正仿宋_GBK"/>
          <w:bCs/>
          <w:color w:val="000000"/>
          <w:spacing w:val="-2"/>
          <w:kern w:val="0"/>
          <w:sz w:val="24"/>
        </w:rPr>
      </w:pPr>
      <w:r>
        <w:rPr>
          <w:rFonts w:hint="eastAsia" w:ascii="Times New Roman" w:eastAsia="方正黑体_GBK"/>
          <w:bCs/>
          <w:color w:val="000000"/>
          <w:spacing w:val="-2"/>
          <w:kern w:val="0"/>
          <w:sz w:val="24"/>
        </w:rPr>
        <w:t xml:space="preserve">第十五条 </w:t>
      </w:r>
      <w:r>
        <w:rPr>
          <w:rFonts w:eastAsia="方正仿宋_GBK"/>
          <w:bCs/>
          <w:color w:val="000000"/>
          <w:spacing w:val="-2"/>
          <w:kern w:val="0"/>
          <w:sz w:val="24"/>
        </w:rPr>
        <w:t xml:space="preserve"> </w:t>
      </w:r>
      <w:r>
        <w:rPr>
          <w:rFonts w:hint="eastAsia" w:eastAsia="方正仿宋_GBK"/>
          <w:bCs/>
          <w:color w:val="000000"/>
          <w:spacing w:val="-2"/>
          <w:kern w:val="0"/>
          <w:sz w:val="24"/>
        </w:rPr>
        <w:t>产业化基地或示范工程实施完成后，实施单位应及时向所在地设区的市建设行政主管部门提出验收申请。设区的市建设行政主管部门对申报材料进行初审，签署初审意见后报送省建设行政主管部门组织验收。通过验收的由省建设行政主管部门颁发《江苏省建设领域新技术产业化基地》或者《江苏省建设领域科技示范工程》证书。</w:t>
      </w:r>
    </w:p>
    <w:p>
      <w:pPr>
        <w:tabs>
          <w:tab w:val="left" w:pos="658"/>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第十六条 </w:t>
      </w:r>
      <w:r>
        <w:rPr>
          <w:rFonts w:eastAsia="方正仿宋_GBK"/>
          <w:bCs/>
          <w:color w:val="000000"/>
          <w:spacing w:val="-2"/>
          <w:kern w:val="0"/>
          <w:sz w:val="24"/>
        </w:rPr>
        <w:t xml:space="preserve"> </w:t>
      </w:r>
      <w:r>
        <w:rPr>
          <w:rFonts w:hint="eastAsia" w:eastAsia="方正仿宋_GBK"/>
          <w:bCs/>
          <w:color w:val="000000"/>
          <w:spacing w:val="-2"/>
          <w:kern w:val="0"/>
          <w:sz w:val="24"/>
        </w:rPr>
        <w:t>产业化基地或示范工程遇特殊情况停建或者缓建，实施单位应及时报告所在地设区的市建设行政主管部门，由其提出处理意见后报省建设行政主管部门备案。</w:t>
      </w:r>
    </w:p>
    <w:p>
      <w:pPr>
        <w:tabs>
          <w:tab w:val="left" w:pos="658"/>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第十九条 </w:t>
      </w:r>
      <w:r>
        <w:rPr>
          <w:rFonts w:eastAsia="方正仿宋_GBK"/>
          <w:bCs/>
          <w:color w:val="000000"/>
          <w:spacing w:val="-2"/>
          <w:kern w:val="0"/>
          <w:sz w:val="24"/>
        </w:rPr>
        <w:t xml:space="preserve"> </w:t>
      </w:r>
      <w:r>
        <w:rPr>
          <w:rFonts w:hint="eastAsia" w:eastAsia="方正仿宋_GBK"/>
          <w:bCs/>
          <w:color w:val="000000"/>
          <w:spacing w:val="-2"/>
          <w:kern w:val="0"/>
          <w:sz w:val="24"/>
        </w:rPr>
        <w:t>对不按照计划和要求组织实施的产业化基地或示范工程，给予通报批评，直至取消资格。</w:t>
      </w:r>
    </w:p>
    <w:p>
      <w:pPr>
        <w:tabs>
          <w:tab w:val="left" w:pos="658"/>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第二十条 </w:t>
      </w:r>
      <w:r>
        <w:rPr>
          <w:rFonts w:eastAsia="方正仿宋_GBK"/>
          <w:bCs/>
          <w:color w:val="000000"/>
          <w:spacing w:val="-2"/>
          <w:kern w:val="0"/>
          <w:sz w:val="24"/>
        </w:rPr>
        <w:t xml:space="preserve"> </w:t>
      </w:r>
      <w:r>
        <w:rPr>
          <w:rFonts w:hint="eastAsia" w:eastAsia="方正仿宋_GBK"/>
          <w:bCs/>
          <w:color w:val="000000"/>
          <w:spacing w:val="-2"/>
          <w:kern w:val="0"/>
          <w:sz w:val="24"/>
        </w:rPr>
        <w:t>各级建设行政主管部门和各有关单位应将产业化基地或示范工程的实施情况纳入单位、个人工作考核范畴。对在实施过程中的先进单位和优秀个人，省建设行政主管部门将予以表彰。</w:t>
      </w:r>
    </w:p>
    <w:p>
      <w:pPr>
        <w:tabs>
          <w:tab w:val="left" w:pos="658"/>
        </w:tabs>
        <w:spacing w:line="460" w:lineRule="exact"/>
        <w:ind w:firstLine="462" w:firstLineChars="196"/>
        <w:rPr>
          <w:rFonts w:eastAsia="方正仿宋_GBK"/>
          <w:bCs/>
          <w:color w:val="000000"/>
          <w:spacing w:val="-2"/>
          <w:kern w:val="0"/>
          <w:sz w:val="24"/>
        </w:rPr>
      </w:pPr>
    </w:p>
    <w:p>
      <w:pPr>
        <w:spacing w:line="460" w:lineRule="exact"/>
        <w:jc w:val="center"/>
        <w:rPr>
          <w:rFonts w:ascii="Times New Roman" w:eastAsia="方正黑体_GBK"/>
          <w:bCs/>
          <w:color w:val="000000"/>
          <w:spacing w:val="-2"/>
          <w:kern w:val="0"/>
          <w:sz w:val="24"/>
        </w:rPr>
      </w:pPr>
      <w:r>
        <w:rPr>
          <w:rFonts w:hint="eastAsia" w:ascii="Times New Roman" w:eastAsia="方正黑体_GBK"/>
          <w:bCs/>
          <w:color w:val="000000"/>
          <w:spacing w:val="-2"/>
          <w:kern w:val="0"/>
          <w:sz w:val="24"/>
        </w:rPr>
        <w:t>第四章  附 则</w:t>
      </w:r>
    </w:p>
    <w:p>
      <w:pPr>
        <w:tabs>
          <w:tab w:val="left" w:pos="658"/>
        </w:tabs>
        <w:spacing w:line="460" w:lineRule="exact"/>
        <w:ind w:firstLine="462" w:firstLineChars="196"/>
        <w:rPr>
          <w:rFonts w:hint="eastAsia" w:eastAsia="方正仿宋_GBK"/>
          <w:bCs/>
          <w:color w:val="000000"/>
          <w:spacing w:val="-2"/>
          <w:kern w:val="0"/>
          <w:sz w:val="24"/>
        </w:rPr>
      </w:pPr>
    </w:p>
    <w:p>
      <w:pPr>
        <w:tabs>
          <w:tab w:val="left" w:pos="658"/>
        </w:tabs>
        <w:spacing w:line="460" w:lineRule="exact"/>
        <w:ind w:firstLine="462" w:firstLineChars="196"/>
        <w:rPr>
          <w:rFonts w:eastAsia="方正仿宋_GBK"/>
          <w:bCs/>
          <w:color w:val="000000"/>
          <w:spacing w:val="-2"/>
          <w:kern w:val="0"/>
          <w:sz w:val="24"/>
        </w:rPr>
      </w:pPr>
      <w:r>
        <w:rPr>
          <w:rFonts w:hint="eastAsia" w:ascii="Times New Roman" w:eastAsia="方正黑体_GBK"/>
          <w:bCs/>
          <w:color w:val="000000"/>
          <w:spacing w:val="-2"/>
          <w:kern w:val="0"/>
          <w:sz w:val="24"/>
        </w:rPr>
        <w:t xml:space="preserve">第二十一条 </w:t>
      </w:r>
      <w:r>
        <w:rPr>
          <w:rFonts w:eastAsia="方正仿宋_GBK"/>
          <w:bCs/>
          <w:color w:val="000000"/>
          <w:spacing w:val="-2"/>
          <w:kern w:val="0"/>
          <w:sz w:val="24"/>
        </w:rPr>
        <w:t xml:space="preserve"> </w:t>
      </w:r>
      <w:r>
        <w:rPr>
          <w:rFonts w:hint="eastAsia" w:eastAsia="方正仿宋_GBK"/>
          <w:bCs/>
          <w:color w:val="000000"/>
          <w:spacing w:val="-2"/>
          <w:kern w:val="0"/>
          <w:sz w:val="24"/>
        </w:rPr>
        <w:t>本实施细则由江苏省建设厅负责解释。</w:t>
      </w:r>
    </w:p>
    <w:p>
      <w:pPr>
        <w:tabs>
          <w:tab w:val="left" w:pos="658"/>
        </w:tabs>
        <w:spacing w:line="460" w:lineRule="exact"/>
        <w:ind w:firstLine="462" w:firstLineChars="196"/>
        <w:rPr>
          <w:sz w:val="24"/>
        </w:rPr>
      </w:pPr>
      <w:r>
        <w:rPr>
          <w:rFonts w:hint="eastAsia" w:ascii="Times New Roman" w:eastAsia="方正黑体_GBK"/>
          <w:bCs/>
          <w:color w:val="000000"/>
          <w:spacing w:val="-2"/>
          <w:kern w:val="0"/>
          <w:sz w:val="24"/>
        </w:rPr>
        <w:t>第二十二条</w:t>
      </w:r>
      <w:r>
        <w:rPr>
          <w:rFonts w:eastAsia="方正仿宋_GBK"/>
          <w:bCs/>
          <w:color w:val="000000"/>
          <w:spacing w:val="-2"/>
          <w:kern w:val="0"/>
          <w:sz w:val="24"/>
        </w:rPr>
        <w:t xml:space="preserve">  </w:t>
      </w:r>
      <w:r>
        <w:rPr>
          <w:rFonts w:hint="eastAsia" w:eastAsia="方正仿宋_GBK"/>
          <w:bCs/>
          <w:color w:val="000000"/>
          <w:spacing w:val="-2"/>
          <w:kern w:val="0"/>
          <w:sz w:val="24"/>
        </w:rPr>
        <w:t>本实施细则自颁布之日起施行。</w:t>
      </w:r>
    </w:p>
    <w:p>
      <w:pPr>
        <w:spacing w:line="460" w:lineRule="exact"/>
        <w:rPr>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overflowPunct w:val="0"/>
        <w:autoSpaceDE w:val="0"/>
        <w:autoSpaceDN w:val="0"/>
        <w:spacing w:line="460" w:lineRule="exact"/>
        <w:rPr>
          <w:rFonts w:eastAsia="方正仿宋_GBK"/>
          <w:color w:val="000000"/>
          <w:spacing w:val="-2"/>
          <w:sz w:val="24"/>
        </w:rPr>
      </w:pPr>
    </w:p>
    <w:p>
      <w:pPr>
        <w:spacing w:line="500" w:lineRule="exact"/>
        <w:ind w:left="-10" w:leftChars="-8" w:hanging="7" w:hangingChars="3"/>
        <w:rPr>
          <w:rFonts w:ascii="Times New Roman" w:eastAsia="方正小标宋简体"/>
          <w:sz w:val="36"/>
          <w:szCs w:val="36"/>
        </w:rPr>
      </w:pPr>
      <w:r>
        <w:rPr>
          <w:rFonts w:eastAsia="方正仿宋_GBK"/>
          <w:color w:val="000000"/>
          <w:spacing w:val="-2"/>
          <w:sz w:val="24"/>
        </w:rPr>
        <w:br w:type="column"/>
      </w:r>
    </w:p>
    <w:p>
      <w:pPr>
        <w:pStyle w:val="2"/>
        <w:spacing w:before="240" w:beforeLines="100" w:after="240" w:afterLines="100" w:line="240" w:lineRule="auto"/>
        <w:jc w:val="center"/>
        <w:rPr>
          <w:rFonts w:hint="eastAsia" w:ascii="Times New Roman" w:eastAsia="方正小标宋_GBK"/>
          <w:b w:val="0"/>
          <w:sz w:val="36"/>
          <w:szCs w:val="36"/>
        </w:rPr>
      </w:pPr>
      <w:bookmarkStart w:id="254" w:name="_Toc20726422"/>
      <w:bookmarkStart w:id="255" w:name="_Toc18315595"/>
      <w:r>
        <w:rPr>
          <w:rFonts w:hint="eastAsia" w:ascii="Times New Roman" w:eastAsia="方正小标宋_GBK"/>
          <w:b w:val="0"/>
          <w:sz w:val="36"/>
          <w:szCs w:val="36"/>
        </w:rPr>
        <w:t>关于印发《江苏省工程建设标准设计管理办法》的通知</w:t>
      </w:r>
      <w:bookmarkEnd w:id="254"/>
      <w:bookmarkEnd w:id="25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56" w:name="_Toc18315596"/>
      <w:bookmarkStart w:id="257" w:name="_Toc20726423"/>
      <w:r>
        <w:rPr>
          <w:rFonts w:hint="eastAsia" w:ascii="Times New Roman" w:hAnsi="Times New Roman" w:eastAsia="方正楷体_GBK"/>
          <w:b w:val="0"/>
          <w:sz w:val="24"/>
          <w:szCs w:val="24"/>
        </w:rPr>
        <w:t>苏建法〔</w:t>
      </w:r>
      <w:r>
        <w:rPr>
          <w:rFonts w:ascii="Times New Roman" w:hAnsi="Times New Roman" w:eastAsia="方正楷体_GBK"/>
          <w:b w:val="0"/>
          <w:sz w:val="24"/>
          <w:szCs w:val="24"/>
        </w:rPr>
        <w:t>2004</w:t>
      </w:r>
      <w:r>
        <w:rPr>
          <w:rFonts w:hint="eastAsia" w:ascii="Times New Roman" w:hAnsi="Times New Roman" w:eastAsia="方正楷体_GBK"/>
          <w:b w:val="0"/>
          <w:sz w:val="24"/>
          <w:szCs w:val="24"/>
        </w:rPr>
        <w:t>〕</w:t>
      </w:r>
      <w:r>
        <w:rPr>
          <w:rFonts w:ascii="Times New Roman" w:hAnsi="Times New Roman" w:eastAsia="方正楷体_GBK"/>
          <w:b w:val="0"/>
          <w:sz w:val="24"/>
          <w:szCs w:val="24"/>
        </w:rPr>
        <w:t>92</w:t>
      </w:r>
      <w:r>
        <w:rPr>
          <w:rFonts w:hint="eastAsia" w:ascii="Times New Roman" w:hAnsi="Times New Roman" w:eastAsia="方正楷体_GBK"/>
          <w:b w:val="0"/>
          <w:sz w:val="24"/>
          <w:szCs w:val="24"/>
        </w:rPr>
        <w:t>号</w:t>
      </w:r>
      <w:bookmarkEnd w:id="256"/>
      <w:bookmarkEnd w:id="257"/>
    </w:p>
    <w:p>
      <w:pPr>
        <w:spacing w:line="460" w:lineRule="exact"/>
        <w:jc w:val="left"/>
        <w:rPr>
          <w:rFonts w:eastAsia="方正仿宋_GBK"/>
          <w:color w:val="000000"/>
          <w:spacing w:val="-2"/>
          <w:kern w:val="0"/>
          <w:sz w:val="24"/>
        </w:rPr>
      </w:pPr>
      <w:r>
        <w:rPr>
          <w:rFonts w:hint="eastAsia" w:eastAsia="方正仿宋_GBK"/>
          <w:color w:val="000000"/>
          <w:spacing w:val="-2"/>
          <w:kern w:val="0"/>
          <w:sz w:val="24"/>
        </w:rPr>
        <w:t>各省辖市建设局（委），省各有关厅、局（总公司）：</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根据《江苏省建设工程勘察设计管理办法》和建设部《工程建设标准设计管理规定》，结合本省工程建设标准设计工作实际，我厅制订了《江苏省工程建设标准设计管理办法》，并经</w:t>
      </w:r>
      <w:r>
        <w:rPr>
          <w:rFonts w:eastAsia="方正仿宋_GBK"/>
          <w:color w:val="000000"/>
          <w:spacing w:val="-2"/>
          <w:kern w:val="0"/>
          <w:sz w:val="24"/>
        </w:rPr>
        <w:t>2004</w:t>
      </w:r>
      <w:r>
        <w:rPr>
          <w:rFonts w:hint="eastAsia" w:eastAsia="方正仿宋_GBK"/>
          <w:color w:val="000000"/>
          <w:spacing w:val="-2"/>
          <w:kern w:val="0"/>
          <w:sz w:val="24"/>
        </w:rPr>
        <w:t>年</w:t>
      </w:r>
      <w:r>
        <w:rPr>
          <w:rFonts w:eastAsia="方正仿宋_GBK"/>
          <w:color w:val="000000"/>
          <w:spacing w:val="-2"/>
          <w:kern w:val="0"/>
          <w:sz w:val="24"/>
        </w:rPr>
        <w:t>3</w:t>
      </w:r>
      <w:r>
        <w:rPr>
          <w:rFonts w:hint="eastAsia" w:eastAsia="方正仿宋_GBK"/>
          <w:color w:val="000000"/>
          <w:spacing w:val="-2"/>
          <w:kern w:val="0"/>
          <w:sz w:val="24"/>
        </w:rPr>
        <w:t>月</w:t>
      </w:r>
      <w:r>
        <w:rPr>
          <w:rFonts w:eastAsia="方正仿宋_GBK"/>
          <w:color w:val="000000"/>
          <w:spacing w:val="-2"/>
          <w:kern w:val="0"/>
          <w:sz w:val="24"/>
        </w:rPr>
        <w:t>8</w:t>
      </w:r>
      <w:r>
        <w:rPr>
          <w:rFonts w:hint="eastAsia" w:eastAsia="方正仿宋_GBK"/>
          <w:color w:val="000000"/>
          <w:spacing w:val="-2"/>
          <w:kern w:val="0"/>
          <w:sz w:val="24"/>
        </w:rPr>
        <w:t>日厅第九次常务会议审议通过。现印发给你们，请遵照执行。</w:t>
      </w:r>
    </w:p>
    <w:p>
      <w:pPr>
        <w:spacing w:line="460" w:lineRule="exact"/>
        <w:ind w:firstLine="472" w:firstLineChars="200"/>
        <w:jc w:val="left"/>
        <w:rPr>
          <w:rFonts w:eastAsia="方正仿宋_GBK"/>
          <w:color w:val="000000"/>
          <w:spacing w:val="-2"/>
          <w:kern w:val="0"/>
          <w:sz w:val="24"/>
        </w:rPr>
      </w:pP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附件：江苏省工程建设标准设计管理办法</w:t>
      </w:r>
    </w:p>
    <w:p>
      <w:pPr>
        <w:spacing w:line="460" w:lineRule="exact"/>
        <w:ind w:firstLine="4602" w:firstLineChars="1950"/>
        <w:jc w:val="right"/>
        <w:rPr>
          <w:rFonts w:eastAsia="方正仿宋_GBK"/>
          <w:color w:val="000000"/>
          <w:spacing w:val="-2"/>
          <w:kern w:val="0"/>
          <w:sz w:val="24"/>
        </w:rPr>
      </w:pPr>
    </w:p>
    <w:p>
      <w:pPr>
        <w:spacing w:line="460" w:lineRule="exact"/>
        <w:ind w:right="1037" w:rightChars="494" w:firstLine="4602" w:firstLineChars="1950"/>
        <w:jc w:val="right"/>
        <w:rPr>
          <w:rFonts w:eastAsia="方正仿宋_GBK"/>
          <w:color w:val="000000"/>
          <w:spacing w:val="-2"/>
          <w:kern w:val="0"/>
          <w:sz w:val="24"/>
        </w:rPr>
      </w:pPr>
      <w:r>
        <w:rPr>
          <w:rFonts w:hint="eastAsia" w:eastAsia="方正仿宋_GBK"/>
          <w:color w:val="000000"/>
          <w:spacing w:val="-2"/>
          <w:kern w:val="0"/>
          <w:sz w:val="24"/>
        </w:rPr>
        <w:t>江苏省建设厅</w:t>
      </w:r>
      <w:r>
        <w:rPr>
          <w:rFonts w:eastAsia="方正仿宋_GBK"/>
          <w:color w:val="000000"/>
          <w:spacing w:val="-2"/>
          <w:kern w:val="0"/>
          <w:sz w:val="24"/>
        </w:rPr>
        <w:t xml:space="preserve">        </w:t>
      </w:r>
    </w:p>
    <w:p>
      <w:pPr>
        <w:spacing w:line="460" w:lineRule="exact"/>
        <w:ind w:right="437" w:rightChars="208"/>
        <w:jc w:val="right"/>
        <w:rPr>
          <w:rFonts w:eastAsia="方正仿宋_GBK"/>
          <w:color w:val="000000"/>
          <w:spacing w:val="-2"/>
          <w:kern w:val="0"/>
          <w:sz w:val="24"/>
        </w:rPr>
      </w:pPr>
      <w:r>
        <w:rPr>
          <w:rFonts w:hint="eastAsia" w:eastAsia="方正仿宋_GBK"/>
          <w:color w:val="000000"/>
          <w:spacing w:val="-2"/>
          <w:kern w:val="0"/>
          <w:sz w:val="24"/>
        </w:rPr>
        <w:t>二</w:t>
      </w:r>
      <w:r>
        <w:rPr>
          <w:rFonts w:hint="eastAsia" w:eastAsia="方正仿宋_GBK"/>
          <w:bCs/>
          <w:snapToGrid w:val="0"/>
          <w:color w:val="000000"/>
          <w:spacing w:val="-2"/>
          <w:kern w:val="0"/>
          <w:sz w:val="24"/>
        </w:rPr>
        <w:t>○○</w:t>
      </w:r>
      <w:r>
        <w:rPr>
          <w:rFonts w:hint="eastAsia" w:eastAsia="方正仿宋_GBK"/>
          <w:color w:val="000000"/>
          <w:spacing w:val="-2"/>
          <w:kern w:val="0"/>
          <w:sz w:val="24"/>
        </w:rPr>
        <w:t>四年三月二十三日</w:t>
      </w:r>
      <w:r>
        <w:rPr>
          <w:rFonts w:eastAsia="方正仿宋_GBK"/>
          <w:color w:val="000000"/>
          <w:spacing w:val="-2"/>
          <w:kern w:val="0"/>
          <w:sz w:val="24"/>
        </w:rPr>
        <w:t xml:space="preserve">    </w:t>
      </w:r>
    </w:p>
    <w:p>
      <w:pPr>
        <w:spacing w:line="460" w:lineRule="exact"/>
        <w:rPr>
          <w:rFonts w:eastAsia="方正仿宋_GBK"/>
          <w:color w:val="000000"/>
          <w:spacing w:val="-2"/>
          <w:kern w:val="0"/>
          <w:sz w:val="24"/>
        </w:rPr>
      </w:pPr>
    </w:p>
    <w:p>
      <w:pPr>
        <w:spacing w:line="460" w:lineRule="exact"/>
        <w:rPr>
          <w:rFonts w:eastAsia="方正仿宋_GBK"/>
          <w:color w:val="000000"/>
          <w:spacing w:val="-2"/>
          <w:kern w:val="0"/>
          <w:sz w:val="24"/>
        </w:rPr>
      </w:pPr>
    </w:p>
    <w:p>
      <w:pPr>
        <w:spacing w:line="460" w:lineRule="exact"/>
        <w:jc w:val="center"/>
        <w:rPr>
          <w:rFonts w:ascii="Times New Roman" w:eastAsia="方正黑体_GBK"/>
          <w:color w:val="000000"/>
          <w:spacing w:val="-2"/>
          <w:kern w:val="0"/>
          <w:sz w:val="36"/>
          <w:szCs w:val="36"/>
        </w:rPr>
      </w:pPr>
      <w:r>
        <w:rPr>
          <w:rFonts w:hint="eastAsia" w:ascii="Times New Roman" w:eastAsia="方正黑体_GBK"/>
          <w:color w:val="000000"/>
          <w:spacing w:val="-2"/>
          <w:kern w:val="0"/>
          <w:sz w:val="36"/>
          <w:szCs w:val="36"/>
        </w:rPr>
        <w:t>江苏省工程建设标准设计管理办法</w:t>
      </w:r>
    </w:p>
    <w:p>
      <w:pPr>
        <w:spacing w:line="460" w:lineRule="exact"/>
        <w:ind w:firstLine="472" w:firstLineChars="200"/>
        <w:jc w:val="left"/>
        <w:rPr>
          <w:rFonts w:hint="eastAsia" w:eastAsia="方正仿宋_GBK"/>
          <w:color w:val="000000"/>
          <w:spacing w:val="-2"/>
          <w:kern w:val="0"/>
          <w:sz w:val="24"/>
        </w:rPr>
      </w:pP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第一条</w:t>
      </w:r>
      <w:r>
        <w:rPr>
          <w:rFonts w:hint="eastAsia" w:eastAsia="方正仿宋_GBK"/>
          <w:color w:val="000000"/>
          <w:spacing w:val="-2"/>
          <w:kern w:val="0"/>
          <w:sz w:val="24"/>
        </w:rPr>
        <w:t>　为提高我省工程设计水平，确保建设工程质量，规范工程建设标准设计工作的管理，根据《江苏省建设工程勘察设计管理办法》和建设部《工程建设标准设计管理规定》，结合我省工程建设标准设计工作实际，制定本办法。</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第二条　</w:t>
      </w:r>
      <w:r>
        <w:rPr>
          <w:rFonts w:hint="eastAsia" w:eastAsia="方正仿宋_GBK"/>
          <w:color w:val="000000"/>
          <w:spacing w:val="-2"/>
          <w:kern w:val="0"/>
          <w:sz w:val="24"/>
        </w:rPr>
        <w:t>本办法所称工程建设标准设计（以下简称标准设计）是指对工程建设构配件与制品、建筑物、构筑物、工程设施和装置等编制的通用设计文件，及为推广使用工程建设新技术、新材料、新产品、新工艺（以下简称</w:t>
      </w:r>
      <w:r>
        <w:rPr>
          <w:rFonts w:eastAsia="方正仿宋_GBK"/>
          <w:color w:val="000000"/>
          <w:spacing w:val="-2"/>
          <w:kern w:val="0"/>
          <w:sz w:val="24"/>
        </w:rPr>
        <w:t>“</w:t>
      </w:r>
      <w:r>
        <w:rPr>
          <w:rFonts w:hint="eastAsia" w:eastAsia="方正仿宋_GBK"/>
          <w:color w:val="000000"/>
          <w:spacing w:val="-2"/>
          <w:kern w:val="0"/>
          <w:sz w:val="24"/>
        </w:rPr>
        <w:t>四新</w:t>
      </w:r>
      <w:r>
        <w:rPr>
          <w:rFonts w:eastAsia="方正仿宋_GBK"/>
          <w:color w:val="000000"/>
          <w:spacing w:val="-2"/>
          <w:kern w:val="0"/>
          <w:sz w:val="24"/>
        </w:rPr>
        <w:t>”</w:t>
      </w:r>
      <w:r>
        <w:rPr>
          <w:rFonts w:hint="eastAsia" w:eastAsia="方正仿宋_GBK"/>
          <w:color w:val="000000"/>
          <w:spacing w:val="-2"/>
          <w:kern w:val="0"/>
          <w:sz w:val="24"/>
        </w:rPr>
        <w:t>成果）而编制的应用设计文件。标准设计分为国家标准设计、行业标准设计和省级地方标准设计（以下简称省标准设计）。</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第三条　</w:t>
      </w:r>
      <w:r>
        <w:rPr>
          <w:rFonts w:hint="eastAsia" w:eastAsia="方正仿宋_GBK"/>
          <w:color w:val="000000"/>
          <w:spacing w:val="-2"/>
          <w:kern w:val="0"/>
          <w:sz w:val="24"/>
        </w:rPr>
        <w:t>在本省行政区域内编制和应用省标准设计，均应遵守本办法。</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国家标准设计、行业标准设计的应用管理按国家有关规定执行。</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第四条</w:t>
      </w:r>
      <w:r>
        <w:rPr>
          <w:rFonts w:eastAsia="方正仿宋_GBK"/>
          <w:color w:val="000000"/>
          <w:spacing w:val="-2"/>
          <w:kern w:val="0"/>
          <w:sz w:val="24"/>
        </w:rPr>
        <w:t xml:space="preserve">  </w:t>
      </w:r>
      <w:r>
        <w:rPr>
          <w:rFonts w:hint="eastAsia" w:eastAsia="方正仿宋_GBK"/>
          <w:color w:val="000000"/>
          <w:spacing w:val="-2"/>
          <w:kern w:val="0"/>
          <w:sz w:val="24"/>
        </w:rPr>
        <w:t>省建设行政主管部门负责本省标准设计的审批、推广和管理工作。省标准设计的编制、审核、发行、解释等工作委托省工程建设标准设计站具体实施。</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市、县（市）建设行政主管部门负责本行政区域内标准设计的应用管理工作。</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第五条　</w:t>
      </w:r>
      <w:r>
        <w:rPr>
          <w:rFonts w:hint="eastAsia" w:eastAsia="方正仿宋_GBK"/>
          <w:color w:val="000000"/>
          <w:spacing w:val="-2"/>
          <w:kern w:val="0"/>
          <w:sz w:val="24"/>
        </w:rPr>
        <w:t>省建设行政主管部门根据工程建设需要组织研究制定省标准设计编制、修编规划纲要，并纳入全省建设事业发展规划纲要。</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省建设行政主管部门结合编制单位的申报分年度制定省标准设计编制、修编计划和专项支出预算。列入计划的省标准设计应填写《江苏省标准设计编制、修编计划表》（见附表一）。</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第六条　</w:t>
      </w:r>
      <w:r>
        <w:rPr>
          <w:rFonts w:hint="eastAsia" w:eastAsia="方正仿宋_GBK"/>
          <w:color w:val="000000"/>
          <w:spacing w:val="-2"/>
          <w:kern w:val="0"/>
          <w:sz w:val="24"/>
        </w:rPr>
        <w:t>省标准设计编制的主要范围为：</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（一）地方性工程建设构配件和制品的构造图；</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（二）地方性的建筑物、构筑物、工程设施和装置及其局部的构造图；</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（三）推广使用的工程建设</w:t>
      </w:r>
      <w:r>
        <w:rPr>
          <w:rFonts w:eastAsia="方正仿宋_GBK"/>
          <w:color w:val="000000"/>
          <w:spacing w:val="-2"/>
          <w:kern w:val="0"/>
          <w:sz w:val="24"/>
        </w:rPr>
        <w:t>“</w:t>
      </w:r>
      <w:r>
        <w:rPr>
          <w:rFonts w:hint="eastAsia" w:eastAsia="方正仿宋_GBK"/>
          <w:color w:val="000000"/>
          <w:spacing w:val="-2"/>
          <w:kern w:val="0"/>
          <w:sz w:val="24"/>
        </w:rPr>
        <w:t>四新</w:t>
      </w:r>
      <w:r>
        <w:rPr>
          <w:rFonts w:eastAsia="方正仿宋_GBK"/>
          <w:color w:val="000000"/>
          <w:spacing w:val="-2"/>
          <w:kern w:val="0"/>
          <w:sz w:val="24"/>
        </w:rPr>
        <w:t>”</w:t>
      </w:r>
      <w:r>
        <w:rPr>
          <w:rFonts w:hint="eastAsia" w:eastAsia="方正仿宋_GBK"/>
          <w:color w:val="000000"/>
          <w:spacing w:val="-2"/>
          <w:kern w:val="0"/>
          <w:sz w:val="24"/>
        </w:rPr>
        <w:t>成果应用设计图；</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（四）对勘察设计中多发性缺陷和错误进行纠正和统一的设计文件。</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第七条　</w:t>
      </w:r>
      <w:r>
        <w:rPr>
          <w:rFonts w:hint="eastAsia" w:eastAsia="方正仿宋_GBK"/>
          <w:color w:val="000000"/>
          <w:spacing w:val="-2"/>
          <w:kern w:val="0"/>
          <w:sz w:val="24"/>
        </w:rPr>
        <w:t>省标准设计必须达到以下要求：</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（一）符合国家、行业和地方标准及技术规定；</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（二）技术经济指标先进；</w:t>
      </w:r>
      <w:r>
        <w:rPr>
          <w:rFonts w:eastAsia="方正仿宋_GBK"/>
          <w:color w:val="000000"/>
          <w:spacing w:val="-2"/>
          <w:kern w:val="0"/>
          <w:sz w:val="24"/>
        </w:rPr>
        <w:t xml:space="preserve"> </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（三）符合通用性设计要求；</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（四）与相关标准设计协调一致，不得抵触；</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（五）符合相关专业设计深度规定和制图规则。</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省标准设计采用的</w:t>
      </w:r>
      <w:r>
        <w:rPr>
          <w:rFonts w:eastAsia="方正仿宋_GBK"/>
          <w:color w:val="000000"/>
          <w:spacing w:val="-2"/>
          <w:kern w:val="0"/>
          <w:sz w:val="24"/>
        </w:rPr>
        <w:t>“</w:t>
      </w:r>
      <w:r>
        <w:rPr>
          <w:rFonts w:hint="eastAsia" w:eastAsia="方正仿宋_GBK"/>
          <w:color w:val="000000"/>
          <w:spacing w:val="-2"/>
          <w:kern w:val="0"/>
          <w:sz w:val="24"/>
        </w:rPr>
        <w:t>四新</w:t>
      </w:r>
      <w:r>
        <w:rPr>
          <w:rFonts w:eastAsia="方正仿宋_GBK"/>
          <w:color w:val="000000"/>
          <w:spacing w:val="-2"/>
          <w:kern w:val="0"/>
          <w:sz w:val="24"/>
        </w:rPr>
        <w:t>”</w:t>
      </w:r>
      <w:r>
        <w:rPr>
          <w:rFonts w:hint="eastAsia" w:eastAsia="方正仿宋_GBK"/>
          <w:color w:val="000000"/>
          <w:spacing w:val="-2"/>
          <w:kern w:val="0"/>
          <w:sz w:val="24"/>
        </w:rPr>
        <w:t>成果应经过鉴定，并在一定范围内试用证明效果明显；禁止使用落后淘汰技术。</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第八条　</w:t>
      </w:r>
      <w:r>
        <w:rPr>
          <w:rFonts w:hint="eastAsia" w:eastAsia="方正仿宋_GBK"/>
          <w:color w:val="000000"/>
          <w:spacing w:val="-2"/>
          <w:kern w:val="0"/>
          <w:sz w:val="24"/>
        </w:rPr>
        <w:t>省标准设计由省建设行政主管部门按计划委托符合条件的甲、乙级勘察设计单位编制。委托合同应当明确规定双方的权利、义务，以及编制的内容、进度、费用、技术质量等要求。</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省标准设计编制经费用于编制工作，专款专用，不得挪作它用。</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第九条　</w:t>
      </w:r>
      <w:r>
        <w:rPr>
          <w:rFonts w:hint="eastAsia" w:eastAsia="方正仿宋_GBK"/>
          <w:color w:val="000000"/>
          <w:spacing w:val="-2"/>
          <w:kern w:val="0"/>
          <w:sz w:val="24"/>
        </w:rPr>
        <w:t>省标准设计编制单位应当建立有效的质量保证体系，安排具有丰富经验的设计人员参加编制工作，设计负责人应具有相应的执业资格。</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第十条　</w:t>
      </w:r>
      <w:r>
        <w:rPr>
          <w:rFonts w:hint="eastAsia" w:eastAsia="方正仿宋_GBK"/>
          <w:color w:val="000000"/>
          <w:spacing w:val="-2"/>
          <w:kern w:val="0"/>
          <w:sz w:val="24"/>
        </w:rPr>
        <w:t>勘察设计单位应当结合工程实践积极归纳形成本单位通用设计，对通用性较好、技术经济指标先进、综合效益显著的，可申报省标准设计。各有关部门以及设计、科研、施工、监理和生产单位应当积极为省标准设计编制提供所需技术资料和便利条件。</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第十一条</w:t>
      </w:r>
      <w:r>
        <w:rPr>
          <w:rFonts w:eastAsia="方正仿宋_GBK"/>
          <w:color w:val="000000"/>
          <w:spacing w:val="-2"/>
          <w:kern w:val="0"/>
          <w:sz w:val="24"/>
        </w:rPr>
        <w:t xml:space="preserve">  </w:t>
      </w:r>
      <w:r>
        <w:rPr>
          <w:rFonts w:hint="eastAsia" w:eastAsia="方正仿宋_GBK"/>
          <w:color w:val="000000"/>
          <w:spacing w:val="-2"/>
          <w:kern w:val="0"/>
          <w:sz w:val="24"/>
        </w:rPr>
        <w:t>省标准设计纳入省工程建设优秀设计评选范围。优秀标准设计等同相应级别的优秀工程设计。</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第十二条　</w:t>
      </w:r>
      <w:r>
        <w:rPr>
          <w:rFonts w:hint="eastAsia" w:eastAsia="方正仿宋_GBK"/>
          <w:color w:val="000000"/>
          <w:spacing w:val="-2"/>
          <w:kern w:val="0"/>
          <w:sz w:val="24"/>
        </w:rPr>
        <w:t>勘察设计单位承担编制省标准设计的成果可以作为单位资质年检、升级、换证的主要业绩。</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省标准设计可以作为参编人员职称评定的业绩，承担编制主要技术工作的注册执业人员视为已完成相应注册有效期内继续教育的选修学时。</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第十三条　</w:t>
      </w:r>
      <w:r>
        <w:rPr>
          <w:rFonts w:hint="eastAsia" w:eastAsia="方正仿宋_GBK"/>
          <w:color w:val="000000"/>
          <w:spacing w:val="-2"/>
          <w:kern w:val="0"/>
          <w:sz w:val="24"/>
        </w:rPr>
        <w:t>省建设行政主管部门组织省工程建设标准设计专家委员会对省标准设计进行论证、审查。</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 xml:space="preserve">第十四条  </w:t>
      </w:r>
      <w:r>
        <w:rPr>
          <w:rFonts w:hint="eastAsia" w:eastAsia="方正仿宋_GBK"/>
          <w:color w:val="000000"/>
          <w:spacing w:val="-2"/>
          <w:kern w:val="0"/>
          <w:sz w:val="24"/>
        </w:rPr>
        <w:t>省标准设计一般应经过技术条件论证、设计图征求意见、设计图审查三个阶段，重要或复杂的标准设计还应在设计图征求意见前增加初步设计论证的程序。</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省标准设计技术条件应当包括拟编制的主要内容、编制原则、相关标准、规范条款、相关技术数据资料等。</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省标准设计报审稿应当包括：全套标准设计图，通过论证的技术条件、相关计算书和编制技术说明。</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第十五条　</w:t>
      </w:r>
      <w:r>
        <w:rPr>
          <w:rFonts w:hint="eastAsia" w:eastAsia="方正仿宋_GBK"/>
          <w:color w:val="000000"/>
          <w:spacing w:val="-2"/>
          <w:kern w:val="0"/>
          <w:sz w:val="24"/>
        </w:rPr>
        <w:t>经过审查修改后的省标准设计（附电子图档）应填写《江苏省标准设计审查报批表》（见附表二），报省建设行政主管部门发布。</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第十六条　</w:t>
      </w:r>
      <w:r>
        <w:rPr>
          <w:rFonts w:hint="eastAsia" w:eastAsia="方正仿宋_GBK"/>
          <w:color w:val="000000"/>
          <w:spacing w:val="-2"/>
          <w:kern w:val="0"/>
          <w:sz w:val="24"/>
        </w:rPr>
        <w:t>省标准设计按其技术成熟程度分为通用图和推荐图。</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技术相对成熟、相关标准规范完善，或为贯彻现行工程建设标准、规范而编制的工程构配件、制品或构造等通用设计文件为通用图。</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为推广使用工程建设</w:t>
      </w:r>
      <w:r>
        <w:rPr>
          <w:rFonts w:eastAsia="方正仿宋_GBK"/>
          <w:color w:val="000000"/>
          <w:spacing w:val="-2"/>
          <w:kern w:val="0"/>
          <w:sz w:val="24"/>
        </w:rPr>
        <w:t>“</w:t>
      </w:r>
      <w:r>
        <w:rPr>
          <w:rFonts w:hint="eastAsia" w:eastAsia="方正仿宋_GBK"/>
          <w:color w:val="000000"/>
          <w:spacing w:val="-2"/>
          <w:kern w:val="0"/>
          <w:sz w:val="24"/>
        </w:rPr>
        <w:t>四新</w:t>
      </w:r>
      <w:r>
        <w:rPr>
          <w:rFonts w:eastAsia="方正仿宋_GBK"/>
          <w:color w:val="000000"/>
          <w:spacing w:val="-2"/>
          <w:kern w:val="0"/>
          <w:sz w:val="24"/>
        </w:rPr>
        <w:t>”</w:t>
      </w:r>
      <w:r>
        <w:rPr>
          <w:rFonts w:hint="eastAsia" w:eastAsia="方正仿宋_GBK"/>
          <w:color w:val="000000"/>
          <w:spacing w:val="-2"/>
          <w:kern w:val="0"/>
          <w:sz w:val="24"/>
        </w:rPr>
        <w:t>成果，相关标准规范尚不够健全，所编制的应用设计文件为推荐图。</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第十七条　</w:t>
      </w:r>
      <w:r>
        <w:rPr>
          <w:rFonts w:hint="eastAsia" w:eastAsia="方正仿宋_GBK"/>
          <w:color w:val="000000"/>
          <w:spacing w:val="-2"/>
          <w:kern w:val="0"/>
          <w:sz w:val="24"/>
        </w:rPr>
        <w:t>省标准设计应按专业分类、图集分类统一编号。</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通用图编号为：苏</w:t>
      </w:r>
      <w:r>
        <w:rPr>
          <w:rFonts w:eastAsia="方正仿宋_GBK"/>
          <w:color w:val="000000"/>
          <w:spacing w:val="-2"/>
          <w:kern w:val="0"/>
          <w:sz w:val="24"/>
        </w:rPr>
        <w:t>  Χ</w:t>
      </w:r>
      <w:r>
        <w:rPr>
          <w:rFonts w:hint="eastAsia" w:eastAsia="方正仿宋_GBK"/>
          <w:color w:val="000000"/>
          <w:spacing w:val="-2"/>
          <w:kern w:val="0"/>
          <w:sz w:val="24"/>
        </w:rPr>
        <w:t>　</w:t>
      </w:r>
      <w:r>
        <w:rPr>
          <w:rFonts w:eastAsia="方正仿宋_GBK"/>
          <w:color w:val="000000"/>
          <w:spacing w:val="-2"/>
          <w:kern w:val="0"/>
          <w:sz w:val="24"/>
        </w:rPr>
        <w:t>ΧΧ</w:t>
      </w:r>
      <w:r>
        <w:rPr>
          <w:rFonts w:hint="eastAsia" w:eastAsia="方正仿宋_GBK"/>
          <w:color w:val="000000"/>
          <w:spacing w:val="-2"/>
          <w:kern w:val="0"/>
          <w:sz w:val="24"/>
        </w:rPr>
        <w:t>　</w:t>
      </w:r>
      <w:r>
        <w:rPr>
          <w:rFonts w:eastAsia="方正仿宋_GBK"/>
          <w:color w:val="000000"/>
          <w:spacing w:val="-2"/>
          <w:kern w:val="0"/>
          <w:sz w:val="24"/>
        </w:rPr>
        <w:t>—</w:t>
      </w:r>
      <w:r>
        <w:rPr>
          <w:rFonts w:hint="eastAsia" w:eastAsia="方正仿宋_GBK"/>
          <w:color w:val="000000"/>
          <w:spacing w:val="-2"/>
          <w:kern w:val="0"/>
          <w:sz w:val="24"/>
        </w:rPr>
        <w:t>　</w:t>
      </w:r>
      <w:r>
        <w:rPr>
          <w:rFonts w:eastAsia="方正仿宋_GBK"/>
          <w:color w:val="000000"/>
          <w:spacing w:val="-2"/>
          <w:kern w:val="0"/>
          <w:sz w:val="24"/>
        </w:rPr>
        <w:t>ΧΧΧΧ</w:t>
      </w:r>
      <w:r>
        <w:rPr>
          <w:rFonts w:hint="eastAsia" w:eastAsia="方正仿宋_GBK"/>
          <w:color w:val="000000"/>
          <w:spacing w:val="-2"/>
          <w:kern w:val="0"/>
          <w:sz w:val="24"/>
        </w:rPr>
        <w:t>　</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　　　　　　</w:t>
      </w:r>
      <w:r>
        <w:rPr>
          <w:rFonts w:eastAsia="方正仿宋_GBK"/>
          <w:color w:val="000000"/>
          <w:spacing w:val="-2"/>
          <w:kern w:val="0"/>
          <w:sz w:val="24"/>
        </w:rPr>
        <w:t xml:space="preserve">  </w:t>
      </w:r>
      <w:r>
        <w:rPr>
          <w:rFonts w:hint="eastAsia" w:eastAsia="方正仿宋_GBK"/>
          <w:color w:val="000000"/>
          <w:spacing w:val="-2"/>
          <w:kern w:val="0"/>
          <w:sz w:val="24"/>
        </w:rPr>
        <w:t>专业代号　图集序号　　图集发布年号</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推荐图编号为：苏　</w:t>
      </w:r>
      <w:r>
        <w:rPr>
          <w:rFonts w:eastAsia="方正仿宋_GBK"/>
          <w:color w:val="000000"/>
          <w:spacing w:val="-2"/>
          <w:kern w:val="0"/>
          <w:sz w:val="24"/>
        </w:rPr>
        <w:t xml:space="preserve">Χ  </w:t>
      </w:r>
      <w:r>
        <w:rPr>
          <w:rFonts w:hint="eastAsia" w:eastAsia="方正仿宋_GBK"/>
          <w:color w:val="000000"/>
          <w:spacing w:val="-2"/>
          <w:kern w:val="0"/>
          <w:sz w:val="24"/>
        </w:rPr>
        <w:t>／</w:t>
      </w:r>
      <w:r>
        <w:rPr>
          <w:rFonts w:eastAsia="方正仿宋_GBK"/>
          <w:color w:val="000000"/>
          <w:spacing w:val="-2"/>
          <w:kern w:val="0"/>
          <w:sz w:val="24"/>
        </w:rPr>
        <w:t xml:space="preserve"> TΧΧ</w:t>
      </w:r>
      <w:r>
        <w:rPr>
          <w:rFonts w:hint="eastAsia" w:eastAsia="方正仿宋_GBK"/>
          <w:color w:val="000000"/>
          <w:spacing w:val="-2"/>
          <w:kern w:val="0"/>
          <w:sz w:val="24"/>
        </w:rPr>
        <w:t>　</w:t>
      </w:r>
      <w:r>
        <w:rPr>
          <w:rFonts w:eastAsia="方正仿宋_GBK"/>
          <w:color w:val="000000"/>
          <w:spacing w:val="-2"/>
          <w:kern w:val="0"/>
          <w:sz w:val="24"/>
        </w:rPr>
        <w:t>—</w:t>
      </w:r>
      <w:r>
        <w:rPr>
          <w:rFonts w:hint="eastAsia" w:eastAsia="方正仿宋_GBK"/>
          <w:color w:val="000000"/>
          <w:spacing w:val="-2"/>
          <w:kern w:val="0"/>
          <w:sz w:val="24"/>
        </w:rPr>
        <w:t>　</w:t>
      </w:r>
      <w:r>
        <w:rPr>
          <w:rFonts w:eastAsia="方正仿宋_GBK"/>
          <w:color w:val="000000"/>
          <w:spacing w:val="-2"/>
          <w:kern w:val="0"/>
          <w:sz w:val="24"/>
        </w:rPr>
        <w:t>ΧΧΧΧ</w:t>
      </w:r>
      <w:r>
        <w:rPr>
          <w:rFonts w:hint="eastAsia" w:eastAsia="方正仿宋_GBK"/>
          <w:color w:val="000000"/>
          <w:spacing w:val="-2"/>
          <w:kern w:val="0"/>
          <w:sz w:val="24"/>
        </w:rPr>
        <w:t>　</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　　　　　　专业代号</w:t>
      </w:r>
      <w:r>
        <w:rPr>
          <w:rFonts w:eastAsia="方正仿宋_GBK"/>
          <w:color w:val="000000"/>
          <w:spacing w:val="-2"/>
          <w:kern w:val="0"/>
          <w:sz w:val="24"/>
        </w:rPr>
        <w:t xml:space="preserve"> </w:t>
      </w:r>
      <w:r>
        <w:rPr>
          <w:rFonts w:hint="eastAsia" w:eastAsia="方正仿宋_GBK"/>
          <w:color w:val="000000"/>
          <w:spacing w:val="-2"/>
          <w:kern w:val="0"/>
          <w:sz w:val="24"/>
        </w:rPr>
        <w:t>推荐图集序号　</w:t>
      </w:r>
      <w:r>
        <w:rPr>
          <w:rFonts w:eastAsia="方正仿宋_GBK"/>
          <w:color w:val="000000"/>
          <w:spacing w:val="-2"/>
          <w:kern w:val="0"/>
          <w:sz w:val="24"/>
        </w:rPr>
        <w:t xml:space="preserve"> </w:t>
      </w:r>
      <w:r>
        <w:rPr>
          <w:rFonts w:hint="eastAsia" w:eastAsia="方正仿宋_GBK"/>
          <w:color w:val="000000"/>
          <w:spacing w:val="-2"/>
          <w:kern w:val="0"/>
          <w:sz w:val="24"/>
        </w:rPr>
        <w:t>图集发布年号</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属于同一系列或同一类的标准设计编号后附加顺序号（一）、（二）</w:t>
      </w:r>
      <w:r>
        <w:rPr>
          <w:rFonts w:hint="eastAsia" w:ascii="Times New Roman" w:hAnsi="Times New Roman"/>
          <w:color w:val="000000"/>
          <w:spacing w:val="-2"/>
          <w:kern w:val="0"/>
          <w:sz w:val="24"/>
        </w:rPr>
        <w:t>……</w:t>
      </w:r>
      <w:r>
        <w:rPr>
          <w:rFonts w:eastAsia="方正仿宋_GBK"/>
          <w:color w:val="000000"/>
          <w:spacing w:val="-2"/>
          <w:kern w:val="0"/>
          <w:sz w:val="24"/>
        </w:rPr>
        <w:t xml:space="preserve"> </w:t>
      </w:r>
      <w:r>
        <w:rPr>
          <w:rFonts w:hint="eastAsia" w:eastAsia="方正仿宋_GBK"/>
          <w:color w:val="000000"/>
          <w:spacing w:val="-2"/>
          <w:kern w:val="0"/>
          <w:sz w:val="24"/>
        </w:rPr>
        <w:t>以示区别。</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第十八条　</w:t>
      </w:r>
      <w:r>
        <w:rPr>
          <w:rFonts w:hint="eastAsia" w:eastAsia="方正仿宋_GBK"/>
          <w:color w:val="000000"/>
          <w:spacing w:val="-2"/>
          <w:kern w:val="0"/>
          <w:sz w:val="24"/>
        </w:rPr>
        <w:t>经批准发布的省标准设计是具有技术指导性的设计文件。省内各类工程建设项目应结合实际，优先采用。</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市、县（市）建设行政主管部门和相关机构应当积极推广应用标准设计。</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第十九条　</w:t>
      </w:r>
      <w:r>
        <w:rPr>
          <w:rFonts w:hint="eastAsia" w:eastAsia="方正仿宋_GBK"/>
          <w:color w:val="000000"/>
          <w:spacing w:val="-2"/>
          <w:kern w:val="0"/>
          <w:sz w:val="24"/>
        </w:rPr>
        <w:t>工程设计单位应当正确选用省标准设计，工程设计文件中采用省标准设计应当注明所采用的图集编号、页次、选用图号等。</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工程建设和制品生产采用标准设计的，应按照标准设计所规定的技术经济指标和质量标准进行实施和生产。达不到要求的，按未达到设计要求情节依照相关法规进行处理。省标准设计中涉及专利技术的，应符合专利保护的相关法规。</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工程建设中不得选用未经批准发布的标准设计图集。</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第二十条</w:t>
      </w:r>
      <w:r>
        <w:rPr>
          <w:rFonts w:eastAsia="方正仿宋_GBK"/>
          <w:color w:val="000000"/>
          <w:spacing w:val="-2"/>
          <w:kern w:val="0"/>
          <w:sz w:val="24"/>
        </w:rPr>
        <w:t xml:space="preserve">  </w:t>
      </w:r>
      <w:r>
        <w:rPr>
          <w:rFonts w:hint="eastAsia" w:eastAsia="方正仿宋_GBK"/>
          <w:color w:val="000000"/>
          <w:spacing w:val="-2"/>
          <w:kern w:val="0"/>
          <w:sz w:val="24"/>
        </w:rPr>
        <w:t>省标准设计应根据技术发展和工程建设需要定期进行复审，一般通用图五年、推荐图三年复审一次，对于技术落后，已不符合新颁布的国家标准、规范的，要及时修编或废止。省标准设计的废止由省建设行政主管部门公布。</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已公布废止的省标准设计，自废止之日起工程设计中不得采用。</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第二十一条　</w:t>
      </w:r>
      <w:r>
        <w:rPr>
          <w:rFonts w:hint="eastAsia" w:eastAsia="方正仿宋_GBK"/>
          <w:color w:val="000000"/>
          <w:spacing w:val="-2"/>
          <w:kern w:val="0"/>
          <w:sz w:val="24"/>
        </w:rPr>
        <w:t>省标准设计由省工程建设标准设计站组织印刷。</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第二十二条　</w:t>
      </w:r>
      <w:r>
        <w:rPr>
          <w:rFonts w:hint="eastAsia" w:eastAsia="方正仿宋_GBK"/>
          <w:color w:val="000000"/>
          <w:spacing w:val="-2"/>
          <w:kern w:val="0"/>
          <w:sz w:val="24"/>
        </w:rPr>
        <w:t>省工程建设标准设计站在建立健全图集供应网络，保障供应的基础上，逐步推行标准设计应用会员制。</w:t>
      </w:r>
    </w:p>
    <w:p>
      <w:pPr>
        <w:spacing w:line="460" w:lineRule="exact"/>
        <w:ind w:firstLine="472" w:firstLineChars="200"/>
        <w:jc w:val="left"/>
        <w:rPr>
          <w:rFonts w:eastAsia="方正仿宋_GBK"/>
          <w:color w:val="000000"/>
          <w:spacing w:val="-2"/>
          <w:kern w:val="0"/>
          <w:sz w:val="24"/>
        </w:rPr>
      </w:pPr>
      <w:r>
        <w:rPr>
          <w:rFonts w:hint="eastAsia" w:ascii="Times New Roman" w:eastAsia="方正黑体_GBK"/>
          <w:color w:val="000000"/>
          <w:spacing w:val="-2"/>
          <w:kern w:val="0"/>
          <w:sz w:val="24"/>
        </w:rPr>
        <w:t>第二十四条　</w:t>
      </w:r>
      <w:r>
        <w:rPr>
          <w:rFonts w:hint="eastAsia" w:eastAsia="方正仿宋_GBK"/>
          <w:color w:val="000000"/>
          <w:spacing w:val="-2"/>
          <w:kern w:val="0"/>
          <w:sz w:val="24"/>
        </w:rPr>
        <w:t>本办法自</w:t>
      </w:r>
      <w:r>
        <w:rPr>
          <w:rFonts w:eastAsia="方正仿宋_GBK"/>
          <w:color w:val="000000"/>
          <w:spacing w:val="-2"/>
          <w:kern w:val="0"/>
          <w:sz w:val="24"/>
        </w:rPr>
        <w:t>2004</w:t>
      </w:r>
      <w:r>
        <w:rPr>
          <w:rFonts w:hint="eastAsia" w:eastAsia="方正仿宋_GBK"/>
          <w:color w:val="000000"/>
          <w:spacing w:val="-2"/>
          <w:kern w:val="0"/>
          <w:sz w:val="24"/>
        </w:rPr>
        <w:t>年</w:t>
      </w:r>
      <w:r>
        <w:rPr>
          <w:rFonts w:eastAsia="方正仿宋_GBK"/>
          <w:color w:val="000000"/>
          <w:spacing w:val="-2"/>
          <w:kern w:val="0"/>
          <w:sz w:val="24"/>
        </w:rPr>
        <w:t>4</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日起施行。</w:t>
      </w:r>
    </w:p>
    <w:p>
      <w:pPr>
        <w:spacing w:line="460" w:lineRule="exact"/>
        <w:ind w:firstLine="472" w:firstLineChars="200"/>
        <w:jc w:val="left"/>
        <w:rPr>
          <w:rFonts w:eastAsia="方正仿宋_GBK"/>
          <w:color w:val="000000"/>
          <w:spacing w:val="-2"/>
          <w:kern w:val="0"/>
          <w:sz w:val="24"/>
        </w:rPr>
      </w:pPr>
    </w:p>
    <w:p>
      <w:pPr>
        <w:spacing w:line="460" w:lineRule="exact"/>
        <w:ind w:firstLine="472" w:firstLineChars="200"/>
        <w:jc w:val="left"/>
        <w:rPr>
          <w:rFonts w:eastAsia="方正仿宋_GBK"/>
          <w:color w:val="000000"/>
          <w:spacing w:val="-2"/>
          <w:kern w:val="0"/>
          <w:sz w:val="24"/>
        </w:rPr>
      </w:pPr>
    </w:p>
    <w:p>
      <w:pPr>
        <w:spacing w:line="460" w:lineRule="exact"/>
        <w:jc w:val="left"/>
        <w:rPr>
          <w:rFonts w:ascii="Times New Roman" w:eastAsia="方正黑体_GBK" w:cs="宋体"/>
          <w:b/>
          <w:color w:val="000000"/>
          <w:spacing w:val="-2"/>
          <w:kern w:val="0"/>
          <w:sz w:val="28"/>
          <w:szCs w:val="28"/>
        </w:rPr>
      </w:pPr>
      <w:r>
        <w:rPr>
          <w:rFonts w:eastAsia="方正仿宋_GBK"/>
          <w:color w:val="000000"/>
          <w:spacing w:val="-2"/>
          <w:sz w:val="24"/>
        </w:rPr>
        <w:br w:type="column"/>
      </w:r>
      <w:r>
        <w:rPr>
          <w:rFonts w:hint="eastAsia" w:ascii="Times New Roman" w:eastAsia="方正黑体_GBK" w:cs="宋体"/>
          <w:color w:val="000000"/>
          <w:spacing w:val="-2"/>
          <w:kern w:val="0"/>
          <w:sz w:val="28"/>
          <w:szCs w:val="28"/>
        </w:rPr>
        <w:t>附表一：</w:t>
      </w:r>
    </w:p>
    <w:p>
      <w:pPr>
        <w:jc w:val="center"/>
        <w:rPr>
          <w:rFonts w:hint="eastAsia" w:ascii="Times New Roman" w:eastAsia="方正黑体_GBK" w:cs="宋体"/>
          <w:color w:val="000000"/>
          <w:spacing w:val="-2"/>
          <w:kern w:val="0"/>
          <w:sz w:val="32"/>
          <w:szCs w:val="32"/>
        </w:rPr>
      </w:pPr>
      <w:r>
        <w:rPr>
          <w:rFonts w:hint="eastAsia" w:ascii="Times New Roman" w:eastAsia="方正黑体_GBK" w:cs="宋体"/>
          <w:color w:val="000000"/>
          <w:spacing w:val="-2"/>
          <w:kern w:val="0"/>
          <w:sz w:val="32"/>
          <w:szCs w:val="32"/>
        </w:rPr>
        <w:t>江苏省标准设计编制、修编计划表</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49"/>
        <w:gridCol w:w="3213"/>
        <w:gridCol w:w="1240"/>
        <w:gridCol w:w="273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849" w:type="dxa"/>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标准设计名称</w:t>
            </w:r>
          </w:p>
        </w:tc>
        <w:tc>
          <w:tcPr>
            <w:tcW w:w="7189" w:type="dxa"/>
            <w:gridSpan w:val="3"/>
            <w:tcBorders>
              <w:top w:val="single" w:color="auto" w:sz="8"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82" w:hRule="atLeast"/>
          <w:jc w:val="center"/>
        </w:trPr>
        <w:tc>
          <w:tcPr>
            <w:tcW w:w="1849"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编制、修编</w:t>
            </w:r>
          </w:p>
          <w:p>
            <w:pPr>
              <w:jc w:val="center"/>
              <w:rPr>
                <w:rFonts w:eastAsia="方正仿宋_GBK"/>
                <w:color w:val="000000"/>
                <w:spacing w:val="-2"/>
                <w:kern w:val="0"/>
                <w:szCs w:val="21"/>
              </w:rPr>
            </w:pPr>
            <w:r>
              <w:rPr>
                <w:rFonts w:hint="eastAsia" w:eastAsia="方正仿宋_GBK"/>
                <w:color w:val="000000"/>
                <w:spacing w:val="-2"/>
                <w:kern w:val="0"/>
                <w:szCs w:val="21"/>
              </w:rPr>
              <w:t>主要目的</w:t>
            </w:r>
          </w:p>
          <w:p>
            <w:pPr>
              <w:jc w:val="center"/>
              <w:rPr>
                <w:rFonts w:eastAsia="方正仿宋_GBK"/>
                <w:color w:val="000000"/>
                <w:spacing w:val="-2"/>
                <w:kern w:val="0"/>
                <w:szCs w:val="21"/>
              </w:rPr>
            </w:pPr>
            <w:r>
              <w:rPr>
                <w:rFonts w:hint="eastAsia" w:eastAsia="方正仿宋_GBK"/>
                <w:color w:val="000000"/>
                <w:spacing w:val="-2"/>
                <w:kern w:val="0"/>
                <w:szCs w:val="21"/>
              </w:rPr>
              <w:t>和内容</w:t>
            </w:r>
          </w:p>
        </w:tc>
        <w:tc>
          <w:tcPr>
            <w:tcW w:w="7189" w:type="dxa"/>
            <w:gridSpan w:val="3"/>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p>
            <w:pPr>
              <w:jc w:val="left"/>
              <w:rPr>
                <w:rFonts w:eastAsia="方正仿宋_GBK"/>
                <w:color w:val="000000"/>
                <w:spacing w:val="-2"/>
                <w:kern w:val="0"/>
                <w:szCs w:val="21"/>
              </w:rPr>
            </w:pPr>
          </w:p>
          <w:p>
            <w:pPr>
              <w:jc w:val="left"/>
              <w:rPr>
                <w:rFonts w:eastAsia="方正仿宋_GBK"/>
                <w:color w:val="000000"/>
                <w:spacing w:val="-2"/>
                <w:kern w:val="0"/>
                <w:szCs w:val="21"/>
              </w:rPr>
            </w:pPr>
          </w:p>
          <w:p>
            <w:pPr>
              <w:jc w:val="left"/>
              <w:rPr>
                <w:rFonts w:eastAsia="方正仿宋_GBK"/>
                <w:color w:val="000000"/>
                <w:spacing w:val="-2"/>
                <w:kern w:val="0"/>
                <w:szCs w:val="21"/>
              </w:rPr>
            </w:pPr>
          </w:p>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1849"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现行相关国家标准和标准设计情况</w:t>
            </w:r>
          </w:p>
        </w:tc>
        <w:tc>
          <w:tcPr>
            <w:tcW w:w="7189" w:type="dxa"/>
            <w:gridSpan w:val="3"/>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p>
            <w:pPr>
              <w:jc w:val="left"/>
              <w:rPr>
                <w:rFonts w:eastAsia="方正仿宋_GBK"/>
                <w:color w:val="000000"/>
                <w:spacing w:val="-2"/>
                <w:kern w:val="0"/>
                <w:szCs w:val="21"/>
              </w:rPr>
            </w:pPr>
          </w:p>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1849"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经</w:t>
            </w:r>
            <w:r>
              <w:rPr>
                <w:rFonts w:eastAsia="方正仿宋_GBK"/>
                <w:color w:val="000000"/>
                <w:spacing w:val="-2"/>
                <w:kern w:val="0"/>
                <w:szCs w:val="21"/>
              </w:rPr>
              <w:t xml:space="preserve"> </w:t>
            </w:r>
            <w:r>
              <w:rPr>
                <w:rFonts w:hint="eastAsia" w:eastAsia="方正仿宋_GBK"/>
                <w:color w:val="000000"/>
                <w:spacing w:val="-2"/>
                <w:kern w:val="0"/>
                <w:szCs w:val="21"/>
              </w:rPr>
              <w:t>费</w:t>
            </w:r>
          </w:p>
        </w:tc>
        <w:tc>
          <w:tcPr>
            <w:tcW w:w="7189" w:type="dxa"/>
            <w:gridSpan w:val="3"/>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1849"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编制单位</w:t>
            </w:r>
          </w:p>
        </w:tc>
        <w:tc>
          <w:tcPr>
            <w:tcW w:w="7189" w:type="dxa"/>
            <w:gridSpan w:val="3"/>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1849"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项目负责人</w:t>
            </w:r>
          </w:p>
        </w:tc>
        <w:tc>
          <w:tcPr>
            <w:tcW w:w="7189" w:type="dxa"/>
            <w:gridSpan w:val="3"/>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1849"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编制进度</w:t>
            </w:r>
          </w:p>
        </w:tc>
        <w:tc>
          <w:tcPr>
            <w:tcW w:w="3213" w:type="dxa"/>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kern w:val="0"/>
                <w:szCs w:val="21"/>
              </w:rPr>
            </w:pPr>
          </w:p>
        </w:tc>
        <w:tc>
          <w:tcPr>
            <w:tcW w:w="12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联系方法</w:t>
            </w:r>
          </w:p>
        </w:tc>
        <w:tc>
          <w:tcPr>
            <w:tcW w:w="2736"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1849" w:type="dxa"/>
            <w:tcBorders>
              <w:top w:val="single" w:color="auto" w:sz="4" w:space="0"/>
              <w:left w:val="single" w:color="auto" w:sz="8" w:space="0"/>
              <w:bottom w:val="single" w:color="auto" w:sz="8" w:space="0"/>
              <w:right w:val="single" w:color="auto" w:sz="4" w:space="0"/>
            </w:tcBorders>
            <w:noWrap w:val="0"/>
            <w:vAlign w:val="center"/>
          </w:tcPr>
          <w:p>
            <w:pPr>
              <w:spacing w:line="70" w:lineRule="atLeast"/>
              <w:jc w:val="center"/>
              <w:rPr>
                <w:rFonts w:eastAsia="方正仿宋_GBK"/>
                <w:color w:val="000000"/>
                <w:spacing w:val="-2"/>
                <w:kern w:val="0"/>
                <w:szCs w:val="21"/>
              </w:rPr>
            </w:pPr>
            <w:r>
              <w:rPr>
                <w:rFonts w:hint="eastAsia" w:eastAsia="方正仿宋_GBK"/>
                <w:color w:val="000000"/>
                <w:spacing w:val="-2"/>
                <w:kern w:val="0"/>
                <w:szCs w:val="21"/>
              </w:rPr>
              <w:t>备注</w:t>
            </w:r>
          </w:p>
        </w:tc>
        <w:tc>
          <w:tcPr>
            <w:tcW w:w="7189" w:type="dxa"/>
            <w:gridSpan w:val="3"/>
            <w:tcBorders>
              <w:top w:val="single" w:color="auto" w:sz="4" w:space="0"/>
              <w:left w:val="single" w:color="auto" w:sz="4" w:space="0"/>
              <w:bottom w:val="single" w:color="auto" w:sz="8" w:space="0"/>
              <w:right w:val="single" w:color="auto" w:sz="8" w:space="0"/>
            </w:tcBorders>
            <w:noWrap w:val="0"/>
            <w:vAlign w:val="center"/>
          </w:tcPr>
          <w:p>
            <w:pPr>
              <w:jc w:val="center"/>
              <w:rPr>
                <w:rFonts w:eastAsia="方正仿宋_GBK"/>
                <w:color w:val="000000"/>
                <w:spacing w:val="-2"/>
                <w:kern w:val="0"/>
                <w:szCs w:val="21"/>
              </w:rPr>
            </w:pPr>
          </w:p>
        </w:tc>
      </w:tr>
    </w:tbl>
    <w:p>
      <w:pPr>
        <w:jc w:val="left"/>
        <w:rPr>
          <w:rFonts w:hint="eastAsia" w:cs="宋体"/>
          <w:color w:val="000000"/>
          <w:spacing w:val="-2"/>
          <w:kern w:val="0"/>
          <w:sz w:val="24"/>
          <w:szCs w:val="21"/>
        </w:rPr>
      </w:pPr>
    </w:p>
    <w:p>
      <w:pPr>
        <w:spacing w:line="460" w:lineRule="exact"/>
        <w:jc w:val="left"/>
        <w:rPr>
          <w:rFonts w:cs="宋体"/>
          <w:b/>
          <w:color w:val="000000"/>
          <w:spacing w:val="-2"/>
          <w:kern w:val="0"/>
          <w:sz w:val="24"/>
          <w:szCs w:val="21"/>
        </w:rPr>
      </w:pPr>
      <w:r>
        <w:rPr>
          <w:rFonts w:hint="eastAsia" w:ascii="Times New Roman" w:eastAsia="方正黑体_GBK" w:cs="宋体"/>
          <w:color w:val="000000"/>
          <w:spacing w:val="-2"/>
          <w:kern w:val="0"/>
          <w:sz w:val="28"/>
          <w:szCs w:val="28"/>
        </w:rPr>
        <w:t>附表二</w:t>
      </w:r>
      <w:r>
        <w:rPr>
          <w:rFonts w:hint="eastAsia" w:cs="宋体"/>
          <w:color w:val="000000"/>
          <w:spacing w:val="-2"/>
          <w:kern w:val="0"/>
          <w:sz w:val="24"/>
          <w:szCs w:val="21"/>
        </w:rPr>
        <w:t>：</w:t>
      </w:r>
    </w:p>
    <w:p>
      <w:pPr>
        <w:jc w:val="center"/>
        <w:rPr>
          <w:rFonts w:cs="宋体"/>
          <w:b/>
          <w:color w:val="000000"/>
          <w:spacing w:val="-2"/>
          <w:kern w:val="0"/>
          <w:sz w:val="24"/>
          <w:szCs w:val="21"/>
        </w:rPr>
      </w:pPr>
      <w:r>
        <w:rPr>
          <w:rFonts w:hint="eastAsia" w:ascii="Times New Roman" w:eastAsia="方正黑体_GBK" w:cs="宋体"/>
          <w:color w:val="000000"/>
          <w:spacing w:val="-2"/>
          <w:kern w:val="0"/>
          <w:sz w:val="32"/>
          <w:szCs w:val="32"/>
        </w:rPr>
        <w:t>江苏省标准设计审查报批表</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62"/>
        <w:gridCol w:w="719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4" w:hRule="exact"/>
          <w:jc w:val="center"/>
        </w:trPr>
        <w:tc>
          <w:tcPr>
            <w:tcW w:w="1862" w:type="dxa"/>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标准设计名称</w:t>
            </w:r>
          </w:p>
        </w:tc>
        <w:tc>
          <w:tcPr>
            <w:tcW w:w="7196" w:type="dxa"/>
            <w:tcBorders>
              <w:top w:val="single" w:color="auto" w:sz="8"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5" w:hRule="exact"/>
          <w:jc w:val="center"/>
        </w:trPr>
        <w:tc>
          <w:tcPr>
            <w:tcW w:w="186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主编单位</w:t>
            </w:r>
          </w:p>
        </w:tc>
        <w:tc>
          <w:tcPr>
            <w:tcW w:w="7196"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1" w:hRule="exact"/>
          <w:jc w:val="center"/>
        </w:trPr>
        <w:tc>
          <w:tcPr>
            <w:tcW w:w="186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协编单位</w:t>
            </w:r>
          </w:p>
        </w:tc>
        <w:tc>
          <w:tcPr>
            <w:tcW w:w="7196"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2" w:hRule="exact"/>
          <w:jc w:val="center"/>
        </w:trPr>
        <w:tc>
          <w:tcPr>
            <w:tcW w:w="186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技术负责</w:t>
            </w:r>
          </w:p>
        </w:tc>
        <w:tc>
          <w:tcPr>
            <w:tcW w:w="7196"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8" w:hRule="exact"/>
          <w:jc w:val="center"/>
        </w:trPr>
        <w:tc>
          <w:tcPr>
            <w:tcW w:w="186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编制人员</w:t>
            </w:r>
          </w:p>
        </w:tc>
        <w:tc>
          <w:tcPr>
            <w:tcW w:w="7196"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1862"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编制单位意见</w:t>
            </w:r>
          </w:p>
        </w:tc>
        <w:tc>
          <w:tcPr>
            <w:tcW w:w="7196"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kern w:val="0"/>
                <w:szCs w:val="21"/>
              </w:rPr>
            </w:pPr>
          </w:p>
          <w:p>
            <w:pPr>
              <w:jc w:val="left"/>
              <w:rPr>
                <w:rFonts w:eastAsia="方正仿宋_GBK"/>
                <w:color w:val="000000"/>
                <w:spacing w:val="-2"/>
                <w:kern w:val="0"/>
                <w:szCs w:val="21"/>
              </w:rPr>
            </w:pPr>
          </w:p>
          <w:p>
            <w:pPr>
              <w:jc w:val="left"/>
              <w:rPr>
                <w:rFonts w:eastAsia="方正仿宋_GBK"/>
                <w:color w:val="000000"/>
                <w:spacing w:val="-2"/>
                <w:kern w:val="0"/>
                <w:szCs w:val="21"/>
              </w:rPr>
            </w:pPr>
          </w:p>
          <w:p>
            <w:pPr>
              <w:jc w:val="left"/>
              <w:rPr>
                <w:rFonts w:eastAsia="方正仿宋_GBK"/>
                <w:color w:val="000000"/>
                <w:spacing w:val="-2"/>
                <w:kern w:val="0"/>
                <w:szCs w:val="21"/>
              </w:rPr>
            </w:pPr>
          </w:p>
          <w:p>
            <w:pPr>
              <w:jc w:val="right"/>
              <w:rPr>
                <w:rFonts w:eastAsia="方正仿宋_GBK"/>
                <w:color w:val="000000"/>
                <w:spacing w:val="-2"/>
                <w:kern w:val="0"/>
                <w:szCs w:val="21"/>
              </w:rPr>
            </w:pPr>
            <w:r>
              <w:rPr>
                <w:rFonts w:hint="eastAsia" w:eastAsia="方正仿宋_GBK"/>
                <w:color w:val="000000"/>
                <w:spacing w:val="-2"/>
                <w:kern w:val="0"/>
                <w:szCs w:val="21"/>
              </w:rPr>
              <w:t>年</w:t>
            </w:r>
            <w:r>
              <w:rPr>
                <w:rFonts w:eastAsia="方正仿宋_GBK"/>
                <w:color w:val="000000"/>
                <w:spacing w:val="-2"/>
                <w:kern w:val="0"/>
                <w:szCs w:val="21"/>
              </w:rPr>
              <w:t xml:space="preserve">  </w:t>
            </w:r>
            <w:r>
              <w:rPr>
                <w:rFonts w:hint="eastAsia" w:eastAsia="方正仿宋_GBK"/>
                <w:color w:val="000000"/>
                <w:spacing w:val="-2"/>
                <w:kern w:val="0"/>
                <w:szCs w:val="21"/>
              </w:rPr>
              <w:t>月</w:t>
            </w:r>
            <w:r>
              <w:rPr>
                <w:rFonts w:eastAsia="方正仿宋_GBK"/>
                <w:color w:val="000000"/>
                <w:spacing w:val="-2"/>
                <w:kern w:val="0"/>
                <w:szCs w:val="21"/>
              </w:rPr>
              <w:t xml:space="preserve">  </w:t>
            </w:r>
            <w:r>
              <w:rPr>
                <w:rFonts w:hint="eastAsia" w:eastAsia="方正仿宋_GBK"/>
                <w:color w:val="000000"/>
                <w:spacing w:val="-2"/>
                <w:kern w:val="0"/>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0" w:hRule="atLeast"/>
          <w:jc w:val="center"/>
        </w:trPr>
        <w:tc>
          <w:tcPr>
            <w:tcW w:w="1862"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kern w:val="0"/>
                <w:szCs w:val="21"/>
              </w:rPr>
            </w:pPr>
            <w:r>
              <w:rPr>
                <w:rFonts w:hint="eastAsia" w:eastAsia="方正仿宋_GBK"/>
                <w:color w:val="000000"/>
                <w:spacing w:val="-2"/>
                <w:kern w:val="0"/>
                <w:szCs w:val="21"/>
              </w:rPr>
              <w:t>审查专家组</w:t>
            </w:r>
          </w:p>
          <w:p>
            <w:pPr>
              <w:jc w:val="center"/>
              <w:rPr>
                <w:rFonts w:eastAsia="方正仿宋_GBK"/>
                <w:color w:val="000000"/>
                <w:spacing w:val="-2"/>
                <w:kern w:val="0"/>
                <w:szCs w:val="21"/>
              </w:rPr>
            </w:pPr>
            <w:r>
              <w:rPr>
                <w:rFonts w:hint="eastAsia" w:eastAsia="方正仿宋_GBK"/>
                <w:color w:val="000000"/>
                <w:spacing w:val="-2"/>
                <w:kern w:val="0"/>
                <w:szCs w:val="21"/>
              </w:rPr>
              <w:t>评审意见</w:t>
            </w:r>
          </w:p>
        </w:tc>
        <w:tc>
          <w:tcPr>
            <w:tcW w:w="7196" w:type="dxa"/>
            <w:tcBorders>
              <w:top w:val="single" w:color="auto" w:sz="4" w:space="0"/>
              <w:left w:val="single" w:color="auto" w:sz="4" w:space="0"/>
              <w:bottom w:val="single" w:color="auto" w:sz="8" w:space="0"/>
              <w:right w:val="single" w:color="auto" w:sz="8" w:space="0"/>
            </w:tcBorders>
            <w:noWrap w:val="0"/>
            <w:vAlign w:val="center"/>
          </w:tcPr>
          <w:p>
            <w:pPr>
              <w:jc w:val="left"/>
              <w:rPr>
                <w:rFonts w:eastAsia="方正仿宋_GBK"/>
                <w:color w:val="000000"/>
                <w:spacing w:val="-2"/>
                <w:kern w:val="0"/>
                <w:szCs w:val="21"/>
              </w:rPr>
            </w:pPr>
          </w:p>
          <w:p>
            <w:pPr>
              <w:jc w:val="left"/>
              <w:rPr>
                <w:rFonts w:eastAsia="方正仿宋_GBK"/>
                <w:color w:val="000000"/>
                <w:spacing w:val="-2"/>
                <w:kern w:val="0"/>
                <w:szCs w:val="21"/>
              </w:rPr>
            </w:pPr>
          </w:p>
          <w:p>
            <w:pPr>
              <w:jc w:val="left"/>
              <w:rPr>
                <w:rFonts w:eastAsia="方正仿宋_GBK"/>
                <w:color w:val="000000"/>
                <w:spacing w:val="-2"/>
                <w:kern w:val="0"/>
                <w:szCs w:val="21"/>
              </w:rPr>
            </w:pPr>
          </w:p>
          <w:p>
            <w:pPr>
              <w:ind w:firstLine="3584" w:firstLineChars="1740"/>
              <w:jc w:val="left"/>
              <w:rPr>
                <w:rFonts w:eastAsia="方正仿宋_GBK"/>
                <w:color w:val="000000"/>
                <w:spacing w:val="-2"/>
                <w:kern w:val="0"/>
                <w:szCs w:val="21"/>
              </w:rPr>
            </w:pPr>
            <w:r>
              <w:rPr>
                <w:rFonts w:hint="eastAsia" w:eastAsia="方正仿宋_GBK"/>
                <w:color w:val="000000"/>
                <w:spacing w:val="-2"/>
                <w:kern w:val="0"/>
                <w:szCs w:val="21"/>
              </w:rPr>
              <w:t>组长（签名）：</w:t>
            </w:r>
          </w:p>
          <w:p>
            <w:pPr>
              <w:ind w:firstLine="3090" w:firstLineChars="1500"/>
              <w:jc w:val="right"/>
              <w:rPr>
                <w:rFonts w:eastAsia="方正仿宋_GBK"/>
                <w:color w:val="000000"/>
                <w:spacing w:val="-2"/>
                <w:kern w:val="0"/>
                <w:szCs w:val="21"/>
              </w:rPr>
            </w:pPr>
            <w:r>
              <w:rPr>
                <w:rFonts w:hint="eastAsia" w:eastAsia="方正仿宋_GBK"/>
                <w:color w:val="000000"/>
                <w:spacing w:val="-2"/>
                <w:kern w:val="0"/>
                <w:szCs w:val="21"/>
              </w:rPr>
              <w:t>年</w:t>
            </w:r>
            <w:r>
              <w:rPr>
                <w:rFonts w:eastAsia="方正仿宋_GBK"/>
                <w:color w:val="000000"/>
                <w:spacing w:val="-2"/>
                <w:kern w:val="0"/>
                <w:szCs w:val="21"/>
              </w:rPr>
              <w:t xml:space="preserve">  </w:t>
            </w:r>
            <w:r>
              <w:rPr>
                <w:rFonts w:hint="eastAsia" w:eastAsia="方正仿宋_GBK"/>
                <w:color w:val="000000"/>
                <w:spacing w:val="-2"/>
                <w:kern w:val="0"/>
                <w:szCs w:val="21"/>
              </w:rPr>
              <w:t>月</w:t>
            </w:r>
            <w:r>
              <w:rPr>
                <w:rFonts w:eastAsia="方正仿宋_GBK"/>
                <w:color w:val="000000"/>
                <w:spacing w:val="-2"/>
                <w:kern w:val="0"/>
                <w:szCs w:val="21"/>
              </w:rPr>
              <w:t xml:space="preserve">  </w:t>
            </w:r>
            <w:r>
              <w:rPr>
                <w:rFonts w:hint="eastAsia" w:eastAsia="方正仿宋_GBK"/>
                <w:color w:val="000000"/>
                <w:spacing w:val="-2"/>
                <w:kern w:val="0"/>
                <w:szCs w:val="21"/>
              </w:rPr>
              <w:t>日</w:t>
            </w:r>
          </w:p>
        </w:tc>
      </w:tr>
    </w:tbl>
    <w:p>
      <w:pPr>
        <w:rPr>
          <w:color w:val="000000"/>
          <w:spacing w:val="-2"/>
        </w:rPr>
      </w:pP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p>
    <w:p>
      <w:pPr>
        <w:spacing w:line="460" w:lineRule="exact"/>
        <w:ind w:firstLine="480" w:firstLineChars="200"/>
        <w:rPr>
          <w:rFonts w:eastAsia="方正仿宋_GBK"/>
          <w:color w:val="000000"/>
          <w:sz w:val="24"/>
        </w:rPr>
      </w:pPr>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258" w:name="_Toc18315505"/>
      <w:bookmarkStart w:id="259" w:name="_Toc20726529"/>
      <w:r>
        <w:rPr>
          <w:rFonts w:hint="eastAsia" w:ascii="Times New Roman" w:eastAsia="方正小标宋_GBK"/>
          <w:b w:val="0"/>
          <w:sz w:val="36"/>
          <w:szCs w:val="36"/>
        </w:rPr>
        <w:t>关于印发《江苏省工程建设地方标准管理办法》的通知</w:t>
      </w:r>
      <w:bookmarkEnd w:id="258"/>
      <w:bookmarkEnd w:id="25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260" w:name="_Toc20726530"/>
      <w:bookmarkStart w:id="261" w:name="_Toc18315506"/>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2006</w:t>
      </w:r>
      <w:r>
        <w:rPr>
          <w:rFonts w:hint="eastAsia" w:ascii="Times New Roman" w:hAnsi="Times New Roman" w:eastAsia="方正楷体_GBK"/>
          <w:b w:val="0"/>
          <w:sz w:val="24"/>
          <w:szCs w:val="24"/>
        </w:rPr>
        <w:t>〕</w:t>
      </w:r>
      <w:r>
        <w:rPr>
          <w:rFonts w:ascii="Times New Roman" w:hAnsi="Times New Roman" w:eastAsia="方正楷体_GBK"/>
          <w:b w:val="0"/>
          <w:sz w:val="24"/>
          <w:szCs w:val="24"/>
        </w:rPr>
        <w:t>363</w:t>
      </w:r>
      <w:r>
        <w:rPr>
          <w:rFonts w:hint="eastAsia" w:ascii="Times New Roman" w:hAnsi="Times New Roman" w:eastAsia="方正楷体_GBK"/>
          <w:b w:val="0"/>
          <w:sz w:val="24"/>
          <w:szCs w:val="24"/>
        </w:rPr>
        <w:t>号</w:t>
      </w:r>
      <w:bookmarkEnd w:id="260"/>
      <w:bookmarkEnd w:id="261"/>
    </w:p>
    <w:p>
      <w:pPr>
        <w:spacing w:line="460" w:lineRule="exact"/>
        <w:rPr>
          <w:rFonts w:eastAsia="方正仿宋_GBK"/>
          <w:color w:val="000000"/>
          <w:spacing w:val="-2"/>
          <w:kern w:val="0"/>
          <w:sz w:val="24"/>
        </w:rPr>
      </w:pPr>
      <w:r>
        <w:rPr>
          <w:rFonts w:hint="eastAsia" w:eastAsia="方正仿宋_GBK"/>
          <w:color w:val="000000"/>
          <w:spacing w:val="-2"/>
          <w:kern w:val="0"/>
          <w:sz w:val="24"/>
        </w:rPr>
        <w:t>各省辖市建设局（委）：</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为了加强工程建设地方标准的管理，根据我省实际情况，特制定《江苏省工程建设地方标准管理办法》，现印发给你们，请认真执行。在执行过程中，如有意见和建议请反馈到我厅绿色建筑与科技处。</w:t>
      </w:r>
    </w:p>
    <w:p>
      <w:pPr>
        <w:spacing w:line="460" w:lineRule="exact"/>
        <w:ind w:firstLine="472" w:firstLineChars="200"/>
        <w:rPr>
          <w:rFonts w:eastAsia="方正仿宋_GBK"/>
          <w:color w:val="000000"/>
          <w:spacing w:val="-2"/>
          <w:kern w:val="0"/>
          <w:sz w:val="24"/>
        </w:rPr>
      </w:pPr>
    </w:p>
    <w:p>
      <w:pPr>
        <w:spacing w:line="460" w:lineRule="exact"/>
        <w:ind w:firstLine="354" w:firstLineChars="150"/>
        <w:rPr>
          <w:rFonts w:eastAsia="方正仿宋_GBK"/>
          <w:color w:val="000000"/>
          <w:spacing w:val="-2"/>
          <w:kern w:val="0"/>
          <w:sz w:val="24"/>
        </w:rPr>
      </w:pPr>
      <w:r>
        <w:rPr>
          <w:rFonts w:hint="eastAsia" w:eastAsia="方正仿宋_GBK"/>
          <w:color w:val="000000"/>
          <w:spacing w:val="-2"/>
          <w:kern w:val="0"/>
          <w:sz w:val="24"/>
        </w:rPr>
        <w:t>附件：江苏省工程建设地方标准管理办法。</w:t>
      </w:r>
    </w:p>
    <w:p>
      <w:pPr>
        <w:spacing w:line="460" w:lineRule="exact"/>
        <w:ind w:right="1760" w:firstLine="3776" w:firstLineChars="1600"/>
        <w:rPr>
          <w:rFonts w:eastAsia="方正仿宋_GBK"/>
          <w:color w:val="000000"/>
          <w:spacing w:val="-2"/>
          <w:kern w:val="0"/>
          <w:sz w:val="24"/>
        </w:rPr>
      </w:pPr>
    </w:p>
    <w:p>
      <w:pPr>
        <w:spacing w:line="460" w:lineRule="exact"/>
        <w:ind w:right="1178" w:firstLine="3776" w:firstLineChars="1600"/>
        <w:jc w:val="right"/>
        <w:rPr>
          <w:rFonts w:eastAsia="方正仿宋_GBK"/>
          <w:color w:val="000000"/>
          <w:spacing w:val="-2"/>
          <w:kern w:val="0"/>
          <w:sz w:val="24"/>
        </w:rPr>
      </w:pPr>
      <w:r>
        <w:rPr>
          <w:rFonts w:hint="eastAsia" w:eastAsia="方正仿宋_GBK"/>
          <w:color w:val="000000"/>
          <w:spacing w:val="-2"/>
          <w:kern w:val="0"/>
          <w:sz w:val="24"/>
        </w:rPr>
        <w:t>江苏省建设厅</w:t>
      </w:r>
      <w:r>
        <w:rPr>
          <w:rFonts w:eastAsia="方正仿宋_GBK"/>
          <w:color w:val="000000"/>
          <w:spacing w:val="-2"/>
          <w:kern w:val="0"/>
          <w:sz w:val="24"/>
        </w:rPr>
        <w:t xml:space="preserve">          </w:t>
      </w:r>
    </w:p>
    <w:p>
      <w:pPr>
        <w:spacing w:line="460" w:lineRule="exact"/>
        <w:ind w:right="640"/>
        <w:jc w:val="righ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二</w:t>
      </w:r>
      <w:r>
        <w:rPr>
          <w:rFonts w:hint="eastAsia" w:eastAsia="方正仿宋_GBK"/>
          <w:bCs/>
          <w:snapToGrid w:val="0"/>
          <w:color w:val="000000"/>
          <w:spacing w:val="-2"/>
          <w:kern w:val="0"/>
          <w:sz w:val="24"/>
        </w:rPr>
        <w:t>○○</w:t>
      </w:r>
      <w:r>
        <w:rPr>
          <w:rFonts w:hint="eastAsia" w:eastAsia="方正仿宋_GBK"/>
          <w:color w:val="000000"/>
          <w:spacing w:val="-2"/>
          <w:kern w:val="0"/>
          <w:sz w:val="24"/>
        </w:rPr>
        <w:t>六年八月二十三日</w:t>
      </w:r>
    </w:p>
    <w:p>
      <w:pPr>
        <w:spacing w:line="460" w:lineRule="exact"/>
        <w:rPr>
          <w:rFonts w:eastAsia="方正仿宋_GBK"/>
          <w:bCs/>
          <w:color w:val="000000"/>
          <w:spacing w:val="-2"/>
          <w:kern w:val="0"/>
          <w:sz w:val="24"/>
        </w:rPr>
      </w:pPr>
    </w:p>
    <w:p>
      <w:pPr>
        <w:spacing w:line="460" w:lineRule="exact"/>
        <w:rPr>
          <w:rFonts w:eastAsia="方正仿宋_GBK"/>
          <w:bCs/>
          <w:color w:val="000000"/>
          <w:spacing w:val="-2"/>
          <w:kern w:val="0"/>
          <w:sz w:val="24"/>
        </w:rPr>
      </w:pPr>
    </w:p>
    <w:p>
      <w:pPr>
        <w:spacing w:line="460" w:lineRule="exact"/>
        <w:jc w:val="center"/>
        <w:rPr>
          <w:rFonts w:ascii="Times New Roman" w:eastAsia="方正黑体_GBK"/>
          <w:color w:val="000000"/>
          <w:spacing w:val="-2"/>
          <w:kern w:val="0"/>
          <w:sz w:val="36"/>
          <w:szCs w:val="36"/>
        </w:rPr>
      </w:pPr>
      <w:r>
        <w:rPr>
          <w:rFonts w:hint="eastAsia" w:ascii="Times New Roman" w:eastAsia="方正黑体_GBK"/>
          <w:bCs/>
          <w:color w:val="000000"/>
          <w:spacing w:val="-2"/>
          <w:kern w:val="0"/>
          <w:sz w:val="36"/>
          <w:szCs w:val="36"/>
        </w:rPr>
        <w:t>江苏省工程建设地方标准管理办法</w:t>
      </w:r>
    </w:p>
    <w:p>
      <w:pPr>
        <w:spacing w:line="460" w:lineRule="exact"/>
        <w:ind w:firstLine="472" w:firstLineChars="200"/>
        <w:rPr>
          <w:rFonts w:hint="eastAsia" w:eastAsia="方正仿宋_GBK"/>
          <w:color w:val="000000"/>
          <w:spacing w:val="-2"/>
          <w:kern w:val="0"/>
          <w:sz w:val="24"/>
        </w:rPr>
      </w:pPr>
    </w:p>
    <w:p>
      <w:pPr>
        <w:spacing w:line="460" w:lineRule="exact"/>
        <w:ind w:firstLine="472" w:firstLineChars="200"/>
        <w:outlineLvl w:val="0"/>
        <w:rPr>
          <w:rFonts w:eastAsia="方正仿宋_GBK"/>
          <w:color w:val="000000"/>
          <w:spacing w:val="-2"/>
          <w:kern w:val="0"/>
          <w:sz w:val="24"/>
        </w:rPr>
      </w:pPr>
      <w:bookmarkStart w:id="262" w:name="_Toc20726531"/>
      <w:bookmarkStart w:id="263" w:name="_Toc20668002"/>
      <w:bookmarkStart w:id="264" w:name="_Toc18315507"/>
      <w:r>
        <w:rPr>
          <w:rFonts w:hint="eastAsia" w:ascii="Times New Roman" w:eastAsia="方正黑体_GBK"/>
          <w:color w:val="000000"/>
          <w:spacing w:val="-2"/>
          <w:sz w:val="24"/>
        </w:rPr>
        <w:t>第一条</w:t>
      </w:r>
      <w:r>
        <w:rPr>
          <w:rFonts w:eastAsia="方正仿宋_GBK"/>
          <w:color w:val="000000"/>
          <w:spacing w:val="-2"/>
          <w:kern w:val="0"/>
          <w:sz w:val="24"/>
        </w:rPr>
        <w:t xml:space="preserve">  </w:t>
      </w:r>
      <w:r>
        <w:rPr>
          <w:rFonts w:hint="eastAsia" w:eastAsia="方正仿宋_GBK"/>
          <w:color w:val="000000"/>
          <w:spacing w:val="-2"/>
          <w:kern w:val="0"/>
          <w:sz w:val="24"/>
        </w:rPr>
        <w:t>为了加强工程建设地方标准的管理，促进技术进步，保证工程质量，根据我省工程建设地方标准化工作实际，特制定本办法。</w:t>
      </w:r>
      <w:bookmarkEnd w:id="262"/>
      <w:bookmarkEnd w:id="263"/>
      <w:bookmarkEnd w:id="264"/>
    </w:p>
    <w:p>
      <w:pPr>
        <w:spacing w:line="460" w:lineRule="exact"/>
        <w:ind w:firstLine="472" w:firstLineChars="200"/>
        <w:outlineLvl w:val="0"/>
        <w:rPr>
          <w:rFonts w:eastAsia="方正仿宋_GBK"/>
          <w:color w:val="000000"/>
          <w:spacing w:val="-2"/>
          <w:kern w:val="0"/>
          <w:sz w:val="24"/>
        </w:rPr>
      </w:pPr>
      <w:bookmarkStart w:id="265" w:name="_Toc20726532"/>
      <w:bookmarkStart w:id="266" w:name="_Toc20668003"/>
      <w:bookmarkStart w:id="267" w:name="_Toc18315508"/>
      <w:r>
        <w:rPr>
          <w:rFonts w:hint="eastAsia" w:ascii="Times New Roman" w:eastAsia="方正黑体_GBK"/>
          <w:color w:val="000000"/>
          <w:spacing w:val="-2"/>
          <w:sz w:val="24"/>
        </w:rPr>
        <w:t>第二条</w:t>
      </w:r>
      <w:r>
        <w:rPr>
          <w:rFonts w:eastAsia="方正仿宋_GBK"/>
          <w:color w:val="000000"/>
          <w:spacing w:val="-2"/>
          <w:kern w:val="0"/>
          <w:sz w:val="24"/>
        </w:rPr>
        <w:t xml:space="preserve">  </w:t>
      </w:r>
      <w:r>
        <w:rPr>
          <w:rFonts w:hint="eastAsia" w:eastAsia="方正仿宋_GBK"/>
          <w:color w:val="000000"/>
          <w:spacing w:val="-2"/>
          <w:kern w:val="0"/>
          <w:sz w:val="24"/>
        </w:rPr>
        <w:t>工程建设地方标准是对工程建设国家标准、行业标准的补充、细化和提高，是工程建设管理的技术依据。</w:t>
      </w:r>
      <w:bookmarkEnd w:id="265"/>
      <w:bookmarkEnd w:id="266"/>
      <w:bookmarkEnd w:id="267"/>
    </w:p>
    <w:p>
      <w:pPr>
        <w:spacing w:line="460" w:lineRule="exact"/>
        <w:ind w:firstLine="472" w:firstLineChars="200"/>
        <w:outlineLvl w:val="0"/>
        <w:rPr>
          <w:rFonts w:eastAsia="方正仿宋_GBK"/>
          <w:color w:val="000000"/>
          <w:spacing w:val="-2"/>
          <w:kern w:val="0"/>
          <w:sz w:val="24"/>
        </w:rPr>
      </w:pPr>
      <w:bookmarkStart w:id="268" w:name="_Toc20726533"/>
      <w:bookmarkStart w:id="269" w:name="_Toc20668004"/>
      <w:bookmarkStart w:id="270" w:name="_Toc18315509"/>
      <w:r>
        <w:rPr>
          <w:rFonts w:hint="eastAsia" w:ascii="Times New Roman" w:eastAsia="方正黑体_GBK"/>
          <w:color w:val="000000"/>
          <w:spacing w:val="-2"/>
          <w:sz w:val="24"/>
        </w:rPr>
        <w:t>第三条</w:t>
      </w:r>
      <w:r>
        <w:rPr>
          <w:rFonts w:eastAsia="方正仿宋_GBK"/>
          <w:color w:val="000000"/>
          <w:spacing w:val="-2"/>
          <w:kern w:val="0"/>
          <w:sz w:val="24"/>
        </w:rPr>
        <w:t xml:space="preserve">  </w:t>
      </w:r>
      <w:r>
        <w:rPr>
          <w:rFonts w:hint="eastAsia" w:eastAsia="方正仿宋_GBK"/>
          <w:color w:val="000000"/>
          <w:spacing w:val="-2"/>
          <w:kern w:val="0"/>
          <w:sz w:val="24"/>
        </w:rPr>
        <w:t>在本省行政区域内制定、发布和实施工程建设地方标准的，均须遵守本办法。</w:t>
      </w:r>
      <w:bookmarkEnd w:id="268"/>
      <w:bookmarkEnd w:id="269"/>
      <w:bookmarkEnd w:id="270"/>
    </w:p>
    <w:p>
      <w:pPr>
        <w:spacing w:line="460" w:lineRule="exact"/>
        <w:ind w:firstLine="472" w:firstLineChars="200"/>
        <w:outlineLvl w:val="0"/>
        <w:rPr>
          <w:rFonts w:eastAsia="方正仿宋_GBK"/>
          <w:color w:val="000000"/>
          <w:spacing w:val="-2"/>
          <w:kern w:val="0"/>
          <w:sz w:val="24"/>
        </w:rPr>
      </w:pPr>
      <w:bookmarkStart w:id="271" w:name="_Toc20726534"/>
      <w:bookmarkStart w:id="272" w:name="_Toc20668005"/>
      <w:bookmarkStart w:id="273" w:name="_Toc18315510"/>
      <w:r>
        <w:rPr>
          <w:rFonts w:hint="eastAsia" w:ascii="Times New Roman" w:eastAsia="方正黑体_GBK"/>
          <w:color w:val="000000"/>
          <w:spacing w:val="-2"/>
          <w:sz w:val="24"/>
        </w:rPr>
        <w:t>第四条</w:t>
      </w:r>
      <w:r>
        <w:rPr>
          <w:rFonts w:eastAsia="方正仿宋_GBK"/>
          <w:color w:val="000000"/>
          <w:spacing w:val="-2"/>
          <w:kern w:val="0"/>
          <w:sz w:val="24"/>
        </w:rPr>
        <w:t xml:space="preserve">  </w:t>
      </w:r>
      <w:r>
        <w:rPr>
          <w:rFonts w:hint="eastAsia" w:eastAsia="方正仿宋_GBK"/>
          <w:color w:val="000000"/>
          <w:spacing w:val="-2"/>
          <w:kern w:val="0"/>
          <w:sz w:val="24"/>
        </w:rPr>
        <w:t>省建设行政主管部门负责本省行政区域内工程建设地方标准的审定和实施管理，会同省标准化主管部门联合发布工程建设地方标准。</w:t>
      </w:r>
      <w:bookmarkEnd w:id="271"/>
      <w:bookmarkEnd w:id="272"/>
      <w:bookmarkEnd w:id="273"/>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市、县（市）建设行政主管部门负责所辖行政区域内工程建设地方标准的实施管理工作。</w:t>
      </w:r>
    </w:p>
    <w:p>
      <w:pPr>
        <w:spacing w:line="460" w:lineRule="exact"/>
        <w:ind w:firstLine="472" w:firstLineChars="200"/>
        <w:outlineLvl w:val="0"/>
        <w:rPr>
          <w:rFonts w:eastAsia="方正仿宋_GBK"/>
          <w:color w:val="000000"/>
          <w:spacing w:val="-2"/>
          <w:kern w:val="0"/>
          <w:sz w:val="24"/>
        </w:rPr>
      </w:pPr>
      <w:bookmarkStart w:id="274" w:name="_Toc18315511"/>
      <w:bookmarkStart w:id="275" w:name="_Toc20668006"/>
      <w:bookmarkStart w:id="276" w:name="_Toc20726535"/>
      <w:r>
        <w:rPr>
          <w:rFonts w:hint="eastAsia" w:ascii="Times New Roman" w:eastAsia="方正黑体_GBK"/>
          <w:color w:val="000000"/>
          <w:spacing w:val="-2"/>
          <w:sz w:val="24"/>
        </w:rPr>
        <w:t>第五条</w:t>
      </w:r>
      <w:r>
        <w:rPr>
          <w:rFonts w:eastAsia="方正仿宋_GBK"/>
          <w:color w:val="000000"/>
          <w:spacing w:val="-2"/>
          <w:kern w:val="0"/>
          <w:sz w:val="24"/>
        </w:rPr>
        <w:t xml:space="preserve">  </w:t>
      </w:r>
      <w:r>
        <w:rPr>
          <w:rFonts w:hint="eastAsia" w:eastAsia="方正仿宋_GBK"/>
          <w:color w:val="000000"/>
          <w:spacing w:val="-2"/>
          <w:kern w:val="0"/>
          <w:sz w:val="24"/>
        </w:rPr>
        <w:t>省建设行政主管部门根据工程建设需要组织研究工程建设地方标准发展规划纲要，并纳入全省建设事业发展规划纲要。</w:t>
      </w:r>
      <w:bookmarkEnd w:id="274"/>
      <w:bookmarkEnd w:id="275"/>
      <w:bookmarkEnd w:id="276"/>
    </w:p>
    <w:p>
      <w:pPr>
        <w:spacing w:line="460" w:lineRule="exact"/>
        <w:ind w:firstLine="472" w:firstLineChars="200"/>
        <w:outlineLvl w:val="0"/>
        <w:rPr>
          <w:rFonts w:eastAsia="方正仿宋_GBK"/>
          <w:color w:val="000000"/>
          <w:spacing w:val="-2"/>
          <w:kern w:val="0"/>
          <w:sz w:val="24"/>
        </w:rPr>
      </w:pPr>
      <w:bookmarkStart w:id="277" w:name="_Toc20726536"/>
      <w:bookmarkStart w:id="278" w:name="_Toc20668007"/>
      <w:bookmarkStart w:id="279" w:name="_Toc18315512"/>
      <w:r>
        <w:rPr>
          <w:rFonts w:hint="eastAsia" w:ascii="Times New Roman" w:eastAsia="方正黑体_GBK"/>
          <w:color w:val="000000"/>
          <w:spacing w:val="-2"/>
          <w:sz w:val="24"/>
        </w:rPr>
        <w:t>第六条</w:t>
      </w:r>
      <w:r>
        <w:rPr>
          <w:rFonts w:eastAsia="方正仿宋_GBK"/>
          <w:color w:val="000000"/>
          <w:spacing w:val="-2"/>
          <w:kern w:val="0"/>
          <w:sz w:val="24"/>
        </w:rPr>
        <w:t xml:space="preserve">  </w:t>
      </w:r>
      <w:r>
        <w:rPr>
          <w:rFonts w:hint="eastAsia" w:eastAsia="方正仿宋_GBK"/>
          <w:color w:val="000000"/>
          <w:spacing w:val="-2"/>
          <w:kern w:val="0"/>
          <w:sz w:val="24"/>
        </w:rPr>
        <w:t>省建设行政主管部门结合编制单位的申报分年度制定工程建设地方标准编制（修订）计划和专项支出预算。列入计划的工程建设地方标准应填写《江苏省工程建设地方标准编制、修订计划表》。</w:t>
      </w:r>
      <w:bookmarkEnd w:id="277"/>
      <w:bookmarkEnd w:id="278"/>
      <w:bookmarkEnd w:id="279"/>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省工程建设地方标准编制经费用于编制（修订）工作，专款专用，不得挪作它用。</w:t>
      </w:r>
    </w:p>
    <w:p>
      <w:pPr>
        <w:spacing w:line="460" w:lineRule="exact"/>
        <w:ind w:firstLine="472" w:firstLineChars="200"/>
        <w:outlineLvl w:val="0"/>
        <w:rPr>
          <w:rFonts w:eastAsia="方正仿宋_GBK"/>
          <w:color w:val="000000"/>
          <w:spacing w:val="-2"/>
          <w:kern w:val="0"/>
          <w:sz w:val="24"/>
        </w:rPr>
      </w:pPr>
      <w:bookmarkStart w:id="280" w:name="_Toc20726537"/>
      <w:bookmarkStart w:id="281" w:name="_Toc20668008"/>
      <w:bookmarkStart w:id="282" w:name="_Toc18315513"/>
      <w:r>
        <w:rPr>
          <w:rFonts w:hint="eastAsia" w:ascii="Times New Roman" w:eastAsia="方正黑体_GBK"/>
          <w:color w:val="000000"/>
          <w:spacing w:val="-2"/>
          <w:sz w:val="24"/>
        </w:rPr>
        <w:t>第七条</w:t>
      </w:r>
      <w:r>
        <w:rPr>
          <w:rFonts w:eastAsia="方正仿宋_GBK"/>
          <w:color w:val="000000"/>
          <w:spacing w:val="-2"/>
          <w:kern w:val="0"/>
          <w:sz w:val="24"/>
        </w:rPr>
        <w:t xml:space="preserve">  </w:t>
      </w:r>
      <w:r>
        <w:rPr>
          <w:rFonts w:hint="eastAsia" w:eastAsia="方正仿宋_GBK"/>
          <w:color w:val="000000"/>
          <w:spacing w:val="-2"/>
          <w:kern w:val="0"/>
          <w:sz w:val="24"/>
        </w:rPr>
        <w:t>对没有国家标准、行业标准或国家标准、行业标准规定不具体，且需要在本省行政区域内作出统一工程建设技术要求的，可以制定工程建设地方标准。包括：</w:t>
      </w:r>
      <w:bookmarkEnd w:id="280"/>
      <w:bookmarkEnd w:id="281"/>
      <w:bookmarkEnd w:id="282"/>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（一）工程建设勘察、设计、施工安装及质量验收等通用技术要求；</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（二）地方工程建设有关安全、卫生和环境保护的技术要求；</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（三）工程建设地方专用试验、检验和评定方法；</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（四）地方性工程建设信息技术、管理技术要求；</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（五）地方性工程建设推广</w:t>
      </w:r>
      <w:r>
        <w:rPr>
          <w:rFonts w:eastAsia="方正仿宋_GBK"/>
          <w:color w:val="000000"/>
          <w:spacing w:val="-2"/>
          <w:kern w:val="0"/>
          <w:sz w:val="24"/>
        </w:rPr>
        <w:t>“</w:t>
      </w:r>
      <w:r>
        <w:rPr>
          <w:rFonts w:hint="eastAsia" w:eastAsia="方正仿宋_GBK"/>
          <w:color w:val="000000"/>
          <w:spacing w:val="-2"/>
          <w:kern w:val="0"/>
          <w:sz w:val="24"/>
        </w:rPr>
        <w:t>四新</w:t>
      </w:r>
      <w:r>
        <w:rPr>
          <w:rFonts w:eastAsia="方正仿宋_GBK"/>
          <w:color w:val="000000"/>
          <w:spacing w:val="-2"/>
          <w:kern w:val="0"/>
          <w:sz w:val="24"/>
        </w:rPr>
        <w:t>”</w:t>
      </w:r>
      <w:r>
        <w:rPr>
          <w:rFonts w:hint="eastAsia" w:eastAsia="方正仿宋_GBK"/>
          <w:color w:val="000000"/>
          <w:spacing w:val="-2"/>
          <w:kern w:val="0"/>
          <w:sz w:val="24"/>
        </w:rPr>
        <w:t>成果的技术要求；</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（六）需要统一的其它工程建设技术要求。</w:t>
      </w:r>
    </w:p>
    <w:p>
      <w:pPr>
        <w:spacing w:line="460" w:lineRule="exact"/>
        <w:ind w:firstLine="472" w:firstLineChars="200"/>
        <w:outlineLvl w:val="0"/>
        <w:rPr>
          <w:rFonts w:eastAsia="方正仿宋_GBK"/>
          <w:color w:val="000000"/>
          <w:spacing w:val="-2"/>
          <w:kern w:val="0"/>
          <w:sz w:val="24"/>
        </w:rPr>
      </w:pPr>
      <w:bookmarkStart w:id="283" w:name="_Toc20726539"/>
      <w:bookmarkStart w:id="284" w:name="_Toc20668010"/>
      <w:bookmarkStart w:id="285" w:name="_Toc18315515"/>
      <w:r>
        <w:rPr>
          <w:rFonts w:hint="eastAsia" w:ascii="Times New Roman" w:eastAsia="方正黑体_GBK"/>
          <w:color w:val="000000"/>
          <w:spacing w:val="-2"/>
          <w:sz w:val="24"/>
        </w:rPr>
        <w:t>第八条</w:t>
      </w:r>
      <w:r>
        <w:rPr>
          <w:rFonts w:eastAsia="方正仿宋_GBK"/>
          <w:color w:val="000000"/>
          <w:spacing w:val="-2"/>
          <w:kern w:val="0"/>
          <w:sz w:val="24"/>
        </w:rPr>
        <w:t xml:space="preserve">  </w:t>
      </w:r>
      <w:r>
        <w:rPr>
          <w:rFonts w:hint="eastAsia" w:eastAsia="方正仿宋_GBK"/>
          <w:color w:val="000000"/>
          <w:spacing w:val="-2"/>
          <w:kern w:val="0"/>
          <w:sz w:val="24"/>
        </w:rPr>
        <w:t>工程建设地方标准编制（修订）单位应组成标准编制（修订）组，安排具有丰富经验的技术人员参加编制（修订）工作。各相关单位应当为标准编制（修订）提供技术资料和基础条件。</w:t>
      </w:r>
      <w:bookmarkEnd w:id="283"/>
      <w:bookmarkEnd w:id="284"/>
      <w:bookmarkEnd w:id="285"/>
    </w:p>
    <w:p>
      <w:pPr>
        <w:spacing w:line="460" w:lineRule="exact"/>
        <w:ind w:firstLine="472" w:firstLineChars="200"/>
        <w:outlineLvl w:val="0"/>
        <w:rPr>
          <w:rFonts w:eastAsia="方正仿宋_GBK"/>
          <w:color w:val="000000"/>
          <w:spacing w:val="-2"/>
          <w:kern w:val="0"/>
          <w:sz w:val="24"/>
        </w:rPr>
      </w:pPr>
      <w:bookmarkStart w:id="286" w:name="_Toc20668011"/>
      <w:bookmarkStart w:id="287" w:name="_Toc18315516"/>
      <w:bookmarkStart w:id="288" w:name="_Toc20726540"/>
      <w:r>
        <w:rPr>
          <w:rFonts w:hint="eastAsia" w:ascii="Times New Roman" w:eastAsia="方正黑体_GBK"/>
          <w:color w:val="000000"/>
          <w:spacing w:val="-2"/>
          <w:sz w:val="24"/>
        </w:rPr>
        <w:t>第九条</w:t>
      </w:r>
      <w:r>
        <w:rPr>
          <w:rFonts w:eastAsia="方正仿宋_GBK"/>
          <w:color w:val="000000"/>
          <w:spacing w:val="-2"/>
          <w:kern w:val="0"/>
          <w:sz w:val="24"/>
        </w:rPr>
        <w:t xml:space="preserve">  </w:t>
      </w:r>
      <w:r>
        <w:rPr>
          <w:rFonts w:hint="eastAsia" w:eastAsia="方正仿宋_GBK"/>
          <w:color w:val="000000"/>
          <w:spacing w:val="-2"/>
          <w:kern w:val="0"/>
          <w:sz w:val="24"/>
        </w:rPr>
        <w:t>编制（修订）工程建设地方标准，应当严格遵守有关法律、法规，贯彻执行国家和省技术经济政策，密切结合地方自然条件，积极采用建设</w:t>
      </w:r>
      <w:r>
        <w:rPr>
          <w:rFonts w:eastAsia="方正仿宋_GBK"/>
          <w:color w:val="000000"/>
          <w:spacing w:val="-2"/>
          <w:kern w:val="0"/>
          <w:sz w:val="24"/>
        </w:rPr>
        <w:t>“</w:t>
      </w:r>
      <w:r>
        <w:rPr>
          <w:rFonts w:hint="eastAsia" w:eastAsia="方正仿宋_GBK"/>
          <w:color w:val="000000"/>
          <w:spacing w:val="-2"/>
          <w:kern w:val="0"/>
          <w:sz w:val="24"/>
        </w:rPr>
        <w:t>四新</w:t>
      </w:r>
      <w:r>
        <w:rPr>
          <w:rFonts w:eastAsia="方正仿宋_GBK"/>
          <w:color w:val="000000"/>
          <w:spacing w:val="-2"/>
          <w:kern w:val="0"/>
          <w:sz w:val="24"/>
        </w:rPr>
        <w:t>”</w:t>
      </w:r>
      <w:r>
        <w:rPr>
          <w:rFonts w:hint="eastAsia" w:eastAsia="方正仿宋_GBK"/>
          <w:color w:val="000000"/>
          <w:spacing w:val="-2"/>
          <w:kern w:val="0"/>
          <w:sz w:val="24"/>
        </w:rPr>
        <w:t>成果，做到安全适用、经济合理、技术先进。</w:t>
      </w:r>
      <w:bookmarkEnd w:id="286"/>
      <w:bookmarkEnd w:id="287"/>
      <w:bookmarkEnd w:id="288"/>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工程建设地方标准不得与国家标准和行业标准相抵触。</w:t>
      </w:r>
    </w:p>
    <w:p>
      <w:pPr>
        <w:spacing w:line="460" w:lineRule="exact"/>
        <w:ind w:firstLine="472" w:firstLineChars="200"/>
        <w:outlineLvl w:val="0"/>
        <w:rPr>
          <w:rFonts w:eastAsia="方正仿宋_GBK"/>
          <w:color w:val="000000"/>
          <w:spacing w:val="-2"/>
          <w:kern w:val="0"/>
          <w:sz w:val="24"/>
        </w:rPr>
      </w:pPr>
      <w:bookmarkStart w:id="289" w:name="_Toc20668012"/>
      <w:bookmarkStart w:id="290" w:name="_Toc20726541"/>
      <w:bookmarkStart w:id="291" w:name="_Toc18315517"/>
      <w:r>
        <w:rPr>
          <w:rFonts w:hint="eastAsia" w:ascii="Times New Roman" w:eastAsia="方正黑体_GBK"/>
          <w:color w:val="000000"/>
          <w:spacing w:val="-2"/>
          <w:sz w:val="24"/>
        </w:rPr>
        <w:t>第十条</w:t>
      </w:r>
      <w:r>
        <w:rPr>
          <w:rFonts w:eastAsia="方正仿宋_GBK"/>
          <w:color w:val="000000"/>
          <w:spacing w:val="-2"/>
          <w:kern w:val="0"/>
          <w:sz w:val="24"/>
        </w:rPr>
        <w:t xml:space="preserve">  </w:t>
      </w:r>
      <w:r>
        <w:rPr>
          <w:rFonts w:hint="eastAsia" w:eastAsia="方正仿宋_GBK"/>
          <w:color w:val="000000"/>
          <w:spacing w:val="-2"/>
          <w:kern w:val="0"/>
          <w:sz w:val="24"/>
        </w:rPr>
        <w:t>编制（修订）工程建设地方标准应当以实践经验和科技发展成果为依据，广泛征求各方面意见，做到协商一致。</w:t>
      </w:r>
      <w:bookmarkEnd w:id="289"/>
      <w:bookmarkEnd w:id="290"/>
      <w:bookmarkEnd w:id="291"/>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工程建设地方标准采用的</w:t>
      </w:r>
      <w:r>
        <w:rPr>
          <w:rFonts w:eastAsia="方正仿宋_GBK"/>
          <w:color w:val="000000"/>
          <w:spacing w:val="-2"/>
          <w:kern w:val="0"/>
          <w:sz w:val="24"/>
        </w:rPr>
        <w:t>“</w:t>
      </w:r>
      <w:r>
        <w:rPr>
          <w:rFonts w:hint="eastAsia" w:eastAsia="方正仿宋_GBK"/>
          <w:color w:val="000000"/>
          <w:spacing w:val="-2"/>
          <w:kern w:val="0"/>
          <w:sz w:val="24"/>
        </w:rPr>
        <w:t>四新</w:t>
      </w:r>
      <w:r>
        <w:rPr>
          <w:rFonts w:eastAsia="方正仿宋_GBK"/>
          <w:color w:val="000000"/>
          <w:spacing w:val="-2"/>
          <w:kern w:val="0"/>
          <w:sz w:val="24"/>
        </w:rPr>
        <w:t>”</w:t>
      </w:r>
      <w:r>
        <w:rPr>
          <w:rFonts w:hint="eastAsia" w:eastAsia="方正仿宋_GBK"/>
          <w:color w:val="000000"/>
          <w:spacing w:val="-2"/>
          <w:kern w:val="0"/>
          <w:sz w:val="24"/>
        </w:rPr>
        <w:t>成果应当经过鉴定和实际应用。工程建设地方标准应用专利技术应当获得专利权人许可。</w:t>
      </w:r>
    </w:p>
    <w:p>
      <w:pPr>
        <w:spacing w:line="460" w:lineRule="exact"/>
        <w:ind w:firstLine="472" w:firstLineChars="200"/>
        <w:outlineLvl w:val="0"/>
        <w:rPr>
          <w:rFonts w:eastAsia="方正仿宋_GBK"/>
          <w:color w:val="000000"/>
          <w:spacing w:val="-2"/>
          <w:kern w:val="0"/>
          <w:sz w:val="24"/>
        </w:rPr>
      </w:pPr>
      <w:bookmarkStart w:id="292" w:name="_Toc20726542"/>
      <w:bookmarkStart w:id="293" w:name="_Toc20668013"/>
      <w:bookmarkStart w:id="294" w:name="_Toc18315518"/>
      <w:r>
        <w:rPr>
          <w:rFonts w:hint="eastAsia" w:ascii="Times New Roman" w:eastAsia="方正黑体_GBK"/>
          <w:color w:val="000000"/>
          <w:spacing w:val="-2"/>
          <w:sz w:val="24"/>
        </w:rPr>
        <w:t>第十一条</w:t>
      </w:r>
      <w:r>
        <w:rPr>
          <w:rFonts w:eastAsia="方正仿宋_GBK"/>
          <w:color w:val="000000"/>
          <w:spacing w:val="-2"/>
          <w:kern w:val="0"/>
          <w:sz w:val="24"/>
        </w:rPr>
        <w:t xml:space="preserve">  </w:t>
      </w:r>
      <w:r>
        <w:rPr>
          <w:rFonts w:hint="eastAsia" w:eastAsia="方正仿宋_GBK"/>
          <w:color w:val="000000"/>
          <w:spacing w:val="-2"/>
          <w:kern w:val="0"/>
          <w:sz w:val="24"/>
        </w:rPr>
        <w:t>工程建设地方标准一般应经过编写大纲、征求意见稿、送审稿、报批稿四个阶段。</w:t>
      </w:r>
      <w:bookmarkEnd w:id="292"/>
      <w:bookmarkEnd w:id="293"/>
      <w:bookmarkEnd w:id="294"/>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编写大纲应包括标准的编写依据、编写原则、编写提纲、编写计划、相关标准目录。编写大纲应组织相关各方讨论后确定。</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征求意见稿应包括标准全文及条文说明、编写说明、重要事项相关技术资料（鉴定证书、计算书、论证意见等）。</w:t>
      </w:r>
    </w:p>
    <w:p>
      <w:pPr>
        <w:spacing w:line="460" w:lineRule="exact"/>
        <w:ind w:firstLine="456" w:firstLineChars="200"/>
        <w:rPr>
          <w:rFonts w:eastAsia="方正仿宋_GBK"/>
          <w:color w:val="000000"/>
          <w:spacing w:val="-6"/>
          <w:kern w:val="0"/>
          <w:sz w:val="24"/>
        </w:rPr>
      </w:pPr>
      <w:r>
        <w:rPr>
          <w:rFonts w:hint="eastAsia" w:eastAsia="方正仿宋_GBK"/>
          <w:color w:val="000000"/>
          <w:spacing w:val="-6"/>
          <w:kern w:val="0"/>
          <w:sz w:val="24"/>
        </w:rPr>
        <w:t>送审稿应包括标准全文及条文说明、重要事项相关技术资料、征求意见汇总说明等。</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报批稿应包括标准全文及条文说明、审查报批表。</w:t>
      </w:r>
    </w:p>
    <w:p>
      <w:pPr>
        <w:spacing w:line="460" w:lineRule="exact"/>
        <w:ind w:firstLine="472" w:firstLineChars="200"/>
        <w:outlineLvl w:val="0"/>
        <w:rPr>
          <w:rFonts w:eastAsia="方正仿宋_GBK"/>
          <w:color w:val="000000"/>
          <w:spacing w:val="-2"/>
          <w:kern w:val="0"/>
          <w:sz w:val="24"/>
        </w:rPr>
      </w:pPr>
      <w:bookmarkStart w:id="295" w:name="_Toc20726543"/>
      <w:bookmarkStart w:id="296" w:name="_Toc20668014"/>
      <w:bookmarkStart w:id="297" w:name="_Toc18315519"/>
      <w:r>
        <w:rPr>
          <w:rFonts w:hint="eastAsia" w:ascii="Times New Roman" w:eastAsia="方正黑体_GBK"/>
          <w:color w:val="000000"/>
          <w:spacing w:val="-2"/>
          <w:sz w:val="24"/>
        </w:rPr>
        <w:t>第十二条</w:t>
      </w:r>
      <w:r>
        <w:rPr>
          <w:rFonts w:eastAsia="方正仿宋_GBK"/>
          <w:color w:val="000000"/>
          <w:spacing w:val="-2"/>
          <w:kern w:val="0"/>
          <w:sz w:val="24"/>
        </w:rPr>
        <w:t xml:space="preserve">  </w:t>
      </w:r>
      <w:r>
        <w:rPr>
          <w:rFonts w:hint="eastAsia" w:eastAsia="方正仿宋_GBK"/>
          <w:color w:val="000000"/>
          <w:spacing w:val="-2"/>
          <w:kern w:val="0"/>
          <w:sz w:val="24"/>
        </w:rPr>
        <w:t>省建设行政主管部门对工程建设地方标准进行批准发布时应明确实施时间。</w:t>
      </w:r>
      <w:bookmarkEnd w:id="295"/>
      <w:bookmarkEnd w:id="296"/>
      <w:bookmarkEnd w:id="297"/>
    </w:p>
    <w:p>
      <w:pPr>
        <w:spacing w:line="460" w:lineRule="exact"/>
        <w:ind w:firstLine="472" w:firstLineChars="200"/>
        <w:outlineLvl w:val="0"/>
        <w:rPr>
          <w:rFonts w:eastAsia="方正仿宋_GBK"/>
          <w:color w:val="000000"/>
          <w:spacing w:val="-2"/>
          <w:kern w:val="0"/>
          <w:sz w:val="24"/>
        </w:rPr>
      </w:pPr>
      <w:bookmarkStart w:id="298" w:name="_Toc20726544"/>
      <w:bookmarkStart w:id="299" w:name="_Toc20668015"/>
      <w:bookmarkStart w:id="300" w:name="_Toc18315520"/>
      <w:r>
        <w:rPr>
          <w:rFonts w:hint="eastAsia" w:ascii="Times New Roman" w:eastAsia="方正黑体_GBK"/>
          <w:color w:val="000000"/>
          <w:spacing w:val="-2"/>
          <w:sz w:val="24"/>
        </w:rPr>
        <w:t>第十三条</w:t>
      </w:r>
      <w:r>
        <w:rPr>
          <w:rFonts w:eastAsia="方正仿宋_GBK"/>
          <w:color w:val="000000"/>
          <w:spacing w:val="-2"/>
          <w:kern w:val="0"/>
          <w:sz w:val="24"/>
        </w:rPr>
        <w:t xml:space="preserve">  </w:t>
      </w:r>
      <w:r>
        <w:rPr>
          <w:rFonts w:hint="eastAsia" w:eastAsia="方正仿宋_GBK"/>
          <w:color w:val="000000"/>
          <w:spacing w:val="-2"/>
          <w:kern w:val="0"/>
          <w:sz w:val="24"/>
        </w:rPr>
        <w:t>工程建设地方标准分强制性标准和推荐性标准。</w:t>
      </w:r>
      <w:bookmarkEnd w:id="298"/>
      <w:bookmarkEnd w:id="299"/>
      <w:bookmarkEnd w:id="300"/>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强制性工程建设地方标准具有强制约束力，是保障人民生命财产安全、人身健康、工程安全、生态环境安全、公众权益和公共利益，以及促进能源资源节约利用、满足社会经济管理等方面的控制性底线要求。</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强制性标准以外的标准为推荐性标准。</w:t>
      </w:r>
    </w:p>
    <w:p>
      <w:pPr>
        <w:spacing w:line="460" w:lineRule="exact"/>
        <w:ind w:firstLine="472" w:firstLineChars="200"/>
        <w:outlineLvl w:val="0"/>
        <w:rPr>
          <w:rFonts w:eastAsia="方正仿宋_GBK"/>
          <w:color w:val="000000"/>
          <w:spacing w:val="-2"/>
          <w:kern w:val="0"/>
          <w:sz w:val="24"/>
        </w:rPr>
      </w:pPr>
      <w:bookmarkStart w:id="301" w:name="_Toc20668016"/>
      <w:bookmarkStart w:id="302" w:name="_Toc18315521"/>
      <w:bookmarkStart w:id="303" w:name="_Toc20726545"/>
      <w:r>
        <w:rPr>
          <w:rFonts w:hint="eastAsia" w:ascii="Times New Roman" w:eastAsia="方正黑体_GBK"/>
          <w:color w:val="000000"/>
          <w:spacing w:val="-2"/>
          <w:sz w:val="24"/>
        </w:rPr>
        <w:t>第十四条</w:t>
      </w:r>
      <w:r>
        <w:rPr>
          <w:rFonts w:eastAsia="方正仿宋_GBK"/>
          <w:color w:val="000000"/>
          <w:spacing w:val="-2"/>
          <w:kern w:val="0"/>
          <w:sz w:val="24"/>
        </w:rPr>
        <w:t xml:space="preserve">  </w:t>
      </w:r>
      <w:r>
        <w:rPr>
          <w:rFonts w:hint="eastAsia" w:eastAsia="方正仿宋_GBK"/>
          <w:color w:val="000000"/>
          <w:spacing w:val="-2"/>
          <w:kern w:val="0"/>
          <w:sz w:val="24"/>
        </w:rPr>
        <w:t>批准发布的工程建设地方标准应按规定及时报国务院建设行政主管部门备案。</w:t>
      </w:r>
      <w:bookmarkEnd w:id="301"/>
      <w:bookmarkEnd w:id="302"/>
      <w:bookmarkEnd w:id="303"/>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对有强制性条文的工程建设地方标准，应按规定将强制性条文报建设部批准后再批准发布，发布后即报国务院建设行政主管部门备案；对没有强制性条文的工程建设地方标准，应当在发布后三十日内报国务院建设行政主管部门备案。</w:t>
      </w:r>
    </w:p>
    <w:p>
      <w:pPr>
        <w:spacing w:line="460" w:lineRule="exact"/>
        <w:ind w:firstLine="472" w:firstLineChars="200"/>
        <w:outlineLvl w:val="0"/>
        <w:rPr>
          <w:rFonts w:eastAsia="方正仿宋_GBK"/>
          <w:color w:val="000000"/>
          <w:spacing w:val="-2"/>
          <w:kern w:val="0"/>
          <w:sz w:val="24"/>
        </w:rPr>
      </w:pPr>
      <w:bookmarkStart w:id="304" w:name="_Toc18315522"/>
      <w:bookmarkStart w:id="305" w:name="_Toc20726546"/>
      <w:bookmarkStart w:id="306" w:name="_Toc20668017"/>
      <w:r>
        <w:rPr>
          <w:rFonts w:hint="eastAsia" w:ascii="Times New Roman" w:eastAsia="方正黑体_GBK"/>
          <w:color w:val="000000"/>
          <w:spacing w:val="-2"/>
          <w:sz w:val="24"/>
        </w:rPr>
        <w:t>第十五条</w:t>
      </w:r>
      <w:r>
        <w:rPr>
          <w:rFonts w:eastAsia="方正仿宋_GBK"/>
          <w:color w:val="000000"/>
          <w:spacing w:val="-2"/>
          <w:kern w:val="0"/>
          <w:sz w:val="24"/>
        </w:rPr>
        <w:t xml:space="preserve">  </w:t>
      </w:r>
      <w:r>
        <w:rPr>
          <w:rFonts w:hint="eastAsia" w:eastAsia="方正仿宋_GBK"/>
          <w:color w:val="000000"/>
          <w:spacing w:val="-2"/>
          <w:kern w:val="0"/>
          <w:sz w:val="24"/>
        </w:rPr>
        <w:t>工程建设地方标准应统一编号：</w:t>
      </w:r>
      <w:bookmarkEnd w:id="304"/>
      <w:bookmarkEnd w:id="305"/>
      <w:bookmarkEnd w:id="306"/>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强制性工程建设地方标准编号为：</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 xml:space="preserve"> DB32/   </w:t>
      </w:r>
      <w:r>
        <w:rPr>
          <w:rFonts w:hint="eastAsia" w:eastAsia="方正仿宋_GBK"/>
          <w:color w:val="000000"/>
          <w:spacing w:val="-2"/>
          <w:kern w:val="0"/>
          <w:sz w:val="24"/>
        </w:rPr>
        <w:t>　　</w:t>
      </w:r>
      <w:r>
        <w:rPr>
          <w:rFonts w:eastAsia="方正仿宋_GBK"/>
          <w:color w:val="000000"/>
          <w:spacing w:val="-2"/>
          <w:kern w:val="0"/>
          <w:sz w:val="24"/>
        </w:rPr>
        <w:t xml:space="preserve">      # #    - ####</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地方标准代号　　　标准序号　　　发布年号</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推荐性工程建设地方标准编号为：</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 xml:space="preserve">DB32/ T  </w:t>
      </w:r>
      <w:r>
        <w:rPr>
          <w:rFonts w:hint="eastAsia" w:eastAsia="方正仿宋_GBK"/>
          <w:color w:val="000000"/>
          <w:spacing w:val="-2"/>
          <w:kern w:val="0"/>
          <w:sz w:val="24"/>
        </w:rPr>
        <w:t>　　</w:t>
      </w:r>
      <w:r>
        <w:rPr>
          <w:rFonts w:eastAsia="方正仿宋_GBK"/>
          <w:color w:val="000000"/>
          <w:spacing w:val="-2"/>
          <w:kern w:val="0"/>
          <w:sz w:val="24"/>
        </w:rPr>
        <w:t xml:space="preserve">     </w:t>
      </w:r>
      <w:r>
        <w:rPr>
          <w:rFonts w:hint="eastAsia" w:eastAsia="方正仿宋_GBK"/>
          <w:color w:val="000000"/>
          <w:spacing w:val="-2"/>
          <w:kern w:val="0"/>
          <w:sz w:val="24"/>
        </w:rPr>
        <w:t>　</w:t>
      </w:r>
      <w:r>
        <w:rPr>
          <w:rFonts w:eastAsia="方正仿宋_GBK"/>
          <w:color w:val="000000"/>
          <w:spacing w:val="-2"/>
          <w:kern w:val="0"/>
          <w:sz w:val="24"/>
        </w:rPr>
        <w:t>   - ####</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推荐性地方标准代号　　标准序号　发布年号</w:t>
      </w:r>
    </w:p>
    <w:p>
      <w:pPr>
        <w:spacing w:line="460" w:lineRule="exact"/>
        <w:ind w:firstLine="472" w:firstLineChars="200"/>
        <w:outlineLvl w:val="0"/>
        <w:rPr>
          <w:rFonts w:eastAsia="方正仿宋_GBK"/>
          <w:color w:val="000000"/>
          <w:spacing w:val="-2"/>
          <w:kern w:val="0"/>
          <w:sz w:val="24"/>
        </w:rPr>
      </w:pPr>
      <w:bookmarkStart w:id="307" w:name="_Toc18315523"/>
      <w:bookmarkStart w:id="308" w:name="_Toc20726547"/>
      <w:bookmarkStart w:id="309" w:name="_Toc20668018"/>
      <w:r>
        <w:rPr>
          <w:rFonts w:hint="eastAsia" w:ascii="Times New Roman" w:eastAsia="方正黑体_GBK"/>
          <w:color w:val="000000"/>
          <w:spacing w:val="-2"/>
          <w:sz w:val="24"/>
        </w:rPr>
        <w:t>第十六条</w:t>
      </w:r>
      <w:r>
        <w:rPr>
          <w:rFonts w:eastAsia="方正仿宋_GBK"/>
          <w:color w:val="000000"/>
          <w:spacing w:val="-2"/>
          <w:kern w:val="0"/>
          <w:sz w:val="24"/>
        </w:rPr>
        <w:t> </w:t>
      </w:r>
      <w:r>
        <w:rPr>
          <w:rFonts w:hint="eastAsia" w:eastAsia="方正仿宋_GBK"/>
          <w:color w:val="000000"/>
          <w:spacing w:val="-2"/>
          <w:kern w:val="0"/>
          <w:sz w:val="24"/>
        </w:rPr>
        <w:t>工程建设地方标准中涉及强制性条文的，由省建设行政主管部门负责解释；涉及具体技术内容的，由主编单位负责解释</w:t>
      </w:r>
      <w:bookmarkEnd w:id="307"/>
      <w:bookmarkEnd w:id="308"/>
      <w:bookmarkEnd w:id="309"/>
      <w:r>
        <w:rPr>
          <w:rFonts w:hint="eastAsia" w:eastAsia="方正仿宋_GBK"/>
          <w:color w:val="000000"/>
          <w:spacing w:val="-2"/>
          <w:kern w:val="0"/>
          <w:sz w:val="24"/>
        </w:rPr>
        <w:t>。</w:t>
      </w:r>
    </w:p>
    <w:p>
      <w:pPr>
        <w:spacing w:line="460" w:lineRule="exact"/>
        <w:ind w:firstLine="472" w:firstLineChars="200"/>
        <w:outlineLvl w:val="0"/>
        <w:rPr>
          <w:rFonts w:eastAsia="方正仿宋_GBK"/>
          <w:color w:val="000000"/>
          <w:spacing w:val="-2"/>
          <w:kern w:val="0"/>
          <w:sz w:val="24"/>
        </w:rPr>
      </w:pPr>
      <w:bookmarkStart w:id="310" w:name="_Toc20668019"/>
      <w:bookmarkStart w:id="311" w:name="_Toc20726548"/>
      <w:bookmarkStart w:id="312" w:name="_Toc18315524"/>
      <w:r>
        <w:rPr>
          <w:rFonts w:hint="eastAsia" w:ascii="Times New Roman" w:eastAsia="方正黑体_GBK"/>
          <w:color w:val="000000"/>
          <w:spacing w:val="-2"/>
          <w:sz w:val="24"/>
        </w:rPr>
        <w:t>第十七条</w:t>
      </w:r>
      <w:r>
        <w:rPr>
          <w:rFonts w:eastAsia="方正仿宋_GBK"/>
          <w:color w:val="000000"/>
          <w:spacing w:val="-2"/>
          <w:kern w:val="0"/>
          <w:sz w:val="24"/>
        </w:rPr>
        <w:t xml:space="preserve">  </w:t>
      </w:r>
      <w:r>
        <w:rPr>
          <w:rFonts w:hint="eastAsia" w:eastAsia="方正仿宋_GBK"/>
          <w:color w:val="000000"/>
          <w:spacing w:val="-2"/>
          <w:kern w:val="0"/>
          <w:sz w:val="24"/>
        </w:rPr>
        <w:t>工程建设地方标准由省工程建设标准站组织统一出版、发行。</w:t>
      </w:r>
      <w:bookmarkEnd w:id="310"/>
      <w:bookmarkEnd w:id="311"/>
      <w:bookmarkEnd w:id="312"/>
      <w:bookmarkStart w:id="313" w:name="_Toc20668020"/>
      <w:bookmarkStart w:id="314" w:name="_Toc18315525"/>
      <w:bookmarkStart w:id="315" w:name="_Toc20726549"/>
    </w:p>
    <w:p>
      <w:pPr>
        <w:spacing w:line="460" w:lineRule="exact"/>
        <w:ind w:firstLine="472" w:firstLineChars="200"/>
        <w:outlineLvl w:val="0"/>
        <w:rPr>
          <w:rFonts w:eastAsia="方正仿宋_GBK"/>
          <w:color w:val="000000"/>
          <w:spacing w:val="-2"/>
          <w:kern w:val="0"/>
          <w:sz w:val="24"/>
        </w:rPr>
      </w:pPr>
      <w:r>
        <w:rPr>
          <w:rFonts w:hint="eastAsia" w:ascii="Times New Roman" w:eastAsia="方正黑体_GBK"/>
          <w:color w:val="000000"/>
          <w:spacing w:val="-2"/>
          <w:sz w:val="24"/>
        </w:rPr>
        <w:t>第十八条</w:t>
      </w:r>
      <w:r>
        <w:rPr>
          <w:rFonts w:eastAsia="方正仿宋_GBK"/>
          <w:color w:val="000000"/>
          <w:spacing w:val="-2"/>
          <w:kern w:val="0"/>
          <w:sz w:val="24"/>
        </w:rPr>
        <w:t xml:space="preserve">  </w:t>
      </w:r>
      <w:r>
        <w:rPr>
          <w:rFonts w:hint="eastAsia" w:eastAsia="方正仿宋_GBK"/>
          <w:color w:val="000000"/>
          <w:spacing w:val="-2"/>
          <w:kern w:val="0"/>
          <w:sz w:val="24"/>
        </w:rPr>
        <w:t>工程建设地方标准属于科技成果，纳入科技进步奖范围及单位和个人业绩考核、职称评审的主要业绩。</w:t>
      </w:r>
      <w:bookmarkEnd w:id="313"/>
      <w:bookmarkEnd w:id="314"/>
      <w:bookmarkEnd w:id="315"/>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参与编写标准的主要技术人员可视为完成相应年度的继续教育的选修学时。</w:t>
      </w:r>
    </w:p>
    <w:p>
      <w:pPr>
        <w:spacing w:line="460" w:lineRule="exact"/>
        <w:ind w:firstLine="472" w:firstLineChars="200"/>
        <w:outlineLvl w:val="0"/>
        <w:rPr>
          <w:rFonts w:eastAsia="方正仿宋_GBK"/>
          <w:color w:val="000000"/>
          <w:spacing w:val="-2"/>
          <w:kern w:val="0"/>
          <w:sz w:val="24"/>
        </w:rPr>
      </w:pPr>
      <w:bookmarkStart w:id="316" w:name="_Toc20726550"/>
      <w:bookmarkStart w:id="317" w:name="_Toc20668021"/>
      <w:bookmarkStart w:id="318" w:name="_Toc18315526"/>
      <w:r>
        <w:rPr>
          <w:rFonts w:hint="eastAsia" w:ascii="Times New Roman" w:eastAsia="方正黑体_GBK"/>
          <w:color w:val="000000"/>
          <w:spacing w:val="-2"/>
          <w:sz w:val="24"/>
        </w:rPr>
        <w:t>第十九条</w:t>
      </w:r>
      <w:r>
        <w:rPr>
          <w:rFonts w:eastAsia="方正仿宋_GBK"/>
          <w:color w:val="000000"/>
          <w:spacing w:val="-2"/>
          <w:kern w:val="0"/>
          <w:sz w:val="24"/>
        </w:rPr>
        <w:t xml:space="preserve">  </w:t>
      </w:r>
      <w:r>
        <w:rPr>
          <w:rFonts w:hint="eastAsia" w:eastAsia="方正仿宋_GBK"/>
          <w:color w:val="000000"/>
          <w:spacing w:val="-2"/>
          <w:kern w:val="0"/>
          <w:sz w:val="24"/>
        </w:rPr>
        <w:t>各级建设行政主管部门应当积极宣贯实施工程建设地方标准，并对实施情况进行监督检查。</w:t>
      </w:r>
      <w:bookmarkEnd w:id="316"/>
      <w:bookmarkEnd w:id="317"/>
      <w:bookmarkEnd w:id="318"/>
    </w:p>
    <w:p>
      <w:pPr>
        <w:spacing w:line="460" w:lineRule="exact"/>
        <w:ind w:firstLine="472" w:firstLineChars="200"/>
        <w:outlineLvl w:val="0"/>
        <w:rPr>
          <w:rFonts w:eastAsia="方正仿宋_GBK"/>
          <w:color w:val="000000"/>
          <w:spacing w:val="-2"/>
          <w:kern w:val="0"/>
          <w:sz w:val="24"/>
        </w:rPr>
      </w:pPr>
      <w:bookmarkStart w:id="319" w:name="_Toc20668022"/>
      <w:bookmarkStart w:id="320" w:name="_Toc18315527"/>
      <w:bookmarkStart w:id="321" w:name="_Toc20726551"/>
      <w:r>
        <w:rPr>
          <w:rFonts w:hint="eastAsia" w:ascii="Times New Roman" w:eastAsia="方正黑体_GBK"/>
          <w:color w:val="000000"/>
          <w:spacing w:val="-2"/>
          <w:sz w:val="24"/>
        </w:rPr>
        <w:t>第二十条</w:t>
      </w:r>
      <w:r>
        <w:rPr>
          <w:rFonts w:eastAsia="方正仿宋_GBK"/>
          <w:color w:val="000000"/>
          <w:spacing w:val="-2"/>
          <w:kern w:val="0"/>
          <w:sz w:val="24"/>
        </w:rPr>
        <w:t xml:space="preserve">  </w:t>
      </w:r>
      <w:r>
        <w:rPr>
          <w:rFonts w:hint="eastAsia" w:eastAsia="方正仿宋_GBK"/>
          <w:color w:val="000000"/>
          <w:spacing w:val="-2"/>
          <w:kern w:val="0"/>
          <w:sz w:val="24"/>
        </w:rPr>
        <w:t>任何单位和个人在本省行政区域内从事工程建设活动中，如有违反工程建设地方标准的，各级建设行政主管部门应当按照相关法规进行处罚。</w:t>
      </w:r>
      <w:bookmarkEnd w:id="319"/>
      <w:bookmarkEnd w:id="320"/>
      <w:bookmarkEnd w:id="321"/>
    </w:p>
    <w:p>
      <w:pPr>
        <w:spacing w:line="460" w:lineRule="exact"/>
        <w:ind w:firstLine="472" w:firstLineChars="200"/>
        <w:outlineLvl w:val="0"/>
        <w:rPr>
          <w:rFonts w:eastAsia="方正仿宋_GBK"/>
          <w:color w:val="000000"/>
          <w:spacing w:val="-2"/>
          <w:kern w:val="0"/>
          <w:sz w:val="24"/>
        </w:rPr>
      </w:pPr>
      <w:bookmarkStart w:id="322" w:name="_Toc20726552"/>
      <w:bookmarkStart w:id="323" w:name="_Toc18315528"/>
      <w:bookmarkStart w:id="324" w:name="_Toc20668023"/>
      <w:r>
        <w:rPr>
          <w:rFonts w:hint="eastAsia" w:ascii="Times New Roman" w:eastAsia="方正黑体_GBK"/>
          <w:color w:val="000000"/>
          <w:spacing w:val="-2"/>
          <w:sz w:val="24"/>
        </w:rPr>
        <w:t>第二十一条</w:t>
      </w:r>
      <w:r>
        <w:rPr>
          <w:rFonts w:eastAsia="方正仿宋_GBK"/>
          <w:color w:val="000000"/>
          <w:spacing w:val="-2"/>
          <w:kern w:val="0"/>
          <w:sz w:val="24"/>
        </w:rPr>
        <w:t xml:space="preserve">  </w:t>
      </w:r>
      <w:r>
        <w:rPr>
          <w:rFonts w:hint="eastAsia" w:eastAsia="方正仿宋_GBK"/>
          <w:color w:val="000000"/>
          <w:spacing w:val="-2"/>
          <w:kern w:val="0"/>
          <w:sz w:val="24"/>
        </w:rPr>
        <w:t>工程建设地方标准实施中，各相关单位如有修改意见的应当及时向省工程建设标准站或标准主编单位反馈。</w:t>
      </w:r>
      <w:bookmarkEnd w:id="322"/>
      <w:bookmarkEnd w:id="323"/>
      <w:bookmarkEnd w:id="324"/>
    </w:p>
    <w:p>
      <w:pPr>
        <w:spacing w:line="460" w:lineRule="exact"/>
        <w:ind w:firstLine="472" w:firstLineChars="200"/>
        <w:outlineLvl w:val="0"/>
        <w:rPr>
          <w:rFonts w:eastAsia="方正仿宋_GBK"/>
          <w:color w:val="000000"/>
          <w:spacing w:val="-2"/>
          <w:kern w:val="0"/>
          <w:sz w:val="24"/>
        </w:rPr>
      </w:pPr>
      <w:bookmarkStart w:id="325" w:name="_Toc20726553"/>
      <w:bookmarkStart w:id="326" w:name="_Toc20668024"/>
      <w:bookmarkStart w:id="327" w:name="_Toc18315529"/>
      <w:r>
        <w:rPr>
          <w:rFonts w:hint="eastAsia" w:ascii="Times New Roman" w:eastAsia="方正黑体_GBK"/>
          <w:color w:val="000000"/>
          <w:spacing w:val="-2"/>
          <w:sz w:val="24"/>
        </w:rPr>
        <w:t>第二十二条</w:t>
      </w:r>
      <w:r>
        <w:rPr>
          <w:rFonts w:eastAsia="方正仿宋_GBK"/>
          <w:color w:val="000000"/>
          <w:spacing w:val="-2"/>
          <w:kern w:val="0"/>
          <w:sz w:val="24"/>
        </w:rPr>
        <w:t xml:space="preserve">  </w:t>
      </w:r>
      <w:r>
        <w:rPr>
          <w:rFonts w:hint="eastAsia" w:eastAsia="方正仿宋_GBK"/>
          <w:color w:val="000000"/>
          <w:spacing w:val="-2"/>
          <w:kern w:val="0"/>
          <w:sz w:val="24"/>
        </w:rPr>
        <w:t>工程建设地方标准实施后，应当根据实施情况和科学技术发展情况，适时组织复审。复审周期一般为五年。</w:t>
      </w:r>
      <w:bookmarkEnd w:id="325"/>
      <w:bookmarkEnd w:id="326"/>
      <w:bookmarkEnd w:id="327"/>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复审后，省建设行政主管部门应及时发布继续有效、需修订或废止的信息。</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工程建设地方标准实施中如与新发布的国家标准、行业标准相抵触，应当及时修订或废止。</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经复审后的工程建设地方标准在再版时应明确标注标准复审或修订时间。</w:t>
      </w:r>
    </w:p>
    <w:p>
      <w:pPr>
        <w:spacing w:line="460" w:lineRule="exact"/>
        <w:ind w:firstLine="472" w:firstLineChars="200"/>
        <w:outlineLvl w:val="0"/>
        <w:rPr>
          <w:rFonts w:eastAsia="方正仿宋_GBK"/>
          <w:color w:val="000000"/>
          <w:spacing w:val="-2"/>
          <w:kern w:val="0"/>
          <w:sz w:val="24"/>
        </w:rPr>
      </w:pPr>
      <w:bookmarkStart w:id="328" w:name="_Toc18315530"/>
      <w:bookmarkStart w:id="329" w:name="_Toc20726554"/>
      <w:bookmarkStart w:id="330" w:name="_Toc20668025"/>
      <w:r>
        <w:rPr>
          <w:rFonts w:hint="eastAsia" w:ascii="Times New Roman" w:eastAsia="方正黑体_GBK"/>
          <w:color w:val="000000"/>
          <w:spacing w:val="-2"/>
          <w:sz w:val="24"/>
        </w:rPr>
        <w:t>第二十三条</w:t>
      </w:r>
      <w:r>
        <w:rPr>
          <w:rFonts w:eastAsia="方正仿宋_GBK"/>
          <w:color w:val="000000"/>
          <w:spacing w:val="-2"/>
          <w:kern w:val="0"/>
          <w:sz w:val="24"/>
        </w:rPr>
        <w:t xml:space="preserve">  </w:t>
      </w:r>
      <w:r>
        <w:rPr>
          <w:rFonts w:hint="eastAsia" w:eastAsia="方正仿宋_GBK"/>
          <w:color w:val="000000"/>
          <w:spacing w:val="-2"/>
          <w:kern w:val="0"/>
          <w:sz w:val="24"/>
        </w:rPr>
        <w:t>本办法自发布之日起施行，以前有与本办法不相符的文件自行作废。</w:t>
      </w:r>
      <w:bookmarkEnd w:id="328"/>
      <w:bookmarkEnd w:id="329"/>
      <w:bookmarkEnd w:id="330"/>
      <w:bookmarkStart w:id="331" w:name="_Toc18315531"/>
    </w:p>
    <w:p>
      <w:pPr>
        <w:spacing w:line="460" w:lineRule="exact"/>
        <w:ind w:firstLine="472" w:firstLineChars="200"/>
        <w:outlineLvl w:val="0"/>
        <w:rPr>
          <w:rFonts w:eastAsia="方正仿宋_GBK"/>
          <w:color w:val="000000"/>
          <w:spacing w:val="-2"/>
          <w:kern w:val="0"/>
          <w:sz w:val="24"/>
        </w:rPr>
      </w:pPr>
      <w:bookmarkStart w:id="332" w:name="_Toc20668026"/>
      <w:bookmarkStart w:id="333" w:name="_Toc20726555"/>
      <w:r>
        <w:rPr>
          <w:rFonts w:hint="eastAsia" w:ascii="Times New Roman" w:eastAsia="方正黑体_GBK"/>
          <w:color w:val="000000"/>
          <w:spacing w:val="-2"/>
          <w:sz w:val="24"/>
        </w:rPr>
        <w:t>第二十四条</w:t>
      </w:r>
      <w:r>
        <w:rPr>
          <w:rFonts w:eastAsia="方正仿宋_GBK"/>
          <w:color w:val="000000"/>
          <w:spacing w:val="-2"/>
          <w:kern w:val="0"/>
          <w:sz w:val="24"/>
        </w:rPr>
        <w:t xml:space="preserve">  </w:t>
      </w:r>
      <w:r>
        <w:rPr>
          <w:rFonts w:hint="eastAsia" w:eastAsia="方正仿宋_GBK"/>
          <w:color w:val="000000"/>
          <w:spacing w:val="-2"/>
          <w:kern w:val="0"/>
          <w:sz w:val="24"/>
        </w:rPr>
        <w:t>本办法由省建设行政主管部门负责解释。</w:t>
      </w:r>
      <w:bookmarkEnd w:id="331"/>
      <w:bookmarkEnd w:id="332"/>
      <w:bookmarkEnd w:id="333"/>
    </w:p>
    <w:p>
      <w:pPr>
        <w:pStyle w:val="2"/>
        <w:spacing w:before="240" w:beforeLines="100" w:after="240" w:afterLines="100" w:line="240" w:lineRule="auto"/>
        <w:jc w:val="center"/>
        <w:rPr>
          <w:rFonts w:ascii="Times New Roman" w:eastAsia="方正小标宋_GBK"/>
          <w:b w:val="0"/>
          <w:sz w:val="36"/>
          <w:szCs w:val="36"/>
        </w:rPr>
      </w:pPr>
      <w:r>
        <w:rPr>
          <w:rFonts w:eastAsia="方正仿宋_GBK"/>
          <w:b w:val="0"/>
          <w:color w:val="000000"/>
          <w:spacing w:val="-2"/>
          <w:kern w:val="0"/>
          <w:sz w:val="24"/>
        </w:rPr>
        <w:br w:type="column"/>
      </w:r>
      <w:bookmarkStart w:id="334" w:name="_Toc18315542"/>
      <w:bookmarkStart w:id="335" w:name="_Toc20726438"/>
      <w:r>
        <w:rPr>
          <w:rFonts w:hint="eastAsia" w:ascii="Times New Roman" w:eastAsia="方正小标宋_GBK"/>
          <w:b w:val="0"/>
          <w:sz w:val="36"/>
          <w:szCs w:val="36"/>
        </w:rPr>
        <w:t>关于印发《〈江苏省机关办公建筑和大型公共建筑能耗统计管理办法〉和〈江苏省机关办公建筑和大型       公共建筑能源审计管理办法〉》的通知</w:t>
      </w:r>
      <w:bookmarkEnd w:id="334"/>
      <w:bookmarkEnd w:id="33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336" w:name="_Toc20726439"/>
      <w:bookmarkStart w:id="337" w:name="_Toc18315543"/>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97</w:t>
      </w:r>
      <w:r>
        <w:rPr>
          <w:rFonts w:hint="eastAsia" w:ascii="Times New Roman" w:hAnsi="Times New Roman" w:eastAsia="方正楷体_GBK"/>
          <w:b w:val="0"/>
          <w:sz w:val="24"/>
          <w:szCs w:val="24"/>
        </w:rPr>
        <w:t>号</w:t>
      </w:r>
      <w:bookmarkEnd w:id="336"/>
      <w:bookmarkEnd w:id="337"/>
    </w:p>
    <w:p>
      <w:pPr>
        <w:spacing w:line="460" w:lineRule="exact"/>
        <w:rPr>
          <w:rFonts w:eastAsia="方正仿宋_GBK"/>
          <w:color w:val="000000"/>
          <w:spacing w:val="-2"/>
          <w:sz w:val="24"/>
        </w:rPr>
      </w:pPr>
      <w:r>
        <w:rPr>
          <w:rFonts w:hint="eastAsia" w:eastAsia="方正仿宋_GBK"/>
          <w:color w:val="000000"/>
          <w:spacing w:val="-2"/>
          <w:sz w:val="24"/>
        </w:rPr>
        <w:t>各省辖市建设局（委）：</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为建立我省机关办公建筑和大型公共建筑节能监管体系，根据《民用建筑节能条例》、《关于加强国家机关办公建筑和大型公共建筑节能管理工作的实施意见》（住房和城乡建设部、财政部建科〔</w:t>
      </w:r>
      <w:r>
        <w:rPr>
          <w:rFonts w:eastAsia="方正仿宋_GBK"/>
          <w:color w:val="000000"/>
          <w:spacing w:val="-2"/>
          <w:sz w:val="24"/>
        </w:rPr>
        <w:t>2007</w:t>
      </w:r>
      <w:r>
        <w:rPr>
          <w:rFonts w:hint="eastAsia" w:eastAsia="方正仿宋_GBK"/>
          <w:color w:val="000000"/>
          <w:spacing w:val="-2"/>
          <w:sz w:val="24"/>
        </w:rPr>
        <w:t>〕</w:t>
      </w:r>
      <w:r>
        <w:rPr>
          <w:rFonts w:eastAsia="方正仿宋_GBK"/>
          <w:color w:val="000000"/>
          <w:spacing w:val="-2"/>
          <w:sz w:val="24"/>
        </w:rPr>
        <w:t>245</w:t>
      </w:r>
      <w:r>
        <w:rPr>
          <w:rFonts w:hint="eastAsia" w:eastAsia="方正仿宋_GBK"/>
          <w:color w:val="000000"/>
          <w:spacing w:val="-2"/>
          <w:sz w:val="24"/>
        </w:rPr>
        <w:t>号）和《江苏省省级节能减排（建筑节能和建筑产业现代化）专项引导资金管理办法》，我厅研究制定了《江苏省机关办公建筑和大型公共建筑能耗统计管理办法》和《江苏省机关办公建筑和大型公共建筑能源审计管理办法》，现予印发，请遵照执行。</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1. </w:t>
      </w:r>
      <w:r>
        <w:rPr>
          <w:rFonts w:hint="eastAsia" w:eastAsia="方正仿宋_GBK"/>
          <w:color w:val="000000"/>
          <w:spacing w:val="-2"/>
          <w:sz w:val="24"/>
        </w:rPr>
        <w:t>《江苏省机关办公建筑和大型公共建筑能耗统计管理办法》</w:t>
      </w:r>
    </w:p>
    <w:p>
      <w:pPr>
        <w:spacing w:line="460" w:lineRule="exact"/>
        <w:ind w:firstLine="1210" w:firstLineChars="513"/>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《江苏省机关办公建筑和大型公共建筑能源审计管理办法》</w:t>
      </w:r>
    </w:p>
    <w:p>
      <w:pPr>
        <w:spacing w:line="460" w:lineRule="exact"/>
        <w:rPr>
          <w:rFonts w:eastAsia="方正仿宋_GBK"/>
          <w:color w:val="000000"/>
          <w:spacing w:val="-2"/>
          <w:sz w:val="24"/>
        </w:rPr>
      </w:pPr>
    </w:p>
    <w:p>
      <w:pPr>
        <w:spacing w:line="460" w:lineRule="exact"/>
        <w:ind w:right="17" w:rightChars="8" w:firstLine="6490" w:firstLineChars="2750"/>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spacing w:line="460" w:lineRule="exact"/>
        <w:ind w:right="437" w:rightChars="208" w:firstLine="3540" w:firstLineChars="1500"/>
        <w:jc w:val="right"/>
        <w:rPr>
          <w:rFonts w:eastAsia="方正仿宋_GBK"/>
          <w:color w:val="000000"/>
          <w:spacing w:val="-2"/>
          <w:sz w:val="24"/>
        </w:rPr>
      </w:pPr>
      <w:r>
        <w:rPr>
          <w:rFonts w:hint="eastAsia" w:eastAsia="方正仿宋_GBK"/>
          <w:color w:val="000000"/>
          <w:spacing w:val="-2"/>
          <w:sz w:val="24"/>
        </w:rPr>
        <w:t>二</w:t>
      </w:r>
      <w:r>
        <w:rPr>
          <w:rFonts w:hint="eastAsia" w:ascii="Times New Roman" w:hAnsi="Times New Roman"/>
          <w:bCs/>
          <w:snapToGrid w:val="0"/>
          <w:color w:val="000000"/>
          <w:spacing w:val="-2"/>
          <w:kern w:val="0"/>
          <w:sz w:val="24"/>
        </w:rPr>
        <w:t>○○</w:t>
      </w:r>
      <w:r>
        <w:rPr>
          <w:rFonts w:hint="eastAsia" w:eastAsia="方正仿宋_GBK"/>
          <w:color w:val="000000"/>
          <w:spacing w:val="-2"/>
          <w:sz w:val="24"/>
        </w:rPr>
        <w:t>九年三月三十日</w:t>
      </w:r>
      <w:r>
        <w:rPr>
          <w:rFonts w:eastAsia="方正仿宋_GBK"/>
          <w:color w:val="000000"/>
          <w:spacing w:val="-2"/>
          <w:sz w:val="24"/>
        </w:rPr>
        <w:t xml:space="preserve">    </w:t>
      </w:r>
    </w:p>
    <w:p>
      <w:pPr>
        <w:spacing w:line="460" w:lineRule="exact"/>
        <w:rPr>
          <w:rFonts w:eastAsia="方正仿宋_GBK"/>
          <w:color w:val="000000"/>
          <w:spacing w:val="-2"/>
          <w:sz w:val="24"/>
        </w:rPr>
      </w:pPr>
    </w:p>
    <w:p>
      <w:pPr>
        <w:spacing w:line="460" w:lineRule="exact"/>
        <w:outlineLvl w:val="0"/>
        <w:rPr>
          <w:rFonts w:eastAsia="方正黑体_GBK"/>
          <w:color w:val="000000"/>
          <w:spacing w:val="-2"/>
          <w:sz w:val="28"/>
          <w:szCs w:val="28"/>
        </w:rPr>
      </w:pPr>
      <w:r>
        <w:rPr>
          <w:rFonts w:eastAsia="方正仿宋_GBK"/>
          <w:color w:val="000000"/>
          <w:spacing w:val="-2"/>
          <w:sz w:val="24"/>
        </w:rPr>
        <w:br w:type="page"/>
      </w:r>
      <w:bookmarkStart w:id="338" w:name="_Toc20726440"/>
      <w:bookmarkStart w:id="339" w:name="_Toc20667912"/>
      <w:bookmarkStart w:id="340" w:name="_Toc18315544"/>
      <w:r>
        <w:rPr>
          <w:rFonts w:hint="eastAsia" w:eastAsia="方正黑体_GBK"/>
          <w:color w:val="000000"/>
          <w:spacing w:val="-2"/>
          <w:sz w:val="28"/>
          <w:szCs w:val="28"/>
        </w:rPr>
        <w:t>附件</w:t>
      </w:r>
      <w:r>
        <w:rPr>
          <w:rFonts w:eastAsia="方正黑体_GBK"/>
          <w:color w:val="000000"/>
          <w:spacing w:val="-2"/>
          <w:sz w:val="28"/>
          <w:szCs w:val="28"/>
        </w:rPr>
        <w:t>1</w:t>
      </w:r>
      <w:bookmarkEnd w:id="338"/>
      <w:bookmarkEnd w:id="339"/>
      <w:bookmarkEnd w:id="340"/>
    </w:p>
    <w:p>
      <w:pPr>
        <w:spacing w:line="460" w:lineRule="exact"/>
        <w:outlineLvl w:val="0"/>
        <w:rPr>
          <w:rFonts w:eastAsia="方正仿宋_GBK"/>
          <w:color w:val="000000"/>
          <w:spacing w:val="-2"/>
          <w:sz w:val="24"/>
        </w:rPr>
      </w:pPr>
    </w:p>
    <w:p>
      <w:pPr>
        <w:spacing w:line="460" w:lineRule="exact"/>
        <w:jc w:val="center"/>
        <w:outlineLvl w:val="0"/>
        <w:rPr>
          <w:rFonts w:eastAsia="方正小标宋简体"/>
          <w:color w:val="000000"/>
          <w:spacing w:val="-2"/>
          <w:sz w:val="36"/>
          <w:szCs w:val="36"/>
        </w:rPr>
      </w:pPr>
      <w:bookmarkStart w:id="341" w:name="_Toc20667913"/>
      <w:bookmarkStart w:id="342" w:name="_Toc20726441"/>
      <w:bookmarkStart w:id="343" w:name="_Toc18315545"/>
      <w:r>
        <w:rPr>
          <w:rFonts w:hint="eastAsia" w:eastAsia="方正小标宋简体"/>
          <w:color w:val="000000"/>
          <w:spacing w:val="-2"/>
          <w:sz w:val="36"/>
          <w:szCs w:val="36"/>
        </w:rPr>
        <w:t>江苏省机关办公建筑和大型公共建筑</w:t>
      </w:r>
      <w:bookmarkEnd w:id="341"/>
      <w:bookmarkEnd w:id="342"/>
      <w:bookmarkEnd w:id="343"/>
    </w:p>
    <w:p>
      <w:pPr>
        <w:spacing w:line="460" w:lineRule="exact"/>
        <w:jc w:val="center"/>
        <w:outlineLvl w:val="0"/>
        <w:rPr>
          <w:rFonts w:eastAsia="方正小标宋简体"/>
          <w:color w:val="000000"/>
          <w:spacing w:val="-2"/>
          <w:sz w:val="36"/>
          <w:szCs w:val="36"/>
        </w:rPr>
      </w:pPr>
      <w:bookmarkStart w:id="344" w:name="_Toc20726442"/>
      <w:bookmarkStart w:id="345" w:name="_Toc18315546"/>
      <w:bookmarkStart w:id="346" w:name="_Toc20667914"/>
      <w:r>
        <w:rPr>
          <w:rFonts w:hint="eastAsia" w:eastAsia="方正小标宋简体"/>
          <w:color w:val="000000"/>
          <w:spacing w:val="-2"/>
          <w:sz w:val="36"/>
          <w:szCs w:val="36"/>
        </w:rPr>
        <w:t>能耗统计管理办法</w:t>
      </w:r>
      <w:bookmarkEnd w:id="344"/>
      <w:bookmarkEnd w:id="345"/>
      <w:bookmarkEnd w:id="346"/>
    </w:p>
    <w:p>
      <w:pPr>
        <w:spacing w:line="460" w:lineRule="exact"/>
        <w:ind w:firstLine="472" w:firstLineChars="200"/>
        <w:jc w:val="center"/>
        <w:outlineLvl w:val="0"/>
        <w:rPr>
          <w:rFonts w:eastAsia="方正仿宋_GBK"/>
          <w:color w:val="000000"/>
          <w:spacing w:val="-2"/>
          <w:sz w:val="24"/>
        </w:rPr>
      </w:pPr>
    </w:p>
    <w:p>
      <w:pPr>
        <w:spacing w:line="420" w:lineRule="exact"/>
        <w:ind w:firstLine="472" w:firstLineChars="200"/>
        <w:rPr>
          <w:rFonts w:eastAsia="方正仿宋_GBK"/>
          <w:color w:val="000000"/>
          <w:spacing w:val="-2"/>
          <w:sz w:val="24"/>
        </w:rPr>
      </w:pPr>
      <w:r>
        <w:rPr>
          <w:rFonts w:hint="eastAsia" w:eastAsia="方正黑体_GBK"/>
          <w:color w:val="000000"/>
          <w:spacing w:val="-2"/>
          <w:sz w:val="24"/>
        </w:rPr>
        <w:t>第一条</w:t>
      </w:r>
      <w:r>
        <w:rPr>
          <w:rFonts w:eastAsia="方正仿宋_GBK"/>
          <w:color w:val="000000"/>
          <w:spacing w:val="-2"/>
          <w:sz w:val="24"/>
        </w:rPr>
        <w:t xml:space="preserve">  </w:t>
      </w:r>
      <w:r>
        <w:rPr>
          <w:rFonts w:hint="eastAsia" w:eastAsia="方正仿宋_GBK"/>
          <w:bCs/>
          <w:color w:val="000000"/>
          <w:spacing w:val="-2"/>
          <w:kern w:val="0"/>
          <w:sz w:val="24"/>
          <w:lang w:val="zh-CN"/>
        </w:rPr>
        <w:t>为建立我省机关办公建筑和大型公共建筑节能监管体系</w:t>
      </w:r>
      <w:r>
        <w:rPr>
          <w:rFonts w:hint="eastAsia" w:eastAsia="方正仿宋_GBK"/>
          <w:color w:val="000000"/>
          <w:spacing w:val="-2"/>
          <w:sz w:val="24"/>
        </w:rPr>
        <w:t>，开展</w:t>
      </w:r>
      <w:r>
        <w:rPr>
          <w:rFonts w:hint="eastAsia" w:eastAsia="方正仿宋_GBK"/>
          <w:bCs/>
          <w:color w:val="000000"/>
          <w:spacing w:val="-2"/>
          <w:kern w:val="0"/>
          <w:sz w:val="24"/>
          <w:lang w:val="zh-CN"/>
        </w:rPr>
        <w:t>对省本级及示范城市辖区内机关办公建筑和大型公共建筑</w:t>
      </w:r>
      <w:r>
        <w:rPr>
          <w:rFonts w:hint="eastAsia" w:eastAsia="方正仿宋_GBK"/>
          <w:color w:val="000000"/>
          <w:spacing w:val="-2"/>
          <w:sz w:val="24"/>
        </w:rPr>
        <w:t>能耗状况的统计调查</w:t>
      </w:r>
      <w:r>
        <w:rPr>
          <w:rFonts w:hint="eastAsia" w:eastAsia="方正仿宋_GBK"/>
          <w:bCs/>
          <w:color w:val="000000"/>
          <w:spacing w:val="-2"/>
          <w:kern w:val="0"/>
          <w:sz w:val="24"/>
          <w:lang w:val="zh-CN"/>
        </w:rPr>
        <w:t>，根据</w:t>
      </w:r>
      <w:r>
        <w:rPr>
          <w:rFonts w:hint="eastAsia" w:eastAsia="方正仿宋_GBK"/>
          <w:color w:val="000000"/>
          <w:spacing w:val="-2"/>
          <w:sz w:val="24"/>
        </w:rPr>
        <w:t>《中华人民共和国统计法》、《民用建筑节能条例》、</w:t>
      </w:r>
      <w:r>
        <w:rPr>
          <w:rFonts w:hint="eastAsia" w:eastAsia="方正仿宋_GBK"/>
          <w:bCs/>
          <w:color w:val="000000"/>
          <w:spacing w:val="-2"/>
          <w:kern w:val="0"/>
          <w:sz w:val="24"/>
          <w:lang w:val="zh-CN"/>
        </w:rPr>
        <w:t>《江苏省绿色建筑发展条例》、</w:t>
      </w:r>
      <w:r>
        <w:rPr>
          <w:rFonts w:hint="eastAsia" w:eastAsia="方正仿宋_GBK"/>
          <w:color w:val="000000"/>
          <w:spacing w:val="-2"/>
          <w:sz w:val="24"/>
        </w:rPr>
        <w:t>《</w:t>
      </w:r>
      <w:r>
        <w:rPr>
          <w:rFonts w:hint="eastAsia" w:eastAsia="方正仿宋_GBK"/>
          <w:bCs/>
          <w:color w:val="000000"/>
          <w:spacing w:val="-2"/>
          <w:kern w:val="0"/>
          <w:sz w:val="24"/>
          <w:lang w:val="zh-CN"/>
        </w:rPr>
        <w:t>建设部、财政部关于加强国家机关办公建筑和大型公共建筑节能管理工作的实施意见》、</w:t>
      </w:r>
      <w:r>
        <w:rPr>
          <w:rFonts w:hint="eastAsia" w:eastAsia="方正仿宋_GBK"/>
          <w:color w:val="000000"/>
          <w:spacing w:val="-2"/>
          <w:sz w:val="24"/>
        </w:rPr>
        <w:t>《民用建筑能耗数据采集标准》（</w:t>
      </w:r>
      <w:r>
        <w:rPr>
          <w:rFonts w:eastAsia="方正仿宋_GBK"/>
          <w:color w:val="000000"/>
          <w:spacing w:val="-2"/>
          <w:sz w:val="24"/>
        </w:rPr>
        <w:t>JGJ/T154-2007</w:t>
      </w:r>
      <w:r>
        <w:rPr>
          <w:rFonts w:hint="eastAsia" w:eastAsia="方正仿宋_GBK"/>
          <w:color w:val="000000"/>
          <w:spacing w:val="-2"/>
          <w:sz w:val="24"/>
        </w:rPr>
        <w:t>）及相关技术标准规范，制定本办法。</w:t>
      </w:r>
    </w:p>
    <w:p>
      <w:pPr>
        <w:spacing w:line="420" w:lineRule="exact"/>
        <w:ind w:firstLine="472" w:firstLineChars="200"/>
        <w:rPr>
          <w:rFonts w:eastAsia="方正仿宋_GBK"/>
          <w:color w:val="000000"/>
          <w:spacing w:val="-2"/>
          <w:sz w:val="24"/>
        </w:rPr>
      </w:pPr>
      <w:r>
        <w:rPr>
          <w:rFonts w:hint="eastAsia" w:eastAsia="方正黑体_GBK"/>
          <w:color w:val="000000"/>
          <w:spacing w:val="-2"/>
          <w:sz w:val="24"/>
        </w:rPr>
        <w:t>第二条</w:t>
      </w:r>
      <w:r>
        <w:rPr>
          <w:rFonts w:eastAsia="方正仿宋_GBK"/>
          <w:color w:val="000000"/>
          <w:spacing w:val="-2"/>
          <w:sz w:val="24"/>
        </w:rPr>
        <w:t xml:space="preserve"> </w:t>
      </w:r>
      <w:r>
        <w:rPr>
          <w:rFonts w:hint="eastAsia" w:eastAsia="方正仿宋_GBK"/>
          <w:bCs/>
          <w:color w:val="000000"/>
          <w:spacing w:val="-2"/>
          <w:kern w:val="0"/>
          <w:sz w:val="24"/>
          <w:lang w:val="zh-CN"/>
        </w:rPr>
        <w:t>本办法适用于对我省机关办公建筑和大型公共建筑实施能耗统计及其相关管理活动。</w:t>
      </w:r>
    </w:p>
    <w:p>
      <w:pPr>
        <w:spacing w:line="420" w:lineRule="exact"/>
        <w:ind w:firstLine="472" w:firstLineChars="200"/>
        <w:rPr>
          <w:rFonts w:eastAsia="方正仿宋_GBK"/>
          <w:color w:val="000000"/>
          <w:spacing w:val="-2"/>
          <w:sz w:val="24"/>
        </w:rPr>
      </w:pPr>
      <w:r>
        <w:rPr>
          <w:rFonts w:hint="eastAsia"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本办法所指的统计对象包括区、县以上机关办公建筑、单体建筑面积</w:t>
      </w:r>
      <w:r>
        <w:rPr>
          <w:rFonts w:eastAsia="方正仿宋_GBK"/>
          <w:color w:val="000000"/>
          <w:spacing w:val="-2"/>
          <w:sz w:val="24"/>
        </w:rPr>
        <w:t>2</w:t>
      </w:r>
      <w:r>
        <w:rPr>
          <w:rFonts w:hint="eastAsia" w:eastAsia="方正仿宋_GBK"/>
          <w:color w:val="000000"/>
          <w:spacing w:val="-2"/>
          <w:sz w:val="24"/>
        </w:rPr>
        <w:t>万平方米以上的大型公共建筑、总建筑面积超过</w:t>
      </w:r>
      <w:r>
        <w:rPr>
          <w:rFonts w:eastAsia="方正仿宋_GBK"/>
          <w:color w:val="000000"/>
          <w:spacing w:val="-2"/>
          <w:sz w:val="24"/>
        </w:rPr>
        <w:t>2</w:t>
      </w:r>
      <w:r>
        <w:rPr>
          <w:rFonts w:hint="eastAsia" w:eastAsia="方正仿宋_GBK"/>
          <w:color w:val="000000"/>
          <w:spacing w:val="-2"/>
          <w:sz w:val="24"/>
        </w:rPr>
        <w:t>万平方米以上的大学校园，以及使用各级政府提供的资金进行节能改造、可再生能源建筑应用、低能耗建筑、绿色建筑示范的公共建筑工程项目。</w:t>
      </w:r>
    </w:p>
    <w:p>
      <w:pPr>
        <w:spacing w:line="420" w:lineRule="exact"/>
        <w:ind w:firstLine="472" w:firstLineChars="200"/>
        <w:rPr>
          <w:rFonts w:eastAsia="方正仿宋_GBK"/>
          <w:color w:val="000000"/>
          <w:spacing w:val="-2"/>
          <w:sz w:val="24"/>
        </w:rPr>
      </w:pPr>
      <w:r>
        <w:rPr>
          <w:rFonts w:hint="eastAsia"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建筑能耗统计活动应当坚持客观、完整、准确、及时的原则。</w:t>
      </w:r>
    </w:p>
    <w:p>
      <w:pPr>
        <w:spacing w:line="420" w:lineRule="exact"/>
        <w:ind w:firstLine="472" w:firstLineChars="200"/>
        <w:rPr>
          <w:rFonts w:eastAsia="方正仿宋_GBK"/>
          <w:color w:val="000000"/>
          <w:spacing w:val="-2"/>
          <w:kern w:val="0"/>
          <w:sz w:val="24"/>
          <w:lang w:val="zh-CN"/>
        </w:rPr>
      </w:pPr>
      <w:r>
        <w:rPr>
          <w:rFonts w:hint="eastAsia"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县级以上地方人民政府建设行政主管部门负责本行政区域内国家机关办公建筑和大型公共建筑</w:t>
      </w:r>
      <w:r>
        <w:rPr>
          <w:rFonts w:hint="eastAsia" w:eastAsia="方正仿宋_GBK"/>
          <w:color w:val="000000"/>
          <w:spacing w:val="-2"/>
          <w:kern w:val="0"/>
          <w:sz w:val="24"/>
          <w:lang w:val="zh-CN"/>
        </w:rPr>
        <w:t>能耗统计活动的实施与监督管理。</w:t>
      </w:r>
    </w:p>
    <w:p>
      <w:pPr>
        <w:spacing w:line="420" w:lineRule="exact"/>
        <w:ind w:firstLine="472" w:firstLineChars="200"/>
        <w:outlineLvl w:val="1"/>
        <w:rPr>
          <w:rFonts w:eastAsia="方正仿宋_GBK"/>
          <w:color w:val="000000"/>
          <w:spacing w:val="-2"/>
          <w:sz w:val="24"/>
        </w:rPr>
      </w:pPr>
      <w:bookmarkStart w:id="347" w:name="_Toc20726443"/>
      <w:bookmarkStart w:id="348" w:name="_Toc20667915"/>
      <w:bookmarkStart w:id="349" w:name="_Toc18315547"/>
      <w:r>
        <w:rPr>
          <w:rFonts w:hint="eastAsia" w:eastAsia="方正仿宋_GBK"/>
          <w:color w:val="000000"/>
          <w:spacing w:val="-2"/>
          <w:sz w:val="24"/>
        </w:rPr>
        <w:t>县级以上人民政府建设行政主管部门应当</w:t>
      </w:r>
      <w:r>
        <w:rPr>
          <w:rFonts w:hint="eastAsia" w:eastAsia="方正仿宋_GBK"/>
          <w:bCs/>
          <w:color w:val="000000"/>
          <w:spacing w:val="-2"/>
          <w:kern w:val="0"/>
          <w:sz w:val="24"/>
          <w:lang w:val="zh-CN"/>
        </w:rPr>
        <w:t>结合年度机关办公建筑和大型公共建筑节能监管体系建设工作计划，编制本地区的能耗统计计划，</w:t>
      </w:r>
      <w:r>
        <w:rPr>
          <w:rFonts w:hint="eastAsia" w:eastAsia="方正仿宋_GBK"/>
          <w:color w:val="000000"/>
          <w:spacing w:val="-2"/>
          <w:sz w:val="24"/>
        </w:rPr>
        <w:t>并接受同级统计部门的业务指导</w:t>
      </w:r>
      <w:r>
        <w:rPr>
          <w:rFonts w:hint="eastAsia" w:eastAsia="方正仿宋_GBK"/>
          <w:bCs/>
          <w:color w:val="000000"/>
          <w:spacing w:val="-2"/>
          <w:kern w:val="0"/>
          <w:sz w:val="24"/>
          <w:lang w:val="zh-CN"/>
        </w:rPr>
        <w:t>。具体的建筑能耗统计活动</w:t>
      </w:r>
      <w:r>
        <w:rPr>
          <w:rFonts w:hint="eastAsia" w:eastAsia="方正仿宋_GBK"/>
          <w:color w:val="000000"/>
          <w:spacing w:val="-2"/>
          <w:sz w:val="24"/>
        </w:rPr>
        <w:t>可以委托建筑节能专门机构实施。</w:t>
      </w:r>
      <w:bookmarkEnd w:id="347"/>
      <w:bookmarkEnd w:id="348"/>
      <w:bookmarkEnd w:id="349"/>
    </w:p>
    <w:p>
      <w:pPr>
        <w:spacing w:line="420" w:lineRule="exact"/>
        <w:ind w:firstLine="472" w:firstLineChars="200"/>
        <w:rPr>
          <w:rFonts w:eastAsia="方正仿宋_GBK"/>
          <w:color w:val="000000"/>
          <w:spacing w:val="-2"/>
          <w:sz w:val="24"/>
        </w:rPr>
      </w:pPr>
      <w:r>
        <w:rPr>
          <w:rFonts w:hint="eastAsia"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建筑能耗统计信息主要包括以下内容：</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（一）建筑名称、建筑面积、建筑高度、建筑层数、建筑功能、建成使用年代等建筑基本信息。</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（二）年（月）度能耗量、年（月）度分类能耗量、集中供热（供冷）量、可再生能源使用量、年（月）度用水量、年度单位能耗等建筑能耗指标；</w:t>
      </w:r>
    </w:p>
    <w:p>
      <w:pPr>
        <w:spacing w:line="420" w:lineRule="exact"/>
        <w:ind w:firstLine="472" w:firstLineChars="200"/>
        <w:rPr>
          <w:rFonts w:eastAsia="方正仿宋_GBK"/>
          <w:color w:val="000000"/>
          <w:spacing w:val="-2"/>
          <w:sz w:val="24"/>
        </w:rPr>
      </w:pPr>
      <w:r>
        <w:rPr>
          <w:rFonts w:hint="eastAsia" w:eastAsia="方正黑体_GBK"/>
          <w:color w:val="000000"/>
          <w:spacing w:val="-2"/>
          <w:sz w:val="24"/>
        </w:rPr>
        <w:t>第七条</w:t>
      </w:r>
      <w:r>
        <w:rPr>
          <w:rFonts w:eastAsia="方正仿宋_GBK"/>
          <w:b/>
          <w:color w:val="000000"/>
          <w:spacing w:val="-2"/>
          <w:sz w:val="24"/>
        </w:rPr>
        <w:t xml:space="preserve">  </w:t>
      </w:r>
      <w:r>
        <w:rPr>
          <w:rFonts w:hint="eastAsia" w:eastAsia="方正仿宋_GBK"/>
          <w:color w:val="000000"/>
          <w:spacing w:val="-2"/>
          <w:sz w:val="24"/>
        </w:rPr>
        <w:t>建筑能耗统计采取全面调查的方式。统计数据通过以下途径获得：</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（一）建设行政主管部门已有的统计数据；</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（二）城市建设档案中已经存档的数据；</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（三）被统计对象填写的数据；</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（四）专人进行现场调查和统计获得的数据；</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（五）建筑能耗数据自动采集系统获得的数据；</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（六）能源供应部门提供的数据。</w:t>
      </w:r>
    </w:p>
    <w:p>
      <w:pPr>
        <w:spacing w:line="420" w:lineRule="exact"/>
        <w:ind w:firstLine="472" w:firstLineChars="200"/>
        <w:rPr>
          <w:rFonts w:eastAsia="方正仿宋_GBK"/>
          <w:color w:val="000000"/>
          <w:spacing w:val="-2"/>
          <w:sz w:val="24"/>
        </w:rPr>
      </w:pPr>
      <w:r>
        <w:rPr>
          <w:rFonts w:hint="eastAsia" w:eastAsia="方正黑体_GBK"/>
          <w:color w:val="000000"/>
          <w:spacing w:val="-2"/>
          <w:sz w:val="24"/>
        </w:rPr>
        <w:t>第八条</w:t>
      </w:r>
      <w:r>
        <w:rPr>
          <w:rFonts w:eastAsia="方正仿宋_GBK"/>
          <w:b/>
          <w:color w:val="000000"/>
          <w:spacing w:val="-2"/>
          <w:sz w:val="24"/>
        </w:rPr>
        <w:t xml:space="preserve">  </w:t>
      </w:r>
      <w:r>
        <w:rPr>
          <w:rFonts w:hint="eastAsia" w:eastAsia="方正仿宋_GBK"/>
          <w:color w:val="000000"/>
          <w:spacing w:val="-2"/>
          <w:sz w:val="24"/>
        </w:rPr>
        <w:t>建筑能耗统计数据采取基层单位采集、逐级汇总报送的方式处理：</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（一）县级以上城市作为统计基层单位，负责对本辖区内符合本办法规定的统计对象的建筑基本信息和建筑能耗数据进行统计，并逐级上报到省建设厅。</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（二）省建设厅对各市的统计数据进行汇总后，上报建设部。</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（三）统计数据采用电子报表的形式，通过建设部建立的民用建筑能耗数据采集报送系统报送。</w:t>
      </w:r>
    </w:p>
    <w:p>
      <w:pPr>
        <w:spacing w:line="420" w:lineRule="exact"/>
        <w:ind w:firstLine="472" w:firstLineChars="200"/>
        <w:rPr>
          <w:rFonts w:eastAsia="方正仿宋_GBK"/>
          <w:bCs/>
          <w:color w:val="000000"/>
          <w:spacing w:val="-2"/>
          <w:kern w:val="0"/>
          <w:sz w:val="24"/>
          <w:lang w:val="zh-CN"/>
        </w:rPr>
      </w:pPr>
      <w:r>
        <w:rPr>
          <w:rFonts w:hint="eastAsia" w:eastAsia="方正黑体_GBK"/>
          <w:color w:val="000000"/>
          <w:spacing w:val="-2"/>
          <w:sz w:val="24"/>
        </w:rPr>
        <w:t>第九条</w:t>
      </w:r>
      <w:r>
        <w:rPr>
          <w:rFonts w:eastAsia="方正仿宋_GBK"/>
          <w:b/>
          <w:color w:val="000000"/>
          <w:spacing w:val="-2"/>
          <w:sz w:val="24"/>
        </w:rPr>
        <w:t xml:space="preserve">  </w:t>
      </w:r>
      <w:r>
        <w:rPr>
          <w:rFonts w:hint="eastAsia" w:eastAsia="方正仿宋_GBK"/>
          <w:bCs/>
          <w:color w:val="000000"/>
          <w:spacing w:val="-2"/>
          <w:kern w:val="0"/>
          <w:sz w:val="24"/>
          <w:lang w:val="zh-CN"/>
        </w:rPr>
        <w:t>各级建设行政主管部门或者其委托的建筑能耗统计机构依法享有统计调查权、报告权、监督权，对建筑能耗统计数据负有保密义务。</w:t>
      </w:r>
    </w:p>
    <w:p>
      <w:pPr>
        <w:spacing w:line="420" w:lineRule="exact"/>
        <w:ind w:firstLine="472" w:firstLineChars="200"/>
        <w:rPr>
          <w:rFonts w:eastAsia="方正仿宋_GBK"/>
          <w:bCs/>
          <w:color w:val="000000"/>
          <w:spacing w:val="-2"/>
          <w:kern w:val="0"/>
          <w:sz w:val="24"/>
          <w:lang w:val="zh-CN"/>
        </w:rPr>
      </w:pPr>
      <w:r>
        <w:rPr>
          <w:rFonts w:hint="eastAsia" w:eastAsia="方正黑体_GBK"/>
          <w:color w:val="000000"/>
          <w:spacing w:val="-2"/>
          <w:sz w:val="24"/>
        </w:rPr>
        <w:t>第十条</w:t>
      </w:r>
      <w:r>
        <w:rPr>
          <w:rFonts w:eastAsia="方正仿宋_GBK"/>
          <w:b/>
          <w:bCs/>
          <w:color w:val="000000"/>
          <w:spacing w:val="-2"/>
          <w:kern w:val="0"/>
          <w:sz w:val="24"/>
          <w:lang w:val="zh-CN"/>
        </w:rPr>
        <w:t xml:space="preserve">  </w:t>
      </w:r>
      <w:r>
        <w:rPr>
          <w:rFonts w:hint="eastAsia" w:eastAsia="方正仿宋_GBK"/>
          <w:bCs/>
          <w:color w:val="000000"/>
          <w:spacing w:val="-2"/>
          <w:kern w:val="0"/>
          <w:sz w:val="24"/>
          <w:lang w:val="zh-CN"/>
        </w:rPr>
        <w:t>统计对象有责任配合建筑能耗统计工作，有义务如实提供或填报建筑能耗统计报表或其他统计资料。</w:t>
      </w:r>
    </w:p>
    <w:p>
      <w:pPr>
        <w:spacing w:line="420" w:lineRule="exact"/>
        <w:ind w:firstLine="472" w:firstLineChars="200"/>
        <w:rPr>
          <w:rFonts w:eastAsia="方正仿宋_GBK"/>
          <w:color w:val="000000"/>
          <w:spacing w:val="-2"/>
          <w:sz w:val="24"/>
        </w:rPr>
      </w:pPr>
      <w:r>
        <w:rPr>
          <w:rFonts w:hint="eastAsia" w:eastAsia="方正黑体_GBK"/>
          <w:color w:val="000000"/>
          <w:spacing w:val="-2"/>
          <w:sz w:val="24"/>
        </w:rPr>
        <w:t>第十一条</w:t>
      </w:r>
      <w:r>
        <w:rPr>
          <w:rFonts w:eastAsia="方正仿宋_GBK"/>
          <w:b/>
          <w:color w:val="000000"/>
          <w:spacing w:val="-2"/>
          <w:sz w:val="24"/>
        </w:rPr>
        <w:t xml:space="preserve">  </w:t>
      </w:r>
      <w:r>
        <w:rPr>
          <w:rFonts w:hint="eastAsia" w:eastAsia="方正仿宋_GBK"/>
          <w:color w:val="000000"/>
          <w:spacing w:val="-2"/>
          <w:sz w:val="24"/>
        </w:rPr>
        <w:t>统计对象有下列行为之一的，建设行政主管部门可以建议相关统计主管部门依法予以处理：</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（一）虚报、瞒报、伪造、篡改、拒报或者屡次迟报建筑能耗统计报表或者其他统计资料的；</w:t>
      </w:r>
    </w:p>
    <w:p>
      <w:pPr>
        <w:spacing w:line="420" w:lineRule="exact"/>
        <w:ind w:left="181" w:leftChars="86" w:firstLine="236" w:firstLineChars="100"/>
        <w:rPr>
          <w:rFonts w:eastAsia="方正仿宋_GBK"/>
          <w:color w:val="000000"/>
          <w:spacing w:val="-2"/>
          <w:sz w:val="24"/>
        </w:rPr>
      </w:pPr>
      <w:r>
        <w:rPr>
          <w:rFonts w:hint="eastAsia" w:eastAsia="方正仿宋_GBK"/>
          <w:color w:val="000000"/>
          <w:spacing w:val="-2"/>
          <w:sz w:val="24"/>
        </w:rPr>
        <w:t>（二）转移、隐匿、毁弃原始记录、原始台帐、建筑能耗统计报表以及与统计有关的其他数据或信息的；</w:t>
      </w:r>
    </w:p>
    <w:p>
      <w:pPr>
        <w:spacing w:line="420" w:lineRule="exact"/>
        <w:ind w:left="181" w:leftChars="86" w:firstLine="236" w:firstLineChars="100"/>
        <w:rPr>
          <w:rFonts w:eastAsia="方正仿宋_GBK"/>
          <w:color w:val="000000"/>
          <w:spacing w:val="-2"/>
          <w:sz w:val="24"/>
        </w:rPr>
      </w:pPr>
      <w:r>
        <w:rPr>
          <w:rFonts w:hint="eastAsia" w:eastAsia="方正仿宋_GBK"/>
          <w:color w:val="000000"/>
          <w:spacing w:val="-2"/>
          <w:sz w:val="24"/>
        </w:rPr>
        <w:t>（三）干扰或阻挠统计工作人员行使统计监督职权的；</w:t>
      </w:r>
    </w:p>
    <w:p>
      <w:pPr>
        <w:spacing w:line="420" w:lineRule="exact"/>
        <w:ind w:left="181" w:leftChars="86" w:firstLine="236" w:firstLineChars="100"/>
        <w:rPr>
          <w:rFonts w:eastAsia="方正仿宋_GBK"/>
          <w:color w:val="000000"/>
          <w:spacing w:val="-2"/>
          <w:sz w:val="24"/>
        </w:rPr>
      </w:pPr>
      <w:r>
        <w:rPr>
          <w:rFonts w:hint="eastAsia" w:eastAsia="方正仿宋_GBK"/>
          <w:color w:val="000000"/>
          <w:spacing w:val="-2"/>
          <w:sz w:val="24"/>
        </w:rPr>
        <w:t>（四）擅自编制统计调查报表的。</w:t>
      </w:r>
    </w:p>
    <w:p>
      <w:pPr>
        <w:spacing w:line="420" w:lineRule="exact"/>
        <w:ind w:firstLine="472" w:firstLineChars="200"/>
        <w:rPr>
          <w:rFonts w:eastAsia="方正仿宋_GBK"/>
          <w:color w:val="000000"/>
          <w:spacing w:val="-2"/>
          <w:sz w:val="24"/>
        </w:rPr>
      </w:pPr>
      <w:r>
        <w:rPr>
          <w:rFonts w:hint="eastAsia" w:eastAsia="方正黑体_GBK"/>
          <w:color w:val="000000"/>
          <w:spacing w:val="-2"/>
          <w:sz w:val="24"/>
        </w:rPr>
        <w:t>第十二条</w:t>
      </w:r>
      <w:r>
        <w:rPr>
          <w:rFonts w:eastAsia="方正仿宋_GBK"/>
          <w:bCs/>
          <w:color w:val="000000"/>
          <w:spacing w:val="-2"/>
          <w:kern w:val="0"/>
          <w:sz w:val="24"/>
          <w:lang w:val="zh-CN"/>
        </w:rPr>
        <w:t xml:space="preserve">  </w:t>
      </w:r>
      <w:r>
        <w:rPr>
          <w:rFonts w:hint="eastAsia" w:eastAsia="方正仿宋_GBK"/>
          <w:bCs/>
          <w:color w:val="000000"/>
          <w:spacing w:val="-2"/>
          <w:kern w:val="0"/>
          <w:sz w:val="24"/>
          <w:lang w:val="zh-CN"/>
        </w:rPr>
        <w:t>受委托承担建筑能耗统计工作的</w:t>
      </w:r>
      <w:r>
        <w:rPr>
          <w:rFonts w:hint="eastAsia" w:eastAsia="方正仿宋_GBK"/>
          <w:color w:val="000000"/>
          <w:spacing w:val="-2"/>
          <w:sz w:val="24"/>
        </w:rPr>
        <w:t>统计实施机构及其统计人员在进行建筑能耗统计工作中有下列行为之一的，建设主管部门应当责令其改正，并依法予以处理：</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（一）篡改、拒报、迟报、误报或者漏报建筑能耗统计报表或其他统计资料的；</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（二）利用统计调查工作之便，擅自使用、公布或者泄漏其所掌握的能耗统计报表、统计资料的；</w:t>
      </w:r>
    </w:p>
    <w:p>
      <w:pPr>
        <w:spacing w:line="420" w:lineRule="exact"/>
        <w:ind w:firstLine="472" w:firstLineChars="200"/>
        <w:rPr>
          <w:rFonts w:eastAsia="方正仿宋_GBK"/>
          <w:color w:val="000000"/>
          <w:spacing w:val="-2"/>
          <w:sz w:val="24"/>
        </w:rPr>
      </w:pPr>
      <w:r>
        <w:rPr>
          <w:rFonts w:hint="eastAsia" w:eastAsia="方正仿宋_GBK"/>
          <w:color w:val="000000"/>
          <w:spacing w:val="-2"/>
          <w:sz w:val="24"/>
        </w:rPr>
        <w:t>（三）泄露统计对象的商业秘密的。</w:t>
      </w:r>
    </w:p>
    <w:p>
      <w:pPr>
        <w:spacing w:line="420" w:lineRule="exact"/>
        <w:ind w:firstLine="472" w:firstLineChars="200"/>
        <w:rPr>
          <w:rFonts w:eastAsia="方正仿宋_GBK"/>
          <w:bCs/>
          <w:color w:val="000000"/>
          <w:spacing w:val="-2"/>
          <w:kern w:val="0"/>
          <w:sz w:val="24"/>
          <w:lang w:val="zh-CN"/>
        </w:rPr>
      </w:pPr>
      <w:r>
        <w:rPr>
          <w:rFonts w:hint="eastAsia" w:eastAsia="方正黑体_GBK"/>
          <w:color w:val="000000"/>
          <w:spacing w:val="-2"/>
          <w:sz w:val="24"/>
        </w:rPr>
        <w:t>第十三条</w:t>
      </w:r>
      <w:r>
        <w:rPr>
          <w:rFonts w:eastAsia="方正仿宋_GBK"/>
          <w:b/>
          <w:color w:val="000000"/>
          <w:spacing w:val="-2"/>
          <w:sz w:val="24"/>
        </w:rPr>
        <w:t xml:space="preserve">  </w:t>
      </w:r>
      <w:r>
        <w:rPr>
          <w:rFonts w:hint="eastAsia" w:eastAsia="方正仿宋_GBK"/>
          <w:color w:val="000000"/>
          <w:spacing w:val="-2"/>
          <w:sz w:val="24"/>
        </w:rPr>
        <w:t>本办法自发布之日起施行。</w:t>
      </w:r>
    </w:p>
    <w:p>
      <w:pPr>
        <w:spacing w:line="460" w:lineRule="exact"/>
        <w:rPr>
          <w:rFonts w:eastAsia="方正黑体_GBK"/>
          <w:color w:val="000000"/>
          <w:spacing w:val="-2"/>
          <w:sz w:val="28"/>
          <w:szCs w:val="28"/>
        </w:rPr>
      </w:pPr>
      <w:r>
        <w:rPr>
          <w:rFonts w:eastAsia="方正仿宋_GBK"/>
          <w:color w:val="000000"/>
          <w:spacing w:val="-2"/>
          <w:sz w:val="24"/>
        </w:rPr>
        <w:br w:type="page"/>
      </w:r>
      <w:r>
        <w:rPr>
          <w:rFonts w:hint="eastAsia" w:eastAsia="方正黑体_GBK"/>
          <w:color w:val="000000"/>
          <w:spacing w:val="-2"/>
          <w:sz w:val="28"/>
          <w:szCs w:val="28"/>
        </w:rPr>
        <w:t>附件</w:t>
      </w:r>
      <w:r>
        <w:rPr>
          <w:rFonts w:eastAsia="方正黑体_GBK"/>
          <w:color w:val="000000"/>
          <w:spacing w:val="-2"/>
          <w:sz w:val="28"/>
          <w:szCs w:val="28"/>
        </w:rPr>
        <w:t>2</w:t>
      </w:r>
    </w:p>
    <w:p>
      <w:pPr>
        <w:spacing w:line="460" w:lineRule="exact"/>
        <w:rPr>
          <w:rFonts w:eastAsia="方正仿宋_GBK"/>
          <w:color w:val="000000"/>
          <w:spacing w:val="-2"/>
          <w:sz w:val="24"/>
        </w:rPr>
      </w:pPr>
    </w:p>
    <w:p>
      <w:pPr>
        <w:autoSpaceDE w:val="0"/>
        <w:autoSpaceDN w:val="0"/>
        <w:adjustRightInd w:val="0"/>
        <w:spacing w:line="460" w:lineRule="exact"/>
        <w:jc w:val="center"/>
        <w:rPr>
          <w:rFonts w:eastAsia="方正小标宋简体"/>
          <w:color w:val="000000"/>
          <w:spacing w:val="-2"/>
          <w:kern w:val="0"/>
          <w:sz w:val="36"/>
          <w:szCs w:val="36"/>
          <w:lang w:val="zh-CN"/>
        </w:rPr>
      </w:pPr>
      <w:r>
        <w:rPr>
          <w:rFonts w:hint="eastAsia" w:eastAsia="方正小标宋简体"/>
          <w:color w:val="000000"/>
          <w:spacing w:val="-2"/>
          <w:kern w:val="0"/>
          <w:sz w:val="36"/>
          <w:szCs w:val="36"/>
          <w:lang w:val="zh-CN"/>
        </w:rPr>
        <w:t>江苏省机关办公建筑和大型公共建筑</w:t>
      </w:r>
    </w:p>
    <w:p>
      <w:pPr>
        <w:autoSpaceDE w:val="0"/>
        <w:autoSpaceDN w:val="0"/>
        <w:adjustRightInd w:val="0"/>
        <w:spacing w:line="460" w:lineRule="exact"/>
        <w:jc w:val="center"/>
        <w:rPr>
          <w:rFonts w:eastAsia="方正小标宋简体"/>
          <w:color w:val="000000"/>
          <w:spacing w:val="-2"/>
          <w:kern w:val="0"/>
          <w:sz w:val="36"/>
          <w:szCs w:val="36"/>
          <w:lang w:val="zh-CN"/>
        </w:rPr>
      </w:pPr>
      <w:r>
        <w:rPr>
          <w:rFonts w:hint="eastAsia" w:eastAsia="方正小标宋简体"/>
          <w:color w:val="000000"/>
          <w:spacing w:val="-2"/>
          <w:kern w:val="0"/>
          <w:sz w:val="36"/>
          <w:szCs w:val="36"/>
          <w:lang w:val="zh-CN"/>
        </w:rPr>
        <w:t>能源审计管理办法</w:t>
      </w:r>
    </w:p>
    <w:p>
      <w:pPr>
        <w:autoSpaceDE w:val="0"/>
        <w:autoSpaceDN w:val="0"/>
        <w:adjustRightInd w:val="0"/>
        <w:spacing w:line="460" w:lineRule="exact"/>
        <w:rPr>
          <w:rFonts w:eastAsia="方正仿宋_GBK"/>
          <w:color w:val="000000"/>
          <w:spacing w:val="-2"/>
          <w:kern w:val="0"/>
          <w:sz w:val="24"/>
        </w:rPr>
      </w:pPr>
    </w:p>
    <w:p>
      <w:pPr>
        <w:autoSpaceDE w:val="0"/>
        <w:autoSpaceDN w:val="0"/>
        <w:spacing w:line="460" w:lineRule="exact"/>
        <w:ind w:firstLine="472" w:firstLineChars="200"/>
        <w:rPr>
          <w:rFonts w:eastAsia="方正仿宋_GBK"/>
          <w:b/>
          <w:bCs/>
          <w:color w:val="000000"/>
          <w:spacing w:val="-2"/>
          <w:kern w:val="0"/>
          <w:sz w:val="24"/>
          <w:lang w:val="zh-CN"/>
        </w:rPr>
      </w:pPr>
      <w:r>
        <w:rPr>
          <w:rFonts w:hint="eastAsia" w:eastAsia="方正黑体_GBK"/>
          <w:color w:val="000000"/>
          <w:spacing w:val="-2"/>
          <w:sz w:val="24"/>
        </w:rPr>
        <w:t>第一条</w:t>
      </w:r>
      <w:r>
        <w:rPr>
          <w:rFonts w:eastAsia="方正仿宋_GBK"/>
          <w:b/>
          <w:bCs/>
          <w:color w:val="000000"/>
          <w:spacing w:val="-2"/>
          <w:kern w:val="0"/>
          <w:sz w:val="24"/>
          <w:lang w:val="zh-CN"/>
        </w:rPr>
        <w:t xml:space="preserve">  </w:t>
      </w:r>
      <w:r>
        <w:rPr>
          <w:rFonts w:hint="eastAsia" w:eastAsia="方正仿宋_GBK"/>
          <w:bCs/>
          <w:color w:val="000000"/>
          <w:spacing w:val="-2"/>
          <w:kern w:val="0"/>
          <w:sz w:val="24"/>
          <w:lang w:val="zh-CN"/>
        </w:rPr>
        <w:t>为建立我省机关办公建筑和大型公共建筑节能监管体系，开展对省本级及示范城市辖区内机关办公建筑和大型公共建筑的能源审计，提高审计质量，规范审计行为，促进能源审计工作的顺利开展，依据</w:t>
      </w:r>
      <w:r>
        <w:rPr>
          <w:rFonts w:hint="eastAsia" w:eastAsia="方正仿宋_GBK"/>
          <w:color w:val="000000"/>
          <w:spacing w:val="-2"/>
          <w:sz w:val="24"/>
        </w:rPr>
        <w:t>《民用建筑节能条例》、</w:t>
      </w:r>
      <w:r>
        <w:rPr>
          <w:rFonts w:hint="eastAsia" w:eastAsia="方正仿宋_GBK"/>
          <w:bCs/>
          <w:color w:val="000000"/>
          <w:spacing w:val="-2"/>
          <w:kern w:val="0"/>
          <w:sz w:val="24"/>
          <w:lang w:val="zh-CN"/>
        </w:rPr>
        <w:t>《江苏省绿色建筑发展条例》、</w:t>
      </w:r>
      <w:r>
        <w:rPr>
          <w:rFonts w:hint="eastAsia" w:eastAsia="方正仿宋_GBK"/>
          <w:color w:val="000000"/>
          <w:spacing w:val="-2"/>
          <w:sz w:val="24"/>
        </w:rPr>
        <w:t>《</w:t>
      </w:r>
      <w:r>
        <w:rPr>
          <w:rFonts w:hint="eastAsia" w:eastAsia="方正仿宋_GBK"/>
          <w:bCs/>
          <w:color w:val="000000"/>
          <w:spacing w:val="-2"/>
          <w:kern w:val="0"/>
          <w:sz w:val="24"/>
          <w:lang w:val="zh-CN"/>
        </w:rPr>
        <w:t>建设部、财政部关于加强国家机关办公建筑和大型公共建筑节能管理工作的实施意见》，制定本办法。</w:t>
      </w:r>
    </w:p>
    <w:p>
      <w:pPr>
        <w:autoSpaceDE w:val="0"/>
        <w:autoSpaceDN w:val="0"/>
        <w:spacing w:line="460" w:lineRule="exact"/>
        <w:ind w:firstLine="472" w:firstLineChars="200"/>
        <w:rPr>
          <w:rFonts w:eastAsia="方正仿宋_GBK"/>
          <w:bCs/>
          <w:color w:val="000000"/>
          <w:spacing w:val="-2"/>
          <w:kern w:val="0"/>
          <w:sz w:val="24"/>
          <w:lang w:val="zh-CN"/>
        </w:rPr>
      </w:pPr>
      <w:r>
        <w:rPr>
          <w:rFonts w:hint="eastAsia" w:eastAsia="方正黑体_GBK"/>
          <w:color w:val="000000"/>
          <w:spacing w:val="-2"/>
          <w:sz w:val="24"/>
        </w:rPr>
        <w:t>第二条</w:t>
      </w:r>
      <w:r>
        <w:rPr>
          <w:rFonts w:eastAsia="方正仿宋_GBK"/>
          <w:b/>
          <w:bCs/>
          <w:color w:val="000000"/>
          <w:spacing w:val="-2"/>
          <w:kern w:val="0"/>
          <w:sz w:val="24"/>
          <w:lang w:val="zh-CN"/>
        </w:rPr>
        <w:t xml:space="preserve">  </w:t>
      </w:r>
      <w:r>
        <w:rPr>
          <w:rFonts w:hint="eastAsia" w:eastAsia="方正仿宋_GBK"/>
          <w:bCs/>
          <w:color w:val="000000"/>
          <w:spacing w:val="-2"/>
          <w:kern w:val="0"/>
          <w:sz w:val="24"/>
          <w:lang w:val="zh-CN"/>
        </w:rPr>
        <w:t>本办法适用于对我省机关办公建筑和大型公共建筑实施能源审计及其相关管理活动。</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第三条</w:t>
      </w:r>
      <w:r>
        <w:rPr>
          <w:rFonts w:eastAsia="方正仿宋_GBK"/>
          <w:b/>
          <w:bCs/>
          <w:color w:val="000000"/>
          <w:spacing w:val="-2"/>
          <w:kern w:val="0"/>
          <w:sz w:val="24"/>
          <w:lang w:val="zh-CN"/>
        </w:rPr>
        <w:t xml:space="preserve">  </w:t>
      </w:r>
      <w:r>
        <w:rPr>
          <w:rFonts w:hint="eastAsia" w:eastAsia="方正仿宋_GBK"/>
          <w:color w:val="000000"/>
          <w:spacing w:val="-2"/>
          <w:sz w:val="24"/>
        </w:rPr>
        <w:t>本办法所指能源审计的对象包括区、县以上各级国家机关办公建筑、单体建筑面积</w:t>
      </w:r>
      <w:r>
        <w:rPr>
          <w:rFonts w:eastAsia="方正仿宋_GBK"/>
          <w:color w:val="000000"/>
          <w:spacing w:val="-2"/>
          <w:sz w:val="24"/>
        </w:rPr>
        <w:t>2</w:t>
      </w:r>
      <w:r>
        <w:rPr>
          <w:rFonts w:hint="eastAsia" w:eastAsia="方正仿宋_GBK"/>
          <w:color w:val="000000"/>
          <w:spacing w:val="-2"/>
          <w:sz w:val="24"/>
        </w:rPr>
        <w:t>万平方米以上的大型公共建筑、总建筑面积</w:t>
      </w:r>
      <w:r>
        <w:rPr>
          <w:rFonts w:eastAsia="方正仿宋_GBK"/>
          <w:color w:val="000000"/>
          <w:spacing w:val="-2"/>
          <w:sz w:val="24"/>
        </w:rPr>
        <w:t>2</w:t>
      </w:r>
      <w:r>
        <w:rPr>
          <w:rFonts w:hint="eastAsia" w:eastAsia="方正仿宋_GBK"/>
          <w:color w:val="000000"/>
          <w:spacing w:val="-2"/>
          <w:sz w:val="24"/>
        </w:rPr>
        <w:t>万平方米以上的大学校园，以及各类公共建筑的节能改造、可再生能源建筑应用、低能耗建筑、绿色建筑示范工程项目。</w:t>
      </w:r>
    </w:p>
    <w:p>
      <w:pPr>
        <w:autoSpaceDE w:val="0"/>
        <w:autoSpaceDN w:val="0"/>
        <w:spacing w:line="460" w:lineRule="exact"/>
        <w:ind w:firstLine="472" w:firstLineChars="200"/>
        <w:rPr>
          <w:rFonts w:eastAsia="方正仿宋_GBK"/>
          <w:bCs/>
          <w:color w:val="000000"/>
          <w:spacing w:val="-2"/>
          <w:kern w:val="0"/>
          <w:sz w:val="24"/>
          <w:lang w:val="zh-CN"/>
        </w:rPr>
      </w:pPr>
      <w:r>
        <w:rPr>
          <w:rFonts w:hint="eastAsia" w:eastAsia="方正黑体_GBK"/>
          <w:color w:val="000000"/>
          <w:spacing w:val="-2"/>
          <w:sz w:val="24"/>
        </w:rPr>
        <w:t>第四条</w:t>
      </w:r>
      <w:r>
        <w:rPr>
          <w:rFonts w:eastAsia="方正仿宋_GBK"/>
          <w:b/>
          <w:bCs/>
          <w:color w:val="000000"/>
          <w:spacing w:val="-2"/>
          <w:kern w:val="0"/>
          <w:sz w:val="24"/>
          <w:lang w:val="zh-CN"/>
        </w:rPr>
        <w:t xml:space="preserve">  </w:t>
      </w:r>
      <w:r>
        <w:rPr>
          <w:rFonts w:hint="eastAsia" w:eastAsia="方正仿宋_GBK"/>
          <w:bCs/>
          <w:color w:val="000000"/>
          <w:spacing w:val="-2"/>
          <w:kern w:val="0"/>
          <w:sz w:val="24"/>
          <w:lang w:val="zh-CN"/>
        </w:rPr>
        <w:t>本办法所称能源审计是指县级以上地方人民政府建设行政主管部门为建立建筑节能监管体系，委托建筑节能专门机构，对建筑的能源活动进行的检查、诊断、审核，对建筑能源利用的合理性做出评价，并提出改进措施建议，提高建筑能源利用效率的活动。</w:t>
      </w:r>
    </w:p>
    <w:p>
      <w:pPr>
        <w:spacing w:line="460" w:lineRule="exact"/>
        <w:ind w:firstLine="472" w:firstLineChars="200"/>
        <w:rPr>
          <w:rFonts w:eastAsia="方正仿宋_GBK"/>
          <w:b/>
          <w:bCs/>
          <w:color w:val="000000"/>
          <w:spacing w:val="-2"/>
          <w:kern w:val="0"/>
          <w:sz w:val="24"/>
          <w:lang w:val="zh-CN"/>
        </w:rPr>
      </w:pPr>
      <w:r>
        <w:rPr>
          <w:rFonts w:hint="eastAsia" w:eastAsia="方正黑体_GBK"/>
          <w:color w:val="000000"/>
          <w:spacing w:val="-2"/>
          <w:sz w:val="24"/>
        </w:rPr>
        <w:t>第五条</w:t>
      </w:r>
      <w:r>
        <w:rPr>
          <w:rFonts w:eastAsia="方正仿宋_GBK"/>
          <w:color w:val="000000"/>
          <w:spacing w:val="-2"/>
          <w:sz w:val="24"/>
        </w:rPr>
        <w:t xml:space="preserve">  </w:t>
      </w:r>
      <w:r>
        <w:rPr>
          <w:rFonts w:hint="eastAsia" w:eastAsia="方正仿宋_GBK"/>
          <w:bCs/>
          <w:color w:val="000000"/>
          <w:spacing w:val="-2"/>
          <w:kern w:val="0"/>
          <w:sz w:val="24"/>
          <w:lang w:val="zh-CN"/>
        </w:rPr>
        <w:t>能源审计活动应当</w:t>
      </w:r>
      <w:r>
        <w:rPr>
          <w:rFonts w:hint="eastAsia" w:eastAsia="方正仿宋_GBK"/>
          <w:color w:val="000000"/>
          <w:spacing w:val="-2"/>
          <w:sz w:val="24"/>
        </w:rPr>
        <w:t>遵守有关法律、法规，遵循公开、公平、公正的原则</w:t>
      </w:r>
      <w:r>
        <w:rPr>
          <w:rFonts w:hint="eastAsia" w:eastAsia="方正仿宋_GBK"/>
          <w:bCs/>
          <w:color w:val="000000"/>
          <w:spacing w:val="-2"/>
          <w:kern w:val="0"/>
          <w:sz w:val="24"/>
          <w:lang w:val="zh-CN"/>
        </w:rPr>
        <w:t>。</w:t>
      </w:r>
    </w:p>
    <w:p>
      <w:pPr>
        <w:spacing w:line="460" w:lineRule="exact"/>
        <w:ind w:firstLine="472" w:firstLineChars="200"/>
        <w:rPr>
          <w:rFonts w:eastAsia="方正仿宋_GBK"/>
          <w:color w:val="000000"/>
          <w:spacing w:val="-2"/>
          <w:kern w:val="0"/>
          <w:sz w:val="24"/>
          <w:lang w:val="zh-CN"/>
        </w:rPr>
      </w:pPr>
      <w:r>
        <w:rPr>
          <w:rFonts w:hint="eastAsia" w:eastAsia="方正黑体_GBK"/>
          <w:color w:val="000000"/>
          <w:spacing w:val="-2"/>
          <w:sz w:val="24"/>
        </w:rPr>
        <w:t>第六条</w:t>
      </w:r>
      <w:r>
        <w:rPr>
          <w:rFonts w:eastAsia="方正仿宋_GBK"/>
          <w:color w:val="000000"/>
          <w:spacing w:val="-2"/>
          <w:kern w:val="0"/>
          <w:sz w:val="24"/>
          <w:lang w:val="zh-CN"/>
        </w:rPr>
        <w:t xml:space="preserve">  </w:t>
      </w:r>
      <w:r>
        <w:rPr>
          <w:rFonts w:hint="eastAsia" w:eastAsia="方正仿宋_GBK"/>
          <w:color w:val="000000"/>
          <w:spacing w:val="-2"/>
          <w:sz w:val="24"/>
        </w:rPr>
        <w:t>县级以上地方人民政府建设行政主管部门负责本行政区域内机关办公建筑和大型公共建筑</w:t>
      </w:r>
      <w:r>
        <w:rPr>
          <w:rFonts w:hint="eastAsia" w:eastAsia="方正仿宋_GBK"/>
          <w:color w:val="000000"/>
          <w:spacing w:val="-2"/>
          <w:kern w:val="0"/>
          <w:sz w:val="24"/>
          <w:lang w:val="zh-CN"/>
        </w:rPr>
        <w:t>能源审计活动的实施与监督管理，具体的能源审计活动可以</w:t>
      </w:r>
      <w:r>
        <w:rPr>
          <w:rFonts w:hint="eastAsia" w:eastAsia="方正仿宋_GBK"/>
          <w:color w:val="000000"/>
          <w:spacing w:val="-2"/>
          <w:sz w:val="24"/>
        </w:rPr>
        <w:t>委托建筑节能专门机构实施。</w:t>
      </w:r>
    </w:p>
    <w:p>
      <w:pPr>
        <w:spacing w:line="460" w:lineRule="exact"/>
        <w:ind w:firstLine="472" w:firstLineChars="200"/>
        <w:rPr>
          <w:rFonts w:eastAsia="方正仿宋_GBK"/>
          <w:color w:val="000000"/>
          <w:spacing w:val="-2"/>
          <w:kern w:val="0"/>
          <w:sz w:val="24"/>
          <w:lang w:val="zh-CN"/>
        </w:rPr>
      </w:pPr>
      <w:r>
        <w:rPr>
          <w:rFonts w:hint="eastAsia" w:eastAsia="方正黑体_GBK"/>
          <w:color w:val="000000"/>
          <w:spacing w:val="-2"/>
          <w:sz w:val="24"/>
        </w:rPr>
        <w:t>第七条</w:t>
      </w:r>
      <w:r>
        <w:rPr>
          <w:rFonts w:eastAsia="方正仿宋_GBK"/>
          <w:b/>
          <w:bCs/>
          <w:color w:val="000000"/>
          <w:spacing w:val="-2"/>
          <w:kern w:val="0"/>
          <w:sz w:val="24"/>
          <w:lang w:val="zh-CN"/>
        </w:rPr>
        <w:t xml:space="preserve">  </w:t>
      </w:r>
      <w:r>
        <w:rPr>
          <w:rFonts w:hint="eastAsia" w:eastAsia="方正仿宋_GBK"/>
          <w:color w:val="000000"/>
          <w:spacing w:val="-2"/>
          <w:sz w:val="24"/>
        </w:rPr>
        <w:t>建筑节能专门机构从事能源审计活动应当具备以下条件：</w:t>
      </w:r>
    </w:p>
    <w:p>
      <w:pPr>
        <w:autoSpaceDE w:val="0"/>
        <w:autoSpaceDN w:val="0"/>
        <w:spacing w:line="460" w:lineRule="exact"/>
        <w:ind w:firstLine="472" w:firstLineChars="200"/>
        <w:rPr>
          <w:rFonts w:eastAsia="方正仿宋_GBK"/>
          <w:color w:val="000000"/>
          <w:spacing w:val="-2"/>
          <w:kern w:val="0"/>
          <w:sz w:val="24"/>
          <w:lang w:val="zh-CN"/>
        </w:rPr>
      </w:pPr>
      <w:r>
        <w:rPr>
          <w:rFonts w:hint="eastAsia" w:eastAsia="方正仿宋_GBK"/>
          <w:color w:val="000000"/>
          <w:spacing w:val="-2"/>
          <w:sz w:val="24"/>
        </w:rPr>
        <w:t>（一）具有独立法人资格；</w:t>
      </w:r>
    </w:p>
    <w:p>
      <w:pPr>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（二）具有一定规模的业务活动固定场所和开展能源审计业务所需的设施及办公条件；</w:t>
      </w:r>
    </w:p>
    <w:p>
      <w:pPr>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（三）有近两年来的建筑节能相关业绩；</w:t>
      </w:r>
    </w:p>
    <w:p>
      <w:pPr>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（四）具有一定的科研能力，开展过与建筑节能相关课题的研究或者承担过相关标准的编制工作；</w:t>
      </w:r>
    </w:p>
    <w:p>
      <w:pPr>
        <w:autoSpaceDE w:val="0"/>
        <w:autoSpaceDN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（五）有健全的组织机构和符合相关要求的质量管理体系。</w:t>
      </w:r>
      <w:r>
        <w:rPr>
          <w:rFonts w:eastAsia="方正仿宋_GBK"/>
          <w:color w:val="000000"/>
          <w:spacing w:val="-2"/>
          <w:sz w:val="24"/>
        </w:rPr>
        <w:t xml:space="preserve"> </w:t>
      </w:r>
    </w:p>
    <w:p>
      <w:pPr>
        <w:spacing w:line="460" w:lineRule="exact"/>
        <w:ind w:firstLine="472" w:firstLineChars="200"/>
        <w:rPr>
          <w:rFonts w:eastAsia="方正仿宋_GBK"/>
          <w:bCs/>
          <w:color w:val="000000"/>
          <w:spacing w:val="-2"/>
          <w:kern w:val="0"/>
          <w:sz w:val="24"/>
          <w:lang w:val="zh-CN"/>
        </w:rPr>
      </w:pPr>
      <w:r>
        <w:rPr>
          <w:rFonts w:hint="eastAsia" w:eastAsia="方正黑体_GBK"/>
          <w:color w:val="000000"/>
          <w:spacing w:val="-2"/>
          <w:sz w:val="24"/>
        </w:rPr>
        <w:t>第八条</w:t>
      </w:r>
      <w:r>
        <w:rPr>
          <w:rFonts w:eastAsia="方正仿宋_GBK"/>
          <w:bCs/>
          <w:color w:val="000000"/>
          <w:spacing w:val="-2"/>
          <w:kern w:val="0"/>
          <w:sz w:val="24"/>
          <w:lang w:val="zh-CN"/>
        </w:rPr>
        <w:t xml:space="preserve">  </w:t>
      </w:r>
      <w:r>
        <w:rPr>
          <w:rFonts w:hint="eastAsia" w:eastAsia="方正仿宋_GBK"/>
          <w:bCs/>
          <w:color w:val="000000"/>
          <w:spacing w:val="-2"/>
          <w:kern w:val="0"/>
          <w:sz w:val="24"/>
          <w:lang w:val="zh-CN"/>
        </w:rPr>
        <w:t>建设行政主管部门应当根据本地区机关办公建筑和大型公共建筑能源消费的统计状况，结合年度机关办公建筑和大型公共建筑节能监管体系建设工作计划，编制本地区的能源审计计划，确定能源审计对象。</w:t>
      </w:r>
    </w:p>
    <w:p>
      <w:pPr>
        <w:spacing w:line="460" w:lineRule="exact"/>
        <w:ind w:firstLine="472" w:firstLineChars="200"/>
        <w:rPr>
          <w:rFonts w:eastAsia="方正仿宋_GBK"/>
          <w:bCs/>
          <w:color w:val="000000"/>
          <w:spacing w:val="-2"/>
          <w:kern w:val="0"/>
          <w:sz w:val="24"/>
          <w:lang w:val="zh-CN"/>
        </w:rPr>
      </w:pPr>
      <w:r>
        <w:rPr>
          <w:rFonts w:hint="eastAsia" w:eastAsia="方正黑体_GBK"/>
          <w:color w:val="000000"/>
          <w:spacing w:val="-2"/>
          <w:sz w:val="24"/>
        </w:rPr>
        <w:t>第九条</w:t>
      </w:r>
      <w:r>
        <w:rPr>
          <w:rFonts w:eastAsia="方正仿宋_GBK"/>
          <w:bCs/>
          <w:color w:val="000000"/>
          <w:spacing w:val="-2"/>
          <w:kern w:val="0"/>
          <w:sz w:val="24"/>
          <w:lang w:val="zh-CN"/>
        </w:rPr>
        <w:t xml:space="preserve">  </w:t>
      </w:r>
      <w:r>
        <w:rPr>
          <w:rFonts w:hint="eastAsia" w:eastAsia="方正仿宋_GBK"/>
          <w:bCs/>
          <w:color w:val="000000"/>
          <w:spacing w:val="-2"/>
          <w:kern w:val="0"/>
          <w:sz w:val="24"/>
          <w:lang w:val="zh-CN"/>
        </w:rPr>
        <w:t>审计对象确定后，建筑节能专门机构依据《国家机关办公建筑和大型公共建筑能源审计技术导则》及其他相关技术标准，在规定的时间内完成能源审计，提出审计报告，并以适当的方式反馈审计对象。</w:t>
      </w:r>
    </w:p>
    <w:p>
      <w:pPr>
        <w:spacing w:line="460" w:lineRule="exact"/>
        <w:ind w:firstLine="472" w:firstLineChars="200"/>
        <w:rPr>
          <w:rFonts w:eastAsia="方正仿宋_GBK"/>
          <w:bCs/>
          <w:color w:val="000000"/>
          <w:spacing w:val="-2"/>
          <w:kern w:val="0"/>
          <w:sz w:val="24"/>
          <w:lang w:val="zh-CN"/>
        </w:rPr>
      </w:pPr>
      <w:r>
        <w:rPr>
          <w:rFonts w:hint="eastAsia" w:eastAsia="方正黑体_GBK"/>
          <w:color w:val="000000"/>
          <w:spacing w:val="-2"/>
          <w:sz w:val="24"/>
        </w:rPr>
        <w:t>第十条</w:t>
      </w:r>
      <w:r>
        <w:rPr>
          <w:rFonts w:eastAsia="方正仿宋_GBK"/>
          <w:b/>
          <w:bCs/>
          <w:color w:val="000000"/>
          <w:spacing w:val="-2"/>
          <w:kern w:val="0"/>
          <w:sz w:val="24"/>
          <w:lang w:val="zh-CN"/>
        </w:rPr>
        <w:t xml:space="preserve">  </w:t>
      </w:r>
      <w:r>
        <w:rPr>
          <w:rFonts w:hint="eastAsia" w:eastAsia="方正仿宋_GBK"/>
          <w:bCs/>
          <w:color w:val="000000"/>
          <w:spacing w:val="-2"/>
          <w:kern w:val="0"/>
          <w:sz w:val="24"/>
          <w:lang w:val="zh-CN"/>
        </w:rPr>
        <w:t>机关办公建筑和大型公共建筑的所有权人、使用人应当积极配合建筑节能专门机构确定审计的目标和内容，约定审计的时间，并提供必要的工作条件和技术辅助。审计完成后，应当认真落实审计报告提出的提高能源利用效率的要求和措施。</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第十一条</w:t>
      </w:r>
      <w:r>
        <w:rPr>
          <w:rFonts w:eastAsia="方正仿宋_GBK"/>
          <w:bCs/>
          <w:color w:val="000000"/>
          <w:spacing w:val="-2"/>
          <w:kern w:val="0"/>
          <w:sz w:val="24"/>
          <w:lang w:val="zh-CN"/>
        </w:rPr>
        <w:t xml:space="preserve">  </w:t>
      </w:r>
      <w:r>
        <w:rPr>
          <w:rFonts w:hint="eastAsia" w:eastAsia="方正仿宋_GBK"/>
          <w:color w:val="000000"/>
          <w:spacing w:val="-2"/>
          <w:sz w:val="24"/>
        </w:rPr>
        <w:t>审计对象对能源审计的程序、内容、方法或者结果有异议的，可以向当地建设行政主管部门提出申诉。建设行政主管部门可以根据情形，要求建筑节能专门机构或者审计对象出具必要的证明资料，并对审计活动进行必要的复查。确有错误的，应当予以纠正。</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第十二条</w:t>
      </w:r>
      <w:r>
        <w:rPr>
          <w:rFonts w:eastAsia="方正仿宋_GBK"/>
          <w:b/>
          <w:bCs/>
          <w:color w:val="000000"/>
          <w:spacing w:val="-2"/>
          <w:kern w:val="0"/>
          <w:sz w:val="24"/>
          <w:lang w:val="zh-CN"/>
        </w:rPr>
        <w:t xml:space="preserve">  </w:t>
      </w:r>
      <w:r>
        <w:rPr>
          <w:rFonts w:hint="eastAsia" w:eastAsia="方正仿宋_GBK"/>
          <w:color w:val="000000"/>
          <w:spacing w:val="-2"/>
          <w:sz w:val="24"/>
        </w:rPr>
        <w:t>建筑节能专门机构及其工作人员在能源审计活动中有违法违规行为的，建设行政主管部门可以责令改正，并记录在案。情节严重的，可以不再委托其承担能源审计任务。</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审计对象故意不配合建筑能源审计工作，虚报、瞒报或者拒绝审计的，建设行政主管部门可以责令改正，或者予以通报批评。</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建设行政主管部门应当建立能源审计投诉受理和处理制度，公开投诉电话号码、通讯地址和电子邮箱，接受社会监督。</w:t>
      </w:r>
    </w:p>
    <w:p>
      <w:pPr>
        <w:spacing w:line="460" w:lineRule="exact"/>
        <w:ind w:firstLine="472" w:firstLineChars="200"/>
        <w:rPr>
          <w:rFonts w:eastAsia="方正仿宋_GBK"/>
          <w:color w:val="000000"/>
          <w:spacing w:val="-2"/>
          <w:sz w:val="24"/>
        </w:rPr>
      </w:pPr>
      <w:r>
        <w:rPr>
          <w:rFonts w:hint="eastAsia"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2"/>
          <w:sz w:val="24"/>
        </w:rPr>
        <w:t>本办法自发布之日起施行。</w:t>
      </w:r>
    </w:p>
    <w:p>
      <w:pPr>
        <w:jc w:val="left"/>
        <w:rPr>
          <w:rFonts w:eastAsia="方正仿宋_GBK"/>
          <w:color w:val="000000"/>
          <w:spacing w:val="-2"/>
          <w:sz w:val="24"/>
        </w:rPr>
      </w:pPr>
      <w:r>
        <w:rPr>
          <w:rFonts w:eastAsia="方正仿宋_GBK"/>
          <w:color w:val="000000"/>
          <w:spacing w:val="-2"/>
          <w:sz w:val="24"/>
        </w:rPr>
        <w:br w:type="page"/>
      </w:r>
    </w:p>
    <w:p>
      <w:pPr>
        <w:pStyle w:val="2"/>
        <w:spacing w:before="240" w:beforeLines="100" w:after="240" w:afterLines="100" w:line="240" w:lineRule="auto"/>
        <w:jc w:val="center"/>
        <w:rPr>
          <w:rFonts w:ascii="Times New Roman" w:eastAsia="方正小标宋_GBK"/>
          <w:b w:val="0"/>
          <w:sz w:val="36"/>
          <w:szCs w:val="36"/>
        </w:rPr>
      </w:pPr>
      <w:bookmarkStart w:id="350" w:name="_Toc18315548"/>
      <w:bookmarkStart w:id="351" w:name="_Toc20726444"/>
      <w:r>
        <w:rPr>
          <w:rFonts w:hint="eastAsia" w:ascii="Times New Roman" w:eastAsia="方正小标宋_GBK"/>
          <w:b w:val="0"/>
          <w:sz w:val="36"/>
          <w:szCs w:val="36"/>
        </w:rPr>
        <w:t>关于印发《江苏省绿色建筑创新奖评审办法》的通知</w:t>
      </w:r>
      <w:bookmarkEnd w:id="350"/>
      <w:bookmarkEnd w:id="35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352" w:name="_Toc20726445"/>
      <w:bookmarkStart w:id="353" w:name="_Toc18315549"/>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103</w:t>
      </w:r>
      <w:r>
        <w:rPr>
          <w:rFonts w:hint="eastAsia" w:ascii="Times New Roman" w:hAnsi="Times New Roman" w:eastAsia="方正楷体_GBK"/>
          <w:b w:val="0"/>
          <w:sz w:val="24"/>
          <w:szCs w:val="24"/>
        </w:rPr>
        <w:t>号</w:t>
      </w:r>
      <w:bookmarkEnd w:id="352"/>
      <w:bookmarkEnd w:id="353"/>
    </w:p>
    <w:p>
      <w:pPr>
        <w:spacing w:line="460" w:lineRule="exact"/>
        <w:rPr>
          <w:rFonts w:eastAsia="方正仿宋_GBK"/>
          <w:snapToGrid w:val="0"/>
          <w:color w:val="000000"/>
          <w:kern w:val="0"/>
          <w:sz w:val="24"/>
        </w:rPr>
      </w:pPr>
      <w:r>
        <w:rPr>
          <w:rFonts w:hint="eastAsia" w:eastAsia="方正仿宋_GBK"/>
          <w:snapToGrid w:val="0"/>
          <w:color w:val="000000"/>
          <w:kern w:val="0"/>
          <w:sz w:val="24"/>
        </w:rPr>
        <w:t>各省辖市建设局（委）、各有关单位：</w:t>
      </w:r>
    </w:p>
    <w:p>
      <w:pPr>
        <w:spacing w:line="460" w:lineRule="exact"/>
        <w:ind w:firstLine="480" w:firstLineChars="200"/>
        <w:rPr>
          <w:rFonts w:eastAsia="方正仿宋_GBK"/>
          <w:snapToGrid w:val="0"/>
          <w:color w:val="000000"/>
          <w:kern w:val="0"/>
          <w:sz w:val="24"/>
        </w:rPr>
      </w:pPr>
      <w:r>
        <w:rPr>
          <w:rFonts w:hint="eastAsia" w:eastAsia="方正仿宋_GBK"/>
          <w:snapToGrid w:val="0"/>
          <w:color w:val="000000"/>
          <w:kern w:val="0"/>
          <w:sz w:val="24"/>
        </w:rPr>
        <w:t>为贯彻落实科学发展观，促进资源节约型、环境友好型社会建设和建设事业可持续发展，加快推进我省绿色建筑及其技术的健康发展，根据《省政府办公厅关于加强建筑节能工作的通知》（苏政办发﹝</w:t>
      </w:r>
      <w:r>
        <w:rPr>
          <w:rFonts w:eastAsia="方正仿宋_GBK"/>
          <w:snapToGrid w:val="0"/>
          <w:color w:val="000000"/>
          <w:kern w:val="0"/>
          <w:sz w:val="24"/>
        </w:rPr>
        <w:t>2008</w:t>
      </w:r>
      <w:r>
        <w:rPr>
          <w:rFonts w:hint="eastAsia" w:eastAsia="方正仿宋_GBK"/>
          <w:snapToGrid w:val="0"/>
          <w:color w:val="000000"/>
          <w:kern w:val="0"/>
          <w:sz w:val="24"/>
        </w:rPr>
        <w:t>﹞</w:t>
      </w:r>
      <w:r>
        <w:rPr>
          <w:rFonts w:eastAsia="方正仿宋_GBK"/>
          <w:snapToGrid w:val="0"/>
          <w:color w:val="000000"/>
          <w:kern w:val="0"/>
          <w:sz w:val="24"/>
        </w:rPr>
        <w:t>17</w:t>
      </w:r>
      <w:r>
        <w:rPr>
          <w:rFonts w:hint="eastAsia" w:eastAsia="方正仿宋_GBK"/>
          <w:snapToGrid w:val="0"/>
          <w:color w:val="000000"/>
          <w:kern w:val="0"/>
          <w:sz w:val="24"/>
        </w:rPr>
        <w:t>号），省政府决定设立</w:t>
      </w:r>
      <w:r>
        <w:rPr>
          <w:rFonts w:eastAsia="方正仿宋_GBK"/>
          <w:snapToGrid w:val="0"/>
          <w:color w:val="000000"/>
          <w:kern w:val="0"/>
          <w:sz w:val="24"/>
        </w:rPr>
        <w:t>“</w:t>
      </w:r>
      <w:r>
        <w:rPr>
          <w:rFonts w:hint="eastAsia" w:eastAsia="方正仿宋_GBK"/>
          <w:snapToGrid w:val="0"/>
          <w:color w:val="000000"/>
          <w:kern w:val="0"/>
          <w:sz w:val="24"/>
        </w:rPr>
        <w:t>江苏省绿色建筑奖</w:t>
      </w:r>
      <w:r>
        <w:rPr>
          <w:rFonts w:eastAsia="方正仿宋_GBK"/>
          <w:snapToGrid w:val="0"/>
          <w:color w:val="000000"/>
          <w:kern w:val="0"/>
          <w:sz w:val="24"/>
        </w:rPr>
        <w:t>”</w:t>
      </w:r>
      <w:r>
        <w:rPr>
          <w:rFonts w:hint="eastAsia" w:eastAsia="方正仿宋_GBK"/>
          <w:snapToGrid w:val="0"/>
          <w:color w:val="000000"/>
          <w:kern w:val="0"/>
          <w:sz w:val="24"/>
        </w:rPr>
        <w:t>，由我厅每年组织评审及表彰。现将《江苏省绿色建筑创新奖评审办法》印发给你们，请遵照执行。</w:t>
      </w:r>
    </w:p>
    <w:p>
      <w:pPr>
        <w:spacing w:line="460" w:lineRule="exact"/>
        <w:ind w:firstLine="480" w:firstLineChars="200"/>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r>
        <w:rPr>
          <w:rFonts w:hint="eastAsia" w:eastAsia="方正仿宋_GBK"/>
          <w:snapToGrid w:val="0"/>
          <w:color w:val="000000"/>
          <w:kern w:val="0"/>
          <w:sz w:val="24"/>
        </w:rPr>
        <w:t>附件：江苏省绿色建筑创新奖评审办法</w:t>
      </w:r>
    </w:p>
    <w:p>
      <w:pPr>
        <w:spacing w:line="460" w:lineRule="exact"/>
        <w:ind w:firstLine="480" w:firstLineChars="200"/>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r>
        <w:rPr>
          <w:rFonts w:eastAsia="方正仿宋_GBK"/>
          <w:snapToGrid w:val="0"/>
          <w:color w:val="000000"/>
          <w:kern w:val="0"/>
          <w:sz w:val="24"/>
        </w:rPr>
        <w:t xml:space="preserve">                                                  </w:t>
      </w:r>
      <w:r>
        <w:rPr>
          <w:rFonts w:hint="eastAsia" w:eastAsia="方正仿宋_GBK"/>
          <w:snapToGrid w:val="0"/>
          <w:color w:val="000000"/>
          <w:kern w:val="0"/>
          <w:sz w:val="24"/>
        </w:rPr>
        <w:t>江苏省建设厅</w:t>
      </w:r>
    </w:p>
    <w:p>
      <w:pPr>
        <w:spacing w:line="460" w:lineRule="exact"/>
        <w:ind w:right="498" w:rightChars="237" w:firstLine="480" w:firstLineChars="200"/>
        <w:jc w:val="right"/>
        <w:rPr>
          <w:rFonts w:eastAsia="方正仿宋_GBK"/>
          <w:snapToGrid w:val="0"/>
          <w:color w:val="000000"/>
          <w:kern w:val="0"/>
          <w:sz w:val="24"/>
        </w:rPr>
      </w:pPr>
      <w:r>
        <w:rPr>
          <w:rFonts w:eastAsia="方正仿宋_GBK"/>
          <w:snapToGrid w:val="0"/>
          <w:color w:val="000000"/>
          <w:kern w:val="0"/>
          <w:sz w:val="24"/>
        </w:rPr>
        <w:t xml:space="preserve">                              </w:t>
      </w:r>
      <w:r>
        <w:rPr>
          <w:rFonts w:hint="eastAsia" w:eastAsia="方正仿宋_GBK"/>
          <w:snapToGrid w:val="0"/>
          <w:color w:val="000000"/>
          <w:kern w:val="0"/>
          <w:sz w:val="24"/>
        </w:rPr>
        <w:t>二○○九年四月二日</w:t>
      </w:r>
    </w:p>
    <w:p>
      <w:pPr>
        <w:spacing w:line="460" w:lineRule="exact"/>
        <w:ind w:firstLine="480" w:firstLineChars="200"/>
        <w:jc w:val="center"/>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p>
    <w:p>
      <w:pPr>
        <w:spacing w:line="460" w:lineRule="exact"/>
        <w:ind w:firstLine="480" w:firstLineChars="200"/>
        <w:rPr>
          <w:rFonts w:eastAsia="方正仿宋_GBK"/>
          <w:snapToGrid w:val="0"/>
          <w:color w:val="000000"/>
          <w:kern w:val="0"/>
          <w:sz w:val="24"/>
        </w:rPr>
      </w:pPr>
    </w:p>
    <w:p>
      <w:pPr>
        <w:spacing w:line="460" w:lineRule="exact"/>
        <w:rPr>
          <w:rFonts w:ascii="Times New Roman" w:eastAsia="黑体"/>
          <w:snapToGrid w:val="0"/>
          <w:color w:val="000000"/>
          <w:kern w:val="0"/>
          <w:sz w:val="28"/>
          <w:szCs w:val="28"/>
        </w:rPr>
      </w:pPr>
      <w:r>
        <w:rPr>
          <w:rFonts w:eastAsia="方正仿宋_GBK"/>
          <w:snapToGrid w:val="0"/>
          <w:color w:val="000000"/>
          <w:kern w:val="0"/>
          <w:sz w:val="24"/>
        </w:rPr>
        <w:br w:type="column"/>
      </w:r>
      <w:r>
        <w:rPr>
          <w:rFonts w:hint="eastAsia" w:ascii="Times New Roman" w:eastAsia="黑体"/>
          <w:snapToGrid w:val="0"/>
          <w:color w:val="000000"/>
          <w:kern w:val="0"/>
          <w:sz w:val="28"/>
          <w:szCs w:val="28"/>
        </w:rPr>
        <w:t>附件1</w:t>
      </w:r>
    </w:p>
    <w:p>
      <w:pPr>
        <w:spacing w:line="460" w:lineRule="exact"/>
        <w:rPr>
          <w:rFonts w:hint="eastAsia" w:ascii="Times New Roman" w:eastAsia="黑体"/>
          <w:snapToGrid w:val="0"/>
          <w:color w:val="000000"/>
          <w:kern w:val="0"/>
          <w:sz w:val="28"/>
          <w:szCs w:val="28"/>
        </w:rPr>
      </w:pPr>
    </w:p>
    <w:p>
      <w:pPr>
        <w:pStyle w:val="10"/>
        <w:widowControl w:val="0"/>
        <w:spacing w:before="0" w:beforeAutospacing="0" w:after="0" w:afterAutospacing="0" w:line="460" w:lineRule="exact"/>
        <w:ind w:firstLine="723" w:firstLineChars="200"/>
        <w:jc w:val="center"/>
        <w:rPr>
          <w:rStyle w:val="14"/>
          <w:rFonts w:hint="eastAsia" w:ascii="Times New Roman" w:hAnsi="Times New Roman" w:eastAsia="方正小标宋简体"/>
          <w:b w:val="0"/>
          <w:bCs w:val="0"/>
          <w:sz w:val="36"/>
          <w:szCs w:val="36"/>
        </w:rPr>
      </w:pPr>
      <w:r>
        <w:rPr>
          <w:rStyle w:val="14"/>
          <w:rFonts w:hint="eastAsia" w:ascii="Times New Roman" w:hAnsi="Times New Roman" w:eastAsia="方正小标宋简体"/>
          <w:color w:val="000000"/>
          <w:sz w:val="36"/>
          <w:szCs w:val="36"/>
        </w:rPr>
        <w:t>江苏省绿色建筑创新奖评审办法</w:t>
      </w:r>
    </w:p>
    <w:p>
      <w:pPr>
        <w:pStyle w:val="10"/>
        <w:widowControl w:val="0"/>
        <w:spacing w:before="0" w:beforeAutospacing="0" w:after="0" w:afterAutospacing="0" w:line="440" w:lineRule="exact"/>
        <w:ind w:firstLine="482" w:firstLineChars="200"/>
        <w:jc w:val="center"/>
        <w:rPr>
          <w:rFonts w:hint="eastAsia" w:ascii="Times New Roman" w:hAnsi="Times New Roman" w:eastAsia="方正仿宋_GBK"/>
          <w:b/>
        </w:rPr>
      </w:pPr>
    </w:p>
    <w:p>
      <w:pPr>
        <w:pStyle w:val="10"/>
        <w:widowControl w:val="0"/>
        <w:spacing w:before="0" w:beforeAutospacing="0" w:after="0" w:afterAutospacing="0" w:line="440" w:lineRule="exact"/>
        <w:jc w:val="center"/>
        <w:rPr>
          <w:rFonts w:ascii="Times New Roman" w:hAnsi="Times New Roman" w:eastAsia="黑体"/>
          <w:color w:val="000000"/>
        </w:rPr>
      </w:pPr>
      <w:r>
        <w:rPr>
          <w:rFonts w:hint="eastAsia" w:ascii="Times New Roman" w:hAnsi="Times New Roman" w:eastAsia="黑体"/>
          <w:color w:val="000000"/>
        </w:rPr>
        <w:t>第一章　总则</w:t>
      </w:r>
    </w:p>
    <w:p>
      <w:pPr>
        <w:pStyle w:val="10"/>
        <w:widowControl w:val="0"/>
        <w:spacing w:before="0" w:beforeAutospacing="0" w:after="0" w:afterAutospacing="0" w:line="440" w:lineRule="exact"/>
        <w:ind w:firstLine="482" w:firstLineChars="200"/>
        <w:jc w:val="both"/>
        <w:rPr>
          <w:rFonts w:hint="eastAsia" w:ascii="Times New Roman" w:hAnsi="Times New Roman" w:eastAsia="方正仿宋_GBK"/>
          <w:b/>
          <w:color w:val="000000"/>
        </w:rPr>
      </w:pP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spacing w:val="-6"/>
        </w:rPr>
      </w:pPr>
      <w:r>
        <w:rPr>
          <w:rFonts w:hint="eastAsia" w:ascii="Times New Roman" w:hAnsi="Times New Roman" w:eastAsia="黑体"/>
          <w:color w:val="000000"/>
        </w:rPr>
        <w:t>第一条</w:t>
      </w:r>
      <w:r>
        <w:rPr>
          <w:rFonts w:hint="eastAsia" w:ascii="Times New Roman" w:hAnsi="Times New Roman" w:eastAsia="方正仿宋_GBK"/>
          <w:color w:val="000000"/>
        </w:rPr>
        <w:t>　</w:t>
      </w:r>
      <w:r>
        <w:rPr>
          <w:rFonts w:hint="eastAsia" w:ascii="Times New Roman" w:hAnsi="Times New Roman" w:eastAsia="方正仿宋_GBK"/>
          <w:color w:val="000000"/>
          <w:spacing w:val="-6"/>
        </w:rPr>
        <w:t>为贯彻落实科学发展观，促进节约资源、保护环境和建设事业可持续发展，推动我省绿色建筑及其技术的健康发展，规范我省绿色建筑创新奖的评选，根据《全国绿色建筑创新奖管理办法》、《全国绿色建筑创新奖实施细则》和《省政府办公厅关于加强建筑节能工作的通知》、《江苏省绿色建筑评价标准》，制定本办法。</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第二条　</w:t>
      </w:r>
      <w:r>
        <w:rPr>
          <w:rFonts w:hint="eastAsia" w:ascii="Times New Roman" w:hAnsi="Times New Roman" w:eastAsia="方正仿宋_GBK"/>
          <w:color w:val="000000"/>
        </w:rPr>
        <w:t>绿色建筑是指在建筑的全寿命周期内，最大限度地节约资源（节能、节地、节水、节材）、保护环境和减少污染，为人们提供健康、适用和高效的使用空间，与自然和谐共生的建筑。</w:t>
      </w:r>
    </w:p>
    <w:p>
      <w:pPr>
        <w:pStyle w:val="10"/>
        <w:widowControl w:val="0"/>
        <w:spacing w:before="0" w:beforeAutospacing="0" w:after="0" w:afterAutospacing="0" w:line="440" w:lineRule="exact"/>
        <w:ind w:firstLine="480" w:firstLineChars="200"/>
        <w:rPr>
          <w:rFonts w:ascii="Times New Roman" w:hAnsi="Times New Roman" w:eastAsia="方正仿宋_GBK"/>
          <w:color w:val="000000"/>
        </w:rPr>
      </w:pPr>
      <w:r>
        <w:rPr>
          <w:rFonts w:hint="eastAsia" w:ascii="Times New Roman" w:hAnsi="Times New Roman" w:eastAsia="黑体"/>
          <w:color w:val="000000"/>
        </w:rPr>
        <w:t>第三条</w:t>
      </w:r>
      <w:r>
        <w:rPr>
          <w:rFonts w:ascii="Times New Roman" w:hAnsi="Times New Roman" w:eastAsia="方正仿宋_GBK"/>
          <w:b/>
          <w:color w:val="000000"/>
        </w:rPr>
        <w:t xml:space="preserve"> </w:t>
      </w:r>
      <w:r>
        <w:rPr>
          <w:rFonts w:ascii="Times New Roman" w:hAnsi="Times New Roman" w:eastAsia="方正仿宋_GBK"/>
          <w:color w:val="000000"/>
        </w:rPr>
        <w:t xml:space="preserve"> </w:t>
      </w:r>
      <w:r>
        <w:rPr>
          <w:rFonts w:hint="eastAsia" w:ascii="Times New Roman" w:hAnsi="Times New Roman" w:eastAsia="方正仿宋_GBK"/>
          <w:color w:val="000000"/>
        </w:rPr>
        <w:t>江苏省绿色建筑创新奖是指对在在绿色建筑工程建设中具有重大创新、符合国家和我省绿色建筑标准、具有突出示范作用的工程项目以及在建设绿色建筑中做出重要贡献的组织和人员设立的奖项。</w:t>
      </w:r>
    </w:p>
    <w:p>
      <w:pPr>
        <w:pStyle w:val="10"/>
        <w:widowControl w:val="0"/>
        <w:spacing w:before="0" w:beforeAutospacing="0" w:after="0" w:afterAutospacing="0" w:line="440" w:lineRule="exact"/>
        <w:ind w:firstLine="480" w:firstLineChars="200"/>
        <w:rPr>
          <w:rFonts w:ascii="Times New Roman" w:hAnsi="Times New Roman" w:eastAsia="方正仿宋_GBK"/>
          <w:color w:val="000000"/>
        </w:rPr>
      </w:pPr>
      <w:r>
        <w:rPr>
          <w:rFonts w:hint="eastAsia" w:ascii="Times New Roman" w:hAnsi="Times New Roman" w:eastAsia="黑体"/>
          <w:color w:val="000000"/>
        </w:rPr>
        <w:t>第四条　</w:t>
      </w:r>
      <w:r>
        <w:rPr>
          <w:rFonts w:hint="eastAsia" w:ascii="Times New Roman" w:hAnsi="Times New Roman" w:eastAsia="方正仿宋_GBK"/>
          <w:color w:val="000000"/>
        </w:rPr>
        <w:t>江苏省绿色建筑创新奖每年评选一次，分设一等奖、二等奖和三等奖。</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第五条</w:t>
      </w:r>
      <w:r>
        <w:rPr>
          <w:rFonts w:ascii="Times New Roman" w:hAnsi="Times New Roman" w:eastAsia="方正仿宋_GBK"/>
          <w:color w:val="000000"/>
        </w:rPr>
        <w:t xml:space="preserve">  </w:t>
      </w:r>
      <w:r>
        <w:rPr>
          <w:rFonts w:hint="eastAsia" w:ascii="Times New Roman" w:hAnsi="Times New Roman" w:eastAsia="方正仿宋_GBK"/>
          <w:color w:val="000000"/>
        </w:rPr>
        <w:t>在获得江苏省绿色建筑创新奖的基础上推荐参加国家级绿色建筑创新奖的评选。</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第六条　</w:t>
      </w:r>
      <w:r>
        <w:rPr>
          <w:rFonts w:hint="eastAsia" w:ascii="Times New Roman" w:hAnsi="Times New Roman" w:eastAsia="方正仿宋_GBK"/>
          <w:color w:val="000000"/>
        </w:rPr>
        <w:t>江苏省绿色建筑创新奖的申报遵循自愿原则。评选工作遵循实事求是、科学严谨和公开、公平、公正的原则。</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第七条　</w:t>
      </w:r>
      <w:r>
        <w:rPr>
          <w:rFonts w:hint="eastAsia" w:ascii="Times New Roman" w:hAnsi="Times New Roman" w:eastAsia="方正仿宋_GBK"/>
          <w:color w:val="000000"/>
        </w:rPr>
        <w:t>江苏省住房和城乡建设厅负责江苏省绿色建筑创新奖的归口管理工作，江苏省住房和城乡建设厅科学技术委员会办公室负责江苏省绿色建筑创新奖的日常工作。各设区市建设行政主管部门负责组织本地区域内省绿色建筑创新奖项目的申报和初审、推荐上报工作。</w:t>
      </w:r>
    </w:p>
    <w:p>
      <w:pPr>
        <w:pStyle w:val="10"/>
        <w:widowControl w:val="0"/>
        <w:spacing w:before="0" w:beforeAutospacing="0" w:after="0" w:afterAutospacing="0" w:line="440" w:lineRule="exact"/>
        <w:ind w:firstLine="482" w:firstLineChars="200"/>
        <w:jc w:val="center"/>
        <w:rPr>
          <w:rFonts w:ascii="Times New Roman" w:hAnsi="Times New Roman" w:eastAsia="方正仿宋_GBK"/>
          <w:b/>
          <w:color w:val="000000"/>
        </w:rPr>
      </w:pPr>
    </w:p>
    <w:p>
      <w:pPr>
        <w:pStyle w:val="10"/>
        <w:widowControl w:val="0"/>
        <w:spacing w:before="0" w:beforeAutospacing="0" w:after="0" w:afterAutospacing="0" w:line="440" w:lineRule="exact"/>
        <w:jc w:val="center"/>
        <w:rPr>
          <w:rFonts w:ascii="Times New Roman" w:hAnsi="Times New Roman" w:eastAsia="黑体"/>
          <w:color w:val="000000"/>
        </w:rPr>
      </w:pPr>
      <w:r>
        <w:rPr>
          <w:rFonts w:hint="eastAsia" w:ascii="Times New Roman" w:hAnsi="Times New Roman" w:eastAsia="黑体"/>
          <w:color w:val="000000"/>
        </w:rPr>
        <w:t>第二章　申报的条件、内容和程序</w:t>
      </w:r>
    </w:p>
    <w:p>
      <w:pPr>
        <w:pStyle w:val="10"/>
        <w:widowControl w:val="0"/>
        <w:spacing w:before="0" w:beforeAutospacing="0" w:after="0" w:afterAutospacing="0" w:line="440" w:lineRule="exact"/>
        <w:ind w:firstLine="480" w:firstLineChars="200"/>
        <w:jc w:val="both"/>
        <w:rPr>
          <w:rFonts w:hint="eastAsia" w:ascii="Times New Roman" w:hAnsi="Times New Roman" w:eastAsia="黑体"/>
          <w:color w:val="000000"/>
        </w:rPr>
      </w:pPr>
    </w:p>
    <w:p>
      <w:pPr>
        <w:pStyle w:val="10"/>
        <w:widowControl w:val="0"/>
        <w:spacing w:before="0" w:beforeAutospacing="0" w:after="0" w:afterAutospacing="0" w:line="440" w:lineRule="exact"/>
        <w:ind w:firstLine="480" w:firstLineChars="200"/>
        <w:jc w:val="both"/>
        <w:rPr>
          <w:rFonts w:hint="eastAsia" w:ascii="Times New Roman" w:hAnsi="Times New Roman" w:eastAsia="方正仿宋_GBK"/>
          <w:color w:val="000000"/>
        </w:rPr>
      </w:pPr>
      <w:r>
        <w:rPr>
          <w:rFonts w:hint="eastAsia" w:ascii="Times New Roman" w:hAnsi="Times New Roman" w:eastAsia="黑体"/>
          <w:color w:val="000000"/>
        </w:rPr>
        <w:t>第八条　</w:t>
      </w:r>
      <w:r>
        <w:rPr>
          <w:rFonts w:hint="eastAsia" w:ascii="Times New Roman" w:hAnsi="Times New Roman" w:eastAsia="方正仿宋_GBK"/>
          <w:color w:val="000000"/>
        </w:rPr>
        <w:t>申报绿色建筑创新奖的基本条件：</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（一）在保护自然资源和生态环境、节能、节材、节水、节地、减少环境污染与智能化系统建设等方面，综合效果显著的公共建筑和住宅建筑工程。</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（二）符合国家和我省绿色建筑标准。</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（三）总体规划、建筑设计、建筑结构、施工质量等具有较高的水平，并具有示范作用。</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（四）规划与建筑设计、环境设计和智能化系统设计等要体现绿色建筑的特色，采用适合于绿色建筑的技术、工艺与产品，运营管理水平较高，实现社会、环境、经济效益的统一。</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（五）工程（含既有建筑改造工程）竣工验收合格后投入使用一年以上。</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（六）申报江苏省绿色建筑创新奖的住宅建筑入住率应达到</w:t>
      </w:r>
      <w:r>
        <w:rPr>
          <w:rFonts w:ascii="Times New Roman" w:hAnsi="Times New Roman" w:eastAsia="方正仿宋_GBK"/>
          <w:color w:val="000000"/>
        </w:rPr>
        <w:t>70</w:t>
      </w:r>
      <w:r>
        <w:rPr>
          <w:rFonts w:hint="eastAsia" w:ascii="Times New Roman" w:hAnsi="Times New Roman" w:eastAsia="方正仿宋_GBK"/>
          <w:color w:val="000000"/>
        </w:rPr>
        <w:t>％以上。</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第九条　</w:t>
      </w:r>
      <w:r>
        <w:rPr>
          <w:rFonts w:hint="eastAsia" w:ascii="Times New Roman" w:hAnsi="Times New Roman" w:eastAsia="方正仿宋_GBK"/>
          <w:color w:val="000000"/>
        </w:rPr>
        <w:t>申报资料的内容和要求：</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（一）《江苏省绿色建筑创新奖申报表》一式</w:t>
      </w:r>
      <w:r>
        <w:rPr>
          <w:rFonts w:ascii="Times New Roman" w:hAnsi="Times New Roman" w:eastAsia="方正仿宋_GBK"/>
          <w:color w:val="000000"/>
        </w:rPr>
        <w:t>3</w:t>
      </w:r>
      <w:r>
        <w:rPr>
          <w:rFonts w:hint="eastAsia" w:ascii="Times New Roman" w:hAnsi="Times New Roman" w:eastAsia="方正仿宋_GBK"/>
          <w:color w:val="000000"/>
        </w:rPr>
        <w:t>份；</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（二）工程项目总结报告一式</w:t>
      </w:r>
      <w:r>
        <w:rPr>
          <w:rFonts w:ascii="Times New Roman" w:hAnsi="Times New Roman" w:eastAsia="方正仿宋_GBK"/>
          <w:color w:val="000000"/>
        </w:rPr>
        <w:t>3</w:t>
      </w:r>
      <w:r>
        <w:rPr>
          <w:rFonts w:hint="eastAsia" w:ascii="Times New Roman" w:hAnsi="Times New Roman" w:eastAsia="方正仿宋_GBK"/>
          <w:color w:val="000000"/>
        </w:rPr>
        <w:t>份：</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ascii="Times New Roman" w:hAnsi="Times New Roman" w:eastAsia="方正仿宋_GBK"/>
          <w:color w:val="000000"/>
        </w:rPr>
        <w:t>1</w:t>
      </w:r>
      <w:r>
        <w:rPr>
          <w:rFonts w:hint="eastAsia" w:ascii="Times New Roman" w:hAnsi="Times New Roman" w:eastAsia="方正仿宋_GBK"/>
          <w:color w:val="000000"/>
        </w:rPr>
        <w:t>、工程概况；</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ascii="Times New Roman" w:hAnsi="Times New Roman" w:eastAsia="方正仿宋_GBK"/>
          <w:color w:val="000000"/>
        </w:rPr>
        <w:t>2</w:t>
      </w:r>
      <w:r>
        <w:rPr>
          <w:rFonts w:hint="eastAsia" w:ascii="Times New Roman" w:hAnsi="Times New Roman" w:eastAsia="方正仿宋_GBK"/>
          <w:color w:val="000000"/>
        </w:rPr>
        <w:t>、节能工程的主要应用技术；</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ascii="Times New Roman" w:hAnsi="Times New Roman" w:eastAsia="方正仿宋_GBK"/>
          <w:color w:val="000000"/>
        </w:rPr>
        <w:t>3</w:t>
      </w:r>
      <w:r>
        <w:rPr>
          <w:rFonts w:hint="eastAsia" w:ascii="Times New Roman" w:hAnsi="Times New Roman" w:eastAsia="方正仿宋_GBK"/>
          <w:color w:val="000000"/>
        </w:rPr>
        <w:t>、节能工程实施情况（包括设计、施工与运行管理）；</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ascii="Times New Roman" w:hAnsi="Times New Roman" w:eastAsia="方正仿宋_GBK"/>
          <w:color w:val="000000"/>
        </w:rPr>
        <w:t>4</w:t>
      </w:r>
      <w:r>
        <w:rPr>
          <w:rFonts w:hint="eastAsia" w:ascii="Times New Roman" w:hAnsi="Times New Roman" w:eastAsia="方正仿宋_GBK"/>
          <w:color w:val="000000"/>
        </w:rPr>
        <w:t>、技术创新点；</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ascii="Times New Roman" w:hAnsi="Times New Roman" w:eastAsia="方正仿宋_GBK"/>
          <w:color w:val="000000"/>
        </w:rPr>
        <w:t>5</w:t>
      </w:r>
      <w:r>
        <w:rPr>
          <w:rFonts w:hint="eastAsia" w:ascii="Times New Roman" w:hAnsi="Times New Roman" w:eastAsia="方正仿宋_GBK"/>
          <w:color w:val="000000"/>
        </w:rPr>
        <w:t>、技术经济分析；</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ascii="Times New Roman" w:hAnsi="Times New Roman" w:eastAsia="方正仿宋_GBK"/>
          <w:color w:val="000000"/>
        </w:rPr>
        <w:t>6</w:t>
      </w:r>
      <w:r>
        <w:rPr>
          <w:rFonts w:hint="eastAsia" w:ascii="Times New Roman" w:hAnsi="Times New Roman" w:eastAsia="方正仿宋_GBK"/>
          <w:color w:val="000000"/>
        </w:rPr>
        <w:t>、能耗检测与结果分析；</w:t>
      </w:r>
    </w:p>
    <w:p>
      <w:pPr>
        <w:pStyle w:val="10"/>
        <w:widowControl w:val="0"/>
        <w:spacing w:before="0" w:beforeAutospacing="0" w:after="0" w:afterAutospacing="0" w:line="440" w:lineRule="exact"/>
        <w:ind w:firstLine="480" w:firstLineChars="200"/>
        <w:rPr>
          <w:rFonts w:ascii="Times New Roman" w:hAnsi="Times New Roman" w:eastAsia="方正仿宋_GBK"/>
          <w:color w:val="000000"/>
        </w:rPr>
      </w:pPr>
      <w:r>
        <w:rPr>
          <w:rFonts w:ascii="Times New Roman" w:hAnsi="Times New Roman" w:eastAsia="方正仿宋_GBK"/>
          <w:color w:val="000000"/>
        </w:rPr>
        <w:t>7</w:t>
      </w:r>
      <w:r>
        <w:rPr>
          <w:rFonts w:hint="eastAsia" w:ascii="Times New Roman" w:hAnsi="Times New Roman" w:eastAsia="方正仿宋_GBK"/>
          <w:color w:val="000000"/>
        </w:rPr>
        <w:t>、工程竣工报告。</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（三）有关资料一式</w:t>
      </w:r>
      <w:r>
        <w:rPr>
          <w:rFonts w:ascii="Times New Roman" w:hAnsi="Times New Roman" w:eastAsia="方正仿宋_GBK"/>
          <w:color w:val="000000"/>
        </w:rPr>
        <w:t>3</w:t>
      </w:r>
      <w:r>
        <w:rPr>
          <w:rFonts w:hint="eastAsia" w:ascii="Times New Roman" w:hAnsi="Times New Roman" w:eastAsia="方正仿宋_GBK"/>
          <w:color w:val="000000"/>
        </w:rPr>
        <w:t>份并按以下顺序装订成册。</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ascii="Times New Roman" w:hAnsi="Times New Roman" w:eastAsia="方正仿宋_GBK"/>
          <w:color w:val="000000"/>
        </w:rPr>
        <w:t>1</w:t>
      </w:r>
      <w:r>
        <w:rPr>
          <w:rFonts w:hint="eastAsia" w:ascii="Times New Roman" w:hAnsi="Times New Roman" w:eastAsia="方正仿宋_GBK"/>
          <w:color w:val="000000"/>
        </w:rPr>
        <w:t>、工程项目计划任务书；</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ascii="Times New Roman" w:hAnsi="Times New Roman" w:eastAsia="方正仿宋_GBK"/>
          <w:color w:val="000000"/>
        </w:rPr>
        <w:t>2</w:t>
      </w:r>
      <w:r>
        <w:rPr>
          <w:rFonts w:hint="eastAsia" w:ascii="Times New Roman" w:hAnsi="Times New Roman" w:eastAsia="方正仿宋_GBK"/>
          <w:color w:val="000000"/>
        </w:rPr>
        <w:t>、验收合格证书与建筑能效标识、绿色建筑标识相关的验收材料；</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ascii="Times New Roman" w:hAnsi="Times New Roman" w:eastAsia="方正仿宋_GBK"/>
          <w:color w:val="000000"/>
        </w:rPr>
        <w:t>3</w:t>
      </w:r>
      <w:r>
        <w:rPr>
          <w:rFonts w:hint="eastAsia" w:ascii="Times New Roman" w:hAnsi="Times New Roman" w:eastAsia="方正仿宋_GBK"/>
          <w:color w:val="000000"/>
        </w:rPr>
        <w:t>、申报工程的业主委员会或使用单位出具的用户意见。</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（四）介绍项目总体情况的光盘（时间不超过</w:t>
      </w:r>
      <w:r>
        <w:rPr>
          <w:rFonts w:ascii="Times New Roman" w:hAnsi="Times New Roman" w:eastAsia="方正仿宋_GBK"/>
          <w:color w:val="000000"/>
        </w:rPr>
        <w:t>15</w:t>
      </w:r>
      <w:r>
        <w:rPr>
          <w:rFonts w:hint="eastAsia" w:ascii="Times New Roman" w:hAnsi="Times New Roman" w:eastAsia="方正仿宋_GBK"/>
          <w:color w:val="000000"/>
        </w:rPr>
        <w:t>分钟）和反映工程概况并附文字说明的工程主要部位的彩色照片。</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第十条　</w:t>
      </w:r>
      <w:r>
        <w:rPr>
          <w:rFonts w:hint="eastAsia" w:ascii="Times New Roman" w:hAnsi="Times New Roman" w:eastAsia="方正仿宋_GBK"/>
          <w:color w:val="000000"/>
        </w:rPr>
        <w:t>申报绿色建筑创新奖的程序为：</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（一）申报单位向各设区市建设行政主管部门提交申报资料。</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江苏省绿色建筑创新奖由建设单位或开发单位、设计单位、施工总承包单位等主要参建单位联合提出申报；也可经建设单位或开发单位同意后，由设计单位、施工总承包单位联合或其中一家单独提出申报。其它参建单位可随主要参建单位申报。申报一等奖的，申报单位总数不超过</w:t>
      </w:r>
      <w:r>
        <w:rPr>
          <w:rFonts w:ascii="Times New Roman" w:hAnsi="Times New Roman" w:eastAsia="方正仿宋_GBK"/>
          <w:color w:val="000000"/>
        </w:rPr>
        <w:t>8</w:t>
      </w:r>
      <w:r>
        <w:rPr>
          <w:rFonts w:hint="eastAsia" w:ascii="Times New Roman" w:hAnsi="Times New Roman" w:eastAsia="方正仿宋_GBK"/>
          <w:color w:val="000000"/>
        </w:rPr>
        <w:t>家，人员不超过</w:t>
      </w:r>
      <w:r>
        <w:rPr>
          <w:rFonts w:ascii="Times New Roman" w:hAnsi="Times New Roman" w:eastAsia="方正仿宋_GBK"/>
          <w:color w:val="000000"/>
        </w:rPr>
        <w:t>20</w:t>
      </w:r>
      <w:r>
        <w:rPr>
          <w:rFonts w:hint="eastAsia" w:ascii="Times New Roman" w:hAnsi="Times New Roman" w:eastAsia="方正仿宋_GBK"/>
          <w:color w:val="000000"/>
        </w:rPr>
        <w:t>名；申报二等奖的，申报单位总数不超过</w:t>
      </w:r>
      <w:r>
        <w:rPr>
          <w:rFonts w:ascii="Times New Roman" w:hAnsi="Times New Roman" w:eastAsia="方正仿宋_GBK"/>
          <w:color w:val="000000"/>
        </w:rPr>
        <w:t>6</w:t>
      </w:r>
      <w:r>
        <w:rPr>
          <w:rFonts w:hint="eastAsia" w:ascii="Times New Roman" w:hAnsi="Times New Roman" w:eastAsia="方正仿宋_GBK"/>
          <w:color w:val="000000"/>
        </w:rPr>
        <w:t>家，人员不超过</w:t>
      </w:r>
      <w:r>
        <w:rPr>
          <w:rFonts w:ascii="Times New Roman" w:hAnsi="Times New Roman" w:eastAsia="方正仿宋_GBK"/>
          <w:color w:val="000000"/>
        </w:rPr>
        <w:t>15</w:t>
      </w:r>
      <w:r>
        <w:rPr>
          <w:rFonts w:hint="eastAsia" w:ascii="Times New Roman" w:hAnsi="Times New Roman" w:eastAsia="方正仿宋_GBK"/>
          <w:color w:val="000000"/>
        </w:rPr>
        <w:t>名；申报三等奖的，申报单位总数不超过</w:t>
      </w:r>
      <w:r>
        <w:rPr>
          <w:rFonts w:ascii="Times New Roman" w:hAnsi="Times New Roman" w:eastAsia="方正仿宋_GBK"/>
          <w:color w:val="000000"/>
        </w:rPr>
        <w:t>4</w:t>
      </w:r>
      <w:r>
        <w:rPr>
          <w:rFonts w:hint="eastAsia" w:ascii="Times New Roman" w:hAnsi="Times New Roman" w:eastAsia="方正仿宋_GBK"/>
          <w:color w:val="000000"/>
        </w:rPr>
        <w:t>家，人员不超过</w:t>
      </w:r>
      <w:r>
        <w:rPr>
          <w:rFonts w:ascii="Times New Roman" w:hAnsi="Times New Roman" w:eastAsia="方正仿宋_GBK"/>
          <w:color w:val="000000"/>
        </w:rPr>
        <w:t>10</w:t>
      </w:r>
      <w:r>
        <w:rPr>
          <w:rFonts w:hint="eastAsia" w:ascii="Times New Roman" w:hAnsi="Times New Roman" w:eastAsia="方正仿宋_GBK"/>
          <w:color w:val="000000"/>
        </w:rPr>
        <w:t>名。</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（二）各设区市建设行政主管部门进行初审，并负责审定验收合格证书等资质性资料的真实性，对初审合格的项目签署推荐意见后报送江苏省住房和城乡建设厅科学技术委员会办公室；</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（三）江苏省住房和城乡建设厅科学技术委员会办公室负责组织评审专家委员会对申报资料进行评审。</w:t>
      </w:r>
      <w:bookmarkStart w:id="354" w:name="04"/>
      <w:bookmarkEnd w:id="354"/>
    </w:p>
    <w:p>
      <w:pPr>
        <w:pStyle w:val="10"/>
        <w:widowControl w:val="0"/>
        <w:spacing w:before="0" w:beforeAutospacing="0" w:after="0" w:afterAutospacing="0" w:line="440" w:lineRule="exact"/>
        <w:ind w:firstLine="482" w:firstLineChars="200"/>
        <w:jc w:val="center"/>
        <w:rPr>
          <w:rFonts w:ascii="Times New Roman" w:hAnsi="Times New Roman" w:eastAsia="方正仿宋_GBK"/>
          <w:b/>
          <w:bCs/>
          <w:color w:val="000000"/>
        </w:rPr>
      </w:pPr>
    </w:p>
    <w:p>
      <w:pPr>
        <w:pStyle w:val="10"/>
        <w:widowControl w:val="0"/>
        <w:spacing w:before="0" w:beforeAutospacing="0" w:after="0" w:afterAutospacing="0" w:line="440" w:lineRule="exact"/>
        <w:jc w:val="center"/>
        <w:rPr>
          <w:rFonts w:ascii="Times New Roman" w:hAnsi="Times New Roman" w:eastAsia="黑体"/>
          <w:color w:val="000000"/>
        </w:rPr>
      </w:pPr>
      <w:r>
        <w:rPr>
          <w:rFonts w:hint="eastAsia" w:ascii="Times New Roman" w:hAnsi="Times New Roman" w:eastAsia="黑体"/>
          <w:color w:val="000000"/>
        </w:rPr>
        <w:t>第三章　评审</w:t>
      </w:r>
    </w:p>
    <w:p>
      <w:pPr>
        <w:pStyle w:val="10"/>
        <w:widowControl w:val="0"/>
        <w:spacing w:before="0" w:beforeAutospacing="0" w:after="0" w:afterAutospacing="0" w:line="440" w:lineRule="exact"/>
        <w:ind w:firstLine="480" w:firstLineChars="200"/>
        <w:rPr>
          <w:rFonts w:hint="eastAsia" w:ascii="Times New Roman" w:hAnsi="Times New Roman" w:eastAsia="黑体"/>
          <w:color w:val="000000"/>
        </w:rPr>
      </w:pPr>
    </w:p>
    <w:p>
      <w:pPr>
        <w:pStyle w:val="10"/>
        <w:widowControl w:val="0"/>
        <w:spacing w:before="0" w:beforeAutospacing="0" w:after="0" w:afterAutospacing="0" w:line="440" w:lineRule="exact"/>
        <w:ind w:firstLine="480" w:firstLineChars="200"/>
        <w:jc w:val="both"/>
        <w:rPr>
          <w:rFonts w:hint="eastAsia" w:ascii="Times New Roman" w:hAnsi="Times New Roman" w:eastAsia="方正仿宋_GBK"/>
          <w:color w:val="000000"/>
          <w:spacing w:val="-6"/>
        </w:rPr>
      </w:pPr>
      <w:r>
        <w:rPr>
          <w:rFonts w:hint="eastAsia" w:ascii="Times New Roman" w:hAnsi="Times New Roman" w:eastAsia="黑体"/>
          <w:color w:val="000000"/>
        </w:rPr>
        <w:t>第十一条　</w:t>
      </w:r>
      <w:r>
        <w:rPr>
          <w:rFonts w:hint="eastAsia" w:ascii="Times New Roman" w:hAnsi="Times New Roman" w:eastAsia="方正仿宋_GBK"/>
          <w:color w:val="000000"/>
          <w:spacing w:val="-6"/>
        </w:rPr>
        <w:t>评审专家委员会由绿色建筑领域的技术专家和厅有关部门、行业学（协）会的人员组成。评审委员必须为具有高级技术职称、熟悉绿色建筑专业技术或管理的技术专家和管理人员。根据申报项目情况，评审专家委员会可分别组成专项专家组。</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第十二条　</w:t>
      </w:r>
      <w:r>
        <w:rPr>
          <w:rFonts w:hint="eastAsia" w:ascii="Times New Roman" w:hAnsi="Times New Roman" w:eastAsia="方正仿宋_GBK"/>
          <w:color w:val="000000"/>
        </w:rPr>
        <w:t>评审专家委员会依据国家和我省绿色建筑标准，审查申报材料，进行质询、讨论和评议，以无记名投票方式按多数原则确定获奖项目。</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第十三条　</w:t>
      </w:r>
      <w:r>
        <w:rPr>
          <w:rFonts w:hint="eastAsia" w:ascii="Times New Roman" w:hAnsi="Times New Roman" w:eastAsia="方正仿宋_GBK"/>
          <w:color w:val="000000"/>
        </w:rPr>
        <w:t>根据需要可组织核查小组对需要实地核查的申报项目进行现场核查。核查小组由</w:t>
      </w:r>
      <w:r>
        <w:rPr>
          <w:rFonts w:ascii="Times New Roman" w:hAnsi="Times New Roman" w:eastAsia="方正仿宋_GBK"/>
          <w:color w:val="000000"/>
        </w:rPr>
        <w:t>4-5</w:t>
      </w:r>
      <w:r>
        <w:rPr>
          <w:rFonts w:hint="eastAsia" w:ascii="Times New Roman" w:hAnsi="Times New Roman" w:eastAsia="方正仿宋_GBK"/>
          <w:color w:val="000000"/>
        </w:rPr>
        <w:t>名专业技术人员组成，被核查项目所在设区市建设行政主管部门应派人参与核查工作。核查的内容和要求如下：</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（一）听取申报单位对工程质量、系统功能及运行情况的介绍；</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（二）实地查验工程质量、系统功能及运行情况。凡核查小组要求查看的工程内容和文件资料，申报单位都必须予以满足，不得以任何理由回避或拒绝；</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方正仿宋_GBK"/>
          <w:color w:val="000000"/>
        </w:rPr>
        <w:t>（三）听取业主及监理单位对工程质量、系统功能及运行情况的评价意见。核查小组向业主及监理单位咨询情况时，申报单位的有关人员应当回避；</w:t>
      </w:r>
    </w:p>
    <w:p>
      <w:pPr>
        <w:pStyle w:val="10"/>
        <w:widowControl w:val="0"/>
        <w:spacing w:before="0" w:beforeAutospacing="0" w:after="0" w:afterAutospacing="0" w:line="440" w:lineRule="exact"/>
        <w:ind w:firstLine="480" w:firstLineChars="200"/>
        <w:rPr>
          <w:rFonts w:ascii="Times New Roman" w:hAnsi="Times New Roman" w:eastAsia="方正仿宋_GBK"/>
          <w:color w:val="000000"/>
        </w:rPr>
      </w:pPr>
      <w:r>
        <w:rPr>
          <w:rFonts w:hint="eastAsia" w:ascii="Times New Roman" w:hAnsi="Times New Roman" w:eastAsia="方正仿宋_GBK"/>
          <w:color w:val="000000"/>
        </w:rPr>
        <w:t>（四）查阅工程的有关文件与技术、质量以及管理资料等；</w:t>
      </w:r>
    </w:p>
    <w:p>
      <w:pPr>
        <w:pStyle w:val="10"/>
        <w:widowControl w:val="0"/>
        <w:spacing w:before="0" w:beforeAutospacing="0" w:after="0" w:afterAutospacing="0" w:line="440" w:lineRule="exact"/>
        <w:ind w:firstLine="480" w:firstLineChars="200"/>
        <w:rPr>
          <w:rFonts w:ascii="Times New Roman" w:hAnsi="Times New Roman" w:eastAsia="方正仿宋_GBK"/>
          <w:color w:val="000000"/>
        </w:rPr>
      </w:pPr>
      <w:r>
        <w:rPr>
          <w:rFonts w:hint="eastAsia" w:ascii="Times New Roman" w:hAnsi="Times New Roman" w:eastAsia="方正仿宋_GBK"/>
          <w:color w:val="000000"/>
        </w:rPr>
        <w:t>（五）核查小组应向评审委员会提交书面核查报告。</w:t>
      </w:r>
      <w:bookmarkStart w:id="355" w:name="05"/>
      <w:bookmarkEnd w:id="355"/>
    </w:p>
    <w:p>
      <w:pPr>
        <w:pStyle w:val="10"/>
        <w:widowControl w:val="0"/>
        <w:spacing w:before="0" w:beforeAutospacing="0" w:after="0" w:afterAutospacing="0" w:line="440" w:lineRule="exact"/>
        <w:ind w:firstLine="482" w:firstLineChars="200"/>
        <w:jc w:val="center"/>
        <w:rPr>
          <w:rFonts w:ascii="Times New Roman" w:hAnsi="Times New Roman" w:eastAsia="方正仿宋_GBK"/>
          <w:b/>
          <w:bCs/>
          <w:color w:val="000000"/>
        </w:rPr>
      </w:pPr>
    </w:p>
    <w:p>
      <w:pPr>
        <w:pStyle w:val="10"/>
        <w:widowControl w:val="0"/>
        <w:spacing w:before="0" w:beforeAutospacing="0" w:after="0" w:afterAutospacing="0" w:line="440" w:lineRule="exact"/>
        <w:jc w:val="center"/>
        <w:rPr>
          <w:rFonts w:ascii="Times New Roman" w:hAnsi="Times New Roman" w:eastAsia="黑体"/>
          <w:color w:val="000000"/>
        </w:rPr>
      </w:pPr>
      <w:r>
        <w:rPr>
          <w:rFonts w:hint="eastAsia" w:ascii="Times New Roman" w:hAnsi="Times New Roman" w:eastAsia="黑体"/>
          <w:color w:val="000000"/>
        </w:rPr>
        <w:t>第四章　公示与公布</w:t>
      </w:r>
    </w:p>
    <w:p>
      <w:pPr>
        <w:pStyle w:val="10"/>
        <w:widowControl w:val="0"/>
        <w:spacing w:before="0" w:beforeAutospacing="0" w:after="0" w:afterAutospacing="0" w:line="440" w:lineRule="exact"/>
        <w:ind w:firstLine="480" w:firstLineChars="200"/>
        <w:rPr>
          <w:rFonts w:hint="eastAsia" w:ascii="Times New Roman" w:hAnsi="Times New Roman" w:eastAsia="黑体"/>
          <w:color w:val="000000"/>
        </w:rPr>
      </w:pPr>
    </w:p>
    <w:p>
      <w:pPr>
        <w:pStyle w:val="10"/>
        <w:widowControl w:val="0"/>
        <w:spacing w:before="0" w:beforeAutospacing="0" w:after="0" w:afterAutospacing="0" w:line="440" w:lineRule="exact"/>
        <w:ind w:firstLine="480" w:firstLineChars="200"/>
        <w:rPr>
          <w:rFonts w:hint="eastAsia" w:ascii="Times New Roman" w:hAnsi="Times New Roman" w:eastAsia="方正仿宋_GBK"/>
          <w:color w:val="000000"/>
        </w:rPr>
      </w:pPr>
      <w:r>
        <w:rPr>
          <w:rFonts w:hint="eastAsia" w:ascii="Times New Roman" w:hAnsi="Times New Roman" w:eastAsia="黑体"/>
          <w:color w:val="000000"/>
        </w:rPr>
        <w:t>第十四条　</w:t>
      </w:r>
      <w:r>
        <w:rPr>
          <w:rFonts w:hint="eastAsia" w:ascii="Times New Roman" w:hAnsi="Times New Roman" w:eastAsia="方正仿宋_GBK"/>
          <w:color w:val="000000"/>
        </w:rPr>
        <w:t>通过评审的项目在江苏省住房和城乡建设厅网（网址：</w:t>
      </w:r>
      <w:r>
        <w:rPr>
          <w:rFonts w:ascii="Times New Roman" w:hAnsi="Times New Roman" w:eastAsia="方正仿宋_GBK"/>
          <w:color w:val="000000"/>
        </w:rPr>
        <w:t>www.jscin.gov.cn</w:t>
      </w:r>
      <w:r>
        <w:rPr>
          <w:rFonts w:hint="eastAsia" w:ascii="Times New Roman" w:hAnsi="Times New Roman" w:eastAsia="方正仿宋_GBK"/>
          <w:color w:val="000000"/>
        </w:rPr>
        <w:t>）上公示。公示期为七个工作日。</w:t>
      </w:r>
    </w:p>
    <w:p>
      <w:pPr>
        <w:pStyle w:val="10"/>
        <w:widowControl w:val="0"/>
        <w:spacing w:before="0" w:beforeAutospacing="0" w:after="0" w:afterAutospacing="0" w:line="440" w:lineRule="exact"/>
        <w:ind w:firstLine="480" w:firstLineChars="200"/>
        <w:rPr>
          <w:rFonts w:ascii="Times New Roman" w:hAnsi="Times New Roman" w:eastAsia="方正仿宋_GBK"/>
          <w:color w:val="000000"/>
        </w:rPr>
      </w:pPr>
      <w:r>
        <w:rPr>
          <w:rFonts w:hint="eastAsia" w:ascii="Times New Roman" w:hAnsi="Times New Roman" w:eastAsia="黑体"/>
          <w:color w:val="000000"/>
        </w:rPr>
        <w:t>第十五条　</w:t>
      </w:r>
      <w:r>
        <w:rPr>
          <w:rFonts w:hint="eastAsia" w:ascii="Times New Roman" w:hAnsi="Times New Roman" w:eastAsia="方正仿宋_GBK"/>
          <w:color w:val="000000"/>
        </w:rPr>
        <w:t>任何单位或个人对公示的项目持有异议，均可在公示期内以署实名的书面形式向江苏省住房和城乡建设厅提出异议，并提供必要的证明材料。</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spacing w:val="-6"/>
        </w:rPr>
      </w:pPr>
      <w:r>
        <w:rPr>
          <w:rFonts w:hint="eastAsia" w:ascii="Times New Roman" w:hAnsi="Times New Roman" w:eastAsia="黑体"/>
          <w:color w:val="000000"/>
        </w:rPr>
        <w:t>第十六条　</w:t>
      </w:r>
      <w:r>
        <w:rPr>
          <w:rFonts w:hint="eastAsia" w:ascii="Times New Roman" w:hAnsi="Times New Roman" w:eastAsia="方正仿宋_GBK"/>
          <w:color w:val="000000"/>
          <w:spacing w:val="-6"/>
        </w:rPr>
        <w:t>异议由江苏省住房和城乡建设厅委托省住建厅科学技术委员会办公室进行调查，提出处理意见。无异议或有异议但已妥善解决的公示项目，报江苏省住房和城乡建设厅审查。通过审查的获奖项目以江苏省住房和城乡建设厅文件形式公布。</w:t>
      </w:r>
      <w:bookmarkStart w:id="356" w:name="06"/>
      <w:bookmarkEnd w:id="356"/>
    </w:p>
    <w:p>
      <w:pPr>
        <w:pStyle w:val="10"/>
        <w:widowControl w:val="0"/>
        <w:spacing w:before="0" w:beforeAutospacing="0" w:after="0" w:afterAutospacing="0" w:line="440" w:lineRule="exact"/>
        <w:ind w:firstLine="482" w:firstLineChars="200"/>
        <w:jc w:val="center"/>
        <w:rPr>
          <w:rFonts w:ascii="Times New Roman" w:hAnsi="Times New Roman" w:eastAsia="方正仿宋_GBK"/>
          <w:b/>
          <w:bCs/>
          <w:color w:val="000000"/>
        </w:rPr>
      </w:pPr>
    </w:p>
    <w:p>
      <w:pPr>
        <w:pStyle w:val="10"/>
        <w:widowControl w:val="0"/>
        <w:spacing w:before="0" w:beforeAutospacing="0" w:after="0" w:afterAutospacing="0" w:line="440" w:lineRule="exact"/>
        <w:jc w:val="center"/>
        <w:rPr>
          <w:rFonts w:ascii="Times New Roman" w:hAnsi="Times New Roman" w:eastAsia="黑体"/>
          <w:color w:val="000000"/>
        </w:rPr>
      </w:pPr>
      <w:r>
        <w:rPr>
          <w:rFonts w:hint="eastAsia" w:ascii="Times New Roman" w:hAnsi="Times New Roman" w:eastAsia="黑体"/>
          <w:color w:val="000000"/>
        </w:rPr>
        <w:t>第五章　纪律</w:t>
      </w:r>
    </w:p>
    <w:p>
      <w:pPr>
        <w:pStyle w:val="10"/>
        <w:widowControl w:val="0"/>
        <w:spacing w:before="0" w:beforeAutospacing="0" w:after="0" w:afterAutospacing="0" w:line="440" w:lineRule="exact"/>
        <w:ind w:firstLine="480" w:firstLineChars="200"/>
        <w:rPr>
          <w:rFonts w:hint="eastAsia" w:ascii="Times New Roman" w:hAnsi="Times New Roman" w:eastAsia="黑体"/>
          <w:color w:val="000000"/>
        </w:rPr>
      </w:pPr>
    </w:p>
    <w:p>
      <w:pPr>
        <w:pStyle w:val="10"/>
        <w:widowControl w:val="0"/>
        <w:spacing w:before="0" w:beforeAutospacing="0" w:after="0" w:afterAutospacing="0" w:line="440" w:lineRule="exact"/>
        <w:ind w:firstLine="480" w:firstLineChars="200"/>
        <w:jc w:val="both"/>
        <w:rPr>
          <w:rFonts w:hint="eastAsia" w:ascii="Times New Roman" w:hAnsi="Times New Roman" w:eastAsia="方正仿宋_GBK"/>
          <w:color w:val="000000"/>
        </w:rPr>
      </w:pPr>
      <w:r>
        <w:rPr>
          <w:rFonts w:hint="eastAsia" w:ascii="Times New Roman" w:hAnsi="Times New Roman" w:eastAsia="黑体"/>
          <w:color w:val="000000"/>
        </w:rPr>
        <w:t>第十七条　</w:t>
      </w:r>
      <w:r>
        <w:rPr>
          <w:rFonts w:hint="eastAsia" w:ascii="Times New Roman" w:hAnsi="Times New Roman" w:eastAsia="方正仿宋_GBK"/>
          <w:color w:val="000000"/>
        </w:rPr>
        <w:t>申报江苏省绿色建筑创新奖的单位不得弄虚作假，不得以向评审人员赠送礼金、礼券等手段获取受奖资格。违者将视情节轻重给予批评教育直至取消申报或获奖资格的处理。</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第十八条　</w:t>
      </w:r>
      <w:r>
        <w:rPr>
          <w:rFonts w:hint="eastAsia" w:ascii="Times New Roman" w:hAnsi="Times New Roman" w:eastAsia="方正仿宋_GBK"/>
          <w:color w:val="000000"/>
        </w:rPr>
        <w:t>评审委员和现场核查小组人员必须秉公办事，廉洁自律，不得收受企业和有关人员的礼品、礼金。违者将视情节轻重给予批评教育直至取销评审委员或核查人员资格的处理，并将违纪行为通知本人所在单位。</w:t>
      </w:r>
    </w:p>
    <w:p>
      <w:pPr>
        <w:pStyle w:val="10"/>
        <w:widowControl w:val="0"/>
        <w:spacing w:before="0" w:beforeAutospacing="0" w:after="0" w:afterAutospacing="0" w:line="440" w:lineRule="exact"/>
        <w:ind w:firstLine="480" w:firstLineChars="200"/>
        <w:jc w:val="both"/>
        <w:rPr>
          <w:rFonts w:ascii="Times New Roman" w:hAnsi="Times New Roman" w:eastAsia="方正仿宋_GBK"/>
          <w:color w:val="000000"/>
        </w:rPr>
      </w:pPr>
      <w:r>
        <w:rPr>
          <w:rFonts w:hint="eastAsia" w:ascii="Times New Roman" w:hAnsi="Times New Roman" w:eastAsia="黑体"/>
          <w:color w:val="000000"/>
        </w:rPr>
        <w:t>第十九条　</w:t>
      </w:r>
      <w:r>
        <w:rPr>
          <w:rFonts w:hint="eastAsia" w:ascii="Times New Roman" w:hAnsi="Times New Roman" w:eastAsia="方正仿宋_GBK"/>
          <w:color w:val="000000"/>
        </w:rPr>
        <w:t>对已经获得江苏省绿色建筑创新奖的项目，若发现其工程质量安全或获奖技术与产品存在重大问题或隐患，江苏省住房和城乡建设厅科学技术委员会办公室将组织有关人员进行核实并提出书面报告，对情况属实且已影响获奖项目资格的，报经省住房城乡建设厅批准取消其江苏省绿色建筑创新奖项目资格。</w:t>
      </w:r>
      <w:bookmarkStart w:id="357" w:name="07"/>
      <w:bookmarkEnd w:id="357"/>
    </w:p>
    <w:p>
      <w:pPr>
        <w:pStyle w:val="10"/>
        <w:widowControl w:val="0"/>
        <w:spacing w:before="0" w:beforeAutospacing="0" w:after="0" w:afterAutospacing="0" w:line="440" w:lineRule="exact"/>
        <w:ind w:firstLine="482" w:firstLineChars="200"/>
        <w:jc w:val="center"/>
        <w:rPr>
          <w:rFonts w:ascii="Times New Roman" w:hAnsi="Times New Roman" w:eastAsia="方正仿宋_GBK"/>
          <w:b/>
          <w:bCs/>
          <w:color w:val="000000"/>
        </w:rPr>
      </w:pPr>
    </w:p>
    <w:p>
      <w:pPr>
        <w:pStyle w:val="10"/>
        <w:widowControl w:val="0"/>
        <w:spacing w:before="0" w:beforeAutospacing="0" w:after="0" w:afterAutospacing="0" w:line="440" w:lineRule="exact"/>
        <w:jc w:val="center"/>
        <w:rPr>
          <w:rFonts w:ascii="Times New Roman" w:hAnsi="Times New Roman" w:eastAsia="黑体"/>
          <w:color w:val="000000"/>
        </w:rPr>
      </w:pPr>
      <w:r>
        <w:rPr>
          <w:rFonts w:hint="eastAsia" w:ascii="Times New Roman" w:hAnsi="Times New Roman" w:eastAsia="黑体"/>
          <w:color w:val="000000"/>
        </w:rPr>
        <w:t>第六章　奖励</w:t>
      </w:r>
    </w:p>
    <w:p>
      <w:pPr>
        <w:pStyle w:val="10"/>
        <w:widowControl w:val="0"/>
        <w:spacing w:before="0" w:beforeAutospacing="0" w:after="0" w:afterAutospacing="0" w:line="440" w:lineRule="exact"/>
        <w:ind w:firstLine="480" w:firstLineChars="200"/>
        <w:rPr>
          <w:rFonts w:hint="eastAsia" w:ascii="Times New Roman" w:hAnsi="Times New Roman" w:eastAsia="方正仿宋_GBK"/>
          <w:color w:val="000000"/>
        </w:rPr>
      </w:pPr>
      <w:r>
        <w:rPr>
          <w:rFonts w:hint="eastAsia" w:ascii="Times New Roman" w:hAnsi="Times New Roman" w:eastAsia="黑体"/>
          <w:color w:val="000000"/>
        </w:rPr>
        <w:t>第二十条　</w:t>
      </w:r>
      <w:r>
        <w:rPr>
          <w:rFonts w:hint="eastAsia" w:ascii="Times New Roman" w:hAnsi="Times New Roman" w:eastAsia="方正仿宋_GBK"/>
          <w:color w:val="000000"/>
        </w:rPr>
        <w:t>江苏省住房和城乡建设厅向获得江苏省绿色建筑创新奖的项目及相应的组织和人员颁发证书和证牌。</w:t>
      </w:r>
    </w:p>
    <w:p>
      <w:pPr>
        <w:pStyle w:val="10"/>
        <w:widowControl w:val="0"/>
        <w:spacing w:before="0" w:beforeAutospacing="0" w:after="0" w:afterAutospacing="0" w:line="440" w:lineRule="exact"/>
        <w:ind w:firstLine="480" w:firstLineChars="200"/>
        <w:rPr>
          <w:rFonts w:ascii="Times New Roman" w:hAnsi="Times New Roman" w:eastAsia="方正仿宋_GBK"/>
          <w:color w:val="000000"/>
        </w:rPr>
      </w:pPr>
      <w:r>
        <w:rPr>
          <w:rFonts w:hint="eastAsia" w:ascii="Times New Roman" w:hAnsi="Times New Roman" w:eastAsia="黑体"/>
          <w:color w:val="000000"/>
        </w:rPr>
        <w:t>第二十一条　</w:t>
      </w:r>
      <w:r>
        <w:rPr>
          <w:rFonts w:hint="eastAsia" w:ascii="Times New Roman" w:hAnsi="Times New Roman" w:eastAsia="方正仿宋_GBK"/>
          <w:color w:val="000000"/>
        </w:rPr>
        <w:t>有关部门、地区和获奖单位应根据本部门、本地区和本单位的实际情况，对获奖单位和有关人员给予奖励。</w:t>
      </w:r>
      <w:bookmarkStart w:id="358" w:name="08"/>
      <w:bookmarkEnd w:id="358"/>
    </w:p>
    <w:p>
      <w:pPr>
        <w:pStyle w:val="10"/>
        <w:widowControl w:val="0"/>
        <w:spacing w:before="0" w:beforeAutospacing="0" w:after="0" w:afterAutospacing="0" w:line="440" w:lineRule="exact"/>
        <w:ind w:firstLine="482" w:firstLineChars="200"/>
        <w:jc w:val="center"/>
        <w:rPr>
          <w:rFonts w:ascii="Times New Roman" w:hAnsi="Times New Roman" w:eastAsia="方正仿宋_GBK"/>
          <w:b/>
          <w:bCs/>
          <w:color w:val="000000"/>
        </w:rPr>
      </w:pPr>
    </w:p>
    <w:p>
      <w:pPr>
        <w:pStyle w:val="10"/>
        <w:widowControl w:val="0"/>
        <w:spacing w:before="0" w:beforeAutospacing="0" w:after="0" w:afterAutospacing="0" w:line="440" w:lineRule="exact"/>
        <w:jc w:val="center"/>
        <w:rPr>
          <w:rFonts w:ascii="Times New Roman" w:hAnsi="Times New Roman" w:eastAsia="黑体"/>
          <w:color w:val="000000"/>
        </w:rPr>
      </w:pPr>
      <w:r>
        <w:rPr>
          <w:rFonts w:hint="eastAsia" w:ascii="Times New Roman" w:hAnsi="Times New Roman" w:eastAsia="黑体"/>
          <w:color w:val="000000"/>
        </w:rPr>
        <w:t>第七章　附则</w:t>
      </w:r>
    </w:p>
    <w:p>
      <w:pPr>
        <w:pStyle w:val="10"/>
        <w:widowControl w:val="0"/>
        <w:spacing w:before="0" w:beforeAutospacing="0" w:after="0" w:afterAutospacing="0" w:line="440" w:lineRule="exact"/>
        <w:ind w:firstLine="480" w:firstLineChars="200"/>
        <w:rPr>
          <w:rFonts w:hint="eastAsia" w:ascii="Times New Roman" w:hAnsi="Times New Roman" w:eastAsia="黑体"/>
          <w:color w:val="000000"/>
        </w:rPr>
      </w:pPr>
    </w:p>
    <w:p>
      <w:pPr>
        <w:pStyle w:val="10"/>
        <w:widowControl w:val="0"/>
        <w:spacing w:before="0" w:beforeAutospacing="0" w:after="0" w:afterAutospacing="0" w:line="440" w:lineRule="exact"/>
        <w:ind w:firstLine="480" w:firstLineChars="200"/>
        <w:rPr>
          <w:rFonts w:hint="eastAsia" w:ascii="Times New Roman" w:hAnsi="Times New Roman" w:eastAsia="方正仿宋_GBK"/>
          <w:color w:val="000000"/>
        </w:rPr>
      </w:pPr>
      <w:r>
        <w:rPr>
          <w:rFonts w:hint="eastAsia" w:ascii="Times New Roman" w:hAnsi="Times New Roman" w:eastAsia="黑体"/>
          <w:color w:val="000000"/>
        </w:rPr>
        <w:t>第二十二条　</w:t>
      </w:r>
      <w:r>
        <w:rPr>
          <w:rFonts w:hint="eastAsia" w:ascii="Times New Roman" w:hAnsi="Times New Roman" w:eastAsia="方正仿宋_GBK"/>
          <w:color w:val="000000"/>
        </w:rPr>
        <w:t>本办法自发布之日起施行。</w:t>
      </w:r>
    </w:p>
    <w:p>
      <w:pPr>
        <w:pStyle w:val="10"/>
        <w:widowControl w:val="0"/>
        <w:spacing w:before="0" w:beforeAutospacing="0" w:after="0" w:afterAutospacing="0" w:line="440" w:lineRule="exact"/>
        <w:ind w:firstLine="480" w:firstLineChars="200"/>
        <w:rPr>
          <w:rFonts w:ascii="Times New Roman" w:hAnsi="Times New Roman" w:eastAsia="方正仿宋_GBK"/>
          <w:color w:val="000000"/>
        </w:rPr>
      </w:pPr>
      <w:r>
        <w:rPr>
          <w:rFonts w:hint="eastAsia" w:ascii="Times New Roman" w:hAnsi="Times New Roman" w:eastAsia="黑体"/>
          <w:color w:val="000000"/>
        </w:rPr>
        <w:t>第二十三条　</w:t>
      </w:r>
      <w:r>
        <w:rPr>
          <w:rFonts w:hint="eastAsia" w:ascii="Times New Roman" w:hAnsi="Times New Roman" w:eastAsia="方正仿宋_GBK"/>
          <w:color w:val="000000"/>
        </w:rPr>
        <w:t>本办法由江苏省住房和城乡建设厅负责解释。</w:t>
      </w:r>
    </w:p>
    <w:p>
      <w:pPr>
        <w:widowControl/>
        <w:jc w:val="left"/>
        <w:rPr>
          <w:rFonts w:eastAsia="方正仿宋_GBK"/>
          <w:color w:val="000000"/>
          <w:spacing w:val="-2"/>
          <w:sz w:val="24"/>
        </w:rPr>
        <w:sectPr>
          <w:pgSz w:w="11905" w:h="16838"/>
          <w:pgMar w:top="1701" w:right="1587" w:bottom="1701" w:left="1587" w:header="850" w:footer="1361" w:gutter="0"/>
          <w:paperSrc w:first="4" w:other="4"/>
          <w:cols w:space="720" w:num="1"/>
        </w:sectPr>
      </w:pPr>
    </w:p>
    <w:p>
      <w:pPr>
        <w:pStyle w:val="2"/>
        <w:spacing w:before="240" w:beforeLines="100" w:after="240" w:afterLines="100" w:line="240" w:lineRule="auto"/>
        <w:jc w:val="center"/>
        <w:rPr>
          <w:rFonts w:ascii="Times New Roman" w:eastAsia="方正小标宋_GBK"/>
          <w:b w:val="0"/>
          <w:sz w:val="36"/>
          <w:szCs w:val="36"/>
        </w:rPr>
      </w:pPr>
      <w:bookmarkStart w:id="359" w:name="_Toc18315550"/>
      <w:bookmarkStart w:id="360" w:name="_Toc20726446"/>
      <w:r>
        <w:rPr>
          <w:rFonts w:hint="eastAsia" w:ascii="Times New Roman" w:eastAsia="方正小标宋_GBK"/>
          <w:b w:val="0"/>
          <w:sz w:val="36"/>
          <w:szCs w:val="36"/>
        </w:rPr>
        <w:t>关于贯彻执行住房和城乡建设部《国家机关办公建筑和大型公共建筑能耗监测系统相关技术导则、软件开发指导说明书》等要求的通知</w:t>
      </w:r>
      <w:bookmarkEnd w:id="359"/>
      <w:bookmarkEnd w:id="360"/>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361" w:name="_Toc18315551"/>
      <w:bookmarkStart w:id="362" w:name="_Toc20726447"/>
      <w:r>
        <w:rPr>
          <w:rFonts w:hint="eastAsia" w:ascii="Times New Roman" w:hAnsi="Times New Roman" w:eastAsia="方正楷体_GBK"/>
          <w:b w:val="0"/>
          <w:sz w:val="24"/>
          <w:szCs w:val="24"/>
        </w:rPr>
        <w:t>苏建函科〔</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183</w:t>
      </w:r>
      <w:r>
        <w:rPr>
          <w:rFonts w:hint="eastAsia" w:ascii="Times New Roman" w:hAnsi="Times New Roman" w:eastAsia="方正楷体_GBK"/>
          <w:b w:val="0"/>
          <w:sz w:val="24"/>
          <w:szCs w:val="24"/>
        </w:rPr>
        <w:t>号</w:t>
      </w:r>
      <w:bookmarkEnd w:id="361"/>
      <w:bookmarkEnd w:id="362"/>
    </w:p>
    <w:p>
      <w:pPr>
        <w:snapToGrid w:val="0"/>
        <w:spacing w:line="460" w:lineRule="exact"/>
        <w:jc w:val="left"/>
        <w:rPr>
          <w:rFonts w:eastAsia="方正仿宋_GBK"/>
          <w:color w:val="000000"/>
          <w:spacing w:val="-2"/>
          <w:kern w:val="0"/>
          <w:sz w:val="24"/>
        </w:rPr>
      </w:pPr>
      <w:r>
        <w:rPr>
          <w:rFonts w:hint="eastAsia" w:eastAsia="方正仿宋_GBK"/>
          <w:color w:val="000000"/>
          <w:spacing w:val="-2"/>
          <w:kern w:val="0"/>
          <w:sz w:val="24"/>
        </w:rPr>
        <w:t>各省辖市建设局（建委），各有关单位：</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为切实推进国家机关办公建筑和大型公共建筑节能管理工作，规范楼宇分项计量设计安装、数据传输以及各市级数据中心（中转站）系统建设，现将住房和城乡建设部《国家机关办公建筑和大型公共建筑能耗监测系统建设相关技术导则》、《国家机关办公建筑和大型公共建筑能耗监测系统软件开发指导说明书》转发给你们，并提出如下贯彻落实意见：</w:t>
      </w:r>
    </w:p>
    <w:p>
      <w:pPr>
        <w:spacing w:line="460" w:lineRule="exact"/>
        <w:ind w:right="25" w:rightChars="12"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一、各类公共建筑示范工程项目应安装分项计量设备并实现能耗数据远程传输</w:t>
      </w:r>
    </w:p>
    <w:p>
      <w:pPr>
        <w:spacing w:line="460" w:lineRule="exact"/>
        <w:ind w:right="25" w:rightChars="12" w:firstLine="472" w:firstLineChars="200"/>
        <w:rPr>
          <w:rFonts w:hint="eastAsia" w:eastAsia="方正仿宋_GBK"/>
          <w:color w:val="000000"/>
          <w:spacing w:val="-2"/>
          <w:kern w:val="0"/>
          <w:sz w:val="24"/>
        </w:rPr>
      </w:pPr>
      <w:r>
        <w:rPr>
          <w:rFonts w:hint="eastAsia" w:eastAsia="方正仿宋_GBK"/>
          <w:color w:val="000000"/>
          <w:spacing w:val="-2"/>
          <w:kern w:val="0"/>
          <w:sz w:val="24"/>
        </w:rPr>
        <w:t>省级和市级建筑节能示范项目，如</w:t>
      </w:r>
      <w:r>
        <w:rPr>
          <w:rFonts w:hint="eastAsia" w:eastAsia="方正仿宋_GBK"/>
          <w:color w:val="000000"/>
          <w:spacing w:val="-2"/>
          <w:sz w:val="24"/>
        </w:rPr>
        <w:t>节能改造项目、</w:t>
      </w:r>
      <w:r>
        <w:fldChar w:fldCharType="begin"/>
      </w:r>
      <w:r>
        <w:instrText xml:space="preserve"> HYPERLINK "http://www.ocn.com.cn/reports/2006067kezaishengnengyuan.htm" \t "_blank" </w:instrText>
      </w:r>
      <w:r>
        <w:fldChar w:fldCharType="separate"/>
      </w:r>
      <w:r>
        <w:rPr>
          <w:rStyle w:val="16"/>
          <w:rFonts w:hint="eastAsia" w:eastAsia="方正仿宋_GBK"/>
          <w:spacing w:val="-2"/>
          <w:sz w:val="24"/>
        </w:rPr>
        <w:t>可再生能源</w:t>
      </w:r>
      <w:r>
        <w:fldChar w:fldCharType="end"/>
      </w:r>
      <w:r>
        <w:rPr>
          <w:rFonts w:hint="eastAsia" w:eastAsia="方正仿宋_GBK"/>
          <w:color w:val="000000"/>
          <w:spacing w:val="-2"/>
          <w:sz w:val="24"/>
        </w:rPr>
        <w:t>建筑应用项目、低能耗建筑示范项目、绿色建筑工程等</w:t>
      </w:r>
      <w:r>
        <w:rPr>
          <w:rFonts w:hint="eastAsia" w:eastAsia="方正仿宋_GBK"/>
          <w:color w:val="000000"/>
          <w:spacing w:val="-2"/>
          <w:kern w:val="0"/>
          <w:sz w:val="24"/>
        </w:rPr>
        <w:t>，凡工程类型是公共建筑的，应纳入机关办公建筑和大型公共建筑节能监管，在项目实施中同步安装能耗分项计量设备，并将建筑能耗数据实时远程传输至省建筑能耗监测数据中心或市级数据分中心。</w:t>
      </w:r>
    </w:p>
    <w:p>
      <w:pPr>
        <w:spacing w:line="460" w:lineRule="exact"/>
        <w:ind w:right="25" w:rightChars="12"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二、机关办公建筑和大型公共建筑能耗监测系统建设应严格执行建设部颁发的相关技术要求</w:t>
      </w:r>
    </w:p>
    <w:p>
      <w:pPr>
        <w:spacing w:line="460" w:lineRule="exact"/>
        <w:ind w:right="25" w:rightChars="12" w:firstLine="472" w:firstLineChars="200"/>
        <w:rPr>
          <w:rFonts w:hint="eastAsia" w:eastAsia="方正仿宋_GBK"/>
          <w:color w:val="000000"/>
          <w:spacing w:val="-2"/>
          <w:sz w:val="24"/>
        </w:rPr>
      </w:pPr>
      <w:r>
        <w:rPr>
          <w:rFonts w:hint="eastAsia" w:eastAsia="方正仿宋_GBK"/>
          <w:color w:val="000000"/>
          <w:spacing w:val="-2"/>
          <w:kern w:val="0"/>
          <w:sz w:val="24"/>
        </w:rPr>
        <w:t>执行统一的标准对于确保采集数据的统计分析的一致性具有重要意义。我省建筑能耗监测系统（包括楼宇分项计量设计安装、市级数据中心</w:t>
      </w:r>
      <w:r>
        <w:rPr>
          <w:rFonts w:eastAsia="方正仿宋_GBK"/>
          <w:color w:val="000000"/>
          <w:spacing w:val="-2"/>
          <w:kern w:val="0"/>
          <w:sz w:val="24"/>
        </w:rPr>
        <w:t>/</w:t>
      </w:r>
      <w:r>
        <w:rPr>
          <w:rFonts w:hint="eastAsia" w:eastAsia="方正仿宋_GBK"/>
          <w:color w:val="000000"/>
          <w:spacing w:val="-2"/>
          <w:kern w:val="0"/>
          <w:sz w:val="24"/>
        </w:rPr>
        <w:t>中转站、省级数据中心）建设必须按照住房和城乡建设部印发的国家机关办公建筑和大型公共建筑能耗监测系统建设相关技术导则的要求，统一标准、规范实施。建筑能耗数据的分类、分项采集应满足《国家机关办公建筑和大型公共建筑能耗监测系统建设分项能耗数据采集技术导则》的要求；能耗数据采集器功能、通讯协议及应用层数据包格式等均需满足《国家机关办公建筑和大型公共建筑能耗监测系统分项能耗数据传输技术导则》的要求；楼宇分项计量设备应按照《国家机关办公建筑和大型公共建筑能耗监测系统楼宇分项计量设计安装技术导则》的要求进行设计、安装。各类数据结构文档及数据上传格式文档均应按照《国家机关办公建筑和大型公共建筑能耗监测系统软件开发指导说明书》中附件</w:t>
      </w:r>
      <w:r>
        <w:rPr>
          <w:rFonts w:eastAsia="方正仿宋_GBK"/>
          <w:color w:val="000000"/>
          <w:spacing w:val="-2"/>
          <w:kern w:val="0"/>
          <w:sz w:val="24"/>
        </w:rPr>
        <w:t>1</w:t>
      </w:r>
      <w:r>
        <w:rPr>
          <w:rFonts w:hint="eastAsia" w:eastAsia="方正仿宋_GBK"/>
          <w:color w:val="000000"/>
          <w:spacing w:val="-2"/>
          <w:kern w:val="0"/>
          <w:sz w:val="24"/>
        </w:rPr>
        <w:t>、</w:t>
      </w:r>
      <w:r>
        <w:rPr>
          <w:rFonts w:eastAsia="方正仿宋_GBK"/>
          <w:color w:val="000000"/>
          <w:spacing w:val="-2"/>
          <w:kern w:val="0"/>
          <w:sz w:val="24"/>
        </w:rPr>
        <w:t>2</w:t>
      </w:r>
      <w:r>
        <w:rPr>
          <w:rFonts w:hint="eastAsia" w:eastAsia="方正仿宋_GBK"/>
          <w:color w:val="000000"/>
          <w:spacing w:val="-2"/>
          <w:kern w:val="0"/>
          <w:sz w:val="24"/>
        </w:rPr>
        <w:t>的要求执行。</w:t>
      </w:r>
    </w:p>
    <w:p>
      <w:pPr>
        <w:spacing w:line="460" w:lineRule="exact"/>
        <w:ind w:right="25" w:rightChars="12"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三、机关办公建筑和大型公共建筑能耗监测系统数据中心软件统一开发、共享</w:t>
      </w:r>
    </w:p>
    <w:p>
      <w:pPr>
        <w:spacing w:line="460" w:lineRule="exact"/>
        <w:ind w:right="25" w:rightChars="12" w:firstLine="472" w:firstLineChars="200"/>
        <w:rPr>
          <w:rFonts w:hint="eastAsia" w:eastAsia="方正仿宋_GBK"/>
          <w:color w:val="000000"/>
          <w:spacing w:val="-2"/>
          <w:sz w:val="24"/>
        </w:rPr>
      </w:pPr>
      <w:r>
        <w:rPr>
          <w:rFonts w:hint="eastAsia" w:eastAsia="方正仿宋_GBK"/>
          <w:color w:val="000000"/>
          <w:spacing w:val="-2"/>
          <w:kern w:val="0"/>
          <w:sz w:val="24"/>
        </w:rPr>
        <w:t>为避免重复投资，省建设厅组织开发数据中心能耗监测系统软件，作为共享软件供各数据分中心使用。各地的数据分中心（中转站）应统一使用省建设厅提供的系统软件。</w:t>
      </w:r>
    </w:p>
    <w:p>
      <w:pPr>
        <w:spacing w:line="460" w:lineRule="exact"/>
        <w:ind w:firstLine="472" w:firstLineChars="200"/>
        <w:jc w:val="left"/>
        <w:rPr>
          <w:rFonts w:eastAsia="方正仿宋_GBK"/>
          <w:color w:val="000000"/>
          <w:spacing w:val="-2"/>
          <w:sz w:val="24"/>
        </w:rPr>
      </w:pP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sz w:val="24"/>
        </w:rPr>
        <w:t>附件：</w:t>
      </w:r>
      <w:r>
        <w:rPr>
          <w:rFonts w:eastAsia="方正仿宋_GBK"/>
          <w:color w:val="000000"/>
          <w:spacing w:val="-2"/>
          <w:sz w:val="24"/>
        </w:rPr>
        <w:t>1.</w:t>
      </w:r>
      <w:r>
        <w:rPr>
          <w:rFonts w:hint="cs" w:eastAsia="方正仿宋_GBK"/>
          <w:color w:val="000000"/>
          <w:spacing w:val="-2"/>
          <w:sz w:val="24"/>
          <w:cs/>
        </w:rPr>
        <w:t> </w:t>
      </w:r>
      <w:r>
        <w:rPr>
          <w:rFonts w:hint="eastAsia" w:eastAsia="方正仿宋_GBK"/>
          <w:color w:val="000000"/>
          <w:spacing w:val="-2"/>
          <w:kern w:val="0"/>
          <w:sz w:val="24"/>
        </w:rPr>
        <w:t>住房和城乡建设部《关于印发国家机关办公建筑和大型公共建筑能耗监</w:t>
      </w:r>
    </w:p>
    <w:p>
      <w:pPr>
        <w:spacing w:line="460" w:lineRule="exact"/>
        <w:ind w:firstLine="1411" w:firstLineChars="598"/>
        <w:jc w:val="left"/>
        <w:rPr>
          <w:rFonts w:eastAsia="方正仿宋_GBK"/>
          <w:color w:val="000000"/>
          <w:spacing w:val="-2"/>
          <w:kern w:val="0"/>
          <w:sz w:val="24"/>
        </w:rPr>
      </w:pPr>
      <w:r>
        <w:rPr>
          <w:rFonts w:hint="eastAsia" w:eastAsia="方正仿宋_GBK"/>
          <w:color w:val="000000"/>
          <w:spacing w:val="-2"/>
          <w:kern w:val="0"/>
          <w:sz w:val="24"/>
        </w:rPr>
        <w:t>测系统建设相关技术导则的通知》（建科〔</w:t>
      </w:r>
      <w:r>
        <w:rPr>
          <w:rFonts w:eastAsia="方正仿宋_GBK"/>
          <w:color w:val="000000"/>
          <w:spacing w:val="-2"/>
          <w:kern w:val="0"/>
          <w:sz w:val="24"/>
        </w:rPr>
        <w:t>2008</w:t>
      </w:r>
      <w:r>
        <w:rPr>
          <w:rFonts w:hint="eastAsia" w:eastAsia="方正仿宋_GBK"/>
          <w:color w:val="000000"/>
          <w:spacing w:val="-2"/>
          <w:kern w:val="0"/>
          <w:sz w:val="24"/>
        </w:rPr>
        <w:t>〕</w:t>
      </w:r>
      <w:r>
        <w:rPr>
          <w:rFonts w:eastAsia="方正仿宋_GBK"/>
          <w:color w:val="000000"/>
          <w:spacing w:val="-2"/>
          <w:kern w:val="0"/>
          <w:sz w:val="24"/>
        </w:rPr>
        <w:t>114</w:t>
      </w:r>
      <w:r>
        <w:rPr>
          <w:rFonts w:hint="eastAsia" w:eastAsia="方正仿宋_GBK"/>
          <w:color w:val="000000"/>
          <w:spacing w:val="-2"/>
          <w:kern w:val="0"/>
          <w:sz w:val="24"/>
        </w:rPr>
        <w:t>号）</w:t>
      </w:r>
      <w:r>
        <w:rPr>
          <w:rFonts w:eastAsia="方正仿宋_GBK"/>
          <w:color w:val="000000"/>
          <w:spacing w:val="-2"/>
          <w:kern w:val="0"/>
          <w:sz w:val="24"/>
        </w:rPr>
        <w:t>(</w:t>
      </w:r>
      <w:r>
        <w:rPr>
          <w:rFonts w:hint="eastAsia" w:eastAsia="方正仿宋_GBK"/>
          <w:color w:val="000000"/>
          <w:spacing w:val="-2"/>
          <w:kern w:val="0"/>
          <w:sz w:val="24"/>
        </w:rPr>
        <w:t>略</w:t>
      </w:r>
      <w:r>
        <w:rPr>
          <w:rFonts w:eastAsia="方正仿宋_GBK"/>
          <w:color w:val="000000"/>
          <w:spacing w:val="-2"/>
          <w:kern w:val="0"/>
          <w:sz w:val="24"/>
        </w:rPr>
        <w:t>)</w:t>
      </w:r>
    </w:p>
    <w:p>
      <w:pPr>
        <w:spacing w:line="460" w:lineRule="exact"/>
        <w:ind w:firstLine="1170" w:firstLineChars="496"/>
        <w:jc w:val="left"/>
        <w:rPr>
          <w:rFonts w:eastAsia="方正仿宋_GBK"/>
          <w:color w:val="000000"/>
          <w:spacing w:val="-2"/>
          <w:kern w:val="0"/>
          <w:sz w:val="24"/>
        </w:rPr>
      </w:pPr>
      <w:r>
        <w:rPr>
          <w:rFonts w:eastAsia="方正仿宋_GBK"/>
          <w:color w:val="000000"/>
          <w:spacing w:val="-2"/>
          <w:kern w:val="0"/>
          <w:sz w:val="24"/>
        </w:rPr>
        <w:t>2.</w:t>
      </w:r>
      <w:r>
        <w:rPr>
          <w:rFonts w:hint="cs" w:eastAsia="方正仿宋_GBK"/>
          <w:color w:val="000000"/>
          <w:spacing w:val="-2"/>
          <w:kern w:val="0"/>
          <w:sz w:val="24"/>
          <w:cs/>
        </w:rPr>
        <w:t> </w:t>
      </w:r>
      <w:r>
        <w:rPr>
          <w:rFonts w:hint="eastAsia" w:eastAsia="方正仿宋_GBK"/>
          <w:color w:val="000000"/>
          <w:spacing w:val="-2"/>
          <w:kern w:val="0"/>
          <w:sz w:val="24"/>
        </w:rPr>
        <w:t>《关于印发</w:t>
      </w:r>
      <w:r>
        <w:rPr>
          <w:rFonts w:eastAsia="方正仿宋_GBK"/>
          <w:color w:val="000000"/>
          <w:spacing w:val="-2"/>
          <w:kern w:val="0"/>
          <w:sz w:val="24"/>
        </w:rPr>
        <w:t>&lt;</w:t>
      </w:r>
      <w:r>
        <w:rPr>
          <w:rFonts w:hint="eastAsia" w:eastAsia="方正仿宋_GBK"/>
          <w:color w:val="000000"/>
          <w:spacing w:val="-2"/>
          <w:kern w:val="0"/>
          <w:sz w:val="24"/>
        </w:rPr>
        <w:t>国家机关办公建筑和大型公共建筑能耗监测系统软件开发</w:t>
      </w:r>
    </w:p>
    <w:p>
      <w:pPr>
        <w:spacing w:line="460" w:lineRule="exact"/>
        <w:ind w:firstLine="1430" w:firstLineChars="606"/>
        <w:jc w:val="left"/>
        <w:rPr>
          <w:rFonts w:eastAsia="方正仿宋_GBK"/>
          <w:color w:val="000000"/>
          <w:spacing w:val="-2"/>
          <w:sz w:val="24"/>
        </w:rPr>
      </w:pPr>
      <w:r>
        <w:rPr>
          <w:rFonts w:hint="eastAsia" w:eastAsia="方正仿宋_GBK"/>
          <w:color w:val="000000"/>
          <w:spacing w:val="-2"/>
          <w:kern w:val="0"/>
          <w:sz w:val="24"/>
        </w:rPr>
        <w:t>指导说明书</w:t>
      </w:r>
      <w:r>
        <w:rPr>
          <w:rFonts w:eastAsia="方正仿宋_GBK"/>
          <w:color w:val="000000"/>
          <w:spacing w:val="-2"/>
          <w:kern w:val="0"/>
          <w:sz w:val="24"/>
        </w:rPr>
        <w:t>&gt;</w:t>
      </w:r>
      <w:r>
        <w:rPr>
          <w:rFonts w:hint="eastAsia" w:eastAsia="方正仿宋_GBK"/>
          <w:color w:val="000000"/>
          <w:spacing w:val="-2"/>
          <w:kern w:val="0"/>
          <w:sz w:val="24"/>
        </w:rPr>
        <w:t>的通知》（建办科函〔</w:t>
      </w:r>
      <w:r>
        <w:rPr>
          <w:rFonts w:eastAsia="方正仿宋_GBK"/>
          <w:color w:val="000000"/>
          <w:spacing w:val="-2"/>
          <w:kern w:val="0"/>
          <w:sz w:val="24"/>
        </w:rPr>
        <w:t>2009</w:t>
      </w:r>
      <w:r>
        <w:rPr>
          <w:rFonts w:hint="eastAsia" w:eastAsia="方正仿宋_GBK"/>
          <w:color w:val="000000"/>
          <w:spacing w:val="-2"/>
          <w:kern w:val="0"/>
          <w:sz w:val="24"/>
        </w:rPr>
        <w:t>〕</w:t>
      </w:r>
      <w:r>
        <w:rPr>
          <w:rFonts w:eastAsia="方正仿宋_GBK"/>
          <w:color w:val="000000"/>
          <w:spacing w:val="-2"/>
          <w:kern w:val="0"/>
          <w:sz w:val="24"/>
        </w:rPr>
        <w:t>70</w:t>
      </w:r>
      <w:r>
        <w:rPr>
          <w:rFonts w:hint="eastAsia" w:eastAsia="方正仿宋_GBK"/>
          <w:color w:val="000000"/>
          <w:spacing w:val="-2"/>
          <w:kern w:val="0"/>
          <w:sz w:val="24"/>
        </w:rPr>
        <w:t>号）（略）</w:t>
      </w:r>
    </w:p>
    <w:p>
      <w:pPr>
        <w:spacing w:line="460" w:lineRule="exact"/>
        <w:ind w:firstLine="472" w:firstLineChars="200"/>
        <w:jc w:val="left"/>
        <w:rPr>
          <w:rFonts w:eastAsia="方正仿宋_GBK"/>
          <w:color w:val="000000"/>
          <w:spacing w:val="-2"/>
          <w:sz w:val="24"/>
        </w:rPr>
      </w:pP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sz w:val="24"/>
        </w:rPr>
        <w:t>以上附件请在</w:t>
      </w:r>
      <w:r>
        <w:rPr>
          <w:rFonts w:eastAsia="方正仿宋_GBK"/>
          <w:color w:val="000000"/>
          <w:spacing w:val="-2"/>
          <w:sz w:val="24"/>
        </w:rPr>
        <w:t>http://</w:t>
      </w:r>
      <w:r>
        <w:fldChar w:fldCharType="begin"/>
      </w:r>
      <w:r>
        <w:instrText xml:space="preserve"> HYPERLINK "http://www.jscin.gov.cn" </w:instrText>
      </w:r>
      <w:r>
        <w:fldChar w:fldCharType="separate"/>
      </w:r>
      <w:r>
        <w:rPr>
          <w:rStyle w:val="16"/>
          <w:rFonts w:eastAsia="方正仿宋_GBK"/>
          <w:spacing w:val="-2"/>
          <w:sz w:val="24"/>
        </w:rPr>
        <w:t>www.jscin.gov.cn</w:t>
      </w:r>
      <w:r>
        <w:fldChar w:fldCharType="end"/>
      </w:r>
      <w:r>
        <w:rPr>
          <w:rFonts w:hint="eastAsia" w:eastAsia="方正仿宋_GBK"/>
          <w:color w:val="000000"/>
          <w:spacing w:val="-2"/>
          <w:sz w:val="24"/>
        </w:rPr>
        <w:t>或</w:t>
      </w:r>
      <w:r>
        <w:rPr>
          <w:rFonts w:eastAsia="方正仿宋_GBK"/>
          <w:color w:val="000000"/>
          <w:spacing w:val="-2"/>
          <w:sz w:val="24"/>
        </w:rPr>
        <w:t>http://www.mohurd.gov.cn</w:t>
      </w:r>
      <w:r>
        <w:rPr>
          <w:rFonts w:hint="eastAsia" w:eastAsia="方正仿宋_GBK"/>
          <w:color w:val="000000"/>
          <w:spacing w:val="-2"/>
          <w:sz w:val="24"/>
        </w:rPr>
        <w:t>处下载。</w:t>
      </w:r>
    </w:p>
    <w:p>
      <w:pPr>
        <w:spacing w:line="460" w:lineRule="exact"/>
        <w:ind w:firstLine="472" w:firstLineChars="200"/>
        <w:jc w:val="right"/>
        <w:rPr>
          <w:rFonts w:eastAsia="方正仿宋_GBK"/>
          <w:color w:val="000000"/>
          <w:spacing w:val="-2"/>
          <w:kern w:val="0"/>
          <w:sz w:val="24"/>
        </w:rPr>
      </w:pPr>
    </w:p>
    <w:p>
      <w:pPr>
        <w:spacing w:line="460" w:lineRule="exact"/>
        <w:ind w:right="-21" w:rightChars="-10" w:firstLine="6962" w:firstLineChars="2950"/>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autoSpaceDE w:val="0"/>
        <w:autoSpaceDN w:val="0"/>
        <w:snapToGrid w:val="0"/>
        <w:spacing w:line="400" w:lineRule="exact"/>
        <w:ind w:right="-22" w:firstLine="624"/>
        <w:jc w:val="right"/>
        <w:rPr>
          <w:rFonts w:eastAsia="方正仿宋_GBK"/>
          <w:color w:val="000000"/>
          <w:spacing w:val="-2"/>
          <w:kern w:val="0"/>
          <w:sz w:val="24"/>
        </w:rPr>
      </w:pPr>
      <w:r>
        <w:rPr>
          <w:rFonts w:hint="eastAsia" w:eastAsia="方正仿宋_GBK"/>
          <w:color w:val="000000"/>
          <w:spacing w:val="-2"/>
          <w:kern w:val="0"/>
          <w:sz w:val="24"/>
        </w:rPr>
        <w:t>二</w:t>
      </w:r>
      <w:r>
        <w:rPr>
          <w:rFonts w:hint="eastAsia" w:eastAsia="方正仿宋_GBK"/>
          <w:bCs/>
          <w:snapToGrid w:val="0"/>
          <w:color w:val="000000"/>
          <w:spacing w:val="-2"/>
          <w:kern w:val="0"/>
          <w:sz w:val="24"/>
        </w:rPr>
        <w:t>○○</w:t>
      </w:r>
      <w:r>
        <w:rPr>
          <w:rFonts w:hint="eastAsia" w:eastAsia="方正仿宋_GBK"/>
          <w:color w:val="000000"/>
          <w:spacing w:val="-2"/>
          <w:kern w:val="0"/>
          <w:sz w:val="24"/>
        </w:rPr>
        <w:t>九年三月二十日</w:t>
      </w:r>
      <w:r>
        <w:rPr>
          <w:rFonts w:eastAsia="方正仿宋_GBK"/>
          <w:color w:val="000000"/>
          <w:spacing w:val="-2"/>
          <w:kern w:val="0"/>
          <w:sz w:val="24"/>
        </w:rPr>
        <w:t xml:space="preserve"> </w:t>
      </w:r>
    </w:p>
    <w:p>
      <w:pPr>
        <w:autoSpaceDE w:val="0"/>
        <w:autoSpaceDN w:val="0"/>
        <w:snapToGrid w:val="0"/>
        <w:spacing w:line="400" w:lineRule="exact"/>
        <w:ind w:right="-22" w:firstLine="624"/>
        <w:jc w:val="center"/>
        <w:rPr>
          <w:rFonts w:eastAsia="方正仿宋_GBK"/>
          <w:color w:val="000000"/>
          <w:spacing w:val="-2"/>
          <w:kern w:val="0"/>
          <w:sz w:val="24"/>
        </w:rPr>
      </w:pPr>
    </w:p>
    <w:p>
      <w:pPr>
        <w:overflowPunct w:val="0"/>
        <w:autoSpaceDE w:val="0"/>
        <w:autoSpaceDN w:val="0"/>
        <w:spacing w:line="460" w:lineRule="exact"/>
        <w:rPr>
          <w:rFonts w:eastAsia="方正仿宋_GBK"/>
          <w:color w:val="000000"/>
          <w:spacing w:val="-2"/>
          <w:sz w:val="24"/>
        </w:rPr>
      </w:pPr>
    </w:p>
    <w:p/>
    <w:p/>
    <w:p/>
    <w:p/>
    <w:p>
      <w:pPr>
        <w:spacing w:line="460" w:lineRule="exact"/>
        <w:rPr>
          <w:rFonts w:eastAsia="方正仿宋_GBK"/>
          <w:color w:val="000000"/>
          <w:sz w:val="24"/>
        </w:rPr>
      </w:pPr>
      <w:r>
        <w:br w:type="column"/>
      </w:r>
    </w:p>
    <w:p>
      <w:pPr>
        <w:pStyle w:val="2"/>
        <w:spacing w:before="240" w:beforeLines="100" w:after="240" w:afterLines="100" w:line="240" w:lineRule="auto"/>
        <w:jc w:val="center"/>
        <w:rPr>
          <w:rFonts w:ascii="Times New Roman" w:eastAsia="方正小标宋_GBK"/>
          <w:b w:val="0"/>
          <w:sz w:val="36"/>
          <w:szCs w:val="36"/>
        </w:rPr>
      </w:pPr>
      <w:bookmarkStart w:id="363" w:name="_Toc18315554"/>
      <w:bookmarkStart w:id="364" w:name="_Toc20726448"/>
      <w:r>
        <w:rPr>
          <w:rFonts w:hint="eastAsia" w:ascii="Times New Roman" w:eastAsia="方正小标宋_GBK"/>
          <w:b w:val="0"/>
          <w:sz w:val="36"/>
          <w:szCs w:val="36"/>
        </w:rPr>
        <w:t>关于印发《江苏省省级建筑节能专项引导资金         绩效考核暂行办法》的通知</w:t>
      </w:r>
      <w:bookmarkEnd w:id="363"/>
      <w:bookmarkEnd w:id="364"/>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365" w:name="_Toc20726449"/>
      <w:bookmarkStart w:id="366" w:name="_Toc18315555"/>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307</w:t>
      </w:r>
      <w:r>
        <w:rPr>
          <w:rFonts w:hint="eastAsia" w:ascii="Times New Roman" w:hAnsi="Times New Roman" w:eastAsia="方正楷体_GBK"/>
          <w:b w:val="0"/>
          <w:sz w:val="24"/>
          <w:szCs w:val="24"/>
        </w:rPr>
        <w:t>号</w:t>
      </w:r>
      <w:bookmarkEnd w:id="365"/>
      <w:bookmarkEnd w:id="366"/>
    </w:p>
    <w:p>
      <w:pPr>
        <w:spacing w:line="460" w:lineRule="exact"/>
        <w:rPr>
          <w:rFonts w:eastAsia="方正仿宋_GBK"/>
          <w:color w:val="000000"/>
          <w:spacing w:val="-2"/>
          <w:sz w:val="24"/>
        </w:rPr>
      </w:pPr>
      <w:r>
        <w:rPr>
          <w:rFonts w:hint="eastAsia" w:eastAsia="方正仿宋_GBK"/>
          <w:color w:val="000000"/>
          <w:spacing w:val="-2"/>
          <w:sz w:val="24"/>
        </w:rPr>
        <w:t>各市、县（市）建设局（建委）、财政局：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为规范江苏省省级建筑节能专项引导资金项目的绩效考核工作，我们制定了《江苏省省级建筑节能专项引导资金绩效考核暂行办法》，现予印发，请遵照执行。</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附件：《江苏省省级建筑节能专项引导资金绩效考核暂行办法》</w:t>
      </w:r>
    </w:p>
    <w:p>
      <w:pPr>
        <w:spacing w:line="460" w:lineRule="exact"/>
        <w:ind w:firstLine="472" w:firstLineChars="200"/>
        <w:rPr>
          <w:rFonts w:eastAsia="方正仿宋_GBK"/>
          <w:color w:val="000000"/>
          <w:spacing w:val="-2"/>
          <w:sz w:val="24"/>
        </w:rPr>
      </w:pPr>
    </w:p>
    <w:p>
      <w:pPr>
        <w:spacing w:line="460" w:lineRule="exact"/>
        <w:ind w:right="1096" w:rightChars="522"/>
        <w:jc w:val="right"/>
        <w:rPr>
          <w:rFonts w:eastAsia="方正仿宋_GBK"/>
          <w:color w:val="000000"/>
          <w:spacing w:val="-2"/>
          <w:sz w:val="24"/>
        </w:rPr>
      </w:pPr>
      <w:r>
        <w:rPr>
          <w:rFonts w:hint="eastAsia" w:eastAsia="方正仿宋_GBK"/>
          <w:color w:val="000000"/>
          <w:spacing w:val="-2"/>
          <w:sz w:val="24"/>
        </w:rPr>
        <w:t>江苏省建设厅</w:t>
      </w:r>
      <w:r>
        <w:rPr>
          <w:rFonts w:eastAsia="方正仿宋_GBK"/>
          <w:color w:val="000000"/>
          <w:spacing w:val="-2"/>
          <w:sz w:val="24"/>
        </w:rPr>
        <w:t xml:space="preserve">        </w:t>
      </w:r>
    </w:p>
    <w:p>
      <w:pPr>
        <w:spacing w:line="460" w:lineRule="exact"/>
        <w:ind w:right="1096" w:rightChars="522"/>
        <w:jc w:val="right"/>
        <w:rPr>
          <w:rFonts w:eastAsia="方正仿宋_GBK"/>
          <w:color w:val="000000"/>
          <w:spacing w:val="-2"/>
          <w:sz w:val="24"/>
        </w:rPr>
      </w:pPr>
      <w:r>
        <w:rPr>
          <w:rFonts w:hint="eastAsia" w:eastAsia="方正仿宋_GBK"/>
          <w:color w:val="000000"/>
          <w:spacing w:val="-2"/>
          <w:sz w:val="24"/>
        </w:rPr>
        <w:t>江苏省财政厅</w:t>
      </w:r>
      <w:r>
        <w:rPr>
          <w:rFonts w:eastAsia="方正仿宋_GBK"/>
          <w:color w:val="000000"/>
          <w:spacing w:val="-2"/>
          <w:sz w:val="24"/>
        </w:rPr>
        <w:t xml:space="preserve">        </w:t>
      </w:r>
    </w:p>
    <w:p>
      <w:pPr>
        <w:spacing w:line="460" w:lineRule="exact"/>
        <w:ind w:right="458" w:rightChars="218"/>
        <w:jc w:val="right"/>
        <w:rPr>
          <w:rFonts w:eastAsia="方正仿宋_GBK"/>
          <w:color w:val="000000"/>
          <w:spacing w:val="-2"/>
          <w:sz w:val="24"/>
        </w:rPr>
      </w:pPr>
      <w:r>
        <w:rPr>
          <w:rFonts w:hint="eastAsia" w:eastAsia="方正仿宋_GBK"/>
          <w:color w:val="000000"/>
          <w:spacing w:val="-2"/>
          <w:sz w:val="24"/>
        </w:rPr>
        <w:t>二〇〇九年九月二十六日</w:t>
      </w:r>
      <w:r>
        <w:rPr>
          <w:rFonts w:eastAsia="方正仿宋_GBK"/>
          <w:color w:val="000000"/>
          <w:spacing w:val="-2"/>
          <w:sz w:val="24"/>
        </w:rPr>
        <w:t xml:space="preserve">    </w:t>
      </w:r>
    </w:p>
    <w:p>
      <w:pPr>
        <w:spacing w:line="460" w:lineRule="exact"/>
        <w:jc w:val="center"/>
        <w:rPr>
          <w:rFonts w:eastAsia="方正仿宋_GBK"/>
          <w:color w:val="000000"/>
          <w:spacing w:val="-2"/>
          <w:sz w:val="24"/>
        </w:rPr>
      </w:pPr>
    </w:p>
    <w:p>
      <w:pPr>
        <w:spacing w:line="460" w:lineRule="exact"/>
        <w:jc w:val="center"/>
        <w:rPr>
          <w:rFonts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江苏省省级建筑节能专项引导资金</w:t>
      </w: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绩效考核暂行办法</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b/>
          <w:color w:val="000000"/>
          <w:spacing w:val="-2"/>
          <w:sz w:val="24"/>
        </w:rPr>
        <w:t xml:space="preserve">  </w:t>
      </w:r>
      <w:r>
        <w:rPr>
          <w:rFonts w:hint="eastAsia" w:eastAsia="方正仿宋_GBK"/>
          <w:color w:val="000000"/>
          <w:spacing w:val="-2"/>
          <w:sz w:val="24"/>
        </w:rPr>
        <w:t>为了加强江苏省省级建筑节能专项引导资金的管理，提高财政资金使用效益，根据《江苏省财政厅关于整合后省级专项发展资金使用与管理问题的通知》（苏财预〔</w:t>
      </w:r>
      <w:r>
        <w:rPr>
          <w:rFonts w:eastAsia="方正仿宋_GBK"/>
          <w:color w:val="000000"/>
          <w:spacing w:val="-2"/>
          <w:sz w:val="24"/>
        </w:rPr>
        <w:t>2008</w:t>
      </w:r>
      <w:r>
        <w:rPr>
          <w:rFonts w:hint="eastAsia" w:eastAsia="方正仿宋_GBK"/>
          <w:color w:val="000000"/>
          <w:spacing w:val="-2"/>
          <w:sz w:val="24"/>
        </w:rPr>
        <w:t>〕</w:t>
      </w:r>
      <w:r>
        <w:rPr>
          <w:rFonts w:eastAsia="方正仿宋_GBK"/>
          <w:color w:val="000000"/>
          <w:spacing w:val="-2"/>
          <w:sz w:val="24"/>
        </w:rPr>
        <w:t>38</w:t>
      </w:r>
      <w:r>
        <w:rPr>
          <w:rFonts w:hint="eastAsia" w:eastAsia="方正仿宋_GBK"/>
          <w:color w:val="000000"/>
          <w:spacing w:val="-2"/>
          <w:sz w:val="24"/>
        </w:rPr>
        <w:t>号）、《江苏省省级节能减排（建筑节能）专项引导资金管理暂行办法》（苏财建〔</w:t>
      </w:r>
      <w:r>
        <w:rPr>
          <w:rFonts w:eastAsia="方正仿宋_GBK"/>
          <w:color w:val="000000"/>
          <w:spacing w:val="-2"/>
          <w:sz w:val="24"/>
        </w:rPr>
        <w:t>2008</w:t>
      </w:r>
      <w:r>
        <w:rPr>
          <w:rFonts w:hint="eastAsia" w:eastAsia="方正仿宋_GBK"/>
          <w:color w:val="000000"/>
          <w:spacing w:val="-2"/>
          <w:sz w:val="24"/>
        </w:rPr>
        <w:t>〕</w:t>
      </w:r>
      <w:r>
        <w:rPr>
          <w:rFonts w:eastAsia="方正仿宋_GBK"/>
          <w:color w:val="000000"/>
          <w:spacing w:val="-2"/>
          <w:sz w:val="24"/>
        </w:rPr>
        <w:t>192</w:t>
      </w:r>
      <w:r>
        <w:rPr>
          <w:rFonts w:hint="eastAsia" w:eastAsia="方正仿宋_GBK"/>
          <w:color w:val="000000"/>
          <w:spacing w:val="-2"/>
          <w:sz w:val="24"/>
        </w:rPr>
        <w:t>号）等规定，特制定本办法。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b/>
          <w:color w:val="000000"/>
          <w:spacing w:val="-2"/>
          <w:sz w:val="24"/>
        </w:rPr>
        <w:t xml:space="preserve">  </w:t>
      </w:r>
      <w:r>
        <w:rPr>
          <w:rFonts w:hint="eastAsia" w:eastAsia="方正仿宋_GBK"/>
          <w:color w:val="000000"/>
          <w:spacing w:val="-2"/>
          <w:sz w:val="24"/>
        </w:rPr>
        <w:t>本办法适用于省财政预算安排的省级建筑节能专项引导资金项目的绩效考核。本办法所称的绩效考核是指对省级建筑节能专项引导资金项目的实施过程进行监督管理、对完成项目进行验收，以及对实施效果进行综合考核、评价。</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绩效考核依照客观公正、简明实用，考核结果与实际财政补助资金相挂钩的原则。</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省建设厅、省财政厅成立省级建筑节能专项引导资金绩效考核工作小组，绩效考核工作由绩效考核工作小组具体组织实施。</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项目实施过程的监督管理：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年度确定的省级建筑节能专项引导资金项目，应根据专家评审意见修改完善，并报省建设厅或省辖市建设局（建委）组织专家审查后实施。审查工作应根据省建设厅制定的专项审查要点进行，出具专项审查报告并交省建设厅备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省建设厅负责组织审查省级机关办公建筑和大型公共建筑节能监管体系建设项目，以及财政补助资金</w:t>
      </w:r>
      <w:r>
        <w:rPr>
          <w:rFonts w:eastAsia="方正仿宋_GBK"/>
          <w:color w:val="000000"/>
          <w:spacing w:val="-2"/>
          <w:sz w:val="24"/>
        </w:rPr>
        <w:t>100</w:t>
      </w:r>
      <w:r>
        <w:rPr>
          <w:rFonts w:hint="eastAsia" w:eastAsia="方正仿宋_GBK"/>
          <w:color w:val="000000"/>
          <w:spacing w:val="-2"/>
          <w:sz w:val="24"/>
        </w:rPr>
        <w:t>万以上的建筑节能改造、可再生能源建筑应用、低能耗建筑示范项目。</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省辖市建设局（建委）负责组织审查项目所在地机关办公建筑节能监管体系建设项目，以及财政补助资金</w:t>
      </w:r>
      <w:r>
        <w:rPr>
          <w:rFonts w:eastAsia="方正仿宋_GBK"/>
          <w:color w:val="000000"/>
          <w:spacing w:val="-2"/>
          <w:sz w:val="24"/>
        </w:rPr>
        <w:t>100</w:t>
      </w:r>
      <w:r>
        <w:rPr>
          <w:rFonts w:hint="eastAsia" w:eastAsia="方正仿宋_GBK"/>
          <w:color w:val="000000"/>
          <w:spacing w:val="-2"/>
          <w:sz w:val="24"/>
        </w:rPr>
        <w:t>万以内的建筑节能改造、可再生能源建筑应用、低能耗建筑示范项目。</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（二）项目承担单位应定期填写《江苏省省级建筑节能专项引导资金项目实施进展情况季报表》，于每季度末上报至省建设厅和省辖市建设局（建委）。</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各市县建设、财政主管部门应加强对本地区省级建筑节能专项引导资金项目的监管管理。建设主管部门应督促承担单位按进度组织工程建设，确保工程质量；财政主管部门应检查承担单位是否按规定使用补助经费。监督管理中发现的问题应及时向省建设厅、财政厅报告。</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省级建筑节能专项引导资金绩效考核工作小组开展对专项资金项目管理和实施情况的抽查，定期通报抽查结果。对未按相关管理要求实施的项目，省建设厅、财政厅及时向项目所在地主管部门和项目承担单位提出书面整改意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（五）项目验收前，项目承担单位应委托经省建设厅公布的能效测评机构对项目进行检测或能效测评，结合检测情况对项目实际节能量进行评估。</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项目验收程序：</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项目完成并已经工程竣工验收备案后，由承担单位提出项目验收申请。申请验收应填写《江苏省省级建筑节能专项引导资金项目验收申请表》，并提供相关验收资料，经项目所在地省辖市建设局（建委）同意后，报省建设厅批准验收。</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项目验收工作原则上由项目所在地省辖市建设局（建委）组织专家进行，重大项目由省建设厅直接组织，验收专家组从全省统一的专家库中随机选取组成。</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项目验收资料：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（一）项目申报书；</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（二）项目完成情况总结报告（包含根据专家评审意见调整的实施内容汇报）；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（三）检测报告或能效测评报告；</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（四）各季度《江苏省省级建筑节能专项引导资金项目实施进展情况季报表》；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（五）项目实施经费情况报告（附相关财务报表）；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（六）工程应用的建筑节能技术实拍照片（电子档）；</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（七）其他相关资料。</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项目验收要点：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（一）是否按期完成项目申报书和实施方案中确定的实施内容（</w:t>
      </w:r>
      <w:r>
        <w:rPr>
          <w:rFonts w:eastAsia="方正仿宋_GBK"/>
          <w:color w:val="000000"/>
          <w:spacing w:val="-2"/>
          <w:sz w:val="24"/>
        </w:rPr>
        <w:t>30</w:t>
      </w:r>
      <w:r>
        <w:rPr>
          <w:rFonts w:hint="eastAsia" w:eastAsia="方正仿宋_GBK"/>
          <w:color w:val="000000"/>
          <w:spacing w:val="-2"/>
          <w:sz w:val="24"/>
        </w:rPr>
        <w:t>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（二）是否按规定每季度上报项目实施进展情况（</w:t>
      </w:r>
      <w:r>
        <w:rPr>
          <w:rFonts w:eastAsia="方正仿宋_GBK"/>
          <w:color w:val="000000"/>
          <w:spacing w:val="-2"/>
          <w:sz w:val="24"/>
        </w:rPr>
        <w:t>20</w:t>
      </w:r>
      <w:r>
        <w:rPr>
          <w:rFonts w:hint="eastAsia" w:eastAsia="方正仿宋_GBK"/>
          <w:color w:val="000000"/>
          <w:spacing w:val="-2"/>
          <w:sz w:val="24"/>
        </w:rPr>
        <w:t>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（三）项目检测、能效测评情况，项目是否达到预期建筑节能效果（</w:t>
      </w:r>
      <w:r>
        <w:rPr>
          <w:rFonts w:eastAsia="方正仿宋_GBK"/>
          <w:color w:val="000000"/>
          <w:spacing w:val="-2"/>
          <w:sz w:val="24"/>
        </w:rPr>
        <w:t>30</w:t>
      </w:r>
      <w:r>
        <w:rPr>
          <w:rFonts w:hint="eastAsia" w:eastAsia="方正仿宋_GBK"/>
          <w:color w:val="000000"/>
          <w:spacing w:val="-2"/>
          <w:sz w:val="24"/>
        </w:rPr>
        <w:t>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（四）财政补助经费使用情况，是否符合相关规定要求（</w:t>
      </w:r>
      <w:r>
        <w:rPr>
          <w:rFonts w:eastAsia="方正仿宋_GBK"/>
          <w:color w:val="000000"/>
          <w:spacing w:val="-2"/>
          <w:sz w:val="24"/>
        </w:rPr>
        <w:t>20</w:t>
      </w:r>
      <w:r>
        <w:rPr>
          <w:rFonts w:hint="eastAsia" w:eastAsia="方正仿宋_GBK"/>
          <w:color w:val="000000"/>
          <w:spacing w:val="-2"/>
          <w:sz w:val="24"/>
        </w:rPr>
        <w:t>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验收实行评分制。验收评分低于</w:t>
      </w:r>
      <w:r>
        <w:rPr>
          <w:rFonts w:eastAsia="方正仿宋_GBK"/>
          <w:color w:val="000000"/>
          <w:spacing w:val="-2"/>
          <w:sz w:val="24"/>
        </w:rPr>
        <w:t>60</w:t>
      </w:r>
      <w:r>
        <w:rPr>
          <w:rFonts w:hint="eastAsia" w:eastAsia="方正仿宋_GBK"/>
          <w:color w:val="000000"/>
          <w:spacing w:val="-2"/>
          <w:sz w:val="24"/>
        </w:rPr>
        <w:t>分为不合格；</w:t>
      </w:r>
      <w:r>
        <w:rPr>
          <w:rFonts w:eastAsia="方正仿宋_GBK"/>
          <w:color w:val="000000"/>
          <w:spacing w:val="-2"/>
          <w:sz w:val="24"/>
        </w:rPr>
        <w:t>60</w:t>
      </w:r>
      <w:r>
        <w:rPr>
          <w:rFonts w:hint="eastAsia" w:eastAsia="方正仿宋_GBK"/>
          <w:color w:val="000000"/>
          <w:spacing w:val="-2"/>
          <w:sz w:val="24"/>
        </w:rPr>
        <w:t>～</w:t>
      </w:r>
      <w:r>
        <w:rPr>
          <w:rFonts w:eastAsia="方正仿宋_GBK"/>
          <w:color w:val="000000"/>
          <w:spacing w:val="-2"/>
          <w:sz w:val="24"/>
        </w:rPr>
        <w:t>75</w:t>
      </w:r>
      <w:r>
        <w:rPr>
          <w:rFonts w:hint="eastAsia" w:eastAsia="方正仿宋_GBK"/>
          <w:color w:val="000000"/>
          <w:spacing w:val="-2"/>
          <w:sz w:val="24"/>
        </w:rPr>
        <w:t>分合格；</w:t>
      </w:r>
      <w:r>
        <w:rPr>
          <w:rFonts w:eastAsia="方正仿宋_GBK"/>
          <w:color w:val="000000"/>
          <w:spacing w:val="-2"/>
          <w:sz w:val="24"/>
        </w:rPr>
        <w:t>76</w:t>
      </w:r>
      <w:r>
        <w:rPr>
          <w:rFonts w:hint="eastAsia" w:eastAsia="方正仿宋_GBK"/>
          <w:color w:val="000000"/>
          <w:spacing w:val="-2"/>
          <w:sz w:val="24"/>
        </w:rPr>
        <w:t>～</w:t>
      </w:r>
      <w:r>
        <w:rPr>
          <w:rFonts w:eastAsia="方正仿宋_GBK"/>
          <w:color w:val="000000"/>
          <w:spacing w:val="-2"/>
          <w:sz w:val="24"/>
        </w:rPr>
        <w:t>90</w:t>
      </w:r>
      <w:r>
        <w:rPr>
          <w:rFonts w:hint="eastAsia" w:eastAsia="方正仿宋_GBK"/>
          <w:color w:val="000000"/>
          <w:spacing w:val="-2"/>
          <w:sz w:val="24"/>
        </w:rPr>
        <w:t>分较好；</w:t>
      </w:r>
      <w:r>
        <w:rPr>
          <w:rFonts w:eastAsia="方正仿宋_GBK"/>
          <w:color w:val="000000"/>
          <w:spacing w:val="-2"/>
          <w:sz w:val="24"/>
        </w:rPr>
        <w:t>90</w:t>
      </w:r>
      <w:r>
        <w:rPr>
          <w:rFonts w:hint="eastAsia" w:eastAsia="方正仿宋_GBK"/>
          <w:color w:val="000000"/>
          <w:spacing w:val="-2"/>
          <w:sz w:val="24"/>
        </w:rPr>
        <w:t>分以上为优秀。根据验收结果，由省建设厅出具《江苏省省级建筑节能专项引导资金项目验收报告》。</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color w:val="000000"/>
          <w:spacing w:val="-2"/>
          <w:sz w:val="24"/>
        </w:rPr>
        <w:t xml:space="preserve">  </w:t>
      </w:r>
      <w:r>
        <w:rPr>
          <w:rFonts w:hint="eastAsia" w:eastAsia="方正仿宋_GBK"/>
          <w:color w:val="000000"/>
          <w:spacing w:val="-2"/>
          <w:sz w:val="24"/>
        </w:rPr>
        <w:t>验收结果处理：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（一）未按项目申报书和实施方案确定的内容实施的，收回已拨付的补助经费，不予拨付剩余补助经费。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（二）项目验收不合格的，不予拨付剩余补助经费。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（三）项目验收合格的，凭借《江苏省省级建筑节能专项引导资金项目验收报告》，由项目承担单位向项目所在地财政部门或省财政部门申请拨付未付的补助资金。</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省建设厅、财政厅建立绩效考核档案制度，绩效考核的优劣作为以后安排项目资金的重要依据。对项目验收不合格的承担单位，不得推荐申报任何建筑节能补助项目；对项目验收评价为优秀的承担单位，对今后申报国家和省建筑节能项目给予重点支持。</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b/>
          <w:color w:val="000000"/>
          <w:spacing w:val="-2"/>
          <w:sz w:val="24"/>
        </w:rPr>
        <w:t xml:space="preserve">  </w:t>
      </w:r>
      <w:r>
        <w:rPr>
          <w:rFonts w:hint="eastAsia" w:eastAsia="方正仿宋_GBK"/>
          <w:color w:val="000000"/>
          <w:spacing w:val="-2"/>
          <w:sz w:val="24"/>
        </w:rPr>
        <w:t>本办法由省建设厅、财政厅负责解释。</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本办法自颁布之日起实施。</w:t>
      </w:r>
    </w:p>
    <w:p>
      <w:pPr>
        <w:spacing w:line="460" w:lineRule="exact"/>
        <w:outlineLvl w:val="0"/>
        <w:rPr>
          <w:rFonts w:eastAsia="方正仿宋_GBK"/>
          <w:color w:val="000000"/>
          <w:spacing w:val="-2"/>
          <w:sz w:val="24"/>
        </w:rPr>
      </w:pPr>
    </w:p>
    <w:p>
      <w:pPr>
        <w:spacing w:line="460" w:lineRule="exact"/>
        <w:outlineLvl w:val="0"/>
        <w:rPr>
          <w:rFonts w:eastAsia="方正仿宋_GBK"/>
          <w:color w:val="000000"/>
          <w:spacing w:val="-2"/>
          <w:kern w:val="0"/>
          <w:sz w:val="24"/>
        </w:rPr>
      </w:pPr>
    </w:p>
    <w:p>
      <w:pPr>
        <w:pStyle w:val="2"/>
        <w:spacing w:before="240" w:beforeLines="100" w:after="240" w:afterLines="100" w:line="240" w:lineRule="auto"/>
        <w:jc w:val="center"/>
        <w:rPr>
          <w:rFonts w:ascii="Times New Roman" w:eastAsia="方正小标宋_GBK"/>
          <w:b w:val="0"/>
          <w:sz w:val="36"/>
          <w:szCs w:val="36"/>
        </w:rPr>
      </w:pPr>
      <w:bookmarkStart w:id="367" w:name="_Toc18315556"/>
      <w:bookmarkStart w:id="368" w:name="_Toc20726450"/>
      <w:r>
        <w:rPr>
          <w:rFonts w:hint="eastAsia" w:ascii="Times New Roman" w:eastAsia="方正小标宋_GBK"/>
          <w:b w:val="0"/>
          <w:sz w:val="36"/>
          <w:szCs w:val="36"/>
        </w:rPr>
        <w:t>关于印发《江苏省建筑能效测评标识管理实施细则》   的通知</w:t>
      </w:r>
      <w:bookmarkEnd w:id="367"/>
      <w:bookmarkEnd w:id="368"/>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369" w:name="_Toc20726451"/>
      <w:bookmarkStart w:id="370" w:name="_Toc18315557"/>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2011</w:t>
      </w:r>
      <w:r>
        <w:rPr>
          <w:rFonts w:hint="eastAsia" w:ascii="Times New Roman" w:hAnsi="Times New Roman" w:eastAsia="方正楷体_GBK"/>
          <w:b w:val="0"/>
          <w:sz w:val="24"/>
          <w:szCs w:val="24"/>
        </w:rPr>
        <w:t>〕</w:t>
      </w:r>
      <w:r>
        <w:rPr>
          <w:rFonts w:ascii="Times New Roman" w:hAnsi="Times New Roman" w:eastAsia="方正楷体_GBK"/>
          <w:b w:val="0"/>
          <w:sz w:val="24"/>
          <w:szCs w:val="24"/>
        </w:rPr>
        <w:t>816</w:t>
      </w:r>
      <w:r>
        <w:rPr>
          <w:rFonts w:hint="eastAsia" w:ascii="Times New Roman" w:hAnsi="Times New Roman" w:eastAsia="方正楷体_GBK"/>
          <w:b w:val="0"/>
          <w:sz w:val="24"/>
          <w:szCs w:val="24"/>
        </w:rPr>
        <w:t>号</w:t>
      </w:r>
      <w:bookmarkEnd w:id="369"/>
      <w:bookmarkEnd w:id="370"/>
    </w:p>
    <w:p>
      <w:pPr>
        <w:spacing w:line="460" w:lineRule="exact"/>
        <w:rPr>
          <w:rFonts w:eastAsia="方正仿宋_GBK"/>
          <w:color w:val="000000"/>
          <w:kern w:val="0"/>
          <w:sz w:val="24"/>
        </w:rPr>
      </w:pPr>
      <w:r>
        <w:rPr>
          <w:rFonts w:hint="eastAsia" w:eastAsia="方正仿宋_GBK"/>
          <w:color w:val="000000"/>
          <w:kern w:val="0"/>
          <w:sz w:val="24"/>
        </w:rPr>
        <w:t>各省辖市建设局（委），各有关单位：</w:t>
      </w:r>
    </w:p>
    <w:p>
      <w:pPr>
        <w:spacing w:line="460" w:lineRule="exact"/>
        <w:ind w:firstLine="480" w:firstLineChars="200"/>
        <w:rPr>
          <w:rFonts w:eastAsia="方正仿宋_GBK"/>
          <w:color w:val="000000"/>
          <w:kern w:val="0"/>
          <w:sz w:val="24"/>
        </w:rPr>
      </w:pPr>
      <w:r>
        <w:rPr>
          <w:rFonts w:hint="eastAsia" w:eastAsia="方正仿宋_GBK"/>
          <w:color w:val="000000"/>
          <w:kern w:val="0"/>
          <w:sz w:val="24"/>
        </w:rPr>
        <w:t>为大力发展节能建筑和绿色建筑，进一步加大建筑节能闭合监管力度，推行建筑能效测评标识制度，规范建筑能效测评标识行为，依据《民用建筑节能条例》、《江苏省节约能源条例》、《江苏省绿色建筑发展条例》和《江苏省建筑节能管理办法》，以及住房和城乡建设部印发的《民用建筑能效测评标识管理暂行办法》和《民用建筑能效测评机构管理暂行办法》，我厅组织对原《江苏省民用建筑能效测评标识管理实施细则（暂行）》（苏建科［</w:t>
      </w:r>
      <w:r>
        <w:rPr>
          <w:rFonts w:eastAsia="方正仿宋_GBK"/>
          <w:color w:val="000000"/>
          <w:kern w:val="0"/>
          <w:sz w:val="24"/>
        </w:rPr>
        <w:t>2008</w:t>
      </w:r>
      <w:r>
        <w:rPr>
          <w:rFonts w:hint="eastAsia" w:eastAsia="方正仿宋_GBK"/>
          <w:color w:val="000000"/>
          <w:kern w:val="0"/>
          <w:sz w:val="24"/>
        </w:rPr>
        <w:t>］</w:t>
      </w:r>
      <w:r>
        <w:rPr>
          <w:rFonts w:eastAsia="方正仿宋_GBK"/>
          <w:color w:val="000000"/>
          <w:kern w:val="0"/>
          <w:sz w:val="24"/>
        </w:rPr>
        <w:t>354</w:t>
      </w:r>
      <w:r>
        <w:rPr>
          <w:rFonts w:hint="eastAsia" w:eastAsia="方正仿宋_GBK"/>
          <w:color w:val="000000"/>
          <w:kern w:val="0"/>
          <w:sz w:val="24"/>
        </w:rPr>
        <w:t>号）进行修订，编制了《江苏省建筑能效测评标识管理实施细则》，现印发给你们，请遵照执行。</w:t>
      </w:r>
    </w:p>
    <w:p>
      <w:pPr>
        <w:spacing w:line="460" w:lineRule="exact"/>
        <w:ind w:firstLine="480" w:firstLineChars="200"/>
        <w:rPr>
          <w:rFonts w:eastAsia="方正仿宋_GBK"/>
          <w:color w:val="000000"/>
          <w:kern w:val="0"/>
          <w:sz w:val="24"/>
        </w:rPr>
      </w:pPr>
    </w:p>
    <w:p>
      <w:pPr>
        <w:spacing w:line="460" w:lineRule="exact"/>
        <w:ind w:firstLine="480" w:firstLineChars="200"/>
        <w:rPr>
          <w:rFonts w:eastAsia="方正仿宋_GBK"/>
          <w:color w:val="000000"/>
          <w:kern w:val="0"/>
          <w:sz w:val="24"/>
        </w:rPr>
      </w:pPr>
      <w:r>
        <w:rPr>
          <w:rFonts w:hint="eastAsia" w:eastAsia="方正仿宋_GBK"/>
          <w:color w:val="000000"/>
          <w:kern w:val="0"/>
          <w:sz w:val="24"/>
        </w:rPr>
        <w:t>附件：《江苏省建筑能效测评标识管理实施细则》</w:t>
      </w:r>
    </w:p>
    <w:p>
      <w:pPr>
        <w:spacing w:line="460" w:lineRule="exact"/>
        <w:ind w:firstLine="480" w:firstLineChars="200"/>
        <w:rPr>
          <w:rFonts w:eastAsia="方正仿宋_GBK"/>
          <w:color w:val="000000"/>
          <w:kern w:val="0"/>
          <w:sz w:val="24"/>
        </w:rPr>
      </w:pPr>
      <w:r>
        <w:rPr>
          <w:rFonts w:eastAsia="方正仿宋_GBK"/>
          <w:color w:val="000000"/>
          <w:kern w:val="0"/>
          <w:sz w:val="24"/>
        </w:rPr>
        <w:t xml:space="preserve"> </w:t>
      </w:r>
    </w:p>
    <w:p>
      <w:pPr>
        <w:spacing w:line="460" w:lineRule="exact"/>
        <w:ind w:firstLine="480" w:firstLineChars="200"/>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江苏省住房和城乡建设厅</w:t>
      </w:r>
    </w:p>
    <w:p>
      <w:pPr>
        <w:spacing w:line="460" w:lineRule="exact"/>
        <w:ind w:right="458" w:rightChars="218" w:firstLine="480" w:firstLineChars="200"/>
        <w:jc w:val="right"/>
        <w:rPr>
          <w:rFonts w:eastAsia="方正仿宋_GBK"/>
          <w:color w:val="000000"/>
          <w:kern w:val="0"/>
          <w:sz w:val="24"/>
        </w:rPr>
      </w:pPr>
      <w:r>
        <w:rPr>
          <w:rFonts w:hint="eastAsia" w:eastAsia="方正仿宋_GBK"/>
          <w:color w:val="000000"/>
          <w:kern w:val="0"/>
          <w:sz w:val="24"/>
        </w:rPr>
        <w:t>二〇一一年十二月二十七日</w:t>
      </w:r>
    </w:p>
    <w:p>
      <w:pPr>
        <w:spacing w:line="460" w:lineRule="exact"/>
        <w:ind w:firstLine="480" w:firstLineChars="200"/>
        <w:rPr>
          <w:rFonts w:eastAsia="方正仿宋_GBK"/>
          <w:color w:val="000000"/>
          <w:kern w:val="0"/>
          <w:sz w:val="24"/>
        </w:rPr>
      </w:pPr>
      <w:r>
        <w:rPr>
          <w:rFonts w:eastAsia="方正仿宋_GBK"/>
          <w:color w:val="000000"/>
          <w:kern w:val="0"/>
          <w:sz w:val="24"/>
        </w:rPr>
        <w:t xml:space="preserve"> </w:t>
      </w:r>
    </w:p>
    <w:p>
      <w:pPr>
        <w:spacing w:line="460" w:lineRule="exact"/>
        <w:jc w:val="left"/>
        <w:rPr>
          <w:rFonts w:ascii="Times New Roman" w:eastAsia="黑体"/>
          <w:color w:val="000000"/>
          <w:kern w:val="0"/>
          <w:sz w:val="28"/>
          <w:szCs w:val="28"/>
        </w:rPr>
      </w:pPr>
      <w:r>
        <w:rPr>
          <w:rFonts w:eastAsia="方正仿宋_GBK"/>
          <w:color w:val="000000"/>
          <w:kern w:val="0"/>
          <w:sz w:val="24"/>
        </w:rPr>
        <w:br w:type="column"/>
      </w:r>
      <w:r>
        <w:rPr>
          <w:rFonts w:hint="eastAsia" w:ascii="Times New Roman" w:eastAsia="黑体"/>
          <w:color w:val="000000"/>
          <w:kern w:val="0"/>
          <w:sz w:val="28"/>
          <w:szCs w:val="28"/>
        </w:rPr>
        <w:t>附件</w:t>
      </w:r>
    </w:p>
    <w:p>
      <w:pPr>
        <w:spacing w:line="460" w:lineRule="exact"/>
        <w:jc w:val="left"/>
        <w:rPr>
          <w:rFonts w:hint="eastAsia" w:ascii="Times New Roman" w:eastAsia="黑体"/>
          <w:color w:val="000000"/>
          <w:kern w:val="0"/>
          <w:sz w:val="28"/>
          <w:szCs w:val="28"/>
        </w:rPr>
      </w:pPr>
    </w:p>
    <w:p>
      <w:pPr>
        <w:spacing w:line="460" w:lineRule="exact"/>
        <w:jc w:val="center"/>
        <w:rPr>
          <w:rFonts w:hint="eastAsia" w:ascii="Times New Roman" w:eastAsia="方正小标宋简体"/>
          <w:color w:val="000000"/>
          <w:kern w:val="0"/>
          <w:sz w:val="36"/>
          <w:szCs w:val="36"/>
        </w:rPr>
      </w:pPr>
      <w:r>
        <w:rPr>
          <w:rFonts w:hint="eastAsia" w:ascii="Times New Roman" w:eastAsia="方正小标宋简体"/>
          <w:color w:val="000000"/>
          <w:kern w:val="0"/>
          <w:sz w:val="36"/>
          <w:szCs w:val="36"/>
        </w:rPr>
        <w:t>江苏省建筑能效测评标识管理实施细则</w:t>
      </w:r>
    </w:p>
    <w:p>
      <w:pPr>
        <w:spacing w:line="460" w:lineRule="exact"/>
        <w:ind w:firstLine="482" w:firstLineChars="200"/>
        <w:jc w:val="center"/>
        <w:rPr>
          <w:rFonts w:hint="eastAsia" w:eastAsia="方正仿宋_GBK"/>
          <w:b/>
          <w:bCs/>
          <w:smallCaps/>
          <w:color w:val="000000"/>
          <w:kern w:val="0"/>
          <w:sz w:val="24"/>
        </w:rPr>
      </w:pPr>
    </w:p>
    <w:p>
      <w:pPr>
        <w:spacing w:line="460" w:lineRule="exact"/>
        <w:jc w:val="center"/>
        <w:rPr>
          <w:rFonts w:ascii="Times New Roman" w:eastAsia="黑体"/>
          <w:bCs/>
          <w:smallCaps/>
          <w:color w:val="000000"/>
          <w:kern w:val="0"/>
          <w:sz w:val="24"/>
        </w:rPr>
      </w:pPr>
      <w:r>
        <w:rPr>
          <w:rFonts w:hint="eastAsia" w:ascii="Times New Roman" w:eastAsia="黑体"/>
          <w:bCs/>
          <w:smallCaps/>
          <w:color w:val="000000"/>
          <w:kern w:val="0"/>
          <w:sz w:val="24"/>
        </w:rPr>
        <w:t>第一章　总则</w:t>
      </w:r>
    </w:p>
    <w:p>
      <w:pPr>
        <w:spacing w:line="460" w:lineRule="exact"/>
        <w:ind w:firstLine="482" w:firstLineChars="200"/>
        <w:jc w:val="left"/>
        <w:rPr>
          <w:rFonts w:hint="eastAsia" w:eastAsia="方正仿宋_GBK"/>
          <w:b/>
          <w:bCs/>
          <w:smallCaps/>
          <w:color w:val="000000"/>
          <w:kern w:val="0"/>
          <w:sz w:val="24"/>
        </w:rPr>
      </w:pPr>
      <w:bookmarkStart w:id="371" w:name="_Hlk493071828"/>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第一条</w:t>
      </w:r>
      <w:bookmarkEnd w:id="371"/>
      <w:bookmarkStart w:id="372" w:name="1"/>
      <w:bookmarkEnd w:id="372"/>
      <w:r>
        <w:rPr>
          <w:rFonts w:hint="eastAsia" w:eastAsia="方正仿宋_GBK"/>
          <w:color w:val="000000"/>
          <w:kern w:val="0"/>
          <w:sz w:val="24"/>
        </w:rPr>
        <w:t>　为大力发展节能建筑和绿色建筑，进一步加大建筑节能闭合监管力度，推行建筑能效测评标识制度，规范建筑能效测评标识行为，依据《民用建筑节能条例》、《江苏省绿色建筑发展条例》、《江苏省节约能源条例》和《江苏省建筑节能管理办法》，以及住房和城乡建设部</w:t>
      </w:r>
      <w:r>
        <w:rPr>
          <w:rFonts w:hint="eastAsia" w:eastAsia="方正仿宋_GBK"/>
          <w:color w:val="000000"/>
          <w:sz w:val="24"/>
        </w:rPr>
        <w:t>印发的《民用建筑能效测评标识管理暂行办法》和《民用建筑能效测评机构管理暂行办法》，</w:t>
      </w:r>
      <w:r>
        <w:rPr>
          <w:rFonts w:hint="eastAsia" w:eastAsia="方正仿宋_GBK"/>
          <w:color w:val="000000"/>
          <w:kern w:val="0"/>
          <w:sz w:val="24"/>
        </w:rPr>
        <w:t>制定本实施细则。</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第二条</w:t>
      </w:r>
      <w:bookmarkStart w:id="373" w:name="2"/>
      <w:bookmarkEnd w:id="373"/>
      <w:r>
        <w:rPr>
          <w:rFonts w:hint="eastAsia" w:ascii="Times New Roman" w:eastAsia="黑体"/>
          <w:color w:val="000000"/>
          <w:kern w:val="0"/>
          <w:sz w:val="24"/>
        </w:rPr>
        <w:t>　</w:t>
      </w:r>
      <w:r>
        <w:rPr>
          <w:rFonts w:hint="eastAsia" w:eastAsia="方正仿宋_GBK"/>
          <w:color w:val="000000"/>
          <w:kern w:val="0"/>
          <w:sz w:val="24"/>
        </w:rPr>
        <w:t>本省行政区域内新建居住建筑和公共建筑（包括工业建设项目中具有民用建筑功能的建筑）能效测评标识，适用本实施细则。</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第三条</w:t>
      </w:r>
      <w:bookmarkStart w:id="374" w:name="3"/>
      <w:bookmarkEnd w:id="374"/>
      <w:r>
        <w:rPr>
          <w:rFonts w:hint="eastAsia" w:ascii="Times New Roman" w:eastAsia="黑体"/>
          <w:color w:val="000000"/>
          <w:kern w:val="0"/>
          <w:sz w:val="24"/>
        </w:rPr>
        <w:t>　</w:t>
      </w:r>
      <w:r>
        <w:rPr>
          <w:rFonts w:hint="eastAsia" w:eastAsia="方正仿宋_GBK"/>
          <w:color w:val="000000"/>
          <w:kern w:val="0"/>
          <w:sz w:val="24"/>
        </w:rPr>
        <w:t>本实施细则所称建筑能效测评，是指能效测评机构（以下简称测评机构）对建筑能源消耗量及其用能系统效率等性能指标进行检测、计算、评估，并给出其所处水平的活动。</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本实施细则所称建筑能效标识是指由省住房和城乡建设厅对建筑物能源消耗量及建筑物用能系统效率等性能指标以信息标识的形式进行明示的活动。</w:t>
      </w:r>
    </w:p>
    <w:p>
      <w:pPr>
        <w:spacing w:line="460" w:lineRule="exact"/>
        <w:ind w:firstLine="480" w:firstLineChars="200"/>
        <w:jc w:val="left"/>
        <w:rPr>
          <w:rFonts w:eastAsia="方正仿宋_GBK"/>
          <w:color w:val="000000"/>
          <w:sz w:val="24"/>
        </w:rPr>
      </w:pPr>
      <w:r>
        <w:rPr>
          <w:rFonts w:hint="eastAsia" w:ascii="Times New Roman" w:eastAsia="黑体"/>
          <w:bCs/>
          <w:smallCaps/>
          <w:color w:val="000000"/>
          <w:kern w:val="0"/>
          <w:sz w:val="24"/>
        </w:rPr>
        <w:t>第四条</w:t>
      </w:r>
      <w:r>
        <w:rPr>
          <w:rFonts w:eastAsia="方正仿宋_GBK"/>
          <w:b/>
          <w:bCs/>
          <w:smallCaps/>
          <w:color w:val="000000"/>
          <w:kern w:val="0"/>
          <w:sz w:val="24"/>
        </w:rPr>
        <w:t xml:space="preserve">  </w:t>
      </w:r>
      <w:r>
        <w:rPr>
          <w:rFonts w:hint="eastAsia" w:eastAsia="方正仿宋_GBK"/>
          <w:color w:val="000000"/>
          <w:kern w:val="0"/>
          <w:sz w:val="24"/>
        </w:rPr>
        <w:t>建筑能效测评标识分为理论值和实测值两个阶段。理论值测评标识应在项目竣工验收之前进行，实测值测评标识应在</w:t>
      </w:r>
      <w:r>
        <w:rPr>
          <w:rFonts w:hint="eastAsia" w:eastAsia="方正仿宋_GBK"/>
          <w:color w:val="000000"/>
          <w:sz w:val="24"/>
        </w:rPr>
        <w:t>建筑物正常使用后进行</w:t>
      </w:r>
      <w:r>
        <w:rPr>
          <w:rFonts w:hint="eastAsia" w:eastAsia="方正仿宋_GBK"/>
          <w:color w:val="000000"/>
          <w:kern w:val="0"/>
          <w:sz w:val="24"/>
        </w:rPr>
        <w:t>。</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第五条</w:t>
      </w:r>
      <w:r>
        <w:rPr>
          <w:rFonts w:hint="eastAsia" w:ascii="Times New Roman" w:eastAsia="黑体"/>
          <w:color w:val="000000"/>
          <w:kern w:val="0"/>
          <w:sz w:val="24"/>
        </w:rPr>
        <w:t>　</w:t>
      </w:r>
      <w:r>
        <w:rPr>
          <w:rFonts w:hint="eastAsia" w:eastAsia="方正仿宋_GBK"/>
          <w:color w:val="000000"/>
          <w:kern w:val="0"/>
          <w:sz w:val="24"/>
        </w:rPr>
        <w:t>建筑能效标识等级按照测评结果划分为三个等级，并以星为标志。</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第六条</w:t>
      </w:r>
      <w:bookmarkStart w:id="375" w:name="8"/>
      <w:bookmarkEnd w:id="375"/>
      <w:r>
        <w:rPr>
          <w:rFonts w:hint="eastAsia" w:ascii="Times New Roman" w:eastAsia="黑体"/>
          <w:color w:val="000000"/>
          <w:kern w:val="0"/>
          <w:sz w:val="24"/>
        </w:rPr>
        <w:t>　</w:t>
      </w:r>
      <w:bookmarkStart w:id="376" w:name="_Hlk493072485"/>
      <w:r>
        <w:rPr>
          <w:rFonts w:hint="eastAsia" w:eastAsia="方正仿宋_GBK"/>
          <w:color w:val="000000"/>
          <w:kern w:val="0"/>
          <w:sz w:val="24"/>
        </w:rPr>
        <w:t>江苏省住房和城乡建设厅负责建筑能效测评标识管理工作，能效测评标识受理、审查、发放等专业性工作委托相关技术单位承担。</w:t>
      </w:r>
    </w:p>
    <w:bookmarkEnd w:id="376"/>
    <w:p>
      <w:pPr>
        <w:spacing w:line="460" w:lineRule="exact"/>
        <w:ind w:firstLine="480" w:firstLineChars="200"/>
        <w:rPr>
          <w:rFonts w:eastAsia="方正仿宋_GBK"/>
          <w:color w:val="000000"/>
          <w:kern w:val="0"/>
          <w:sz w:val="24"/>
        </w:rPr>
      </w:pPr>
      <w:bookmarkStart w:id="377" w:name="5"/>
      <w:bookmarkEnd w:id="377"/>
      <w:r>
        <w:rPr>
          <w:rFonts w:hint="eastAsia" w:ascii="Times New Roman" w:eastAsia="黑体"/>
          <w:bCs/>
          <w:smallCaps/>
          <w:color w:val="000000"/>
          <w:kern w:val="0"/>
          <w:sz w:val="24"/>
        </w:rPr>
        <w:t>第七条</w:t>
      </w:r>
      <w:r>
        <w:rPr>
          <w:rFonts w:eastAsia="方正仿宋_GBK"/>
          <w:b/>
          <w:bCs/>
          <w:smallCaps/>
          <w:color w:val="000000"/>
          <w:kern w:val="0"/>
          <w:sz w:val="24"/>
        </w:rPr>
        <w:t xml:space="preserve">  </w:t>
      </w:r>
      <w:r>
        <w:rPr>
          <w:rFonts w:hint="eastAsia" w:eastAsia="方正仿宋_GBK"/>
          <w:color w:val="000000"/>
          <w:kern w:val="0"/>
          <w:sz w:val="24"/>
        </w:rPr>
        <w:t>测评机构受建设单位或建筑所有权人的委托，</w:t>
      </w:r>
      <w:bookmarkStart w:id="378" w:name="9"/>
      <w:bookmarkEnd w:id="378"/>
      <w:r>
        <w:rPr>
          <w:rFonts w:hint="eastAsia" w:eastAsia="方正仿宋_GBK"/>
          <w:color w:val="000000"/>
          <w:kern w:val="0"/>
          <w:sz w:val="24"/>
        </w:rPr>
        <w:t>按照有关技术标准规定实施建筑能效测评，并对能效测评结果的公正性、准确性和真实性负责。</w:t>
      </w:r>
    </w:p>
    <w:p>
      <w:pPr>
        <w:spacing w:line="460" w:lineRule="exact"/>
        <w:ind w:firstLine="482" w:firstLineChars="200"/>
        <w:rPr>
          <w:rFonts w:eastAsia="方正仿宋_GBK"/>
          <w:b/>
          <w:bCs/>
          <w:smallCaps/>
          <w:color w:val="000000"/>
          <w:kern w:val="0"/>
          <w:sz w:val="24"/>
        </w:rPr>
      </w:pPr>
    </w:p>
    <w:p>
      <w:pPr>
        <w:spacing w:line="460" w:lineRule="exact"/>
        <w:jc w:val="center"/>
        <w:rPr>
          <w:rFonts w:ascii="Times New Roman" w:eastAsia="黑体"/>
          <w:bCs/>
          <w:smallCaps/>
          <w:color w:val="000000"/>
          <w:kern w:val="0"/>
          <w:sz w:val="24"/>
        </w:rPr>
      </w:pPr>
      <w:r>
        <w:rPr>
          <w:rFonts w:hint="eastAsia" w:ascii="Times New Roman" w:eastAsia="黑体"/>
          <w:bCs/>
          <w:smallCaps/>
          <w:color w:val="000000"/>
          <w:kern w:val="0"/>
          <w:sz w:val="24"/>
        </w:rPr>
        <w:t>第二章  测评机构</w:t>
      </w:r>
    </w:p>
    <w:p>
      <w:pPr>
        <w:spacing w:line="460" w:lineRule="exact"/>
        <w:ind w:firstLine="480" w:firstLineChars="200"/>
        <w:rPr>
          <w:rFonts w:hint="eastAsia" w:ascii="Times New Roman" w:eastAsia="黑体"/>
          <w:bCs/>
          <w:smallCaps/>
          <w:color w:val="000000"/>
          <w:kern w:val="0"/>
          <w:sz w:val="24"/>
        </w:rPr>
      </w:pPr>
    </w:p>
    <w:p>
      <w:pPr>
        <w:spacing w:line="460" w:lineRule="exact"/>
        <w:ind w:firstLine="480" w:firstLineChars="200"/>
        <w:rPr>
          <w:rFonts w:hint="eastAsia" w:eastAsia="方正仿宋_GBK"/>
          <w:color w:val="000000"/>
          <w:sz w:val="24"/>
        </w:rPr>
      </w:pPr>
      <w:r>
        <w:rPr>
          <w:rFonts w:hint="eastAsia" w:ascii="Times New Roman" w:eastAsia="黑体"/>
          <w:bCs/>
          <w:smallCaps/>
          <w:color w:val="000000"/>
          <w:kern w:val="0"/>
          <w:sz w:val="24"/>
        </w:rPr>
        <w:t>第八条</w:t>
      </w:r>
      <w:r>
        <w:rPr>
          <w:rFonts w:eastAsia="方正仿宋_GBK"/>
          <w:b/>
          <w:bCs/>
          <w:smallCaps/>
          <w:color w:val="000000"/>
          <w:kern w:val="0"/>
          <w:sz w:val="24"/>
        </w:rPr>
        <w:t xml:space="preserve">  </w:t>
      </w:r>
      <w:r>
        <w:rPr>
          <w:rFonts w:hint="eastAsia" w:eastAsia="方正仿宋_GBK"/>
          <w:color w:val="000000"/>
          <w:sz w:val="24"/>
        </w:rPr>
        <w:t>测评机构应当取得计量认证（</w:t>
      </w:r>
      <w:r>
        <w:rPr>
          <w:rFonts w:eastAsia="方正仿宋_GBK"/>
          <w:color w:val="000000"/>
          <w:sz w:val="24"/>
        </w:rPr>
        <w:t>CMA</w:t>
      </w:r>
      <w:r>
        <w:rPr>
          <w:rFonts w:hint="eastAsia" w:eastAsia="方正仿宋_GBK"/>
          <w:color w:val="000000"/>
          <w:sz w:val="24"/>
        </w:rPr>
        <w:t>）和中国合格评定国家认可委员会（</w:t>
      </w:r>
      <w:r>
        <w:rPr>
          <w:rFonts w:eastAsia="方正仿宋_GBK"/>
          <w:color w:val="000000"/>
          <w:sz w:val="24"/>
        </w:rPr>
        <w:t>CNAS</w:t>
      </w:r>
      <w:r>
        <w:rPr>
          <w:rFonts w:hint="eastAsia" w:eastAsia="方正仿宋_GBK"/>
          <w:color w:val="000000"/>
          <w:sz w:val="24"/>
        </w:rPr>
        <w:t>）实验室认可。</w:t>
      </w:r>
    </w:p>
    <w:p>
      <w:pPr>
        <w:spacing w:line="460" w:lineRule="exact"/>
        <w:ind w:firstLine="480" w:firstLineChars="200"/>
        <w:rPr>
          <w:rFonts w:eastAsia="方正仿宋_GBK"/>
          <w:color w:val="000000"/>
          <w:sz w:val="24"/>
        </w:rPr>
      </w:pPr>
      <w:r>
        <w:rPr>
          <w:rFonts w:hint="eastAsia" w:ascii="Times New Roman" w:eastAsia="黑体"/>
          <w:bCs/>
          <w:smallCaps/>
          <w:color w:val="000000"/>
          <w:kern w:val="0"/>
          <w:sz w:val="24"/>
        </w:rPr>
        <w:t>第九条</w:t>
      </w:r>
      <w:r>
        <w:rPr>
          <w:rFonts w:eastAsia="方正仿宋_GBK"/>
          <w:b/>
          <w:bCs/>
          <w:smallCaps/>
          <w:color w:val="000000"/>
          <w:kern w:val="0"/>
          <w:sz w:val="24"/>
        </w:rPr>
        <w:t xml:space="preserve"> </w:t>
      </w:r>
      <w:r>
        <w:rPr>
          <w:rFonts w:hint="eastAsia" w:eastAsia="方正仿宋_GBK"/>
          <w:color w:val="000000"/>
          <w:sz w:val="24"/>
        </w:rPr>
        <w:t>从事测评工作的专业技术人员中，工程师以上人员比例不得低于</w:t>
      </w:r>
      <w:r>
        <w:rPr>
          <w:rFonts w:eastAsia="方正仿宋_GBK"/>
          <w:color w:val="000000"/>
          <w:sz w:val="24"/>
        </w:rPr>
        <w:t>50%</w:t>
      </w:r>
      <w:r>
        <w:rPr>
          <w:rFonts w:hint="eastAsia" w:eastAsia="方正仿宋_GBK"/>
          <w:color w:val="000000"/>
          <w:sz w:val="24"/>
        </w:rPr>
        <w:t>，从事本专业</w:t>
      </w:r>
      <w:r>
        <w:rPr>
          <w:rFonts w:eastAsia="方正仿宋_GBK"/>
          <w:color w:val="000000"/>
          <w:sz w:val="24"/>
        </w:rPr>
        <w:t>3</w:t>
      </w:r>
      <w:r>
        <w:rPr>
          <w:rFonts w:hint="eastAsia" w:eastAsia="方正仿宋_GBK"/>
          <w:color w:val="000000"/>
          <w:sz w:val="24"/>
        </w:rPr>
        <w:t>年以上工作的技术人员不少于</w:t>
      </w:r>
      <w:r>
        <w:rPr>
          <w:rFonts w:eastAsia="方正仿宋_GBK"/>
          <w:color w:val="000000"/>
          <w:sz w:val="24"/>
        </w:rPr>
        <w:t>30%</w:t>
      </w:r>
      <w:r>
        <w:rPr>
          <w:rFonts w:hint="eastAsia" w:eastAsia="方正仿宋_GBK"/>
          <w:color w:val="000000"/>
          <w:sz w:val="24"/>
        </w:rPr>
        <w:t>。</w:t>
      </w:r>
    </w:p>
    <w:p>
      <w:pPr>
        <w:spacing w:line="460" w:lineRule="exact"/>
        <w:ind w:firstLine="482" w:firstLineChars="200"/>
        <w:rPr>
          <w:rFonts w:eastAsia="方正仿宋_GBK"/>
          <w:b/>
          <w:bCs/>
          <w:smallCaps/>
          <w:color w:val="000000"/>
          <w:kern w:val="0"/>
          <w:sz w:val="24"/>
        </w:rPr>
      </w:pPr>
    </w:p>
    <w:p>
      <w:pPr>
        <w:spacing w:line="460" w:lineRule="exact"/>
        <w:jc w:val="center"/>
        <w:rPr>
          <w:rFonts w:ascii="Times New Roman" w:eastAsia="黑体"/>
          <w:bCs/>
          <w:smallCaps/>
          <w:color w:val="000000"/>
          <w:kern w:val="0"/>
          <w:sz w:val="24"/>
        </w:rPr>
      </w:pPr>
      <w:r>
        <w:rPr>
          <w:rFonts w:hint="eastAsia" w:ascii="Times New Roman" w:eastAsia="黑体"/>
          <w:bCs/>
          <w:smallCaps/>
          <w:color w:val="000000"/>
          <w:kern w:val="0"/>
          <w:sz w:val="24"/>
        </w:rPr>
        <w:t>第三章  建筑能效测评</w:t>
      </w:r>
    </w:p>
    <w:p>
      <w:pPr>
        <w:spacing w:line="460" w:lineRule="exact"/>
        <w:ind w:firstLine="480" w:firstLineChars="200"/>
        <w:jc w:val="left"/>
        <w:rPr>
          <w:rFonts w:hint="eastAsia" w:ascii="Times New Roman" w:eastAsia="黑体"/>
          <w:bCs/>
          <w:smallCaps/>
          <w:color w:val="000000"/>
          <w:kern w:val="0"/>
          <w:sz w:val="24"/>
        </w:rPr>
      </w:pPr>
    </w:p>
    <w:p>
      <w:pPr>
        <w:spacing w:line="460" w:lineRule="exact"/>
        <w:ind w:firstLine="480" w:firstLineChars="200"/>
        <w:jc w:val="left"/>
        <w:rPr>
          <w:rFonts w:hint="eastAsia" w:eastAsia="方正仿宋_GBK"/>
          <w:color w:val="000000"/>
          <w:kern w:val="0"/>
          <w:sz w:val="24"/>
        </w:rPr>
      </w:pPr>
      <w:r>
        <w:rPr>
          <w:rFonts w:hint="eastAsia" w:ascii="Times New Roman" w:eastAsia="黑体"/>
          <w:bCs/>
          <w:smallCaps/>
          <w:color w:val="000000"/>
          <w:kern w:val="0"/>
          <w:sz w:val="24"/>
        </w:rPr>
        <w:t>第十条</w:t>
      </w:r>
      <w:r>
        <w:rPr>
          <w:rFonts w:hint="eastAsia" w:ascii="Times New Roman" w:eastAsia="黑体"/>
          <w:color w:val="000000"/>
          <w:kern w:val="0"/>
          <w:sz w:val="24"/>
        </w:rPr>
        <w:t>　</w:t>
      </w:r>
      <w:r>
        <w:rPr>
          <w:rFonts w:hint="eastAsia" w:eastAsia="方正仿宋_GBK"/>
          <w:color w:val="000000"/>
          <w:kern w:val="0"/>
          <w:sz w:val="24"/>
        </w:rPr>
        <w:t>下列建筑应进行能效测评，其他建筑的能效测评可参照执行：</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（一）新建（改建、扩建）国家机关办公建筑和大型公共建筑（单体建筑面积为</w:t>
      </w:r>
      <w:r>
        <w:rPr>
          <w:rFonts w:eastAsia="方正仿宋_GBK"/>
          <w:color w:val="000000"/>
          <w:kern w:val="0"/>
          <w:sz w:val="24"/>
        </w:rPr>
        <w:t>2</w:t>
      </w:r>
      <w:r>
        <w:rPr>
          <w:rFonts w:hint="eastAsia" w:eastAsia="方正仿宋_GBK"/>
          <w:color w:val="000000"/>
          <w:kern w:val="0"/>
          <w:sz w:val="24"/>
        </w:rPr>
        <w:t>万平方米及以上）；</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（二）新建居住建筑</w:t>
      </w:r>
      <w:r>
        <w:rPr>
          <w:rFonts w:eastAsia="方正仿宋_GBK"/>
          <w:color w:val="000000"/>
          <w:kern w:val="0"/>
          <w:sz w:val="24"/>
        </w:rPr>
        <w:t>;</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（三）新建（改建、扩建）可再生能源建筑应用项目；</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（四）实施节能综合改造并申请财政支持的国家机关办公建筑和大型公共建筑；</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（五）省级建筑节能专项引导资金安排的项目；</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（六）可再生能源建筑应用示范市县的相关项目；</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（七）申请节能示范工程的建筑；</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（八）申请绿色建筑评价标识的建筑。</w:t>
      </w:r>
    </w:p>
    <w:p>
      <w:pPr>
        <w:tabs>
          <w:tab w:val="left" w:pos="709"/>
        </w:tabs>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第十一条</w:t>
      </w:r>
      <w:bookmarkStart w:id="379" w:name="12"/>
      <w:bookmarkEnd w:id="379"/>
      <w:r>
        <w:rPr>
          <w:rFonts w:hint="eastAsia" w:ascii="Times New Roman" w:eastAsia="黑体"/>
          <w:color w:val="000000"/>
          <w:kern w:val="0"/>
          <w:sz w:val="24"/>
        </w:rPr>
        <w:t>　</w:t>
      </w:r>
      <w:r>
        <w:rPr>
          <w:rFonts w:hint="eastAsia" w:eastAsia="方正仿宋_GBK"/>
          <w:color w:val="000000"/>
          <w:kern w:val="0"/>
          <w:sz w:val="24"/>
        </w:rPr>
        <w:t>建设单位或建筑所有权人申请建筑能效理论值测评时应提交下列资料，并对其真实性负责：</w:t>
      </w:r>
    </w:p>
    <w:p>
      <w:pPr>
        <w:tabs>
          <w:tab w:val="left" w:pos="709"/>
        </w:tabs>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（一）项目立项、审批等文件；</w:t>
      </w:r>
    </w:p>
    <w:p>
      <w:pPr>
        <w:tabs>
          <w:tab w:val="left" w:pos="709"/>
        </w:tabs>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（二）施工图设计文件审查机构审查合格的工程施工图节能设计文件；</w:t>
      </w:r>
    </w:p>
    <w:p>
      <w:pPr>
        <w:tabs>
          <w:tab w:val="left" w:pos="709"/>
        </w:tabs>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（三）工程施工图纸及相关技术文件；</w:t>
      </w:r>
    </w:p>
    <w:p>
      <w:pPr>
        <w:tabs>
          <w:tab w:val="left" w:pos="709"/>
        </w:tabs>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（四）具有相关资质的检测机构出具的围护结构保温材料性能检测报告及外窗保温性能、气密性检测报告；建筑物外窗</w:t>
      </w:r>
      <w:r>
        <w:rPr>
          <w:rFonts w:eastAsia="方正仿宋_GBK"/>
          <w:color w:val="000000"/>
          <w:kern w:val="0"/>
          <w:sz w:val="24"/>
        </w:rPr>
        <w:t>(</w:t>
      </w:r>
      <w:r>
        <w:rPr>
          <w:rFonts w:hint="eastAsia" w:eastAsia="方正仿宋_GBK"/>
          <w:color w:val="000000"/>
          <w:kern w:val="0"/>
          <w:sz w:val="24"/>
        </w:rPr>
        <w:t>包括透明幕墙</w:t>
      </w:r>
      <w:r>
        <w:rPr>
          <w:rFonts w:eastAsia="方正仿宋_GBK"/>
          <w:color w:val="000000"/>
          <w:kern w:val="0"/>
          <w:sz w:val="24"/>
        </w:rPr>
        <w:t xml:space="preserve">) </w:t>
      </w:r>
      <w:r>
        <w:rPr>
          <w:rFonts w:hint="eastAsia" w:eastAsia="方正仿宋_GBK"/>
          <w:color w:val="000000"/>
          <w:kern w:val="0"/>
          <w:sz w:val="24"/>
        </w:rPr>
        <w:t>传热系数和外窗</w:t>
      </w:r>
      <w:r>
        <w:rPr>
          <w:rFonts w:eastAsia="方正仿宋_GBK"/>
          <w:color w:val="000000"/>
          <w:kern w:val="0"/>
          <w:sz w:val="24"/>
        </w:rPr>
        <w:t>(</w:t>
      </w:r>
      <w:r>
        <w:rPr>
          <w:rFonts w:hint="eastAsia" w:eastAsia="方正仿宋_GBK"/>
          <w:color w:val="000000"/>
          <w:kern w:val="0"/>
          <w:sz w:val="24"/>
        </w:rPr>
        <w:t>包括透明幕墙</w:t>
      </w:r>
      <w:r>
        <w:rPr>
          <w:rFonts w:eastAsia="方正仿宋_GBK"/>
          <w:color w:val="000000"/>
          <w:kern w:val="0"/>
          <w:sz w:val="24"/>
        </w:rPr>
        <w:t xml:space="preserve">) </w:t>
      </w:r>
      <w:r>
        <w:rPr>
          <w:rFonts w:hint="eastAsia" w:eastAsia="方正仿宋_GBK"/>
          <w:color w:val="000000"/>
          <w:kern w:val="0"/>
          <w:sz w:val="24"/>
        </w:rPr>
        <w:t>玻璃遮阳系数进场复验报告</w:t>
      </w:r>
      <w:r>
        <w:rPr>
          <w:rFonts w:eastAsia="方正仿宋_GBK"/>
          <w:color w:val="000000"/>
          <w:kern w:val="0"/>
          <w:sz w:val="24"/>
        </w:rPr>
        <w:t xml:space="preserve">; </w:t>
      </w:r>
      <w:r>
        <w:rPr>
          <w:rFonts w:hint="eastAsia" w:eastAsia="方正仿宋_GBK"/>
          <w:color w:val="000000"/>
          <w:kern w:val="0"/>
          <w:sz w:val="24"/>
        </w:rPr>
        <w:t>建筑门窗节能性能标识证书和标签以及《建筑门窗节能性能标识测评报告》；</w:t>
      </w:r>
    </w:p>
    <w:p>
      <w:pPr>
        <w:tabs>
          <w:tab w:val="left" w:pos="709"/>
        </w:tabs>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（五）冷热源设备及相应水泵等主要产品合格证或性能检测报告；</w:t>
      </w:r>
    </w:p>
    <w:p>
      <w:pPr>
        <w:tabs>
          <w:tab w:val="left" w:pos="709"/>
        </w:tabs>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（六）围护结构热工缺陷报告；</w:t>
      </w:r>
    </w:p>
    <w:p>
      <w:pPr>
        <w:tabs>
          <w:tab w:val="left" w:pos="709"/>
        </w:tabs>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（七）外墙墙体、屋面、热桥部位和采暖空调管道的保温施工做法或施工方案，及与此有关的隐蔽工程施工质量中间验收报告；</w:t>
      </w:r>
    </w:p>
    <w:p>
      <w:pPr>
        <w:spacing w:line="460" w:lineRule="exact"/>
        <w:ind w:firstLine="480" w:firstLineChars="200"/>
        <w:rPr>
          <w:rFonts w:eastAsia="方正仿宋_GBK"/>
          <w:color w:val="000000"/>
          <w:kern w:val="0"/>
          <w:sz w:val="24"/>
        </w:rPr>
      </w:pPr>
      <w:r>
        <w:rPr>
          <w:rFonts w:hint="eastAsia" w:eastAsia="方正仿宋_GBK"/>
          <w:color w:val="000000"/>
          <w:kern w:val="0"/>
          <w:sz w:val="24"/>
        </w:rPr>
        <w:t>（八）建筑节能设备运行调试报告及节能系统检测报告；</w:t>
      </w:r>
    </w:p>
    <w:p>
      <w:pPr>
        <w:spacing w:line="460" w:lineRule="exact"/>
        <w:ind w:firstLine="480" w:firstLineChars="200"/>
        <w:rPr>
          <w:rFonts w:eastAsia="方正仿宋_GBK"/>
          <w:color w:val="000000"/>
          <w:kern w:val="0"/>
          <w:sz w:val="24"/>
        </w:rPr>
      </w:pPr>
      <w:r>
        <w:rPr>
          <w:rFonts w:hint="eastAsia" w:eastAsia="方正仿宋_GBK"/>
          <w:color w:val="000000"/>
          <w:kern w:val="0"/>
          <w:sz w:val="24"/>
        </w:rPr>
        <w:t>（九）使用地源热泵作为冷热源时应提供当地相关部门出具的环评报告；</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（十）应用节能新技术的情况报告。</w:t>
      </w:r>
    </w:p>
    <w:p>
      <w:pPr>
        <w:spacing w:line="460" w:lineRule="exact"/>
        <w:ind w:firstLine="480" w:firstLineChars="200"/>
        <w:jc w:val="left"/>
        <w:rPr>
          <w:rFonts w:eastAsia="方正仿宋_GBK"/>
          <w:color w:val="000000"/>
          <w:kern w:val="0"/>
          <w:sz w:val="24"/>
        </w:rPr>
      </w:pPr>
      <w:bookmarkStart w:id="380" w:name="13"/>
      <w:bookmarkEnd w:id="380"/>
      <w:r>
        <w:rPr>
          <w:rFonts w:hint="eastAsia" w:ascii="Times New Roman" w:eastAsia="黑体"/>
          <w:bCs/>
          <w:smallCaps/>
          <w:color w:val="000000"/>
          <w:kern w:val="0"/>
          <w:sz w:val="24"/>
        </w:rPr>
        <w:t>第十二条</w:t>
      </w:r>
      <w:r>
        <w:rPr>
          <w:rFonts w:hint="eastAsia" w:ascii="Times New Roman" w:eastAsia="黑体"/>
          <w:color w:val="000000"/>
          <w:kern w:val="0"/>
          <w:sz w:val="24"/>
        </w:rPr>
        <w:t>　</w:t>
      </w:r>
      <w:r>
        <w:rPr>
          <w:rFonts w:hint="eastAsia" w:eastAsia="方正仿宋_GBK"/>
          <w:color w:val="000000"/>
          <w:kern w:val="0"/>
          <w:sz w:val="24"/>
        </w:rPr>
        <w:t>建设单位或建筑所有权人申请建筑能效实测值测评时应提交下列资料，并对其真实性负责：</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（一）</w:t>
      </w:r>
      <w:r>
        <w:rPr>
          <w:rFonts w:hint="eastAsia" w:eastAsia="方正仿宋_GBK"/>
          <w:color w:val="000000"/>
          <w:sz w:val="24"/>
        </w:rPr>
        <w:t>建筑物竣工备案证书；</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（二）</w:t>
      </w:r>
      <w:r>
        <w:rPr>
          <w:rFonts w:hint="eastAsia" w:eastAsia="方正仿宋_GBK"/>
          <w:color w:val="000000"/>
          <w:sz w:val="24"/>
        </w:rPr>
        <w:t>工程竣工图纸及建筑物使用情况说明；</w:t>
      </w:r>
    </w:p>
    <w:p>
      <w:pPr>
        <w:spacing w:line="460" w:lineRule="exact"/>
        <w:ind w:firstLine="480" w:firstLineChars="200"/>
        <w:jc w:val="left"/>
        <w:rPr>
          <w:rFonts w:eastAsia="方正仿宋_GBK"/>
          <w:color w:val="000000"/>
          <w:sz w:val="24"/>
        </w:rPr>
      </w:pPr>
      <w:r>
        <w:rPr>
          <w:rFonts w:hint="eastAsia" w:eastAsia="方正仿宋_GBK"/>
          <w:color w:val="000000"/>
          <w:kern w:val="0"/>
          <w:sz w:val="24"/>
        </w:rPr>
        <w:t>（三）</w:t>
      </w:r>
      <w:r>
        <w:rPr>
          <w:rFonts w:hint="eastAsia" w:eastAsia="方正仿宋_GBK"/>
          <w:color w:val="000000"/>
          <w:sz w:val="24"/>
        </w:rPr>
        <w:t>建筑物总能耗计量报告或建筑物投入使用后的能耗记录数据；</w:t>
      </w:r>
    </w:p>
    <w:p>
      <w:pPr>
        <w:spacing w:line="460" w:lineRule="exact"/>
        <w:ind w:firstLine="480" w:firstLineChars="200"/>
        <w:jc w:val="left"/>
        <w:rPr>
          <w:rFonts w:eastAsia="方正仿宋_GBK"/>
          <w:color w:val="000000"/>
          <w:sz w:val="24"/>
        </w:rPr>
      </w:pPr>
      <w:r>
        <w:rPr>
          <w:rFonts w:hint="eastAsia" w:eastAsia="方正仿宋_GBK"/>
          <w:color w:val="000000"/>
          <w:sz w:val="24"/>
        </w:rPr>
        <w:t>（四）</w:t>
      </w:r>
      <w:r>
        <w:rPr>
          <w:rFonts w:hint="eastAsia" w:eastAsia="方正仿宋_GBK"/>
          <w:color w:val="000000"/>
          <w:kern w:val="0"/>
          <w:sz w:val="24"/>
        </w:rPr>
        <w:t>采暖空调能耗计量报告</w:t>
      </w:r>
      <w:r>
        <w:rPr>
          <w:rFonts w:hint="eastAsia" w:eastAsia="方正仿宋_GBK"/>
          <w:color w:val="000000"/>
          <w:sz w:val="24"/>
        </w:rPr>
        <w:t>；</w:t>
      </w:r>
    </w:p>
    <w:p>
      <w:pPr>
        <w:spacing w:line="460" w:lineRule="exact"/>
        <w:ind w:firstLine="480" w:firstLineChars="200"/>
        <w:jc w:val="left"/>
        <w:rPr>
          <w:rFonts w:eastAsia="方正仿宋_GBK"/>
          <w:color w:val="000000"/>
          <w:kern w:val="0"/>
          <w:sz w:val="24"/>
        </w:rPr>
      </w:pPr>
      <w:r>
        <w:rPr>
          <w:rFonts w:hint="eastAsia" w:eastAsia="方正仿宋_GBK"/>
          <w:color w:val="000000"/>
          <w:sz w:val="24"/>
        </w:rPr>
        <w:t>（五）</w:t>
      </w:r>
      <w:r>
        <w:rPr>
          <w:rFonts w:hint="eastAsia" w:eastAsia="方正仿宋_GBK"/>
          <w:color w:val="000000"/>
          <w:kern w:val="0"/>
          <w:sz w:val="24"/>
        </w:rPr>
        <w:t>与建筑节能相关的设备运行记录；</w:t>
      </w:r>
    </w:p>
    <w:p>
      <w:pPr>
        <w:spacing w:line="460" w:lineRule="exact"/>
        <w:ind w:firstLine="480" w:firstLineChars="200"/>
        <w:jc w:val="left"/>
        <w:rPr>
          <w:rFonts w:eastAsia="方正仿宋_GBK"/>
          <w:color w:val="000000"/>
          <w:sz w:val="24"/>
        </w:rPr>
      </w:pPr>
      <w:r>
        <w:rPr>
          <w:rFonts w:hint="eastAsia" w:eastAsia="方正仿宋_GBK"/>
          <w:color w:val="000000"/>
          <w:kern w:val="0"/>
          <w:sz w:val="24"/>
        </w:rPr>
        <w:t>（六）应用节能新技术的运行情况报告。</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第十三条</w:t>
      </w:r>
      <w:r>
        <w:rPr>
          <w:rFonts w:hint="eastAsia" w:ascii="Times New Roman" w:eastAsia="黑体"/>
          <w:color w:val="000000"/>
          <w:kern w:val="0"/>
          <w:sz w:val="24"/>
        </w:rPr>
        <w:t>　</w:t>
      </w:r>
      <w:r>
        <w:rPr>
          <w:rFonts w:hint="eastAsia" w:eastAsia="方正仿宋_GBK"/>
          <w:color w:val="000000"/>
          <w:kern w:val="0"/>
          <w:sz w:val="24"/>
        </w:rPr>
        <w:t>建筑能效测评应通过性能测试、软件评估、文件审查、现场检查等方式，对单体建筑采取定性与定量分析相结合的综合评定。</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第十四条</w:t>
      </w:r>
      <w:r>
        <w:rPr>
          <w:rFonts w:hint="eastAsia" w:ascii="Times New Roman" w:eastAsia="黑体"/>
          <w:color w:val="000000"/>
          <w:kern w:val="0"/>
          <w:sz w:val="24"/>
        </w:rPr>
        <w:t>　</w:t>
      </w:r>
      <w:r>
        <w:rPr>
          <w:rFonts w:hint="eastAsia" w:eastAsia="方正仿宋_GBK"/>
          <w:color w:val="000000"/>
          <w:kern w:val="0"/>
          <w:sz w:val="24"/>
        </w:rPr>
        <w:t>测评机构应统一使用通过省住房和城乡建设厅认定的应用软件。</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第十五条</w:t>
      </w:r>
      <w:r>
        <w:rPr>
          <w:rFonts w:hint="eastAsia" w:ascii="Times New Roman" w:eastAsia="黑体"/>
          <w:color w:val="000000"/>
          <w:kern w:val="0"/>
          <w:sz w:val="24"/>
        </w:rPr>
        <w:t>　</w:t>
      </w:r>
      <w:r>
        <w:rPr>
          <w:rFonts w:hint="eastAsia" w:eastAsia="方正仿宋_GBK"/>
          <w:color w:val="000000"/>
          <w:kern w:val="0"/>
          <w:sz w:val="24"/>
        </w:rPr>
        <w:t>测评机构在完成测评工作后</w:t>
      </w:r>
      <w:r>
        <w:rPr>
          <w:rFonts w:eastAsia="方正仿宋_GBK"/>
          <w:color w:val="000000"/>
          <w:kern w:val="0"/>
          <w:sz w:val="24"/>
        </w:rPr>
        <w:t>10</w:t>
      </w:r>
      <w:r>
        <w:rPr>
          <w:rFonts w:hint="eastAsia" w:eastAsia="方正仿宋_GBK"/>
          <w:color w:val="000000"/>
          <w:kern w:val="0"/>
          <w:sz w:val="24"/>
        </w:rPr>
        <w:t>个工作日内应出具《建筑能效测评报告》，并应在</w:t>
      </w:r>
      <w:r>
        <w:rPr>
          <w:rFonts w:eastAsia="方正仿宋_GBK"/>
          <w:color w:val="000000"/>
          <w:kern w:val="0"/>
          <w:sz w:val="24"/>
        </w:rPr>
        <w:t>15</w:t>
      </w:r>
      <w:r>
        <w:rPr>
          <w:rFonts w:hint="eastAsia" w:eastAsia="方正仿宋_GBK"/>
          <w:color w:val="000000"/>
          <w:kern w:val="0"/>
          <w:sz w:val="24"/>
        </w:rPr>
        <w:t>个工作日内将《建筑能效测评报告》报测评项目所在地建设主管部门备案。</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第十六条</w:t>
      </w:r>
      <w:r>
        <w:rPr>
          <w:rFonts w:eastAsia="方正仿宋_GBK"/>
          <w:b/>
          <w:bCs/>
          <w:smallCaps/>
          <w:color w:val="000000"/>
          <w:kern w:val="0"/>
          <w:sz w:val="24"/>
        </w:rPr>
        <w:t xml:space="preserve">  </w:t>
      </w:r>
      <w:r>
        <w:rPr>
          <w:rFonts w:hint="eastAsia" w:eastAsia="方正仿宋_GBK"/>
          <w:color w:val="000000"/>
          <w:kern w:val="0"/>
          <w:sz w:val="24"/>
        </w:rPr>
        <w:t>《建筑能效测评报告》应包括以下内容：</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（一）建筑能效测评汇总表；</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（二）建筑物围护结构热工性能表</w:t>
      </w:r>
      <w:r>
        <w:rPr>
          <w:rFonts w:hint="eastAsia" w:eastAsia="方正仿宋_GBK"/>
          <w:color w:val="000000"/>
          <w:sz w:val="24"/>
        </w:rPr>
        <w:t>；</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（三）建筑和用能系统概况；</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（四）节能计算说明书；</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（五）测评过程中依据的文件及相关性能检测评估报告；</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（六）建筑能效测评联系人、电话和地址等。</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第十七条</w:t>
      </w:r>
      <w:r>
        <w:rPr>
          <w:rFonts w:eastAsia="方正仿宋_GBK"/>
          <w:b/>
          <w:bCs/>
          <w:smallCaps/>
          <w:color w:val="000000"/>
          <w:kern w:val="0"/>
          <w:sz w:val="24"/>
        </w:rPr>
        <w:t xml:space="preserve">   </w:t>
      </w:r>
      <w:r>
        <w:rPr>
          <w:rFonts w:hint="eastAsia" w:eastAsia="方正仿宋_GBK"/>
          <w:color w:val="000000"/>
          <w:kern w:val="0"/>
          <w:sz w:val="24"/>
        </w:rPr>
        <w:t>经建筑能效测评达不到建筑节能强制性标准要求的，建设单位应整改后重新申请建筑能效测评。</w:t>
      </w:r>
    </w:p>
    <w:p>
      <w:pPr>
        <w:spacing w:line="460" w:lineRule="exact"/>
        <w:ind w:firstLine="480" w:firstLineChars="200"/>
        <w:rPr>
          <w:rFonts w:eastAsia="方正仿宋_GBK"/>
          <w:color w:val="000000"/>
          <w:kern w:val="0"/>
          <w:sz w:val="24"/>
        </w:rPr>
      </w:pPr>
      <w:r>
        <w:rPr>
          <w:rFonts w:hint="eastAsia" w:ascii="Times New Roman" w:eastAsia="黑体"/>
          <w:bCs/>
          <w:smallCaps/>
          <w:color w:val="000000"/>
          <w:kern w:val="0"/>
          <w:sz w:val="24"/>
        </w:rPr>
        <w:t>第十八条</w:t>
      </w:r>
      <w:r>
        <w:rPr>
          <w:rFonts w:eastAsia="方正仿宋_GBK"/>
          <w:b/>
          <w:bCs/>
          <w:smallCaps/>
          <w:color w:val="000000"/>
          <w:kern w:val="0"/>
          <w:sz w:val="24"/>
        </w:rPr>
        <w:t xml:space="preserve">  </w:t>
      </w:r>
      <w:r>
        <w:rPr>
          <w:rFonts w:hint="eastAsia" w:eastAsia="方正仿宋_GBK"/>
          <w:color w:val="000000"/>
          <w:kern w:val="0"/>
          <w:sz w:val="24"/>
        </w:rPr>
        <w:t>建筑能效测评后符合建筑能效标识要求的，测评机构应在《建筑能效测评报告》出具后</w:t>
      </w:r>
      <w:r>
        <w:rPr>
          <w:rFonts w:eastAsia="方正仿宋_GBK"/>
          <w:color w:val="000000"/>
          <w:kern w:val="0"/>
          <w:sz w:val="24"/>
        </w:rPr>
        <w:t>30</w:t>
      </w:r>
      <w:r>
        <w:rPr>
          <w:rFonts w:hint="eastAsia" w:eastAsia="方正仿宋_GBK"/>
          <w:color w:val="000000"/>
          <w:kern w:val="0"/>
          <w:sz w:val="24"/>
        </w:rPr>
        <w:t>个工作日内将《建筑能效测评报告》</w:t>
      </w:r>
      <w:bookmarkStart w:id="381" w:name="_Hlk493073673"/>
      <w:r>
        <w:rPr>
          <w:rFonts w:hint="eastAsia" w:eastAsia="方正仿宋_GBK"/>
          <w:color w:val="000000"/>
          <w:kern w:val="0"/>
          <w:sz w:val="24"/>
        </w:rPr>
        <w:t>报至省住房和城乡建设厅</w:t>
      </w:r>
      <w:bookmarkEnd w:id="381"/>
      <w:r>
        <w:rPr>
          <w:rFonts w:hint="eastAsia" w:eastAsia="方正仿宋_GBK"/>
          <w:color w:val="000000"/>
          <w:kern w:val="0"/>
          <w:sz w:val="24"/>
        </w:rPr>
        <w:t>。</w:t>
      </w:r>
    </w:p>
    <w:p>
      <w:pPr>
        <w:spacing w:line="460" w:lineRule="exact"/>
        <w:ind w:firstLine="482" w:firstLineChars="200"/>
        <w:rPr>
          <w:rFonts w:eastAsia="方正仿宋_GBK"/>
          <w:b/>
          <w:bCs/>
          <w:smallCaps/>
          <w:color w:val="000000"/>
          <w:kern w:val="0"/>
          <w:sz w:val="24"/>
        </w:rPr>
      </w:pPr>
    </w:p>
    <w:p>
      <w:pPr>
        <w:spacing w:line="460" w:lineRule="exact"/>
        <w:ind w:firstLine="482" w:firstLineChars="200"/>
        <w:rPr>
          <w:rFonts w:eastAsia="方正仿宋_GBK"/>
          <w:b/>
          <w:bCs/>
          <w:smallCaps/>
          <w:color w:val="000000"/>
          <w:kern w:val="0"/>
          <w:sz w:val="24"/>
        </w:rPr>
      </w:pPr>
    </w:p>
    <w:p>
      <w:pPr>
        <w:spacing w:line="460" w:lineRule="exact"/>
        <w:jc w:val="center"/>
        <w:rPr>
          <w:rFonts w:ascii="Times New Roman" w:eastAsia="黑体"/>
          <w:bCs/>
          <w:smallCaps/>
          <w:color w:val="000000"/>
          <w:kern w:val="0"/>
          <w:sz w:val="24"/>
        </w:rPr>
      </w:pPr>
    </w:p>
    <w:p>
      <w:pPr>
        <w:spacing w:line="460" w:lineRule="exact"/>
        <w:jc w:val="center"/>
        <w:rPr>
          <w:rFonts w:hint="eastAsia" w:ascii="Times New Roman" w:eastAsia="黑体"/>
          <w:bCs/>
          <w:smallCaps/>
          <w:color w:val="000000"/>
          <w:kern w:val="0"/>
          <w:sz w:val="24"/>
        </w:rPr>
      </w:pPr>
      <w:r>
        <w:rPr>
          <w:rFonts w:hint="eastAsia" w:ascii="Times New Roman" w:eastAsia="黑体"/>
          <w:bCs/>
          <w:smallCaps/>
          <w:color w:val="000000"/>
          <w:kern w:val="0"/>
          <w:sz w:val="24"/>
        </w:rPr>
        <w:t>第四章　建筑能效标识</w:t>
      </w:r>
    </w:p>
    <w:p>
      <w:pPr>
        <w:spacing w:line="460" w:lineRule="exact"/>
        <w:jc w:val="center"/>
        <w:rPr>
          <w:rFonts w:hint="eastAsia" w:ascii="Times New Roman" w:eastAsia="黑体"/>
          <w:bCs/>
          <w:smallCaps/>
          <w:color w:val="000000"/>
          <w:kern w:val="0"/>
          <w:sz w:val="24"/>
        </w:rPr>
      </w:pPr>
    </w:p>
    <w:p>
      <w:pPr>
        <w:spacing w:line="460" w:lineRule="exact"/>
        <w:ind w:firstLine="480" w:firstLineChars="200"/>
        <w:jc w:val="left"/>
        <w:rPr>
          <w:rFonts w:hint="eastAsia" w:eastAsia="方正仿宋_GBK"/>
          <w:color w:val="000000"/>
          <w:kern w:val="0"/>
          <w:sz w:val="24"/>
        </w:rPr>
      </w:pPr>
      <w:r>
        <w:rPr>
          <w:rFonts w:hint="eastAsia" w:ascii="Times New Roman" w:eastAsia="黑体"/>
          <w:bCs/>
          <w:smallCaps/>
          <w:color w:val="000000"/>
          <w:kern w:val="0"/>
          <w:sz w:val="24"/>
        </w:rPr>
        <w:t>第十九条</w:t>
      </w:r>
      <w:r>
        <w:rPr>
          <w:rFonts w:eastAsia="方正仿宋_GBK"/>
          <w:b/>
          <w:bCs/>
          <w:smallCaps/>
          <w:color w:val="000000"/>
          <w:kern w:val="0"/>
          <w:sz w:val="24"/>
        </w:rPr>
        <w:t xml:space="preserve">  </w:t>
      </w:r>
      <w:r>
        <w:rPr>
          <w:rFonts w:hint="eastAsia" w:eastAsia="方正仿宋_GBK"/>
          <w:color w:val="000000"/>
          <w:kern w:val="0"/>
          <w:sz w:val="24"/>
        </w:rPr>
        <w:t>建筑能效测评标识审查完成后，由省住房和城乡建设厅进行审定和公示，公示期为</w:t>
      </w:r>
      <w:r>
        <w:rPr>
          <w:rFonts w:eastAsia="方正仿宋_GBK"/>
          <w:color w:val="000000"/>
          <w:kern w:val="0"/>
          <w:sz w:val="24"/>
        </w:rPr>
        <w:t>15</w:t>
      </w:r>
      <w:r>
        <w:rPr>
          <w:rFonts w:hint="eastAsia" w:eastAsia="方正仿宋_GBK"/>
          <w:color w:val="000000"/>
          <w:kern w:val="0"/>
          <w:sz w:val="24"/>
        </w:rPr>
        <w:t>日。</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第二十条</w:t>
      </w:r>
      <w:r>
        <w:rPr>
          <w:rFonts w:eastAsia="方正仿宋_GBK"/>
          <w:b/>
          <w:bCs/>
          <w:smallCaps/>
          <w:color w:val="000000"/>
          <w:kern w:val="0"/>
          <w:sz w:val="24"/>
        </w:rPr>
        <w:t xml:space="preserve">  </w:t>
      </w:r>
      <w:r>
        <w:rPr>
          <w:rFonts w:hint="eastAsia" w:eastAsia="方正仿宋_GBK"/>
          <w:color w:val="000000"/>
          <w:kern w:val="0"/>
          <w:sz w:val="24"/>
        </w:rPr>
        <w:t>经公示后无异议或有异议但经审查异议不成立的项目，由省住房和城乡建设厅发布公告，并报住房和城乡建设部备案。经审查异议成立的项目，将不予审定并向测评机构说明情况。</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第二十一条　</w:t>
      </w:r>
      <w:r>
        <w:rPr>
          <w:rFonts w:eastAsia="方正仿宋_GBK"/>
          <w:b/>
          <w:bCs/>
          <w:smallCaps/>
          <w:color w:val="000000"/>
          <w:kern w:val="0"/>
          <w:sz w:val="24"/>
        </w:rPr>
        <w:t xml:space="preserve"> </w:t>
      </w:r>
      <w:r>
        <w:rPr>
          <w:rFonts w:hint="eastAsia" w:eastAsia="方正仿宋_GBK"/>
          <w:bCs/>
          <w:smallCaps/>
          <w:color w:val="000000"/>
          <w:kern w:val="0"/>
          <w:sz w:val="24"/>
        </w:rPr>
        <w:t>建筑</w:t>
      </w:r>
      <w:r>
        <w:rPr>
          <w:rFonts w:hint="eastAsia" w:eastAsia="方正仿宋_GBK"/>
          <w:color w:val="000000"/>
          <w:kern w:val="0"/>
          <w:sz w:val="24"/>
        </w:rPr>
        <w:t>能效标识审查未通过的项目，测评机构应按审查意见补充资料，完善相关工作，重新提交测评报告。</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第二十二条</w:t>
      </w:r>
      <w:r>
        <w:rPr>
          <w:rFonts w:eastAsia="方正仿宋_GBK"/>
          <w:b/>
          <w:bCs/>
          <w:smallCaps/>
          <w:color w:val="000000"/>
          <w:kern w:val="0"/>
          <w:sz w:val="24"/>
        </w:rPr>
        <w:t xml:space="preserve">   </w:t>
      </w:r>
      <w:r>
        <w:rPr>
          <w:rFonts w:hint="eastAsia" w:eastAsia="方正仿宋_GBK"/>
          <w:bCs/>
          <w:smallCaps/>
          <w:color w:val="000000"/>
          <w:kern w:val="0"/>
          <w:sz w:val="24"/>
        </w:rPr>
        <w:t>建筑</w:t>
      </w:r>
      <w:r>
        <w:rPr>
          <w:rFonts w:hint="eastAsia" w:eastAsia="方正仿宋_GBK"/>
          <w:color w:val="000000"/>
          <w:kern w:val="0"/>
          <w:sz w:val="24"/>
        </w:rPr>
        <w:t>能效标识证书和标志由省住房和城乡建设厅省按照住房和城乡建设部监制式样统一制作颁发。建筑能效理论值标识有效期为</w:t>
      </w:r>
      <w:r>
        <w:rPr>
          <w:rFonts w:eastAsia="方正仿宋_GBK"/>
          <w:color w:val="000000"/>
          <w:kern w:val="0"/>
          <w:sz w:val="24"/>
        </w:rPr>
        <w:t>1</w:t>
      </w:r>
      <w:r>
        <w:rPr>
          <w:rFonts w:hint="eastAsia" w:eastAsia="方正仿宋_GBK"/>
          <w:color w:val="000000"/>
          <w:kern w:val="0"/>
          <w:sz w:val="24"/>
        </w:rPr>
        <w:t>年，建筑能效实测值标识有效期为</w:t>
      </w:r>
      <w:r>
        <w:rPr>
          <w:rFonts w:eastAsia="方正仿宋_GBK"/>
          <w:color w:val="000000"/>
          <w:kern w:val="0"/>
          <w:sz w:val="24"/>
        </w:rPr>
        <w:t>5</w:t>
      </w:r>
      <w:r>
        <w:rPr>
          <w:rFonts w:hint="eastAsia" w:eastAsia="方正仿宋_GBK"/>
          <w:color w:val="000000"/>
          <w:kern w:val="0"/>
          <w:sz w:val="24"/>
        </w:rPr>
        <w:t>年。</w:t>
      </w:r>
    </w:p>
    <w:p>
      <w:pPr>
        <w:spacing w:line="460" w:lineRule="exact"/>
        <w:ind w:firstLine="480" w:firstLineChars="200"/>
        <w:jc w:val="left"/>
        <w:rPr>
          <w:rFonts w:eastAsia="方正仿宋_GBK"/>
          <w:b/>
          <w:bCs/>
          <w:smallCaps/>
          <w:color w:val="000000"/>
          <w:kern w:val="0"/>
          <w:sz w:val="24"/>
        </w:rPr>
      </w:pPr>
      <w:r>
        <w:rPr>
          <w:rFonts w:hint="eastAsia" w:ascii="Times New Roman" w:eastAsia="黑体"/>
          <w:bCs/>
          <w:smallCaps/>
          <w:color w:val="000000"/>
          <w:kern w:val="0"/>
          <w:sz w:val="24"/>
        </w:rPr>
        <w:t>第二十三条</w:t>
      </w:r>
      <w:r>
        <w:rPr>
          <w:rFonts w:hint="eastAsia" w:ascii="Times New Roman" w:eastAsia="黑体"/>
          <w:color w:val="000000"/>
          <w:kern w:val="0"/>
          <w:sz w:val="24"/>
        </w:rPr>
        <w:t>　</w:t>
      </w:r>
      <w:r>
        <w:rPr>
          <w:rFonts w:hint="eastAsia" w:eastAsia="方正仿宋_GBK"/>
          <w:color w:val="000000"/>
          <w:kern w:val="0"/>
          <w:sz w:val="24"/>
        </w:rPr>
        <w:t>建设单位或建筑所有权人应当将建筑能效标识粘贴在建筑物的显著位置。</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第二十四条</w:t>
      </w:r>
      <w:r>
        <w:rPr>
          <w:rFonts w:hint="eastAsia" w:ascii="Times New Roman" w:eastAsia="黑体"/>
          <w:color w:val="000000"/>
          <w:kern w:val="0"/>
          <w:sz w:val="24"/>
        </w:rPr>
        <w:t>　</w:t>
      </w:r>
      <w:r>
        <w:rPr>
          <w:rFonts w:hint="eastAsia" w:eastAsia="方正仿宋_GBK"/>
          <w:color w:val="000000"/>
          <w:kern w:val="0"/>
          <w:sz w:val="24"/>
        </w:rPr>
        <w:t>省住房和城乡建设厅定期汇总获得建筑能效标识的项目名称，并在指定媒体予以公布。</w:t>
      </w:r>
    </w:p>
    <w:p>
      <w:pPr>
        <w:spacing w:line="460" w:lineRule="exact"/>
        <w:ind w:firstLine="482" w:firstLineChars="200"/>
        <w:jc w:val="center"/>
        <w:rPr>
          <w:rFonts w:eastAsia="方正仿宋_GBK"/>
          <w:b/>
          <w:bCs/>
          <w:smallCaps/>
          <w:color w:val="000000"/>
          <w:kern w:val="0"/>
          <w:sz w:val="24"/>
        </w:rPr>
      </w:pPr>
    </w:p>
    <w:p>
      <w:pPr>
        <w:spacing w:line="460" w:lineRule="exact"/>
        <w:jc w:val="center"/>
        <w:rPr>
          <w:rFonts w:ascii="Times New Roman" w:eastAsia="黑体"/>
          <w:bCs/>
          <w:smallCaps/>
          <w:color w:val="000000"/>
          <w:kern w:val="0"/>
          <w:sz w:val="24"/>
        </w:rPr>
      </w:pPr>
      <w:r>
        <w:rPr>
          <w:rFonts w:hint="eastAsia" w:ascii="Times New Roman" w:eastAsia="黑体"/>
          <w:bCs/>
          <w:smallCaps/>
          <w:color w:val="000000"/>
          <w:kern w:val="0"/>
          <w:sz w:val="24"/>
        </w:rPr>
        <w:t>第五章　监督管理</w:t>
      </w:r>
    </w:p>
    <w:p>
      <w:pPr>
        <w:spacing w:line="460" w:lineRule="exact"/>
        <w:ind w:firstLine="480" w:firstLineChars="200"/>
        <w:jc w:val="left"/>
        <w:rPr>
          <w:rFonts w:hint="eastAsia" w:ascii="Times New Roman" w:eastAsia="黑体"/>
          <w:bCs/>
          <w:smallCaps/>
          <w:color w:val="000000"/>
          <w:kern w:val="0"/>
          <w:sz w:val="24"/>
        </w:rPr>
      </w:pPr>
    </w:p>
    <w:p>
      <w:pPr>
        <w:spacing w:line="460" w:lineRule="exact"/>
        <w:ind w:firstLine="480" w:firstLineChars="200"/>
        <w:jc w:val="left"/>
        <w:rPr>
          <w:rFonts w:hint="eastAsia" w:eastAsia="方正仿宋_GBK"/>
          <w:color w:val="000000"/>
          <w:kern w:val="0"/>
          <w:sz w:val="24"/>
        </w:rPr>
      </w:pPr>
      <w:r>
        <w:rPr>
          <w:rFonts w:hint="eastAsia" w:ascii="Times New Roman" w:eastAsia="黑体"/>
          <w:bCs/>
          <w:smallCaps/>
          <w:color w:val="000000"/>
          <w:kern w:val="0"/>
          <w:sz w:val="24"/>
        </w:rPr>
        <w:t>第二十五条</w:t>
      </w:r>
      <w:r>
        <w:rPr>
          <w:rFonts w:eastAsia="方正仿宋_GBK"/>
          <w:b/>
          <w:bCs/>
          <w:smallCaps/>
          <w:color w:val="000000"/>
          <w:kern w:val="0"/>
          <w:sz w:val="24"/>
        </w:rPr>
        <w:t xml:space="preserve">  </w:t>
      </w:r>
      <w:r>
        <w:rPr>
          <w:rFonts w:hint="eastAsia" w:eastAsia="方正仿宋_GBK"/>
          <w:color w:val="000000"/>
          <w:kern w:val="0"/>
          <w:sz w:val="24"/>
        </w:rPr>
        <w:t>省住房和城乡建设厅对已获得能效标识的项目进行跟踪管理。对发现项目实际情况与测评标识结果不一致、存在弄虚作假的，经查实，将对相关责任单位和个人进行信用记录。</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第二十六条</w:t>
      </w:r>
      <w:bookmarkStart w:id="382" w:name="28"/>
      <w:bookmarkEnd w:id="382"/>
      <w:r>
        <w:rPr>
          <w:rFonts w:hint="eastAsia" w:ascii="Times New Roman" w:eastAsia="黑体"/>
          <w:color w:val="000000"/>
          <w:kern w:val="0"/>
          <w:sz w:val="24"/>
        </w:rPr>
        <w:t>　</w:t>
      </w:r>
      <w:r>
        <w:rPr>
          <w:rFonts w:hint="eastAsia" w:eastAsia="方正仿宋_GBK"/>
          <w:color w:val="000000"/>
          <w:kern w:val="0"/>
          <w:sz w:val="24"/>
        </w:rPr>
        <w:t>建设单位、建筑物产权所有人或使用人不得擅自拆除或变更建筑物的能效标识。经查实，建设主管部门应责令改正。</w:t>
      </w:r>
    </w:p>
    <w:p>
      <w:pPr>
        <w:spacing w:line="460" w:lineRule="exact"/>
        <w:ind w:firstLine="480" w:firstLineChars="200"/>
        <w:jc w:val="left"/>
        <w:rPr>
          <w:rFonts w:eastAsia="方正仿宋_GBK"/>
          <w:color w:val="000000"/>
          <w:kern w:val="0"/>
          <w:sz w:val="24"/>
        </w:rPr>
      </w:pPr>
      <w:r>
        <w:rPr>
          <w:rFonts w:hint="eastAsia" w:ascii="Times New Roman" w:eastAsia="黑体"/>
          <w:bCs/>
          <w:smallCaps/>
          <w:color w:val="000000"/>
          <w:kern w:val="0"/>
          <w:sz w:val="24"/>
        </w:rPr>
        <w:t>第二十七条</w:t>
      </w:r>
      <w:r>
        <w:rPr>
          <w:rFonts w:hint="eastAsia" w:ascii="Times New Roman" w:eastAsia="黑体"/>
          <w:color w:val="000000"/>
          <w:kern w:val="0"/>
          <w:sz w:val="24"/>
        </w:rPr>
        <w:t>　</w:t>
      </w:r>
      <w:r>
        <w:rPr>
          <w:rFonts w:hint="eastAsia" w:eastAsia="方正仿宋_GBK"/>
          <w:color w:val="000000"/>
          <w:kern w:val="0"/>
          <w:sz w:val="24"/>
        </w:rPr>
        <w:t>出现下列情形，可能影响建筑物能效的，应重新进行建筑物能效测评标识：</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（一）建筑围护结构节能改造；</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（二）主要用能系统或设备更新置换；</w:t>
      </w:r>
    </w:p>
    <w:p>
      <w:pPr>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（三）建筑能效测评标识有效期结束。</w:t>
      </w:r>
    </w:p>
    <w:p>
      <w:pPr>
        <w:spacing w:line="460" w:lineRule="exact"/>
        <w:ind w:firstLine="480" w:firstLineChars="200"/>
        <w:jc w:val="left"/>
        <w:rPr>
          <w:rFonts w:eastAsia="方正仿宋_GBK"/>
          <w:color w:val="000000"/>
          <w:kern w:val="0"/>
          <w:sz w:val="24"/>
        </w:rPr>
      </w:pPr>
      <w:bookmarkStart w:id="383" w:name="_Hlk493079629"/>
      <w:r>
        <w:rPr>
          <w:rFonts w:hint="eastAsia" w:ascii="Times New Roman" w:eastAsia="黑体"/>
          <w:bCs/>
          <w:smallCaps/>
          <w:color w:val="000000"/>
          <w:kern w:val="0"/>
          <w:sz w:val="24"/>
        </w:rPr>
        <w:t>第二十八条</w:t>
      </w:r>
      <w:bookmarkEnd w:id="383"/>
      <w:r>
        <w:rPr>
          <w:rFonts w:eastAsia="方正仿宋_GBK"/>
          <w:b/>
          <w:bCs/>
          <w:smallCaps/>
          <w:color w:val="000000"/>
          <w:kern w:val="0"/>
          <w:sz w:val="24"/>
        </w:rPr>
        <w:t xml:space="preserve">  </w:t>
      </w:r>
      <w:r>
        <w:rPr>
          <w:rFonts w:hint="eastAsia" w:eastAsia="方正仿宋_GBK"/>
          <w:color w:val="000000"/>
          <w:kern w:val="0"/>
          <w:sz w:val="24"/>
        </w:rPr>
        <w:t>对建筑能效测评结果或能效标识有异议的，建设单位可在收到测评结果</w:t>
      </w:r>
      <w:r>
        <w:rPr>
          <w:rFonts w:eastAsia="方正仿宋_GBK"/>
          <w:color w:val="000000"/>
          <w:kern w:val="0"/>
          <w:sz w:val="24"/>
        </w:rPr>
        <w:t>15</w:t>
      </w:r>
      <w:r>
        <w:rPr>
          <w:rFonts w:hint="eastAsia" w:eastAsia="方正仿宋_GBK"/>
          <w:color w:val="000000"/>
          <w:kern w:val="0"/>
          <w:sz w:val="24"/>
        </w:rPr>
        <w:t>个工作日内或建筑能效标识公示期内，以书面形式向省住房和城乡建设厅申请复核。书面材料要加盖单位公章或个人签名。</w:t>
      </w:r>
    </w:p>
    <w:p>
      <w:pPr>
        <w:spacing w:line="460" w:lineRule="exact"/>
        <w:ind w:firstLine="480" w:firstLineChars="200"/>
        <w:jc w:val="left"/>
        <w:rPr>
          <w:rFonts w:eastAsia="方正仿宋_GBK"/>
          <w:color w:val="000000"/>
          <w:kern w:val="0"/>
          <w:sz w:val="24"/>
        </w:rPr>
      </w:pPr>
    </w:p>
    <w:p>
      <w:pPr>
        <w:spacing w:line="460" w:lineRule="exact"/>
        <w:jc w:val="center"/>
        <w:rPr>
          <w:rFonts w:ascii="Times New Roman" w:eastAsia="黑体"/>
          <w:bCs/>
          <w:smallCaps/>
          <w:color w:val="000000"/>
          <w:kern w:val="0"/>
          <w:sz w:val="24"/>
        </w:rPr>
      </w:pPr>
      <w:r>
        <w:rPr>
          <w:rFonts w:hint="eastAsia" w:ascii="Times New Roman" w:eastAsia="黑体"/>
          <w:bCs/>
          <w:smallCaps/>
          <w:color w:val="000000"/>
          <w:kern w:val="0"/>
          <w:sz w:val="24"/>
        </w:rPr>
        <w:t>第六章　附则</w:t>
      </w:r>
    </w:p>
    <w:p>
      <w:pPr>
        <w:spacing w:line="460" w:lineRule="exact"/>
        <w:ind w:firstLine="482" w:firstLineChars="200"/>
        <w:jc w:val="left"/>
        <w:rPr>
          <w:rFonts w:hint="eastAsia" w:eastAsia="方正仿宋_GBK"/>
          <w:b/>
          <w:bCs/>
          <w:smallCaps/>
          <w:color w:val="000000"/>
          <w:kern w:val="0"/>
          <w:sz w:val="24"/>
        </w:rPr>
      </w:pPr>
      <w:r>
        <w:rPr>
          <w:rFonts w:eastAsia="方正仿宋_GBK"/>
          <w:b/>
          <w:bCs/>
          <w:smallCaps/>
          <w:color w:val="000000"/>
          <w:kern w:val="0"/>
          <w:sz w:val="24"/>
        </w:rPr>
        <w:t xml:space="preserve"> </w:t>
      </w:r>
    </w:p>
    <w:p>
      <w:pPr>
        <w:spacing w:line="460" w:lineRule="exact"/>
        <w:ind w:firstLine="480" w:firstLineChars="200"/>
        <w:jc w:val="left"/>
        <w:rPr>
          <w:rFonts w:eastAsia="方正仿宋_GBK"/>
          <w:color w:val="000000"/>
          <w:spacing w:val="-4"/>
          <w:kern w:val="0"/>
          <w:sz w:val="24"/>
        </w:rPr>
      </w:pPr>
      <w:r>
        <w:rPr>
          <w:rFonts w:hint="eastAsia" w:ascii="Times New Roman" w:eastAsia="黑体"/>
          <w:bCs/>
          <w:smallCaps/>
          <w:color w:val="000000"/>
          <w:kern w:val="0"/>
          <w:sz w:val="24"/>
        </w:rPr>
        <w:t>第三十条</w:t>
      </w:r>
      <w:bookmarkStart w:id="384" w:name="29"/>
      <w:bookmarkEnd w:id="384"/>
      <w:r>
        <w:rPr>
          <w:rFonts w:hint="eastAsia" w:ascii="Times New Roman" w:eastAsia="黑体"/>
          <w:color w:val="000000"/>
          <w:kern w:val="0"/>
          <w:sz w:val="24"/>
        </w:rPr>
        <w:t>　</w:t>
      </w:r>
      <w:r>
        <w:rPr>
          <w:rFonts w:hint="eastAsia" w:eastAsia="方正仿宋_GBK"/>
          <w:color w:val="000000"/>
          <w:spacing w:val="-4"/>
          <w:kern w:val="0"/>
          <w:sz w:val="24"/>
        </w:rPr>
        <w:t>本实施细则由省住房和城乡建设厅负责解释。</w:t>
      </w:r>
    </w:p>
    <w:p>
      <w:pPr>
        <w:spacing w:line="460" w:lineRule="exact"/>
        <w:ind w:firstLine="482" w:firstLineChars="200"/>
        <w:rPr>
          <w:rFonts w:eastAsia="方正仿宋_GBK"/>
          <w:color w:val="000000"/>
          <w:kern w:val="0"/>
          <w:sz w:val="24"/>
        </w:rPr>
      </w:pPr>
      <w:r>
        <w:rPr>
          <w:rFonts w:eastAsia="方正仿宋_GBK"/>
          <w:b/>
          <w:bCs/>
          <w:smallCaps/>
          <w:color w:val="000000"/>
          <w:kern w:val="0"/>
          <w:sz w:val="24"/>
        </w:rPr>
        <w:t xml:space="preserve"> </w:t>
      </w:r>
      <w:bookmarkStart w:id="385" w:name="31"/>
      <w:bookmarkEnd w:id="385"/>
    </w:p>
    <w:p>
      <w:pPr>
        <w:spacing w:line="460" w:lineRule="exact"/>
        <w:ind w:firstLine="480" w:firstLineChars="200"/>
        <w:rPr>
          <w:rFonts w:eastAsia="方正仿宋_GBK"/>
          <w:color w:val="000000"/>
          <w:sz w:val="24"/>
        </w:rPr>
      </w:pPr>
    </w:p>
    <w:p>
      <w:pPr>
        <w:spacing w:line="460" w:lineRule="exact"/>
        <w:ind w:firstLine="480" w:firstLineChars="200"/>
        <w:jc w:val="center"/>
        <w:rPr>
          <w:rFonts w:eastAsia="方正仿宋_GBK"/>
          <w:color w:val="000000"/>
          <w:sz w:val="24"/>
        </w:rPr>
      </w:pPr>
    </w:p>
    <w:p>
      <w:pPr>
        <w:spacing w:line="460" w:lineRule="exact"/>
        <w:ind w:firstLine="480" w:firstLineChars="200"/>
        <w:jc w:val="center"/>
        <w:rPr>
          <w:rFonts w:eastAsia="方正仿宋_GBK"/>
          <w:color w:val="000000"/>
          <w:sz w:val="24"/>
        </w:rPr>
      </w:pPr>
    </w:p>
    <w:p>
      <w:pPr>
        <w:spacing w:line="460" w:lineRule="exact"/>
        <w:ind w:firstLine="480" w:firstLineChars="200"/>
        <w:jc w:val="center"/>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spacing w:line="460" w:lineRule="exact"/>
        <w:rPr>
          <w:rFonts w:eastAsia="方正仿宋_GBK"/>
          <w:color w:val="000000"/>
          <w:sz w:val="24"/>
        </w:rPr>
      </w:pPr>
    </w:p>
    <w:p>
      <w:pPr>
        <w:pStyle w:val="2"/>
        <w:spacing w:before="240" w:beforeLines="100" w:after="240" w:afterLines="100" w:line="240" w:lineRule="auto"/>
        <w:jc w:val="center"/>
        <w:rPr>
          <w:rFonts w:ascii="Times New Roman" w:eastAsia="方正小标宋_GBK"/>
          <w:b w:val="0"/>
          <w:sz w:val="36"/>
          <w:szCs w:val="36"/>
        </w:rPr>
      </w:pPr>
      <w:bookmarkStart w:id="386" w:name="_Toc20726452"/>
      <w:bookmarkStart w:id="387" w:name="_Toc18315558"/>
      <w:r>
        <w:rPr>
          <w:rFonts w:hint="eastAsia" w:ascii="Times New Roman" w:eastAsia="方正小标宋_GBK"/>
          <w:b w:val="0"/>
          <w:sz w:val="36"/>
          <w:szCs w:val="36"/>
        </w:rPr>
        <w:t>关于加强我省建筑幕墙管理的通知</w:t>
      </w:r>
      <w:bookmarkEnd w:id="386"/>
      <w:bookmarkEnd w:id="38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388" w:name="_Toc20726453"/>
      <w:bookmarkStart w:id="389" w:name="_Toc18315559"/>
      <w:r>
        <w:rPr>
          <w:rFonts w:hint="eastAsia" w:ascii="Times New Roman" w:hAnsi="Times New Roman" w:eastAsia="方正楷体_GBK"/>
          <w:b w:val="0"/>
          <w:sz w:val="24"/>
          <w:szCs w:val="24"/>
        </w:rPr>
        <w:t>苏建函科</w:t>
      </w:r>
      <w:r>
        <w:rPr>
          <w:rFonts w:ascii="Times New Roman" w:hAnsi="Times New Roman" w:eastAsia="方正楷体_GBK"/>
          <w:b w:val="0"/>
          <w:sz w:val="24"/>
          <w:szCs w:val="24"/>
        </w:rPr>
        <w:t xml:space="preserve"> </w:t>
      </w:r>
      <w:r>
        <w:rPr>
          <w:rFonts w:hint="eastAsia" w:ascii="Times New Roman" w:hAnsi="Times New Roman" w:eastAsia="方正楷体_GBK"/>
          <w:b w:val="0"/>
          <w:sz w:val="24"/>
          <w:szCs w:val="24"/>
        </w:rPr>
        <w:t>〔</w:t>
      </w:r>
      <w:r>
        <w:rPr>
          <w:rFonts w:ascii="Times New Roman" w:hAnsi="Times New Roman" w:eastAsia="方正楷体_GBK"/>
          <w:b w:val="0"/>
          <w:sz w:val="24"/>
          <w:szCs w:val="24"/>
        </w:rPr>
        <w:t>2012</w:t>
      </w:r>
      <w:r>
        <w:rPr>
          <w:rFonts w:hint="eastAsia" w:ascii="Times New Roman" w:hAnsi="Times New Roman" w:eastAsia="方正楷体_GBK"/>
          <w:b w:val="0"/>
          <w:sz w:val="24"/>
          <w:szCs w:val="24"/>
        </w:rPr>
        <w:t>〕</w:t>
      </w:r>
      <w:r>
        <w:rPr>
          <w:rFonts w:ascii="Times New Roman" w:hAnsi="Times New Roman" w:eastAsia="方正楷体_GBK"/>
          <w:b w:val="0"/>
          <w:sz w:val="24"/>
          <w:szCs w:val="24"/>
        </w:rPr>
        <w:t>386</w:t>
      </w:r>
      <w:r>
        <w:rPr>
          <w:rFonts w:hint="eastAsia" w:ascii="Times New Roman" w:hAnsi="Times New Roman" w:eastAsia="方正楷体_GBK"/>
          <w:b w:val="0"/>
          <w:sz w:val="24"/>
          <w:szCs w:val="24"/>
        </w:rPr>
        <w:t>号</w:t>
      </w:r>
      <w:bookmarkEnd w:id="388"/>
      <w:bookmarkEnd w:id="389"/>
    </w:p>
    <w:p>
      <w:pPr>
        <w:spacing w:line="460" w:lineRule="exact"/>
        <w:rPr>
          <w:rFonts w:eastAsia="方正仿宋_GBK"/>
          <w:color w:val="000000"/>
          <w:spacing w:val="-2"/>
          <w:sz w:val="24"/>
        </w:rPr>
      </w:pPr>
      <w:r>
        <w:rPr>
          <w:rFonts w:hint="eastAsia" w:eastAsia="方正仿宋_GBK"/>
          <w:color w:val="000000"/>
          <w:spacing w:val="-2"/>
          <w:sz w:val="24"/>
        </w:rPr>
        <w:t>各省辖市建设局（委）、规划局、房产局：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上世纪八十年代以来，我省高层建筑和超高层建筑外饰面开始大量采用建筑玻璃幕墙（包括石材、金属板材等），然而由于部分建筑幕墙设计构造不合理，或存在施工质量问题，导致一些玻璃幕墙存在玻璃易碎、光污染、节能效果不佳等问题，加之部分建筑幕墙在施工和运行维护过程中监管不到位，在部分城市中陆续发生了玻璃幕墙玻璃自爆、脱落的事件，给市民生命财产造成损失，成为城市公共安全的隐患，也因此引起了社会广泛关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为加强全省建筑幕墙安全管理，规范新建建筑的规划、设计、施工、检测和验收，特提出以下要求：</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一、加强建筑设计方案的规划审查。</w:t>
      </w:r>
      <w:r>
        <w:rPr>
          <w:rFonts w:hint="eastAsia" w:eastAsia="方正仿宋_GBK"/>
          <w:color w:val="000000"/>
          <w:spacing w:val="-2"/>
          <w:sz w:val="24"/>
        </w:rPr>
        <w:t>按照建筑节能、安全和光污染防治等要求，加强建筑立面设计的规划审查，合理控制建筑幕墙的面积、比例。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二、加强建筑幕墙的施工图设计审查</w:t>
      </w:r>
      <w:r>
        <w:rPr>
          <w:rFonts w:hint="eastAsia" w:eastAsia="方正仿宋_GBK"/>
          <w:color w:val="000000"/>
          <w:spacing w:val="-2"/>
          <w:sz w:val="24"/>
        </w:rPr>
        <w:t>。严格对新建幕墙项目的审查，严禁采用全隐框玻璃幕墙设计；明框和半隐框玻璃幕墙外片玻璃应采用夹层玻璃、均质钢化玻璃或超白玻璃；外开启扇应有防玻璃脱落的构造措施。对石材幕墙应限制其应用高度，严禁建筑外墙石材采用湿贴工艺，无立柱干挂石材高度不得高于</w:t>
      </w:r>
      <w:r>
        <w:rPr>
          <w:rFonts w:eastAsia="方正仿宋_GBK"/>
          <w:color w:val="000000"/>
          <w:spacing w:val="-2"/>
          <w:sz w:val="24"/>
        </w:rPr>
        <w:t>30</w:t>
      </w:r>
      <w:r>
        <w:rPr>
          <w:rFonts w:hint="eastAsia" w:eastAsia="方正仿宋_GBK"/>
          <w:color w:val="000000"/>
          <w:spacing w:val="-2"/>
          <w:sz w:val="24"/>
        </w:rPr>
        <w:t>米。各地施工图设计审查机构应依据国家和我省有关建筑幕墙的技术标准、规程和有关规定，对建筑幕墙进行专项设计审查，对玻璃幕墙应重点审查其构成材料（型材、玻璃、石材、金属板材、人造板材、建筑密封材料等），结构设计、节点构造设计，以及抗风压、气密、水密、平面位移、抗震、保温（热工性能）、隔声、防火、防雷等性能。对在城市闹市区或者在人流密集区采用玻璃幕墙的，应进行环境影响评价，并应限制其幕墙面积，同时还应考虑有效遮挡措施或者设计建立绿化隔离带。从严控制建造异型、大板块玻璃幕墙建筑，确实因城市建设需要采用超高超大超限建筑幕墙的，必须通过由当地省辖市建设主管部门组织的技术方案论证。未经过施工图设计审查机构审查通过的建筑幕墙工程不得进行施工。</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三、加强建筑幕墙的施工安装的监管</w:t>
      </w:r>
      <w:r>
        <w:rPr>
          <w:rFonts w:hint="eastAsia" w:eastAsia="方正仿宋_GBK"/>
          <w:color w:val="000000"/>
          <w:spacing w:val="-2"/>
          <w:sz w:val="24"/>
        </w:rPr>
        <w:t>。施工单位应当具有相应等级的资质，不得超越范围承揽业务。新建建筑幕墙工程质量实行施工单位质量终身负责制。幕墙安装前施工单位应当委托有资质的检测机构进行结构胶相容性检测，以及幕墙气密性能、水密性能、抗风压性能、平面内变形性能和热工性能检测。工程监理单位应严格按照《建筑幕墙工程质量验收规程》</w:t>
      </w:r>
      <w:r>
        <w:rPr>
          <w:rFonts w:eastAsia="方正仿宋_GBK"/>
          <w:color w:val="000000"/>
          <w:spacing w:val="-2"/>
          <w:sz w:val="24"/>
        </w:rPr>
        <w:t>DGJ32/J124-2011</w:t>
      </w:r>
      <w:r>
        <w:rPr>
          <w:rFonts w:hint="eastAsia" w:eastAsia="方正仿宋_GBK"/>
          <w:color w:val="000000"/>
          <w:spacing w:val="-2"/>
          <w:sz w:val="24"/>
        </w:rPr>
        <w:t>进行检查验收，验收不合格的幕墙工程严禁投入使用。工程质量监督机构应加强监督抽查，对存在的问题要及时责令整改。</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四、加强建筑幕墙使用的管理</w:t>
      </w:r>
      <w:r>
        <w:rPr>
          <w:rFonts w:hint="eastAsia" w:eastAsia="方正仿宋_GBK"/>
          <w:color w:val="000000"/>
          <w:spacing w:val="-2"/>
          <w:sz w:val="24"/>
        </w:rPr>
        <w:t>。既有建筑幕墙的安全维护实行业主负责制。建筑幕墙工程竣工验收合格后，产权单位应当每五年组织一次安全隐患排查；幕墙使用期满十年后的半年内及以后的每三年，应当委托有资质的检测机构对幕墙工程进行安全性能检查和评估。</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五、加强建筑幕墙新工艺新技术的研发</w:t>
      </w:r>
      <w:r>
        <w:rPr>
          <w:rFonts w:hint="eastAsia" w:eastAsia="方正仿宋_GBK"/>
          <w:color w:val="000000"/>
          <w:spacing w:val="-2"/>
          <w:sz w:val="24"/>
        </w:rPr>
        <w:t>。要研究开发新型建筑幕墙结构体系，提高幕墙玻璃的安全性能、热工性能和结构密封胶等产品的耐久性。对新型建筑幕墙，如无国家标准的，应按规定由省级建设主管部门组织专家论证，并完善相关产品标准和施工技术规程。</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六、建立建筑幕墙专项维修资金</w:t>
      </w:r>
      <w:r>
        <w:rPr>
          <w:rFonts w:hint="eastAsia" w:eastAsia="方正仿宋_GBK"/>
          <w:color w:val="000000"/>
          <w:spacing w:val="-2"/>
          <w:sz w:val="24"/>
        </w:rPr>
        <w:t>。建筑幕墙专项维护资金用于建筑幕墙的检测、维修和更新，应由业主承担。业主应将幕墙专项维护资金列入年度财务计划，并保证资金来源。玻璃幕墙维修、改造应委托有相应资质的专业幕墙公司进行。</w:t>
      </w:r>
    </w:p>
    <w:p>
      <w:pPr>
        <w:spacing w:line="460" w:lineRule="exact"/>
        <w:rPr>
          <w:rFonts w:eastAsia="方正仿宋_GBK"/>
          <w:color w:val="000000"/>
          <w:spacing w:val="-2"/>
          <w:sz w:val="24"/>
        </w:rPr>
      </w:pPr>
    </w:p>
    <w:p>
      <w:pPr>
        <w:wordWrap w:val="0"/>
        <w:spacing w:line="460" w:lineRule="exact"/>
        <w:ind w:left="283" w:right="437" w:rightChars="208" w:hanging="283" w:hangingChars="120"/>
        <w:jc w:val="right"/>
        <w:rPr>
          <w:rFonts w:eastAsia="方正仿宋_GBK"/>
          <w:color w:val="000000"/>
          <w:spacing w:val="-2"/>
          <w:sz w:val="24"/>
        </w:rPr>
      </w:pPr>
      <w:r>
        <w:rPr>
          <w:rFonts w:hint="eastAsia" w:eastAsia="方正仿宋_GBK"/>
          <w:color w:val="000000"/>
          <w:spacing w:val="-2"/>
          <w:sz w:val="24"/>
        </w:rPr>
        <w:t>江苏省住房和城乡建设厅</w:t>
      </w:r>
    </w:p>
    <w:p>
      <w:pPr>
        <w:wordWrap w:val="0"/>
        <w:spacing w:line="460" w:lineRule="exact"/>
        <w:ind w:right="617" w:rightChars="294"/>
        <w:jc w:val="right"/>
        <w:rPr>
          <w:rFonts w:eastAsia="方正仿宋_GBK"/>
          <w:color w:val="000000"/>
          <w:spacing w:val="-2"/>
          <w:sz w:val="24"/>
        </w:rPr>
      </w:pPr>
      <w:r>
        <w:rPr>
          <w:rFonts w:hint="eastAsia" w:eastAsia="方正仿宋_GBK"/>
          <w:color w:val="000000"/>
          <w:spacing w:val="-2"/>
          <w:sz w:val="24"/>
        </w:rPr>
        <w:t>二</w:t>
      </w:r>
      <w:r>
        <w:rPr>
          <w:rFonts w:hint="eastAsia" w:eastAsia="方正仿宋_GBK"/>
          <w:bCs/>
          <w:snapToGrid w:val="0"/>
          <w:color w:val="000000"/>
          <w:spacing w:val="-2"/>
          <w:kern w:val="0"/>
          <w:sz w:val="24"/>
        </w:rPr>
        <w:t>○</w:t>
      </w:r>
      <w:r>
        <w:rPr>
          <w:rFonts w:hint="eastAsia" w:eastAsia="方正仿宋_GBK"/>
          <w:color w:val="000000"/>
          <w:spacing w:val="-2"/>
          <w:sz w:val="24"/>
        </w:rPr>
        <w:t>一二年六月八日</w:t>
      </w:r>
      <w:r>
        <w:rPr>
          <w:rFonts w:eastAsia="方正仿宋_GBK"/>
          <w:color w:val="000000"/>
          <w:spacing w:val="-2"/>
          <w:sz w:val="24"/>
        </w:rPr>
        <w:t xml:space="preserve"> </w:t>
      </w:r>
    </w:p>
    <w:p>
      <w:pPr>
        <w:spacing w:line="460" w:lineRule="exact"/>
        <w:rPr>
          <w:rFonts w:eastAsia="方正仿宋_GBK"/>
          <w:color w:val="000000"/>
          <w:spacing w:val="-2"/>
          <w:sz w:val="24"/>
        </w:rPr>
      </w:pPr>
    </w:p>
    <w:p>
      <w:pPr>
        <w:autoSpaceDE w:val="0"/>
        <w:autoSpaceDN w:val="0"/>
        <w:snapToGrid w:val="0"/>
        <w:spacing w:line="400" w:lineRule="exact"/>
        <w:ind w:right="-22"/>
        <w:rPr>
          <w:rFonts w:eastAsia="方正仿宋_GBK"/>
          <w:color w:val="000000"/>
          <w:spacing w:val="-2"/>
          <w:szCs w:val="21"/>
        </w:rPr>
      </w:pPr>
    </w:p>
    <w:p>
      <w:pPr>
        <w:autoSpaceDE w:val="0"/>
        <w:autoSpaceDN w:val="0"/>
        <w:snapToGrid w:val="0"/>
        <w:spacing w:line="400" w:lineRule="exact"/>
        <w:ind w:right="-22"/>
        <w:rPr>
          <w:rFonts w:eastAsia="方正仿宋_GBK"/>
          <w:color w:val="000000"/>
          <w:spacing w:val="-2"/>
          <w:szCs w:val="21"/>
        </w:rPr>
      </w:pPr>
    </w:p>
    <w:p>
      <w:pPr>
        <w:autoSpaceDE w:val="0"/>
        <w:autoSpaceDN w:val="0"/>
        <w:snapToGrid w:val="0"/>
        <w:spacing w:line="400" w:lineRule="exact"/>
        <w:ind w:right="-22"/>
        <w:rPr>
          <w:rFonts w:eastAsia="方正仿宋_GBK"/>
          <w:color w:val="000000"/>
          <w:spacing w:val="-2"/>
          <w:szCs w:val="21"/>
        </w:rPr>
      </w:pPr>
    </w:p>
    <w:p>
      <w:pPr>
        <w:autoSpaceDE w:val="0"/>
        <w:autoSpaceDN w:val="0"/>
        <w:snapToGrid w:val="0"/>
        <w:spacing w:line="400" w:lineRule="exact"/>
        <w:ind w:right="-22"/>
        <w:rPr>
          <w:rFonts w:eastAsia="方正仿宋_GBK"/>
          <w:color w:val="000000"/>
          <w:spacing w:val="-2"/>
          <w:szCs w:val="21"/>
        </w:rPr>
      </w:pPr>
    </w:p>
    <w:p>
      <w:pPr>
        <w:autoSpaceDE w:val="0"/>
        <w:autoSpaceDN w:val="0"/>
        <w:snapToGrid w:val="0"/>
        <w:spacing w:line="400" w:lineRule="exact"/>
        <w:ind w:right="-22"/>
        <w:rPr>
          <w:rFonts w:eastAsia="方正仿宋_GBK"/>
          <w:color w:val="000000"/>
          <w:spacing w:val="-2"/>
          <w:szCs w:val="21"/>
        </w:rPr>
      </w:pPr>
    </w:p>
    <w:p>
      <w:pPr>
        <w:autoSpaceDE w:val="0"/>
        <w:autoSpaceDN w:val="0"/>
        <w:snapToGrid w:val="0"/>
        <w:spacing w:line="400" w:lineRule="exact"/>
        <w:ind w:right="-22"/>
        <w:rPr>
          <w:rFonts w:eastAsia="方正仿宋_GBK"/>
          <w:color w:val="000000"/>
          <w:spacing w:val="-2"/>
          <w:szCs w:val="21"/>
        </w:rPr>
      </w:pPr>
    </w:p>
    <w:p>
      <w:pPr>
        <w:autoSpaceDE w:val="0"/>
        <w:autoSpaceDN w:val="0"/>
        <w:snapToGrid w:val="0"/>
        <w:spacing w:line="400" w:lineRule="exact"/>
        <w:ind w:right="-22"/>
        <w:rPr>
          <w:rFonts w:eastAsia="方正仿宋_GBK"/>
          <w:color w:val="000000"/>
          <w:spacing w:val="-2"/>
          <w:szCs w:val="21"/>
        </w:rPr>
      </w:pPr>
    </w:p>
    <w:p>
      <w:pPr>
        <w:autoSpaceDE w:val="0"/>
        <w:autoSpaceDN w:val="0"/>
        <w:snapToGrid w:val="0"/>
        <w:spacing w:line="400" w:lineRule="exact"/>
        <w:ind w:right="-22"/>
        <w:rPr>
          <w:rFonts w:eastAsia="方正仿宋_GBK"/>
          <w:color w:val="000000"/>
          <w:spacing w:val="-2"/>
          <w:szCs w:val="21"/>
        </w:rPr>
      </w:pPr>
    </w:p>
    <w:p>
      <w:pPr>
        <w:autoSpaceDE w:val="0"/>
        <w:autoSpaceDN w:val="0"/>
        <w:snapToGrid w:val="0"/>
        <w:spacing w:line="400" w:lineRule="exact"/>
        <w:ind w:right="-22"/>
        <w:rPr>
          <w:rFonts w:eastAsia="方正仿宋_GBK"/>
          <w:color w:val="000000"/>
          <w:spacing w:val="-2"/>
          <w:szCs w:val="21"/>
        </w:rPr>
      </w:pPr>
    </w:p>
    <w:p>
      <w:pPr>
        <w:pStyle w:val="2"/>
        <w:spacing w:before="240" w:beforeLines="100" w:after="240" w:afterLines="100" w:line="240" w:lineRule="auto"/>
        <w:jc w:val="center"/>
        <w:rPr>
          <w:rFonts w:ascii="Times New Roman" w:eastAsia="方正小标宋_GBK"/>
          <w:b w:val="0"/>
          <w:sz w:val="36"/>
          <w:szCs w:val="36"/>
        </w:rPr>
      </w:pPr>
      <w:bookmarkStart w:id="390" w:name="_Toc20726454"/>
      <w:bookmarkStart w:id="391" w:name="_Toc18315560"/>
      <w:r>
        <w:rPr>
          <w:rFonts w:hint="eastAsia" w:ascii="Times New Roman" w:eastAsia="方正小标宋_GBK"/>
          <w:b w:val="0"/>
          <w:sz w:val="36"/>
          <w:szCs w:val="36"/>
        </w:rPr>
        <w:t>关于加快应用高强钢筋的实施意见</w:t>
      </w:r>
      <w:bookmarkEnd w:id="390"/>
      <w:bookmarkEnd w:id="39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392" w:name="_Toc20726455"/>
      <w:bookmarkStart w:id="393" w:name="_Toc18315561"/>
      <w:r>
        <w:rPr>
          <w:rFonts w:hint="eastAsia" w:ascii="Times New Roman" w:hAnsi="Times New Roman" w:eastAsia="方正楷体_GBK"/>
          <w:b w:val="0"/>
          <w:sz w:val="24"/>
          <w:szCs w:val="24"/>
        </w:rPr>
        <w:t>苏建函科〔</w:t>
      </w:r>
      <w:r>
        <w:rPr>
          <w:rFonts w:ascii="Times New Roman" w:hAnsi="Times New Roman" w:eastAsia="方正楷体_GBK"/>
          <w:b w:val="0"/>
          <w:sz w:val="24"/>
          <w:szCs w:val="24"/>
        </w:rPr>
        <w:t>2012</w:t>
      </w:r>
      <w:r>
        <w:rPr>
          <w:rFonts w:hint="eastAsia" w:ascii="Times New Roman" w:hAnsi="Times New Roman" w:eastAsia="方正楷体_GBK"/>
          <w:b w:val="0"/>
          <w:sz w:val="24"/>
          <w:szCs w:val="24"/>
        </w:rPr>
        <w:t>〕</w:t>
      </w:r>
      <w:r>
        <w:rPr>
          <w:rFonts w:ascii="Times New Roman" w:hAnsi="Times New Roman" w:eastAsia="方正楷体_GBK"/>
          <w:b w:val="0"/>
          <w:sz w:val="24"/>
          <w:szCs w:val="24"/>
        </w:rPr>
        <w:t>426</w:t>
      </w:r>
      <w:r>
        <w:rPr>
          <w:rFonts w:hint="eastAsia" w:ascii="Times New Roman" w:hAnsi="Times New Roman" w:eastAsia="方正楷体_GBK"/>
          <w:b w:val="0"/>
          <w:sz w:val="24"/>
          <w:szCs w:val="24"/>
        </w:rPr>
        <w:t>号</w:t>
      </w:r>
      <w:bookmarkEnd w:id="392"/>
      <w:bookmarkEnd w:id="393"/>
    </w:p>
    <w:p>
      <w:pPr>
        <w:spacing w:line="460" w:lineRule="exact"/>
        <w:rPr>
          <w:rFonts w:eastAsia="方正仿宋_GBK"/>
          <w:color w:val="000000"/>
          <w:spacing w:val="-2"/>
          <w:sz w:val="24"/>
        </w:rPr>
      </w:pPr>
      <w:r>
        <w:rPr>
          <w:rFonts w:hint="eastAsia" w:eastAsia="方正仿宋_GBK"/>
          <w:color w:val="000000"/>
          <w:spacing w:val="-2"/>
          <w:sz w:val="24"/>
        </w:rPr>
        <w:t>各省辖市住房和城乡建设局（委）、经济和信息化委员会、质量技术监督局，有关单位：</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高强钢筋是指抗拉屈服强度达到</w:t>
      </w:r>
      <w:r>
        <w:rPr>
          <w:rFonts w:eastAsia="方正仿宋_GBK"/>
          <w:color w:val="000000"/>
          <w:spacing w:val="-2"/>
          <w:sz w:val="24"/>
        </w:rPr>
        <w:t>400</w:t>
      </w:r>
      <w:r>
        <w:rPr>
          <w:rFonts w:hint="eastAsia" w:eastAsia="方正仿宋_GBK"/>
          <w:color w:val="000000"/>
          <w:spacing w:val="-2"/>
          <w:sz w:val="24"/>
        </w:rPr>
        <w:t>兆帕级及以上的螺纹钢筋，用高强钢筋替代目前大量使用的</w:t>
      </w:r>
      <w:r>
        <w:rPr>
          <w:rFonts w:eastAsia="方正仿宋_GBK"/>
          <w:color w:val="000000"/>
          <w:spacing w:val="-2"/>
          <w:sz w:val="24"/>
        </w:rPr>
        <w:t>335</w:t>
      </w:r>
      <w:r>
        <w:rPr>
          <w:rFonts w:hint="eastAsia" w:eastAsia="方正仿宋_GBK"/>
          <w:color w:val="000000"/>
          <w:spacing w:val="-2"/>
          <w:sz w:val="24"/>
        </w:rPr>
        <w:t>兆帕级螺纹钢筋，平均可节约钢材</w:t>
      </w:r>
      <w:r>
        <w:rPr>
          <w:rFonts w:eastAsia="方正仿宋_GBK"/>
          <w:color w:val="000000"/>
          <w:spacing w:val="-2"/>
          <w:sz w:val="24"/>
        </w:rPr>
        <w:t>12%</w:t>
      </w:r>
      <w:r>
        <w:rPr>
          <w:rFonts w:hint="eastAsia" w:eastAsia="方正仿宋_GBK"/>
          <w:color w:val="000000"/>
          <w:spacing w:val="-2"/>
          <w:sz w:val="24"/>
        </w:rPr>
        <w:t>以上。在建筑工程中大力推广应用节材节能的高强钢筋，是加快转变经济发展方式的有效途径，是建设资源节约型、环境友好型社会的重要举措。</w:t>
      </w:r>
      <w:r>
        <w:rPr>
          <w:rFonts w:eastAsia="方正仿宋_GBK"/>
          <w:color w:val="000000"/>
          <w:spacing w:val="-2"/>
          <w:sz w:val="24"/>
        </w:rPr>
        <w:t>“</w:t>
      </w:r>
      <w:r>
        <w:rPr>
          <w:rFonts w:hint="eastAsia" w:eastAsia="方正仿宋_GBK"/>
          <w:color w:val="000000"/>
          <w:spacing w:val="-2"/>
          <w:sz w:val="24"/>
        </w:rPr>
        <w:t>十一五</w:t>
      </w:r>
      <w:r>
        <w:rPr>
          <w:rFonts w:eastAsia="方正仿宋_GBK"/>
          <w:color w:val="000000"/>
          <w:spacing w:val="-2"/>
          <w:sz w:val="24"/>
        </w:rPr>
        <w:t>”</w:t>
      </w:r>
      <w:r>
        <w:rPr>
          <w:rFonts w:hint="eastAsia" w:eastAsia="方正仿宋_GBK"/>
          <w:color w:val="000000"/>
          <w:spacing w:val="-2"/>
          <w:sz w:val="24"/>
        </w:rPr>
        <w:t>末，全省</w:t>
      </w:r>
      <w:r>
        <w:rPr>
          <w:rFonts w:eastAsia="方正仿宋_GBK"/>
          <w:color w:val="000000"/>
          <w:spacing w:val="-2"/>
          <w:sz w:val="24"/>
        </w:rPr>
        <w:t>400</w:t>
      </w:r>
      <w:r>
        <w:rPr>
          <w:rFonts w:hint="eastAsia" w:eastAsia="方正仿宋_GBK"/>
          <w:color w:val="000000"/>
          <w:spacing w:val="-2"/>
          <w:sz w:val="24"/>
        </w:rPr>
        <w:t>兆帕级螺纹钢筋的应用率已达到</w:t>
      </w:r>
      <w:r>
        <w:rPr>
          <w:rFonts w:eastAsia="方正仿宋_GBK"/>
          <w:color w:val="000000"/>
          <w:spacing w:val="-2"/>
          <w:sz w:val="24"/>
        </w:rPr>
        <w:t>80%</w:t>
      </w:r>
      <w:r>
        <w:rPr>
          <w:rFonts w:hint="eastAsia" w:eastAsia="方正仿宋_GBK"/>
          <w:color w:val="000000"/>
          <w:spacing w:val="-2"/>
          <w:sz w:val="24"/>
        </w:rPr>
        <w:t>以上，高强钢筋的应用和生产水平居于全国前列。但是，与快速发展的建筑业对高强钢筋的使用要求和国家</w:t>
      </w:r>
      <w:r>
        <w:rPr>
          <w:rFonts w:eastAsia="方正仿宋_GBK"/>
          <w:color w:val="000000"/>
          <w:spacing w:val="-2"/>
          <w:sz w:val="24"/>
        </w:rPr>
        <w:t>“</w:t>
      </w:r>
      <w:r>
        <w:rPr>
          <w:rFonts w:hint="eastAsia" w:eastAsia="方正仿宋_GBK"/>
          <w:color w:val="000000"/>
          <w:spacing w:val="-2"/>
          <w:sz w:val="24"/>
        </w:rPr>
        <w:t>十二五</w:t>
      </w:r>
      <w:r>
        <w:rPr>
          <w:rFonts w:eastAsia="方正仿宋_GBK"/>
          <w:color w:val="000000"/>
          <w:spacing w:val="-2"/>
          <w:sz w:val="24"/>
        </w:rPr>
        <w:t>”</w:t>
      </w:r>
      <w:r>
        <w:rPr>
          <w:rFonts w:hint="eastAsia" w:eastAsia="方正仿宋_GBK"/>
          <w:color w:val="000000"/>
          <w:spacing w:val="-2"/>
          <w:sz w:val="24"/>
        </w:rPr>
        <w:t>节能减排需要相比，</w:t>
      </w:r>
      <w:r>
        <w:rPr>
          <w:rFonts w:eastAsia="方正仿宋_GBK"/>
          <w:color w:val="000000"/>
          <w:spacing w:val="-2"/>
          <w:sz w:val="24"/>
        </w:rPr>
        <w:t>500</w:t>
      </w:r>
      <w:r>
        <w:rPr>
          <w:rFonts w:hint="eastAsia" w:eastAsia="方正仿宋_GBK"/>
          <w:color w:val="000000"/>
          <w:spacing w:val="-2"/>
          <w:sz w:val="24"/>
        </w:rPr>
        <w:t>兆帕级以上高强钢筋的生产和应用技术水平有待提高，高强钢筋的推广应用工作需要进一步加强。为贯彻《住房和城乡建设部</w:t>
      </w:r>
      <w:r>
        <w:rPr>
          <w:rFonts w:eastAsia="方正仿宋_GBK"/>
          <w:color w:val="000000"/>
          <w:spacing w:val="-2"/>
          <w:sz w:val="24"/>
        </w:rPr>
        <w:t xml:space="preserve"> </w:t>
      </w:r>
      <w:r>
        <w:rPr>
          <w:rFonts w:hint="eastAsia" w:eastAsia="方正仿宋_GBK"/>
          <w:color w:val="000000"/>
          <w:spacing w:val="-2"/>
          <w:sz w:val="24"/>
        </w:rPr>
        <w:t>工业和信息化部关于加快应用高强钢筋的指导意见》（建标〔</w:t>
      </w:r>
      <w:r>
        <w:rPr>
          <w:rFonts w:eastAsia="方正仿宋_GBK"/>
          <w:color w:val="000000"/>
          <w:spacing w:val="-2"/>
          <w:sz w:val="24"/>
        </w:rPr>
        <w:t>2012</w:t>
      </w: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号），加快高强钢筋的应用，推动钢铁工业和建筑业的结构调整、转型升级，现结合我省实际，提出如下实施意见：</w:t>
      </w:r>
    </w:p>
    <w:p>
      <w:pPr>
        <w:spacing w:line="460" w:lineRule="exact"/>
        <w:rPr>
          <w:rFonts w:ascii="Times New Roman" w:eastAsia="方正黑体_GBK"/>
          <w:color w:val="000000"/>
          <w:spacing w:val="-2"/>
          <w:sz w:val="24"/>
        </w:rPr>
      </w:pPr>
      <w:r>
        <w:rPr>
          <w:rFonts w:hint="eastAsia" w:ascii="Times New Roman" w:eastAsia="方正黑体_GBK"/>
          <w:color w:val="000000"/>
          <w:spacing w:val="-2"/>
          <w:sz w:val="24"/>
        </w:rPr>
        <w:t xml:space="preserve">    一、明确指导思想和工作目标</w:t>
      </w:r>
    </w:p>
    <w:p>
      <w:pPr>
        <w:spacing w:line="460" w:lineRule="exact"/>
        <w:ind w:firstLine="420"/>
        <w:rPr>
          <w:rFonts w:hint="eastAsia"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认真贯彻国家有关政策、标准，遵循政策引导、行业服务、技术支撑、典型示范、市场配置和供需平衡等基本原则，完善政策和标准配套，优化建筑钢筋生产、使用品种和结构，创新应用建筑高强钢筋工作机制，实现钢铁行业与建筑业的技术进步和节材、节能，促进建筑钢筋使用的减量化，提高资源使用效率。</w:t>
      </w:r>
      <w:r>
        <w:rPr>
          <w:rFonts w:eastAsia="方正仿宋_GBK"/>
          <w:color w:val="000000"/>
          <w:spacing w:val="-2"/>
          <w:sz w:val="24"/>
        </w:rPr>
        <w:t>2012</w:t>
      </w:r>
      <w:r>
        <w:rPr>
          <w:rFonts w:hint="eastAsia" w:eastAsia="方正仿宋_GBK"/>
          <w:color w:val="000000"/>
          <w:spacing w:val="-2"/>
          <w:sz w:val="24"/>
        </w:rPr>
        <w:t>年起，我省将重点推广应用</w:t>
      </w:r>
      <w:r>
        <w:rPr>
          <w:rFonts w:eastAsia="方正仿宋_GBK"/>
          <w:color w:val="000000"/>
          <w:spacing w:val="-2"/>
          <w:sz w:val="24"/>
        </w:rPr>
        <w:t>500</w:t>
      </w:r>
      <w:r>
        <w:rPr>
          <w:rFonts w:hint="eastAsia" w:eastAsia="方正仿宋_GBK"/>
          <w:color w:val="000000"/>
          <w:spacing w:val="-2"/>
          <w:sz w:val="24"/>
        </w:rPr>
        <w:t>兆帕级及以上高强螺纹钢筋，其中，省会城市和苏南地级市应率先采用</w:t>
      </w:r>
      <w:r>
        <w:rPr>
          <w:rFonts w:eastAsia="方正仿宋_GBK"/>
          <w:color w:val="000000"/>
          <w:spacing w:val="-2"/>
          <w:sz w:val="24"/>
        </w:rPr>
        <w:t>500</w:t>
      </w:r>
      <w:r>
        <w:rPr>
          <w:rFonts w:hint="eastAsia" w:eastAsia="方正仿宋_GBK"/>
          <w:color w:val="000000"/>
          <w:spacing w:val="-2"/>
          <w:sz w:val="24"/>
        </w:rPr>
        <w:t>兆帕级及以上高强螺纹钢筋，苏中、苏北地级市中应积极推广</w:t>
      </w:r>
      <w:r>
        <w:rPr>
          <w:rFonts w:eastAsia="方正仿宋_GBK"/>
          <w:color w:val="000000"/>
          <w:spacing w:val="-2"/>
          <w:sz w:val="24"/>
        </w:rPr>
        <w:t>500</w:t>
      </w:r>
      <w:r>
        <w:rPr>
          <w:rFonts w:hint="eastAsia" w:eastAsia="方正仿宋_GBK"/>
          <w:color w:val="000000"/>
          <w:spacing w:val="-2"/>
          <w:sz w:val="24"/>
        </w:rPr>
        <w:t>兆帕级及以上高强螺纹钢筋，有条件的县级城市也应采用</w:t>
      </w:r>
      <w:r>
        <w:rPr>
          <w:rFonts w:eastAsia="方正仿宋_GBK"/>
          <w:color w:val="000000"/>
          <w:spacing w:val="-2"/>
          <w:sz w:val="24"/>
        </w:rPr>
        <w:t>500</w:t>
      </w:r>
      <w:r>
        <w:rPr>
          <w:rFonts w:hint="eastAsia" w:eastAsia="方正仿宋_GBK"/>
          <w:color w:val="000000"/>
          <w:spacing w:val="-2"/>
          <w:sz w:val="24"/>
        </w:rPr>
        <w:t>兆帕级及以上高强螺纹钢筋。</w:t>
      </w:r>
      <w:r>
        <w:rPr>
          <w:rFonts w:eastAsia="方正仿宋_GBK"/>
          <w:color w:val="000000"/>
          <w:spacing w:val="-2"/>
          <w:sz w:val="24"/>
        </w:rPr>
        <w:t>2012</w:t>
      </w:r>
      <w:r>
        <w:rPr>
          <w:rFonts w:hint="eastAsia" w:eastAsia="方正仿宋_GBK"/>
          <w:color w:val="000000"/>
          <w:spacing w:val="-2"/>
          <w:sz w:val="24"/>
        </w:rPr>
        <w:t>年底，在我省建筑工程中淘汰</w:t>
      </w:r>
      <w:r>
        <w:rPr>
          <w:rFonts w:eastAsia="方正仿宋_GBK"/>
          <w:color w:val="000000"/>
          <w:spacing w:val="-2"/>
          <w:sz w:val="24"/>
        </w:rPr>
        <w:t>335</w:t>
      </w:r>
      <w:r>
        <w:rPr>
          <w:rFonts w:hint="eastAsia" w:eastAsia="方正仿宋_GBK"/>
          <w:color w:val="000000"/>
          <w:spacing w:val="-2"/>
          <w:sz w:val="24"/>
        </w:rPr>
        <w:t>兆帕级螺纹钢筋，全面应用</w:t>
      </w:r>
      <w:r>
        <w:rPr>
          <w:rFonts w:eastAsia="方正仿宋_GBK"/>
          <w:color w:val="000000"/>
          <w:spacing w:val="-2"/>
          <w:sz w:val="24"/>
        </w:rPr>
        <w:t>400</w:t>
      </w:r>
      <w:r>
        <w:rPr>
          <w:rFonts w:hint="eastAsia" w:eastAsia="方正仿宋_GBK"/>
          <w:color w:val="000000"/>
          <w:spacing w:val="-2"/>
          <w:sz w:val="24"/>
        </w:rPr>
        <w:t>兆帕级螺纹钢筋。在各级政府投资建设的公共建筑和保障性住房以及大型高层建筑，应优先采用</w:t>
      </w:r>
      <w:r>
        <w:rPr>
          <w:rFonts w:eastAsia="方正仿宋_GBK"/>
          <w:color w:val="000000"/>
          <w:spacing w:val="-2"/>
          <w:sz w:val="24"/>
        </w:rPr>
        <w:t>500</w:t>
      </w:r>
      <w:r>
        <w:rPr>
          <w:rFonts w:hint="eastAsia" w:eastAsia="方正仿宋_GBK"/>
          <w:color w:val="000000"/>
          <w:spacing w:val="-2"/>
          <w:sz w:val="24"/>
        </w:rPr>
        <w:t>兆帕级及以上高强螺纹钢筋，逐年提高</w:t>
      </w:r>
      <w:r>
        <w:rPr>
          <w:rFonts w:eastAsia="方正仿宋_GBK"/>
          <w:color w:val="000000"/>
          <w:spacing w:val="-2"/>
          <w:sz w:val="24"/>
        </w:rPr>
        <w:t>500</w:t>
      </w:r>
      <w:r>
        <w:rPr>
          <w:rFonts w:hint="eastAsia" w:eastAsia="方正仿宋_GBK"/>
          <w:color w:val="000000"/>
          <w:spacing w:val="-2"/>
          <w:sz w:val="24"/>
        </w:rPr>
        <w:t>兆帕级及以上高强螺纹钢筋的生产和使用比例。对于地震多发地区，重点应用高强屈比、均匀伸长率高的高强抗震钢筋。逐步推广应用</w:t>
      </w:r>
      <w:r>
        <w:rPr>
          <w:rFonts w:eastAsia="方正仿宋_GBK"/>
          <w:color w:val="000000"/>
          <w:spacing w:val="-2"/>
          <w:sz w:val="24"/>
        </w:rPr>
        <w:t>500</w:t>
      </w:r>
      <w:r>
        <w:rPr>
          <w:rFonts w:hint="eastAsia" w:eastAsia="方正仿宋_GBK"/>
          <w:color w:val="000000"/>
          <w:spacing w:val="-2"/>
          <w:sz w:val="24"/>
        </w:rPr>
        <w:t>兆帕级及以上的高强螺纹钢筋，到</w:t>
      </w:r>
      <w:r>
        <w:rPr>
          <w:rFonts w:eastAsia="方正仿宋_GBK"/>
          <w:color w:val="000000"/>
          <w:spacing w:val="-2"/>
          <w:sz w:val="24"/>
        </w:rPr>
        <w:t>2015</w:t>
      </w:r>
      <w:r>
        <w:rPr>
          <w:rFonts w:hint="eastAsia" w:eastAsia="方正仿宋_GBK"/>
          <w:color w:val="000000"/>
          <w:spacing w:val="-2"/>
          <w:sz w:val="24"/>
        </w:rPr>
        <w:t>年底，</w:t>
      </w:r>
      <w:r>
        <w:rPr>
          <w:rFonts w:eastAsia="方正仿宋_GBK"/>
          <w:color w:val="000000"/>
          <w:spacing w:val="-2"/>
          <w:sz w:val="24"/>
        </w:rPr>
        <w:t>500</w:t>
      </w:r>
      <w:r>
        <w:rPr>
          <w:rFonts w:hint="eastAsia" w:eastAsia="方正仿宋_GBK"/>
          <w:color w:val="000000"/>
          <w:spacing w:val="-2"/>
          <w:sz w:val="24"/>
        </w:rPr>
        <w:t>兆帕级及以上高强钢筋的产量占我省螺纹钢筋总产量的</w:t>
      </w:r>
      <w:r>
        <w:rPr>
          <w:rFonts w:eastAsia="方正仿宋_GBK"/>
          <w:color w:val="000000"/>
          <w:spacing w:val="-2"/>
          <w:sz w:val="24"/>
        </w:rPr>
        <w:t>25%</w:t>
      </w:r>
      <w:r>
        <w:rPr>
          <w:rFonts w:hint="eastAsia" w:eastAsia="方正仿宋_GBK"/>
          <w:color w:val="000000"/>
          <w:spacing w:val="-2"/>
          <w:sz w:val="24"/>
        </w:rPr>
        <w:t>，在建筑工程中使用量达到建筑用钢筋总量的</w:t>
      </w:r>
      <w:r>
        <w:rPr>
          <w:rFonts w:eastAsia="方正仿宋_GBK"/>
          <w:color w:val="000000"/>
          <w:spacing w:val="-2"/>
          <w:sz w:val="24"/>
        </w:rPr>
        <w:t>20%</w:t>
      </w:r>
      <w:r>
        <w:rPr>
          <w:rFonts w:hint="eastAsia" w:eastAsia="方正仿宋_GBK"/>
          <w:color w:val="000000"/>
          <w:spacing w:val="-2"/>
          <w:sz w:val="24"/>
        </w:rPr>
        <w:t>以上。</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ascii="Times New Roman" w:eastAsia="方正黑体_GBK"/>
          <w:color w:val="000000"/>
          <w:spacing w:val="-2"/>
          <w:sz w:val="24"/>
        </w:rPr>
        <w:t xml:space="preserve">  二、建立职责明确的推进工作体系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成立省高强钢筋推广应用协调领导小组，由省住房和城乡建设厅厅长、省经济和信息化委员会主任任组长，省有关部门分管领导为副组长，负责统一协调和组织推进高强钢筋的推广应用工作。领导小组下辖办公室，办公室成员由省有关部门分管处室处长组成，设在省住房和城乡建设厅。省住房和城乡建设厅作为牵头单位，负责制订全省高强钢筋推广应用的工作方案、配套政策和实施组织工作，具体抓好建筑领域的推广应用；省经济和信息化委员会负责高强钢筋的分类认证、生产供应、技术创新、钢筋产品的淘汰落后、产业政策审查和生产企业示范等工作；省质量技术监督局负责钢筋产品的许可证管理和质量监督管理。要统筹生产和使用环节，建立涵盖高强钢筋产品的研发、生产、加工，到工程的设计、审图、施工、检测、监理、监督、验收和定额等各个环节的协同工作机制，协调解决应用高强钢筋中的问题。</w:t>
      </w:r>
    </w:p>
    <w:p>
      <w:pPr>
        <w:spacing w:line="460" w:lineRule="exact"/>
        <w:rPr>
          <w:rFonts w:ascii="Times New Roman" w:eastAsia="方正黑体_GBK"/>
          <w:color w:val="000000"/>
          <w:spacing w:val="-2"/>
          <w:sz w:val="24"/>
        </w:rPr>
      </w:pPr>
      <w:r>
        <w:rPr>
          <w:rFonts w:hint="eastAsia" w:ascii="Times New Roman" w:eastAsia="方正黑体_GBK"/>
          <w:color w:val="000000"/>
          <w:spacing w:val="-2"/>
          <w:sz w:val="24"/>
        </w:rPr>
        <w:t xml:space="preserve">    三、制订配套的引导政策</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省住房和城乡建设厅、省经信委会同有关部门研究制定相关扶持政策，将高强钢筋推广应用纳入节能减排、绿色建筑行动等工作中。在住房城乡建设领域开展的工程评奖、评定和示范项目以及钢铁行业相关产品评优活动中，将采用高强钢筋的情况作为参评或获奖的条件之一，鼓励建设单位、设计单位使用高强钢筋。对企业采用先进适用技术生产高强钢筋的技术改造项目、淘汰落后项目优先给予资金支持。开展产业政策审查，对不能按期淘汰</w:t>
      </w:r>
      <w:r>
        <w:rPr>
          <w:rFonts w:eastAsia="方正仿宋_GBK"/>
          <w:color w:val="000000"/>
          <w:spacing w:val="-2"/>
          <w:sz w:val="24"/>
        </w:rPr>
        <w:t>235</w:t>
      </w:r>
      <w:r>
        <w:rPr>
          <w:rFonts w:hint="eastAsia" w:eastAsia="方正仿宋_GBK"/>
          <w:color w:val="000000"/>
          <w:spacing w:val="-2"/>
          <w:sz w:val="24"/>
        </w:rPr>
        <w:t>兆帕级光圆钢筋、</w:t>
      </w:r>
      <w:r>
        <w:rPr>
          <w:rFonts w:eastAsia="方正仿宋_GBK"/>
          <w:color w:val="000000"/>
          <w:spacing w:val="-2"/>
          <w:sz w:val="24"/>
        </w:rPr>
        <w:t>335</w:t>
      </w:r>
      <w:r>
        <w:rPr>
          <w:rFonts w:hint="eastAsia" w:eastAsia="方正仿宋_GBK"/>
          <w:color w:val="000000"/>
          <w:spacing w:val="-2"/>
          <w:sz w:val="24"/>
        </w:rPr>
        <w:t>兆帕级螺纹钢筋的企业，将按《工业产品生产许可证注销管理规定》的规定程序，依法注销上述产品的生产许可证。设立专项资金，用于高强钢筋的技术研发、调查统计、宣传培训、产品分类认证等。对重点市场、重点工程使用的钢筋产品加强质量监测，定期予以公告。开展高强钢筋产品的分类认证，加强产品质量检测，严格按照规定对微合金化、超细晶粒、余热处理等不同工艺生产的钢筋进行认证和标识，保证产品质量，避免施工使用中的混淆，规范钢材市场。</w:t>
      </w:r>
    </w:p>
    <w:p>
      <w:pPr>
        <w:spacing w:line="460" w:lineRule="exact"/>
        <w:rPr>
          <w:rFonts w:ascii="Times New Roman" w:eastAsia="方正黑体_GBK"/>
          <w:color w:val="000000"/>
          <w:spacing w:val="-2"/>
          <w:sz w:val="24"/>
        </w:rPr>
      </w:pPr>
      <w:r>
        <w:rPr>
          <w:rFonts w:hint="eastAsia" w:ascii="Times New Roman" w:eastAsia="方正黑体_GBK"/>
          <w:color w:val="000000"/>
          <w:spacing w:val="-2"/>
          <w:sz w:val="24"/>
        </w:rPr>
        <w:t xml:space="preserve">    四、落实重点工作措施</w:t>
      </w:r>
    </w:p>
    <w:p>
      <w:pPr>
        <w:spacing w:line="460" w:lineRule="exact"/>
        <w:rPr>
          <w:rFonts w:hint="eastAsia" w:eastAsia="方正楷体_GBK"/>
          <w:color w:val="000000"/>
          <w:spacing w:val="-2"/>
          <w:sz w:val="24"/>
        </w:rPr>
      </w:pPr>
      <w:r>
        <w:rPr>
          <w:rFonts w:eastAsia="方正楷体_GBK"/>
          <w:color w:val="000000"/>
          <w:spacing w:val="-2"/>
          <w:sz w:val="24"/>
        </w:rPr>
        <w:t xml:space="preserve">    </w:t>
      </w:r>
      <w:r>
        <w:rPr>
          <w:rFonts w:hint="eastAsia" w:eastAsia="方正楷体_GBK"/>
          <w:color w:val="000000"/>
          <w:spacing w:val="-2"/>
          <w:sz w:val="24"/>
        </w:rPr>
        <w:t>（一）加强统计，全面掌握基本情况</w:t>
      </w:r>
    </w:p>
    <w:p>
      <w:pPr>
        <w:spacing w:line="460" w:lineRule="exact"/>
        <w:rPr>
          <w:rFonts w:eastAsia="方正仿宋_GBK"/>
          <w:color w:val="000000"/>
          <w:spacing w:val="-8"/>
          <w:sz w:val="24"/>
        </w:rPr>
      </w:pPr>
      <w:r>
        <w:rPr>
          <w:rFonts w:eastAsia="方正仿宋_GBK"/>
          <w:color w:val="000000"/>
          <w:spacing w:val="-2"/>
          <w:sz w:val="24"/>
        </w:rPr>
        <w:t xml:space="preserve">    </w:t>
      </w:r>
      <w:r>
        <w:rPr>
          <w:rFonts w:hint="eastAsia" w:eastAsia="方正仿宋_GBK"/>
          <w:color w:val="000000"/>
          <w:spacing w:val="-8"/>
          <w:sz w:val="24"/>
        </w:rPr>
        <w:t>组织开展高强钢筋生产情况调查，建立生产企业基本情况季度统计调查制度。组织开展应用情况调查，做好高强钢筋需求量分析预测，全面掌握全省钢筋生产和应用动态。</w:t>
      </w:r>
    </w:p>
    <w:p>
      <w:pPr>
        <w:spacing w:line="460" w:lineRule="exact"/>
        <w:ind w:firstLine="472" w:firstLineChars="200"/>
        <w:rPr>
          <w:rFonts w:eastAsia="方正楷体_GBK"/>
          <w:color w:val="000000"/>
          <w:spacing w:val="-2"/>
          <w:sz w:val="24"/>
        </w:rPr>
      </w:pPr>
      <w:r>
        <w:rPr>
          <w:rFonts w:hint="eastAsia" w:eastAsia="方正楷体_GBK"/>
          <w:color w:val="000000"/>
          <w:spacing w:val="-2"/>
          <w:sz w:val="24"/>
        </w:rPr>
        <w:t>（二）保障供应，规范高强钢筋市场</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钢铁生产企业和加工企业要通过技术改造，保证高强钢筋各品种规格产品的供应，扩大符合抗震要求的</w:t>
      </w:r>
      <w:r>
        <w:rPr>
          <w:rFonts w:eastAsia="方正仿宋_GBK"/>
          <w:color w:val="000000"/>
          <w:spacing w:val="-2"/>
          <w:sz w:val="24"/>
        </w:rPr>
        <w:t>400</w:t>
      </w:r>
      <w:r>
        <w:rPr>
          <w:rFonts w:hint="eastAsia" w:eastAsia="方正仿宋_GBK"/>
          <w:color w:val="000000"/>
          <w:spacing w:val="-2"/>
          <w:sz w:val="24"/>
        </w:rPr>
        <w:t>兆帕级螺纹钢筋的生产，保证</w:t>
      </w:r>
      <w:r>
        <w:rPr>
          <w:rFonts w:eastAsia="方正仿宋_GBK"/>
          <w:color w:val="000000"/>
          <w:spacing w:val="-2"/>
          <w:sz w:val="24"/>
        </w:rPr>
        <w:t>400</w:t>
      </w:r>
      <w:r>
        <w:rPr>
          <w:rFonts w:hint="eastAsia" w:eastAsia="方正仿宋_GBK"/>
          <w:color w:val="000000"/>
          <w:spacing w:val="-2"/>
          <w:sz w:val="24"/>
        </w:rPr>
        <w:t>兆帕级螺纹钢筋生产质量稳定性，努力提高</w:t>
      </w:r>
      <w:r>
        <w:rPr>
          <w:rFonts w:eastAsia="方正仿宋_GBK"/>
          <w:color w:val="000000"/>
          <w:spacing w:val="-2"/>
          <w:sz w:val="24"/>
        </w:rPr>
        <w:t>500</w:t>
      </w:r>
      <w:r>
        <w:rPr>
          <w:rFonts w:hint="eastAsia" w:eastAsia="方正仿宋_GBK"/>
          <w:color w:val="000000"/>
          <w:spacing w:val="-2"/>
          <w:sz w:val="24"/>
        </w:rPr>
        <w:t>兆帕级及以上螺纹钢筋产量，以满足工程的需要。</w:t>
      </w:r>
    </w:p>
    <w:p>
      <w:pPr>
        <w:spacing w:line="460" w:lineRule="exact"/>
        <w:ind w:firstLine="472" w:firstLineChars="200"/>
        <w:rPr>
          <w:rFonts w:eastAsia="方正楷体_GBK"/>
          <w:color w:val="000000"/>
          <w:spacing w:val="-2"/>
          <w:sz w:val="24"/>
        </w:rPr>
      </w:pPr>
      <w:r>
        <w:rPr>
          <w:rFonts w:hint="eastAsia" w:eastAsia="方正楷体_GBK"/>
          <w:color w:val="000000"/>
          <w:spacing w:val="-2"/>
          <w:sz w:val="24"/>
        </w:rPr>
        <w:t>（三）编制标准，加强工程质量监管</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贯彻实施《混凝土结构设计规范》（</w:t>
      </w:r>
      <w:r>
        <w:rPr>
          <w:rFonts w:eastAsia="方正仿宋_GBK"/>
          <w:color w:val="000000"/>
          <w:spacing w:val="-2"/>
          <w:sz w:val="24"/>
        </w:rPr>
        <w:t>GB50010-2010</w:t>
      </w:r>
      <w:r>
        <w:rPr>
          <w:rFonts w:hint="eastAsia" w:eastAsia="方正仿宋_GBK"/>
          <w:color w:val="000000"/>
          <w:spacing w:val="-2"/>
          <w:sz w:val="24"/>
        </w:rPr>
        <w:t>）和《热处理带肋高强钢筋在混凝土结构中应用技术导则》，编制相应的地方推荐性技术规程，积极稳妥地在混凝土结构工程推广应用高强钢筋技术。加强对高强钢筋应用的质量管理。建设、施工、监理企业要加强施工现场进场钢筋及钢筋加工环节的质量检查与检测；加强对设计单位和施工图审查机构执行相关标准规范的监督，完善实施工程建设标准的技术措施。工程质量监督机构要做好相应的监管工作。</w:t>
      </w:r>
    </w:p>
    <w:p>
      <w:pPr>
        <w:spacing w:line="460" w:lineRule="exact"/>
        <w:ind w:firstLine="472" w:firstLineChars="200"/>
        <w:rPr>
          <w:rFonts w:ascii="Times New Roman" w:eastAsia="方正楷体_GBK"/>
          <w:color w:val="000000"/>
          <w:spacing w:val="-2"/>
          <w:sz w:val="24"/>
        </w:rPr>
      </w:pPr>
      <w:r>
        <w:rPr>
          <w:rFonts w:hint="eastAsia" w:ascii="Times New Roman" w:eastAsia="方正楷体_GBK"/>
          <w:color w:val="000000"/>
          <w:spacing w:val="-2"/>
          <w:sz w:val="24"/>
        </w:rPr>
        <w:t>（四）加快研发，形成系列配套技术</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要研究钢筋连接新工艺和新技术，降低工程施工中钢筋加工成本。加强高强钢筋和高强混凝土结构构件抗震性能的研究，特别是高强钢筋和混凝土共同工作机理研究，形成高强高性能钢筋混凝土结构体系，以满足不同结构的需求。要积极开展</w:t>
      </w:r>
      <w:r>
        <w:rPr>
          <w:rFonts w:eastAsia="方正仿宋_GBK"/>
          <w:color w:val="000000"/>
          <w:spacing w:val="-2"/>
          <w:sz w:val="24"/>
        </w:rPr>
        <w:t>600</w:t>
      </w:r>
      <w:r>
        <w:rPr>
          <w:rFonts w:hint="eastAsia" w:eastAsia="方正仿宋_GBK"/>
          <w:color w:val="000000"/>
          <w:spacing w:val="-2"/>
          <w:sz w:val="24"/>
        </w:rPr>
        <w:t>兆帕级及以上螺纹钢筋产品和相应配套技术的研发。</w:t>
      </w:r>
    </w:p>
    <w:p>
      <w:pPr>
        <w:spacing w:line="460" w:lineRule="exact"/>
        <w:ind w:firstLine="472" w:firstLineChars="200"/>
        <w:rPr>
          <w:rFonts w:ascii="Times New Roman" w:eastAsia="方正楷体_GBK"/>
          <w:color w:val="000000"/>
          <w:spacing w:val="-2"/>
          <w:sz w:val="24"/>
        </w:rPr>
      </w:pPr>
      <w:r>
        <w:rPr>
          <w:rFonts w:hint="eastAsia" w:ascii="Times New Roman" w:eastAsia="方正楷体_GBK"/>
          <w:color w:val="000000"/>
          <w:spacing w:val="-2"/>
          <w:sz w:val="24"/>
        </w:rPr>
        <w:t>（五）加强培训，积极开展示范工程</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积极开展相关标准宣贯培训工作，各有关主管部门、协会和企业要完善信息沟通机制，加强高强钢筋推广应用的宣传，在社会上形成用好钢筋、节约用钢筋的氛围，促进节能减排。在全面推进高强钢筋应用的基础上，选择部分城市、项目和钢筋生产企业作为示范，明确示范要求和责任分工，制订示范工作计划，加大监督检查力度，保障示范工作顺利开展。</w:t>
      </w:r>
    </w:p>
    <w:p>
      <w:pPr>
        <w:wordWrap w:val="0"/>
        <w:spacing w:line="460" w:lineRule="exact"/>
        <w:ind w:right="477" w:rightChars="227"/>
        <w:jc w:val="right"/>
        <w:rPr>
          <w:rFonts w:eastAsia="方正仿宋_GBK"/>
          <w:color w:val="000000"/>
          <w:spacing w:val="-2"/>
          <w:sz w:val="24"/>
        </w:rPr>
      </w:pPr>
      <w:r>
        <w:rPr>
          <w:rFonts w:hint="eastAsia" w:eastAsia="方正仿宋_GBK"/>
          <w:color w:val="000000"/>
          <w:spacing w:val="12"/>
          <w:kern w:val="0"/>
          <w:sz w:val="24"/>
        </w:rPr>
        <w:t>江苏省住房和城乡建设</w:t>
      </w:r>
      <w:r>
        <w:rPr>
          <w:rFonts w:hint="eastAsia" w:eastAsia="方正仿宋_GBK"/>
          <w:color w:val="000000"/>
          <w:kern w:val="0"/>
          <w:sz w:val="24"/>
        </w:rPr>
        <w:t>厅</w:t>
      </w:r>
    </w:p>
    <w:p>
      <w:pPr>
        <w:wordWrap w:val="0"/>
        <w:spacing w:line="460" w:lineRule="exact"/>
        <w:ind w:right="477" w:rightChars="227"/>
        <w:jc w:val="right"/>
        <w:rPr>
          <w:rFonts w:eastAsia="方正仿宋_GBK"/>
          <w:color w:val="000000"/>
          <w:spacing w:val="-2"/>
          <w:sz w:val="24"/>
        </w:rPr>
      </w:pPr>
      <w:r>
        <w:rPr>
          <w:rFonts w:hint="eastAsia" w:eastAsia="方正仿宋_GBK"/>
          <w:color w:val="000000"/>
          <w:spacing w:val="-2"/>
          <w:sz w:val="24"/>
        </w:rPr>
        <w:t>江苏省经济和信息化委员会</w:t>
      </w:r>
    </w:p>
    <w:p>
      <w:pPr>
        <w:wordWrap w:val="0"/>
        <w:spacing w:line="460" w:lineRule="exact"/>
        <w:ind w:right="477" w:rightChars="227"/>
        <w:jc w:val="right"/>
        <w:rPr>
          <w:rFonts w:eastAsia="方正仿宋_GBK"/>
          <w:color w:val="000000"/>
          <w:spacing w:val="-2"/>
          <w:sz w:val="24"/>
        </w:rPr>
      </w:pPr>
      <w:r>
        <w:rPr>
          <w:rFonts w:hint="eastAsia" w:eastAsia="方正仿宋_GBK"/>
          <w:color w:val="000000"/>
          <w:spacing w:val="26"/>
          <w:kern w:val="0"/>
          <w:sz w:val="24"/>
        </w:rPr>
        <w:t>江苏省质量技术监督</w:t>
      </w:r>
      <w:r>
        <w:rPr>
          <w:rFonts w:hint="eastAsia" w:eastAsia="方正仿宋_GBK"/>
          <w:color w:val="000000"/>
          <w:spacing w:val="6"/>
          <w:kern w:val="0"/>
          <w:sz w:val="24"/>
        </w:rPr>
        <w:t>局</w:t>
      </w:r>
    </w:p>
    <w:p>
      <w:pPr>
        <w:wordWrap w:val="0"/>
        <w:spacing w:line="460" w:lineRule="exact"/>
        <w:ind w:right="958" w:rightChars="456"/>
        <w:jc w:val="right"/>
        <w:rPr>
          <w:rFonts w:eastAsia="方正仿宋_GBK"/>
          <w:color w:val="000000"/>
          <w:spacing w:val="-2"/>
          <w:kern w:val="0"/>
          <w:sz w:val="24"/>
        </w:rPr>
      </w:pPr>
      <w:r>
        <w:rPr>
          <w:rFonts w:hint="eastAsia" w:eastAsia="方正仿宋_GBK"/>
          <w:color w:val="000000"/>
          <w:spacing w:val="-2"/>
          <w:kern w:val="0"/>
          <w:sz w:val="24"/>
        </w:rPr>
        <w:t>二〇一二年四月五日</w:t>
      </w:r>
    </w:p>
    <w:p>
      <w:pPr>
        <w:autoSpaceDE w:val="0"/>
        <w:autoSpaceDN w:val="0"/>
        <w:snapToGrid w:val="0"/>
        <w:spacing w:line="400" w:lineRule="exact"/>
        <w:ind w:right="-22"/>
        <w:rPr>
          <w:rFonts w:eastAsia="方正仿宋_GBK"/>
          <w:color w:val="000000"/>
          <w:spacing w:val="-2"/>
          <w:szCs w:val="21"/>
        </w:rPr>
      </w:pPr>
    </w:p>
    <w:p/>
    <w:p/>
    <w:p>
      <w:pPr>
        <w:pStyle w:val="2"/>
        <w:spacing w:before="240" w:beforeLines="100" w:after="240" w:afterLines="100" w:line="240" w:lineRule="auto"/>
        <w:jc w:val="center"/>
        <w:rPr>
          <w:rFonts w:ascii="Times New Roman" w:eastAsia="方正小标宋_GBK"/>
          <w:b w:val="0"/>
          <w:sz w:val="36"/>
          <w:szCs w:val="36"/>
        </w:rPr>
      </w:pPr>
      <w:bookmarkStart w:id="394" w:name="_Toc20726458"/>
      <w:bookmarkStart w:id="395" w:name="_Toc18315564"/>
      <w:r>
        <w:rPr>
          <w:rFonts w:hint="eastAsia" w:ascii="Times New Roman" w:eastAsia="方正小标宋_GBK"/>
          <w:b w:val="0"/>
          <w:sz w:val="36"/>
          <w:szCs w:val="36"/>
        </w:rPr>
        <w:t>省住房城乡建设厅、省邮政管理局关于进一步加强    我省住宅信报箱建设管理工作的通知</w:t>
      </w:r>
      <w:bookmarkEnd w:id="394"/>
      <w:bookmarkEnd w:id="39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396" w:name="_Toc20726459"/>
      <w:bookmarkStart w:id="397" w:name="_Toc18315565"/>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370</w:t>
      </w:r>
      <w:r>
        <w:rPr>
          <w:rFonts w:hint="eastAsia" w:ascii="Times New Roman" w:hAnsi="Times New Roman" w:eastAsia="方正楷体_GBK"/>
          <w:b w:val="0"/>
          <w:sz w:val="24"/>
          <w:szCs w:val="24"/>
        </w:rPr>
        <w:t>号</w:t>
      </w:r>
      <w:bookmarkEnd w:id="396"/>
      <w:bookmarkEnd w:id="397"/>
    </w:p>
    <w:p>
      <w:pPr>
        <w:spacing w:line="460" w:lineRule="exact"/>
        <w:rPr>
          <w:rFonts w:eastAsia="方正仿宋_GBK"/>
          <w:color w:val="000000"/>
          <w:spacing w:val="-2"/>
          <w:sz w:val="24"/>
        </w:rPr>
      </w:pPr>
      <w:r>
        <w:rPr>
          <w:rFonts w:hint="eastAsia" w:eastAsia="方正仿宋_GBK"/>
          <w:color w:val="000000"/>
          <w:spacing w:val="-2"/>
          <w:sz w:val="24"/>
        </w:rPr>
        <w:t>各省辖市建设局（委）、规划局、房管局、各省辖市邮政管理局，昆山市、泰兴市、沭阳县建设局、规划局：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为贯彻落实《江苏省邮政普遍服务保障监督管理办法》（省人民政府第</w:t>
      </w:r>
      <w:r>
        <w:rPr>
          <w:rFonts w:eastAsia="方正仿宋_GBK"/>
          <w:color w:val="000000"/>
          <w:spacing w:val="-2"/>
          <w:sz w:val="24"/>
        </w:rPr>
        <w:t>80</w:t>
      </w:r>
      <w:r>
        <w:rPr>
          <w:rFonts w:hint="eastAsia" w:eastAsia="方正仿宋_GBK"/>
          <w:color w:val="000000"/>
          <w:spacing w:val="-2"/>
          <w:sz w:val="24"/>
        </w:rPr>
        <w:t>号令），进一步加强我省住宅信报箱建设和管理，促进我省住宅信报箱应用技术水平和工程质量的不断提高，现将有关工作要求通知如下：</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住宅信报箱是保障公民基本通信权利、方便人民群众获得基本邮政服务和保障邮政普遍服务的基础设施。各部门要不断提高思想认识，全面加强信报箱建设和管理，着重推动保障性住房和县（市）以下城镇住宅小区的信报箱建设，切实维护城镇居民的基本通信权利，促进我省信报箱建设全面均衡发展。</w:t>
      </w:r>
    </w:p>
    <w:p>
      <w:pPr>
        <w:spacing w:line="460" w:lineRule="exact"/>
        <w:ind w:firstLine="467" w:firstLineChars="198"/>
        <w:rPr>
          <w:rFonts w:eastAsia="方正仿宋_GBK"/>
          <w:color w:val="000000"/>
          <w:spacing w:val="-2"/>
          <w:sz w:val="24"/>
        </w:rPr>
      </w:pPr>
      <w:r>
        <w:rPr>
          <w:rFonts w:hint="eastAsia" w:eastAsia="方正仿宋_GBK"/>
          <w:color w:val="000000"/>
          <w:spacing w:val="-2"/>
          <w:sz w:val="24"/>
        </w:rPr>
        <w:t>二、各地邮政管理部门要加强住宅信报箱建设的监督检查。由各地邮政管理部门或其委托的其他单位参加住宅信报箱验收工作，并由各地邮政管理部门向建设单位出具相关验收合格意见。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三、我省工程建设标准设计《住宅信报箱》（苏</w:t>
      </w:r>
      <w:r>
        <w:rPr>
          <w:rFonts w:eastAsia="方正仿宋_GBK"/>
          <w:color w:val="000000"/>
          <w:spacing w:val="-2"/>
          <w:sz w:val="24"/>
        </w:rPr>
        <w:t>J/T47-2013</w:t>
      </w:r>
      <w:r>
        <w:rPr>
          <w:rFonts w:hint="eastAsia" w:eastAsia="方正仿宋_GBK"/>
          <w:color w:val="000000"/>
          <w:spacing w:val="-2"/>
          <w:sz w:val="24"/>
        </w:rPr>
        <w:t>）已于</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6</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日实施。各地建设行政主管部门和邮政管理部门要引导设计单位正确使用该标准设计，充分发挥其作用，切实提高我省信报箱建设整体质量水平。</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四、各地建设行政主管部门和邮政管理部门应建立日常联系沟通机制，相互配合，加强协作，协调解决信报箱建设过程中的问题，共同推进我省住宅信报箱建设。</w:t>
      </w:r>
    </w:p>
    <w:p>
      <w:pPr>
        <w:spacing w:line="460" w:lineRule="exact"/>
        <w:ind w:firstLine="472" w:firstLineChars="200"/>
        <w:rPr>
          <w:rFonts w:eastAsia="方正仿宋_GBK"/>
          <w:color w:val="000000"/>
          <w:spacing w:val="-2"/>
          <w:sz w:val="24"/>
        </w:rPr>
      </w:pPr>
    </w:p>
    <w:p>
      <w:pPr>
        <w:spacing w:line="460" w:lineRule="exact"/>
        <w:ind w:right="437" w:rightChars="208"/>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437" w:rightChars="208"/>
        <w:jc w:val="right"/>
        <w:rPr>
          <w:rFonts w:eastAsia="方正仿宋_GBK"/>
          <w:color w:val="000000"/>
          <w:spacing w:val="-2"/>
          <w:sz w:val="24"/>
        </w:rPr>
      </w:pPr>
      <w:r>
        <w:rPr>
          <w:rFonts w:hint="eastAsia" w:eastAsia="方正仿宋_GBK"/>
          <w:color w:val="000000"/>
          <w:spacing w:val="51"/>
          <w:kern w:val="0"/>
          <w:sz w:val="24"/>
        </w:rPr>
        <w:t>江苏省邮政管理</w:t>
      </w:r>
      <w:r>
        <w:rPr>
          <w:rFonts w:hint="eastAsia" w:eastAsia="方正仿宋_GBK"/>
          <w:color w:val="000000"/>
          <w:spacing w:val="3"/>
          <w:kern w:val="0"/>
          <w:sz w:val="24"/>
        </w:rPr>
        <w:t>局</w:t>
      </w:r>
      <w:r>
        <w:rPr>
          <w:rFonts w:eastAsia="方正仿宋_GBK"/>
          <w:color w:val="000000"/>
          <w:kern w:val="0"/>
          <w:sz w:val="24"/>
        </w:rPr>
        <w:t xml:space="preserve">    </w:t>
      </w:r>
    </w:p>
    <w:p>
      <w:pPr>
        <w:spacing w:line="460" w:lineRule="exact"/>
        <w:ind w:right="596" w:rightChars="284" w:firstLine="472" w:firstLineChars="200"/>
        <w:rPr>
          <w:rFonts w:eastAsia="方正仿宋_GBK"/>
          <w:color w:val="000000"/>
          <w:spacing w:val="-2"/>
          <w:sz w:val="24"/>
        </w:rPr>
      </w:pPr>
      <w:r>
        <w:rPr>
          <w:rFonts w:eastAsia="方正仿宋_GBK"/>
          <w:color w:val="000000"/>
          <w:spacing w:val="-2"/>
          <w:sz w:val="24"/>
        </w:rPr>
        <w:t xml:space="preserve">                                                2013</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25</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jc w:val="center"/>
        <w:rPr>
          <w:rFonts w:eastAsia="方正仿宋_GBK"/>
          <w:color w:val="000000"/>
          <w:sz w:val="24"/>
        </w:rPr>
      </w:pPr>
    </w:p>
    <w:p>
      <w:pPr>
        <w:spacing w:line="500" w:lineRule="exact"/>
        <w:ind w:left="-10" w:leftChars="-8" w:hanging="7" w:hangingChars="3"/>
        <w:jc w:val="center"/>
        <w:rPr>
          <w:rFonts w:ascii="Times New Roman" w:eastAsia="方正小标宋简体"/>
          <w:sz w:val="36"/>
          <w:szCs w:val="36"/>
        </w:rPr>
      </w:pPr>
      <w:r>
        <w:rPr>
          <w:rFonts w:eastAsia="方正仿宋_GBK"/>
          <w:color w:val="000000"/>
          <w:spacing w:val="-2"/>
          <w:kern w:val="0"/>
          <w:sz w:val="24"/>
        </w:rPr>
        <w:br w:type="column"/>
      </w:r>
    </w:p>
    <w:p>
      <w:pPr>
        <w:pStyle w:val="2"/>
        <w:spacing w:before="240" w:beforeLines="100" w:after="240" w:afterLines="100" w:line="240" w:lineRule="auto"/>
        <w:jc w:val="center"/>
        <w:rPr>
          <w:rFonts w:hint="eastAsia" w:ascii="Times New Roman" w:eastAsia="方正小标宋_GBK"/>
          <w:b w:val="0"/>
          <w:sz w:val="36"/>
          <w:szCs w:val="36"/>
        </w:rPr>
      </w:pPr>
      <w:bookmarkStart w:id="398" w:name="_Toc18315566"/>
      <w:bookmarkStart w:id="399" w:name="_Toc20726460"/>
      <w:r>
        <w:rPr>
          <w:rFonts w:hint="eastAsia" w:ascii="Times New Roman" w:eastAsia="方正小标宋_GBK"/>
          <w:b w:val="0"/>
          <w:sz w:val="36"/>
          <w:szCs w:val="36"/>
        </w:rPr>
        <w:t>江苏省住房和城乡建设厅 财政厅关于印发《省级建筑  节能和绿色建筑示范区验收评估细则》的通知</w:t>
      </w:r>
      <w:bookmarkEnd w:id="398"/>
      <w:bookmarkEnd w:id="39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00" w:name="_Toc20726461"/>
      <w:bookmarkStart w:id="401" w:name="_Toc18315567"/>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552</w:t>
      </w:r>
      <w:r>
        <w:rPr>
          <w:rFonts w:hint="eastAsia" w:ascii="Times New Roman" w:hAnsi="Times New Roman" w:eastAsia="方正楷体_GBK"/>
          <w:b w:val="0"/>
          <w:sz w:val="24"/>
          <w:szCs w:val="24"/>
        </w:rPr>
        <w:t>号</w:t>
      </w:r>
      <w:bookmarkEnd w:id="400"/>
      <w:bookmarkEnd w:id="401"/>
    </w:p>
    <w:p>
      <w:pPr>
        <w:spacing w:line="460" w:lineRule="exact"/>
        <w:rPr>
          <w:rFonts w:eastAsia="方正仿宋_GBK"/>
          <w:color w:val="000000"/>
          <w:spacing w:val="-2"/>
          <w:sz w:val="24"/>
        </w:rPr>
      </w:pPr>
      <w:r>
        <w:rPr>
          <w:rFonts w:hint="eastAsia" w:eastAsia="方正仿宋_GBK"/>
          <w:color w:val="000000"/>
          <w:spacing w:val="-2"/>
          <w:sz w:val="24"/>
        </w:rPr>
        <w:t>各市、县建设局（建委），财政局，有关单位：</w:t>
      </w:r>
    </w:p>
    <w:p>
      <w:pPr>
        <w:spacing w:line="460" w:lineRule="exact"/>
        <w:ind w:firstLine="645"/>
        <w:rPr>
          <w:rFonts w:eastAsia="方正仿宋_GBK"/>
          <w:color w:val="000000"/>
          <w:spacing w:val="-2"/>
          <w:sz w:val="24"/>
        </w:rPr>
      </w:pPr>
      <w:r>
        <w:rPr>
          <w:rFonts w:hint="eastAsia" w:eastAsia="方正仿宋_GBK"/>
          <w:color w:val="000000"/>
          <w:spacing w:val="-2"/>
          <w:sz w:val="24"/>
        </w:rPr>
        <w:t>为指导江苏省省级建筑节能和绿色建筑示范区验收评估工作，我们制定了《江苏省省级节能减排（建筑节能）专项引导资金建筑节能和绿色建筑示范区验收评估细则》，现予印发，望遵照执行。</w:t>
      </w:r>
    </w:p>
    <w:p>
      <w:pPr>
        <w:spacing w:line="460" w:lineRule="exact"/>
        <w:ind w:left="867" w:leftChars="188" w:hanging="472" w:hangingChars="200"/>
        <w:contextualSpacing/>
        <w:rPr>
          <w:rFonts w:eastAsia="方正仿宋_GBK"/>
          <w:color w:val="000000"/>
          <w:spacing w:val="-2"/>
          <w:sz w:val="24"/>
        </w:rPr>
      </w:pPr>
    </w:p>
    <w:p>
      <w:pPr>
        <w:spacing w:line="460" w:lineRule="exact"/>
        <w:ind w:left="1457" w:leftChars="188" w:hanging="1062" w:hangingChars="450"/>
        <w:contextualSpacing/>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cs" w:eastAsia="方正仿宋_GBK"/>
          <w:color w:val="000000"/>
          <w:spacing w:val="-2"/>
          <w:sz w:val="24"/>
          <w:cs/>
        </w:rPr>
        <w:t> </w:t>
      </w:r>
      <w:r>
        <w:rPr>
          <w:rFonts w:hint="eastAsia" w:eastAsia="方正仿宋_GBK"/>
          <w:color w:val="000000"/>
          <w:spacing w:val="-2"/>
          <w:sz w:val="24"/>
        </w:rPr>
        <w:t>江苏省省级节能减排（建筑节能）专项引导资金建筑节能和绿色建筑示</w:t>
      </w:r>
    </w:p>
    <w:p>
      <w:pPr>
        <w:spacing w:line="460" w:lineRule="exact"/>
        <w:ind w:left="1453" w:leftChars="643" w:hanging="103" w:hangingChars="44"/>
        <w:contextualSpacing/>
        <w:rPr>
          <w:rFonts w:eastAsia="方正仿宋_GBK"/>
          <w:color w:val="000000"/>
          <w:spacing w:val="-2"/>
          <w:sz w:val="24"/>
        </w:rPr>
      </w:pPr>
      <w:r>
        <w:rPr>
          <w:rFonts w:hint="eastAsia" w:eastAsia="方正仿宋_GBK"/>
          <w:color w:val="000000"/>
          <w:spacing w:val="-2"/>
          <w:sz w:val="24"/>
        </w:rPr>
        <w:t>范区验收评估细则；</w:t>
      </w:r>
    </w:p>
    <w:p>
      <w:pPr>
        <w:spacing w:line="460" w:lineRule="exact"/>
        <w:ind w:left="1417" w:leftChars="506" w:hanging="354" w:hangingChars="150"/>
        <w:contextualSpacing/>
        <w:rPr>
          <w:rFonts w:eastAsia="方正仿宋_GBK"/>
          <w:color w:val="000000"/>
          <w:spacing w:val="-2"/>
          <w:sz w:val="24"/>
        </w:rPr>
      </w:pPr>
      <w:r>
        <w:rPr>
          <w:rFonts w:eastAsia="方正仿宋_GBK"/>
          <w:color w:val="000000"/>
          <w:spacing w:val="-2"/>
          <w:sz w:val="24"/>
        </w:rPr>
        <w:t>2.</w:t>
      </w:r>
      <w:r>
        <w:rPr>
          <w:rFonts w:hint="cs" w:eastAsia="方正仿宋_GBK"/>
          <w:color w:val="000000"/>
          <w:spacing w:val="-2"/>
          <w:sz w:val="24"/>
          <w:cs/>
        </w:rPr>
        <w:t> </w:t>
      </w:r>
      <w:r>
        <w:rPr>
          <w:rFonts w:hint="eastAsia" w:eastAsia="方正仿宋_GBK"/>
          <w:color w:val="000000"/>
          <w:spacing w:val="-2"/>
          <w:sz w:val="24"/>
        </w:rPr>
        <w:t>江苏省省级节能减排（建筑节能）专项引导资金建筑节能和绿色建筑示</w:t>
      </w:r>
    </w:p>
    <w:p>
      <w:pPr>
        <w:spacing w:line="460" w:lineRule="exact"/>
        <w:ind w:left="1414" w:leftChars="606" w:hanging="141" w:hangingChars="60"/>
        <w:contextualSpacing/>
        <w:rPr>
          <w:rFonts w:eastAsia="方正仿宋_GBK"/>
          <w:color w:val="000000"/>
          <w:spacing w:val="-2"/>
          <w:sz w:val="24"/>
        </w:rPr>
      </w:pPr>
      <w:r>
        <w:rPr>
          <w:rFonts w:hint="eastAsia" w:eastAsia="方正仿宋_GBK"/>
          <w:color w:val="000000"/>
          <w:spacing w:val="-2"/>
          <w:sz w:val="24"/>
        </w:rPr>
        <w:t>范区验收评估申请表（样表）；</w:t>
      </w:r>
    </w:p>
    <w:p>
      <w:pPr>
        <w:spacing w:line="460" w:lineRule="exact"/>
        <w:ind w:left="1412" w:leftChars="504" w:hanging="354" w:hangingChars="150"/>
        <w:contextualSpacing/>
        <w:rPr>
          <w:rFonts w:eastAsia="方正仿宋_GBK"/>
          <w:color w:val="000000"/>
          <w:spacing w:val="-2"/>
          <w:sz w:val="24"/>
        </w:rPr>
      </w:pPr>
      <w:r>
        <w:rPr>
          <w:rFonts w:eastAsia="方正仿宋_GBK"/>
          <w:color w:val="000000"/>
          <w:spacing w:val="-2"/>
          <w:sz w:val="24"/>
        </w:rPr>
        <w:t>3.</w:t>
      </w:r>
      <w:r>
        <w:rPr>
          <w:rFonts w:hint="cs" w:eastAsia="方正仿宋_GBK"/>
          <w:color w:val="000000"/>
          <w:spacing w:val="-2"/>
          <w:sz w:val="24"/>
          <w:cs/>
        </w:rPr>
        <w:t> </w:t>
      </w:r>
      <w:r>
        <w:rPr>
          <w:rFonts w:hint="eastAsia" w:eastAsia="方正仿宋_GBK"/>
          <w:color w:val="000000"/>
          <w:spacing w:val="-2"/>
          <w:sz w:val="24"/>
        </w:rPr>
        <w:t>江苏省省级节能减排</w:t>
      </w:r>
      <w:r>
        <w:rPr>
          <w:rFonts w:eastAsia="方正仿宋_GBK"/>
          <w:color w:val="000000"/>
          <w:spacing w:val="-2"/>
          <w:sz w:val="24"/>
        </w:rPr>
        <w:t>(</w:t>
      </w:r>
      <w:r>
        <w:rPr>
          <w:rFonts w:hint="eastAsia" w:eastAsia="方正仿宋_GBK"/>
          <w:color w:val="000000"/>
          <w:spacing w:val="-2"/>
          <w:sz w:val="24"/>
        </w:rPr>
        <w:t>建筑节能</w:t>
      </w:r>
      <w:r>
        <w:rPr>
          <w:rFonts w:eastAsia="方正仿宋_GBK"/>
          <w:color w:val="000000"/>
          <w:spacing w:val="-2"/>
          <w:sz w:val="24"/>
        </w:rPr>
        <w:t>)</w:t>
      </w:r>
      <w:r>
        <w:rPr>
          <w:rFonts w:hint="eastAsia" w:eastAsia="方正仿宋_GBK"/>
          <w:color w:val="000000"/>
          <w:spacing w:val="-2"/>
          <w:sz w:val="24"/>
        </w:rPr>
        <w:t>专项引导资金建筑节能和绿色建筑示范</w:t>
      </w:r>
    </w:p>
    <w:p>
      <w:pPr>
        <w:spacing w:line="460" w:lineRule="exact"/>
        <w:ind w:left="1409" w:leftChars="605" w:hanging="139" w:hangingChars="59"/>
        <w:contextualSpacing/>
        <w:rPr>
          <w:rFonts w:eastAsia="方正仿宋_GBK"/>
          <w:color w:val="000000"/>
          <w:spacing w:val="-2"/>
          <w:sz w:val="24"/>
        </w:rPr>
      </w:pPr>
      <w:r>
        <w:rPr>
          <w:rFonts w:hint="eastAsia" w:eastAsia="方正仿宋_GBK"/>
          <w:color w:val="000000"/>
          <w:spacing w:val="-2"/>
          <w:sz w:val="24"/>
        </w:rPr>
        <w:t>区验收评估报告（样表）；</w:t>
      </w:r>
    </w:p>
    <w:p>
      <w:pPr>
        <w:spacing w:line="460" w:lineRule="exact"/>
        <w:ind w:firstLine="1080" w:firstLineChars="458"/>
        <w:rPr>
          <w:rFonts w:eastAsia="方正仿宋_GBK"/>
          <w:color w:val="000000"/>
          <w:spacing w:val="-2"/>
          <w:sz w:val="24"/>
        </w:rPr>
      </w:pPr>
      <w:r>
        <w:rPr>
          <w:rFonts w:eastAsia="方正仿宋_GBK"/>
          <w:color w:val="000000"/>
          <w:spacing w:val="-2"/>
          <w:sz w:val="24"/>
        </w:rPr>
        <w:t>4.</w:t>
      </w:r>
      <w:r>
        <w:rPr>
          <w:rFonts w:hint="cs" w:eastAsia="方正仿宋_GBK"/>
          <w:color w:val="000000"/>
          <w:spacing w:val="-2"/>
          <w:sz w:val="24"/>
          <w:cs/>
        </w:rPr>
        <w:t> </w:t>
      </w:r>
      <w:r>
        <w:rPr>
          <w:rFonts w:hint="eastAsia" w:eastAsia="方正仿宋_GBK"/>
          <w:color w:val="000000"/>
          <w:spacing w:val="-2"/>
          <w:sz w:val="24"/>
        </w:rPr>
        <w:t>示范区建筑节能和绿色建筑示范项目汇总表；</w:t>
      </w:r>
    </w:p>
    <w:p>
      <w:pPr>
        <w:spacing w:line="460" w:lineRule="exact"/>
        <w:ind w:firstLine="1066" w:firstLineChars="452"/>
        <w:rPr>
          <w:rFonts w:eastAsia="方正仿宋_GBK"/>
          <w:color w:val="000000"/>
          <w:spacing w:val="-2"/>
          <w:sz w:val="24"/>
        </w:rPr>
      </w:pPr>
      <w:r>
        <w:rPr>
          <w:rFonts w:eastAsia="方正仿宋_GBK"/>
          <w:color w:val="000000"/>
          <w:spacing w:val="-2"/>
          <w:sz w:val="24"/>
        </w:rPr>
        <w:t>5.</w:t>
      </w:r>
      <w:r>
        <w:rPr>
          <w:rFonts w:hint="cs" w:eastAsia="方正仿宋_GBK"/>
          <w:color w:val="000000"/>
          <w:spacing w:val="-2"/>
          <w:sz w:val="24"/>
          <w:cs/>
        </w:rPr>
        <w:t> </w:t>
      </w:r>
      <w:r>
        <w:rPr>
          <w:rFonts w:hint="eastAsia" w:eastAsia="方正仿宋_GBK"/>
          <w:color w:val="000000"/>
          <w:spacing w:val="-2"/>
          <w:sz w:val="24"/>
        </w:rPr>
        <w:t>示范区实施总结报告编写提纲；</w:t>
      </w:r>
    </w:p>
    <w:p>
      <w:pPr>
        <w:spacing w:line="460" w:lineRule="exact"/>
        <w:ind w:firstLine="1062" w:firstLineChars="450"/>
        <w:rPr>
          <w:rFonts w:eastAsia="方正仿宋_GBK"/>
          <w:color w:val="000000"/>
          <w:spacing w:val="-2"/>
          <w:sz w:val="24"/>
        </w:rPr>
      </w:pPr>
      <w:r>
        <w:rPr>
          <w:rFonts w:eastAsia="方正仿宋_GBK"/>
          <w:color w:val="000000"/>
          <w:spacing w:val="-2"/>
          <w:sz w:val="24"/>
        </w:rPr>
        <w:t>6.</w:t>
      </w:r>
      <w:r>
        <w:rPr>
          <w:rFonts w:hint="cs" w:eastAsia="方正仿宋_GBK"/>
          <w:color w:val="000000"/>
          <w:spacing w:val="-2"/>
          <w:sz w:val="24"/>
          <w:cs/>
        </w:rPr>
        <w:t> </w:t>
      </w:r>
      <w:r>
        <w:rPr>
          <w:rFonts w:hint="eastAsia" w:eastAsia="方正仿宋_GBK"/>
          <w:color w:val="000000"/>
          <w:spacing w:val="-2"/>
          <w:sz w:val="24"/>
        </w:rPr>
        <w:t>示范区财政补助资金及配套资金使用及管理情况总结报告编写提纲。</w:t>
      </w:r>
    </w:p>
    <w:p>
      <w:pPr>
        <w:spacing w:line="460" w:lineRule="exact"/>
        <w:ind w:firstLine="645"/>
        <w:rPr>
          <w:rFonts w:eastAsia="方正仿宋_GBK"/>
          <w:color w:val="000000"/>
          <w:spacing w:val="-2"/>
          <w:sz w:val="24"/>
        </w:rPr>
      </w:pPr>
    </w:p>
    <w:p>
      <w:pPr>
        <w:spacing w:line="460" w:lineRule="exact"/>
        <w:ind w:right="518" w:firstLine="467"/>
        <w:contextualSpacing/>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518" w:firstLine="467"/>
        <w:contextualSpacing/>
        <w:jc w:val="right"/>
        <w:rPr>
          <w:rFonts w:eastAsia="方正仿宋_GBK"/>
          <w:color w:val="000000"/>
          <w:spacing w:val="-2"/>
          <w:sz w:val="24"/>
        </w:rPr>
      </w:pPr>
      <w:r>
        <w:rPr>
          <w:rFonts w:hint="eastAsia" w:eastAsia="方正仿宋_GBK"/>
          <w:color w:val="000000"/>
          <w:spacing w:val="120"/>
          <w:kern w:val="0"/>
          <w:sz w:val="24"/>
        </w:rPr>
        <w:t>江苏省财政</w:t>
      </w:r>
      <w:r>
        <w:rPr>
          <w:rFonts w:hint="eastAsia" w:eastAsia="方正仿宋_GBK"/>
          <w:color w:val="000000"/>
          <w:kern w:val="0"/>
          <w:sz w:val="24"/>
        </w:rPr>
        <w:t>厅</w:t>
      </w:r>
      <w:r>
        <w:rPr>
          <w:rFonts w:eastAsia="方正仿宋_GBK"/>
          <w:color w:val="000000"/>
          <w:kern w:val="0"/>
          <w:sz w:val="24"/>
        </w:rPr>
        <w:t xml:space="preserve">    </w:t>
      </w:r>
    </w:p>
    <w:p>
      <w:pPr>
        <w:spacing w:line="460" w:lineRule="exact"/>
        <w:ind w:right="878" w:firstLine="645"/>
        <w:contextualSpacing/>
        <w:jc w:val="right"/>
        <w:rPr>
          <w:rFonts w:eastAsia="方正仿宋_GBK"/>
          <w:color w:val="000000"/>
          <w:spacing w:val="-2"/>
          <w:sz w:val="24"/>
        </w:rPr>
      </w:pPr>
      <w:r>
        <w:rPr>
          <w:rFonts w:eastAsia="方正仿宋_GBK"/>
          <w:color w:val="000000"/>
          <w:spacing w:val="-2"/>
          <w:sz w:val="24"/>
        </w:rPr>
        <w:t xml:space="preserve">                              2013</w:t>
      </w:r>
      <w:r>
        <w:rPr>
          <w:rFonts w:hint="eastAsia" w:eastAsia="方正仿宋_GBK"/>
          <w:color w:val="000000"/>
          <w:spacing w:val="-2"/>
          <w:sz w:val="24"/>
        </w:rPr>
        <w:t>年</w:t>
      </w:r>
      <w:r>
        <w:rPr>
          <w:rFonts w:eastAsia="方正仿宋_GBK"/>
          <w:color w:val="000000"/>
          <w:spacing w:val="-2"/>
          <w:sz w:val="24"/>
        </w:rPr>
        <w:t>11</w:t>
      </w:r>
      <w:r>
        <w:rPr>
          <w:rFonts w:hint="eastAsia" w:eastAsia="方正仿宋_GBK"/>
          <w:color w:val="000000"/>
          <w:spacing w:val="-2"/>
          <w:sz w:val="24"/>
        </w:rPr>
        <w:t>月</w:t>
      </w:r>
      <w:r>
        <w:rPr>
          <w:rFonts w:eastAsia="方正仿宋_GBK"/>
          <w:color w:val="000000"/>
          <w:spacing w:val="-2"/>
          <w:sz w:val="24"/>
        </w:rPr>
        <w:t>4</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jc w:val="center"/>
        <w:rPr>
          <w:rFonts w:eastAsia="方正仿宋_GBK"/>
          <w:b/>
          <w:color w:val="000000"/>
          <w:spacing w:val="-2"/>
          <w:sz w:val="24"/>
        </w:rPr>
      </w:pPr>
    </w:p>
    <w:p>
      <w:pPr>
        <w:spacing w:line="460" w:lineRule="exact"/>
        <w:jc w:val="center"/>
        <w:rPr>
          <w:rFonts w:eastAsia="方正仿宋_GBK"/>
          <w:b/>
          <w:color w:val="000000"/>
          <w:spacing w:val="-2"/>
          <w:sz w:val="24"/>
        </w:rPr>
      </w:pPr>
    </w:p>
    <w:p>
      <w:pPr>
        <w:spacing w:line="460" w:lineRule="exact"/>
        <w:rPr>
          <w:rFonts w:ascii="Times New Roman" w:eastAsia="方正黑体_GBK"/>
          <w:color w:val="000000"/>
          <w:spacing w:val="-2"/>
          <w:sz w:val="28"/>
          <w:szCs w:val="28"/>
        </w:rPr>
      </w:pPr>
      <w:r>
        <w:rPr>
          <w:rFonts w:eastAsia="方正仿宋_GBK"/>
          <w:b/>
          <w:color w:val="000000"/>
          <w:spacing w:val="-2"/>
          <w:sz w:val="24"/>
        </w:rPr>
        <w:br w:type="column"/>
      </w:r>
      <w:r>
        <w:rPr>
          <w:rFonts w:hint="eastAsia" w:ascii="Times New Roman" w:eastAsia="方正黑体_GBK"/>
          <w:color w:val="000000"/>
          <w:spacing w:val="-2"/>
          <w:sz w:val="28"/>
          <w:szCs w:val="28"/>
        </w:rPr>
        <w:t>附件1：</w:t>
      </w:r>
    </w:p>
    <w:p>
      <w:pPr>
        <w:spacing w:line="460" w:lineRule="exact"/>
        <w:rPr>
          <w:rFonts w:hint="eastAsia" w:eastAsia="方正仿宋_GBK"/>
          <w:color w:val="000000"/>
          <w:spacing w:val="-2"/>
          <w:sz w:val="24"/>
        </w:rPr>
      </w:pPr>
    </w:p>
    <w:p>
      <w:pPr>
        <w:spacing w:line="460" w:lineRule="exact"/>
        <w:jc w:val="center"/>
        <w:rPr>
          <w:rFonts w:ascii="Times New Roman" w:eastAsia="方正小标宋简体"/>
          <w:color w:val="000000"/>
          <w:spacing w:val="-2"/>
          <w:sz w:val="36"/>
          <w:szCs w:val="36"/>
        </w:rPr>
      </w:pPr>
      <w:r>
        <w:rPr>
          <w:rFonts w:hint="eastAsia" w:ascii="Times New Roman" w:eastAsia="方正小标宋简体"/>
          <w:color w:val="000000"/>
          <w:spacing w:val="-2"/>
          <w:sz w:val="36"/>
          <w:szCs w:val="36"/>
        </w:rPr>
        <w:t>江苏省省级节能减排（建筑节能）专项引导资金</w:t>
      </w:r>
    </w:p>
    <w:p>
      <w:pPr>
        <w:spacing w:line="460" w:lineRule="exact"/>
        <w:jc w:val="center"/>
        <w:rPr>
          <w:rFonts w:hint="eastAsia" w:ascii="Times New Roman" w:eastAsia="方正小标宋简体"/>
          <w:b/>
          <w:color w:val="000000"/>
          <w:spacing w:val="-2"/>
          <w:sz w:val="36"/>
          <w:szCs w:val="36"/>
        </w:rPr>
      </w:pPr>
      <w:r>
        <w:rPr>
          <w:rFonts w:hint="eastAsia" w:ascii="Times New Roman" w:eastAsia="方正小标宋简体"/>
          <w:color w:val="000000"/>
          <w:spacing w:val="-2"/>
          <w:sz w:val="36"/>
          <w:szCs w:val="36"/>
        </w:rPr>
        <w:t>建筑节能和绿色建筑示范区验收评估细则</w:t>
      </w:r>
    </w:p>
    <w:p>
      <w:pPr>
        <w:spacing w:line="460" w:lineRule="exact"/>
        <w:jc w:val="center"/>
        <w:rPr>
          <w:rFonts w:hint="eastAsia" w:eastAsia="方正仿宋_GBK"/>
          <w:color w:val="000000"/>
          <w:spacing w:val="-2"/>
          <w:sz w:val="24"/>
        </w:rPr>
      </w:pPr>
    </w:p>
    <w:p>
      <w:pPr>
        <w:spacing w:line="460" w:lineRule="exact"/>
        <w:ind w:hanging="15"/>
        <w:jc w:val="center"/>
        <w:rPr>
          <w:rFonts w:eastAsia="方正仿宋_GBK"/>
          <w:color w:val="000000"/>
          <w:spacing w:val="-2"/>
          <w:sz w:val="24"/>
        </w:rPr>
      </w:pPr>
      <w:r>
        <w:rPr>
          <w:rFonts w:hint="eastAsia" w:ascii="Times New Roman" w:eastAsia="方正黑体_GBK"/>
          <w:color w:val="000000"/>
          <w:spacing w:val="-2"/>
          <w:sz w:val="24"/>
        </w:rPr>
        <w:t>第一章</w:t>
      </w:r>
      <w:r>
        <w:rPr>
          <w:rFonts w:eastAsia="方正仿宋_GBK"/>
          <w:color w:val="000000"/>
          <w:spacing w:val="-2"/>
          <w:sz w:val="24"/>
        </w:rPr>
        <w:t xml:space="preserve">  </w:t>
      </w:r>
      <w:r>
        <w:rPr>
          <w:rFonts w:hint="eastAsia" w:ascii="Times New Roman" w:eastAsia="方正黑体_GBK"/>
          <w:color w:val="000000"/>
          <w:spacing w:val="-2"/>
          <w:sz w:val="24"/>
        </w:rPr>
        <w:t>总    则</w:t>
      </w:r>
    </w:p>
    <w:p>
      <w:pPr>
        <w:spacing w:line="460" w:lineRule="exact"/>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2"/>
          <w:sz w:val="24"/>
        </w:rPr>
        <w:t>为规范指导江苏省省级节能减排（建筑节能）专项引导资金建筑节能和绿色建筑示范区验收评估工作，特制定本细则。</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本细则适用于江苏省住房和城乡建设厅、江苏省财政厅批准的省级建筑节能和绿色建筑示范区（以下简称示范区）的验收评估。</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验收评估工作的主要依据：</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（一）《江苏省省级节能减排（建筑节能）专项引导资金管理暂行办法》（苏财规〔</w:t>
      </w:r>
      <w:r>
        <w:rPr>
          <w:rFonts w:eastAsia="方正仿宋_GBK"/>
          <w:color w:val="000000"/>
          <w:spacing w:val="-2"/>
          <w:sz w:val="24"/>
        </w:rPr>
        <w:t>2010</w:t>
      </w:r>
      <w:r>
        <w:rPr>
          <w:rFonts w:hint="eastAsia" w:eastAsia="方正仿宋_GBK"/>
          <w:color w:val="000000"/>
          <w:spacing w:val="-2"/>
          <w:sz w:val="24"/>
        </w:rPr>
        <w:t>〕</w:t>
      </w:r>
      <w:r>
        <w:rPr>
          <w:rFonts w:eastAsia="方正仿宋_GBK"/>
          <w:color w:val="000000"/>
          <w:spacing w:val="-2"/>
          <w:sz w:val="24"/>
        </w:rPr>
        <w:t>19</w:t>
      </w:r>
      <w:r>
        <w:rPr>
          <w:rFonts w:hint="eastAsia" w:eastAsia="方正仿宋_GBK"/>
          <w:color w:val="000000"/>
          <w:spacing w:val="-2"/>
          <w:sz w:val="24"/>
        </w:rPr>
        <w:t>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（二）《江苏省省级建筑节能专项引导资金绩效考核暂行办法》（苏财建〔</w:t>
      </w:r>
      <w:r>
        <w:rPr>
          <w:rFonts w:eastAsia="方正仿宋_GBK"/>
          <w:color w:val="000000"/>
          <w:spacing w:val="-2"/>
          <w:sz w:val="24"/>
        </w:rPr>
        <w:t>2011</w:t>
      </w:r>
      <w:r>
        <w:rPr>
          <w:rFonts w:hint="eastAsia" w:eastAsia="方正仿宋_GBK"/>
          <w:color w:val="000000"/>
          <w:spacing w:val="-2"/>
          <w:sz w:val="24"/>
        </w:rPr>
        <w:t>〕</w:t>
      </w:r>
      <w:r>
        <w:rPr>
          <w:rFonts w:eastAsia="方正仿宋_GBK"/>
          <w:color w:val="000000"/>
          <w:spacing w:val="-2"/>
          <w:sz w:val="24"/>
        </w:rPr>
        <w:t>89</w:t>
      </w:r>
      <w:r>
        <w:rPr>
          <w:rFonts w:hint="eastAsia" w:eastAsia="方正仿宋_GBK"/>
          <w:color w:val="000000"/>
          <w:spacing w:val="-2"/>
          <w:sz w:val="24"/>
        </w:rPr>
        <w:t>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（三）关于公布首批省级建筑节能和绿色建筑示范区项目及加强示范区建设管理工作的通知（苏建函科〔</w:t>
      </w:r>
      <w:r>
        <w:rPr>
          <w:rFonts w:eastAsia="方正仿宋_GBK"/>
          <w:color w:val="000000"/>
          <w:spacing w:val="-2"/>
          <w:sz w:val="24"/>
        </w:rPr>
        <w:t>2011</w:t>
      </w:r>
      <w:r>
        <w:rPr>
          <w:rFonts w:hint="eastAsia" w:eastAsia="方正仿宋_GBK"/>
          <w:color w:val="000000"/>
          <w:spacing w:val="-2"/>
          <w:sz w:val="24"/>
        </w:rPr>
        <w:t>〕</w:t>
      </w:r>
      <w:r>
        <w:rPr>
          <w:rFonts w:eastAsia="方正仿宋_GBK"/>
          <w:color w:val="000000"/>
          <w:spacing w:val="-2"/>
          <w:sz w:val="24"/>
        </w:rPr>
        <w:t>91</w:t>
      </w:r>
      <w:r>
        <w:rPr>
          <w:rFonts w:hint="eastAsia" w:eastAsia="方正仿宋_GBK"/>
          <w:color w:val="000000"/>
          <w:spacing w:val="-2"/>
          <w:sz w:val="24"/>
        </w:rPr>
        <w:t>号）。</w:t>
      </w:r>
    </w:p>
    <w:p>
      <w:pPr>
        <w:spacing w:line="460" w:lineRule="exact"/>
        <w:ind w:firstLine="600"/>
        <w:jc w:val="center"/>
        <w:rPr>
          <w:rFonts w:eastAsia="方正仿宋_GBK"/>
          <w:color w:val="000000"/>
          <w:spacing w:val="-2"/>
          <w:sz w:val="24"/>
        </w:rPr>
      </w:pPr>
    </w:p>
    <w:p>
      <w:pPr>
        <w:spacing w:line="460" w:lineRule="exact"/>
        <w:ind w:hanging="15"/>
        <w:jc w:val="center"/>
        <w:rPr>
          <w:rFonts w:ascii="Times New Roman" w:eastAsia="方正黑体_GBK"/>
          <w:color w:val="000000"/>
          <w:spacing w:val="-2"/>
          <w:sz w:val="24"/>
        </w:rPr>
      </w:pPr>
      <w:r>
        <w:rPr>
          <w:rFonts w:hint="eastAsia" w:ascii="Times New Roman" w:eastAsia="方正黑体_GBK"/>
          <w:color w:val="000000"/>
          <w:spacing w:val="-2"/>
          <w:sz w:val="24"/>
        </w:rPr>
        <w:t>第二章  验收条件</w:t>
      </w:r>
    </w:p>
    <w:p>
      <w:pPr>
        <w:spacing w:line="460" w:lineRule="exact"/>
        <w:ind w:firstLine="6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示范区需达到以下条件，方可验收：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（一）已按通过论证的的实施方案组织实施，完成专项规划、节约型城乡建设示范工作、建筑节能和绿色建筑示范项目等示范任务以及配套能力建设目标；</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（二）示范项目建设手续完备，管理规范，质量符合要求，绿色建筑项目获得绿色建筑评价标识和能效测评标识；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（三）财政补助资金和配套资金按要求及时到位，资金的使用及管理符合有关规定。</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（四）示范区建设信息已录入江苏省建筑节能和绿色建筑示范区管理信息平台，可借助平台开展工作，相关数据实现稳定上传。</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（五）建立了示范区后评估体系和后期运营管理制度等示范区建设长效机制。</w:t>
      </w:r>
    </w:p>
    <w:p>
      <w:pPr>
        <w:spacing w:line="460" w:lineRule="exact"/>
        <w:jc w:val="center"/>
        <w:rPr>
          <w:rFonts w:eastAsia="方正仿宋_GBK"/>
          <w:color w:val="000000"/>
          <w:spacing w:val="-2"/>
          <w:sz w:val="24"/>
        </w:rPr>
      </w:pPr>
    </w:p>
    <w:p>
      <w:pPr>
        <w:spacing w:line="460" w:lineRule="exact"/>
        <w:ind w:hanging="15"/>
        <w:jc w:val="center"/>
        <w:rPr>
          <w:rFonts w:ascii="Times New Roman" w:eastAsia="方正黑体_GBK"/>
          <w:color w:val="000000"/>
          <w:spacing w:val="-2"/>
          <w:sz w:val="24"/>
        </w:rPr>
      </w:pPr>
      <w:r>
        <w:rPr>
          <w:rFonts w:hint="eastAsia" w:ascii="Times New Roman" w:eastAsia="方正黑体_GBK"/>
          <w:color w:val="000000"/>
          <w:spacing w:val="-2"/>
          <w:sz w:val="24"/>
        </w:rPr>
        <w:t>第三章  验收内容</w:t>
      </w:r>
    </w:p>
    <w:p>
      <w:pPr>
        <w:spacing w:line="460" w:lineRule="exact"/>
        <w:ind w:firstLine="6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示范区验收内容包括：</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（一）示范区总体任务完成情况；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（二）示范区专项规划编制及批准实施情况；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（三）示范区节约型城乡建设工作完成情况及考核指标体系达标情况；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（四）示范区建筑节能和绿色建筑示范项目完成情况，包括可再生能源建筑应用项目、绿色建筑项目、建筑能耗分项计量项目及住宅全装修项目等完成情况；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（五）示范区配套能力建设情况，包括领导小组和办事机构建立、法规政策、技术标准、科技研发、后期运营管理制度等；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（六）财政补助资金及配套资金使用及管理情况。</w:t>
      </w:r>
      <w:r>
        <w:rPr>
          <w:rFonts w:eastAsia="方正仿宋_GBK"/>
          <w:color w:val="000000"/>
          <w:spacing w:val="-2"/>
          <w:sz w:val="24"/>
        </w:rPr>
        <w:t xml:space="preserve"> </w:t>
      </w:r>
    </w:p>
    <w:p>
      <w:pPr>
        <w:spacing w:line="460" w:lineRule="exact"/>
        <w:jc w:val="center"/>
        <w:rPr>
          <w:rFonts w:eastAsia="方正仿宋_GBK"/>
          <w:color w:val="000000"/>
          <w:spacing w:val="-2"/>
          <w:sz w:val="24"/>
        </w:rPr>
      </w:pPr>
    </w:p>
    <w:p>
      <w:pPr>
        <w:spacing w:line="460" w:lineRule="exact"/>
        <w:ind w:hanging="15"/>
        <w:jc w:val="center"/>
        <w:rPr>
          <w:rFonts w:ascii="Times New Roman" w:eastAsia="方正黑体_GBK"/>
          <w:color w:val="000000"/>
          <w:spacing w:val="-2"/>
          <w:sz w:val="24"/>
        </w:rPr>
      </w:pPr>
      <w:r>
        <w:rPr>
          <w:rFonts w:hint="eastAsia" w:ascii="Times New Roman" w:eastAsia="方正黑体_GBK"/>
          <w:color w:val="000000"/>
          <w:spacing w:val="-2"/>
          <w:sz w:val="24"/>
        </w:rPr>
        <w:t>第四章  验收程序</w:t>
      </w:r>
    </w:p>
    <w:p>
      <w:pPr>
        <w:spacing w:line="460" w:lineRule="exact"/>
        <w:ind w:firstLine="422" w:firstLineChars="179"/>
        <w:jc w:val="left"/>
        <w:rPr>
          <w:rFonts w:hint="eastAsia" w:eastAsia="方正仿宋_GBK"/>
          <w:color w:val="000000"/>
          <w:spacing w:val="-2"/>
          <w:sz w:val="24"/>
        </w:rPr>
      </w:pPr>
    </w:p>
    <w:p>
      <w:pPr>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示范区完成示范任务后，组织自检，确定达到验收条件后，经省辖市建设主管部门同意，向省住房和城乡建设厅、省财政厅提出验收评估申请。申请时应提交以下验收材料：</w:t>
      </w:r>
    </w:p>
    <w:p>
      <w:pPr>
        <w:spacing w:line="460" w:lineRule="exact"/>
        <w:ind w:firstLine="431" w:firstLineChars="183"/>
        <w:jc w:val="left"/>
        <w:rPr>
          <w:rFonts w:eastAsia="方正仿宋_GBK"/>
          <w:color w:val="000000"/>
          <w:spacing w:val="-2"/>
          <w:sz w:val="24"/>
        </w:rPr>
      </w:pPr>
      <w:r>
        <w:rPr>
          <w:rFonts w:hint="eastAsia" w:eastAsia="方正仿宋_GBK"/>
          <w:color w:val="000000"/>
          <w:spacing w:val="-2"/>
          <w:sz w:val="24"/>
        </w:rPr>
        <w:t>（一）示范区验收评估申请表；</w:t>
      </w:r>
    </w:p>
    <w:p>
      <w:pPr>
        <w:spacing w:line="460" w:lineRule="exact"/>
        <w:ind w:firstLine="431" w:firstLineChars="183"/>
        <w:jc w:val="left"/>
        <w:rPr>
          <w:rFonts w:eastAsia="方正仿宋_GBK"/>
          <w:color w:val="000000"/>
          <w:spacing w:val="-2"/>
          <w:sz w:val="24"/>
        </w:rPr>
      </w:pPr>
      <w:r>
        <w:rPr>
          <w:rFonts w:hint="eastAsia" w:eastAsia="方正仿宋_GBK"/>
          <w:color w:val="000000"/>
          <w:spacing w:val="-2"/>
          <w:sz w:val="24"/>
        </w:rPr>
        <w:t>（二）批准的示范区实施方案；</w:t>
      </w:r>
    </w:p>
    <w:p>
      <w:pPr>
        <w:spacing w:line="460" w:lineRule="exact"/>
        <w:ind w:firstLine="431" w:firstLineChars="183"/>
        <w:jc w:val="left"/>
        <w:rPr>
          <w:rFonts w:eastAsia="方正仿宋_GBK"/>
          <w:color w:val="000000"/>
          <w:spacing w:val="-2"/>
          <w:sz w:val="24"/>
        </w:rPr>
      </w:pPr>
      <w:r>
        <w:rPr>
          <w:rFonts w:hint="eastAsia" w:eastAsia="方正仿宋_GBK"/>
          <w:color w:val="000000"/>
          <w:spacing w:val="-2"/>
          <w:sz w:val="24"/>
        </w:rPr>
        <w:t>（三）示范区实施总结报告；</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（四）示范区财政补助资金及配套资金使用及管理情况报告；</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（五）纳入示范的项目清单，项目验收材料和绿色建筑评价标识材料、能效测评标识材料；</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（六）纳入示范区工作的节约型城乡建设项目材料；</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（七）示范区工作开展及配套能力建设成果文件，包括：进度报表、中期检查表、资源评估报告、专项规划及配套政策文件等；</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（八）项目能效测评报告和典型项目运行监测相关文件；</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（九）示范区运营管理等后评估文件；</w:t>
      </w:r>
    </w:p>
    <w:p>
      <w:pPr>
        <w:spacing w:line="460" w:lineRule="exact"/>
        <w:ind w:firstLine="472" w:firstLineChars="200"/>
        <w:jc w:val="left"/>
        <w:rPr>
          <w:rFonts w:eastAsia="方正仿宋_GBK"/>
          <w:color w:val="000000"/>
          <w:spacing w:val="-2"/>
          <w:sz w:val="24"/>
        </w:rPr>
      </w:pPr>
      <w:r>
        <w:rPr>
          <w:rFonts w:hint="eastAsia" w:eastAsia="方正仿宋_GBK"/>
          <w:color w:val="000000"/>
          <w:spacing w:val="-2"/>
          <w:sz w:val="24"/>
        </w:rPr>
        <w:t>（十）其他相关资料。</w:t>
      </w:r>
    </w:p>
    <w:p>
      <w:pPr>
        <w:spacing w:line="460" w:lineRule="exact"/>
        <w:ind w:firstLine="600"/>
        <w:rPr>
          <w:rFonts w:eastAsia="方正仿宋_GBK"/>
          <w:color w:val="000000"/>
          <w:spacing w:val="-2"/>
          <w:sz w:val="24"/>
        </w:rPr>
      </w:pPr>
      <w:r>
        <w:rPr>
          <w:rFonts w:hint="eastAsia" w:eastAsia="方正仿宋_GBK"/>
          <w:color w:val="000000"/>
          <w:spacing w:val="-2"/>
          <w:sz w:val="24"/>
        </w:rPr>
        <w:t>验收材料分类装订成册；示范项目材料按项目分别装订成册，建成项目提供完整材料（施工图专项审查备案表、实施过程季报表、中期检查表、绿色建筑评价标识证书、能效测评标识证书、能耗数据接收证明、项目验收申请表、项目验收评估报告），在建项目按建设进度提供相应材料。</w:t>
      </w:r>
    </w:p>
    <w:p>
      <w:pPr>
        <w:spacing w:line="460" w:lineRule="exact"/>
        <w:ind w:firstLine="6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省住房和城乡建设厅、省财政厅组织对申请验收评估的示范区进行验收审核。通过验收的示范区，由省住房和城乡建设厅、省财政厅下发通过验收的文件和验收评估报告，同时对建成的示范项目授予</w:t>
      </w:r>
      <w:r>
        <w:rPr>
          <w:rFonts w:eastAsia="方正仿宋_GBK"/>
          <w:color w:val="000000"/>
          <w:spacing w:val="-2"/>
          <w:sz w:val="24"/>
        </w:rPr>
        <w:t>“</w:t>
      </w:r>
      <w:r>
        <w:rPr>
          <w:rFonts w:hint="eastAsia" w:eastAsia="方正仿宋_GBK"/>
          <w:color w:val="000000"/>
          <w:spacing w:val="-2"/>
          <w:sz w:val="24"/>
        </w:rPr>
        <w:t>江苏绿色建筑示范</w:t>
      </w:r>
      <w:r>
        <w:rPr>
          <w:rFonts w:eastAsia="方正仿宋_GBK"/>
          <w:color w:val="000000"/>
          <w:spacing w:val="-2"/>
          <w:sz w:val="24"/>
        </w:rPr>
        <w:t>”</w:t>
      </w:r>
      <w:r>
        <w:rPr>
          <w:rFonts w:hint="eastAsia" w:eastAsia="方正仿宋_GBK"/>
          <w:color w:val="000000"/>
          <w:spacing w:val="-2"/>
          <w:sz w:val="24"/>
        </w:rPr>
        <w:t>铜牌。</w:t>
      </w:r>
    </w:p>
    <w:p>
      <w:pPr>
        <w:spacing w:line="460" w:lineRule="exact"/>
        <w:ind w:firstLine="600"/>
        <w:rPr>
          <w:rFonts w:eastAsia="方正仿宋_GBK"/>
          <w:color w:val="000000"/>
          <w:spacing w:val="-2"/>
          <w:sz w:val="24"/>
        </w:rPr>
      </w:pPr>
      <w:r>
        <w:rPr>
          <w:rFonts w:hint="eastAsia" w:eastAsia="方正仿宋_GBK"/>
          <w:color w:val="000000"/>
          <w:spacing w:val="-2"/>
          <w:sz w:val="24"/>
        </w:rPr>
        <w:t>没有通过验收的示范区，由省辖市建设主管部门负责督促整改，符合要求后，重新申请验收。</w:t>
      </w:r>
    </w:p>
    <w:p>
      <w:pPr>
        <w:spacing w:line="460" w:lineRule="exact"/>
        <w:ind w:firstLine="600"/>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示范区验收评估程序：</w:t>
      </w:r>
    </w:p>
    <w:p>
      <w:pPr>
        <w:spacing w:line="460" w:lineRule="exact"/>
        <w:ind w:firstLine="600"/>
        <w:rPr>
          <w:rFonts w:eastAsia="方正仿宋_GBK"/>
          <w:color w:val="000000"/>
          <w:spacing w:val="-2"/>
          <w:sz w:val="24"/>
        </w:rPr>
      </w:pPr>
      <w:r>
        <w:rPr>
          <w:rFonts w:hint="eastAsia" w:eastAsia="方正仿宋_GBK"/>
          <w:color w:val="000000"/>
          <w:spacing w:val="-2"/>
          <w:sz w:val="24"/>
        </w:rPr>
        <w:t>（一）示范区建设工作汇报；</w:t>
      </w:r>
    </w:p>
    <w:p>
      <w:pPr>
        <w:spacing w:line="460" w:lineRule="exact"/>
        <w:ind w:firstLine="600"/>
        <w:rPr>
          <w:rFonts w:eastAsia="方正仿宋_GBK"/>
          <w:color w:val="000000"/>
          <w:spacing w:val="-2"/>
          <w:sz w:val="24"/>
        </w:rPr>
      </w:pPr>
      <w:r>
        <w:rPr>
          <w:rFonts w:hint="eastAsia" w:eastAsia="方正仿宋_GBK"/>
          <w:color w:val="000000"/>
          <w:spacing w:val="-2"/>
          <w:sz w:val="24"/>
        </w:rPr>
        <w:t>（二）能效测评和运行监测情况报告；</w:t>
      </w:r>
    </w:p>
    <w:p>
      <w:pPr>
        <w:spacing w:line="460" w:lineRule="exact"/>
        <w:ind w:firstLine="600"/>
        <w:rPr>
          <w:rFonts w:eastAsia="方正仿宋_GBK"/>
          <w:color w:val="000000"/>
          <w:spacing w:val="-2"/>
          <w:sz w:val="24"/>
        </w:rPr>
      </w:pPr>
      <w:r>
        <w:rPr>
          <w:rFonts w:hint="eastAsia" w:eastAsia="方正仿宋_GBK"/>
          <w:color w:val="000000"/>
          <w:spacing w:val="-2"/>
          <w:sz w:val="24"/>
        </w:rPr>
        <w:t>（三）资金使用情况报告；</w:t>
      </w:r>
    </w:p>
    <w:p>
      <w:pPr>
        <w:spacing w:line="460" w:lineRule="exact"/>
        <w:ind w:firstLine="600"/>
        <w:rPr>
          <w:rFonts w:eastAsia="方正仿宋_GBK"/>
          <w:color w:val="000000"/>
          <w:spacing w:val="-2"/>
          <w:sz w:val="24"/>
        </w:rPr>
      </w:pPr>
      <w:r>
        <w:rPr>
          <w:rFonts w:hint="eastAsia" w:eastAsia="方正仿宋_GBK"/>
          <w:color w:val="000000"/>
          <w:spacing w:val="-2"/>
          <w:sz w:val="24"/>
        </w:rPr>
        <w:t>（四）抽查示范项目现场；</w:t>
      </w:r>
    </w:p>
    <w:p>
      <w:pPr>
        <w:spacing w:line="460" w:lineRule="exact"/>
        <w:ind w:firstLine="600"/>
        <w:rPr>
          <w:rFonts w:eastAsia="方正仿宋_GBK"/>
          <w:color w:val="000000"/>
          <w:spacing w:val="-2"/>
          <w:sz w:val="24"/>
        </w:rPr>
      </w:pPr>
      <w:r>
        <w:rPr>
          <w:rFonts w:hint="eastAsia" w:eastAsia="方正仿宋_GBK"/>
          <w:color w:val="000000"/>
          <w:spacing w:val="-2"/>
          <w:sz w:val="24"/>
        </w:rPr>
        <w:t>（五）验收评估资料审查；</w:t>
      </w:r>
    </w:p>
    <w:p>
      <w:pPr>
        <w:spacing w:line="460" w:lineRule="exact"/>
        <w:ind w:firstLine="600"/>
        <w:rPr>
          <w:rFonts w:eastAsia="方正仿宋_GBK"/>
          <w:color w:val="000000"/>
          <w:spacing w:val="-2"/>
          <w:sz w:val="24"/>
        </w:rPr>
      </w:pPr>
      <w:r>
        <w:rPr>
          <w:rFonts w:hint="eastAsia" w:eastAsia="方正仿宋_GBK"/>
          <w:color w:val="000000"/>
          <w:spacing w:val="-2"/>
          <w:sz w:val="24"/>
        </w:rPr>
        <w:t>（六）质询、答辩；</w:t>
      </w:r>
    </w:p>
    <w:p>
      <w:pPr>
        <w:spacing w:line="460" w:lineRule="exact"/>
        <w:ind w:firstLine="600"/>
        <w:rPr>
          <w:rFonts w:eastAsia="方正仿宋_GBK"/>
          <w:color w:val="000000"/>
          <w:spacing w:val="-2"/>
          <w:sz w:val="24"/>
        </w:rPr>
      </w:pPr>
      <w:r>
        <w:rPr>
          <w:rFonts w:hint="eastAsia" w:eastAsia="方正仿宋_GBK"/>
          <w:color w:val="000000"/>
          <w:spacing w:val="-2"/>
          <w:sz w:val="24"/>
        </w:rPr>
        <w:t>（七）形成专家验收意见。</w:t>
      </w:r>
    </w:p>
    <w:p>
      <w:pPr>
        <w:spacing w:line="460" w:lineRule="exact"/>
        <w:ind w:firstLine="600"/>
        <w:rPr>
          <w:rFonts w:eastAsia="方正仿宋_GBK"/>
          <w:color w:val="000000"/>
          <w:spacing w:val="-2"/>
          <w:sz w:val="24"/>
        </w:rPr>
      </w:pPr>
    </w:p>
    <w:p>
      <w:pPr>
        <w:spacing w:line="460" w:lineRule="exact"/>
        <w:ind w:firstLine="600"/>
        <w:rPr>
          <w:rFonts w:eastAsia="方正仿宋_GBK"/>
          <w:color w:val="000000"/>
          <w:spacing w:val="-2"/>
          <w:sz w:val="24"/>
        </w:rPr>
      </w:pPr>
    </w:p>
    <w:p>
      <w:pPr>
        <w:spacing w:line="460" w:lineRule="exact"/>
        <w:jc w:val="lef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附件2：</w:t>
      </w:r>
    </w:p>
    <w:p>
      <w:pPr>
        <w:spacing w:line="460" w:lineRule="exact"/>
        <w:jc w:val="left"/>
        <w:rPr>
          <w:rFonts w:hint="eastAsia" w:eastAsia="方正仿宋_GBK"/>
          <w:color w:val="000000"/>
          <w:spacing w:val="-2"/>
          <w:sz w:val="24"/>
        </w:rPr>
      </w:pPr>
    </w:p>
    <w:p>
      <w:pPr>
        <w:spacing w:line="240" w:lineRule="exact"/>
        <w:jc w:val="center"/>
        <w:rPr>
          <w:rFonts w:ascii="Times New Roman" w:eastAsia="黑体"/>
          <w:color w:val="000000"/>
          <w:spacing w:val="-2"/>
          <w:sz w:val="36"/>
          <w:szCs w:val="36"/>
        </w:rPr>
      </w:pPr>
    </w:p>
    <w:p>
      <w:pPr>
        <w:spacing w:before="192" w:beforeLines="80" w:line="600" w:lineRule="exact"/>
        <w:jc w:val="center"/>
        <w:rPr>
          <w:rFonts w:hint="eastAsia" w:ascii="Times New Roman" w:eastAsia="方正小标宋简体"/>
          <w:color w:val="000000"/>
          <w:spacing w:val="-2"/>
          <w:sz w:val="44"/>
          <w:szCs w:val="44"/>
        </w:rPr>
      </w:pPr>
      <w:r>
        <w:rPr>
          <w:rFonts w:hint="eastAsia" w:ascii="Times New Roman" w:eastAsia="方正小标宋简体"/>
          <w:color w:val="000000"/>
          <w:spacing w:val="-2"/>
          <w:sz w:val="44"/>
          <w:szCs w:val="44"/>
        </w:rPr>
        <w:t>江苏省省级节能减排(建筑节能)专项引导资金</w:t>
      </w:r>
    </w:p>
    <w:p>
      <w:pPr>
        <w:spacing w:before="192" w:beforeLines="80" w:line="600" w:lineRule="exact"/>
        <w:jc w:val="center"/>
        <w:rPr>
          <w:rFonts w:hint="eastAsia" w:ascii="Times New Roman" w:eastAsia="方正小标宋简体"/>
          <w:color w:val="000000"/>
          <w:spacing w:val="-2"/>
          <w:sz w:val="44"/>
          <w:szCs w:val="44"/>
        </w:rPr>
      </w:pPr>
      <w:r>
        <w:rPr>
          <w:rFonts w:hint="eastAsia" w:ascii="Times New Roman" w:eastAsia="方正小标宋简体"/>
          <w:color w:val="000000"/>
          <w:spacing w:val="-2"/>
          <w:sz w:val="44"/>
          <w:szCs w:val="44"/>
        </w:rPr>
        <w:t>建筑节能和绿色建筑示范区</w:t>
      </w:r>
    </w:p>
    <w:p>
      <w:pPr>
        <w:spacing w:before="192" w:beforeLines="80" w:line="600" w:lineRule="exact"/>
        <w:jc w:val="center"/>
        <w:rPr>
          <w:rFonts w:hint="eastAsia" w:ascii="Times New Roman" w:eastAsia="方正小标宋简体"/>
          <w:color w:val="000000"/>
          <w:spacing w:val="-2"/>
          <w:sz w:val="44"/>
          <w:szCs w:val="44"/>
        </w:rPr>
      </w:pPr>
      <w:r>
        <w:rPr>
          <w:rFonts w:hint="eastAsia" w:ascii="Times New Roman" w:eastAsia="方正小标宋简体"/>
          <w:color w:val="000000"/>
          <w:spacing w:val="-2"/>
          <w:sz w:val="44"/>
          <w:szCs w:val="44"/>
        </w:rPr>
        <w:t>验 收 评 估 申 请 表</w:t>
      </w:r>
    </w:p>
    <w:p>
      <w:pPr>
        <w:spacing w:line="740" w:lineRule="exact"/>
        <w:ind w:firstLine="515" w:firstLineChars="250"/>
        <w:rPr>
          <w:rFonts w:hint="eastAsia"/>
          <w:color w:val="000000"/>
          <w:spacing w:val="-2"/>
          <w:szCs w:val="32"/>
        </w:rPr>
      </w:pPr>
    </w:p>
    <w:p>
      <w:pPr>
        <w:spacing w:line="740" w:lineRule="exact"/>
        <w:ind w:firstLine="515" w:firstLineChars="250"/>
        <w:rPr>
          <w:color w:val="000000"/>
          <w:spacing w:val="-2"/>
          <w:szCs w:val="32"/>
        </w:rPr>
      </w:pPr>
    </w:p>
    <w:p>
      <w:pPr>
        <w:spacing w:line="740" w:lineRule="exact"/>
        <w:ind w:firstLine="790" w:firstLineChars="250"/>
        <w:rPr>
          <w:rFonts w:eastAsia="方正仿宋_GBK"/>
          <w:color w:val="000000"/>
          <w:spacing w:val="-2"/>
          <w:sz w:val="32"/>
          <w:szCs w:val="32"/>
        </w:rPr>
      </w:pPr>
      <w:r>
        <w:rPr>
          <w:rFonts w:hint="eastAsia" w:eastAsia="方正仿宋_GBK"/>
          <w:color w:val="000000"/>
          <w:spacing w:val="-2"/>
          <w:sz w:val="32"/>
          <w:szCs w:val="32"/>
        </w:rPr>
        <w:t>示范区名称：</w:t>
      </w:r>
      <w:r>
        <w:rPr>
          <w:rFonts w:eastAsia="方正仿宋_GBK"/>
          <w:color w:val="000000"/>
          <w:spacing w:val="-2"/>
          <w:sz w:val="32"/>
          <w:szCs w:val="32"/>
          <w:u w:val="single"/>
        </w:rPr>
        <w:t xml:space="preserve">                               </w:t>
      </w:r>
    </w:p>
    <w:p>
      <w:pPr>
        <w:spacing w:line="740" w:lineRule="exact"/>
        <w:ind w:firstLine="790" w:firstLineChars="250"/>
        <w:rPr>
          <w:rFonts w:eastAsia="方正仿宋_GBK"/>
          <w:color w:val="000000"/>
          <w:spacing w:val="-2"/>
          <w:sz w:val="32"/>
          <w:szCs w:val="32"/>
          <w:u w:val="single"/>
        </w:rPr>
      </w:pPr>
      <w:r>
        <w:rPr>
          <w:rFonts w:hint="eastAsia" w:eastAsia="方正仿宋_GBK"/>
          <w:color w:val="000000"/>
          <w:spacing w:val="-2"/>
          <w:sz w:val="32"/>
          <w:szCs w:val="32"/>
        </w:rPr>
        <w:t>申请单位：（盖章）</w:t>
      </w:r>
      <w:r>
        <w:rPr>
          <w:rFonts w:eastAsia="方正仿宋_GBK"/>
          <w:color w:val="000000"/>
          <w:spacing w:val="-2"/>
          <w:sz w:val="32"/>
          <w:szCs w:val="32"/>
          <w:u w:val="single"/>
        </w:rPr>
        <w:t xml:space="preserve">                         </w:t>
      </w:r>
    </w:p>
    <w:p>
      <w:pPr>
        <w:spacing w:line="740" w:lineRule="exact"/>
        <w:ind w:firstLine="790" w:firstLineChars="250"/>
        <w:rPr>
          <w:rFonts w:eastAsia="方正仿宋_GBK"/>
          <w:color w:val="000000"/>
          <w:spacing w:val="-2"/>
          <w:sz w:val="32"/>
          <w:szCs w:val="32"/>
          <w:u w:val="single"/>
        </w:rPr>
      </w:pPr>
      <w:r>
        <w:rPr>
          <w:rFonts w:hint="eastAsia" w:eastAsia="方正仿宋_GBK"/>
          <w:color w:val="000000"/>
          <w:spacing w:val="-2"/>
          <w:sz w:val="32"/>
          <w:szCs w:val="32"/>
        </w:rPr>
        <w:t>申请日期：</w:t>
      </w:r>
      <w:r>
        <w:rPr>
          <w:rFonts w:eastAsia="方正仿宋_GBK"/>
          <w:color w:val="000000"/>
          <w:spacing w:val="-2"/>
          <w:sz w:val="32"/>
          <w:szCs w:val="32"/>
          <w:u w:val="single"/>
        </w:rPr>
        <w:t xml:space="preserve">                                 </w:t>
      </w:r>
    </w:p>
    <w:p>
      <w:pPr>
        <w:spacing w:line="740" w:lineRule="exact"/>
        <w:ind w:firstLine="790" w:firstLineChars="250"/>
        <w:rPr>
          <w:rFonts w:eastAsia="方正仿宋_GBK"/>
          <w:color w:val="000000"/>
          <w:spacing w:val="-2"/>
          <w:sz w:val="32"/>
          <w:szCs w:val="32"/>
          <w:u w:val="single"/>
        </w:rPr>
      </w:pPr>
      <w:r>
        <w:rPr>
          <w:rFonts w:hint="eastAsia" w:eastAsia="方正仿宋_GBK"/>
          <w:color w:val="000000"/>
          <w:spacing w:val="-2"/>
          <w:sz w:val="32"/>
          <w:szCs w:val="32"/>
        </w:rPr>
        <w:t>项目责任人：</w:t>
      </w:r>
      <w:r>
        <w:rPr>
          <w:rFonts w:eastAsia="方正仿宋_GBK"/>
          <w:color w:val="000000"/>
          <w:spacing w:val="-2"/>
          <w:sz w:val="32"/>
          <w:szCs w:val="32"/>
          <w:u w:val="single"/>
        </w:rPr>
        <w:t xml:space="preserve">         </w:t>
      </w:r>
      <w:r>
        <w:rPr>
          <w:rFonts w:eastAsia="方正仿宋_GBK"/>
          <w:color w:val="000000"/>
          <w:spacing w:val="-2"/>
          <w:sz w:val="32"/>
          <w:szCs w:val="32"/>
        </w:rPr>
        <w:t xml:space="preserve"> </w:t>
      </w:r>
      <w:r>
        <w:rPr>
          <w:rFonts w:hint="eastAsia" w:eastAsia="方正仿宋_GBK"/>
          <w:color w:val="000000"/>
          <w:spacing w:val="-2"/>
          <w:sz w:val="32"/>
          <w:szCs w:val="32"/>
        </w:rPr>
        <w:t>电话：</w:t>
      </w:r>
      <w:r>
        <w:rPr>
          <w:rFonts w:eastAsia="方正仿宋_GBK"/>
          <w:color w:val="000000"/>
          <w:spacing w:val="-2"/>
          <w:sz w:val="32"/>
          <w:szCs w:val="32"/>
          <w:u w:val="single"/>
        </w:rPr>
        <w:t xml:space="preserve">               </w:t>
      </w:r>
    </w:p>
    <w:p>
      <w:pPr>
        <w:spacing w:line="740" w:lineRule="exact"/>
        <w:ind w:firstLine="790" w:firstLineChars="250"/>
        <w:rPr>
          <w:rFonts w:eastAsia="方正仿宋_GBK"/>
          <w:color w:val="000000"/>
          <w:spacing w:val="-2"/>
          <w:sz w:val="32"/>
          <w:szCs w:val="32"/>
          <w:u w:val="single"/>
        </w:rPr>
      </w:pPr>
      <w:r>
        <w:rPr>
          <w:rFonts w:hint="eastAsia" w:eastAsia="方正仿宋_GBK"/>
          <w:color w:val="000000"/>
          <w:spacing w:val="-2"/>
          <w:sz w:val="32"/>
          <w:szCs w:val="32"/>
        </w:rPr>
        <w:t>项目联系人：</w:t>
      </w:r>
      <w:r>
        <w:rPr>
          <w:rFonts w:eastAsia="方正仿宋_GBK"/>
          <w:color w:val="000000"/>
          <w:spacing w:val="-2"/>
          <w:sz w:val="32"/>
          <w:szCs w:val="32"/>
          <w:u w:val="single"/>
        </w:rPr>
        <w:t xml:space="preserve">         </w:t>
      </w:r>
      <w:r>
        <w:rPr>
          <w:rFonts w:eastAsia="方正仿宋_GBK"/>
          <w:color w:val="000000"/>
          <w:spacing w:val="-2"/>
          <w:sz w:val="32"/>
          <w:szCs w:val="32"/>
        </w:rPr>
        <w:t xml:space="preserve"> </w:t>
      </w:r>
      <w:r>
        <w:rPr>
          <w:rFonts w:hint="eastAsia" w:eastAsia="方正仿宋_GBK"/>
          <w:color w:val="000000"/>
          <w:spacing w:val="-2"/>
          <w:sz w:val="32"/>
          <w:szCs w:val="32"/>
        </w:rPr>
        <w:t>电话：</w:t>
      </w:r>
      <w:r>
        <w:rPr>
          <w:rFonts w:eastAsia="方正仿宋_GBK"/>
          <w:color w:val="000000"/>
          <w:spacing w:val="-2"/>
          <w:sz w:val="32"/>
          <w:szCs w:val="32"/>
          <w:u w:val="single"/>
        </w:rPr>
        <w:t xml:space="preserve">               </w:t>
      </w:r>
    </w:p>
    <w:p>
      <w:pPr>
        <w:spacing w:line="500" w:lineRule="exact"/>
        <w:rPr>
          <w:rFonts w:ascii="Times New Roman" w:hAnsi="Times New Roman"/>
          <w:color w:val="000000"/>
          <w:spacing w:val="-2"/>
          <w:szCs w:val="32"/>
          <w:u w:val="single"/>
        </w:rPr>
      </w:pPr>
    </w:p>
    <w:p>
      <w:pPr>
        <w:spacing w:line="500" w:lineRule="exact"/>
        <w:rPr>
          <w:rFonts w:hint="eastAsia"/>
          <w:color w:val="000000"/>
          <w:spacing w:val="-2"/>
        </w:rPr>
      </w:pPr>
    </w:p>
    <w:p>
      <w:pPr>
        <w:spacing w:line="500" w:lineRule="exact"/>
        <w:rPr>
          <w:color w:val="000000"/>
          <w:spacing w:val="-2"/>
        </w:rPr>
      </w:pPr>
    </w:p>
    <w:p>
      <w:pPr>
        <w:spacing w:line="500" w:lineRule="exact"/>
        <w:rPr>
          <w:color w:val="000000"/>
          <w:spacing w:val="-2"/>
        </w:rPr>
      </w:pPr>
    </w:p>
    <w:p>
      <w:pPr>
        <w:spacing w:line="500" w:lineRule="exact"/>
        <w:rPr>
          <w:color w:val="000000"/>
          <w:spacing w:val="-2"/>
        </w:rPr>
      </w:pPr>
    </w:p>
    <w:p>
      <w:pPr>
        <w:spacing w:line="500" w:lineRule="exact"/>
        <w:jc w:val="center"/>
        <w:rPr>
          <w:rFonts w:ascii="Times New Roman" w:eastAsia="方正楷体_GBK"/>
          <w:color w:val="000000"/>
          <w:spacing w:val="-2"/>
          <w:sz w:val="32"/>
          <w:szCs w:val="32"/>
        </w:rPr>
      </w:pPr>
      <w:r>
        <w:rPr>
          <w:rFonts w:hint="eastAsia" w:ascii="Times New Roman" w:eastAsia="方正楷体_GBK"/>
          <w:color w:val="000000"/>
          <w:spacing w:val="-2"/>
          <w:sz w:val="32"/>
          <w:szCs w:val="32"/>
        </w:rPr>
        <w:t>江苏省住房和城乡建设厅</w:t>
      </w:r>
    </w:p>
    <w:p>
      <w:pPr>
        <w:spacing w:line="500" w:lineRule="exact"/>
        <w:jc w:val="center"/>
        <w:rPr>
          <w:rFonts w:hint="eastAsia" w:ascii="Times New Roman" w:eastAsia="方正楷体_GBK"/>
          <w:color w:val="000000"/>
          <w:spacing w:val="-2"/>
          <w:sz w:val="32"/>
          <w:szCs w:val="32"/>
        </w:rPr>
      </w:pPr>
      <w:r>
        <w:rPr>
          <w:rFonts w:hint="eastAsia" w:ascii="Times New Roman" w:eastAsia="方正楷体_GBK"/>
          <w:color w:val="000000"/>
          <w:spacing w:val="160"/>
          <w:kern w:val="0"/>
          <w:sz w:val="32"/>
          <w:szCs w:val="32"/>
        </w:rPr>
        <w:t>江苏省财政</w:t>
      </w:r>
      <w:r>
        <w:rPr>
          <w:rFonts w:hint="eastAsia" w:ascii="Times New Roman" w:eastAsia="方正楷体_GBK"/>
          <w:color w:val="000000"/>
          <w:kern w:val="0"/>
          <w:sz w:val="32"/>
          <w:szCs w:val="32"/>
        </w:rPr>
        <w:t>厅</w:t>
      </w:r>
    </w:p>
    <w:p>
      <w:pPr>
        <w:spacing w:line="500" w:lineRule="exact"/>
        <w:jc w:val="center"/>
        <w:rPr>
          <w:rFonts w:hint="eastAsia" w:ascii="Times New Roman" w:eastAsia="方正楷体_GBK"/>
          <w:color w:val="000000"/>
          <w:spacing w:val="-2"/>
          <w:sz w:val="32"/>
          <w:szCs w:val="32"/>
        </w:rPr>
      </w:pPr>
      <w:r>
        <w:rPr>
          <w:rFonts w:hint="eastAsia" w:ascii="Times New Roman" w:eastAsia="方正楷体_GBK"/>
          <w:color w:val="000000"/>
          <w:spacing w:val="-2"/>
          <w:sz w:val="32"/>
          <w:szCs w:val="32"/>
        </w:rPr>
        <w:t>二〇一三年十月制</w:t>
      </w:r>
    </w:p>
    <w:p>
      <w:pPr>
        <w:widowControl/>
        <w:jc w:val="left"/>
        <w:rPr>
          <w:rFonts w:ascii="Times New Roman" w:eastAsia="方正楷体_GBK"/>
          <w:color w:val="000000"/>
          <w:spacing w:val="-2"/>
          <w:sz w:val="32"/>
          <w:szCs w:val="32"/>
        </w:rPr>
        <w:sectPr>
          <w:pgSz w:w="11905" w:h="16838"/>
          <w:pgMar w:top="1701" w:right="1587" w:bottom="1701" w:left="1587" w:header="850" w:footer="1361" w:gutter="0"/>
          <w:paperSrc w:first="4" w:other="4"/>
          <w:cols w:space="720" w:num="1"/>
        </w:sectPr>
      </w:pPr>
    </w:p>
    <w:p>
      <w:pPr>
        <w:spacing w:line="460" w:lineRule="exact"/>
        <w:jc w:val="center"/>
        <w:rPr>
          <w:rFonts w:hint="eastAsia" w:ascii="Times New Roman" w:hAnsi="Times New Roman"/>
          <w:color w:val="000000"/>
          <w:spacing w:val="-2"/>
          <w:sz w:val="30"/>
          <w:szCs w:val="30"/>
        </w:rPr>
      </w:pPr>
    </w:p>
    <w:p>
      <w:pPr>
        <w:spacing w:line="460" w:lineRule="exact"/>
        <w:rPr>
          <w:rFonts w:hint="eastAsia" w:ascii="Times New Roman" w:eastAsia="方正黑体_GBK"/>
          <w:color w:val="000000"/>
          <w:spacing w:val="-2"/>
        </w:rPr>
      </w:pPr>
    </w:p>
    <w:p>
      <w:pPr>
        <w:spacing w:line="460" w:lineRule="exact"/>
        <w:ind w:firstLine="9"/>
        <w:jc w:val="center"/>
        <w:rPr>
          <w:rFonts w:hint="eastAsia" w:ascii="Times New Roman" w:eastAsia="方正黑体_GBK"/>
          <w:color w:val="000000"/>
          <w:spacing w:val="-2"/>
          <w:sz w:val="28"/>
          <w:szCs w:val="28"/>
        </w:rPr>
      </w:pPr>
      <w:r>
        <w:rPr>
          <w:rFonts w:hint="eastAsia" w:ascii="Times New Roman" w:eastAsia="方正黑体_GBK"/>
          <w:color w:val="000000"/>
          <w:spacing w:val="-2"/>
          <w:sz w:val="28"/>
          <w:szCs w:val="28"/>
        </w:rPr>
        <w:t>填 写 说 明</w:t>
      </w:r>
    </w:p>
    <w:p>
      <w:pPr>
        <w:spacing w:line="460" w:lineRule="exact"/>
        <w:ind w:firstLine="472" w:firstLineChars="200"/>
        <w:rPr>
          <w:rFonts w:hint="eastAsia" w:ascii="Times New Roman" w:hAnsi="Times New Roman" w:eastAsia="仿宋_GB2312"/>
          <w:color w:val="000000"/>
          <w:spacing w:val="-2"/>
          <w:sz w:val="24"/>
        </w:rPr>
      </w:pP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此表用于江苏省建筑节能和绿色建筑示范区的验收评估申请。规格为</w:t>
      </w:r>
      <w:r>
        <w:rPr>
          <w:rFonts w:eastAsia="方正仿宋_GBK"/>
          <w:color w:val="000000"/>
          <w:spacing w:val="-2"/>
          <w:sz w:val="24"/>
        </w:rPr>
        <w:t>A4</w:t>
      </w:r>
      <w:r>
        <w:rPr>
          <w:rFonts w:hint="eastAsia" w:eastAsia="方正仿宋_GBK"/>
          <w:color w:val="000000"/>
          <w:spacing w:val="-2"/>
          <w:sz w:val="24"/>
        </w:rPr>
        <w:t>纸、竖装，必须打印或铅印，连同提交文件一起装订成册，一式四份。</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封面用三号仿宋字体填写，表格内容用五号宋体填写。</w:t>
      </w:r>
    </w:p>
    <w:p>
      <w:pPr>
        <w:spacing w:line="460" w:lineRule="exact"/>
        <w:ind w:firstLine="472" w:firstLineChars="200"/>
        <w:rPr>
          <w:rFonts w:eastAsia="方正仿宋_GBK"/>
          <w:color w:val="000000"/>
          <w:spacing w:val="-2"/>
          <w:sz w:val="24"/>
        </w:rPr>
      </w:pPr>
      <w:r>
        <w:rPr>
          <w:rFonts w:eastAsia="方正仿宋_GBK"/>
          <w:color w:val="000000"/>
          <w:spacing w:val="-2"/>
          <w:sz w:val="24"/>
        </w:rPr>
        <w:t>3. </w:t>
      </w:r>
      <w:r>
        <w:rPr>
          <w:rFonts w:hint="eastAsia" w:eastAsia="方正仿宋_GBK"/>
          <w:color w:val="000000"/>
          <w:spacing w:val="-2"/>
          <w:sz w:val="24"/>
        </w:rPr>
        <w:t>封面由申请单位填写并盖章，其中</w:t>
      </w:r>
      <w:r>
        <w:rPr>
          <w:rFonts w:eastAsia="方正仿宋_GBK"/>
          <w:color w:val="000000"/>
          <w:spacing w:val="-2"/>
          <w:sz w:val="24"/>
        </w:rPr>
        <w:t>“</w:t>
      </w:r>
      <w:r>
        <w:rPr>
          <w:rFonts w:hint="eastAsia" w:eastAsia="方正仿宋_GBK"/>
          <w:color w:val="000000"/>
          <w:spacing w:val="-2"/>
          <w:sz w:val="24"/>
        </w:rPr>
        <w:t>示范区名称</w:t>
      </w:r>
      <w:r>
        <w:rPr>
          <w:rFonts w:eastAsia="方正仿宋_GBK"/>
          <w:color w:val="000000"/>
          <w:spacing w:val="-2"/>
          <w:sz w:val="24"/>
        </w:rPr>
        <w:t>”</w:t>
      </w:r>
      <w:r>
        <w:rPr>
          <w:rFonts w:hint="eastAsia" w:eastAsia="方正仿宋_GBK"/>
          <w:color w:val="000000"/>
          <w:spacing w:val="-2"/>
          <w:sz w:val="24"/>
        </w:rPr>
        <w:t>必须填写全称。</w:t>
      </w:r>
    </w:p>
    <w:p>
      <w:pPr>
        <w:spacing w:line="460" w:lineRule="exact"/>
        <w:ind w:firstLine="472" w:firstLineChars="200"/>
        <w:rPr>
          <w:rFonts w:eastAsia="方正仿宋_GBK"/>
          <w:color w:val="000000"/>
          <w:spacing w:val="-2"/>
          <w:sz w:val="24"/>
        </w:rPr>
      </w:pPr>
      <w:r>
        <w:rPr>
          <w:rFonts w:eastAsia="方正仿宋_GBK"/>
          <w:color w:val="000000"/>
          <w:spacing w:val="-2"/>
          <w:sz w:val="24"/>
        </w:rPr>
        <w:t>4. </w:t>
      </w:r>
      <w:r>
        <w:rPr>
          <w:rFonts w:hint="eastAsia" w:eastAsia="方正仿宋_GBK"/>
          <w:color w:val="000000"/>
          <w:spacing w:val="-2"/>
          <w:sz w:val="24"/>
        </w:rPr>
        <w:t>第一至第八项内容由申请单位填写。</w:t>
      </w:r>
    </w:p>
    <w:p>
      <w:pPr>
        <w:spacing w:line="460" w:lineRule="exact"/>
        <w:ind w:firstLine="472" w:firstLineChars="200"/>
        <w:rPr>
          <w:rFonts w:eastAsia="方正仿宋_GBK"/>
          <w:color w:val="000000"/>
          <w:spacing w:val="-2"/>
          <w:sz w:val="24"/>
        </w:rPr>
      </w:pPr>
      <w:r>
        <w:rPr>
          <w:rFonts w:eastAsia="方正仿宋_GBK"/>
          <w:color w:val="000000"/>
          <w:spacing w:val="-2"/>
          <w:sz w:val="24"/>
        </w:rPr>
        <w:t>5. </w:t>
      </w:r>
      <w:r>
        <w:rPr>
          <w:rFonts w:hint="eastAsia" w:eastAsia="方正仿宋_GBK"/>
          <w:color w:val="000000"/>
          <w:spacing w:val="-2"/>
          <w:sz w:val="24"/>
        </w:rPr>
        <w:t>第九和第十项内容由所在地市、县级建设和财政主管部门对申请单位进行初步审查后填写意见并盖章。</w:t>
      </w:r>
    </w:p>
    <w:p>
      <w:pPr>
        <w:spacing w:line="460" w:lineRule="exact"/>
        <w:ind w:firstLine="472" w:firstLineChars="200"/>
        <w:rPr>
          <w:rFonts w:eastAsia="方正仿宋_GBK"/>
          <w:color w:val="000000"/>
          <w:spacing w:val="-2"/>
          <w:sz w:val="24"/>
        </w:rPr>
      </w:pPr>
      <w:r>
        <w:rPr>
          <w:rFonts w:eastAsia="方正仿宋_GBK"/>
          <w:color w:val="000000"/>
          <w:spacing w:val="-2"/>
          <w:sz w:val="24"/>
        </w:rPr>
        <w:t>6. </w:t>
      </w:r>
      <w:r>
        <w:rPr>
          <w:rFonts w:hint="eastAsia" w:eastAsia="方正仿宋_GBK"/>
          <w:color w:val="000000"/>
          <w:spacing w:val="-2"/>
          <w:sz w:val="24"/>
        </w:rPr>
        <w:t>第十一项由验收小组对示范区提交的资料的完整性进行审核后填写意见并盖章。</w:t>
      </w:r>
    </w:p>
    <w:p>
      <w:pPr>
        <w:spacing w:line="20" w:lineRule="exact"/>
        <w:rPr>
          <w:rFonts w:eastAsia="仿宋_GB2312"/>
          <w:color w:val="000000"/>
          <w:spacing w:val="-2"/>
          <w:sz w:val="28"/>
          <w:szCs w:val="28"/>
        </w:rPr>
      </w:pPr>
      <w:r>
        <w:rPr>
          <w:rFonts w:eastAsia="仿宋_GB2312"/>
          <w:color w:val="000000"/>
          <w:spacing w:val="-2"/>
          <w:sz w:val="28"/>
          <w:szCs w:val="28"/>
        </w:rPr>
        <w:br w:type="page"/>
      </w:r>
    </w:p>
    <w:tbl>
      <w:tblPr>
        <w:tblStyle w:val="12"/>
        <w:tblW w:w="0" w:type="auto"/>
        <w:tblInd w:w="88" w:type="dxa"/>
        <w:tblLayout w:type="fixed"/>
        <w:tblCellMar>
          <w:top w:w="0" w:type="dxa"/>
          <w:left w:w="108" w:type="dxa"/>
          <w:bottom w:w="0" w:type="dxa"/>
          <w:right w:w="108" w:type="dxa"/>
        </w:tblCellMar>
      </w:tblPr>
      <w:tblGrid>
        <w:gridCol w:w="1659"/>
        <w:gridCol w:w="1962"/>
        <w:gridCol w:w="246"/>
        <w:gridCol w:w="1200"/>
        <w:gridCol w:w="917"/>
        <w:gridCol w:w="319"/>
        <w:gridCol w:w="1419"/>
        <w:gridCol w:w="1058"/>
      </w:tblGrid>
      <w:tr>
        <w:tblPrEx>
          <w:tblCellMar>
            <w:top w:w="0" w:type="dxa"/>
            <w:left w:w="108" w:type="dxa"/>
            <w:bottom w:w="0" w:type="dxa"/>
            <w:right w:w="108" w:type="dxa"/>
          </w:tblCellMar>
        </w:tblPrEx>
        <w:trPr>
          <w:trHeight w:val="567" w:hRule="atLeast"/>
        </w:trPr>
        <w:tc>
          <w:tcPr>
            <w:tcW w:w="8780" w:type="dxa"/>
            <w:gridSpan w:val="8"/>
            <w:tcBorders>
              <w:top w:val="single" w:color="auto" w:sz="8"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一、申请单位情况</w:t>
            </w:r>
          </w:p>
        </w:tc>
      </w:tr>
      <w:tr>
        <w:tblPrEx>
          <w:tblCellMar>
            <w:top w:w="0" w:type="dxa"/>
            <w:left w:w="108" w:type="dxa"/>
            <w:bottom w:w="0" w:type="dxa"/>
            <w:right w:w="108" w:type="dxa"/>
          </w:tblCellMar>
        </w:tblPrEx>
        <w:trPr>
          <w:trHeight w:val="567" w:hRule="atLeast"/>
        </w:trPr>
        <w:tc>
          <w:tcPr>
            <w:tcW w:w="1659"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示范区名称</w:t>
            </w:r>
          </w:p>
        </w:tc>
        <w:tc>
          <w:tcPr>
            <w:tcW w:w="7121" w:type="dxa"/>
            <w:gridSpan w:val="7"/>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CellMar>
            <w:top w:w="0" w:type="dxa"/>
            <w:left w:w="108" w:type="dxa"/>
            <w:bottom w:w="0" w:type="dxa"/>
            <w:right w:w="108" w:type="dxa"/>
          </w:tblCellMar>
        </w:tblPrEx>
        <w:trPr>
          <w:trHeight w:val="567" w:hRule="atLeast"/>
        </w:trPr>
        <w:tc>
          <w:tcPr>
            <w:tcW w:w="1659" w:type="dxa"/>
            <w:tcBorders>
              <w:top w:val="nil"/>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单位名称</w:t>
            </w:r>
          </w:p>
        </w:tc>
        <w:tc>
          <w:tcPr>
            <w:tcW w:w="2208" w:type="dxa"/>
            <w:gridSpan w:val="2"/>
            <w:tcBorders>
              <w:top w:val="single" w:color="auto" w:sz="4" w:space="0"/>
              <w:left w:val="nil"/>
              <w:bottom w:val="single" w:color="auto" w:sz="4" w:space="0"/>
              <w:right w:val="single" w:color="auto" w:sz="4" w:space="0"/>
            </w:tcBorders>
            <w:noWrap w:val="0"/>
            <w:vAlign w:val="center"/>
          </w:tcPr>
          <w:p>
            <w:pPr>
              <w:jc w:val="center"/>
              <w:rPr>
                <w:rFonts w:eastAsia="方正仿宋_GBK"/>
                <w:color w:val="000000"/>
                <w:spacing w:val="-2"/>
                <w:szCs w:val="21"/>
              </w:rPr>
            </w:pPr>
          </w:p>
        </w:tc>
        <w:tc>
          <w:tcPr>
            <w:tcW w:w="2117" w:type="dxa"/>
            <w:gridSpan w:val="2"/>
            <w:tcBorders>
              <w:top w:val="nil"/>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2796" w:type="dxa"/>
            <w:gridSpan w:val="3"/>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CellMar>
            <w:top w:w="0" w:type="dxa"/>
            <w:left w:w="108" w:type="dxa"/>
            <w:bottom w:w="0" w:type="dxa"/>
            <w:right w:w="108" w:type="dxa"/>
          </w:tblCellMar>
        </w:tblPrEx>
        <w:trPr>
          <w:trHeight w:val="567" w:hRule="atLeast"/>
        </w:trPr>
        <w:tc>
          <w:tcPr>
            <w:tcW w:w="1659" w:type="dxa"/>
            <w:tcBorders>
              <w:top w:val="nil"/>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单位地址</w:t>
            </w:r>
          </w:p>
        </w:tc>
        <w:tc>
          <w:tcPr>
            <w:tcW w:w="2208" w:type="dxa"/>
            <w:gridSpan w:val="2"/>
            <w:tcBorders>
              <w:top w:val="single" w:color="auto" w:sz="4" w:space="0"/>
              <w:left w:val="nil"/>
              <w:bottom w:val="single" w:color="auto" w:sz="4" w:space="0"/>
              <w:right w:val="single" w:color="auto" w:sz="4" w:space="0"/>
            </w:tcBorders>
            <w:noWrap w:val="0"/>
            <w:vAlign w:val="center"/>
          </w:tcPr>
          <w:p>
            <w:pPr>
              <w:jc w:val="center"/>
              <w:rPr>
                <w:rFonts w:eastAsia="方正仿宋_GBK"/>
                <w:color w:val="000000"/>
                <w:spacing w:val="-2"/>
                <w:szCs w:val="21"/>
              </w:rPr>
            </w:pPr>
          </w:p>
        </w:tc>
        <w:tc>
          <w:tcPr>
            <w:tcW w:w="2117" w:type="dxa"/>
            <w:gridSpan w:val="2"/>
            <w:tcBorders>
              <w:top w:val="nil"/>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邮编</w:t>
            </w:r>
          </w:p>
        </w:tc>
        <w:tc>
          <w:tcPr>
            <w:tcW w:w="2796" w:type="dxa"/>
            <w:gridSpan w:val="3"/>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CellMar>
            <w:top w:w="0" w:type="dxa"/>
            <w:left w:w="108" w:type="dxa"/>
            <w:bottom w:w="0" w:type="dxa"/>
            <w:right w:w="108" w:type="dxa"/>
          </w:tblCellMar>
        </w:tblPrEx>
        <w:trPr>
          <w:trHeight w:val="567" w:hRule="atLeast"/>
        </w:trPr>
        <w:tc>
          <w:tcPr>
            <w:tcW w:w="1659" w:type="dxa"/>
            <w:tcBorders>
              <w:top w:val="nil"/>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项目责任人</w:t>
            </w:r>
          </w:p>
        </w:tc>
        <w:tc>
          <w:tcPr>
            <w:tcW w:w="2208" w:type="dxa"/>
            <w:gridSpan w:val="2"/>
            <w:tcBorders>
              <w:top w:val="single" w:color="auto" w:sz="4" w:space="0"/>
              <w:left w:val="nil"/>
              <w:bottom w:val="single" w:color="auto" w:sz="4" w:space="0"/>
              <w:right w:val="single" w:color="auto" w:sz="4" w:space="0"/>
            </w:tcBorders>
            <w:noWrap w:val="0"/>
            <w:vAlign w:val="center"/>
          </w:tcPr>
          <w:p>
            <w:pPr>
              <w:jc w:val="center"/>
              <w:rPr>
                <w:rFonts w:eastAsia="方正仿宋_GBK"/>
                <w:color w:val="000000"/>
                <w:spacing w:val="-2"/>
                <w:szCs w:val="21"/>
              </w:rPr>
            </w:pPr>
          </w:p>
        </w:tc>
        <w:tc>
          <w:tcPr>
            <w:tcW w:w="2117" w:type="dxa"/>
            <w:gridSpan w:val="2"/>
            <w:tcBorders>
              <w:top w:val="nil"/>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2796" w:type="dxa"/>
            <w:gridSpan w:val="3"/>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CellMar>
            <w:top w:w="0" w:type="dxa"/>
            <w:left w:w="108" w:type="dxa"/>
            <w:bottom w:w="0" w:type="dxa"/>
            <w:right w:w="108" w:type="dxa"/>
          </w:tblCellMar>
        </w:tblPrEx>
        <w:trPr>
          <w:trHeight w:val="567" w:hRule="atLeast"/>
        </w:trPr>
        <w:tc>
          <w:tcPr>
            <w:tcW w:w="1659" w:type="dxa"/>
            <w:tcBorders>
              <w:top w:val="nil"/>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项目联系人</w:t>
            </w:r>
          </w:p>
        </w:tc>
        <w:tc>
          <w:tcPr>
            <w:tcW w:w="2208" w:type="dxa"/>
            <w:gridSpan w:val="2"/>
            <w:tcBorders>
              <w:top w:val="single" w:color="auto" w:sz="4" w:space="0"/>
              <w:left w:val="nil"/>
              <w:bottom w:val="single" w:color="auto" w:sz="4" w:space="0"/>
              <w:right w:val="single" w:color="auto" w:sz="4" w:space="0"/>
            </w:tcBorders>
            <w:noWrap w:val="0"/>
            <w:vAlign w:val="center"/>
          </w:tcPr>
          <w:p>
            <w:pPr>
              <w:jc w:val="center"/>
              <w:rPr>
                <w:rFonts w:eastAsia="方正仿宋_GBK"/>
                <w:color w:val="000000"/>
                <w:spacing w:val="-2"/>
                <w:szCs w:val="21"/>
              </w:rPr>
            </w:pPr>
          </w:p>
        </w:tc>
        <w:tc>
          <w:tcPr>
            <w:tcW w:w="2117" w:type="dxa"/>
            <w:gridSpan w:val="2"/>
            <w:tcBorders>
              <w:top w:val="nil"/>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2796" w:type="dxa"/>
            <w:gridSpan w:val="3"/>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CellMar>
            <w:top w:w="0" w:type="dxa"/>
            <w:left w:w="108" w:type="dxa"/>
            <w:bottom w:w="0" w:type="dxa"/>
            <w:right w:w="108" w:type="dxa"/>
          </w:tblCellMar>
        </w:tblPrEx>
        <w:trPr>
          <w:trHeight w:val="567" w:hRule="atLeast"/>
        </w:trPr>
        <w:tc>
          <w:tcPr>
            <w:tcW w:w="8780" w:type="dxa"/>
            <w:gridSpan w:val="8"/>
            <w:tcBorders>
              <w:top w:val="nil"/>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二、示范区基本情况</w:t>
            </w:r>
          </w:p>
        </w:tc>
      </w:tr>
      <w:tr>
        <w:tblPrEx>
          <w:tblCellMar>
            <w:top w:w="0" w:type="dxa"/>
            <w:left w:w="108" w:type="dxa"/>
            <w:bottom w:w="0" w:type="dxa"/>
            <w:right w:w="108" w:type="dxa"/>
          </w:tblCellMar>
        </w:tblPrEx>
        <w:trPr>
          <w:trHeight w:val="708" w:hRule="exact"/>
        </w:trPr>
        <w:tc>
          <w:tcPr>
            <w:tcW w:w="1659" w:type="dxa"/>
            <w:tcBorders>
              <w:top w:val="nil"/>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规划面积</w:t>
            </w:r>
          </w:p>
        </w:tc>
        <w:tc>
          <w:tcPr>
            <w:tcW w:w="2208" w:type="dxa"/>
            <w:gridSpan w:val="2"/>
            <w:tcBorders>
              <w:top w:val="single" w:color="auto" w:sz="4" w:space="0"/>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平方公里</w:t>
            </w:r>
          </w:p>
        </w:tc>
        <w:tc>
          <w:tcPr>
            <w:tcW w:w="2117" w:type="dxa"/>
            <w:gridSpan w:val="2"/>
            <w:tcBorders>
              <w:top w:val="nil"/>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总投资</w:t>
            </w:r>
          </w:p>
        </w:tc>
        <w:tc>
          <w:tcPr>
            <w:tcW w:w="2796" w:type="dxa"/>
            <w:gridSpan w:val="3"/>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万元</w:t>
            </w:r>
          </w:p>
        </w:tc>
      </w:tr>
      <w:tr>
        <w:tblPrEx>
          <w:tblCellMar>
            <w:top w:w="0" w:type="dxa"/>
            <w:left w:w="108" w:type="dxa"/>
            <w:bottom w:w="0" w:type="dxa"/>
            <w:right w:w="108" w:type="dxa"/>
          </w:tblCellMar>
        </w:tblPrEx>
        <w:trPr>
          <w:trHeight w:val="633" w:hRule="exact"/>
        </w:trPr>
        <w:tc>
          <w:tcPr>
            <w:tcW w:w="1659" w:type="dxa"/>
            <w:tcBorders>
              <w:top w:val="nil"/>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补助资金</w:t>
            </w:r>
          </w:p>
        </w:tc>
        <w:tc>
          <w:tcPr>
            <w:tcW w:w="2208" w:type="dxa"/>
            <w:gridSpan w:val="2"/>
            <w:tcBorders>
              <w:top w:val="single" w:color="auto" w:sz="4" w:space="0"/>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万元</w:t>
            </w:r>
          </w:p>
        </w:tc>
        <w:tc>
          <w:tcPr>
            <w:tcW w:w="2117" w:type="dxa"/>
            <w:gridSpan w:val="2"/>
            <w:tcBorders>
              <w:top w:val="nil"/>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配套资金</w:t>
            </w:r>
          </w:p>
        </w:tc>
        <w:tc>
          <w:tcPr>
            <w:tcW w:w="2796" w:type="dxa"/>
            <w:gridSpan w:val="3"/>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万元</w:t>
            </w:r>
          </w:p>
        </w:tc>
      </w:tr>
      <w:tr>
        <w:tblPrEx>
          <w:tblCellMar>
            <w:top w:w="0" w:type="dxa"/>
            <w:left w:w="108" w:type="dxa"/>
            <w:bottom w:w="0" w:type="dxa"/>
            <w:right w:w="108" w:type="dxa"/>
          </w:tblCellMar>
        </w:tblPrEx>
        <w:trPr>
          <w:trHeight w:val="851" w:hRule="exact"/>
        </w:trPr>
        <w:tc>
          <w:tcPr>
            <w:tcW w:w="1659" w:type="dxa"/>
            <w:tcBorders>
              <w:top w:val="nil"/>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三年新开工</w:t>
            </w:r>
          </w:p>
          <w:p>
            <w:pPr>
              <w:jc w:val="center"/>
              <w:rPr>
                <w:rFonts w:eastAsia="方正仿宋_GBK"/>
                <w:color w:val="000000"/>
                <w:spacing w:val="-2"/>
                <w:szCs w:val="21"/>
              </w:rPr>
            </w:pPr>
            <w:r>
              <w:rPr>
                <w:rFonts w:hint="eastAsia" w:eastAsia="方正仿宋_GBK"/>
                <w:color w:val="000000"/>
                <w:spacing w:val="-2"/>
                <w:szCs w:val="21"/>
              </w:rPr>
              <w:t>示范项目数量</w:t>
            </w:r>
          </w:p>
        </w:tc>
        <w:tc>
          <w:tcPr>
            <w:tcW w:w="2208" w:type="dxa"/>
            <w:gridSpan w:val="2"/>
            <w:tcBorders>
              <w:top w:val="single" w:color="auto" w:sz="4" w:space="0"/>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个</w:t>
            </w:r>
          </w:p>
        </w:tc>
        <w:tc>
          <w:tcPr>
            <w:tcW w:w="2117" w:type="dxa"/>
            <w:gridSpan w:val="2"/>
            <w:tcBorders>
              <w:top w:val="nil"/>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三年新开工</w:t>
            </w:r>
          </w:p>
          <w:p>
            <w:pPr>
              <w:jc w:val="center"/>
              <w:rPr>
                <w:rFonts w:eastAsia="方正仿宋_GBK"/>
                <w:color w:val="000000"/>
                <w:spacing w:val="-2"/>
                <w:szCs w:val="21"/>
              </w:rPr>
            </w:pPr>
            <w:r>
              <w:rPr>
                <w:rFonts w:hint="eastAsia" w:eastAsia="方正仿宋_GBK"/>
                <w:color w:val="000000"/>
                <w:spacing w:val="-2"/>
                <w:szCs w:val="21"/>
              </w:rPr>
              <w:t>示范项目总建筑面积</w:t>
            </w:r>
          </w:p>
        </w:tc>
        <w:tc>
          <w:tcPr>
            <w:tcW w:w="2796" w:type="dxa"/>
            <w:gridSpan w:val="3"/>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万平方米</w:t>
            </w:r>
          </w:p>
        </w:tc>
      </w:tr>
      <w:tr>
        <w:tblPrEx>
          <w:tblCellMar>
            <w:top w:w="0" w:type="dxa"/>
            <w:left w:w="108" w:type="dxa"/>
            <w:bottom w:w="0" w:type="dxa"/>
            <w:right w:w="108" w:type="dxa"/>
          </w:tblCellMar>
        </w:tblPrEx>
        <w:trPr>
          <w:trHeight w:val="851" w:hRule="exact"/>
        </w:trPr>
        <w:tc>
          <w:tcPr>
            <w:tcW w:w="1659" w:type="dxa"/>
            <w:tcBorders>
              <w:top w:val="nil"/>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建成示范</w:t>
            </w:r>
          </w:p>
          <w:p>
            <w:pPr>
              <w:jc w:val="center"/>
              <w:rPr>
                <w:rFonts w:eastAsia="方正仿宋_GBK"/>
                <w:color w:val="000000"/>
                <w:spacing w:val="-2"/>
                <w:szCs w:val="21"/>
              </w:rPr>
            </w:pPr>
            <w:r>
              <w:rPr>
                <w:rFonts w:hint="eastAsia" w:eastAsia="方正仿宋_GBK"/>
                <w:color w:val="000000"/>
                <w:spacing w:val="-2"/>
                <w:szCs w:val="21"/>
              </w:rPr>
              <w:t>项目数量</w:t>
            </w:r>
          </w:p>
        </w:tc>
        <w:tc>
          <w:tcPr>
            <w:tcW w:w="2208" w:type="dxa"/>
            <w:gridSpan w:val="2"/>
            <w:tcBorders>
              <w:top w:val="single" w:color="auto" w:sz="4" w:space="0"/>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个</w:t>
            </w:r>
          </w:p>
        </w:tc>
        <w:tc>
          <w:tcPr>
            <w:tcW w:w="2117" w:type="dxa"/>
            <w:gridSpan w:val="2"/>
            <w:tcBorders>
              <w:top w:val="nil"/>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建成示范项目</w:t>
            </w:r>
          </w:p>
          <w:p>
            <w:pPr>
              <w:jc w:val="center"/>
              <w:rPr>
                <w:rFonts w:eastAsia="方正仿宋_GBK"/>
                <w:color w:val="000000"/>
                <w:spacing w:val="-2"/>
                <w:szCs w:val="21"/>
              </w:rPr>
            </w:pPr>
            <w:r>
              <w:rPr>
                <w:rFonts w:hint="eastAsia" w:eastAsia="方正仿宋_GBK"/>
                <w:color w:val="000000"/>
                <w:spacing w:val="-2"/>
                <w:szCs w:val="21"/>
              </w:rPr>
              <w:t>总建筑面积</w:t>
            </w:r>
          </w:p>
        </w:tc>
        <w:tc>
          <w:tcPr>
            <w:tcW w:w="2796" w:type="dxa"/>
            <w:gridSpan w:val="3"/>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万平方米</w:t>
            </w:r>
          </w:p>
        </w:tc>
      </w:tr>
      <w:tr>
        <w:tblPrEx>
          <w:tblCellMar>
            <w:top w:w="0" w:type="dxa"/>
            <w:left w:w="108" w:type="dxa"/>
            <w:bottom w:w="0" w:type="dxa"/>
            <w:right w:w="108" w:type="dxa"/>
          </w:tblCellMar>
        </w:tblPrEx>
        <w:trPr>
          <w:trHeight w:val="851" w:hRule="exact"/>
        </w:trPr>
        <w:tc>
          <w:tcPr>
            <w:tcW w:w="1659" w:type="dxa"/>
            <w:tcBorders>
              <w:top w:val="nil"/>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绿色建筑比例</w:t>
            </w:r>
          </w:p>
        </w:tc>
        <w:tc>
          <w:tcPr>
            <w:tcW w:w="2208" w:type="dxa"/>
            <w:gridSpan w:val="2"/>
            <w:tcBorders>
              <w:top w:val="single" w:color="auto" w:sz="4" w:space="0"/>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c>
          <w:tcPr>
            <w:tcW w:w="2117" w:type="dxa"/>
            <w:gridSpan w:val="2"/>
            <w:tcBorders>
              <w:top w:val="nil"/>
              <w:left w:val="nil"/>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绿色建筑二星级</w:t>
            </w:r>
          </w:p>
          <w:p>
            <w:pPr>
              <w:jc w:val="center"/>
              <w:rPr>
                <w:rFonts w:eastAsia="方正仿宋_GBK"/>
                <w:color w:val="000000"/>
                <w:spacing w:val="-2"/>
                <w:szCs w:val="21"/>
              </w:rPr>
            </w:pPr>
            <w:r>
              <w:rPr>
                <w:rFonts w:hint="eastAsia" w:eastAsia="方正仿宋_GBK"/>
                <w:color w:val="000000"/>
                <w:spacing w:val="-2"/>
                <w:szCs w:val="21"/>
              </w:rPr>
              <w:t>及以上比例</w:t>
            </w:r>
          </w:p>
        </w:tc>
        <w:tc>
          <w:tcPr>
            <w:tcW w:w="2796" w:type="dxa"/>
            <w:gridSpan w:val="3"/>
            <w:tcBorders>
              <w:top w:val="single" w:color="auto" w:sz="4" w:space="0"/>
              <w:left w:val="nil"/>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r>
      <w:tr>
        <w:tblPrEx>
          <w:tblCellMar>
            <w:top w:w="0" w:type="dxa"/>
            <w:left w:w="108" w:type="dxa"/>
            <w:bottom w:w="0" w:type="dxa"/>
            <w:right w:w="108" w:type="dxa"/>
          </w:tblCellMar>
        </w:tblPrEx>
        <w:trPr>
          <w:trHeight w:val="608"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三、示范区实施情况</w:t>
            </w:r>
          </w:p>
        </w:tc>
      </w:tr>
      <w:tr>
        <w:tblPrEx>
          <w:tblCellMar>
            <w:top w:w="0" w:type="dxa"/>
            <w:left w:w="108" w:type="dxa"/>
            <w:bottom w:w="0" w:type="dxa"/>
            <w:right w:w="108" w:type="dxa"/>
          </w:tblCellMar>
        </w:tblPrEx>
        <w:trPr>
          <w:trHeight w:val="808" w:hRule="atLeast"/>
        </w:trPr>
        <w:tc>
          <w:tcPr>
            <w:tcW w:w="1659" w:type="dxa"/>
            <w:tcBorders>
              <w:top w:val="single" w:color="auto" w:sz="4" w:space="0"/>
              <w:left w:val="single" w:color="auto" w:sz="8"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已开工项目</w:t>
            </w:r>
          </w:p>
          <w:p>
            <w:pPr>
              <w:jc w:val="center"/>
              <w:rPr>
                <w:rFonts w:eastAsia="方正仿宋_GBK"/>
                <w:color w:val="000000"/>
                <w:spacing w:val="-2"/>
                <w:szCs w:val="21"/>
              </w:rPr>
            </w:pPr>
            <w:r>
              <w:rPr>
                <w:rFonts w:hint="eastAsia" w:eastAsia="方正仿宋_GBK"/>
                <w:color w:val="000000"/>
                <w:spacing w:val="-2"/>
                <w:szCs w:val="21"/>
              </w:rPr>
              <w:t>总建筑面积</w:t>
            </w:r>
          </w:p>
        </w:tc>
        <w:tc>
          <w:tcPr>
            <w:tcW w:w="1962"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万平方米</w:t>
            </w:r>
          </w:p>
        </w:tc>
        <w:tc>
          <w:tcPr>
            <w:tcW w:w="1446" w:type="dxa"/>
            <w:gridSpan w:val="2"/>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建成项目</w:t>
            </w:r>
          </w:p>
          <w:p>
            <w:pPr>
              <w:jc w:val="center"/>
              <w:rPr>
                <w:rFonts w:eastAsia="方正仿宋_GBK"/>
                <w:color w:val="000000"/>
                <w:spacing w:val="-2"/>
                <w:szCs w:val="21"/>
              </w:rPr>
            </w:pPr>
            <w:r>
              <w:rPr>
                <w:rFonts w:hint="eastAsia" w:eastAsia="方正仿宋_GBK"/>
                <w:color w:val="000000"/>
                <w:spacing w:val="-2"/>
                <w:szCs w:val="21"/>
              </w:rPr>
              <w:t>总建筑面积</w:t>
            </w:r>
          </w:p>
        </w:tc>
        <w:tc>
          <w:tcPr>
            <w:tcW w:w="1236" w:type="dxa"/>
            <w:gridSpan w:val="2"/>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万平方米</w:t>
            </w:r>
          </w:p>
        </w:tc>
        <w:tc>
          <w:tcPr>
            <w:tcW w:w="1419" w:type="dxa"/>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项目完工率</w:t>
            </w:r>
          </w:p>
        </w:tc>
        <w:tc>
          <w:tcPr>
            <w:tcW w:w="1058"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eastAsia="方正仿宋_GBK"/>
                <w:color w:val="000000"/>
                <w:spacing w:val="-2"/>
                <w:szCs w:val="21"/>
              </w:rPr>
              <w:t>%</w:t>
            </w:r>
          </w:p>
        </w:tc>
      </w:tr>
      <w:tr>
        <w:tblPrEx>
          <w:tblCellMar>
            <w:top w:w="0" w:type="dxa"/>
            <w:left w:w="108" w:type="dxa"/>
            <w:bottom w:w="0" w:type="dxa"/>
            <w:right w:w="108" w:type="dxa"/>
          </w:tblCellMar>
        </w:tblPrEx>
        <w:trPr>
          <w:trHeight w:val="815" w:hRule="atLeast"/>
        </w:trPr>
        <w:tc>
          <w:tcPr>
            <w:tcW w:w="1659" w:type="dxa"/>
            <w:tcBorders>
              <w:top w:val="single" w:color="auto" w:sz="4" w:space="0"/>
              <w:left w:val="single" w:color="auto" w:sz="8"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项目验收情况</w:t>
            </w:r>
          </w:p>
        </w:tc>
        <w:tc>
          <w:tcPr>
            <w:tcW w:w="7121" w:type="dxa"/>
            <w:gridSpan w:val="7"/>
            <w:tcBorders>
              <w:top w:val="single" w:color="auto" w:sz="4" w:space="0"/>
              <w:left w:val="single" w:color="auto" w:sz="4" w:space="0"/>
              <w:bottom w:val="single" w:color="auto" w:sz="4" w:space="0"/>
              <w:right w:val="single" w:color="auto" w:sz="8" w:space="0"/>
            </w:tcBorders>
            <w:noWrap w:val="0"/>
            <w:vAlign w:val="center"/>
          </w:tcPr>
          <w:p>
            <w:pPr>
              <w:rPr>
                <w:rFonts w:ascii="Times New Roman" w:eastAsia="方正仿宋_GBK"/>
                <w:color w:val="000000"/>
                <w:spacing w:val="-2"/>
                <w:szCs w:val="21"/>
              </w:rPr>
            </w:pPr>
            <w:r>
              <w:rPr>
                <w:rFonts w:hint="eastAsia" w:ascii="Times New Roman" w:eastAsia="方正仿宋_GBK"/>
                <w:color w:val="000000"/>
                <w:spacing w:val="-2"/>
                <w:szCs w:val="21"/>
              </w:rPr>
              <w:t>□所有项目已通过验收　 □部分项目已通过验收  □尚未开始验收</w:t>
            </w:r>
          </w:p>
        </w:tc>
      </w:tr>
      <w:tr>
        <w:tblPrEx>
          <w:tblCellMar>
            <w:top w:w="0" w:type="dxa"/>
            <w:left w:w="108" w:type="dxa"/>
            <w:bottom w:w="0" w:type="dxa"/>
            <w:right w:w="108" w:type="dxa"/>
          </w:tblCellMar>
        </w:tblPrEx>
        <w:trPr>
          <w:trHeight w:val="1331" w:hRule="atLeast"/>
        </w:trPr>
        <w:tc>
          <w:tcPr>
            <w:tcW w:w="1659" w:type="dxa"/>
            <w:tcBorders>
              <w:top w:val="single" w:color="auto" w:sz="4" w:space="0"/>
              <w:left w:val="single" w:color="auto" w:sz="8"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已取得绿色建筑评价标识的项目数量</w:t>
            </w:r>
          </w:p>
        </w:tc>
        <w:tc>
          <w:tcPr>
            <w:tcW w:w="2208" w:type="dxa"/>
            <w:gridSpan w:val="2"/>
            <w:tcBorders>
              <w:top w:val="single" w:color="auto" w:sz="4" w:space="0"/>
              <w:left w:val="single" w:color="auto" w:sz="4"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个</w:t>
            </w:r>
          </w:p>
        </w:tc>
        <w:tc>
          <w:tcPr>
            <w:tcW w:w="2117" w:type="dxa"/>
            <w:gridSpan w:val="2"/>
            <w:tcBorders>
              <w:top w:val="single" w:color="auto" w:sz="4" w:space="0"/>
              <w:left w:val="single" w:color="auto" w:sz="4" w:space="0"/>
              <w:bottom w:val="single" w:color="auto" w:sz="4" w:space="0"/>
              <w:right w:val="single" w:color="000000" w:sz="4" w:space="0"/>
            </w:tcBorders>
            <w:noWrap w:val="0"/>
            <w:vAlign w:val="center"/>
          </w:tcPr>
          <w:p>
            <w:pPr>
              <w:rPr>
                <w:rFonts w:eastAsia="方正仿宋_GBK"/>
                <w:color w:val="000000"/>
                <w:spacing w:val="-2"/>
                <w:szCs w:val="21"/>
              </w:rPr>
            </w:pPr>
            <w:r>
              <w:rPr>
                <w:rFonts w:hint="eastAsia" w:eastAsia="方正仿宋_GBK"/>
                <w:color w:val="000000"/>
                <w:spacing w:val="-2"/>
                <w:szCs w:val="21"/>
              </w:rPr>
              <w:t>已取得绿色建筑评价标识项目总建筑面积</w:t>
            </w:r>
          </w:p>
        </w:tc>
        <w:tc>
          <w:tcPr>
            <w:tcW w:w="2796" w:type="dxa"/>
            <w:gridSpan w:val="3"/>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万平方米</w:t>
            </w:r>
          </w:p>
        </w:tc>
      </w:tr>
      <w:tr>
        <w:tblPrEx>
          <w:tblCellMar>
            <w:top w:w="0" w:type="dxa"/>
            <w:left w:w="108" w:type="dxa"/>
            <w:bottom w:w="0" w:type="dxa"/>
            <w:right w:w="108" w:type="dxa"/>
          </w:tblCellMar>
        </w:tblPrEx>
        <w:trPr>
          <w:trHeight w:val="780" w:hRule="atLeast"/>
        </w:trPr>
        <w:tc>
          <w:tcPr>
            <w:tcW w:w="1659" w:type="dxa"/>
            <w:tcBorders>
              <w:top w:val="single" w:color="auto" w:sz="4" w:space="0"/>
              <w:left w:val="single" w:color="auto" w:sz="8"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实施方案</w:t>
            </w:r>
          </w:p>
          <w:p>
            <w:pPr>
              <w:jc w:val="center"/>
              <w:rPr>
                <w:rFonts w:eastAsia="方正仿宋_GBK"/>
                <w:color w:val="000000"/>
                <w:spacing w:val="-2"/>
                <w:szCs w:val="21"/>
              </w:rPr>
            </w:pPr>
            <w:r>
              <w:rPr>
                <w:rFonts w:hint="eastAsia" w:eastAsia="方正仿宋_GBK"/>
                <w:color w:val="000000"/>
                <w:spacing w:val="-2"/>
                <w:szCs w:val="21"/>
              </w:rPr>
              <w:t>变更情况</w:t>
            </w:r>
          </w:p>
        </w:tc>
        <w:tc>
          <w:tcPr>
            <w:tcW w:w="7121" w:type="dxa"/>
            <w:gridSpan w:val="7"/>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r>
              <w:rPr>
                <w:rFonts w:eastAsia="方正仿宋_GBK"/>
                <w:color w:val="000000"/>
                <w:spacing w:val="-2"/>
                <w:szCs w:val="21"/>
              </w:rPr>
              <w:t>□</w:t>
            </w:r>
            <w:r>
              <w:rPr>
                <w:rFonts w:hint="eastAsia" w:eastAsia="方正仿宋_GBK"/>
                <w:color w:val="000000"/>
                <w:spacing w:val="-2"/>
                <w:szCs w:val="21"/>
              </w:rPr>
              <w:t>未变更　</w:t>
            </w:r>
            <w:r>
              <w:rPr>
                <w:rFonts w:eastAsia="方正仿宋_GBK"/>
                <w:color w:val="000000"/>
                <w:spacing w:val="-2"/>
                <w:szCs w:val="21"/>
              </w:rPr>
              <w:t xml:space="preserve"> □</w:t>
            </w:r>
            <w:r>
              <w:rPr>
                <w:rFonts w:hint="eastAsia" w:eastAsia="方正仿宋_GBK"/>
                <w:color w:val="000000"/>
                <w:spacing w:val="-2"/>
                <w:szCs w:val="21"/>
              </w:rPr>
              <w:t>有变更并通过审查备案</w:t>
            </w:r>
            <w:r>
              <w:rPr>
                <w:rFonts w:eastAsia="方正仿宋_GBK"/>
                <w:color w:val="000000"/>
                <w:spacing w:val="-2"/>
                <w:szCs w:val="21"/>
              </w:rPr>
              <w:t xml:space="preserve">   □</w:t>
            </w:r>
            <w:r>
              <w:rPr>
                <w:rFonts w:hint="eastAsia" w:eastAsia="方正仿宋_GBK"/>
                <w:color w:val="000000"/>
                <w:spacing w:val="-2"/>
                <w:szCs w:val="21"/>
              </w:rPr>
              <w:t>有变更未通过审查备案</w:t>
            </w:r>
          </w:p>
        </w:tc>
      </w:tr>
      <w:tr>
        <w:tblPrEx>
          <w:tblCellMar>
            <w:top w:w="0" w:type="dxa"/>
            <w:left w:w="108" w:type="dxa"/>
            <w:bottom w:w="0" w:type="dxa"/>
            <w:right w:w="108" w:type="dxa"/>
          </w:tblCellMar>
        </w:tblPrEx>
        <w:trPr>
          <w:trHeight w:val="780" w:hRule="atLeast"/>
        </w:trPr>
        <w:tc>
          <w:tcPr>
            <w:tcW w:w="1659" w:type="dxa"/>
            <w:tcBorders>
              <w:top w:val="single" w:color="auto" w:sz="4" w:space="0"/>
              <w:left w:val="single" w:color="auto" w:sz="8"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双月报情况</w:t>
            </w:r>
          </w:p>
        </w:tc>
        <w:tc>
          <w:tcPr>
            <w:tcW w:w="7121" w:type="dxa"/>
            <w:gridSpan w:val="7"/>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r>
              <w:rPr>
                <w:rFonts w:eastAsia="方正仿宋_GBK"/>
                <w:color w:val="000000"/>
                <w:spacing w:val="-2"/>
                <w:szCs w:val="21"/>
              </w:rPr>
              <w:t>□</w:t>
            </w:r>
            <w:r>
              <w:rPr>
                <w:rFonts w:hint="eastAsia" w:eastAsia="方正仿宋_GBK"/>
                <w:color w:val="000000"/>
                <w:spacing w:val="-2"/>
                <w:szCs w:val="21"/>
              </w:rPr>
              <w:t>每双月报　</w:t>
            </w:r>
            <w:r>
              <w:rPr>
                <w:rFonts w:eastAsia="方正仿宋_GBK"/>
                <w:color w:val="000000"/>
                <w:spacing w:val="-2"/>
                <w:szCs w:val="21"/>
              </w:rPr>
              <w:t xml:space="preserve"> □</w:t>
            </w:r>
            <w:r>
              <w:rPr>
                <w:rFonts w:hint="eastAsia" w:eastAsia="方正仿宋_GBK"/>
                <w:color w:val="000000"/>
                <w:spacing w:val="-2"/>
                <w:szCs w:val="21"/>
              </w:rPr>
              <w:t>部分双月报</w:t>
            </w:r>
            <w:r>
              <w:rPr>
                <w:rFonts w:eastAsia="方正仿宋_GBK"/>
                <w:color w:val="000000"/>
                <w:spacing w:val="-2"/>
                <w:szCs w:val="21"/>
              </w:rPr>
              <w:t xml:space="preserve">   □</w:t>
            </w:r>
            <w:r>
              <w:rPr>
                <w:rFonts w:hint="eastAsia" w:eastAsia="方正仿宋_GBK"/>
                <w:color w:val="000000"/>
                <w:spacing w:val="-2"/>
                <w:szCs w:val="21"/>
              </w:rPr>
              <w:t>未双月报</w:t>
            </w:r>
          </w:p>
        </w:tc>
      </w:tr>
      <w:tr>
        <w:tblPrEx>
          <w:tblCellMar>
            <w:top w:w="0" w:type="dxa"/>
            <w:left w:w="108" w:type="dxa"/>
            <w:bottom w:w="0" w:type="dxa"/>
            <w:right w:w="108" w:type="dxa"/>
          </w:tblCellMar>
        </w:tblPrEx>
        <w:trPr>
          <w:trHeight w:val="4220" w:hRule="atLeast"/>
        </w:trPr>
        <w:tc>
          <w:tcPr>
            <w:tcW w:w="1659" w:type="dxa"/>
            <w:tcBorders>
              <w:top w:val="single" w:color="auto" w:sz="4" w:space="0"/>
              <w:left w:val="single" w:color="auto" w:sz="8"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中期检查情况（中期检查意见，结果是否符合实施方案</w:t>
            </w:r>
          </w:p>
          <w:p>
            <w:pPr>
              <w:jc w:val="center"/>
              <w:rPr>
                <w:rFonts w:eastAsia="方正仿宋_GBK"/>
                <w:color w:val="000000"/>
                <w:spacing w:val="-2"/>
                <w:szCs w:val="21"/>
              </w:rPr>
            </w:pPr>
            <w:r>
              <w:rPr>
                <w:rFonts w:hint="eastAsia" w:eastAsia="方正仿宋_GBK"/>
                <w:color w:val="000000"/>
                <w:spacing w:val="-2"/>
                <w:szCs w:val="21"/>
              </w:rPr>
              <w:t>要求）</w:t>
            </w:r>
          </w:p>
        </w:tc>
        <w:tc>
          <w:tcPr>
            <w:tcW w:w="7121" w:type="dxa"/>
            <w:gridSpan w:val="7"/>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CellMar>
            <w:top w:w="0" w:type="dxa"/>
            <w:left w:w="108" w:type="dxa"/>
            <w:bottom w:w="0" w:type="dxa"/>
            <w:right w:w="108" w:type="dxa"/>
          </w:tblCellMar>
        </w:tblPrEx>
        <w:trPr>
          <w:trHeight w:val="4404" w:hRule="atLeast"/>
        </w:trPr>
        <w:tc>
          <w:tcPr>
            <w:tcW w:w="1659" w:type="dxa"/>
            <w:tcBorders>
              <w:top w:val="single" w:color="auto" w:sz="4" w:space="0"/>
              <w:left w:val="single" w:color="auto" w:sz="8"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配套政策</w:t>
            </w:r>
          </w:p>
          <w:p>
            <w:pPr>
              <w:jc w:val="center"/>
              <w:rPr>
                <w:rFonts w:eastAsia="方正仿宋_GBK"/>
                <w:color w:val="000000"/>
                <w:spacing w:val="-2"/>
                <w:szCs w:val="21"/>
              </w:rPr>
            </w:pPr>
            <w:r>
              <w:rPr>
                <w:rFonts w:hint="eastAsia" w:eastAsia="方正仿宋_GBK"/>
                <w:color w:val="000000"/>
                <w:spacing w:val="-2"/>
                <w:szCs w:val="21"/>
              </w:rPr>
              <w:t>保障措施</w:t>
            </w:r>
          </w:p>
        </w:tc>
        <w:tc>
          <w:tcPr>
            <w:tcW w:w="7121" w:type="dxa"/>
            <w:gridSpan w:val="7"/>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CellMar>
            <w:top w:w="0" w:type="dxa"/>
            <w:left w:w="108" w:type="dxa"/>
            <w:bottom w:w="0" w:type="dxa"/>
            <w:right w:w="108" w:type="dxa"/>
          </w:tblCellMar>
        </w:tblPrEx>
        <w:trPr>
          <w:trHeight w:val="4536" w:hRule="atLeast"/>
        </w:trPr>
        <w:tc>
          <w:tcPr>
            <w:tcW w:w="1659" w:type="dxa"/>
            <w:tcBorders>
              <w:top w:val="single" w:color="auto" w:sz="4" w:space="0"/>
              <w:left w:val="single" w:color="auto" w:sz="8" w:space="0"/>
              <w:bottom w:val="single" w:color="auto" w:sz="4" w:space="0"/>
              <w:right w:val="single" w:color="000000"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财政补助资</w:t>
            </w:r>
          </w:p>
          <w:p>
            <w:pPr>
              <w:jc w:val="center"/>
              <w:rPr>
                <w:rFonts w:eastAsia="方正仿宋_GBK"/>
                <w:color w:val="000000"/>
                <w:spacing w:val="-2"/>
                <w:szCs w:val="21"/>
              </w:rPr>
            </w:pPr>
            <w:r>
              <w:rPr>
                <w:rFonts w:hint="eastAsia" w:eastAsia="方正仿宋_GBK"/>
                <w:color w:val="000000"/>
                <w:spacing w:val="-2"/>
                <w:szCs w:val="21"/>
              </w:rPr>
              <w:t>金及配套资</w:t>
            </w:r>
          </w:p>
          <w:p>
            <w:pPr>
              <w:jc w:val="center"/>
              <w:rPr>
                <w:rFonts w:eastAsia="方正仿宋_GBK"/>
                <w:color w:val="000000"/>
                <w:spacing w:val="-2"/>
                <w:szCs w:val="21"/>
              </w:rPr>
            </w:pPr>
            <w:r>
              <w:rPr>
                <w:rFonts w:hint="eastAsia" w:eastAsia="方正仿宋_GBK"/>
                <w:color w:val="000000"/>
                <w:spacing w:val="-2"/>
                <w:szCs w:val="21"/>
              </w:rPr>
              <w:t>金使用情况</w:t>
            </w:r>
          </w:p>
        </w:tc>
        <w:tc>
          <w:tcPr>
            <w:tcW w:w="7121" w:type="dxa"/>
            <w:gridSpan w:val="7"/>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CellMar>
            <w:top w:w="0" w:type="dxa"/>
            <w:left w:w="108" w:type="dxa"/>
            <w:bottom w:w="0" w:type="dxa"/>
            <w:right w:w="108" w:type="dxa"/>
          </w:tblCellMar>
        </w:tblPrEx>
        <w:trPr>
          <w:trHeight w:val="454"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四、专项规划编制及批准实施情况（编制情况、评审情况及评审结论、批准实施情况）</w:t>
            </w:r>
          </w:p>
        </w:tc>
      </w:tr>
      <w:tr>
        <w:tblPrEx>
          <w:tblCellMar>
            <w:top w:w="0" w:type="dxa"/>
            <w:left w:w="108" w:type="dxa"/>
            <w:bottom w:w="0" w:type="dxa"/>
            <w:right w:w="108" w:type="dxa"/>
          </w:tblCellMar>
        </w:tblPrEx>
        <w:trPr>
          <w:trHeight w:val="5832"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p>
        </w:tc>
      </w:tr>
      <w:tr>
        <w:tblPrEx>
          <w:tblCellMar>
            <w:top w:w="0" w:type="dxa"/>
            <w:left w:w="108" w:type="dxa"/>
            <w:bottom w:w="0" w:type="dxa"/>
            <w:right w:w="108" w:type="dxa"/>
          </w:tblCellMar>
        </w:tblPrEx>
        <w:trPr>
          <w:trHeight w:val="454"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五、节约型城乡建设重点工作完成情况（按照十项要求逐条编写）</w:t>
            </w:r>
          </w:p>
        </w:tc>
      </w:tr>
      <w:tr>
        <w:tblPrEx>
          <w:tblCellMar>
            <w:top w:w="0" w:type="dxa"/>
            <w:left w:w="108" w:type="dxa"/>
            <w:bottom w:w="0" w:type="dxa"/>
            <w:right w:w="108" w:type="dxa"/>
          </w:tblCellMar>
        </w:tblPrEx>
        <w:trPr>
          <w:trHeight w:val="6468"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p>
        </w:tc>
      </w:tr>
      <w:tr>
        <w:tblPrEx>
          <w:tblCellMar>
            <w:top w:w="0" w:type="dxa"/>
            <w:left w:w="108" w:type="dxa"/>
            <w:bottom w:w="0" w:type="dxa"/>
            <w:right w:w="108" w:type="dxa"/>
          </w:tblCellMar>
        </w:tblPrEx>
        <w:trPr>
          <w:trHeight w:val="382"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六、绿色建筑示范项目及示范技术完成情况</w:t>
            </w:r>
          </w:p>
        </w:tc>
      </w:tr>
      <w:tr>
        <w:tblPrEx>
          <w:tblCellMar>
            <w:top w:w="0" w:type="dxa"/>
            <w:left w:w="108" w:type="dxa"/>
            <w:bottom w:w="0" w:type="dxa"/>
            <w:right w:w="108" w:type="dxa"/>
          </w:tblCellMar>
        </w:tblPrEx>
        <w:trPr>
          <w:trHeight w:val="6236"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p>
        </w:tc>
      </w:tr>
      <w:tr>
        <w:tblPrEx>
          <w:tblCellMar>
            <w:top w:w="0" w:type="dxa"/>
            <w:left w:w="108" w:type="dxa"/>
            <w:bottom w:w="0" w:type="dxa"/>
            <w:right w:w="108" w:type="dxa"/>
          </w:tblCellMar>
        </w:tblPrEx>
        <w:trPr>
          <w:trHeight w:val="629"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七、提交文件目录</w:t>
            </w:r>
          </w:p>
        </w:tc>
      </w:tr>
      <w:tr>
        <w:tblPrEx>
          <w:tblCellMar>
            <w:top w:w="0" w:type="dxa"/>
            <w:left w:w="108" w:type="dxa"/>
            <w:bottom w:w="0" w:type="dxa"/>
            <w:right w:w="108" w:type="dxa"/>
          </w:tblCellMar>
        </w:tblPrEx>
        <w:trPr>
          <w:trHeight w:val="5993"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top"/>
          </w:tcPr>
          <w:p>
            <w:pPr>
              <w:spacing w:line="42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1.</w:t>
            </w:r>
            <w:r>
              <w:rPr>
                <w:rFonts w:hint="eastAsia" w:eastAsia="方正仿宋_GBK"/>
                <w:color w:val="000000"/>
                <w:spacing w:val="-2"/>
                <w:szCs w:val="21"/>
              </w:rPr>
              <w:t>示范区验收评估申请表</w:t>
            </w:r>
          </w:p>
          <w:p>
            <w:pPr>
              <w:spacing w:line="42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2.</w:t>
            </w:r>
            <w:r>
              <w:rPr>
                <w:rFonts w:hint="eastAsia" w:eastAsia="方正仿宋_GBK"/>
                <w:color w:val="000000"/>
                <w:spacing w:val="-2"/>
                <w:szCs w:val="21"/>
              </w:rPr>
              <w:t>批准的示范区实施方案</w:t>
            </w:r>
          </w:p>
          <w:p>
            <w:pPr>
              <w:spacing w:line="42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3.</w:t>
            </w:r>
            <w:r>
              <w:rPr>
                <w:rFonts w:hint="eastAsia" w:eastAsia="方正仿宋_GBK"/>
                <w:color w:val="000000"/>
                <w:spacing w:val="-2"/>
                <w:szCs w:val="21"/>
              </w:rPr>
              <w:t>示范区实施总结报告</w:t>
            </w:r>
          </w:p>
          <w:p>
            <w:pPr>
              <w:spacing w:line="42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4.</w:t>
            </w:r>
            <w:r>
              <w:rPr>
                <w:rFonts w:hint="eastAsia" w:eastAsia="方正仿宋_GBK"/>
                <w:color w:val="000000"/>
                <w:spacing w:val="-2"/>
                <w:szCs w:val="21"/>
              </w:rPr>
              <w:t>示范区财政补助资金及配套资金使用及管理情况报告（含财务审核机构出具的示范区资金使用情况审核报告）</w:t>
            </w:r>
          </w:p>
          <w:p>
            <w:pPr>
              <w:spacing w:line="420" w:lineRule="exact"/>
              <w:rPr>
                <w:rFonts w:eastAsia="方正仿宋_GBK"/>
                <w:color w:val="000000"/>
                <w:spacing w:val="-2"/>
                <w:szCs w:val="21"/>
              </w:rPr>
            </w:pPr>
            <w:r>
              <w:rPr>
                <w:rFonts w:hint="eastAsia" w:ascii="Times New Roman" w:hAnsi="Times New Roman"/>
                <w:color w:val="000000"/>
                <w:spacing w:val="-2"/>
                <w:szCs w:val="21"/>
              </w:rPr>
              <w:t xml:space="preserve">□ </w:t>
            </w:r>
            <w:r>
              <w:rPr>
                <w:rFonts w:eastAsia="方正仿宋_GBK"/>
                <w:color w:val="000000"/>
                <w:spacing w:val="-2"/>
                <w:szCs w:val="21"/>
              </w:rPr>
              <w:t>5.</w:t>
            </w:r>
            <w:r>
              <w:rPr>
                <w:rFonts w:hint="eastAsia" w:eastAsia="方正仿宋_GBK"/>
                <w:color w:val="000000"/>
                <w:spacing w:val="-2"/>
                <w:szCs w:val="21"/>
              </w:rPr>
              <w:t>纳入示范的项目清单，项目资料（包括完成项目验收材料、绿色建筑评价标识材料、能效测评标识材料；进行项目过程资料等）</w:t>
            </w:r>
            <w:r>
              <w:rPr>
                <w:rFonts w:eastAsia="方正仿宋_GBK"/>
                <w:color w:val="000000"/>
                <w:spacing w:val="-2"/>
                <w:szCs w:val="21"/>
              </w:rPr>
              <w:t xml:space="preserve"> </w:t>
            </w:r>
          </w:p>
          <w:p>
            <w:pPr>
              <w:spacing w:line="42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6.</w:t>
            </w:r>
            <w:r>
              <w:rPr>
                <w:rFonts w:hint="eastAsia" w:eastAsia="方正仿宋_GBK"/>
                <w:color w:val="000000"/>
                <w:spacing w:val="-2"/>
                <w:szCs w:val="21"/>
              </w:rPr>
              <w:t>纳入示范区工作的节约型城乡建设项目相关资料</w:t>
            </w:r>
          </w:p>
          <w:p>
            <w:pPr>
              <w:spacing w:line="42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7.</w:t>
            </w:r>
            <w:r>
              <w:rPr>
                <w:rFonts w:hint="eastAsia" w:eastAsia="方正仿宋_GBK"/>
                <w:color w:val="000000"/>
                <w:spacing w:val="-2"/>
                <w:szCs w:val="21"/>
              </w:rPr>
              <w:t>示范区工作开展及配套能力建设成果文件，包括：进度报表、中期检查表、资源评估报告、专项规划及配套政策文件等</w:t>
            </w:r>
          </w:p>
          <w:p>
            <w:pPr>
              <w:spacing w:line="42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8.</w:t>
            </w:r>
            <w:r>
              <w:rPr>
                <w:rFonts w:hint="eastAsia" w:eastAsia="方正仿宋_GBK"/>
                <w:color w:val="000000"/>
                <w:spacing w:val="-2"/>
                <w:szCs w:val="21"/>
              </w:rPr>
              <w:t>项目能效测评报告和典型项目运行监测相关文件</w:t>
            </w:r>
          </w:p>
          <w:p>
            <w:pPr>
              <w:spacing w:line="42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9.</w:t>
            </w:r>
            <w:r>
              <w:rPr>
                <w:rFonts w:hint="eastAsia" w:eastAsia="方正仿宋_GBK"/>
                <w:color w:val="000000"/>
                <w:spacing w:val="-2"/>
                <w:szCs w:val="21"/>
              </w:rPr>
              <w:t>示范区运营管理等后评估文件</w:t>
            </w:r>
          </w:p>
          <w:p>
            <w:pPr>
              <w:spacing w:line="42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10.</w:t>
            </w:r>
            <w:r>
              <w:rPr>
                <w:rFonts w:hint="eastAsia" w:eastAsia="方正仿宋_GBK"/>
                <w:color w:val="000000"/>
                <w:spacing w:val="-2"/>
                <w:szCs w:val="21"/>
              </w:rPr>
              <w:t>过程照片、视频等其他相关资料</w:t>
            </w:r>
          </w:p>
        </w:tc>
      </w:tr>
      <w:tr>
        <w:tblPrEx>
          <w:tblCellMar>
            <w:top w:w="0" w:type="dxa"/>
            <w:left w:w="108" w:type="dxa"/>
            <w:bottom w:w="0" w:type="dxa"/>
            <w:right w:w="108" w:type="dxa"/>
          </w:tblCellMar>
        </w:tblPrEx>
        <w:trPr>
          <w:trHeight w:val="632"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八、申请单位意见</w:t>
            </w:r>
          </w:p>
        </w:tc>
      </w:tr>
      <w:tr>
        <w:tblPrEx>
          <w:tblCellMar>
            <w:top w:w="0" w:type="dxa"/>
            <w:left w:w="108" w:type="dxa"/>
            <w:bottom w:w="0" w:type="dxa"/>
            <w:right w:w="108" w:type="dxa"/>
          </w:tblCellMar>
        </w:tblPrEx>
        <w:trPr>
          <w:trHeight w:val="5731"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jc w:val="right"/>
              <w:rPr>
                <w:rFonts w:eastAsia="方正仿宋_GBK"/>
                <w:color w:val="000000"/>
                <w:spacing w:val="-2"/>
                <w:szCs w:val="21"/>
              </w:rPr>
            </w:pPr>
            <w:r>
              <w:rPr>
                <w:rFonts w:hint="eastAsia" w:eastAsia="方正仿宋_GBK"/>
                <w:color w:val="000000"/>
                <w:spacing w:val="-2"/>
                <w:szCs w:val="21"/>
              </w:rPr>
              <w:t>签字：</w:t>
            </w:r>
            <w:r>
              <w:rPr>
                <w:rFonts w:eastAsia="方正仿宋_GBK"/>
                <w:color w:val="000000"/>
                <w:spacing w:val="-2"/>
                <w:szCs w:val="21"/>
              </w:rPr>
              <w:t xml:space="preserve">      </w:t>
            </w:r>
            <w:r>
              <w:rPr>
                <w:rFonts w:hint="eastAsia" w:eastAsia="方正仿宋_GBK"/>
                <w:color w:val="000000"/>
                <w:spacing w:val="-2"/>
                <w:szCs w:val="21"/>
              </w:rPr>
              <w:t>（盖章）</w:t>
            </w:r>
          </w:p>
          <w:p>
            <w:pPr>
              <w:jc w:val="right"/>
              <w:rPr>
                <w:rFonts w:eastAsia="方正仿宋_GBK"/>
                <w:color w:val="000000"/>
                <w:spacing w:val="-2"/>
                <w:szCs w:val="21"/>
              </w:rPr>
            </w:pPr>
          </w:p>
          <w:p>
            <w:pPr>
              <w:jc w:val="right"/>
              <w:rPr>
                <w:rFonts w:eastAsia="方正仿宋_GBK"/>
                <w:color w:val="000000"/>
                <w:spacing w:val="-2"/>
                <w:szCs w:val="21"/>
              </w:rPr>
            </w:pPr>
            <w:r>
              <w:rPr>
                <w:rFonts w:hint="eastAsia" w:eastAsia="方正仿宋_GBK"/>
                <w:color w:val="000000"/>
                <w:spacing w:val="-2"/>
                <w:szCs w:val="21"/>
              </w:rPr>
              <w:t>年</w:t>
            </w:r>
            <w:r>
              <w:rPr>
                <w:rFonts w:eastAsia="方正仿宋_GBK"/>
                <w:color w:val="000000"/>
                <w:spacing w:val="-2"/>
                <w:szCs w:val="21"/>
              </w:rPr>
              <w:t xml:space="preserve">   </w:t>
            </w:r>
            <w:r>
              <w:rPr>
                <w:rFonts w:hint="eastAsia" w:eastAsia="方正仿宋_GBK"/>
                <w:color w:val="000000"/>
                <w:spacing w:val="-2"/>
                <w:szCs w:val="21"/>
              </w:rPr>
              <w:t>月</w:t>
            </w:r>
            <w:r>
              <w:rPr>
                <w:rFonts w:eastAsia="方正仿宋_GBK"/>
                <w:color w:val="000000"/>
                <w:spacing w:val="-2"/>
                <w:szCs w:val="21"/>
              </w:rPr>
              <w:t xml:space="preserve">   </w:t>
            </w:r>
            <w:r>
              <w:rPr>
                <w:rFonts w:hint="eastAsia" w:eastAsia="方正仿宋_GBK"/>
                <w:color w:val="000000"/>
                <w:spacing w:val="-2"/>
                <w:szCs w:val="21"/>
              </w:rPr>
              <w:t>日</w:t>
            </w:r>
            <w:r>
              <w:rPr>
                <w:rFonts w:eastAsia="方正仿宋_GBK"/>
                <w:color w:val="000000"/>
                <w:spacing w:val="-2"/>
                <w:szCs w:val="21"/>
              </w:rPr>
              <w:t xml:space="preserve">    </w:t>
            </w:r>
          </w:p>
        </w:tc>
      </w:tr>
      <w:tr>
        <w:tblPrEx>
          <w:tblCellMar>
            <w:top w:w="0" w:type="dxa"/>
            <w:left w:w="108" w:type="dxa"/>
            <w:bottom w:w="0" w:type="dxa"/>
            <w:right w:w="108" w:type="dxa"/>
          </w:tblCellMar>
        </w:tblPrEx>
        <w:trPr>
          <w:trHeight w:val="572"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九、项目所在地（市、县）建设主管部门意见</w:t>
            </w:r>
          </w:p>
        </w:tc>
      </w:tr>
      <w:tr>
        <w:tblPrEx>
          <w:tblCellMar>
            <w:top w:w="0" w:type="dxa"/>
            <w:left w:w="108" w:type="dxa"/>
            <w:bottom w:w="0" w:type="dxa"/>
            <w:right w:w="108" w:type="dxa"/>
          </w:tblCellMar>
        </w:tblPrEx>
        <w:trPr>
          <w:trHeight w:val="6193"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ind w:right="420"/>
              <w:jc w:val="right"/>
              <w:rPr>
                <w:rFonts w:eastAsia="方正仿宋_GBK"/>
                <w:color w:val="000000"/>
                <w:spacing w:val="-2"/>
                <w:szCs w:val="21"/>
              </w:rPr>
            </w:pPr>
            <w:r>
              <w:rPr>
                <w:rFonts w:hint="eastAsia" w:eastAsia="方正仿宋_GBK"/>
                <w:color w:val="000000"/>
                <w:spacing w:val="-2"/>
                <w:szCs w:val="21"/>
              </w:rPr>
              <w:t>（盖章）</w:t>
            </w:r>
            <w:r>
              <w:rPr>
                <w:rFonts w:eastAsia="方正仿宋_GBK"/>
                <w:color w:val="000000"/>
                <w:spacing w:val="-2"/>
                <w:szCs w:val="21"/>
              </w:rPr>
              <w:t xml:space="preserve"> </w:t>
            </w:r>
          </w:p>
          <w:p>
            <w:pPr>
              <w:jc w:val="right"/>
              <w:rPr>
                <w:rFonts w:eastAsia="方正仿宋_GBK"/>
                <w:color w:val="000000"/>
                <w:spacing w:val="-2"/>
                <w:szCs w:val="21"/>
              </w:rPr>
            </w:pPr>
            <w:r>
              <w:rPr>
                <w:rFonts w:eastAsia="方正仿宋_GBK"/>
                <w:color w:val="000000"/>
                <w:spacing w:val="-2"/>
                <w:szCs w:val="21"/>
              </w:rPr>
              <w:t xml:space="preserve">     </w:t>
            </w:r>
          </w:p>
          <w:p>
            <w:pPr>
              <w:jc w:val="right"/>
              <w:rPr>
                <w:rFonts w:eastAsia="方正仿宋_GBK"/>
                <w:color w:val="000000"/>
                <w:spacing w:val="-2"/>
                <w:szCs w:val="21"/>
              </w:rPr>
            </w:pPr>
            <w:r>
              <w:rPr>
                <w:rFonts w:hint="eastAsia" w:eastAsia="方正仿宋_GBK"/>
                <w:color w:val="000000"/>
                <w:spacing w:val="-2"/>
                <w:szCs w:val="21"/>
              </w:rPr>
              <w:t>年</w:t>
            </w:r>
            <w:r>
              <w:rPr>
                <w:rFonts w:eastAsia="方正仿宋_GBK"/>
                <w:color w:val="000000"/>
                <w:spacing w:val="-2"/>
                <w:szCs w:val="21"/>
              </w:rPr>
              <w:t xml:space="preserve">   </w:t>
            </w:r>
            <w:r>
              <w:rPr>
                <w:rFonts w:hint="eastAsia" w:eastAsia="方正仿宋_GBK"/>
                <w:color w:val="000000"/>
                <w:spacing w:val="-2"/>
                <w:szCs w:val="21"/>
              </w:rPr>
              <w:t>月</w:t>
            </w:r>
            <w:r>
              <w:rPr>
                <w:rFonts w:eastAsia="方正仿宋_GBK"/>
                <w:color w:val="000000"/>
                <w:spacing w:val="-2"/>
                <w:szCs w:val="21"/>
              </w:rPr>
              <w:t xml:space="preserve">   </w:t>
            </w:r>
            <w:r>
              <w:rPr>
                <w:rFonts w:hint="eastAsia" w:eastAsia="方正仿宋_GBK"/>
                <w:color w:val="000000"/>
                <w:spacing w:val="-2"/>
                <w:szCs w:val="21"/>
              </w:rPr>
              <w:t>日</w:t>
            </w:r>
            <w:r>
              <w:rPr>
                <w:rFonts w:eastAsia="方正仿宋_GBK"/>
                <w:color w:val="000000"/>
                <w:spacing w:val="-2"/>
                <w:szCs w:val="21"/>
              </w:rPr>
              <w:t xml:space="preserve">    </w:t>
            </w:r>
          </w:p>
        </w:tc>
      </w:tr>
      <w:tr>
        <w:tblPrEx>
          <w:tblCellMar>
            <w:top w:w="0" w:type="dxa"/>
            <w:left w:w="108" w:type="dxa"/>
            <w:bottom w:w="0" w:type="dxa"/>
            <w:right w:w="108" w:type="dxa"/>
          </w:tblCellMar>
        </w:tblPrEx>
        <w:trPr>
          <w:trHeight w:val="454"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十、项目所在地（市、县）财政主管部门意见</w:t>
            </w:r>
          </w:p>
        </w:tc>
      </w:tr>
      <w:tr>
        <w:tblPrEx>
          <w:tblCellMar>
            <w:top w:w="0" w:type="dxa"/>
            <w:left w:w="108" w:type="dxa"/>
            <w:bottom w:w="0" w:type="dxa"/>
            <w:right w:w="108" w:type="dxa"/>
          </w:tblCellMar>
        </w:tblPrEx>
        <w:trPr>
          <w:trHeight w:val="5713"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jc w:val="right"/>
              <w:rPr>
                <w:rFonts w:eastAsia="方正仿宋_GBK"/>
                <w:color w:val="000000"/>
                <w:spacing w:val="-2"/>
                <w:szCs w:val="21"/>
              </w:rPr>
            </w:pPr>
            <w:r>
              <w:rPr>
                <w:rFonts w:hint="eastAsia" w:eastAsia="方正仿宋_GBK"/>
                <w:color w:val="000000"/>
                <w:spacing w:val="-2"/>
                <w:szCs w:val="21"/>
              </w:rPr>
              <w:t>（盖章）</w:t>
            </w:r>
            <w:r>
              <w:rPr>
                <w:rFonts w:eastAsia="方正仿宋_GBK"/>
                <w:color w:val="000000"/>
                <w:spacing w:val="-2"/>
                <w:szCs w:val="21"/>
              </w:rPr>
              <w:t xml:space="preserve">      </w:t>
            </w:r>
          </w:p>
          <w:p>
            <w:pPr>
              <w:jc w:val="right"/>
              <w:rPr>
                <w:rFonts w:eastAsia="方正仿宋_GBK"/>
                <w:color w:val="000000"/>
                <w:spacing w:val="-2"/>
                <w:szCs w:val="21"/>
              </w:rPr>
            </w:pPr>
          </w:p>
          <w:p>
            <w:pPr>
              <w:jc w:val="right"/>
              <w:rPr>
                <w:rFonts w:eastAsia="方正仿宋_GBK"/>
                <w:color w:val="000000"/>
                <w:spacing w:val="-2"/>
                <w:szCs w:val="21"/>
              </w:rPr>
            </w:pPr>
            <w:r>
              <w:rPr>
                <w:rFonts w:hint="eastAsia" w:eastAsia="方正仿宋_GBK"/>
                <w:color w:val="000000"/>
                <w:spacing w:val="-2"/>
                <w:szCs w:val="21"/>
              </w:rPr>
              <w:t>年</w:t>
            </w:r>
            <w:r>
              <w:rPr>
                <w:rFonts w:eastAsia="方正仿宋_GBK"/>
                <w:color w:val="000000"/>
                <w:spacing w:val="-2"/>
                <w:szCs w:val="21"/>
              </w:rPr>
              <w:t xml:space="preserve">   </w:t>
            </w:r>
            <w:r>
              <w:rPr>
                <w:rFonts w:hint="eastAsia" w:eastAsia="方正仿宋_GBK"/>
                <w:color w:val="000000"/>
                <w:spacing w:val="-2"/>
                <w:szCs w:val="21"/>
              </w:rPr>
              <w:t>月</w:t>
            </w:r>
            <w:r>
              <w:rPr>
                <w:rFonts w:eastAsia="方正仿宋_GBK"/>
                <w:color w:val="000000"/>
                <w:spacing w:val="-2"/>
                <w:szCs w:val="21"/>
              </w:rPr>
              <w:t xml:space="preserve">   </w:t>
            </w:r>
            <w:r>
              <w:rPr>
                <w:rFonts w:hint="eastAsia" w:eastAsia="方正仿宋_GBK"/>
                <w:color w:val="000000"/>
                <w:spacing w:val="-2"/>
                <w:szCs w:val="21"/>
              </w:rPr>
              <w:t>日</w:t>
            </w:r>
            <w:r>
              <w:rPr>
                <w:rFonts w:eastAsia="方正仿宋_GBK"/>
                <w:color w:val="000000"/>
                <w:spacing w:val="-2"/>
                <w:szCs w:val="21"/>
              </w:rPr>
              <w:t xml:space="preserve">    </w:t>
            </w:r>
          </w:p>
        </w:tc>
      </w:tr>
      <w:tr>
        <w:tblPrEx>
          <w:tblCellMar>
            <w:top w:w="0" w:type="dxa"/>
            <w:left w:w="108" w:type="dxa"/>
            <w:bottom w:w="0" w:type="dxa"/>
            <w:right w:w="108" w:type="dxa"/>
          </w:tblCellMar>
        </w:tblPrEx>
        <w:trPr>
          <w:trHeight w:val="454" w:hRule="atLeast"/>
        </w:trPr>
        <w:tc>
          <w:tcPr>
            <w:tcW w:w="8780" w:type="dxa"/>
            <w:gridSpan w:val="8"/>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eastAsia="方正仿宋_GBK"/>
                <w:color w:val="000000"/>
                <w:spacing w:val="-2"/>
                <w:szCs w:val="21"/>
              </w:rPr>
              <w:t>十一、验收小组意见</w:t>
            </w:r>
          </w:p>
        </w:tc>
      </w:tr>
      <w:tr>
        <w:tblPrEx>
          <w:tblCellMar>
            <w:top w:w="0" w:type="dxa"/>
            <w:left w:w="108" w:type="dxa"/>
            <w:bottom w:w="0" w:type="dxa"/>
            <w:right w:w="108" w:type="dxa"/>
          </w:tblCellMar>
        </w:tblPrEx>
        <w:trPr>
          <w:trHeight w:val="6554" w:hRule="atLeast"/>
        </w:trPr>
        <w:tc>
          <w:tcPr>
            <w:tcW w:w="8780" w:type="dxa"/>
            <w:gridSpan w:val="8"/>
            <w:tcBorders>
              <w:top w:val="single" w:color="auto" w:sz="4" w:space="0"/>
              <w:left w:val="single" w:color="auto" w:sz="8" w:space="0"/>
              <w:bottom w:val="single" w:color="auto" w:sz="8" w:space="0"/>
              <w:right w:val="single" w:color="auto" w:sz="8" w:space="0"/>
            </w:tcBorders>
            <w:noWrap w:val="0"/>
            <w:vAlign w:val="center"/>
          </w:tcPr>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jc w:val="right"/>
              <w:rPr>
                <w:rFonts w:eastAsia="方正仿宋_GBK"/>
                <w:color w:val="000000"/>
                <w:spacing w:val="-2"/>
                <w:szCs w:val="21"/>
              </w:rPr>
            </w:pPr>
            <w:r>
              <w:rPr>
                <w:rFonts w:hint="eastAsia" w:eastAsia="方正仿宋_GBK"/>
                <w:color w:val="000000"/>
                <w:spacing w:val="-2"/>
                <w:szCs w:val="21"/>
              </w:rPr>
              <w:t>签字：</w:t>
            </w:r>
            <w:r>
              <w:rPr>
                <w:rFonts w:eastAsia="方正仿宋_GBK"/>
                <w:color w:val="000000"/>
                <w:spacing w:val="-2"/>
                <w:szCs w:val="21"/>
              </w:rPr>
              <w:t xml:space="preserve">        </w:t>
            </w:r>
            <w:r>
              <w:rPr>
                <w:rFonts w:hint="eastAsia" w:eastAsia="方正仿宋_GBK"/>
                <w:color w:val="000000"/>
                <w:spacing w:val="-2"/>
                <w:szCs w:val="21"/>
              </w:rPr>
              <w:t>（盖章）</w:t>
            </w:r>
          </w:p>
          <w:p>
            <w:pPr>
              <w:jc w:val="right"/>
              <w:rPr>
                <w:rFonts w:eastAsia="方正仿宋_GBK"/>
                <w:color w:val="000000"/>
                <w:spacing w:val="-2"/>
                <w:szCs w:val="21"/>
              </w:rPr>
            </w:pPr>
          </w:p>
          <w:p>
            <w:pPr>
              <w:jc w:val="right"/>
              <w:rPr>
                <w:rFonts w:eastAsia="方正仿宋_GBK"/>
                <w:color w:val="000000"/>
                <w:spacing w:val="-2"/>
                <w:szCs w:val="21"/>
              </w:rPr>
            </w:pPr>
            <w:r>
              <w:rPr>
                <w:rFonts w:hint="eastAsia" w:eastAsia="方正仿宋_GBK"/>
                <w:color w:val="000000"/>
                <w:spacing w:val="-2"/>
                <w:szCs w:val="21"/>
              </w:rPr>
              <w:t>年</w:t>
            </w:r>
            <w:r>
              <w:rPr>
                <w:rFonts w:eastAsia="方正仿宋_GBK"/>
                <w:color w:val="000000"/>
                <w:spacing w:val="-2"/>
                <w:szCs w:val="21"/>
              </w:rPr>
              <w:t xml:space="preserve">   </w:t>
            </w:r>
            <w:r>
              <w:rPr>
                <w:rFonts w:hint="eastAsia" w:eastAsia="方正仿宋_GBK"/>
                <w:color w:val="000000"/>
                <w:spacing w:val="-2"/>
                <w:szCs w:val="21"/>
              </w:rPr>
              <w:t>月</w:t>
            </w:r>
            <w:r>
              <w:rPr>
                <w:rFonts w:eastAsia="方正仿宋_GBK"/>
                <w:color w:val="000000"/>
                <w:spacing w:val="-2"/>
                <w:szCs w:val="21"/>
              </w:rPr>
              <w:t xml:space="preserve">   </w:t>
            </w:r>
            <w:r>
              <w:rPr>
                <w:rFonts w:hint="eastAsia" w:eastAsia="方正仿宋_GBK"/>
                <w:color w:val="000000"/>
                <w:spacing w:val="-2"/>
                <w:szCs w:val="21"/>
              </w:rPr>
              <w:t>日</w:t>
            </w:r>
            <w:r>
              <w:rPr>
                <w:rFonts w:eastAsia="方正仿宋_GBK"/>
                <w:color w:val="000000"/>
                <w:spacing w:val="-2"/>
                <w:szCs w:val="21"/>
              </w:rPr>
              <w:t xml:space="preserve">    </w:t>
            </w:r>
          </w:p>
        </w:tc>
      </w:tr>
    </w:tbl>
    <w:p>
      <w:pPr>
        <w:rPr>
          <w:rFonts w:ascii="Times New Roman" w:eastAsia="方正黑体_GBK"/>
          <w:color w:val="000000"/>
          <w:spacing w:val="-2"/>
          <w:sz w:val="28"/>
          <w:szCs w:val="28"/>
        </w:rPr>
      </w:pPr>
      <w:r>
        <w:rPr>
          <w:rFonts w:eastAsia="黑体"/>
          <w:color w:val="000000"/>
          <w:spacing w:val="-2"/>
          <w:sz w:val="36"/>
          <w:szCs w:val="36"/>
        </w:rPr>
        <w:br w:type="column"/>
      </w:r>
      <w:r>
        <w:rPr>
          <w:rFonts w:hint="eastAsia" w:ascii="Times New Roman" w:eastAsia="方正黑体_GBK"/>
          <w:color w:val="000000"/>
          <w:spacing w:val="-2"/>
          <w:sz w:val="28"/>
          <w:szCs w:val="28"/>
        </w:rPr>
        <w:t>附件3：</w:t>
      </w:r>
    </w:p>
    <w:p>
      <w:pPr>
        <w:jc w:val="center"/>
        <w:rPr>
          <w:rFonts w:hint="eastAsia" w:ascii="Times New Roman" w:eastAsia="黑体"/>
          <w:color w:val="000000"/>
          <w:spacing w:val="-2"/>
          <w:sz w:val="30"/>
          <w:szCs w:val="30"/>
        </w:rPr>
      </w:pPr>
    </w:p>
    <w:p>
      <w:pPr>
        <w:jc w:val="center"/>
        <w:rPr>
          <w:rFonts w:hint="eastAsia" w:ascii="Times New Roman" w:eastAsia="黑体"/>
          <w:color w:val="000000"/>
          <w:spacing w:val="-2"/>
          <w:sz w:val="30"/>
          <w:szCs w:val="30"/>
        </w:rPr>
      </w:pPr>
    </w:p>
    <w:p>
      <w:pPr>
        <w:spacing w:before="192" w:beforeLines="80" w:line="600" w:lineRule="exact"/>
        <w:jc w:val="center"/>
        <w:rPr>
          <w:rFonts w:hint="eastAsia" w:ascii="Times New Roman" w:eastAsia="方正小标宋简体"/>
          <w:color w:val="000000"/>
          <w:spacing w:val="-2"/>
          <w:sz w:val="44"/>
          <w:szCs w:val="44"/>
        </w:rPr>
      </w:pPr>
      <w:r>
        <w:rPr>
          <w:rFonts w:hint="eastAsia" w:ascii="Times New Roman" w:eastAsia="方正小标宋简体"/>
          <w:color w:val="000000"/>
          <w:spacing w:val="-2"/>
          <w:sz w:val="44"/>
          <w:szCs w:val="44"/>
        </w:rPr>
        <w:t>江苏省省级节能减排(建筑节能)专项引导资金</w:t>
      </w:r>
    </w:p>
    <w:p>
      <w:pPr>
        <w:spacing w:before="192" w:beforeLines="80" w:line="600" w:lineRule="exact"/>
        <w:jc w:val="center"/>
        <w:rPr>
          <w:rFonts w:hint="eastAsia" w:ascii="Times New Roman" w:eastAsia="方正小标宋简体"/>
          <w:color w:val="000000"/>
          <w:spacing w:val="-2"/>
          <w:sz w:val="44"/>
          <w:szCs w:val="44"/>
        </w:rPr>
      </w:pPr>
      <w:r>
        <w:rPr>
          <w:rFonts w:hint="eastAsia" w:ascii="Times New Roman" w:eastAsia="方正小标宋简体"/>
          <w:color w:val="000000"/>
          <w:spacing w:val="-2"/>
          <w:sz w:val="44"/>
          <w:szCs w:val="44"/>
        </w:rPr>
        <w:t>建筑节能和绿色建筑示范区</w:t>
      </w:r>
    </w:p>
    <w:p>
      <w:pPr>
        <w:spacing w:before="192" w:beforeLines="80" w:line="600" w:lineRule="exact"/>
        <w:jc w:val="center"/>
        <w:rPr>
          <w:rFonts w:hint="eastAsia" w:ascii="Times New Roman" w:eastAsia="方正小标宋简体"/>
          <w:color w:val="000000"/>
          <w:spacing w:val="-2"/>
          <w:sz w:val="44"/>
          <w:szCs w:val="44"/>
        </w:rPr>
      </w:pPr>
      <w:r>
        <w:rPr>
          <w:rFonts w:hint="eastAsia" w:ascii="Times New Roman" w:eastAsia="方正小标宋简体"/>
          <w:color w:val="000000"/>
          <w:spacing w:val="-2"/>
          <w:sz w:val="44"/>
          <w:szCs w:val="44"/>
        </w:rPr>
        <w:t>验 收 评 估 报 告</w:t>
      </w:r>
    </w:p>
    <w:p>
      <w:pPr>
        <w:spacing w:line="720" w:lineRule="auto"/>
        <w:ind w:firstLine="515" w:firstLineChars="250"/>
        <w:rPr>
          <w:rFonts w:hint="eastAsia"/>
          <w:color w:val="000000"/>
          <w:spacing w:val="-2"/>
          <w:szCs w:val="32"/>
        </w:rPr>
      </w:pPr>
    </w:p>
    <w:p>
      <w:pPr>
        <w:spacing w:line="720" w:lineRule="auto"/>
        <w:ind w:firstLine="515" w:firstLineChars="250"/>
        <w:rPr>
          <w:color w:val="000000"/>
          <w:spacing w:val="-2"/>
          <w:szCs w:val="32"/>
        </w:rPr>
      </w:pPr>
    </w:p>
    <w:p>
      <w:pPr>
        <w:spacing w:line="900" w:lineRule="exact"/>
        <w:ind w:firstLine="790" w:firstLineChars="250"/>
        <w:rPr>
          <w:rFonts w:eastAsia="方正仿宋_GBK"/>
          <w:color w:val="000000"/>
          <w:spacing w:val="-2"/>
          <w:sz w:val="32"/>
          <w:szCs w:val="32"/>
        </w:rPr>
      </w:pPr>
      <w:r>
        <w:rPr>
          <w:rFonts w:hint="eastAsia" w:eastAsia="方正仿宋_GBK"/>
          <w:color w:val="000000"/>
          <w:spacing w:val="-2"/>
          <w:sz w:val="32"/>
          <w:szCs w:val="32"/>
        </w:rPr>
        <w:t>示范区名称：</w:t>
      </w:r>
      <w:r>
        <w:rPr>
          <w:rFonts w:eastAsia="方正仿宋_GBK"/>
          <w:color w:val="000000"/>
          <w:spacing w:val="-2"/>
          <w:sz w:val="32"/>
          <w:szCs w:val="32"/>
          <w:u w:val="single"/>
        </w:rPr>
        <w:t xml:space="preserve">                                 </w:t>
      </w:r>
    </w:p>
    <w:p>
      <w:pPr>
        <w:spacing w:line="900" w:lineRule="exact"/>
        <w:ind w:firstLine="790" w:firstLineChars="250"/>
        <w:rPr>
          <w:rFonts w:eastAsia="方正仿宋_GBK"/>
          <w:color w:val="000000"/>
          <w:spacing w:val="-2"/>
          <w:sz w:val="32"/>
          <w:szCs w:val="32"/>
          <w:u w:val="single"/>
        </w:rPr>
      </w:pPr>
      <w:r>
        <w:rPr>
          <w:rFonts w:hint="eastAsia" w:eastAsia="方正仿宋_GBK"/>
          <w:color w:val="000000"/>
          <w:spacing w:val="-2"/>
          <w:sz w:val="32"/>
          <w:szCs w:val="32"/>
        </w:rPr>
        <w:t>申请单位：（盖章）</w:t>
      </w:r>
      <w:r>
        <w:rPr>
          <w:rFonts w:eastAsia="方正仿宋_GBK"/>
          <w:color w:val="000000"/>
          <w:spacing w:val="-2"/>
          <w:sz w:val="32"/>
          <w:szCs w:val="32"/>
          <w:u w:val="single"/>
        </w:rPr>
        <w:t xml:space="preserve">                           </w:t>
      </w:r>
    </w:p>
    <w:p>
      <w:pPr>
        <w:spacing w:line="900" w:lineRule="exact"/>
        <w:ind w:firstLine="790" w:firstLineChars="250"/>
        <w:rPr>
          <w:rFonts w:eastAsia="方正仿宋_GBK"/>
          <w:color w:val="000000"/>
          <w:spacing w:val="-2"/>
          <w:sz w:val="32"/>
          <w:szCs w:val="32"/>
          <w:u w:val="single"/>
        </w:rPr>
      </w:pPr>
      <w:r>
        <w:rPr>
          <w:rFonts w:hint="eastAsia" w:eastAsia="方正仿宋_GBK"/>
          <w:color w:val="000000"/>
          <w:spacing w:val="-2"/>
          <w:sz w:val="32"/>
          <w:szCs w:val="32"/>
        </w:rPr>
        <w:t>申请验收日期：</w:t>
      </w:r>
      <w:r>
        <w:rPr>
          <w:rFonts w:eastAsia="方正仿宋_GBK"/>
          <w:color w:val="000000"/>
          <w:spacing w:val="-2"/>
          <w:sz w:val="32"/>
          <w:szCs w:val="32"/>
          <w:u w:val="single"/>
        </w:rPr>
        <w:t xml:space="preserve">                               </w:t>
      </w:r>
    </w:p>
    <w:p>
      <w:pPr>
        <w:spacing w:line="900" w:lineRule="exact"/>
        <w:ind w:firstLine="790" w:firstLineChars="250"/>
        <w:rPr>
          <w:rFonts w:eastAsia="方正仿宋_GBK"/>
          <w:color w:val="000000"/>
          <w:spacing w:val="-2"/>
          <w:sz w:val="32"/>
          <w:szCs w:val="32"/>
          <w:u w:val="single"/>
        </w:rPr>
      </w:pPr>
      <w:r>
        <w:rPr>
          <w:rFonts w:hint="eastAsia" w:eastAsia="方正仿宋_GBK"/>
          <w:color w:val="000000"/>
          <w:spacing w:val="-2"/>
          <w:sz w:val="32"/>
          <w:szCs w:val="32"/>
        </w:rPr>
        <w:t>组织验收单位：</w:t>
      </w:r>
      <w:r>
        <w:rPr>
          <w:rFonts w:eastAsia="方正仿宋_GBK"/>
          <w:color w:val="000000"/>
          <w:spacing w:val="-2"/>
          <w:sz w:val="32"/>
          <w:szCs w:val="32"/>
          <w:u w:val="single"/>
        </w:rPr>
        <w:t xml:space="preserve">                               </w:t>
      </w:r>
    </w:p>
    <w:p>
      <w:pPr>
        <w:spacing w:line="900" w:lineRule="exact"/>
        <w:ind w:firstLine="790" w:firstLineChars="250"/>
        <w:rPr>
          <w:rFonts w:eastAsia="方正仿宋_GBK"/>
          <w:color w:val="000000"/>
          <w:spacing w:val="-2"/>
          <w:sz w:val="32"/>
          <w:szCs w:val="32"/>
          <w:u w:val="single"/>
        </w:rPr>
      </w:pPr>
      <w:r>
        <w:rPr>
          <w:rFonts w:hint="eastAsia" w:eastAsia="方正仿宋_GBK"/>
          <w:color w:val="000000"/>
          <w:spacing w:val="-2"/>
          <w:sz w:val="32"/>
          <w:szCs w:val="32"/>
        </w:rPr>
        <w:t>组织验收日期：</w:t>
      </w:r>
      <w:r>
        <w:rPr>
          <w:rFonts w:eastAsia="方正仿宋_GBK"/>
          <w:color w:val="000000"/>
          <w:spacing w:val="-2"/>
          <w:sz w:val="32"/>
          <w:szCs w:val="32"/>
          <w:u w:val="single"/>
        </w:rPr>
        <w:t xml:space="preserve">                               </w:t>
      </w: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spacing w:line="460" w:lineRule="exact"/>
        <w:jc w:val="center"/>
        <w:rPr>
          <w:rFonts w:eastAsia="方正楷体_GBK"/>
          <w:color w:val="000000"/>
          <w:spacing w:val="-2"/>
          <w:sz w:val="32"/>
          <w:szCs w:val="32"/>
        </w:rPr>
      </w:pPr>
      <w:r>
        <w:rPr>
          <w:rFonts w:hint="eastAsia" w:eastAsia="方正楷体_GBK"/>
          <w:color w:val="000000"/>
          <w:spacing w:val="-2"/>
          <w:sz w:val="32"/>
          <w:szCs w:val="32"/>
        </w:rPr>
        <w:t>江苏省住房和城乡建设厅</w:t>
      </w:r>
    </w:p>
    <w:p>
      <w:pPr>
        <w:spacing w:line="460" w:lineRule="exact"/>
        <w:jc w:val="center"/>
        <w:rPr>
          <w:rFonts w:eastAsia="方正楷体_GBK"/>
          <w:color w:val="000000"/>
          <w:spacing w:val="-2"/>
          <w:sz w:val="32"/>
          <w:szCs w:val="32"/>
        </w:rPr>
      </w:pPr>
      <w:r>
        <w:rPr>
          <w:rFonts w:hint="eastAsia" w:eastAsia="方正楷体_GBK"/>
          <w:color w:val="000000"/>
          <w:spacing w:val="-2"/>
          <w:sz w:val="32"/>
          <w:szCs w:val="32"/>
        </w:rPr>
        <w:t>江</w:t>
      </w:r>
      <w:r>
        <w:rPr>
          <w:rFonts w:eastAsia="方正楷体_GBK"/>
          <w:color w:val="000000"/>
          <w:spacing w:val="-2"/>
          <w:sz w:val="32"/>
          <w:szCs w:val="32"/>
        </w:rPr>
        <w:t xml:space="preserve"> </w:t>
      </w:r>
      <w:r>
        <w:rPr>
          <w:rFonts w:hint="eastAsia" w:eastAsia="方正楷体_GBK"/>
          <w:color w:val="000000"/>
          <w:spacing w:val="-2"/>
          <w:sz w:val="32"/>
          <w:szCs w:val="32"/>
        </w:rPr>
        <w:t>苏</w:t>
      </w:r>
      <w:r>
        <w:rPr>
          <w:rFonts w:eastAsia="方正楷体_GBK"/>
          <w:color w:val="000000"/>
          <w:spacing w:val="-2"/>
          <w:sz w:val="32"/>
          <w:szCs w:val="32"/>
        </w:rPr>
        <w:t xml:space="preserve"> </w:t>
      </w:r>
      <w:r>
        <w:rPr>
          <w:rFonts w:hint="eastAsia" w:eastAsia="方正楷体_GBK"/>
          <w:color w:val="000000"/>
          <w:spacing w:val="-2"/>
          <w:sz w:val="32"/>
          <w:szCs w:val="32"/>
        </w:rPr>
        <w:t>省</w:t>
      </w:r>
      <w:r>
        <w:rPr>
          <w:rFonts w:eastAsia="方正楷体_GBK"/>
          <w:color w:val="000000"/>
          <w:spacing w:val="-2"/>
          <w:sz w:val="32"/>
          <w:szCs w:val="32"/>
        </w:rPr>
        <w:t xml:space="preserve"> </w:t>
      </w:r>
      <w:r>
        <w:rPr>
          <w:rFonts w:hint="eastAsia" w:eastAsia="方正楷体_GBK"/>
          <w:color w:val="000000"/>
          <w:spacing w:val="-2"/>
          <w:sz w:val="32"/>
          <w:szCs w:val="32"/>
        </w:rPr>
        <w:t>财</w:t>
      </w:r>
      <w:r>
        <w:rPr>
          <w:rFonts w:eastAsia="方正楷体_GBK"/>
          <w:color w:val="000000"/>
          <w:spacing w:val="-2"/>
          <w:sz w:val="32"/>
          <w:szCs w:val="32"/>
        </w:rPr>
        <w:t xml:space="preserve"> </w:t>
      </w:r>
      <w:r>
        <w:rPr>
          <w:rFonts w:hint="eastAsia" w:eastAsia="方正楷体_GBK"/>
          <w:color w:val="000000"/>
          <w:spacing w:val="-2"/>
          <w:sz w:val="32"/>
          <w:szCs w:val="32"/>
        </w:rPr>
        <w:t>政</w:t>
      </w:r>
      <w:r>
        <w:rPr>
          <w:rFonts w:eastAsia="方正楷体_GBK"/>
          <w:color w:val="000000"/>
          <w:spacing w:val="-2"/>
          <w:sz w:val="32"/>
          <w:szCs w:val="32"/>
        </w:rPr>
        <w:t xml:space="preserve"> </w:t>
      </w:r>
      <w:r>
        <w:rPr>
          <w:rFonts w:hint="eastAsia" w:eastAsia="方正楷体_GBK"/>
          <w:color w:val="000000"/>
          <w:spacing w:val="-2"/>
          <w:sz w:val="32"/>
          <w:szCs w:val="32"/>
        </w:rPr>
        <w:t>厅</w:t>
      </w:r>
    </w:p>
    <w:p>
      <w:pPr>
        <w:spacing w:line="460" w:lineRule="exact"/>
        <w:jc w:val="center"/>
        <w:rPr>
          <w:rFonts w:eastAsia="方正楷体_GBK"/>
          <w:color w:val="000000"/>
          <w:spacing w:val="-2"/>
          <w:sz w:val="32"/>
          <w:szCs w:val="32"/>
        </w:rPr>
      </w:pPr>
      <w:r>
        <w:rPr>
          <w:rFonts w:hint="eastAsia" w:eastAsia="方正楷体_GBK"/>
          <w:color w:val="000000"/>
          <w:spacing w:val="-2"/>
          <w:sz w:val="32"/>
          <w:szCs w:val="32"/>
        </w:rPr>
        <w:t>二〇一三年十月制</w:t>
      </w:r>
    </w:p>
    <w:p>
      <w:pPr>
        <w:rPr>
          <w:color w:val="000000"/>
          <w:spacing w:val="-2"/>
        </w:rPr>
      </w:pPr>
    </w:p>
    <w:p>
      <w:pPr>
        <w:spacing w:line="460" w:lineRule="exact"/>
        <w:jc w:val="center"/>
        <w:rPr>
          <w:rFonts w:eastAsia="方正仿宋_GBK"/>
          <w:color w:val="000000"/>
          <w:spacing w:val="-2"/>
          <w:sz w:val="24"/>
        </w:rPr>
      </w:pPr>
      <w:r>
        <w:rPr>
          <w:rFonts w:hint="eastAsia" w:ascii="Times New Roman" w:eastAsia="黑体"/>
          <w:color w:val="000000"/>
          <w:spacing w:val="-2"/>
          <w:sz w:val="36"/>
          <w:szCs w:val="36"/>
        </w:rPr>
        <w:br w:type="column"/>
      </w:r>
    </w:p>
    <w:p>
      <w:pPr>
        <w:spacing w:line="460" w:lineRule="exact"/>
        <w:jc w:val="center"/>
        <w:rPr>
          <w:rFonts w:ascii="Times New Roman" w:eastAsia="方正黑体_GBK"/>
          <w:color w:val="000000"/>
          <w:spacing w:val="-2"/>
          <w:sz w:val="28"/>
          <w:szCs w:val="28"/>
        </w:rPr>
      </w:pPr>
      <w:r>
        <w:rPr>
          <w:rFonts w:hint="eastAsia" w:ascii="Times New Roman" w:eastAsia="方正黑体_GBK"/>
          <w:color w:val="000000"/>
          <w:spacing w:val="-2"/>
          <w:sz w:val="28"/>
          <w:szCs w:val="28"/>
        </w:rPr>
        <w:t>填 写 说 明</w:t>
      </w:r>
    </w:p>
    <w:p>
      <w:pPr>
        <w:spacing w:line="460" w:lineRule="exact"/>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此表用于江苏省建筑节能和绿色建筑示范区的验收评估。规格为</w:t>
      </w:r>
      <w:r>
        <w:rPr>
          <w:rFonts w:eastAsia="方正仿宋_GBK"/>
          <w:color w:val="000000"/>
          <w:spacing w:val="-2"/>
          <w:sz w:val="24"/>
        </w:rPr>
        <w:t>A4</w:t>
      </w:r>
      <w:r>
        <w:rPr>
          <w:rFonts w:hint="eastAsia" w:eastAsia="方正仿宋_GBK"/>
          <w:color w:val="000000"/>
          <w:spacing w:val="-2"/>
          <w:sz w:val="24"/>
        </w:rPr>
        <w:t>纸、竖装，必须打印或铅印并装订成册，一式四份。</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此表封面用三号仿宋字体填写，表格内容用五号宋体填写。</w:t>
      </w:r>
    </w:p>
    <w:p>
      <w:pPr>
        <w:spacing w:line="460" w:lineRule="exact"/>
        <w:ind w:firstLine="472" w:firstLineChars="200"/>
        <w:rPr>
          <w:rFonts w:eastAsia="方正仿宋_GBK"/>
          <w:color w:val="000000"/>
          <w:spacing w:val="-2"/>
          <w:sz w:val="24"/>
        </w:rPr>
      </w:pPr>
      <w:r>
        <w:rPr>
          <w:rFonts w:eastAsia="方正仿宋_GBK"/>
          <w:color w:val="000000"/>
          <w:spacing w:val="-2"/>
          <w:sz w:val="24"/>
        </w:rPr>
        <w:t>3. </w:t>
      </w:r>
      <w:r>
        <w:rPr>
          <w:rFonts w:hint="eastAsia" w:eastAsia="方正仿宋_GBK"/>
          <w:color w:val="000000"/>
          <w:spacing w:val="-2"/>
          <w:sz w:val="24"/>
        </w:rPr>
        <w:t>此表封面由申请单位填写并盖章，其中</w:t>
      </w:r>
      <w:r>
        <w:rPr>
          <w:rFonts w:eastAsia="方正仿宋_GBK"/>
          <w:color w:val="000000"/>
          <w:spacing w:val="-2"/>
          <w:sz w:val="24"/>
        </w:rPr>
        <w:t>“</w:t>
      </w:r>
      <w:r>
        <w:rPr>
          <w:rFonts w:hint="eastAsia" w:eastAsia="方正仿宋_GBK"/>
          <w:color w:val="000000"/>
          <w:spacing w:val="-2"/>
          <w:sz w:val="24"/>
        </w:rPr>
        <w:t>组织验收单位</w:t>
      </w:r>
      <w:r>
        <w:rPr>
          <w:rFonts w:eastAsia="方正仿宋_GBK"/>
          <w:color w:val="000000"/>
          <w:spacing w:val="-2"/>
          <w:sz w:val="24"/>
        </w:rPr>
        <w:t>”</w:t>
      </w:r>
      <w:r>
        <w:rPr>
          <w:rFonts w:hint="eastAsia" w:eastAsia="方正仿宋_GBK"/>
          <w:color w:val="000000"/>
          <w:spacing w:val="-2"/>
          <w:sz w:val="24"/>
        </w:rPr>
        <w:t>应为省级建设、财政主管部门，</w:t>
      </w:r>
      <w:r>
        <w:rPr>
          <w:rFonts w:eastAsia="方正仿宋_GBK"/>
          <w:color w:val="000000"/>
          <w:spacing w:val="-2"/>
          <w:sz w:val="24"/>
        </w:rPr>
        <w:t>“</w:t>
      </w:r>
      <w:r>
        <w:rPr>
          <w:rFonts w:hint="eastAsia" w:eastAsia="方正仿宋_GBK"/>
          <w:color w:val="000000"/>
          <w:spacing w:val="-2"/>
          <w:sz w:val="24"/>
        </w:rPr>
        <w:t>示范区名称</w:t>
      </w:r>
      <w:r>
        <w:rPr>
          <w:rFonts w:eastAsia="方正仿宋_GBK"/>
          <w:color w:val="000000"/>
          <w:spacing w:val="-2"/>
          <w:sz w:val="24"/>
        </w:rPr>
        <w:t>”</w:t>
      </w:r>
      <w:r>
        <w:rPr>
          <w:rFonts w:hint="eastAsia" w:eastAsia="方正仿宋_GBK"/>
          <w:color w:val="000000"/>
          <w:spacing w:val="-2"/>
          <w:sz w:val="24"/>
        </w:rPr>
        <w:t>必须填写全称。</w:t>
      </w:r>
    </w:p>
    <w:p>
      <w:pPr>
        <w:spacing w:line="460" w:lineRule="exact"/>
        <w:ind w:firstLine="472" w:firstLineChars="200"/>
        <w:rPr>
          <w:rFonts w:eastAsia="方正仿宋_GBK"/>
          <w:color w:val="000000"/>
          <w:spacing w:val="-2"/>
          <w:sz w:val="24"/>
        </w:rPr>
      </w:pPr>
      <w:r>
        <w:rPr>
          <w:rFonts w:eastAsia="方正仿宋_GBK"/>
          <w:color w:val="000000"/>
          <w:spacing w:val="-2"/>
          <w:sz w:val="24"/>
        </w:rPr>
        <w:t>4. </w:t>
      </w:r>
      <w:r>
        <w:rPr>
          <w:rFonts w:hint="eastAsia" w:eastAsia="方正仿宋_GBK"/>
          <w:color w:val="000000"/>
          <w:spacing w:val="-2"/>
          <w:sz w:val="24"/>
        </w:rPr>
        <w:t>此表第一至第三项内容由申请单位填写。</w:t>
      </w:r>
    </w:p>
    <w:p>
      <w:pPr>
        <w:spacing w:line="460" w:lineRule="exact"/>
        <w:ind w:firstLine="472" w:firstLineChars="200"/>
        <w:rPr>
          <w:rFonts w:eastAsia="方正仿宋_GBK"/>
          <w:color w:val="000000"/>
          <w:spacing w:val="-2"/>
          <w:sz w:val="24"/>
        </w:rPr>
      </w:pPr>
      <w:r>
        <w:rPr>
          <w:rFonts w:eastAsia="方正仿宋_GBK"/>
          <w:color w:val="000000"/>
          <w:spacing w:val="-2"/>
          <w:sz w:val="24"/>
        </w:rPr>
        <w:t>5. </w:t>
      </w:r>
      <w:r>
        <w:rPr>
          <w:rFonts w:hint="eastAsia" w:eastAsia="方正仿宋_GBK"/>
          <w:color w:val="000000"/>
          <w:spacing w:val="-2"/>
          <w:sz w:val="24"/>
        </w:rPr>
        <w:t>此表第四项之后内容由省级建设、财政主管部门组织专家对示范区进行验收评估之后填写，其中</w:t>
      </w:r>
      <w:r>
        <w:rPr>
          <w:rFonts w:eastAsia="方正仿宋_GBK"/>
          <w:color w:val="000000"/>
          <w:spacing w:val="-2"/>
          <w:sz w:val="24"/>
        </w:rPr>
        <w:t>“</w:t>
      </w:r>
      <w:r>
        <w:rPr>
          <w:rFonts w:hint="eastAsia" w:eastAsia="方正仿宋_GBK"/>
          <w:color w:val="000000"/>
          <w:spacing w:val="-2"/>
          <w:sz w:val="24"/>
        </w:rPr>
        <w:t>验收意见</w:t>
      </w:r>
      <w:r>
        <w:rPr>
          <w:rFonts w:eastAsia="方正仿宋_GBK"/>
          <w:color w:val="000000"/>
          <w:spacing w:val="-2"/>
          <w:sz w:val="24"/>
        </w:rPr>
        <w:t>”</w:t>
      </w:r>
      <w:r>
        <w:rPr>
          <w:rFonts w:hint="eastAsia" w:eastAsia="方正仿宋_GBK"/>
          <w:color w:val="000000"/>
          <w:spacing w:val="-2"/>
          <w:sz w:val="24"/>
        </w:rPr>
        <w:t>由验收委员会填写，验收委员会主任签名，</w:t>
      </w:r>
      <w:r>
        <w:rPr>
          <w:rFonts w:eastAsia="方正仿宋_GBK"/>
          <w:color w:val="000000"/>
          <w:spacing w:val="-2"/>
          <w:sz w:val="24"/>
        </w:rPr>
        <w:t>“</w:t>
      </w:r>
      <w:r>
        <w:rPr>
          <w:rFonts w:hint="eastAsia" w:eastAsia="方正仿宋_GBK"/>
          <w:color w:val="000000"/>
          <w:spacing w:val="-2"/>
          <w:sz w:val="24"/>
        </w:rPr>
        <w:t>主持验收单位意见</w:t>
      </w:r>
      <w:r>
        <w:rPr>
          <w:rFonts w:eastAsia="方正仿宋_GBK"/>
          <w:color w:val="000000"/>
          <w:spacing w:val="-2"/>
          <w:sz w:val="24"/>
        </w:rPr>
        <w:t>”</w:t>
      </w:r>
      <w:r>
        <w:rPr>
          <w:rFonts w:hint="eastAsia" w:eastAsia="方正仿宋_GBK"/>
          <w:color w:val="000000"/>
          <w:spacing w:val="-2"/>
          <w:sz w:val="24"/>
        </w:rPr>
        <w:t>由省级建设主管部门填写并盖章，</w:t>
      </w:r>
      <w:r>
        <w:rPr>
          <w:rFonts w:eastAsia="方正仿宋_GBK"/>
          <w:color w:val="000000"/>
          <w:spacing w:val="-2"/>
          <w:sz w:val="24"/>
        </w:rPr>
        <w:t>“</w:t>
      </w:r>
      <w:r>
        <w:rPr>
          <w:rFonts w:hint="eastAsia" w:eastAsia="方正仿宋_GBK"/>
          <w:color w:val="000000"/>
          <w:spacing w:val="-2"/>
          <w:sz w:val="24"/>
        </w:rPr>
        <w:t>考核小组意见</w:t>
      </w:r>
      <w:r>
        <w:rPr>
          <w:rFonts w:eastAsia="方正仿宋_GBK"/>
          <w:color w:val="000000"/>
          <w:spacing w:val="-2"/>
          <w:sz w:val="24"/>
        </w:rPr>
        <w:t>”</w:t>
      </w:r>
      <w:r>
        <w:rPr>
          <w:rFonts w:hint="eastAsia" w:eastAsia="方正仿宋_GBK"/>
          <w:color w:val="000000"/>
          <w:spacing w:val="-2"/>
          <w:sz w:val="24"/>
        </w:rPr>
        <w:t>由验收评估考核小组填写并盖章。</w:t>
      </w:r>
    </w:p>
    <w:p>
      <w:pPr>
        <w:spacing w:line="20" w:lineRule="exact"/>
        <w:rPr>
          <w:rFonts w:ascii="Times New Roman" w:hAnsi="Times New Roman"/>
          <w:color w:val="000000"/>
          <w:spacing w:val="-2"/>
          <w:szCs w:val="21"/>
        </w:rPr>
      </w:pPr>
      <w:r>
        <w:rPr>
          <w:rFonts w:eastAsia="方正仿宋_GBK"/>
          <w:color w:val="000000"/>
          <w:spacing w:val="-2"/>
          <w:sz w:val="24"/>
        </w:rPr>
        <w:br w:type="page"/>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951"/>
        <w:gridCol w:w="930"/>
        <w:gridCol w:w="307"/>
        <w:gridCol w:w="1424"/>
        <w:gridCol w:w="353"/>
        <w:gridCol w:w="450"/>
        <w:gridCol w:w="784"/>
        <w:gridCol w:w="25"/>
        <w:gridCol w:w="793"/>
        <w:gridCol w:w="802"/>
        <w:gridCol w:w="12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720" w:type="dxa"/>
            <w:gridSpan w:val="12"/>
            <w:tcBorders>
              <w:top w:val="single" w:color="auto" w:sz="4" w:space="0"/>
              <w:left w:val="single" w:color="auto" w:sz="4" w:space="0"/>
              <w:bottom w:val="single" w:color="auto" w:sz="4" w:space="0"/>
              <w:right w:val="single" w:color="auto" w:sz="4" w:space="0"/>
            </w:tcBorders>
            <w:noWrap w:val="0"/>
            <w:vAlign w:val="center"/>
          </w:tcPr>
          <w:p>
            <w:pPr>
              <w:rPr>
                <w:rFonts w:ascii="Times New Roman" w:eastAsia="方正黑体_GBK"/>
                <w:color w:val="000000"/>
                <w:spacing w:val="-2"/>
                <w:szCs w:val="21"/>
              </w:rPr>
            </w:pPr>
            <w:r>
              <w:rPr>
                <w:rFonts w:hint="eastAsia" w:ascii="Times New Roman" w:eastAsia="方正黑体_GBK"/>
                <w:color w:val="000000"/>
                <w:spacing w:val="-2"/>
                <w:szCs w:val="21"/>
              </w:rPr>
              <w:t>一、基本信息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示范区名称</w:t>
            </w:r>
          </w:p>
        </w:tc>
        <w:tc>
          <w:tcPr>
            <w:tcW w:w="7121" w:type="dxa"/>
            <w:gridSpan w:val="10"/>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规划面积</w:t>
            </w:r>
          </w:p>
        </w:tc>
        <w:tc>
          <w:tcPr>
            <w:tcW w:w="3014" w:type="dxa"/>
            <w:gridSpan w:val="4"/>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平方公里</w:t>
            </w:r>
          </w:p>
        </w:tc>
        <w:tc>
          <w:tcPr>
            <w:tcW w:w="12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规划人口</w:t>
            </w:r>
          </w:p>
        </w:tc>
        <w:tc>
          <w:tcPr>
            <w:tcW w:w="2848"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四至</w:t>
            </w:r>
          </w:p>
        </w:tc>
        <w:tc>
          <w:tcPr>
            <w:tcW w:w="7121" w:type="dxa"/>
            <w:gridSpan w:val="10"/>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东至</w:t>
            </w:r>
            <w:r>
              <w:rPr>
                <w:rFonts w:eastAsia="方正仿宋_GBK"/>
                <w:color w:val="000000"/>
                <w:spacing w:val="-2"/>
                <w:szCs w:val="21"/>
              </w:rPr>
              <w:t xml:space="preserve">             </w:t>
            </w:r>
            <w:r>
              <w:rPr>
                <w:rFonts w:hint="eastAsia" w:eastAsia="方正仿宋_GBK"/>
                <w:color w:val="000000"/>
                <w:spacing w:val="-2"/>
                <w:szCs w:val="21"/>
              </w:rPr>
              <w:t>南至</w:t>
            </w:r>
            <w:r>
              <w:rPr>
                <w:rFonts w:eastAsia="方正仿宋_GBK"/>
                <w:color w:val="000000"/>
                <w:spacing w:val="-2"/>
                <w:szCs w:val="21"/>
              </w:rPr>
              <w:t xml:space="preserve">             </w:t>
            </w:r>
            <w:r>
              <w:rPr>
                <w:rFonts w:hint="eastAsia" w:eastAsia="方正仿宋_GBK"/>
                <w:color w:val="000000"/>
                <w:spacing w:val="-2"/>
                <w:szCs w:val="21"/>
              </w:rPr>
              <w:t>西至</w:t>
            </w:r>
            <w:r>
              <w:rPr>
                <w:rFonts w:eastAsia="方正仿宋_GBK"/>
                <w:color w:val="000000"/>
                <w:spacing w:val="-2"/>
                <w:szCs w:val="21"/>
              </w:rPr>
              <w:t xml:space="preserve">              </w:t>
            </w:r>
            <w:r>
              <w:rPr>
                <w:rFonts w:hint="eastAsia" w:eastAsia="方正仿宋_GBK"/>
                <w:color w:val="000000"/>
                <w:spacing w:val="-2"/>
                <w:szCs w:val="21"/>
              </w:rPr>
              <w:t>北至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申请单位</w:t>
            </w:r>
          </w:p>
          <w:p>
            <w:pPr>
              <w:jc w:val="center"/>
              <w:rPr>
                <w:rFonts w:eastAsia="方正仿宋_GBK"/>
                <w:color w:val="000000"/>
                <w:spacing w:val="-2"/>
                <w:szCs w:val="21"/>
              </w:rPr>
            </w:pPr>
            <w:r>
              <w:rPr>
                <w:rFonts w:hint="eastAsia" w:eastAsia="方正仿宋_GBK"/>
                <w:color w:val="000000"/>
                <w:spacing w:val="-2"/>
                <w:szCs w:val="21"/>
              </w:rPr>
              <w:t>（实施单位）</w:t>
            </w: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单位名称</w:t>
            </w:r>
          </w:p>
        </w:tc>
        <w:tc>
          <w:tcPr>
            <w:tcW w:w="5884" w:type="dxa"/>
            <w:gridSpan w:val="8"/>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地址</w:t>
            </w:r>
          </w:p>
        </w:tc>
        <w:tc>
          <w:tcPr>
            <w:tcW w:w="3829" w:type="dxa"/>
            <w:gridSpan w:val="6"/>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邮编</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责任人</w:t>
            </w:r>
          </w:p>
        </w:tc>
        <w:tc>
          <w:tcPr>
            <w:tcW w:w="1424"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1602"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传真</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联系人</w:t>
            </w:r>
          </w:p>
        </w:tc>
        <w:tc>
          <w:tcPr>
            <w:tcW w:w="1424"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1602"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传真</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建设主管部门</w:t>
            </w: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单位名称</w:t>
            </w:r>
          </w:p>
        </w:tc>
        <w:tc>
          <w:tcPr>
            <w:tcW w:w="5884" w:type="dxa"/>
            <w:gridSpan w:val="8"/>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地址</w:t>
            </w:r>
          </w:p>
        </w:tc>
        <w:tc>
          <w:tcPr>
            <w:tcW w:w="3829" w:type="dxa"/>
            <w:gridSpan w:val="6"/>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邮编</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责任人</w:t>
            </w:r>
          </w:p>
        </w:tc>
        <w:tc>
          <w:tcPr>
            <w:tcW w:w="1424"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1602"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传真</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联系人</w:t>
            </w:r>
          </w:p>
        </w:tc>
        <w:tc>
          <w:tcPr>
            <w:tcW w:w="1424"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1602"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传真</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财政主管部门</w:t>
            </w: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单位名称</w:t>
            </w:r>
          </w:p>
        </w:tc>
        <w:tc>
          <w:tcPr>
            <w:tcW w:w="5884" w:type="dxa"/>
            <w:gridSpan w:val="8"/>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地址</w:t>
            </w:r>
          </w:p>
        </w:tc>
        <w:tc>
          <w:tcPr>
            <w:tcW w:w="3829" w:type="dxa"/>
            <w:gridSpan w:val="6"/>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邮编</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责任人</w:t>
            </w:r>
          </w:p>
        </w:tc>
        <w:tc>
          <w:tcPr>
            <w:tcW w:w="1424"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1602"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传真</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联系人</w:t>
            </w:r>
          </w:p>
        </w:tc>
        <w:tc>
          <w:tcPr>
            <w:tcW w:w="1424"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1602"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传真</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技术支撑单位</w:t>
            </w: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单位名称</w:t>
            </w:r>
          </w:p>
        </w:tc>
        <w:tc>
          <w:tcPr>
            <w:tcW w:w="5884" w:type="dxa"/>
            <w:gridSpan w:val="8"/>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地址</w:t>
            </w:r>
          </w:p>
        </w:tc>
        <w:tc>
          <w:tcPr>
            <w:tcW w:w="3829" w:type="dxa"/>
            <w:gridSpan w:val="6"/>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邮编</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责任人</w:t>
            </w:r>
          </w:p>
        </w:tc>
        <w:tc>
          <w:tcPr>
            <w:tcW w:w="1424"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1602"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传真</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59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23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联系人</w:t>
            </w:r>
          </w:p>
        </w:tc>
        <w:tc>
          <w:tcPr>
            <w:tcW w:w="1424"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803"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电话</w:t>
            </w:r>
          </w:p>
        </w:tc>
        <w:tc>
          <w:tcPr>
            <w:tcW w:w="1602"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80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传真</w:t>
            </w:r>
          </w:p>
        </w:tc>
        <w:tc>
          <w:tcPr>
            <w:tcW w:w="125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720" w:type="dxa"/>
            <w:gridSpan w:val="12"/>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ascii="Times New Roman" w:eastAsia="方正黑体_GBK"/>
                <w:color w:val="000000"/>
                <w:spacing w:val="-2"/>
                <w:szCs w:val="21"/>
              </w:rPr>
              <w:t>二、示范区验收评估指标表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720" w:type="dxa"/>
            <w:gridSpan w:val="12"/>
            <w:tcBorders>
              <w:top w:val="single" w:color="auto" w:sz="4" w:space="0"/>
              <w:left w:val="single" w:color="auto" w:sz="4" w:space="0"/>
              <w:bottom w:val="single" w:color="auto" w:sz="4" w:space="0"/>
              <w:right w:val="single" w:color="auto" w:sz="4" w:space="0"/>
            </w:tcBorders>
            <w:noWrap w:val="0"/>
            <w:vAlign w:val="center"/>
          </w:tcPr>
          <w:p>
            <w:pPr>
              <w:rPr>
                <w:rFonts w:ascii="Times New Roman" w:eastAsia="方正黑体_GBK"/>
                <w:color w:val="000000"/>
                <w:spacing w:val="-2"/>
                <w:szCs w:val="21"/>
              </w:rPr>
            </w:pPr>
            <w:r>
              <w:rPr>
                <w:rFonts w:eastAsia="方正仿宋_GBK"/>
                <w:color w:val="000000"/>
                <w:spacing w:val="-2"/>
                <w:szCs w:val="21"/>
              </w:rPr>
              <w:t>1.</w:t>
            </w:r>
            <w:r>
              <w:rPr>
                <w:rFonts w:hint="eastAsia" w:eastAsia="方正仿宋_GBK"/>
                <w:color w:val="000000"/>
                <w:spacing w:val="-2"/>
                <w:szCs w:val="21"/>
              </w:rPr>
              <w:t>示范区验收指标表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序号</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栏目</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指标值（按实施方案填写）</w:t>
            </w: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完成值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三年新开工项目</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ind w:right="-361" w:rightChars="-172"/>
              <w:jc w:val="left"/>
              <w:rPr>
                <w:rFonts w:eastAsia="方正仿宋_GBK"/>
                <w:color w:val="000000"/>
                <w:spacing w:val="-2"/>
                <w:szCs w:val="21"/>
              </w:rPr>
            </w:pPr>
            <w:r>
              <w:rPr>
                <w:rFonts w:eastAsia="方正仿宋_GBK"/>
                <w:color w:val="000000"/>
                <w:spacing w:val="-2"/>
                <w:szCs w:val="21"/>
                <w:u w:val="single"/>
              </w:rPr>
              <w:t xml:space="preserve">     </w:t>
            </w:r>
            <w:r>
              <w:rPr>
                <w:rFonts w:hint="eastAsia" w:eastAsia="方正仿宋_GBK"/>
                <w:color w:val="000000"/>
                <w:spacing w:val="-2"/>
                <w:szCs w:val="21"/>
              </w:rPr>
              <w:t>个，</w:t>
            </w:r>
          </w:p>
          <w:p>
            <w:pPr>
              <w:spacing w:line="300" w:lineRule="exact"/>
              <w:ind w:right="-361" w:rightChars="-172"/>
              <w:jc w:val="left"/>
              <w:rPr>
                <w:rFonts w:eastAsia="方正仿宋_GBK"/>
                <w:color w:val="000000"/>
                <w:spacing w:val="-2"/>
                <w:szCs w:val="21"/>
              </w:rPr>
            </w:pPr>
            <w:r>
              <w:rPr>
                <w:rFonts w:hint="eastAsia" w:eastAsia="方正仿宋_GBK"/>
                <w:color w:val="000000"/>
                <w:spacing w:val="-2"/>
                <w:szCs w:val="21"/>
              </w:rPr>
              <w:t>总建筑面积</w:t>
            </w:r>
            <w:r>
              <w:rPr>
                <w:rFonts w:eastAsia="方正仿宋_GBK"/>
                <w:color w:val="000000"/>
                <w:spacing w:val="-2"/>
                <w:szCs w:val="21"/>
                <w:u w:val="single"/>
              </w:rPr>
              <w:t xml:space="preserve">       </w:t>
            </w:r>
            <w:r>
              <w:rPr>
                <w:rFonts w:hint="eastAsia" w:eastAsia="方正仿宋_GBK"/>
                <w:color w:val="000000"/>
                <w:spacing w:val="-2"/>
                <w:szCs w:val="21"/>
              </w:rPr>
              <w:t>万平方米</w:t>
            </w: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hint="eastAsia" w:eastAsia="方正仿宋_GBK"/>
                <w:color w:val="000000"/>
                <w:spacing w:val="-2"/>
                <w:szCs w:val="21"/>
              </w:rPr>
              <w:t>个，</w:t>
            </w:r>
          </w:p>
          <w:p>
            <w:pPr>
              <w:spacing w:line="300" w:lineRule="exact"/>
              <w:jc w:val="left"/>
              <w:rPr>
                <w:rFonts w:eastAsia="方正仿宋_GBK"/>
                <w:color w:val="000000"/>
                <w:spacing w:val="-2"/>
                <w:szCs w:val="21"/>
              </w:rPr>
            </w:pPr>
            <w:r>
              <w:rPr>
                <w:rFonts w:hint="eastAsia" w:eastAsia="方正仿宋_GBK"/>
                <w:color w:val="000000"/>
                <w:spacing w:val="-2"/>
                <w:szCs w:val="21"/>
              </w:rPr>
              <w:t>总建筑面积</w:t>
            </w:r>
            <w:r>
              <w:rPr>
                <w:rFonts w:eastAsia="方正仿宋_GBK"/>
                <w:color w:val="000000"/>
                <w:spacing w:val="-2"/>
                <w:szCs w:val="21"/>
                <w:u w:val="single"/>
              </w:rPr>
              <w:t xml:space="preserve">       </w:t>
            </w:r>
            <w:r>
              <w:rPr>
                <w:rFonts w:hint="eastAsia" w:eastAsia="方正仿宋_GBK"/>
                <w:color w:val="000000"/>
                <w:spacing w:val="-2"/>
                <w:szCs w:val="21"/>
              </w:rPr>
              <w:t>万平方米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2</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三年建成项目</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hint="eastAsia" w:eastAsia="方正仿宋_GBK"/>
                <w:color w:val="000000"/>
                <w:spacing w:val="-2"/>
                <w:szCs w:val="21"/>
              </w:rPr>
              <w:t>个，</w:t>
            </w:r>
          </w:p>
          <w:p>
            <w:pPr>
              <w:spacing w:line="300" w:lineRule="exact"/>
              <w:jc w:val="left"/>
              <w:rPr>
                <w:rFonts w:eastAsia="方正仿宋_GBK"/>
                <w:color w:val="000000"/>
                <w:spacing w:val="-2"/>
                <w:szCs w:val="21"/>
              </w:rPr>
            </w:pPr>
            <w:r>
              <w:rPr>
                <w:rFonts w:hint="eastAsia" w:eastAsia="方正仿宋_GBK"/>
                <w:color w:val="000000"/>
                <w:spacing w:val="-2"/>
                <w:szCs w:val="21"/>
              </w:rPr>
              <w:t>总建筑面积</w:t>
            </w:r>
            <w:r>
              <w:rPr>
                <w:rFonts w:eastAsia="方正仿宋_GBK"/>
                <w:color w:val="000000"/>
                <w:spacing w:val="-2"/>
                <w:szCs w:val="21"/>
                <w:u w:val="single"/>
              </w:rPr>
              <w:t xml:space="preserve">       </w:t>
            </w:r>
            <w:r>
              <w:rPr>
                <w:rFonts w:hint="eastAsia" w:eastAsia="方正仿宋_GBK"/>
                <w:color w:val="000000"/>
                <w:spacing w:val="-2"/>
                <w:szCs w:val="21"/>
              </w:rPr>
              <w:t>万平方米</w:t>
            </w: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hint="eastAsia" w:eastAsia="方正仿宋_GBK"/>
                <w:color w:val="000000"/>
                <w:spacing w:val="-2"/>
                <w:szCs w:val="21"/>
              </w:rPr>
              <w:t>个，</w:t>
            </w:r>
          </w:p>
          <w:p>
            <w:pPr>
              <w:spacing w:line="300" w:lineRule="exact"/>
              <w:jc w:val="left"/>
              <w:rPr>
                <w:rFonts w:eastAsia="方正仿宋_GBK"/>
                <w:color w:val="000000"/>
                <w:spacing w:val="-2"/>
                <w:szCs w:val="21"/>
              </w:rPr>
            </w:pPr>
            <w:r>
              <w:rPr>
                <w:rFonts w:hint="eastAsia" w:eastAsia="方正仿宋_GBK"/>
                <w:color w:val="000000"/>
                <w:spacing w:val="-2"/>
                <w:szCs w:val="21"/>
              </w:rPr>
              <w:t>总建筑面积</w:t>
            </w:r>
            <w:r>
              <w:rPr>
                <w:rFonts w:eastAsia="方正仿宋_GBK"/>
                <w:color w:val="000000"/>
                <w:spacing w:val="-2"/>
                <w:szCs w:val="21"/>
                <w:u w:val="single"/>
              </w:rPr>
              <w:t xml:space="preserve">       </w:t>
            </w:r>
            <w:r>
              <w:rPr>
                <w:rFonts w:hint="eastAsia" w:eastAsia="方正仿宋_GBK"/>
                <w:color w:val="000000"/>
                <w:spacing w:val="-2"/>
                <w:szCs w:val="21"/>
              </w:rPr>
              <w:t>万平方米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3</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绿色建筑</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hint="eastAsia" w:eastAsia="方正仿宋_GBK"/>
                <w:color w:val="000000"/>
                <w:spacing w:val="-2"/>
                <w:szCs w:val="21"/>
              </w:rPr>
              <w:t>个，总建筑面积</w:t>
            </w:r>
            <w:r>
              <w:rPr>
                <w:rFonts w:eastAsia="方正仿宋_GBK"/>
                <w:color w:val="000000"/>
                <w:spacing w:val="-2"/>
                <w:szCs w:val="21"/>
                <w:u w:val="single"/>
              </w:rPr>
              <w:t xml:space="preserve">   </w:t>
            </w:r>
            <w:r>
              <w:rPr>
                <w:rFonts w:hint="eastAsia" w:eastAsia="方正仿宋_GBK"/>
                <w:color w:val="000000"/>
                <w:spacing w:val="-2"/>
                <w:szCs w:val="21"/>
              </w:rPr>
              <w:t>万平方米，占比</w:t>
            </w:r>
            <w:r>
              <w:rPr>
                <w:rFonts w:eastAsia="方正仿宋_GBK"/>
                <w:color w:val="000000"/>
                <w:spacing w:val="-2"/>
                <w:szCs w:val="21"/>
                <w:u w:val="single"/>
              </w:rPr>
              <w:t xml:space="preserve">     </w:t>
            </w:r>
            <w:r>
              <w:rPr>
                <w:rFonts w:eastAsia="方正仿宋_GBK"/>
                <w:color w:val="000000"/>
                <w:spacing w:val="-2"/>
                <w:szCs w:val="21"/>
              </w:rPr>
              <w:t>%</w:t>
            </w: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hint="eastAsia" w:eastAsia="方正仿宋_GBK"/>
                <w:color w:val="000000"/>
                <w:spacing w:val="-2"/>
                <w:szCs w:val="21"/>
              </w:rPr>
              <w:t>个，总建筑面积</w:t>
            </w:r>
            <w:r>
              <w:rPr>
                <w:rFonts w:eastAsia="方正仿宋_GBK"/>
                <w:color w:val="000000"/>
                <w:spacing w:val="-2"/>
                <w:szCs w:val="21"/>
                <w:u w:val="single"/>
              </w:rPr>
              <w:t xml:space="preserve">   </w:t>
            </w:r>
            <w:r>
              <w:rPr>
                <w:rFonts w:hint="eastAsia" w:eastAsia="方正仿宋_GBK"/>
                <w:color w:val="000000"/>
                <w:spacing w:val="-2"/>
                <w:szCs w:val="21"/>
              </w:rPr>
              <w:t>万平方米，占比</w:t>
            </w:r>
            <w:r>
              <w:rPr>
                <w:rFonts w:eastAsia="方正仿宋_GBK"/>
                <w:color w:val="000000"/>
                <w:spacing w:val="-2"/>
                <w:szCs w:val="21"/>
                <w:u w:val="single"/>
              </w:rPr>
              <w:t xml:space="preserve">     </w:t>
            </w:r>
            <w:r>
              <w:rPr>
                <w:rFonts w:eastAsia="方正仿宋_GBK"/>
                <w:color w:val="000000"/>
                <w:spacing w:val="-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4</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二星级及以上</w:t>
            </w:r>
          </w:p>
          <w:p>
            <w:pPr>
              <w:jc w:val="center"/>
              <w:rPr>
                <w:rFonts w:eastAsia="方正仿宋_GBK"/>
                <w:color w:val="000000"/>
                <w:spacing w:val="-2"/>
                <w:szCs w:val="21"/>
              </w:rPr>
            </w:pPr>
            <w:r>
              <w:rPr>
                <w:rFonts w:hint="eastAsia" w:eastAsia="方正仿宋_GBK"/>
                <w:color w:val="000000"/>
                <w:spacing w:val="-2"/>
                <w:szCs w:val="21"/>
              </w:rPr>
              <w:t>绿色建筑</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hint="eastAsia" w:eastAsia="方正仿宋_GBK"/>
                <w:color w:val="000000"/>
                <w:spacing w:val="-2"/>
                <w:szCs w:val="21"/>
              </w:rPr>
              <w:t>个，总建筑面积</w:t>
            </w:r>
            <w:r>
              <w:rPr>
                <w:rFonts w:eastAsia="方正仿宋_GBK"/>
                <w:color w:val="000000"/>
                <w:spacing w:val="-2"/>
                <w:szCs w:val="21"/>
                <w:u w:val="single"/>
              </w:rPr>
              <w:t xml:space="preserve">   </w:t>
            </w:r>
            <w:r>
              <w:rPr>
                <w:rFonts w:hint="eastAsia" w:eastAsia="方正仿宋_GBK"/>
                <w:color w:val="000000"/>
                <w:spacing w:val="-2"/>
                <w:szCs w:val="21"/>
              </w:rPr>
              <w:t>万平方米，占比</w:t>
            </w:r>
            <w:r>
              <w:rPr>
                <w:rFonts w:eastAsia="方正仿宋_GBK"/>
                <w:color w:val="000000"/>
                <w:spacing w:val="-2"/>
                <w:szCs w:val="21"/>
                <w:u w:val="single"/>
              </w:rPr>
              <w:t xml:space="preserve">     </w:t>
            </w:r>
            <w:r>
              <w:rPr>
                <w:rFonts w:eastAsia="方正仿宋_GBK"/>
                <w:color w:val="000000"/>
                <w:spacing w:val="-2"/>
                <w:szCs w:val="21"/>
              </w:rPr>
              <w:t>%</w:t>
            </w: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eastAsia="方正仿宋_GBK"/>
                <w:color w:val="000000"/>
                <w:spacing w:val="-2"/>
                <w:szCs w:val="21"/>
              </w:rPr>
            </w:pPr>
            <w:r>
              <w:rPr>
                <w:rFonts w:eastAsia="方正仿宋_GBK"/>
                <w:color w:val="000000"/>
                <w:spacing w:val="-2"/>
                <w:szCs w:val="21"/>
                <w:u w:val="single"/>
              </w:rPr>
              <w:t xml:space="preserve">   </w:t>
            </w:r>
            <w:r>
              <w:rPr>
                <w:rFonts w:hint="eastAsia" w:eastAsia="方正仿宋_GBK"/>
                <w:color w:val="000000"/>
                <w:spacing w:val="-2"/>
                <w:szCs w:val="21"/>
              </w:rPr>
              <w:t>个，总建筑面积</w:t>
            </w:r>
            <w:r>
              <w:rPr>
                <w:rFonts w:eastAsia="方正仿宋_GBK"/>
                <w:color w:val="000000"/>
                <w:spacing w:val="-2"/>
                <w:szCs w:val="21"/>
                <w:u w:val="single"/>
              </w:rPr>
              <w:t xml:space="preserve">   </w:t>
            </w:r>
            <w:r>
              <w:rPr>
                <w:rFonts w:hint="eastAsia" w:eastAsia="方正仿宋_GBK"/>
                <w:color w:val="000000"/>
                <w:spacing w:val="-2"/>
                <w:szCs w:val="21"/>
              </w:rPr>
              <w:t>万平方米，占比</w:t>
            </w:r>
            <w:r>
              <w:rPr>
                <w:rFonts w:eastAsia="方正仿宋_GBK"/>
                <w:color w:val="000000"/>
                <w:spacing w:val="-2"/>
                <w:szCs w:val="21"/>
                <w:u w:val="single"/>
              </w:rPr>
              <w:t xml:space="preserve">     </w:t>
            </w:r>
            <w:r>
              <w:rPr>
                <w:rFonts w:eastAsia="方正仿宋_GBK"/>
                <w:color w:val="000000"/>
                <w:spacing w:val="-2"/>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5</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配套资金</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u w:val="single"/>
              </w:rPr>
            </w:pPr>
            <w:r>
              <w:rPr>
                <w:rFonts w:eastAsia="方正仿宋_GBK"/>
                <w:color w:val="000000"/>
                <w:spacing w:val="-2"/>
                <w:szCs w:val="21"/>
                <w:u w:val="single"/>
              </w:rPr>
              <w:t xml:space="preserve">      </w:t>
            </w:r>
            <w:r>
              <w:rPr>
                <w:rFonts w:hint="eastAsia" w:eastAsia="方正仿宋_GBK"/>
                <w:color w:val="000000"/>
                <w:spacing w:val="-2"/>
                <w:szCs w:val="21"/>
              </w:rPr>
              <w:t>万元</w:t>
            </w: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u w:val="single"/>
              </w:rPr>
            </w:pPr>
            <w:r>
              <w:rPr>
                <w:rFonts w:eastAsia="方正仿宋_GBK"/>
                <w:color w:val="000000"/>
                <w:spacing w:val="-2"/>
                <w:szCs w:val="21"/>
                <w:u w:val="single"/>
              </w:rPr>
              <w:t xml:space="preserve">      </w:t>
            </w:r>
            <w:r>
              <w:rPr>
                <w:rFonts w:hint="eastAsia" w:eastAsia="方正仿宋_GBK"/>
                <w:color w:val="000000"/>
                <w:spacing w:val="-2"/>
                <w:szCs w:val="21"/>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6</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资源评估报告</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（可再生资源评估报告）</w:t>
            </w: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7</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专项规划</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（能源规划</w:t>
            </w:r>
            <w:r>
              <w:rPr>
                <w:rFonts w:eastAsia="方正仿宋_GBK"/>
                <w:color w:val="000000"/>
                <w:spacing w:val="-2"/>
                <w:szCs w:val="21"/>
              </w:rPr>
              <w:t>. . .</w:t>
            </w:r>
            <w:r>
              <w:rPr>
                <w:rFonts w:hint="eastAsia" w:eastAsia="方正仿宋_GBK"/>
                <w:color w:val="000000"/>
                <w:spacing w:val="-2"/>
                <w:szCs w:val="21"/>
              </w:rPr>
              <w:t>）</w:t>
            </w: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8</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可再生能源</w:t>
            </w:r>
          </w:p>
          <w:p>
            <w:pPr>
              <w:jc w:val="center"/>
              <w:rPr>
                <w:rFonts w:eastAsia="方正仿宋_GBK"/>
                <w:color w:val="000000"/>
                <w:spacing w:val="-2"/>
                <w:szCs w:val="21"/>
              </w:rPr>
            </w:pPr>
            <w:r>
              <w:rPr>
                <w:rFonts w:hint="eastAsia" w:eastAsia="方正仿宋_GBK"/>
                <w:color w:val="000000"/>
                <w:spacing w:val="-2"/>
                <w:szCs w:val="21"/>
              </w:rPr>
              <w:t>建筑一体化</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64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9</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绿色建筑</w:t>
            </w:r>
          </w:p>
          <w:p>
            <w:pPr>
              <w:jc w:val="center"/>
              <w:rPr>
                <w:rFonts w:eastAsia="方正仿宋_GBK"/>
                <w:color w:val="000000"/>
                <w:spacing w:val="-2"/>
                <w:szCs w:val="21"/>
              </w:rPr>
            </w:pPr>
            <w:r>
              <w:rPr>
                <w:rFonts w:hint="eastAsia" w:eastAsia="方正仿宋_GBK"/>
                <w:color w:val="000000"/>
                <w:spacing w:val="-2"/>
                <w:szCs w:val="21"/>
              </w:rPr>
              <w:t>健康发展</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720" w:type="dxa"/>
            <w:gridSpan w:val="1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eastAsia="方正仿宋_GBK"/>
                <w:color w:val="000000"/>
                <w:spacing w:val="-2"/>
                <w:szCs w:val="21"/>
              </w:rPr>
              <w:t>2.</w:t>
            </w:r>
            <w:r>
              <w:rPr>
                <w:rFonts w:hint="eastAsia" w:eastAsia="方正仿宋_GBK"/>
                <w:color w:val="000000"/>
                <w:spacing w:val="-2"/>
                <w:szCs w:val="21"/>
              </w:rPr>
              <w:t>示范区评估指标表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专项规划</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能源综合利用规划</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水资源综合利用规划</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绿色交通规划</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其他专项规划</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节约型城乡建设</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城市空间复合利用</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可再生能源建筑一体化</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绿色建筑健康发展</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绿色施工管理</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住宅全装修</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综合管廊建设</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城市绿色照明</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节水型城市建设</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城市垃圾资源化利用</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配套能力建设</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组织保障</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法规政策</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机制创新</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资金使用</w:t>
            </w: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restart"/>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eastAsia="方正仿宋_GBK"/>
                <w:color w:val="000000"/>
                <w:spacing w:val="-2"/>
                <w:szCs w:val="21"/>
              </w:rPr>
            </w:pPr>
            <w:r>
              <w:rPr>
                <w:rFonts w:hint="eastAsia" w:eastAsia="方正仿宋_GBK"/>
                <w:color w:val="000000"/>
                <w:spacing w:val="-2"/>
                <w:szCs w:val="21"/>
              </w:rPr>
              <w:t>创新点</w:t>
            </w: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6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8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3318" w:type="dxa"/>
            <w:gridSpan w:val="5"/>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highlight w:val="yellow"/>
              </w:rPr>
            </w:pPr>
          </w:p>
        </w:tc>
        <w:tc>
          <w:tcPr>
            <w:tcW w:w="2873" w:type="dxa"/>
            <w:gridSpan w:val="4"/>
            <w:tcBorders>
              <w:top w:val="single" w:color="auto" w:sz="4" w:space="0"/>
              <w:left w:val="single" w:color="auto" w:sz="4" w:space="0"/>
              <w:bottom w:val="single" w:color="auto" w:sz="4" w:space="0"/>
              <w:right w:val="single" w:color="auto" w:sz="4" w:space="0"/>
            </w:tcBorders>
            <w:noWrap w:val="0"/>
            <w:vAlign w:val="center"/>
          </w:tcPr>
          <w:p>
            <w:pPr>
              <w:jc w:val="left"/>
              <w:rPr>
                <w:rFonts w:eastAsia="方正仿宋_GBK"/>
                <w:color w:val="000000"/>
                <w:spacing w:val="-2"/>
                <w:szCs w:val="21"/>
              </w:rPr>
            </w:pPr>
          </w:p>
        </w:tc>
      </w:tr>
    </w:tbl>
    <w:p>
      <w:pPr>
        <w:ind w:left="-105" w:leftChars="-50" w:right="-105" w:rightChars="-50"/>
        <w:jc w:val="center"/>
        <w:rPr>
          <w:rFonts w:hint="eastAsia" w:eastAsia="方正仿宋_GBK"/>
          <w:color w:val="000000"/>
          <w:spacing w:val="-2"/>
          <w:szCs w:val="21"/>
        </w:rPr>
      </w:pPr>
    </w:p>
    <w:p>
      <w:pPr>
        <w:spacing w:line="300" w:lineRule="exact"/>
        <w:rPr>
          <w:rFonts w:ascii="Times New Roman" w:eastAsia="方正仿宋_GBK"/>
          <w:color w:val="000000"/>
          <w:spacing w:val="-2"/>
        </w:rPr>
      </w:pPr>
      <w:r>
        <w:rPr>
          <w:rFonts w:hint="eastAsia" w:ascii="Times New Roman" w:hAnsi="Times New Roman" w:eastAsia="方正仿宋_GBK"/>
          <w:bCs/>
          <w:color w:val="000000"/>
          <w:spacing w:val="-2"/>
          <w:szCs w:val="21"/>
          <w:shd w:val="clear" w:color="auto" w:fill="FFFFFF"/>
        </w:rPr>
        <w:t>注：创新点可增加栏目</w:t>
      </w:r>
    </w:p>
    <w:p>
      <w:pPr>
        <w:widowControl/>
        <w:jc w:val="left"/>
        <w:rPr>
          <w:rFonts w:ascii="Times New Roman" w:hAnsi="Times New Roman" w:eastAsia="方正仿宋_GBK"/>
          <w:color w:val="000000"/>
          <w:spacing w:val="-2"/>
        </w:rPr>
        <w:sectPr>
          <w:pgSz w:w="11905" w:h="16838"/>
          <w:pgMar w:top="1701" w:right="1587" w:bottom="1701" w:left="1587" w:header="850" w:footer="1361" w:gutter="0"/>
          <w:paperSrc w:first="4" w:other="4"/>
          <w:cols w:space="720" w:num="1"/>
        </w:sectPr>
      </w:pP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7"/>
        <w:gridCol w:w="8721"/>
        <w:gridCol w:w="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Before w:val="1"/>
          <w:gridAfter w:val="1"/>
          <w:wBefore w:w="127" w:type="dxa"/>
          <w:wAfter w:w="40" w:type="dxa"/>
          <w:trHeight w:val="567" w:hRule="atLeast"/>
        </w:trPr>
        <w:tc>
          <w:tcPr>
            <w:tcW w:w="8721" w:type="dxa"/>
            <w:tcBorders>
              <w:top w:val="single" w:color="auto" w:sz="8"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ascii="Times New Roman" w:eastAsia="方正黑体_GBK"/>
                <w:color w:val="000000"/>
                <w:spacing w:val="-2"/>
                <w:szCs w:val="21"/>
              </w:rPr>
              <w:t>三、示范区实施情况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Before w:val="1"/>
          <w:gridAfter w:val="1"/>
          <w:wBefore w:w="127" w:type="dxa"/>
          <w:wAfter w:w="40" w:type="dxa"/>
          <w:trHeight w:val="1985" w:hRule="atLeast"/>
        </w:trPr>
        <w:tc>
          <w:tcPr>
            <w:tcW w:w="8721" w:type="dxa"/>
            <w:tcBorders>
              <w:top w:val="single" w:color="auto" w:sz="4" w:space="0"/>
              <w:left w:val="single" w:color="auto" w:sz="8" w:space="0"/>
              <w:bottom w:val="single" w:color="auto" w:sz="4" w:space="0"/>
              <w:right w:val="single" w:color="auto" w:sz="8" w:space="0"/>
            </w:tcBorders>
            <w:noWrap w:val="0"/>
            <w:vAlign w:val="top"/>
          </w:tcPr>
          <w:p>
            <w:pPr>
              <w:spacing w:before="120" w:beforeLines="50"/>
              <w:rPr>
                <w:rFonts w:eastAsia="方正仿宋_GBK"/>
                <w:color w:val="000000"/>
                <w:spacing w:val="-2"/>
                <w:szCs w:val="21"/>
              </w:rPr>
            </w:pPr>
            <w:r>
              <w:rPr>
                <w:rFonts w:eastAsia="方正仿宋_GBK"/>
                <w:color w:val="000000"/>
                <w:spacing w:val="-2"/>
                <w:szCs w:val="21"/>
              </w:rPr>
              <w:t>1.</w:t>
            </w:r>
            <w:r>
              <w:rPr>
                <w:rFonts w:hint="eastAsia" w:eastAsia="方正仿宋_GBK"/>
                <w:color w:val="000000"/>
                <w:spacing w:val="-2"/>
                <w:szCs w:val="21"/>
              </w:rPr>
              <w:t>组织领导（包括：领导班子的建立及议事协调、具体办事机构建立及运行情况）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Before w:val="1"/>
          <w:gridAfter w:val="1"/>
          <w:wBefore w:w="127" w:type="dxa"/>
          <w:wAfter w:w="40" w:type="dxa"/>
          <w:trHeight w:val="1985" w:hRule="atLeast"/>
        </w:trPr>
        <w:tc>
          <w:tcPr>
            <w:tcW w:w="8721" w:type="dxa"/>
            <w:tcBorders>
              <w:top w:val="single" w:color="auto" w:sz="4" w:space="0"/>
              <w:left w:val="single" w:color="auto" w:sz="8" w:space="0"/>
              <w:bottom w:val="single" w:color="auto" w:sz="4" w:space="0"/>
              <w:right w:val="single" w:color="auto" w:sz="8" w:space="0"/>
            </w:tcBorders>
            <w:noWrap w:val="0"/>
            <w:vAlign w:val="top"/>
          </w:tcPr>
          <w:p>
            <w:pPr>
              <w:spacing w:before="120" w:beforeLines="50"/>
              <w:rPr>
                <w:rFonts w:eastAsia="方正仿宋_GBK"/>
                <w:color w:val="000000"/>
                <w:spacing w:val="-2"/>
                <w:szCs w:val="21"/>
              </w:rPr>
            </w:pPr>
            <w:r>
              <w:rPr>
                <w:rFonts w:eastAsia="方正仿宋_GBK"/>
                <w:color w:val="000000"/>
                <w:spacing w:val="-2"/>
                <w:szCs w:val="21"/>
              </w:rPr>
              <w:t>2.</w:t>
            </w:r>
            <w:r>
              <w:rPr>
                <w:rFonts w:hint="eastAsia" w:eastAsia="方正仿宋_GBK"/>
                <w:color w:val="000000"/>
                <w:spacing w:val="-2"/>
                <w:szCs w:val="21"/>
              </w:rPr>
              <w:t>法规政策（包括：制定财政补助资金管理办法、示范项目管理办法等相关文件情况，出台优惠激励政策情况（写明相关文号及要点））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Before w:val="1"/>
          <w:gridAfter w:val="1"/>
          <w:wBefore w:w="127" w:type="dxa"/>
          <w:wAfter w:w="40" w:type="dxa"/>
          <w:trHeight w:val="1985" w:hRule="atLeast"/>
        </w:trPr>
        <w:tc>
          <w:tcPr>
            <w:tcW w:w="8721" w:type="dxa"/>
            <w:tcBorders>
              <w:top w:val="single" w:color="auto" w:sz="4" w:space="0"/>
              <w:left w:val="single" w:color="auto" w:sz="8" w:space="0"/>
              <w:bottom w:val="single" w:color="auto" w:sz="4" w:space="0"/>
              <w:right w:val="single" w:color="auto" w:sz="8" w:space="0"/>
            </w:tcBorders>
            <w:noWrap w:val="0"/>
            <w:vAlign w:val="top"/>
          </w:tcPr>
          <w:p>
            <w:pPr>
              <w:spacing w:before="120" w:beforeLines="50"/>
              <w:rPr>
                <w:rFonts w:eastAsia="方正仿宋_GBK"/>
                <w:color w:val="000000"/>
                <w:spacing w:val="-2"/>
                <w:szCs w:val="21"/>
              </w:rPr>
            </w:pPr>
            <w:r>
              <w:rPr>
                <w:rFonts w:eastAsia="方正仿宋_GBK"/>
                <w:color w:val="000000"/>
                <w:spacing w:val="-2"/>
                <w:szCs w:val="21"/>
              </w:rPr>
              <w:t>3.</w:t>
            </w:r>
            <w:r>
              <w:rPr>
                <w:rFonts w:hint="eastAsia" w:eastAsia="方正仿宋_GBK"/>
                <w:color w:val="000000"/>
                <w:spacing w:val="-2"/>
                <w:szCs w:val="21"/>
              </w:rPr>
              <w:t>技术保障（包括：技术支撑单位工作情况、社会机构培育情况（写明相关文号及要点））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Before w:val="1"/>
          <w:gridAfter w:val="1"/>
          <w:wBefore w:w="127" w:type="dxa"/>
          <w:wAfter w:w="40" w:type="dxa"/>
          <w:trHeight w:val="1985" w:hRule="atLeast"/>
        </w:trPr>
        <w:tc>
          <w:tcPr>
            <w:tcW w:w="8721" w:type="dxa"/>
            <w:tcBorders>
              <w:top w:val="single" w:color="auto" w:sz="4" w:space="0"/>
              <w:left w:val="single" w:color="auto" w:sz="8" w:space="0"/>
              <w:bottom w:val="single" w:color="auto" w:sz="4" w:space="0"/>
              <w:right w:val="single" w:color="auto" w:sz="8" w:space="0"/>
            </w:tcBorders>
            <w:noWrap w:val="0"/>
            <w:vAlign w:val="top"/>
          </w:tcPr>
          <w:p>
            <w:pPr>
              <w:spacing w:before="120" w:beforeLines="50"/>
              <w:rPr>
                <w:rFonts w:eastAsia="方正仿宋_GBK"/>
                <w:color w:val="000000"/>
                <w:spacing w:val="-2"/>
                <w:szCs w:val="21"/>
              </w:rPr>
            </w:pPr>
            <w:r>
              <w:rPr>
                <w:rFonts w:eastAsia="方正仿宋_GBK"/>
                <w:color w:val="000000"/>
                <w:spacing w:val="-2"/>
                <w:szCs w:val="21"/>
              </w:rPr>
              <w:t>4.</w:t>
            </w:r>
            <w:r>
              <w:rPr>
                <w:rFonts w:hint="eastAsia" w:eastAsia="方正仿宋_GBK"/>
                <w:color w:val="000000"/>
                <w:spacing w:val="-2"/>
                <w:szCs w:val="21"/>
              </w:rPr>
              <w:t>资金使用情况（依据地方财政主管部门对财政补助资金的管理及使用核查情况进行填写）</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Before w:val="1"/>
          <w:gridAfter w:val="1"/>
          <w:wBefore w:w="127" w:type="dxa"/>
          <w:wAfter w:w="40" w:type="dxa"/>
          <w:trHeight w:val="1985" w:hRule="atLeast"/>
        </w:trPr>
        <w:tc>
          <w:tcPr>
            <w:tcW w:w="8721" w:type="dxa"/>
            <w:tcBorders>
              <w:top w:val="single" w:color="auto" w:sz="4" w:space="0"/>
              <w:left w:val="single" w:color="auto" w:sz="8" w:space="0"/>
              <w:bottom w:val="single" w:color="auto" w:sz="4" w:space="0"/>
              <w:right w:val="single" w:color="auto" w:sz="8" w:space="0"/>
            </w:tcBorders>
            <w:shd w:val="clear" w:color="auto" w:fill="FFFFFF"/>
            <w:noWrap w:val="0"/>
            <w:vAlign w:val="top"/>
          </w:tcPr>
          <w:p>
            <w:pPr>
              <w:spacing w:before="120" w:beforeLines="50"/>
              <w:rPr>
                <w:rFonts w:eastAsia="方正仿宋_GBK"/>
                <w:color w:val="000000"/>
                <w:spacing w:val="-2"/>
                <w:szCs w:val="21"/>
              </w:rPr>
            </w:pPr>
            <w:r>
              <w:rPr>
                <w:rFonts w:eastAsia="方正仿宋_GBK"/>
                <w:color w:val="000000"/>
                <w:spacing w:val="-2"/>
                <w:szCs w:val="21"/>
              </w:rPr>
              <w:t>5.</w:t>
            </w:r>
            <w:r>
              <w:rPr>
                <w:rFonts w:hint="eastAsia" w:eastAsia="方正仿宋_GBK"/>
                <w:color w:val="000000"/>
                <w:spacing w:val="-2"/>
                <w:szCs w:val="21"/>
              </w:rPr>
              <w:t>探索建立示范区后评估体系及后期运营管理制度等示范区建设长效机制情况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Before w:val="1"/>
          <w:gridAfter w:val="1"/>
          <w:wBefore w:w="127" w:type="dxa"/>
          <w:wAfter w:w="40" w:type="dxa"/>
          <w:trHeight w:val="2605" w:hRule="atLeast"/>
        </w:trPr>
        <w:tc>
          <w:tcPr>
            <w:tcW w:w="8721" w:type="dxa"/>
            <w:tcBorders>
              <w:top w:val="single" w:color="auto" w:sz="4" w:space="0"/>
              <w:left w:val="single" w:color="auto" w:sz="8" w:space="0"/>
              <w:bottom w:val="single" w:color="auto" w:sz="4" w:space="0"/>
              <w:right w:val="single" w:color="auto" w:sz="8" w:space="0"/>
            </w:tcBorders>
            <w:noWrap w:val="0"/>
            <w:vAlign w:val="top"/>
          </w:tcPr>
          <w:p>
            <w:pPr>
              <w:spacing w:before="120" w:beforeLines="50"/>
              <w:rPr>
                <w:rFonts w:eastAsia="方正仿宋_GBK"/>
                <w:color w:val="000000"/>
                <w:spacing w:val="-2"/>
                <w:szCs w:val="21"/>
              </w:rPr>
            </w:pPr>
            <w:r>
              <w:rPr>
                <w:rFonts w:eastAsia="方正仿宋_GBK"/>
                <w:color w:val="000000"/>
                <w:spacing w:val="-2"/>
                <w:szCs w:val="21"/>
              </w:rPr>
              <w:t>6.</w:t>
            </w:r>
            <w:r>
              <w:rPr>
                <w:rFonts w:hint="eastAsia" w:eastAsia="方正仿宋_GBK"/>
                <w:color w:val="000000"/>
                <w:spacing w:val="-2"/>
                <w:szCs w:val="21"/>
              </w:rPr>
              <w:t>取得的经济、社会、环境效益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8888" w:type="dxa"/>
            <w:gridSpan w:val="3"/>
            <w:tcBorders>
              <w:top w:val="single" w:color="auto" w:sz="4" w:space="0"/>
              <w:left w:val="single" w:color="auto" w:sz="8" w:space="0"/>
              <w:bottom w:val="single" w:color="auto" w:sz="4" w:space="0"/>
              <w:right w:val="single" w:color="auto" w:sz="8" w:space="0"/>
            </w:tcBorders>
            <w:noWrap w:val="0"/>
            <w:vAlign w:val="center"/>
          </w:tcPr>
          <w:p>
            <w:pPr>
              <w:rPr>
                <w:rFonts w:eastAsia="方正仿宋_GBK"/>
                <w:color w:val="000000"/>
                <w:spacing w:val="-2"/>
                <w:szCs w:val="21"/>
              </w:rPr>
            </w:pPr>
            <w:r>
              <w:rPr>
                <w:rFonts w:hint="eastAsia" w:ascii="Times New Roman" w:eastAsia="方正黑体_GBK"/>
                <w:color w:val="000000"/>
                <w:spacing w:val="-2"/>
                <w:szCs w:val="21"/>
              </w:rPr>
              <w:t>四、主要验收文件目录</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13" w:hRule="atLeast"/>
        </w:trPr>
        <w:tc>
          <w:tcPr>
            <w:tcW w:w="8888" w:type="dxa"/>
            <w:gridSpan w:val="3"/>
            <w:tcBorders>
              <w:top w:val="single" w:color="auto" w:sz="4" w:space="0"/>
              <w:left w:val="single" w:color="auto" w:sz="8" w:space="0"/>
              <w:bottom w:val="single" w:color="auto" w:sz="8" w:space="0"/>
              <w:right w:val="single" w:color="auto" w:sz="8" w:space="0"/>
            </w:tcBorders>
            <w:noWrap w:val="0"/>
            <w:vAlign w:val="top"/>
          </w:tcPr>
          <w:p>
            <w:pPr>
              <w:rPr>
                <w:rFonts w:eastAsia="方正仿宋_GBK"/>
                <w:b/>
                <w:color w:val="000000"/>
                <w:spacing w:val="-2"/>
                <w:szCs w:val="21"/>
              </w:rPr>
            </w:pPr>
          </w:p>
          <w:p>
            <w:pPr>
              <w:rPr>
                <w:rFonts w:eastAsia="方正仿宋_GBK"/>
                <w:color w:val="000000"/>
                <w:spacing w:val="-2"/>
                <w:szCs w:val="21"/>
              </w:rPr>
            </w:pPr>
          </w:p>
          <w:p>
            <w:pPr>
              <w:spacing w:line="58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1.</w:t>
            </w:r>
            <w:r>
              <w:rPr>
                <w:rFonts w:hint="eastAsia" w:eastAsia="方正仿宋_GBK"/>
                <w:color w:val="000000"/>
                <w:spacing w:val="-2"/>
                <w:szCs w:val="21"/>
              </w:rPr>
              <w:t>示范区验收评估申请表</w:t>
            </w:r>
          </w:p>
          <w:p>
            <w:pPr>
              <w:spacing w:line="58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2.</w:t>
            </w:r>
            <w:r>
              <w:rPr>
                <w:rFonts w:hint="eastAsia" w:eastAsia="方正仿宋_GBK"/>
                <w:color w:val="000000"/>
                <w:spacing w:val="-2"/>
                <w:szCs w:val="21"/>
              </w:rPr>
              <w:t>批准的示范区实施方案</w:t>
            </w:r>
          </w:p>
          <w:p>
            <w:pPr>
              <w:spacing w:line="580" w:lineRule="exact"/>
              <w:rPr>
                <w:rFonts w:eastAsia="方正仿宋_GBK"/>
                <w:color w:val="000000"/>
                <w:spacing w:val="-2"/>
                <w:szCs w:val="21"/>
              </w:rPr>
            </w:pPr>
            <w:r>
              <w:rPr>
                <w:rFonts w:hint="eastAsia" w:ascii="Times New Roman" w:hAnsi="Times New Roman"/>
                <w:color w:val="000000"/>
                <w:spacing w:val="-2"/>
                <w:szCs w:val="21"/>
              </w:rPr>
              <w:t xml:space="preserve">□ </w:t>
            </w:r>
            <w:r>
              <w:rPr>
                <w:rFonts w:eastAsia="方正仿宋_GBK"/>
                <w:color w:val="000000"/>
                <w:spacing w:val="-2"/>
                <w:szCs w:val="21"/>
              </w:rPr>
              <w:t>3.</w:t>
            </w:r>
            <w:r>
              <w:rPr>
                <w:rFonts w:hint="eastAsia" w:eastAsia="方正仿宋_GBK"/>
                <w:color w:val="000000"/>
                <w:spacing w:val="-2"/>
                <w:szCs w:val="21"/>
              </w:rPr>
              <w:t>示范区实施总结报告</w:t>
            </w:r>
          </w:p>
          <w:p>
            <w:pPr>
              <w:spacing w:line="58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4.</w:t>
            </w:r>
            <w:r>
              <w:rPr>
                <w:rFonts w:hint="eastAsia" w:eastAsia="方正仿宋_GBK"/>
                <w:color w:val="000000"/>
                <w:spacing w:val="-2"/>
                <w:szCs w:val="21"/>
              </w:rPr>
              <w:t>示范区财政补助资金及配套资金使用及管理情况报告（含第三方出具的示范区资金使用情况报告）</w:t>
            </w:r>
          </w:p>
          <w:p>
            <w:pPr>
              <w:spacing w:line="58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5.</w:t>
            </w:r>
            <w:r>
              <w:rPr>
                <w:rFonts w:hint="eastAsia" w:eastAsia="方正仿宋_GBK"/>
                <w:color w:val="000000"/>
                <w:spacing w:val="-2"/>
                <w:szCs w:val="21"/>
              </w:rPr>
              <w:t>纳入示范的项目清单，项目验收材料和绿色建筑评价标识材料、能效测评标识材料</w:t>
            </w:r>
            <w:r>
              <w:rPr>
                <w:rFonts w:eastAsia="方正仿宋_GBK"/>
                <w:color w:val="000000"/>
                <w:spacing w:val="-2"/>
                <w:szCs w:val="21"/>
              </w:rPr>
              <w:t xml:space="preserve"> </w:t>
            </w:r>
          </w:p>
          <w:p>
            <w:pPr>
              <w:spacing w:line="58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6.</w:t>
            </w:r>
            <w:r>
              <w:rPr>
                <w:rFonts w:hint="eastAsia" w:eastAsia="方正仿宋_GBK"/>
                <w:color w:val="000000"/>
                <w:spacing w:val="-2"/>
                <w:szCs w:val="21"/>
              </w:rPr>
              <w:t>纳入示范区工作的节约型城乡建设项目验收材料</w:t>
            </w:r>
          </w:p>
          <w:p>
            <w:pPr>
              <w:spacing w:line="580" w:lineRule="exact"/>
              <w:rPr>
                <w:rFonts w:eastAsia="方正仿宋_GBK"/>
                <w:color w:val="000000"/>
                <w:spacing w:val="-2"/>
                <w:szCs w:val="21"/>
              </w:rPr>
            </w:pPr>
            <w:r>
              <w:rPr>
                <w:rFonts w:hint="eastAsia" w:ascii="Times New Roman" w:hAnsi="Times New Roman"/>
                <w:color w:val="000000"/>
                <w:spacing w:val="-2"/>
                <w:szCs w:val="21"/>
              </w:rPr>
              <w:t xml:space="preserve">□ </w:t>
            </w:r>
            <w:r>
              <w:rPr>
                <w:rFonts w:eastAsia="方正仿宋_GBK"/>
                <w:color w:val="000000"/>
                <w:spacing w:val="-2"/>
                <w:szCs w:val="21"/>
              </w:rPr>
              <w:t>7.</w:t>
            </w:r>
            <w:r>
              <w:rPr>
                <w:rFonts w:hint="eastAsia" w:eastAsia="方正仿宋_GBK"/>
                <w:color w:val="000000"/>
                <w:spacing w:val="-2"/>
                <w:szCs w:val="21"/>
              </w:rPr>
              <w:t>示范区工作开展及配套能力建设成果文件，包括：进度报表、中期检查表、资源评估报告、专项规划及配套政策文件等</w:t>
            </w:r>
          </w:p>
          <w:p>
            <w:pPr>
              <w:spacing w:line="58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8.</w:t>
            </w:r>
            <w:r>
              <w:rPr>
                <w:rFonts w:hint="eastAsia" w:eastAsia="方正仿宋_GBK"/>
                <w:color w:val="000000"/>
                <w:spacing w:val="-2"/>
                <w:szCs w:val="21"/>
              </w:rPr>
              <w:t>项目能效测评报告和典型项目运行监测相关文件</w:t>
            </w:r>
          </w:p>
          <w:p>
            <w:pPr>
              <w:spacing w:line="580" w:lineRule="exact"/>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 9.</w:t>
            </w:r>
            <w:r>
              <w:rPr>
                <w:rFonts w:hint="eastAsia" w:eastAsia="方正仿宋_GBK"/>
                <w:color w:val="000000"/>
                <w:spacing w:val="-2"/>
                <w:szCs w:val="21"/>
              </w:rPr>
              <w:t>示范区运营管理等后评估文件</w:t>
            </w:r>
          </w:p>
          <w:p>
            <w:pPr>
              <w:spacing w:line="580" w:lineRule="exact"/>
              <w:rPr>
                <w:rFonts w:eastAsia="方正仿宋_GBK"/>
                <w:color w:val="000000"/>
                <w:spacing w:val="-2"/>
                <w:szCs w:val="21"/>
              </w:rPr>
            </w:pPr>
            <w:r>
              <w:rPr>
                <w:rFonts w:hint="eastAsia" w:ascii="Times New Roman" w:hAnsi="Times New Roman"/>
                <w:color w:val="000000"/>
                <w:spacing w:val="-2"/>
                <w:szCs w:val="21"/>
              </w:rPr>
              <w:t xml:space="preserve">□ </w:t>
            </w:r>
            <w:r>
              <w:rPr>
                <w:rFonts w:eastAsia="方正仿宋_GBK"/>
                <w:color w:val="000000"/>
                <w:spacing w:val="-2"/>
                <w:szCs w:val="21"/>
              </w:rPr>
              <w:t>10.</w:t>
            </w:r>
            <w:r>
              <w:rPr>
                <w:rFonts w:hint="eastAsia" w:eastAsia="方正仿宋_GBK"/>
                <w:color w:val="000000"/>
                <w:spacing w:val="-2"/>
                <w:szCs w:val="21"/>
              </w:rPr>
              <w:t>其他相关资料</w:t>
            </w:r>
          </w:p>
        </w:tc>
      </w:tr>
    </w:tbl>
    <w:p>
      <w:pPr>
        <w:spacing w:line="200" w:lineRule="exact"/>
        <w:rPr>
          <w:rFonts w:hint="eastAsia"/>
          <w:color w:val="000000"/>
          <w:spacing w:val="-2"/>
        </w:rPr>
      </w:pPr>
    </w:p>
    <w:tbl>
      <w:tblPr>
        <w:tblStyle w:val="12"/>
        <w:tblW w:w="0" w:type="auto"/>
        <w:tblInd w:w="0" w:type="dxa"/>
        <w:tblLayout w:type="fixed"/>
        <w:tblCellMar>
          <w:top w:w="0" w:type="dxa"/>
          <w:left w:w="108" w:type="dxa"/>
          <w:bottom w:w="0" w:type="dxa"/>
          <w:right w:w="108" w:type="dxa"/>
        </w:tblCellMar>
      </w:tblPr>
      <w:tblGrid>
        <w:gridCol w:w="1040"/>
        <w:gridCol w:w="1100"/>
        <w:gridCol w:w="680"/>
        <w:gridCol w:w="4080"/>
        <w:gridCol w:w="680"/>
        <w:gridCol w:w="781"/>
        <w:gridCol w:w="701"/>
      </w:tblGrid>
      <w:tr>
        <w:tblPrEx>
          <w:tblCellMar>
            <w:top w:w="0" w:type="dxa"/>
            <w:left w:w="108" w:type="dxa"/>
            <w:bottom w:w="0" w:type="dxa"/>
            <w:right w:w="108" w:type="dxa"/>
          </w:tblCellMar>
        </w:tblPrEx>
        <w:trPr>
          <w:trHeight w:val="319" w:hRule="atLeast"/>
        </w:trPr>
        <w:tc>
          <w:tcPr>
            <w:tcW w:w="9062" w:type="dxa"/>
            <w:gridSpan w:val="7"/>
            <w:tcBorders>
              <w:top w:val="single" w:color="auto" w:sz="8" w:space="0"/>
              <w:left w:val="single" w:color="auto" w:sz="8" w:space="0"/>
              <w:bottom w:val="single" w:color="auto" w:sz="4" w:space="0"/>
              <w:right w:val="single" w:color="auto" w:sz="8" w:space="0"/>
            </w:tcBorders>
            <w:noWrap w:val="0"/>
            <w:vAlign w:val="center"/>
          </w:tcPr>
          <w:p>
            <w:pPr>
              <w:spacing w:line="240" w:lineRule="exact"/>
              <w:rPr>
                <w:rFonts w:ascii="Times New Roman" w:eastAsia="方正黑体_GBK"/>
                <w:bCs/>
                <w:color w:val="000000"/>
                <w:spacing w:val="-2"/>
                <w:szCs w:val="21"/>
              </w:rPr>
            </w:pPr>
            <w:r>
              <w:rPr>
                <w:rFonts w:hint="eastAsia" w:ascii="Times New Roman" w:eastAsia="方正黑体_GBK"/>
                <w:bCs/>
                <w:color w:val="000000"/>
                <w:spacing w:val="-2"/>
                <w:szCs w:val="21"/>
              </w:rPr>
              <w:t>五、验收评估表</w:t>
            </w:r>
          </w:p>
        </w:tc>
      </w:tr>
      <w:tr>
        <w:tblPrEx>
          <w:tblCellMar>
            <w:top w:w="0" w:type="dxa"/>
            <w:left w:w="108" w:type="dxa"/>
            <w:bottom w:w="0" w:type="dxa"/>
            <w:right w:w="108" w:type="dxa"/>
          </w:tblCellMar>
        </w:tblPrEx>
        <w:trPr>
          <w:trHeight w:val="319" w:hRule="atLeast"/>
        </w:trPr>
        <w:tc>
          <w:tcPr>
            <w:tcW w:w="104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eastAsia="方正仿宋_GBK"/>
                <w:bCs/>
                <w:color w:val="000000"/>
                <w:spacing w:val="-2"/>
                <w:szCs w:val="21"/>
              </w:rPr>
            </w:pPr>
            <w:r>
              <w:rPr>
                <w:rFonts w:hint="eastAsia" w:eastAsia="方正仿宋_GBK"/>
                <w:bCs/>
                <w:color w:val="000000"/>
                <w:spacing w:val="-2"/>
                <w:szCs w:val="21"/>
              </w:rPr>
              <w:t>分类</w:t>
            </w:r>
          </w:p>
        </w:tc>
        <w:tc>
          <w:tcPr>
            <w:tcW w:w="1100" w:type="dxa"/>
            <w:tcBorders>
              <w:top w:val="single" w:color="auto" w:sz="4" w:space="0"/>
              <w:left w:val="nil"/>
              <w:bottom w:val="single" w:color="auto" w:sz="4" w:space="0"/>
              <w:right w:val="single" w:color="auto" w:sz="4" w:space="0"/>
            </w:tcBorders>
            <w:noWrap w:val="0"/>
            <w:vAlign w:val="center"/>
          </w:tcPr>
          <w:p>
            <w:pPr>
              <w:spacing w:line="240" w:lineRule="exact"/>
              <w:jc w:val="center"/>
              <w:rPr>
                <w:rFonts w:eastAsia="方正仿宋_GBK"/>
                <w:bCs/>
                <w:color w:val="000000"/>
                <w:spacing w:val="-2"/>
                <w:szCs w:val="21"/>
              </w:rPr>
            </w:pPr>
            <w:r>
              <w:rPr>
                <w:rFonts w:hint="eastAsia" w:eastAsia="方正仿宋_GBK"/>
                <w:bCs/>
                <w:color w:val="000000"/>
                <w:spacing w:val="-2"/>
                <w:szCs w:val="21"/>
              </w:rPr>
              <w:t>评分方法</w:t>
            </w:r>
          </w:p>
        </w:tc>
        <w:tc>
          <w:tcPr>
            <w:tcW w:w="680" w:type="dxa"/>
            <w:tcBorders>
              <w:top w:val="single" w:color="auto" w:sz="4" w:space="0"/>
              <w:left w:val="nil"/>
              <w:bottom w:val="nil"/>
              <w:right w:val="single" w:color="auto" w:sz="4" w:space="0"/>
            </w:tcBorders>
            <w:noWrap w:val="0"/>
            <w:vAlign w:val="center"/>
          </w:tcPr>
          <w:p>
            <w:pPr>
              <w:spacing w:line="240" w:lineRule="exact"/>
              <w:jc w:val="center"/>
              <w:rPr>
                <w:rFonts w:eastAsia="方正仿宋_GBK"/>
                <w:bCs/>
                <w:color w:val="000000"/>
                <w:spacing w:val="-2"/>
                <w:szCs w:val="21"/>
              </w:rPr>
            </w:pPr>
            <w:r>
              <w:rPr>
                <w:rFonts w:hint="eastAsia" w:eastAsia="方正仿宋_GBK"/>
                <w:bCs/>
                <w:color w:val="000000"/>
                <w:spacing w:val="-2"/>
                <w:szCs w:val="21"/>
              </w:rPr>
              <w:t>分值</w:t>
            </w:r>
          </w:p>
        </w:tc>
        <w:tc>
          <w:tcPr>
            <w:tcW w:w="4760" w:type="dxa"/>
            <w:gridSpan w:val="2"/>
            <w:tcBorders>
              <w:top w:val="single" w:color="auto" w:sz="4" w:space="0"/>
              <w:left w:val="nil"/>
              <w:bottom w:val="single" w:color="auto" w:sz="4" w:space="0"/>
              <w:right w:val="single" w:color="000000" w:sz="4" w:space="0"/>
            </w:tcBorders>
            <w:noWrap w:val="0"/>
            <w:vAlign w:val="center"/>
          </w:tcPr>
          <w:p>
            <w:pPr>
              <w:spacing w:line="240" w:lineRule="exact"/>
              <w:jc w:val="center"/>
              <w:rPr>
                <w:rFonts w:eastAsia="方正仿宋_GBK"/>
                <w:bCs/>
                <w:color w:val="000000"/>
                <w:spacing w:val="-2"/>
                <w:szCs w:val="21"/>
              </w:rPr>
            </w:pPr>
            <w:r>
              <w:rPr>
                <w:rFonts w:hint="eastAsia" w:eastAsia="方正仿宋_GBK"/>
                <w:bCs/>
                <w:color w:val="000000"/>
                <w:spacing w:val="-2"/>
                <w:szCs w:val="21"/>
              </w:rPr>
              <w:t>评分标准</w:t>
            </w:r>
          </w:p>
        </w:tc>
        <w:tc>
          <w:tcPr>
            <w:tcW w:w="781" w:type="dxa"/>
            <w:tcBorders>
              <w:top w:val="single" w:color="auto" w:sz="4" w:space="0"/>
              <w:left w:val="nil"/>
              <w:bottom w:val="single" w:color="auto" w:sz="4" w:space="0"/>
              <w:right w:val="single" w:color="auto" w:sz="4" w:space="0"/>
            </w:tcBorders>
            <w:noWrap w:val="0"/>
            <w:vAlign w:val="center"/>
          </w:tcPr>
          <w:p>
            <w:pPr>
              <w:spacing w:line="240" w:lineRule="exact"/>
              <w:jc w:val="center"/>
              <w:rPr>
                <w:rFonts w:eastAsia="方正仿宋_GBK"/>
                <w:bCs/>
                <w:color w:val="000000"/>
                <w:spacing w:val="-2"/>
                <w:szCs w:val="21"/>
              </w:rPr>
            </w:pPr>
            <w:r>
              <w:rPr>
                <w:rFonts w:hint="eastAsia" w:eastAsia="方正仿宋_GBK"/>
                <w:bCs/>
                <w:color w:val="000000"/>
                <w:spacing w:val="-2"/>
                <w:szCs w:val="21"/>
              </w:rPr>
              <w:t>得分</w:t>
            </w:r>
          </w:p>
        </w:tc>
        <w:tc>
          <w:tcPr>
            <w:tcW w:w="701" w:type="dxa"/>
            <w:tcBorders>
              <w:top w:val="single" w:color="auto" w:sz="4" w:space="0"/>
              <w:left w:val="nil"/>
              <w:bottom w:val="single" w:color="auto" w:sz="4" w:space="0"/>
              <w:right w:val="single" w:color="auto" w:sz="8" w:space="0"/>
            </w:tcBorders>
            <w:noWrap w:val="0"/>
            <w:vAlign w:val="center"/>
          </w:tcPr>
          <w:p>
            <w:pPr>
              <w:spacing w:line="240" w:lineRule="exact"/>
              <w:jc w:val="center"/>
              <w:rPr>
                <w:rFonts w:eastAsia="方正仿宋_GBK"/>
                <w:bCs/>
                <w:color w:val="000000"/>
                <w:spacing w:val="-2"/>
                <w:szCs w:val="21"/>
              </w:rPr>
            </w:pPr>
            <w:r>
              <w:rPr>
                <w:rFonts w:hint="eastAsia" w:eastAsia="方正仿宋_GBK"/>
                <w:bCs/>
                <w:color w:val="000000"/>
                <w:spacing w:val="-2"/>
                <w:szCs w:val="21"/>
              </w:rPr>
              <w:t>备注</w:t>
            </w:r>
          </w:p>
        </w:tc>
      </w:tr>
      <w:tr>
        <w:tblPrEx>
          <w:tblCellMar>
            <w:top w:w="0" w:type="dxa"/>
            <w:left w:w="108" w:type="dxa"/>
            <w:bottom w:w="0" w:type="dxa"/>
            <w:right w:w="108" w:type="dxa"/>
          </w:tblCellMar>
        </w:tblPrEx>
        <w:trPr>
          <w:trHeight w:val="319" w:hRule="atLeast"/>
        </w:trPr>
        <w:tc>
          <w:tcPr>
            <w:tcW w:w="1040" w:type="dxa"/>
            <w:vMerge w:val="restart"/>
            <w:tcBorders>
              <w:top w:val="nil"/>
              <w:left w:val="single" w:color="auto" w:sz="8"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专项规划编制及批准实施情况</w:t>
            </w:r>
          </w:p>
        </w:tc>
        <w:tc>
          <w:tcPr>
            <w:tcW w:w="1100" w:type="dxa"/>
            <w:vMerge w:val="restart"/>
            <w:tcBorders>
              <w:top w:val="nil"/>
              <w:left w:val="single" w:color="auto" w:sz="4" w:space="0"/>
              <w:bottom w:val="single" w:color="000000" w:sz="4" w:space="0"/>
              <w:right w:val="nil"/>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查看专项规划及相关证明材料</w:t>
            </w:r>
          </w:p>
        </w:tc>
        <w:tc>
          <w:tcPr>
            <w:tcW w:w="68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15</w:t>
            </w: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制定区域能源供应规划并通过评审</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6</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nil"/>
            </w:tcBorders>
            <w:noWrap w:val="0"/>
            <w:vAlign w:val="center"/>
          </w:tcPr>
          <w:p>
            <w:pPr>
              <w:widowControl/>
              <w:jc w:val="left"/>
              <w:rPr>
                <w:rFonts w:eastAsia="方正仿宋_GBK"/>
                <w:color w:val="000000"/>
                <w:spacing w:val="-2"/>
                <w:szCs w:val="21"/>
              </w:rPr>
            </w:pPr>
          </w:p>
        </w:tc>
        <w:tc>
          <w:tcPr>
            <w:tcW w:w="68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制定区域能源供应规划并批准实施</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71"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nil"/>
            </w:tcBorders>
            <w:noWrap w:val="0"/>
            <w:vAlign w:val="center"/>
          </w:tcPr>
          <w:p>
            <w:pPr>
              <w:widowControl/>
              <w:jc w:val="left"/>
              <w:rPr>
                <w:rFonts w:eastAsia="方正仿宋_GBK"/>
                <w:color w:val="000000"/>
                <w:spacing w:val="-2"/>
                <w:szCs w:val="21"/>
              </w:rPr>
            </w:pPr>
          </w:p>
        </w:tc>
        <w:tc>
          <w:tcPr>
            <w:tcW w:w="68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制定水资源综合利用、绿色交通等绿色生态专项规划</w:t>
            </w:r>
            <w:r>
              <w:rPr>
                <w:rFonts w:eastAsia="方正仿宋_GBK"/>
                <w:color w:val="000000"/>
                <w:spacing w:val="-2"/>
                <w:szCs w:val="21"/>
              </w:rPr>
              <w:t>2</w:t>
            </w:r>
            <w:r>
              <w:rPr>
                <w:rFonts w:hint="eastAsia" w:eastAsia="方正仿宋_GBK"/>
                <w:color w:val="000000"/>
                <w:spacing w:val="-2"/>
                <w:szCs w:val="21"/>
              </w:rPr>
              <w:t>项并通过评审</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2</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600"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nil"/>
            </w:tcBorders>
            <w:noWrap w:val="0"/>
            <w:vAlign w:val="center"/>
          </w:tcPr>
          <w:p>
            <w:pPr>
              <w:widowControl/>
              <w:jc w:val="left"/>
              <w:rPr>
                <w:rFonts w:eastAsia="方正仿宋_GBK"/>
                <w:color w:val="000000"/>
                <w:spacing w:val="-2"/>
                <w:szCs w:val="21"/>
              </w:rPr>
            </w:pPr>
          </w:p>
        </w:tc>
        <w:tc>
          <w:tcPr>
            <w:tcW w:w="68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制定水资源综合利用、绿色交通等绿色生态专项规划</w:t>
            </w:r>
            <w:r>
              <w:rPr>
                <w:rFonts w:eastAsia="方正仿宋_GBK"/>
                <w:color w:val="000000"/>
                <w:spacing w:val="-2"/>
                <w:szCs w:val="21"/>
              </w:rPr>
              <w:t>2</w:t>
            </w:r>
            <w:r>
              <w:rPr>
                <w:rFonts w:hint="eastAsia" w:eastAsia="方正仿宋_GBK"/>
                <w:color w:val="000000"/>
                <w:spacing w:val="-2"/>
                <w:szCs w:val="21"/>
              </w:rPr>
              <w:t>项并批准实施</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nil"/>
            </w:tcBorders>
            <w:noWrap w:val="0"/>
            <w:vAlign w:val="center"/>
          </w:tcPr>
          <w:p>
            <w:pPr>
              <w:widowControl/>
              <w:jc w:val="left"/>
              <w:rPr>
                <w:rFonts w:eastAsia="方正仿宋_GBK"/>
                <w:color w:val="000000"/>
                <w:spacing w:val="-2"/>
                <w:szCs w:val="21"/>
              </w:rPr>
            </w:pPr>
          </w:p>
        </w:tc>
        <w:tc>
          <w:tcPr>
            <w:tcW w:w="68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制定其它绿色生态专项规划并通过评审</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2</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nil"/>
            </w:tcBorders>
            <w:noWrap w:val="0"/>
            <w:vAlign w:val="center"/>
          </w:tcPr>
          <w:p>
            <w:pPr>
              <w:widowControl/>
              <w:jc w:val="left"/>
              <w:rPr>
                <w:rFonts w:eastAsia="方正仿宋_GBK"/>
                <w:color w:val="000000"/>
                <w:spacing w:val="-2"/>
                <w:szCs w:val="21"/>
              </w:rPr>
            </w:pPr>
          </w:p>
        </w:tc>
        <w:tc>
          <w:tcPr>
            <w:tcW w:w="68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制定其它绿色生态专项规划并批准实施</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restart"/>
            <w:tcBorders>
              <w:top w:val="nil"/>
              <w:left w:val="single" w:color="auto" w:sz="8"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建筑节能和绿色建筑示范目标完成情况</w:t>
            </w:r>
          </w:p>
        </w:tc>
        <w:tc>
          <w:tcPr>
            <w:tcW w:w="1100" w:type="dxa"/>
            <w:vMerge w:val="restart"/>
            <w:tcBorders>
              <w:top w:val="nil"/>
              <w:left w:val="single" w:color="auto" w:sz="4"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查看示范项目验收材料</w:t>
            </w:r>
          </w:p>
        </w:tc>
        <w:tc>
          <w:tcPr>
            <w:tcW w:w="680" w:type="dxa"/>
            <w:vMerge w:val="restart"/>
            <w:tcBorders>
              <w:top w:val="nil"/>
              <w:left w:val="single" w:color="auto" w:sz="4"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30</w:t>
            </w: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三年新开工项目完成示范目标</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6</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6"/>
                <w:szCs w:val="21"/>
              </w:rPr>
            </w:pPr>
            <w:r>
              <w:rPr>
                <w:rFonts w:hint="eastAsia" w:eastAsia="方正仿宋_GBK"/>
                <w:color w:val="000000"/>
                <w:spacing w:val="-6"/>
                <w:szCs w:val="21"/>
              </w:rPr>
              <w:t>三年新开工项目超额完成示范目标</w:t>
            </w:r>
            <w:r>
              <w:rPr>
                <w:rFonts w:eastAsia="方正仿宋_GBK"/>
                <w:color w:val="000000"/>
                <w:spacing w:val="-6"/>
                <w:szCs w:val="21"/>
              </w:rPr>
              <w:t>5%</w:t>
            </w:r>
            <w:r>
              <w:rPr>
                <w:rFonts w:hint="eastAsia" w:eastAsia="方正仿宋_GBK"/>
                <w:color w:val="000000"/>
                <w:spacing w:val="-6"/>
                <w:szCs w:val="21"/>
              </w:rPr>
              <w:t>及以上</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建成示范项目完成示范目标</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6</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建成示范项目超额完成示范目标</w:t>
            </w:r>
            <w:r>
              <w:rPr>
                <w:rFonts w:eastAsia="方正仿宋_GBK"/>
                <w:color w:val="000000"/>
                <w:spacing w:val="-2"/>
                <w:szCs w:val="21"/>
              </w:rPr>
              <w:t>5%</w:t>
            </w:r>
            <w:r>
              <w:rPr>
                <w:rFonts w:hint="eastAsia" w:eastAsia="方正仿宋_GBK"/>
                <w:color w:val="000000"/>
                <w:spacing w:val="-2"/>
                <w:szCs w:val="21"/>
              </w:rPr>
              <w:t>及以上</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可再生能源建筑应用项目面积比例完成示范目标</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绿色建筑项目面积比例完成示范目标</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二星级及以上绿色建筑面积比例完成示范目标</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有三星绿色建筑评价标识项目</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w:t>
            </w:r>
          </w:p>
        </w:tc>
        <w:tc>
          <w:tcPr>
            <w:tcW w:w="781"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restart"/>
            <w:tcBorders>
              <w:top w:val="nil"/>
              <w:left w:val="single" w:color="auto" w:sz="8" w:space="0"/>
              <w:bottom w:val="nil"/>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节约型城乡建设工作完成情况</w:t>
            </w:r>
          </w:p>
        </w:tc>
        <w:tc>
          <w:tcPr>
            <w:tcW w:w="1100" w:type="dxa"/>
            <w:vMerge w:val="restart"/>
            <w:tcBorders>
              <w:top w:val="nil"/>
              <w:left w:val="single" w:color="auto" w:sz="4" w:space="0"/>
              <w:bottom w:val="nil"/>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查看节约型城乡建设项目验收材料</w:t>
            </w:r>
          </w:p>
        </w:tc>
        <w:tc>
          <w:tcPr>
            <w:tcW w:w="680" w:type="dxa"/>
            <w:vMerge w:val="restart"/>
            <w:tcBorders>
              <w:top w:val="nil"/>
              <w:left w:val="single" w:color="auto" w:sz="4"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20</w:t>
            </w: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城市空间复合利用</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nil"/>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nil"/>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绿色施工管理</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nil"/>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nil"/>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住宅全装修</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2</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nil"/>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nil"/>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综合管廊建设</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nil"/>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nil"/>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城市绿色照明</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nil"/>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nil"/>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节水型城市建设</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nil"/>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nil"/>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城市垃圾资源化利用</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3</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restart"/>
            <w:tcBorders>
              <w:top w:val="single" w:color="auto" w:sz="4" w:space="0"/>
              <w:left w:val="single" w:color="auto" w:sz="8"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配套能力建设完成情况</w:t>
            </w:r>
          </w:p>
        </w:tc>
        <w:tc>
          <w:tcPr>
            <w:tcW w:w="1100" w:type="dxa"/>
            <w:vMerge w:val="restart"/>
            <w:tcBorders>
              <w:top w:val="single" w:color="auto" w:sz="4" w:space="0"/>
              <w:left w:val="single" w:color="auto" w:sz="4"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查看配套能力建设相关材料</w:t>
            </w:r>
          </w:p>
        </w:tc>
        <w:tc>
          <w:tcPr>
            <w:tcW w:w="680" w:type="dxa"/>
            <w:vMerge w:val="restart"/>
            <w:tcBorders>
              <w:top w:val="nil"/>
              <w:left w:val="single" w:color="auto" w:sz="4"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15</w:t>
            </w: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成立领导班子和工作小组并正式发文</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600" w:hRule="atLeast"/>
        </w:trPr>
        <w:tc>
          <w:tcPr>
            <w:tcW w:w="1040" w:type="dxa"/>
            <w:vMerge w:val="continue"/>
            <w:tcBorders>
              <w:top w:val="single" w:color="auto" w:sz="4" w:space="0"/>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single" w:color="auto" w:sz="4" w:space="0"/>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领导小组有序开展工作（提供会议纪要等文件</w:t>
            </w:r>
            <w:r>
              <w:rPr>
                <w:rFonts w:eastAsia="方正仿宋_GBK"/>
                <w:color w:val="000000"/>
                <w:spacing w:val="-2"/>
                <w:szCs w:val="21"/>
              </w:rPr>
              <w:t>3</w:t>
            </w:r>
            <w:r>
              <w:rPr>
                <w:rFonts w:hint="eastAsia" w:eastAsia="方正仿宋_GBK"/>
                <w:color w:val="000000"/>
                <w:spacing w:val="-2"/>
                <w:szCs w:val="21"/>
              </w:rPr>
              <w:t>份及以上）</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4</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600" w:hRule="atLeast"/>
        </w:trPr>
        <w:tc>
          <w:tcPr>
            <w:tcW w:w="1040" w:type="dxa"/>
            <w:vMerge w:val="continue"/>
            <w:tcBorders>
              <w:top w:val="single" w:color="auto" w:sz="4" w:space="0"/>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single" w:color="auto" w:sz="4" w:space="0"/>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制定财政补助资金管理办法和项目管理办法并已备案</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4</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single" w:color="auto" w:sz="4" w:space="0"/>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single" w:color="auto" w:sz="4" w:space="0"/>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有技术支撑单位提供技术支持</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2</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restart"/>
            <w:tcBorders>
              <w:top w:val="nil"/>
              <w:left w:val="single" w:color="auto" w:sz="8"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资金使用及管理情况</w:t>
            </w:r>
          </w:p>
        </w:tc>
        <w:tc>
          <w:tcPr>
            <w:tcW w:w="1100" w:type="dxa"/>
            <w:vMerge w:val="restart"/>
            <w:tcBorders>
              <w:top w:val="nil"/>
              <w:left w:val="single" w:color="auto" w:sz="4"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查看资金使用管理情况报告</w:t>
            </w:r>
          </w:p>
        </w:tc>
        <w:tc>
          <w:tcPr>
            <w:tcW w:w="680" w:type="dxa"/>
            <w:vMerge w:val="restart"/>
            <w:tcBorders>
              <w:top w:val="nil"/>
              <w:left w:val="single" w:color="auto" w:sz="4" w:space="0"/>
              <w:bottom w:val="single" w:color="000000"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20</w:t>
            </w: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财政补助资金落实到位并按计划拨付</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配套资金落实到位并按计划拨付</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5</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319" w:hRule="atLeast"/>
        </w:trPr>
        <w:tc>
          <w:tcPr>
            <w:tcW w:w="1040" w:type="dxa"/>
            <w:vMerge w:val="continue"/>
            <w:tcBorders>
              <w:top w:val="nil"/>
              <w:left w:val="single" w:color="auto" w:sz="8"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110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680"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方正仿宋_GBK"/>
                <w:color w:val="000000"/>
                <w:spacing w:val="-2"/>
                <w:szCs w:val="21"/>
              </w:rPr>
            </w:pP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资金使用审核结论意见符合要求</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10</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402" w:hRule="atLeast"/>
        </w:trPr>
        <w:tc>
          <w:tcPr>
            <w:tcW w:w="1040" w:type="dxa"/>
            <w:tcBorders>
              <w:top w:val="nil"/>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创新性</w:t>
            </w:r>
          </w:p>
        </w:tc>
        <w:tc>
          <w:tcPr>
            <w:tcW w:w="110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查看相关材料</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10</w:t>
            </w:r>
          </w:p>
        </w:tc>
        <w:tc>
          <w:tcPr>
            <w:tcW w:w="4080"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示范区建设有亮点、特点和创新点</w:t>
            </w:r>
          </w:p>
        </w:tc>
        <w:tc>
          <w:tcPr>
            <w:tcW w:w="680" w:type="dxa"/>
            <w:tcBorders>
              <w:top w:val="nil"/>
              <w:left w:val="nil"/>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eastAsia="方正仿宋_GBK"/>
                <w:color w:val="000000"/>
                <w:spacing w:val="-2"/>
                <w:szCs w:val="21"/>
              </w:rPr>
              <w:t>10</w:t>
            </w:r>
          </w:p>
        </w:tc>
        <w:tc>
          <w:tcPr>
            <w:tcW w:w="781" w:type="dxa"/>
            <w:tcBorders>
              <w:top w:val="nil"/>
              <w:left w:val="nil"/>
              <w:bottom w:val="single" w:color="auto" w:sz="4" w:space="0"/>
              <w:right w:val="single" w:color="auto" w:sz="4"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c>
          <w:tcPr>
            <w:tcW w:w="701" w:type="dxa"/>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　</w:t>
            </w:r>
          </w:p>
        </w:tc>
      </w:tr>
      <w:tr>
        <w:tblPrEx>
          <w:tblCellMar>
            <w:top w:w="0" w:type="dxa"/>
            <w:left w:w="108" w:type="dxa"/>
            <w:bottom w:w="0" w:type="dxa"/>
            <w:right w:w="108" w:type="dxa"/>
          </w:tblCellMar>
        </w:tblPrEx>
        <w:trPr>
          <w:trHeight w:val="402" w:hRule="atLeast"/>
        </w:trPr>
        <w:tc>
          <w:tcPr>
            <w:tcW w:w="2140" w:type="dxa"/>
            <w:gridSpan w:val="2"/>
            <w:tcBorders>
              <w:top w:val="nil"/>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验收材料得分</w:t>
            </w:r>
          </w:p>
        </w:tc>
        <w:tc>
          <w:tcPr>
            <w:tcW w:w="6922" w:type="dxa"/>
            <w:gridSpan w:val="5"/>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r>
              <w:rPr>
                <w:rFonts w:hint="eastAsia" w:eastAsia="方正仿宋_GBK"/>
                <w:color w:val="000000"/>
                <w:spacing w:val="-2"/>
                <w:szCs w:val="21"/>
              </w:rPr>
              <w:t>（满分</w:t>
            </w:r>
            <w:r>
              <w:rPr>
                <w:rFonts w:eastAsia="方正仿宋_GBK"/>
                <w:color w:val="000000"/>
                <w:spacing w:val="-2"/>
                <w:szCs w:val="21"/>
              </w:rPr>
              <w:t>110</w:t>
            </w:r>
            <w:r>
              <w:rPr>
                <w:rFonts w:hint="eastAsia" w:eastAsia="方正仿宋_GBK"/>
                <w:color w:val="000000"/>
                <w:spacing w:val="-2"/>
                <w:szCs w:val="21"/>
              </w:rPr>
              <w:t>分）</w:t>
            </w:r>
          </w:p>
        </w:tc>
      </w:tr>
      <w:tr>
        <w:tblPrEx>
          <w:tblCellMar>
            <w:top w:w="0" w:type="dxa"/>
            <w:left w:w="108" w:type="dxa"/>
            <w:bottom w:w="0" w:type="dxa"/>
            <w:right w:w="108" w:type="dxa"/>
          </w:tblCellMar>
        </w:tblPrEx>
        <w:trPr>
          <w:trHeight w:val="402" w:hRule="atLeast"/>
        </w:trPr>
        <w:tc>
          <w:tcPr>
            <w:tcW w:w="2140" w:type="dxa"/>
            <w:gridSpan w:val="2"/>
            <w:tcBorders>
              <w:top w:val="nil"/>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总体评价</w:t>
            </w:r>
          </w:p>
        </w:tc>
        <w:tc>
          <w:tcPr>
            <w:tcW w:w="6922" w:type="dxa"/>
            <w:gridSpan w:val="5"/>
            <w:tcBorders>
              <w:top w:val="nil"/>
              <w:left w:val="nil"/>
              <w:bottom w:val="single" w:color="auto" w:sz="4" w:space="0"/>
              <w:right w:val="single" w:color="auto" w:sz="8" w:space="0"/>
            </w:tcBorders>
            <w:noWrap w:val="0"/>
            <w:vAlign w:val="center"/>
          </w:tcPr>
          <w:p>
            <w:pPr>
              <w:spacing w:line="240" w:lineRule="exact"/>
              <w:jc w:val="left"/>
              <w:rPr>
                <w:rFonts w:eastAsia="方正仿宋_GBK"/>
                <w:color w:val="000000"/>
                <w:spacing w:val="-2"/>
                <w:szCs w:val="21"/>
              </w:rPr>
            </w:pPr>
          </w:p>
        </w:tc>
      </w:tr>
      <w:tr>
        <w:tblPrEx>
          <w:tblCellMar>
            <w:top w:w="0" w:type="dxa"/>
            <w:left w:w="108" w:type="dxa"/>
            <w:bottom w:w="0" w:type="dxa"/>
            <w:right w:w="108" w:type="dxa"/>
          </w:tblCellMar>
        </w:tblPrEx>
        <w:trPr>
          <w:trHeight w:val="402" w:hRule="atLeast"/>
        </w:trPr>
        <w:tc>
          <w:tcPr>
            <w:tcW w:w="2140" w:type="dxa"/>
            <w:gridSpan w:val="2"/>
            <w:tcBorders>
              <w:top w:val="nil"/>
              <w:left w:val="single" w:color="auto" w:sz="8" w:space="0"/>
              <w:bottom w:val="single" w:color="auto" w:sz="4"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验收意见</w:t>
            </w:r>
          </w:p>
        </w:tc>
        <w:tc>
          <w:tcPr>
            <w:tcW w:w="6922" w:type="dxa"/>
            <w:gridSpan w:val="5"/>
            <w:tcBorders>
              <w:top w:val="nil"/>
              <w:left w:val="nil"/>
              <w:bottom w:val="single" w:color="auto" w:sz="4" w:space="0"/>
              <w:right w:val="single" w:color="auto" w:sz="8"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通过</w:t>
            </w:r>
            <w:r>
              <w:rPr>
                <w:rFonts w:eastAsia="方正仿宋_GBK"/>
                <w:color w:val="000000"/>
                <w:spacing w:val="-2"/>
                <w:szCs w:val="21"/>
              </w:rPr>
              <w:t xml:space="preserve">□                   </w:t>
            </w:r>
            <w:r>
              <w:rPr>
                <w:rFonts w:hint="eastAsia" w:eastAsia="方正仿宋_GBK"/>
                <w:color w:val="000000"/>
                <w:spacing w:val="-2"/>
                <w:szCs w:val="21"/>
              </w:rPr>
              <w:t>不通过</w:t>
            </w:r>
            <w:r>
              <w:rPr>
                <w:rFonts w:eastAsia="方正仿宋_GBK"/>
                <w:color w:val="000000"/>
                <w:spacing w:val="-2"/>
                <w:szCs w:val="21"/>
              </w:rPr>
              <w:t>□</w:t>
            </w:r>
          </w:p>
        </w:tc>
      </w:tr>
      <w:tr>
        <w:tblPrEx>
          <w:tblCellMar>
            <w:top w:w="0" w:type="dxa"/>
            <w:left w:w="108" w:type="dxa"/>
            <w:bottom w:w="0" w:type="dxa"/>
            <w:right w:w="108" w:type="dxa"/>
          </w:tblCellMar>
        </w:tblPrEx>
        <w:trPr>
          <w:trHeight w:val="402" w:hRule="atLeast"/>
        </w:trPr>
        <w:tc>
          <w:tcPr>
            <w:tcW w:w="2140" w:type="dxa"/>
            <w:gridSpan w:val="2"/>
            <w:tcBorders>
              <w:top w:val="nil"/>
              <w:left w:val="single" w:color="auto" w:sz="8" w:space="0"/>
              <w:bottom w:val="single" w:color="auto" w:sz="8" w:space="0"/>
              <w:right w:val="single" w:color="auto" w:sz="4" w:space="0"/>
            </w:tcBorders>
            <w:noWrap w:val="0"/>
            <w:vAlign w:val="center"/>
          </w:tcPr>
          <w:p>
            <w:pPr>
              <w:spacing w:line="240" w:lineRule="exact"/>
              <w:jc w:val="center"/>
              <w:rPr>
                <w:rFonts w:eastAsia="方正仿宋_GBK"/>
                <w:color w:val="000000"/>
                <w:spacing w:val="-2"/>
                <w:szCs w:val="21"/>
              </w:rPr>
            </w:pPr>
            <w:r>
              <w:rPr>
                <w:rFonts w:hint="eastAsia" w:eastAsia="方正仿宋_GBK"/>
                <w:color w:val="000000"/>
                <w:spacing w:val="-2"/>
                <w:szCs w:val="21"/>
              </w:rPr>
              <w:t>专家签名</w:t>
            </w:r>
          </w:p>
        </w:tc>
        <w:tc>
          <w:tcPr>
            <w:tcW w:w="6922" w:type="dxa"/>
            <w:gridSpan w:val="5"/>
            <w:tcBorders>
              <w:top w:val="nil"/>
              <w:left w:val="nil"/>
              <w:bottom w:val="single" w:color="auto" w:sz="8" w:space="0"/>
              <w:right w:val="single" w:color="auto" w:sz="8" w:space="0"/>
            </w:tcBorders>
            <w:noWrap w:val="0"/>
            <w:vAlign w:val="center"/>
          </w:tcPr>
          <w:p>
            <w:pPr>
              <w:spacing w:line="240" w:lineRule="exact"/>
              <w:jc w:val="center"/>
              <w:rPr>
                <w:rFonts w:eastAsia="方正仿宋_GBK"/>
                <w:color w:val="000000"/>
                <w:spacing w:val="-2"/>
                <w:szCs w:val="21"/>
              </w:rPr>
            </w:pPr>
          </w:p>
        </w:tc>
      </w:tr>
    </w:tbl>
    <w:p>
      <w:pPr>
        <w:rPr>
          <w:color w:val="000000"/>
          <w:spacing w:val="-2"/>
        </w:rPr>
      </w:pPr>
      <w:r>
        <w:rPr>
          <w:color w:val="000000"/>
          <w:spacing w:val="-2"/>
        </w:rPr>
        <w:br w:type="column"/>
      </w:r>
    </w:p>
    <w:tbl>
      <w:tblPr>
        <w:tblStyle w:val="12"/>
        <w:tblW w:w="0" w:type="auto"/>
        <w:tblInd w:w="6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4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848" w:type="dxa"/>
            <w:tcBorders>
              <w:top w:val="single" w:color="auto" w:sz="8" w:space="0"/>
              <w:left w:val="single" w:color="auto" w:sz="8" w:space="0"/>
              <w:bottom w:val="single" w:color="auto" w:sz="4" w:space="0"/>
              <w:right w:val="single" w:color="auto" w:sz="8" w:space="0"/>
            </w:tcBorders>
            <w:noWrap w:val="0"/>
            <w:vAlign w:val="center"/>
          </w:tcPr>
          <w:p>
            <w:pPr>
              <w:jc w:val="center"/>
              <w:rPr>
                <w:rFonts w:ascii="Times New Roman" w:hAnsi="Times New Roman" w:eastAsia="方正黑体_GBK"/>
                <w:color w:val="000000"/>
                <w:spacing w:val="-2"/>
                <w:szCs w:val="21"/>
              </w:rPr>
            </w:pPr>
            <w:r>
              <w:rPr>
                <w:rFonts w:hint="eastAsia" w:ascii="Times New Roman" w:hAnsi="Times New Roman" w:eastAsia="方正黑体_GBK"/>
                <w:color w:val="000000"/>
                <w:spacing w:val="-2"/>
                <w:szCs w:val="21"/>
              </w:rPr>
              <w:t>验  收  意  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574" w:hRule="atLeast"/>
        </w:trPr>
        <w:tc>
          <w:tcPr>
            <w:tcW w:w="8848" w:type="dxa"/>
            <w:tcBorders>
              <w:top w:val="single" w:color="auto" w:sz="4" w:space="0"/>
              <w:left w:val="single" w:color="auto" w:sz="8" w:space="0"/>
              <w:bottom w:val="single" w:color="auto" w:sz="8" w:space="0"/>
              <w:right w:val="single" w:color="auto" w:sz="8" w:space="0"/>
            </w:tcBorders>
            <w:noWrap w:val="0"/>
            <w:vAlign w:val="top"/>
          </w:tcPr>
          <w:p>
            <w:pPr>
              <w:rPr>
                <w:rFonts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b/>
                <w:color w:val="000000"/>
                <w:spacing w:val="-2"/>
                <w:szCs w:val="21"/>
              </w:rPr>
            </w:pPr>
          </w:p>
          <w:p>
            <w:pPr>
              <w:rPr>
                <w:rFonts w:hint="eastAsia" w:ascii="Times New Roman" w:hAnsi="Times New Roman"/>
                <w:color w:val="000000"/>
                <w:spacing w:val="-2"/>
                <w:szCs w:val="21"/>
              </w:rPr>
            </w:pPr>
          </w:p>
          <w:p>
            <w:pPr>
              <w:rPr>
                <w:rFonts w:hint="eastAsia" w:ascii="Times New Roman" w:hAnsi="Times New Roman"/>
                <w:color w:val="000000"/>
                <w:spacing w:val="-2"/>
                <w:szCs w:val="21"/>
              </w:rPr>
            </w:pPr>
            <w:r>
              <w:rPr>
                <w:rFonts w:hint="eastAsia" w:ascii="Times New Roman" w:hAnsi="Times New Roman"/>
                <w:color w:val="000000"/>
                <w:spacing w:val="-2"/>
                <w:szCs w:val="21"/>
              </w:rPr>
              <w:t>主任委员：</w:t>
            </w:r>
            <w:r>
              <w:rPr>
                <w:rFonts w:hint="eastAsia" w:ascii="Times New Roman" w:hAnsi="Times New Roman"/>
                <w:color w:val="000000"/>
                <w:spacing w:val="-2"/>
                <w:szCs w:val="21"/>
                <w:u w:val="single"/>
              </w:rPr>
              <w:t xml:space="preserve">               </w:t>
            </w:r>
            <w:r>
              <w:rPr>
                <w:rFonts w:hint="eastAsia" w:ascii="Times New Roman" w:hAnsi="Times New Roman"/>
                <w:color w:val="000000"/>
                <w:spacing w:val="-2"/>
                <w:szCs w:val="21"/>
              </w:rPr>
              <w:t xml:space="preserve">  副主任委员：</w:t>
            </w:r>
            <w:r>
              <w:rPr>
                <w:rFonts w:hint="eastAsia" w:ascii="Times New Roman" w:hAnsi="Times New Roman"/>
                <w:color w:val="000000"/>
                <w:spacing w:val="-2"/>
                <w:szCs w:val="21"/>
                <w:u w:val="single"/>
              </w:rPr>
              <w:t xml:space="preserve">               </w:t>
            </w:r>
            <w:r>
              <w:rPr>
                <w:rFonts w:hint="eastAsia" w:ascii="Times New Roman" w:hAnsi="Times New Roman"/>
                <w:color w:val="000000"/>
                <w:spacing w:val="-2"/>
                <w:szCs w:val="21"/>
              </w:rPr>
              <w:t xml:space="preserve">  日期：</w:t>
            </w:r>
          </w:p>
          <w:p>
            <w:pPr>
              <w:ind w:left="3591" w:leftChars="1710"/>
              <w:rPr>
                <w:rFonts w:hint="eastAsia" w:ascii="Times New Roman" w:hAnsi="Times New Roman"/>
                <w:color w:val="000000"/>
                <w:spacing w:val="-2"/>
                <w:szCs w:val="21"/>
                <w:u w:val="single"/>
              </w:rPr>
            </w:pPr>
          </w:p>
          <w:p>
            <w:pPr>
              <w:ind w:left="3591" w:leftChars="1710"/>
              <w:rPr>
                <w:rFonts w:ascii="Times New Roman" w:hAnsi="Times New Roman"/>
                <w:b/>
                <w:color w:val="000000"/>
                <w:spacing w:val="-2"/>
                <w:szCs w:val="21"/>
              </w:rPr>
            </w:pPr>
          </w:p>
        </w:tc>
      </w:tr>
    </w:tbl>
    <w:p>
      <w:pPr>
        <w:widowControl/>
        <w:jc w:val="left"/>
        <w:rPr>
          <w:b/>
          <w:bCs/>
          <w:color w:val="000000"/>
          <w:spacing w:val="-2"/>
          <w:sz w:val="30"/>
          <w:szCs w:val="30"/>
        </w:rPr>
        <w:sectPr>
          <w:pgSz w:w="11905" w:h="16838"/>
          <w:pgMar w:top="1701" w:right="1587" w:bottom="1701" w:left="1587" w:header="850" w:footer="1361" w:gutter="0"/>
          <w:paperSrc w:first="4" w:other="4"/>
          <w:cols w:space="720" w:num="1"/>
        </w:sectPr>
      </w:pPr>
    </w:p>
    <w:p>
      <w:pPr>
        <w:pStyle w:val="26"/>
        <w:spacing w:after="120" w:afterLines="50"/>
        <w:jc w:val="center"/>
        <w:rPr>
          <w:rFonts w:ascii="Times New Roman" w:eastAsia="方正黑体_GBK"/>
          <w:bCs/>
          <w:color w:val="000000"/>
          <w:spacing w:val="-2"/>
          <w:sz w:val="28"/>
          <w:szCs w:val="28"/>
        </w:rPr>
      </w:pPr>
      <w:r>
        <w:rPr>
          <w:rFonts w:hint="eastAsia" w:ascii="Times New Roman" w:eastAsia="方正黑体_GBK"/>
          <w:bCs/>
          <w:color w:val="000000"/>
          <w:spacing w:val="-2"/>
          <w:sz w:val="28"/>
          <w:szCs w:val="28"/>
        </w:rPr>
        <w:t>验收委员会名单</w:t>
      </w:r>
    </w:p>
    <w:tbl>
      <w:tblPr>
        <w:tblStyle w:val="12"/>
        <w:tblW w:w="0" w:type="auto"/>
        <w:tblInd w:w="37"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97"/>
        <w:gridCol w:w="1286"/>
        <w:gridCol w:w="1630"/>
        <w:gridCol w:w="3707"/>
        <w:gridCol w:w="1760"/>
        <w:gridCol w:w="1760"/>
        <w:gridCol w:w="1494"/>
        <w:gridCol w:w="136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1" w:hRule="exact"/>
        </w:trPr>
        <w:tc>
          <w:tcPr>
            <w:tcW w:w="697" w:type="dxa"/>
            <w:tcBorders>
              <w:top w:val="single" w:color="auto" w:sz="8" w:space="0"/>
              <w:left w:val="single" w:color="auto" w:sz="8" w:space="0"/>
              <w:bottom w:val="single" w:color="auto" w:sz="4" w:space="0"/>
              <w:right w:val="single" w:color="auto" w:sz="4" w:space="0"/>
            </w:tcBorders>
            <w:noWrap w:val="0"/>
            <w:tcMar>
              <w:top w:w="0" w:type="dxa"/>
              <w:left w:w="57" w:type="dxa"/>
              <w:bottom w:w="0" w:type="dxa"/>
              <w:right w:w="57" w:type="dxa"/>
            </w:tcMar>
            <w:vAlign w:val="center"/>
          </w:tcPr>
          <w:p>
            <w:pPr>
              <w:pStyle w:val="26"/>
              <w:jc w:val="center"/>
              <w:rPr>
                <w:rFonts w:ascii="Times New Roman" w:eastAsia="方正黑体_GBK"/>
                <w:color w:val="000000"/>
                <w:spacing w:val="-2"/>
                <w:szCs w:val="21"/>
              </w:rPr>
            </w:pPr>
            <w:r>
              <w:rPr>
                <w:rFonts w:hint="eastAsia" w:ascii="Times New Roman" w:eastAsia="方正黑体_GBK"/>
                <w:color w:val="000000"/>
                <w:spacing w:val="-2"/>
                <w:szCs w:val="21"/>
              </w:rPr>
              <w:t>序号</w:t>
            </w:r>
          </w:p>
        </w:tc>
        <w:tc>
          <w:tcPr>
            <w:tcW w:w="1286" w:type="dxa"/>
            <w:tcBorders>
              <w:top w:val="single" w:color="auto" w:sz="8"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spacing w:line="32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验收委员</w:t>
            </w:r>
          </w:p>
          <w:p>
            <w:pPr>
              <w:pStyle w:val="26"/>
              <w:spacing w:line="32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会职务</w:t>
            </w:r>
          </w:p>
        </w:tc>
        <w:tc>
          <w:tcPr>
            <w:tcW w:w="1630" w:type="dxa"/>
            <w:tcBorders>
              <w:top w:val="single" w:color="auto" w:sz="8" w:space="0"/>
              <w:left w:val="single" w:color="auto" w:sz="4" w:space="0"/>
              <w:bottom w:val="single" w:color="auto" w:sz="4" w:space="0"/>
              <w:right w:val="single" w:color="auto" w:sz="4" w:space="0"/>
            </w:tcBorders>
            <w:noWrap w:val="0"/>
            <w:vAlign w:val="center"/>
          </w:tcPr>
          <w:p>
            <w:pPr>
              <w:pStyle w:val="26"/>
              <w:jc w:val="center"/>
              <w:rPr>
                <w:rFonts w:ascii="Times New Roman" w:eastAsia="方正黑体_GBK"/>
                <w:color w:val="000000"/>
                <w:spacing w:val="-2"/>
                <w:szCs w:val="21"/>
              </w:rPr>
            </w:pPr>
            <w:r>
              <w:rPr>
                <w:rFonts w:hint="eastAsia" w:ascii="Times New Roman" w:eastAsia="方正黑体_GBK"/>
                <w:color w:val="000000"/>
                <w:spacing w:val="-2"/>
                <w:szCs w:val="21"/>
              </w:rPr>
              <w:t>姓  名</w:t>
            </w:r>
          </w:p>
        </w:tc>
        <w:tc>
          <w:tcPr>
            <w:tcW w:w="3707" w:type="dxa"/>
            <w:tcBorders>
              <w:top w:val="single" w:color="auto" w:sz="8" w:space="0"/>
              <w:left w:val="single" w:color="auto" w:sz="4" w:space="0"/>
              <w:bottom w:val="single" w:color="auto" w:sz="4" w:space="0"/>
              <w:right w:val="single" w:color="auto" w:sz="4" w:space="0"/>
            </w:tcBorders>
            <w:noWrap w:val="0"/>
            <w:vAlign w:val="center"/>
          </w:tcPr>
          <w:p>
            <w:pPr>
              <w:pStyle w:val="26"/>
              <w:jc w:val="center"/>
              <w:rPr>
                <w:rFonts w:ascii="Times New Roman" w:eastAsia="方正黑体_GBK"/>
                <w:color w:val="000000"/>
                <w:spacing w:val="-2"/>
                <w:szCs w:val="21"/>
              </w:rPr>
            </w:pPr>
            <w:r>
              <w:rPr>
                <w:rFonts w:hint="eastAsia" w:ascii="Times New Roman" w:eastAsia="方正黑体_GBK"/>
                <w:color w:val="000000"/>
                <w:spacing w:val="-2"/>
                <w:szCs w:val="21"/>
              </w:rPr>
              <w:t>工   作   单   位</w:t>
            </w:r>
          </w:p>
        </w:tc>
        <w:tc>
          <w:tcPr>
            <w:tcW w:w="1760" w:type="dxa"/>
            <w:tcBorders>
              <w:top w:val="single" w:color="auto" w:sz="8" w:space="0"/>
              <w:left w:val="single" w:color="auto" w:sz="4" w:space="0"/>
              <w:bottom w:val="single" w:color="auto" w:sz="4" w:space="0"/>
              <w:right w:val="single" w:color="auto" w:sz="4" w:space="0"/>
            </w:tcBorders>
            <w:noWrap w:val="0"/>
            <w:vAlign w:val="center"/>
          </w:tcPr>
          <w:p>
            <w:pPr>
              <w:pStyle w:val="26"/>
              <w:jc w:val="center"/>
              <w:rPr>
                <w:rFonts w:ascii="Times New Roman" w:eastAsia="方正黑体_GBK"/>
                <w:color w:val="000000"/>
                <w:spacing w:val="-2"/>
                <w:szCs w:val="21"/>
              </w:rPr>
            </w:pPr>
            <w:r>
              <w:rPr>
                <w:rFonts w:hint="eastAsia" w:ascii="Times New Roman" w:eastAsia="方正黑体_GBK"/>
                <w:color w:val="000000"/>
                <w:spacing w:val="-2"/>
                <w:szCs w:val="21"/>
              </w:rPr>
              <w:t xml:space="preserve">所 学 </w:t>
            </w:r>
          </w:p>
          <w:p>
            <w:pPr>
              <w:pStyle w:val="26"/>
              <w:jc w:val="center"/>
              <w:rPr>
                <w:rFonts w:ascii="Times New Roman" w:eastAsia="方正黑体_GBK"/>
                <w:color w:val="000000"/>
                <w:spacing w:val="-2"/>
                <w:szCs w:val="21"/>
              </w:rPr>
            </w:pPr>
            <w:r>
              <w:rPr>
                <w:rFonts w:hint="eastAsia" w:ascii="Times New Roman" w:eastAsia="方正黑体_GBK"/>
                <w:color w:val="000000"/>
                <w:spacing w:val="-2"/>
                <w:szCs w:val="21"/>
              </w:rPr>
              <w:t>专 业</w:t>
            </w:r>
          </w:p>
        </w:tc>
        <w:tc>
          <w:tcPr>
            <w:tcW w:w="1760" w:type="dxa"/>
            <w:tcBorders>
              <w:top w:val="single" w:color="auto" w:sz="8" w:space="0"/>
              <w:left w:val="single" w:color="auto" w:sz="4" w:space="0"/>
              <w:bottom w:val="single" w:color="auto" w:sz="4" w:space="0"/>
              <w:right w:val="single" w:color="auto" w:sz="4" w:space="0"/>
            </w:tcBorders>
            <w:noWrap w:val="0"/>
            <w:vAlign w:val="center"/>
          </w:tcPr>
          <w:p>
            <w:pPr>
              <w:pStyle w:val="26"/>
              <w:jc w:val="center"/>
              <w:rPr>
                <w:rFonts w:ascii="Times New Roman" w:eastAsia="方正黑体_GBK"/>
                <w:color w:val="000000"/>
                <w:spacing w:val="-2"/>
                <w:szCs w:val="21"/>
              </w:rPr>
            </w:pPr>
            <w:r>
              <w:rPr>
                <w:rFonts w:hint="eastAsia" w:ascii="Times New Roman" w:eastAsia="方正黑体_GBK"/>
                <w:color w:val="000000"/>
                <w:spacing w:val="-2"/>
                <w:szCs w:val="21"/>
              </w:rPr>
              <w:t>现从事专业</w:t>
            </w:r>
          </w:p>
        </w:tc>
        <w:tc>
          <w:tcPr>
            <w:tcW w:w="1494" w:type="dxa"/>
            <w:tcBorders>
              <w:top w:val="single" w:color="auto" w:sz="8"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jc w:val="center"/>
              <w:rPr>
                <w:rFonts w:ascii="Times New Roman" w:eastAsia="方正黑体_GBK"/>
                <w:color w:val="000000"/>
                <w:spacing w:val="-2"/>
                <w:szCs w:val="21"/>
              </w:rPr>
            </w:pPr>
            <w:r>
              <w:rPr>
                <w:rFonts w:hint="eastAsia" w:ascii="Times New Roman" w:eastAsia="方正黑体_GBK"/>
                <w:color w:val="000000"/>
                <w:spacing w:val="-2"/>
                <w:szCs w:val="21"/>
              </w:rPr>
              <w:t>职称职务</w:t>
            </w:r>
          </w:p>
        </w:tc>
        <w:tc>
          <w:tcPr>
            <w:tcW w:w="1366" w:type="dxa"/>
            <w:tcBorders>
              <w:top w:val="single" w:color="auto" w:sz="8" w:space="0"/>
              <w:left w:val="single" w:color="auto" w:sz="4" w:space="0"/>
              <w:bottom w:val="single" w:color="auto" w:sz="4" w:space="0"/>
              <w:right w:val="single" w:color="auto" w:sz="8" w:space="0"/>
            </w:tcBorders>
            <w:noWrap w:val="0"/>
            <w:vAlign w:val="center"/>
          </w:tcPr>
          <w:p>
            <w:pPr>
              <w:pStyle w:val="26"/>
              <w:jc w:val="center"/>
              <w:rPr>
                <w:rFonts w:ascii="Times New Roman" w:eastAsia="方正黑体_GBK"/>
                <w:color w:val="000000"/>
                <w:spacing w:val="-2"/>
                <w:szCs w:val="21"/>
              </w:rPr>
            </w:pPr>
            <w:r>
              <w:rPr>
                <w:rFonts w:hint="eastAsia" w:ascii="Times New Roman" w:eastAsia="方正黑体_GBK"/>
                <w:color w:val="000000"/>
                <w:spacing w:val="-2"/>
                <w:szCs w:val="21"/>
              </w:rPr>
              <w:t>签  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697" w:type="dxa"/>
            <w:tcBorders>
              <w:top w:val="single" w:color="auto" w:sz="4" w:space="0"/>
              <w:left w:val="single" w:color="auto" w:sz="8" w:space="0"/>
              <w:bottom w:val="single" w:color="auto" w:sz="4" w:space="0"/>
              <w:right w:val="single" w:color="auto" w:sz="4" w:space="0"/>
            </w:tcBorders>
            <w:noWrap w:val="0"/>
            <w:vAlign w:val="center"/>
          </w:tcPr>
          <w:p>
            <w:pPr>
              <w:pStyle w:val="26"/>
              <w:jc w:val="center"/>
              <w:rPr>
                <w:rFonts w:eastAsia="方正仿宋_GBK"/>
                <w:color w:val="000000"/>
                <w:spacing w:val="-2"/>
                <w:szCs w:val="21"/>
              </w:rPr>
            </w:pPr>
            <w:r>
              <w:rPr>
                <w:rFonts w:eastAsia="方正仿宋_GBK"/>
                <w:color w:val="000000"/>
                <w:spacing w:val="-2"/>
                <w:szCs w:val="21"/>
              </w:rPr>
              <w:t>1</w:t>
            </w:r>
          </w:p>
        </w:tc>
        <w:tc>
          <w:tcPr>
            <w:tcW w:w="1286"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63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3707"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494" w:type="dxa"/>
            <w:tcBorders>
              <w:top w:val="single" w:color="auto" w:sz="4"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jc w:val="center"/>
              <w:rPr>
                <w:rFonts w:eastAsia="方正仿宋_GBK"/>
                <w:color w:val="000000"/>
                <w:spacing w:val="-2"/>
                <w:szCs w:val="21"/>
              </w:rPr>
            </w:pPr>
          </w:p>
        </w:tc>
        <w:tc>
          <w:tcPr>
            <w:tcW w:w="1366" w:type="dxa"/>
            <w:tcBorders>
              <w:top w:val="single" w:color="auto" w:sz="4" w:space="0"/>
              <w:left w:val="single" w:color="auto" w:sz="4" w:space="0"/>
              <w:bottom w:val="single" w:color="auto" w:sz="4" w:space="0"/>
              <w:right w:val="single" w:color="auto" w:sz="8" w:space="0"/>
            </w:tcBorders>
            <w:noWrap w:val="0"/>
            <w:vAlign w:val="top"/>
          </w:tcPr>
          <w:p>
            <w:pPr>
              <w:pStyle w:val="26"/>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697" w:type="dxa"/>
            <w:tcBorders>
              <w:top w:val="single" w:color="auto" w:sz="4" w:space="0"/>
              <w:left w:val="single" w:color="auto" w:sz="8" w:space="0"/>
              <w:bottom w:val="single" w:color="auto" w:sz="4" w:space="0"/>
              <w:right w:val="single" w:color="auto" w:sz="4" w:space="0"/>
            </w:tcBorders>
            <w:noWrap w:val="0"/>
            <w:vAlign w:val="center"/>
          </w:tcPr>
          <w:p>
            <w:pPr>
              <w:pStyle w:val="26"/>
              <w:jc w:val="center"/>
              <w:rPr>
                <w:rFonts w:eastAsia="方正仿宋_GBK"/>
                <w:color w:val="000000"/>
                <w:spacing w:val="-2"/>
                <w:szCs w:val="21"/>
              </w:rPr>
            </w:pPr>
            <w:r>
              <w:rPr>
                <w:rFonts w:eastAsia="方正仿宋_GBK"/>
                <w:color w:val="000000"/>
                <w:spacing w:val="-2"/>
                <w:szCs w:val="21"/>
              </w:rPr>
              <w:t>2</w:t>
            </w:r>
          </w:p>
        </w:tc>
        <w:tc>
          <w:tcPr>
            <w:tcW w:w="1286"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63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3707"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494" w:type="dxa"/>
            <w:tcBorders>
              <w:top w:val="single" w:color="auto" w:sz="4"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jc w:val="center"/>
              <w:rPr>
                <w:rFonts w:eastAsia="方正仿宋_GBK"/>
                <w:color w:val="000000"/>
                <w:spacing w:val="-2"/>
                <w:szCs w:val="21"/>
              </w:rPr>
            </w:pPr>
          </w:p>
        </w:tc>
        <w:tc>
          <w:tcPr>
            <w:tcW w:w="1366" w:type="dxa"/>
            <w:tcBorders>
              <w:top w:val="single" w:color="auto" w:sz="4" w:space="0"/>
              <w:left w:val="single" w:color="auto" w:sz="4" w:space="0"/>
              <w:bottom w:val="single" w:color="auto" w:sz="4" w:space="0"/>
              <w:right w:val="single" w:color="auto" w:sz="8" w:space="0"/>
            </w:tcBorders>
            <w:noWrap w:val="0"/>
            <w:vAlign w:val="top"/>
          </w:tcPr>
          <w:p>
            <w:pPr>
              <w:pStyle w:val="26"/>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697" w:type="dxa"/>
            <w:tcBorders>
              <w:top w:val="single" w:color="auto" w:sz="4" w:space="0"/>
              <w:left w:val="single" w:color="auto" w:sz="8" w:space="0"/>
              <w:bottom w:val="single" w:color="auto" w:sz="4" w:space="0"/>
              <w:right w:val="single" w:color="auto" w:sz="4" w:space="0"/>
            </w:tcBorders>
            <w:noWrap w:val="0"/>
            <w:vAlign w:val="center"/>
          </w:tcPr>
          <w:p>
            <w:pPr>
              <w:pStyle w:val="26"/>
              <w:jc w:val="center"/>
              <w:rPr>
                <w:rFonts w:eastAsia="方正仿宋_GBK"/>
                <w:color w:val="000000"/>
                <w:spacing w:val="-2"/>
                <w:szCs w:val="21"/>
              </w:rPr>
            </w:pPr>
            <w:r>
              <w:rPr>
                <w:rFonts w:eastAsia="方正仿宋_GBK"/>
                <w:color w:val="000000"/>
                <w:spacing w:val="-2"/>
                <w:szCs w:val="21"/>
              </w:rPr>
              <w:t>3</w:t>
            </w:r>
          </w:p>
        </w:tc>
        <w:tc>
          <w:tcPr>
            <w:tcW w:w="1286"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63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3707"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494" w:type="dxa"/>
            <w:tcBorders>
              <w:top w:val="single" w:color="auto" w:sz="4"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jc w:val="center"/>
              <w:rPr>
                <w:rFonts w:eastAsia="方正仿宋_GBK"/>
                <w:color w:val="000000"/>
                <w:spacing w:val="-2"/>
                <w:szCs w:val="21"/>
              </w:rPr>
            </w:pPr>
          </w:p>
        </w:tc>
        <w:tc>
          <w:tcPr>
            <w:tcW w:w="1366" w:type="dxa"/>
            <w:tcBorders>
              <w:top w:val="single" w:color="auto" w:sz="4" w:space="0"/>
              <w:left w:val="single" w:color="auto" w:sz="4" w:space="0"/>
              <w:bottom w:val="single" w:color="auto" w:sz="4" w:space="0"/>
              <w:right w:val="single" w:color="auto" w:sz="8" w:space="0"/>
            </w:tcBorders>
            <w:noWrap w:val="0"/>
            <w:vAlign w:val="top"/>
          </w:tcPr>
          <w:p>
            <w:pPr>
              <w:pStyle w:val="26"/>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697" w:type="dxa"/>
            <w:tcBorders>
              <w:top w:val="single" w:color="auto" w:sz="4" w:space="0"/>
              <w:left w:val="single" w:color="auto" w:sz="8" w:space="0"/>
              <w:bottom w:val="single" w:color="auto" w:sz="4" w:space="0"/>
              <w:right w:val="single" w:color="auto" w:sz="4" w:space="0"/>
            </w:tcBorders>
            <w:noWrap w:val="0"/>
            <w:vAlign w:val="center"/>
          </w:tcPr>
          <w:p>
            <w:pPr>
              <w:pStyle w:val="26"/>
              <w:jc w:val="center"/>
              <w:rPr>
                <w:rFonts w:eastAsia="方正仿宋_GBK"/>
                <w:color w:val="000000"/>
                <w:spacing w:val="-2"/>
                <w:szCs w:val="21"/>
              </w:rPr>
            </w:pPr>
            <w:r>
              <w:rPr>
                <w:rFonts w:eastAsia="方正仿宋_GBK"/>
                <w:color w:val="000000"/>
                <w:spacing w:val="-2"/>
                <w:szCs w:val="21"/>
              </w:rPr>
              <w:t>4</w:t>
            </w:r>
          </w:p>
        </w:tc>
        <w:tc>
          <w:tcPr>
            <w:tcW w:w="1286"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63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3707"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494" w:type="dxa"/>
            <w:tcBorders>
              <w:top w:val="single" w:color="auto" w:sz="4"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jc w:val="center"/>
              <w:rPr>
                <w:rFonts w:eastAsia="方正仿宋_GBK"/>
                <w:color w:val="000000"/>
                <w:spacing w:val="-2"/>
                <w:szCs w:val="21"/>
              </w:rPr>
            </w:pPr>
          </w:p>
        </w:tc>
        <w:tc>
          <w:tcPr>
            <w:tcW w:w="1366" w:type="dxa"/>
            <w:tcBorders>
              <w:top w:val="single" w:color="auto" w:sz="4" w:space="0"/>
              <w:left w:val="single" w:color="auto" w:sz="4" w:space="0"/>
              <w:bottom w:val="single" w:color="auto" w:sz="4" w:space="0"/>
              <w:right w:val="single" w:color="auto" w:sz="8" w:space="0"/>
            </w:tcBorders>
            <w:noWrap w:val="0"/>
            <w:vAlign w:val="top"/>
          </w:tcPr>
          <w:p>
            <w:pPr>
              <w:pStyle w:val="26"/>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697" w:type="dxa"/>
            <w:tcBorders>
              <w:top w:val="single" w:color="auto" w:sz="4" w:space="0"/>
              <w:left w:val="single" w:color="auto" w:sz="8" w:space="0"/>
              <w:bottom w:val="single" w:color="auto" w:sz="4" w:space="0"/>
              <w:right w:val="single" w:color="auto" w:sz="4" w:space="0"/>
            </w:tcBorders>
            <w:noWrap w:val="0"/>
            <w:vAlign w:val="center"/>
          </w:tcPr>
          <w:p>
            <w:pPr>
              <w:pStyle w:val="26"/>
              <w:jc w:val="center"/>
              <w:rPr>
                <w:rFonts w:eastAsia="方正仿宋_GBK"/>
                <w:color w:val="000000"/>
                <w:spacing w:val="-2"/>
                <w:szCs w:val="21"/>
              </w:rPr>
            </w:pPr>
            <w:r>
              <w:rPr>
                <w:rFonts w:eastAsia="方正仿宋_GBK"/>
                <w:color w:val="000000"/>
                <w:spacing w:val="-2"/>
                <w:szCs w:val="21"/>
              </w:rPr>
              <w:t>5</w:t>
            </w:r>
          </w:p>
        </w:tc>
        <w:tc>
          <w:tcPr>
            <w:tcW w:w="1286"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63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3707"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494" w:type="dxa"/>
            <w:tcBorders>
              <w:top w:val="single" w:color="auto" w:sz="4"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jc w:val="center"/>
              <w:rPr>
                <w:rFonts w:eastAsia="方正仿宋_GBK"/>
                <w:color w:val="000000"/>
                <w:spacing w:val="-2"/>
                <w:szCs w:val="21"/>
              </w:rPr>
            </w:pPr>
          </w:p>
        </w:tc>
        <w:tc>
          <w:tcPr>
            <w:tcW w:w="1366" w:type="dxa"/>
            <w:tcBorders>
              <w:top w:val="single" w:color="auto" w:sz="4" w:space="0"/>
              <w:left w:val="single" w:color="auto" w:sz="4" w:space="0"/>
              <w:bottom w:val="single" w:color="auto" w:sz="4" w:space="0"/>
              <w:right w:val="single" w:color="auto" w:sz="8" w:space="0"/>
            </w:tcBorders>
            <w:noWrap w:val="0"/>
            <w:vAlign w:val="top"/>
          </w:tcPr>
          <w:p>
            <w:pPr>
              <w:pStyle w:val="26"/>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697" w:type="dxa"/>
            <w:tcBorders>
              <w:top w:val="single" w:color="auto" w:sz="4" w:space="0"/>
              <w:left w:val="single" w:color="auto" w:sz="8" w:space="0"/>
              <w:bottom w:val="single" w:color="auto" w:sz="4" w:space="0"/>
              <w:right w:val="single" w:color="auto" w:sz="4" w:space="0"/>
            </w:tcBorders>
            <w:noWrap w:val="0"/>
            <w:vAlign w:val="center"/>
          </w:tcPr>
          <w:p>
            <w:pPr>
              <w:pStyle w:val="26"/>
              <w:jc w:val="center"/>
              <w:rPr>
                <w:rFonts w:eastAsia="方正仿宋_GBK"/>
                <w:color w:val="000000"/>
                <w:spacing w:val="-2"/>
                <w:szCs w:val="21"/>
              </w:rPr>
            </w:pPr>
            <w:r>
              <w:rPr>
                <w:rFonts w:eastAsia="方正仿宋_GBK"/>
                <w:color w:val="000000"/>
                <w:spacing w:val="-2"/>
                <w:szCs w:val="21"/>
              </w:rPr>
              <w:t>6</w:t>
            </w:r>
          </w:p>
        </w:tc>
        <w:tc>
          <w:tcPr>
            <w:tcW w:w="1286"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63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3707"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494" w:type="dxa"/>
            <w:tcBorders>
              <w:top w:val="single" w:color="auto" w:sz="4"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jc w:val="center"/>
              <w:rPr>
                <w:rFonts w:eastAsia="方正仿宋_GBK"/>
                <w:color w:val="000000"/>
                <w:spacing w:val="-2"/>
                <w:szCs w:val="21"/>
              </w:rPr>
            </w:pPr>
          </w:p>
        </w:tc>
        <w:tc>
          <w:tcPr>
            <w:tcW w:w="1366" w:type="dxa"/>
            <w:tcBorders>
              <w:top w:val="single" w:color="auto" w:sz="4" w:space="0"/>
              <w:left w:val="single" w:color="auto" w:sz="4" w:space="0"/>
              <w:bottom w:val="single" w:color="auto" w:sz="4" w:space="0"/>
              <w:right w:val="single" w:color="auto" w:sz="8" w:space="0"/>
            </w:tcBorders>
            <w:noWrap w:val="0"/>
            <w:vAlign w:val="top"/>
          </w:tcPr>
          <w:p>
            <w:pPr>
              <w:pStyle w:val="26"/>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697" w:type="dxa"/>
            <w:tcBorders>
              <w:top w:val="single" w:color="auto" w:sz="4" w:space="0"/>
              <w:left w:val="single" w:color="auto" w:sz="8" w:space="0"/>
              <w:bottom w:val="single" w:color="auto" w:sz="4" w:space="0"/>
              <w:right w:val="single" w:color="auto" w:sz="4" w:space="0"/>
            </w:tcBorders>
            <w:noWrap w:val="0"/>
            <w:vAlign w:val="center"/>
          </w:tcPr>
          <w:p>
            <w:pPr>
              <w:pStyle w:val="26"/>
              <w:jc w:val="center"/>
              <w:rPr>
                <w:rFonts w:eastAsia="方正仿宋_GBK"/>
                <w:color w:val="000000"/>
                <w:spacing w:val="-2"/>
                <w:szCs w:val="21"/>
              </w:rPr>
            </w:pPr>
            <w:r>
              <w:rPr>
                <w:rFonts w:eastAsia="方正仿宋_GBK"/>
                <w:color w:val="000000"/>
                <w:spacing w:val="-2"/>
                <w:szCs w:val="21"/>
              </w:rPr>
              <w:t>7</w:t>
            </w:r>
          </w:p>
        </w:tc>
        <w:tc>
          <w:tcPr>
            <w:tcW w:w="1286"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63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3707"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494" w:type="dxa"/>
            <w:tcBorders>
              <w:top w:val="single" w:color="auto" w:sz="4"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jc w:val="center"/>
              <w:rPr>
                <w:rFonts w:eastAsia="方正仿宋_GBK"/>
                <w:color w:val="000000"/>
                <w:spacing w:val="-2"/>
                <w:szCs w:val="21"/>
              </w:rPr>
            </w:pPr>
          </w:p>
        </w:tc>
        <w:tc>
          <w:tcPr>
            <w:tcW w:w="1366" w:type="dxa"/>
            <w:tcBorders>
              <w:top w:val="single" w:color="auto" w:sz="4" w:space="0"/>
              <w:left w:val="single" w:color="auto" w:sz="4" w:space="0"/>
              <w:bottom w:val="single" w:color="auto" w:sz="4" w:space="0"/>
              <w:right w:val="single" w:color="auto" w:sz="8" w:space="0"/>
            </w:tcBorders>
            <w:noWrap w:val="0"/>
            <w:vAlign w:val="top"/>
          </w:tcPr>
          <w:p>
            <w:pPr>
              <w:pStyle w:val="26"/>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697" w:type="dxa"/>
            <w:tcBorders>
              <w:top w:val="single" w:color="auto" w:sz="4" w:space="0"/>
              <w:left w:val="single" w:color="auto" w:sz="8" w:space="0"/>
              <w:bottom w:val="single" w:color="auto" w:sz="4" w:space="0"/>
              <w:right w:val="single" w:color="auto" w:sz="4" w:space="0"/>
            </w:tcBorders>
            <w:noWrap w:val="0"/>
            <w:vAlign w:val="center"/>
          </w:tcPr>
          <w:p>
            <w:pPr>
              <w:pStyle w:val="26"/>
              <w:jc w:val="center"/>
              <w:rPr>
                <w:rFonts w:eastAsia="方正仿宋_GBK"/>
                <w:color w:val="000000"/>
                <w:spacing w:val="-2"/>
                <w:szCs w:val="21"/>
              </w:rPr>
            </w:pPr>
            <w:r>
              <w:rPr>
                <w:rFonts w:eastAsia="方正仿宋_GBK"/>
                <w:color w:val="000000"/>
                <w:spacing w:val="-2"/>
                <w:szCs w:val="21"/>
              </w:rPr>
              <w:t>8</w:t>
            </w:r>
          </w:p>
        </w:tc>
        <w:tc>
          <w:tcPr>
            <w:tcW w:w="1286"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63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3707"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4" w:space="0"/>
              <w:right w:val="single" w:color="auto" w:sz="4" w:space="0"/>
            </w:tcBorders>
            <w:noWrap w:val="0"/>
            <w:vAlign w:val="center"/>
          </w:tcPr>
          <w:p>
            <w:pPr>
              <w:pStyle w:val="26"/>
              <w:jc w:val="center"/>
              <w:rPr>
                <w:rFonts w:eastAsia="方正仿宋_GBK"/>
                <w:color w:val="000000"/>
                <w:spacing w:val="-2"/>
                <w:szCs w:val="21"/>
              </w:rPr>
            </w:pPr>
          </w:p>
        </w:tc>
        <w:tc>
          <w:tcPr>
            <w:tcW w:w="1494" w:type="dxa"/>
            <w:tcBorders>
              <w:top w:val="single" w:color="auto" w:sz="4" w:space="0"/>
              <w:left w:val="single" w:color="auto" w:sz="4" w:space="0"/>
              <w:bottom w:val="single" w:color="auto" w:sz="4" w:space="0"/>
              <w:right w:val="single" w:color="auto" w:sz="4" w:space="0"/>
            </w:tcBorders>
            <w:noWrap w:val="0"/>
            <w:tcMar>
              <w:top w:w="0" w:type="dxa"/>
              <w:left w:w="28" w:type="dxa"/>
              <w:bottom w:w="0" w:type="dxa"/>
              <w:right w:w="28" w:type="dxa"/>
            </w:tcMar>
            <w:vAlign w:val="center"/>
          </w:tcPr>
          <w:p>
            <w:pPr>
              <w:pStyle w:val="26"/>
              <w:jc w:val="center"/>
              <w:rPr>
                <w:rFonts w:eastAsia="方正仿宋_GBK"/>
                <w:color w:val="000000"/>
                <w:spacing w:val="-2"/>
                <w:szCs w:val="21"/>
              </w:rPr>
            </w:pPr>
          </w:p>
        </w:tc>
        <w:tc>
          <w:tcPr>
            <w:tcW w:w="1366" w:type="dxa"/>
            <w:tcBorders>
              <w:top w:val="single" w:color="auto" w:sz="4" w:space="0"/>
              <w:left w:val="single" w:color="auto" w:sz="4" w:space="0"/>
              <w:bottom w:val="single" w:color="auto" w:sz="4" w:space="0"/>
              <w:right w:val="single" w:color="auto" w:sz="8" w:space="0"/>
            </w:tcBorders>
            <w:noWrap w:val="0"/>
            <w:vAlign w:val="top"/>
          </w:tcPr>
          <w:p>
            <w:pPr>
              <w:pStyle w:val="26"/>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697" w:type="dxa"/>
            <w:tcBorders>
              <w:top w:val="single" w:color="auto" w:sz="4" w:space="0"/>
              <w:left w:val="single" w:color="auto" w:sz="8" w:space="0"/>
              <w:bottom w:val="single" w:color="auto" w:sz="8" w:space="0"/>
              <w:right w:val="single" w:color="auto" w:sz="4" w:space="0"/>
            </w:tcBorders>
            <w:noWrap w:val="0"/>
            <w:vAlign w:val="center"/>
          </w:tcPr>
          <w:p>
            <w:pPr>
              <w:pStyle w:val="26"/>
              <w:jc w:val="center"/>
              <w:rPr>
                <w:rFonts w:eastAsia="方正仿宋_GBK"/>
                <w:color w:val="000000"/>
                <w:spacing w:val="-2"/>
                <w:szCs w:val="21"/>
              </w:rPr>
            </w:pPr>
            <w:r>
              <w:rPr>
                <w:rFonts w:eastAsia="方正仿宋_GBK"/>
                <w:color w:val="000000"/>
                <w:spacing w:val="-2"/>
                <w:szCs w:val="21"/>
              </w:rPr>
              <w:t>9</w:t>
            </w:r>
          </w:p>
        </w:tc>
        <w:tc>
          <w:tcPr>
            <w:tcW w:w="1286" w:type="dxa"/>
            <w:tcBorders>
              <w:top w:val="single" w:color="auto" w:sz="4" w:space="0"/>
              <w:left w:val="single" w:color="auto" w:sz="4" w:space="0"/>
              <w:bottom w:val="single" w:color="auto" w:sz="8" w:space="0"/>
              <w:right w:val="single" w:color="auto" w:sz="4" w:space="0"/>
            </w:tcBorders>
            <w:noWrap w:val="0"/>
            <w:vAlign w:val="center"/>
          </w:tcPr>
          <w:p>
            <w:pPr>
              <w:pStyle w:val="26"/>
              <w:jc w:val="center"/>
              <w:rPr>
                <w:rFonts w:eastAsia="方正仿宋_GBK"/>
                <w:color w:val="000000"/>
                <w:spacing w:val="-2"/>
                <w:szCs w:val="21"/>
              </w:rPr>
            </w:pPr>
          </w:p>
        </w:tc>
        <w:tc>
          <w:tcPr>
            <w:tcW w:w="1630" w:type="dxa"/>
            <w:tcBorders>
              <w:top w:val="single" w:color="auto" w:sz="4" w:space="0"/>
              <w:left w:val="single" w:color="auto" w:sz="4" w:space="0"/>
              <w:bottom w:val="single" w:color="auto" w:sz="8" w:space="0"/>
              <w:right w:val="single" w:color="auto" w:sz="4" w:space="0"/>
            </w:tcBorders>
            <w:noWrap w:val="0"/>
            <w:vAlign w:val="center"/>
          </w:tcPr>
          <w:p>
            <w:pPr>
              <w:pStyle w:val="26"/>
              <w:jc w:val="center"/>
              <w:rPr>
                <w:rFonts w:eastAsia="方正仿宋_GBK"/>
                <w:color w:val="000000"/>
                <w:spacing w:val="-2"/>
                <w:szCs w:val="21"/>
              </w:rPr>
            </w:pPr>
          </w:p>
        </w:tc>
        <w:tc>
          <w:tcPr>
            <w:tcW w:w="3707" w:type="dxa"/>
            <w:tcBorders>
              <w:top w:val="single" w:color="auto" w:sz="4" w:space="0"/>
              <w:left w:val="single" w:color="auto" w:sz="4" w:space="0"/>
              <w:bottom w:val="single" w:color="auto" w:sz="8"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8" w:space="0"/>
              <w:right w:val="single" w:color="auto" w:sz="4" w:space="0"/>
            </w:tcBorders>
            <w:noWrap w:val="0"/>
            <w:vAlign w:val="center"/>
          </w:tcPr>
          <w:p>
            <w:pPr>
              <w:pStyle w:val="26"/>
              <w:jc w:val="center"/>
              <w:rPr>
                <w:rFonts w:eastAsia="方正仿宋_GBK"/>
                <w:color w:val="000000"/>
                <w:spacing w:val="-2"/>
                <w:szCs w:val="21"/>
              </w:rPr>
            </w:pPr>
          </w:p>
        </w:tc>
        <w:tc>
          <w:tcPr>
            <w:tcW w:w="1760" w:type="dxa"/>
            <w:tcBorders>
              <w:top w:val="single" w:color="auto" w:sz="4" w:space="0"/>
              <w:left w:val="single" w:color="auto" w:sz="4" w:space="0"/>
              <w:bottom w:val="single" w:color="auto" w:sz="8" w:space="0"/>
              <w:right w:val="single" w:color="auto" w:sz="4" w:space="0"/>
            </w:tcBorders>
            <w:noWrap w:val="0"/>
            <w:vAlign w:val="center"/>
          </w:tcPr>
          <w:p>
            <w:pPr>
              <w:pStyle w:val="26"/>
              <w:jc w:val="center"/>
              <w:rPr>
                <w:rFonts w:eastAsia="方正仿宋_GBK"/>
                <w:color w:val="000000"/>
                <w:spacing w:val="-2"/>
                <w:szCs w:val="21"/>
              </w:rPr>
            </w:pPr>
          </w:p>
        </w:tc>
        <w:tc>
          <w:tcPr>
            <w:tcW w:w="1494" w:type="dxa"/>
            <w:tcBorders>
              <w:top w:val="single" w:color="auto" w:sz="4" w:space="0"/>
              <w:left w:val="single" w:color="auto" w:sz="4" w:space="0"/>
              <w:bottom w:val="single" w:color="auto" w:sz="8" w:space="0"/>
              <w:right w:val="single" w:color="auto" w:sz="4" w:space="0"/>
            </w:tcBorders>
            <w:noWrap w:val="0"/>
            <w:tcMar>
              <w:top w:w="0" w:type="dxa"/>
              <w:left w:w="28" w:type="dxa"/>
              <w:bottom w:w="0" w:type="dxa"/>
              <w:right w:w="28" w:type="dxa"/>
            </w:tcMar>
            <w:vAlign w:val="center"/>
          </w:tcPr>
          <w:p>
            <w:pPr>
              <w:pStyle w:val="26"/>
              <w:jc w:val="center"/>
              <w:rPr>
                <w:rFonts w:eastAsia="方正仿宋_GBK"/>
                <w:color w:val="000000"/>
                <w:spacing w:val="-2"/>
                <w:szCs w:val="21"/>
              </w:rPr>
            </w:pPr>
          </w:p>
        </w:tc>
        <w:tc>
          <w:tcPr>
            <w:tcW w:w="1366" w:type="dxa"/>
            <w:tcBorders>
              <w:top w:val="single" w:color="auto" w:sz="4" w:space="0"/>
              <w:left w:val="single" w:color="auto" w:sz="4" w:space="0"/>
              <w:bottom w:val="single" w:color="auto" w:sz="8" w:space="0"/>
              <w:right w:val="single" w:color="auto" w:sz="8" w:space="0"/>
            </w:tcBorders>
            <w:noWrap w:val="0"/>
            <w:vAlign w:val="top"/>
          </w:tcPr>
          <w:p>
            <w:pPr>
              <w:pStyle w:val="26"/>
              <w:jc w:val="center"/>
              <w:rPr>
                <w:rFonts w:eastAsia="方正仿宋_GBK"/>
                <w:color w:val="000000"/>
                <w:spacing w:val="-2"/>
                <w:szCs w:val="21"/>
              </w:rPr>
            </w:pPr>
          </w:p>
        </w:tc>
      </w:tr>
    </w:tbl>
    <w:p>
      <w:pPr>
        <w:pStyle w:val="26"/>
        <w:rPr>
          <w:rFonts w:hint="eastAsia"/>
          <w:color w:val="000000"/>
          <w:spacing w:val="-2"/>
        </w:rPr>
      </w:pPr>
    </w:p>
    <w:p>
      <w:pPr>
        <w:widowControl/>
        <w:jc w:val="left"/>
        <w:rPr>
          <w:color w:val="000000"/>
          <w:spacing w:val="-2"/>
          <w:szCs w:val="20"/>
        </w:rPr>
        <w:sectPr>
          <w:pgSz w:w="16838" w:h="11905" w:orient="landscape"/>
          <w:pgMar w:top="1587" w:right="1701" w:bottom="1587" w:left="1701" w:header="850" w:footer="1361" w:gutter="0"/>
          <w:paperSrc w:first="4" w:other="4"/>
          <w:cols w:space="720" w:num="1"/>
        </w:sectPr>
      </w:pPr>
    </w:p>
    <w:p>
      <w:pPr>
        <w:pStyle w:val="26"/>
        <w:rPr>
          <w:color w:val="000000"/>
          <w:spacing w:val="-2"/>
        </w:rPr>
      </w:pP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4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848" w:type="dxa"/>
            <w:tcBorders>
              <w:top w:val="single" w:color="auto" w:sz="8" w:space="0"/>
              <w:left w:val="single" w:color="auto" w:sz="8" w:space="0"/>
              <w:bottom w:val="single" w:color="auto" w:sz="4" w:space="0"/>
              <w:right w:val="single" w:color="auto" w:sz="8" w:space="0"/>
            </w:tcBorders>
            <w:noWrap w:val="0"/>
            <w:vAlign w:val="center"/>
          </w:tcPr>
          <w:p>
            <w:pPr>
              <w:ind w:left="19" w:hanging="18" w:hangingChars="8"/>
              <w:jc w:val="center"/>
              <w:rPr>
                <w:rFonts w:eastAsia="方正仿宋_GBK"/>
                <w:color w:val="000000"/>
                <w:spacing w:val="-2"/>
                <w:sz w:val="24"/>
              </w:rPr>
            </w:pPr>
            <w:r>
              <w:rPr>
                <w:rFonts w:hint="eastAsia" w:eastAsia="方正仿宋_GBK"/>
                <w:color w:val="000000"/>
                <w:spacing w:val="-2"/>
                <w:sz w:val="24"/>
              </w:rPr>
              <w:t>主持验收单位意见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77" w:hRule="atLeast"/>
        </w:trPr>
        <w:tc>
          <w:tcPr>
            <w:tcW w:w="8848" w:type="dxa"/>
            <w:tcBorders>
              <w:top w:val="single" w:color="auto" w:sz="4" w:space="0"/>
              <w:left w:val="single" w:color="auto" w:sz="8" w:space="0"/>
              <w:bottom w:val="single" w:color="auto" w:sz="4" w:space="0"/>
              <w:right w:val="single" w:color="auto" w:sz="8" w:space="0"/>
            </w:tcBorders>
            <w:noWrap w:val="0"/>
            <w:vAlign w:val="bottom"/>
          </w:tcPr>
          <w:p>
            <w:pPr>
              <w:pStyle w:val="26"/>
              <w:jc w:val="right"/>
              <w:rPr>
                <w:rFonts w:eastAsia="方正仿宋_GBK"/>
                <w:color w:val="000000"/>
                <w:spacing w:val="-2"/>
                <w:szCs w:val="21"/>
              </w:rPr>
            </w:pPr>
            <w:r>
              <w:rPr>
                <w:rFonts w:hint="eastAsia" w:eastAsia="方正仿宋_GBK"/>
                <w:color w:val="000000"/>
                <w:spacing w:val="-2"/>
                <w:szCs w:val="21"/>
              </w:rPr>
              <w:t>签字：</w:t>
            </w:r>
            <w:r>
              <w:rPr>
                <w:rFonts w:eastAsia="方正仿宋_GBK"/>
                <w:color w:val="000000"/>
                <w:spacing w:val="-2"/>
                <w:szCs w:val="21"/>
                <w:u w:val="single"/>
              </w:rPr>
              <w:t xml:space="preserve">              </w:t>
            </w:r>
            <w:r>
              <w:rPr>
                <w:rFonts w:hint="eastAsia" w:eastAsia="方正仿宋_GBK"/>
                <w:color w:val="000000"/>
                <w:spacing w:val="-2"/>
                <w:szCs w:val="21"/>
              </w:rPr>
              <w:t>（盖章）</w:t>
            </w:r>
            <w:r>
              <w:rPr>
                <w:rFonts w:eastAsia="方正仿宋_GBK"/>
                <w:color w:val="000000"/>
                <w:spacing w:val="-2"/>
                <w:szCs w:val="21"/>
              </w:rPr>
              <w:t xml:space="preserve">   </w:t>
            </w:r>
          </w:p>
          <w:p>
            <w:pPr>
              <w:pStyle w:val="26"/>
              <w:jc w:val="right"/>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848" w:type="dxa"/>
            <w:tcBorders>
              <w:top w:val="single" w:color="auto" w:sz="4" w:space="0"/>
              <w:left w:val="single" w:color="auto" w:sz="8" w:space="0"/>
              <w:bottom w:val="single" w:color="auto" w:sz="4" w:space="0"/>
              <w:right w:val="single" w:color="auto" w:sz="8" w:space="0"/>
            </w:tcBorders>
            <w:noWrap w:val="0"/>
            <w:vAlign w:val="center"/>
          </w:tcPr>
          <w:p>
            <w:pPr>
              <w:jc w:val="center"/>
              <w:rPr>
                <w:rFonts w:eastAsia="方正仿宋_GBK"/>
                <w:color w:val="000000"/>
                <w:spacing w:val="-2"/>
                <w:sz w:val="24"/>
              </w:rPr>
            </w:pPr>
            <w:r>
              <w:rPr>
                <w:rFonts w:hint="eastAsia" w:eastAsia="方正仿宋_GBK"/>
                <w:color w:val="000000"/>
                <w:spacing w:val="-2"/>
                <w:sz w:val="24"/>
              </w:rPr>
              <w:t>考核小组意见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53" w:hRule="atLeast"/>
        </w:trPr>
        <w:tc>
          <w:tcPr>
            <w:tcW w:w="8848" w:type="dxa"/>
            <w:tcBorders>
              <w:top w:val="single" w:color="auto" w:sz="4" w:space="0"/>
              <w:left w:val="single" w:color="auto" w:sz="8" w:space="0"/>
              <w:bottom w:val="single" w:color="auto" w:sz="8" w:space="0"/>
              <w:right w:val="single" w:color="auto" w:sz="8" w:space="0"/>
            </w:tcBorders>
            <w:noWrap w:val="0"/>
            <w:vAlign w:val="bottom"/>
          </w:tcPr>
          <w:p>
            <w:pPr>
              <w:pStyle w:val="26"/>
              <w:jc w:val="right"/>
              <w:rPr>
                <w:rFonts w:eastAsia="方正仿宋_GBK"/>
                <w:color w:val="000000"/>
                <w:spacing w:val="-2"/>
                <w:szCs w:val="21"/>
              </w:rPr>
            </w:pPr>
            <w:r>
              <w:rPr>
                <w:rFonts w:hint="eastAsia" w:eastAsia="方正仿宋_GBK"/>
                <w:color w:val="000000"/>
                <w:spacing w:val="-2"/>
                <w:szCs w:val="21"/>
              </w:rPr>
              <w:t>签字：</w:t>
            </w:r>
            <w:r>
              <w:rPr>
                <w:rFonts w:eastAsia="方正仿宋_GBK"/>
                <w:color w:val="000000"/>
                <w:spacing w:val="-2"/>
                <w:szCs w:val="21"/>
                <w:u w:val="single"/>
              </w:rPr>
              <w:t xml:space="preserve">              </w:t>
            </w:r>
            <w:r>
              <w:rPr>
                <w:rFonts w:hint="eastAsia" w:eastAsia="方正仿宋_GBK"/>
                <w:color w:val="000000"/>
                <w:spacing w:val="-2"/>
                <w:szCs w:val="21"/>
              </w:rPr>
              <w:t>（盖章）</w:t>
            </w:r>
            <w:r>
              <w:rPr>
                <w:rFonts w:eastAsia="方正仿宋_GBK"/>
                <w:color w:val="000000"/>
                <w:spacing w:val="-2"/>
                <w:szCs w:val="21"/>
              </w:rPr>
              <w:t xml:space="preserve">   </w:t>
            </w:r>
          </w:p>
          <w:p>
            <w:pPr>
              <w:pStyle w:val="26"/>
              <w:jc w:val="right"/>
              <w:rPr>
                <w:rFonts w:eastAsia="方正仿宋_GBK"/>
                <w:color w:val="000000"/>
                <w:spacing w:val="-2"/>
                <w:szCs w:val="21"/>
              </w:rPr>
            </w:pPr>
            <w:r>
              <w:rPr>
                <w:rFonts w:eastAsia="方正仿宋_GBK"/>
                <w:color w:val="000000"/>
                <w:spacing w:val="-2"/>
                <w:szCs w:val="21"/>
              </w:rPr>
              <w:t xml:space="preserve">      </w:t>
            </w:r>
          </w:p>
          <w:p>
            <w:pPr>
              <w:pStyle w:val="26"/>
              <w:jc w:val="right"/>
              <w:rPr>
                <w:rFonts w:eastAsia="方正仿宋_GBK"/>
                <w:color w:val="000000"/>
                <w:spacing w:val="-2"/>
              </w:rPr>
            </w:pPr>
          </w:p>
        </w:tc>
      </w:tr>
    </w:tbl>
    <w:p>
      <w:pPr>
        <w:pStyle w:val="26"/>
        <w:rPr>
          <w:color w:val="000000"/>
          <w:spacing w:val="-2"/>
        </w:rPr>
      </w:pPr>
      <w:r>
        <w:rPr>
          <w:color w:val="000000"/>
          <w:spacing w:val="-2"/>
        </w:rPr>
        <w:t xml:space="preserve">                                                                                 </w:t>
      </w:r>
    </w:p>
    <w:p>
      <w:pPr>
        <w:widowControl/>
        <w:jc w:val="left"/>
        <w:rPr>
          <w:rFonts w:eastAsia="黑体"/>
          <w:color w:val="000000"/>
          <w:spacing w:val="-2"/>
          <w:sz w:val="36"/>
          <w:szCs w:val="36"/>
        </w:rPr>
        <w:sectPr>
          <w:pgSz w:w="11905" w:h="16838"/>
          <w:pgMar w:top="1701" w:right="1587" w:bottom="1701" w:left="1587" w:header="850" w:footer="1361" w:gutter="0"/>
          <w:paperSrc w:first="4" w:other="4"/>
          <w:cols w:space="720" w:num="1"/>
        </w:sectPr>
      </w:pPr>
    </w:p>
    <w:p>
      <w:pPr>
        <w:rPr>
          <w:rFonts w:ascii="Times New Roman" w:eastAsia="方正黑体_GBK"/>
          <w:color w:val="000000"/>
          <w:spacing w:val="-2"/>
          <w:sz w:val="28"/>
          <w:szCs w:val="28"/>
        </w:rPr>
      </w:pPr>
      <w:bookmarkStart w:id="402" w:name="RANGE!A1:P18"/>
      <w:r>
        <w:rPr>
          <w:rFonts w:hint="eastAsia" w:ascii="Times New Roman" w:eastAsia="方正黑体_GBK"/>
          <w:color w:val="000000"/>
          <w:spacing w:val="-2"/>
          <w:sz w:val="28"/>
          <w:szCs w:val="28"/>
        </w:rPr>
        <w:t>附件4：</w:t>
      </w:r>
      <w:bookmarkEnd w:id="402"/>
    </w:p>
    <w:p>
      <w:pPr>
        <w:spacing w:after="120" w:afterLines="50"/>
        <w:jc w:val="center"/>
        <w:rPr>
          <w:rFonts w:hint="eastAsia" w:ascii="Times New Roman" w:hAnsi="Times New Roman" w:eastAsia="方正黑体_GBK"/>
          <w:color w:val="000000"/>
          <w:spacing w:val="-2"/>
          <w:sz w:val="28"/>
          <w:szCs w:val="28"/>
        </w:rPr>
      </w:pPr>
      <w:r>
        <w:rPr>
          <w:rFonts w:hint="eastAsia" w:ascii="Times New Roman" w:hAnsi="Times New Roman" w:eastAsia="方正黑体_GBK"/>
          <w:color w:val="000000"/>
          <w:spacing w:val="-2"/>
          <w:sz w:val="28"/>
          <w:szCs w:val="28"/>
        </w:rPr>
        <w:t>示范区建筑节能和绿色建筑示范项目汇总表</w:t>
      </w:r>
    </w:p>
    <w:tbl>
      <w:tblPr>
        <w:tblStyle w:val="12"/>
        <w:tblW w:w="0" w:type="auto"/>
        <w:tblInd w:w="12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900"/>
        <w:gridCol w:w="700"/>
        <w:gridCol w:w="660"/>
        <w:gridCol w:w="1080"/>
        <w:gridCol w:w="620"/>
        <w:gridCol w:w="620"/>
        <w:gridCol w:w="760"/>
        <w:gridCol w:w="820"/>
        <w:gridCol w:w="820"/>
        <w:gridCol w:w="820"/>
        <w:gridCol w:w="820"/>
        <w:gridCol w:w="760"/>
        <w:gridCol w:w="760"/>
        <w:gridCol w:w="980"/>
        <w:gridCol w:w="10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0" w:hRule="atLeast"/>
        </w:trPr>
        <w:tc>
          <w:tcPr>
            <w:tcW w:w="540" w:type="dxa"/>
            <w:vMerge w:val="restart"/>
            <w:tcBorders>
              <w:top w:val="single" w:color="auto" w:sz="8" w:space="0"/>
              <w:left w:val="single" w:color="auto" w:sz="8"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序号</w:t>
            </w:r>
          </w:p>
        </w:tc>
        <w:tc>
          <w:tcPr>
            <w:tcW w:w="1900" w:type="dxa"/>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项目名称</w:t>
            </w:r>
          </w:p>
        </w:tc>
        <w:tc>
          <w:tcPr>
            <w:tcW w:w="700" w:type="dxa"/>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建筑类型</w:t>
            </w:r>
          </w:p>
        </w:tc>
        <w:tc>
          <w:tcPr>
            <w:tcW w:w="660" w:type="dxa"/>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建设类型</w:t>
            </w:r>
          </w:p>
        </w:tc>
        <w:tc>
          <w:tcPr>
            <w:tcW w:w="1080" w:type="dxa"/>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建筑面积</w:t>
            </w:r>
          </w:p>
          <w:p>
            <w:pPr>
              <w:jc w:val="center"/>
              <w:rPr>
                <w:rFonts w:ascii="Times New Roman" w:eastAsia="方正黑体_GBK"/>
                <w:bCs/>
                <w:color w:val="000000"/>
                <w:spacing w:val="-2"/>
                <w:sz w:val="20"/>
              </w:rPr>
            </w:pPr>
            <w:r>
              <w:rPr>
                <w:rFonts w:hint="eastAsia" w:ascii="Times New Roman" w:eastAsia="方正黑体_GBK"/>
                <w:bCs/>
                <w:color w:val="000000"/>
                <w:spacing w:val="-2"/>
                <w:sz w:val="20"/>
              </w:rPr>
              <w:t>（万平方米）</w:t>
            </w:r>
          </w:p>
        </w:tc>
        <w:tc>
          <w:tcPr>
            <w:tcW w:w="620" w:type="dxa"/>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栋数</w:t>
            </w:r>
          </w:p>
        </w:tc>
        <w:tc>
          <w:tcPr>
            <w:tcW w:w="620" w:type="dxa"/>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实施</w:t>
            </w:r>
          </w:p>
          <w:p>
            <w:pPr>
              <w:jc w:val="center"/>
              <w:rPr>
                <w:rFonts w:ascii="Times New Roman" w:eastAsia="方正黑体_GBK"/>
                <w:bCs/>
                <w:color w:val="000000"/>
                <w:spacing w:val="-2"/>
                <w:sz w:val="20"/>
              </w:rPr>
            </w:pPr>
            <w:r>
              <w:rPr>
                <w:rFonts w:hint="eastAsia" w:ascii="Times New Roman" w:eastAsia="方正黑体_GBK"/>
                <w:bCs/>
                <w:color w:val="000000"/>
                <w:spacing w:val="-2"/>
                <w:sz w:val="20"/>
              </w:rPr>
              <w:t>起止时间</w:t>
            </w:r>
          </w:p>
        </w:tc>
        <w:tc>
          <w:tcPr>
            <w:tcW w:w="760" w:type="dxa"/>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建设情况</w:t>
            </w:r>
          </w:p>
        </w:tc>
        <w:tc>
          <w:tcPr>
            <w:tcW w:w="6860" w:type="dxa"/>
            <w:gridSpan w:val="8"/>
            <w:tcBorders>
              <w:top w:val="single" w:color="auto" w:sz="8" w:space="0"/>
              <w:left w:val="single" w:color="auto" w:sz="4" w:space="0"/>
              <w:bottom w:val="single" w:color="auto" w:sz="4" w:space="0"/>
              <w:right w:val="single" w:color="auto" w:sz="8"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示范任务完成情况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540" w:type="dxa"/>
            <w:vMerge w:val="continue"/>
            <w:tcBorders>
              <w:top w:val="single" w:color="auto" w:sz="8" w:space="0"/>
              <w:left w:val="single" w:color="auto" w:sz="8" w:space="0"/>
              <w:bottom w:val="single" w:color="auto" w:sz="4" w:space="0"/>
              <w:right w:val="single" w:color="auto" w:sz="4" w:space="0"/>
            </w:tcBorders>
            <w:noWrap w:val="0"/>
            <w:vAlign w:val="center"/>
          </w:tcPr>
          <w:p>
            <w:pPr>
              <w:widowControl/>
              <w:jc w:val="left"/>
              <w:rPr>
                <w:rFonts w:ascii="Times New Roman" w:eastAsia="方正黑体_GBK"/>
                <w:bCs/>
                <w:color w:val="000000"/>
                <w:spacing w:val="-2"/>
                <w:sz w:val="20"/>
              </w:rPr>
            </w:pPr>
          </w:p>
        </w:tc>
        <w:tc>
          <w:tcPr>
            <w:tcW w:w="1900" w:type="dxa"/>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ascii="Times New Roman" w:eastAsia="方正黑体_GBK"/>
                <w:bCs/>
                <w:color w:val="000000"/>
                <w:spacing w:val="-2"/>
                <w:sz w:val="20"/>
              </w:rPr>
            </w:pPr>
          </w:p>
        </w:tc>
        <w:tc>
          <w:tcPr>
            <w:tcW w:w="700" w:type="dxa"/>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ascii="Times New Roman" w:eastAsia="方正黑体_GBK"/>
                <w:bCs/>
                <w:color w:val="000000"/>
                <w:spacing w:val="-2"/>
                <w:sz w:val="20"/>
              </w:rPr>
            </w:pPr>
          </w:p>
        </w:tc>
        <w:tc>
          <w:tcPr>
            <w:tcW w:w="660" w:type="dxa"/>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ascii="Times New Roman" w:eastAsia="方正黑体_GBK"/>
                <w:bCs/>
                <w:color w:val="000000"/>
                <w:spacing w:val="-2"/>
                <w:sz w:val="20"/>
              </w:rPr>
            </w:pPr>
          </w:p>
        </w:tc>
        <w:tc>
          <w:tcPr>
            <w:tcW w:w="1080" w:type="dxa"/>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ascii="Times New Roman" w:eastAsia="方正黑体_GBK"/>
                <w:bCs/>
                <w:color w:val="000000"/>
                <w:spacing w:val="-2"/>
                <w:sz w:val="20"/>
              </w:rPr>
            </w:pPr>
          </w:p>
        </w:tc>
        <w:tc>
          <w:tcPr>
            <w:tcW w:w="620" w:type="dxa"/>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ascii="Times New Roman" w:eastAsia="方正黑体_GBK"/>
                <w:bCs/>
                <w:color w:val="000000"/>
                <w:spacing w:val="-2"/>
                <w:sz w:val="20"/>
              </w:rPr>
            </w:pPr>
          </w:p>
        </w:tc>
        <w:tc>
          <w:tcPr>
            <w:tcW w:w="620" w:type="dxa"/>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ascii="Times New Roman" w:eastAsia="方正黑体_GBK"/>
                <w:bCs/>
                <w:color w:val="000000"/>
                <w:spacing w:val="-2"/>
                <w:sz w:val="20"/>
              </w:rPr>
            </w:pPr>
          </w:p>
        </w:tc>
        <w:tc>
          <w:tcPr>
            <w:tcW w:w="760" w:type="dxa"/>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ascii="Times New Roman" w:eastAsia="方正黑体_GBK"/>
                <w:bCs/>
                <w:color w:val="000000"/>
                <w:spacing w:val="-2"/>
                <w:sz w:val="20"/>
              </w:rPr>
            </w:pP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绿色</w:t>
            </w:r>
          </w:p>
          <w:p>
            <w:pPr>
              <w:jc w:val="center"/>
              <w:rPr>
                <w:rFonts w:ascii="Times New Roman" w:eastAsia="方正黑体_GBK"/>
                <w:bCs/>
                <w:color w:val="000000"/>
                <w:spacing w:val="-2"/>
                <w:sz w:val="20"/>
              </w:rPr>
            </w:pPr>
            <w:r>
              <w:rPr>
                <w:rFonts w:hint="eastAsia" w:ascii="Times New Roman" w:eastAsia="方正黑体_GBK"/>
                <w:bCs/>
                <w:color w:val="000000"/>
                <w:spacing w:val="-2"/>
                <w:sz w:val="20"/>
              </w:rPr>
              <w:t>建筑</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可再生能源建筑应用</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全装修住宅</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既有建筑节能改造</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能耗分项计量上传</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能效测评标识</w:t>
            </w:r>
          </w:p>
        </w:tc>
        <w:tc>
          <w:tcPr>
            <w:tcW w:w="98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示范技术增量投资</w:t>
            </w:r>
          </w:p>
          <w:p>
            <w:pPr>
              <w:jc w:val="center"/>
              <w:rPr>
                <w:rFonts w:ascii="Times New Roman" w:eastAsia="方正黑体_GBK"/>
                <w:bCs/>
                <w:color w:val="000000"/>
                <w:spacing w:val="-2"/>
                <w:sz w:val="20"/>
              </w:rPr>
            </w:pPr>
            <w:r>
              <w:rPr>
                <w:rFonts w:hint="eastAsia" w:ascii="Times New Roman" w:eastAsia="方正黑体_GBK"/>
                <w:bCs/>
                <w:color w:val="000000"/>
                <w:spacing w:val="-2"/>
                <w:sz w:val="20"/>
              </w:rPr>
              <w:t>（万元）</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eastAsia="方正黑体_GBK"/>
                <w:bCs/>
                <w:color w:val="000000"/>
                <w:spacing w:val="-2"/>
                <w:sz w:val="20"/>
              </w:rPr>
            </w:pPr>
            <w:r>
              <w:rPr>
                <w:rFonts w:hint="eastAsia" w:ascii="Times New Roman" w:eastAsia="方正黑体_GBK"/>
                <w:bCs/>
                <w:color w:val="000000"/>
                <w:spacing w:val="-2"/>
                <w:sz w:val="20"/>
              </w:rPr>
              <w:t>年节能量</w:t>
            </w:r>
          </w:p>
          <w:p>
            <w:pPr>
              <w:jc w:val="center"/>
              <w:rPr>
                <w:rFonts w:ascii="Times New Roman" w:eastAsia="方正黑体_GBK"/>
                <w:bCs/>
                <w:color w:val="000000"/>
                <w:spacing w:val="-2"/>
                <w:sz w:val="20"/>
              </w:rPr>
            </w:pPr>
            <w:r>
              <w:rPr>
                <w:rFonts w:hint="eastAsia" w:ascii="Times New Roman" w:eastAsia="方正黑体_GBK"/>
                <w:bCs/>
                <w:color w:val="000000"/>
                <w:spacing w:val="-2"/>
                <w:sz w:val="20"/>
              </w:rPr>
              <w:t>（吨标煤）</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70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6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98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eastAsia="方正黑体_GBK"/>
                <w:color w:val="000000"/>
                <w:spacing w:val="-2"/>
                <w:sz w:val="20"/>
              </w:rPr>
            </w:pPr>
            <w:r>
              <w:rPr>
                <w:rFonts w:hint="eastAsia" w:ascii="Times New Roman" w:eastAsia="方正黑体_GBK"/>
                <w:color w:val="000000"/>
                <w:spacing w:val="-2"/>
                <w:sz w:val="20"/>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6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9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40" w:type="dxa"/>
            <w:gridSpan w:val="2"/>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 w:val="20"/>
              </w:rPr>
            </w:pPr>
            <w:r>
              <w:rPr>
                <w:rFonts w:hint="eastAsia" w:eastAsia="方正仿宋_GBK"/>
                <w:bCs/>
                <w:color w:val="000000"/>
                <w:spacing w:val="-2"/>
                <w:sz w:val="20"/>
              </w:rPr>
              <w:t>建成项目合计</w:t>
            </w:r>
          </w:p>
        </w:tc>
        <w:tc>
          <w:tcPr>
            <w:tcW w:w="7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6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9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6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9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4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19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6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9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 w:val="20"/>
              </w:rPr>
            </w:pPr>
            <w:r>
              <w:rPr>
                <w:rFonts w:hint="eastAsia" w:eastAsia="方正仿宋_GBK"/>
                <w:color w:val="000000"/>
                <w:spacing w:val="-2"/>
                <w:sz w:val="20"/>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40" w:type="dxa"/>
            <w:gridSpan w:val="2"/>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bCs/>
                <w:color w:val="000000"/>
                <w:spacing w:val="-2"/>
                <w:sz w:val="20"/>
              </w:rPr>
            </w:pPr>
            <w:r>
              <w:rPr>
                <w:rFonts w:hint="eastAsia" w:eastAsia="方正仿宋_GBK"/>
                <w:bCs/>
                <w:color w:val="000000"/>
                <w:spacing w:val="-2"/>
                <w:sz w:val="20"/>
              </w:rPr>
              <w:t>开工项目合计</w:t>
            </w:r>
          </w:p>
        </w:tc>
        <w:tc>
          <w:tcPr>
            <w:tcW w:w="70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6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6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76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9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440" w:type="dxa"/>
            <w:gridSpan w:val="2"/>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bCs/>
                <w:color w:val="000000"/>
                <w:spacing w:val="-2"/>
                <w:sz w:val="20"/>
              </w:rPr>
            </w:pPr>
            <w:r>
              <w:rPr>
                <w:rFonts w:hint="eastAsia" w:eastAsia="方正仿宋_GBK"/>
                <w:bCs/>
                <w:color w:val="000000"/>
                <w:spacing w:val="-2"/>
                <w:sz w:val="20"/>
              </w:rPr>
              <w:t>总计</w:t>
            </w:r>
          </w:p>
        </w:tc>
        <w:tc>
          <w:tcPr>
            <w:tcW w:w="70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66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108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62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62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76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82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76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76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980" w:type="dxa"/>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c>
          <w:tcPr>
            <w:tcW w:w="1080" w:type="dxa"/>
            <w:tcBorders>
              <w:top w:val="single" w:color="auto" w:sz="4" w:space="0"/>
              <w:left w:val="single" w:color="auto" w:sz="4" w:space="0"/>
              <w:bottom w:val="single" w:color="auto" w:sz="8" w:space="0"/>
              <w:right w:val="single" w:color="auto" w:sz="8" w:space="0"/>
            </w:tcBorders>
            <w:noWrap w:val="0"/>
            <w:vAlign w:val="center"/>
          </w:tcPr>
          <w:p>
            <w:pPr>
              <w:jc w:val="center"/>
              <w:rPr>
                <w:rFonts w:eastAsia="方正仿宋_GBK"/>
                <w:b/>
                <w:bCs/>
                <w:color w:val="000000"/>
                <w:spacing w:val="-2"/>
                <w:sz w:val="20"/>
              </w:rPr>
            </w:pPr>
            <w:r>
              <w:rPr>
                <w:rFonts w:hint="eastAsia" w:eastAsia="方正仿宋_GBK"/>
                <w:b/>
                <w:bCs/>
                <w:color w:val="000000"/>
                <w:spacing w:val="-2"/>
                <w:sz w:val="20"/>
              </w:rPr>
              <w:t>　</w:t>
            </w:r>
          </w:p>
        </w:tc>
      </w:tr>
    </w:tbl>
    <w:p>
      <w:pPr>
        <w:spacing w:line="320" w:lineRule="exact"/>
        <w:ind w:firstLine="412" w:firstLineChars="200"/>
        <w:rPr>
          <w:rFonts w:hint="eastAsia" w:hAnsi="Times New Roman"/>
          <w:color w:val="000000"/>
          <w:spacing w:val="-2"/>
          <w:szCs w:val="21"/>
        </w:rPr>
      </w:pPr>
    </w:p>
    <w:p>
      <w:pPr>
        <w:spacing w:line="320" w:lineRule="exact"/>
        <w:rPr>
          <w:rFonts w:eastAsia="方正仿宋_GBK"/>
          <w:color w:val="000000"/>
          <w:spacing w:val="-2"/>
          <w:sz w:val="18"/>
          <w:szCs w:val="18"/>
        </w:rPr>
      </w:pPr>
      <w:r>
        <w:rPr>
          <w:rFonts w:hint="eastAsia" w:eastAsia="方正仿宋_GBK"/>
          <w:color w:val="000000"/>
          <w:spacing w:val="-2"/>
          <w:sz w:val="18"/>
          <w:szCs w:val="18"/>
        </w:rPr>
        <w:t>填写说明：</w:t>
      </w:r>
    </w:p>
    <w:p>
      <w:pPr>
        <w:spacing w:line="320" w:lineRule="exact"/>
        <w:ind w:firstLine="352" w:firstLineChars="200"/>
        <w:rPr>
          <w:rFonts w:eastAsia="方正仿宋_GBK"/>
          <w:color w:val="000000"/>
          <w:spacing w:val="-2"/>
          <w:sz w:val="18"/>
          <w:szCs w:val="18"/>
        </w:rPr>
      </w:pPr>
      <w:r>
        <w:rPr>
          <w:rFonts w:eastAsia="方正仿宋_GBK"/>
          <w:color w:val="000000"/>
          <w:spacing w:val="-2"/>
          <w:sz w:val="18"/>
          <w:szCs w:val="18"/>
        </w:rPr>
        <w:t>1</w:t>
      </w:r>
      <w:r>
        <w:rPr>
          <w:rFonts w:hint="eastAsia" w:eastAsia="方正仿宋_GBK"/>
          <w:color w:val="000000"/>
          <w:spacing w:val="-2"/>
          <w:sz w:val="18"/>
          <w:szCs w:val="18"/>
        </w:rPr>
        <w:t>、建筑类型：填写</w:t>
      </w:r>
      <w:r>
        <w:rPr>
          <w:rFonts w:eastAsia="方正仿宋_GBK"/>
          <w:color w:val="000000"/>
          <w:spacing w:val="-2"/>
          <w:sz w:val="18"/>
          <w:szCs w:val="18"/>
        </w:rPr>
        <w:t>“</w:t>
      </w:r>
      <w:r>
        <w:rPr>
          <w:rFonts w:hint="eastAsia" w:eastAsia="方正仿宋_GBK"/>
          <w:color w:val="000000"/>
          <w:spacing w:val="-2"/>
          <w:sz w:val="18"/>
          <w:szCs w:val="18"/>
        </w:rPr>
        <w:t>公共建筑或居住建筑</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2</w:t>
      </w:r>
      <w:r>
        <w:rPr>
          <w:rFonts w:hint="eastAsia" w:eastAsia="方正仿宋_GBK"/>
          <w:color w:val="000000"/>
          <w:spacing w:val="-2"/>
          <w:sz w:val="18"/>
          <w:szCs w:val="18"/>
        </w:rPr>
        <w:t>、建设类型：填写</w:t>
      </w:r>
      <w:r>
        <w:rPr>
          <w:rFonts w:eastAsia="方正仿宋_GBK"/>
          <w:color w:val="000000"/>
          <w:spacing w:val="-2"/>
          <w:sz w:val="18"/>
          <w:szCs w:val="18"/>
        </w:rPr>
        <w:t>“</w:t>
      </w:r>
      <w:r>
        <w:rPr>
          <w:rFonts w:hint="eastAsia" w:eastAsia="方正仿宋_GBK"/>
          <w:color w:val="000000"/>
          <w:spacing w:val="-2"/>
          <w:sz w:val="18"/>
          <w:szCs w:val="18"/>
        </w:rPr>
        <w:t>新建或既改</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3</w:t>
      </w:r>
      <w:r>
        <w:rPr>
          <w:rFonts w:hint="eastAsia" w:eastAsia="方正仿宋_GBK"/>
          <w:color w:val="000000"/>
          <w:spacing w:val="-2"/>
          <w:sz w:val="18"/>
          <w:szCs w:val="18"/>
        </w:rPr>
        <w:t>、建筑面积：保留一位小数；</w:t>
      </w:r>
      <w:r>
        <w:rPr>
          <w:rFonts w:eastAsia="方正仿宋_GBK"/>
          <w:color w:val="000000"/>
          <w:spacing w:val="-2"/>
          <w:sz w:val="18"/>
          <w:szCs w:val="18"/>
        </w:rPr>
        <w:t>4</w:t>
      </w:r>
      <w:r>
        <w:rPr>
          <w:rFonts w:hint="eastAsia" w:eastAsia="方正仿宋_GBK"/>
          <w:color w:val="000000"/>
          <w:spacing w:val="-2"/>
          <w:sz w:val="18"/>
          <w:szCs w:val="18"/>
        </w:rPr>
        <w:t>、实施起止时间：如</w:t>
      </w:r>
      <w:r>
        <w:rPr>
          <w:rFonts w:eastAsia="方正仿宋_GBK"/>
          <w:color w:val="000000"/>
          <w:spacing w:val="-2"/>
          <w:sz w:val="18"/>
          <w:szCs w:val="18"/>
        </w:rPr>
        <w:t>2010.05-2013.09</w:t>
      </w:r>
      <w:r>
        <w:rPr>
          <w:rFonts w:hint="eastAsia" w:eastAsia="方正仿宋_GBK"/>
          <w:color w:val="000000"/>
          <w:spacing w:val="-2"/>
          <w:sz w:val="18"/>
          <w:szCs w:val="18"/>
        </w:rPr>
        <w:t>；</w:t>
      </w:r>
      <w:r>
        <w:rPr>
          <w:rFonts w:eastAsia="方正仿宋_GBK"/>
          <w:color w:val="000000"/>
          <w:spacing w:val="-2"/>
          <w:sz w:val="18"/>
          <w:szCs w:val="18"/>
        </w:rPr>
        <w:t>5</w:t>
      </w:r>
      <w:r>
        <w:rPr>
          <w:rFonts w:hint="eastAsia" w:eastAsia="方正仿宋_GBK"/>
          <w:color w:val="000000"/>
          <w:spacing w:val="-2"/>
          <w:sz w:val="18"/>
          <w:szCs w:val="18"/>
        </w:rPr>
        <w:t>、建设情况：填写</w:t>
      </w:r>
      <w:r>
        <w:rPr>
          <w:rFonts w:eastAsia="方正仿宋_GBK"/>
          <w:color w:val="000000"/>
          <w:spacing w:val="-2"/>
          <w:sz w:val="18"/>
          <w:szCs w:val="18"/>
        </w:rPr>
        <w:t>“</w:t>
      </w:r>
      <w:r>
        <w:rPr>
          <w:rFonts w:hint="eastAsia" w:eastAsia="方正仿宋_GBK"/>
          <w:color w:val="000000"/>
          <w:spacing w:val="-2"/>
          <w:sz w:val="18"/>
          <w:szCs w:val="18"/>
        </w:rPr>
        <w:t>未开工、已开工、已竣工</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6</w:t>
      </w:r>
      <w:r>
        <w:rPr>
          <w:rFonts w:hint="eastAsia" w:eastAsia="方正仿宋_GBK"/>
          <w:color w:val="000000"/>
          <w:spacing w:val="-2"/>
          <w:sz w:val="18"/>
          <w:szCs w:val="18"/>
        </w:rPr>
        <w:t>、示范任务完成情况：已做要求的填写完成情况，未做要求的填写</w:t>
      </w:r>
      <w:r>
        <w:rPr>
          <w:rFonts w:eastAsia="方正仿宋_GBK"/>
          <w:color w:val="000000"/>
          <w:spacing w:val="-2"/>
          <w:sz w:val="18"/>
          <w:szCs w:val="18"/>
        </w:rPr>
        <w:t>“</w:t>
      </w:r>
      <w:r>
        <w:rPr>
          <w:rFonts w:hint="eastAsia" w:eastAsia="方正仿宋_GBK"/>
          <w:color w:val="000000"/>
          <w:spacing w:val="-2"/>
          <w:sz w:val="18"/>
          <w:szCs w:val="18"/>
        </w:rPr>
        <w:t>未要求</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7</w:t>
      </w:r>
      <w:r>
        <w:rPr>
          <w:rFonts w:hint="eastAsia" w:eastAsia="方正仿宋_GBK"/>
          <w:color w:val="000000"/>
          <w:spacing w:val="-2"/>
          <w:sz w:val="18"/>
          <w:szCs w:val="18"/>
        </w:rPr>
        <w:t>、绿色建筑：填写</w:t>
      </w:r>
      <w:r>
        <w:rPr>
          <w:rFonts w:eastAsia="方正仿宋_GBK"/>
          <w:color w:val="000000"/>
          <w:spacing w:val="-2"/>
          <w:sz w:val="18"/>
          <w:szCs w:val="18"/>
        </w:rPr>
        <w:t>“</w:t>
      </w:r>
      <w:r>
        <w:rPr>
          <w:rFonts w:hint="eastAsia" w:eastAsia="方正仿宋_GBK"/>
          <w:color w:val="000000"/>
          <w:spacing w:val="-2"/>
          <w:sz w:val="18"/>
          <w:szCs w:val="18"/>
        </w:rPr>
        <w:t>已取得或未取得</w:t>
      </w:r>
      <w:r>
        <w:rPr>
          <w:rFonts w:eastAsia="方正仿宋_GBK"/>
          <w:color w:val="000000"/>
          <w:spacing w:val="-2"/>
          <w:sz w:val="18"/>
          <w:szCs w:val="18"/>
        </w:rPr>
        <w:t>”</w:t>
      </w:r>
      <w:r>
        <w:rPr>
          <w:rFonts w:hint="eastAsia" w:eastAsia="方正仿宋_GBK"/>
          <w:color w:val="000000"/>
          <w:spacing w:val="-2"/>
          <w:sz w:val="18"/>
          <w:szCs w:val="18"/>
        </w:rPr>
        <w:t>，其中已经取得的需填写</w:t>
      </w:r>
      <w:r>
        <w:rPr>
          <w:rFonts w:eastAsia="方正仿宋_GBK"/>
          <w:color w:val="000000"/>
          <w:spacing w:val="-2"/>
          <w:sz w:val="18"/>
          <w:szCs w:val="18"/>
        </w:rPr>
        <w:t>“</w:t>
      </w:r>
      <w:r>
        <w:rPr>
          <w:rFonts w:hint="eastAsia" w:eastAsia="方正仿宋_GBK"/>
          <w:color w:val="000000"/>
          <w:spacing w:val="-2"/>
          <w:sz w:val="18"/>
          <w:szCs w:val="18"/>
        </w:rPr>
        <w:t>一星设计、一星运营、二星设计、二星运营、三星设计、三星运营</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8</w:t>
      </w:r>
      <w:r>
        <w:rPr>
          <w:rFonts w:hint="eastAsia" w:eastAsia="方正仿宋_GBK"/>
          <w:color w:val="000000"/>
          <w:spacing w:val="-2"/>
          <w:sz w:val="18"/>
          <w:szCs w:val="18"/>
        </w:rPr>
        <w:t>、可再生能源建筑应用：填写</w:t>
      </w:r>
      <w:r>
        <w:rPr>
          <w:rFonts w:eastAsia="方正仿宋_GBK"/>
          <w:color w:val="000000"/>
          <w:spacing w:val="-2"/>
          <w:sz w:val="18"/>
          <w:szCs w:val="18"/>
        </w:rPr>
        <w:t>“</w:t>
      </w:r>
      <w:r>
        <w:rPr>
          <w:rFonts w:hint="eastAsia" w:eastAsia="方正仿宋_GBK"/>
          <w:color w:val="000000"/>
          <w:spacing w:val="-2"/>
          <w:sz w:val="18"/>
          <w:szCs w:val="18"/>
        </w:rPr>
        <w:t>已实施或未实施</w:t>
      </w:r>
      <w:r>
        <w:rPr>
          <w:rFonts w:eastAsia="方正仿宋_GBK"/>
          <w:color w:val="000000"/>
          <w:spacing w:val="-2"/>
          <w:sz w:val="18"/>
          <w:szCs w:val="18"/>
        </w:rPr>
        <w:t>”</w:t>
      </w:r>
      <w:r>
        <w:rPr>
          <w:rFonts w:hint="eastAsia" w:eastAsia="方正仿宋_GBK"/>
          <w:color w:val="000000"/>
          <w:spacing w:val="-2"/>
          <w:sz w:val="18"/>
          <w:szCs w:val="18"/>
        </w:rPr>
        <w:t>，其中已经实施的需填写</w:t>
      </w:r>
      <w:r>
        <w:rPr>
          <w:rFonts w:eastAsia="方正仿宋_GBK"/>
          <w:color w:val="000000"/>
          <w:spacing w:val="-2"/>
          <w:sz w:val="18"/>
          <w:szCs w:val="18"/>
        </w:rPr>
        <w:t>“</w:t>
      </w:r>
      <w:r>
        <w:rPr>
          <w:rFonts w:hint="eastAsia" w:eastAsia="方正仿宋_GBK"/>
          <w:color w:val="000000"/>
          <w:spacing w:val="-2"/>
          <w:sz w:val="18"/>
          <w:szCs w:val="18"/>
        </w:rPr>
        <w:t>太阳能光热、太阳能光电、土壤源热泵、地表水源热泵、江水、海水源热泵或污水源热泵</w:t>
      </w:r>
      <w:r>
        <w:rPr>
          <w:rFonts w:eastAsia="方正仿宋_GBK"/>
          <w:color w:val="000000"/>
          <w:spacing w:val="-2"/>
          <w:sz w:val="18"/>
          <w:szCs w:val="18"/>
        </w:rPr>
        <w:t>”</w:t>
      </w:r>
      <w:r>
        <w:rPr>
          <w:rFonts w:hint="eastAsia" w:eastAsia="方正仿宋_GBK"/>
          <w:color w:val="000000"/>
          <w:spacing w:val="-2"/>
          <w:sz w:val="18"/>
          <w:szCs w:val="18"/>
        </w:rPr>
        <w:t>，同时应用多种技术的，用</w:t>
      </w:r>
      <w:r>
        <w:rPr>
          <w:rFonts w:eastAsia="方正仿宋_GBK"/>
          <w:color w:val="000000"/>
          <w:spacing w:val="-2"/>
          <w:sz w:val="18"/>
          <w:szCs w:val="18"/>
        </w:rPr>
        <w:t>“+”</w:t>
      </w:r>
      <w:r>
        <w:rPr>
          <w:rFonts w:hint="eastAsia" w:eastAsia="方正仿宋_GBK"/>
          <w:color w:val="000000"/>
          <w:spacing w:val="-2"/>
          <w:sz w:val="18"/>
          <w:szCs w:val="18"/>
        </w:rPr>
        <w:t>连接；</w:t>
      </w:r>
      <w:r>
        <w:rPr>
          <w:rFonts w:eastAsia="方正仿宋_GBK"/>
          <w:color w:val="000000"/>
          <w:spacing w:val="-2"/>
          <w:sz w:val="18"/>
          <w:szCs w:val="18"/>
        </w:rPr>
        <w:t>9</w:t>
      </w:r>
      <w:r>
        <w:rPr>
          <w:rFonts w:hint="eastAsia" w:eastAsia="方正仿宋_GBK"/>
          <w:color w:val="000000"/>
          <w:spacing w:val="-2"/>
          <w:sz w:val="18"/>
          <w:szCs w:val="18"/>
        </w:rPr>
        <w:t>、全装修住宅：填写</w:t>
      </w:r>
      <w:r>
        <w:rPr>
          <w:rFonts w:eastAsia="方正仿宋_GBK"/>
          <w:color w:val="000000"/>
          <w:spacing w:val="-2"/>
          <w:sz w:val="18"/>
          <w:szCs w:val="18"/>
        </w:rPr>
        <w:t>“</w:t>
      </w:r>
      <w:r>
        <w:rPr>
          <w:rFonts w:hint="eastAsia" w:eastAsia="方正仿宋_GBK"/>
          <w:color w:val="000000"/>
          <w:spacing w:val="-2"/>
          <w:sz w:val="18"/>
          <w:szCs w:val="18"/>
        </w:rPr>
        <w:t>已实施或未实施</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w:t>
      </w:r>
      <w:r>
        <w:rPr>
          <w:rFonts w:hint="eastAsia" w:eastAsia="方正仿宋_GBK"/>
          <w:color w:val="000000"/>
          <w:spacing w:val="-2"/>
          <w:sz w:val="18"/>
          <w:szCs w:val="18"/>
        </w:rPr>
        <w:t>全装修面积</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10</w:t>
      </w:r>
      <w:r>
        <w:rPr>
          <w:rFonts w:hint="eastAsia" w:eastAsia="方正仿宋_GBK"/>
          <w:color w:val="000000"/>
          <w:spacing w:val="-2"/>
          <w:sz w:val="18"/>
          <w:szCs w:val="18"/>
        </w:rPr>
        <w:t>、既有建筑节能改造：填写</w:t>
      </w:r>
      <w:r>
        <w:rPr>
          <w:rFonts w:eastAsia="方正仿宋_GBK"/>
          <w:color w:val="000000"/>
          <w:spacing w:val="-2"/>
          <w:sz w:val="18"/>
          <w:szCs w:val="18"/>
        </w:rPr>
        <w:t>“</w:t>
      </w:r>
      <w:r>
        <w:rPr>
          <w:rFonts w:hint="eastAsia" w:eastAsia="方正仿宋_GBK"/>
          <w:color w:val="000000"/>
          <w:spacing w:val="-2"/>
          <w:sz w:val="18"/>
          <w:szCs w:val="18"/>
        </w:rPr>
        <w:t>已实施或未实施</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11</w:t>
      </w:r>
      <w:r>
        <w:rPr>
          <w:rFonts w:hint="eastAsia" w:eastAsia="方正仿宋_GBK"/>
          <w:color w:val="000000"/>
          <w:spacing w:val="-2"/>
          <w:sz w:val="18"/>
          <w:szCs w:val="18"/>
        </w:rPr>
        <w:t>、能耗分项计量上传：填写</w:t>
      </w:r>
      <w:r>
        <w:rPr>
          <w:rFonts w:eastAsia="方正仿宋_GBK"/>
          <w:color w:val="000000"/>
          <w:spacing w:val="-2"/>
          <w:sz w:val="18"/>
          <w:szCs w:val="18"/>
        </w:rPr>
        <w:t>“</w:t>
      </w:r>
      <w:r>
        <w:rPr>
          <w:rFonts w:hint="eastAsia" w:eastAsia="方正仿宋_GBK"/>
          <w:color w:val="000000"/>
          <w:spacing w:val="-2"/>
          <w:sz w:val="18"/>
          <w:szCs w:val="18"/>
        </w:rPr>
        <w:t>已安装、未安装或已上传</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12</w:t>
      </w:r>
      <w:r>
        <w:rPr>
          <w:rFonts w:hint="eastAsia" w:eastAsia="方正仿宋_GBK"/>
          <w:color w:val="000000"/>
          <w:spacing w:val="-2"/>
          <w:sz w:val="18"/>
          <w:szCs w:val="18"/>
        </w:rPr>
        <w:t>、能效测评标识：填写</w:t>
      </w:r>
      <w:r>
        <w:rPr>
          <w:rFonts w:eastAsia="方正仿宋_GBK"/>
          <w:color w:val="000000"/>
          <w:spacing w:val="-2"/>
          <w:sz w:val="18"/>
          <w:szCs w:val="18"/>
        </w:rPr>
        <w:t>“</w:t>
      </w:r>
      <w:r>
        <w:rPr>
          <w:rFonts w:hint="eastAsia" w:eastAsia="方正仿宋_GBK"/>
          <w:color w:val="000000"/>
          <w:spacing w:val="-2"/>
          <w:sz w:val="18"/>
          <w:szCs w:val="18"/>
        </w:rPr>
        <w:t>已取得或未取得</w:t>
      </w:r>
      <w:r>
        <w:rPr>
          <w:rFonts w:eastAsia="方正仿宋_GBK"/>
          <w:color w:val="000000"/>
          <w:spacing w:val="-2"/>
          <w:sz w:val="18"/>
          <w:szCs w:val="18"/>
        </w:rPr>
        <w:t>”</w:t>
      </w:r>
      <w:r>
        <w:rPr>
          <w:rFonts w:hint="eastAsia" w:eastAsia="方正仿宋_GBK"/>
          <w:color w:val="000000"/>
          <w:spacing w:val="-2"/>
          <w:sz w:val="18"/>
          <w:szCs w:val="18"/>
        </w:rPr>
        <w:t>，已完成能效测评的填写</w:t>
      </w:r>
      <w:r>
        <w:rPr>
          <w:rFonts w:eastAsia="方正仿宋_GBK"/>
          <w:color w:val="000000"/>
          <w:spacing w:val="-2"/>
          <w:sz w:val="18"/>
          <w:szCs w:val="18"/>
        </w:rPr>
        <w:t>“</w:t>
      </w:r>
      <w:r>
        <w:rPr>
          <w:rFonts w:hint="eastAsia" w:eastAsia="方正仿宋_GBK"/>
          <w:color w:val="000000"/>
          <w:spacing w:val="-2"/>
          <w:sz w:val="18"/>
          <w:szCs w:val="18"/>
        </w:rPr>
        <w:t>已完成测评</w:t>
      </w:r>
      <w:r>
        <w:rPr>
          <w:rFonts w:eastAsia="方正仿宋_GBK"/>
          <w:color w:val="000000"/>
          <w:spacing w:val="-2"/>
          <w:sz w:val="18"/>
          <w:szCs w:val="18"/>
        </w:rPr>
        <w:t>”</w:t>
      </w:r>
      <w:r>
        <w:rPr>
          <w:rFonts w:hint="eastAsia" w:eastAsia="方正仿宋_GBK"/>
          <w:color w:val="000000"/>
          <w:spacing w:val="-2"/>
          <w:sz w:val="18"/>
          <w:szCs w:val="18"/>
        </w:rPr>
        <w:t>；</w:t>
      </w:r>
      <w:r>
        <w:rPr>
          <w:rFonts w:eastAsia="方正仿宋_GBK"/>
          <w:color w:val="000000"/>
          <w:spacing w:val="-2"/>
          <w:sz w:val="18"/>
          <w:szCs w:val="18"/>
        </w:rPr>
        <w:t>13</w:t>
      </w:r>
      <w:r>
        <w:rPr>
          <w:rFonts w:hint="eastAsia" w:eastAsia="方正仿宋_GBK"/>
          <w:color w:val="000000"/>
          <w:spacing w:val="-2"/>
          <w:sz w:val="18"/>
          <w:szCs w:val="18"/>
        </w:rPr>
        <w:t>、示范技术增量投资：保留到整数位；</w:t>
      </w:r>
      <w:r>
        <w:rPr>
          <w:rFonts w:eastAsia="方正仿宋_GBK"/>
          <w:color w:val="000000"/>
          <w:spacing w:val="-2"/>
          <w:sz w:val="18"/>
          <w:szCs w:val="18"/>
        </w:rPr>
        <w:t>14</w:t>
      </w:r>
      <w:r>
        <w:rPr>
          <w:rFonts w:hint="eastAsia" w:eastAsia="方正仿宋_GBK"/>
          <w:color w:val="000000"/>
          <w:spacing w:val="-2"/>
          <w:sz w:val="18"/>
          <w:szCs w:val="18"/>
        </w:rPr>
        <w:t>、年节能量：保留到整数位</w:t>
      </w:r>
    </w:p>
    <w:p>
      <w:pPr>
        <w:widowControl/>
        <w:jc w:val="left"/>
        <w:rPr>
          <w:rFonts w:eastAsia="黑体"/>
          <w:color w:val="000000"/>
          <w:spacing w:val="-2"/>
          <w:sz w:val="36"/>
          <w:szCs w:val="36"/>
        </w:rPr>
        <w:sectPr>
          <w:pgSz w:w="16838" w:h="11905" w:orient="landscape"/>
          <w:pgMar w:top="1587" w:right="1701" w:bottom="1587" w:left="1701" w:header="850" w:footer="1361" w:gutter="0"/>
          <w:paperSrc w:first="4" w:other="4"/>
          <w:cols w:space="720" w:num="1"/>
        </w:sectPr>
      </w:pPr>
    </w:p>
    <w:p>
      <w:pPr>
        <w:spacing w:line="320" w:lineRule="exact"/>
        <w:rPr>
          <w:rFonts w:eastAsia="方正仿宋_GBK"/>
          <w:color w:val="000000"/>
          <w:spacing w:val="-2"/>
          <w:sz w:val="24"/>
        </w:rPr>
      </w:pPr>
      <w:r>
        <w:rPr>
          <w:rFonts w:hint="eastAsia" w:ascii="Times New Roman" w:eastAsia="方正黑体_GBK"/>
          <w:color w:val="000000"/>
          <w:spacing w:val="-2"/>
          <w:sz w:val="28"/>
          <w:szCs w:val="28"/>
        </w:rPr>
        <w:t>附件5：</w:t>
      </w:r>
    </w:p>
    <w:p>
      <w:pPr>
        <w:jc w:val="center"/>
        <w:rPr>
          <w:rFonts w:ascii="Times New Roman" w:hAnsi="Times New Roman" w:eastAsia="方正黑体_GBK"/>
          <w:color w:val="000000"/>
          <w:spacing w:val="-2"/>
          <w:sz w:val="36"/>
          <w:szCs w:val="36"/>
        </w:rPr>
      </w:pPr>
      <w:r>
        <w:rPr>
          <w:rFonts w:hint="eastAsia" w:ascii="Times New Roman" w:hAnsi="Times New Roman" w:eastAsia="方正黑体_GBK"/>
          <w:color w:val="000000"/>
          <w:spacing w:val="-2"/>
          <w:sz w:val="36"/>
          <w:szCs w:val="36"/>
        </w:rPr>
        <w:t>示范区实施总结报告编写提纲</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一、示范区概况</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）示范区基本情况；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）对照实施方案，示范区示范目标完成情况和取得的绩效；</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二、示范任务实施情况</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）专项规划编制及批准实施情况（编制情况、评审情况及评审结论、专项规划对示范区的指导以及规划的批准实施情况等）；</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）节约型城乡建设工作实施及指标体系完成情况；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）建筑节能和绿色建筑项目实施及绿色建筑评价标识情况，分类别说明各类示范工作开展情况、建成项目实施效益、在建项目形象进度等；</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三、示范区配套能力建设情况</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）组织领导（领导班子的建立及议事协调、具体办事机构建立及运行情况等）；</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）政策制定（财政补助资金管理办法、项目管理办法等相关文件发布及执行情况，出台优惠激励政策情况等）；</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）技术保障（技术支撑单位工作情况、社会机构培育情况、科技研发等）；</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四、财政补助资金及配套资金安排使用情况</w:t>
      </w:r>
    </w:p>
    <w:p>
      <w:pPr>
        <w:spacing w:line="460" w:lineRule="exact"/>
        <w:ind w:firstLine="472" w:firstLineChars="200"/>
        <w:rPr>
          <w:rFonts w:hint="eastAsia" w:ascii="Times New Roman" w:eastAsia="方正黑体_GBK"/>
          <w:color w:val="000000"/>
          <w:spacing w:val="-2"/>
          <w:sz w:val="24"/>
        </w:rPr>
      </w:pPr>
      <w:r>
        <w:rPr>
          <w:rFonts w:hint="eastAsia" w:ascii="Times New Roman" w:eastAsia="方正黑体_GBK"/>
          <w:color w:val="000000"/>
          <w:spacing w:val="-2"/>
          <w:sz w:val="24"/>
        </w:rPr>
        <w:t>五、示范区示范效应及绩效自评估</w:t>
      </w:r>
    </w:p>
    <w:p>
      <w:pPr>
        <w:spacing w:line="460" w:lineRule="exact"/>
        <w:ind w:firstLine="472" w:firstLineChars="200"/>
        <w:rPr>
          <w:rFonts w:hint="eastAsia" w:ascii="Times New Roman" w:eastAsia="方正黑体_GBK"/>
          <w:color w:val="000000"/>
          <w:spacing w:val="-2"/>
          <w:sz w:val="24"/>
        </w:rPr>
      </w:pPr>
      <w:r>
        <w:rPr>
          <w:rFonts w:hint="eastAsia" w:ascii="Times New Roman" w:eastAsia="方正黑体_GBK"/>
          <w:color w:val="000000"/>
          <w:spacing w:val="-2"/>
          <w:sz w:val="24"/>
        </w:rPr>
        <w:t>六、示范区建设亮点、特点和创新点</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（充分提炼示范区在体制机制创新、技术创新、地域特色鲜明、管理制度和推广模式先进等方面的亮点、特点和创新点）</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七、示范区长效机制建设情况</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（示范区在探索建立后评估体系及后期运营管理制度，推进示范区提档升级开展绿色生态城区创建等示范区建设长效机制情况）</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附表：</w:t>
      </w:r>
      <w:r>
        <w:rPr>
          <w:rFonts w:eastAsia="方正仿宋_GBK"/>
          <w:color w:val="000000"/>
          <w:spacing w:val="-2"/>
          <w:sz w:val="24"/>
        </w:rPr>
        <w:t>xx</w:t>
      </w:r>
      <w:r>
        <w:rPr>
          <w:rFonts w:hint="eastAsia" w:eastAsia="方正仿宋_GBK"/>
          <w:color w:val="000000"/>
          <w:spacing w:val="-2"/>
          <w:sz w:val="24"/>
        </w:rPr>
        <w:t>示范区建筑节能和绿色建筑示范项目汇总表</w:t>
      </w:r>
    </w:p>
    <w:p>
      <w:pPr>
        <w:spacing w:line="460" w:lineRule="exact"/>
        <w:ind w:firstLine="472" w:firstLineChars="200"/>
        <w:rPr>
          <w:rFonts w:ascii="Times New Roman" w:eastAsia="方正黑体_GBK"/>
          <w:color w:val="000000"/>
          <w:spacing w:val="-2"/>
          <w:sz w:val="28"/>
          <w:szCs w:val="28"/>
        </w:rPr>
      </w:pPr>
      <w:r>
        <w:rPr>
          <w:rFonts w:hint="eastAsia" w:eastAsia="方正仿宋_GBK"/>
          <w:color w:val="000000"/>
          <w:spacing w:val="-2"/>
          <w:sz w:val="24"/>
        </w:rPr>
        <w:t>（各项工作均应说明开展情况、计划任务完成情况、实施效益以及经验成果总结）</w:t>
      </w:r>
      <w:r>
        <w:rPr>
          <w:rFonts w:eastAsia="方正仿宋_GBK"/>
          <w:color w:val="000000"/>
          <w:spacing w:val="-2"/>
          <w:sz w:val="24"/>
        </w:rPr>
        <w:br w:type="column"/>
      </w:r>
      <w:r>
        <w:rPr>
          <w:rFonts w:hint="eastAsia" w:ascii="Times New Roman" w:eastAsia="方正黑体_GBK"/>
          <w:color w:val="000000"/>
          <w:spacing w:val="-2"/>
          <w:sz w:val="28"/>
          <w:szCs w:val="28"/>
        </w:rPr>
        <w:t>附件6：</w:t>
      </w:r>
    </w:p>
    <w:p>
      <w:pPr>
        <w:spacing w:line="460" w:lineRule="exact"/>
        <w:jc w:val="center"/>
        <w:rPr>
          <w:rFonts w:hint="eastAsia" w:eastAsia="方正仿宋_GBK"/>
          <w:b/>
          <w:color w:val="000000"/>
          <w:spacing w:val="-2"/>
          <w:sz w:val="24"/>
        </w:rPr>
      </w:pPr>
    </w:p>
    <w:p>
      <w:pPr>
        <w:jc w:val="center"/>
        <w:rPr>
          <w:rFonts w:ascii="Times New Roman" w:hAnsi="Times New Roman" w:eastAsia="方正黑体_GBK"/>
          <w:color w:val="000000"/>
          <w:spacing w:val="-2"/>
          <w:sz w:val="36"/>
          <w:szCs w:val="36"/>
        </w:rPr>
      </w:pPr>
      <w:r>
        <w:rPr>
          <w:rFonts w:hint="eastAsia" w:ascii="Times New Roman" w:hAnsi="Times New Roman" w:eastAsia="方正黑体_GBK"/>
          <w:color w:val="000000"/>
          <w:spacing w:val="-2"/>
          <w:sz w:val="36"/>
          <w:szCs w:val="36"/>
        </w:rPr>
        <w:t>示范区财政补助资金及配套资金使用及管理情况</w:t>
      </w:r>
    </w:p>
    <w:p>
      <w:pPr>
        <w:jc w:val="center"/>
        <w:rPr>
          <w:rFonts w:hint="eastAsia" w:ascii="Times New Roman" w:hAnsi="Times New Roman" w:eastAsia="方正黑体_GBK"/>
          <w:color w:val="000000"/>
          <w:spacing w:val="-2"/>
          <w:sz w:val="36"/>
          <w:szCs w:val="36"/>
        </w:rPr>
      </w:pPr>
      <w:r>
        <w:rPr>
          <w:rFonts w:hint="eastAsia" w:ascii="Times New Roman" w:hAnsi="Times New Roman" w:eastAsia="方正黑体_GBK"/>
          <w:color w:val="000000"/>
          <w:spacing w:val="-2"/>
          <w:sz w:val="36"/>
          <w:szCs w:val="36"/>
        </w:rPr>
        <w:t>总结报告编写提纲</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一、示范区概况</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）示范区基本情况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）对照实施方案，示范区示范目标完成情况和资金安排及拨付概况</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二、财政补助资金及配套资金安排落实、管理使用情况</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）财政补助资金落实、下达拨付情况；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）配套资金落实、下达拨付情况；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）资金监管情况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）绩效评估</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三、资金使用审核结论意见</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（财务审核机构出具的示范区资金使用情况审核报告结论意见）</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四、资金下达、拨付文件等其他材料</w:t>
      </w:r>
    </w:p>
    <w:p>
      <w:pPr>
        <w:spacing w:line="460" w:lineRule="exact"/>
        <w:jc w:val="center"/>
        <w:rPr>
          <w:rFonts w:hint="eastAsia" w:ascii="Times New Roman" w:eastAsia="方正小标宋简体"/>
          <w:color w:val="000000"/>
          <w:sz w:val="36"/>
          <w:szCs w:val="36"/>
        </w:rPr>
      </w:pPr>
    </w:p>
    <w:p>
      <w:pPr>
        <w:spacing w:line="460" w:lineRule="exact"/>
        <w:outlineLvl w:val="0"/>
        <w:rPr>
          <w:rFonts w:hint="eastAsia" w:eastAsia="方正仿宋_GBK"/>
          <w:color w:val="000000"/>
          <w:spacing w:val="-2"/>
          <w:kern w:val="0"/>
          <w:sz w:val="24"/>
        </w:rPr>
      </w:pPr>
    </w:p>
    <w:p>
      <w:pPr>
        <w:spacing w:line="460" w:lineRule="exact"/>
        <w:outlineLvl w:val="0"/>
        <w:rPr>
          <w:rFonts w:eastAsia="方正仿宋_GBK"/>
          <w:color w:val="000000"/>
          <w:spacing w:val="-2"/>
          <w:kern w:val="0"/>
          <w:sz w:val="24"/>
        </w:rPr>
      </w:pPr>
    </w:p>
    <w:p>
      <w:pPr>
        <w:spacing w:line="500" w:lineRule="exact"/>
        <w:ind w:left="-10" w:leftChars="-8" w:hanging="7" w:hangingChars="3"/>
        <w:jc w:val="center"/>
        <w:rPr>
          <w:rFonts w:ascii="Times New Roman" w:eastAsia="方正小标宋简体"/>
          <w:sz w:val="36"/>
          <w:szCs w:val="36"/>
        </w:rPr>
      </w:pPr>
      <w:r>
        <w:rPr>
          <w:rFonts w:eastAsia="方正仿宋_GBK"/>
          <w:color w:val="000000"/>
          <w:spacing w:val="-2"/>
          <w:kern w:val="0"/>
          <w:sz w:val="24"/>
        </w:rPr>
        <w:br w:type="column"/>
      </w:r>
    </w:p>
    <w:p>
      <w:pPr>
        <w:pStyle w:val="2"/>
        <w:spacing w:before="240" w:beforeLines="100" w:after="240" w:afterLines="100" w:line="240" w:lineRule="auto"/>
        <w:jc w:val="center"/>
        <w:rPr>
          <w:rFonts w:hint="eastAsia" w:ascii="Times New Roman" w:eastAsia="方正小标宋_GBK"/>
          <w:b w:val="0"/>
          <w:sz w:val="36"/>
          <w:szCs w:val="36"/>
        </w:rPr>
      </w:pPr>
      <w:bookmarkStart w:id="403" w:name="_Toc18315568"/>
      <w:bookmarkStart w:id="404" w:name="_Toc20726462"/>
      <w:r>
        <w:rPr>
          <w:rFonts w:hint="eastAsia" w:ascii="Times New Roman" w:eastAsia="方正小标宋_GBK"/>
          <w:b w:val="0"/>
          <w:sz w:val="36"/>
          <w:szCs w:val="36"/>
        </w:rPr>
        <w:t>省住房和城乡建设厅关于加强工程建设企业技术标准  质量管理的通知</w:t>
      </w:r>
      <w:bookmarkEnd w:id="403"/>
      <w:bookmarkEnd w:id="404"/>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05" w:name="_Toc20726463"/>
      <w:bookmarkStart w:id="406" w:name="_Toc18315569"/>
      <w:r>
        <w:rPr>
          <w:rFonts w:hint="eastAsia" w:ascii="Times New Roman" w:hAnsi="Times New Roman" w:eastAsia="方正楷体_GBK"/>
          <w:b w:val="0"/>
          <w:sz w:val="24"/>
          <w:szCs w:val="24"/>
        </w:rPr>
        <w:t>苏建函科〔</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711</w:t>
      </w:r>
      <w:r>
        <w:rPr>
          <w:rFonts w:hint="eastAsia" w:ascii="Times New Roman" w:hAnsi="Times New Roman" w:eastAsia="方正楷体_GBK"/>
          <w:b w:val="0"/>
          <w:sz w:val="24"/>
          <w:szCs w:val="24"/>
        </w:rPr>
        <w:t>号</w:t>
      </w:r>
      <w:bookmarkEnd w:id="405"/>
      <w:bookmarkEnd w:id="406"/>
    </w:p>
    <w:p>
      <w:pPr>
        <w:spacing w:line="460" w:lineRule="exact"/>
        <w:rPr>
          <w:rFonts w:eastAsia="方正仿宋_GBK"/>
          <w:color w:val="000000"/>
          <w:spacing w:val="-2"/>
          <w:sz w:val="24"/>
        </w:rPr>
      </w:pPr>
      <w:r>
        <w:rPr>
          <w:rFonts w:hint="eastAsia" w:eastAsia="方正仿宋_GBK"/>
          <w:color w:val="000000"/>
          <w:spacing w:val="-2"/>
          <w:sz w:val="24"/>
        </w:rPr>
        <w:t>各省辖市建设局（委），昆山、泰兴、沭阳县（市）建设局：</w:t>
      </w:r>
    </w:p>
    <w:p>
      <w:pPr>
        <w:spacing w:line="460" w:lineRule="exact"/>
        <w:ind w:firstLine="555"/>
        <w:rPr>
          <w:rFonts w:eastAsia="方正仿宋_GBK"/>
          <w:color w:val="000000"/>
          <w:spacing w:val="-2"/>
          <w:kern w:val="0"/>
          <w:sz w:val="24"/>
        </w:rPr>
      </w:pPr>
      <w:r>
        <w:rPr>
          <w:rFonts w:hint="eastAsia" w:eastAsia="方正仿宋_GBK"/>
          <w:color w:val="000000"/>
          <w:spacing w:val="-2"/>
          <w:kern w:val="0"/>
          <w:sz w:val="24"/>
        </w:rPr>
        <w:t>为提高工程建设企业标准化水平，推进工程建设企业科技创新，充分发挥标准在新技术、新材料、新工艺、新产品等科技成果转化中的约束引导、桥梁纽带和技术支撑作用，进一步确保工程质量和安全，根据国家工程建设企业标准化管理的有关规定，现就加强工程建设企业技术标准（以下简称企业技术标准）质量管理工作通知如下：</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企业技术标准是指对工程建设企业中需要协调和统一的技术要求所制定的标准，涉及材料和设备采购的技术要求，勘察、设计或施工过程中的质量、方法或工艺的要求，安全、卫生和环境保护的技术要求以及试验、检验和评定的方法等。</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已有国家标准、行业标准或地方标准的，工程建设企业可以按照国家标准、行业标准或地方标准的规定执行，也可以根据本企业的技术特点和工程实际需要制定优于国家标准、行业标准或地方标准的企业标准；对没有国家标准、行业标准或地方标准的，工程建设企业应当制定企业标准。企业可以自行组织编制企业技术标准，亦可委托相关机构编制。鼓励企业加大新技术推广应用力度，不断总结实践经验，适时将企业技术标准上升为地方标准。</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企业是企业技术标准制定和实施的主体，对企业技术标准的内容及实施结果承担责任。企业应组织用户、生产单位、科研机构及有关专家对企业技术标准进行审查，并根据审查意见进行修改后定稿。企业法定代表人或者其授权人负责批准、发布企业技术标准。发布后的企业技术标准是企业组织生产和推广应用的技术依据，</w:t>
      </w:r>
      <w:r>
        <w:rPr>
          <w:rFonts w:hint="eastAsia" w:eastAsia="方正仿宋_GBK"/>
          <w:bCs/>
          <w:color w:val="000000"/>
          <w:spacing w:val="-2"/>
          <w:sz w:val="24"/>
        </w:rPr>
        <w:t>可作为签订建设工程承包合同时约定质量指标的考核标准。</w:t>
      </w:r>
    </w:p>
    <w:p>
      <w:pPr>
        <w:spacing w:line="460" w:lineRule="exact"/>
        <w:ind w:firstLine="472" w:firstLineChars="200"/>
        <w:rPr>
          <w:rFonts w:eastAsia="方正仿宋_GBK"/>
          <w:bCs/>
          <w:color w:val="000000"/>
          <w:spacing w:val="-2"/>
          <w:sz w:val="24"/>
        </w:rPr>
      </w:pPr>
      <w:r>
        <w:rPr>
          <w:rFonts w:hint="eastAsia" w:eastAsia="方正仿宋_GBK"/>
          <w:bCs/>
          <w:color w:val="000000"/>
          <w:spacing w:val="-2"/>
          <w:sz w:val="24"/>
        </w:rPr>
        <w:t>四、企业应定期对企业技术标准进行复审，确保其有效性、先进性和适用性，复审周期一般不超过３年。在有相应的国家标准、行业标准或地方标准发布实施后，企业标准应当及时复审，并确定其继续有效、修订或者废止。</w:t>
      </w:r>
    </w:p>
    <w:p>
      <w:pPr>
        <w:spacing w:line="460" w:lineRule="exact"/>
        <w:ind w:firstLine="472" w:firstLineChars="200"/>
        <w:rPr>
          <w:rFonts w:eastAsia="方正仿宋_GBK"/>
          <w:bCs/>
          <w:color w:val="000000"/>
          <w:spacing w:val="-2"/>
          <w:sz w:val="24"/>
        </w:rPr>
      </w:pPr>
      <w:r>
        <w:rPr>
          <w:rFonts w:hint="eastAsia" w:eastAsia="方正仿宋_GBK"/>
          <w:bCs/>
          <w:color w:val="000000"/>
          <w:spacing w:val="-2"/>
          <w:sz w:val="24"/>
        </w:rPr>
        <w:t>五、按照自愿原则，企业可委托江苏省工程建设标准站对企业技术标准进行认证、公告。通过认证、公告的企业技术标准在所应用工程技术文件中可直接引用，可作为其编制勘察设计文件、施工图审查、施工安装、工程监理、工程检测、质量验收和使用维护管理的技术依据。</w:t>
      </w:r>
    </w:p>
    <w:p>
      <w:pPr>
        <w:spacing w:line="460" w:lineRule="exact"/>
        <w:ind w:firstLine="476" w:firstLineChars="202"/>
        <w:rPr>
          <w:rFonts w:eastAsia="方正仿宋_GBK"/>
          <w:bCs/>
          <w:color w:val="000000"/>
          <w:spacing w:val="-2"/>
          <w:sz w:val="24"/>
        </w:rPr>
      </w:pPr>
      <w:r>
        <w:rPr>
          <w:rFonts w:hint="eastAsia" w:eastAsia="方正仿宋_GBK"/>
          <w:bCs/>
          <w:color w:val="000000"/>
          <w:spacing w:val="-2"/>
          <w:sz w:val="24"/>
        </w:rPr>
        <w:t>六、江苏省工程建设标准站按照</w:t>
      </w:r>
      <w:r>
        <w:rPr>
          <w:rFonts w:eastAsia="方正仿宋_GBK"/>
          <w:bCs/>
          <w:color w:val="000000"/>
          <w:spacing w:val="-2"/>
          <w:sz w:val="24"/>
        </w:rPr>
        <w:t>“</w:t>
      </w:r>
      <w:r>
        <w:rPr>
          <w:rFonts w:hint="eastAsia" w:eastAsia="方正仿宋_GBK"/>
          <w:bCs/>
          <w:color w:val="000000"/>
          <w:spacing w:val="-2"/>
          <w:sz w:val="24"/>
        </w:rPr>
        <w:t>科学性、公益性、便捷化</w:t>
      </w:r>
      <w:r>
        <w:rPr>
          <w:rFonts w:eastAsia="方正仿宋_GBK"/>
          <w:bCs/>
          <w:color w:val="000000"/>
          <w:spacing w:val="-2"/>
          <w:sz w:val="24"/>
        </w:rPr>
        <w:t>”</w:t>
      </w:r>
      <w:r>
        <w:rPr>
          <w:rFonts w:hint="eastAsia" w:eastAsia="方正仿宋_GBK"/>
          <w:bCs/>
          <w:color w:val="000000"/>
          <w:spacing w:val="-2"/>
          <w:sz w:val="24"/>
        </w:rPr>
        <w:t>原则，制定企业技术标准认证、公告程序，规范企业技术标准认证、公告工作；参照住房城乡建设部《工程建设标准出版印刷规定》要求，统一企业技术标准版式；正式公告前将有关情况上报省住房城乡建设厅。</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七、企业制定发布的工程建设标准设计参照本通知要求执行。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八、本通知执行过程中，如有意见和建议请反馈至省住房城乡建设厅建筑节能与科研设计处。</w:t>
      </w:r>
    </w:p>
    <w:p>
      <w:pPr>
        <w:spacing w:line="460" w:lineRule="exact"/>
        <w:ind w:firstLine="476" w:firstLineChars="202"/>
        <w:rPr>
          <w:rFonts w:eastAsia="方正仿宋_GBK"/>
          <w:bCs/>
          <w:color w:val="000000"/>
          <w:spacing w:val="-2"/>
          <w:sz w:val="24"/>
        </w:rPr>
      </w:pPr>
    </w:p>
    <w:p>
      <w:pPr>
        <w:spacing w:line="460" w:lineRule="exact"/>
        <w:ind w:right="480"/>
        <w:jc w:val="right"/>
        <w:rPr>
          <w:rFonts w:eastAsia="方正仿宋_GBK"/>
          <w:color w:val="000000"/>
          <w:spacing w:val="-2"/>
          <w:sz w:val="24"/>
        </w:rPr>
      </w:pPr>
      <w:r>
        <w:rPr>
          <w:rFonts w:hint="eastAsia" w:eastAsia="方正仿宋_GBK"/>
          <w:color w:val="000000"/>
          <w:spacing w:val="-2"/>
          <w:sz w:val="24"/>
        </w:rPr>
        <w:t>江苏省住房和城乡建设厅</w:t>
      </w:r>
    </w:p>
    <w:p>
      <w:pPr>
        <w:spacing w:line="460" w:lineRule="exact"/>
        <w:ind w:right="498" w:rightChars="237"/>
        <w:rPr>
          <w:rFonts w:eastAsia="方正仿宋_GBK"/>
          <w:color w:val="000000"/>
          <w:spacing w:val="-2"/>
          <w:sz w:val="24"/>
        </w:rPr>
      </w:pPr>
      <w:r>
        <w:rPr>
          <w:rFonts w:eastAsia="方正仿宋_GBK"/>
          <w:color w:val="000000"/>
          <w:spacing w:val="-2"/>
          <w:sz w:val="24"/>
        </w:rPr>
        <w:t xml:space="preserve">                                                    2013</w:t>
      </w:r>
      <w:r>
        <w:rPr>
          <w:rFonts w:hint="eastAsia" w:eastAsia="方正仿宋_GBK"/>
          <w:color w:val="000000"/>
          <w:spacing w:val="-2"/>
          <w:sz w:val="24"/>
        </w:rPr>
        <w:t>年</w:t>
      </w:r>
      <w:r>
        <w:rPr>
          <w:rFonts w:eastAsia="方正仿宋_GBK"/>
          <w:color w:val="000000"/>
          <w:spacing w:val="-2"/>
          <w:sz w:val="24"/>
        </w:rPr>
        <w:t>10</w:t>
      </w:r>
      <w:r>
        <w:rPr>
          <w:rFonts w:hint="eastAsia" w:eastAsia="方正仿宋_GBK"/>
          <w:color w:val="000000"/>
          <w:spacing w:val="-2"/>
          <w:sz w:val="24"/>
        </w:rPr>
        <w:t>月</w:t>
      </w:r>
      <w:r>
        <w:rPr>
          <w:rFonts w:eastAsia="方正仿宋_GBK"/>
          <w:color w:val="000000"/>
          <w:spacing w:val="-2"/>
          <w:sz w:val="24"/>
        </w:rPr>
        <w:t>30</w:t>
      </w:r>
      <w:r>
        <w:rPr>
          <w:rFonts w:hint="eastAsia" w:eastAsia="方正仿宋_GBK"/>
          <w:color w:val="000000"/>
          <w:spacing w:val="-2"/>
          <w:sz w:val="24"/>
        </w:rPr>
        <w:t>日</w:t>
      </w:r>
    </w:p>
    <w:p>
      <w:pPr>
        <w:spacing w:line="460" w:lineRule="exact"/>
        <w:rPr>
          <w:rFonts w:eastAsia="方正仿宋_GBK"/>
          <w:color w:val="000000"/>
          <w:spacing w:val="-2"/>
          <w:sz w:val="24"/>
        </w:rPr>
      </w:pPr>
    </w:p>
    <w:p>
      <w:pPr>
        <w:pStyle w:val="2"/>
        <w:spacing w:before="240" w:beforeLines="100" w:after="240" w:afterLines="100" w:line="240" w:lineRule="auto"/>
        <w:jc w:val="center"/>
        <w:rPr>
          <w:rFonts w:ascii="Times New Roman" w:eastAsia="方正小标宋_GBK"/>
          <w:b w:val="0"/>
          <w:sz w:val="36"/>
          <w:szCs w:val="36"/>
        </w:rPr>
      </w:pPr>
      <w:r>
        <w:rPr>
          <w:b w:val="0"/>
        </w:rPr>
        <w:br w:type="column"/>
      </w:r>
      <w:bookmarkStart w:id="407" w:name="_Toc20726466"/>
      <w:r>
        <w:rPr>
          <w:rFonts w:hint="eastAsia" w:ascii="Times New Roman" w:eastAsia="方正小标宋_GBK"/>
          <w:b w:val="0"/>
          <w:sz w:val="36"/>
          <w:szCs w:val="36"/>
        </w:rPr>
        <w:t>省住房城乡建设厅关于实施民用建筑设计方案        绿色设计审查的通知</w:t>
      </w:r>
      <w:bookmarkEnd w:id="40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08" w:name="_Toc18315576"/>
      <w:bookmarkStart w:id="409" w:name="_Toc20726467"/>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439</w:t>
      </w:r>
      <w:r>
        <w:rPr>
          <w:rFonts w:hint="eastAsia" w:ascii="Times New Roman" w:hAnsi="Times New Roman" w:eastAsia="方正楷体_GBK"/>
          <w:b w:val="0"/>
          <w:sz w:val="24"/>
          <w:szCs w:val="24"/>
        </w:rPr>
        <w:t>号</w:t>
      </w:r>
      <w:bookmarkEnd w:id="408"/>
      <w:bookmarkEnd w:id="409"/>
    </w:p>
    <w:p>
      <w:pPr>
        <w:spacing w:line="460" w:lineRule="exact"/>
        <w:rPr>
          <w:rFonts w:eastAsia="方正仿宋_GBK"/>
          <w:color w:val="000000"/>
          <w:spacing w:val="-2"/>
          <w:sz w:val="24"/>
        </w:rPr>
      </w:pPr>
      <w:r>
        <w:rPr>
          <w:rFonts w:hint="eastAsia" w:eastAsia="方正仿宋_GBK"/>
          <w:color w:val="000000"/>
          <w:spacing w:val="-2"/>
          <w:sz w:val="24"/>
        </w:rPr>
        <w:t>各市规划局、建设局（建委）：</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贯彻落实《江苏省绿色建筑发展条例》，加强对民用建筑设计方案中有关绿色建筑内容的审查，依据《江苏省绿色建筑设计标准》及相关建筑节能标准，我厅编制了《江苏省民用建筑设计方案绿色设计文件编制深度规定（试行）》（附件</w:t>
      </w:r>
      <w:r>
        <w:rPr>
          <w:rFonts w:eastAsia="方正仿宋_GBK"/>
          <w:color w:val="000000"/>
          <w:spacing w:val="-2"/>
          <w:sz w:val="24"/>
        </w:rPr>
        <w:t>1</w:t>
      </w:r>
      <w:r>
        <w:rPr>
          <w:rFonts w:hint="eastAsia" w:eastAsia="方正仿宋_GBK"/>
          <w:color w:val="000000"/>
          <w:spacing w:val="-2"/>
          <w:sz w:val="24"/>
        </w:rPr>
        <w:t>，以下简称</w:t>
      </w:r>
      <w:r>
        <w:rPr>
          <w:rFonts w:eastAsia="方正仿宋_GBK"/>
          <w:color w:val="000000"/>
          <w:spacing w:val="-2"/>
          <w:sz w:val="24"/>
        </w:rPr>
        <w:t>“</w:t>
      </w:r>
      <w:r>
        <w:rPr>
          <w:rFonts w:hint="eastAsia" w:eastAsia="方正仿宋_GBK"/>
          <w:color w:val="000000"/>
          <w:spacing w:val="-2"/>
          <w:sz w:val="24"/>
        </w:rPr>
        <w:t>绿色设计编制深度规定</w:t>
      </w:r>
      <w:r>
        <w:rPr>
          <w:rFonts w:eastAsia="方正仿宋_GBK"/>
          <w:color w:val="000000"/>
          <w:spacing w:val="-2"/>
          <w:sz w:val="24"/>
        </w:rPr>
        <w:t>”</w:t>
      </w:r>
      <w:r>
        <w:rPr>
          <w:rFonts w:hint="eastAsia" w:eastAsia="方正仿宋_GBK"/>
          <w:color w:val="000000"/>
          <w:spacing w:val="-2"/>
          <w:sz w:val="24"/>
        </w:rPr>
        <w:t>）和《江苏省民用建筑设计方案绿色设计文件技术审查要点（试行）》（附件</w:t>
      </w:r>
      <w:r>
        <w:rPr>
          <w:rFonts w:eastAsia="方正仿宋_GBK"/>
          <w:color w:val="000000"/>
          <w:spacing w:val="-2"/>
          <w:sz w:val="24"/>
        </w:rPr>
        <w:t>2</w:t>
      </w:r>
      <w:r>
        <w:rPr>
          <w:rFonts w:hint="eastAsia" w:eastAsia="方正仿宋_GBK"/>
          <w:color w:val="000000"/>
          <w:spacing w:val="-2"/>
          <w:sz w:val="24"/>
        </w:rPr>
        <w:t>，以下简称</w:t>
      </w:r>
      <w:r>
        <w:rPr>
          <w:rFonts w:eastAsia="方正仿宋_GBK"/>
          <w:color w:val="000000"/>
          <w:spacing w:val="-2"/>
          <w:sz w:val="24"/>
        </w:rPr>
        <w:t>“</w:t>
      </w:r>
      <w:r>
        <w:rPr>
          <w:rFonts w:hint="eastAsia" w:eastAsia="方正仿宋_GBK"/>
          <w:color w:val="000000"/>
          <w:spacing w:val="-2"/>
          <w:sz w:val="24"/>
        </w:rPr>
        <w:t>绿色设计审查要点</w:t>
      </w:r>
      <w:r>
        <w:rPr>
          <w:rFonts w:eastAsia="方正仿宋_GBK"/>
          <w:color w:val="000000"/>
          <w:spacing w:val="-2"/>
          <w:sz w:val="24"/>
        </w:rPr>
        <w:t>”</w:t>
      </w:r>
      <w:r>
        <w:rPr>
          <w:rFonts w:hint="eastAsia" w:eastAsia="方正仿宋_GBK"/>
          <w:color w:val="000000"/>
          <w:spacing w:val="-2"/>
          <w:sz w:val="24"/>
        </w:rPr>
        <w:t>），现印发给你们，并将有关事项通知如下：</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一、设计方案报审</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自</w:t>
      </w:r>
      <w:r>
        <w:rPr>
          <w:rFonts w:eastAsia="方正仿宋_GBK"/>
          <w:color w:val="000000"/>
          <w:spacing w:val="-2"/>
          <w:sz w:val="24"/>
        </w:rPr>
        <w:t>10</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日起，我省新建民用建筑设计方案应当符合</w:t>
      </w:r>
      <w:r>
        <w:rPr>
          <w:rFonts w:eastAsia="方正仿宋_GBK"/>
          <w:color w:val="000000"/>
          <w:spacing w:val="-2"/>
          <w:sz w:val="24"/>
        </w:rPr>
        <w:t>“</w:t>
      </w:r>
      <w:r>
        <w:rPr>
          <w:rFonts w:hint="eastAsia" w:eastAsia="方正仿宋_GBK"/>
          <w:color w:val="000000"/>
          <w:spacing w:val="-2"/>
          <w:sz w:val="24"/>
        </w:rPr>
        <w:t>绿色设计编制深度规定</w:t>
      </w:r>
      <w:r>
        <w:rPr>
          <w:rFonts w:eastAsia="方正仿宋_GBK"/>
          <w:color w:val="000000"/>
          <w:spacing w:val="-2"/>
          <w:sz w:val="24"/>
        </w:rPr>
        <w:t>”</w:t>
      </w:r>
      <w:r>
        <w:rPr>
          <w:rFonts w:hint="eastAsia" w:eastAsia="方正仿宋_GBK"/>
          <w:color w:val="000000"/>
          <w:spacing w:val="-2"/>
          <w:sz w:val="24"/>
        </w:rPr>
        <w:t>要求，建设单位申请规划审查时，应当提交《江苏省民用建筑设计方案绿色设计报审表（公共建筑）》（附件</w:t>
      </w:r>
      <w:r>
        <w:rPr>
          <w:rFonts w:eastAsia="方正仿宋_GBK"/>
          <w:color w:val="000000"/>
          <w:spacing w:val="-2"/>
          <w:sz w:val="24"/>
        </w:rPr>
        <w:t>3</w:t>
      </w:r>
      <w:r>
        <w:rPr>
          <w:rFonts w:hint="eastAsia" w:eastAsia="方正仿宋_GBK"/>
          <w:color w:val="000000"/>
          <w:spacing w:val="-2"/>
          <w:sz w:val="24"/>
        </w:rPr>
        <w:t>）、《江苏省民用建筑设计方案绿色设计报审表（居住建筑）》（附件</w:t>
      </w:r>
      <w:r>
        <w:rPr>
          <w:rFonts w:eastAsia="方正仿宋_GBK"/>
          <w:color w:val="000000"/>
          <w:spacing w:val="-2"/>
          <w:sz w:val="24"/>
        </w:rPr>
        <w:t>4</w:t>
      </w:r>
      <w:r>
        <w:rPr>
          <w:rFonts w:hint="eastAsia" w:eastAsia="方正仿宋_GBK"/>
          <w:color w:val="000000"/>
          <w:spacing w:val="-2"/>
          <w:sz w:val="24"/>
        </w:rPr>
        <w:t>）等相关资料。原《江苏省建筑设计方案节能设计专项说明编制要点》、《江苏省建筑设计方案节能设计审查表》同期废止。</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二、绿色设计审查</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（一）规划主管部门组织规划审查，应当征求建设主管部门对设计方案中绿色设计内容的意见（不再单独就节能审查征求建设主管部门意见）。建设主管部门应当自收到征求意见材料之日起</w:t>
      </w:r>
      <w:r>
        <w:rPr>
          <w:rFonts w:eastAsia="方正仿宋_GBK"/>
          <w:color w:val="000000"/>
          <w:spacing w:val="-2"/>
          <w:sz w:val="24"/>
        </w:rPr>
        <w:t>10</w:t>
      </w:r>
      <w:r>
        <w:rPr>
          <w:rFonts w:hint="eastAsia" w:eastAsia="方正仿宋_GBK"/>
          <w:color w:val="000000"/>
          <w:spacing w:val="-2"/>
          <w:sz w:val="24"/>
        </w:rPr>
        <w:t>日内提出意见。征求意见时间不计算在规划许可的期限内。</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提高工作效率，建设单位也可在向规划主管部门申请规划审查前，先申请建设主管部门对设计方案中绿色设计内容进行审查，由建设主管部门出具审查意见。建设主管部门已出具审查意见的项目，规划主管部门组织规划审查时不再征求建设主管部门意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各市规划主管部门、建设主管部门应根据本通知要求，结合当地实际情况，确立绿色设计审查具体工作流程。</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（二）各地规划主管部门、建设主管部门应当严格按照</w:t>
      </w:r>
      <w:r>
        <w:rPr>
          <w:rFonts w:eastAsia="方正仿宋_GBK"/>
          <w:color w:val="000000"/>
          <w:spacing w:val="-2"/>
          <w:sz w:val="24"/>
        </w:rPr>
        <w:t>“</w:t>
      </w:r>
      <w:r>
        <w:rPr>
          <w:rFonts w:hint="eastAsia" w:eastAsia="方正仿宋_GBK"/>
          <w:color w:val="000000"/>
          <w:spacing w:val="-2"/>
          <w:sz w:val="24"/>
        </w:rPr>
        <w:t>绿色设计审查要点</w:t>
      </w:r>
      <w:r>
        <w:rPr>
          <w:rFonts w:eastAsia="方正仿宋_GBK"/>
          <w:color w:val="000000"/>
          <w:spacing w:val="-2"/>
          <w:sz w:val="24"/>
        </w:rPr>
        <w:t>”</w:t>
      </w:r>
      <w:r>
        <w:rPr>
          <w:rFonts w:hint="eastAsia" w:eastAsia="方正仿宋_GBK"/>
          <w:color w:val="000000"/>
          <w:spacing w:val="-2"/>
          <w:sz w:val="24"/>
        </w:rPr>
        <w:t>进行审查。其中</w:t>
      </w:r>
      <w:r>
        <w:rPr>
          <w:rFonts w:eastAsia="方正仿宋_GBK"/>
          <w:color w:val="000000"/>
          <w:spacing w:val="-2"/>
          <w:sz w:val="24"/>
        </w:rPr>
        <w:t>1</w:t>
      </w:r>
      <w:r>
        <w:rPr>
          <w:rFonts w:hint="eastAsia" w:eastAsia="方正仿宋_GBK"/>
          <w:color w:val="000000"/>
          <w:spacing w:val="-2"/>
          <w:sz w:val="24"/>
        </w:rPr>
        <w:t>～</w:t>
      </w:r>
      <w:r>
        <w:rPr>
          <w:rFonts w:eastAsia="方正仿宋_GBK"/>
          <w:color w:val="000000"/>
          <w:spacing w:val="-2"/>
          <w:sz w:val="24"/>
        </w:rPr>
        <w:t>13</w:t>
      </w:r>
      <w:r>
        <w:rPr>
          <w:rFonts w:hint="eastAsia" w:eastAsia="方正仿宋_GBK"/>
          <w:color w:val="000000"/>
          <w:spacing w:val="-2"/>
          <w:sz w:val="24"/>
        </w:rPr>
        <w:t>条由规划主管部门审查，</w:t>
      </w:r>
      <w:r>
        <w:rPr>
          <w:rFonts w:eastAsia="方正仿宋_GBK"/>
          <w:color w:val="000000"/>
          <w:spacing w:val="-2"/>
          <w:sz w:val="24"/>
        </w:rPr>
        <w:t>14</w:t>
      </w:r>
      <w:r>
        <w:rPr>
          <w:rFonts w:hint="eastAsia" w:eastAsia="方正仿宋_GBK"/>
          <w:color w:val="000000"/>
          <w:spacing w:val="-2"/>
          <w:sz w:val="24"/>
        </w:rPr>
        <w:t>～</w:t>
      </w:r>
      <w:r>
        <w:rPr>
          <w:rFonts w:eastAsia="方正仿宋_GBK"/>
          <w:color w:val="000000"/>
          <w:spacing w:val="-2"/>
          <w:sz w:val="24"/>
        </w:rPr>
        <w:t>20</w:t>
      </w:r>
      <w:r>
        <w:rPr>
          <w:rFonts w:hint="eastAsia" w:eastAsia="方正仿宋_GBK"/>
          <w:color w:val="000000"/>
          <w:spacing w:val="-2"/>
          <w:sz w:val="24"/>
        </w:rPr>
        <w:t>条由建设主管部门审查。审查未通过的，不得颁发建设工程规划许可证。</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本通知执行过程中如有问题请及时与我厅联系。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联系人：厅科技处费宗欣</w:t>
      </w:r>
      <w:r>
        <w:rPr>
          <w:rFonts w:eastAsia="方正仿宋_GBK"/>
          <w:color w:val="000000"/>
          <w:spacing w:val="-2"/>
          <w:sz w:val="24"/>
        </w:rPr>
        <w:t xml:space="preserve"> 025-51868871</w:t>
      </w:r>
      <w:r>
        <w:rPr>
          <w:rFonts w:hint="eastAsia" w:eastAsia="方正仿宋_GBK"/>
          <w:color w:val="000000"/>
          <w:spacing w:val="-2"/>
          <w:sz w:val="24"/>
        </w:rPr>
        <w:t>；省建设工程设计施工图审核中心陆湛秋</w:t>
      </w:r>
      <w:r>
        <w:rPr>
          <w:rFonts w:eastAsia="方正仿宋_GBK"/>
          <w:color w:val="000000"/>
          <w:spacing w:val="-2"/>
          <w:sz w:val="24"/>
        </w:rPr>
        <w:t xml:space="preserve"> 025-51868391</w:t>
      </w:r>
      <w:r>
        <w:rPr>
          <w:rFonts w:hint="eastAsia" w:eastAsia="方正仿宋_GBK"/>
          <w:color w:val="000000"/>
          <w:spacing w:val="-2"/>
          <w:sz w:val="24"/>
        </w:rPr>
        <w:t>。</w:t>
      </w:r>
    </w:p>
    <w:p>
      <w:pPr>
        <w:spacing w:line="460" w:lineRule="exact"/>
        <w:ind w:left="1669" w:hanging="1031"/>
        <w:rPr>
          <w:rFonts w:eastAsia="方正仿宋_GBK"/>
          <w:color w:val="000000"/>
          <w:spacing w:val="-2"/>
          <w:sz w:val="24"/>
        </w:rPr>
      </w:pPr>
    </w:p>
    <w:p>
      <w:pPr>
        <w:spacing w:line="460" w:lineRule="exact"/>
        <w:ind w:left="1669" w:hanging="1031"/>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ab/>
      </w:r>
      <w:r>
        <w:rPr>
          <w:rFonts w:eastAsia="方正仿宋_GBK"/>
          <w:color w:val="000000"/>
          <w:spacing w:val="-2"/>
          <w:sz w:val="24"/>
        </w:rPr>
        <w:t>1</w:t>
      </w:r>
      <w:r>
        <w:rPr>
          <w:rFonts w:hint="eastAsia" w:eastAsia="方正仿宋_GBK"/>
          <w:color w:val="000000"/>
          <w:spacing w:val="-2"/>
          <w:sz w:val="24"/>
        </w:rPr>
        <w:t>．《江苏省民用建筑设计方案绿色设计文件编制深度规定（试行）》</w:t>
      </w:r>
    </w:p>
    <w:p>
      <w:pPr>
        <w:spacing w:line="460" w:lineRule="exact"/>
        <w:ind w:left="1669"/>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．《江苏省民用建筑设计方案绿色设计文件技术审查要点（试行）》</w:t>
      </w:r>
    </w:p>
    <w:p>
      <w:pPr>
        <w:spacing w:line="460" w:lineRule="exact"/>
        <w:ind w:left="1669"/>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．《江苏省民用建筑设计方案绿色设计报审表（公共建筑）》</w:t>
      </w:r>
    </w:p>
    <w:p>
      <w:pPr>
        <w:spacing w:line="460" w:lineRule="exact"/>
        <w:ind w:left="1669"/>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．《江苏省民用建筑设计方案绿色设计报审表（居住建筑）》</w:t>
      </w:r>
    </w:p>
    <w:p>
      <w:pPr>
        <w:spacing w:line="460" w:lineRule="exact"/>
        <w:rPr>
          <w:rFonts w:eastAsia="方正仿宋_GBK"/>
          <w:color w:val="000000"/>
          <w:spacing w:val="-2"/>
          <w:sz w:val="24"/>
        </w:rPr>
      </w:pPr>
    </w:p>
    <w:p>
      <w:pPr>
        <w:tabs>
          <w:tab w:val="left" w:pos="5700"/>
        </w:tabs>
        <w:spacing w:line="460" w:lineRule="exact"/>
        <w:ind w:right="640" w:firstLine="3422" w:firstLineChars="1450"/>
        <w:rPr>
          <w:rFonts w:eastAsia="方正仿宋_GBK"/>
          <w:color w:val="000000"/>
          <w:spacing w:val="-2"/>
          <w:sz w:val="24"/>
        </w:rPr>
      </w:pPr>
      <w:r>
        <w:rPr>
          <w:rFonts w:eastAsia="方正仿宋_GBK"/>
          <w:color w:val="000000"/>
          <w:spacing w:val="-2"/>
          <w:sz w:val="24"/>
        </w:rPr>
        <w:tab/>
      </w:r>
    </w:p>
    <w:p>
      <w:pPr>
        <w:spacing w:line="460" w:lineRule="exact"/>
        <w:ind w:right="438" w:firstLine="3422" w:firstLineChars="1450"/>
        <w:jc w:val="right"/>
        <w:rPr>
          <w:rFonts w:eastAsia="方正仿宋_GBK"/>
          <w:color w:val="000000"/>
          <w:spacing w:val="-2"/>
          <w:sz w:val="24"/>
        </w:rPr>
      </w:pPr>
      <w:r>
        <w:rPr>
          <w:rFonts w:hint="eastAsia" w:eastAsia="方正仿宋_GBK"/>
          <w:color w:val="000000"/>
          <w:spacing w:val="-2"/>
          <w:sz w:val="24"/>
        </w:rPr>
        <w:t>江苏省住房城乡建设厅</w:t>
      </w:r>
      <w:r>
        <w:rPr>
          <w:rFonts w:eastAsia="方正仿宋_GBK"/>
          <w:color w:val="000000"/>
          <w:spacing w:val="-2"/>
          <w:sz w:val="24"/>
        </w:rPr>
        <w:t xml:space="preserve">    </w:t>
      </w:r>
    </w:p>
    <w:p>
      <w:pPr>
        <w:spacing w:line="460" w:lineRule="exact"/>
        <w:ind w:right="458" w:rightChars="218" w:firstLine="6136" w:firstLineChars="2600"/>
        <w:rPr>
          <w:rFonts w:eastAsia="方正仿宋_GBK"/>
          <w:color w:val="000000"/>
          <w:spacing w:val="-2"/>
          <w:sz w:val="24"/>
        </w:rPr>
      </w:pPr>
      <w:r>
        <w:rPr>
          <w:rFonts w:eastAsia="方正仿宋_GBK"/>
          <w:color w:val="000000"/>
          <w:spacing w:val="-2"/>
          <w:sz w:val="24"/>
        </w:rPr>
        <w:t> 2015</w:t>
      </w:r>
      <w:r>
        <w:rPr>
          <w:rFonts w:hint="eastAsia" w:eastAsia="方正仿宋_GBK"/>
          <w:color w:val="000000"/>
          <w:spacing w:val="-2"/>
          <w:sz w:val="24"/>
        </w:rPr>
        <w:t>年</w:t>
      </w:r>
      <w:r>
        <w:rPr>
          <w:rFonts w:eastAsia="方正仿宋_GBK"/>
          <w:color w:val="000000"/>
          <w:spacing w:val="-2"/>
          <w:sz w:val="24"/>
        </w:rPr>
        <w:t>9</w:t>
      </w:r>
      <w:r>
        <w:rPr>
          <w:rFonts w:hint="eastAsia" w:eastAsia="方正仿宋_GBK"/>
          <w:color w:val="000000"/>
          <w:spacing w:val="-2"/>
          <w:sz w:val="24"/>
        </w:rPr>
        <w:t>月</w:t>
      </w:r>
      <w:r>
        <w:rPr>
          <w:rFonts w:eastAsia="方正仿宋_GBK"/>
          <w:color w:val="000000"/>
          <w:spacing w:val="-2"/>
          <w:sz w:val="24"/>
        </w:rPr>
        <w:t>11</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附件1</w:t>
      </w:r>
    </w:p>
    <w:p>
      <w:pPr>
        <w:spacing w:line="460" w:lineRule="exact"/>
        <w:rPr>
          <w:rFonts w:hint="eastAsia" w:eastAsia="方正仿宋_GBK"/>
          <w:color w:val="000000"/>
          <w:spacing w:val="-2"/>
          <w:sz w:val="24"/>
        </w:rPr>
      </w:pPr>
    </w:p>
    <w:p>
      <w:pPr>
        <w:spacing w:line="460" w:lineRule="exact"/>
        <w:jc w:val="center"/>
        <w:rPr>
          <w:rFonts w:ascii="Times New Roman" w:eastAsia="方正小标宋简体"/>
          <w:color w:val="000000"/>
          <w:spacing w:val="-2"/>
          <w:sz w:val="36"/>
          <w:szCs w:val="36"/>
        </w:rPr>
      </w:pPr>
      <w:r>
        <w:rPr>
          <w:rFonts w:hint="eastAsia" w:ascii="Times New Roman" w:eastAsia="方正小标宋简体"/>
          <w:color w:val="000000"/>
          <w:spacing w:val="-2"/>
          <w:sz w:val="36"/>
          <w:szCs w:val="36"/>
        </w:rPr>
        <w:t>江苏省民用建筑设计方案绿色设计文件编制深度规定</w:t>
      </w:r>
    </w:p>
    <w:p>
      <w:pPr>
        <w:spacing w:line="460" w:lineRule="exact"/>
        <w:jc w:val="center"/>
        <w:rPr>
          <w:rFonts w:hint="eastAsia" w:ascii="Times New Roman" w:eastAsia="方正小标宋简体"/>
          <w:color w:val="000000"/>
          <w:spacing w:val="-2"/>
          <w:sz w:val="36"/>
          <w:szCs w:val="36"/>
        </w:rPr>
      </w:pPr>
      <w:r>
        <w:rPr>
          <w:rFonts w:hint="eastAsia" w:ascii="Times New Roman" w:eastAsia="方正小标宋简体"/>
          <w:color w:val="000000"/>
          <w:spacing w:val="-2"/>
          <w:sz w:val="36"/>
          <w:szCs w:val="36"/>
        </w:rPr>
        <w:t>（试行）</w:t>
      </w:r>
    </w:p>
    <w:p>
      <w:pPr>
        <w:spacing w:line="460" w:lineRule="exact"/>
        <w:ind w:firstLine="474" w:firstLineChars="200"/>
        <w:jc w:val="center"/>
        <w:rPr>
          <w:rFonts w:hint="eastAsia" w:eastAsia="方正仿宋_GBK"/>
          <w:b/>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1  总  则</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1.0.1  </w:t>
      </w:r>
      <w:r>
        <w:rPr>
          <w:rFonts w:hint="eastAsia" w:eastAsia="方正仿宋_GBK"/>
          <w:color w:val="000000"/>
          <w:spacing w:val="-2"/>
          <w:sz w:val="24"/>
        </w:rPr>
        <w:t>为规范江苏省民用建筑设计方案绿色设计文件的编制，特制定本规定。</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1.0.2  </w:t>
      </w:r>
      <w:r>
        <w:rPr>
          <w:rFonts w:hint="eastAsia" w:eastAsia="方正仿宋_GBK"/>
          <w:color w:val="000000"/>
          <w:spacing w:val="-2"/>
          <w:sz w:val="24"/>
        </w:rPr>
        <w:t>本规定适用于江苏省范围内新建民用建筑设计方案的绿色设计。</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扩建、改建民用建筑可参照执行。</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1.0.3  </w:t>
      </w:r>
      <w:r>
        <w:rPr>
          <w:rFonts w:hint="eastAsia" w:eastAsia="方正仿宋_GBK"/>
          <w:color w:val="000000"/>
          <w:spacing w:val="-2"/>
          <w:sz w:val="24"/>
        </w:rPr>
        <w:t>民用建筑设计方案绿色设计文件应按本规定进行编制，内容包括：绿色设计专项说明、建筑设计图纸及资料。</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1.0.4  </w:t>
      </w:r>
      <w:r>
        <w:rPr>
          <w:rFonts w:hint="eastAsia" w:eastAsia="方正仿宋_GBK"/>
          <w:color w:val="000000"/>
          <w:spacing w:val="-2"/>
          <w:sz w:val="24"/>
        </w:rPr>
        <w:t>民用建筑设计方案文件编制除应符合本规定外，尚应符合住房和城乡建设部《建筑工程设计文件编制深度规定》</w:t>
      </w:r>
      <w:r>
        <w:rPr>
          <w:rFonts w:eastAsia="方正仿宋_GBK"/>
          <w:color w:val="000000"/>
          <w:spacing w:val="-2"/>
          <w:sz w:val="24"/>
        </w:rPr>
        <w:t>(2008</w:t>
      </w:r>
      <w:r>
        <w:rPr>
          <w:rFonts w:hint="eastAsia" w:eastAsia="方正仿宋_GBK"/>
          <w:color w:val="000000"/>
          <w:spacing w:val="-2"/>
          <w:sz w:val="24"/>
        </w:rPr>
        <w:t>年版</w:t>
      </w:r>
      <w:r>
        <w:rPr>
          <w:rFonts w:eastAsia="方正仿宋_GBK"/>
          <w:color w:val="000000"/>
          <w:spacing w:val="-2"/>
          <w:sz w:val="24"/>
        </w:rPr>
        <w:t>)</w:t>
      </w:r>
      <w:r>
        <w:rPr>
          <w:rFonts w:hint="eastAsia" w:eastAsia="方正仿宋_GBK"/>
          <w:color w:val="000000"/>
          <w:spacing w:val="-2"/>
          <w:sz w:val="24"/>
        </w:rPr>
        <w:t>及省市有关部门的规定。</w:t>
      </w:r>
    </w:p>
    <w:p>
      <w:pPr>
        <w:spacing w:line="460" w:lineRule="exact"/>
        <w:ind w:firstLine="472" w:firstLineChars="20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2  绿色设计专项说明</w:t>
      </w:r>
    </w:p>
    <w:p>
      <w:pPr>
        <w:spacing w:line="460" w:lineRule="exact"/>
        <w:jc w:val="center"/>
        <w:rPr>
          <w:rFonts w:hint="eastAsia" w:eastAsia="方正仿宋_GBK"/>
          <w:color w:val="000000"/>
          <w:spacing w:val="-2"/>
          <w:sz w:val="24"/>
        </w:rPr>
      </w:pPr>
    </w:p>
    <w:p>
      <w:pPr>
        <w:spacing w:line="460" w:lineRule="exact"/>
        <w:jc w:val="center"/>
        <w:rPr>
          <w:rFonts w:eastAsia="方正仿宋_GBK"/>
          <w:color w:val="000000"/>
          <w:spacing w:val="-2"/>
          <w:sz w:val="24"/>
        </w:rPr>
      </w:pPr>
      <w:r>
        <w:rPr>
          <w:rFonts w:eastAsia="方正仿宋_GBK"/>
          <w:color w:val="000000"/>
          <w:spacing w:val="-2"/>
          <w:sz w:val="24"/>
        </w:rPr>
        <w:t xml:space="preserve">2.1  </w:t>
      </w:r>
      <w:r>
        <w:rPr>
          <w:rFonts w:hint="eastAsia" w:eastAsia="方正仿宋_GBK"/>
          <w:color w:val="000000"/>
          <w:spacing w:val="-2"/>
          <w:sz w:val="24"/>
        </w:rPr>
        <w:t>一般规定</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2.1.1  </w:t>
      </w:r>
      <w:r>
        <w:rPr>
          <w:rFonts w:hint="eastAsia" w:eastAsia="方正仿宋_GBK"/>
          <w:color w:val="000000"/>
          <w:spacing w:val="-2"/>
          <w:sz w:val="24"/>
        </w:rPr>
        <w:t>绿色设计专项说明应包括项目名称、项目概况、设计依据、主要技术经济指标及绿色设计相关技术措施等内容。</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2.1.2  </w:t>
      </w:r>
      <w:r>
        <w:rPr>
          <w:rFonts w:hint="eastAsia" w:eastAsia="方正仿宋_GBK"/>
          <w:color w:val="000000"/>
          <w:spacing w:val="-2"/>
          <w:sz w:val="24"/>
        </w:rPr>
        <w:t>项目概况应说明项目所在城市、其城市所在的气候分区、建筑性质（如办公、商业、酒店、住宅等）、建筑规模（总建筑面积、建筑高度、建筑层数等）、结构形式、公共建筑类别（甲类</w:t>
      </w:r>
      <w:r>
        <w:rPr>
          <w:rFonts w:eastAsia="方正仿宋_GBK"/>
          <w:color w:val="000000"/>
          <w:spacing w:val="-2"/>
          <w:sz w:val="24"/>
        </w:rPr>
        <w:t>/</w:t>
      </w:r>
      <w:r>
        <w:rPr>
          <w:rFonts w:hint="eastAsia" w:eastAsia="方正仿宋_GBK"/>
          <w:color w:val="000000"/>
          <w:spacing w:val="-2"/>
          <w:sz w:val="24"/>
        </w:rPr>
        <w:t>乙类）或居住建筑节能类型（被动系列一</w:t>
      </w:r>
      <w:r>
        <w:rPr>
          <w:rFonts w:eastAsia="方正仿宋_GBK"/>
          <w:color w:val="000000"/>
          <w:spacing w:val="-2"/>
          <w:sz w:val="24"/>
        </w:rPr>
        <w:t>/</w:t>
      </w:r>
      <w:r>
        <w:rPr>
          <w:rFonts w:hint="eastAsia" w:eastAsia="方正仿宋_GBK"/>
          <w:color w:val="000000"/>
          <w:spacing w:val="-2"/>
          <w:sz w:val="24"/>
        </w:rPr>
        <w:t>被动系列二</w:t>
      </w:r>
      <w:r>
        <w:rPr>
          <w:rFonts w:eastAsia="方正仿宋_GBK"/>
          <w:color w:val="000000"/>
          <w:spacing w:val="-2"/>
          <w:sz w:val="24"/>
        </w:rPr>
        <w:t>/</w:t>
      </w:r>
      <w:r>
        <w:rPr>
          <w:rFonts w:hint="eastAsia" w:eastAsia="方正仿宋_GBK"/>
          <w:color w:val="000000"/>
          <w:spacing w:val="-2"/>
          <w:sz w:val="24"/>
        </w:rPr>
        <w:t>主动</w:t>
      </w:r>
      <w:r>
        <w:rPr>
          <w:rFonts w:eastAsia="方正仿宋_GBK"/>
          <w:color w:val="000000"/>
          <w:spacing w:val="-2"/>
          <w:sz w:val="24"/>
        </w:rPr>
        <w:fldChar w:fldCharType="begin"/>
      </w:r>
      <w:r>
        <w:rPr>
          <w:rFonts w:eastAsia="方正仿宋_GBK"/>
          <w:color w:val="000000"/>
          <w:spacing w:val="-2"/>
          <w:sz w:val="24"/>
        </w:rPr>
        <w:instrText xml:space="preserve"> = 1 \* ROMAN </w:instrText>
      </w:r>
      <w:r>
        <w:rPr>
          <w:rFonts w:eastAsia="方正仿宋_GBK"/>
          <w:color w:val="000000"/>
          <w:spacing w:val="-2"/>
          <w:sz w:val="24"/>
        </w:rPr>
        <w:fldChar w:fldCharType="separate"/>
      </w:r>
      <w:r>
        <w:rPr>
          <w:rFonts w:eastAsia="方正仿宋_GBK"/>
          <w:color w:val="000000"/>
          <w:spacing w:val="-2"/>
          <w:sz w:val="24"/>
        </w:rPr>
        <w:t>I</w:t>
      </w:r>
      <w:r>
        <w:rPr>
          <w:rFonts w:eastAsia="方正仿宋_GBK"/>
          <w:color w:val="000000"/>
          <w:spacing w:val="-2"/>
          <w:sz w:val="24"/>
        </w:rPr>
        <w:fldChar w:fldCharType="end"/>
      </w:r>
      <w:r>
        <w:rPr>
          <w:rFonts w:hint="eastAsia" w:eastAsia="方正仿宋_GBK"/>
          <w:color w:val="000000"/>
          <w:spacing w:val="-2"/>
          <w:sz w:val="24"/>
        </w:rPr>
        <w:t>类</w:t>
      </w:r>
      <w:r>
        <w:rPr>
          <w:rFonts w:eastAsia="方正仿宋_GBK"/>
          <w:color w:val="000000"/>
          <w:spacing w:val="-2"/>
          <w:sz w:val="24"/>
        </w:rPr>
        <w:t>/</w:t>
      </w:r>
      <w:r>
        <w:rPr>
          <w:rFonts w:hint="eastAsia" w:eastAsia="方正仿宋_GBK"/>
          <w:color w:val="000000"/>
          <w:spacing w:val="-2"/>
          <w:sz w:val="24"/>
        </w:rPr>
        <w:t>主动</w:t>
      </w:r>
      <w:r>
        <w:rPr>
          <w:rFonts w:eastAsia="方正仿宋_GBK"/>
          <w:color w:val="000000"/>
          <w:spacing w:val="-2"/>
          <w:sz w:val="24"/>
        </w:rPr>
        <w:fldChar w:fldCharType="begin"/>
      </w:r>
      <w:r>
        <w:rPr>
          <w:rFonts w:eastAsia="方正仿宋_GBK"/>
          <w:color w:val="000000"/>
          <w:spacing w:val="-2"/>
          <w:sz w:val="24"/>
        </w:rPr>
        <w:instrText xml:space="preserve"> = 2 \* ROMAN </w:instrText>
      </w:r>
      <w:r>
        <w:rPr>
          <w:rFonts w:eastAsia="方正仿宋_GBK"/>
          <w:color w:val="000000"/>
          <w:spacing w:val="-2"/>
          <w:sz w:val="24"/>
        </w:rPr>
        <w:fldChar w:fldCharType="separate"/>
      </w:r>
      <w:r>
        <w:rPr>
          <w:rFonts w:eastAsia="方正仿宋_GBK"/>
          <w:color w:val="000000"/>
          <w:spacing w:val="-2"/>
          <w:sz w:val="24"/>
        </w:rPr>
        <w:t>II</w:t>
      </w:r>
      <w:r>
        <w:rPr>
          <w:rFonts w:eastAsia="方正仿宋_GBK"/>
          <w:color w:val="000000"/>
          <w:spacing w:val="-2"/>
          <w:sz w:val="24"/>
        </w:rPr>
        <w:fldChar w:fldCharType="end"/>
      </w:r>
      <w:r>
        <w:rPr>
          <w:rFonts w:hint="eastAsia" w:eastAsia="方正仿宋_GBK"/>
          <w:color w:val="000000"/>
          <w:spacing w:val="-2"/>
          <w:sz w:val="24"/>
        </w:rPr>
        <w:t>类）、绿色建筑星级目标及节能水平等基本内容。</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2.1.3  </w:t>
      </w:r>
      <w:r>
        <w:rPr>
          <w:rFonts w:hint="eastAsia" w:eastAsia="方正仿宋_GBK"/>
          <w:color w:val="000000"/>
          <w:spacing w:val="-2"/>
          <w:sz w:val="24"/>
        </w:rPr>
        <w:t>设计依据应主要包括：</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 </w:t>
      </w:r>
      <w:r>
        <w:rPr>
          <w:rFonts w:hint="eastAsia" w:eastAsia="方正仿宋_GBK"/>
          <w:color w:val="000000"/>
          <w:spacing w:val="-2"/>
          <w:sz w:val="24"/>
        </w:rPr>
        <w:t>《江苏省绿色建筑设计标准》</w:t>
      </w:r>
      <w:r>
        <w:rPr>
          <w:rFonts w:eastAsia="方正仿宋_GBK"/>
          <w:color w:val="000000"/>
          <w:spacing w:val="-2"/>
          <w:sz w:val="24"/>
        </w:rPr>
        <w:t>DGJ32/J 173-2014</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 </w:t>
      </w:r>
      <w:r>
        <w:rPr>
          <w:rFonts w:hint="eastAsia" w:eastAsia="方正仿宋_GBK"/>
          <w:color w:val="000000"/>
          <w:spacing w:val="-2"/>
          <w:sz w:val="24"/>
        </w:rPr>
        <w:t>《绿色建筑评价标准》</w:t>
      </w:r>
      <w:r>
        <w:rPr>
          <w:rFonts w:eastAsia="方正仿宋_GBK"/>
          <w:color w:val="000000"/>
          <w:spacing w:val="-2"/>
          <w:sz w:val="24"/>
        </w:rPr>
        <w:t>GB/T 50378-2014</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3 </w:t>
      </w:r>
      <w:r>
        <w:rPr>
          <w:rFonts w:hint="eastAsia" w:eastAsia="方正仿宋_GBK"/>
          <w:color w:val="000000"/>
          <w:spacing w:val="-2"/>
          <w:sz w:val="24"/>
        </w:rPr>
        <w:t>《民用建筑绿色设计规范》</w:t>
      </w:r>
      <w:r>
        <w:rPr>
          <w:rFonts w:eastAsia="方正仿宋_GBK"/>
          <w:color w:val="000000"/>
          <w:spacing w:val="-2"/>
          <w:sz w:val="24"/>
        </w:rPr>
        <w:t>JGJ/T 229-2010</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4 </w:t>
      </w:r>
      <w:r>
        <w:rPr>
          <w:rFonts w:hint="eastAsia" w:eastAsia="方正仿宋_GBK"/>
          <w:color w:val="000000"/>
          <w:spacing w:val="-2"/>
          <w:sz w:val="24"/>
        </w:rPr>
        <w:t>《民用建筑热工设计规范》</w:t>
      </w:r>
      <w:r>
        <w:rPr>
          <w:rFonts w:eastAsia="方正仿宋_GBK"/>
          <w:color w:val="000000"/>
          <w:spacing w:val="-2"/>
          <w:sz w:val="24"/>
        </w:rPr>
        <w:t>GB 50176-93</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5 </w:t>
      </w:r>
      <w:r>
        <w:rPr>
          <w:rFonts w:hint="eastAsia" w:eastAsia="方正仿宋_GBK"/>
          <w:color w:val="000000"/>
          <w:spacing w:val="-2"/>
          <w:sz w:val="24"/>
        </w:rPr>
        <w:t>《公共建筑节能设计标准》</w:t>
      </w:r>
      <w:r>
        <w:rPr>
          <w:rFonts w:eastAsia="方正仿宋_GBK"/>
          <w:color w:val="000000"/>
          <w:spacing w:val="-2"/>
          <w:sz w:val="24"/>
        </w:rPr>
        <w:t>GB50189-2015</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6 </w:t>
      </w:r>
      <w:r>
        <w:rPr>
          <w:rFonts w:hint="eastAsia" w:eastAsia="方正仿宋_GBK"/>
          <w:color w:val="000000"/>
          <w:spacing w:val="-2"/>
          <w:sz w:val="24"/>
        </w:rPr>
        <w:t>《江苏省居住建筑热环境和节能设计标准》</w:t>
      </w:r>
      <w:r>
        <w:rPr>
          <w:rFonts w:eastAsia="方正仿宋_GBK"/>
          <w:color w:val="000000"/>
          <w:spacing w:val="-2"/>
          <w:sz w:val="24"/>
        </w:rPr>
        <w:t>DGJ32/J 71-2014</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7 </w:t>
      </w:r>
      <w:r>
        <w:rPr>
          <w:rFonts w:hint="eastAsia" w:eastAsia="方正仿宋_GBK"/>
          <w:color w:val="000000"/>
          <w:spacing w:val="-2"/>
          <w:sz w:val="24"/>
        </w:rPr>
        <w:t>《江苏省公共建筑节能设计标准》</w:t>
      </w:r>
      <w:r>
        <w:rPr>
          <w:rFonts w:eastAsia="方正仿宋_GBK"/>
          <w:color w:val="000000"/>
          <w:spacing w:val="-2"/>
          <w:sz w:val="24"/>
        </w:rPr>
        <w:t>DGJ 32/J96-2010</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8 </w:t>
      </w:r>
      <w:r>
        <w:rPr>
          <w:rFonts w:hint="eastAsia" w:eastAsia="方正仿宋_GBK"/>
          <w:color w:val="000000"/>
          <w:spacing w:val="-2"/>
          <w:sz w:val="24"/>
        </w:rPr>
        <w:t>《江苏省城市规划管理技术规定》（</w:t>
      </w:r>
      <w:r>
        <w:rPr>
          <w:rFonts w:eastAsia="方正仿宋_GBK"/>
          <w:color w:val="000000"/>
          <w:spacing w:val="-2"/>
          <w:sz w:val="24"/>
        </w:rPr>
        <w:t>2011</w:t>
      </w:r>
      <w:r>
        <w:rPr>
          <w:rFonts w:hint="eastAsia" w:eastAsia="方正仿宋_GBK"/>
          <w:color w:val="000000"/>
          <w:spacing w:val="-2"/>
          <w:sz w:val="24"/>
        </w:rPr>
        <w:t>年版）</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9  </w:t>
      </w:r>
      <w:r>
        <w:rPr>
          <w:rFonts w:hint="eastAsia" w:eastAsia="方正仿宋_GBK"/>
          <w:color w:val="000000"/>
          <w:spacing w:val="-2"/>
          <w:sz w:val="24"/>
        </w:rPr>
        <w:t>当地城市规划主管部门下达的项目规划条件</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  </w:t>
      </w:r>
      <w:r>
        <w:rPr>
          <w:rFonts w:hint="eastAsia" w:eastAsia="方正仿宋_GBK"/>
          <w:color w:val="000000"/>
          <w:spacing w:val="-2"/>
          <w:sz w:val="24"/>
        </w:rPr>
        <w:t>国家、省、市现行的法律、法规，其它相关标准和规定</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2.1.4  </w:t>
      </w:r>
      <w:r>
        <w:rPr>
          <w:rFonts w:hint="eastAsia" w:eastAsia="方正仿宋_GBK"/>
          <w:color w:val="000000"/>
          <w:spacing w:val="-2"/>
          <w:sz w:val="24"/>
        </w:rPr>
        <w:t>主要技术经济指标应包括项目建设用地面积、总建筑面积、地上地下建筑面积、停车库建筑面积（含机动车、非机动车）、建筑密度、容积率、绿地率、人均用地指标（居住建筑）、人均公共绿地面积（居住建筑）、停车数量（机动车及非机动车停车数量）等。</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   </w:t>
      </w:r>
    </w:p>
    <w:p>
      <w:pPr>
        <w:spacing w:line="460" w:lineRule="exact"/>
        <w:jc w:val="center"/>
        <w:rPr>
          <w:rFonts w:eastAsia="方正仿宋_GBK"/>
          <w:color w:val="000000"/>
          <w:spacing w:val="-2"/>
          <w:sz w:val="24"/>
        </w:rPr>
      </w:pPr>
      <w:r>
        <w:rPr>
          <w:rFonts w:eastAsia="方正仿宋_GBK"/>
          <w:color w:val="000000"/>
          <w:spacing w:val="-2"/>
          <w:sz w:val="24"/>
        </w:rPr>
        <w:t xml:space="preserve">2.2  </w:t>
      </w:r>
      <w:r>
        <w:rPr>
          <w:rFonts w:hint="eastAsia" w:eastAsia="方正仿宋_GBK"/>
          <w:color w:val="000000"/>
          <w:spacing w:val="-2"/>
          <w:sz w:val="24"/>
        </w:rPr>
        <w:t>绿色设计相关技术措施</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2.2.1  </w:t>
      </w:r>
      <w:r>
        <w:rPr>
          <w:rFonts w:hint="eastAsia" w:eastAsia="方正仿宋_GBK"/>
          <w:color w:val="000000"/>
          <w:spacing w:val="-2"/>
          <w:sz w:val="24"/>
        </w:rPr>
        <w:t>规划设计</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  </w:t>
      </w:r>
      <w:r>
        <w:rPr>
          <w:rFonts w:hint="eastAsia" w:eastAsia="方正仿宋_GBK"/>
          <w:color w:val="000000"/>
          <w:spacing w:val="-2"/>
          <w:sz w:val="24"/>
        </w:rPr>
        <w:t>应说明场地规划是否符合上位规划的要求，有无各类保护区及文物古迹的保护和控制要求。</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  </w:t>
      </w:r>
      <w:r>
        <w:rPr>
          <w:rFonts w:hint="eastAsia" w:eastAsia="方正仿宋_GBK"/>
          <w:color w:val="000000"/>
          <w:spacing w:val="-2"/>
          <w:sz w:val="24"/>
        </w:rPr>
        <w:t>应说明场地内及周边公共服务设施的配置情况。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3  </w:t>
      </w:r>
      <w:r>
        <w:rPr>
          <w:rFonts w:hint="eastAsia" w:eastAsia="方正仿宋_GBK"/>
          <w:color w:val="000000"/>
          <w:spacing w:val="-2"/>
          <w:sz w:val="24"/>
        </w:rPr>
        <w:t>应说明场地有无洪涝、滑坡、泥石流等自然灾害的威胁，有无避开工程抗震危险地段，有无危险化学品、易燃易爆危险源，有无电磁辐射等危害。</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4  </w:t>
      </w:r>
      <w:r>
        <w:rPr>
          <w:rFonts w:hint="eastAsia" w:eastAsia="方正仿宋_GBK"/>
          <w:color w:val="000000"/>
          <w:spacing w:val="-2"/>
          <w:sz w:val="24"/>
        </w:rPr>
        <w:t>应说明场地内有无超标排放的污染源。</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5  </w:t>
      </w:r>
      <w:r>
        <w:rPr>
          <w:rFonts w:hint="eastAsia" w:eastAsia="方正仿宋_GBK"/>
          <w:color w:val="000000"/>
          <w:spacing w:val="-2"/>
          <w:sz w:val="24"/>
        </w:rPr>
        <w:t>各类居住建筑及托儿所、幼儿园、中小学校、医院、疗养院等公共建筑应说明其相关用房的日照情况；当项目周边有现状住宅和有日照要求的公共建筑时，应说明项目建设是否对上述建筑产生不利的日照影响。</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6  </w:t>
      </w:r>
      <w:r>
        <w:rPr>
          <w:rFonts w:hint="eastAsia" w:eastAsia="方正仿宋_GBK"/>
          <w:color w:val="000000"/>
          <w:spacing w:val="-2"/>
          <w:sz w:val="24"/>
        </w:rPr>
        <w:t>应根据项目所在场地的环评报告，说明场地声环境质量情况及必要时采取的隔声降噪措施。</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7  </w:t>
      </w:r>
      <w:r>
        <w:rPr>
          <w:rFonts w:hint="eastAsia" w:eastAsia="方正仿宋_GBK"/>
          <w:color w:val="000000"/>
          <w:spacing w:val="-2"/>
          <w:sz w:val="24"/>
        </w:rPr>
        <w:t>应说明场地交通条件和出入口设置情况。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2.2.2  </w:t>
      </w:r>
      <w:r>
        <w:rPr>
          <w:rFonts w:hint="eastAsia" w:eastAsia="方正仿宋_GBK"/>
          <w:color w:val="000000"/>
          <w:spacing w:val="-2"/>
          <w:sz w:val="24"/>
        </w:rPr>
        <w:t>建筑设计</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  </w:t>
      </w:r>
      <w:r>
        <w:rPr>
          <w:rFonts w:hint="eastAsia" w:eastAsia="方正仿宋_GBK"/>
          <w:color w:val="000000"/>
          <w:spacing w:val="-2"/>
          <w:sz w:val="24"/>
        </w:rPr>
        <w:t>当项目为住宅小区或组团内的居住建筑时，应根据风环境模拟报告说明场地及建筑的风环境质量情况。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  </w:t>
      </w:r>
      <w:r>
        <w:rPr>
          <w:rFonts w:hint="eastAsia" w:eastAsia="方正仿宋_GBK"/>
          <w:color w:val="000000"/>
          <w:spacing w:val="-2"/>
          <w:sz w:val="24"/>
        </w:rPr>
        <w:t>根据项目所在地气候分区、建筑性质、建筑规模、建筑节能类别、节能目标及建筑体形系数等，说明各类建筑屋面、外墙、架空楼板及居住建筑分户墙、分户楼板、楼梯间隔墙、外走廊隔墙等主要围护结构采用的保温形式、保温材料及设计指标，说明建筑外门窗（包括透明幕墙）的选型、遮阳形式及设计指标。</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2.2.3  </w:t>
      </w:r>
      <w:r>
        <w:rPr>
          <w:rFonts w:hint="eastAsia" w:eastAsia="方正仿宋_GBK"/>
          <w:color w:val="000000"/>
          <w:spacing w:val="-2"/>
          <w:sz w:val="24"/>
        </w:rPr>
        <w:t>结构设计</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  </w:t>
      </w:r>
      <w:r>
        <w:rPr>
          <w:rFonts w:hint="eastAsia" w:eastAsia="方正仿宋_GBK"/>
          <w:color w:val="000000"/>
          <w:spacing w:val="-2"/>
          <w:sz w:val="24"/>
        </w:rPr>
        <w:t>应说明建筑采用的结构形式、结构使用年限、建筑结构安全等级、抗震设防烈度、建筑抗震设防类别等基本内容。</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  </w:t>
      </w:r>
      <w:r>
        <w:rPr>
          <w:rFonts w:hint="eastAsia" w:eastAsia="方正仿宋_GBK"/>
          <w:color w:val="000000"/>
          <w:spacing w:val="-2"/>
          <w:sz w:val="24"/>
        </w:rPr>
        <w:t>对特别不规则结构，应说明采取的对应措施。</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2.2.4  </w:t>
      </w:r>
      <w:r>
        <w:rPr>
          <w:rFonts w:hint="eastAsia" w:eastAsia="方正仿宋_GBK"/>
          <w:color w:val="000000"/>
          <w:spacing w:val="-2"/>
          <w:sz w:val="24"/>
        </w:rPr>
        <w:t>可再生能源利用</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  </w:t>
      </w:r>
      <w:r>
        <w:rPr>
          <w:rFonts w:hint="eastAsia" w:eastAsia="方正仿宋_GBK"/>
          <w:color w:val="000000"/>
          <w:spacing w:val="-2"/>
          <w:sz w:val="24"/>
        </w:rPr>
        <w:t>甲类公共建筑及扣除车库面积后建筑面积</w:t>
      </w:r>
      <w:r>
        <w:rPr>
          <w:rFonts w:eastAsia="方正仿宋_GBK"/>
          <w:color w:val="000000"/>
          <w:spacing w:val="-2"/>
          <w:sz w:val="24"/>
        </w:rPr>
        <w:t>≥20000m</w:t>
      </w:r>
      <w:r>
        <w:rPr>
          <w:rFonts w:eastAsia="方正仿宋_GBK"/>
          <w:color w:val="000000"/>
          <w:spacing w:val="-2"/>
          <w:sz w:val="24"/>
          <w:vertAlign w:val="superscript"/>
        </w:rPr>
        <w:t>2</w:t>
      </w:r>
      <w:r>
        <w:rPr>
          <w:rFonts w:hint="eastAsia" w:eastAsia="方正仿宋_GBK"/>
          <w:color w:val="000000"/>
          <w:spacing w:val="-2"/>
          <w:sz w:val="24"/>
        </w:rPr>
        <w:t>的公共建筑应至少利用一种可再生能源。应根据项目所在地能源资源条件及建筑性质说明采用的可再生能源利用技术，并应符合以下要求：</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仅采用太阳能光热系统提供生活热水，其日用热水量比例不低于</w:t>
      </w:r>
      <w:r>
        <w:rPr>
          <w:rFonts w:eastAsia="方正仿宋_GBK"/>
          <w:color w:val="000000"/>
          <w:spacing w:val="-2"/>
          <w:sz w:val="24"/>
        </w:rPr>
        <w:t>50%</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仅采用地源热泵系统提供空调冷、热量，其比例不低于设计状态负荷的</w:t>
      </w:r>
      <w:r>
        <w:rPr>
          <w:rFonts w:eastAsia="方正仿宋_GBK"/>
          <w:color w:val="000000"/>
          <w:spacing w:val="-2"/>
          <w:sz w:val="24"/>
        </w:rPr>
        <w:t>20%</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仅采用太阳能光伏系统提供电量，其总功率不应低于建筑物变压器总装机容量的</w:t>
      </w:r>
      <w:r>
        <w:rPr>
          <w:rFonts w:eastAsia="方正仿宋_GBK"/>
          <w:color w:val="000000"/>
          <w:spacing w:val="-2"/>
          <w:sz w:val="24"/>
        </w:rPr>
        <w:t>0.2%</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利用热电厂蒸汽、余热废热供暖空调，其比例不低于设计负荷的</w:t>
      </w:r>
      <w:r>
        <w:rPr>
          <w:rFonts w:eastAsia="方正仿宋_GBK"/>
          <w:color w:val="000000"/>
          <w:spacing w:val="-2"/>
          <w:sz w:val="24"/>
        </w:rPr>
        <w:t>40%</w:t>
      </w:r>
      <w:r>
        <w:rPr>
          <w:rFonts w:hint="eastAsia" w:eastAsia="方正仿宋_GBK"/>
          <w:color w:val="000000"/>
          <w:spacing w:val="-2"/>
          <w:sz w:val="24"/>
        </w:rPr>
        <w:t>时，分布式能源所供应的热负荷不低于生活热水负荷时，公共建筑供暖空调系统可不再利用可再生能源。</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）有热水供应需求的学校、医院、宾馆、体育馆等公共建筑应采用太阳能热水供应系统。由地源热泵系统提供夏季和冬季生活热水时，可不再设置太阳能热水供应系统。</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  </w:t>
      </w:r>
      <w:r>
        <w:rPr>
          <w:rFonts w:hint="eastAsia" w:eastAsia="方正仿宋_GBK"/>
          <w:color w:val="000000"/>
          <w:spacing w:val="-2"/>
          <w:sz w:val="24"/>
        </w:rPr>
        <w:t>居住建筑应说明太阳能热水系统的设计要求。</w:t>
      </w:r>
    </w:p>
    <w:p>
      <w:pPr>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层及</w:t>
      </w:r>
      <w:r>
        <w:rPr>
          <w:rFonts w:eastAsia="方正仿宋_GBK"/>
          <w:color w:val="000000"/>
          <w:spacing w:val="-2"/>
          <w:sz w:val="24"/>
        </w:rPr>
        <w:t>6</w:t>
      </w:r>
      <w:r>
        <w:rPr>
          <w:rFonts w:hint="eastAsia" w:eastAsia="方正仿宋_GBK"/>
          <w:color w:val="000000"/>
          <w:spacing w:val="-2"/>
          <w:sz w:val="24"/>
        </w:rPr>
        <w:t>层以下的居住建筑，所有住户应采用太阳能热水供应系统；超过</w:t>
      </w:r>
      <w:r>
        <w:rPr>
          <w:rFonts w:eastAsia="方正仿宋_GBK"/>
          <w:color w:val="000000"/>
          <w:spacing w:val="-2"/>
          <w:sz w:val="24"/>
        </w:rPr>
        <w:t>6</w:t>
      </w:r>
      <w:r>
        <w:rPr>
          <w:rFonts w:hint="eastAsia" w:eastAsia="方正仿宋_GBK"/>
          <w:color w:val="000000"/>
          <w:spacing w:val="-2"/>
          <w:sz w:val="24"/>
        </w:rPr>
        <w:t>层的居住建筑，应至少为最高供水分区内的每户设置太阳能热水供应系统，且总应用层数不少于</w:t>
      </w:r>
      <w:r>
        <w:rPr>
          <w:rFonts w:eastAsia="方正仿宋_GBK"/>
          <w:color w:val="000000"/>
          <w:spacing w:val="-2"/>
          <w:sz w:val="24"/>
        </w:rPr>
        <w:t>6</w:t>
      </w:r>
      <w:r>
        <w:rPr>
          <w:rFonts w:hint="eastAsia" w:eastAsia="方正仿宋_GBK"/>
          <w:color w:val="000000"/>
          <w:spacing w:val="-2"/>
          <w:sz w:val="24"/>
        </w:rPr>
        <w:t>层。由地源热泵系统提供夏季和冬季生活热水时，可不再设置太阳能热水供应系统。</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3  </w:t>
      </w:r>
      <w:r>
        <w:rPr>
          <w:rFonts w:hint="eastAsia" w:eastAsia="方正仿宋_GBK"/>
          <w:color w:val="000000"/>
          <w:spacing w:val="-2"/>
          <w:sz w:val="24"/>
        </w:rPr>
        <w:t>设置太阳能热水系统或太阳能光伏系统的建筑，应说明和表达太阳能集热器、光伏板的设置位置。</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2.2.5  </w:t>
      </w:r>
      <w:r>
        <w:rPr>
          <w:rFonts w:hint="eastAsia" w:eastAsia="方正仿宋_GBK"/>
          <w:color w:val="000000"/>
          <w:spacing w:val="-2"/>
          <w:sz w:val="24"/>
        </w:rPr>
        <w:t>水资源综合利用</w:t>
      </w:r>
    </w:p>
    <w:p>
      <w:pPr>
        <w:spacing w:line="460" w:lineRule="exact"/>
        <w:ind w:firstLine="472" w:firstLineChars="200"/>
        <w:jc w:val="left"/>
        <w:rPr>
          <w:rFonts w:eastAsia="方正仿宋_GBK"/>
          <w:color w:val="000000"/>
          <w:spacing w:val="-2"/>
          <w:sz w:val="24"/>
        </w:rPr>
      </w:pPr>
      <w:r>
        <w:rPr>
          <w:rFonts w:eastAsia="方正仿宋_GBK"/>
          <w:color w:val="000000"/>
          <w:spacing w:val="-2"/>
          <w:sz w:val="24"/>
        </w:rPr>
        <w:t xml:space="preserve">1  </w:t>
      </w:r>
      <w:r>
        <w:rPr>
          <w:rFonts w:hint="eastAsia" w:eastAsia="方正仿宋_GBK"/>
          <w:color w:val="000000"/>
          <w:spacing w:val="-2"/>
          <w:sz w:val="24"/>
        </w:rPr>
        <w:t>规划用地面积</w:t>
      </w:r>
      <w:r>
        <w:rPr>
          <w:rFonts w:eastAsia="方正仿宋_GBK"/>
          <w:color w:val="000000"/>
          <w:spacing w:val="-2"/>
          <w:sz w:val="24"/>
        </w:rPr>
        <w:t>≥20000m</w:t>
      </w:r>
      <w:r>
        <w:rPr>
          <w:rFonts w:eastAsia="方正仿宋_GBK"/>
          <w:color w:val="000000"/>
          <w:spacing w:val="-2"/>
          <w:sz w:val="24"/>
          <w:vertAlign w:val="superscript"/>
        </w:rPr>
        <w:t>2</w:t>
      </w:r>
      <w:r>
        <w:rPr>
          <w:rFonts w:hint="eastAsia" w:eastAsia="方正仿宋_GBK"/>
          <w:color w:val="000000"/>
          <w:spacing w:val="-2"/>
          <w:sz w:val="24"/>
        </w:rPr>
        <w:t>的项目应说明采取雨水回用的措施。</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  </w:t>
      </w:r>
      <w:r>
        <w:rPr>
          <w:rFonts w:hint="eastAsia" w:eastAsia="方正仿宋_GBK"/>
          <w:color w:val="000000"/>
          <w:spacing w:val="-2"/>
          <w:sz w:val="24"/>
        </w:rPr>
        <w:t>规划用地面积</w:t>
      </w:r>
      <w:r>
        <w:rPr>
          <w:rFonts w:eastAsia="方正仿宋_GBK"/>
          <w:color w:val="000000"/>
          <w:spacing w:val="-2"/>
          <w:sz w:val="24"/>
        </w:rPr>
        <w:t>≥100000m</w:t>
      </w:r>
      <w:r>
        <w:rPr>
          <w:rFonts w:eastAsia="方正仿宋_GBK"/>
          <w:color w:val="000000"/>
          <w:spacing w:val="-2"/>
          <w:sz w:val="24"/>
          <w:vertAlign w:val="superscript"/>
        </w:rPr>
        <w:t>2</w:t>
      </w:r>
      <w:r>
        <w:rPr>
          <w:rFonts w:hint="eastAsia" w:eastAsia="方正仿宋_GBK"/>
          <w:color w:val="000000"/>
          <w:spacing w:val="-2"/>
          <w:sz w:val="24"/>
        </w:rPr>
        <w:t>的新建项目，应说明绿色雨水基础设施建设和雨水利用措施。</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3  </w:t>
      </w:r>
      <w:r>
        <w:rPr>
          <w:rFonts w:hint="eastAsia" w:eastAsia="方正仿宋_GBK"/>
          <w:color w:val="000000"/>
          <w:spacing w:val="-2"/>
          <w:sz w:val="24"/>
        </w:rPr>
        <w:t>应说明景观用水采用非传统水源的情况。</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4  </w:t>
      </w:r>
      <w:r>
        <w:rPr>
          <w:rFonts w:hint="eastAsia" w:eastAsia="方正仿宋_GBK"/>
          <w:color w:val="000000"/>
          <w:spacing w:val="-2"/>
          <w:sz w:val="24"/>
        </w:rPr>
        <w:t>应说明集中空调用冷却水、游泳池等用水采取循环处理的措施。</w:t>
      </w:r>
    </w:p>
    <w:p>
      <w:pPr>
        <w:spacing w:line="460" w:lineRule="exact"/>
        <w:ind w:firstLine="472" w:firstLineChars="20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3  绿色设计图纸及资料</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3.0.1  </w:t>
      </w:r>
      <w:r>
        <w:rPr>
          <w:rFonts w:hint="eastAsia" w:eastAsia="方正仿宋_GBK"/>
          <w:color w:val="000000"/>
          <w:spacing w:val="-2"/>
          <w:sz w:val="24"/>
        </w:rPr>
        <w:t>民用建筑设计方案绿色设计图纸及资料主要包括：</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  </w:t>
      </w:r>
      <w:r>
        <w:rPr>
          <w:rFonts w:hint="eastAsia" w:eastAsia="方正仿宋_GBK"/>
          <w:color w:val="000000"/>
          <w:spacing w:val="-2"/>
          <w:sz w:val="24"/>
        </w:rPr>
        <w:t>场地区位图、建筑总平面图、平面图、立面图、剖面图。</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2  </w:t>
      </w:r>
      <w:r>
        <w:rPr>
          <w:rFonts w:hint="eastAsia" w:eastAsia="方正仿宋_GBK"/>
          <w:color w:val="000000"/>
          <w:spacing w:val="-2"/>
          <w:sz w:val="24"/>
        </w:rPr>
        <w:t>项目所在场地的环境影响评价文件及有权部门的批文，必要时的场地安全性评价报告及有权部门的批文。</w:t>
      </w:r>
    </w:p>
    <w:p>
      <w:pPr>
        <w:spacing w:line="460" w:lineRule="exact"/>
        <w:ind w:firstLine="472" w:firstLineChars="200"/>
        <w:rPr>
          <w:rFonts w:eastAsia="方正仿宋_GBK"/>
          <w:color w:val="000000"/>
          <w:spacing w:val="-8"/>
          <w:sz w:val="24"/>
        </w:rPr>
      </w:pPr>
      <w:r>
        <w:rPr>
          <w:rFonts w:eastAsia="方正仿宋_GBK"/>
          <w:color w:val="000000"/>
          <w:spacing w:val="-2"/>
          <w:sz w:val="24"/>
        </w:rPr>
        <w:t xml:space="preserve">3  </w:t>
      </w:r>
      <w:r>
        <w:rPr>
          <w:rFonts w:hint="eastAsia" w:eastAsia="方正仿宋_GBK"/>
          <w:color w:val="000000"/>
          <w:spacing w:val="-8"/>
          <w:sz w:val="24"/>
        </w:rPr>
        <w:t>对有日照要求的建筑及项目周边存在有日照要求的建筑时，应提供日照分析报告。</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4  </w:t>
      </w:r>
      <w:r>
        <w:rPr>
          <w:rFonts w:hint="eastAsia" w:eastAsia="方正仿宋_GBK"/>
          <w:color w:val="000000"/>
          <w:spacing w:val="-2"/>
          <w:sz w:val="24"/>
        </w:rPr>
        <w:t>住宅小区或组团，应提供风环境模拟计算报告。</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5  </w:t>
      </w:r>
      <w:r>
        <w:rPr>
          <w:rFonts w:hint="eastAsia" w:eastAsia="方正仿宋_GBK"/>
          <w:color w:val="000000"/>
          <w:spacing w:val="-2"/>
          <w:sz w:val="24"/>
        </w:rPr>
        <w:t>其它材料。</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3.0.2  </w:t>
      </w:r>
      <w:r>
        <w:rPr>
          <w:rFonts w:hint="eastAsia" w:eastAsia="方正仿宋_GBK"/>
          <w:color w:val="000000"/>
          <w:spacing w:val="-2"/>
          <w:sz w:val="24"/>
        </w:rPr>
        <w:t>设计图纸及资料尚应满足当地规划行政主管部门对报建方案深度的要求。</w:t>
      </w:r>
    </w:p>
    <w:p>
      <w:pPr>
        <w:spacing w:line="460" w:lineRule="exac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附件2</w:t>
      </w:r>
    </w:p>
    <w:p>
      <w:pPr>
        <w:spacing w:line="460" w:lineRule="exact"/>
        <w:rPr>
          <w:rFonts w:hint="eastAsia" w:eastAsia="方正仿宋_GBK"/>
          <w:color w:val="000000"/>
          <w:spacing w:val="-2"/>
          <w:sz w:val="24"/>
        </w:rPr>
      </w:pPr>
    </w:p>
    <w:p>
      <w:pPr>
        <w:spacing w:line="460" w:lineRule="exact"/>
        <w:jc w:val="center"/>
        <w:rPr>
          <w:rFonts w:ascii="Times New Roman" w:eastAsia="方正小标宋简体"/>
          <w:color w:val="000000"/>
          <w:spacing w:val="-2"/>
          <w:sz w:val="36"/>
          <w:szCs w:val="36"/>
        </w:rPr>
      </w:pPr>
      <w:r>
        <w:rPr>
          <w:rFonts w:hint="eastAsia" w:ascii="Times New Roman" w:eastAsia="方正小标宋简体"/>
          <w:color w:val="000000"/>
          <w:spacing w:val="-2"/>
          <w:sz w:val="36"/>
          <w:szCs w:val="36"/>
        </w:rPr>
        <w:t>江苏省民用建筑设计方案绿色设计文件技术审查要点</w:t>
      </w:r>
    </w:p>
    <w:p>
      <w:pPr>
        <w:spacing w:line="460" w:lineRule="exact"/>
        <w:jc w:val="center"/>
        <w:rPr>
          <w:rFonts w:hint="eastAsia" w:ascii="Times New Roman" w:eastAsia="方正小标宋简体"/>
          <w:color w:val="000000"/>
          <w:spacing w:val="-2"/>
          <w:sz w:val="36"/>
          <w:szCs w:val="36"/>
        </w:rPr>
      </w:pPr>
      <w:r>
        <w:rPr>
          <w:rFonts w:hint="eastAsia" w:ascii="Times New Roman" w:eastAsia="方正小标宋简体"/>
          <w:color w:val="000000"/>
          <w:spacing w:val="-2"/>
          <w:sz w:val="36"/>
          <w:szCs w:val="36"/>
        </w:rPr>
        <w:t>（试行）</w:t>
      </w:r>
    </w:p>
    <w:p>
      <w:pPr>
        <w:spacing w:line="460" w:lineRule="exact"/>
        <w:jc w:val="center"/>
        <w:rPr>
          <w:rFonts w:hint="eastAsia"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1  总则</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1.0.1  </w:t>
      </w:r>
      <w:r>
        <w:rPr>
          <w:rFonts w:hint="eastAsia" w:eastAsia="方正仿宋_GBK"/>
          <w:color w:val="000000"/>
          <w:spacing w:val="-2"/>
          <w:sz w:val="24"/>
        </w:rPr>
        <w:t>为规范江苏省民用建筑方案设计中绿色设计的审查工作，明确审查内容，统一审查尺度，根据《江苏省绿色建筑发展条例》的规定，编制本要点。</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1.0.2  </w:t>
      </w:r>
      <w:r>
        <w:rPr>
          <w:rFonts w:hint="eastAsia" w:eastAsia="方正仿宋_GBK"/>
          <w:color w:val="000000"/>
          <w:spacing w:val="-2"/>
          <w:sz w:val="24"/>
        </w:rPr>
        <w:t>本要点适用于江苏省新建民用建筑设计方案中绿色设计的审查。</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1.0.3  </w:t>
      </w:r>
      <w:r>
        <w:rPr>
          <w:rFonts w:hint="eastAsia" w:eastAsia="方正仿宋_GBK"/>
          <w:color w:val="000000"/>
          <w:spacing w:val="-2"/>
          <w:sz w:val="24"/>
        </w:rPr>
        <w:t>本要点依据《江苏省绿色建筑设计标准》</w:t>
      </w:r>
      <w:r>
        <w:rPr>
          <w:rFonts w:eastAsia="方正仿宋_GBK"/>
          <w:color w:val="000000"/>
          <w:spacing w:val="-2"/>
          <w:sz w:val="24"/>
        </w:rPr>
        <w:t>DGJ32/J 173-2014</w:t>
      </w:r>
      <w:r>
        <w:rPr>
          <w:rFonts w:hint="eastAsia" w:eastAsia="方正仿宋_GBK"/>
          <w:color w:val="000000"/>
          <w:spacing w:val="-2"/>
          <w:sz w:val="24"/>
        </w:rPr>
        <w:t>确定审查条文，其中</w:t>
      </w:r>
      <w:r>
        <w:rPr>
          <w:rFonts w:eastAsia="方正仿宋_GBK"/>
          <w:color w:val="000000"/>
          <w:spacing w:val="-2"/>
          <w:sz w:val="24"/>
        </w:rPr>
        <w:t>1</w:t>
      </w:r>
      <w:r>
        <w:rPr>
          <w:rFonts w:hint="eastAsia" w:eastAsia="方正仿宋_GBK"/>
          <w:color w:val="000000"/>
          <w:spacing w:val="-2"/>
          <w:sz w:val="24"/>
        </w:rPr>
        <w:t>～</w:t>
      </w:r>
      <w:r>
        <w:rPr>
          <w:rFonts w:eastAsia="方正仿宋_GBK"/>
          <w:color w:val="000000"/>
          <w:spacing w:val="-2"/>
          <w:sz w:val="24"/>
        </w:rPr>
        <w:t>13</w:t>
      </w:r>
      <w:r>
        <w:rPr>
          <w:rFonts w:hint="eastAsia" w:eastAsia="方正仿宋_GBK"/>
          <w:color w:val="000000"/>
          <w:spacing w:val="-2"/>
          <w:sz w:val="24"/>
        </w:rPr>
        <w:t>条由城乡规划主管部门直接审查，</w:t>
      </w:r>
      <w:r>
        <w:rPr>
          <w:rFonts w:eastAsia="方正仿宋_GBK"/>
          <w:color w:val="000000"/>
          <w:spacing w:val="-2"/>
          <w:sz w:val="24"/>
        </w:rPr>
        <w:t>14</w:t>
      </w:r>
      <w:r>
        <w:rPr>
          <w:rFonts w:hint="eastAsia" w:eastAsia="方正仿宋_GBK"/>
          <w:color w:val="000000"/>
          <w:spacing w:val="-2"/>
          <w:sz w:val="24"/>
        </w:rPr>
        <w:t>～</w:t>
      </w:r>
      <w:r>
        <w:rPr>
          <w:rFonts w:eastAsia="方正仿宋_GBK"/>
          <w:color w:val="000000"/>
          <w:spacing w:val="-2"/>
          <w:sz w:val="24"/>
        </w:rPr>
        <w:t>20</w:t>
      </w:r>
      <w:r>
        <w:rPr>
          <w:rFonts w:hint="eastAsia" w:eastAsia="方正仿宋_GBK"/>
          <w:color w:val="000000"/>
          <w:spacing w:val="-2"/>
          <w:sz w:val="24"/>
        </w:rPr>
        <w:t>条由建设主管部门审查。</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1.0.4  </w:t>
      </w:r>
      <w:r>
        <w:rPr>
          <w:rFonts w:hint="eastAsia" w:eastAsia="方正仿宋_GBK"/>
          <w:color w:val="000000"/>
          <w:spacing w:val="-2"/>
          <w:sz w:val="24"/>
        </w:rPr>
        <w:t>绿色设计审查资料为：</w:t>
      </w:r>
      <w:r>
        <w:rPr>
          <w:rFonts w:hint="eastAsia" w:eastAsia="方正仿宋_GBK"/>
          <w:color w:val="000000"/>
          <w:spacing w:val="-2"/>
          <w:kern w:val="0"/>
          <w:sz w:val="24"/>
        </w:rPr>
        <w:t>绿色设计专项说明、</w:t>
      </w:r>
      <w:r>
        <w:rPr>
          <w:rFonts w:hint="eastAsia" w:eastAsia="方正仿宋_GBK"/>
          <w:color w:val="000000"/>
          <w:spacing w:val="-2"/>
          <w:sz w:val="24"/>
        </w:rPr>
        <w:t>场地区位图、建筑总平面图、平面图、立面图、剖面图、相关评价分析报告及有权部门的批文、必要的计算资料，并符合当地规划部门的其它要求。</w:t>
      </w:r>
    </w:p>
    <w:p>
      <w:pPr>
        <w:spacing w:line="460" w:lineRule="exact"/>
        <w:ind w:firstLine="472" w:firstLineChars="200"/>
        <w:rPr>
          <w:rFonts w:eastAsia="方正仿宋_GBK"/>
          <w:color w:val="000000"/>
          <w:spacing w:val="-2"/>
          <w:sz w:val="24"/>
        </w:rPr>
      </w:pPr>
      <w:r>
        <w:rPr>
          <w:rFonts w:eastAsia="方正仿宋_GBK"/>
          <w:color w:val="000000"/>
          <w:spacing w:val="-2"/>
          <w:sz w:val="24"/>
        </w:rPr>
        <w:t xml:space="preserve">1.0.5  </w:t>
      </w:r>
      <w:r>
        <w:rPr>
          <w:rFonts w:hint="eastAsia" w:eastAsia="方正仿宋_GBK"/>
          <w:color w:val="000000"/>
          <w:spacing w:val="-2"/>
          <w:sz w:val="24"/>
        </w:rPr>
        <w:t>建设单位应当按建筑单体填写江苏省民用建筑设计方案绿色设计报审表（在同一规划用地范围内功能相同、权属相同、建筑规模、技术体系相同的两个及以上单体建筑组成的群体，如住宅建筑群、办公建筑群可以整体填报）。审查通过的项目，由建设主管部门、规划主管部门分别填写绿色设计审查意见。</w:t>
      </w:r>
    </w:p>
    <w:p>
      <w:pPr>
        <w:spacing w:line="460" w:lineRule="exact"/>
        <w:jc w:val="center"/>
        <w:rPr>
          <w:rFonts w:ascii="Times New Roman" w:eastAsia="方正黑体_GBK"/>
          <w:color w:val="000000"/>
          <w:spacing w:val="-2"/>
          <w:sz w:val="24"/>
        </w:rPr>
      </w:pPr>
      <w:r>
        <w:rPr>
          <w:rFonts w:eastAsia="方正仿宋_GBK"/>
          <w:color w:val="000000"/>
          <w:spacing w:val="-2"/>
          <w:sz w:val="24"/>
        </w:rPr>
        <w:br w:type="page"/>
      </w:r>
      <w:r>
        <w:rPr>
          <w:rFonts w:hint="eastAsia" w:ascii="Times New Roman" w:eastAsia="方正黑体_GBK"/>
          <w:color w:val="000000"/>
          <w:spacing w:val="-2"/>
          <w:sz w:val="24"/>
        </w:rPr>
        <w:t>2  审查要点</w:t>
      </w:r>
    </w:p>
    <w:tbl>
      <w:tblPr>
        <w:tblStyle w:val="12"/>
        <w:tblW w:w="0" w:type="auto"/>
        <w:tblInd w:w="12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29"/>
        <w:gridCol w:w="4771"/>
        <w:gridCol w:w="33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trPr>
        <w:tc>
          <w:tcPr>
            <w:tcW w:w="629" w:type="dxa"/>
            <w:tcBorders>
              <w:top w:val="single" w:color="auto" w:sz="8" w:space="0"/>
              <w:left w:val="single" w:color="auto" w:sz="8" w:space="0"/>
              <w:bottom w:val="single" w:color="auto" w:sz="4" w:space="0"/>
              <w:right w:val="single" w:color="auto" w:sz="4" w:space="0"/>
            </w:tcBorders>
            <w:noWrap w:val="0"/>
            <w:vAlign w:val="center"/>
          </w:tcPr>
          <w:p>
            <w:pPr>
              <w:autoSpaceDE w:val="0"/>
              <w:autoSpaceDN w:val="0"/>
              <w:adjustRightInd w:val="0"/>
              <w:spacing w:line="32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序</w:t>
            </w:r>
          </w:p>
          <w:p>
            <w:pPr>
              <w:autoSpaceDE w:val="0"/>
              <w:autoSpaceDN w:val="0"/>
              <w:adjustRightInd w:val="0"/>
              <w:spacing w:line="32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号</w:t>
            </w:r>
          </w:p>
        </w:tc>
        <w:tc>
          <w:tcPr>
            <w:tcW w:w="4771" w:type="dxa"/>
            <w:tcBorders>
              <w:top w:val="single" w:color="auto" w:sz="8" w:space="0"/>
              <w:left w:val="single" w:color="auto" w:sz="4" w:space="0"/>
              <w:bottom w:val="single" w:color="auto" w:sz="4" w:space="0"/>
              <w:right w:val="single" w:color="auto" w:sz="4" w:space="0"/>
            </w:tcBorders>
            <w:noWrap w:val="0"/>
            <w:vAlign w:val="center"/>
          </w:tcPr>
          <w:p>
            <w:pPr>
              <w:autoSpaceDE w:val="0"/>
              <w:autoSpaceDN w:val="0"/>
              <w:adjustRightInd w:val="0"/>
              <w:spacing w:line="32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审查的标准条文（款）</w:t>
            </w:r>
          </w:p>
        </w:tc>
        <w:tc>
          <w:tcPr>
            <w:tcW w:w="3340" w:type="dxa"/>
            <w:tcBorders>
              <w:top w:val="single" w:color="auto" w:sz="8" w:space="0"/>
              <w:left w:val="single" w:color="auto" w:sz="4" w:space="0"/>
              <w:bottom w:val="single" w:color="auto" w:sz="4" w:space="0"/>
              <w:right w:val="single" w:color="auto" w:sz="8" w:space="0"/>
            </w:tcBorders>
            <w:noWrap w:val="0"/>
            <w:vAlign w:val="center"/>
          </w:tcPr>
          <w:p>
            <w:pPr>
              <w:autoSpaceDE w:val="0"/>
              <w:autoSpaceDN w:val="0"/>
              <w:adjustRightInd w:val="0"/>
              <w:spacing w:line="32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审查内容和要求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5.1.1 </w:t>
            </w:r>
            <w:r>
              <w:rPr>
                <w:rFonts w:hint="eastAsia" w:eastAsia="方正仿宋_GBK"/>
                <w:color w:val="000000"/>
                <w:spacing w:val="-2"/>
                <w:szCs w:val="21"/>
              </w:rPr>
              <w:t>场地规划应符合江苏省各地城乡规划的法定要求，且符合各类保护区、文物古迹的保护和控制要求。</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审查设计方案是否满足控制性详细规划及规划条件的要求。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2</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5.1.3 </w:t>
            </w:r>
            <w:r>
              <w:rPr>
                <w:rFonts w:hint="eastAsia" w:eastAsia="方正仿宋_GBK"/>
                <w:color w:val="000000"/>
                <w:spacing w:val="-2"/>
                <w:szCs w:val="21"/>
              </w:rPr>
              <w:t>场地规划应提高场地空间利用率，节约集约利用土地，并符合下列规定：</w:t>
            </w:r>
          </w:p>
          <w:p>
            <w:pPr>
              <w:autoSpaceDE w:val="0"/>
              <w:autoSpaceDN w:val="0"/>
              <w:adjustRightInd w:val="0"/>
              <w:spacing w:line="320" w:lineRule="exact"/>
              <w:rPr>
                <w:rFonts w:eastAsia="方正仿宋_GBK"/>
                <w:color w:val="000000"/>
                <w:spacing w:val="-2"/>
                <w:szCs w:val="21"/>
              </w:rPr>
            </w:pPr>
            <w:r>
              <w:rPr>
                <w:rFonts w:hint="eastAsia" w:eastAsia="方正仿宋_GBK"/>
                <w:color w:val="000000"/>
                <w:spacing w:val="-2"/>
                <w:szCs w:val="21"/>
              </w:rPr>
              <w:t>公共建筑容积率应满足城乡规划要求且不宜小于</w:t>
            </w:r>
            <w:r>
              <w:rPr>
                <w:rFonts w:eastAsia="方正仿宋_GBK"/>
                <w:color w:val="000000"/>
                <w:spacing w:val="-2"/>
                <w:szCs w:val="21"/>
              </w:rPr>
              <w:t xml:space="preserve"> 1.0</w:t>
            </w:r>
            <w:r>
              <w:rPr>
                <w:rFonts w:hint="eastAsia" w:eastAsia="方正仿宋_GBK"/>
                <w:color w:val="000000"/>
                <w:spacing w:val="-2"/>
                <w:szCs w:val="21"/>
              </w:rPr>
              <w:t>。</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公共建筑的容积率不宜小于</w:t>
            </w:r>
            <w:r>
              <w:rPr>
                <w:rFonts w:eastAsia="方正仿宋_GBK"/>
                <w:color w:val="000000"/>
                <w:spacing w:val="-2"/>
                <w:kern w:val="0"/>
                <w:szCs w:val="21"/>
              </w:rPr>
              <w:t>1.0</w:t>
            </w:r>
            <w:r>
              <w:rPr>
                <w:rFonts w:hint="eastAsia" w:eastAsia="方正仿宋_GBK"/>
                <w:color w:val="000000"/>
                <w:spacing w:val="-2"/>
                <w:kern w:val="0"/>
                <w:szCs w:val="21"/>
              </w:rPr>
              <w:t>，不应低于</w:t>
            </w:r>
            <w:r>
              <w:rPr>
                <w:rFonts w:eastAsia="方正仿宋_GBK"/>
                <w:color w:val="000000"/>
                <w:spacing w:val="-2"/>
                <w:kern w:val="0"/>
                <w:szCs w:val="21"/>
              </w:rPr>
              <w:t>0.5</w:t>
            </w:r>
            <w:r>
              <w:rPr>
                <w:rFonts w:hint="eastAsia" w:eastAsia="方正仿宋_GBK"/>
                <w:color w:val="000000"/>
                <w:spacing w:val="-2"/>
                <w:kern w:val="0"/>
                <w:szCs w:val="21"/>
              </w:rPr>
              <w:t>；当</w:t>
            </w:r>
            <w:r>
              <w:rPr>
                <w:rFonts w:eastAsia="方正仿宋_GBK"/>
                <w:color w:val="000000"/>
                <w:spacing w:val="-2"/>
                <w:kern w:val="0"/>
                <w:szCs w:val="21"/>
              </w:rPr>
              <w:t>0.5</w:t>
            </w:r>
            <w:r>
              <w:rPr>
                <w:rFonts w:hint="eastAsia" w:ascii="Times New Roman" w:hAnsi="Times New Roman"/>
                <w:color w:val="000000"/>
                <w:spacing w:val="-2"/>
                <w:kern w:val="0"/>
                <w:szCs w:val="21"/>
              </w:rPr>
              <w:t>≤</w:t>
            </w:r>
            <w:r>
              <w:rPr>
                <w:rFonts w:hint="eastAsia" w:eastAsia="方正仿宋_GBK"/>
                <w:color w:val="000000"/>
                <w:spacing w:val="-2"/>
                <w:kern w:val="0"/>
                <w:szCs w:val="21"/>
              </w:rPr>
              <w:t>容积率＜</w:t>
            </w:r>
            <w:r>
              <w:rPr>
                <w:rFonts w:eastAsia="方正仿宋_GBK"/>
                <w:color w:val="000000"/>
                <w:spacing w:val="-2"/>
                <w:kern w:val="0"/>
                <w:szCs w:val="21"/>
              </w:rPr>
              <w:t>0.8</w:t>
            </w:r>
            <w:r>
              <w:rPr>
                <w:rFonts w:hint="eastAsia" w:eastAsia="方正仿宋_GBK"/>
                <w:color w:val="000000"/>
                <w:spacing w:val="-2"/>
                <w:kern w:val="0"/>
                <w:szCs w:val="21"/>
              </w:rPr>
              <w:t>时，场地的绿地率不应低于</w:t>
            </w:r>
            <w:r>
              <w:rPr>
                <w:rFonts w:eastAsia="方正仿宋_GBK"/>
                <w:color w:val="000000"/>
                <w:spacing w:val="-2"/>
                <w:kern w:val="0"/>
                <w:szCs w:val="21"/>
              </w:rPr>
              <w:t>35%</w:t>
            </w:r>
            <w:r>
              <w:rPr>
                <w:rFonts w:hint="eastAsia" w:eastAsia="方正仿宋_GBK"/>
                <w:color w:val="000000"/>
                <w:spacing w:val="-2"/>
                <w:kern w:val="0"/>
                <w:szCs w:val="21"/>
              </w:rPr>
              <w:t>。</w:t>
            </w:r>
          </w:p>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历史街区以及环境风貌保护区等有特殊要求的项目，当不能满足上述要求时，审查项目容积率、绿地率是否满足控制性详细规划及规划条件的要求。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3</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5.1.4 </w:t>
            </w:r>
            <w:r>
              <w:rPr>
                <w:rFonts w:hint="eastAsia" w:eastAsia="方正仿宋_GBK"/>
                <w:color w:val="000000"/>
                <w:spacing w:val="-2"/>
                <w:szCs w:val="21"/>
              </w:rPr>
              <w:t>应合理配置公共服务设施。公共建筑资源及配套辅助设施设备应与周边区域共享和互补。</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审查设计方案的公共服务设施的配置是否符合控制性详细规划和规划条件的要求。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83" w:hRule="atLeast"/>
        </w:trPr>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4</w:t>
            </w:r>
          </w:p>
        </w:tc>
        <w:tc>
          <w:tcPr>
            <w:tcW w:w="4771" w:type="dxa"/>
            <w:tcBorders>
              <w:top w:val="single" w:color="auto" w:sz="4" w:space="0"/>
              <w:left w:val="single" w:color="auto" w:sz="4" w:space="0"/>
              <w:bottom w:val="single" w:color="auto" w:sz="4" w:space="0"/>
              <w:right w:val="single" w:color="auto" w:sz="4" w:space="0"/>
            </w:tcBorders>
            <w:noWrap w:val="0"/>
            <w:vAlign w:val="top"/>
          </w:tcPr>
          <w:p>
            <w:pPr>
              <w:spacing w:line="320" w:lineRule="exact"/>
              <w:rPr>
                <w:rFonts w:eastAsia="方正仿宋_GBK"/>
                <w:color w:val="000000"/>
                <w:spacing w:val="-2"/>
                <w:szCs w:val="21"/>
              </w:rPr>
            </w:pPr>
            <w:r>
              <w:rPr>
                <w:rFonts w:eastAsia="方正仿宋_GBK"/>
                <w:color w:val="000000"/>
                <w:spacing w:val="-2"/>
                <w:szCs w:val="21"/>
              </w:rPr>
              <w:t xml:space="preserve">5.2.3 </w:t>
            </w:r>
            <w:r>
              <w:rPr>
                <w:rFonts w:hint="eastAsia" w:eastAsia="方正仿宋_GBK"/>
                <w:color w:val="000000"/>
                <w:spacing w:val="-2"/>
                <w:szCs w:val="21"/>
              </w:rPr>
              <w:t>建筑场地应安全可靠，并符合下列规定：</w:t>
            </w:r>
          </w:p>
          <w:p>
            <w:pPr>
              <w:spacing w:line="320" w:lineRule="exact"/>
              <w:rPr>
                <w:rFonts w:eastAsia="方正仿宋_GBK"/>
                <w:color w:val="000000"/>
                <w:spacing w:val="-2"/>
                <w:szCs w:val="21"/>
              </w:rPr>
            </w:pPr>
            <w:r>
              <w:rPr>
                <w:rFonts w:eastAsia="方正仿宋_GBK"/>
                <w:color w:val="000000"/>
                <w:spacing w:val="-2"/>
                <w:szCs w:val="21"/>
              </w:rPr>
              <w:t xml:space="preserve">1 </w:t>
            </w:r>
            <w:r>
              <w:rPr>
                <w:rFonts w:hint="eastAsia" w:eastAsia="方正仿宋_GBK"/>
                <w:color w:val="000000"/>
                <w:spacing w:val="-2"/>
                <w:szCs w:val="21"/>
              </w:rPr>
              <w:t>避开可能产生洪水、泥石流、滑坡等自然灾害的地段。</w:t>
            </w:r>
            <w:r>
              <w:rPr>
                <w:rFonts w:eastAsia="方正仿宋_GBK"/>
                <w:color w:val="000000"/>
                <w:spacing w:val="-2"/>
                <w:szCs w:val="21"/>
              </w:rPr>
              <w:t xml:space="preserve"> </w:t>
            </w:r>
          </w:p>
          <w:p>
            <w:pPr>
              <w:spacing w:line="320" w:lineRule="exact"/>
              <w:rPr>
                <w:rFonts w:eastAsia="方正仿宋_GBK"/>
                <w:color w:val="000000"/>
                <w:spacing w:val="-2"/>
                <w:szCs w:val="21"/>
              </w:rPr>
            </w:pPr>
            <w:r>
              <w:rPr>
                <w:rFonts w:eastAsia="方正仿宋_GBK"/>
                <w:color w:val="000000"/>
                <w:spacing w:val="-2"/>
                <w:szCs w:val="21"/>
              </w:rPr>
              <w:t xml:space="preserve">2 </w:t>
            </w:r>
            <w:r>
              <w:rPr>
                <w:rFonts w:hint="eastAsia" w:eastAsia="方正仿宋_GBK"/>
                <w:color w:val="000000"/>
                <w:spacing w:val="-2"/>
                <w:szCs w:val="21"/>
              </w:rPr>
              <w:t>应避开地震时可能产生滑坡、崩坍、地陷、地裂、泥石流及地震断裂带上可能发生地表错位等对工程抗震危险的地段。</w:t>
            </w:r>
          </w:p>
          <w:p>
            <w:pPr>
              <w:spacing w:line="320" w:lineRule="exact"/>
              <w:rPr>
                <w:rFonts w:eastAsia="方正仿宋_GBK"/>
                <w:color w:val="000000"/>
                <w:spacing w:val="-2"/>
                <w:szCs w:val="21"/>
              </w:rPr>
            </w:pPr>
            <w:r>
              <w:rPr>
                <w:rFonts w:eastAsia="方正仿宋_GBK"/>
                <w:color w:val="000000"/>
                <w:spacing w:val="-2"/>
                <w:szCs w:val="21"/>
              </w:rPr>
              <w:t xml:space="preserve">3 </w:t>
            </w:r>
            <w:r>
              <w:rPr>
                <w:rFonts w:hint="eastAsia" w:eastAsia="方正仿宋_GBK"/>
                <w:color w:val="000000"/>
                <w:spacing w:val="-2"/>
                <w:szCs w:val="21"/>
              </w:rPr>
              <w:t>应避开容易产生风切变的地段。</w:t>
            </w:r>
          </w:p>
          <w:p>
            <w:pPr>
              <w:spacing w:line="320" w:lineRule="exact"/>
              <w:rPr>
                <w:rFonts w:eastAsia="方正仿宋_GBK"/>
                <w:color w:val="000000"/>
                <w:spacing w:val="-2"/>
                <w:szCs w:val="21"/>
              </w:rPr>
            </w:pPr>
            <w:r>
              <w:rPr>
                <w:rFonts w:eastAsia="方正仿宋_GBK"/>
                <w:color w:val="000000"/>
                <w:spacing w:val="-2"/>
                <w:szCs w:val="21"/>
              </w:rPr>
              <w:t xml:space="preserve">4 </w:t>
            </w:r>
            <w:r>
              <w:rPr>
                <w:rFonts w:hint="eastAsia" w:eastAsia="方正仿宋_GBK"/>
                <w:color w:val="000000"/>
                <w:spacing w:val="-2"/>
                <w:szCs w:val="21"/>
              </w:rPr>
              <w:t>在建筑场地范围内应无危险化学品等重大污染源，无易燃易爆危险源威胁及有害有毒物质危害。</w:t>
            </w:r>
          </w:p>
          <w:p>
            <w:pPr>
              <w:spacing w:line="320" w:lineRule="exact"/>
              <w:rPr>
                <w:rFonts w:eastAsia="方正仿宋_GBK"/>
                <w:color w:val="000000"/>
                <w:spacing w:val="-2"/>
                <w:szCs w:val="21"/>
              </w:rPr>
            </w:pPr>
            <w:r>
              <w:rPr>
                <w:rFonts w:eastAsia="方正仿宋_GBK"/>
                <w:color w:val="000000"/>
                <w:spacing w:val="-2"/>
                <w:szCs w:val="21"/>
              </w:rPr>
              <w:t xml:space="preserve">5 </w:t>
            </w:r>
            <w:r>
              <w:rPr>
                <w:rFonts w:hint="eastAsia" w:eastAsia="方正仿宋_GBK"/>
                <w:color w:val="000000"/>
                <w:spacing w:val="-2"/>
                <w:szCs w:val="21"/>
              </w:rPr>
              <w:t>当场地选择不能避开上述安全隐患时，应采取措施保证场地对可能产生的自然灾害或次生灾害有充分的抵御能力。</w:t>
            </w:r>
          </w:p>
          <w:p>
            <w:pPr>
              <w:pStyle w:val="27"/>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6 </w:t>
            </w:r>
            <w:r>
              <w:rPr>
                <w:rFonts w:hint="eastAsia" w:ascii="Times New Roman" w:eastAsia="方正仿宋_GBK" w:cs="Times New Roman"/>
                <w:spacing w:val="-2"/>
                <w:sz w:val="21"/>
                <w:szCs w:val="21"/>
              </w:rPr>
              <w:t>利用裸岩、塌陷地、废窑坑等废弃场地时，应进行场地安全性评价，并应采取相应的防护措施。</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审查建筑场地选址是否符合城市总体规划、详细规划和规划条件的要求。</w:t>
            </w:r>
          </w:p>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对位于可能发生地质灾害及有害物质污染地段的项目，建设单位应提供项目所在场地</w:t>
            </w:r>
            <w:r>
              <w:rPr>
                <w:rFonts w:hint="eastAsia" w:eastAsia="方正仿宋_GBK"/>
                <w:color w:val="000000"/>
                <w:spacing w:val="-2"/>
                <w:szCs w:val="21"/>
              </w:rPr>
              <w:t>安全性评价、环境影响评价文件及</w:t>
            </w:r>
            <w:r>
              <w:rPr>
                <w:rFonts w:hint="eastAsia" w:eastAsia="方正仿宋_GBK"/>
                <w:color w:val="000000"/>
                <w:spacing w:val="-2"/>
                <w:kern w:val="0"/>
                <w:szCs w:val="21"/>
              </w:rPr>
              <w:t>有权部门的批文。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5</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5.2.4 </w:t>
            </w:r>
            <w:r>
              <w:rPr>
                <w:rFonts w:hint="eastAsia" w:eastAsia="方正仿宋_GBK"/>
                <w:color w:val="000000"/>
                <w:spacing w:val="-2"/>
                <w:szCs w:val="21"/>
              </w:rPr>
              <w:t>场地周边电磁辐射和场地土壤氡浓度的测定及防护应符合有关标准的规定。</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场地规划应符合当地控制性详细规划和规划条件的要求。</w:t>
            </w:r>
          </w:p>
          <w:p>
            <w:pPr>
              <w:autoSpaceDE w:val="0"/>
              <w:autoSpaceDN w:val="0"/>
              <w:adjustRightInd w:val="0"/>
              <w:spacing w:line="320" w:lineRule="exact"/>
              <w:rPr>
                <w:rFonts w:eastAsia="方正仿宋_GBK"/>
                <w:color w:val="000000"/>
                <w:spacing w:val="-2"/>
                <w:szCs w:val="21"/>
              </w:rPr>
            </w:pPr>
            <w:r>
              <w:rPr>
                <w:rFonts w:hint="eastAsia" w:eastAsia="方正仿宋_GBK"/>
                <w:color w:val="000000"/>
                <w:spacing w:val="-2"/>
                <w:kern w:val="0"/>
                <w:szCs w:val="21"/>
              </w:rPr>
              <w:t>建设单位应提供项目所在场地的环境影响评价文件及有权部门的批文。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6</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szCs w:val="21"/>
              </w:rPr>
              <w:t xml:space="preserve">5.2.5 </w:t>
            </w:r>
            <w:r>
              <w:rPr>
                <w:rFonts w:hint="eastAsia" w:eastAsia="方正仿宋_GBK"/>
                <w:color w:val="000000"/>
                <w:spacing w:val="-2"/>
                <w:szCs w:val="21"/>
              </w:rPr>
              <w:t>场地内不应有排放超标的污染源。</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建设单位应提供项目所在场地的环境影响评价文件及有权部门的批文。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849" w:hRule="atLeast"/>
        </w:trPr>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7</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5.4.2 </w:t>
            </w:r>
            <w:r>
              <w:rPr>
                <w:rFonts w:hint="eastAsia" w:eastAsia="方正仿宋_GBK"/>
                <w:color w:val="000000"/>
                <w:spacing w:val="-2"/>
                <w:szCs w:val="21"/>
              </w:rPr>
              <w:t>每套住宅应至少有一个居住空间能获得冬季日照，其日照标准应符合表</w:t>
            </w:r>
            <w:r>
              <w:rPr>
                <w:rFonts w:eastAsia="方正仿宋_GBK"/>
                <w:color w:val="000000"/>
                <w:spacing w:val="-2"/>
                <w:szCs w:val="21"/>
              </w:rPr>
              <w:t xml:space="preserve"> 5.4.2 </w:t>
            </w:r>
            <w:r>
              <w:rPr>
                <w:rFonts w:hint="eastAsia" w:eastAsia="方正仿宋_GBK"/>
                <w:color w:val="000000"/>
                <w:spacing w:val="-2"/>
                <w:szCs w:val="21"/>
              </w:rPr>
              <w:t>的规定。有日照要求的托儿所、幼儿园的主要生活用房，应满足冬至日不少于</w:t>
            </w:r>
            <w:r>
              <w:rPr>
                <w:rFonts w:eastAsia="方正仿宋_GBK"/>
                <w:color w:val="000000"/>
                <w:spacing w:val="-2"/>
                <w:szCs w:val="21"/>
              </w:rPr>
              <w:t xml:space="preserve"> 3 h</w:t>
            </w:r>
            <w:r>
              <w:rPr>
                <w:rFonts w:hint="eastAsia" w:eastAsia="方正仿宋_GBK"/>
                <w:color w:val="000000"/>
                <w:spacing w:val="-2"/>
                <w:szCs w:val="21"/>
              </w:rPr>
              <w:t>的日照标准，老年人住宅的卧室、起居室，医院、疗养院半数以上的病房和疗养室，中小学教室，应满足冬至日不小于</w:t>
            </w:r>
            <w:r>
              <w:rPr>
                <w:rFonts w:eastAsia="方正仿宋_GBK"/>
                <w:color w:val="000000"/>
                <w:spacing w:val="-2"/>
                <w:szCs w:val="21"/>
              </w:rPr>
              <w:t xml:space="preserve"> 2 h</w:t>
            </w:r>
            <w:r>
              <w:rPr>
                <w:rFonts w:hint="eastAsia" w:eastAsia="方正仿宋_GBK"/>
                <w:color w:val="000000"/>
                <w:spacing w:val="-2"/>
                <w:szCs w:val="21"/>
              </w:rPr>
              <w:t>的日照标准。</w:t>
            </w:r>
          </w:p>
          <w:p>
            <w:pPr>
              <w:autoSpaceDE w:val="0"/>
              <w:autoSpaceDN w:val="0"/>
              <w:adjustRightInd w:val="0"/>
              <w:spacing w:line="240" w:lineRule="exact"/>
              <w:rPr>
                <w:rFonts w:eastAsia="方正仿宋_GBK"/>
                <w:color w:val="000000"/>
                <w:spacing w:val="-2"/>
                <w:szCs w:val="21"/>
              </w:rPr>
            </w:pPr>
            <w:r>
              <w:rPr>
                <w:rFonts w:hint="eastAsia" w:eastAsia="方正仿宋_GBK"/>
                <w:color w:val="000000"/>
                <w:spacing w:val="-2"/>
                <w:szCs w:val="21"/>
              </w:rPr>
              <w:t>表</w:t>
            </w:r>
            <w:r>
              <w:rPr>
                <w:rFonts w:eastAsia="方正仿宋_GBK"/>
                <w:color w:val="000000"/>
                <w:spacing w:val="-2"/>
                <w:szCs w:val="21"/>
              </w:rPr>
              <w:t xml:space="preserve">5.4.2 </w:t>
            </w:r>
            <w:r>
              <w:rPr>
                <w:rFonts w:hint="eastAsia" w:eastAsia="方正仿宋_GBK"/>
                <w:color w:val="000000"/>
                <w:spacing w:val="-2"/>
                <w:szCs w:val="21"/>
              </w:rPr>
              <w:t>住宅建筑日照标准</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0"/>
              <w:gridCol w:w="1417"/>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0" w:type="dxa"/>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建筑气候区划</w:t>
                  </w:r>
                </w:p>
              </w:tc>
              <w:tc>
                <w:tcPr>
                  <w:tcW w:w="3037"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中国建筑气候区划图江苏省划为</w:t>
                  </w:r>
                  <w:r>
                    <w:rPr>
                      <w:rFonts w:hint="eastAsia" w:ascii="Times New Roman" w:hAnsi="Times New Roman" w:cs="宋体"/>
                      <w:color w:val="000000"/>
                      <w:spacing w:val="-2"/>
                      <w:sz w:val="18"/>
                      <w:szCs w:val="18"/>
                    </w:rPr>
                    <w:t>Ⅱ</w:t>
                  </w:r>
                  <w:r>
                    <w:rPr>
                      <w:rFonts w:hint="eastAsia" w:eastAsia="方正仿宋_GBK"/>
                      <w:color w:val="000000"/>
                      <w:spacing w:val="-2"/>
                      <w:sz w:val="18"/>
                      <w:szCs w:val="18"/>
                    </w:rPr>
                    <w:t>、</w:t>
                  </w:r>
                  <w:r>
                    <w:rPr>
                      <w:rFonts w:hint="eastAsia" w:ascii="Times New Roman" w:hAnsi="Times New Roman" w:cs="宋体"/>
                      <w:color w:val="000000"/>
                      <w:spacing w:val="-2"/>
                      <w:sz w:val="18"/>
                      <w:szCs w:val="18"/>
                    </w:rPr>
                    <w:t>Ⅲ</w:t>
                  </w:r>
                  <w:r>
                    <w:rPr>
                      <w:rFonts w:hint="eastAsia" w:eastAsia="方正仿宋_GBK"/>
                      <w:color w:val="000000"/>
                      <w:spacing w:val="-2"/>
                      <w:sz w:val="18"/>
                      <w:szCs w:val="18"/>
                    </w:rPr>
                    <w:t>类气候区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 w:val="18"/>
                      <w:szCs w:val="18"/>
                    </w:rPr>
                  </w:pPr>
                </w:p>
              </w:tc>
              <w:tc>
                <w:tcPr>
                  <w:tcW w:w="141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大城市</w:t>
                  </w:r>
                </w:p>
              </w:tc>
              <w:tc>
                <w:tcPr>
                  <w:tcW w:w="16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中小城市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日照标准日</w:t>
                  </w:r>
                </w:p>
              </w:tc>
              <w:tc>
                <w:tcPr>
                  <w:tcW w:w="3037"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大寒日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日照时数（</w:t>
                  </w:r>
                  <w:r>
                    <w:rPr>
                      <w:rFonts w:eastAsia="方正仿宋_GBK"/>
                      <w:color w:val="000000"/>
                      <w:spacing w:val="-2"/>
                      <w:sz w:val="18"/>
                      <w:szCs w:val="18"/>
                    </w:rPr>
                    <w:t>h</w:t>
                  </w:r>
                  <w:r>
                    <w:rPr>
                      <w:rFonts w:hint="eastAsia" w:eastAsia="方正仿宋_GBK"/>
                      <w:color w:val="000000"/>
                      <w:spacing w:val="-2"/>
                      <w:sz w:val="18"/>
                      <w:szCs w:val="18"/>
                    </w:rPr>
                    <w:t>）</w:t>
                  </w:r>
                </w:p>
              </w:tc>
              <w:tc>
                <w:tcPr>
                  <w:tcW w:w="1417"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ascii="Times New Roman" w:hAnsi="Times New Roman"/>
                      <w:color w:val="000000"/>
                      <w:spacing w:val="-2"/>
                      <w:sz w:val="18"/>
                      <w:szCs w:val="18"/>
                    </w:rPr>
                    <w:t>≥</w:t>
                  </w:r>
                  <w:r>
                    <w:rPr>
                      <w:rFonts w:eastAsia="方正仿宋_GBK"/>
                      <w:color w:val="000000"/>
                      <w:spacing w:val="-2"/>
                      <w:sz w:val="18"/>
                      <w:szCs w:val="18"/>
                    </w:rPr>
                    <w:t>2</w:t>
                  </w:r>
                </w:p>
              </w:tc>
              <w:tc>
                <w:tcPr>
                  <w:tcW w:w="16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ascii="Times New Roman" w:hAnsi="Times New Roman"/>
                      <w:color w:val="000000"/>
                      <w:spacing w:val="-2"/>
                      <w:sz w:val="18"/>
                      <w:szCs w:val="18"/>
                    </w:rPr>
                    <w:t>≥</w:t>
                  </w:r>
                  <w:r>
                    <w:rPr>
                      <w:rFonts w:eastAsia="方正仿宋_GBK"/>
                      <w:color w:val="000000"/>
                      <w:spacing w:val="-2"/>
                      <w:sz w:val="18"/>
                      <w:szCs w:val="1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有效日照时间带（</w:t>
                  </w:r>
                  <w:r>
                    <w:rPr>
                      <w:rFonts w:eastAsia="方正仿宋_GBK"/>
                      <w:color w:val="000000"/>
                      <w:spacing w:val="-2"/>
                      <w:sz w:val="18"/>
                      <w:szCs w:val="18"/>
                    </w:rPr>
                    <w:t>h</w:t>
                  </w:r>
                  <w:r>
                    <w:rPr>
                      <w:rFonts w:hint="eastAsia" w:eastAsia="方正仿宋_GBK"/>
                      <w:color w:val="000000"/>
                      <w:spacing w:val="-2"/>
                      <w:sz w:val="18"/>
                      <w:szCs w:val="18"/>
                    </w:rPr>
                    <w:t>）</w:t>
                  </w:r>
                </w:p>
              </w:tc>
              <w:tc>
                <w:tcPr>
                  <w:tcW w:w="3037"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eastAsia="方正仿宋_GBK"/>
                      <w:color w:val="000000"/>
                      <w:spacing w:val="-2"/>
                      <w:sz w:val="18"/>
                      <w:szCs w:val="18"/>
                    </w:rPr>
                    <w:t>8</w:t>
                  </w:r>
                  <w:r>
                    <w:rPr>
                      <w:rFonts w:hint="eastAsia" w:eastAsia="方正仿宋_GBK"/>
                      <w:color w:val="000000"/>
                      <w:spacing w:val="-2"/>
                      <w:sz w:val="18"/>
                      <w:szCs w:val="18"/>
                    </w:rPr>
                    <w:t>～</w:t>
                  </w:r>
                  <w:r>
                    <w:rPr>
                      <w:rFonts w:eastAsia="方正仿宋_GBK"/>
                      <w:color w:val="000000"/>
                      <w:spacing w:val="-2"/>
                      <w:sz w:val="18"/>
                      <w:szCs w:val="18"/>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jc w:val="center"/>
              </w:trPr>
              <w:tc>
                <w:tcPr>
                  <w:tcW w:w="184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日照时间计算起点</w:t>
                  </w:r>
                </w:p>
              </w:tc>
              <w:tc>
                <w:tcPr>
                  <w:tcW w:w="3037"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240" w:lineRule="exact"/>
                    <w:rPr>
                      <w:rFonts w:eastAsia="方正仿宋_GBK"/>
                      <w:color w:val="000000"/>
                      <w:spacing w:val="-2"/>
                      <w:sz w:val="18"/>
                      <w:szCs w:val="18"/>
                    </w:rPr>
                  </w:pPr>
                  <w:r>
                    <w:rPr>
                      <w:rFonts w:hint="eastAsia" w:eastAsia="方正仿宋_GBK"/>
                      <w:color w:val="000000"/>
                      <w:spacing w:val="-2"/>
                      <w:sz w:val="18"/>
                      <w:szCs w:val="18"/>
                    </w:rPr>
                    <w:t>底层窗台面（指室内地面</w:t>
                  </w:r>
                  <w:r>
                    <w:rPr>
                      <w:rFonts w:eastAsia="方正仿宋_GBK"/>
                      <w:color w:val="000000"/>
                      <w:spacing w:val="-2"/>
                      <w:sz w:val="18"/>
                      <w:szCs w:val="18"/>
                    </w:rPr>
                    <w:t>0.9m</w:t>
                  </w:r>
                  <w:r>
                    <w:rPr>
                      <w:rFonts w:hint="eastAsia" w:eastAsia="方正仿宋_GBK"/>
                      <w:color w:val="000000"/>
                      <w:spacing w:val="-2"/>
                      <w:sz w:val="18"/>
                      <w:szCs w:val="18"/>
                    </w:rPr>
                    <w:t>高的外墙位置）</w:t>
                  </w:r>
                </w:p>
              </w:tc>
            </w:tr>
          </w:tbl>
          <w:p>
            <w:pPr>
              <w:pStyle w:val="27"/>
              <w:spacing w:line="240" w:lineRule="exact"/>
              <w:rPr>
                <w:rFonts w:ascii="Times New Roman" w:eastAsia="方正仿宋_GBK" w:cs="Times New Roman"/>
                <w:spacing w:val="-2"/>
                <w:sz w:val="21"/>
                <w:szCs w:val="21"/>
              </w:rPr>
            </w:pP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审查建筑间距、日照分析报告是否满足本条及《江苏省城市规划管理技术规定》（</w:t>
            </w:r>
            <w:r>
              <w:rPr>
                <w:rFonts w:eastAsia="方正仿宋_GBK"/>
                <w:color w:val="000000"/>
                <w:spacing w:val="-2"/>
                <w:kern w:val="0"/>
                <w:szCs w:val="21"/>
              </w:rPr>
              <w:t>2011</w:t>
            </w:r>
            <w:r>
              <w:rPr>
                <w:rFonts w:hint="eastAsia" w:eastAsia="方正仿宋_GBK"/>
                <w:color w:val="000000"/>
                <w:spacing w:val="-2"/>
                <w:kern w:val="0"/>
                <w:szCs w:val="21"/>
              </w:rPr>
              <w:t>年版）的要求。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4" w:hRule="atLeast"/>
        </w:trPr>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8</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5.4.3 </w:t>
            </w:r>
            <w:r>
              <w:rPr>
                <w:rFonts w:hint="eastAsia" w:eastAsia="方正仿宋_GBK"/>
                <w:color w:val="000000"/>
                <w:spacing w:val="-2"/>
                <w:szCs w:val="21"/>
              </w:rPr>
              <w:t>场地光环境设计应符合下列规定：</w:t>
            </w:r>
          </w:p>
          <w:p>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1 </w:t>
            </w:r>
            <w:r>
              <w:rPr>
                <w:rFonts w:hint="eastAsia" w:eastAsia="方正仿宋_GBK"/>
                <w:color w:val="000000"/>
                <w:spacing w:val="-2"/>
                <w:szCs w:val="21"/>
              </w:rPr>
              <w:t>建筑朝向、布局应有利于获得良好的日照，住宅建筑主要朝向宜为南偏西</w:t>
            </w:r>
            <w:r>
              <w:rPr>
                <w:rFonts w:eastAsia="方正仿宋_GBK"/>
                <w:color w:val="000000"/>
                <w:spacing w:val="-2"/>
                <w:szCs w:val="21"/>
              </w:rPr>
              <w:t xml:space="preserve"> 5°</w:t>
            </w:r>
            <w:r>
              <w:rPr>
                <w:rFonts w:hint="eastAsia" w:eastAsia="方正仿宋_GBK"/>
                <w:color w:val="000000"/>
                <w:spacing w:val="-2"/>
                <w:szCs w:val="21"/>
              </w:rPr>
              <w:t>至南偏东</w:t>
            </w:r>
            <w:r>
              <w:rPr>
                <w:rFonts w:eastAsia="方正仿宋_GBK"/>
                <w:color w:val="000000"/>
                <w:spacing w:val="-2"/>
                <w:szCs w:val="21"/>
              </w:rPr>
              <w:t xml:space="preserve"> 30°</w:t>
            </w:r>
            <w:r>
              <w:rPr>
                <w:rFonts w:hint="eastAsia" w:eastAsia="方正仿宋_GBK"/>
                <w:color w:val="000000"/>
                <w:spacing w:val="-2"/>
                <w:szCs w:val="21"/>
              </w:rPr>
              <w:t>之</w:t>
            </w:r>
            <w:r>
              <w:rPr>
                <w:rFonts w:eastAsia="方正仿宋_GBK"/>
                <w:color w:val="000000"/>
                <w:spacing w:val="-2"/>
                <w:szCs w:val="21"/>
              </w:rPr>
              <w:t xml:space="preserve"> </w:t>
            </w:r>
            <w:r>
              <w:rPr>
                <w:rFonts w:hint="eastAsia" w:eastAsia="方正仿宋_GBK"/>
                <w:color w:val="000000"/>
                <w:spacing w:val="-2"/>
                <w:szCs w:val="21"/>
              </w:rPr>
              <w:t>间，并通过日照模拟分析确定最优朝向。</w:t>
            </w:r>
          </w:p>
          <w:p>
            <w:pPr>
              <w:pStyle w:val="27"/>
              <w:spacing w:line="240" w:lineRule="exact"/>
              <w:jc w:val="both"/>
              <w:rPr>
                <w:rFonts w:ascii="Times New Roman" w:eastAsia="方正仿宋_GBK" w:cs="Times New Roman"/>
                <w:strike/>
                <w:spacing w:val="-2"/>
                <w:sz w:val="21"/>
                <w:szCs w:val="21"/>
              </w:rPr>
            </w:pPr>
            <w:r>
              <w:rPr>
                <w:rFonts w:ascii="Times New Roman" w:eastAsia="方正仿宋_GBK" w:cs="Times New Roman"/>
                <w:spacing w:val="-2"/>
                <w:sz w:val="21"/>
                <w:szCs w:val="21"/>
              </w:rPr>
              <w:t xml:space="preserve">2 </w:t>
            </w:r>
            <w:r>
              <w:rPr>
                <w:rFonts w:hint="eastAsia" w:ascii="Times New Roman" w:eastAsia="方正仿宋_GBK" w:cs="Times New Roman"/>
                <w:spacing w:val="-2"/>
                <w:sz w:val="21"/>
                <w:szCs w:val="21"/>
              </w:rPr>
              <w:t>当现状住宅和有日照要求的公共建筑的日照时间低于本规程第</w:t>
            </w:r>
            <w:r>
              <w:rPr>
                <w:rFonts w:ascii="Times New Roman" w:eastAsia="方正仿宋_GBK" w:cs="Times New Roman"/>
                <w:spacing w:val="-2"/>
                <w:sz w:val="21"/>
                <w:szCs w:val="21"/>
              </w:rPr>
              <w:t xml:space="preserve"> 5.4.2 </w:t>
            </w:r>
            <w:r>
              <w:rPr>
                <w:rFonts w:hint="eastAsia" w:ascii="Times New Roman" w:eastAsia="方正仿宋_GBK" w:cs="Times New Roman"/>
                <w:spacing w:val="-2"/>
                <w:sz w:val="21"/>
                <w:szCs w:val="21"/>
              </w:rPr>
              <w:t>条的规定时，周边用地的开发建设不应减少其现有的日照时间。</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szCs w:val="21"/>
              </w:rPr>
            </w:pPr>
            <w:r>
              <w:rPr>
                <w:rFonts w:hint="eastAsia" w:eastAsia="方正仿宋_GBK"/>
                <w:color w:val="000000"/>
                <w:spacing w:val="-2"/>
                <w:szCs w:val="21"/>
              </w:rPr>
              <w:t>审查建筑布局的合理性。</w:t>
            </w:r>
          </w:p>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szCs w:val="21"/>
              </w:rPr>
              <w:t>建筑间距、日照分析报告应满足本条第</w:t>
            </w:r>
            <w:r>
              <w:rPr>
                <w:rFonts w:eastAsia="方正仿宋_GBK"/>
                <w:color w:val="000000"/>
                <w:spacing w:val="-2"/>
                <w:szCs w:val="21"/>
              </w:rPr>
              <w:t>2</w:t>
            </w:r>
            <w:r>
              <w:rPr>
                <w:rFonts w:hint="eastAsia" w:eastAsia="方正仿宋_GBK"/>
                <w:color w:val="000000"/>
                <w:spacing w:val="-2"/>
                <w:szCs w:val="21"/>
              </w:rPr>
              <w:t>款及《江苏省城市规划管理技术规定》（</w:t>
            </w:r>
            <w:r>
              <w:rPr>
                <w:rFonts w:eastAsia="方正仿宋_GBK"/>
                <w:color w:val="000000"/>
                <w:spacing w:val="-2"/>
                <w:szCs w:val="21"/>
              </w:rPr>
              <w:t>2011</w:t>
            </w:r>
            <w:r>
              <w:rPr>
                <w:rFonts w:hint="eastAsia" w:eastAsia="方正仿宋_GBK"/>
                <w:color w:val="000000"/>
                <w:spacing w:val="-2"/>
                <w:szCs w:val="21"/>
              </w:rPr>
              <w:t>年版）的要求。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9</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5.4.5 </w:t>
            </w:r>
            <w:r>
              <w:rPr>
                <w:rFonts w:hint="eastAsia" w:eastAsia="方正仿宋_GBK"/>
                <w:color w:val="000000"/>
                <w:spacing w:val="-2"/>
                <w:szCs w:val="21"/>
              </w:rPr>
              <w:t>场地声环境设计应符合《声环境质量标准》</w:t>
            </w:r>
            <w:r>
              <w:rPr>
                <w:rFonts w:eastAsia="方正仿宋_GBK"/>
                <w:color w:val="000000"/>
                <w:spacing w:val="-2"/>
                <w:szCs w:val="21"/>
              </w:rPr>
              <w:t>GB 3096</w:t>
            </w:r>
            <w:r>
              <w:rPr>
                <w:rFonts w:hint="eastAsia" w:eastAsia="方正仿宋_GBK"/>
                <w:color w:val="000000"/>
                <w:spacing w:val="-2"/>
                <w:szCs w:val="21"/>
              </w:rPr>
              <w:t>的规定，并符合下列规定：</w:t>
            </w:r>
          </w:p>
          <w:p>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1 </w:t>
            </w:r>
            <w:r>
              <w:rPr>
                <w:rFonts w:hint="eastAsia" w:eastAsia="方正仿宋_GBK"/>
                <w:color w:val="000000"/>
                <w:spacing w:val="-2"/>
                <w:szCs w:val="21"/>
              </w:rPr>
              <w:t>场地内的固定噪声源应采取隔声、降噪措施进行有效控制。</w:t>
            </w:r>
          </w:p>
          <w:p>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2 </w:t>
            </w:r>
            <w:r>
              <w:rPr>
                <w:rFonts w:hint="eastAsia" w:eastAsia="方正仿宋_GBK"/>
                <w:color w:val="000000"/>
                <w:spacing w:val="-2"/>
                <w:szCs w:val="21"/>
              </w:rPr>
              <w:t>当建筑与高速公路或快速道路相邻时，宜进行噪声专项分析，除采取声屏障或降噪路面等措施外，还应符合相关规范的退让要求。</w:t>
            </w:r>
          </w:p>
          <w:p>
            <w:pPr>
              <w:pStyle w:val="27"/>
              <w:spacing w:line="24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3 </w:t>
            </w:r>
            <w:r>
              <w:rPr>
                <w:rFonts w:hint="eastAsia" w:ascii="Times New Roman" w:eastAsia="方正仿宋_GBK" w:cs="Times New Roman"/>
                <w:spacing w:val="-2"/>
                <w:sz w:val="21"/>
                <w:szCs w:val="21"/>
              </w:rPr>
              <w:t>声环境要求高的建筑，宜布置在主要噪声源主导风向的上风侧。</w:t>
            </w:r>
          </w:p>
          <w:p>
            <w:pPr>
              <w:pStyle w:val="27"/>
              <w:spacing w:line="240" w:lineRule="exact"/>
              <w:jc w:val="both"/>
              <w:rPr>
                <w:rFonts w:ascii="Times New Roman" w:eastAsia="方正仿宋_GBK" w:cs="Times New Roman"/>
                <w:spacing w:val="-2"/>
                <w:sz w:val="21"/>
                <w:szCs w:val="21"/>
              </w:rPr>
            </w:pP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szCs w:val="21"/>
              </w:rPr>
            </w:pPr>
            <w:r>
              <w:rPr>
                <w:rFonts w:hint="eastAsia" w:eastAsia="方正仿宋_GBK"/>
                <w:color w:val="000000"/>
                <w:spacing w:val="-2"/>
                <w:szCs w:val="21"/>
              </w:rPr>
              <w:t>审查建筑布局的合理性。</w:t>
            </w:r>
          </w:p>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建设单位应提供项目所在场地的环境影响评价文件及有权部门的批文。</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10</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5.4.7 </w:t>
            </w:r>
            <w:r>
              <w:rPr>
                <w:rFonts w:hint="eastAsia" w:eastAsia="方正仿宋_GBK"/>
                <w:color w:val="000000"/>
                <w:spacing w:val="-2"/>
                <w:szCs w:val="21"/>
              </w:rPr>
              <w:t>场地的交通设计应符合下列规定：</w:t>
            </w:r>
          </w:p>
          <w:p>
            <w:pPr>
              <w:autoSpaceDE w:val="0"/>
              <w:autoSpaceDN w:val="0"/>
              <w:adjustRightInd w:val="0"/>
              <w:spacing w:line="240" w:lineRule="exact"/>
              <w:rPr>
                <w:rFonts w:eastAsia="方正仿宋_GBK"/>
                <w:color w:val="000000"/>
                <w:spacing w:val="-2"/>
                <w:szCs w:val="21"/>
              </w:rPr>
            </w:pPr>
            <w:r>
              <w:rPr>
                <w:rFonts w:eastAsia="方正仿宋_GBK"/>
                <w:color w:val="000000"/>
                <w:spacing w:val="-2"/>
                <w:szCs w:val="21"/>
              </w:rPr>
              <w:t xml:space="preserve">1 </w:t>
            </w:r>
            <w:r>
              <w:rPr>
                <w:rFonts w:hint="eastAsia" w:eastAsia="方正仿宋_GBK"/>
                <w:color w:val="000000"/>
                <w:spacing w:val="-2"/>
                <w:szCs w:val="21"/>
              </w:rPr>
              <w:t>场地出入口应与周边现有交通网络对接</w:t>
            </w:r>
          </w:p>
          <w:p>
            <w:pPr>
              <w:pStyle w:val="27"/>
              <w:spacing w:line="24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3 </w:t>
            </w:r>
            <w:r>
              <w:rPr>
                <w:rFonts w:hint="eastAsia" w:ascii="Times New Roman" w:eastAsia="方正仿宋_GBK" w:cs="Times New Roman"/>
                <w:spacing w:val="-2"/>
                <w:sz w:val="21"/>
                <w:szCs w:val="21"/>
              </w:rPr>
              <w:t>机动车停车应满足节约用地的要求，优先采用地下停车和立体停车的方式，地面停车比例不宜大于</w:t>
            </w:r>
            <w:r>
              <w:rPr>
                <w:rFonts w:ascii="Times New Roman" w:eastAsia="方正仿宋_GBK" w:cs="Times New Roman"/>
                <w:spacing w:val="-2"/>
                <w:sz w:val="21"/>
                <w:szCs w:val="21"/>
              </w:rPr>
              <w:t>20%</w:t>
            </w:r>
            <w:r>
              <w:rPr>
                <w:rFonts w:hint="eastAsia" w:ascii="Times New Roman" w:eastAsia="方正仿宋_GBK" w:cs="Times New Roman"/>
                <w:spacing w:val="-2"/>
                <w:sz w:val="21"/>
                <w:szCs w:val="21"/>
              </w:rPr>
              <w:t>，平面布置宜相对集中，减少车辆通行对行人的影响，并在临近建筑主入口处设置残疾人专用停车位。</w:t>
            </w:r>
          </w:p>
          <w:p>
            <w:pPr>
              <w:pStyle w:val="27"/>
              <w:spacing w:line="240" w:lineRule="exact"/>
              <w:jc w:val="both"/>
              <w:rPr>
                <w:rFonts w:ascii="Times New Roman" w:eastAsia="方正仿宋_GBK" w:cs="Times New Roman"/>
                <w:spacing w:val="-2"/>
                <w:sz w:val="21"/>
                <w:szCs w:val="21"/>
              </w:rPr>
            </w:pP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审查场地出入口、道路和停车设施的设置是否满足控制性详细规划及规划条件的要求。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11</w:t>
            </w:r>
          </w:p>
        </w:tc>
        <w:tc>
          <w:tcPr>
            <w:tcW w:w="4771" w:type="dxa"/>
            <w:tcBorders>
              <w:top w:val="single" w:color="auto" w:sz="4" w:space="0"/>
              <w:left w:val="single" w:color="auto" w:sz="4" w:space="0"/>
              <w:bottom w:val="single" w:color="auto" w:sz="4" w:space="0"/>
              <w:right w:val="single" w:color="auto" w:sz="4" w:space="0"/>
            </w:tcBorders>
            <w:noWrap w:val="0"/>
            <w:vAlign w:val="top"/>
          </w:tcPr>
          <w:p>
            <w:pPr>
              <w:pStyle w:val="27"/>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5.4.8 </w:t>
            </w:r>
            <w:r>
              <w:rPr>
                <w:rFonts w:hint="eastAsia" w:ascii="Times New Roman" w:eastAsia="方正仿宋_GBK" w:cs="Times New Roman"/>
                <w:spacing w:val="-2"/>
                <w:sz w:val="21"/>
                <w:szCs w:val="21"/>
              </w:rPr>
              <w:t>新建住区绿地率不应低于</w:t>
            </w:r>
            <w:r>
              <w:rPr>
                <w:rFonts w:ascii="Times New Roman" w:eastAsia="方正仿宋_GBK" w:cs="Times New Roman"/>
                <w:spacing w:val="-2"/>
                <w:sz w:val="21"/>
                <w:szCs w:val="21"/>
              </w:rPr>
              <w:t>30%</w:t>
            </w:r>
            <w:r>
              <w:rPr>
                <w:rFonts w:hint="eastAsia" w:ascii="Times New Roman" w:eastAsia="方正仿宋_GBK" w:cs="Times New Roman"/>
                <w:spacing w:val="-2"/>
                <w:sz w:val="21"/>
                <w:szCs w:val="21"/>
              </w:rPr>
              <w:t>，人均公共绿地面积不应低于</w:t>
            </w:r>
            <w:r>
              <w:rPr>
                <w:rFonts w:ascii="Times New Roman" w:eastAsia="方正仿宋_GBK" w:cs="Times New Roman"/>
                <w:spacing w:val="-2"/>
                <w:sz w:val="21"/>
                <w:szCs w:val="21"/>
              </w:rPr>
              <w:t>1.0m</w:t>
            </w:r>
            <w:r>
              <w:rPr>
                <w:rFonts w:ascii="Times New Roman" w:eastAsia="方正仿宋_GBK" w:cs="Times New Roman"/>
                <w:spacing w:val="-2"/>
                <w:sz w:val="21"/>
                <w:szCs w:val="21"/>
                <w:vertAlign w:val="superscript"/>
              </w:rPr>
              <w:t>2</w:t>
            </w:r>
            <w:r>
              <w:rPr>
                <w:rFonts w:hint="eastAsia" w:ascii="Times New Roman" w:eastAsia="方正仿宋_GBK" w:cs="Times New Roman"/>
                <w:spacing w:val="-2"/>
                <w:sz w:val="21"/>
                <w:szCs w:val="21"/>
              </w:rPr>
              <w:t>；旧区改建项目绿地率不应低于</w:t>
            </w:r>
            <w:r>
              <w:rPr>
                <w:rFonts w:ascii="Times New Roman" w:eastAsia="方正仿宋_GBK" w:cs="Times New Roman"/>
                <w:spacing w:val="-2"/>
                <w:sz w:val="21"/>
                <w:szCs w:val="21"/>
              </w:rPr>
              <w:t>25%</w:t>
            </w:r>
            <w:r>
              <w:rPr>
                <w:rFonts w:hint="eastAsia" w:ascii="Times New Roman" w:eastAsia="方正仿宋_GBK" w:cs="Times New Roman"/>
                <w:spacing w:val="-2"/>
                <w:sz w:val="21"/>
                <w:szCs w:val="21"/>
              </w:rPr>
              <w:t>，人均公共绿地不应低于</w:t>
            </w:r>
            <w:r>
              <w:rPr>
                <w:rFonts w:ascii="Times New Roman" w:eastAsia="方正仿宋_GBK" w:cs="Times New Roman"/>
                <w:spacing w:val="-2"/>
                <w:sz w:val="21"/>
                <w:szCs w:val="21"/>
              </w:rPr>
              <w:t>0.7 m</w:t>
            </w:r>
            <w:r>
              <w:rPr>
                <w:rFonts w:ascii="Times New Roman" w:eastAsia="方正仿宋_GBK" w:cs="Times New Roman"/>
                <w:spacing w:val="-2"/>
                <w:sz w:val="21"/>
                <w:szCs w:val="21"/>
                <w:vertAlign w:val="superscript"/>
              </w:rPr>
              <w:t>2</w:t>
            </w:r>
            <w:r>
              <w:rPr>
                <w:rFonts w:hint="eastAsia" w:ascii="Times New Roman" w:eastAsia="方正仿宋_GBK" w:cs="Times New Roman"/>
                <w:spacing w:val="-2"/>
                <w:sz w:val="21"/>
                <w:szCs w:val="21"/>
              </w:rPr>
              <w:t>。</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审查住区绿地率及人均公共绿地指标，并应满足本条规定。</w:t>
            </w:r>
          </w:p>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szCs w:val="21"/>
              </w:rPr>
              <w:t>住宅组团及居住区的人均公共绿地指标符合《江苏省城市规划管理技术规定》（</w:t>
            </w:r>
            <w:r>
              <w:rPr>
                <w:rFonts w:eastAsia="方正仿宋_GBK"/>
                <w:color w:val="000000"/>
                <w:spacing w:val="-2"/>
                <w:szCs w:val="21"/>
              </w:rPr>
              <w:t>2011</w:t>
            </w:r>
            <w:r>
              <w:rPr>
                <w:rFonts w:hint="eastAsia" w:eastAsia="方正仿宋_GBK"/>
                <w:color w:val="000000"/>
                <w:spacing w:val="-2"/>
                <w:szCs w:val="21"/>
              </w:rPr>
              <w:t>年版）第</w:t>
            </w:r>
            <w:r>
              <w:rPr>
                <w:rFonts w:eastAsia="方正仿宋_GBK"/>
                <w:color w:val="000000"/>
                <w:spacing w:val="-2"/>
                <w:szCs w:val="21"/>
              </w:rPr>
              <w:t>3.5.6.1</w:t>
            </w:r>
            <w:r>
              <w:rPr>
                <w:rFonts w:hint="eastAsia" w:eastAsia="方正仿宋_GBK"/>
                <w:color w:val="000000"/>
                <w:spacing w:val="-2"/>
                <w:szCs w:val="21"/>
              </w:rPr>
              <w:t>条的规定。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12</w:t>
            </w:r>
          </w:p>
        </w:tc>
        <w:tc>
          <w:tcPr>
            <w:tcW w:w="4771" w:type="dxa"/>
            <w:tcBorders>
              <w:top w:val="single" w:color="auto" w:sz="4" w:space="0"/>
              <w:left w:val="single" w:color="auto" w:sz="4" w:space="0"/>
              <w:bottom w:val="single" w:color="auto" w:sz="4" w:space="0"/>
              <w:right w:val="single" w:color="auto" w:sz="4" w:space="0"/>
            </w:tcBorders>
            <w:noWrap w:val="0"/>
            <w:vAlign w:val="top"/>
          </w:tcPr>
          <w:p>
            <w:pPr>
              <w:pStyle w:val="27"/>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5.4.9 </w:t>
            </w:r>
            <w:r>
              <w:rPr>
                <w:rFonts w:hint="eastAsia" w:ascii="Times New Roman" w:eastAsia="方正仿宋_GBK" w:cs="Times New Roman"/>
                <w:spacing w:val="-2"/>
                <w:sz w:val="21"/>
                <w:szCs w:val="21"/>
              </w:rPr>
              <w:t>幼儿园、托儿所、中小学、医院、疗养院、休养所、老年人居住建筑等建设用地的绿地率不应低于</w:t>
            </w:r>
            <w:r>
              <w:rPr>
                <w:rFonts w:ascii="Times New Roman" w:eastAsia="方正仿宋_GBK" w:cs="Times New Roman"/>
                <w:spacing w:val="-2"/>
                <w:sz w:val="21"/>
                <w:szCs w:val="21"/>
              </w:rPr>
              <w:t>35%</w:t>
            </w:r>
            <w:r>
              <w:rPr>
                <w:rFonts w:hint="eastAsia" w:ascii="Times New Roman" w:eastAsia="方正仿宋_GBK" w:cs="Times New Roman"/>
                <w:spacing w:val="-2"/>
                <w:sz w:val="21"/>
                <w:szCs w:val="21"/>
              </w:rPr>
              <w:t>。</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szCs w:val="21"/>
              </w:rPr>
              <w:t>审查本条中所列建筑的绿地率是否满足不低于</w:t>
            </w:r>
            <w:r>
              <w:rPr>
                <w:rFonts w:eastAsia="方正仿宋_GBK"/>
                <w:color w:val="000000"/>
                <w:spacing w:val="-2"/>
                <w:szCs w:val="21"/>
              </w:rPr>
              <w:t>35%</w:t>
            </w:r>
            <w:r>
              <w:rPr>
                <w:rFonts w:hint="eastAsia" w:eastAsia="方正仿宋_GBK"/>
                <w:color w:val="000000"/>
                <w:spacing w:val="-2"/>
                <w:szCs w:val="21"/>
              </w:rPr>
              <w:t>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13</w:t>
            </w:r>
          </w:p>
        </w:tc>
        <w:tc>
          <w:tcPr>
            <w:tcW w:w="4771" w:type="dxa"/>
            <w:tcBorders>
              <w:top w:val="single" w:color="auto" w:sz="4" w:space="0"/>
              <w:left w:val="single" w:color="auto" w:sz="4" w:space="0"/>
              <w:bottom w:val="single" w:color="auto" w:sz="4" w:space="0"/>
              <w:right w:val="single" w:color="auto" w:sz="4" w:space="0"/>
            </w:tcBorders>
            <w:noWrap w:val="0"/>
            <w:vAlign w:val="top"/>
          </w:tcPr>
          <w:p>
            <w:pPr>
              <w:pStyle w:val="27"/>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6.1.1 </w:t>
            </w:r>
            <w:r>
              <w:rPr>
                <w:rFonts w:hint="eastAsia" w:ascii="Times New Roman" w:eastAsia="方正仿宋_GBK" w:cs="Times New Roman"/>
                <w:spacing w:val="-2"/>
                <w:sz w:val="21"/>
                <w:szCs w:val="21"/>
              </w:rPr>
              <w:t>建筑设计应根据周围环境和场地条件，综合考虑建筑物理环境因素，对建筑布局、朝向、形体和间距等进行优化设计，使建筑获得良好的日照、通风、采光和视野。</w:t>
            </w:r>
          </w:p>
          <w:p>
            <w:pPr>
              <w:pStyle w:val="27"/>
              <w:spacing w:line="320" w:lineRule="exact"/>
              <w:jc w:val="both"/>
              <w:rPr>
                <w:rFonts w:ascii="Times New Roman" w:eastAsia="方正仿宋_GBK" w:cs="Times New Roman"/>
                <w:spacing w:val="-2"/>
                <w:sz w:val="21"/>
                <w:szCs w:val="21"/>
              </w:rPr>
            </w:pP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szCs w:val="21"/>
              </w:rPr>
              <w:t>审查建筑布局是否合理，是否满足规划条件的要求。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14</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5.4.4 </w:t>
            </w:r>
            <w:r>
              <w:rPr>
                <w:rFonts w:hint="eastAsia" w:eastAsia="方正仿宋_GBK"/>
                <w:color w:val="000000"/>
                <w:spacing w:val="-2"/>
                <w:szCs w:val="21"/>
              </w:rPr>
              <w:t>场地风环境设计应符合下列规定：</w:t>
            </w:r>
          </w:p>
          <w:p>
            <w:pPr>
              <w:autoSpaceDE w:val="0"/>
              <w:autoSpaceDN w:val="0"/>
              <w:adjustRightInd w:val="0"/>
              <w:spacing w:line="320" w:lineRule="exact"/>
              <w:rPr>
                <w:rFonts w:eastAsia="方正仿宋_GBK"/>
                <w:color w:val="000000"/>
                <w:spacing w:val="-2"/>
                <w:szCs w:val="21"/>
              </w:rPr>
            </w:pPr>
            <w:r>
              <w:rPr>
                <w:rFonts w:eastAsia="方正仿宋_GBK"/>
                <w:color w:val="000000"/>
                <w:spacing w:val="-2"/>
                <w:szCs w:val="21"/>
              </w:rPr>
              <w:t xml:space="preserve">3 </w:t>
            </w:r>
            <w:r>
              <w:rPr>
                <w:rFonts w:hint="eastAsia" w:eastAsia="方正仿宋_GBK"/>
                <w:color w:val="000000"/>
                <w:spacing w:val="-2"/>
                <w:szCs w:val="21"/>
              </w:rPr>
              <w:t>建筑规划布局应根据典型气象条件下的场地风环境模拟进行优化。冬季典型风速和风向条件下建筑物周围人行区风速应小于</w:t>
            </w:r>
            <w:r>
              <w:rPr>
                <w:rFonts w:eastAsia="方正仿宋_GBK"/>
                <w:color w:val="000000"/>
                <w:spacing w:val="-2"/>
                <w:szCs w:val="21"/>
              </w:rPr>
              <w:t>5m/s</w:t>
            </w:r>
            <w:r>
              <w:rPr>
                <w:rFonts w:hint="eastAsia" w:eastAsia="方正仿宋_GBK"/>
                <w:color w:val="000000"/>
                <w:spacing w:val="-2"/>
                <w:szCs w:val="21"/>
              </w:rPr>
              <w:t>，且室外风速放大系数应小于</w:t>
            </w:r>
            <w:r>
              <w:rPr>
                <w:rFonts w:eastAsia="方正仿宋_GBK"/>
                <w:color w:val="000000"/>
                <w:spacing w:val="-2"/>
                <w:szCs w:val="21"/>
              </w:rPr>
              <w:t>2</w:t>
            </w:r>
            <w:r>
              <w:rPr>
                <w:rFonts w:hint="eastAsia" w:eastAsia="方正仿宋_GBK"/>
                <w:color w:val="000000"/>
                <w:spacing w:val="-2"/>
                <w:szCs w:val="21"/>
              </w:rPr>
              <w:t>，除迎风第一排建筑外，建筑迎风面与背风面表面风压差不应大于</w:t>
            </w:r>
            <w:r>
              <w:rPr>
                <w:rFonts w:eastAsia="方正仿宋_GBK"/>
                <w:color w:val="000000"/>
                <w:spacing w:val="-2"/>
                <w:szCs w:val="21"/>
              </w:rPr>
              <w:t>5Pa</w:t>
            </w:r>
            <w:r>
              <w:rPr>
                <w:rFonts w:hint="eastAsia" w:eastAsia="方正仿宋_GBK"/>
                <w:color w:val="000000"/>
                <w:spacing w:val="-2"/>
                <w:szCs w:val="21"/>
              </w:rPr>
              <w:t>；过渡季、夏季典型风速和风向条件下的建筑</w:t>
            </w:r>
            <w:r>
              <w:rPr>
                <w:rFonts w:eastAsia="方正仿宋_GBK"/>
                <w:color w:val="000000"/>
                <w:spacing w:val="-2"/>
                <w:szCs w:val="21"/>
              </w:rPr>
              <w:t>50%</w:t>
            </w:r>
            <w:r>
              <w:rPr>
                <w:rFonts w:hint="eastAsia" w:eastAsia="方正仿宋_GBK"/>
                <w:color w:val="000000"/>
                <w:spacing w:val="-2"/>
                <w:szCs w:val="21"/>
              </w:rPr>
              <w:t>以上可开启外窗室内外表面的风压差应不大于</w:t>
            </w:r>
            <w:r>
              <w:rPr>
                <w:rFonts w:eastAsia="方正仿宋_GBK"/>
                <w:color w:val="000000"/>
                <w:spacing w:val="-2"/>
                <w:szCs w:val="21"/>
              </w:rPr>
              <w:t>0.5Pa,</w:t>
            </w:r>
            <w:r>
              <w:rPr>
                <w:rFonts w:hint="eastAsia" w:eastAsia="方正仿宋_GBK"/>
                <w:color w:val="000000"/>
                <w:spacing w:val="-2"/>
                <w:szCs w:val="21"/>
              </w:rPr>
              <w:t>场地内人活动区不应出现涡旋或无风区。</w:t>
            </w:r>
          </w:p>
          <w:p>
            <w:pPr>
              <w:pStyle w:val="27"/>
              <w:spacing w:line="320" w:lineRule="exact"/>
              <w:jc w:val="both"/>
              <w:rPr>
                <w:rFonts w:ascii="Times New Roman" w:eastAsia="方正仿宋_GBK" w:cs="Times New Roman"/>
                <w:spacing w:val="-2"/>
                <w:sz w:val="21"/>
                <w:szCs w:val="21"/>
              </w:rPr>
            </w:pP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szCs w:val="21"/>
              </w:rPr>
              <w:t>对住宅小区及组团，应提供风环境模拟计算报告，并应满足本款的要求。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15</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szCs w:val="21"/>
              </w:rPr>
            </w:pPr>
            <w:r>
              <w:rPr>
                <w:rFonts w:eastAsia="方正仿宋_GBK"/>
                <w:color w:val="000000"/>
                <w:spacing w:val="-2"/>
                <w:kern w:val="0"/>
                <w:szCs w:val="21"/>
              </w:rPr>
              <w:t xml:space="preserve">6.3.1 </w:t>
            </w:r>
            <w:r>
              <w:rPr>
                <w:rFonts w:hint="eastAsia" w:eastAsia="方正仿宋_GBK"/>
                <w:color w:val="000000"/>
                <w:spacing w:val="-2"/>
                <w:kern w:val="0"/>
                <w:szCs w:val="21"/>
              </w:rPr>
              <w:t>建筑设计应符合现行国家和江苏省建筑节能设计标准的相关规定。</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szCs w:val="21"/>
              </w:rPr>
            </w:pPr>
            <w:r>
              <w:rPr>
                <w:rFonts w:hint="eastAsia" w:eastAsia="方正仿宋_GBK"/>
                <w:color w:val="000000"/>
                <w:spacing w:val="-2"/>
                <w:szCs w:val="21"/>
              </w:rPr>
              <w:t>方案绿色设计专项说明中应说明建筑所在地气候分区、建筑节能类别、节能水平；说明各类建筑屋面、外墙、架空楼板及居住建筑分户墙、分户楼板、楼梯间隔墙、外走廊隔墙等主要围护结构采用的保温形式、保温材料及设计指标；说明建筑外门窗（包括透明幕墙）的选型、遮阳形式及设计指标。</w:t>
            </w:r>
          </w:p>
          <w:p>
            <w:pPr>
              <w:autoSpaceDE w:val="0"/>
              <w:autoSpaceDN w:val="0"/>
              <w:adjustRightInd w:val="0"/>
              <w:spacing w:line="320" w:lineRule="exact"/>
              <w:rPr>
                <w:rFonts w:eastAsia="方正仿宋_GBK"/>
                <w:color w:val="000000"/>
                <w:spacing w:val="-8"/>
                <w:kern w:val="0"/>
                <w:szCs w:val="21"/>
              </w:rPr>
            </w:pPr>
            <w:r>
              <w:rPr>
                <w:rFonts w:hint="eastAsia" w:eastAsia="方正仿宋_GBK"/>
                <w:color w:val="000000"/>
                <w:spacing w:val="-8"/>
                <w:kern w:val="0"/>
                <w:szCs w:val="21"/>
              </w:rPr>
              <w:t>审查其节能措施是否符合国家和江苏省建筑节能设计标准的相关规定。</w:t>
            </w:r>
          </w:p>
          <w:p>
            <w:pPr>
              <w:autoSpaceDE w:val="0"/>
              <w:autoSpaceDN w:val="0"/>
              <w:adjustRightInd w:val="0"/>
              <w:spacing w:line="320" w:lineRule="exact"/>
              <w:rPr>
                <w:rFonts w:eastAsia="方正仿宋_GBK"/>
                <w:color w:val="000000"/>
                <w:spacing w:val="-8"/>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16</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szCs w:val="21"/>
              </w:rPr>
            </w:pPr>
            <w:r>
              <w:rPr>
                <w:rFonts w:eastAsia="方正仿宋_GBK"/>
                <w:color w:val="000000"/>
                <w:spacing w:val="-2"/>
                <w:kern w:val="0"/>
                <w:szCs w:val="21"/>
              </w:rPr>
              <w:t xml:space="preserve">6.9.2 </w:t>
            </w:r>
            <w:r>
              <w:rPr>
                <w:rFonts w:hint="eastAsia" w:eastAsia="方正仿宋_GBK"/>
                <w:color w:val="000000"/>
                <w:spacing w:val="-2"/>
                <w:kern w:val="0"/>
                <w:szCs w:val="21"/>
              </w:rPr>
              <w:t>建筑造型要素应简约，且无大量装饰构性构件。</w:t>
            </w:r>
          </w:p>
        </w:tc>
        <w:tc>
          <w:tcPr>
            <w:tcW w:w="334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hint="eastAsia" w:eastAsia="方正仿宋_GBK"/>
                <w:color w:val="000000"/>
                <w:spacing w:val="-2"/>
                <w:kern w:val="0"/>
                <w:szCs w:val="21"/>
              </w:rPr>
              <w:t>审查平面及立面图纸，是否存在大量的无功能的装饰性构件。</w:t>
            </w:r>
          </w:p>
          <w:p>
            <w:pPr>
              <w:autoSpaceDE w:val="0"/>
              <w:autoSpaceDN w:val="0"/>
              <w:adjustRightInd w:val="0"/>
              <w:spacing w:line="320" w:lineRule="exact"/>
              <w:rPr>
                <w:rFonts w:eastAsia="方正仿宋_GBK"/>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17</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szCs w:val="21"/>
              </w:rPr>
              <w:t xml:space="preserve">7.2.3 </w:t>
            </w:r>
            <w:r>
              <w:rPr>
                <w:rFonts w:hint="eastAsia" w:eastAsia="方正仿宋_GBK"/>
                <w:color w:val="000000"/>
                <w:spacing w:val="-2"/>
                <w:szCs w:val="21"/>
              </w:rPr>
              <w:t>结构方案应遵循抗震概念设计基本原理，不应采用严重不规则的结构方案；对于特别不规则结构，应采取相应的技术措施并确定抗震性能目标。</w:t>
            </w:r>
          </w:p>
        </w:tc>
        <w:tc>
          <w:tcPr>
            <w:tcW w:w="3340" w:type="dxa"/>
            <w:tcBorders>
              <w:top w:val="single" w:color="auto" w:sz="4" w:space="0"/>
              <w:left w:val="single" w:color="auto" w:sz="4" w:space="0"/>
              <w:bottom w:val="single" w:color="auto" w:sz="4" w:space="0"/>
              <w:right w:val="single" w:color="auto" w:sz="8" w:space="0"/>
            </w:tcBorders>
            <w:noWrap w:val="0"/>
            <w:vAlign w:val="top"/>
          </w:tcPr>
          <w:p>
            <w:pPr>
              <w:tabs>
                <w:tab w:val="left" w:pos="600"/>
              </w:tabs>
              <w:spacing w:line="320" w:lineRule="exact"/>
              <w:rPr>
                <w:rFonts w:eastAsia="方正仿宋_GBK"/>
                <w:color w:val="000000"/>
                <w:spacing w:val="-2"/>
                <w:kern w:val="0"/>
                <w:szCs w:val="21"/>
              </w:rPr>
            </w:pPr>
            <w:r>
              <w:rPr>
                <w:rFonts w:hint="eastAsia" w:eastAsia="方正仿宋_GBK"/>
                <w:color w:val="000000"/>
                <w:spacing w:val="-2"/>
                <w:kern w:val="0"/>
                <w:szCs w:val="21"/>
              </w:rPr>
              <w:t>审查结构方案的规则性。应根据结构方案的不规则程度，说明采取对应的措施。</w:t>
            </w:r>
          </w:p>
          <w:p>
            <w:pPr>
              <w:tabs>
                <w:tab w:val="left" w:pos="600"/>
              </w:tabs>
              <w:spacing w:line="320" w:lineRule="exact"/>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81" w:hRule="atLeast"/>
        </w:trPr>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18</w:t>
            </w:r>
          </w:p>
        </w:tc>
        <w:tc>
          <w:tcPr>
            <w:tcW w:w="4771" w:type="dxa"/>
            <w:tcBorders>
              <w:top w:val="single" w:color="auto" w:sz="4" w:space="0"/>
              <w:left w:val="single" w:color="auto" w:sz="4" w:space="0"/>
              <w:bottom w:val="single" w:color="auto" w:sz="4" w:space="0"/>
              <w:right w:val="single" w:color="auto" w:sz="4"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kern w:val="0"/>
                <w:szCs w:val="21"/>
              </w:rPr>
              <w:t xml:space="preserve">8.2.2 </w:t>
            </w:r>
            <w:r>
              <w:rPr>
                <w:rFonts w:hint="eastAsia" w:eastAsia="方正仿宋_GBK"/>
                <w:color w:val="000000"/>
                <w:spacing w:val="-2"/>
                <w:kern w:val="0"/>
                <w:szCs w:val="21"/>
              </w:rPr>
              <w:t>扣除自行车库、汽车库面积后，建筑面积大于等于</w:t>
            </w:r>
            <w:r>
              <w:rPr>
                <w:rFonts w:eastAsia="方正仿宋_GBK"/>
                <w:color w:val="000000"/>
                <w:spacing w:val="-2"/>
                <w:kern w:val="0"/>
                <w:szCs w:val="21"/>
              </w:rPr>
              <w:t>20000m</w:t>
            </w:r>
            <w:r>
              <w:rPr>
                <w:rFonts w:eastAsia="方正仿宋_GBK"/>
                <w:color w:val="000000"/>
                <w:spacing w:val="-2"/>
                <w:kern w:val="0"/>
                <w:szCs w:val="21"/>
                <w:vertAlign w:val="superscript"/>
              </w:rPr>
              <w:t>2</w:t>
            </w:r>
            <w:r>
              <w:rPr>
                <w:rFonts w:hint="eastAsia" w:eastAsia="方正仿宋_GBK"/>
                <w:color w:val="000000"/>
                <w:spacing w:val="-2"/>
                <w:kern w:val="0"/>
                <w:szCs w:val="21"/>
              </w:rPr>
              <w:t>的公共建筑应至少利用一种可再生能源，并符合下列规定：</w:t>
            </w:r>
          </w:p>
          <w:p>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kern w:val="0"/>
                <w:szCs w:val="21"/>
              </w:rPr>
              <w:t xml:space="preserve">1 </w:t>
            </w:r>
            <w:r>
              <w:rPr>
                <w:rFonts w:hint="eastAsia" w:eastAsia="方正仿宋_GBK"/>
                <w:color w:val="000000"/>
                <w:spacing w:val="-2"/>
                <w:kern w:val="0"/>
                <w:szCs w:val="21"/>
              </w:rPr>
              <w:t>仅采用太阳能光热系统提供生活热水，其日用热水量比例不低于</w:t>
            </w:r>
            <w:r>
              <w:rPr>
                <w:rFonts w:eastAsia="方正仿宋_GBK"/>
                <w:color w:val="000000"/>
                <w:spacing w:val="-2"/>
                <w:kern w:val="0"/>
                <w:szCs w:val="21"/>
              </w:rPr>
              <w:t>50%</w:t>
            </w:r>
            <w:r>
              <w:rPr>
                <w:rFonts w:hint="eastAsia" w:eastAsia="方正仿宋_GBK"/>
                <w:color w:val="000000"/>
                <w:spacing w:val="-2"/>
                <w:kern w:val="0"/>
                <w:szCs w:val="21"/>
              </w:rPr>
              <w:t>。</w:t>
            </w:r>
          </w:p>
          <w:p>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kern w:val="0"/>
                <w:szCs w:val="21"/>
              </w:rPr>
              <w:t xml:space="preserve">2 </w:t>
            </w:r>
            <w:r>
              <w:rPr>
                <w:rFonts w:hint="eastAsia" w:eastAsia="方正仿宋_GBK"/>
                <w:color w:val="000000"/>
                <w:spacing w:val="-2"/>
                <w:kern w:val="0"/>
                <w:szCs w:val="21"/>
              </w:rPr>
              <w:t>仅采用地源热泵系统提供空调冷、热量，其比例不低于设计状态的负荷</w:t>
            </w:r>
            <w:r>
              <w:rPr>
                <w:rFonts w:eastAsia="方正仿宋_GBK"/>
                <w:color w:val="000000"/>
                <w:spacing w:val="-2"/>
                <w:kern w:val="0"/>
                <w:szCs w:val="21"/>
              </w:rPr>
              <w:t>20%</w:t>
            </w:r>
            <w:r>
              <w:rPr>
                <w:rFonts w:hint="eastAsia" w:eastAsia="方正仿宋_GBK"/>
                <w:color w:val="000000"/>
                <w:spacing w:val="-2"/>
                <w:kern w:val="0"/>
                <w:szCs w:val="21"/>
              </w:rPr>
              <w:t>。</w:t>
            </w:r>
          </w:p>
          <w:p>
            <w:pPr>
              <w:autoSpaceDE w:val="0"/>
              <w:autoSpaceDN w:val="0"/>
              <w:adjustRightInd w:val="0"/>
              <w:spacing w:line="320" w:lineRule="exact"/>
              <w:rPr>
                <w:rFonts w:eastAsia="方正仿宋_GBK"/>
                <w:color w:val="000000"/>
                <w:spacing w:val="-2"/>
                <w:szCs w:val="21"/>
              </w:rPr>
            </w:pPr>
            <w:r>
              <w:rPr>
                <w:rFonts w:eastAsia="方正仿宋_GBK"/>
                <w:color w:val="000000"/>
                <w:spacing w:val="-2"/>
                <w:kern w:val="0"/>
                <w:szCs w:val="21"/>
              </w:rPr>
              <w:t xml:space="preserve">3 </w:t>
            </w:r>
            <w:r>
              <w:rPr>
                <w:rFonts w:hint="eastAsia" w:eastAsia="方正仿宋_GBK"/>
                <w:color w:val="000000"/>
                <w:spacing w:val="-2"/>
                <w:kern w:val="0"/>
                <w:szCs w:val="21"/>
              </w:rPr>
              <w:t>仅采用太阳能光伏系统提供电量，其总功率不应低于建筑物变压器总装机容量的</w:t>
            </w:r>
            <w:r>
              <w:rPr>
                <w:rFonts w:eastAsia="方正仿宋_GBK"/>
                <w:color w:val="000000"/>
                <w:spacing w:val="-2"/>
                <w:kern w:val="0"/>
                <w:szCs w:val="21"/>
              </w:rPr>
              <w:t>0.2%</w:t>
            </w:r>
            <w:r>
              <w:rPr>
                <w:rFonts w:hint="eastAsia" w:eastAsia="方正仿宋_GBK"/>
                <w:color w:val="000000"/>
                <w:spacing w:val="-2"/>
                <w:kern w:val="0"/>
                <w:szCs w:val="21"/>
              </w:rPr>
              <w:t>。</w:t>
            </w:r>
          </w:p>
        </w:tc>
        <w:tc>
          <w:tcPr>
            <w:tcW w:w="3340" w:type="dxa"/>
            <w:tcBorders>
              <w:top w:val="single" w:color="auto" w:sz="4" w:space="0"/>
              <w:left w:val="single" w:color="auto" w:sz="4" w:space="0"/>
              <w:bottom w:val="single" w:color="auto" w:sz="4" w:space="0"/>
              <w:right w:val="single" w:color="auto" w:sz="8" w:space="0"/>
            </w:tcBorders>
            <w:noWrap w:val="0"/>
            <w:vAlign w:val="top"/>
          </w:tcPr>
          <w:p>
            <w:pPr>
              <w:pStyle w:val="5"/>
              <w:spacing w:line="320" w:lineRule="exact"/>
              <w:jc w:val="both"/>
              <w:rPr>
                <w:rFonts w:eastAsia="方正仿宋_GBK"/>
                <w:color w:val="000000"/>
                <w:spacing w:val="-2"/>
                <w:kern w:val="0"/>
                <w:sz w:val="20"/>
                <w:szCs w:val="21"/>
                <w:lang w:val="en-US" w:eastAsia="zh-CN"/>
              </w:rPr>
            </w:pPr>
            <w:r>
              <w:rPr>
                <w:rFonts w:hint="eastAsia" w:eastAsia="方正仿宋_GBK"/>
                <w:color w:val="000000"/>
                <w:spacing w:val="-2"/>
                <w:kern w:val="0"/>
                <w:sz w:val="20"/>
                <w:szCs w:val="21"/>
                <w:lang w:val="en-US" w:eastAsia="zh-CN"/>
              </w:rPr>
              <w:t>方案绿色设计专项说明中应明确建筑规模、建筑节能类别，甲类公共建筑及符合本条规定的公共建筑应说明可再生能源利用情况。太阳能集热器、太阳能光伏板应说明和表达设置的位置。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70" w:hRule="atLeast"/>
        </w:trPr>
        <w:tc>
          <w:tcPr>
            <w:tcW w:w="629"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19</w:t>
            </w:r>
          </w:p>
        </w:tc>
        <w:tc>
          <w:tcPr>
            <w:tcW w:w="4771" w:type="dxa"/>
            <w:tcBorders>
              <w:top w:val="single" w:color="auto" w:sz="4" w:space="0"/>
              <w:left w:val="single" w:color="auto" w:sz="4" w:space="0"/>
              <w:bottom w:val="single" w:color="auto" w:sz="4" w:space="0"/>
              <w:right w:val="single" w:color="auto" w:sz="4" w:space="0"/>
            </w:tcBorders>
            <w:noWrap w:val="0"/>
            <w:vAlign w:val="top"/>
          </w:tcPr>
          <w:p>
            <w:pPr>
              <w:pStyle w:val="27"/>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9.1.1 </w:t>
            </w:r>
            <w:r>
              <w:rPr>
                <w:rFonts w:hint="eastAsia" w:ascii="Times New Roman" w:eastAsia="方正仿宋_GBK" w:cs="Times New Roman"/>
                <w:spacing w:val="-2"/>
                <w:sz w:val="21"/>
                <w:szCs w:val="21"/>
              </w:rPr>
              <w:t>应制定项目水资源综合利用方案。在满足国家和地方规定执行的相关设计标准和规范基础上，应符合下列规定：</w:t>
            </w:r>
          </w:p>
          <w:p>
            <w:pPr>
              <w:pStyle w:val="27"/>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1 </w:t>
            </w:r>
            <w:r>
              <w:rPr>
                <w:rFonts w:hint="eastAsia" w:ascii="Times New Roman" w:eastAsia="方正仿宋_GBK" w:cs="Times New Roman"/>
                <w:spacing w:val="-2"/>
                <w:sz w:val="21"/>
                <w:szCs w:val="21"/>
              </w:rPr>
              <w:t>规划用地面积大于等于</w:t>
            </w:r>
            <w:r>
              <w:rPr>
                <w:rFonts w:ascii="Times New Roman" w:eastAsia="方正仿宋_GBK" w:cs="Times New Roman"/>
                <w:spacing w:val="-2"/>
                <w:sz w:val="21"/>
                <w:szCs w:val="21"/>
              </w:rPr>
              <w:t>20000m</w:t>
            </w:r>
            <w:r>
              <w:rPr>
                <w:rFonts w:ascii="Times New Roman" w:eastAsia="方正仿宋_GBK" w:cs="Times New Roman"/>
                <w:spacing w:val="-2"/>
                <w:sz w:val="21"/>
                <w:szCs w:val="21"/>
                <w:vertAlign w:val="superscript"/>
              </w:rPr>
              <w:t>2</w:t>
            </w:r>
            <w:r>
              <w:rPr>
                <w:rFonts w:hint="eastAsia" w:ascii="Times New Roman" w:eastAsia="方正仿宋_GBK" w:cs="Times New Roman"/>
                <w:spacing w:val="-2"/>
                <w:sz w:val="21"/>
                <w:szCs w:val="21"/>
              </w:rPr>
              <w:t>新建项目应采取雨水回用措施，雨水收集面积不少于项目规划用地面积的三分之一，或项目所有绿化、道路浇洒、水景补充水全部采用非传统水源；规划用地面积大于等于</w:t>
            </w:r>
            <w:r>
              <w:rPr>
                <w:rFonts w:ascii="Times New Roman" w:eastAsia="方正仿宋_GBK" w:cs="Times New Roman"/>
                <w:spacing w:val="-2"/>
                <w:sz w:val="21"/>
                <w:szCs w:val="21"/>
              </w:rPr>
              <w:t>100000</w:t>
            </w:r>
            <w:r>
              <w:rPr>
                <w:rFonts w:hint="eastAsia" w:ascii="Times New Roman" w:eastAsia="方正仿宋_GBK" w:cs="Times New Roman"/>
                <w:spacing w:val="-2"/>
                <w:sz w:val="21"/>
                <w:szCs w:val="21"/>
              </w:rPr>
              <w:t>㎡的新建项目在水资源综合利用方案中应编制绿色雨水基础设施建设和雨水利用专篇。</w:t>
            </w:r>
          </w:p>
          <w:p>
            <w:pPr>
              <w:pStyle w:val="27"/>
              <w:spacing w:line="320" w:lineRule="exact"/>
              <w:jc w:val="both"/>
              <w:rPr>
                <w:rFonts w:ascii="Times New Roman" w:eastAsia="方正仿宋_GBK" w:cs="Times New Roman"/>
                <w:spacing w:val="-2"/>
                <w:sz w:val="21"/>
                <w:szCs w:val="21"/>
              </w:rPr>
            </w:pPr>
            <w:r>
              <w:rPr>
                <w:rFonts w:ascii="Times New Roman" w:eastAsia="方正仿宋_GBK" w:cs="Times New Roman"/>
                <w:spacing w:val="-2"/>
                <w:sz w:val="21"/>
                <w:szCs w:val="21"/>
              </w:rPr>
              <w:t xml:space="preserve">3 </w:t>
            </w:r>
            <w:r>
              <w:rPr>
                <w:rFonts w:hint="eastAsia" w:ascii="Times New Roman" w:eastAsia="方正仿宋_GBK" w:cs="Times New Roman"/>
                <w:spacing w:val="-2"/>
                <w:sz w:val="21"/>
                <w:szCs w:val="21"/>
              </w:rPr>
              <w:t>景观用水不得使用市政自来水和地下水。</w:t>
            </w:r>
          </w:p>
          <w:p>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szCs w:val="21"/>
              </w:rPr>
              <w:t xml:space="preserve">4 </w:t>
            </w:r>
            <w:r>
              <w:rPr>
                <w:rFonts w:hint="eastAsia" w:eastAsia="方正仿宋_GBK"/>
                <w:color w:val="000000"/>
                <w:spacing w:val="-2"/>
                <w:szCs w:val="21"/>
              </w:rPr>
              <w:t>作为项目配套的游泳池、游乐池、水上乐园、洗车场、集中空调用冷却水等用水系统应采取循环处理措施，减少耗水量。</w:t>
            </w:r>
          </w:p>
        </w:tc>
        <w:tc>
          <w:tcPr>
            <w:tcW w:w="3340" w:type="dxa"/>
            <w:tcBorders>
              <w:top w:val="single" w:color="auto" w:sz="4" w:space="0"/>
              <w:left w:val="single" w:color="auto" w:sz="4" w:space="0"/>
              <w:bottom w:val="single" w:color="auto" w:sz="4" w:space="0"/>
              <w:right w:val="single" w:color="auto" w:sz="8" w:space="0"/>
            </w:tcBorders>
            <w:noWrap w:val="0"/>
            <w:vAlign w:val="top"/>
          </w:tcPr>
          <w:p>
            <w:pPr>
              <w:pStyle w:val="27"/>
              <w:spacing w:line="320" w:lineRule="exact"/>
              <w:jc w:val="both"/>
              <w:rPr>
                <w:rFonts w:ascii="Times New Roman" w:eastAsia="方正仿宋_GBK" w:cs="Times New Roman"/>
                <w:spacing w:val="-2"/>
                <w:sz w:val="21"/>
                <w:szCs w:val="21"/>
              </w:rPr>
            </w:pPr>
            <w:r>
              <w:rPr>
                <w:rFonts w:hint="eastAsia" w:ascii="Times New Roman" w:eastAsia="方正仿宋_GBK" w:cs="Times New Roman"/>
                <w:spacing w:val="-2"/>
                <w:sz w:val="21"/>
                <w:szCs w:val="21"/>
              </w:rPr>
              <w:t>方案绿色设计专项说明中按本条规定说明雨水利用措施、景观用水采用非传统水源及集中空调用冷却水、游泳池等用水采取循环处理措施的情况。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35" w:hRule="atLeast"/>
        </w:trPr>
        <w:tc>
          <w:tcPr>
            <w:tcW w:w="629" w:type="dxa"/>
            <w:tcBorders>
              <w:top w:val="single" w:color="auto" w:sz="4" w:space="0"/>
              <w:left w:val="single" w:color="auto" w:sz="8" w:space="0"/>
              <w:bottom w:val="single" w:color="auto" w:sz="8" w:space="0"/>
              <w:right w:val="single" w:color="auto" w:sz="4" w:space="0"/>
            </w:tcBorders>
            <w:noWrap w:val="0"/>
            <w:vAlign w:val="center"/>
          </w:tcPr>
          <w:p>
            <w:pPr>
              <w:spacing w:line="320" w:lineRule="exact"/>
              <w:jc w:val="center"/>
              <w:rPr>
                <w:rFonts w:eastAsia="方正仿宋_GBK"/>
                <w:color w:val="000000"/>
                <w:spacing w:val="-2"/>
                <w:szCs w:val="21"/>
              </w:rPr>
            </w:pPr>
            <w:r>
              <w:rPr>
                <w:rFonts w:eastAsia="方正仿宋_GBK"/>
                <w:color w:val="000000"/>
                <w:spacing w:val="-2"/>
                <w:szCs w:val="21"/>
              </w:rPr>
              <w:t>20</w:t>
            </w:r>
          </w:p>
        </w:tc>
        <w:tc>
          <w:tcPr>
            <w:tcW w:w="4771" w:type="dxa"/>
            <w:tcBorders>
              <w:top w:val="single" w:color="auto" w:sz="4" w:space="0"/>
              <w:left w:val="single" w:color="auto" w:sz="4" w:space="0"/>
              <w:bottom w:val="single" w:color="auto" w:sz="8" w:space="0"/>
              <w:right w:val="single" w:color="auto" w:sz="4" w:space="0"/>
            </w:tcBorders>
            <w:noWrap w:val="0"/>
            <w:vAlign w:val="top"/>
          </w:tcPr>
          <w:p>
            <w:pPr>
              <w:autoSpaceDE w:val="0"/>
              <w:autoSpaceDN w:val="0"/>
              <w:adjustRightInd w:val="0"/>
              <w:spacing w:line="320" w:lineRule="exact"/>
              <w:rPr>
                <w:rFonts w:eastAsia="方正仿宋_GBK"/>
                <w:color w:val="000000"/>
                <w:spacing w:val="-2"/>
                <w:kern w:val="0"/>
                <w:szCs w:val="21"/>
              </w:rPr>
            </w:pPr>
            <w:r>
              <w:rPr>
                <w:rFonts w:eastAsia="方正仿宋_GBK"/>
                <w:color w:val="000000"/>
                <w:spacing w:val="-2"/>
                <w:kern w:val="0"/>
                <w:szCs w:val="21"/>
              </w:rPr>
              <w:t xml:space="preserve">9.6.1 </w:t>
            </w:r>
            <w:r>
              <w:rPr>
                <w:rFonts w:hint="eastAsia" w:eastAsia="方正仿宋_GBK"/>
                <w:color w:val="000000"/>
                <w:spacing w:val="-2"/>
                <w:kern w:val="0"/>
                <w:szCs w:val="21"/>
              </w:rPr>
              <w:t>住宅的生活热水应采用太阳能热水供应系统。</w:t>
            </w:r>
            <w:r>
              <w:rPr>
                <w:rFonts w:eastAsia="方正仿宋_GBK"/>
                <w:color w:val="000000"/>
                <w:spacing w:val="-2"/>
                <w:kern w:val="0"/>
                <w:szCs w:val="21"/>
              </w:rPr>
              <w:t>6</w:t>
            </w:r>
            <w:r>
              <w:rPr>
                <w:rFonts w:hint="eastAsia" w:eastAsia="方正仿宋_GBK"/>
                <w:color w:val="000000"/>
                <w:spacing w:val="-2"/>
                <w:kern w:val="0"/>
                <w:szCs w:val="21"/>
              </w:rPr>
              <w:t>层及</w:t>
            </w:r>
            <w:r>
              <w:rPr>
                <w:rFonts w:eastAsia="方正仿宋_GBK"/>
                <w:color w:val="000000"/>
                <w:spacing w:val="-2"/>
                <w:kern w:val="0"/>
                <w:szCs w:val="21"/>
              </w:rPr>
              <w:t>6</w:t>
            </w:r>
            <w:r>
              <w:rPr>
                <w:rFonts w:hint="eastAsia" w:eastAsia="方正仿宋_GBK"/>
                <w:color w:val="000000"/>
                <w:spacing w:val="-2"/>
                <w:kern w:val="0"/>
                <w:szCs w:val="21"/>
              </w:rPr>
              <w:t>层以下的住宅，应采用太阳能热水供应系统；超过</w:t>
            </w:r>
            <w:r>
              <w:rPr>
                <w:rFonts w:eastAsia="方正仿宋_GBK"/>
                <w:color w:val="000000"/>
                <w:spacing w:val="-2"/>
                <w:kern w:val="0"/>
                <w:szCs w:val="21"/>
              </w:rPr>
              <w:t>6</w:t>
            </w:r>
            <w:r>
              <w:rPr>
                <w:rFonts w:hint="eastAsia" w:eastAsia="方正仿宋_GBK"/>
                <w:color w:val="000000"/>
                <w:spacing w:val="-2"/>
                <w:kern w:val="0"/>
                <w:szCs w:val="21"/>
              </w:rPr>
              <w:t>层的住宅，应至少为最高供水分区内的每户设置太阳能热水供应系统，且应用总层数不少于</w:t>
            </w:r>
            <w:r>
              <w:rPr>
                <w:rFonts w:eastAsia="方正仿宋_GBK"/>
                <w:color w:val="000000"/>
                <w:spacing w:val="-2"/>
                <w:kern w:val="0"/>
                <w:szCs w:val="21"/>
              </w:rPr>
              <w:t>6</w:t>
            </w:r>
            <w:r>
              <w:rPr>
                <w:rFonts w:hint="eastAsia" w:eastAsia="方正仿宋_GBK"/>
                <w:color w:val="000000"/>
                <w:spacing w:val="-2"/>
                <w:kern w:val="0"/>
                <w:szCs w:val="21"/>
              </w:rPr>
              <w:t>层。有热水供应需求的学校、医院、宾馆、体育馆等公共建筑应采用太阳能热水供应系统。由地源热泵系统提供夏季和冬季生活热水时，可不再设置太阳能热水供应系统。</w:t>
            </w:r>
          </w:p>
        </w:tc>
        <w:tc>
          <w:tcPr>
            <w:tcW w:w="3340" w:type="dxa"/>
            <w:tcBorders>
              <w:top w:val="single" w:color="auto" w:sz="4" w:space="0"/>
              <w:left w:val="single" w:color="auto" w:sz="4" w:space="0"/>
              <w:bottom w:val="single" w:color="auto" w:sz="8" w:space="0"/>
              <w:right w:val="single" w:color="auto" w:sz="8" w:space="0"/>
            </w:tcBorders>
            <w:noWrap w:val="0"/>
            <w:vAlign w:val="top"/>
          </w:tcPr>
          <w:p>
            <w:pPr>
              <w:autoSpaceDE w:val="0"/>
              <w:autoSpaceDN w:val="0"/>
              <w:adjustRightInd w:val="0"/>
              <w:spacing w:line="320" w:lineRule="exact"/>
              <w:rPr>
                <w:rFonts w:eastAsia="方正仿宋_GBK"/>
                <w:color w:val="000000"/>
                <w:spacing w:val="-2"/>
                <w:szCs w:val="21"/>
              </w:rPr>
            </w:pPr>
            <w:r>
              <w:rPr>
                <w:rFonts w:hint="eastAsia" w:eastAsia="方正仿宋_GBK"/>
                <w:color w:val="000000"/>
                <w:spacing w:val="-2"/>
                <w:kern w:val="0"/>
                <w:szCs w:val="21"/>
              </w:rPr>
              <w:t>方案绿色设计专项说明中应说明居住建筑及有热水需求的公共建筑中，太阳能热水系统应用情况、系统选用方式及太阳能集热器布置位置。</w:t>
            </w:r>
          </w:p>
        </w:tc>
      </w:tr>
    </w:tbl>
    <w:p>
      <w:pPr>
        <w:jc w:val="center"/>
        <w:rPr>
          <w:rFonts w:hint="eastAsia"/>
          <w:color w:val="000000"/>
          <w:spacing w:val="-2"/>
        </w:rPr>
      </w:pPr>
    </w:p>
    <w:p>
      <w:pPr>
        <w:spacing w:line="460" w:lineRule="exact"/>
        <w:rPr>
          <w:rFonts w:ascii="Times New Roman" w:eastAsia="方正黑体_GBK"/>
          <w:color w:val="000000"/>
          <w:spacing w:val="-2"/>
          <w:sz w:val="28"/>
          <w:szCs w:val="28"/>
        </w:rPr>
      </w:pPr>
      <w:r>
        <w:rPr>
          <w:color w:val="000000"/>
          <w:spacing w:val="-2"/>
          <w:sz w:val="28"/>
          <w:szCs w:val="28"/>
        </w:rPr>
        <w:br w:type="column"/>
      </w:r>
      <w:r>
        <w:rPr>
          <w:rFonts w:hint="eastAsia" w:ascii="Times New Roman" w:eastAsia="方正黑体_GBK"/>
          <w:color w:val="000000"/>
          <w:spacing w:val="-2"/>
          <w:sz w:val="28"/>
          <w:szCs w:val="28"/>
        </w:rPr>
        <w:t>附件3</w:t>
      </w:r>
    </w:p>
    <w:p>
      <w:pPr>
        <w:spacing w:before="240" w:beforeLines="100" w:after="240" w:afterLines="100" w:line="440" w:lineRule="exact"/>
        <w:jc w:val="center"/>
        <w:rPr>
          <w:rFonts w:hint="eastAsia" w:ascii="Times New Roman" w:eastAsia="方正黑体_GBK"/>
          <w:color w:val="000000"/>
          <w:spacing w:val="-2"/>
          <w:sz w:val="28"/>
          <w:szCs w:val="28"/>
        </w:rPr>
      </w:pPr>
      <w:r>
        <w:rPr>
          <w:rFonts w:hint="eastAsia" w:ascii="Times New Roman" w:eastAsia="方正黑体_GBK"/>
          <w:color w:val="000000"/>
          <w:spacing w:val="-2"/>
          <w:sz w:val="28"/>
          <w:szCs w:val="28"/>
        </w:rPr>
        <w:t>江苏省民用建筑设计方案绿色设计报审表（公共建筑）</w:t>
      </w:r>
    </w:p>
    <w:tbl>
      <w:tblPr>
        <w:tblStyle w:val="12"/>
        <w:tblW w:w="0" w:type="auto"/>
        <w:tblInd w:w="1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4"/>
        <w:gridCol w:w="1595"/>
        <w:gridCol w:w="1352"/>
        <w:gridCol w:w="979"/>
        <w:gridCol w:w="1123"/>
        <w:gridCol w:w="79"/>
        <w:gridCol w:w="1327"/>
        <w:gridCol w:w="10"/>
        <w:gridCol w:w="14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744" w:type="dxa"/>
            <w:gridSpan w:val="9"/>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一、项目基本情况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restart"/>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单位</w:t>
            </w:r>
          </w:p>
          <w:p>
            <w:pPr>
              <w:snapToGrid w:val="0"/>
              <w:jc w:val="center"/>
              <w:rPr>
                <w:rFonts w:eastAsia="方正仿宋_GBK"/>
                <w:color w:val="000000"/>
                <w:spacing w:val="-2"/>
                <w:szCs w:val="21"/>
              </w:rPr>
            </w:pPr>
            <w:r>
              <w:rPr>
                <w:rFonts w:hint="eastAsia" w:eastAsia="方正仿宋_GBK"/>
                <w:color w:val="000000"/>
                <w:spacing w:val="-2"/>
                <w:szCs w:val="21"/>
              </w:rPr>
              <w:t>概况</w:t>
            </w: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建设单位</w:t>
            </w:r>
          </w:p>
          <w:p>
            <w:pPr>
              <w:snapToGrid w:val="0"/>
              <w:jc w:val="center"/>
              <w:rPr>
                <w:rFonts w:eastAsia="方正仿宋_GBK"/>
                <w:color w:val="000000"/>
                <w:spacing w:val="-2"/>
                <w:szCs w:val="21"/>
              </w:rPr>
            </w:pPr>
            <w:r>
              <w:rPr>
                <w:rFonts w:hint="eastAsia" w:eastAsia="方正仿宋_GBK"/>
                <w:color w:val="000000"/>
                <w:spacing w:val="-2"/>
                <w:szCs w:val="21"/>
              </w:rPr>
              <w:t>（盖章）</w:t>
            </w:r>
          </w:p>
        </w:tc>
        <w:tc>
          <w:tcPr>
            <w:tcW w:w="3533" w:type="dxa"/>
            <w:gridSpan w:val="4"/>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337"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单位代码</w:t>
            </w:r>
          </w:p>
        </w:tc>
        <w:tc>
          <w:tcPr>
            <w:tcW w:w="146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法定代表</w:t>
            </w:r>
          </w:p>
        </w:tc>
        <w:tc>
          <w:tcPr>
            <w:tcW w:w="1352"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979"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联系人</w:t>
            </w:r>
          </w:p>
        </w:tc>
        <w:tc>
          <w:tcPr>
            <w:tcW w:w="1202"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337"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联系电话</w:t>
            </w:r>
          </w:p>
        </w:tc>
        <w:tc>
          <w:tcPr>
            <w:tcW w:w="146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设计单位</w:t>
            </w:r>
          </w:p>
        </w:tc>
        <w:tc>
          <w:tcPr>
            <w:tcW w:w="3533" w:type="dxa"/>
            <w:gridSpan w:val="4"/>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337"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单位代码</w:t>
            </w:r>
          </w:p>
        </w:tc>
        <w:tc>
          <w:tcPr>
            <w:tcW w:w="146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项目负责人</w:t>
            </w:r>
          </w:p>
          <w:p>
            <w:pPr>
              <w:snapToGrid w:val="0"/>
              <w:jc w:val="center"/>
              <w:rPr>
                <w:rFonts w:eastAsia="方正仿宋_GBK"/>
                <w:color w:val="000000"/>
                <w:spacing w:val="-2"/>
                <w:szCs w:val="21"/>
              </w:rPr>
            </w:pPr>
            <w:r>
              <w:rPr>
                <w:rFonts w:hint="eastAsia" w:eastAsia="方正仿宋_GBK"/>
                <w:color w:val="000000"/>
                <w:spacing w:val="-2"/>
                <w:szCs w:val="21"/>
              </w:rPr>
              <w:t>（盖注册章）</w:t>
            </w:r>
          </w:p>
        </w:tc>
        <w:tc>
          <w:tcPr>
            <w:tcW w:w="6335" w:type="dxa"/>
            <w:gridSpan w:val="7"/>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项目名称</w:t>
            </w:r>
          </w:p>
        </w:tc>
        <w:tc>
          <w:tcPr>
            <w:tcW w:w="3533" w:type="dxa"/>
            <w:gridSpan w:val="4"/>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327"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子项</w:t>
            </w:r>
          </w:p>
        </w:tc>
        <w:tc>
          <w:tcPr>
            <w:tcW w:w="1475"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建设地点</w:t>
            </w:r>
          </w:p>
        </w:tc>
        <w:tc>
          <w:tcPr>
            <w:tcW w:w="3533" w:type="dxa"/>
            <w:gridSpan w:val="4"/>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327"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气候分区</w:t>
            </w:r>
          </w:p>
        </w:tc>
        <w:tc>
          <w:tcPr>
            <w:tcW w:w="1475"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建筑性质</w:t>
            </w:r>
          </w:p>
        </w:tc>
        <w:tc>
          <w:tcPr>
            <w:tcW w:w="6335" w:type="dxa"/>
            <w:gridSpan w:val="7"/>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如（如办公、酒店、商业等）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建筑节能</w:t>
            </w:r>
          </w:p>
          <w:p>
            <w:pPr>
              <w:snapToGrid w:val="0"/>
              <w:jc w:val="center"/>
              <w:rPr>
                <w:rFonts w:eastAsia="方正仿宋_GBK"/>
                <w:color w:val="000000"/>
                <w:spacing w:val="-2"/>
                <w:szCs w:val="21"/>
              </w:rPr>
            </w:pPr>
            <w:r>
              <w:rPr>
                <w:rFonts w:hint="eastAsia" w:eastAsia="方正仿宋_GBK"/>
                <w:color w:val="000000"/>
                <w:spacing w:val="-2"/>
                <w:szCs w:val="21"/>
              </w:rPr>
              <w:t>类别</w:t>
            </w:r>
          </w:p>
        </w:tc>
        <w:tc>
          <w:tcPr>
            <w:tcW w:w="6335" w:type="dxa"/>
            <w:gridSpan w:val="7"/>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ascii="Times New Roman" w:hAnsi="Times New Roman"/>
                <w:color w:val="000000"/>
                <w:spacing w:val="-2"/>
                <w:szCs w:val="21"/>
              </w:rPr>
              <w:t xml:space="preserve"> □</w:t>
            </w:r>
            <w:r>
              <w:rPr>
                <w:rFonts w:hint="eastAsia" w:eastAsia="方正仿宋_GBK"/>
                <w:color w:val="000000"/>
                <w:spacing w:val="-2"/>
                <w:szCs w:val="21"/>
              </w:rPr>
              <w:t>甲类建筑</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乙类建筑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节能水平</w:t>
            </w:r>
          </w:p>
        </w:tc>
        <w:tc>
          <w:tcPr>
            <w:tcW w:w="6335" w:type="dxa"/>
            <w:gridSpan w:val="7"/>
            <w:tcBorders>
              <w:top w:val="single" w:color="auto" w:sz="4" w:space="0"/>
              <w:left w:val="single" w:color="auto" w:sz="4" w:space="0"/>
              <w:bottom w:val="single" w:color="auto" w:sz="4" w:space="0"/>
              <w:right w:val="single" w:color="auto" w:sz="4" w:space="0"/>
            </w:tcBorders>
            <w:noWrap w:val="0"/>
            <w:vAlign w:val="center"/>
          </w:tcPr>
          <w:p>
            <w:pPr>
              <w:snapToGrid w:val="0"/>
              <w:rPr>
                <w:rFonts w:eastAsia="方正仿宋_GBK"/>
                <w:color w:val="000000"/>
                <w:spacing w:val="-2"/>
                <w:szCs w:val="21"/>
              </w:rPr>
            </w:pPr>
            <w:r>
              <w:rPr>
                <w:rFonts w:hint="eastAsia" w:ascii="Times New Roman" w:hAnsi="Times New Roman"/>
                <w:color w:val="000000"/>
                <w:spacing w:val="-2"/>
                <w:szCs w:val="21"/>
              </w:rPr>
              <w:t>□</w:t>
            </w:r>
            <w:r>
              <w:rPr>
                <w:rFonts w:eastAsia="方正仿宋_GBK"/>
                <w:color w:val="000000"/>
                <w:spacing w:val="-2"/>
                <w:szCs w:val="21"/>
              </w:rPr>
              <w:t xml:space="preserve">50%        </w:t>
            </w:r>
            <w:r>
              <w:rPr>
                <w:rFonts w:hint="eastAsia" w:ascii="Times New Roman" w:hAnsi="Times New Roman"/>
                <w:color w:val="000000"/>
                <w:spacing w:val="-2"/>
                <w:szCs w:val="21"/>
              </w:rPr>
              <w:t>□</w:t>
            </w:r>
            <w:r>
              <w:rPr>
                <w:rFonts w:eastAsia="方正仿宋_GBK"/>
                <w:color w:val="000000"/>
                <w:spacing w:val="-2"/>
                <w:szCs w:val="21"/>
              </w:rPr>
              <w:t xml:space="preserve">65%          </w:t>
            </w:r>
            <w:r>
              <w:rPr>
                <w:rFonts w:hint="eastAsia" w:ascii="Times New Roman" w:hAnsi="Times New Roman"/>
                <w:color w:val="000000"/>
                <w:spacing w:val="-2"/>
                <w:szCs w:val="21"/>
              </w:rPr>
              <w:t>□</w:t>
            </w:r>
            <w:r>
              <w:rPr>
                <w:rFonts w:hint="eastAsia" w:eastAsia="方正仿宋_GBK"/>
                <w:color w:val="000000"/>
                <w:spacing w:val="-2"/>
                <w:kern w:val="0"/>
                <w:szCs w:val="21"/>
              </w:rPr>
              <w:t>更高（</w:t>
            </w:r>
            <w:r>
              <w:rPr>
                <w:rFonts w:eastAsia="方正仿宋_GBK"/>
                <w:color w:val="000000"/>
                <w:spacing w:val="-2"/>
                <w:kern w:val="0"/>
                <w:szCs w:val="21"/>
              </w:rPr>
              <w:t xml:space="preserve">  </w:t>
            </w:r>
            <w:r>
              <w:rPr>
                <w:rFonts w:hint="eastAsia" w:eastAsia="方正仿宋_GBK"/>
                <w:color w:val="000000"/>
                <w:spacing w:val="-2"/>
                <w:kern w:val="0"/>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ind w:left="-105" w:leftChars="-50" w:right="-105" w:rightChars="-50"/>
              <w:jc w:val="center"/>
              <w:rPr>
                <w:rFonts w:eastAsia="方正仿宋_GBK"/>
                <w:color w:val="000000"/>
                <w:spacing w:val="-2"/>
                <w:szCs w:val="21"/>
              </w:rPr>
            </w:pPr>
            <w:r>
              <w:rPr>
                <w:rFonts w:hint="eastAsia" w:eastAsia="方正仿宋_GBK"/>
                <w:color w:val="000000"/>
                <w:spacing w:val="-2"/>
                <w:szCs w:val="21"/>
              </w:rPr>
              <w:t>绿色建筑</w:t>
            </w:r>
          </w:p>
          <w:p>
            <w:pPr>
              <w:snapToGrid w:val="0"/>
              <w:ind w:left="-105" w:leftChars="-50" w:right="-105" w:rightChars="-50"/>
              <w:jc w:val="center"/>
              <w:rPr>
                <w:rFonts w:eastAsia="方正仿宋_GBK"/>
                <w:color w:val="000000"/>
                <w:spacing w:val="-2"/>
                <w:szCs w:val="21"/>
              </w:rPr>
            </w:pPr>
            <w:r>
              <w:rPr>
                <w:rFonts w:hint="eastAsia" w:eastAsia="方正仿宋_GBK"/>
                <w:color w:val="000000"/>
                <w:spacing w:val="-2"/>
                <w:szCs w:val="21"/>
              </w:rPr>
              <w:t>星级目标</w:t>
            </w:r>
          </w:p>
        </w:tc>
        <w:tc>
          <w:tcPr>
            <w:tcW w:w="6335" w:type="dxa"/>
            <w:gridSpan w:val="7"/>
            <w:tcBorders>
              <w:top w:val="single" w:color="auto" w:sz="4" w:space="0"/>
              <w:left w:val="single" w:color="auto" w:sz="4" w:space="0"/>
              <w:bottom w:val="single" w:color="auto" w:sz="4" w:space="0"/>
              <w:right w:val="single" w:color="auto" w:sz="4" w:space="0"/>
            </w:tcBorders>
            <w:noWrap w:val="0"/>
            <w:vAlign w:val="center"/>
          </w:tcPr>
          <w:p>
            <w:pPr>
              <w:snapToGrid w:val="0"/>
              <w:rPr>
                <w:rFonts w:eastAsia="方正仿宋_GBK"/>
                <w:color w:val="000000"/>
                <w:spacing w:val="-2"/>
                <w:szCs w:val="21"/>
              </w:rPr>
            </w:pPr>
            <w:r>
              <w:rPr>
                <w:rFonts w:hint="eastAsia" w:ascii="Times New Roman" w:hAnsi="Times New Roman"/>
                <w:color w:val="000000"/>
                <w:spacing w:val="-2"/>
                <w:szCs w:val="21"/>
              </w:rPr>
              <w:t>□</w:t>
            </w:r>
            <w:r>
              <w:rPr>
                <w:rFonts w:hint="eastAsia" w:eastAsia="方正仿宋_GBK"/>
                <w:color w:val="000000"/>
                <w:spacing w:val="-2"/>
                <w:szCs w:val="21"/>
              </w:rPr>
              <w:t>一星级</w:t>
            </w:r>
            <w:r>
              <w:rPr>
                <w:rFonts w:eastAsia="方正仿宋_GBK"/>
                <w:color w:val="000000"/>
                <w:spacing w:val="-2"/>
                <w:szCs w:val="21"/>
              </w:rPr>
              <w:t xml:space="preserve">      </w:t>
            </w:r>
            <w:r>
              <w:rPr>
                <w:rFonts w:hint="eastAsia" w:ascii="Times New Roman" w:hAnsi="Times New Roman"/>
                <w:color w:val="000000"/>
                <w:spacing w:val="-2"/>
                <w:szCs w:val="21"/>
              </w:rPr>
              <w:t>□</w:t>
            </w:r>
            <w:r>
              <w:rPr>
                <w:rFonts w:hint="eastAsia" w:eastAsia="方正仿宋_GBK"/>
                <w:color w:val="000000"/>
                <w:spacing w:val="-2"/>
                <w:szCs w:val="21"/>
              </w:rPr>
              <w:t>二星级</w:t>
            </w:r>
            <w:r>
              <w:rPr>
                <w:rFonts w:eastAsia="方正仿宋_GBK"/>
                <w:color w:val="000000"/>
                <w:spacing w:val="-2"/>
                <w:szCs w:val="21"/>
              </w:rPr>
              <w:t xml:space="preserve">       </w:t>
            </w:r>
            <w:r>
              <w:rPr>
                <w:rFonts w:hint="eastAsia" w:ascii="Times New Roman" w:hAnsi="Times New Roman"/>
                <w:color w:val="000000"/>
                <w:spacing w:val="-2"/>
                <w:szCs w:val="21"/>
              </w:rPr>
              <w:t xml:space="preserve"> □</w:t>
            </w:r>
            <w:r>
              <w:rPr>
                <w:rFonts w:hint="eastAsia" w:eastAsia="方正仿宋_GBK"/>
                <w:color w:val="000000"/>
                <w:spacing w:val="-2"/>
                <w:szCs w:val="21"/>
              </w:rPr>
              <w:t>三星级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可再生能源利用情况</w:t>
            </w:r>
          </w:p>
        </w:tc>
        <w:tc>
          <w:tcPr>
            <w:tcW w:w="6335" w:type="dxa"/>
            <w:gridSpan w:val="7"/>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建筑面积</w:t>
            </w:r>
          </w:p>
        </w:tc>
        <w:tc>
          <w:tcPr>
            <w:tcW w:w="3454"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416"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建筑高度</w:t>
            </w:r>
          </w:p>
        </w:tc>
        <w:tc>
          <w:tcPr>
            <w:tcW w:w="146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81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9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建筑层数</w:t>
            </w:r>
          </w:p>
        </w:tc>
        <w:tc>
          <w:tcPr>
            <w:tcW w:w="3454"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416"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结构体系</w:t>
            </w:r>
          </w:p>
        </w:tc>
        <w:tc>
          <w:tcPr>
            <w:tcW w:w="146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2" w:hRule="exact"/>
        </w:trPr>
        <w:tc>
          <w:tcPr>
            <w:tcW w:w="81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附件</w:t>
            </w:r>
          </w:p>
          <w:p>
            <w:pPr>
              <w:snapToGrid w:val="0"/>
              <w:jc w:val="center"/>
              <w:rPr>
                <w:rFonts w:eastAsia="方正仿宋_GBK"/>
                <w:color w:val="000000"/>
                <w:spacing w:val="-2"/>
                <w:szCs w:val="21"/>
              </w:rPr>
            </w:pPr>
            <w:r>
              <w:rPr>
                <w:rFonts w:hint="eastAsia" w:eastAsia="方正仿宋_GBK"/>
                <w:color w:val="000000"/>
                <w:spacing w:val="-2"/>
                <w:szCs w:val="21"/>
              </w:rPr>
              <w:t>资料</w:t>
            </w:r>
          </w:p>
        </w:tc>
        <w:tc>
          <w:tcPr>
            <w:tcW w:w="7930" w:type="dxa"/>
            <w:gridSpan w:val="8"/>
            <w:tcBorders>
              <w:top w:val="single" w:color="auto" w:sz="4" w:space="0"/>
              <w:left w:val="single" w:color="auto" w:sz="4" w:space="0"/>
              <w:bottom w:val="single" w:color="auto" w:sz="4" w:space="0"/>
              <w:right w:val="single" w:color="auto" w:sz="4" w:space="0"/>
            </w:tcBorders>
            <w:noWrap w:val="0"/>
            <w:vAlign w:val="center"/>
          </w:tcPr>
          <w:p>
            <w:pPr>
              <w:pStyle w:val="18"/>
              <w:snapToGrid w:val="0"/>
              <w:ind w:firstLine="0" w:firstLineChars="0"/>
              <w:jc w:val="left"/>
              <w:rPr>
                <w:rFonts w:eastAsia="方正仿宋_GBK"/>
                <w:color w:val="000000"/>
                <w:spacing w:val="-2"/>
                <w:szCs w:val="21"/>
              </w:rPr>
            </w:pPr>
            <w:r>
              <w:rPr>
                <w:rFonts w:eastAsia="方正仿宋_GBK"/>
                <w:color w:val="000000"/>
                <w:spacing w:val="-2"/>
                <w:szCs w:val="21"/>
              </w:rPr>
              <w:t>1</w:t>
            </w:r>
            <w:r>
              <w:rPr>
                <w:rFonts w:hint="eastAsia" w:eastAsia="方正仿宋_GBK"/>
                <w:color w:val="000000"/>
                <w:spacing w:val="-2"/>
                <w:szCs w:val="21"/>
              </w:rPr>
              <w:t>、项目建筑设计方案绿色设计专项说明；</w:t>
            </w:r>
          </w:p>
          <w:p>
            <w:pPr>
              <w:pStyle w:val="18"/>
              <w:snapToGrid w:val="0"/>
              <w:ind w:firstLine="0" w:firstLineChars="0"/>
              <w:jc w:val="left"/>
              <w:rPr>
                <w:rFonts w:eastAsia="方正仿宋_GBK"/>
                <w:color w:val="000000"/>
                <w:spacing w:val="-2"/>
                <w:szCs w:val="21"/>
              </w:rPr>
            </w:pPr>
            <w:r>
              <w:rPr>
                <w:rFonts w:eastAsia="方正仿宋_GBK"/>
                <w:color w:val="000000"/>
                <w:spacing w:val="-2"/>
                <w:szCs w:val="21"/>
              </w:rPr>
              <w:t>2</w:t>
            </w:r>
            <w:r>
              <w:rPr>
                <w:rFonts w:hint="eastAsia" w:eastAsia="方正仿宋_GBK"/>
                <w:color w:val="000000"/>
                <w:spacing w:val="-2"/>
                <w:szCs w:val="21"/>
              </w:rPr>
              <w:t>、项目场地区位图、总平面图、平面图、立面图、剖面图；</w:t>
            </w:r>
          </w:p>
          <w:p>
            <w:pPr>
              <w:pStyle w:val="18"/>
              <w:snapToGrid w:val="0"/>
              <w:ind w:firstLine="0" w:firstLineChars="0"/>
              <w:jc w:val="left"/>
              <w:rPr>
                <w:rFonts w:eastAsia="方正仿宋_GBK"/>
                <w:color w:val="000000"/>
                <w:spacing w:val="-2"/>
                <w:szCs w:val="21"/>
              </w:rPr>
            </w:pPr>
            <w:r>
              <w:rPr>
                <w:rFonts w:eastAsia="方正仿宋_GBK"/>
                <w:color w:val="000000"/>
                <w:spacing w:val="-2"/>
                <w:szCs w:val="21"/>
              </w:rPr>
              <w:t>3</w:t>
            </w:r>
            <w:r>
              <w:rPr>
                <w:rFonts w:hint="eastAsia" w:eastAsia="方正仿宋_GBK"/>
                <w:color w:val="000000"/>
                <w:spacing w:val="-2"/>
                <w:szCs w:val="21"/>
              </w:rPr>
              <w:t>、相关评价分析报告及批文。</w:t>
            </w:r>
          </w:p>
        </w:tc>
      </w:tr>
    </w:tbl>
    <w:p>
      <w:pPr>
        <w:rPr>
          <w:rFonts w:hint="eastAsia"/>
          <w:color w:val="000000"/>
          <w:spacing w:val="-2"/>
        </w:rPr>
      </w:pPr>
    </w:p>
    <w:p>
      <w:pPr>
        <w:rPr>
          <w:color w:val="000000"/>
          <w:spacing w:val="-2"/>
        </w:rPr>
      </w:pPr>
    </w:p>
    <w:p>
      <w:pPr>
        <w:rPr>
          <w:color w:val="000000"/>
          <w:spacing w:val="-2"/>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77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583"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二、绿色设计审查意见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1" w:hRule="atLeast"/>
          <w:jc w:val="center"/>
        </w:trPr>
        <w:tc>
          <w:tcPr>
            <w:tcW w:w="80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建设</w:t>
            </w:r>
          </w:p>
          <w:p>
            <w:pPr>
              <w:spacing w:line="360" w:lineRule="auto"/>
              <w:jc w:val="center"/>
              <w:rPr>
                <w:rFonts w:eastAsia="方正仿宋_GBK"/>
                <w:color w:val="000000"/>
                <w:spacing w:val="-2"/>
                <w:szCs w:val="21"/>
              </w:rPr>
            </w:pPr>
            <w:r>
              <w:rPr>
                <w:rFonts w:hint="eastAsia" w:eastAsia="方正仿宋_GBK"/>
                <w:color w:val="000000"/>
                <w:spacing w:val="-2"/>
                <w:szCs w:val="21"/>
              </w:rPr>
              <w:t>主管</w:t>
            </w:r>
          </w:p>
          <w:p>
            <w:pPr>
              <w:spacing w:line="360" w:lineRule="auto"/>
              <w:jc w:val="center"/>
              <w:rPr>
                <w:rFonts w:eastAsia="方正仿宋_GBK"/>
                <w:color w:val="000000"/>
                <w:spacing w:val="-2"/>
                <w:szCs w:val="21"/>
              </w:rPr>
            </w:pPr>
            <w:r>
              <w:rPr>
                <w:rFonts w:hint="eastAsia" w:eastAsia="方正仿宋_GBK"/>
                <w:color w:val="000000"/>
                <w:spacing w:val="-2"/>
                <w:szCs w:val="21"/>
              </w:rPr>
              <w:t>部门</w:t>
            </w:r>
          </w:p>
          <w:p>
            <w:pPr>
              <w:spacing w:line="360" w:lineRule="auto"/>
              <w:jc w:val="center"/>
              <w:rPr>
                <w:rFonts w:eastAsia="方正仿宋_GBK"/>
                <w:color w:val="000000"/>
                <w:spacing w:val="-2"/>
                <w:szCs w:val="21"/>
              </w:rPr>
            </w:pPr>
            <w:r>
              <w:rPr>
                <w:rFonts w:hint="eastAsia" w:eastAsia="方正仿宋_GBK"/>
                <w:color w:val="000000"/>
                <w:spacing w:val="-2"/>
                <w:szCs w:val="21"/>
              </w:rPr>
              <w:t>意见</w:t>
            </w:r>
          </w:p>
        </w:tc>
        <w:tc>
          <w:tcPr>
            <w:tcW w:w="7783"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ind w:firstLine="4120" w:firstLineChars="2000"/>
              <w:rPr>
                <w:rFonts w:eastAsia="方正仿宋_GBK"/>
                <w:color w:val="000000"/>
                <w:spacing w:val="-2"/>
                <w:szCs w:val="21"/>
              </w:rPr>
            </w:pPr>
            <w:r>
              <w:rPr>
                <w:rFonts w:hint="eastAsia" w:eastAsia="方正仿宋_GBK"/>
                <w:color w:val="000000"/>
                <w:spacing w:val="-2"/>
                <w:szCs w:val="21"/>
              </w:rPr>
              <w:t>（盖</w:t>
            </w:r>
            <w:r>
              <w:rPr>
                <w:rFonts w:eastAsia="方正仿宋_GBK"/>
                <w:color w:val="000000"/>
                <w:spacing w:val="-2"/>
                <w:szCs w:val="21"/>
              </w:rPr>
              <w:t xml:space="preserve">    </w:t>
            </w:r>
            <w:r>
              <w:rPr>
                <w:rFonts w:hint="eastAsia" w:eastAsia="方正仿宋_GBK"/>
                <w:color w:val="000000"/>
                <w:spacing w:val="-2"/>
                <w:szCs w:val="21"/>
              </w:rPr>
              <w:t>章）</w:t>
            </w:r>
          </w:p>
          <w:p>
            <w:pPr>
              <w:spacing w:line="360" w:lineRule="auto"/>
              <w:ind w:firstLine="4120" w:firstLineChars="2000"/>
              <w:rPr>
                <w:rFonts w:eastAsia="方正仿宋_GBK"/>
                <w:color w:val="000000"/>
                <w:spacing w:val="-2"/>
                <w:szCs w:val="21"/>
              </w:rPr>
            </w:pPr>
            <w:r>
              <w:rPr>
                <w:rFonts w:hint="eastAsia" w:eastAsia="方正仿宋_GBK"/>
                <w:color w:val="000000"/>
                <w:spacing w:val="-2"/>
                <w:szCs w:val="21"/>
              </w:rPr>
              <w:t>年</w:t>
            </w:r>
            <w:r>
              <w:rPr>
                <w:rFonts w:eastAsia="方正仿宋_GBK"/>
                <w:color w:val="000000"/>
                <w:spacing w:val="-2"/>
                <w:szCs w:val="21"/>
              </w:rPr>
              <w:t xml:space="preserve">    </w:t>
            </w:r>
            <w:r>
              <w:rPr>
                <w:rFonts w:hint="eastAsia" w:eastAsia="方正仿宋_GBK"/>
                <w:color w:val="000000"/>
                <w:spacing w:val="-2"/>
                <w:szCs w:val="21"/>
              </w:rPr>
              <w:t>月</w:t>
            </w:r>
            <w:r>
              <w:rPr>
                <w:rFonts w:eastAsia="方正仿宋_GBK"/>
                <w:color w:val="000000"/>
                <w:spacing w:val="-2"/>
                <w:szCs w:val="21"/>
              </w:rPr>
              <w:t xml:space="preserve">    </w:t>
            </w:r>
            <w:r>
              <w:rPr>
                <w:rFonts w:hint="eastAsia" w:eastAsia="方正仿宋_GBK"/>
                <w:color w:val="000000"/>
                <w:spacing w:val="-2"/>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0" w:hRule="atLeast"/>
          <w:jc w:val="center"/>
        </w:trPr>
        <w:tc>
          <w:tcPr>
            <w:tcW w:w="800" w:type="dxa"/>
            <w:tcBorders>
              <w:top w:val="single" w:color="auto" w:sz="4" w:space="0"/>
              <w:left w:val="single" w:color="auto" w:sz="4"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规划</w:t>
            </w:r>
          </w:p>
          <w:p>
            <w:pPr>
              <w:spacing w:line="360" w:lineRule="auto"/>
              <w:jc w:val="center"/>
              <w:rPr>
                <w:rFonts w:eastAsia="方正仿宋_GBK"/>
                <w:color w:val="000000"/>
                <w:spacing w:val="-2"/>
                <w:szCs w:val="21"/>
              </w:rPr>
            </w:pPr>
            <w:r>
              <w:rPr>
                <w:rFonts w:hint="eastAsia" w:eastAsia="方正仿宋_GBK"/>
                <w:color w:val="000000"/>
                <w:spacing w:val="-2"/>
                <w:szCs w:val="21"/>
              </w:rPr>
              <w:t>主管</w:t>
            </w:r>
          </w:p>
          <w:p>
            <w:pPr>
              <w:spacing w:line="360" w:lineRule="auto"/>
              <w:jc w:val="center"/>
              <w:rPr>
                <w:rFonts w:eastAsia="方正仿宋_GBK"/>
                <w:color w:val="000000"/>
                <w:spacing w:val="-2"/>
                <w:szCs w:val="21"/>
              </w:rPr>
            </w:pPr>
            <w:r>
              <w:rPr>
                <w:rFonts w:hint="eastAsia" w:eastAsia="方正仿宋_GBK"/>
                <w:color w:val="000000"/>
                <w:spacing w:val="-2"/>
                <w:szCs w:val="21"/>
              </w:rPr>
              <w:t>部门</w:t>
            </w:r>
          </w:p>
          <w:p>
            <w:pPr>
              <w:spacing w:line="360" w:lineRule="auto"/>
              <w:jc w:val="center"/>
              <w:rPr>
                <w:rFonts w:eastAsia="方正仿宋_GBK"/>
                <w:color w:val="000000"/>
                <w:spacing w:val="-2"/>
                <w:szCs w:val="21"/>
              </w:rPr>
            </w:pPr>
            <w:r>
              <w:rPr>
                <w:rFonts w:hint="eastAsia" w:eastAsia="方正仿宋_GBK"/>
                <w:color w:val="000000"/>
                <w:spacing w:val="-2"/>
                <w:szCs w:val="21"/>
              </w:rPr>
              <w:t>意见</w:t>
            </w:r>
          </w:p>
        </w:tc>
        <w:tc>
          <w:tcPr>
            <w:tcW w:w="7783" w:type="dxa"/>
            <w:tcBorders>
              <w:top w:val="single" w:color="auto" w:sz="4" w:space="0"/>
              <w:left w:val="single" w:color="auto" w:sz="4" w:space="0"/>
              <w:bottom w:val="single" w:color="auto" w:sz="4" w:space="0"/>
              <w:right w:val="single" w:color="auto" w:sz="4" w:space="0"/>
            </w:tcBorders>
            <w:noWrap w:val="0"/>
            <w:vAlign w:val="center"/>
          </w:tcPr>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ind w:firstLine="4120" w:firstLineChars="2000"/>
              <w:rPr>
                <w:rFonts w:eastAsia="方正仿宋_GBK"/>
                <w:color w:val="000000"/>
                <w:spacing w:val="-2"/>
                <w:szCs w:val="21"/>
              </w:rPr>
            </w:pPr>
            <w:r>
              <w:rPr>
                <w:rFonts w:hint="eastAsia" w:eastAsia="方正仿宋_GBK"/>
                <w:color w:val="000000"/>
                <w:spacing w:val="-2"/>
                <w:szCs w:val="21"/>
              </w:rPr>
              <w:t>（盖</w:t>
            </w:r>
            <w:r>
              <w:rPr>
                <w:rFonts w:eastAsia="方正仿宋_GBK"/>
                <w:color w:val="000000"/>
                <w:spacing w:val="-2"/>
                <w:szCs w:val="21"/>
              </w:rPr>
              <w:t xml:space="preserve">    </w:t>
            </w:r>
            <w:r>
              <w:rPr>
                <w:rFonts w:hint="eastAsia" w:eastAsia="方正仿宋_GBK"/>
                <w:color w:val="000000"/>
                <w:spacing w:val="-2"/>
                <w:szCs w:val="21"/>
              </w:rPr>
              <w:t>章）</w:t>
            </w:r>
          </w:p>
          <w:p>
            <w:pPr>
              <w:spacing w:line="360" w:lineRule="auto"/>
              <w:ind w:firstLine="4120" w:firstLineChars="2000"/>
              <w:rPr>
                <w:rFonts w:eastAsia="方正仿宋_GBK"/>
                <w:color w:val="000000"/>
                <w:spacing w:val="-2"/>
                <w:szCs w:val="21"/>
              </w:rPr>
            </w:pPr>
            <w:r>
              <w:rPr>
                <w:rFonts w:hint="eastAsia" w:eastAsia="方正仿宋_GBK"/>
                <w:color w:val="000000"/>
                <w:spacing w:val="-2"/>
                <w:szCs w:val="21"/>
              </w:rPr>
              <w:t>年</w:t>
            </w:r>
            <w:r>
              <w:rPr>
                <w:rFonts w:eastAsia="方正仿宋_GBK"/>
                <w:color w:val="000000"/>
                <w:spacing w:val="-2"/>
                <w:szCs w:val="21"/>
              </w:rPr>
              <w:t xml:space="preserve">    </w:t>
            </w:r>
            <w:r>
              <w:rPr>
                <w:rFonts w:hint="eastAsia" w:eastAsia="方正仿宋_GBK"/>
                <w:color w:val="000000"/>
                <w:spacing w:val="-2"/>
                <w:szCs w:val="21"/>
              </w:rPr>
              <w:t>月</w:t>
            </w:r>
            <w:r>
              <w:rPr>
                <w:rFonts w:eastAsia="方正仿宋_GBK"/>
                <w:color w:val="000000"/>
                <w:spacing w:val="-2"/>
                <w:szCs w:val="21"/>
              </w:rPr>
              <w:t xml:space="preserve">    </w:t>
            </w:r>
            <w:r>
              <w:rPr>
                <w:rFonts w:hint="eastAsia" w:eastAsia="方正仿宋_GBK"/>
                <w:color w:val="000000"/>
                <w:spacing w:val="-2"/>
                <w:szCs w:val="21"/>
              </w:rPr>
              <w:t>日</w:t>
            </w:r>
          </w:p>
        </w:tc>
      </w:tr>
    </w:tbl>
    <w:p>
      <w:pPr>
        <w:spacing w:line="20" w:lineRule="exact"/>
        <w:jc w:val="center"/>
        <w:rPr>
          <w:color w:val="000000"/>
          <w:spacing w:val="-2"/>
          <w:sz w:val="28"/>
          <w:szCs w:val="28"/>
        </w:rPr>
      </w:pPr>
    </w:p>
    <w:p>
      <w:pPr>
        <w:spacing w:line="460" w:lineRule="exact"/>
        <w:rPr>
          <w:rFonts w:ascii="Times New Roman" w:eastAsia="方正黑体_GBK"/>
          <w:color w:val="000000"/>
          <w:spacing w:val="-2"/>
          <w:sz w:val="28"/>
          <w:szCs w:val="28"/>
        </w:rPr>
      </w:pPr>
      <w:r>
        <w:rPr>
          <w:color w:val="000000"/>
          <w:spacing w:val="-2"/>
          <w:sz w:val="28"/>
          <w:szCs w:val="28"/>
        </w:rPr>
        <w:br w:type="column"/>
      </w:r>
      <w:r>
        <w:rPr>
          <w:rFonts w:hint="eastAsia" w:ascii="Times New Roman" w:eastAsia="方正黑体_GBK"/>
          <w:color w:val="000000"/>
          <w:spacing w:val="-2"/>
          <w:sz w:val="28"/>
          <w:szCs w:val="28"/>
        </w:rPr>
        <w:t>附件4</w:t>
      </w:r>
    </w:p>
    <w:p>
      <w:pPr>
        <w:spacing w:before="240" w:beforeLines="100" w:after="240" w:afterLines="100" w:line="440" w:lineRule="exact"/>
        <w:jc w:val="center"/>
        <w:rPr>
          <w:rFonts w:hint="eastAsia" w:ascii="Times New Roman" w:eastAsia="方正黑体_GBK"/>
          <w:color w:val="000000"/>
          <w:spacing w:val="-2"/>
          <w:sz w:val="28"/>
          <w:szCs w:val="28"/>
        </w:rPr>
      </w:pPr>
      <w:r>
        <w:rPr>
          <w:rFonts w:hint="eastAsia" w:ascii="Times New Roman" w:eastAsia="方正黑体_GBK"/>
          <w:color w:val="000000"/>
          <w:spacing w:val="-2"/>
          <w:sz w:val="28"/>
          <w:szCs w:val="28"/>
        </w:rPr>
        <w:t>江苏省民用建筑设计方案绿色设计报审表（居住建筑）</w:t>
      </w:r>
    </w:p>
    <w:tbl>
      <w:tblPr>
        <w:tblStyle w:val="12"/>
        <w:tblW w:w="0" w:type="auto"/>
        <w:tblInd w:w="8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26"/>
        <w:gridCol w:w="1554"/>
        <w:gridCol w:w="1300"/>
        <w:gridCol w:w="955"/>
        <w:gridCol w:w="663"/>
        <w:gridCol w:w="361"/>
        <w:gridCol w:w="1281"/>
        <w:gridCol w:w="181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8857" w:type="dxa"/>
            <w:gridSpan w:val="8"/>
            <w:tcBorders>
              <w:top w:val="single" w:color="auto" w:sz="8" w:space="0"/>
              <w:left w:val="single" w:color="auto" w:sz="8"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一、项目基本情况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926" w:type="dxa"/>
            <w:vMerge w:val="restart"/>
            <w:tcBorders>
              <w:top w:val="single" w:color="auto" w:sz="4" w:space="0"/>
              <w:left w:val="single" w:color="auto" w:sz="8"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单位</w:t>
            </w:r>
          </w:p>
          <w:p>
            <w:pPr>
              <w:snapToGrid w:val="0"/>
              <w:jc w:val="center"/>
              <w:rPr>
                <w:rFonts w:eastAsia="方正仿宋_GBK"/>
                <w:color w:val="000000"/>
                <w:spacing w:val="-2"/>
                <w:szCs w:val="21"/>
              </w:rPr>
            </w:pPr>
            <w:r>
              <w:rPr>
                <w:rFonts w:hint="eastAsia" w:eastAsia="方正仿宋_GBK"/>
                <w:color w:val="000000"/>
                <w:spacing w:val="-2"/>
                <w:szCs w:val="21"/>
              </w:rPr>
              <w:t>概况</w:t>
            </w: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建设单位</w:t>
            </w:r>
          </w:p>
          <w:p>
            <w:pPr>
              <w:snapToGrid w:val="0"/>
              <w:jc w:val="center"/>
              <w:rPr>
                <w:rFonts w:eastAsia="方正仿宋_GBK"/>
                <w:color w:val="000000"/>
                <w:spacing w:val="-2"/>
                <w:szCs w:val="21"/>
              </w:rPr>
            </w:pPr>
            <w:r>
              <w:rPr>
                <w:rFonts w:hint="eastAsia" w:eastAsia="方正仿宋_GBK"/>
                <w:color w:val="000000"/>
                <w:spacing w:val="-2"/>
                <w:szCs w:val="21"/>
              </w:rPr>
              <w:t>（盖章）</w:t>
            </w:r>
          </w:p>
        </w:tc>
        <w:tc>
          <w:tcPr>
            <w:tcW w:w="3279" w:type="dxa"/>
            <w:gridSpan w:val="4"/>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281" w:type="dxa"/>
            <w:tcBorders>
              <w:top w:val="single" w:color="auto" w:sz="4" w:space="0"/>
              <w:left w:val="single" w:color="auto" w:sz="4" w:space="0"/>
              <w:bottom w:val="single" w:color="auto" w:sz="4" w:space="0"/>
              <w:right w:val="single" w:color="auto" w:sz="4" w:space="0"/>
            </w:tcBorders>
            <w:noWrap w:val="0"/>
            <w:vAlign w:val="center"/>
          </w:tcPr>
          <w:p>
            <w:pPr>
              <w:snapToGrid w:val="0"/>
              <w:ind w:left="-105" w:leftChars="-50" w:right="-105" w:rightChars="-50"/>
              <w:jc w:val="center"/>
              <w:rPr>
                <w:rFonts w:eastAsia="方正仿宋_GBK"/>
                <w:color w:val="000000"/>
                <w:spacing w:val="-2"/>
                <w:szCs w:val="21"/>
              </w:rPr>
            </w:pPr>
            <w:r>
              <w:rPr>
                <w:rFonts w:hint="eastAsia" w:eastAsia="方正仿宋_GBK"/>
                <w:color w:val="000000"/>
                <w:spacing w:val="-2"/>
                <w:szCs w:val="21"/>
              </w:rPr>
              <w:t>单位代码</w:t>
            </w:r>
          </w:p>
        </w:tc>
        <w:tc>
          <w:tcPr>
            <w:tcW w:w="1817" w:type="dxa"/>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法定代表</w:t>
            </w:r>
          </w:p>
        </w:tc>
        <w:tc>
          <w:tcPr>
            <w:tcW w:w="1300"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955"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联系人</w:t>
            </w:r>
          </w:p>
        </w:tc>
        <w:tc>
          <w:tcPr>
            <w:tcW w:w="1024"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281" w:type="dxa"/>
            <w:tcBorders>
              <w:top w:val="single" w:color="auto" w:sz="4" w:space="0"/>
              <w:left w:val="single" w:color="auto" w:sz="4" w:space="0"/>
              <w:bottom w:val="single" w:color="auto" w:sz="4" w:space="0"/>
              <w:right w:val="single" w:color="auto" w:sz="4" w:space="0"/>
            </w:tcBorders>
            <w:noWrap w:val="0"/>
            <w:vAlign w:val="center"/>
          </w:tcPr>
          <w:p>
            <w:pPr>
              <w:snapToGrid w:val="0"/>
              <w:ind w:left="-105" w:leftChars="-50" w:right="-105" w:rightChars="-50"/>
              <w:jc w:val="center"/>
              <w:rPr>
                <w:rFonts w:eastAsia="方正仿宋_GBK"/>
                <w:color w:val="000000"/>
                <w:spacing w:val="-2"/>
                <w:szCs w:val="21"/>
              </w:rPr>
            </w:pPr>
            <w:r>
              <w:rPr>
                <w:rFonts w:hint="eastAsia" w:eastAsia="方正仿宋_GBK"/>
                <w:color w:val="000000"/>
                <w:spacing w:val="-2"/>
                <w:szCs w:val="21"/>
              </w:rPr>
              <w:t>联系电话</w:t>
            </w:r>
          </w:p>
        </w:tc>
        <w:tc>
          <w:tcPr>
            <w:tcW w:w="1817" w:type="dxa"/>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设计单位</w:t>
            </w:r>
          </w:p>
        </w:tc>
        <w:tc>
          <w:tcPr>
            <w:tcW w:w="3279" w:type="dxa"/>
            <w:gridSpan w:val="4"/>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281" w:type="dxa"/>
            <w:tcBorders>
              <w:top w:val="single" w:color="auto" w:sz="4" w:space="0"/>
              <w:left w:val="single" w:color="auto" w:sz="4" w:space="0"/>
              <w:bottom w:val="single" w:color="auto" w:sz="4" w:space="0"/>
              <w:right w:val="single" w:color="auto" w:sz="4" w:space="0"/>
            </w:tcBorders>
            <w:noWrap w:val="0"/>
            <w:vAlign w:val="center"/>
          </w:tcPr>
          <w:p>
            <w:pPr>
              <w:snapToGrid w:val="0"/>
              <w:ind w:left="-105" w:leftChars="-50" w:right="-105" w:rightChars="-50"/>
              <w:jc w:val="center"/>
              <w:rPr>
                <w:rFonts w:eastAsia="方正仿宋_GBK"/>
                <w:color w:val="000000"/>
                <w:spacing w:val="-2"/>
                <w:szCs w:val="21"/>
              </w:rPr>
            </w:pPr>
            <w:r>
              <w:rPr>
                <w:rFonts w:hint="eastAsia" w:eastAsia="方正仿宋_GBK"/>
                <w:color w:val="000000"/>
                <w:spacing w:val="-2"/>
                <w:szCs w:val="21"/>
              </w:rPr>
              <w:t>单位代码</w:t>
            </w:r>
          </w:p>
        </w:tc>
        <w:tc>
          <w:tcPr>
            <w:tcW w:w="1817" w:type="dxa"/>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项目负责人</w:t>
            </w:r>
          </w:p>
          <w:p>
            <w:pPr>
              <w:snapToGrid w:val="0"/>
              <w:jc w:val="center"/>
              <w:rPr>
                <w:rFonts w:eastAsia="方正仿宋_GBK"/>
                <w:color w:val="000000"/>
                <w:spacing w:val="-2"/>
                <w:szCs w:val="21"/>
              </w:rPr>
            </w:pPr>
            <w:r>
              <w:rPr>
                <w:rFonts w:hint="eastAsia" w:eastAsia="方正仿宋_GBK"/>
                <w:color w:val="000000"/>
                <w:spacing w:val="-2"/>
                <w:szCs w:val="21"/>
              </w:rPr>
              <w:t>（盖注册章）</w:t>
            </w:r>
          </w:p>
        </w:tc>
        <w:tc>
          <w:tcPr>
            <w:tcW w:w="6377" w:type="dxa"/>
            <w:gridSpan w:val="6"/>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项目名称</w:t>
            </w:r>
          </w:p>
        </w:tc>
        <w:tc>
          <w:tcPr>
            <w:tcW w:w="3279" w:type="dxa"/>
            <w:gridSpan w:val="4"/>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281"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子项</w:t>
            </w:r>
          </w:p>
        </w:tc>
        <w:tc>
          <w:tcPr>
            <w:tcW w:w="1817" w:type="dxa"/>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建设地点</w:t>
            </w:r>
          </w:p>
        </w:tc>
        <w:tc>
          <w:tcPr>
            <w:tcW w:w="3279" w:type="dxa"/>
            <w:gridSpan w:val="4"/>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281"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气候分区</w:t>
            </w:r>
          </w:p>
        </w:tc>
        <w:tc>
          <w:tcPr>
            <w:tcW w:w="1817" w:type="dxa"/>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建筑节能</w:t>
            </w:r>
          </w:p>
          <w:p>
            <w:pPr>
              <w:snapToGrid w:val="0"/>
              <w:jc w:val="center"/>
              <w:rPr>
                <w:rFonts w:eastAsia="方正仿宋_GBK"/>
                <w:color w:val="000000"/>
                <w:spacing w:val="-2"/>
                <w:szCs w:val="21"/>
              </w:rPr>
            </w:pPr>
            <w:r>
              <w:rPr>
                <w:rFonts w:hint="eastAsia" w:eastAsia="方正仿宋_GBK"/>
                <w:color w:val="000000"/>
                <w:spacing w:val="-2"/>
                <w:szCs w:val="21"/>
              </w:rPr>
              <w:t>类别</w:t>
            </w:r>
          </w:p>
        </w:tc>
        <w:tc>
          <w:tcPr>
            <w:tcW w:w="6377" w:type="dxa"/>
            <w:gridSpan w:val="6"/>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r>
              <w:rPr>
                <w:rFonts w:eastAsia="方正仿宋_GBK"/>
                <w:color w:val="000000"/>
                <w:spacing w:val="-2"/>
                <w:szCs w:val="21"/>
              </w:rPr>
              <w:t>□</w:t>
            </w:r>
            <w:r>
              <w:rPr>
                <w:rFonts w:hint="eastAsia" w:eastAsia="方正仿宋_GBK"/>
                <w:color w:val="000000"/>
                <w:spacing w:val="-2"/>
                <w:szCs w:val="21"/>
              </w:rPr>
              <w:t>被动系列一</w:t>
            </w:r>
            <w:r>
              <w:rPr>
                <w:rFonts w:eastAsia="方正仿宋_GBK"/>
                <w:color w:val="000000"/>
                <w:spacing w:val="-2"/>
                <w:szCs w:val="21"/>
              </w:rPr>
              <w:t xml:space="preserve"> □</w:t>
            </w:r>
            <w:r>
              <w:rPr>
                <w:rFonts w:hint="eastAsia" w:eastAsia="方正仿宋_GBK"/>
                <w:color w:val="000000"/>
                <w:spacing w:val="-2"/>
                <w:szCs w:val="21"/>
              </w:rPr>
              <w:t>被动系列二</w:t>
            </w:r>
            <w:r>
              <w:rPr>
                <w:rFonts w:eastAsia="方正仿宋_GBK"/>
                <w:color w:val="000000"/>
                <w:spacing w:val="-2"/>
                <w:szCs w:val="21"/>
              </w:rPr>
              <w:t xml:space="preserve"> □</w:t>
            </w:r>
            <w:r>
              <w:rPr>
                <w:rFonts w:hint="eastAsia" w:eastAsia="方正仿宋_GBK"/>
                <w:color w:val="000000"/>
                <w:spacing w:val="-2"/>
                <w:szCs w:val="21"/>
              </w:rPr>
              <w:t>主动</w:t>
            </w:r>
            <w:r>
              <w:rPr>
                <w:rFonts w:eastAsia="方正仿宋_GBK"/>
                <w:color w:val="000000"/>
                <w:spacing w:val="-2"/>
                <w:szCs w:val="21"/>
              </w:rPr>
              <w:fldChar w:fldCharType="begin"/>
            </w:r>
            <w:r>
              <w:rPr>
                <w:rFonts w:eastAsia="方正仿宋_GBK"/>
                <w:color w:val="000000"/>
                <w:spacing w:val="-2"/>
                <w:szCs w:val="21"/>
              </w:rPr>
              <w:instrText xml:space="preserve"> = 1 \* ROMAN </w:instrText>
            </w:r>
            <w:r>
              <w:rPr>
                <w:rFonts w:eastAsia="方正仿宋_GBK"/>
                <w:color w:val="000000"/>
                <w:spacing w:val="-2"/>
                <w:szCs w:val="21"/>
              </w:rPr>
              <w:fldChar w:fldCharType="separate"/>
            </w:r>
            <w:r>
              <w:rPr>
                <w:rFonts w:eastAsia="方正仿宋_GBK"/>
                <w:color w:val="000000"/>
                <w:spacing w:val="-2"/>
                <w:szCs w:val="21"/>
              </w:rPr>
              <w:t>I</w:t>
            </w:r>
            <w:r>
              <w:rPr>
                <w:rFonts w:eastAsia="方正仿宋_GBK"/>
                <w:color w:val="000000"/>
                <w:spacing w:val="-2"/>
                <w:szCs w:val="21"/>
              </w:rPr>
              <w:fldChar w:fldCharType="end"/>
            </w:r>
            <w:r>
              <w:rPr>
                <w:rFonts w:hint="eastAsia" w:eastAsia="方正仿宋_GBK"/>
                <w:color w:val="000000"/>
                <w:spacing w:val="-2"/>
                <w:szCs w:val="21"/>
              </w:rPr>
              <w:t>类</w:t>
            </w:r>
            <w:r>
              <w:rPr>
                <w:rFonts w:eastAsia="方正仿宋_GBK"/>
                <w:color w:val="000000"/>
                <w:spacing w:val="-2"/>
                <w:szCs w:val="21"/>
              </w:rPr>
              <w:t xml:space="preserve"> □</w:t>
            </w:r>
            <w:r>
              <w:rPr>
                <w:rFonts w:hint="eastAsia" w:eastAsia="方正仿宋_GBK"/>
                <w:color w:val="000000"/>
                <w:spacing w:val="-2"/>
                <w:szCs w:val="21"/>
              </w:rPr>
              <w:t>主动</w:t>
            </w:r>
            <w:r>
              <w:rPr>
                <w:rFonts w:eastAsia="方正仿宋_GBK"/>
                <w:color w:val="000000"/>
                <w:spacing w:val="-2"/>
                <w:szCs w:val="21"/>
              </w:rPr>
              <w:fldChar w:fldCharType="begin"/>
            </w:r>
            <w:r>
              <w:rPr>
                <w:rFonts w:eastAsia="方正仿宋_GBK"/>
                <w:color w:val="000000"/>
                <w:spacing w:val="-2"/>
                <w:szCs w:val="21"/>
              </w:rPr>
              <w:instrText xml:space="preserve"> = 2 \* ROMAN </w:instrText>
            </w:r>
            <w:r>
              <w:rPr>
                <w:rFonts w:eastAsia="方正仿宋_GBK"/>
                <w:color w:val="000000"/>
                <w:spacing w:val="-2"/>
                <w:szCs w:val="21"/>
              </w:rPr>
              <w:fldChar w:fldCharType="separate"/>
            </w:r>
            <w:r>
              <w:rPr>
                <w:rFonts w:eastAsia="方正仿宋_GBK"/>
                <w:color w:val="000000"/>
                <w:spacing w:val="-2"/>
                <w:szCs w:val="21"/>
              </w:rPr>
              <w:t>II</w:t>
            </w:r>
            <w:r>
              <w:rPr>
                <w:rFonts w:eastAsia="方正仿宋_GBK"/>
                <w:color w:val="000000"/>
                <w:spacing w:val="-2"/>
                <w:szCs w:val="21"/>
              </w:rPr>
              <w:fldChar w:fldCharType="end"/>
            </w:r>
            <w:r>
              <w:rPr>
                <w:rFonts w:hint="eastAsia" w:eastAsia="方正仿宋_GBK"/>
                <w:color w:val="000000"/>
                <w:spacing w:val="-2"/>
                <w:szCs w:val="21"/>
              </w:rPr>
              <w:t>类</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节能水平</w:t>
            </w:r>
          </w:p>
        </w:tc>
        <w:tc>
          <w:tcPr>
            <w:tcW w:w="6377" w:type="dxa"/>
            <w:gridSpan w:val="6"/>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r>
              <w:rPr>
                <w:rFonts w:eastAsia="方正仿宋_GBK"/>
                <w:color w:val="000000"/>
                <w:spacing w:val="-2"/>
                <w:szCs w:val="21"/>
              </w:rPr>
              <w:t>□65%        □</w:t>
            </w:r>
            <w:r>
              <w:rPr>
                <w:rFonts w:hint="eastAsia" w:eastAsia="方正仿宋_GBK"/>
                <w:color w:val="000000"/>
                <w:spacing w:val="-2"/>
                <w:szCs w:val="21"/>
              </w:rPr>
              <w:t>更高（</w:t>
            </w:r>
            <w:r>
              <w:rPr>
                <w:rFonts w:eastAsia="方正仿宋_GBK"/>
                <w:color w:val="000000"/>
                <w:spacing w:val="-2"/>
                <w:szCs w:val="21"/>
              </w:rPr>
              <w:t xml:space="preserve">  </w:t>
            </w:r>
            <w:r>
              <w:rPr>
                <w:rFonts w:hint="eastAsia"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绿色建筑</w:t>
            </w:r>
          </w:p>
          <w:p>
            <w:pPr>
              <w:snapToGrid w:val="0"/>
              <w:jc w:val="center"/>
              <w:rPr>
                <w:rFonts w:eastAsia="方正仿宋_GBK"/>
                <w:color w:val="000000"/>
                <w:spacing w:val="-2"/>
                <w:szCs w:val="21"/>
              </w:rPr>
            </w:pPr>
            <w:r>
              <w:rPr>
                <w:rFonts w:hint="eastAsia" w:eastAsia="方正仿宋_GBK"/>
                <w:color w:val="000000"/>
                <w:spacing w:val="-2"/>
                <w:szCs w:val="21"/>
              </w:rPr>
              <w:t>星级目标</w:t>
            </w:r>
          </w:p>
        </w:tc>
        <w:tc>
          <w:tcPr>
            <w:tcW w:w="6377" w:type="dxa"/>
            <w:gridSpan w:val="6"/>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r>
              <w:rPr>
                <w:rFonts w:eastAsia="方正仿宋_GBK"/>
                <w:color w:val="000000"/>
                <w:spacing w:val="-2"/>
                <w:szCs w:val="21"/>
              </w:rPr>
              <w:t>□</w:t>
            </w:r>
            <w:r>
              <w:rPr>
                <w:rFonts w:hint="eastAsia" w:eastAsia="方正仿宋_GBK"/>
                <w:color w:val="000000"/>
                <w:spacing w:val="-2"/>
                <w:szCs w:val="21"/>
              </w:rPr>
              <w:t>一星级</w:t>
            </w:r>
            <w:r>
              <w:rPr>
                <w:rFonts w:eastAsia="方正仿宋_GBK"/>
                <w:color w:val="000000"/>
                <w:spacing w:val="-2"/>
                <w:szCs w:val="21"/>
              </w:rPr>
              <w:t xml:space="preserve">     □</w:t>
            </w:r>
            <w:r>
              <w:rPr>
                <w:rFonts w:hint="eastAsia" w:eastAsia="方正仿宋_GBK"/>
                <w:color w:val="000000"/>
                <w:spacing w:val="-2"/>
                <w:szCs w:val="21"/>
              </w:rPr>
              <w:t>二星级</w:t>
            </w:r>
            <w:r>
              <w:rPr>
                <w:rFonts w:eastAsia="方正仿宋_GBK"/>
                <w:color w:val="000000"/>
                <w:spacing w:val="-2"/>
                <w:szCs w:val="21"/>
              </w:rPr>
              <w:t xml:space="preserve">     □</w:t>
            </w:r>
            <w:r>
              <w:rPr>
                <w:rFonts w:hint="eastAsia" w:eastAsia="方正仿宋_GBK"/>
                <w:color w:val="000000"/>
                <w:spacing w:val="-2"/>
                <w:szCs w:val="21"/>
              </w:rPr>
              <w:t>三星级</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7"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可再生能源利用情况</w:t>
            </w:r>
          </w:p>
        </w:tc>
        <w:tc>
          <w:tcPr>
            <w:tcW w:w="6377" w:type="dxa"/>
            <w:gridSpan w:val="6"/>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建筑面积</w:t>
            </w:r>
          </w:p>
        </w:tc>
        <w:tc>
          <w:tcPr>
            <w:tcW w:w="2918"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642"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建筑高度</w:t>
            </w:r>
          </w:p>
        </w:tc>
        <w:tc>
          <w:tcPr>
            <w:tcW w:w="1817" w:type="dxa"/>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92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554" w:type="dxa"/>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建筑层数</w:t>
            </w:r>
          </w:p>
        </w:tc>
        <w:tc>
          <w:tcPr>
            <w:tcW w:w="2918"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p>
        </w:tc>
        <w:tc>
          <w:tcPr>
            <w:tcW w:w="1642" w:type="dxa"/>
            <w:gridSpan w:val="2"/>
            <w:tcBorders>
              <w:top w:val="single" w:color="auto" w:sz="4" w:space="0"/>
              <w:left w:val="single" w:color="auto" w:sz="4" w:space="0"/>
              <w:bottom w:val="single" w:color="auto" w:sz="4"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结构体系</w:t>
            </w:r>
          </w:p>
        </w:tc>
        <w:tc>
          <w:tcPr>
            <w:tcW w:w="1817" w:type="dxa"/>
            <w:tcBorders>
              <w:top w:val="single" w:color="auto" w:sz="4" w:space="0"/>
              <w:left w:val="single" w:color="auto" w:sz="4"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11" w:hRule="exact"/>
        </w:trPr>
        <w:tc>
          <w:tcPr>
            <w:tcW w:w="926" w:type="dxa"/>
            <w:tcBorders>
              <w:top w:val="single" w:color="auto" w:sz="4" w:space="0"/>
              <w:left w:val="single" w:color="auto" w:sz="8" w:space="0"/>
              <w:bottom w:val="single" w:color="auto" w:sz="8" w:space="0"/>
              <w:right w:val="single" w:color="auto" w:sz="4"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附件</w:t>
            </w:r>
          </w:p>
          <w:p>
            <w:pPr>
              <w:snapToGrid w:val="0"/>
              <w:jc w:val="center"/>
              <w:rPr>
                <w:rFonts w:eastAsia="方正仿宋_GBK"/>
                <w:color w:val="000000"/>
                <w:spacing w:val="-2"/>
                <w:szCs w:val="21"/>
              </w:rPr>
            </w:pPr>
            <w:r>
              <w:rPr>
                <w:rFonts w:hint="eastAsia" w:eastAsia="方正仿宋_GBK"/>
                <w:color w:val="000000"/>
                <w:spacing w:val="-2"/>
                <w:szCs w:val="21"/>
              </w:rPr>
              <w:t>资料</w:t>
            </w:r>
          </w:p>
        </w:tc>
        <w:tc>
          <w:tcPr>
            <w:tcW w:w="7931" w:type="dxa"/>
            <w:gridSpan w:val="7"/>
            <w:tcBorders>
              <w:top w:val="single" w:color="auto" w:sz="4" w:space="0"/>
              <w:left w:val="single" w:color="auto" w:sz="4" w:space="0"/>
              <w:bottom w:val="single" w:color="auto" w:sz="8" w:space="0"/>
              <w:right w:val="single" w:color="auto" w:sz="8" w:space="0"/>
            </w:tcBorders>
            <w:noWrap w:val="0"/>
            <w:vAlign w:val="center"/>
          </w:tcPr>
          <w:p>
            <w:pPr>
              <w:pStyle w:val="18"/>
              <w:snapToGrid w:val="0"/>
              <w:ind w:firstLine="0" w:firstLineChars="0"/>
              <w:jc w:val="left"/>
              <w:rPr>
                <w:rFonts w:eastAsia="方正仿宋_GBK"/>
                <w:color w:val="000000"/>
                <w:spacing w:val="-2"/>
                <w:szCs w:val="21"/>
              </w:rPr>
            </w:pPr>
            <w:r>
              <w:rPr>
                <w:rFonts w:eastAsia="方正仿宋_GBK"/>
                <w:color w:val="000000"/>
                <w:spacing w:val="-2"/>
                <w:szCs w:val="21"/>
              </w:rPr>
              <w:t>1</w:t>
            </w:r>
            <w:r>
              <w:rPr>
                <w:rFonts w:hint="eastAsia" w:eastAsia="方正仿宋_GBK"/>
                <w:color w:val="000000"/>
                <w:spacing w:val="-2"/>
                <w:szCs w:val="21"/>
              </w:rPr>
              <w:t>、项目建筑设计方案绿色设计专项说明；</w:t>
            </w:r>
          </w:p>
          <w:p>
            <w:pPr>
              <w:pStyle w:val="18"/>
              <w:snapToGrid w:val="0"/>
              <w:ind w:firstLine="0" w:firstLineChars="0"/>
              <w:jc w:val="left"/>
              <w:rPr>
                <w:rFonts w:eastAsia="方正仿宋_GBK"/>
                <w:color w:val="000000"/>
                <w:spacing w:val="-2"/>
                <w:szCs w:val="21"/>
              </w:rPr>
            </w:pPr>
            <w:r>
              <w:rPr>
                <w:rFonts w:eastAsia="方正仿宋_GBK"/>
                <w:color w:val="000000"/>
                <w:spacing w:val="-2"/>
                <w:szCs w:val="21"/>
              </w:rPr>
              <w:t>2</w:t>
            </w:r>
            <w:r>
              <w:rPr>
                <w:rFonts w:hint="eastAsia" w:eastAsia="方正仿宋_GBK"/>
                <w:color w:val="000000"/>
                <w:spacing w:val="-2"/>
                <w:szCs w:val="21"/>
              </w:rPr>
              <w:t>、项目场地区位图、总平面图、平面图、立面图、剖面图；</w:t>
            </w:r>
          </w:p>
          <w:p>
            <w:pPr>
              <w:pStyle w:val="18"/>
              <w:snapToGrid w:val="0"/>
              <w:ind w:firstLine="0" w:firstLineChars="0"/>
              <w:jc w:val="left"/>
              <w:rPr>
                <w:rFonts w:eastAsia="方正仿宋_GBK"/>
                <w:color w:val="000000"/>
                <w:spacing w:val="-2"/>
                <w:szCs w:val="21"/>
              </w:rPr>
            </w:pPr>
            <w:r>
              <w:rPr>
                <w:rFonts w:eastAsia="方正仿宋_GBK"/>
                <w:color w:val="000000"/>
                <w:spacing w:val="-2"/>
                <w:szCs w:val="21"/>
              </w:rPr>
              <w:t>3</w:t>
            </w:r>
            <w:r>
              <w:rPr>
                <w:rFonts w:hint="eastAsia" w:eastAsia="方正仿宋_GBK"/>
                <w:color w:val="000000"/>
                <w:spacing w:val="-2"/>
                <w:szCs w:val="21"/>
              </w:rPr>
              <w:t>、相关评价分析报告及批文。</w:t>
            </w:r>
          </w:p>
        </w:tc>
      </w:tr>
    </w:tbl>
    <w:p>
      <w:pPr>
        <w:rPr>
          <w:rFonts w:hint="eastAsia"/>
          <w:color w:val="000000"/>
          <w:spacing w:val="-2"/>
        </w:rPr>
      </w:pPr>
    </w:p>
    <w:p>
      <w:pPr>
        <w:rPr>
          <w:color w:val="000000"/>
          <w:spacing w:val="-2"/>
        </w:rPr>
      </w:pPr>
    </w:p>
    <w:p>
      <w:pPr>
        <w:rPr>
          <w:color w:val="000000"/>
          <w:spacing w:val="-2"/>
        </w:rPr>
      </w:pP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72"/>
        <w:gridCol w:w="77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755" w:type="dxa"/>
            <w:gridSpan w:val="2"/>
            <w:tcBorders>
              <w:top w:val="single" w:color="auto" w:sz="8" w:space="0"/>
              <w:left w:val="single" w:color="auto" w:sz="8" w:space="0"/>
              <w:bottom w:val="single" w:color="auto" w:sz="4" w:space="0"/>
              <w:right w:val="single" w:color="auto" w:sz="8" w:space="0"/>
            </w:tcBorders>
            <w:noWrap w:val="0"/>
            <w:vAlign w:val="center"/>
          </w:tcPr>
          <w:p>
            <w:pPr>
              <w:snapToGrid w:val="0"/>
              <w:jc w:val="center"/>
              <w:rPr>
                <w:rFonts w:eastAsia="方正仿宋_GBK"/>
                <w:color w:val="000000"/>
                <w:spacing w:val="-2"/>
                <w:szCs w:val="21"/>
              </w:rPr>
            </w:pPr>
            <w:r>
              <w:rPr>
                <w:rFonts w:hint="eastAsia" w:eastAsia="方正仿宋_GBK"/>
                <w:color w:val="000000"/>
                <w:spacing w:val="-2"/>
                <w:szCs w:val="21"/>
              </w:rPr>
              <w:t>二、绿色设计审查意见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97" w:hRule="atLeast"/>
          <w:jc w:val="center"/>
        </w:trPr>
        <w:tc>
          <w:tcPr>
            <w:tcW w:w="972" w:type="dxa"/>
            <w:tcBorders>
              <w:top w:val="single" w:color="auto" w:sz="4" w:space="0"/>
              <w:left w:val="single" w:color="auto" w:sz="8" w:space="0"/>
              <w:bottom w:val="single" w:color="auto" w:sz="4"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建设</w:t>
            </w:r>
          </w:p>
          <w:p>
            <w:pPr>
              <w:spacing w:line="360" w:lineRule="auto"/>
              <w:jc w:val="center"/>
              <w:rPr>
                <w:rFonts w:eastAsia="方正仿宋_GBK"/>
                <w:color w:val="000000"/>
                <w:spacing w:val="-2"/>
                <w:szCs w:val="21"/>
              </w:rPr>
            </w:pPr>
            <w:r>
              <w:rPr>
                <w:rFonts w:hint="eastAsia" w:eastAsia="方正仿宋_GBK"/>
                <w:color w:val="000000"/>
                <w:spacing w:val="-2"/>
                <w:szCs w:val="21"/>
              </w:rPr>
              <w:t>主管</w:t>
            </w:r>
          </w:p>
          <w:p>
            <w:pPr>
              <w:spacing w:line="360" w:lineRule="auto"/>
              <w:jc w:val="center"/>
              <w:rPr>
                <w:rFonts w:eastAsia="方正仿宋_GBK"/>
                <w:color w:val="000000"/>
                <w:spacing w:val="-2"/>
                <w:szCs w:val="21"/>
              </w:rPr>
            </w:pPr>
            <w:r>
              <w:rPr>
                <w:rFonts w:hint="eastAsia" w:eastAsia="方正仿宋_GBK"/>
                <w:color w:val="000000"/>
                <w:spacing w:val="-2"/>
                <w:szCs w:val="21"/>
              </w:rPr>
              <w:t>部门</w:t>
            </w:r>
          </w:p>
          <w:p>
            <w:pPr>
              <w:spacing w:line="360" w:lineRule="auto"/>
              <w:jc w:val="center"/>
              <w:rPr>
                <w:rFonts w:eastAsia="方正仿宋_GBK"/>
                <w:color w:val="000000"/>
                <w:spacing w:val="-2"/>
                <w:szCs w:val="21"/>
              </w:rPr>
            </w:pPr>
            <w:r>
              <w:rPr>
                <w:rFonts w:hint="eastAsia" w:eastAsia="方正仿宋_GBK"/>
                <w:color w:val="000000"/>
                <w:spacing w:val="-2"/>
                <w:szCs w:val="21"/>
              </w:rPr>
              <w:t>意见</w:t>
            </w:r>
          </w:p>
        </w:tc>
        <w:tc>
          <w:tcPr>
            <w:tcW w:w="7783" w:type="dxa"/>
            <w:tcBorders>
              <w:top w:val="single" w:color="auto" w:sz="4" w:space="0"/>
              <w:left w:val="single" w:color="auto" w:sz="4" w:space="0"/>
              <w:bottom w:val="single" w:color="auto" w:sz="4" w:space="0"/>
              <w:right w:val="single" w:color="auto" w:sz="8" w:space="0"/>
            </w:tcBorders>
            <w:noWrap w:val="0"/>
            <w:vAlign w:val="center"/>
          </w:tcPr>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ind w:firstLine="4120" w:firstLineChars="2000"/>
              <w:rPr>
                <w:rFonts w:eastAsia="方正仿宋_GBK"/>
                <w:color w:val="000000"/>
                <w:spacing w:val="-2"/>
                <w:szCs w:val="21"/>
              </w:rPr>
            </w:pPr>
            <w:r>
              <w:rPr>
                <w:rFonts w:hint="eastAsia" w:eastAsia="方正仿宋_GBK"/>
                <w:color w:val="000000"/>
                <w:spacing w:val="-2"/>
                <w:szCs w:val="21"/>
              </w:rPr>
              <w:t>（盖</w:t>
            </w:r>
            <w:r>
              <w:rPr>
                <w:rFonts w:eastAsia="方正仿宋_GBK"/>
                <w:color w:val="000000"/>
                <w:spacing w:val="-2"/>
                <w:szCs w:val="21"/>
              </w:rPr>
              <w:t xml:space="preserve">    </w:t>
            </w:r>
            <w:r>
              <w:rPr>
                <w:rFonts w:hint="eastAsia" w:eastAsia="方正仿宋_GBK"/>
                <w:color w:val="000000"/>
                <w:spacing w:val="-2"/>
                <w:szCs w:val="21"/>
              </w:rPr>
              <w:t>章）</w:t>
            </w:r>
          </w:p>
          <w:p>
            <w:pPr>
              <w:spacing w:line="360" w:lineRule="auto"/>
              <w:ind w:firstLine="4120" w:firstLineChars="2000"/>
              <w:rPr>
                <w:rFonts w:eastAsia="方正仿宋_GBK"/>
                <w:color w:val="000000"/>
                <w:spacing w:val="-2"/>
                <w:szCs w:val="21"/>
              </w:rPr>
            </w:pPr>
            <w:r>
              <w:rPr>
                <w:rFonts w:hint="eastAsia" w:eastAsia="方正仿宋_GBK"/>
                <w:color w:val="000000"/>
                <w:spacing w:val="-2"/>
                <w:szCs w:val="21"/>
              </w:rPr>
              <w:t>年</w:t>
            </w:r>
            <w:r>
              <w:rPr>
                <w:rFonts w:eastAsia="方正仿宋_GBK"/>
                <w:color w:val="000000"/>
                <w:spacing w:val="-2"/>
                <w:szCs w:val="21"/>
              </w:rPr>
              <w:t xml:space="preserve">    </w:t>
            </w:r>
            <w:r>
              <w:rPr>
                <w:rFonts w:hint="eastAsia" w:eastAsia="方正仿宋_GBK"/>
                <w:color w:val="000000"/>
                <w:spacing w:val="-2"/>
                <w:szCs w:val="21"/>
              </w:rPr>
              <w:t>月</w:t>
            </w:r>
            <w:r>
              <w:rPr>
                <w:rFonts w:eastAsia="方正仿宋_GBK"/>
                <w:color w:val="000000"/>
                <w:spacing w:val="-2"/>
                <w:szCs w:val="21"/>
              </w:rPr>
              <w:t xml:space="preserve">    </w:t>
            </w:r>
            <w:r>
              <w:rPr>
                <w:rFonts w:hint="eastAsia" w:eastAsia="方正仿宋_GBK"/>
                <w:color w:val="000000"/>
                <w:spacing w:val="-2"/>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17" w:hRule="atLeast"/>
          <w:jc w:val="center"/>
        </w:trPr>
        <w:tc>
          <w:tcPr>
            <w:tcW w:w="972" w:type="dxa"/>
            <w:tcBorders>
              <w:top w:val="single" w:color="auto" w:sz="4" w:space="0"/>
              <w:left w:val="single" w:color="auto" w:sz="8" w:space="0"/>
              <w:bottom w:val="single" w:color="auto" w:sz="8" w:space="0"/>
              <w:right w:val="single" w:color="auto" w:sz="4" w:space="0"/>
            </w:tcBorders>
            <w:noWrap w:val="0"/>
            <w:vAlign w:val="center"/>
          </w:tcPr>
          <w:p>
            <w:pPr>
              <w:spacing w:line="360" w:lineRule="auto"/>
              <w:jc w:val="center"/>
              <w:rPr>
                <w:rFonts w:eastAsia="方正仿宋_GBK"/>
                <w:color w:val="000000"/>
                <w:spacing w:val="-2"/>
                <w:szCs w:val="21"/>
              </w:rPr>
            </w:pPr>
            <w:r>
              <w:rPr>
                <w:rFonts w:hint="eastAsia" w:eastAsia="方正仿宋_GBK"/>
                <w:color w:val="000000"/>
                <w:spacing w:val="-2"/>
                <w:szCs w:val="21"/>
              </w:rPr>
              <w:t>规划</w:t>
            </w:r>
          </w:p>
          <w:p>
            <w:pPr>
              <w:spacing w:line="360" w:lineRule="auto"/>
              <w:jc w:val="center"/>
              <w:rPr>
                <w:rFonts w:eastAsia="方正仿宋_GBK"/>
                <w:color w:val="000000"/>
                <w:spacing w:val="-2"/>
                <w:szCs w:val="21"/>
              </w:rPr>
            </w:pPr>
            <w:r>
              <w:rPr>
                <w:rFonts w:hint="eastAsia" w:eastAsia="方正仿宋_GBK"/>
                <w:color w:val="000000"/>
                <w:spacing w:val="-2"/>
                <w:szCs w:val="21"/>
              </w:rPr>
              <w:t>主管</w:t>
            </w:r>
          </w:p>
          <w:p>
            <w:pPr>
              <w:spacing w:line="360" w:lineRule="auto"/>
              <w:jc w:val="center"/>
              <w:rPr>
                <w:rFonts w:eastAsia="方正仿宋_GBK"/>
                <w:color w:val="000000"/>
                <w:spacing w:val="-2"/>
                <w:szCs w:val="21"/>
              </w:rPr>
            </w:pPr>
            <w:r>
              <w:rPr>
                <w:rFonts w:hint="eastAsia" w:eastAsia="方正仿宋_GBK"/>
                <w:color w:val="000000"/>
                <w:spacing w:val="-2"/>
                <w:szCs w:val="21"/>
              </w:rPr>
              <w:t>部门</w:t>
            </w:r>
          </w:p>
          <w:p>
            <w:pPr>
              <w:spacing w:line="360" w:lineRule="auto"/>
              <w:jc w:val="center"/>
              <w:rPr>
                <w:rFonts w:eastAsia="方正仿宋_GBK"/>
                <w:color w:val="000000"/>
                <w:spacing w:val="-2"/>
                <w:szCs w:val="21"/>
              </w:rPr>
            </w:pPr>
            <w:r>
              <w:rPr>
                <w:rFonts w:hint="eastAsia" w:eastAsia="方正仿宋_GBK"/>
                <w:color w:val="000000"/>
                <w:spacing w:val="-2"/>
                <w:szCs w:val="21"/>
              </w:rPr>
              <w:t>意见</w:t>
            </w:r>
          </w:p>
        </w:tc>
        <w:tc>
          <w:tcPr>
            <w:tcW w:w="7783" w:type="dxa"/>
            <w:tcBorders>
              <w:top w:val="single" w:color="auto" w:sz="4" w:space="0"/>
              <w:left w:val="single" w:color="auto" w:sz="4" w:space="0"/>
              <w:bottom w:val="single" w:color="auto" w:sz="8" w:space="0"/>
              <w:right w:val="single" w:color="auto" w:sz="8" w:space="0"/>
            </w:tcBorders>
            <w:noWrap w:val="0"/>
            <w:vAlign w:val="center"/>
          </w:tcPr>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rPr>
                <w:rFonts w:eastAsia="方正仿宋_GBK"/>
                <w:color w:val="000000"/>
                <w:spacing w:val="-2"/>
                <w:szCs w:val="21"/>
              </w:rPr>
            </w:pPr>
          </w:p>
          <w:p>
            <w:pPr>
              <w:spacing w:line="360" w:lineRule="auto"/>
              <w:ind w:firstLine="4120" w:firstLineChars="2000"/>
              <w:rPr>
                <w:rFonts w:eastAsia="方正仿宋_GBK"/>
                <w:color w:val="000000"/>
                <w:spacing w:val="-2"/>
                <w:szCs w:val="21"/>
              </w:rPr>
            </w:pPr>
            <w:r>
              <w:rPr>
                <w:rFonts w:hint="eastAsia" w:eastAsia="方正仿宋_GBK"/>
                <w:color w:val="000000"/>
                <w:spacing w:val="-2"/>
                <w:szCs w:val="21"/>
              </w:rPr>
              <w:t>（盖</w:t>
            </w:r>
            <w:r>
              <w:rPr>
                <w:rFonts w:eastAsia="方正仿宋_GBK"/>
                <w:color w:val="000000"/>
                <w:spacing w:val="-2"/>
                <w:szCs w:val="21"/>
              </w:rPr>
              <w:t xml:space="preserve">    </w:t>
            </w:r>
            <w:r>
              <w:rPr>
                <w:rFonts w:hint="eastAsia" w:eastAsia="方正仿宋_GBK"/>
                <w:color w:val="000000"/>
                <w:spacing w:val="-2"/>
                <w:szCs w:val="21"/>
              </w:rPr>
              <w:t>章）</w:t>
            </w:r>
          </w:p>
          <w:p>
            <w:pPr>
              <w:spacing w:line="360" w:lineRule="auto"/>
              <w:ind w:firstLine="4120" w:firstLineChars="2000"/>
              <w:rPr>
                <w:rFonts w:eastAsia="方正仿宋_GBK"/>
                <w:color w:val="000000"/>
                <w:spacing w:val="-2"/>
                <w:szCs w:val="21"/>
              </w:rPr>
            </w:pPr>
            <w:r>
              <w:rPr>
                <w:rFonts w:hint="eastAsia" w:eastAsia="方正仿宋_GBK"/>
                <w:color w:val="000000"/>
                <w:spacing w:val="-2"/>
                <w:szCs w:val="21"/>
              </w:rPr>
              <w:t>年</w:t>
            </w:r>
            <w:r>
              <w:rPr>
                <w:rFonts w:eastAsia="方正仿宋_GBK"/>
                <w:color w:val="000000"/>
                <w:spacing w:val="-2"/>
                <w:szCs w:val="21"/>
              </w:rPr>
              <w:t xml:space="preserve">    </w:t>
            </w:r>
            <w:r>
              <w:rPr>
                <w:rFonts w:hint="eastAsia" w:eastAsia="方正仿宋_GBK"/>
                <w:color w:val="000000"/>
                <w:spacing w:val="-2"/>
                <w:szCs w:val="21"/>
              </w:rPr>
              <w:t>月</w:t>
            </w:r>
            <w:r>
              <w:rPr>
                <w:rFonts w:eastAsia="方正仿宋_GBK"/>
                <w:color w:val="000000"/>
                <w:spacing w:val="-2"/>
                <w:szCs w:val="21"/>
              </w:rPr>
              <w:t xml:space="preserve">    </w:t>
            </w:r>
            <w:r>
              <w:rPr>
                <w:rFonts w:hint="eastAsia" w:eastAsia="方正仿宋_GBK"/>
                <w:color w:val="000000"/>
                <w:spacing w:val="-2"/>
                <w:szCs w:val="21"/>
              </w:rPr>
              <w:t>日</w:t>
            </w:r>
          </w:p>
        </w:tc>
      </w:tr>
    </w:tbl>
    <w:p>
      <w:pPr>
        <w:spacing w:line="460" w:lineRule="exact"/>
        <w:jc w:val="center"/>
        <w:rPr>
          <w:rFonts w:ascii="Times New Roman" w:eastAsia="方正小标宋简体"/>
          <w:color w:val="000000"/>
          <w:sz w:val="36"/>
          <w:szCs w:val="36"/>
        </w:rPr>
      </w:pPr>
    </w:p>
    <w:p>
      <w:pPr>
        <w:rPr>
          <w:rFonts w:hint="eastAsia"/>
        </w:rPr>
      </w:pPr>
    </w:p>
    <w:p/>
    <w:p/>
    <w:p/>
    <w:p/>
    <w:p/>
    <w:p/>
    <w:p/>
    <w:p/>
    <w:p/>
    <w:p>
      <w:pPr>
        <w:pStyle w:val="2"/>
        <w:spacing w:before="240" w:beforeLines="100" w:after="240" w:afterLines="100" w:line="240" w:lineRule="auto"/>
        <w:jc w:val="center"/>
        <w:rPr>
          <w:rFonts w:ascii="Times New Roman" w:eastAsia="方正小标宋_GBK"/>
          <w:b w:val="0"/>
          <w:sz w:val="36"/>
          <w:szCs w:val="36"/>
        </w:rPr>
      </w:pPr>
      <w:bookmarkStart w:id="410" w:name="_Toc20726472"/>
      <w:bookmarkStart w:id="411" w:name="_Toc18315583"/>
      <w:r>
        <w:rPr>
          <w:rFonts w:hint="eastAsia" w:ascii="Times New Roman" w:eastAsia="方正小标宋_GBK"/>
          <w:b w:val="0"/>
          <w:sz w:val="36"/>
          <w:szCs w:val="36"/>
        </w:rPr>
        <w:t>省住房城乡建设厅省发展改革委省经信委省环保厅    省质监局关于在新建建筑中加快推广应用预制内外墙板预制楼梯板预制楼板的通知</w:t>
      </w:r>
      <w:bookmarkEnd w:id="410"/>
      <w:bookmarkEnd w:id="41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12" w:name="_Toc20726473"/>
      <w:bookmarkStart w:id="413" w:name="_Toc18315584"/>
      <w:r>
        <w:rPr>
          <w:rFonts w:hint="eastAsia" w:ascii="Times New Roman" w:hAnsi="Times New Roman" w:eastAsia="方正楷体_GBK"/>
          <w:b w:val="0"/>
          <w:sz w:val="24"/>
          <w:szCs w:val="24"/>
        </w:rPr>
        <w:t>苏建科〔</w:t>
      </w:r>
      <w:r>
        <w:rPr>
          <w:rFonts w:ascii="Times New Roman" w:hAnsi="Times New Roman" w:eastAsia="方正楷体_GBK"/>
          <w:b w:val="0"/>
          <w:sz w:val="24"/>
          <w:szCs w:val="24"/>
        </w:rPr>
        <w:t>2017</w:t>
      </w:r>
      <w:r>
        <w:rPr>
          <w:rFonts w:hint="eastAsia" w:ascii="Times New Roman" w:hAnsi="Times New Roman" w:eastAsia="方正楷体_GBK"/>
          <w:b w:val="0"/>
          <w:sz w:val="24"/>
          <w:szCs w:val="24"/>
        </w:rPr>
        <w:t>〕</w:t>
      </w:r>
      <w:r>
        <w:rPr>
          <w:rFonts w:ascii="Times New Roman" w:hAnsi="Times New Roman" w:eastAsia="方正楷体_GBK"/>
          <w:b w:val="0"/>
          <w:sz w:val="24"/>
          <w:szCs w:val="24"/>
        </w:rPr>
        <w:t xml:space="preserve">43 </w:t>
      </w:r>
      <w:r>
        <w:rPr>
          <w:rFonts w:hint="eastAsia" w:ascii="Times New Roman" w:hAnsi="Times New Roman" w:eastAsia="方正楷体_GBK"/>
          <w:b w:val="0"/>
          <w:sz w:val="24"/>
          <w:szCs w:val="24"/>
        </w:rPr>
        <w:t>号</w:t>
      </w:r>
      <w:bookmarkEnd w:id="412"/>
      <w:bookmarkEnd w:id="413"/>
    </w:p>
    <w:p>
      <w:pPr>
        <w:spacing w:line="460" w:lineRule="exact"/>
        <w:rPr>
          <w:rFonts w:hAnsi="Times New Roman" w:eastAsia="方正仿宋_GBK"/>
          <w:sz w:val="24"/>
        </w:rPr>
      </w:pPr>
      <w:r>
        <w:rPr>
          <w:rFonts w:hint="eastAsia" w:hAnsi="Times New Roman" w:eastAsia="方正仿宋_GBK"/>
          <w:sz w:val="24"/>
        </w:rPr>
        <w:t>各设区市建设局（委）、规划局、发改（委）局、经信委、环保局、质监局：</w:t>
      </w:r>
    </w:p>
    <w:p>
      <w:pPr>
        <w:spacing w:line="460" w:lineRule="exact"/>
        <w:ind w:firstLine="480" w:firstLineChars="200"/>
        <w:rPr>
          <w:rFonts w:eastAsia="方正仿宋_GBK"/>
          <w:sz w:val="24"/>
        </w:rPr>
      </w:pPr>
      <w:r>
        <w:rPr>
          <w:rFonts w:hint="eastAsia" w:hAnsi="Times New Roman" w:eastAsia="方正仿宋_GBK"/>
          <w:sz w:val="24"/>
        </w:rPr>
        <w:t>为贯彻落实《省政府关于加快推进建筑产业现代化促进建筑产业转型升级的意见》（苏政发〔</w:t>
      </w:r>
      <w:r>
        <w:rPr>
          <w:rFonts w:eastAsia="方正仿宋_GBK"/>
          <w:sz w:val="24"/>
        </w:rPr>
        <w:t>2014</w:t>
      </w:r>
      <w:r>
        <w:rPr>
          <w:rFonts w:hint="eastAsia" w:hAnsi="Times New Roman" w:eastAsia="方正仿宋_GBK"/>
          <w:sz w:val="24"/>
        </w:rPr>
        <w:t>〕</w:t>
      </w:r>
      <w:r>
        <w:rPr>
          <w:rFonts w:eastAsia="方正仿宋_GBK"/>
          <w:sz w:val="24"/>
        </w:rPr>
        <w:t xml:space="preserve">1 </w:t>
      </w:r>
      <w:r>
        <w:rPr>
          <w:rFonts w:hint="eastAsia" w:hAnsi="Times New Roman" w:eastAsia="方正仿宋_GBK"/>
          <w:sz w:val="24"/>
        </w:rPr>
        <w:t>号）文件精神，加快采用装配式建筑成熟技术，积极稳妥地推动全省建筑产业现代化发展，现将在全省城市（县城）范围内新建建筑中推广应用预制内外墙板、预制楼梯板、预制楼板（含预制叠合楼板，以下统称</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）的有关事项通知如下：</w:t>
      </w:r>
    </w:p>
    <w:p>
      <w:pPr>
        <w:spacing w:line="460" w:lineRule="exact"/>
        <w:ind w:firstLine="480" w:firstLineChars="200"/>
        <w:rPr>
          <w:rFonts w:eastAsia="方正仿宋_GBK"/>
          <w:sz w:val="24"/>
        </w:rPr>
      </w:pPr>
      <w:r>
        <w:rPr>
          <w:rFonts w:hint="eastAsia" w:hAnsi="Times New Roman" w:eastAsia="方正仿宋_GBK"/>
          <w:sz w:val="24"/>
        </w:rPr>
        <w:t>一、</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应用项目实施范围</w:t>
      </w:r>
    </w:p>
    <w:p>
      <w:pPr>
        <w:spacing w:line="460" w:lineRule="exact"/>
        <w:ind w:firstLine="480" w:firstLineChars="200"/>
        <w:rPr>
          <w:rFonts w:eastAsia="方正仿宋_GBK"/>
          <w:sz w:val="24"/>
        </w:rPr>
      </w:pPr>
      <w:r>
        <w:rPr>
          <w:rFonts w:eastAsia="方正仿宋_GBK"/>
          <w:sz w:val="24"/>
        </w:rPr>
        <w:t xml:space="preserve">1. </w:t>
      </w:r>
      <w:r>
        <w:rPr>
          <w:rFonts w:hint="eastAsia" w:hAnsi="Times New Roman" w:eastAsia="方正仿宋_GBK"/>
          <w:sz w:val="24"/>
        </w:rPr>
        <w:t>单体建筑面积</w:t>
      </w:r>
      <w:r>
        <w:rPr>
          <w:rFonts w:eastAsia="方正仿宋_GBK"/>
          <w:sz w:val="24"/>
        </w:rPr>
        <w:t xml:space="preserve">2 </w:t>
      </w:r>
      <w:r>
        <w:rPr>
          <w:rFonts w:hint="eastAsia" w:hAnsi="Times New Roman" w:eastAsia="方正仿宋_GBK"/>
          <w:sz w:val="24"/>
        </w:rPr>
        <w:t>万平方米以上的新建医院、宾馆、办公建筑，以及</w:t>
      </w:r>
      <w:r>
        <w:rPr>
          <w:rFonts w:eastAsia="方正仿宋_GBK"/>
          <w:sz w:val="24"/>
        </w:rPr>
        <w:t xml:space="preserve">5000 </w:t>
      </w:r>
      <w:r>
        <w:rPr>
          <w:rFonts w:hint="eastAsia" w:hAnsi="Times New Roman" w:eastAsia="方正仿宋_GBK"/>
          <w:sz w:val="24"/>
        </w:rPr>
        <w:t>平方米以上的新建学校建筑；</w:t>
      </w:r>
    </w:p>
    <w:p>
      <w:pPr>
        <w:spacing w:line="460" w:lineRule="exact"/>
        <w:ind w:firstLine="480" w:firstLineChars="200"/>
        <w:rPr>
          <w:rFonts w:eastAsia="方正仿宋_GBK"/>
          <w:sz w:val="24"/>
        </w:rPr>
      </w:pPr>
      <w:r>
        <w:rPr>
          <w:rFonts w:eastAsia="方正仿宋_GBK"/>
          <w:sz w:val="24"/>
        </w:rPr>
        <w:t xml:space="preserve">2. </w:t>
      </w:r>
      <w:r>
        <w:rPr>
          <w:rFonts w:hint="eastAsia" w:hAnsi="Times New Roman" w:eastAsia="方正仿宋_GBK"/>
          <w:sz w:val="24"/>
        </w:rPr>
        <w:t>新建商品住宅、公寓、保障性住房；</w:t>
      </w:r>
    </w:p>
    <w:p>
      <w:pPr>
        <w:spacing w:line="460" w:lineRule="exact"/>
        <w:ind w:firstLine="480" w:firstLineChars="200"/>
        <w:rPr>
          <w:rFonts w:eastAsia="方正仿宋_GBK"/>
          <w:sz w:val="24"/>
        </w:rPr>
      </w:pPr>
      <w:r>
        <w:rPr>
          <w:rFonts w:eastAsia="方正仿宋_GBK"/>
          <w:sz w:val="24"/>
        </w:rPr>
        <w:t xml:space="preserve">3. </w:t>
      </w:r>
      <w:r>
        <w:rPr>
          <w:rFonts w:hint="eastAsia" w:hAnsi="Times New Roman" w:eastAsia="方正仿宋_GBK"/>
          <w:sz w:val="24"/>
        </w:rPr>
        <w:t>单体建筑面积</w:t>
      </w:r>
      <w:r>
        <w:rPr>
          <w:rFonts w:eastAsia="方正仿宋_GBK"/>
          <w:sz w:val="24"/>
        </w:rPr>
        <w:t xml:space="preserve">1 </w:t>
      </w:r>
      <w:r>
        <w:rPr>
          <w:rFonts w:hint="eastAsia" w:hAnsi="Times New Roman" w:eastAsia="方正仿宋_GBK"/>
          <w:sz w:val="24"/>
        </w:rPr>
        <w:t>万平方米以上的标准厂房。</w:t>
      </w:r>
    </w:p>
    <w:p>
      <w:pPr>
        <w:spacing w:line="460" w:lineRule="exact"/>
        <w:ind w:firstLine="480" w:firstLineChars="200"/>
        <w:rPr>
          <w:rFonts w:eastAsia="方正仿宋_GBK"/>
          <w:sz w:val="24"/>
        </w:rPr>
      </w:pPr>
      <w:r>
        <w:rPr>
          <w:rFonts w:hint="eastAsia" w:hAnsi="Times New Roman" w:eastAsia="方正仿宋_GBK"/>
          <w:sz w:val="24"/>
        </w:rPr>
        <w:t>二、</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应用项目实施时间</w:t>
      </w:r>
    </w:p>
    <w:p>
      <w:pPr>
        <w:spacing w:line="460" w:lineRule="exact"/>
        <w:ind w:firstLine="480" w:firstLineChars="200"/>
        <w:rPr>
          <w:rFonts w:eastAsia="方正仿宋_GBK"/>
          <w:sz w:val="24"/>
        </w:rPr>
      </w:pPr>
      <w:r>
        <w:rPr>
          <w:rFonts w:hint="eastAsia" w:hAnsi="Times New Roman" w:eastAsia="方正仿宋_GBK"/>
          <w:sz w:val="24"/>
        </w:rPr>
        <w:t>省级建筑产业现代化示范城市（县、区）自</w:t>
      </w:r>
      <w:r>
        <w:rPr>
          <w:rFonts w:eastAsia="方正仿宋_GBK"/>
          <w:sz w:val="24"/>
        </w:rPr>
        <w:t xml:space="preserve">2017 </w:t>
      </w:r>
      <w:r>
        <w:rPr>
          <w:rFonts w:hint="eastAsia" w:hAnsi="Times New Roman" w:eastAsia="方正仿宋_GBK"/>
          <w:sz w:val="24"/>
        </w:rPr>
        <w:t>年</w:t>
      </w:r>
      <w:r>
        <w:rPr>
          <w:rFonts w:eastAsia="方正仿宋_GBK"/>
          <w:sz w:val="24"/>
        </w:rPr>
        <w:t xml:space="preserve">12 </w:t>
      </w:r>
      <w:r>
        <w:rPr>
          <w:rFonts w:hint="eastAsia" w:hAnsi="Times New Roman" w:eastAsia="方正仿宋_GBK"/>
          <w:sz w:val="24"/>
        </w:rPr>
        <w:t>月</w:t>
      </w:r>
      <w:r>
        <w:rPr>
          <w:rFonts w:eastAsia="方正仿宋_GBK"/>
          <w:sz w:val="24"/>
        </w:rPr>
        <w:t xml:space="preserve">1 </w:t>
      </w:r>
      <w:r>
        <w:rPr>
          <w:rFonts w:hint="eastAsia" w:hAnsi="Times New Roman" w:eastAsia="方正仿宋_GBK"/>
          <w:sz w:val="24"/>
        </w:rPr>
        <w:t>日起，其它城市（县城）自</w:t>
      </w:r>
      <w:r>
        <w:rPr>
          <w:rFonts w:eastAsia="方正仿宋_GBK"/>
          <w:sz w:val="24"/>
        </w:rPr>
        <w:t xml:space="preserve">2018 </w:t>
      </w:r>
      <w:r>
        <w:rPr>
          <w:rFonts w:hint="eastAsia" w:hAnsi="Times New Roman" w:eastAsia="方正仿宋_GBK"/>
          <w:sz w:val="24"/>
        </w:rPr>
        <w:t>年</w:t>
      </w:r>
      <w:r>
        <w:rPr>
          <w:rFonts w:eastAsia="方正仿宋_GBK"/>
          <w:sz w:val="24"/>
        </w:rPr>
        <w:t xml:space="preserve">7 </w:t>
      </w:r>
      <w:r>
        <w:rPr>
          <w:rFonts w:hint="eastAsia" w:hAnsi="Times New Roman" w:eastAsia="方正仿宋_GBK"/>
          <w:sz w:val="24"/>
        </w:rPr>
        <w:t>月</w:t>
      </w:r>
      <w:r>
        <w:rPr>
          <w:rFonts w:eastAsia="方正仿宋_GBK"/>
          <w:sz w:val="24"/>
        </w:rPr>
        <w:t xml:space="preserve">1 </w:t>
      </w:r>
      <w:r>
        <w:rPr>
          <w:rFonts w:hint="eastAsia" w:hAnsi="Times New Roman" w:eastAsia="方正仿宋_GBK"/>
          <w:sz w:val="24"/>
        </w:rPr>
        <w:t>日起，在新建项目中推广应用</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。新建项目均以施工图接审时间界定。</w:t>
      </w:r>
    </w:p>
    <w:p>
      <w:pPr>
        <w:spacing w:line="460" w:lineRule="exact"/>
        <w:ind w:firstLine="480" w:firstLineChars="200"/>
        <w:rPr>
          <w:rFonts w:eastAsia="方正仿宋_GBK"/>
          <w:sz w:val="24"/>
        </w:rPr>
      </w:pPr>
      <w:r>
        <w:rPr>
          <w:rFonts w:hint="eastAsia" w:hAnsi="Times New Roman" w:eastAsia="方正仿宋_GBK"/>
          <w:sz w:val="24"/>
        </w:rPr>
        <w:t>三、</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应用项目工程要求</w:t>
      </w:r>
    </w:p>
    <w:p>
      <w:pPr>
        <w:spacing w:line="460" w:lineRule="exact"/>
        <w:ind w:firstLine="480" w:firstLineChars="200"/>
        <w:rPr>
          <w:rFonts w:eastAsia="方正仿宋_GBK"/>
          <w:sz w:val="24"/>
        </w:rPr>
      </w:pPr>
      <w:r>
        <w:rPr>
          <w:rFonts w:eastAsia="方正仿宋_GBK"/>
          <w:sz w:val="24"/>
        </w:rPr>
        <w:t xml:space="preserve">1. </w:t>
      </w:r>
      <w:r>
        <w:rPr>
          <w:rFonts w:hint="eastAsia" w:hAnsi="Times New Roman" w:eastAsia="方正仿宋_GBK"/>
          <w:sz w:val="24"/>
        </w:rPr>
        <w:t>对于混凝土结构建筑，应采用内隔墙板、预制楼梯板、预制叠合楼板，鼓励采用预制外墙板；</w:t>
      </w:r>
    </w:p>
    <w:p>
      <w:pPr>
        <w:spacing w:line="460" w:lineRule="exact"/>
        <w:ind w:firstLine="480" w:firstLineChars="200"/>
        <w:rPr>
          <w:rFonts w:eastAsia="方正仿宋_GBK"/>
          <w:sz w:val="24"/>
        </w:rPr>
      </w:pPr>
      <w:r>
        <w:rPr>
          <w:rFonts w:eastAsia="方正仿宋_GBK"/>
          <w:sz w:val="24"/>
        </w:rPr>
        <w:t xml:space="preserve">2. </w:t>
      </w:r>
      <w:r>
        <w:rPr>
          <w:rFonts w:hint="eastAsia" w:hAnsi="Times New Roman" w:eastAsia="方正仿宋_GBK"/>
          <w:sz w:val="24"/>
        </w:rPr>
        <w:t>对于钢结构建筑，应采用内隔墙板、预制外墙板；</w:t>
      </w:r>
    </w:p>
    <w:p>
      <w:pPr>
        <w:spacing w:line="460" w:lineRule="exact"/>
        <w:ind w:firstLine="480" w:firstLineChars="200"/>
        <w:rPr>
          <w:rFonts w:eastAsia="方正仿宋_GBK"/>
          <w:sz w:val="24"/>
        </w:rPr>
      </w:pPr>
      <w:r>
        <w:rPr>
          <w:rFonts w:eastAsia="方正仿宋_GBK"/>
          <w:sz w:val="24"/>
        </w:rPr>
        <w:t xml:space="preserve">3. </w:t>
      </w:r>
      <w:r>
        <w:rPr>
          <w:rFonts w:hint="eastAsia" w:hAnsi="Times New Roman" w:eastAsia="方正仿宋_GBK"/>
          <w:sz w:val="24"/>
        </w:rPr>
        <w:t>外墙优先采用预制夹心保温墙板等自保温墙板；</w:t>
      </w:r>
    </w:p>
    <w:p>
      <w:pPr>
        <w:spacing w:line="460" w:lineRule="exact"/>
        <w:ind w:firstLine="480" w:firstLineChars="200"/>
        <w:rPr>
          <w:rFonts w:eastAsia="方正仿宋_GBK"/>
          <w:sz w:val="24"/>
        </w:rPr>
      </w:pPr>
      <w:r>
        <w:rPr>
          <w:rFonts w:eastAsia="方正仿宋_GBK"/>
          <w:sz w:val="24"/>
        </w:rPr>
        <w:t xml:space="preserve">4. </w:t>
      </w:r>
      <w:r>
        <w:rPr>
          <w:rFonts w:hint="eastAsia" w:hAnsi="Times New Roman" w:eastAsia="方正仿宋_GBK"/>
          <w:sz w:val="24"/>
        </w:rPr>
        <w:t>单体建筑中强制应用的</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总比例不得低于</w:t>
      </w:r>
      <w:r>
        <w:rPr>
          <w:rFonts w:eastAsia="方正仿宋_GBK"/>
          <w:sz w:val="24"/>
        </w:rPr>
        <w:t>60%</w:t>
      </w:r>
      <w:r>
        <w:rPr>
          <w:rFonts w:hint="eastAsia" w:hAnsi="Times New Roman" w:eastAsia="方正仿宋_GBK"/>
          <w:sz w:val="24"/>
        </w:rPr>
        <w:t>。鼓励住宅工程在满足上述要求的基础上，积极采用预制阳台、预制遮阳板、预制空调板等预制部品（构件），提高单体建筑的预制装配率。</w:t>
      </w:r>
    </w:p>
    <w:p>
      <w:pPr>
        <w:spacing w:line="460" w:lineRule="exact"/>
        <w:ind w:firstLine="480" w:firstLineChars="200"/>
        <w:rPr>
          <w:rFonts w:eastAsia="方正仿宋_GBK"/>
          <w:sz w:val="24"/>
        </w:rPr>
      </w:pPr>
      <w:r>
        <w:rPr>
          <w:rFonts w:hint="eastAsia" w:hAnsi="Times New Roman" w:eastAsia="方正仿宋_GBK"/>
          <w:sz w:val="24"/>
        </w:rPr>
        <w:t>四、</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应用项目享受以下扶持政策</w:t>
      </w:r>
    </w:p>
    <w:p>
      <w:pPr>
        <w:spacing w:line="460" w:lineRule="exact"/>
        <w:ind w:firstLine="480" w:firstLineChars="200"/>
        <w:rPr>
          <w:rFonts w:eastAsia="方正仿宋_GBK"/>
          <w:sz w:val="24"/>
        </w:rPr>
      </w:pPr>
      <w:r>
        <w:rPr>
          <w:rFonts w:eastAsia="方正仿宋_GBK"/>
          <w:sz w:val="24"/>
        </w:rPr>
        <w:t xml:space="preserve">1. </w:t>
      </w:r>
      <w:r>
        <w:rPr>
          <w:rFonts w:hint="eastAsia" w:hAnsi="Times New Roman" w:eastAsia="方正仿宋_GBK"/>
          <w:sz w:val="24"/>
        </w:rPr>
        <w:t>新建建筑外墙采用预制夹心保温墙板的，其保温层及外叶墙板的水平截面积，可不计入项目的容积率核算；</w:t>
      </w:r>
    </w:p>
    <w:p>
      <w:pPr>
        <w:spacing w:line="460" w:lineRule="exact"/>
        <w:ind w:firstLine="480" w:firstLineChars="200"/>
        <w:rPr>
          <w:rFonts w:eastAsia="方正仿宋_GBK"/>
          <w:sz w:val="24"/>
        </w:rPr>
      </w:pPr>
      <w:r>
        <w:rPr>
          <w:rFonts w:eastAsia="方正仿宋_GBK"/>
          <w:sz w:val="24"/>
        </w:rPr>
        <w:t xml:space="preserve">2. </w:t>
      </w:r>
      <w:r>
        <w:rPr>
          <w:rFonts w:hint="eastAsia" w:hAnsi="Times New Roman" w:eastAsia="方正仿宋_GBK"/>
          <w:sz w:val="24"/>
        </w:rPr>
        <w:t>新建建筑采用经认定的</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的，征收的新型墙体材料专项基金全额返还；</w:t>
      </w:r>
    </w:p>
    <w:p>
      <w:pPr>
        <w:spacing w:line="460" w:lineRule="exact"/>
        <w:ind w:firstLine="480" w:firstLineChars="200"/>
        <w:rPr>
          <w:rFonts w:eastAsia="方正仿宋_GBK"/>
          <w:sz w:val="24"/>
        </w:rPr>
      </w:pPr>
      <w:r>
        <w:rPr>
          <w:rFonts w:eastAsia="方正仿宋_GBK"/>
          <w:sz w:val="24"/>
        </w:rPr>
        <w:t xml:space="preserve">3. </w:t>
      </w:r>
      <w:r>
        <w:rPr>
          <w:rFonts w:hint="eastAsia" w:hAnsi="Times New Roman" w:eastAsia="方正仿宋_GBK"/>
          <w:sz w:val="24"/>
        </w:rPr>
        <w:t>对于</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应用项目，根据其单体建筑的预制装配率核定扬尘排污费削减系数。</w:t>
      </w:r>
    </w:p>
    <w:p>
      <w:pPr>
        <w:spacing w:line="460" w:lineRule="exact"/>
        <w:ind w:firstLine="480" w:firstLineChars="200"/>
        <w:rPr>
          <w:rFonts w:eastAsia="方正仿宋_GBK"/>
          <w:sz w:val="24"/>
        </w:rPr>
      </w:pPr>
      <w:r>
        <w:rPr>
          <w:rFonts w:hint="eastAsia" w:hAnsi="Times New Roman" w:eastAsia="方正仿宋_GBK"/>
          <w:sz w:val="24"/>
        </w:rPr>
        <w:t>五、相关工作要求</w:t>
      </w:r>
    </w:p>
    <w:p>
      <w:pPr>
        <w:spacing w:line="460" w:lineRule="exact"/>
        <w:ind w:firstLine="480" w:firstLineChars="200"/>
        <w:rPr>
          <w:rFonts w:eastAsia="方正仿宋_GBK"/>
          <w:sz w:val="24"/>
        </w:rPr>
      </w:pPr>
      <w:r>
        <w:rPr>
          <w:rFonts w:eastAsia="方正仿宋_GBK"/>
          <w:sz w:val="24"/>
        </w:rPr>
        <w:t xml:space="preserve">1. </w:t>
      </w:r>
      <w:r>
        <w:rPr>
          <w:rFonts w:hint="eastAsia" w:hAnsi="Times New Roman" w:eastAsia="方正仿宋_GBK"/>
          <w:sz w:val="24"/>
        </w:rPr>
        <w:t>各地规划建设、发改、经信、环保和质量监督行政主管部门应结合本地实际，从项目立项、规划、设计、生产、施工、验收等环节，建立健全</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应用推广制度。设计单位在设计文件中应明确</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应用比例，施工图审查机构要严格施工图设计文件审查，工程监理单位要强化监理职责，工程质量和安全监督机构要切实加强</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应用项目的质量和安全监督。</w:t>
      </w:r>
    </w:p>
    <w:p>
      <w:pPr>
        <w:spacing w:line="460" w:lineRule="exact"/>
        <w:ind w:firstLine="480" w:firstLineChars="200"/>
        <w:rPr>
          <w:rFonts w:eastAsia="方正仿宋_GBK"/>
          <w:sz w:val="24"/>
        </w:rPr>
      </w:pPr>
      <w:r>
        <w:rPr>
          <w:rFonts w:eastAsia="方正仿宋_GBK"/>
          <w:sz w:val="24"/>
        </w:rPr>
        <w:t xml:space="preserve">2. </w:t>
      </w:r>
      <w:r>
        <w:rPr>
          <w:rFonts w:hint="eastAsia" w:hAnsi="Times New Roman" w:eastAsia="方正仿宋_GBK"/>
          <w:sz w:val="24"/>
        </w:rPr>
        <w:t>各地要采取切实有效措施，制定容积率奖励等相关支持政策的实施细则，扎实开展</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推广应用工作，并将其作为推进装配式建筑发展，实现建筑产业现代化的一项重要内容。</w:t>
      </w:r>
    </w:p>
    <w:p>
      <w:pPr>
        <w:spacing w:line="460" w:lineRule="exact"/>
        <w:ind w:firstLine="480" w:firstLineChars="200"/>
        <w:rPr>
          <w:rFonts w:eastAsia="方正仿宋_GBK"/>
          <w:sz w:val="24"/>
        </w:rPr>
      </w:pPr>
      <w:r>
        <w:rPr>
          <w:rFonts w:eastAsia="方正仿宋_GBK"/>
          <w:sz w:val="24"/>
        </w:rPr>
        <w:t xml:space="preserve">3. </w:t>
      </w:r>
      <w:r>
        <w:rPr>
          <w:rFonts w:hint="eastAsia" w:hAnsi="Times New Roman" w:eastAsia="方正仿宋_GBK"/>
          <w:sz w:val="24"/>
        </w:rPr>
        <w:t>各地要强化</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推广应用工作督查。省住房城乡建设厅将定期组织有关部门加强对各地</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应用情况的督促检查，确保</w:t>
      </w:r>
      <w:r>
        <w:rPr>
          <w:rFonts w:eastAsia="方正仿宋_GBK"/>
          <w:sz w:val="24"/>
        </w:rPr>
        <w:t>“</w:t>
      </w:r>
      <w:r>
        <w:rPr>
          <w:rFonts w:hint="eastAsia" w:hAnsi="Times New Roman" w:eastAsia="方正仿宋_GBK"/>
          <w:sz w:val="24"/>
        </w:rPr>
        <w:t>三板</w:t>
      </w:r>
      <w:r>
        <w:rPr>
          <w:rFonts w:eastAsia="方正仿宋_GBK"/>
          <w:sz w:val="24"/>
        </w:rPr>
        <w:t>”</w:t>
      </w:r>
      <w:r>
        <w:rPr>
          <w:rFonts w:hint="eastAsia" w:hAnsi="Times New Roman" w:eastAsia="方正仿宋_GBK"/>
          <w:sz w:val="24"/>
        </w:rPr>
        <w:t>推广应用工作落到实处。</w:t>
      </w:r>
    </w:p>
    <w:p>
      <w:pPr>
        <w:spacing w:line="460" w:lineRule="exact"/>
        <w:jc w:val="right"/>
        <w:rPr>
          <w:rFonts w:eastAsia="方正仿宋_GBK"/>
          <w:sz w:val="24"/>
        </w:rPr>
      </w:pPr>
    </w:p>
    <w:p>
      <w:pPr>
        <w:spacing w:line="460" w:lineRule="exact"/>
        <w:jc w:val="right"/>
        <w:rPr>
          <w:rFonts w:eastAsia="方正仿宋_GBK"/>
          <w:sz w:val="24"/>
        </w:rPr>
      </w:pPr>
      <w:r>
        <w:rPr>
          <w:rFonts w:hint="eastAsia" w:hAnsi="Times New Roman" w:eastAsia="方正仿宋_GBK"/>
          <w:sz w:val="24"/>
        </w:rPr>
        <w:t>江苏省住房和城乡建设厅办公室</w:t>
      </w:r>
    </w:p>
    <w:p>
      <w:pPr>
        <w:spacing w:line="460" w:lineRule="exact"/>
        <w:rPr>
          <w:rFonts w:hAnsi="Times New Roman" w:eastAsia="方正仿宋_GBK"/>
          <w:sz w:val="24"/>
        </w:rPr>
      </w:pPr>
      <w:r>
        <w:rPr>
          <w:rFonts w:eastAsia="方正仿宋_GBK"/>
          <w:sz w:val="24"/>
        </w:rPr>
        <w:t xml:space="preserve">                                               2017 </w:t>
      </w:r>
      <w:r>
        <w:rPr>
          <w:rFonts w:hint="eastAsia" w:hAnsi="Times New Roman" w:eastAsia="方正仿宋_GBK"/>
          <w:sz w:val="24"/>
        </w:rPr>
        <w:t>年</w:t>
      </w:r>
      <w:r>
        <w:rPr>
          <w:rFonts w:eastAsia="方正仿宋_GBK"/>
          <w:sz w:val="24"/>
        </w:rPr>
        <w:t xml:space="preserve">2 </w:t>
      </w:r>
      <w:r>
        <w:rPr>
          <w:rFonts w:hint="eastAsia" w:hAnsi="Times New Roman" w:eastAsia="方正仿宋_GBK"/>
          <w:sz w:val="24"/>
        </w:rPr>
        <w:t>月</w:t>
      </w:r>
      <w:r>
        <w:rPr>
          <w:rFonts w:eastAsia="方正仿宋_GBK"/>
          <w:sz w:val="24"/>
        </w:rPr>
        <w:t xml:space="preserve">14 </w:t>
      </w:r>
      <w:r>
        <w:rPr>
          <w:rFonts w:hint="eastAsia" w:hAnsi="Times New Roman" w:eastAsia="方正仿宋_GBK"/>
          <w:sz w:val="24"/>
        </w:rPr>
        <w:t>日印发</w:t>
      </w:r>
    </w:p>
    <w:p>
      <w:pPr>
        <w:pStyle w:val="2"/>
        <w:spacing w:before="240" w:beforeLines="100" w:after="240" w:afterLines="100" w:line="240" w:lineRule="auto"/>
        <w:jc w:val="center"/>
        <w:rPr>
          <w:rFonts w:ascii="Times New Roman" w:eastAsia="方正小标宋_GBK"/>
          <w:b w:val="0"/>
          <w:sz w:val="36"/>
          <w:szCs w:val="36"/>
        </w:rPr>
      </w:pPr>
      <w:r>
        <w:rPr>
          <w:rFonts w:hAnsi="Times New Roman" w:eastAsia="方正仿宋_GBK"/>
          <w:b w:val="0"/>
          <w:sz w:val="24"/>
        </w:rPr>
        <w:br w:type="column"/>
      </w:r>
      <w:bookmarkStart w:id="414" w:name="_Toc20726725"/>
      <w:bookmarkStart w:id="415" w:name="_Toc18315861"/>
      <w:r>
        <w:rPr>
          <w:rFonts w:hint="eastAsia" w:ascii="Times New Roman" w:eastAsia="方正小标宋_GBK"/>
          <w:b w:val="0"/>
          <w:sz w:val="36"/>
          <w:szCs w:val="36"/>
        </w:rPr>
        <w:t>关于住房公积金管理若干具体问题的指导意见</w:t>
      </w:r>
      <w:bookmarkEnd w:id="414"/>
      <w:bookmarkEnd w:id="41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16" w:name="_Toc20726726"/>
      <w:bookmarkStart w:id="417" w:name="_Toc18315862"/>
      <w:r>
        <w:rPr>
          <w:rFonts w:hint="eastAsia" w:ascii="Times New Roman" w:hAnsi="Times New Roman" w:eastAsia="方正楷体_GBK"/>
          <w:b w:val="0"/>
          <w:sz w:val="24"/>
          <w:szCs w:val="24"/>
        </w:rPr>
        <w:t>苏建金管〔</w:t>
      </w:r>
      <w:r>
        <w:rPr>
          <w:rFonts w:ascii="Times New Roman" w:hAnsi="Times New Roman" w:eastAsia="方正楷体_GBK"/>
          <w:b w:val="0"/>
          <w:sz w:val="24"/>
          <w:szCs w:val="24"/>
        </w:rPr>
        <w:t>2005</w:t>
      </w:r>
      <w:r>
        <w:rPr>
          <w:rFonts w:hint="eastAsia" w:ascii="Times New Roman" w:hAnsi="Times New Roman" w:eastAsia="方正楷体_GBK"/>
          <w:b w:val="0"/>
          <w:sz w:val="24"/>
          <w:szCs w:val="24"/>
        </w:rPr>
        <w:t>〕</w:t>
      </w:r>
      <w:r>
        <w:rPr>
          <w:rFonts w:ascii="Times New Roman" w:hAnsi="Times New Roman" w:eastAsia="方正楷体_GBK"/>
          <w:b w:val="0"/>
          <w:sz w:val="24"/>
          <w:szCs w:val="24"/>
        </w:rPr>
        <w:t>298</w:t>
      </w:r>
      <w:r>
        <w:rPr>
          <w:rFonts w:hint="eastAsia" w:ascii="Times New Roman" w:hAnsi="Times New Roman" w:eastAsia="方正楷体_GBK"/>
          <w:b w:val="0"/>
          <w:sz w:val="24"/>
          <w:szCs w:val="24"/>
        </w:rPr>
        <w:t>号</w:t>
      </w:r>
      <w:bookmarkEnd w:id="416"/>
      <w:bookmarkEnd w:id="417"/>
    </w:p>
    <w:p>
      <w:pPr>
        <w:spacing w:line="460" w:lineRule="exact"/>
        <w:rPr>
          <w:rFonts w:eastAsia="方正仿宋_GBK"/>
          <w:color w:val="000000"/>
          <w:spacing w:val="-2"/>
          <w:sz w:val="24"/>
        </w:rPr>
      </w:pPr>
      <w:r>
        <w:rPr>
          <w:rFonts w:hint="eastAsia" w:eastAsia="方正仿宋_GBK"/>
          <w:color w:val="000000"/>
          <w:spacing w:val="-2"/>
          <w:sz w:val="24"/>
        </w:rPr>
        <w:t>各市住房公积金管理委员会、住房公积金管理中心、财政局，中国人民银行南京分行营业管理部、江苏省各市中心支行：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根据建设部、财政部、中国人民银行《关于住房公积金管理若干具体问题的指导意见》</w:t>
      </w:r>
      <w:r>
        <w:rPr>
          <w:rFonts w:eastAsia="方正仿宋_GBK"/>
          <w:color w:val="000000"/>
          <w:spacing w:val="-2"/>
          <w:sz w:val="24"/>
        </w:rPr>
        <w:t>(</w:t>
      </w:r>
      <w:r>
        <w:rPr>
          <w:rFonts w:hint="eastAsia" w:eastAsia="方正仿宋_GBK"/>
          <w:color w:val="000000"/>
          <w:spacing w:val="-2"/>
          <w:sz w:val="24"/>
        </w:rPr>
        <w:t>建金管〔</w:t>
      </w:r>
      <w:r>
        <w:rPr>
          <w:rFonts w:eastAsia="方正仿宋_GBK"/>
          <w:color w:val="000000"/>
          <w:spacing w:val="-2"/>
          <w:sz w:val="24"/>
        </w:rPr>
        <w:t>2005</w:t>
      </w:r>
      <w:r>
        <w:rPr>
          <w:rFonts w:hint="eastAsia" w:eastAsia="方正仿宋_GBK"/>
          <w:color w:val="000000"/>
          <w:spacing w:val="-2"/>
          <w:sz w:val="24"/>
        </w:rPr>
        <w:t>〕</w:t>
      </w:r>
      <w:r>
        <w:rPr>
          <w:rFonts w:eastAsia="方正仿宋_GBK"/>
          <w:color w:val="000000"/>
          <w:spacing w:val="-2"/>
          <w:sz w:val="24"/>
        </w:rPr>
        <w:t>5</w:t>
      </w:r>
      <w:r>
        <w:rPr>
          <w:rFonts w:hint="eastAsia" w:eastAsia="方正仿宋_GBK"/>
          <w:color w:val="000000"/>
          <w:spacing w:val="-2"/>
          <w:sz w:val="24"/>
        </w:rPr>
        <w:t>号</w:t>
      </w:r>
      <w:r>
        <w:rPr>
          <w:rFonts w:eastAsia="方正仿宋_GBK"/>
          <w:color w:val="000000"/>
          <w:spacing w:val="-2"/>
          <w:sz w:val="24"/>
        </w:rPr>
        <w:t>)</w:t>
      </w:r>
      <w:r>
        <w:rPr>
          <w:rFonts w:hint="eastAsia" w:eastAsia="方正仿宋_GBK"/>
          <w:color w:val="000000"/>
          <w:spacing w:val="-2"/>
          <w:sz w:val="24"/>
        </w:rPr>
        <w:t>，结合我省实际情况，提出以下具体办法，请遵照执行。</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一、关于住房公积金归集问题</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一</w:t>
      </w:r>
      <w:r>
        <w:rPr>
          <w:rFonts w:eastAsia="方正仿宋_GBK"/>
          <w:color w:val="000000"/>
          <w:spacing w:val="-2"/>
          <w:sz w:val="24"/>
        </w:rPr>
        <w:t>)</w:t>
      </w:r>
      <w:r>
        <w:rPr>
          <w:rFonts w:hint="eastAsia" w:eastAsia="方正仿宋_GBK"/>
          <w:color w:val="000000"/>
          <w:spacing w:val="-2"/>
          <w:sz w:val="24"/>
        </w:rPr>
        <w:t>各地要采取多种措施，加强住房公积金归集工作，提高归集率。坚持</w:t>
      </w:r>
      <w:r>
        <w:rPr>
          <w:rFonts w:eastAsia="方正仿宋_GBK"/>
          <w:color w:val="000000"/>
          <w:spacing w:val="-2"/>
          <w:sz w:val="24"/>
        </w:rPr>
        <w:t>“</w:t>
      </w:r>
      <w:r>
        <w:rPr>
          <w:rFonts w:hint="eastAsia" w:eastAsia="方正仿宋_GBK"/>
          <w:color w:val="000000"/>
          <w:spacing w:val="-2"/>
          <w:sz w:val="24"/>
        </w:rPr>
        <w:t>摸清底数、确定重点、健全网络、强化责任、加强宣传、加强执法、积极探索、不断创新</w:t>
      </w:r>
      <w:r>
        <w:rPr>
          <w:rFonts w:eastAsia="方正仿宋_GBK"/>
          <w:color w:val="000000"/>
          <w:spacing w:val="-2"/>
          <w:sz w:val="24"/>
        </w:rPr>
        <w:t>”</w:t>
      </w:r>
      <w:r>
        <w:rPr>
          <w:rFonts w:hint="eastAsia" w:eastAsia="方正仿宋_GBK"/>
          <w:color w:val="000000"/>
          <w:spacing w:val="-2"/>
          <w:sz w:val="24"/>
        </w:rPr>
        <w:t>的工作方针。积极与工商、税务、劳动保障、机构编制和社团管理等部门联系，及时掌握企事业单位和社会团体等组织的设立、登记、分立重组和解散等情况。利用各种有效手段和方法，建立工作责任制，完善奖罚机制，调动各方面的积极性，形成覆盖全省的归集网络。采取多种宣传形式，努力使住房公积金制度真正家喻户晓。要特别重视做好对企业的宣传工作。要切实依法行政，督促有关单位按时足额缴存住房公积金，对拒不建立住房公积金制度和逾期不缴住房公积金的单位，应依照国务院《住房公积金管理条例》的有关规定和国家有关法律法规进行处理、处罚，或者申请人民法院强制执行。同时，也可以通过媒体向社会公布处理和处罚情况，加大社会舆论的监督力度。</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二</w:t>
      </w:r>
      <w:r>
        <w:rPr>
          <w:rFonts w:eastAsia="方正仿宋_GBK"/>
          <w:color w:val="000000"/>
          <w:spacing w:val="-2"/>
          <w:sz w:val="24"/>
        </w:rPr>
        <w:t>)</w:t>
      </w:r>
      <w:r>
        <w:rPr>
          <w:rFonts w:hint="eastAsia" w:eastAsia="方正仿宋_GBK"/>
          <w:color w:val="000000"/>
          <w:spacing w:val="-2"/>
          <w:sz w:val="24"/>
        </w:rPr>
        <w:t>单位</w:t>
      </w:r>
      <w:r>
        <w:rPr>
          <w:rFonts w:eastAsia="方正仿宋_GBK"/>
          <w:color w:val="000000"/>
          <w:spacing w:val="-2"/>
          <w:sz w:val="24"/>
        </w:rPr>
        <w:t>(</w:t>
      </w:r>
      <w:r>
        <w:rPr>
          <w:rFonts w:hint="eastAsia" w:eastAsia="方正仿宋_GBK"/>
          <w:color w:val="000000"/>
          <w:spacing w:val="-2"/>
          <w:sz w:val="24"/>
        </w:rPr>
        <w:t>包括行政机关、事业单位、国有企业、城镇集体企业、外商投资企业、城镇私营企业及其他城镇企业、民办非企业单位、社会团体等，以下通称单位</w:t>
      </w:r>
      <w:r>
        <w:rPr>
          <w:rFonts w:eastAsia="方正仿宋_GBK"/>
          <w:color w:val="000000"/>
          <w:spacing w:val="-2"/>
          <w:sz w:val="24"/>
        </w:rPr>
        <w:t xml:space="preserve">) </w:t>
      </w:r>
      <w:r>
        <w:rPr>
          <w:rFonts w:hint="eastAsia" w:eastAsia="方正仿宋_GBK"/>
          <w:color w:val="000000"/>
          <w:spacing w:val="-2"/>
          <w:sz w:val="24"/>
        </w:rPr>
        <w:t>和在职职工</w:t>
      </w:r>
      <w:r>
        <w:rPr>
          <w:rFonts w:eastAsia="方正仿宋_GBK"/>
          <w:color w:val="000000"/>
          <w:spacing w:val="-2"/>
          <w:sz w:val="24"/>
        </w:rPr>
        <w:t>(</w:t>
      </w:r>
      <w:r>
        <w:rPr>
          <w:rFonts w:hint="eastAsia" w:eastAsia="方正仿宋_GBK"/>
          <w:color w:val="000000"/>
          <w:spacing w:val="-2"/>
          <w:sz w:val="24"/>
        </w:rPr>
        <w:t>在国家没有新的规定之前，不含外方、港澳台籍员工</w:t>
      </w:r>
      <w:r>
        <w:rPr>
          <w:rFonts w:eastAsia="方正仿宋_GBK"/>
          <w:color w:val="000000"/>
          <w:spacing w:val="-2"/>
          <w:sz w:val="24"/>
        </w:rPr>
        <w:t>)</w:t>
      </w:r>
      <w:r>
        <w:rPr>
          <w:rFonts w:hint="eastAsia" w:eastAsia="方正仿宋_GBK"/>
          <w:color w:val="000000"/>
          <w:spacing w:val="-2"/>
          <w:sz w:val="24"/>
        </w:rPr>
        <w:t>，应当按《住房公积金管理条例》规定按时、足额缴存住房公积金，不得逾期不缴或少缴。有条件的地方，办理工商登记的城镇个体工商户、自由职业者，参照法定退休年龄男未满</w:t>
      </w:r>
      <w:r>
        <w:rPr>
          <w:rFonts w:eastAsia="方正仿宋_GBK"/>
          <w:color w:val="000000"/>
          <w:spacing w:val="-2"/>
          <w:sz w:val="24"/>
        </w:rPr>
        <w:t>60</w:t>
      </w:r>
      <w:r>
        <w:rPr>
          <w:rFonts w:hint="eastAsia" w:eastAsia="方正仿宋_GBK"/>
          <w:color w:val="000000"/>
          <w:spacing w:val="-2"/>
          <w:sz w:val="24"/>
        </w:rPr>
        <w:t>周岁、女未满</w:t>
      </w:r>
      <w:r>
        <w:rPr>
          <w:rFonts w:eastAsia="方正仿宋_GBK"/>
          <w:color w:val="000000"/>
          <w:spacing w:val="-2"/>
          <w:sz w:val="24"/>
        </w:rPr>
        <w:t>55</w:t>
      </w:r>
      <w:r>
        <w:rPr>
          <w:rFonts w:hint="eastAsia" w:eastAsia="方正仿宋_GBK"/>
          <w:color w:val="000000"/>
          <w:spacing w:val="-2"/>
          <w:sz w:val="24"/>
        </w:rPr>
        <w:t>周岁的，可以申请缴存住房公积金。</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三</w:t>
      </w:r>
      <w:r>
        <w:rPr>
          <w:rFonts w:eastAsia="方正仿宋_GBK"/>
          <w:color w:val="000000"/>
          <w:spacing w:val="-2"/>
          <w:sz w:val="24"/>
        </w:rPr>
        <w:t>)</w:t>
      </w:r>
      <w:r>
        <w:rPr>
          <w:rFonts w:hint="eastAsia" w:eastAsia="方正仿宋_GBK"/>
          <w:color w:val="000000"/>
          <w:spacing w:val="-2"/>
          <w:sz w:val="24"/>
        </w:rPr>
        <w:t>在省政府没有新的政策调整之前，我省机关事业单位的职工和单位的住房公积金缴存比例，仍各为</w:t>
      </w:r>
      <w:r>
        <w:rPr>
          <w:rFonts w:eastAsia="方正仿宋_GBK"/>
          <w:color w:val="000000"/>
          <w:spacing w:val="-2"/>
          <w:sz w:val="24"/>
        </w:rPr>
        <w:t>10%</w:t>
      </w:r>
      <w:r>
        <w:rPr>
          <w:rFonts w:hint="eastAsia" w:eastAsia="方正仿宋_GBK"/>
          <w:color w:val="000000"/>
          <w:spacing w:val="-2"/>
          <w:sz w:val="24"/>
        </w:rPr>
        <w:t>，企业等其他单位仍各为</w:t>
      </w:r>
      <w:r>
        <w:rPr>
          <w:rFonts w:eastAsia="方正仿宋_GBK"/>
          <w:color w:val="000000"/>
          <w:spacing w:val="-2"/>
          <w:sz w:val="24"/>
        </w:rPr>
        <w:t>8%</w:t>
      </w:r>
      <w:r>
        <w:rPr>
          <w:rFonts w:hint="eastAsia" w:eastAsia="方正仿宋_GBK"/>
          <w:color w:val="000000"/>
          <w:spacing w:val="-2"/>
          <w:sz w:val="24"/>
        </w:rPr>
        <w:t>一</w:t>
      </w:r>
      <w:r>
        <w:rPr>
          <w:rFonts w:eastAsia="方正仿宋_GBK"/>
          <w:color w:val="000000"/>
          <w:spacing w:val="-2"/>
          <w:sz w:val="24"/>
        </w:rPr>
        <w:t>12%</w:t>
      </w:r>
      <w:r>
        <w:rPr>
          <w:rFonts w:hint="eastAsia" w:eastAsia="方正仿宋_GBK"/>
          <w:color w:val="000000"/>
          <w:spacing w:val="-2"/>
          <w:sz w:val="24"/>
        </w:rPr>
        <w:t>。提高或降低缴存比例必须经过批准，职工个人住房公积金的缴存比例应与单位为职工缴存住房公积金的比例保持一致。单位缴存住房公积金确有困难的</w:t>
      </w:r>
      <w:r>
        <w:rPr>
          <w:rFonts w:eastAsia="方正仿宋_GBK"/>
          <w:color w:val="000000"/>
          <w:spacing w:val="-2"/>
          <w:sz w:val="24"/>
        </w:rPr>
        <w:t>(</w:t>
      </w:r>
      <w:r>
        <w:rPr>
          <w:rFonts w:hint="eastAsia" w:eastAsia="方正仿宋_GBK"/>
          <w:color w:val="000000"/>
          <w:spacing w:val="-2"/>
          <w:sz w:val="24"/>
        </w:rPr>
        <w:t>如：处于停产半停产状态的、发生严重亏损的、经依法批准缓缴养老和失业保险金的、及其他确有困难的情形</w:t>
      </w:r>
      <w:r>
        <w:rPr>
          <w:rFonts w:eastAsia="方正仿宋_GBK"/>
          <w:color w:val="000000"/>
          <w:spacing w:val="-2"/>
          <w:sz w:val="24"/>
        </w:rPr>
        <w:t>)</w:t>
      </w:r>
      <w:r>
        <w:rPr>
          <w:rFonts w:hint="eastAsia" w:eastAsia="方正仿宋_GBK"/>
          <w:color w:val="000000"/>
          <w:spacing w:val="-2"/>
          <w:sz w:val="24"/>
        </w:rPr>
        <w:t>，经本单位职工代表大会或者工会通过</w:t>
      </w:r>
      <w:r>
        <w:rPr>
          <w:rFonts w:eastAsia="方正仿宋_GBK"/>
          <w:color w:val="000000"/>
          <w:spacing w:val="-2"/>
          <w:sz w:val="24"/>
        </w:rPr>
        <w:t>(</w:t>
      </w:r>
      <w:r>
        <w:rPr>
          <w:rFonts w:hint="eastAsia" w:eastAsia="方正仿宋_GBK"/>
          <w:color w:val="000000"/>
          <w:spacing w:val="-2"/>
          <w:sz w:val="24"/>
        </w:rPr>
        <w:t>没有建立职代会和工会组织的单位由所在区县级以上工会组织提出意见</w:t>
      </w:r>
      <w:r>
        <w:rPr>
          <w:rFonts w:eastAsia="方正仿宋_GBK"/>
          <w:color w:val="000000"/>
          <w:spacing w:val="-2"/>
          <w:sz w:val="24"/>
        </w:rPr>
        <w:t>)</w:t>
      </w:r>
      <w:r>
        <w:rPr>
          <w:rFonts w:hint="eastAsia" w:eastAsia="方正仿宋_GBK"/>
          <w:color w:val="000000"/>
          <w:spacing w:val="-2"/>
          <w:sz w:val="24"/>
        </w:rPr>
        <w:t>，并经设区城市住房公积金管理中心审核，报住房公积金管理委员会批准后，可以降低缴存比例或者缓缴，但职工和单位的缴存比例均不得低于</w:t>
      </w:r>
      <w:r>
        <w:rPr>
          <w:rFonts w:eastAsia="方正仿宋_GBK"/>
          <w:color w:val="000000"/>
          <w:spacing w:val="-2"/>
          <w:sz w:val="24"/>
        </w:rPr>
        <w:t>5%</w:t>
      </w:r>
      <w:r>
        <w:rPr>
          <w:rFonts w:hint="eastAsia" w:eastAsia="方正仿宋_GBK"/>
          <w:color w:val="000000"/>
          <w:spacing w:val="-2"/>
          <w:sz w:val="24"/>
        </w:rPr>
        <w:t>；待单位经济效益好转后，再恢复缴存比例或者补缴缓缴部分。单位降低缴存比例或缓缴住房公积金的期限不得超过一年；超过一年，需要继续降低缴存比例或缓缴的，应当重新办理申请手续。</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降低住房公积金缴存比例或缓缴的，单位应填报《住房公积金降低缴存比例</w:t>
      </w:r>
      <w:r>
        <w:rPr>
          <w:rFonts w:eastAsia="方正仿宋_GBK"/>
          <w:color w:val="000000"/>
          <w:spacing w:val="-2"/>
          <w:sz w:val="24"/>
        </w:rPr>
        <w:t>(</w:t>
      </w:r>
      <w:r>
        <w:rPr>
          <w:rFonts w:hint="eastAsia" w:eastAsia="方正仿宋_GBK"/>
          <w:color w:val="000000"/>
          <w:spacing w:val="-2"/>
          <w:sz w:val="24"/>
        </w:rPr>
        <w:t>缓缴</w:t>
      </w:r>
      <w:r>
        <w:rPr>
          <w:rFonts w:eastAsia="方正仿宋_GBK"/>
          <w:color w:val="000000"/>
          <w:spacing w:val="-2"/>
          <w:sz w:val="24"/>
        </w:rPr>
        <w:t>)</w:t>
      </w:r>
      <w:r>
        <w:rPr>
          <w:rFonts w:hint="eastAsia" w:eastAsia="方正仿宋_GBK"/>
          <w:color w:val="000000"/>
          <w:spacing w:val="-2"/>
          <w:sz w:val="24"/>
        </w:rPr>
        <w:t>审批表》</w:t>
      </w:r>
      <w:r>
        <w:rPr>
          <w:rFonts w:eastAsia="方正仿宋_GBK"/>
          <w:color w:val="000000"/>
          <w:spacing w:val="-2"/>
          <w:sz w:val="24"/>
        </w:rPr>
        <w:t>(</w:t>
      </w:r>
      <w:r>
        <w:rPr>
          <w:rFonts w:hint="eastAsia" w:eastAsia="方正仿宋_GBK"/>
          <w:color w:val="000000"/>
          <w:spacing w:val="-2"/>
          <w:sz w:val="24"/>
        </w:rPr>
        <w:t>表式各地自行设计</w:t>
      </w:r>
      <w:r>
        <w:rPr>
          <w:rFonts w:eastAsia="方正仿宋_GBK"/>
          <w:color w:val="000000"/>
          <w:spacing w:val="-2"/>
          <w:sz w:val="24"/>
        </w:rPr>
        <w:t>)</w:t>
      </w:r>
      <w:r>
        <w:rPr>
          <w:rFonts w:hint="eastAsia" w:eastAsia="方正仿宋_GBK"/>
          <w:color w:val="000000"/>
          <w:spacing w:val="-2"/>
          <w:sz w:val="24"/>
        </w:rPr>
        <w:t>，并提供单位申请降低住房公积金缴存比例或缓缴书面报告、职代会或工会决定</w:t>
      </w:r>
      <w:r>
        <w:rPr>
          <w:rFonts w:eastAsia="方正仿宋_GBK"/>
          <w:color w:val="000000"/>
          <w:spacing w:val="-2"/>
          <w:sz w:val="24"/>
        </w:rPr>
        <w:t>(</w:t>
      </w:r>
      <w:r>
        <w:rPr>
          <w:rFonts w:hint="eastAsia" w:eastAsia="方正仿宋_GBK"/>
          <w:color w:val="000000"/>
          <w:spacing w:val="-2"/>
          <w:sz w:val="24"/>
        </w:rPr>
        <w:t>决议</w:t>
      </w:r>
      <w:r>
        <w:rPr>
          <w:rFonts w:eastAsia="方正仿宋_GBK"/>
          <w:color w:val="000000"/>
          <w:spacing w:val="-2"/>
          <w:sz w:val="24"/>
        </w:rPr>
        <w:t>)</w:t>
      </w:r>
      <w:r>
        <w:rPr>
          <w:rFonts w:hint="eastAsia" w:eastAsia="方正仿宋_GBK"/>
          <w:color w:val="000000"/>
          <w:spacing w:val="-2"/>
          <w:sz w:val="24"/>
        </w:rPr>
        <w:t>、上年度财务报表和企业所得税年度纳税申报表等。</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四</w:t>
      </w:r>
      <w:r>
        <w:rPr>
          <w:rFonts w:eastAsia="方正仿宋_GBK"/>
          <w:color w:val="000000"/>
          <w:spacing w:val="-2"/>
          <w:sz w:val="24"/>
        </w:rPr>
        <w:t>)</w:t>
      </w:r>
      <w:r>
        <w:rPr>
          <w:rFonts w:hint="eastAsia" w:eastAsia="方正仿宋_GBK"/>
          <w:color w:val="000000"/>
          <w:spacing w:val="-2"/>
          <w:sz w:val="24"/>
        </w:rPr>
        <w:t>任何单位不得自行提高住房公积金缴存比例，凡未按照规定程序和权限批准，单位自行调高缴存比例的，从本文件发布之日起一律停止，并予以纠正，恢复原规定的比例。情况特殊且符合调整条件的，重新按规定的程．序和权限办理核准手续。</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五</w:t>
      </w:r>
      <w:r>
        <w:rPr>
          <w:rFonts w:eastAsia="方正仿宋_GBK"/>
          <w:color w:val="000000"/>
          <w:spacing w:val="-2"/>
          <w:sz w:val="24"/>
        </w:rPr>
        <w:t>)</w:t>
      </w:r>
      <w:r>
        <w:rPr>
          <w:rFonts w:hint="eastAsia" w:eastAsia="方正仿宋_GBK"/>
          <w:color w:val="000000"/>
          <w:spacing w:val="-2"/>
          <w:sz w:val="24"/>
        </w:rPr>
        <w:t>各地应按照国务院《住房公积金管理条例》的有关规定，每年及时组织进行本地区住房公积金缴存基数的调整工作。每年基数调整，由各市住房公积金管理中心会同有关部门拟定，报住房公积金管理委员会批准后实施。缴存住房公积金的月工资基数，原则上不应超过职工工作地所在设区城市统计部门公布的上一年度职工月平均工资的</w:t>
      </w:r>
      <w:r>
        <w:rPr>
          <w:rFonts w:eastAsia="方正仿宋_GBK"/>
          <w:color w:val="000000"/>
          <w:spacing w:val="-2"/>
          <w:sz w:val="24"/>
        </w:rPr>
        <w:t>2</w:t>
      </w:r>
      <w:r>
        <w:rPr>
          <w:rFonts w:hint="eastAsia" w:eastAsia="方正仿宋_GBK"/>
          <w:color w:val="000000"/>
          <w:spacing w:val="-2"/>
          <w:sz w:val="24"/>
        </w:rPr>
        <w:t>倍或</w:t>
      </w:r>
      <w:r>
        <w:rPr>
          <w:rFonts w:eastAsia="方正仿宋_GBK"/>
          <w:color w:val="000000"/>
          <w:spacing w:val="-2"/>
          <w:sz w:val="24"/>
        </w:rPr>
        <w:t>3</w:t>
      </w:r>
      <w:r>
        <w:rPr>
          <w:rFonts w:hint="eastAsia" w:eastAsia="方正仿宋_GBK"/>
          <w:color w:val="000000"/>
          <w:spacing w:val="-2"/>
          <w:sz w:val="24"/>
        </w:rPr>
        <w:t>倍，具体月工资基数在上述原则内由各市住房公积金管委会根据本地区实际情况确定。领取工资的职工，住房公积金缴存基数最低不得低于上一年度劳动和社会保障部门规定的职工月最低工资标准。职工按当地最低工资标准领取工资的，职工所在单位应按照规定比例为职工缴存住房公积金。</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六</w:t>
      </w:r>
      <w:r>
        <w:rPr>
          <w:rFonts w:eastAsia="方正仿宋_GBK"/>
          <w:color w:val="000000"/>
          <w:spacing w:val="-2"/>
          <w:sz w:val="24"/>
        </w:rPr>
        <w:t>)</w:t>
      </w:r>
      <w:r>
        <w:rPr>
          <w:rFonts w:hint="eastAsia" w:eastAsia="方正仿宋_GBK"/>
          <w:color w:val="000000"/>
          <w:spacing w:val="-2"/>
          <w:sz w:val="24"/>
        </w:rPr>
        <w:t>住房公积金的结算年度、住房公积金缴存比例以及缴存基数的调整年度，均为自每年的</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日至次年的</w:t>
      </w:r>
      <w:r>
        <w:rPr>
          <w:rFonts w:eastAsia="方正仿宋_GBK"/>
          <w:color w:val="000000"/>
          <w:spacing w:val="-2"/>
          <w:sz w:val="24"/>
        </w:rPr>
        <w:t>6</w:t>
      </w:r>
      <w:r>
        <w:rPr>
          <w:rFonts w:hint="eastAsia" w:eastAsia="方正仿宋_GBK"/>
          <w:color w:val="000000"/>
          <w:spacing w:val="-2"/>
          <w:sz w:val="24"/>
        </w:rPr>
        <w:t>月</w:t>
      </w:r>
      <w:r>
        <w:rPr>
          <w:rFonts w:eastAsia="方正仿宋_GBK"/>
          <w:color w:val="000000"/>
          <w:spacing w:val="-2"/>
          <w:sz w:val="24"/>
        </w:rPr>
        <w:t>30</w:t>
      </w:r>
      <w:r>
        <w:rPr>
          <w:rFonts w:hint="eastAsia" w:eastAsia="方正仿宋_GBK"/>
          <w:color w:val="000000"/>
          <w:spacing w:val="-2"/>
          <w:sz w:val="24"/>
        </w:rPr>
        <w:t>日止。每年的</w:t>
      </w:r>
      <w:r>
        <w:rPr>
          <w:rFonts w:eastAsia="方正仿宋_GBK"/>
          <w:color w:val="000000"/>
          <w:spacing w:val="-2"/>
          <w:sz w:val="24"/>
        </w:rPr>
        <w:t>6</w:t>
      </w:r>
      <w:r>
        <w:rPr>
          <w:rFonts w:hint="eastAsia" w:eastAsia="方正仿宋_GBK"/>
          <w:color w:val="000000"/>
          <w:spacing w:val="-2"/>
          <w:sz w:val="24"/>
        </w:rPr>
        <w:t>月</w:t>
      </w:r>
      <w:r>
        <w:rPr>
          <w:rFonts w:eastAsia="方正仿宋_GBK"/>
          <w:color w:val="000000"/>
          <w:spacing w:val="-2"/>
          <w:sz w:val="24"/>
        </w:rPr>
        <w:t>30</w:t>
      </w:r>
      <w:r>
        <w:rPr>
          <w:rFonts w:hint="eastAsia" w:eastAsia="方正仿宋_GBK"/>
          <w:color w:val="000000"/>
          <w:spacing w:val="-2"/>
          <w:sz w:val="24"/>
        </w:rPr>
        <w:t>日为结息日，住房公积金自存入职工住房公积金账户之日起按照国家规定的利率计息。</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七</w:t>
      </w:r>
      <w:r>
        <w:rPr>
          <w:rFonts w:eastAsia="方正仿宋_GBK"/>
          <w:color w:val="000000"/>
          <w:spacing w:val="-2"/>
          <w:sz w:val="24"/>
        </w:rPr>
        <w:t>)</w:t>
      </w:r>
      <w:r>
        <w:rPr>
          <w:rFonts w:hint="eastAsia" w:eastAsia="方正仿宋_GBK"/>
          <w:color w:val="000000"/>
          <w:spacing w:val="-2"/>
          <w:sz w:val="24"/>
        </w:rPr>
        <w:t>单位发生合并、分立、撤销、破产、解散或者产权发生变化等情形时，原单位应当为职工补缴以前欠缴的住房公积金。单位依法破产的，其欠缴的职工住房公积金，视同职工工资，列入破产财产的第一清偿顺序。单位解散、撤销的，其欠缴的住房公积金，视同职工工资予以优先偿还。单位合并、分立和产权发生变化时无力补缴住房公积金的，应当明确住房公积金缴存责任主体，才能办理合并、分立和改制等有关事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职工对补缴人数和补缴金额有异议的，单位无正当理由拒绝</w:t>
      </w:r>
      <w:r>
        <w:rPr>
          <w:rFonts w:eastAsia="方正仿宋_GBK"/>
          <w:color w:val="000000"/>
          <w:spacing w:val="-2"/>
          <w:sz w:val="24"/>
        </w:rPr>
        <w:t xml:space="preserve">  </w:t>
      </w:r>
      <w:r>
        <w:rPr>
          <w:rFonts w:hint="eastAsia" w:eastAsia="方正仿宋_GBK"/>
          <w:color w:val="000000"/>
          <w:spacing w:val="-2"/>
          <w:sz w:val="24"/>
        </w:rPr>
        <w:t>提供相关证据或提供证据不足的，住房公积金管理中心可以依照不低于所在市统计部门公布的上年职工平均工资计算。</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八</w:t>
      </w:r>
      <w:r>
        <w:rPr>
          <w:rFonts w:eastAsia="方正仿宋_GBK"/>
          <w:color w:val="000000"/>
          <w:spacing w:val="-2"/>
          <w:sz w:val="24"/>
        </w:rPr>
        <w:t>)</w:t>
      </w:r>
      <w:r>
        <w:rPr>
          <w:rFonts w:hint="eastAsia" w:eastAsia="方正仿宋_GBK"/>
          <w:color w:val="000000"/>
          <w:spacing w:val="-2"/>
          <w:sz w:val="24"/>
        </w:rPr>
        <w:t>住房公积金管理中心必须为缴存人设立个人住房公积金明细账，并发放住房公积金对账单或对账卡，作为个人缴存住房公积金的有效凭证。</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九</w:t>
      </w:r>
      <w:r>
        <w:rPr>
          <w:rFonts w:eastAsia="方正仿宋_GBK"/>
          <w:color w:val="000000"/>
          <w:spacing w:val="-2"/>
          <w:sz w:val="24"/>
        </w:rPr>
        <w:t>)</w:t>
      </w:r>
      <w:r>
        <w:rPr>
          <w:rFonts w:hint="eastAsia" w:eastAsia="方正仿宋_GBK"/>
          <w:color w:val="000000"/>
          <w:spacing w:val="-2"/>
          <w:sz w:val="24"/>
        </w:rPr>
        <w:t>单位缴存和代扣代缴的住房公积金，单位应在每月发薪日后</w:t>
      </w:r>
      <w:r>
        <w:rPr>
          <w:rFonts w:eastAsia="方正仿宋_GBK"/>
          <w:color w:val="000000"/>
          <w:spacing w:val="-2"/>
          <w:sz w:val="24"/>
        </w:rPr>
        <w:t>5</w:t>
      </w:r>
      <w:r>
        <w:rPr>
          <w:rFonts w:hint="eastAsia" w:eastAsia="方正仿宋_GBK"/>
          <w:color w:val="000000"/>
          <w:spacing w:val="-2"/>
          <w:sz w:val="24"/>
        </w:rPr>
        <w:t>日内汇缴到住房公积金管理中心。单位不得因改制、合并、分立等行为而中止或中断为在职职工缴存住房公积金。</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二、关于住房公积金提取问题</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一</w:t>
      </w:r>
      <w:r>
        <w:rPr>
          <w:rFonts w:eastAsia="方正仿宋_GBK"/>
          <w:color w:val="000000"/>
          <w:spacing w:val="-2"/>
          <w:sz w:val="24"/>
        </w:rPr>
        <w:t>)</w:t>
      </w:r>
      <w:r>
        <w:rPr>
          <w:rFonts w:hint="eastAsia" w:eastAsia="方正仿宋_GBK"/>
          <w:color w:val="000000"/>
          <w:spacing w:val="-2"/>
          <w:sz w:val="24"/>
        </w:rPr>
        <w:t>职工购买、建造、翻建、大修自住住房，职工本人及其配偶取得合法有效的购房合同或建造、翻修、大修批准文件，可以一次性提取住房公积金账户内的存储余额，但不得超过购买、建造、翻建、大修自住住房的费用数额。申请住房公积金贷款的，不能提取本人及共同购房人住房公积金账户中的资金用于支付购房首期款。</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二</w:t>
      </w:r>
      <w:r>
        <w:rPr>
          <w:rFonts w:eastAsia="方正仿宋_GBK"/>
          <w:color w:val="000000"/>
          <w:spacing w:val="-2"/>
          <w:sz w:val="24"/>
        </w:rPr>
        <w:t>)</w:t>
      </w:r>
      <w:r>
        <w:rPr>
          <w:rFonts w:hint="eastAsia" w:eastAsia="方正仿宋_GBK"/>
          <w:color w:val="000000"/>
          <w:spacing w:val="-2"/>
          <w:sz w:val="24"/>
        </w:rPr>
        <w:t>缴存住房公积金的职工购买、建造、翻建、大修自住住房时，提取本人住房公积金账户中存储余额不足的，可以提取对该住房拥有所有权的家庭成员</w:t>
      </w:r>
      <w:r>
        <w:rPr>
          <w:rFonts w:eastAsia="方正仿宋_GBK"/>
          <w:color w:val="000000"/>
          <w:spacing w:val="-2"/>
          <w:sz w:val="24"/>
        </w:rPr>
        <w:t>(</w:t>
      </w:r>
      <w:r>
        <w:rPr>
          <w:rFonts w:hint="eastAsia" w:eastAsia="方正仿宋_GBK"/>
          <w:color w:val="000000"/>
          <w:spacing w:val="-2"/>
          <w:sz w:val="24"/>
        </w:rPr>
        <w:t>包括配偶、父母、子女等直系亲属</w:t>
      </w:r>
      <w:r>
        <w:rPr>
          <w:rFonts w:eastAsia="方正仿宋_GBK"/>
          <w:color w:val="000000"/>
          <w:spacing w:val="-2"/>
          <w:sz w:val="24"/>
        </w:rPr>
        <w:t>)</w:t>
      </w:r>
      <w:r>
        <w:rPr>
          <w:rFonts w:hint="eastAsia" w:eastAsia="方正仿宋_GBK"/>
          <w:color w:val="000000"/>
          <w:spacing w:val="-2"/>
          <w:sz w:val="24"/>
        </w:rPr>
        <w:t>住房公积金账户中的存储余额。</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三</w:t>
      </w:r>
      <w:r>
        <w:rPr>
          <w:rFonts w:eastAsia="方正仿宋_GBK"/>
          <w:color w:val="000000"/>
          <w:spacing w:val="-2"/>
          <w:sz w:val="24"/>
        </w:rPr>
        <w:t>)</w:t>
      </w:r>
      <w:r>
        <w:rPr>
          <w:rFonts w:hint="eastAsia" w:eastAsia="方正仿宋_GBK"/>
          <w:color w:val="000000"/>
          <w:spacing w:val="-2"/>
          <w:sz w:val="24"/>
        </w:rPr>
        <w:t>使用住房贷款</w:t>
      </w:r>
      <w:r>
        <w:rPr>
          <w:rFonts w:eastAsia="方正仿宋_GBK"/>
          <w:color w:val="000000"/>
          <w:spacing w:val="-2"/>
          <w:sz w:val="24"/>
        </w:rPr>
        <w:t>(</w:t>
      </w:r>
      <w:r>
        <w:rPr>
          <w:rFonts w:hint="eastAsia" w:eastAsia="方正仿宋_GBK"/>
          <w:color w:val="000000"/>
          <w:spacing w:val="-2"/>
          <w:sz w:val="24"/>
        </w:rPr>
        <w:t>含公积金贷款、组合贷款和商业性住房贷款</w:t>
      </w:r>
      <w:r>
        <w:rPr>
          <w:rFonts w:eastAsia="方正仿宋_GBK"/>
          <w:color w:val="000000"/>
          <w:spacing w:val="-2"/>
          <w:sz w:val="24"/>
        </w:rPr>
        <w:t>)</w:t>
      </w:r>
      <w:r>
        <w:rPr>
          <w:rFonts w:hint="eastAsia" w:eastAsia="方正仿宋_GBK"/>
          <w:color w:val="000000"/>
          <w:spacing w:val="-2"/>
          <w:sz w:val="24"/>
        </w:rPr>
        <w:t>，购买具有所有权住房的借款人，本人及其配偶可以一年至少一次提取住房公积金账户内的存储余额用于偿还贷款本息</w:t>
      </w:r>
      <w:r>
        <w:rPr>
          <w:rFonts w:eastAsia="方正仿宋_GBK"/>
          <w:color w:val="000000"/>
          <w:spacing w:val="-2"/>
          <w:sz w:val="24"/>
        </w:rPr>
        <w:t>(</w:t>
      </w:r>
      <w:r>
        <w:rPr>
          <w:rFonts w:hint="eastAsia" w:eastAsia="方正仿宋_GBK"/>
          <w:color w:val="000000"/>
          <w:spacing w:val="-2"/>
          <w:sz w:val="24"/>
        </w:rPr>
        <w:t>须优先归还住房公积金贷款，如有逾期贷款，应先归还逾期部分</w:t>
      </w:r>
      <w:r>
        <w:rPr>
          <w:rFonts w:eastAsia="方正仿宋_GBK"/>
          <w:color w:val="000000"/>
          <w:spacing w:val="-2"/>
          <w:sz w:val="24"/>
        </w:rPr>
        <w:t>)</w:t>
      </w:r>
      <w:r>
        <w:rPr>
          <w:rFonts w:hint="eastAsia" w:eastAsia="方正仿宋_GBK"/>
          <w:color w:val="000000"/>
          <w:spacing w:val="-2"/>
          <w:sz w:val="24"/>
        </w:rPr>
        <w:t>，但夫妻双方累计提取总额不能超过实际发生的住房贷款支出。采用一次性还贷方式的，提取金额不得超过提取时住房公积金贷款和商业性住房贷款的贷款本金余额及利息之和。采用逐月还贷方式的，提取金额不超过提取时当月应归还的住房公积金贷款和商业性住房贷款的本息之和。提取还贷时，住房公积金账户内应保留一定金额，提取的住房公积金不得转入住房贷款账户以外的其他账户，确保住房公积金不改变用途。</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四</w:t>
      </w:r>
      <w:r>
        <w:rPr>
          <w:rFonts w:eastAsia="方正仿宋_GBK"/>
          <w:color w:val="000000"/>
          <w:spacing w:val="-2"/>
          <w:sz w:val="24"/>
        </w:rPr>
        <w:t>)</w:t>
      </w:r>
      <w:r>
        <w:rPr>
          <w:rFonts w:hint="eastAsia" w:eastAsia="方正仿宋_GBK"/>
          <w:color w:val="000000"/>
          <w:spacing w:val="-2"/>
          <w:sz w:val="24"/>
        </w:rPr>
        <w:t>与单位解除劳动关系，连续两年以上</w:t>
      </w:r>
      <w:r>
        <w:rPr>
          <w:rFonts w:eastAsia="方正仿宋_GBK"/>
          <w:color w:val="000000"/>
          <w:spacing w:val="-2"/>
          <w:sz w:val="24"/>
        </w:rPr>
        <w:t>(</w:t>
      </w:r>
      <w:r>
        <w:rPr>
          <w:rFonts w:hint="eastAsia" w:eastAsia="方正仿宋_GBK"/>
          <w:color w:val="000000"/>
          <w:spacing w:val="-2"/>
          <w:sz w:val="24"/>
        </w:rPr>
        <w:t>不含两年</w:t>
      </w:r>
      <w:r>
        <w:rPr>
          <w:rFonts w:eastAsia="方正仿宋_GBK"/>
          <w:color w:val="000000"/>
          <w:spacing w:val="-2"/>
          <w:sz w:val="24"/>
        </w:rPr>
        <w:t>)</w:t>
      </w:r>
      <w:r>
        <w:rPr>
          <w:rFonts w:hint="eastAsia" w:eastAsia="方正仿宋_GBK"/>
          <w:color w:val="000000"/>
          <w:spacing w:val="-2"/>
          <w:sz w:val="24"/>
        </w:rPr>
        <w:t>未重新就业，男性满</w:t>
      </w:r>
      <w:r>
        <w:rPr>
          <w:rFonts w:eastAsia="方正仿宋_GBK"/>
          <w:color w:val="000000"/>
          <w:spacing w:val="-2"/>
          <w:sz w:val="24"/>
        </w:rPr>
        <w:t>50</w:t>
      </w:r>
      <w:r>
        <w:rPr>
          <w:rFonts w:hint="eastAsia" w:eastAsia="方正仿宋_GBK"/>
          <w:color w:val="000000"/>
          <w:spacing w:val="-2"/>
          <w:sz w:val="24"/>
        </w:rPr>
        <w:t>周岁，女性满</w:t>
      </w:r>
      <w:r>
        <w:rPr>
          <w:rFonts w:eastAsia="方正仿宋_GBK"/>
          <w:color w:val="000000"/>
          <w:spacing w:val="-2"/>
          <w:sz w:val="24"/>
        </w:rPr>
        <w:t>40</w:t>
      </w:r>
      <w:r>
        <w:rPr>
          <w:rFonts w:hint="eastAsia" w:eastAsia="方正仿宋_GBK"/>
          <w:color w:val="000000"/>
          <w:spacing w:val="-2"/>
          <w:sz w:val="24"/>
        </w:rPr>
        <w:t>周岁的；持有残疾证</w:t>
      </w:r>
      <w:r>
        <w:rPr>
          <w:rFonts w:eastAsia="方正仿宋_GBK"/>
          <w:color w:val="000000"/>
          <w:spacing w:val="-2"/>
          <w:sz w:val="24"/>
        </w:rPr>
        <w:t>(</w:t>
      </w:r>
      <w:r>
        <w:rPr>
          <w:rFonts w:hint="eastAsia" w:eastAsia="方正仿宋_GBK"/>
          <w:color w:val="000000"/>
          <w:spacing w:val="-2"/>
          <w:sz w:val="24"/>
        </w:rPr>
        <w:t>含部分丧失劳动能力</w:t>
      </w:r>
      <w:r>
        <w:rPr>
          <w:rFonts w:eastAsia="方正仿宋_GBK"/>
          <w:color w:val="000000"/>
          <w:spacing w:val="-2"/>
          <w:sz w:val="24"/>
        </w:rPr>
        <w:t>)</w:t>
      </w:r>
      <w:r>
        <w:rPr>
          <w:rFonts w:hint="eastAsia" w:eastAsia="方正仿宋_GBK"/>
          <w:color w:val="000000"/>
          <w:spacing w:val="-2"/>
          <w:sz w:val="24"/>
        </w:rPr>
        <w:t>并与所在单位解除、终止劳动关系的，均可以提取本人住房公积金账户内的存储余额。</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五</w:t>
      </w:r>
      <w:r>
        <w:rPr>
          <w:rFonts w:eastAsia="方正仿宋_GBK"/>
          <w:color w:val="000000"/>
          <w:spacing w:val="-2"/>
          <w:sz w:val="24"/>
        </w:rPr>
        <w:t>)</w:t>
      </w:r>
      <w:r>
        <w:rPr>
          <w:rFonts w:hint="eastAsia" w:eastAsia="方正仿宋_GBK"/>
          <w:color w:val="000000"/>
          <w:spacing w:val="-2"/>
          <w:sz w:val="24"/>
        </w:rPr>
        <w:t>享受城市居民最低生活保障</w:t>
      </w:r>
      <w:r>
        <w:rPr>
          <w:rFonts w:eastAsia="方正仿宋_GBK"/>
          <w:color w:val="000000"/>
          <w:spacing w:val="-2"/>
          <w:sz w:val="24"/>
        </w:rPr>
        <w:t>(</w:t>
      </w:r>
      <w:r>
        <w:rPr>
          <w:rFonts w:hint="eastAsia" w:eastAsia="方正仿宋_GBK"/>
          <w:color w:val="000000"/>
          <w:spacing w:val="-2"/>
          <w:sz w:val="24"/>
        </w:rPr>
        <w:t>应提供合法有效的凭证</w:t>
      </w:r>
      <w:r>
        <w:rPr>
          <w:rFonts w:eastAsia="方正仿宋_GBK"/>
          <w:color w:val="000000"/>
          <w:spacing w:val="-2"/>
          <w:sz w:val="24"/>
        </w:rPr>
        <w:t>)</w:t>
      </w:r>
      <w:r>
        <w:rPr>
          <w:rFonts w:hint="eastAsia" w:eastAsia="方正仿宋_GBK"/>
          <w:color w:val="000000"/>
          <w:spacing w:val="-2"/>
          <w:sz w:val="24"/>
        </w:rPr>
        <w:t>，夫妻一方</w:t>
      </w:r>
      <w:r>
        <w:rPr>
          <w:rFonts w:eastAsia="方正仿宋_GBK"/>
          <w:color w:val="000000"/>
          <w:spacing w:val="-2"/>
          <w:sz w:val="24"/>
        </w:rPr>
        <w:t>(</w:t>
      </w:r>
      <w:r>
        <w:rPr>
          <w:rFonts w:hint="eastAsia" w:eastAsia="方正仿宋_GBK"/>
          <w:color w:val="000000"/>
          <w:spacing w:val="-2"/>
          <w:sz w:val="24"/>
        </w:rPr>
        <w:t>双方</w:t>
      </w:r>
      <w:r>
        <w:rPr>
          <w:rFonts w:eastAsia="方正仿宋_GBK"/>
          <w:color w:val="000000"/>
          <w:spacing w:val="-2"/>
          <w:sz w:val="24"/>
        </w:rPr>
        <w:t>)</w:t>
      </w:r>
      <w:r>
        <w:rPr>
          <w:rFonts w:hint="eastAsia" w:eastAsia="方正仿宋_GBK"/>
          <w:color w:val="000000"/>
          <w:spacing w:val="-2"/>
          <w:sz w:val="24"/>
        </w:rPr>
        <w:t>及其直系亲属患重病治疗或遇到其他突发事件，造成家庭生活严重困难的，可以提取本人住房公积金。具体办法由各市住房公积金管理中心制定。</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六</w:t>
      </w:r>
      <w:r>
        <w:rPr>
          <w:rFonts w:eastAsia="方正仿宋_GBK"/>
          <w:color w:val="000000"/>
          <w:spacing w:val="-2"/>
          <w:sz w:val="24"/>
        </w:rPr>
        <w:t>)</w:t>
      </w:r>
      <w:r>
        <w:rPr>
          <w:rFonts w:hint="eastAsia" w:eastAsia="方正仿宋_GBK"/>
          <w:color w:val="000000"/>
          <w:spacing w:val="-2"/>
          <w:sz w:val="24"/>
        </w:rPr>
        <w:t>被判处刑罚，并与单位终止劳动关系的；异地调动，迁入地单位未建立住房公积金制度的；非本地户籍且家在农村，与所在单位终止劳动关系回户籍所在地的，均可以提取个人住房公积金账户全部余额。</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七</w:t>
      </w:r>
      <w:r>
        <w:rPr>
          <w:rFonts w:eastAsia="方正仿宋_GBK"/>
          <w:color w:val="000000"/>
          <w:spacing w:val="-2"/>
          <w:sz w:val="24"/>
        </w:rPr>
        <w:t>)</w:t>
      </w:r>
      <w:r>
        <w:rPr>
          <w:rFonts w:hint="eastAsia" w:eastAsia="方正仿宋_GBK"/>
          <w:color w:val="000000"/>
          <w:spacing w:val="-2"/>
          <w:sz w:val="24"/>
        </w:rPr>
        <w:t>偿还个人债务、离婚共同财产分割等涉及提取住房公积金的，可以凭人民法院判决书予以提取。</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八</w:t>
      </w:r>
      <w:r>
        <w:rPr>
          <w:rFonts w:eastAsia="方正仿宋_GBK"/>
          <w:color w:val="000000"/>
          <w:spacing w:val="-2"/>
          <w:sz w:val="24"/>
        </w:rPr>
        <w:t>)</w:t>
      </w:r>
      <w:r>
        <w:rPr>
          <w:rFonts w:hint="eastAsia" w:eastAsia="方正仿宋_GBK"/>
          <w:color w:val="000000"/>
          <w:spacing w:val="-2"/>
          <w:sz w:val="24"/>
        </w:rPr>
        <w:t>职工申请提取住房公积金，是否需要经所在单位审核，由各市住房公积金管理中心根据本地区实际情况确定。</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九</w:t>
      </w:r>
      <w:r>
        <w:rPr>
          <w:rFonts w:eastAsia="方正仿宋_GBK"/>
          <w:color w:val="000000"/>
          <w:spacing w:val="-2"/>
          <w:sz w:val="24"/>
        </w:rPr>
        <w:t>)</w:t>
      </w:r>
      <w:r>
        <w:rPr>
          <w:rFonts w:hint="eastAsia" w:eastAsia="方正仿宋_GBK"/>
          <w:color w:val="000000"/>
          <w:spacing w:val="-2"/>
          <w:sz w:val="24"/>
        </w:rPr>
        <w:t>职工办理提取手续时，须出示本人身份证原件。代他人领取的，须同时出示代领人身份证原件和授权委托书。</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十</w:t>
      </w:r>
      <w:r>
        <w:rPr>
          <w:rFonts w:eastAsia="方正仿宋_GBK"/>
          <w:color w:val="000000"/>
          <w:spacing w:val="-2"/>
          <w:sz w:val="24"/>
        </w:rPr>
        <w:t>)</w:t>
      </w:r>
      <w:r>
        <w:rPr>
          <w:rFonts w:hint="eastAsia" w:eastAsia="方正仿宋_GBK"/>
          <w:color w:val="000000"/>
          <w:spacing w:val="-2"/>
          <w:sz w:val="24"/>
        </w:rPr>
        <w:t>住房公积金管理中心要采取有效措施，杜绝骗提、冒领住房公积金等现象。</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三、关于住房公积金贷款问题</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一</w:t>
      </w:r>
      <w:r>
        <w:rPr>
          <w:rFonts w:eastAsia="方正仿宋_GBK"/>
          <w:color w:val="000000"/>
          <w:spacing w:val="-2"/>
          <w:sz w:val="24"/>
        </w:rPr>
        <w:t>)</w:t>
      </w:r>
      <w:r>
        <w:rPr>
          <w:rFonts w:hint="eastAsia" w:eastAsia="方正仿宋_GBK"/>
          <w:color w:val="000000"/>
          <w:spacing w:val="-2"/>
          <w:sz w:val="24"/>
        </w:rPr>
        <w:t>单位及个人建立了住房公积金制度，在申请贷款当月之前，个人和所在单位连续、按时、足额正常缴存住房公积金</w:t>
      </w:r>
      <w:r>
        <w:rPr>
          <w:rFonts w:eastAsia="方正仿宋_GBK"/>
          <w:color w:val="000000"/>
          <w:spacing w:val="-2"/>
          <w:sz w:val="24"/>
        </w:rPr>
        <w:t>6</w:t>
      </w:r>
      <w:r>
        <w:rPr>
          <w:rFonts w:hint="eastAsia" w:eastAsia="方正仿宋_GBK"/>
          <w:color w:val="000000"/>
          <w:spacing w:val="-2"/>
          <w:sz w:val="24"/>
        </w:rPr>
        <w:t>个月以上</w:t>
      </w:r>
      <w:r>
        <w:rPr>
          <w:rFonts w:eastAsia="方正仿宋_GBK"/>
          <w:color w:val="000000"/>
          <w:spacing w:val="-2"/>
          <w:sz w:val="24"/>
        </w:rPr>
        <w:t>(</w:t>
      </w:r>
      <w:r>
        <w:rPr>
          <w:rFonts w:hint="eastAsia" w:eastAsia="方正仿宋_GBK"/>
          <w:color w:val="000000"/>
          <w:spacing w:val="-2"/>
          <w:sz w:val="24"/>
        </w:rPr>
        <w:t>含</w:t>
      </w:r>
      <w:r>
        <w:rPr>
          <w:rFonts w:eastAsia="方正仿宋_GBK"/>
          <w:color w:val="000000"/>
          <w:spacing w:val="-2"/>
          <w:sz w:val="24"/>
        </w:rPr>
        <w:t>6</w:t>
      </w:r>
      <w:r>
        <w:rPr>
          <w:rFonts w:hint="eastAsia" w:eastAsia="方正仿宋_GBK"/>
          <w:color w:val="000000"/>
          <w:spacing w:val="-2"/>
          <w:sz w:val="24"/>
        </w:rPr>
        <w:t>个月</w:t>
      </w:r>
      <w:r>
        <w:rPr>
          <w:rFonts w:eastAsia="方正仿宋_GBK"/>
          <w:color w:val="000000"/>
          <w:spacing w:val="-2"/>
          <w:sz w:val="24"/>
        </w:rPr>
        <w:t>)</w:t>
      </w:r>
      <w:r>
        <w:rPr>
          <w:rFonts w:hint="eastAsia" w:eastAsia="方正仿宋_GBK"/>
          <w:color w:val="000000"/>
          <w:spacing w:val="-2"/>
          <w:sz w:val="24"/>
        </w:rPr>
        <w:t>的职工</w:t>
      </w:r>
      <w:r>
        <w:rPr>
          <w:rFonts w:eastAsia="方正仿宋_GBK"/>
          <w:color w:val="000000"/>
          <w:spacing w:val="-2"/>
          <w:sz w:val="24"/>
        </w:rPr>
        <w:t>(</w:t>
      </w:r>
      <w:r>
        <w:rPr>
          <w:rFonts w:hint="eastAsia" w:eastAsia="方正仿宋_GBK"/>
          <w:color w:val="000000"/>
          <w:spacing w:val="-2"/>
          <w:sz w:val="24"/>
        </w:rPr>
        <w:t>以下简称借款人</w:t>
      </w:r>
      <w:r>
        <w:rPr>
          <w:rFonts w:eastAsia="方正仿宋_GBK"/>
          <w:color w:val="000000"/>
          <w:spacing w:val="-2"/>
          <w:sz w:val="24"/>
        </w:rPr>
        <w:t>)</w:t>
      </w:r>
      <w:r>
        <w:rPr>
          <w:rFonts w:hint="eastAsia" w:eastAsia="方正仿宋_GBK"/>
          <w:color w:val="000000"/>
          <w:spacing w:val="-2"/>
          <w:sz w:val="24"/>
        </w:rPr>
        <w:t>，在购买、建造、翻建或大修自住住房时，可以向住房公积金管理机构</w:t>
      </w:r>
      <w:r>
        <w:rPr>
          <w:rFonts w:eastAsia="方正仿宋_GBK"/>
          <w:color w:val="000000"/>
          <w:spacing w:val="-2"/>
          <w:sz w:val="24"/>
        </w:rPr>
        <w:t>(</w:t>
      </w:r>
      <w:r>
        <w:rPr>
          <w:rFonts w:hint="eastAsia" w:eastAsia="方正仿宋_GBK"/>
          <w:color w:val="000000"/>
          <w:spacing w:val="-2"/>
          <w:sz w:val="24"/>
        </w:rPr>
        <w:t>以下简称贷款人</w:t>
      </w:r>
      <w:r>
        <w:rPr>
          <w:rFonts w:eastAsia="方正仿宋_GBK"/>
          <w:color w:val="000000"/>
          <w:spacing w:val="-2"/>
          <w:sz w:val="24"/>
        </w:rPr>
        <w:t>)</w:t>
      </w:r>
      <w:r>
        <w:rPr>
          <w:rFonts w:hint="eastAsia" w:eastAsia="方正仿宋_GBK"/>
          <w:color w:val="000000"/>
          <w:spacing w:val="-2"/>
          <w:sz w:val="24"/>
        </w:rPr>
        <w:t>申请贷款。借款人在申请住房公积金贷款时还应具备以下条件：具有城镇常住户口或有效居留身份；有稳定的收入，信用良好，有偿还贷款本息的能力；具有购买住房的合同或协议；以自有资金支付购房的首期付款</w:t>
      </w:r>
      <w:r>
        <w:rPr>
          <w:rFonts w:eastAsia="方正仿宋_GBK"/>
          <w:color w:val="000000"/>
          <w:spacing w:val="-2"/>
          <w:sz w:val="24"/>
        </w:rPr>
        <w:t>(</w:t>
      </w:r>
      <w:r>
        <w:rPr>
          <w:rFonts w:hint="eastAsia" w:eastAsia="方正仿宋_GBK"/>
          <w:color w:val="000000"/>
          <w:spacing w:val="-2"/>
          <w:sz w:val="24"/>
        </w:rPr>
        <w:t>所购住房全部价款的</w:t>
      </w:r>
      <w:r>
        <w:rPr>
          <w:rFonts w:eastAsia="方正仿宋_GBK"/>
          <w:color w:val="000000"/>
          <w:spacing w:val="-2"/>
          <w:sz w:val="24"/>
        </w:rPr>
        <w:t>20%</w:t>
      </w:r>
      <w:r>
        <w:rPr>
          <w:rFonts w:hint="eastAsia" w:eastAsia="方正仿宋_GBK"/>
          <w:color w:val="000000"/>
          <w:spacing w:val="-2"/>
          <w:sz w:val="24"/>
        </w:rPr>
        <w:t>以上</w:t>
      </w:r>
      <w:r>
        <w:rPr>
          <w:rFonts w:eastAsia="方正仿宋_GBK"/>
          <w:color w:val="000000"/>
          <w:spacing w:val="-2"/>
          <w:sz w:val="24"/>
        </w:rPr>
        <w:t>)</w:t>
      </w:r>
      <w:r>
        <w:rPr>
          <w:rFonts w:hint="eastAsia" w:eastAsia="方正仿宋_GBK"/>
          <w:color w:val="000000"/>
          <w:spacing w:val="-2"/>
          <w:sz w:val="24"/>
        </w:rPr>
        <w:t>；有贷款人认可的资产作为抵押或质押，或有足够代偿能力的担保公司作为保证人；贷款人规定的其他条件。</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二</w:t>
      </w:r>
      <w:r>
        <w:rPr>
          <w:rFonts w:eastAsia="方正仿宋_GBK"/>
          <w:color w:val="000000"/>
          <w:spacing w:val="-2"/>
          <w:sz w:val="24"/>
        </w:rPr>
        <w:t>)</w:t>
      </w:r>
      <w:r>
        <w:rPr>
          <w:rFonts w:hint="eastAsia" w:eastAsia="方正仿宋_GBK"/>
          <w:color w:val="000000"/>
          <w:spacing w:val="-2"/>
          <w:sz w:val="24"/>
        </w:rPr>
        <w:t>严禁向非住房公积金缴存人发放住房公积金贷款。贷款人发放个人住房公积金贷款时，借款人必须提供担保。借款人到期不能偿还贷款本息的，贷款人有权依法处理其抵押物或质物，或由保证人承担偿还本息的连带责任。</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三</w:t>
      </w:r>
      <w:r>
        <w:rPr>
          <w:rFonts w:eastAsia="方正仿宋_GBK"/>
          <w:color w:val="000000"/>
          <w:spacing w:val="-2"/>
          <w:sz w:val="24"/>
        </w:rPr>
        <w:t>)</w:t>
      </w:r>
      <w:r>
        <w:rPr>
          <w:rFonts w:hint="eastAsia" w:eastAsia="方正仿宋_GBK"/>
          <w:color w:val="000000"/>
          <w:spacing w:val="-2"/>
          <w:sz w:val="24"/>
        </w:rPr>
        <w:t>住房公积金管理中心只能按照国务院《住房公积金管理条例》第五条所规定的用途向职工个人发放住房公积金贷款。其中：职工购买商品房的，在支付了首付款的前提下，只能对购买已取得合法有效的《商品房销售</w:t>
      </w:r>
      <w:r>
        <w:rPr>
          <w:rFonts w:eastAsia="方正仿宋_GBK"/>
          <w:color w:val="000000"/>
          <w:spacing w:val="-2"/>
          <w:sz w:val="24"/>
        </w:rPr>
        <w:t>(</w:t>
      </w:r>
      <w:r>
        <w:rPr>
          <w:rFonts w:hint="eastAsia" w:eastAsia="方正仿宋_GBK"/>
          <w:color w:val="000000"/>
          <w:spacing w:val="-2"/>
          <w:sz w:val="24"/>
        </w:rPr>
        <w:t>预售</w:t>
      </w:r>
      <w:r>
        <w:rPr>
          <w:rFonts w:eastAsia="方正仿宋_GBK"/>
          <w:color w:val="000000"/>
          <w:spacing w:val="-2"/>
          <w:sz w:val="24"/>
        </w:rPr>
        <w:t>)</w:t>
      </w:r>
      <w:r>
        <w:rPr>
          <w:rFonts w:hint="eastAsia" w:eastAsia="方正仿宋_GBK"/>
          <w:color w:val="000000"/>
          <w:spacing w:val="-2"/>
          <w:sz w:val="24"/>
        </w:rPr>
        <w:t>许可证》的商品房发放公积金贷款。严禁向购买办公用房、商业用房及单体车库的职工发放住房公积金贷款。</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四</w:t>
      </w:r>
      <w:r>
        <w:rPr>
          <w:rFonts w:eastAsia="方正仿宋_GBK"/>
          <w:color w:val="000000"/>
          <w:spacing w:val="-2"/>
          <w:sz w:val="24"/>
        </w:rPr>
        <w:t>)</w:t>
      </w:r>
      <w:r>
        <w:rPr>
          <w:rFonts w:hint="eastAsia" w:eastAsia="方正仿宋_GBK"/>
          <w:color w:val="000000"/>
          <w:spacing w:val="-2"/>
          <w:sz w:val="24"/>
        </w:rPr>
        <w:t>借款人和共同借款人已经办理了住房公积金贷款的，在其未还清贷款本息之前，任何一方均不能再次申请公积金贷款。</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五</w:t>
      </w:r>
      <w:r>
        <w:rPr>
          <w:rFonts w:eastAsia="方正仿宋_GBK"/>
          <w:color w:val="000000"/>
          <w:spacing w:val="-2"/>
          <w:sz w:val="24"/>
        </w:rPr>
        <w:t>)</w:t>
      </w:r>
      <w:r>
        <w:rPr>
          <w:rFonts w:hint="eastAsia" w:eastAsia="方正仿宋_GBK"/>
          <w:color w:val="000000"/>
          <w:spacing w:val="-2"/>
          <w:sz w:val="24"/>
        </w:rPr>
        <w:t>住房公积金贷款额度最多不得超过购房款总额的</w:t>
      </w:r>
      <w:r>
        <w:rPr>
          <w:rFonts w:eastAsia="方正仿宋_GBK"/>
          <w:color w:val="000000"/>
          <w:spacing w:val="-2"/>
          <w:sz w:val="24"/>
        </w:rPr>
        <w:t>70%</w:t>
      </w:r>
      <w:r>
        <w:rPr>
          <w:rFonts w:hint="eastAsia" w:eastAsia="方正仿宋_GBK"/>
          <w:color w:val="000000"/>
          <w:spacing w:val="-2"/>
          <w:sz w:val="24"/>
        </w:rPr>
        <w:t>，贷款期限最长不得超出</w:t>
      </w:r>
      <w:r>
        <w:rPr>
          <w:rFonts w:eastAsia="方正仿宋_GBK"/>
          <w:color w:val="000000"/>
          <w:spacing w:val="-2"/>
          <w:sz w:val="24"/>
        </w:rPr>
        <w:t>30</w:t>
      </w:r>
      <w:r>
        <w:rPr>
          <w:rFonts w:hint="eastAsia" w:eastAsia="方正仿宋_GBK"/>
          <w:color w:val="000000"/>
          <w:spacing w:val="-2"/>
          <w:sz w:val="24"/>
        </w:rPr>
        <w:t>年。二手、翻建、大修、自建住房的贷款。额度、年限均应低于购买商品房的额度与年限。具体额度与年限，由各市住房公积金管理中心制定，经市住房公积金管理委员会批准，并向社会公布。</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六</w:t>
      </w:r>
      <w:r>
        <w:rPr>
          <w:rFonts w:eastAsia="方正仿宋_GBK"/>
          <w:color w:val="000000"/>
          <w:spacing w:val="-2"/>
          <w:sz w:val="24"/>
        </w:rPr>
        <w:t>)</w:t>
      </w:r>
      <w:r>
        <w:rPr>
          <w:rFonts w:hint="eastAsia" w:eastAsia="方正仿宋_GBK"/>
          <w:color w:val="000000"/>
          <w:spacing w:val="-2"/>
          <w:sz w:val="24"/>
        </w:rPr>
        <w:t>借款人的借款期限加实际年龄一般不得超出法定退休年龄，月还款额一般不超过借款人或家庭收入的</w:t>
      </w:r>
      <w:r>
        <w:rPr>
          <w:rFonts w:eastAsia="方正仿宋_GBK"/>
          <w:color w:val="000000"/>
          <w:spacing w:val="-2"/>
          <w:sz w:val="24"/>
        </w:rPr>
        <w:t>50%</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七</w:t>
      </w:r>
      <w:r>
        <w:rPr>
          <w:rFonts w:eastAsia="方正仿宋_GBK"/>
          <w:color w:val="000000"/>
          <w:spacing w:val="-2"/>
          <w:sz w:val="24"/>
        </w:rPr>
        <w:t>)</w:t>
      </w:r>
      <w:r>
        <w:rPr>
          <w:rFonts w:hint="eastAsia" w:eastAsia="方正仿宋_GBK"/>
          <w:color w:val="000000"/>
          <w:spacing w:val="-2"/>
          <w:sz w:val="24"/>
        </w:rPr>
        <w:t>贷款利率按照中国人民银行公布的利率标准执行。</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八</w:t>
      </w:r>
      <w:r>
        <w:rPr>
          <w:rFonts w:eastAsia="方正仿宋_GBK"/>
          <w:color w:val="000000"/>
          <w:spacing w:val="-2"/>
          <w:sz w:val="24"/>
        </w:rPr>
        <w:t>)</w:t>
      </w:r>
      <w:r>
        <w:rPr>
          <w:rFonts w:hint="eastAsia" w:eastAsia="方正仿宋_GBK"/>
          <w:color w:val="000000"/>
          <w:spacing w:val="-2"/>
          <w:sz w:val="24"/>
        </w:rPr>
        <w:t>各地住房公积金贷款余额原则上不应超过住房公积金缴存余额的</w:t>
      </w:r>
      <w:r>
        <w:rPr>
          <w:rFonts w:eastAsia="方正仿宋_GBK"/>
          <w:color w:val="000000"/>
          <w:spacing w:val="-2"/>
          <w:sz w:val="24"/>
        </w:rPr>
        <w:t>80%</w:t>
      </w:r>
      <w:r>
        <w:rPr>
          <w:rFonts w:hint="eastAsia" w:eastAsia="方正仿宋_GBK"/>
          <w:color w:val="000000"/>
          <w:spacing w:val="-2"/>
          <w:sz w:val="24"/>
        </w:rPr>
        <w:t>。达到或超过</w:t>
      </w:r>
      <w:r>
        <w:rPr>
          <w:rFonts w:eastAsia="方正仿宋_GBK"/>
          <w:color w:val="000000"/>
          <w:spacing w:val="-2"/>
          <w:sz w:val="24"/>
        </w:rPr>
        <w:t>80%</w:t>
      </w:r>
      <w:r>
        <w:rPr>
          <w:rFonts w:hint="eastAsia" w:eastAsia="方正仿宋_GBK"/>
          <w:color w:val="000000"/>
          <w:spacing w:val="-2"/>
          <w:sz w:val="24"/>
        </w:rPr>
        <w:t>的，要及时调整有关贷款政策。</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九</w:t>
      </w:r>
      <w:r>
        <w:rPr>
          <w:rFonts w:eastAsia="方正仿宋_GBK"/>
          <w:color w:val="000000"/>
          <w:spacing w:val="-2"/>
          <w:sz w:val="24"/>
        </w:rPr>
        <w:t>)</w:t>
      </w:r>
      <w:r>
        <w:rPr>
          <w:rFonts w:hint="eastAsia" w:eastAsia="方正仿宋_GBK"/>
          <w:color w:val="000000"/>
          <w:spacing w:val="-2"/>
          <w:sz w:val="24"/>
        </w:rPr>
        <w:t>借款人可以提前偿还部分或者全部贷款本息。提前偿还贷款的，不得收取违约金，但按照借款合同已计收的贷款利息不作调整也不退还。</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十</w:t>
      </w:r>
      <w:r>
        <w:rPr>
          <w:rFonts w:eastAsia="方正仿宋_GBK"/>
          <w:color w:val="000000"/>
          <w:spacing w:val="-2"/>
          <w:sz w:val="24"/>
        </w:rPr>
        <w:t>)</w:t>
      </w:r>
      <w:r>
        <w:rPr>
          <w:rFonts w:hint="eastAsia" w:eastAsia="方正仿宋_GBK"/>
          <w:color w:val="000000"/>
          <w:spacing w:val="-2"/>
          <w:sz w:val="24"/>
        </w:rPr>
        <w:t>住房公积金管理中心必须建立审贷分离、分级审批的贷款管理制度，建立和健全贷款工作岗位责任制，完善贷款档案管理制度，改进业务信息系统，保证贷款档案的连续和完整。要建立健全贷后跟踪管理制度和体系，加强贷后还款的适时综合分析，建立贷后预警、提示、催还等机制，及时防范和化解贷款风险。</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四、关于住房公积金委托商业银行承办的几个具体问题</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一</w:t>
      </w:r>
      <w:r>
        <w:rPr>
          <w:rFonts w:eastAsia="方正仿宋_GBK"/>
          <w:color w:val="000000"/>
          <w:spacing w:val="-2"/>
          <w:sz w:val="24"/>
        </w:rPr>
        <w:t>)</w:t>
      </w:r>
      <w:r>
        <w:rPr>
          <w:rFonts w:hint="eastAsia" w:eastAsia="方正仿宋_GBK"/>
          <w:color w:val="000000"/>
          <w:spacing w:val="-2"/>
          <w:sz w:val="24"/>
        </w:rPr>
        <w:t>商业银行承办住房公积金贷款、结算等金融业务和住房公积金账户的设立、缴存、归还等手续，应向住房公积金管理中心提出申请，经住房公积金管理中心审查后，报住房公积金管理委员会批准。</w:t>
      </w:r>
      <w:r>
        <w:rPr>
          <w:rFonts w:eastAsia="方正仿宋_GBK"/>
          <w:color w:val="000000"/>
          <w:spacing w:val="-2"/>
          <w:sz w:val="24"/>
        </w:rPr>
        <w:t>   </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二</w:t>
      </w:r>
      <w:r>
        <w:rPr>
          <w:rFonts w:eastAsia="方正仿宋_GBK"/>
          <w:color w:val="000000"/>
          <w:spacing w:val="-2"/>
          <w:sz w:val="24"/>
        </w:rPr>
        <w:t>)</w:t>
      </w:r>
      <w:r>
        <w:rPr>
          <w:rFonts w:hint="eastAsia" w:eastAsia="方正仿宋_GBK"/>
          <w:color w:val="000000"/>
          <w:spacing w:val="-2"/>
          <w:sz w:val="24"/>
        </w:rPr>
        <w:t>住房公积金管理中心应制定对承办银行的考核办法和标准，根据受托银行办理委托业务的情况，定期进行绩效评价，建立能进能出的竞争机制。受托银行在办理委托业务有重大失误及管理混乱的，住房公积金管理中心应及时暂停委托业务，并向受委托银行提出限期整改的要求。在规定的期限内未整改或整改未达到要求的，住房公积金管理中心应上报住房公积金管理委员会批准，取消其办理公积金委托业务的资格。</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三</w:t>
      </w:r>
      <w:r>
        <w:rPr>
          <w:rFonts w:eastAsia="方正仿宋_GBK"/>
          <w:color w:val="000000"/>
          <w:spacing w:val="-2"/>
          <w:sz w:val="24"/>
        </w:rPr>
        <w:t>)</w:t>
      </w:r>
      <w:r>
        <w:rPr>
          <w:rFonts w:hint="eastAsia" w:eastAsia="方正仿宋_GBK"/>
          <w:color w:val="000000"/>
          <w:spacing w:val="-2"/>
          <w:sz w:val="24"/>
        </w:rPr>
        <w:t>承办银行的范围界定，归集业务原则上限定在工、农、中、建、交等国有商业银行，贷款业务可以扩大到条件成熟的全国性股份制商业银行和省辖市所在地城市商业银行。贷款业务承办银行数量不宜扩大过快，经济发达的城市一般应控制在十家以内，其他城市一般应控制在四至六家以内。具体承办银行范围由各市住房公积金管委会根据本地区业务发展情况，按照有关规定确定。</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五、关于住房公积金财务核算问题</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一</w:t>
      </w:r>
      <w:r>
        <w:rPr>
          <w:rFonts w:eastAsia="方正仿宋_GBK"/>
          <w:color w:val="000000"/>
          <w:spacing w:val="-2"/>
          <w:sz w:val="24"/>
        </w:rPr>
        <w:t>)</w:t>
      </w:r>
      <w:r>
        <w:rPr>
          <w:rFonts w:hint="eastAsia" w:eastAsia="方正仿宋_GBK"/>
          <w:color w:val="000000"/>
          <w:spacing w:val="-2"/>
          <w:sz w:val="24"/>
        </w:rPr>
        <w:t>为加强风险控制与防范，保证住房公积金管理中心具备一定的抗风险能力，各地要建立规范的提取住房公积金贷款风险准备金制度，严格按照有关规定按时、足额提取贷款风险准备金。</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二</w:t>
      </w:r>
      <w:r>
        <w:rPr>
          <w:rFonts w:eastAsia="方正仿宋_GBK"/>
          <w:color w:val="000000"/>
          <w:spacing w:val="-2"/>
          <w:sz w:val="24"/>
        </w:rPr>
        <w:t>)</w:t>
      </w:r>
      <w:r>
        <w:rPr>
          <w:rFonts w:hint="eastAsia" w:eastAsia="方正仿宋_GBK"/>
          <w:color w:val="000000"/>
          <w:spacing w:val="-2"/>
          <w:sz w:val="24"/>
        </w:rPr>
        <w:t>住房公积金呆账贷款的核销应遵循审慎原则。各市住房公积金管理中心要会同当地财政部门对</w:t>
      </w:r>
      <w:r>
        <w:rPr>
          <w:rFonts w:eastAsia="方正仿宋_GBK"/>
          <w:color w:val="000000"/>
          <w:spacing w:val="-2"/>
          <w:sz w:val="24"/>
        </w:rPr>
        <w:t>2002</w:t>
      </w:r>
      <w:r>
        <w:rPr>
          <w:rFonts w:hint="eastAsia" w:eastAsia="方正仿宋_GBK"/>
          <w:color w:val="000000"/>
          <w:spacing w:val="-2"/>
          <w:sz w:val="24"/>
        </w:rPr>
        <w:t>年机构调整前的逾期个人住房贷款，进行认真的清理核实，为按照财政部的有关规定进行核销工作做好充分的准备。</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三</w:t>
      </w:r>
      <w:r>
        <w:rPr>
          <w:rFonts w:eastAsia="方正仿宋_GBK"/>
          <w:color w:val="000000"/>
          <w:spacing w:val="-2"/>
          <w:sz w:val="24"/>
        </w:rPr>
        <w:t>)</w:t>
      </w:r>
      <w:r>
        <w:rPr>
          <w:rFonts w:hint="eastAsia" w:eastAsia="方正仿宋_GBK"/>
          <w:color w:val="000000"/>
          <w:spacing w:val="-2"/>
          <w:sz w:val="24"/>
        </w:rPr>
        <w:t>住房公积金管理中心在受委托银行专户内的住房公积金沉淀资金，按照单位存款相应期限可以存为定期存款、活期存款、通知存款、协定存款及经中国人民银行批准的其他存款。受委托银行应从技术上解决在同一专户内按不同的期限分段计息的问题，确保住房公积金沉淀资金一律在专户内存储。</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四</w:t>
      </w:r>
      <w:r>
        <w:rPr>
          <w:rFonts w:eastAsia="方正仿宋_GBK"/>
          <w:color w:val="000000"/>
          <w:spacing w:val="-2"/>
          <w:sz w:val="24"/>
        </w:rPr>
        <w:t>)</w:t>
      </w:r>
      <w:r>
        <w:rPr>
          <w:rFonts w:hint="eastAsia" w:eastAsia="方正仿宋_GBK"/>
          <w:color w:val="000000"/>
          <w:spacing w:val="-2"/>
          <w:sz w:val="24"/>
        </w:rPr>
        <w:t>住房公积金存款、增值收益存款必须分别专户存储，不得进行合并。</w:t>
      </w:r>
      <w:r>
        <w:rPr>
          <w:rFonts w:eastAsia="方正仿宋_GBK"/>
          <w:color w:val="000000"/>
          <w:spacing w:val="-2"/>
          <w:sz w:val="24"/>
        </w:rPr>
        <w:t>  </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五</w:t>
      </w:r>
      <w:r>
        <w:rPr>
          <w:rFonts w:eastAsia="方正仿宋_GBK"/>
          <w:color w:val="000000"/>
          <w:spacing w:val="-2"/>
          <w:sz w:val="24"/>
        </w:rPr>
        <w:t>)</w:t>
      </w:r>
      <w:r>
        <w:rPr>
          <w:rFonts w:hint="eastAsia" w:eastAsia="方正仿宋_GBK"/>
          <w:color w:val="000000"/>
          <w:spacing w:val="-2"/>
          <w:sz w:val="24"/>
        </w:rPr>
        <w:t>在</w:t>
      </w:r>
      <w:r>
        <w:rPr>
          <w:rFonts w:eastAsia="方正仿宋_GBK"/>
          <w:color w:val="000000"/>
          <w:spacing w:val="-2"/>
          <w:sz w:val="24"/>
        </w:rPr>
        <w:t>“</w:t>
      </w:r>
      <w:r>
        <w:rPr>
          <w:rFonts w:hint="eastAsia" w:eastAsia="方正仿宋_GBK"/>
          <w:color w:val="000000"/>
          <w:spacing w:val="-2"/>
          <w:sz w:val="24"/>
        </w:rPr>
        <w:t>业务支出</w:t>
      </w:r>
      <w:r>
        <w:rPr>
          <w:rFonts w:eastAsia="方正仿宋_GBK"/>
          <w:color w:val="000000"/>
          <w:spacing w:val="-2"/>
          <w:sz w:val="24"/>
        </w:rPr>
        <w:t>”</w:t>
      </w:r>
      <w:r>
        <w:rPr>
          <w:rFonts w:hint="eastAsia" w:eastAsia="方正仿宋_GBK"/>
          <w:color w:val="000000"/>
          <w:spacing w:val="-2"/>
          <w:sz w:val="24"/>
        </w:rPr>
        <w:t>的二级明细科目中增加</w:t>
      </w:r>
      <w:r>
        <w:rPr>
          <w:rFonts w:eastAsia="方正仿宋_GBK"/>
          <w:color w:val="000000"/>
          <w:spacing w:val="-2"/>
          <w:sz w:val="24"/>
        </w:rPr>
        <w:t>“</w:t>
      </w:r>
      <w:r>
        <w:rPr>
          <w:rFonts w:hint="eastAsia" w:eastAsia="方正仿宋_GBK"/>
          <w:color w:val="000000"/>
          <w:spacing w:val="-2"/>
          <w:sz w:val="24"/>
        </w:rPr>
        <w:t>网络运行费支出</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宣传费支出</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票据印刷费支出</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设备更新维护费支出，和</w:t>
      </w:r>
      <w:r>
        <w:rPr>
          <w:rFonts w:eastAsia="方正仿宋_GBK"/>
          <w:color w:val="000000"/>
          <w:spacing w:val="-2"/>
          <w:sz w:val="24"/>
        </w:rPr>
        <w:t>“</w:t>
      </w:r>
      <w:r>
        <w:rPr>
          <w:rFonts w:hint="eastAsia" w:eastAsia="方正仿宋_GBK"/>
          <w:color w:val="000000"/>
          <w:spacing w:val="-2"/>
          <w:sz w:val="24"/>
        </w:rPr>
        <w:t>诉讼费支出</w:t>
      </w:r>
      <w:r>
        <w:rPr>
          <w:rFonts w:eastAsia="方正仿宋_GBK"/>
          <w:color w:val="000000"/>
          <w:spacing w:val="-2"/>
          <w:sz w:val="24"/>
        </w:rPr>
        <w:t>”</w:t>
      </w:r>
      <w:r>
        <w:rPr>
          <w:rFonts w:hint="eastAsia" w:eastAsia="方正仿宋_GBK"/>
          <w:color w:val="000000"/>
          <w:spacing w:val="-2"/>
          <w:sz w:val="24"/>
        </w:rPr>
        <w:t>等科目，详细准确地反映住房公积金业务支出信息。</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六、关于住房公积金资金安全保障问题</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一</w:t>
      </w:r>
      <w:r>
        <w:rPr>
          <w:rFonts w:eastAsia="方正仿宋_GBK"/>
          <w:color w:val="000000"/>
          <w:spacing w:val="-2"/>
          <w:sz w:val="24"/>
        </w:rPr>
        <w:t>)</w:t>
      </w:r>
      <w:r>
        <w:rPr>
          <w:rFonts w:hint="eastAsia" w:eastAsia="方正仿宋_GBK"/>
          <w:color w:val="000000"/>
          <w:spacing w:val="-2"/>
          <w:sz w:val="24"/>
        </w:rPr>
        <w:t>各地要严格按照《关于规范住房公积金国债业务有关问题的通知》</w:t>
      </w:r>
      <w:r>
        <w:rPr>
          <w:rFonts w:eastAsia="方正仿宋_GBK"/>
          <w:color w:val="000000"/>
          <w:spacing w:val="-2"/>
          <w:sz w:val="24"/>
        </w:rPr>
        <w:t>(</w:t>
      </w:r>
      <w:r>
        <w:rPr>
          <w:rFonts w:hint="eastAsia" w:eastAsia="方正仿宋_GBK"/>
          <w:color w:val="000000"/>
          <w:spacing w:val="-2"/>
          <w:sz w:val="24"/>
        </w:rPr>
        <w:t>苏建金管〔</w:t>
      </w:r>
      <w:r>
        <w:rPr>
          <w:rFonts w:eastAsia="方正仿宋_GBK"/>
          <w:color w:val="000000"/>
          <w:spacing w:val="-2"/>
          <w:sz w:val="24"/>
        </w:rPr>
        <w:t>2004</w:t>
      </w:r>
      <w:r>
        <w:rPr>
          <w:rFonts w:hint="eastAsia" w:eastAsia="方正仿宋_GBK"/>
          <w:color w:val="000000"/>
          <w:spacing w:val="-2"/>
          <w:sz w:val="24"/>
        </w:rPr>
        <w:t>〕</w:t>
      </w:r>
      <w:r>
        <w:rPr>
          <w:rFonts w:eastAsia="方正仿宋_GBK"/>
          <w:color w:val="000000"/>
          <w:spacing w:val="-2"/>
          <w:sz w:val="24"/>
        </w:rPr>
        <w:t>337</w:t>
      </w:r>
      <w:r>
        <w:rPr>
          <w:rFonts w:hint="eastAsia" w:eastAsia="方正仿宋_GBK"/>
          <w:color w:val="000000"/>
          <w:spacing w:val="-2"/>
          <w:sz w:val="24"/>
        </w:rPr>
        <w:t>号</w:t>
      </w:r>
      <w:r>
        <w:rPr>
          <w:rFonts w:eastAsia="方正仿宋_GBK"/>
          <w:color w:val="000000"/>
          <w:spacing w:val="-2"/>
          <w:sz w:val="24"/>
        </w:rPr>
        <w:t>)</w:t>
      </w:r>
      <w:r>
        <w:rPr>
          <w:rFonts w:hint="eastAsia" w:eastAsia="方正仿宋_GBK"/>
          <w:color w:val="000000"/>
          <w:spacing w:val="-2"/>
          <w:sz w:val="24"/>
        </w:rPr>
        <w:t>，加强对国债业务管理。在没有新的规定之前，任何单位不得在证券交易所债券市场购买国债，不得购买企业债券，禁止任何方式的委托理财。对已经发生风险的国债要想方设法化解风险，争取最大限度地减少损失。</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二</w:t>
      </w:r>
      <w:r>
        <w:rPr>
          <w:rFonts w:eastAsia="方正仿宋_GBK"/>
          <w:color w:val="000000"/>
          <w:spacing w:val="-2"/>
          <w:sz w:val="24"/>
        </w:rPr>
        <w:t>)</w:t>
      </w:r>
      <w:r>
        <w:rPr>
          <w:rFonts w:hint="eastAsia" w:eastAsia="方正仿宋_GBK"/>
          <w:color w:val="000000"/>
          <w:spacing w:val="-2"/>
          <w:sz w:val="24"/>
        </w:rPr>
        <w:t>各地要采取积极措施，继续加大对机构调整前发生的挤占挪用款和项目贷款的清理回收力度，加大抵押资产的变现力度。对清收不力，造成资金严重损失的，要追究当事人的责任。对机构调整后新发生挤占挪用的任何单位和个人，要及时查处。决不允许出现新的挤占挪用。</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三</w:t>
      </w:r>
      <w:r>
        <w:rPr>
          <w:rFonts w:eastAsia="方正仿宋_GBK"/>
          <w:color w:val="000000"/>
          <w:spacing w:val="-2"/>
          <w:sz w:val="24"/>
        </w:rPr>
        <w:t>)</w:t>
      </w:r>
      <w:r>
        <w:rPr>
          <w:rFonts w:hint="eastAsia" w:eastAsia="方正仿宋_GBK"/>
          <w:color w:val="000000"/>
          <w:spacing w:val="-2"/>
          <w:sz w:val="24"/>
        </w:rPr>
        <w:t>住房公积金管理中心应当加强住房公积金业务信息系统建设，在方便职工、单位办珲住房公积金业务的同时，努力提高管理水平，切实加强适时监督。住房公积金管理中心和受托银行应当对住房公积金信息及时备份，保障住房公积金信息安全和住房公积金业务的正常开展。</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四</w:t>
      </w:r>
      <w:r>
        <w:rPr>
          <w:rFonts w:eastAsia="方正仿宋_GBK"/>
          <w:color w:val="000000"/>
          <w:spacing w:val="-2"/>
          <w:sz w:val="24"/>
        </w:rPr>
        <w:t>)</w:t>
      </w:r>
      <w:r>
        <w:rPr>
          <w:rFonts w:hint="eastAsia" w:eastAsia="方正仿宋_GBK"/>
          <w:color w:val="000000"/>
          <w:spacing w:val="-2"/>
          <w:sz w:val="24"/>
        </w:rPr>
        <w:t>住房公积金管理中心必须加强内部控制制度建设。建立财务核算与内部审计交叉复核等制度，进一步加大内部审计力度。</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五</w:t>
      </w:r>
      <w:r>
        <w:rPr>
          <w:rFonts w:eastAsia="方正仿宋_GBK"/>
          <w:color w:val="000000"/>
          <w:spacing w:val="-2"/>
          <w:sz w:val="24"/>
        </w:rPr>
        <w:t>)</w:t>
      </w:r>
      <w:r>
        <w:rPr>
          <w:rFonts w:hint="eastAsia" w:eastAsia="方正仿宋_GBK"/>
          <w:color w:val="000000"/>
          <w:spacing w:val="-2"/>
          <w:sz w:val="24"/>
        </w:rPr>
        <w:t>各地要切实加强对分支机构的授权管理，严格授权范围，授权委托书应报省建设厅监管办备案。</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七、关于加强住房公积金监督管理问题</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一</w:t>
      </w:r>
      <w:r>
        <w:rPr>
          <w:rFonts w:eastAsia="方正仿宋_GBK"/>
          <w:color w:val="000000"/>
          <w:spacing w:val="-2"/>
          <w:sz w:val="24"/>
        </w:rPr>
        <w:t>)</w:t>
      </w:r>
      <w:r>
        <w:rPr>
          <w:rFonts w:hint="eastAsia" w:eastAsia="方正仿宋_GBK"/>
          <w:color w:val="000000"/>
          <w:spacing w:val="-2"/>
          <w:sz w:val="24"/>
        </w:rPr>
        <w:t>各市财政部门要加强对住房公积金管理的监督，进一步帮助解决各市住房公积金管理中心在管理和业务运行中出现的新情况、新问题，支持和保证各市住房公积金管理机构及时解决归集、个贷、宣传、信息系统建设、防范风险等工作中遇到的困难。</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二</w:t>
      </w:r>
      <w:r>
        <w:rPr>
          <w:rFonts w:eastAsia="方正仿宋_GBK"/>
          <w:color w:val="000000"/>
          <w:spacing w:val="-2"/>
          <w:sz w:val="24"/>
        </w:rPr>
        <w:t>)</w:t>
      </w:r>
      <w:r>
        <w:rPr>
          <w:rFonts w:hint="eastAsia" w:eastAsia="方正仿宋_GBK"/>
          <w:color w:val="000000"/>
          <w:spacing w:val="-2"/>
          <w:sz w:val="24"/>
        </w:rPr>
        <w:t>根据苏政办发〔</w:t>
      </w:r>
      <w:r>
        <w:rPr>
          <w:rFonts w:eastAsia="方正仿宋_GBK"/>
          <w:color w:val="000000"/>
          <w:spacing w:val="-2"/>
          <w:sz w:val="24"/>
        </w:rPr>
        <w:t>2000</w:t>
      </w:r>
      <w:r>
        <w:rPr>
          <w:rFonts w:hint="eastAsia" w:eastAsia="方正仿宋_GBK"/>
          <w:color w:val="000000"/>
          <w:spacing w:val="-2"/>
          <w:sz w:val="24"/>
        </w:rPr>
        <w:t>〕</w:t>
      </w:r>
      <w:r>
        <w:rPr>
          <w:rFonts w:eastAsia="方正仿宋_GBK"/>
          <w:color w:val="000000"/>
          <w:spacing w:val="-2"/>
          <w:sz w:val="24"/>
        </w:rPr>
        <w:t>54</w:t>
      </w:r>
      <w:r>
        <w:rPr>
          <w:rFonts w:hint="eastAsia" w:eastAsia="方正仿宋_GBK"/>
          <w:color w:val="000000"/>
          <w:spacing w:val="-2"/>
          <w:sz w:val="24"/>
        </w:rPr>
        <w:t>号文件精神，全省所有市、县由财政列支的单位缴存的住房公积金，必须列入当地政府财政预算。</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三</w:t>
      </w:r>
      <w:r>
        <w:rPr>
          <w:rFonts w:eastAsia="方正仿宋_GBK"/>
          <w:color w:val="000000"/>
          <w:spacing w:val="-2"/>
          <w:sz w:val="24"/>
        </w:rPr>
        <w:t>)</w:t>
      </w:r>
      <w:r>
        <w:rPr>
          <w:rFonts w:hint="eastAsia" w:eastAsia="方正仿宋_GBK"/>
          <w:color w:val="000000"/>
          <w:spacing w:val="-2"/>
          <w:sz w:val="24"/>
        </w:rPr>
        <w:t>各受托银行要加强对住房公积金存贷款账户的管理。积极配合各地住房公积金管理中心做好防范住房公积金存贷款的风险工作，对超范围使用住房公积金的行为坚决予以制止，并及时向各级银监部门和省建设厅汇报。对违反规定存贷住房公积金、明显超范围使用公积金的行为制止不力，或违规为其提供便利的，将追究承办银行及其当事人的责任，并取消其受托承办住房公积金业务的资格。</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四</w:t>
      </w:r>
      <w:r>
        <w:rPr>
          <w:rFonts w:eastAsia="方正仿宋_GBK"/>
          <w:color w:val="000000"/>
          <w:spacing w:val="-2"/>
          <w:sz w:val="24"/>
        </w:rPr>
        <w:t>)</w:t>
      </w:r>
      <w:r>
        <w:rPr>
          <w:rFonts w:hint="eastAsia" w:eastAsia="方正仿宋_GBK"/>
          <w:color w:val="000000"/>
          <w:spacing w:val="-2"/>
          <w:sz w:val="24"/>
        </w:rPr>
        <w:t>省建设厅、省财政厅、中国人民银行南京分行、中国银行业监督管理委员会江苏监管局等省级行政监督部门原则上每年对住房公积金管理中心的贷款质量进行一次现场检查，包括专项检查和常规检查，并对整体工作进行考核。</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五</w:t>
      </w:r>
      <w:r>
        <w:rPr>
          <w:rFonts w:eastAsia="方正仿宋_GBK"/>
          <w:color w:val="000000"/>
          <w:spacing w:val="-2"/>
          <w:sz w:val="24"/>
        </w:rPr>
        <w:t>)</w:t>
      </w:r>
      <w:r>
        <w:rPr>
          <w:rFonts w:hint="eastAsia" w:eastAsia="方正仿宋_GBK"/>
          <w:color w:val="000000"/>
          <w:spacing w:val="-2"/>
          <w:sz w:val="24"/>
        </w:rPr>
        <w:t>住房公积金管理中心必须及时为缴存住房公积金的职工发放有效凭证，并在每年住房公积金结算日后</w:t>
      </w:r>
      <w:r>
        <w:rPr>
          <w:rFonts w:eastAsia="方正仿宋_GBK"/>
          <w:color w:val="000000"/>
          <w:spacing w:val="-2"/>
          <w:sz w:val="24"/>
        </w:rPr>
        <w:t>30</w:t>
      </w:r>
      <w:r>
        <w:rPr>
          <w:rFonts w:hint="eastAsia" w:eastAsia="方正仿宋_GBK"/>
          <w:color w:val="000000"/>
          <w:spacing w:val="-2"/>
          <w:sz w:val="24"/>
        </w:rPr>
        <w:t>天内向缴存单位提供对账单。为职工、单位查询本人、本单位的住房公积金缴存、使用情况提供多种方式的查询服务，并向社会公布咨询电话。住房公积金管理中心、受委托银行、缴存单位等相关单位及其工作人员对住房公积金账户信息负有保密责任。</w:t>
      </w:r>
    </w:p>
    <w:p>
      <w:pPr>
        <w:spacing w:line="460" w:lineRule="exact"/>
        <w:ind w:firstLine="472" w:firstLineChars="200"/>
        <w:rPr>
          <w:rFonts w:eastAsia="方正仿宋_GBK"/>
          <w:color w:val="000000"/>
          <w:spacing w:val="-2"/>
          <w:sz w:val="24"/>
        </w:rPr>
      </w:pPr>
      <w:r>
        <w:rPr>
          <w:rFonts w:eastAsia="方正仿宋_GBK"/>
          <w:color w:val="000000"/>
          <w:spacing w:val="-2"/>
          <w:sz w:val="24"/>
        </w:rPr>
        <w:t>(</w:t>
      </w:r>
      <w:r>
        <w:rPr>
          <w:rFonts w:hint="eastAsia" w:eastAsia="方正仿宋_GBK"/>
          <w:color w:val="000000"/>
          <w:spacing w:val="-2"/>
          <w:sz w:val="24"/>
        </w:rPr>
        <w:t>六</w:t>
      </w:r>
      <w:r>
        <w:rPr>
          <w:rFonts w:eastAsia="方正仿宋_GBK"/>
          <w:color w:val="000000"/>
          <w:spacing w:val="-2"/>
          <w:sz w:val="24"/>
        </w:rPr>
        <w:t>)</w:t>
      </w:r>
      <w:r>
        <w:rPr>
          <w:rFonts w:hint="eastAsia" w:eastAsia="方正仿宋_GBK"/>
          <w:color w:val="000000"/>
          <w:spacing w:val="-2"/>
          <w:sz w:val="24"/>
        </w:rPr>
        <w:t>住房公积金管理中心应当在每年</w:t>
      </w:r>
      <w:r>
        <w:rPr>
          <w:rFonts w:eastAsia="方正仿宋_GBK"/>
          <w:color w:val="000000"/>
          <w:spacing w:val="-2"/>
          <w:sz w:val="24"/>
        </w:rPr>
        <w:t>3</w:t>
      </w:r>
      <w:r>
        <w:rPr>
          <w:rFonts w:hint="eastAsia" w:eastAsia="方正仿宋_GBK"/>
          <w:color w:val="000000"/>
          <w:spacing w:val="-2"/>
          <w:sz w:val="24"/>
        </w:rPr>
        <w:t>月底前，向社会公布经市公积金管委会审议的上年度住房公积金年报，包括住房公积金归集和使用的统计信息、运营核算的财务信息和需要说明的情况，接受社会公众监督。</w:t>
      </w:r>
    </w:p>
    <w:p>
      <w:pPr>
        <w:spacing w:line="460" w:lineRule="exact"/>
        <w:rPr>
          <w:rFonts w:eastAsia="方正仿宋_GBK"/>
          <w:color w:val="000000"/>
          <w:spacing w:val="-2"/>
          <w:sz w:val="24"/>
        </w:rPr>
      </w:pPr>
    </w:p>
    <w:p>
      <w:pPr>
        <w:wordWrap w:val="0"/>
        <w:spacing w:line="460" w:lineRule="exact"/>
        <w:jc w:val="right"/>
        <w:rPr>
          <w:rFonts w:eastAsia="方正仿宋_GBK"/>
          <w:color w:val="000000"/>
          <w:spacing w:val="-2"/>
          <w:sz w:val="24"/>
        </w:rPr>
      </w:pPr>
      <w:r>
        <w:rPr>
          <w:rFonts w:hint="eastAsia" w:eastAsia="方正仿宋_GBK"/>
          <w:color w:val="000000"/>
          <w:spacing w:val="96"/>
          <w:kern w:val="0"/>
          <w:sz w:val="24"/>
        </w:rPr>
        <w:t>江苏省建设</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jc w:val="right"/>
        <w:rPr>
          <w:rFonts w:eastAsia="方正仿宋_GBK"/>
          <w:color w:val="000000"/>
          <w:spacing w:val="-2"/>
          <w:sz w:val="24"/>
        </w:rPr>
      </w:pPr>
      <w:r>
        <w:rPr>
          <w:rFonts w:hint="eastAsia" w:eastAsia="方正仿宋_GBK"/>
          <w:color w:val="000000"/>
          <w:spacing w:val="96"/>
          <w:kern w:val="0"/>
          <w:sz w:val="24"/>
        </w:rPr>
        <w:t>江苏省财政</w:t>
      </w:r>
      <w:r>
        <w:rPr>
          <w:rFonts w:hint="eastAsia" w:eastAsia="方正仿宋_GBK"/>
          <w:color w:val="000000"/>
          <w:kern w:val="0"/>
          <w:sz w:val="24"/>
        </w:rPr>
        <w:t>厅</w:t>
      </w:r>
      <w:r>
        <w:rPr>
          <w:rFonts w:eastAsia="方正仿宋_GBK"/>
          <w:color w:val="000000"/>
          <w:kern w:val="0"/>
          <w:sz w:val="24"/>
        </w:rPr>
        <w:t xml:space="preserve">    </w:t>
      </w:r>
    </w:p>
    <w:p>
      <w:pPr>
        <w:wordWrap w:val="0"/>
        <w:spacing w:line="460" w:lineRule="exact"/>
        <w:jc w:val="right"/>
        <w:rPr>
          <w:rFonts w:eastAsia="方正仿宋_GBK"/>
          <w:color w:val="000000"/>
          <w:spacing w:val="-2"/>
          <w:sz w:val="24"/>
        </w:rPr>
      </w:pPr>
      <w:r>
        <w:rPr>
          <w:rFonts w:hint="eastAsia" w:eastAsia="方正仿宋_GBK"/>
          <w:color w:val="000000"/>
          <w:spacing w:val="-2"/>
          <w:sz w:val="24"/>
        </w:rPr>
        <w:t>中国人民银行南京分行</w:t>
      </w:r>
      <w:r>
        <w:rPr>
          <w:rFonts w:eastAsia="方正仿宋_GBK"/>
          <w:color w:val="000000"/>
          <w:spacing w:val="-2"/>
          <w:sz w:val="24"/>
        </w:rPr>
        <w:t xml:space="preserve">    </w:t>
      </w:r>
    </w:p>
    <w:p>
      <w:pPr>
        <w:wordWrap w:val="0"/>
        <w:spacing w:line="460" w:lineRule="exact"/>
        <w:jc w:val="righ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二○○五年九月七日</w:t>
      </w:r>
      <w:r>
        <w:rPr>
          <w:rFonts w:eastAsia="方正仿宋_GBK"/>
          <w:color w:val="000000"/>
          <w:spacing w:val="-2"/>
          <w:sz w:val="24"/>
        </w:rPr>
        <w:t xml:space="preserve">     </w:t>
      </w:r>
    </w:p>
    <w:p>
      <w:pPr>
        <w:tabs>
          <w:tab w:val="left" w:pos="676"/>
        </w:tabs>
        <w:jc w:val="left"/>
        <w:rPr>
          <w:color w:val="000000"/>
        </w:rPr>
      </w:pPr>
    </w:p>
    <w:p>
      <w:pPr>
        <w:spacing w:line="460" w:lineRule="exact"/>
        <w:jc w:val="center"/>
        <w:rPr>
          <w:rFonts w:ascii="Times New Roman" w:eastAsia="方正小标宋简体"/>
          <w:color w:val="000000"/>
          <w:sz w:val="36"/>
          <w:szCs w:val="36"/>
        </w:rPr>
      </w:pPr>
      <w:r>
        <w:rPr>
          <w:rFonts w:hint="eastAsia" w:ascii="Times New Roman" w:eastAsia="方正黑体_GBK"/>
          <w:snapToGrid w:val="0"/>
          <w:color w:val="000000"/>
          <w:kern w:val="0"/>
          <w:sz w:val="24"/>
        </w:rPr>
        <w:br w:type="page"/>
      </w:r>
    </w:p>
    <w:p>
      <w:pPr>
        <w:pStyle w:val="2"/>
        <w:spacing w:before="240" w:beforeLines="100" w:after="240" w:afterLines="100" w:line="240" w:lineRule="auto"/>
        <w:jc w:val="center"/>
        <w:rPr>
          <w:rFonts w:hint="eastAsia" w:ascii="Times New Roman" w:eastAsia="方正小标宋_GBK"/>
          <w:b w:val="0"/>
          <w:sz w:val="36"/>
          <w:szCs w:val="36"/>
        </w:rPr>
      </w:pPr>
      <w:bookmarkStart w:id="418" w:name="_Toc18315863"/>
      <w:bookmarkStart w:id="419" w:name="_Toc20726727"/>
      <w:r>
        <w:rPr>
          <w:rFonts w:hint="eastAsia" w:ascii="Times New Roman" w:eastAsia="方正小标宋_GBK"/>
          <w:b w:val="0"/>
          <w:sz w:val="36"/>
          <w:szCs w:val="36"/>
        </w:rPr>
        <w:t>关于调整全省机关事业单位住房公积金缴存比例的通知</w:t>
      </w:r>
      <w:bookmarkEnd w:id="418"/>
      <w:bookmarkEnd w:id="41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20" w:name="_Toc20726728"/>
      <w:bookmarkStart w:id="421" w:name="_Toc18315864"/>
      <w:r>
        <w:rPr>
          <w:rFonts w:hint="eastAsia" w:ascii="Times New Roman" w:hAnsi="Times New Roman" w:eastAsia="方正楷体_GBK"/>
          <w:b w:val="0"/>
          <w:sz w:val="24"/>
          <w:szCs w:val="24"/>
        </w:rPr>
        <w:t>苏建金管〔</w:t>
      </w:r>
      <w:r>
        <w:rPr>
          <w:rFonts w:ascii="Times New Roman" w:hAnsi="Times New Roman" w:eastAsia="方正楷体_GBK"/>
          <w:b w:val="0"/>
          <w:sz w:val="24"/>
          <w:szCs w:val="24"/>
        </w:rPr>
        <w:t>2011</w:t>
      </w:r>
      <w:r>
        <w:rPr>
          <w:rFonts w:hint="eastAsia" w:ascii="Times New Roman" w:hAnsi="Times New Roman" w:eastAsia="方正楷体_GBK"/>
          <w:b w:val="0"/>
          <w:sz w:val="24"/>
          <w:szCs w:val="24"/>
        </w:rPr>
        <w:t>〕</w:t>
      </w:r>
      <w:r>
        <w:rPr>
          <w:rFonts w:ascii="Times New Roman" w:hAnsi="Times New Roman" w:eastAsia="方正楷体_GBK"/>
          <w:b w:val="0"/>
          <w:sz w:val="24"/>
          <w:szCs w:val="24"/>
        </w:rPr>
        <w:t>814</w:t>
      </w:r>
      <w:r>
        <w:rPr>
          <w:rFonts w:hint="eastAsia" w:ascii="Times New Roman" w:hAnsi="Times New Roman" w:eastAsia="方正楷体_GBK"/>
          <w:b w:val="0"/>
          <w:sz w:val="24"/>
          <w:szCs w:val="24"/>
        </w:rPr>
        <w:t>号</w:t>
      </w:r>
      <w:bookmarkEnd w:id="420"/>
      <w:bookmarkEnd w:id="421"/>
    </w:p>
    <w:p>
      <w:pPr>
        <w:spacing w:line="460" w:lineRule="exact"/>
        <w:rPr>
          <w:rFonts w:eastAsia="方正仿宋_GBK"/>
          <w:color w:val="000000"/>
          <w:spacing w:val="-2"/>
          <w:sz w:val="24"/>
        </w:rPr>
      </w:pPr>
      <w:r>
        <w:rPr>
          <w:rFonts w:hint="eastAsia" w:eastAsia="方正仿宋_GBK"/>
          <w:color w:val="000000"/>
          <w:spacing w:val="-2"/>
          <w:sz w:val="24"/>
        </w:rPr>
        <w:t>各市、县人民政府，省各委、办、厅、局，省各直属单位：</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经省政府同意，全省机关事业单位住房公积金单位和职工个人缴存比例分别调整为</w:t>
      </w:r>
      <w:r>
        <w:rPr>
          <w:rFonts w:eastAsia="方正仿宋_GBK"/>
          <w:color w:val="000000"/>
          <w:spacing w:val="-2"/>
          <w:sz w:val="24"/>
        </w:rPr>
        <w:t>12%</w:t>
      </w:r>
      <w:r>
        <w:rPr>
          <w:rFonts w:hint="eastAsia" w:eastAsia="方正仿宋_GBK"/>
          <w:color w:val="000000"/>
          <w:spacing w:val="-2"/>
          <w:sz w:val="24"/>
        </w:rPr>
        <w:t>，自</w:t>
      </w:r>
      <w:r>
        <w:rPr>
          <w:rFonts w:eastAsia="方正仿宋_GBK"/>
          <w:color w:val="000000"/>
          <w:spacing w:val="-2"/>
          <w:sz w:val="24"/>
        </w:rPr>
        <w:t>2011</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日起执行。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以上通知，请贯彻执行。</w:t>
      </w:r>
    </w:p>
    <w:p>
      <w:pPr>
        <w:spacing w:line="460" w:lineRule="exact"/>
        <w:ind w:firstLine="472" w:firstLineChars="200"/>
        <w:rPr>
          <w:rFonts w:eastAsia="方正仿宋_GBK"/>
          <w:color w:val="000000"/>
          <w:spacing w:val="-2"/>
          <w:sz w:val="24"/>
        </w:rPr>
      </w:pPr>
    </w:p>
    <w:p>
      <w:pPr>
        <w:wordWrap w:val="0"/>
        <w:spacing w:line="460" w:lineRule="exact"/>
        <w:jc w:val="right"/>
        <w:rPr>
          <w:rFonts w:eastAsia="方正仿宋_GBK"/>
          <w:color w:val="000000"/>
          <w:spacing w:val="-2"/>
          <w:sz w:val="24"/>
        </w:rPr>
      </w:pPr>
      <w:r>
        <w:rPr>
          <w:rFonts w:eastAsia="方正仿宋_GBK"/>
          <w:color w:val="000000"/>
          <w:spacing w:val="-2"/>
          <w:kern w:val="0"/>
          <w:sz w:val="24"/>
        </w:rPr>
        <w:t xml:space="preserve">  </w:t>
      </w:r>
      <w:r>
        <w:rPr>
          <w:rFonts w:eastAsia="方正仿宋_GBK"/>
          <w:color w:val="000000"/>
          <w:spacing w:val="-2"/>
          <w:sz w:val="24"/>
        </w:rPr>
        <w:t xml:space="preserve">                 </w:t>
      </w: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jc w:val="right"/>
        <w:rPr>
          <w:rFonts w:eastAsia="方正仿宋_GBK"/>
          <w:color w:val="000000"/>
          <w:spacing w:val="-2"/>
          <w:sz w:val="24"/>
        </w:rPr>
      </w:pPr>
      <w:r>
        <w:rPr>
          <w:rFonts w:hint="eastAsia" w:eastAsia="方正仿宋_GBK"/>
          <w:color w:val="000000"/>
          <w:spacing w:val="120"/>
          <w:kern w:val="0"/>
          <w:sz w:val="24"/>
        </w:rPr>
        <w:t>江苏省财政</w:t>
      </w:r>
      <w:r>
        <w:rPr>
          <w:rFonts w:hint="eastAsia" w:eastAsia="方正仿宋_GBK"/>
          <w:color w:val="000000"/>
          <w:kern w:val="0"/>
          <w:sz w:val="24"/>
        </w:rPr>
        <w:t>厅</w:t>
      </w:r>
      <w:r>
        <w:rPr>
          <w:rFonts w:eastAsia="方正仿宋_GBK"/>
          <w:color w:val="000000"/>
          <w:kern w:val="0"/>
          <w:sz w:val="24"/>
        </w:rPr>
        <w:t xml:space="preserve">     </w:t>
      </w:r>
    </w:p>
    <w:p>
      <w:pPr>
        <w:tabs>
          <w:tab w:val="left" w:pos="676"/>
        </w:tabs>
        <w:ind w:firstLine="5451" w:firstLineChars="2310"/>
        <w:jc w:val="left"/>
        <w:rPr>
          <w:rFonts w:eastAsia="方正仿宋_GBK"/>
          <w:color w:val="000000"/>
          <w:spacing w:val="-2"/>
          <w:sz w:val="24"/>
        </w:rPr>
      </w:pPr>
      <w:r>
        <w:rPr>
          <w:rFonts w:hint="eastAsia" w:eastAsia="方正仿宋_GBK"/>
          <w:color w:val="000000"/>
          <w:spacing w:val="-2"/>
          <w:sz w:val="24"/>
        </w:rPr>
        <w:t>二○一一年十二月二十七日</w:t>
      </w:r>
      <w:r>
        <w:rPr>
          <w:rFonts w:eastAsia="方正仿宋_GBK"/>
          <w:color w:val="000000"/>
          <w:spacing w:val="-2"/>
          <w:sz w:val="24"/>
        </w:rPr>
        <w:t xml:space="preserve"> </w:t>
      </w:r>
    </w:p>
    <w:p>
      <w:pPr>
        <w:rPr>
          <w:color w:val="000000"/>
        </w:rPr>
      </w:pPr>
    </w:p>
    <w:p/>
    <w:p/>
    <w:p/>
    <w:p/>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r>
        <w:rPr>
          <w:rFonts w:hint="eastAsia" w:ascii="Times New Roman" w:eastAsia="方正小标宋_GBK"/>
          <w:b w:val="0"/>
          <w:sz w:val="36"/>
          <w:szCs w:val="36"/>
        </w:rPr>
        <w:t>关于印发《江苏省城市古树名木养护管理暂行规定》   的通知</w:t>
      </w:r>
    </w:p>
    <w:p>
      <w:pPr>
        <w:pStyle w:val="3"/>
        <w:spacing w:before="240" w:beforeLines="100" w:after="240" w:afterLines="100" w:line="240" w:lineRule="auto"/>
        <w:jc w:val="center"/>
        <w:rPr>
          <w:rFonts w:hint="eastAsia" w:ascii="Times New Roman" w:hAnsi="Times New Roman" w:eastAsia="方正楷体_GBK"/>
          <w:b w:val="0"/>
          <w:sz w:val="24"/>
          <w:szCs w:val="24"/>
        </w:rPr>
      </w:pPr>
      <w:r>
        <w:rPr>
          <w:rFonts w:hint="eastAsia" w:ascii="Times New Roman" w:hAnsi="Times New Roman" w:eastAsia="方正楷体_GBK"/>
          <w:b w:val="0"/>
          <w:sz w:val="24"/>
          <w:szCs w:val="24"/>
        </w:rPr>
        <w:t>苏建园〔</w:t>
      </w:r>
      <w:r>
        <w:rPr>
          <w:rFonts w:ascii="Times New Roman" w:hAnsi="Times New Roman" w:eastAsia="方正楷体_GBK"/>
          <w:b w:val="0"/>
          <w:sz w:val="24"/>
          <w:szCs w:val="24"/>
        </w:rPr>
        <w:t>2000</w:t>
      </w:r>
      <w:r>
        <w:rPr>
          <w:rFonts w:hint="eastAsia" w:ascii="Times New Roman" w:hAnsi="Times New Roman" w:eastAsia="方正楷体_GBK"/>
          <w:b w:val="0"/>
          <w:sz w:val="24"/>
          <w:szCs w:val="24"/>
        </w:rPr>
        <w:t>〕</w:t>
      </w:r>
      <w:r>
        <w:rPr>
          <w:rFonts w:ascii="Times New Roman" w:hAnsi="Times New Roman" w:eastAsia="方正楷体_GBK"/>
          <w:b w:val="0"/>
          <w:sz w:val="24"/>
          <w:szCs w:val="24"/>
        </w:rPr>
        <w:t>320</w:t>
      </w:r>
      <w:r>
        <w:rPr>
          <w:rFonts w:hint="eastAsia" w:ascii="Times New Roman" w:hAnsi="Times New Roman" w:eastAsia="方正楷体_GBK"/>
          <w:b w:val="0"/>
          <w:sz w:val="24"/>
          <w:szCs w:val="24"/>
        </w:rPr>
        <w:t>号</w:t>
      </w:r>
    </w:p>
    <w:p>
      <w:pPr>
        <w:spacing w:line="460" w:lineRule="exact"/>
        <w:rPr>
          <w:rFonts w:eastAsia="方正仿宋_GBK"/>
          <w:color w:val="000000"/>
          <w:spacing w:val="-2"/>
          <w:kern w:val="0"/>
          <w:sz w:val="24"/>
        </w:rPr>
      </w:pPr>
      <w:r>
        <w:rPr>
          <w:rFonts w:hint="eastAsia" w:eastAsia="方正仿宋_GBK"/>
          <w:color w:val="000000"/>
          <w:spacing w:val="-2"/>
          <w:kern w:val="0"/>
          <w:sz w:val="24"/>
        </w:rPr>
        <w:t>各市建委、园林局</w:t>
      </w:r>
      <w:r>
        <w:rPr>
          <w:rFonts w:eastAsia="方正仿宋_GBK"/>
          <w:color w:val="000000"/>
          <w:spacing w:val="-2"/>
          <w:kern w:val="0"/>
          <w:sz w:val="24"/>
        </w:rPr>
        <w:t>(</w:t>
      </w:r>
      <w:r>
        <w:rPr>
          <w:rFonts w:hint="eastAsia" w:eastAsia="方正仿宋_GBK"/>
          <w:color w:val="000000"/>
          <w:spacing w:val="-2"/>
          <w:kern w:val="0"/>
          <w:sz w:val="24"/>
        </w:rPr>
        <w:t>处</w:t>
      </w:r>
      <w:r>
        <w:rPr>
          <w:rFonts w:eastAsia="方正仿宋_GBK"/>
          <w:color w:val="000000"/>
          <w:spacing w:val="-2"/>
          <w:kern w:val="0"/>
          <w:sz w:val="24"/>
        </w:rPr>
        <w:t>)</w:t>
      </w:r>
      <w:r>
        <w:rPr>
          <w:rFonts w:hint="eastAsia" w:eastAsia="方正仿宋_GBK"/>
          <w:color w:val="000000"/>
          <w:spacing w:val="-2"/>
          <w:kern w:val="0"/>
          <w:sz w:val="24"/>
        </w:rPr>
        <w:t>、风景名胜区管理局</w:t>
      </w:r>
      <w:r>
        <w:rPr>
          <w:rFonts w:eastAsia="方正仿宋_GBK"/>
          <w:color w:val="000000"/>
          <w:spacing w:val="-2"/>
          <w:kern w:val="0"/>
          <w:sz w:val="24"/>
        </w:rPr>
        <w:t>(</w:t>
      </w:r>
      <w:r>
        <w:rPr>
          <w:rFonts w:hint="eastAsia" w:eastAsia="方正仿宋_GBK"/>
          <w:color w:val="000000"/>
          <w:spacing w:val="-2"/>
          <w:kern w:val="0"/>
          <w:sz w:val="24"/>
        </w:rPr>
        <w:t>处</w:t>
      </w:r>
      <w:r>
        <w:rPr>
          <w:rFonts w:eastAsia="方正仿宋_GBK"/>
          <w:color w:val="000000"/>
          <w:spacing w:val="-2"/>
          <w:kern w:val="0"/>
          <w:sz w:val="24"/>
        </w:rPr>
        <w:t>)</w:t>
      </w:r>
      <w:r>
        <w:rPr>
          <w:rFonts w:hint="eastAsia" w:eastAsia="方正仿宋_GBK"/>
          <w:color w:val="000000"/>
          <w:spacing w:val="-2"/>
          <w:kern w:val="0"/>
          <w:sz w:val="24"/>
        </w:rPr>
        <w:t>：</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古树名木是大自然留给我们的宝贵财富，是历史的见证和活的文物，也是风景旅游资源的重要组成部分，具有较高的科研、生态、观赏和科普价值。为了加强对我省城市古树名木的养护管理，我厅组织制定了《江苏省城市古树名木养护管理暂行规定》，现印发给你们，请认真贯彻执行。</w:t>
      </w:r>
    </w:p>
    <w:p>
      <w:pPr>
        <w:spacing w:line="460" w:lineRule="exact"/>
        <w:ind w:firstLine="472" w:firstLineChars="200"/>
        <w:rPr>
          <w:rFonts w:eastAsia="方正仿宋_GBK"/>
          <w:color w:val="000000"/>
          <w:spacing w:val="-2"/>
          <w:kern w:val="0"/>
          <w:sz w:val="24"/>
        </w:rPr>
      </w:pP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附件：江苏省城市古树名木养护管理暂行规定</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 </w:t>
      </w:r>
    </w:p>
    <w:p>
      <w:pPr>
        <w:wordWrap w:val="0"/>
        <w:spacing w:line="460" w:lineRule="exact"/>
        <w:ind w:firstLine="472" w:firstLineChars="200"/>
        <w:jc w:val="right"/>
        <w:rPr>
          <w:rFonts w:eastAsia="方正仿宋_GBK"/>
          <w:color w:val="000000"/>
          <w:spacing w:val="-2"/>
          <w:kern w:val="0"/>
          <w:sz w:val="24"/>
        </w:rPr>
      </w:pPr>
      <w:r>
        <w:rPr>
          <w:rFonts w:eastAsia="方正仿宋_GBK"/>
          <w:color w:val="000000"/>
          <w:spacing w:val="-2"/>
          <w:kern w:val="0"/>
          <w:sz w:val="24"/>
        </w:rPr>
        <w:t>                </w:t>
      </w:r>
      <w:r>
        <w:rPr>
          <w:rFonts w:hint="eastAsia" w:eastAsia="方正仿宋_GBK"/>
          <w:color w:val="000000"/>
          <w:spacing w:val="-2"/>
          <w:kern w:val="0"/>
          <w:sz w:val="24"/>
        </w:rPr>
        <w:t>江苏省住房和城乡建设厅</w:t>
      </w:r>
      <w:r>
        <w:rPr>
          <w:rFonts w:eastAsia="方正仿宋_GBK"/>
          <w:color w:val="000000"/>
          <w:spacing w:val="-2"/>
          <w:kern w:val="0"/>
          <w:sz w:val="24"/>
        </w:rPr>
        <w:t xml:space="preserve">    </w:t>
      </w:r>
    </w:p>
    <w:p>
      <w:pPr>
        <w:wordWrap w:val="0"/>
        <w:spacing w:line="460" w:lineRule="exact"/>
        <w:ind w:firstLine="472" w:firstLineChars="200"/>
        <w:jc w:val="right"/>
        <w:rPr>
          <w:rFonts w:eastAsia="方正仿宋_GBK"/>
          <w:color w:val="000000"/>
          <w:spacing w:val="-2"/>
          <w:kern w:val="0"/>
          <w:sz w:val="24"/>
        </w:rPr>
      </w:pPr>
      <w:r>
        <w:rPr>
          <w:rFonts w:hint="eastAsia" w:eastAsia="方正仿宋_GBK"/>
          <w:color w:val="000000"/>
          <w:spacing w:val="-2"/>
          <w:kern w:val="0"/>
          <w:sz w:val="24"/>
        </w:rPr>
        <w:t>二</w:t>
      </w:r>
      <w:r>
        <w:rPr>
          <w:rFonts w:hint="eastAsia" w:eastAsia="方正仿宋_GBK"/>
          <w:color w:val="000000"/>
          <w:spacing w:val="-2"/>
          <w:sz w:val="24"/>
        </w:rPr>
        <w:t>○○○</w:t>
      </w:r>
      <w:r>
        <w:rPr>
          <w:rFonts w:hint="eastAsia" w:eastAsia="方正仿宋_GBK"/>
          <w:color w:val="000000"/>
          <w:spacing w:val="-2"/>
          <w:kern w:val="0"/>
          <w:sz w:val="24"/>
        </w:rPr>
        <w:t>年九月五日</w:t>
      </w:r>
      <w:r>
        <w:rPr>
          <w:rFonts w:eastAsia="方正仿宋_GBK"/>
          <w:color w:val="000000"/>
          <w:spacing w:val="-2"/>
          <w:kern w:val="0"/>
          <w:sz w:val="24"/>
        </w:rPr>
        <w:t xml:space="preserve">      </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  </w:t>
      </w:r>
    </w:p>
    <w:p>
      <w:pPr>
        <w:spacing w:line="460" w:lineRule="exact"/>
        <w:ind w:firstLine="472" w:firstLineChars="200"/>
        <w:rPr>
          <w:rFonts w:eastAsia="方正仿宋_GBK"/>
          <w:color w:val="000000"/>
          <w:spacing w:val="-2"/>
          <w:kern w:val="0"/>
          <w:sz w:val="24"/>
        </w:rPr>
      </w:pPr>
    </w:p>
    <w:p>
      <w:pPr>
        <w:spacing w:line="460" w:lineRule="exact"/>
        <w:jc w:val="center"/>
        <w:rPr>
          <w:rFonts w:ascii="Times New Roman" w:eastAsia="方正黑体_GBK"/>
          <w:color w:val="000000"/>
          <w:spacing w:val="-2"/>
          <w:kern w:val="0"/>
          <w:sz w:val="36"/>
          <w:szCs w:val="36"/>
        </w:rPr>
      </w:pPr>
      <w:r>
        <w:rPr>
          <w:rFonts w:hint="eastAsia" w:ascii="Times New Roman" w:eastAsia="方正黑体_GBK"/>
          <w:color w:val="000000"/>
          <w:spacing w:val="-2"/>
          <w:kern w:val="0"/>
          <w:sz w:val="36"/>
          <w:szCs w:val="36"/>
        </w:rPr>
        <w:t>江苏省城市古树名木养护管理暂行规定</w:t>
      </w:r>
    </w:p>
    <w:p>
      <w:pPr>
        <w:spacing w:line="460" w:lineRule="exact"/>
        <w:rPr>
          <w:rFonts w:hint="eastAsia" w:eastAsia="方正仿宋_GBK"/>
          <w:color w:val="000000"/>
          <w:spacing w:val="-2"/>
          <w:kern w:val="0"/>
          <w:sz w:val="24"/>
        </w:rPr>
      </w:pPr>
    </w:p>
    <w:p>
      <w:pPr>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第一章</w:t>
      </w:r>
      <w:r>
        <w:rPr>
          <w:rFonts w:eastAsia="方正黑体_GBK"/>
          <w:color w:val="000000"/>
          <w:spacing w:val="-2"/>
          <w:kern w:val="0"/>
          <w:sz w:val="24"/>
        </w:rPr>
        <w:t> </w:t>
      </w:r>
      <w:r>
        <w:rPr>
          <w:rFonts w:hint="eastAsia" w:ascii="Times New Roman" w:eastAsia="方正黑体_GBK"/>
          <w:color w:val="000000"/>
          <w:spacing w:val="-2"/>
          <w:kern w:val="0"/>
          <w:sz w:val="24"/>
        </w:rPr>
        <w:t xml:space="preserve"> 总   则</w:t>
      </w:r>
    </w:p>
    <w:p>
      <w:pPr>
        <w:spacing w:line="460" w:lineRule="exact"/>
        <w:ind w:firstLine="472" w:firstLineChars="200"/>
        <w:rPr>
          <w:rFonts w:hint="eastAsia" w:eastAsia="方正仿宋_GBK"/>
          <w:color w:val="000000"/>
          <w:spacing w:val="-2"/>
          <w:kern w:val="0"/>
          <w:sz w:val="24"/>
        </w:rPr>
      </w:pP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第一条</w:t>
      </w:r>
      <w:r>
        <w:rPr>
          <w:rFonts w:eastAsia="方正黑体_GBK"/>
          <w:color w:val="000000"/>
          <w:spacing w:val="-2"/>
          <w:kern w:val="0"/>
          <w:sz w:val="24"/>
        </w:rPr>
        <w:t> </w:t>
      </w:r>
      <w:r>
        <w:rPr>
          <w:rFonts w:eastAsia="方正仿宋_GBK"/>
          <w:color w:val="000000"/>
          <w:spacing w:val="-2"/>
          <w:kern w:val="0"/>
          <w:sz w:val="24"/>
        </w:rPr>
        <w:t xml:space="preserve"> </w:t>
      </w:r>
      <w:r>
        <w:rPr>
          <w:rFonts w:hint="eastAsia" w:eastAsia="方正仿宋_GBK"/>
          <w:color w:val="000000"/>
          <w:spacing w:val="-2"/>
          <w:kern w:val="0"/>
          <w:sz w:val="24"/>
        </w:rPr>
        <w:t>古树名木是历史的见证，活的文物，也是风景旅游资源的重要组成部分，具有极高的科研、生态、观赏和科普价值。做好古树名木的保护工作是全社会长期的重要的工作。根据《江苏省城市绿化管理条例》、《建设部关于加强古树名木保护和管理的通知》</w:t>
      </w:r>
      <w:r>
        <w:rPr>
          <w:rFonts w:eastAsia="方正仿宋_GBK"/>
          <w:color w:val="000000"/>
          <w:spacing w:val="-2"/>
          <w:kern w:val="0"/>
          <w:sz w:val="24"/>
        </w:rPr>
        <w:t>(</w:t>
      </w:r>
      <w:r>
        <w:rPr>
          <w:rFonts w:hint="eastAsia" w:eastAsia="方正仿宋_GBK"/>
          <w:color w:val="000000"/>
          <w:spacing w:val="-2"/>
          <w:kern w:val="0"/>
          <w:sz w:val="24"/>
        </w:rPr>
        <w:t>建城〈</w:t>
      </w:r>
      <w:r>
        <w:rPr>
          <w:rFonts w:eastAsia="方正仿宋_GBK"/>
          <w:color w:val="000000"/>
          <w:spacing w:val="-2"/>
          <w:kern w:val="0"/>
          <w:sz w:val="24"/>
        </w:rPr>
        <w:t>1991</w:t>
      </w:r>
      <w:r>
        <w:rPr>
          <w:rFonts w:hint="eastAsia" w:eastAsia="方正仿宋_GBK"/>
          <w:color w:val="000000"/>
          <w:spacing w:val="-2"/>
          <w:kern w:val="0"/>
          <w:sz w:val="24"/>
        </w:rPr>
        <w:t>〉</w:t>
      </w:r>
      <w:r>
        <w:rPr>
          <w:rFonts w:eastAsia="方正仿宋_GBK"/>
          <w:color w:val="000000"/>
          <w:spacing w:val="-2"/>
          <w:kern w:val="0"/>
          <w:sz w:val="24"/>
        </w:rPr>
        <w:t>193</w:t>
      </w:r>
      <w:r>
        <w:rPr>
          <w:rFonts w:hint="eastAsia" w:eastAsia="方正仿宋_GBK"/>
          <w:color w:val="000000"/>
          <w:spacing w:val="-2"/>
          <w:kern w:val="0"/>
          <w:sz w:val="24"/>
        </w:rPr>
        <w:t>号</w:t>
      </w:r>
      <w:r>
        <w:rPr>
          <w:rFonts w:eastAsia="方正仿宋_GBK"/>
          <w:color w:val="000000"/>
          <w:spacing w:val="-2"/>
          <w:kern w:val="0"/>
          <w:sz w:val="24"/>
        </w:rPr>
        <w:t>)</w:t>
      </w:r>
      <w:r>
        <w:rPr>
          <w:rFonts w:hint="eastAsia" w:eastAsia="方正仿宋_GBK"/>
          <w:color w:val="000000"/>
          <w:spacing w:val="-2"/>
          <w:kern w:val="0"/>
          <w:sz w:val="24"/>
        </w:rPr>
        <w:t>制定本规定。</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第二条</w:t>
      </w:r>
      <w:r>
        <w:rPr>
          <w:rFonts w:eastAsia="方正仿宋_GBK"/>
          <w:color w:val="000000"/>
          <w:spacing w:val="-2"/>
          <w:kern w:val="0"/>
          <w:sz w:val="24"/>
        </w:rPr>
        <w:t xml:space="preserve">  </w:t>
      </w:r>
      <w:r>
        <w:rPr>
          <w:rFonts w:hint="eastAsia" w:eastAsia="方正仿宋_GBK"/>
          <w:color w:val="000000"/>
          <w:spacing w:val="-2"/>
          <w:kern w:val="0"/>
          <w:sz w:val="24"/>
        </w:rPr>
        <w:t>各地城市建设</w:t>
      </w:r>
      <w:r>
        <w:rPr>
          <w:rFonts w:eastAsia="方正仿宋_GBK"/>
          <w:color w:val="000000"/>
          <w:spacing w:val="-2"/>
          <w:kern w:val="0"/>
          <w:sz w:val="24"/>
        </w:rPr>
        <w:t>(</w:t>
      </w:r>
      <w:r>
        <w:rPr>
          <w:rFonts w:hint="eastAsia" w:eastAsia="方正仿宋_GBK"/>
          <w:color w:val="000000"/>
          <w:spacing w:val="-2"/>
          <w:kern w:val="0"/>
          <w:sz w:val="24"/>
        </w:rPr>
        <w:t>园林</w:t>
      </w:r>
      <w:r>
        <w:rPr>
          <w:rFonts w:eastAsia="方正仿宋_GBK"/>
          <w:color w:val="000000"/>
          <w:spacing w:val="-2"/>
          <w:kern w:val="0"/>
          <w:sz w:val="24"/>
        </w:rPr>
        <w:t>)</w:t>
      </w:r>
      <w:r>
        <w:rPr>
          <w:rFonts w:hint="eastAsia" w:eastAsia="方正仿宋_GBK"/>
          <w:color w:val="000000"/>
          <w:spacing w:val="-2"/>
          <w:kern w:val="0"/>
          <w:sz w:val="24"/>
        </w:rPr>
        <w:t>行政主管部门</w:t>
      </w:r>
      <w:r>
        <w:rPr>
          <w:rFonts w:eastAsia="方正仿宋_GBK"/>
          <w:color w:val="000000"/>
          <w:spacing w:val="-2"/>
          <w:kern w:val="0"/>
          <w:sz w:val="24"/>
        </w:rPr>
        <w:t>(</w:t>
      </w:r>
      <w:r>
        <w:rPr>
          <w:rFonts w:hint="eastAsia" w:eastAsia="方正仿宋_GBK"/>
          <w:color w:val="000000"/>
          <w:spacing w:val="-2"/>
          <w:kern w:val="0"/>
          <w:sz w:val="24"/>
        </w:rPr>
        <w:t>以下简称主管部门</w:t>
      </w:r>
      <w:r>
        <w:rPr>
          <w:rFonts w:eastAsia="方正仿宋_GBK"/>
          <w:color w:val="000000"/>
          <w:spacing w:val="-2"/>
          <w:kern w:val="0"/>
          <w:sz w:val="24"/>
        </w:rPr>
        <w:t>)</w:t>
      </w:r>
      <w:r>
        <w:rPr>
          <w:rFonts w:hint="eastAsia" w:eastAsia="方正仿宋_GBK"/>
          <w:color w:val="000000"/>
          <w:spacing w:val="-2"/>
          <w:kern w:val="0"/>
          <w:sz w:val="24"/>
        </w:rPr>
        <w:t>应定期对城市古树名木进行调查核实，立档挂牌，公布名单。挂牌应标明树名、学名、科属、保护等级、树龄、挂牌时间，对有特殊历史价值和纪念意义的古树名木，还应立说明牌进行介绍。</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第三条</w:t>
      </w:r>
      <w:r>
        <w:rPr>
          <w:rFonts w:eastAsia="方正仿宋_GBK"/>
          <w:color w:val="000000"/>
          <w:spacing w:val="-2"/>
          <w:kern w:val="0"/>
          <w:sz w:val="24"/>
        </w:rPr>
        <w:t xml:space="preserve">  </w:t>
      </w:r>
      <w:r>
        <w:rPr>
          <w:rFonts w:hint="eastAsia" w:eastAsia="方正仿宋_GBK"/>
          <w:color w:val="000000"/>
          <w:spacing w:val="-2"/>
          <w:kern w:val="0"/>
          <w:sz w:val="24"/>
        </w:rPr>
        <w:t>管理部门应加强古树名木的宣传教育、普及科学知识、发动群众保护古树名木，并参照本规定组织和指导古树名木的养护管理。</w:t>
      </w:r>
    </w:p>
    <w:p>
      <w:pPr>
        <w:spacing w:line="460" w:lineRule="exact"/>
        <w:ind w:firstLine="472" w:firstLineChars="200"/>
        <w:rPr>
          <w:rFonts w:eastAsia="方正仿宋_GBK"/>
          <w:color w:val="000000"/>
          <w:spacing w:val="-2"/>
          <w:kern w:val="0"/>
          <w:sz w:val="24"/>
        </w:rPr>
      </w:pPr>
    </w:p>
    <w:p>
      <w:pPr>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第二章</w:t>
      </w:r>
      <w:r>
        <w:rPr>
          <w:rFonts w:ascii="Times New Roman" w:eastAsia="方正黑体_GBK"/>
          <w:color w:val="000000"/>
          <w:spacing w:val="-2"/>
          <w:kern w:val="0"/>
          <w:sz w:val="24"/>
        </w:rPr>
        <w:t> </w:t>
      </w:r>
      <w:r>
        <w:rPr>
          <w:rFonts w:hint="eastAsia" w:ascii="Times New Roman" w:eastAsia="方正黑体_GBK"/>
          <w:color w:val="000000"/>
          <w:spacing w:val="-2"/>
          <w:kern w:val="0"/>
          <w:sz w:val="24"/>
        </w:rPr>
        <w:t xml:space="preserve"> 一般养护</w:t>
      </w:r>
    </w:p>
    <w:p>
      <w:pPr>
        <w:spacing w:line="460" w:lineRule="exact"/>
        <w:jc w:val="center"/>
        <w:rPr>
          <w:rFonts w:hint="eastAsia" w:ascii="Times New Roman" w:eastAsia="方正黑体_GBK"/>
          <w:color w:val="000000"/>
          <w:spacing w:val="-2"/>
          <w:kern w:val="0"/>
          <w:sz w:val="24"/>
        </w:rPr>
      </w:pPr>
    </w:p>
    <w:p>
      <w:pPr>
        <w:spacing w:line="460" w:lineRule="exact"/>
        <w:ind w:firstLine="472" w:firstLineChars="200"/>
        <w:rPr>
          <w:rFonts w:hint="eastAsia" w:eastAsia="方正仿宋_GBK"/>
          <w:color w:val="000000"/>
          <w:spacing w:val="-2"/>
          <w:kern w:val="0"/>
          <w:sz w:val="24"/>
        </w:rPr>
      </w:pPr>
      <w:r>
        <w:rPr>
          <w:rFonts w:hint="eastAsia" w:ascii="Times New Roman" w:eastAsia="方正黑体_GBK"/>
          <w:color w:val="000000"/>
          <w:spacing w:val="-2"/>
          <w:kern w:val="0"/>
          <w:sz w:val="24"/>
        </w:rPr>
        <w:t>第四条</w:t>
      </w:r>
      <w:r>
        <w:rPr>
          <w:rFonts w:eastAsia="方正仿宋_GBK"/>
          <w:color w:val="000000"/>
          <w:spacing w:val="-2"/>
          <w:kern w:val="0"/>
          <w:sz w:val="24"/>
        </w:rPr>
        <w:t xml:space="preserve">  </w:t>
      </w:r>
      <w:r>
        <w:rPr>
          <w:rFonts w:hint="eastAsia" w:eastAsia="方正仿宋_GBK"/>
          <w:color w:val="000000"/>
          <w:spacing w:val="-2"/>
          <w:kern w:val="0"/>
          <w:sz w:val="24"/>
        </w:rPr>
        <w:t>对已确定的古树名木，主管部门应根据实际情况及时建立管护责任制度，明确管护责任单位（人），制定并落实管护措施。古树名木管护责任单位（人）按照属地管护的原则划定。</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第五条</w:t>
      </w:r>
      <w:r>
        <w:rPr>
          <w:rFonts w:eastAsia="方正仿宋_GBK"/>
          <w:color w:val="000000"/>
          <w:spacing w:val="-2"/>
          <w:kern w:val="0"/>
          <w:sz w:val="24"/>
        </w:rPr>
        <w:t xml:space="preserve">  </w:t>
      </w:r>
      <w:r>
        <w:rPr>
          <w:rFonts w:hint="eastAsia" w:eastAsia="方正仿宋_GBK"/>
          <w:color w:val="000000"/>
          <w:spacing w:val="-2"/>
          <w:kern w:val="0"/>
          <w:sz w:val="24"/>
        </w:rPr>
        <w:t>古树名木树干以外</w:t>
      </w:r>
      <w:r>
        <w:rPr>
          <w:rFonts w:eastAsia="方正仿宋_GBK"/>
          <w:color w:val="000000"/>
          <w:spacing w:val="-2"/>
          <w:kern w:val="0"/>
          <w:sz w:val="24"/>
        </w:rPr>
        <w:t>10-15</w:t>
      </w:r>
      <w:r>
        <w:rPr>
          <w:rFonts w:hint="eastAsia" w:eastAsia="方正仿宋_GBK"/>
          <w:color w:val="000000"/>
          <w:spacing w:val="-2"/>
          <w:kern w:val="0"/>
          <w:sz w:val="24"/>
        </w:rPr>
        <w:t>米为古树名木生长保护范围，在生长保护范围内的新、扩、改建建设工程，必须满足古树名木根系生长和日照要求，并在施工期间落实养护措施。</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第六条</w:t>
      </w:r>
      <w:r>
        <w:rPr>
          <w:rFonts w:eastAsia="方正仿宋_GBK"/>
          <w:color w:val="000000"/>
          <w:spacing w:val="-2"/>
          <w:kern w:val="0"/>
          <w:sz w:val="24"/>
        </w:rPr>
        <w:t xml:space="preserve">  </w:t>
      </w:r>
      <w:r>
        <w:rPr>
          <w:rFonts w:hint="eastAsia" w:eastAsia="方正仿宋_GBK"/>
          <w:color w:val="000000"/>
          <w:spacing w:val="-2"/>
          <w:kern w:val="0"/>
          <w:sz w:val="24"/>
        </w:rPr>
        <w:t>严禁在树体上钉钉、缠绕铁丝、绳索，悬挂杂物或作为施工支撑噗和固定物，严禁刻划树皮和攀折树枝，发现伤疤和树洞要及时修补，对腐烂部位应按外科方法进行处理。</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第七条</w:t>
      </w:r>
      <w:r>
        <w:rPr>
          <w:rFonts w:eastAsia="方正仿宋_GBK"/>
          <w:color w:val="000000"/>
          <w:spacing w:val="-2"/>
          <w:kern w:val="0"/>
          <w:sz w:val="24"/>
        </w:rPr>
        <w:t xml:space="preserve">  </w:t>
      </w:r>
      <w:r>
        <w:rPr>
          <w:rFonts w:hint="eastAsia" w:eastAsia="方正仿宋_GBK"/>
          <w:color w:val="000000"/>
          <w:spacing w:val="-2"/>
          <w:kern w:val="0"/>
          <w:sz w:val="24"/>
        </w:rPr>
        <w:t>一级古树及生长在公园绿地或人流密度较大、易受毁坏的二、三级古树名木应设置保护围栏，围栏与树干距离不得少于</w:t>
      </w:r>
      <w:r>
        <w:rPr>
          <w:rFonts w:eastAsia="方正仿宋_GBK"/>
          <w:color w:val="000000"/>
          <w:spacing w:val="-2"/>
          <w:kern w:val="0"/>
          <w:sz w:val="24"/>
        </w:rPr>
        <w:t>2</w:t>
      </w:r>
      <w:r>
        <w:rPr>
          <w:rFonts w:hint="eastAsia" w:eastAsia="方正仿宋_GBK"/>
          <w:color w:val="000000"/>
          <w:spacing w:val="-2"/>
          <w:kern w:val="0"/>
          <w:sz w:val="24"/>
        </w:rPr>
        <w:t>米，特殊立地条件无法达到</w:t>
      </w:r>
      <w:r>
        <w:rPr>
          <w:rFonts w:eastAsia="方正仿宋_GBK"/>
          <w:color w:val="000000"/>
          <w:spacing w:val="-2"/>
          <w:kern w:val="0"/>
          <w:sz w:val="24"/>
        </w:rPr>
        <w:t>2</w:t>
      </w:r>
      <w:r>
        <w:rPr>
          <w:rFonts w:hint="eastAsia" w:eastAsia="方正仿宋_GBK"/>
          <w:color w:val="000000"/>
          <w:spacing w:val="-2"/>
          <w:kern w:val="0"/>
          <w:sz w:val="24"/>
        </w:rPr>
        <w:t>米的，以人摸不到树干为最低要求。围栏内土壤表面可种植三叶草等豆科植物，以保持土壤湿润、透气。</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第八条</w:t>
      </w:r>
      <w:r>
        <w:rPr>
          <w:rFonts w:eastAsia="方正仿宋_GBK"/>
          <w:color w:val="000000"/>
          <w:spacing w:val="-2"/>
          <w:kern w:val="0"/>
          <w:sz w:val="24"/>
        </w:rPr>
        <w:t xml:space="preserve">  </w:t>
      </w:r>
      <w:r>
        <w:rPr>
          <w:rFonts w:hint="eastAsia" w:eastAsia="方正仿宋_GBK"/>
          <w:color w:val="000000"/>
          <w:spacing w:val="-2"/>
          <w:kern w:val="0"/>
          <w:sz w:val="24"/>
        </w:rPr>
        <w:t>每年应对古树名木的生长情况进行调查，并做好记录，发现生长异常需分析原因，及时采取养护措施并采集标本存档。</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第九条</w:t>
      </w:r>
      <w:r>
        <w:rPr>
          <w:rFonts w:eastAsia="方正仿宋_GBK"/>
          <w:color w:val="000000"/>
          <w:spacing w:val="-2"/>
          <w:kern w:val="0"/>
          <w:sz w:val="24"/>
        </w:rPr>
        <w:t xml:space="preserve">  </w:t>
      </w:r>
      <w:r>
        <w:rPr>
          <w:rFonts w:hint="eastAsia" w:eastAsia="方正仿宋_GBK"/>
          <w:color w:val="000000"/>
          <w:spacing w:val="-2"/>
          <w:kern w:val="0"/>
          <w:sz w:val="24"/>
        </w:rPr>
        <w:t>根据不同树种对水分的不同要求进行浇水或排水。高湿干旱季节，根据土壤含水量的测定值，进行浇透水或叶面喷淋。根系分布范围内需有良好的自然排水系统、不得长期积水。无法沟排的需增设盲沟与暗井。生长在坡地的古树名木可在其下方筑水平梯田扩大吸水和生长范围。</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第十条</w:t>
      </w:r>
      <w:r>
        <w:rPr>
          <w:rFonts w:eastAsia="方正仿宋_GBK"/>
          <w:color w:val="000000"/>
          <w:spacing w:val="-2"/>
          <w:kern w:val="0"/>
          <w:sz w:val="24"/>
        </w:rPr>
        <w:t xml:space="preserve">  </w:t>
      </w:r>
      <w:r>
        <w:rPr>
          <w:rFonts w:hint="eastAsia" w:eastAsia="方正仿宋_GBK"/>
          <w:color w:val="000000"/>
          <w:spacing w:val="-2"/>
          <w:kern w:val="0"/>
          <w:sz w:val="24"/>
        </w:rPr>
        <w:t>古树名木长时间在同一地点生长，土壤肥力会下降，在测定土壤元素含量的情况下进行施肥。土壤中如缺微量元素，可针对性增施微量元素，施肥方法可采用穴肥、放射性沟施和叶面喷施。</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第十一条</w:t>
      </w:r>
      <w:r>
        <w:rPr>
          <w:rFonts w:eastAsia="方正仿宋_GBK"/>
          <w:color w:val="000000"/>
          <w:spacing w:val="-2"/>
          <w:kern w:val="0"/>
          <w:sz w:val="24"/>
        </w:rPr>
        <w:t xml:space="preserve">    </w:t>
      </w:r>
      <w:r>
        <w:rPr>
          <w:rFonts w:hint="eastAsia" w:eastAsia="方正仿宋_GBK"/>
          <w:color w:val="000000"/>
          <w:spacing w:val="-2"/>
          <w:kern w:val="0"/>
          <w:sz w:val="24"/>
        </w:rPr>
        <w:t>修剪古树名木的枯死枝、梢，事先应由主管部门技术人员制定修剪方案，报主管部门批准后实施。修剪要避开伤流盛期。小枯枝用手锯锯掉或铁钩钩掉。截大枝应做到锯口平整、不劈裂、不撕皮，过大的粗枝应采取分段截枝法。操作时应注意安全，锯口应涂防腐剂，防止水分蒸发及病虫害侵害。</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第十二条</w:t>
      </w:r>
      <w:r>
        <w:rPr>
          <w:rFonts w:eastAsia="方正仿宋_GBK"/>
          <w:color w:val="000000"/>
          <w:spacing w:val="-2"/>
          <w:kern w:val="0"/>
          <w:sz w:val="24"/>
        </w:rPr>
        <w:t xml:space="preserve">  </w:t>
      </w:r>
      <w:r>
        <w:rPr>
          <w:rFonts w:hint="eastAsia" w:eastAsia="方正仿宋_GBK"/>
          <w:color w:val="000000"/>
          <w:spacing w:val="-2"/>
          <w:kern w:val="0"/>
          <w:sz w:val="24"/>
        </w:rPr>
        <w:t>古树名木树体不稳或粗枝腐朽且严重下垂，</w:t>
      </w:r>
      <w:r>
        <w:rPr>
          <w:rFonts w:eastAsia="方正仿宋_GBK"/>
          <w:color w:val="000000"/>
          <w:spacing w:val="-2"/>
          <w:kern w:val="0"/>
          <w:sz w:val="24"/>
        </w:rPr>
        <w:t xml:space="preserve"> </w:t>
      </w:r>
      <w:r>
        <w:rPr>
          <w:rFonts w:hint="eastAsia" w:eastAsia="方正仿宋_GBK"/>
          <w:color w:val="000000"/>
          <w:spacing w:val="-2"/>
          <w:kern w:val="0"/>
          <w:sz w:val="24"/>
        </w:rPr>
        <w:t>均需进行支撑加固，支撑物要注意美观，支撑可采用刚性支撑或弹性支撑。</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第十三条</w:t>
      </w:r>
      <w:r>
        <w:rPr>
          <w:rFonts w:eastAsia="方正仿宋_GBK"/>
          <w:color w:val="000000"/>
          <w:spacing w:val="-2"/>
          <w:kern w:val="0"/>
          <w:sz w:val="24"/>
        </w:rPr>
        <w:t xml:space="preserve">  </w:t>
      </w:r>
      <w:r>
        <w:rPr>
          <w:rFonts w:hint="eastAsia" w:eastAsia="方正仿宋_GBK"/>
          <w:color w:val="000000"/>
          <w:spacing w:val="-2"/>
          <w:kern w:val="0"/>
          <w:sz w:val="24"/>
        </w:rPr>
        <w:t>定期检查古树名木的病虫害情况，采用综合防治措施，认真推广和采用安全、高效、低毒农药及防治新技术，严禁使用剧毒农药。使用化学农药应按有关安全操作规程进行作业。</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第十四条</w:t>
      </w:r>
      <w:r>
        <w:rPr>
          <w:rFonts w:eastAsia="方正仿宋_GBK"/>
          <w:color w:val="000000"/>
          <w:spacing w:val="-2"/>
          <w:kern w:val="0"/>
          <w:sz w:val="24"/>
        </w:rPr>
        <w:t xml:space="preserve">  </w:t>
      </w:r>
      <w:r>
        <w:rPr>
          <w:rFonts w:hint="eastAsia" w:eastAsia="方正仿宋_GBK"/>
          <w:color w:val="000000"/>
          <w:spacing w:val="-2"/>
          <w:kern w:val="0"/>
          <w:sz w:val="24"/>
        </w:rPr>
        <w:t>树体高大的古树名木，周围</w:t>
      </w:r>
      <w:r>
        <w:rPr>
          <w:rFonts w:eastAsia="方正仿宋_GBK"/>
          <w:color w:val="000000"/>
          <w:spacing w:val="-2"/>
          <w:kern w:val="0"/>
          <w:sz w:val="24"/>
        </w:rPr>
        <w:t>30</w:t>
      </w:r>
      <w:r>
        <w:rPr>
          <w:rFonts w:hint="eastAsia" w:eastAsia="方正仿宋_GBK"/>
          <w:color w:val="000000"/>
          <w:spacing w:val="-2"/>
          <w:kern w:val="0"/>
          <w:sz w:val="24"/>
        </w:rPr>
        <w:t>米内无高大建筑时，应设置避雷装置。</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第十五条</w:t>
      </w:r>
      <w:r>
        <w:rPr>
          <w:rFonts w:eastAsia="方正仿宋_GBK"/>
          <w:color w:val="000000"/>
          <w:spacing w:val="-2"/>
          <w:kern w:val="0"/>
          <w:sz w:val="24"/>
        </w:rPr>
        <w:t xml:space="preserve">  </w:t>
      </w:r>
      <w:r>
        <w:rPr>
          <w:rFonts w:hint="eastAsia" w:eastAsia="方正仿宋_GBK"/>
          <w:color w:val="000000"/>
          <w:spacing w:val="-2"/>
          <w:kern w:val="0"/>
          <w:sz w:val="24"/>
        </w:rPr>
        <w:t>对古树名木要逐年做好养护记录并存档。</w:t>
      </w:r>
    </w:p>
    <w:p>
      <w:pPr>
        <w:spacing w:line="460" w:lineRule="exact"/>
        <w:ind w:firstLine="472" w:firstLineChars="200"/>
        <w:rPr>
          <w:rFonts w:eastAsia="方正仿宋_GBK"/>
          <w:color w:val="000000"/>
          <w:spacing w:val="-2"/>
          <w:kern w:val="0"/>
          <w:sz w:val="24"/>
        </w:rPr>
      </w:pPr>
    </w:p>
    <w:p>
      <w:pPr>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第三章</w:t>
      </w:r>
      <w:r>
        <w:rPr>
          <w:rFonts w:ascii="Times New Roman" w:eastAsia="方正黑体_GBK"/>
          <w:color w:val="000000"/>
          <w:spacing w:val="-2"/>
          <w:kern w:val="0"/>
          <w:sz w:val="24"/>
        </w:rPr>
        <w:t> </w:t>
      </w:r>
      <w:r>
        <w:rPr>
          <w:rFonts w:hint="eastAsia" w:ascii="Times New Roman" w:eastAsia="方正黑体_GBK"/>
          <w:color w:val="000000"/>
          <w:spacing w:val="-2"/>
          <w:kern w:val="0"/>
          <w:sz w:val="24"/>
        </w:rPr>
        <w:t xml:space="preserve"> 特殊养护</w:t>
      </w:r>
    </w:p>
    <w:p>
      <w:pPr>
        <w:spacing w:line="460" w:lineRule="exact"/>
        <w:ind w:firstLine="472" w:firstLineChars="200"/>
        <w:rPr>
          <w:rFonts w:hint="eastAsia" w:eastAsia="方正仿宋_GBK"/>
          <w:color w:val="000000"/>
          <w:spacing w:val="-2"/>
          <w:kern w:val="0"/>
          <w:sz w:val="24"/>
        </w:rPr>
      </w:pP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第十六条</w:t>
      </w:r>
      <w:r>
        <w:rPr>
          <w:rFonts w:eastAsia="方正仿宋_GBK"/>
          <w:color w:val="000000"/>
          <w:spacing w:val="-2"/>
          <w:kern w:val="0"/>
          <w:sz w:val="24"/>
        </w:rPr>
        <w:t xml:space="preserve">  </w:t>
      </w:r>
      <w:r>
        <w:rPr>
          <w:rFonts w:hint="eastAsia" w:eastAsia="方正仿宋_GBK"/>
          <w:color w:val="000000"/>
          <w:spacing w:val="-2"/>
          <w:kern w:val="0"/>
          <w:sz w:val="24"/>
        </w:rPr>
        <w:t>古树名木生长在不利的特殊环境，需作特殊养护。进行特殊处理时需由管理部门提出申请，主管部门批准后实施。施工全过程需由工程技术人员现场指导，并做好摄影和照像资料存档。</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第十七条</w:t>
      </w:r>
      <w:r>
        <w:rPr>
          <w:rFonts w:eastAsia="方正仿宋_GBK"/>
          <w:color w:val="000000"/>
          <w:spacing w:val="-2"/>
          <w:kern w:val="0"/>
          <w:sz w:val="24"/>
        </w:rPr>
        <w:t xml:space="preserve">  </w:t>
      </w:r>
      <w:r>
        <w:rPr>
          <w:rFonts w:hint="eastAsia" w:eastAsia="方正仿宋_GBK"/>
          <w:color w:val="000000"/>
          <w:spacing w:val="-2"/>
          <w:kern w:val="0"/>
          <w:sz w:val="24"/>
        </w:rPr>
        <w:t>土壤密实、透水透气不良、土壤含水量高，影响根系的正常生命活动，可结合施肥对土壤进行换土。含水量过高可开挖盲沟或暗井进行排水。</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第十八条</w:t>
      </w:r>
      <w:r>
        <w:rPr>
          <w:rFonts w:eastAsia="方正仿宋_GBK"/>
          <w:color w:val="000000"/>
          <w:spacing w:val="-2"/>
          <w:kern w:val="0"/>
          <w:sz w:val="24"/>
        </w:rPr>
        <w:t xml:space="preserve">  </w:t>
      </w:r>
      <w:r>
        <w:rPr>
          <w:rFonts w:hint="eastAsia" w:eastAsia="方正仿宋_GBK"/>
          <w:color w:val="000000"/>
          <w:spacing w:val="-2"/>
          <w:kern w:val="0"/>
          <w:sz w:val="24"/>
        </w:rPr>
        <w:t>人流密度过大及道路广场范围内的古树名木，</w:t>
      </w:r>
      <w:r>
        <w:rPr>
          <w:rFonts w:eastAsia="方正仿宋_GBK"/>
          <w:color w:val="000000"/>
          <w:spacing w:val="-2"/>
          <w:kern w:val="0"/>
          <w:sz w:val="24"/>
        </w:rPr>
        <w:t xml:space="preserve">  </w:t>
      </w:r>
      <w:r>
        <w:rPr>
          <w:rFonts w:hint="eastAsia" w:eastAsia="方正仿宋_GBK"/>
          <w:color w:val="000000"/>
          <w:spacing w:val="-2"/>
          <w:kern w:val="0"/>
          <w:sz w:val="24"/>
        </w:rPr>
        <w:t>可在根系分布范围内进行透气铺装</w:t>
      </w:r>
      <w:r>
        <w:rPr>
          <w:rFonts w:eastAsia="方正仿宋_GBK"/>
          <w:color w:val="000000"/>
          <w:spacing w:val="-2"/>
          <w:kern w:val="0"/>
          <w:sz w:val="24"/>
        </w:rPr>
        <w:t xml:space="preserve"> (</w:t>
      </w:r>
      <w:r>
        <w:rPr>
          <w:rFonts w:hint="eastAsia" w:eastAsia="方正仿宋_GBK"/>
          <w:color w:val="000000"/>
          <w:spacing w:val="-2"/>
          <w:kern w:val="0"/>
          <w:sz w:val="24"/>
        </w:rPr>
        <w:t>一般为树冠垂直投影外</w:t>
      </w:r>
      <w:r>
        <w:rPr>
          <w:rFonts w:eastAsia="方正仿宋_GBK"/>
          <w:color w:val="000000"/>
          <w:spacing w:val="-2"/>
          <w:kern w:val="0"/>
          <w:sz w:val="24"/>
        </w:rPr>
        <w:t>2</w:t>
      </w:r>
      <w:r>
        <w:rPr>
          <w:rFonts w:hint="eastAsia" w:eastAsia="方正仿宋_GBK"/>
          <w:color w:val="000000"/>
          <w:spacing w:val="-2"/>
          <w:kern w:val="0"/>
          <w:sz w:val="24"/>
        </w:rPr>
        <w:t>米</w:t>
      </w:r>
      <w:r>
        <w:rPr>
          <w:rFonts w:eastAsia="方正仿宋_GBK"/>
          <w:color w:val="000000"/>
          <w:spacing w:val="-2"/>
          <w:kern w:val="0"/>
          <w:sz w:val="24"/>
        </w:rPr>
        <w:t>)</w:t>
      </w:r>
      <w:r>
        <w:rPr>
          <w:rFonts w:hint="eastAsia" w:eastAsia="方正仿宋_GBK"/>
          <w:color w:val="000000"/>
          <w:spacing w:val="-2"/>
          <w:kern w:val="0"/>
          <w:sz w:val="24"/>
        </w:rPr>
        <w:t>。透气铺装的材料应具有良好的透水、透气性，应根据地面的抗压需要而采用不同的抗压性材料。透气铺装可采用倒梯形铺装、架空铺装等方法。</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第十九条</w:t>
      </w:r>
      <w:r>
        <w:rPr>
          <w:rFonts w:eastAsia="方正仿宋_GBK"/>
          <w:color w:val="000000"/>
          <w:spacing w:val="-2"/>
          <w:kern w:val="0"/>
          <w:sz w:val="24"/>
        </w:rPr>
        <w:t xml:space="preserve">  </w:t>
      </w:r>
      <w:r>
        <w:rPr>
          <w:rFonts w:hint="eastAsia" w:eastAsia="方正仿宋_GBK"/>
          <w:color w:val="000000"/>
          <w:spacing w:val="-2"/>
          <w:kern w:val="0"/>
          <w:sz w:val="24"/>
        </w:rPr>
        <w:t>因地下工程漏水引起地下积水，需找到漏点并堵住；因土质含建筑渣土而持水不足，应结合换土，清除渣土，混入适量壤土。</w:t>
      </w:r>
    </w:p>
    <w:p>
      <w:pPr>
        <w:spacing w:line="460" w:lineRule="exact"/>
        <w:ind w:firstLine="472" w:firstLineChars="200"/>
        <w:rPr>
          <w:rFonts w:eastAsia="方正仿宋_GBK"/>
          <w:color w:val="000000"/>
          <w:spacing w:val="-2"/>
          <w:kern w:val="0"/>
          <w:sz w:val="24"/>
        </w:rPr>
      </w:pPr>
    </w:p>
    <w:p>
      <w:pPr>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第四章</w:t>
      </w:r>
      <w:r>
        <w:rPr>
          <w:rFonts w:ascii="Times New Roman" w:eastAsia="方正黑体_GBK"/>
          <w:color w:val="000000"/>
          <w:spacing w:val="-2"/>
          <w:kern w:val="0"/>
          <w:sz w:val="24"/>
        </w:rPr>
        <w:t> </w:t>
      </w:r>
      <w:r>
        <w:rPr>
          <w:rFonts w:hint="eastAsia" w:ascii="Times New Roman" w:eastAsia="方正黑体_GBK"/>
          <w:color w:val="000000"/>
          <w:spacing w:val="-2"/>
          <w:kern w:val="0"/>
          <w:sz w:val="24"/>
        </w:rPr>
        <w:t xml:space="preserve"> 其    它</w:t>
      </w:r>
    </w:p>
    <w:p>
      <w:pPr>
        <w:spacing w:line="460" w:lineRule="exact"/>
        <w:ind w:firstLine="472" w:firstLineChars="200"/>
        <w:rPr>
          <w:rFonts w:hint="eastAsia" w:eastAsia="方正仿宋_GBK"/>
          <w:color w:val="000000"/>
          <w:spacing w:val="-2"/>
          <w:kern w:val="0"/>
          <w:sz w:val="24"/>
        </w:rPr>
      </w:pP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第二十条</w:t>
      </w:r>
      <w:r>
        <w:rPr>
          <w:rFonts w:eastAsia="方正仿宋_GBK"/>
          <w:color w:val="000000"/>
          <w:spacing w:val="-2"/>
          <w:kern w:val="0"/>
          <w:sz w:val="24"/>
        </w:rPr>
        <w:t xml:space="preserve">  </w:t>
      </w:r>
      <w:r>
        <w:rPr>
          <w:rFonts w:hint="eastAsia" w:eastAsia="方正仿宋_GBK"/>
          <w:color w:val="000000"/>
          <w:spacing w:val="-2"/>
          <w:kern w:val="0"/>
          <w:sz w:val="24"/>
        </w:rPr>
        <w:t>建立古树名木保护档案是做好古树名木保护的基础工作，档案包括：</w:t>
      </w:r>
      <w:r>
        <w:rPr>
          <w:rFonts w:eastAsia="方正仿宋_GBK"/>
          <w:color w:val="000000"/>
          <w:spacing w:val="-2"/>
          <w:kern w:val="0"/>
          <w:sz w:val="24"/>
        </w:rPr>
        <w:t>1</w:t>
      </w:r>
      <w:r>
        <w:rPr>
          <w:rFonts w:hint="eastAsia" w:eastAsia="方正仿宋_GBK"/>
          <w:color w:val="000000"/>
          <w:spacing w:val="-2"/>
          <w:kern w:val="0"/>
          <w:sz w:val="24"/>
        </w:rPr>
        <w:t>、古树名木登记表；</w:t>
      </w:r>
      <w:r>
        <w:rPr>
          <w:rFonts w:eastAsia="方正仿宋_GBK"/>
          <w:color w:val="000000"/>
          <w:spacing w:val="-2"/>
          <w:kern w:val="0"/>
          <w:sz w:val="24"/>
        </w:rPr>
        <w:t>2</w:t>
      </w:r>
      <w:r>
        <w:rPr>
          <w:rFonts w:hint="eastAsia" w:eastAsia="方正仿宋_GBK"/>
          <w:color w:val="000000"/>
          <w:spacing w:val="-2"/>
          <w:kern w:val="0"/>
          <w:sz w:val="24"/>
        </w:rPr>
        <w:t>、古树名木养护录表；</w:t>
      </w:r>
      <w:r>
        <w:rPr>
          <w:rFonts w:eastAsia="方正仿宋_GBK"/>
          <w:color w:val="000000"/>
          <w:spacing w:val="-2"/>
          <w:kern w:val="0"/>
          <w:sz w:val="24"/>
        </w:rPr>
        <w:t>3</w:t>
      </w:r>
      <w:r>
        <w:rPr>
          <w:rFonts w:hint="eastAsia" w:eastAsia="方正仿宋_GBK"/>
          <w:color w:val="000000"/>
          <w:spacing w:val="-2"/>
          <w:kern w:val="0"/>
          <w:sz w:val="24"/>
        </w:rPr>
        <w:t>、其它有关技术资料。</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第二十一条</w:t>
      </w:r>
      <w:r>
        <w:rPr>
          <w:rFonts w:eastAsia="方正仿宋_GBK"/>
          <w:color w:val="000000"/>
          <w:spacing w:val="-2"/>
          <w:kern w:val="0"/>
          <w:sz w:val="24"/>
        </w:rPr>
        <w:t xml:space="preserve">  </w:t>
      </w:r>
      <w:r>
        <w:rPr>
          <w:rFonts w:hint="eastAsia" w:eastAsia="方正仿宋_GBK"/>
          <w:color w:val="000000"/>
          <w:spacing w:val="-2"/>
          <w:kern w:val="0"/>
          <w:sz w:val="24"/>
        </w:rPr>
        <w:t>无论何种原因造成古树名木损伤或死亡的，</w:t>
      </w:r>
      <w:r>
        <w:rPr>
          <w:rFonts w:eastAsia="方正仿宋_GBK"/>
          <w:color w:val="000000"/>
          <w:spacing w:val="-2"/>
          <w:kern w:val="0"/>
          <w:sz w:val="24"/>
        </w:rPr>
        <w:t xml:space="preserve">  </w:t>
      </w:r>
      <w:r>
        <w:rPr>
          <w:rFonts w:hint="eastAsia" w:eastAsia="方正仿宋_GBK"/>
          <w:color w:val="000000"/>
          <w:spacing w:val="-2"/>
          <w:kern w:val="0"/>
          <w:sz w:val="24"/>
        </w:rPr>
        <w:t>均需由主管单位向主管部门出具书面报告，由主管部门组织专家进行实地论证核实后填表存档，并按有关规定予以处理。</w:t>
      </w:r>
    </w:p>
    <w:p>
      <w:pPr>
        <w:spacing w:line="460" w:lineRule="exact"/>
        <w:ind w:firstLine="472" w:firstLineChars="200"/>
        <w:rPr>
          <w:rFonts w:eastAsia="方正仿宋_GBK"/>
          <w:color w:val="000000"/>
          <w:spacing w:val="-2"/>
          <w:kern w:val="0"/>
          <w:sz w:val="24"/>
        </w:rPr>
      </w:pPr>
      <w:r>
        <w:rPr>
          <w:rFonts w:hint="eastAsia" w:ascii="Times New Roman" w:eastAsia="方正黑体_GBK"/>
          <w:color w:val="000000"/>
          <w:spacing w:val="-2"/>
          <w:kern w:val="0"/>
          <w:sz w:val="24"/>
        </w:rPr>
        <w:t>第二十二条</w:t>
      </w:r>
      <w:r>
        <w:rPr>
          <w:rFonts w:eastAsia="方正仿宋_GBK"/>
          <w:color w:val="000000"/>
          <w:spacing w:val="-2"/>
          <w:kern w:val="0"/>
          <w:sz w:val="24"/>
        </w:rPr>
        <w:t xml:space="preserve">  </w:t>
      </w:r>
      <w:r>
        <w:rPr>
          <w:rFonts w:hint="eastAsia" w:eastAsia="方正仿宋_GBK"/>
          <w:color w:val="000000"/>
          <w:spacing w:val="-2"/>
          <w:kern w:val="0"/>
          <w:sz w:val="24"/>
        </w:rPr>
        <w:t>对具有重大历史背景和纪念意义的已枯死的古树名木应在原地立牌说明。</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jc w:val="left"/>
        <w:rPr>
          <w:rFonts w:eastAsia="方正仿宋_GBK"/>
          <w:color w:val="000000"/>
          <w:spacing w:val="-2"/>
          <w:sz w:val="32"/>
          <w:szCs w:val="32"/>
        </w:rPr>
      </w:pPr>
    </w:p>
    <w:p>
      <w:pPr>
        <w:pStyle w:val="2"/>
        <w:spacing w:before="240" w:beforeLines="100" w:after="240" w:afterLines="100" w:line="240" w:lineRule="auto"/>
        <w:jc w:val="center"/>
        <w:rPr>
          <w:rFonts w:ascii="Times New Roman" w:eastAsia="方正小标宋_GBK"/>
          <w:b w:val="0"/>
          <w:sz w:val="36"/>
          <w:szCs w:val="36"/>
        </w:rPr>
      </w:pPr>
      <w:bookmarkStart w:id="422" w:name="_Toc18315781"/>
      <w:bookmarkStart w:id="423" w:name="_Toc20726640"/>
      <w:r>
        <w:rPr>
          <w:rFonts w:hint="eastAsia" w:ascii="Times New Roman" w:eastAsia="方正小标宋_GBK"/>
          <w:b w:val="0"/>
          <w:sz w:val="36"/>
          <w:szCs w:val="36"/>
        </w:rPr>
        <w:t>省住房城乡建设厅关于进一步加强公园工作的意见</w:t>
      </w:r>
      <w:bookmarkEnd w:id="422"/>
      <w:bookmarkEnd w:id="423"/>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24" w:name="_Toc20726641"/>
      <w:bookmarkStart w:id="425" w:name="_Toc18315782"/>
      <w:r>
        <w:rPr>
          <w:rFonts w:hint="eastAsia" w:ascii="Times New Roman" w:hAnsi="Times New Roman" w:eastAsia="方正楷体_GBK"/>
          <w:b w:val="0"/>
          <w:sz w:val="24"/>
          <w:szCs w:val="24"/>
        </w:rPr>
        <w:t>苏建园〔</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402</w:t>
      </w:r>
      <w:r>
        <w:rPr>
          <w:rFonts w:hint="eastAsia" w:ascii="Times New Roman" w:hAnsi="Times New Roman" w:eastAsia="方正楷体_GBK"/>
          <w:b w:val="0"/>
          <w:sz w:val="24"/>
          <w:szCs w:val="24"/>
        </w:rPr>
        <w:t>号</w:t>
      </w:r>
      <w:bookmarkEnd w:id="424"/>
      <w:bookmarkEnd w:id="425"/>
    </w:p>
    <w:p>
      <w:pPr>
        <w:spacing w:line="440" w:lineRule="exact"/>
        <w:rPr>
          <w:rFonts w:eastAsia="方正仿宋_GBK"/>
          <w:color w:val="000000"/>
          <w:spacing w:val="-2"/>
          <w:sz w:val="24"/>
        </w:rPr>
      </w:pPr>
      <w:r>
        <w:rPr>
          <w:rFonts w:hint="eastAsia" w:eastAsia="方正仿宋_GBK"/>
          <w:color w:val="000000"/>
          <w:spacing w:val="-2"/>
          <w:sz w:val="24"/>
        </w:rPr>
        <w:t>各市园林（建设）局：</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为全面贯彻落实党的十八大精神，推进生态文明建设，进一步加强我省公园规划、建设、管理和保护工作，充分发挥公园在城市建设和生态环境保护中的重要功能，促进我省公园事业健康、有序、可持续发展，现结合我省实际情况，就贯彻落实住房城乡建设部建城〔</w:t>
      </w:r>
      <w:r>
        <w:rPr>
          <w:rFonts w:eastAsia="方正仿宋_GBK"/>
          <w:color w:val="000000"/>
          <w:spacing w:val="-2"/>
          <w:sz w:val="24"/>
        </w:rPr>
        <w:t>2013</w:t>
      </w:r>
      <w:r>
        <w:rPr>
          <w:rFonts w:hint="eastAsia" w:eastAsia="方正仿宋_GBK"/>
          <w:color w:val="000000"/>
          <w:spacing w:val="-2"/>
          <w:sz w:val="24"/>
        </w:rPr>
        <w:t>〕</w:t>
      </w:r>
      <w:r>
        <w:rPr>
          <w:rFonts w:eastAsia="方正仿宋_GBK"/>
          <w:color w:val="000000"/>
          <w:spacing w:val="-2"/>
          <w:sz w:val="24"/>
        </w:rPr>
        <w:t>73</w:t>
      </w:r>
      <w:r>
        <w:rPr>
          <w:rFonts w:hint="eastAsia" w:eastAsia="方正仿宋_GBK"/>
          <w:color w:val="000000"/>
          <w:spacing w:val="-2"/>
          <w:sz w:val="24"/>
        </w:rPr>
        <w:t>号文件精神，提出如下意见。</w:t>
      </w:r>
    </w:p>
    <w:p>
      <w:pPr>
        <w:spacing w:line="440" w:lineRule="exact"/>
        <w:ind w:firstLine="472" w:firstLineChars="200"/>
        <w:rPr>
          <w:rFonts w:eastAsia="方正黑体_GBK"/>
          <w:color w:val="000000"/>
          <w:spacing w:val="-2"/>
          <w:sz w:val="24"/>
        </w:rPr>
      </w:pPr>
      <w:r>
        <w:rPr>
          <w:rFonts w:hint="eastAsia" w:eastAsia="方正黑体_GBK"/>
          <w:color w:val="000000"/>
          <w:spacing w:val="-2"/>
          <w:sz w:val="24"/>
        </w:rPr>
        <w:t>一、重视公园事业发展，体现社会公益属性</w:t>
      </w:r>
    </w:p>
    <w:p>
      <w:pPr>
        <w:spacing w:line="440" w:lineRule="exact"/>
        <w:ind w:firstLine="456" w:firstLineChars="200"/>
        <w:rPr>
          <w:rFonts w:eastAsia="方正仿宋_GBK"/>
          <w:color w:val="000000"/>
          <w:spacing w:val="-6"/>
          <w:sz w:val="24"/>
        </w:rPr>
      </w:pPr>
      <w:r>
        <w:rPr>
          <w:rFonts w:hint="eastAsia" w:eastAsia="方正仿宋_GBK"/>
          <w:color w:val="000000"/>
          <w:spacing w:val="-6"/>
          <w:sz w:val="24"/>
        </w:rPr>
        <w:t>公园是提供公共服务的重要社会事业，是城市绿地系统的核心组成部分，是人民群众共享园林绿化成果的公众场所，具有改善生态、美化环境、休闲游憩、传承文化、保护资源、科普教育、防灾避险等方面功能。各市（县）要从建设生态文明和构建和谐社会的高度，充分认识公园事业发展的重要意义，严格遵循</w:t>
      </w:r>
      <w:r>
        <w:rPr>
          <w:rFonts w:eastAsia="方正仿宋_GBK"/>
          <w:color w:val="000000"/>
          <w:spacing w:val="-6"/>
          <w:sz w:val="24"/>
        </w:rPr>
        <w:t>“</w:t>
      </w:r>
      <w:r>
        <w:rPr>
          <w:rFonts w:hint="eastAsia" w:eastAsia="方正仿宋_GBK"/>
          <w:color w:val="000000"/>
          <w:spacing w:val="-6"/>
          <w:sz w:val="24"/>
        </w:rPr>
        <w:t>保护优先、生态优先、合理利用、持续发展</w:t>
      </w:r>
      <w:r>
        <w:rPr>
          <w:rFonts w:eastAsia="方正仿宋_GBK"/>
          <w:color w:val="000000"/>
          <w:spacing w:val="-6"/>
          <w:sz w:val="24"/>
        </w:rPr>
        <w:t>”</w:t>
      </w:r>
      <w:r>
        <w:rPr>
          <w:rFonts w:hint="eastAsia" w:eastAsia="方正仿宋_GBK"/>
          <w:color w:val="000000"/>
          <w:spacing w:val="-6"/>
          <w:sz w:val="24"/>
        </w:rPr>
        <w:t>的方针，坚持公园的公益性质，发挥公园在改善城市生态环境、维护生态平衡、创造适宜人居环境、引领城市园林绿化发展等方面的积极作用，在规划控制、资源协调、政策保障、监督管理等方面强化政府主导作用，切实抓好公园各项工作。</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市（县）要把公园事业纳入本地区国民经济和社会发展计划，将社会公益性公园规划建设、维护管理和保护费用列入政府公共财政预算，逐渐增加管理和维护经费，积极推行免费开放，实施特殊人群优惠政策，切实满足人民群众休闲、娱乐、健身等生活需要。</w:t>
      </w:r>
    </w:p>
    <w:p>
      <w:pPr>
        <w:spacing w:line="440" w:lineRule="exact"/>
        <w:ind w:firstLine="472" w:firstLineChars="200"/>
        <w:rPr>
          <w:rFonts w:eastAsia="方正黑体_GBK"/>
          <w:color w:val="000000"/>
          <w:spacing w:val="-2"/>
          <w:sz w:val="24"/>
        </w:rPr>
      </w:pPr>
      <w:r>
        <w:rPr>
          <w:rFonts w:hint="eastAsia" w:eastAsia="方正黑体_GBK"/>
          <w:color w:val="000000"/>
          <w:spacing w:val="-2"/>
          <w:sz w:val="24"/>
        </w:rPr>
        <w:t>二、科学规划公园布局，合理构建公园体系</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市（县）城市园林绿化行政主管部门要牢固树立以人为本、尊重科学、顺应自然、低碳节约的规划设计理念，在编制或修编城市绿地系统规划时，应当根据城市总体规划、土地利用规划，会同有关部门组织编制公园发展与保护专项规划，合理划定公园规划用地和保护范围，并报同级人民政府批准后实施。已经城市总体规划和城市绿地系统规划确定的公园建设用地，要确保公园用地性质及其完整性。要严格按照《城市绿线管理办法》，对已建成开放的公园，划定保护范围并确定四至坐标，明确界线。在建的和规划确定的公园用地，任何单位和个人不得擅自改变用地性质或者占用公园绿地。具有历史文化风貌和保护价值的公园应当纳入城市历史文化保护规划，列入世界遗产名录的或具备文化与自然遗产价值的，严格依据相关法律法规进行保护管理。</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各市（县）应合理构建</w:t>
      </w:r>
      <w:r>
        <w:rPr>
          <w:rFonts w:eastAsia="方正仿宋_GBK"/>
          <w:color w:val="000000"/>
          <w:spacing w:val="-2"/>
          <w:sz w:val="24"/>
        </w:rPr>
        <w:t>“</w:t>
      </w:r>
      <w:r>
        <w:rPr>
          <w:rFonts w:hint="eastAsia" w:eastAsia="方正仿宋_GBK"/>
          <w:color w:val="000000"/>
          <w:spacing w:val="-2"/>
          <w:sz w:val="24"/>
        </w:rPr>
        <w:t>数量达标、分布均衡、功能完善、品质优良</w:t>
      </w:r>
      <w:r>
        <w:rPr>
          <w:rFonts w:eastAsia="方正仿宋_GBK"/>
          <w:color w:val="000000"/>
          <w:spacing w:val="-2"/>
          <w:sz w:val="24"/>
        </w:rPr>
        <w:t>”</w:t>
      </w:r>
      <w:r>
        <w:rPr>
          <w:rFonts w:hint="eastAsia" w:eastAsia="方正仿宋_GBK"/>
          <w:color w:val="000000"/>
          <w:spacing w:val="-2"/>
          <w:sz w:val="24"/>
        </w:rPr>
        <w:t>的公园体系，积极选择和挖掘历史文化遗址、遗迹及其他具有纪念意义、自然条件良好等区域，结合周边环境规划建设公园，突出公园文化内涵、地域风貌和城市特色。公园规划建设项目立项后，应当公开征集社会意见，组织专家论证，确定公园名称，并向社会公示。</w:t>
      </w:r>
    </w:p>
    <w:p>
      <w:pPr>
        <w:spacing w:line="440" w:lineRule="exact"/>
        <w:ind w:firstLine="472" w:firstLineChars="200"/>
        <w:rPr>
          <w:rFonts w:eastAsia="方正黑体_GBK"/>
          <w:color w:val="000000"/>
          <w:spacing w:val="-2"/>
          <w:sz w:val="24"/>
        </w:rPr>
      </w:pPr>
      <w:r>
        <w:rPr>
          <w:rFonts w:hint="eastAsia" w:eastAsia="方正黑体_GBK"/>
          <w:color w:val="000000"/>
          <w:spacing w:val="-2"/>
          <w:sz w:val="24"/>
        </w:rPr>
        <w:t>三、优化公园设计建设，提升公园功能品质</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市（县）要采取有力措施，有序建设新公园，合理改造提升原有公园，加快植物园、湿地公园、郊野公园、专类园等不同类型公园的建设，有条件的要积极开展国家重点公园、国家城市湿地公园等申报工作。新建、改建、扩建的公园必须符合国家有关公园建设的规定和审批程序，涉及遗产、文物、国家重点公园、国家城市湿地公园等，应按照规定报省或国家有关主管部门批准。推行项目建设公示、公开制度，自觉接受社会公众和新闻媒体的监督，使公园监管公开化。</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公园各类设施应当按照《公园设计规范》设置，统一规划，控制规模，并与公园功能相适应，与公园景观相协调。严格控制公园内建筑物、构筑物、配套设施设备等建设，不符合规划设计的应依法整改或拆除，对环境有影响的服务娱乐项目应当配套建设污染治理设施。合理设置公园交通系统，保障公园内交通微循环与城市绿道绿廊等慢行交通系统有效衔接。严格控制公园周边的开发建设，有条件地区可在公园周围划定建设控制地带。</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我省现存较多历史悠久或风格独特公园，代表一定时期的园林艺术的最高水准，具有较高的艺术价值和科研价值。各市（县）要注重历史文化名园、古典园林的保护和维护修复，保持原有风貌和布局。深入挖掘不同公园的历史文化内涵，体现地域文化和城市精神，结合多种展示形式，宣传我省园林的悠久历史文化和园林艺术，提升公园的文化品位与内涵。</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公园建设要坚持节约型、生态型、功能完善型发展道路，积极推广应用绿色照明、清洁能源、雨水收集及中水利用、园林垃圾资源化利用等新材料、新工艺、新技术，注重公园建设在城市园林绿化发展方向的示范性和引领作用。发挥公园生态调控功能，通过合理利用公园湿地、绿化、透水铺装等，增强雨洪调控能力，滞留和净化雨水回补地下水。公园建设应以植物景观为主，保证绿地面积不得少于公园陆地总面积的</w:t>
      </w:r>
      <w:r>
        <w:rPr>
          <w:rFonts w:eastAsia="方正仿宋_GBK"/>
          <w:color w:val="000000"/>
          <w:spacing w:val="-2"/>
          <w:sz w:val="24"/>
        </w:rPr>
        <w:t>65%</w:t>
      </w:r>
      <w:r>
        <w:rPr>
          <w:rFonts w:hint="eastAsia" w:eastAsia="方正仿宋_GBK"/>
          <w:color w:val="000000"/>
          <w:spacing w:val="-2"/>
          <w:sz w:val="24"/>
        </w:rPr>
        <w:t>。坚持适地适树，优先使用苗圃培育的乡土适生植物，营造以乔木为骨干的复层植物群落。按照平灾结合、综合利用的原则，根据城市防灾避险规划逐步实施公园应急避险场所建设，配备应急供水、供电、排污、厕所等生活设施，有效体现公园防灾避险功能。</w:t>
      </w:r>
    </w:p>
    <w:p>
      <w:pPr>
        <w:spacing w:line="440" w:lineRule="exact"/>
        <w:ind w:firstLine="472" w:firstLineChars="200"/>
        <w:rPr>
          <w:rFonts w:eastAsia="方正黑体_GBK"/>
          <w:color w:val="000000"/>
          <w:spacing w:val="-2"/>
          <w:sz w:val="24"/>
        </w:rPr>
      </w:pPr>
      <w:r>
        <w:rPr>
          <w:rFonts w:hint="eastAsia" w:eastAsia="方正黑体_GBK"/>
          <w:color w:val="000000"/>
          <w:spacing w:val="-2"/>
          <w:sz w:val="24"/>
        </w:rPr>
        <w:t>四、改善公园服务质量，确保运营安全有序</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公园是社会公共资源，要确保公园公共服务属性，严禁任何与公园公益性质及服务游人宗旨相违背的经营行为。公园内严格控制商业目的的展览、演出、影视拍摄等活动，利用公园建筑、设施而设置的经营项目应以服务游客为宗旨，与公园环境相协调。严禁在公园内设立为少数人服务的会所、高档餐馆和茶楼等。公园内各类游乐经营设施设置应符合公园总体规划设计，不得随意扩大经营范围，不得破坏、污染环境，已建成使用的设施应保持功能完好，保障运营安全。</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公园应按照《江苏省公园服务规范》要求，开展符合公园特色、充分满足游客需求的服务，不断提高服务质量，加强专业技术人才队伍的培养，提升整体服务质量和服务水平。公园卫生保洁、安全保卫和绿化养护等作业可逐步推行社会化和市场化运作方式。</w:t>
      </w:r>
    </w:p>
    <w:p>
      <w:pPr>
        <w:spacing w:line="440" w:lineRule="exact"/>
        <w:ind w:firstLine="472" w:firstLineChars="200"/>
        <w:rPr>
          <w:rFonts w:eastAsia="方正黑体_GBK"/>
          <w:color w:val="000000"/>
          <w:spacing w:val="-2"/>
          <w:sz w:val="24"/>
        </w:rPr>
      </w:pPr>
      <w:r>
        <w:rPr>
          <w:rFonts w:hint="eastAsia" w:eastAsia="方正黑体_GBK"/>
          <w:color w:val="000000"/>
          <w:spacing w:val="-2"/>
          <w:sz w:val="24"/>
        </w:rPr>
        <w:t>五、加大公园保护力度，整治违法违规行为</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市（县）要加强对公园的保护工作，任何单位和个人不得擅自占用公园用地，已占用的公园用地，应当限期归还，恢复原状。禁止借改造、搬迁等名义侵占公园，确需搬迁的要经过充分论证，经审核同意并公示，搬迁后不得改变公园绿地的公益性质，不得改变原址用地的公园绿地性质和使用功能。市政工程涉及已建成公园的必须采取合理避让措施，因城市建设或其他特殊原因需要临时穿越或占用公园用地的，不得超过公园地上或地下面积的</w:t>
      </w:r>
      <w:r>
        <w:rPr>
          <w:rFonts w:eastAsia="方正仿宋_GBK"/>
          <w:color w:val="000000"/>
          <w:spacing w:val="-2"/>
          <w:sz w:val="24"/>
        </w:rPr>
        <w:t>30%</w:t>
      </w:r>
      <w:r>
        <w:rPr>
          <w:rFonts w:hint="eastAsia" w:eastAsia="方正仿宋_GBK"/>
          <w:color w:val="000000"/>
          <w:spacing w:val="-2"/>
          <w:sz w:val="24"/>
        </w:rPr>
        <w:t>，并征得城市园林绿化主管部门意见后实施，依照《城市绿化条例》和有关规定办理临时用地手续，造成公园损失的，应当依法予以赔偿。严禁任何单位、组织和个人在已建成的公园内增设、改建与公园主题不符、与公园环境不相协调的建筑和设施。严格保护公园生态环境，不得擅自改变公园自然地貌，保护现有湿地资源和生物物种资源，以及已建成定型的植物景观、古树名木、文物古迹和具有保护价值的其他设施，使公园成为地方植物种质资源和物种多样性保护基地。</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各地要按照住房城乡建设部的部署，认真开展公园内违法建设和违章建筑的清理整治，对公园内不符合规划、未经批准，并且与公共服务、公园管理功能无关的经营性场所，要坚决予以清退。</w:t>
      </w:r>
    </w:p>
    <w:p>
      <w:pPr>
        <w:spacing w:line="440" w:lineRule="exact"/>
        <w:ind w:firstLine="472" w:firstLineChars="200"/>
        <w:rPr>
          <w:rFonts w:eastAsia="方正黑体_GBK"/>
          <w:color w:val="000000"/>
          <w:spacing w:val="-2"/>
          <w:sz w:val="24"/>
        </w:rPr>
      </w:pPr>
      <w:r>
        <w:rPr>
          <w:rFonts w:hint="eastAsia" w:eastAsia="方正黑体_GBK"/>
          <w:color w:val="000000"/>
          <w:spacing w:val="-2"/>
          <w:sz w:val="24"/>
        </w:rPr>
        <w:t>六、规范公园行业管理，建立健全考核机制</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市（县）园林绿化行政主管部门要加强对公园的行业管理，健全公园管理机构，理顺体制，完善机制，规范公园管理的各项制度，加强公园养管的指导服务和监督检查，建立长效管理机制。严格贯彻执行《江苏省城市绿化管理条例》等有关法律法规和行业标准，有条件的城市要结合实际情况，尽快制定、修订地方法规，完善和实施公园管理办法或保护条例，不断提高公园管理的制度化、规范化、科学化。公园管理部门要建立健全规范化管理体系，加强公园内部的监督考核，建立信息化管理系统，纳入城市数字化管理平台。加强公园安全保障措施，提倡健康有序的游园秩序，针对免费敞开式公园，有条件的地区由公安、城管等执法部门设置公园执法派出队伍或与公园协作委托组成监督巡查队伍。</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各市（县）园林绿化行政主管部门要建立辖区范围内公园的登记注册、普查清理、督察整顿等动态监管机制，定期公布公园的具体名录，并应在翌年</w:t>
      </w:r>
      <w:r>
        <w:rPr>
          <w:rFonts w:eastAsia="方正仿宋_GBK"/>
          <w:color w:val="000000"/>
          <w:spacing w:val="-2"/>
          <w:sz w:val="24"/>
        </w:rPr>
        <w:t>1</w:t>
      </w:r>
      <w:r>
        <w:rPr>
          <w:rFonts w:hint="eastAsia" w:eastAsia="方正仿宋_GBK"/>
          <w:color w:val="000000"/>
          <w:spacing w:val="-2"/>
          <w:sz w:val="24"/>
        </w:rPr>
        <w:t>月前将有关情况报省住房城乡建设厅备案。省住房城乡建设厅将组织核查各市（县）所报信息，开展专项检查考核工作，按照规定将检查结果和建设情况上报住房城乡建设部。</w:t>
      </w: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根据住房城乡建设部统一部署，实施城市园林绿化等级评定工作，各市（县）要按照《城市园林绿化评价标准》，完成与公园有关的指标，尚未完成指标的城市，要积极创造条件落实。省住房城乡建设厅定期核实各地有关指标的完成情况，将公园有关指标纳入</w:t>
      </w:r>
      <w:r>
        <w:rPr>
          <w:rFonts w:eastAsia="方正仿宋_GBK"/>
          <w:color w:val="000000"/>
          <w:spacing w:val="-2"/>
          <w:sz w:val="24"/>
        </w:rPr>
        <w:t>“</w:t>
      </w:r>
      <w:r>
        <w:rPr>
          <w:rFonts w:hint="eastAsia" w:eastAsia="方正仿宋_GBK"/>
          <w:color w:val="000000"/>
          <w:spacing w:val="-2"/>
          <w:sz w:val="24"/>
        </w:rPr>
        <w:t>园林城市</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t>
      </w:r>
      <w:r>
        <w:rPr>
          <w:rFonts w:hint="eastAsia" w:eastAsia="方正仿宋_GBK"/>
          <w:color w:val="000000"/>
          <w:spacing w:val="-2"/>
          <w:sz w:val="24"/>
        </w:rPr>
        <w:t>生态园林城市</w:t>
      </w:r>
      <w:r>
        <w:rPr>
          <w:rFonts w:eastAsia="方正仿宋_GBK"/>
          <w:color w:val="000000"/>
          <w:spacing w:val="-2"/>
          <w:sz w:val="24"/>
        </w:rPr>
        <w:t>”</w:t>
      </w:r>
      <w:r>
        <w:rPr>
          <w:rFonts w:hint="eastAsia" w:eastAsia="方正仿宋_GBK"/>
          <w:color w:val="000000"/>
          <w:spacing w:val="-2"/>
          <w:sz w:val="24"/>
        </w:rPr>
        <w:t>创建的考核和审查的重要内容，对违法违规行为进行通报，责令其限期整改。</w:t>
      </w:r>
    </w:p>
    <w:p>
      <w:pPr>
        <w:spacing w:line="440" w:lineRule="exact"/>
        <w:ind w:firstLine="472" w:firstLineChars="200"/>
        <w:rPr>
          <w:rFonts w:eastAsia="方正仿宋_GBK"/>
          <w:color w:val="000000"/>
          <w:spacing w:val="-2"/>
          <w:sz w:val="24"/>
        </w:rPr>
      </w:pPr>
    </w:p>
    <w:p>
      <w:pPr>
        <w:spacing w:line="440" w:lineRule="exact"/>
        <w:ind w:firstLine="472" w:firstLineChars="200"/>
        <w:rPr>
          <w:rFonts w:eastAsia="方正仿宋_GBK"/>
          <w:color w:val="000000"/>
          <w:spacing w:val="-2"/>
          <w:sz w:val="24"/>
        </w:rPr>
      </w:pPr>
      <w:r>
        <w:rPr>
          <w:rFonts w:hint="eastAsia" w:eastAsia="方正仿宋_GBK"/>
          <w:color w:val="000000"/>
          <w:spacing w:val="-2"/>
          <w:sz w:val="24"/>
        </w:rPr>
        <w:t>附件：住房城乡建设部印发关于进一步加强公园建设管理的意见的通知</w:t>
      </w:r>
    </w:p>
    <w:p>
      <w:pPr>
        <w:spacing w:line="440" w:lineRule="exact"/>
        <w:ind w:firstLine="1170" w:firstLineChars="496"/>
        <w:rPr>
          <w:rFonts w:eastAsia="方正仿宋_GBK"/>
          <w:color w:val="000000"/>
          <w:spacing w:val="-2"/>
          <w:sz w:val="24"/>
        </w:rPr>
      </w:pPr>
      <w:r>
        <w:rPr>
          <w:rFonts w:hint="eastAsia" w:eastAsia="方正仿宋_GBK"/>
          <w:color w:val="000000"/>
          <w:spacing w:val="-2"/>
          <w:sz w:val="24"/>
        </w:rPr>
        <w:t>（建城〔</w:t>
      </w:r>
      <w:r>
        <w:rPr>
          <w:rFonts w:eastAsia="方正仿宋_GBK"/>
          <w:color w:val="000000"/>
          <w:spacing w:val="-2"/>
          <w:sz w:val="24"/>
        </w:rPr>
        <w:t>2013</w:t>
      </w:r>
      <w:r>
        <w:rPr>
          <w:rFonts w:hint="eastAsia" w:eastAsia="方正仿宋_GBK"/>
          <w:color w:val="000000"/>
          <w:spacing w:val="-2"/>
          <w:sz w:val="24"/>
        </w:rPr>
        <w:t>〕</w:t>
      </w:r>
      <w:r>
        <w:rPr>
          <w:rFonts w:eastAsia="方正仿宋_GBK"/>
          <w:color w:val="000000"/>
          <w:spacing w:val="-2"/>
          <w:sz w:val="24"/>
        </w:rPr>
        <w:t>73</w:t>
      </w:r>
      <w:r>
        <w:rPr>
          <w:rFonts w:hint="eastAsia" w:eastAsia="方正仿宋_GBK"/>
          <w:color w:val="000000"/>
          <w:spacing w:val="-2"/>
          <w:sz w:val="24"/>
        </w:rPr>
        <w:t>号）</w:t>
      </w:r>
    </w:p>
    <w:p>
      <w:pPr>
        <w:spacing w:line="440" w:lineRule="exact"/>
        <w:ind w:firstLine="472" w:firstLineChars="200"/>
        <w:rPr>
          <w:rFonts w:eastAsia="方正仿宋_GBK"/>
          <w:color w:val="000000"/>
          <w:spacing w:val="-2"/>
          <w:sz w:val="24"/>
        </w:rPr>
      </w:pPr>
    </w:p>
    <w:p>
      <w:pPr>
        <w:spacing w:line="440" w:lineRule="exact"/>
        <w:ind w:right="472" w:firstLine="472" w:firstLineChars="200"/>
        <w:jc w:val="right"/>
        <w:rPr>
          <w:rFonts w:eastAsia="方正仿宋_GBK"/>
          <w:color w:val="000000"/>
          <w:spacing w:val="-2"/>
          <w:sz w:val="24"/>
        </w:rPr>
      </w:pPr>
      <w:r>
        <w:rPr>
          <w:rFonts w:hint="eastAsia" w:eastAsia="方正仿宋_GBK"/>
          <w:color w:val="000000"/>
          <w:spacing w:val="-2"/>
          <w:sz w:val="24"/>
        </w:rPr>
        <w:t>江苏省住房和城乡建设厅</w:t>
      </w:r>
    </w:p>
    <w:p>
      <w:pPr>
        <w:spacing w:line="440" w:lineRule="exact"/>
        <w:ind w:right="472" w:firstLine="6136" w:firstLineChars="2600"/>
        <w:rPr>
          <w:rFonts w:eastAsia="方正仿宋_GBK"/>
          <w:color w:val="000000"/>
          <w:spacing w:val="-2"/>
          <w:sz w:val="24"/>
        </w:rPr>
      </w:pP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8</w:t>
      </w:r>
      <w:r>
        <w:rPr>
          <w:rFonts w:hint="eastAsia" w:eastAsia="方正仿宋_GBK"/>
          <w:color w:val="000000"/>
          <w:spacing w:val="-2"/>
          <w:sz w:val="24"/>
        </w:rPr>
        <w:t>月</w:t>
      </w:r>
      <w:r>
        <w:rPr>
          <w:rFonts w:eastAsia="方正仿宋_GBK"/>
          <w:color w:val="000000"/>
          <w:spacing w:val="-2"/>
          <w:sz w:val="24"/>
        </w:rPr>
        <w:t>13</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rPr>
          <w:rFonts w:eastAsia="方正仿宋_GBK"/>
          <w:color w:val="000000"/>
          <w:spacing w:val="-2"/>
          <w:sz w:val="24"/>
        </w:rPr>
      </w:pPr>
      <w:r>
        <w:rPr>
          <w:rFonts w:eastAsia="方正仿宋_GBK"/>
          <w:color w:val="000000"/>
          <w:spacing w:val="-2"/>
          <w:sz w:val="24"/>
        </w:rPr>
        <w:br w:type="column"/>
      </w:r>
      <w:r>
        <w:rPr>
          <w:rFonts w:hint="eastAsia" w:eastAsia="方正黑体_GBK"/>
          <w:color w:val="000000"/>
          <w:spacing w:val="-2"/>
          <w:sz w:val="28"/>
          <w:szCs w:val="28"/>
        </w:rPr>
        <w:t>附件：</w:t>
      </w:r>
    </w:p>
    <w:p>
      <w:pPr>
        <w:spacing w:line="460" w:lineRule="exact"/>
        <w:rPr>
          <w:rFonts w:eastAsia="方正仿宋_GBK"/>
          <w:color w:val="000000"/>
          <w:spacing w:val="-2"/>
          <w:w w:val="60"/>
          <w:sz w:val="24"/>
        </w:rPr>
      </w:pPr>
    </w:p>
    <w:p>
      <w:pPr>
        <w:spacing w:line="460" w:lineRule="exact"/>
        <w:jc w:val="center"/>
        <w:rPr>
          <w:rFonts w:eastAsia="方正黑体_GBK"/>
          <w:color w:val="000000"/>
          <w:sz w:val="36"/>
          <w:szCs w:val="36"/>
        </w:rPr>
      </w:pPr>
      <w:r>
        <w:rPr>
          <w:rFonts w:hint="eastAsia" w:eastAsia="方正黑体_GBK"/>
          <w:color w:val="000000"/>
          <w:sz w:val="36"/>
          <w:szCs w:val="36"/>
        </w:rPr>
        <w:t>住房城乡建设部印发关于</w:t>
      </w:r>
    </w:p>
    <w:p>
      <w:pPr>
        <w:spacing w:line="460" w:lineRule="exact"/>
        <w:jc w:val="center"/>
        <w:rPr>
          <w:rFonts w:eastAsia="方正黑体_GBK"/>
          <w:color w:val="000000"/>
          <w:sz w:val="36"/>
          <w:szCs w:val="36"/>
        </w:rPr>
      </w:pPr>
      <w:r>
        <w:rPr>
          <w:rFonts w:hint="eastAsia" w:eastAsia="方正黑体_GBK"/>
          <w:color w:val="000000"/>
          <w:sz w:val="36"/>
          <w:szCs w:val="36"/>
        </w:rPr>
        <w:t>进一步加强公园建设管理的意见的通知</w:t>
      </w:r>
    </w:p>
    <w:p>
      <w:pPr>
        <w:spacing w:line="460" w:lineRule="exact"/>
        <w:rPr>
          <w:rFonts w:eastAsia="方正仿宋_GBK"/>
          <w:color w:val="000000"/>
          <w:spacing w:val="-2"/>
          <w:sz w:val="24"/>
        </w:rPr>
      </w:pPr>
    </w:p>
    <w:p>
      <w:pPr>
        <w:spacing w:line="460" w:lineRule="exact"/>
        <w:jc w:val="center"/>
        <w:rPr>
          <w:rFonts w:eastAsia="方正楷体_GBK"/>
          <w:color w:val="000000"/>
          <w:spacing w:val="-2"/>
          <w:sz w:val="24"/>
        </w:rPr>
      </w:pPr>
      <w:r>
        <w:rPr>
          <w:rFonts w:hint="eastAsia" w:eastAsia="方正楷体_GBK"/>
          <w:color w:val="000000"/>
          <w:spacing w:val="-2"/>
          <w:sz w:val="24"/>
        </w:rPr>
        <w:t>建城〔</w:t>
      </w:r>
      <w:r>
        <w:rPr>
          <w:rFonts w:eastAsia="方正楷体_GBK"/>
          <w:color w:val="000000"/>
          <w:spacing w:val="-2"/>
          <w:sz w:val="24"/>
        </w:rPr>
        <w:t>2013</w:t>
      </w:r>
      <w:r>
        <w:rPr>
          <w:rFonts w:hint="eastAsia" w:eastAsia="方正楷体_GBK"/>
          <w:color w:val="000000"/>
          <w:spacing w:val="-2"/>
          <w:sz w:val="24"/>
        </w:rPr>
        <w:t>〕</w:t>
      </w:r>
      <w:r>
        <w:rPr>
          <w:rFonts w:eastAsia="方正楷体_GBK"/>
          <w:color w:val="000000"/>
          <w:spacing w:val="-2"/>
          <w:sz w:val="24"/>
        </w:rPr>
        <w:t>73</w:t>
      </w:r>
      <w:r>
        <w:rPr>
          <w:rFonts w:hint="eastAsia" w:eastAsia="方正楷体_GBK"/>
          <w:color w:val="000000"/>
          <w:spacing w:val="-2"/>
          <w:sz w:val="24"/>
        </w:rPr>
        <w:t>号</w:t>
      </w:r>
    </w:p>
    <w:p>
      <w:pPr>
        <w:spacing w:line="460" w:lineRule="exact"/>
        <w:jc w:val="center"/>
        <w:rPr>
          <w:rFonts w:eastAsia="方正仿宋_GBK"/>
          <w:color w:val="000000"/>
          <w:spacing w:val="-2"/>
          <w:sz w:val="24"/>
        </w:rPr>
      </w:pPr>
    </w:p>
    <w:p>
      <w:pPr>
        <w:spacing w:line="460" w:lineRule="exact"/>
        <w:rPr>
          <w:rFonts w:eastAsia="方正仿宋_GBK"/>
          <w:color w:val="000000"/>
          <w:spacing w:val="-2"/>
          <w:sz w:val="24"/>
        </w:rPr>
      </w:pPr>
      <w:r>
        <w:rPr>
          <w:rFonts w:hint="eastAsia" w:eastAsia="方正仿宋_GBK"/>
          <w:color w:val="000000"/>
          <w:spacing w:val="-2"/>
          <w:sz w:val="24"/>
        </w:rPr>
        <w:t>各省、自治区住房城乡建设厅，北京市园林绿化局，上海市绿化和市容管理局，天津市市容和园林管理委员会，重庆市园林事业管理局，新疆生产建设兵团建设局：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为推进生态文明建设，改善城市人居环境，正确把握公园发展方向，切实抓好公园建设管理，我部制定了《关于进一步加强公园管理的意见》，现印发给你们，请认真贯彻执行。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省级住房城乡建设（园林绿化）主管部门要对照本意见组织开展专项检查，就公园运营管理中存在的出租公园房屋及设施设备给私人经营，违规建立为少数人服务的餐馆、会所、茶楼等的类型、数量（面积）、发生时间、发生经过等情况进行汇总，提出处理意见，责令限期整改，并在</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9</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前将专项检查结果和整改方案报我部。我部将对各地专项检查情况实施跟踪督查，并将侵占公园用地、在公园内搞违规建设和非法经营、移植大树古树、举办动物表演等纳入国家园林城市、国家生态园林城市、中国人居环境奖考核和复查的重要内容。对经核查确实存在问题的公园，责令其限期整改；对不进行整改或在限期内整改不合格的公园，将通报批评，并暂停其所在城市相关申报和评审资格；对已获相关命名的城市，我部将视情况责令其限期整改，直至撤销称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执行中有何问题和建议，请及时反馈我部城市建设司。联系电话：</w:t>
      </w:r>
      <w:r>
        <w:rPr>
          <w:rFonts w:eastAsia="方正仿宋_GBK"/>
          <w:color w:val="000000"/>
          <w:spacing w:val="-2"/>
          <w:sz w:val="24"/>
        </w:rPr>
        <w:t>0l0 - 58934023</w:t>
      </w:r>
      <w:r>
        <w:rPr>
          <w:rFonts w:hint="eastAsia" w:eastAsia="方正仿宋_GBK"/>
          <w:color w:val="000000"/>
          <w:spacing w:val="-2"/>
          <w:sz w:val="24"/>
        </w:rPr>
        <w:t>传真：</w:t>
      </w:r>
      <w:r>
        <w:rPr>
          <w:rFonts w:eastAsia="方正仿宋_GBK"/>
          <w:color w:val="000000"/>
          <w:spacing w:val="-2"/>
          <w:sz w:val="24"/>
        </w:rPr>
        <w:t>010 – 58934690</w:t>
      </w:r>
    </w:p>
    <w:p>
      <w:pPr>
        <w:spacing w:line="460" w:lineRule="exact"/>
        <w:rPr>
          <w:rFonts w:eastAsia="方正仿宋_GBK"/>
          <w:color w:val="000000"/>
          <w:spacing w:val="-2"/>
          <w:sz w:val="24"/>
        </w:rPr>
      </w:pPr>
    </w:p>
    <w:p>
      <w:pPr>
        <w:spacing w:line="460" w:lineRule="exact"/>
        <w:ind w:right="418" w:rightChars="199" w:firstLine="472" w:firstLineChars="200"/>
        <w:jc w:val="right"/>
        <w:rPr>
          <w:rFonts w:eastAsia="方正仿宋_GBK"/>
          <w:color w:val="000000"/>
          <w:spacing w:val="-2"/>
          <w:sz w:val="24"/>
        </w:rPr>
      </w:pPr>
      <w:r>
        <w:rPr>
          <w:rFonts w:hint="eastAsia" w:eastAsia="方正仿宋_GBK"/>
          <w:color w:val="000000"/>
          <w:spacing w:val="-2"/>
          <w:sz w:val="24"/>
        </w:rPr>
        <w:t>住房城乡建设部</w:t>
      </w:r>
    </w:p>
    <w:p>
      <w:pPr>
        <w:spacing w:line="460" w:lineRule="exact"/>
        <w:ind w:right="418" w:rightChars="199" w:firstLine="472" w:firstLineChars="200"/>
        <w:jc w:val="right"/>
        <w:rPr>
          <w:rFonts w:eastAsia="方正仿宋_GBK"/>
          <w:color w:val="000000"/>
          <w:spacing w:val="-2"/>
          <w:sz w:val="24"/>
        </w:rPr>
      </w:pP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5</w:t>
      </w:r>
      <w:r>
        <w:rPr>
          <w:rFonts w:hint="eastAsia" w:eastAsia="方正仿宋_GBK"/>
          <w:color w:val="000000"/>
          <w:spacing w:val="-2"/>
          <w:sz w:val="24"/>
        </w:rPr>
        <w:t>月</w:t>
      </w:r>
      <w:r>
        <w:rPr>
          <w:rFonts w:eastAsia="方正仿宋_GBK"/>
          <w:color w:val="000000"/>
          <w:spacing w:val="-2"/>
          <w:sz w:val="24"/>
        </w:rPr>
        <w:t>3</w:t>
      </w:r>
      <w:r>
        <w:rPr>
          <w:rFonts w:hint="eastAsia" w:eastAsia="方正仿宋_GBK"/>
          <w:color w:val="000000"/>
          <w:spacing w:val="-2"/>
          <w:sz w:val="24"/>
        </w:rPr>
        <w:t>日</w:t>
      </w:r>
    </w:p>
    <w:p>
      <w:pPr>
        <w:spacing w:line="460" w:lineRule="exact"/>
        <w:rPr>
          <w:rFonts w:eastAsia="方正仿宋_GBK"/>
          <w:color w:val="000000"/>
          <w:spacing w:val="-2"/>
          <w:sz w:val="24"/>
        </w:rPr>
      </w:pPr>
      <w:r>
        <w:rPr>
          <w:rFonts w:eastAsia="方正仿宋_GBK"/>
          <w:color w:val="000000"/>
          <w:spacing w:val="-2"/>
          <w:sz w:val="24"/>
        </w:rPr>
        <w:br w:type="column"/>
      </w:r>
    </w:p>
    <w:p>
      <w:pPr>
        <w:spacing w:line="460" w:lineRule="exact"/>
        <w:jc w:val="center"/>
        <w:rPr>
          <w:rFonts w:eastAsia="方正黑体_GBK"/>
          <w:color w:val="000000"/>
          <w:sz w:val="36"/>
          <w:szCs w:val="36"/>
        </w:rPr>
      </w:pPr>
      <w:r>
        <w:rPr>
          <w:rFonts w:hint="eastAsia" w:eastAsia="方正黑体_GBK"/>
          <w:color w:val="000000"/>
          <w:sz w:val="36"/>
          <w:szCs w:val="36"/>
        </w:rPr>
        <w:t>关于进一步加强公园建设管理的意见</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为适应城镇化快速发展需要，切实满足人民群众休闲、娱乐、健身等生活需要，切实改善人居生态环境，现就进一步加强公园建设管理提出以下意见：</w:t>
      </w:r>
    </w:p>
    <w:p>
      <w:pPr>
        <w:spacing w:line="460" w:lineRule="exact"/>
        <w:ind w:firstLine="472" w:firstLineChars="200"/>
        <w:rPr>
          <w:rFonts w:eastAsia="方正黑体_GBK"/>
          <w:color w:val="000000"/>
          <w:spacing w:val="-2"/>
          <w:sz w:val="24"/>
        </w:rPr>
      </w:pPr>
      <w:r>
        <w:rPr>
          <w:rFonts w:hint="eastAsia" w:eastAsia="方正黑体_GBK"/>
          <w:color w:val="000000"/>
          <w:spacing w:val="-2"/>
          <w:sz w:val="24"/>
        </w:rPr>
        <w:t>一、正确认识公园建设管理工作的重要性和紧迫性</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公园是与群众日常生活息息相关的公共服务产品，是供民众公平享受的绿色福利，是公众游览、休憩、娱乐、健身、交友、学习以及举办相关文化教育活动的公共场所，是城市绿地系统的核心组成部分，承载着改善生态、美化环境、休闲游憩、健身娱乐、传承文化、保护资源、科普教育、防灾避险等重要功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随着城镇化进程的不断加快，公园事业面临着新的挑战：一是随着人们生活水平的提高，市民群众对公园的数量、内涵、品质、功能、开放时间与服务质量等方面需求不断提高；二是随着社会老龄化速度的加快、市民群众休闲需求的增加以及公园的免费开放，公园游客量急速增长，节假日更是人流剧增，公园的安全、服务、维护等方面压力不断加大；三是城乡统筹发展对公园类型、布局、设计、建设、管理等方面提出了新的要求；四是城市道路拓宽、地铁修建、房地产开发以及</w:t>
      </w:r>
      <w:r>
        <w:rPr>
          <w:rFonts w:eastAsia="方正仿宋_GBK"/>
          <w:color w:val="000000"/>
          <w:spacing w:val="-2"/>
          <w:sz w:val="24"/>
        </w:rPr>
        <w:t>“</w:t>
      </w:r>
      <w:r>
        <w:rPr>
          <w:rFonts w:hint="eastAsia" w:eastAsia="方正仿宋_GBK"/>
          <w:color w:val="000000"/>
          <w:spacing w:val="-2"/>
          <w:sz w:val="24"/>
        </w:rPr>
        <w:t>以园养园</w:t>
      </w:r>
      <w:r>
        <w:rPr>
          <w:rFonts w:eastAsia="方正仿宋_GBK"/>
          <w:color w:val="000000"/>
          <w:spacing w:val="-2"/>
          <w:sz w:val="24"/>
        </w:rPr>
        <w:t>”</w:t>
      </w:r>
      <w:r>
        <w:rPr>
          <w:rFonts w:hint="eastAsia" w:eastAsia="方正仿宋_GBK"/>
          <w:color w:val="000000"/>
          <w:spacing w:val="-2"/>
          <w:sz w:val="24"/>
        </w:rPr>
        <w:t>等变相经营对公园的用地范围、公益属性及健康发展都造成威胁。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地要站在建设生态文明、精神文明和安定和谐社会的高度，充分认识加强新时期公园建设管理的重要性和紧迫性，树立生态、低碳、人文、和谐的理念，始终坚持公园的公益性发展方向，切实抓好公园建设管理工作。</w:t>
      </w:r>
    </w:p>
    <w:p>
      <w:pPr>
        <w:spacing w:line="460" w:lineRule="exact"/>
        <w:ind w:firstLine="472" w:firstLineChars="200"/>
        <w:rPr>
          <w:rFonts w:eastAsia="方正黑体_GBK"/>
          <w:color w:val="000000"/>
          <w:spacing w:val="-2"/>
          <w:sz w:val="24"/>
        </w:rPr>
      </w:pPr>
      <w:r>
        <w:rPr>
          <w:rFonts w:hint="eastAsia" w:eastAsia="方正黑体_GBK"/>
          <w:color w:val="000000"/>
          <w:spacing w:val="-2"/>
          <w:sz w:val="24"/>
        </w:rPr>
        <w:t>二、强化公园体系规划的编制实施</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各地要在编制或修编城市绿地系统规划时，本着</w:t>
      </w:r>
      <w:r>
        <w:rPr>
          <w:rFonts w:eastAsia="方正仿宋_GBK"/>
          <w:color w:val="000000"/>
          <w:spacing w:val="-2"/>
          <w:sz w:val="24"/>
        </w:rPr>
        <w:t>“</w:t>
      </w:r>
      <w:r>
        <w:rPr>
          <w:rFonts w:hint="eastAsia" w:eastAsia="方正仿宋_GBK"/>
          <w:color w:val="000000"/>
          <w:spacing w:val="-2"/>
          <w:sz w:val="24"/>
        </w:rPr>
        <w:t>生态、便民、求实、发展</w:t>
      </w:r>
      <w:r>
        <w:rPr>
          <w:rFonts w:eastAsia="方正仿宋_GBK"/>
          <w:color w:val="000000"/>
          <w:spacing w:val="-2"/>
          <w:sz w:val="24"/>
        </w:rPr>
        <w:t>”</w:t>
      </w:r>
      <w:r>
        <w:rPr>
          <w:rFonts w:hint="eastAsia" w:eastAsia="方正仿宋_GBK"/>
          <w:color w:val="000000"/>
          <w:spacing w:val="-2"/>
          <w:sz w:val="24"/>
        </w:rPr>
        <w:t>的原则，编制城市公园建设与保护专项规划，构建数量达标、分布均衡、功能完备、品质优良的公园体系。一是适应城市防灾避险、历史人文和自然保护以及市民群众多样化需求，合理规划建设植物园、湿地公园、雕塑公园、体育公园等不同主题的公园，并确保设区城市至少有一个综合性公园。二是与城市道路、交通、排水、照明、管线等基础设施相协调，统筹城市防灾避险及地下空间合理利用等发展需求。严格控制公园周边的开发建设，合理设置自行车停放场地、预留公交车停靠站点，限制公交车之外的机动车通行，并保障公园内交通微循环与城市绿道绿廊等慢行交通系统有效衔接。三是在保护、改造提升原有公园的基础上，按照市民出行</w:t>
      </w:r>
      <w:r>
        <w:rPr>
          <w:rFonts w:eastAsia="方正仿宋_GBK"/>
          <w:color w:val="000000"/>
          <w:spacing w:val="-2"/>
          <w:sz w:val="24"/>
        </w:rPr>
        <w:t>300-500</w:t>
      </w:r>
      <w:r>
        <w:rPr>
          <w:rFonts w:hint="eastAsia" w:eastAsia="方正仿宋_GBK"/>
          <w:color w:val="000000"/>
          <w:spacing w:val="-2"/>
          <w:sz w:val="24"/>
        </w:rPr>
        <w:t>米见公园绿地的要求，结合城乡环境整治、城中村改造、城乡统筹建设、弃置地生态修复等，加大社区公园、街头游园、郊野公园、绿道绿廊等规划建设力度，确保城区人均公园绿地面积不低于</w:t>
      </w:r>
      <w:r>
        <w:rPr>
          <w:rFonts w:eastAsia="方正仿宋_GBK"/>
          <w:color w:val="000000"/>
          <w:spacing w:val="-2"/>
          <w:sz w:val="24"/>
        </w:rPr>
        <w:t>5</w:t>
      </w:r>
      <w:r>
        <w:rPr>
          <w:rFonts w:hint="eastAsia" w:eastAsia="方正仿宋_GBK"/>
          <w:color w:val="000000"/>
          <w:spacing w:val="-2"/>
          <w:sz w:val="24"/>
        </w:rPr>
        <w:t>平方米、公园绿地服务半径覆盖率不低于</w:t>
      </w:r>
      <w:r>
        <w:rPr>
          <w:rFonts w:eastAsia="方正仿宋_GBK"/>
          <w:color w:val="000000"/>
          <w:spacing w:val="-2"/>
          <w:sz w:val="24"/>
        </w:rPr>
        <w:t>60%</w:t>
      </w:r>
      <w:r>
        <w:rPr>
          <w:rFonts w:hint="eastAsia" w:eastAsia="方正仿宋_GBK"/>
          <w:color w:val="000000"/>
          <w:spacing w:val="-2"/>
          <w:sz w:val="24"/>
        </w:rPr>
        <w:t>。四是将公园保护发展规划纳入城市绿线和蓝线管理，确保公园用地性质及其完整性。</w:t>
      </w:r>
    </w:p>
    <w:p>
      <w:pPr>
        <w:spacing w:line="460" w:lineRule="exact"/>
        <w:ind w:firstLine="472" w:firstLineChars="200"/>
        <w:rPr>
          <w:rFonts w:eastAsia="方正黑体_GBK"/>
          <w:color w:val="000000"/>
          <w:spacing w:val="-2"/>
          <w:sz w:val="24"/>
        </w:rPr>
      </w:pPr>
      <w:r>
        <w:rPr>
          <w:rFonts w:hint="eastAsia" w:eastAsia="方正黑体_GBK"/>
          <w:color w:val="000000"/>
          <w:spacing w:val="-2"/>
          <w:sz w:val="24"/>
        </w:rPr>
        <w:t>三、加强公园设计的科学引导</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地要牢固树立以人为本、尊重科学、顺应自然、低碳环保的公园设计理念，从设计环节上引导公园建设走节约型、生态型、功能完善型发展道路。一是严把设计方案审查关，防止过度设计。公园设计要严格遵照相关法规标准，严格控制公园内建筑物、构筑物等配套设施设备建设，保证绿地面积不得少于公园陆地总面积的</w:t>
      </w:r>
      <w:r>
        <w:rPr>
          <w:rFonts w:eastAsia="方正仿宋_GBK"/>
          <w:color w:val="000000"/>
          <w:spacing w:val="-2"/>
          <w:sz w:val="24"/>
        </w:rPr>
        <w:t>65%</w:t>
      </w:r>
      <w:r>
        <w:rPr>
          <w:rFonts w:hint="eastAsia" w:eastAsia="方正仿宋_GBK"/>
          <w:color w:val="000000"/>
          <w:spacing w:val="-2"/>
          <w:sz w:val="24"/>
        </w:rPr>
        <w:t>；严格控制游乐设施的设置，防止将公园变成游乐场；严格控制大广场、大草坪、大水面等，杜绝盲目建造雕塑、小品、灯具造景、过度硬化等高价设计和不切实际的</w:t>
      </w:r>
      <w:r>
        <w:rPr>
          <w:rFonts w:eastAsia="方正仿宋_GBK"/>
          <w:color w:val="000000"/>
          <w:spacing w:val="-2"/>
          <w:sz w:val="24"/>
        </w:rPr>
        <w:t>“</w:t>
      </w:r>
      <w:r>
        <w:rPr>
          <w:rFonts w:hint="eastAsia" w:eastAsia="方正仿宋_GBK"/>
          <w:color w:val="000000"/>
          <w:spacing w:val="-2"/>
          <w:sz w:val="24"/>
        </w:rPr>
        <w:t>洋</w:t>
      </w:r>
      <w:r>
        <w:rPr>
          <w:rFonts w:eastAsia="方正仿宋_GBK"/>
          <w:color w:val="000000"/>
          <w:spacing w:val="-2"/>
          <w:sz w:val="24"/>
        </w:rPr>
        <w:t>”</w:t>
      </w:r>
      <w:r>
        <w:rPr>
          <w:rFonts w:hint="eastAsia" w:eastAsia="方正仿宋_GBK"/>
          <w:color w:val="000000"/>
          <w:spacing w:val="-2"/>
          <w:sz w:val="24"/>
        </w:rPr>
        <w:t>设计。二是以人为本，不断完善综合功能。新建公园要切实保障其文化娱乐、科普教育、健身交友、调蓄防涝、防灾避险等综合功能，并在公园改造、扩建时不断完善。三是突出入文内涵和地域风貌。要有机融合历史、文化、艺术、时代特征、民族特色、传统工艺等，突出公园文化艺术内涵和地域特色，避免</w:t>
      </w:r>
      <w:r>
        <w:rPr>
          <w:rFonts w:eastAsia="方正仿宋_GBK"/>
          <w:color w:val="000000"/>
          <w:spacing w:val="-2"/>
          <w:sz w:val="24"/>
        </w:rPr>
        <w:t>“</w:t>
      </w:r>
      <w:r>
        <w:rPr>
          <w:rFonts w:hint="eastAsia" w:eastAsia="方正仿宋_GBK"/>
          <w:color w:val="000000"/>
          <w:spacing w:val="-2"/>
          <w:sz w:val="24"/>
        </w:rPr>
        <w:t>千园一面</w:t>
      </w:r>
      <w:r>
        <w:rPr>
          <w:rFonts w:eastAsia="方正仿宋_GBK"/>
          <w:color w:val="000000"/>
          <w:spacing w:val="-2"/>
          <w:sz w:val="24"/>
        </w:rPr>
        <w:t>”</w:t>
      </w:r>
      <w:r>
        <w:rPr>
          <w:rFonts w:hint="eastAsia" w:eastAsia="方正仿宋_GBK"/>
          <w:color w:val="000000"/>
          <w:spacing w:val="-2"/>
          <w:sz w:val="24"/>
        </w:rPr>
        <w:t>。四是生态优先、保护优先。要着力保护自然山体、水体、地形、地貌以及湿地、生物物种等资源和风貌，严禁建造偏离资源保护、雨洪调蓄等宗旨的人工湿地，严禁盲目挖湖堆山、裁弯取直、筑坝截流、硬质驳岸等。五是以植物造景为主，以乡土植物、适生植物为主，合理配植乔灌草（地被），做到物种多样、季相丰富、景观优美。</w:t>
      </w:r>
    </w:p>
    <w:p>
      <w:pPr>
        <w:spacing w:line="460" w:lineRule="exact"/>
        <w:ind w:firstLine="472" w:firstLineChars="200"/>
        <w:rPr>
          <w:rFonts w:eastAsia="方正黑体_GBK"/>
          <w:color w:val="000000"/>
          <w:spacing w:val="-2"/>
          <w:sz w:val="24"/>
        </w:rPr>
      </w:pPr>
      <w:r>
        <w:rPr>
          <w:rFonts w:hint="eastAsia" w:eastAsia="方正黑体_GBK"/>
          <w:color w:val="000000"/>
          <w:spacing w:val="-2"/>
          <w:sz w:val="24"/>
        </w:rPr>
        <w:t>四、严格公园建设过程的监管</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地要在保护好现有公园的基础上，有序建设新公园，合理改造提升、扩建老旧公园。一是切实加强对新建、改建、扩建公园项目从招投标到竣工验收全过程的专业化监督管理，确保严格遵照规划设计方案和工艺要求，安全、规范施工建设。二是以栽植本地区苗圃培育的健康、全冠、适龄的苗木为主，坚决制止移植古树名木，严格控制移植树龄超过</w:t>
      </w:r>
      <w:r>
        <w:rPr>
          <w:rFonts w:eastAsia="方正仿宋_GBK"/>
          <w:color w:val="000000"/>
          <w:spacing w:val="-2"/>
          <w:sz w:val="24"/>
        </w:rPr>
        <w:t>50</w:t>
      </w:r>
      <w:r>
        <w:rPr>
          <w:rFonts w:hint="eastAsia" w:eastAsia="方正仿宋_GBK"/>
          <w:color w:val="000000"/>
          <w:spacing w:val="-2"/>
          <w:sz w:val="24"/>
        </w:rPr>
        <w:t>年的大树；严格控制未经试验大量引进外来植物；严禁违背自然规律和生物特性反季节种植施工、过度密植、过度修剪等。三是加强对新建、改建、扩建公园项目的竣工验收和审计，对违反规划设计方案施工、违规采购等要严肃查处，对不符合绿化强制性标准、未完成工程设计内容的公园建设项目，不得出具竣工验收合格报告。四是切实加强对公园建设项目竣工验收后养护管理的指导服务和监督检查。城市园林绿化主管部门要会同水利、交通、房产等各相关主管部门和质量监督机构，定期发布公园建设项目设计、施工、养护、监理单位遵守法律法规、工程质量、诚信等情况，及时公布违法违规企业名单及处罚结果。五是积极推广应用绿色照明、清洁能源、雨水收集及中水利用、园林垃圾资源化利用等新材料、新工艺、新技术，不断提升公园品质和功能。</w:t>
      </w:r>
    </w:p>
    <w:p>
      <w:pPr>
        <w:spacing w:line="460" w:lineRule="exact"/>
        <w:ind w:firstLine="472" w:firstLineChars="200"/>
        <w:rPr>
          <w:rFonts w:eastAsia="方正黑体_GBK"/>
          <w:color w:val="000000"/>
          <w:spacing w:val="-2"/>
          <w:sz w:val="24"/>
        </w:rPr>
      </w:pPr>
      <w:r>
        <w:rPr>
          <w:rFonts w:hint="eastAsia" w:eastAsia="方正黑体_GBK"/>
          <w:color w:val="000000"/>
          <w:spacing w:val="-2"/>
          <w:sz w:val="24"/>
        </w:rPr>
        <w:t>五、深化公园运营维护管理</w:t>
      </w:r>
    </w:p>
    <w:p>
      <w:pPr>
        <w:spacing w:line="460" w:lineRule="exact"/>
        <w:ind w:firstLine="472" w:firstLineChars="200"/>
        <w:rPr>
          <w:rFonts w:eastAsia="方正楷体_GBK"/>
          <w:color w:val="000000"/>
          <w:spacing w:val="-2"/>
          <w:sz w:val="24"/>
        </w:rPr>
      </w:pPr>
      <w:r>
        <w:rPr>
          <w:rFonts w:hint="eastAsia" w:eastAsia="方正楷体_GBK"/>
          <w:color w:val="000000"/>
          <w:spacing w:val="-2"/>
          <w:sz w:val="24"/>
        </w:rPr>
        <w:t>（一）严格运营管理，确保公园公共服务属性。</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公园是公共资源，要确保公园姓</w:t>
      </w:r>
      <w:r>
        <w:rPr>
          <w:rFonts w:eastAsia="方正仿宋_GBK"/>
          <w:color w:val="000000"/>
          <w:spacing w:val="-2"/>
          <w:sz w:val="24"/>
        </w:rPr>
        <w:t>“</w:t>
      </w:r>
      <w:r>
        <w:rPr>
          <w:rFonts w:hint="eastAsia" w:eastAsia="方正仿宋_GBK"/>
          <w:color w:val="000000"/>
          <w:spacing w:val="-2"/>
          <w:sz w:val="24"/>
        </w:rPr>
        <w:t>公</w:t>
      </w:r>
      <w:r>
        <w:rPr>
          <w:rFonts w:eastAsia="方正仿宋_GBK"/>
          <w:color w:val="000000"/>
          <w:spacing w:val="-2"/>
          <w:sz w:val="24"/>
        </w:rPr>
        <w:t>”</w:t>
      </w:r>
      <w:r>
        <w:rPr>
          <w:rFonts w:hint="eastAsia" w:eastAsia="方正仿宋_GBK"/>
          <w:color w:val="000000"/>
          <w:spacing w:val="-2"/>
          <w:sz w:val="24"/>
        </w:rPr>
        <w:t>，严禁任何与公园公益性及服务游人宗旨相违背的经营行为。一是严禁在公园内设立为少数人服务的会所、高档餐馆、茶楼等；严禁利用</w:t>
      </w:r>
      <w:r>
        <w:rPr>
          <w:rFonts w:eastAsia="方正仿宋_GBK"/>
          <w:color w:val="000000"/>
          <w:spacing w:val="-2"/>
          <w:sz w:val="24"/>
        </w:rPr>
        <w:t>“</w:t>
      </w:r>
      <w:r>
        <w:rPr>
          <w:rFonts w:hint="eastAsia" w:eastAsia="方正仿宋_GBK"/>
          <w:color w:val="000000"/>
          <w:spacing w:val="-2"/>
          <w:sz w:val="24"/>
        </w:rPr>
        <w:t>园中园</w:t>
      </w:r>
      <w:r>
        <w:rPr>
          <w:rFonts w:eastAsia="方正仿宋_GBK"/>
          <w:color w:val="000000"/>
          <w:spacing w:val="-2"/>
          <w:sz w:val="24"/>
        </w:rPr>
        <w:t>”</w:t>
      </w:r>
      <w:r>
        <w:rPr>
          <w:rFonts w:hint="eastAsia" w:eastAsia="方正仿宋_GBK"/>
          <w:color w:val="000000"/>
          <w:spacing w:val="-2"/>
          <w:sz w:val="24"/>
        </w:rPr>
        <w:t>等变相经营。二是禁止将政府投资建设的公园资产转由企业经营、将公园作为旅游景点进行经营开发。三是严禁违规增添游乐康体设施设备以及将公园内亭、台、楼、阁等园林建筑以租赁、承包、买断等形式转交营利性组织或个人经营。</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城市园林绿化主管部门每年至少组织一次全面清理检查，对存在违规行为的公园提出处理意见，责令限期整改，并将检查清理情况及时报送城市人民政府及省级住房城乡建设（园林绿化）主管部门。各省级住房城乡建设（园林绿化）主管部门应及时将有关情况报送住房城乡建设部，并督促整改。</w:t>
      </w:r>
    </w:p>
    <w:p>
      <w:pPr>
        <w:spacing w:line="460" w:lineRule="exact"/>
        <w:ind w:firstLine="472" w:firstLineChars="200"/>
        <w:rPr>
          <w:rFonts w:eastAsia="方正楷体_GBK"/>
          <w:color w:val="000000"/>
          <w:spacing w:val="-2"/>
          <w:sz w:val="24"/>
        </w:rPr>
      </w:pPr>
      <w:r>
        <w:rPr>
          <w:rFonts w:hint="eastAsia" w:eastAsia="方正楷体_GBK"/>
          <w:color w:val="000000"/>
          <w:spacing w:val="-2"/>
          <w:sz w:val="24"/>
        </w:rPr>
        <w:t>（二）强化绿线管制，保障公园绿地性质。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公园绿地是城市绿地系统最核心的组成部分，任何单位和个人不得侵占。一是禁止以开发、市政建设等名义侵占公园绿地。二是禁止出租公园用地，不得以合作、合资或者其他方式，将公园用地改作他用。三是严禁借改造、搬迁等名义将公园迁移到偏远位置。经过公示、论证并经审核同意搬迁的公园，其原址的公园绿地性质和服务功能不得改变。四是严格控制公园周边可能影响其景观和功能的建设项目及公园地下空间的商业性开发。市政工程建设涉及已建成公园的必须采取合理避让措施；确需临时占用的，必须征得城市园林绿化主管部门同意，并按园林绿化主管部门的意见实施。</w:t>
      </w:r>
    </w:p>
    <w:p>
      <w:pPr>
        <w:spacing w:line="460" w:lineRule="exact"/>
        <w:ind w:firstLine="472" w:firstLineChars="200"/>
        <w:rPr>
          <w:rFonts w:eastAsia="方正楷体_GBK"/>
          <w:color w:val="000000"/>
          <w:spacing w:val="-2"/>
          <w:sz w:val="24"/>
        </w:rPr>
      </w:pPr>
      <w:r>
        <w:rPr>
          <w:rFonts w:hint="eastAsia" w:eastAsia="方正楷体_GBK"/>
          <w:color w:val="000000"/>
          <w:spacing w:val="-2"/>
          <w:sz w:val="24"/>
        </w:rPr>
        <w:t>（三）加强日常管理，确保公园运营安全有序。</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公园要建立健全安全管理制度，明确分工，责任到人。完善突发事件应急处置机制和安全督查机制，保障公园内各项设施设备安全运营。公园内举办大型活动或设置游乐项目必须首先开展安全风险评估，严格审查和公示管理，必要时需组织论证和听证。承担防灾避险功能的公园必须合理设置防灾避险设施，并确保出现灾情时及时开放、功能完好。各地公园要切实加强日常管理，制订公园管理细则，明确公园管理人员、服务人员、游人等的行为准则，以优质服务游人为基本宗旨，倡导文明游园。一要保障公园内所有餐饮、展示、娱乐等服务性设备设施都面向公众开放。二要按功能分区合理设置游览休闲等项目，积极组织开展科普教育、生物多样性保护宣传和文化节、游园会、书画展等文化娱乐活动，严禁低级庸俗的活动进园。三要加强卫生保洁以及公园内山体、水体、树木花草等保护管理，确保公园水质清新、设施干净、环境优美。四要加强游园巡查，制止和清除黑导、野泳、野钓、烧烤等行为，杜绝噪声扰民、商品展销、游商兜售等。五要加强对旅游团队的管理，讲解人员须持证上岗，对历史名园、遗址保护公园、植物园、动物园、湿地公园等，要实行专业化讲解。六要严格限制宠物入园（宠物专类公园除外），严禁动物表演，严格限制机动车辆入园。</w:t>
      </w:r>
    </w:p>
    <w:p>
      <w:pPr>
        <w:spacing w:line="460" w:lineRule="exact"/>
        <w:ind w:firstLine="472" w:firstLineChars="200"/>
        <w:rPr>
          <w:rFonts w:eastAsia="方正楷体_GBK"/>
          <w:color w:val="000000"/>
          <w:spacing w:val="-2"/>
          <w:sz w:val="24"/>
        </w:rPr>
      </w:pPr>
      <w:r>
        <w:rPr>
          <w:rFonts w:hint="eastAsia" w:eastAsia="方正楷体_GBK"/>
          <w:color w:val="000000"/>
          <w:spacing w:val="-2"/>
          <w:sz w:val="24"/>
        </w:rPr>
        <w:t>（四）加大管养投入，保障健康永续发展。</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要本着</w:t>
      </w:r>
      <w:r>
        <w:rPr>
          <w:rFonts w:eastAsia="方正仿宋_GBK"/>
          <w:color w:val="000000"/>
          <w:spacing w:val="-2"/>
          <w:sz w:val="24"/>
        </w:rPr>
        <w:t>“</w:t>
      </w:r>
      <w:r>
        <w:rPr>
          <w:rFonts w:hint="eastAsia" w:eastAsia="方正仿宋_GBK"/>
          <w:color w:val="000000"/>
          <w:spacing w:val="-2"/>
          <w:sz w:val="24"/>
        </w:rPr>
        <w:t>三分建设七分管养</w:t>
      </w:r>
      <w:r>
        <w:rPr>
          <w:rFonts w:eastAsia="方正仿宋_GBK"/>
          <w:color w:val="000000"/>
          <w:spacing w:val="-2"/>
          <w:sz w:val="24"/>
        </w:rPr>
        <w:t>”</w:t>
      </w:r>
      <w:r>
        <w:rPr>
          <w:rFonts w:hint="eastAsia" w:eastAsia="方正仿宋_GBK"/>
          <w:color w:val="000000"/>
          <w:spacing w:val="-2"/>
          <w:sz w:val="24"/>
        </w:rPr>
        <w:t>的原则，在切实加大养护管理投入的同时全面推进公园管养专业化、精细化。一是从实际出发，制定公园养护管理技术规范和定额标准，加强专业人才队伍建设，保障公园管养经费足额到位、保证专业化管养水准。二是充分利用先进的科技手段，建设公园人、财、物以及游园、服务等数字化管理平台，健全信息公开、社会监督和动态监管机制，提高对古树名木、历史文化遗产等资源保护效力和公园综合管理效能。三是加大科研投入，积极开展引种驯化、物种资源保护、水质净化水生态保护等实用性、前瞻性研究。四是积极探索研究公园分级分类管理，根据公园等级类型和功能的不同，在收费标准、资金投入、考核检查等方面实行差异化管理。在标准完善、考核和监管机制健全的基础上，对公园卫生保洁、安全保卫以及防治病虫害等养护作业可实行社会化管理。</w:t>
      </w:r>
    </w:p>
    <w:p>
      <w:pPr>
        <w:spacing w:line="460" w:lineRule="exact"/>
        <w:ind w:firstLine="472" w:firstLineChars="200"/>
        <w:rPr>
          <w:rFonts w:eastAsia="方正黑体_GBK"/>
          <w:color w:val="000000"/>
          <w:spacing w:val="-2"/>
          <w:sz w:val="24"/>
        </w:rPr>
      </w:pPr>
      <w:r>
        <w:rPr>
          <w:rFonts w:hint="eastAsia" w:eastAsia="方正黑体_GBK"/>
          <w:color w:val="000000"/>
          <w:spacing w:val="-2"/>
          <w:sz w:val="24"/>
        </w:rPr>
        <w:t>六、加强组织领导</w:t>
      </w:r>
    </w:p>
    <w:p>
      <w:pPr>
        <w:spacing w:line="460" w:lineRule="exact"/>
        <w:ind w:firstLine="472" w:firstLineChars="200"/>
        <w:rPr>
          <w:rFonts w:eastAsia="方正楷体_GBK"/>
          <w:color w:val="000000"/>
          <w:spacing w:val="-2"/>
          <w:sz w:val="24"/>
        </w:rPr>
      </w:pPr>
      <w:r>
        <w:rPr>
          <w:rFonts w:hint="eastAsia" w:eastAsia="方正楷体_GBK"/>
          <w:color w:val="000000"/>
          <w:spacing w:val="-2"/>
          <w:sz w:val="24"/>
        </w:rPr>
        <w:t>（一）落实管理责任。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城市人民政府要贯彻落实《国务院关于加强城市绿化建设的通知》要求，把公园建设管理纳入政府重要议事日程。各级政府要在理念引导、规划控制、资源协调、资金投入、政策保障、监督管理等方面强化主导作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各级住房城乡建设（园林绿化）主管部门要组织制订完善公园建设管理的法规政策、制度以及技术标准、操作规程等，指导、监督公园管理机构正常履行职责，并对辖区内公园运营管理等组织考核并跟踪监督。</w:t>
      </w:r>
    </w:p>
    <w:p>
      <w:pPr>
        <w:spacing w:line="460" w:lineRule="exact"/>
        <w:ind w:firstLine="472" w:firstLineChars="200"/>
        <w:rPr>
          <w:rFonts w:eastAsia="方正楷体_GBK"/>
          <w:color w:val="000000"/>
          <w:spacing w:val="-2"/>
          <w:sz w:val="24"/>
        </w:rPr>
      </w:pPr>
      <w:r>
        <w:rPr>
          <w:rFonts w:hint="eastAsia" w:eastAsia="方正楷体_GBK"/>
          <w:color w:val="000000"/>
          <w:spacing w:val="-2"/>
          <w:sz w:val="24"/>
        </w:rPr>
        <w:t>（二）完善公众监督。</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各地要建立健全公园建设管理全过程监管体系，自觉接受社会公众和新闻媒体的监督，营造</w:t>
      </w:r>
      <w:r>
        <w:rPr>
          <w:rFonts w:eastAsia="方正仿宋_GBK"/>
          <w:color w:val="000000"/>
          <w:spacing w:val="-2"/>
          <w:sz w:val="24"/>
        </w:rPr>
        <w:t>“</w:t>
      </w:r>
      <w:r>
        <w:rPr>
          <w:rFonts w:hint="eastAsia" w:eastAsia="方正仿宋_GBK"/>
          <w:color w:val="000000"/>
          <w:spacing w:val="-2"/>
          <w:sz w:val="24"/>
        </w:rPr>
        <w:t>政府重视、社会关注、百姓支持</w:t>
      </w:r>
      <w:r>
        <w:rPr>
          <w:rFonts w:eastAsia="方正仿宋_GBK"/>
          <w:color w:val="000000"/>
          <w:spacing w:val="-2"/>
          <w:sz w:val="24"/>
        </w:rPr>
        <w:t>”</w:t>
      </w:r>
      <w:r>
        <w:rPr>
          <w:rFonts w:hint="eastAsia" w:eastAsia="方正仿宋_GBK"/>
          <w:color w:val="000000"/>
          <w:spacing w:val="-2"/>
          <w:sz w:val="24"/>
        </w:rPr>
        <w:t>的良好氛围。已建成开放的公园，要及时面向社会公示公园四至范围及坐标位置，加强社会监督。各地公园要建立自律自治和举报监督机制，及时受理群众举报，接受公众、媒体监督，引导社会各界参与公园的维护、管理，促进公园规范运营、和谐发展。</w:t>
      </w:r>
    </w:p>
    <w:p>
      <w:pPr>
        <w:spacing w:line="460" w:lineRule="exact"/>
        <w:ind w:firstLine="472" w:firstLineChars="200"/>
        <w:rPr>
          <w:rFonts w:eastAsia="方正楷体_GBK"/>
          <w:color w:val="000000"/>
          <w:spacing w:val="-2"/>
          <w:sz w:val="24"/>
        </w:rPr>
      </w:pPr>
      <w:r>
        <w:rPr>
          <w:rFonts w:hint="eastAsia" w:eastAsia="方正楷体_GBK"/>
          <w:color w:val="000000"/>
          <w:spacing w:val="-2"/>
          <w:sz w:val="24"/>
        </w:rPr>
        <w:t>（三）健全动态监管。</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各地要建立公园登记注册、普查清理、督查整改等动态监管机制，各省级住房城乡建设（园林绿化）主管部门要在每年</w:t>
      </w:r>
      <w:r>
        <w:rPr>
          <w:rFonts w:eastAsia="方正仿宋_GBK"/>
          <w:color w:val="000000"/>
          <w:spacing w:val="-2"/>
          <w:sz w:val="24"/>
        </w:rPr>
        <w:t>12</w:t>
      </w:r>
      <w:r>
        <w:rPr>
          <w:rFonts w:hint="eastAsia" w:eastAsia="方正仿宋_GBK"/>
          <w:color w:val="000000"/>
          <w:spacing w:val="-2"/>
          <w:sz w:val="24"/>
        </w:rPr>
        <w:t>月</w:t>
      </w:r>
      <w:r>
        <w:rPr>
          <w:rFonts w:eastAsia="方正仿宋_GBK"/>
          <w:color w:val="000000"/>
          <w:spacing w:val="-2"/>
          <w:sz w:val="24"/>
        </w:rPr>
        <w:t>31</w:t>
      </w:r>
      <w:r>
        <w:rPr>
          <w:rFonts w:hint="eastAsia" w:eastAsia="方正仿宋_GBK"/>
          <w:color w:val="000000"/>
          <w:spacing w:val="-2"/>
          <w:sz w:val="24"/>
        </w:rPr>
        <w:t>日前将本地区公园建设管理及跟踪督查情况上报住房城乡建设部。住房城乡建设部将根据各地上报信息及群众举报、媒体报道等情况组织重点抽查和专项调查，并及时通报违规情况。</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426" w:name="_Toc20726642"/>
      <w:bookmarkStart w:id="427" w:name="_Toc18315783"/>
      <w:r>
        <w:rPr>
          <w:rFonts w:hint="eastAsia" w:ascii="Times New Roman" w:eastAsia="方正小标宋_GBK"/>
          <w:b w:val="0"/>
          <w:sz w:val="36"/>
          <w:szCs w:val="36"/>
        </w:rPr>
        <w:t>省住房城乡建设厅关于2013年江苏省城市古树名木核查结果的通知</w:t>
      </w:r>
      <w:bookmarkEnd w:id="426"/>
      <w:bookmarkEnd w:id="42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28" w:name="_Toc20726643"/>
      <w:bookmarkStart w:id="429" w:name="_Toc18315784"/>
      <w:r>
        <w:rPr>
          <w:rFonts w:hint="eastAsia" w:ascii="Times New Roman" w:hAnsi="Times New Roman" w:eastAsia="方正楷体_GBK"/>
          <w:b w:val="0"/>
          <w:sz w:val="24"/>
          <w:szCs w:val="24"/>
        </w:rPr>
        <w:t>苏建园〔</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537</w:t>
      </w:r>
      <w:r>
        <w:rPr>
          <w:rFonts w:hint="eastAsia" w:ascii="Times New Roman" w:hAnsi="Times New Roman" w:eastAsia="方正楷体_GBK"/>
          <w:b w:val="0"/>
          <w:sz w:val="24"/>
          <w:szCs w:val="24"/>
        </w:rPr>
        <w:t>号</w:t>
      </w:r>
      <w:bookmarkEnd w:id="428"/>
      <w:bookmarkEnd w:id="429"/>
    </w:p>
    <w:p>
      <w:pPr>
        <w:spacing w:line="460" w:lineRule="exact"/>
        <w:rPr>
          <w:rFonts w:eastAsia="方正仿宋_GBK"/>
          <w:color w:val="000000"/>
          <w:spacing w:val="-2"/>
          <w:sz w:val="24"/>
        </w:rPr>
      </w:pPr>
      <w:r>
        <w:rPr>
          <w:rFonts w:hint="eastAsia" w:eastAsia="方正仿宋_GBK"/>
          <w:color w:val="000000"/>
          <w:spacing w:val="-2"/>
          <w:sz w:val="24"/>
        </w:rPr>
        <w:t>各市、县园林局（建设局）：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城市古树名木是城市历史的见证和活的文物，是城市自然和文化的珍贵遗产。为了加强对城市古树名木的保护和管理，今年我厅组织对全省城市古树名木进行了</w:t>
      </w:r>
      <w:r>
        <w:rPr>
          <w:rFonts w:eastAsia="方正仿宋_GBK"/>
          <w:color w:val="000000"/>
          <w:spacing w:val="-2"/>
          <w:sz w:val="24"/>
        </w:rPr>
        <w:t>5</w:t>
      </w:r>
      <w:r>
        <w:rPr>
          <w:rFonts w:hint="eastAsia" w:eastAsia="方正仿宋_GBK"/>
          <w:color w:val="000000"/>
          <w:spacing w:val="-2"/>
          <w:sz w:val="24"/>
        </w:rPr>
        <w:t>年一次的核查工作，在各市、县园林绿化行政主管部门的通力配合下，进一步完善、明晰了全省城市古树名木的现状资料，为加强保护、制定措施、规范管理提供了基础和依据。</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从核查情况看，各地相继建立和完善了城市古树名木的保护管理规章，规范了档案管理和标牌标识，日常养护的监督和指导有所加强，城市古树名木的规范化管理已覆盖所有市、县。截止到</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10</w:t>
      </w:r>
      <w:r>
        <w:rPr>
          <w:rFonts w:hint="eastAsia" w:eastAsia="方正仿宋_GBK"/>
          <w:color w:val="000000"/>
          <w:spacing w:val="-2"/>
          <w:sz w:val="24"/>
        </w:rPr>
        <w:t>月，全省共有城市古树名木</w:t>
      </w:r>
      <w:r>
        <w:rPr>
          <w:rFonts w:eastAsia="方正仿宋_GBK"/>
          <w:color w:val="000000"/>
          <w:spacing w:val="-2"/>
          <w:sz w:val="24"/>
        </w:rPr>
        <w:t>7854</w:t>
      </w:r>
      <w:r>
        <w:rPr>
          <w:rFonts w:hint="eastAsia" w:eastAsia="方正仿宋_GBK"/>
          <w:color w:val="000000"/>
          <w:spacing w:val="-2"/>
          <w:sz w:val="24"/>
        </w:rPr>
        <w:t>株，其中一级古树名木</w:t>
      </w:r>
      <w:r>
        <w:rPr>
          <w:rFonts w:eastAsia="方正仿宋_GBK"/>
          <w:color w:val="000000"/>
          <w:spacing w:val="-2"/>
          <w:sz w:val="24"/>
        </w:rPr>
        <w:t>1304</w:t>
      </w:r>
      <w:r>
        <w:rPr>
          <w:rFonts w:hint="eastAsia" w:eastAsia="方正仿宋_GBK"/>
          <w:color w:val="000000"/>
          <w:spacing w:val="-2"/>
          <w:sz w:val="24"/>
        </w:rPr>
        <w:t>株，二级古树名木</w:t>
      </w:r>
      <w:r>
        <w:rPr>
          <w:rFonts w:eastAsia="方正仿宋_GBK"/>
          <w:color w:val="000000"/>
          <w:spacing w:val="-2"/>
          <w:sz w:val="24"/>
        </w:rPr>
        <w:t>6550</w:t>
      </w:r>
      <w:r>
        <w:rPr>
          <w:rFonts w:hint="eastAsia" w:eastAsia="方正仿宋_GBK"/>
          <w:color w:val="000000"/>
          <w:spacing w:val="-2"/>
          <w:sz w:val="24"/>
        </w:rPr>
        <w:t>株。与</w:t>
      </w:r>
      <w:r>
        <w:rPr>
          <w:rFonts w:eastAsia="方正仿宋_GBK"/>
          <w:color w:val="000000"/>
          <w:spacing w:val="-2"/>
          <w:sz w:val="24"/>
        </w:rPr>
        <w:t>2008</w:t>
      </w:r>
      <w:r>
        <w:rPr>
          <w:rFonts w:hint="eastAsia" w:eastAsia="方正仿宋_GBK"/>
          <w:color w:val="000000"/>
          <w:spacing w:val="-2"/>
          <w:sz w:val="24"/>
        </w:rPr>
        <w:t>年相比，列入城市古树名木保护的树木增加了</w:t>
      </w:r>
      <w:r>
        <w:rPr>
          <w:rFonts w:eastAsia="方正仿宋_GBK"/>
          <w:color w:val="000000"/>
          <w:spacing w:val="-2"/>
          <w:sz w:val="24"/>
        </w:rPr>
        <w:t>263</w:t>
      </w:r>
      <w:r>
        <w:rPr>
          <w:rFonts w:hint="eastAsia" w:eastAsia="方正仿宋_GBK"/>
          <w:color w:val="000000"/>
          <w:spacing w:val="-2"/>
          <w:sz w:val="24"/>
        </w:rPr>
        <w:t>株，其中一级</w:t>
      </w:r>
      <w:r>
        <w:rPr>
          <w:rFonts w:eastAsia="方正仿宋_GBK"/>
          <w:color w:val="000000"/>
          <w:spacing w:val="-2"/>
          <w:sz w:val="24"/>
        </w:rPr>
        <w:t>89</w:t>
      </w:r>
      <w:r>
        <w:rPr>
          <w:rFonts w:hint="eastAsia" w:eastAsia="方正仿宋_GBK"/>
          <w:color w:val="000000"/>
          <w:spacing w:val="-2"/>
          <w:sz w:val="24"/>
        </w:rPr>
        <w:t>株，二级</w:t>
      </w:r>
      <w:r>
        <w:rPr>
          <w:rFonts w:eastAsia="方正仿宋_GBK"/>
          <w:color w:val="000000"/>
          <w:spacing w:val="-2"/>
          <w:sz w:val="24"/>
        </w:rPr>
        <w:t>174</w:t>
      </w:r>
      <w:r>
        <w:rPr>
          <w:rFonts w:hint="eastAsia" w:eastAsia="方正仿宋_GBK"/>
          <w:color w:val="000000"/>
          <w:spacing w:val="-2"/>
          <w:sz w:val="24"/>
        </w:rPr>
        <w:t>株，并第一次将树龄</w:t>
      </w:r>
      <w:r>
        <w:rPr>
          <w:rFonts w:eastAsia="方正仿宋_GBK"/>
          <w:color w:val="000000"/>
          <w:spacing w:val="-2"/>
          <w:sz w:val="24"/>
        </w:rPr>
        <w:t>50—100</w:t>
      </w:r>
      <w:r>
        <w:rPr>
          <w:rFonts w:hint="eastAsia" w:eastAsia="方正仿宋_GBK"/>
          <w:color w:val="000000"/>
          <w:spacing w:val="-2"/>
          <w:sz w:val="24"/>
        </w:rPr>
        <w:t>年的树木作为古树名木的后续资源列入调查和保护，共计</w:t>
      </w:r>
      <w:r>
        <w:rPr>
          <w:rFonts w:eastAsia="方正仿宋_GBK"/>
          <w:color w:val="000000"/>
          <w:spacing w:val="-2"/>
          <w:sz w:val="24"/>
        </w:rPr>
        <w:t>245</w:t>
      </w:r>
      <w:r>
        <w:rPr>
          <w:rFonts w:hint="eastAsia" w:eastAsia="方正仿宋_GBK"/>
          <w:color w:val="000000"/>
          <w:spacing w:val="-2"/>
          <w:sz w:val="24"/>
        </w:rPr>
        <w:t>株。城市园林绿化行政主管部门的行业指导、监督和管理职能进一步增强。</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但是调查也发现城市古树名木保护管理仍然存在不少问题和薄弱环节，归纳起来主要有以下几点：一是档案资料的规范性还有待加强，一些市、县古树名木现状资料不完整、不准确，编号不规范，且多号一栏；二是保护管理较薄弱，古树名木死亡的数量较大。除正常生长衰退及自然灾害等不可抗力因素外，病虫害、移植、养护管理不善等仍是死亡的主要原因；三是日常监管不力，古树名木丢失、转卖等现象仍有发生。为此，提出如下工作要求：</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严格执行《城市绿化条例》、《江苏省城市绿化管理条例》等法规中严禁砍伐、随意移植古树名木的规定，加强行政和行业监管。要杜绝转卖、移植外来古树名木的现象，本地古树名木应坚持就地保护的原则，移植要慎重。在工程建设的规划设计阶段应制定工程范围内古树名木的保护方案和措施，尽量做到路让树、房让树，并为古树名木的生长创造良好的外部环境。因特殊原因本地古树名木确需移植的，必须按照有关规定办理移植审批手续，移植要采取相应的特殊技术和工程措施，确保古树名木成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进一步规范完善城市古树名木的档案管理。对古树名木资料不全的要尽快完善资料（包括文档及图片）；对多号一栏的，应将每一株树木的基本情况分栏列出，做到一号一栏。本次汇总名录的编号已经各市、县园林绿化主管部门反复确认，应作为今后各地城市古树名木的档案号、挂牌号进行统一管理。今后新增的古树名木应在对应的区域内续后编号。若因特殊原因确需调整变更编号的，请及时告知我厅风景园林处并备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进一步完善城市古树名木的保护管理机制，加强日常养护监管。各地园林绿化行政主管部门要重视城市古树名木的保护管理工作，按照国家和省对城市古树名木保护管理的办法和规定，落实各项管养措施，纳入日常工作强化监管和技术指导。生长条件恶劣的应予以改善，生长状况不良的要采取措施，做到定期察看、及时复壮。有条件的城市要将城市古树名木纳入城市绿线进行定点定位管理，省辖市园林绿化行政主管部门应成立城市古树名木鉴定、复壮技术专家组，为城市古树名木的科学管养提供技术支撑和指导服务。</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cs" w:eastAsia="方正仿宋_GBK"/>
          <w:color w:val="000000"/>
          <w:spacing w:val="-2"/>
          <w:sz w:val="24"/>
          <w:cs/>
        </w:rPr>
        <w:t> </w:t>
      </w:r>
      <w:r>
        <w:rPr>
          <w:rFonts w:eastAsia="方正仿宋_GBK"/>
          <w:color w:val="000000"/>
          <w:spacing w:val="-2"/>
          <w:sz w:val="24"/>
        </w:rPr>
        <w:t>2013</w:t>
      </w:r>
      <w:r>
        <w:rPr>
          <w:rFonts w:hint="eastAsia" w:eastAsia="方正仿宋_GBK"/>
          <w:color w:val="000000"/>
          <w:spacing w:val="-2"/>
          <w:sz w:val="24"/>
        </w:rPr>
        <w:t>年江苏省城市古树名木汇总表（略）</w:t>
      </w:r>
    </w:p>
    <w:p>
      <w:pPr>
        <w:spacing w:line="460" w:lineRule="exact"/>
        <w:ind w:firstLine="1180" w:firstLineChars="500"/>
        <w:rPr>
          <w:rFonts w:eastAsia="方正仿宋_GBK"/>
          <w:color w:val="000000"/>
          <w:spacing w:val="-2"/>
          <w:sz w:val="24"/>
        </w:rPr>
      </w:pPr>
      <w:r>
        <w:rPr>
          <w:rFonts w:eastAsia="方正仿宋_GBK"/>
          <w:color w:val="000000"/>
          <w:spacing w:val="-2"/>
          <w:sz w:val="24"/>
        </w:rPr>
        <w:t>2.</w:t>
      </w:r>
      <w:r>
        <w:rPr>
          <w:rFonts w:hint="cs" w:eastAsia="方正仿宋_GBK"/>
          <w:color w:val="000000"/>
          <w:spacing w:val="-2"/>
          <w:sz w:val="24"/>
          <w:cs/>
        </w:rPr>
        <w:t> </w:t>
      </w:r>
      <w:r>
        <w:rPr>
          <w:rFonts w:hint="eastAsia" w:eastAsia="方正仿宋_GBK"/>
          <w:color w:val="000000"/>
          <w:spacing w:val="-2"/>
          <w:sz w:val="24"/>
        </w:rPr>
        <w:t>江苏省城市古树名木数量统计表（</w:t>
      </w:r>
      <w:r>
        <w:rPr>
          <w:rFonts w:eastAsia="方正仿宋_GBK"/>
          <w:color w:val="000000"/>
          <w:spacing w:val="-2"/>
          <w:sz w:val="24"/>
        </w:rPr>
        <w:t>201310</w:t>
      </w:r>
      <w:r>
        <w:rPr>
          <w:rFonts w:hint="eastAsia" w:eastAsia="方正仿宋_GBK"/>
          <w:color w:val="000000"/>
          <w:spacing w:val="-2"/>
          <w:sz w:val="24"/>
        </w:rPr>
        <w:t>）（略）</w:t>
      </w:r>
    </w:p>
    <w:p>
      <w:pPr>
        <w:spacing w:line="460" w:lineRule="exact"/>
        <w:ind w:firstLine="3068" w:firstLineChars="1300"/>
        <w:rPr>
          <w:rFonts w:eastAsia="方正仿宋_GBK"/>
          <w:color w:val="000000"/>
          <w:spacing w:val="-2"/>
          <w:sz w:val="24"/>
        </w:rPr>
      </w:pPr>
    </w:p>
    <w:p>
      <w:pPr>
        <w:wordWrap w:val="0"/>
        <w:spacing w:line="460" w:lineRule="exact"/>
        <w:ind w:firstLine="3068" w:firstLineChars="1300"/>
        <w:jc w:val="right"/>
        <w:rPr>
          <w:rFonts w:eastAsia="方正仿宋_GBK"/>
          <w:color w:val="000000"/>
          <w:spacing w:val="-2"/>
          <w:sz w:val="24"/>
        </w:rPr>
      </w:pPr>
      <w:r>
        <w:rPr>
          <w:rFonts w:hint="eastAsia" w:eastAsia="方正仿宋_GBK"/>
          <w:color w:val="000000"/>
          <w:spacing w:val="-2"/>
          <w:sz w:val="24"/>
        </w:rPr>
        <w:t>江苏省住房城乡建设厅</w:t>
      </w:r>
      <w:r>
        <w:rPr>
          <w:rFonts w:eastAsia="方正仿宋_GBK"/>
          <w:color w:val="000000"/>
          <w:spacing w:val="-2"/>
          <w:sz w:val="24"/>
        </w:rPr>
        <w:t xml:space="preserve">    </w:t>
      </w:r>
    </w:p>
    <w:p>
      <w:pPr>
        <w:wordWrap w:val="0"/>
        <w:spacing w:line="460" w:lineRule="exact"/>
        <w:ind w:firstLine="472" w:firstLineChars="200"/>
        <w:jc w:val="right"/>
        <w:rPr>
          <w:rFonts w:eastAsia="方正仿宋_GBK"/>
          <w:color w:val="000000"/>
          <w:spacing w:val="-2"/>
          <w:sz w:val="24"/>
        </w:rPr>
      </w:pPr>
      <w:r>
        <w:rPr>
          <w:rFonts w:eastAsia="方正仿宋_GBK"/>
          <w:color w:val="000000"/>
          <w:spacing w:val="-2"/>
          <w:sz w:val="24"/>
        </w:rPr>
        <w:t xml:space="preserve">                        2013</w:t>
      </w:r>
      <w:r>
        <w:rPr>
          <w:rFonts w:hint="eastAsia" w:eastAsia="方正仿宋_GBK"/>
          <w:color w:val="000000"/>
          <w:spacing w:val="-2"/>
          <w:sz w:val="24"/>
        </w:rPr>
        <w:t>年</w:t>
      </w:r>
      <w:r>
        <w:rPr>
          <w:rFonts w:eastAsia="方正仿宋_GBK"/>
          <w:color w:val="000000"/>
          <w:spacing w:val="-2"/>
          <w:sz w:val="24"/>
        </w:rPr>
        <w:t>10</w:t>
      </w:r>
      <w:r>
        <w:rPr>
          <w:rFonts w:hint="eastAsia" w:eastAsia="方正仿宋_GBK"/>
          <w:color w:val="000000"/>
          <w:spacing w:val="-2"/>
          <w:sz w:val="24"/>
        </w:rPr>
        <w:t>月</w:t>
      </w:r>
      <w:r>
        <w:rPr>
          <w:rFonts w:eastAsia="方正仿宋_GBK"/>
          <w:color w:val="000000"/>
          <w:spacing w:val="-2"/>
          <w:sz w:val="24"/>
        </w:rPr>
        <w:t xml:space="preserve"> 29 </w:t>
      </w:r>
      <w:r>
        <w:rPr>
          <w:rFonts w:hint="eastAsia" w:eastAsia="方正仿宋_GBK"/>
          <w:color w:val="000000"/>
          <w:spacing w:val="-2"/>
          <w:sz w:val="24"/>
        </w:rPr>
        <w:t>日</w:t>
      </w:r>
      <w:r>
        <w:rPr>
          <w:rFonts w:eastAsia="方正仿宋_GBK"/>
          <w:color w:val="000000"/>
          <w:spacing w:val="-2"/>
          <w:sz w:val="24"/>
        </w:rPr>
        <w:t xml:space="preserve">     </w:t>
      </w:r>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430" w:name="_Toc20726484"/>
      <w:bookmarkStart w:id="431" w:name="_Toc18315656"/>
      <w:r>
        <w:rPr>
          <w:rFonts w:hint="eastAsia" w:ascii="Times New Roman" w:eastAsia="方正小标宋_GBK"/>
          <w:b w:val="0"/>
          <w:sz w:val="36"/>
          <w:szCs w:val="36"/>
        </w:rPr>
        <w:t>关于进一步加强我省建设工程监理管理的若干意见</w:t>
      </w:r>
      <w:bookmarkEnd w:id="430"/>
      <w:bookmarkEnd w:id="431"/>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32" w:name="_Toc20726485"/>
      <w:bookmarkStart w:id="433" w:name="_Toc18315657"/>
      <w:r>
        <w:rPr>
          <w:rFonts w:hint="eastAsia" w:ascii="Times New Roman" w:hAnsi="Times New Roman" w:eastAsia="方正楷体_GBK"/>
          <w:b w:val="0"/>
          <w:sz w:val="24"/>
          <w:szCs w:val="24"/>
        </w:rPr>
        <w:t>苏建工〔</w:t>
      </w:r>
      <w:r>
        <w:rPr>
          <w:rFonts w:ascii="Times New Roman" w:hAnsi="Times New Roman" w:eastAsia="方正楷体_GBK"/>
          <w:b w:val="0"/>
          <w:sz w:val="24"/>
          <w:szCs w:val="24"/>
        </w:rPr>
        <w:t>2007</w:t>
      </w:r>
      <w:r>
        <w:rPr>
          <w:rFonts w:hint="eastAsia" w:ascii="Times New Roman" w:hAnsi="Times New Roman" w:eastAsia="方正楷体_GBK"/>
          <w:b w:val="0"/>
          <w:sz w:val="24"/>
          <w:szCs w:val="24"/>
        </w:rPr>
        <w:t>〕</w:t>
      </w:r>
      <w:r>
        <w:rPr>
          <w:rFonts w:ascii="Times New Roman" w:hAnsi="Times New Roman" w:eastAsia="方正楷体_GBK"/>
          <w:b w:val="0"/>
          <w:sz w:val="24"/>
          <w:szCs w:val="24"/>
        </w:rPr>
        <w:t>168</w:t>
      </w:r>
      <w:r>
        <w:rPr>
          <w:rFonts w:hint="eastAsia" w:ascii="Times New Roman" w:hAnsi="Times New Roman" w:eastAsia="方正楷体_GBK"/>
          <w:b w:val="0"/>
          <w:sz w:val="24"/>
          <w:szCs w:val="24"/>
        </w:rPr>
        <w:t>号</w:t>
      </w:r>
      <w:bookmarkEnd w:id="432"/>
      <w:bookmarkEnd w:id="433"/>
    </w:p>
    <w:p>
      <w:pPr>
        <w:spacing w:line="460" w:lineRule="exact"/>
        <w:rPr>
          <w:rFonts w:eastAsia="方正仿宋_GBK"/>
          <w:color w:val="000000"/>
          <w:spacing w:val="-2"/>
          <w:kern w:val="0"/>
          <w:sz w:val="24"/>
        </w:rPr>
      </w:pPr>
      <w:r>
        <w:rPr>
          <w:rFonts w:hint="eastAsia" w:eastAsia="方正仿宋_GBK"/>
          <w:color w:val="000000"/>
          <w:spacing w:val="-2"/>
          <w:kern w:val="0"/>
          <w:sz w:val="24"/>
        </w:rPr>
        <w:t>各省辖市建设局（建委）、苏州工业园区规划建设局：</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为进一步加强建设工程监理管理，提高建设工程质量和管理水平，促进建设监理事业健康发展，根据国家和省有关规定，结合实际，提出以下若干意见。</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一、进一步规范建设单位市场行为</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（一）建设单位必须按照规定将应当监理的工程委托给具有相应资质等级的监理企业监理；国家法律法规规定必须招标的建设工程，应当通过招标方式择优选择监理企业。</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建设单位不得将建设工程肢解，不得降低对监理企业资质等级和监理人员相应资格要求将工程划分为若干标段进行发包。同期开发建设的住宅小区工程以及其他建设工程，应当由一家监理企业监理的，不宜划分成若干标段分别委托不同的监理企业监理。</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建设单位应当按照法律法规规定以及合同约定，切实将赋予监理企业的权力委托给监理企业。施工单位报出的工程计量和工程费用支付申请等，须经总监理工程师签字后，建设单位方可作为执行的依据。工程竣工结算审核后，建设单位要及时将审核结果书面告知监理企业。建设单位按照合同约定，对采用监理企业提出的合理化建议后节省投资的，应当从节省的投资中提取</w:t>
      </w:r>
      <w:r>
        <w:rPr>
          <w:rFonts w:eastAsia="方正仿宋_GBK"/>
          <w:color w:val="000000"/>
          <w:spacing w:val="-2"/>
          <w:kern w:val="0"/>
          <w:sz w:val="24"/>
        </w:rPr>
        <w:t>10%—30%</w:t>
      </w:r>
      <w:r>
        <w:rPr>
          <w:rFonts w:hint="eastAsia" w:eastAsia="方正仿宋_GBK"/>
          <w:color w:val="000000"/>
          <w:spacing w:val="-2"/>
          <w:kern w:val="0"/>
          <w:sz w:val="24"/>
        </w:rPr>
        <w:t>奖励给监理企业。</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四）建设单位必须严格执行监理取费标准，并及时支付监理费用；不得要求监理企业降低监理取费标准，不得以降低监理取费标准作为评标的依据，不得以降低造价的方式压低监理费用，不得拖欠监理费用，不得与监理企业签订阴阳合同。对签订阴阳合同、压低监理取费、恶意拖欠监理费用的建设单位，省建设厅将报送建设单位及法人代表信息至人民银行南京分行，由人民银行南京分行将其登录在全国联网的企业和个人征信系统中，并定期向省内各金融机构通报。征信系统将提示各金融机构对签订阴阳合同、压低监理取费、恶意拖欠监理费用等的建设单位和个人不予信贷支持。</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五）建设单位在建设工程开工前应当将监理的范围、内容、总监理工程师姓名及委托给监理企业的权限等内容书面告知施工企业。应当按照规定和程序及时办理质量监督和安全监督手续，同时附上书面告知施工企业的内容。</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二、进一步规范施工企业市场行为</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（六）施工企业项目部人员必须按照投标书中的承诺到岗到位，必须具有相应的从业资格，必须服从项目监理机构的监督管理，积极主动地配合项目监理机构履行监理职责，为监理人员开展工作创造条件。</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七）施工企业应当按照要求及时向项目监理机构提供企业资质、安全生产许可证和从业人员资格、质量与安全管理体系、施工组织设计、专项施工方案等相关文本。所申报的文本审核与签署必须符合相应规定，并按照项目监理机构的审核意见修改补充。</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八）施工企业应当严格按照工程建设程序和要求进行施工，接受项目监理机构监督。总监理工程师未签发开工令的不得开工。工序验收、隐蔽工程验收、分部分项工程验收等必须按照程序经班组自检、专职质检员检验、项目部审核合格后，向项目监理机构作出书面报验申请，并按照项目监理机构验收中提出的整改要求认真整改。未经项目监理机构验收合格不得进入下一道工序。</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（九）施工企业应当按照法律法规规定履行施工工程质量和安全生产责任，并接受项目监理机构监督。严禁以虚假、拖延以及其他非正当手段干扰监理工作。</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三、进一步规范监理企业市场行为</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（十）监理企业必须取得资质后方可从事相应资质范围内的工程监理业务，应当按照法律、法规、规章、标准、规范和合同约定等实施监理，并承担相应的责任。</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十一）监理企业资质许可后实行动态管理。资质条件不达标，整改期内限制其承接监理业务；整改期满后仍不达标的，不得承接监理业务。因伪造、出借、出卖资质证书等违反规定的行为，被有关行政主管部门清出市场的监理企业，严禁承接监理业务。</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（十二）监理企业在我省从事监理业务必须实行挂牌上岗制度。</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（十三）本省和驻苏监理企业在省内跨设区市承接监理业务的，按照本意见第十三规定实行单个监理项目核验制度。</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（十四）监理企业不得有下列行为：</w:t>
      </w:r>
      <w:r>
        <w:rPr>
          <w:rFonts w:eastAsia="方正仿宋_GBK"/>
          <w:color w:val="000000"/>
          <w:spacing w:val="-2"/>
          <w:kern w:val="0"/>
          <w:sz w:val="24"/>
        </w:rPr>
        <w:t xml:space="preserve"> </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、采取压低取费标准或以回扣等不正当竞争手段承接业务；</w:t>
      </w:r>
      <w:r>
        <w:rPr>
          <w:rFonts w:eastAsia="方正仿宋_GBK"/>
          <w:color w:val="000000"/>
          <w:spacing w:val="-2"/>
          <w:kern w:val="0"/>
          <w:sz w:val="24"/>
        </w:rPr>
        <w:t xml:space="preserve"> </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、允许个人或低资质监理企业挂靠，利用企业资质进行经营；</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、监理与本单位有同一隶属关系的单位所承建的建设工程；</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、将监理的工程转给其他单位监理；</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、使用非本企业的监理人员；</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、其他违法违规行为。</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（十五）实行</w:t>
      </w:r>
      <w:r>
        <w:rPr>
          <w:rFonts w:eastAsia="方正仿宋_GBK"/>
          <w:color w:val="000000"/>
          <w:spacing w:val="-2"/>
          <w:kern w:val="0"/>
          <w:sz w:val="24"/>
        </w:rPr>
        <w:t>“</w:t>
      </w:r>
      <w:r>
        <w:rPr>
          <w:rFonts w:hint="eastAsia" w:eastAsia="方正仿宋_GBK"/>
          <w:color w:val="000000"/>
          <w:spacing w:val="-2"/>
          <w:kern w:val="0"/>
          <w:sz w:val="24"/>
        </w:rPr>
        <w:t>监理企业自律承诺书</w:t>
      </w:r>
      <w:r>
        <w:rPr>
          <w:rFonts w:eastAsia="方正仿宋_GBK"/>
          <w:color w:val="000000"/>
          <w:spacing w:val="-2"/>
          <w:kern w:val="0"/>
          <w:sz w:val="24"/>
        </w:rPr>
        <w:t>”</w:t>
      </w:r>
      <w:r>
        <w:rPr>
          <w:rFonts w:hint="eastAsia" w:eastAsia="方正仿宋_GBK"/>
          <w:color w:val="000000"/>
          <w:spacing w:val="-2"/>
          <w:kern w:val="0"/>
          <w:sz w:val="24"/>
        </w:rPr>
        <w:t>制度。监理企业要向项目所在地建设行政主管部门提供不转包业务、不接受挂靠、不压低取费标准竞争、不签订阴阳合同、诚信经营、维护监理市场秩序，自愿接受各级建设行政主管部门考核等内容的自律承诺书。</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四、进一步加强监理人员管理</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十六）监理企业应当在投标文件中提出拟任项目监理机构人员组成名单，工程中标、签订监理合同后，不得随意更改项目监理机构组成人员。任职文件人员名单应当与投标、合同约定的一致，实际到岗的监理人员应当和任职文件人员名单一致。监理企业必须按照监理规划严格执行监理人员进退场计划。</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十七）一名总监理工程师原则上只能担任一项委托监理合同的项目总监理工程师工作，当需要同时担任多项委托监理合同的项目总监理工程师工作时，须经建设单位同意，且最多不得超过三项。总监理工程师不能同时在跨设区市的项目上任职。</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（十八）项目监理机构监理人员必须为所在监理企业的人员，且不得超越自身从业资格条件和职责范围承担监理工作。</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（十九）项目总监理工程师非以下原因不得变更。</w:t>
      </w:r>
      <w:r>
        <w:rPr>
          <w:rFonts w:eastAsia="方正仿宋_GBK"/>
          <w:color w:val="000000"/>
          <w:spacing w:val="-2"/>
          <w:kern w:val="0"/>
          <w:sz w:val="24"/>
        </w:rPr>
        <w:t xml:space="preserve"> </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、身体原因不能胜任工作的；</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、调离原单位的；</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、建设单位对总监理工程师工作不满意要求变更的；</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、总监理工程师需长期脱产学习的；</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、不再具备从业资格的；</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、因受行政处罚等原因不能继续履行职责的。</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十）未取得注册证书和执业印章的人员，不得以注册监理工程师的名义从事工程监理及相关业务活动。监理人员变更单位后应及时办理变更手续，未办妥有关手续前不得在新单位执业。注册有效期满需继续执业的，必须按有关规定办理延续注册手续后方可执业。</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（二十一）监理人员应当按照国家和省有关规定，积极参加监理工程师继续教育学习，按时、保质、足量地完成继续教育规定的内容，不断提高从业水平。</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五、进一步加强项目现场管理</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（二十二）项目监理机构实行总监理工程师负责制。总监理工程师督促监理人员履行职责，对工程进度、投资和质量等内容进行全面监督管理，按照工程监理的实施程序，完成监理合同约定的各项任务。</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（二十三）项目监理机构要按照建设部《关于落实建设工程安全生产监理责任的若干意见》（建市〔</w:t>
      </w:r>
      <w:r>
        <w:rPr>
          <w:rFonts w:eastAsia="方正仿宋_GBK"/>
          <w:color w:val="000000"/>
          <w:spacing w:val="-2"/>
          <w:kern w:val="0"/>
          <w:sz w:val="24"/>
        </w:rPr>
        <w:t>2006</w:t>
      </w:r>
      <w:r>
        <w:rPr>
          <w:rFonts w:hint="eastAsia" w:eastAsia="方正仿宋_GBK"/>
          <w:color w:val="000000"/>
          <w:spacing w:val="-2"/>
          <w:kern w:val="0"/>
          <w:sz w:val="24"/>
        </w:rPr>
        <w:t>〕</w:t>
      </w:r>
      <w:r>
        <w:rPr>
          <w:rFonts w:eastAsia="方正仿宋_GBK"/>
          <w:color w:val="000000"/>
          <w:spacing w:val="-2"/>
          <w:kern w:val="0"/>
          <w:sz w:val="24"/>
        </w:rPr>
        <w:t>248</w:t>
      </w:r>
      <w:r>
        <w:rPr>
          <w:rFonts w:hint="eastAsia" w:eastAsia="方正仿宋_GBK"/>
          <w:color w:val="000000"/>
          <w:spacing w:val="-2"/>
          <w:kern w:val="0"/>
          <w:sz w:val="24"/>
        </w:rPr>
        <w:t>号）和省建设厅《关于贯彻落实〈建设工程安全生产管理条例〉中监理安全责任的通知》（苏建工〔</w:t>
      </w:r>
      <w:r>
        <w:rPr>
          <w:rFonts w:eastAsia="方正仿宋_GBK"/>
          <w:color w:val="000000"/>
          <w:spacing w:val="-2"/>
          <w:kern w:val="0"/>
          <w:sz w:val="24"/>
        </w:rPr>
        <w:t>2004</w:t>
      </w:r>
      <w:r>
        <w:rPr>
          <w:rFonts w:hint="eastAsia" w:eastAsia="方正仿宋_GBK"/>
          <w:color w:val="000000"/>
          <w:spacing w:val="-2"/>
          <w:kern w:val="0"/>
          <w:sz w:val="24"/>
        </w:rPr>
        <w:t>〕</w:t>
      </w:r>
      <w:r>
        <w:rPr>
          <w:rFonts w:eastAsia="方正仿宋_GBK"/>
          <w:color w:val="000000"/>
          <w:spacing w:val="-2"/>
          <w:kern w:val="0"/>
          <w:sz w:val="24"/>
        </w:rPr>
        <w:t>458</w:t>
      </w:r>
      <w:r>
        <w:rPr>
          <w:rFonts w:hint="eastAsia" w:eastAsia="方正仿宋_GBK"/>
          <w:color w:val="000000"/>
          <w:spacing w:val="-2"/>
          <w:kern w:val="0"/>
          <w:sz w:val="24"/>
        </w:rPr>
        <w:t>号）文的要求以及合同的约定，全面落实监理安全责任。</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（二十四）项目监理机构在工程现场必须使用现行的《江苏省建设工程施工阶段监理现场用表》。监理人员在施工现场必须佩带建设行政主管部门规定的监理标志，必须持证和挂牌上岗。</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（二十五）项目监理机构的监理人员必须遵守职业道德，切实维护建设单位合法权益，不损害施工企业合法利益。不得利用职权指定建筑材料、设备等供应商，不得有其他不良行为。</w:t>
      </w:r>
      <w:r>
        <w:rPr>
          <w:rFonts w:eastAsia="方正仿宋_GBK"/>
          <w:color w:val="000000"/>
          <w:spacing w:val="-2"/>
          <w:kern w:val="0"/>
          <w:sz w:val="24"/>
        </w:rPr>
        <w:t xml:space="preserve"> </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（二十六）监理企业要加强对项目监理机构的监督管理，定期组织检查和考核，确保项目监理机构切实履行监理职责。</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六、进一步提高信息化工作水平</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（二十七）本省监理企业、驻苏企业、非驻苏企业及其监理人员、监理项目都必须及时录入监理信息系统。监理企业的新注册、变更注册、延续注册监理人员的信息在批准之日起</w:t>
      </w:r>
      <w:r>
        <w:rPr>
          <w:rFonts w:eastAsia="方正仿宋_GBK"/>
          <w:color w:val="000000"/>
          <w:spacing w:val="-2"/>
          <w:kern w:val="0"/>
          <w:sz w:val="24"/>
        </w:rPr>
        <w:t>10</w:t>
      </w:r>
      <w:r>
        <w:rPr>
          <w:rFonts w:hint="eastAsia" w:eastAsia="方正仿宋_GBK"/>
          <w:color w:val="000000"/>
          <w:spacing w:val="-2"/>
          <w:kern w:val="0"/>
          <w:sz w:val="24"/>
        </w:rPr>
        <w:t>日内必须录入监理信息系统。监理企业新承接项目信息必须在监理合同到项目所在地建设行政主管部门登记前录入监理信息系统。未及时录入的，建设行政主管部门将项目信息录入监理信息系统，同时系统自动给予监理企业不良行为扣分。</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十八）未按要求录入监理信息系统的监理企业不得在江苏市场上承接业务，不得参与评优评奖；未按要求录入监理信息系统的监理人员不得在江苏市场上从事监理活动，不得评优评奖；未按要求录入监理信息系统的在监项目，不得评选省示范监理项目（省优秀项目监理机构），工程竣工后不得作为监理企业和个人的业绩。</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十九）监理信息系统对各级建设行政主管部门录入的监理企业和个人的不良行为实行动态管理，自动计分汇总，并根据扣分情况自动对监理企业和人员进行信用分类，显示信用情况和奖惩措施，接受公众的查询。建立监理人员应知应会题库，供监理人员自学或监理企业内部培训。监理事项实行网上管理。</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七、进一步加大检查工作力度</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三十）实行巡查制度。省建设厅每年开展两次工程质量监督巡查，将把监理企业作为重点对象进行检查。各市、县（市）建设行政主管部门要组织力量，定期对在本地区从事建设监理活动的监理企业进行巡查，巡查监理企业在监项目每年不少于一个，及时印发巡查结果通报，将企业和人员不良行为记入信用档案，录入监理信息系统。</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十一）实行随机检查制度。市、县（市）级建设行政主管部门要定期组织开展随机检查，每年不得少于两次；省建设厅每年组织不少于一次。各级建设行政主管部门把重点监督管理企业、不主动将在监项目录入监理信息系统的监理企业作为随机检查的重点对象，及时印发检查结果通报或行政处罚书，将企业和人员不良行为记入信用档案，录入监理信息系统。</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（三十二）完善投诉举报处理制度。各级建设行政主管部门要认真处理举报投诉，做到有诉必查，有查必果，定期印发查处结果通报、行政处罚书，将企业和人员不良行为记入信用档案，录入监理信息系统。</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八、进一步加大联动工作力度</w:t>
      </w:r>
    </w:p>
    <w:p>
      <w:pPr>
        <w:spacing w:line="460" w:lineRule="exact"/>
        <w:ind w:firstLine="472" w:firstLineChars="200"/>
        <w:rPr>
          <w:rFonts w:hint="eastAsia"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三十三）建设行政主管部门系统内实行联动。有关部门在建设工程监理招投标过程中，应当积极使用监理信息系统，落实评标加分政策，严格执行监理取费标准。质量监督、安全监督等部门应当及时将涉及监理企业和人员的不良行为报送建设行政主管部门，经审核认定后录入监理信息系统。县级及以上建设行政主管部门作出书面处理意见的，应及时将监理企业和人员的不良行为录入监理信息系统。省建设厅每半年公布一次重点监督管理企业和人员名单。</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（三十四）建设行政主管部门和专业工程行政主管部门实行联动。专业工程行政主管部门在建设工程监理招投标过程中，严格执行监理取费标准，同时进入监理信息系统，落实评标加分政策。</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（三十五）监理企业之间实行联动，互相监督，积极举报扰乱监理市场秩序，特别是有压低取费标准竞争行为的监理企业，并积极配合建设行政主管部门收集证据。</w:t>
      </w:r>
    </w:p>
    <w:p>
      <w:pPr>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九、进一步营造监理企业发展的良好环境</w:t>
      </w:r>
    </w:p>
    <w:p>
      <w:pPr>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三十六）各级建设行政主管部门要树立服务意识，提供优质服务，不得设置外地企业到本地承接监理业务的歧视性规定。加强不同部门之间的沟通协调，提高工作效率。积极研究新情况，发现新问题，提出新措施，提高政策的可操作性。采用走出去、请进来的办法，为监理企业创造交流学习的机会。</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（三十七）鼓励监理企业围绕主业，开展多元化经营。鼓励监理企业之间采用合并、兼并等方式整合资源，增强企业核心竞争力，促进企业做好、做大、做强。</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（三十八）引导监理企业转变传统的经营理念，由追求企业市场份额向追求企业市场价值份额转变，在追求量的扩张的同时，更注重质的提升，从而逐步解决企业利润率过低的问题，不断增强企业活力。</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（三十九）加强对监理行业协会的指导，充分发挥行业协会桥梁和纽带的作用，鼓励和支持行业协会做好监理企业自律工作。</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本意见自</w:t>
      </w:r>
      <w:r>
        <w:rPr>
          <w:rFonts w:eastAsia="方正仿宋_GBK"/>
          <w:color w:val="000000"/>
          <w:spacing w:val="-2"/>
          <w:kern w:val="0"/>
          <w:sz w:val="24"/>
        </w:rPr>
        <w:t>2007</w:t>
      </w:r>
      <w:r>
        <w:rPr>
          <w:rFonts w:hint="eastAsia" w:eastAsia="方正仿宋_GBK"/>
          <w:color w:val="000000"/>
          <w:spacing w:val="-2"/>
          <w:kern w:val="0"/>
          <w:sz w:val="24"/>
        </w:rPr>
        <w:t>年</w:t>
      </w:r>
      <w:r>
        <w:rPr>
          <w:rFonts w:eastAsia="方正仿宋_GBK"/>
          <w:color w:val="000000"/>
          <w:spacing w:val="-2"/>
          <w:kern w:val="0"/>
          <w:sz w:val="24"/>
        </w:rPr>
        <w:t>10</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日起执行。</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附件：</w:t>
      </w:r>
      <w:r>
        <w:rPr>
          <w:rFonts w:eastAsia="方正仿宋_GBK"/>
          <w:color w:val="000000"/>
          <w:spacing w:val="-2"/>
          <w:kern w:val="0"/>
          <w:sz w:val="24"/>
        </w:rPr>
        <w:t>1.</w:t>
      </w:r>
      <w:r>
        <w:rPr>
          <w:rFonts w:hint="cs" w:eastAsia="方正仿宋_GBK"/>
          <w:color w:val="000000"/>
          <w:spacing w:val="-2"/>
          <w:kern w:val="0"/>
          <w:sz w:val="24"/>
          <w:cs/>
        </w:rPr>
        <w:t> </w:t>
      </w:r>
      <w:r>
        <w:rPr>
          <w:rFonts w:hint="eastAsia" w:eastAsia="方正仿宋_GBK"/>
          <w:color w:val="000000"/>
          <w:spacing w:val="-2"/>
          <w:kern w:val="0"/>
          <w:sz w:val="24"/>
        </w:rPr>
        <w:t>江苏省建设工程监理企业不良行为考核标准</w:t>
      </w:r>
    </w:p>
    <w:p>
      <w:pPr>
        <w:spacing w:line="460" w:lineRule="exact"/>
        <w:ind w:firstLine="1180" w:firstLineChars="500"/>
        <w:rPr>
          <w:rFonts w:eastAsia="方正仿宋_GBK"/>
          <w:color w:val="000000"/>
          <w:spacing w:val="-2"/>
          <w:kern w:val="0"/>
          <w:sz w:val="24"/>
        </w:rPr>
      </w:pPr>
      <w:r>
        <w:rPr>
          <w:rFonts w:eastAsia="方正仿宋_GBK"/>
          <w:color w:val="000000"/>
          <w:spacing w:val="-2"/>
          <w:kern w:val="0"/>
          <w:sz w:val="24"/>
        </w:rPr>
        <w:t>2.</w:t>
      </w:r>
      <w:r>
        <w:rPr>
          <w:rFonts w:hint="cs" w:eastAsia="方正仿宋_GBK"/>
          <w:color w:val="000000"/>
          <w:spacing w:val="-2"/>
          <w:kern w:val="0"/>
          <w:sz w:val="24"/>
          <w:cs/>
        </w:rPr>
        <w:t> </w:t>
      </w:r>
      <w:r>
        <w:rPr>
          <w:rFonts w:hint="eastAsia" w:eastAsia="方正仿宋_GBK"/>
          <w:color w:val="000000"/>
          <w:spacing w:val="-2"/>
          <w:kern w:val="0"/>
          <w:sz w:val="24"/>
        </w:rPr>
        <w:t>江苏省建设工程监理人员不良行为考核标准</w:t>
      </w:r>
    </w:p>
    <w:p>
      <w:pPr>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江苏省建设厅</w:t>
      </w:r>
      <w:r>
        <w:rPr>
          <w:rFonts w:eastAsia="方正仿宋_GBK"/>
          <w:color w:val="000000"/>
          <w:spacing w:val="-2"/>
          <w:kern w:val="0"/>
          <w:sz w:val="24"/>
        </w:rPr>
        <w:t xml:space="preserve">         </w:t>
      </w:r>
    </w:p>
    <w:p>
      <w:pPr>
        <w:wordWrap w:val="0"/>
        <w:spacing w:line="460" w:lineRule="exact"/>
        <w:ind w:firstLine="472" w:firstLineChars="200"/>
        <w:jc w:val="right"/>
        <w:rPr>
          <w:rFonts w:eastAsia="方正仿宋_GBK"/>
          <w:color w:val="000000"/>
          <w:spacing w:val="-2"/>
          <w:kern w:val="0"/>
          <w:sz w:val="24"/>
        </w:rPr>
      </w:pPr>
      <w:r>
        <w:rPr>
          <w:rFonts w:hint="eastAsia" w:eastAsia="方正仿宋_GBK"/>
          <w:color w:val="000000"/>
          <w:spacing w:val="-2"/>
          <w:kern w:val="0"/>
          <w:sz w:val="24"/>
        </w:rPr>
        <w:t>二</w:t>
      </w:r>
      <w:r>
        <w:rPr>
          <w:rFonts w:hint="eastAsia" w:eastAsia="方正仿宋_GBK"/>
          <w:color w:val="000000"/>
          <w:spacing w:val="-2"/>
          <w:sz w:val="24"/>
        </w:rPr>
        <w:t>○○</w:t>
      </w:r>
      <w:r>
        <w:rPr>
          <w:rFonts w:hint="eastAsia" w:eastAsia="方正仿宋_GBK"/>
          <w:color w:val="000000"/>
          <w:spacing w:val="-2"/>
          <w:kern w:val="0"/>
          <w:sz w:val="24"/>
        </w:rPr>
        <w:t>七年五月二十一日</w:t>
      </w:r>
      <w:r>
        <w:rPr>
          <w:rFonts w:eastAsia="方正仿宋_GBK"/>
          <w:color w:val="000000"/>
          <w:spacing w:val="-2"/>
          <w:kern w:val="0"/>
          <w:sz w:val="24"/>
        </w:rPr>
        <w:t xml:space="preserve">    </w:t>
      </w:r>
    </w:p>
    <w:p>
      <w:pPr>
        <w:spacing w:line="460" w:lineRule="exact"/>
        <w:rPr>
          <w:rFonts w:ascii="Times New Roman" w:eastAsia="方正黑体_GBK"/>
          <w:color w:val="000000"/>
          <w:spacing w:val="-2"/>
          <w:kern w:val="0"/>
          <w:sz w:val="28"/>
          <w:szCs w:val="28"/>
        </w:rPr>
      </w:pPr>
    </w:p>
    <w:p>
      <w:pPr>
        <w:spacing w:line="460" w:lineRule="exact"/>
        <w:rPr>
          <w:rFonts w:hint="eastAsia" w:ascii="Times New Roman" w:eastAsia="方正黑体_GBK"/>
          <w:color w:val="000000"/>
          <w:spacing w:val="-2"/>
          <w:kern w:val="0"/>
          <w:sz w:val="28"/>
          <w:szCs w:val="28"/>
        </w:rPr>
      </w:pPr>
    </w:p>
    <w:p>
      <w:pPr>
        <w:spacing w:line="460" w:lineRule="exact"/>
        <w:rPr>
          <w:rFonts w:hint="eastAsia" w:ascii="Times New Roman" w:eastAsia="方正黑体_GBK"/>
          <w:color w:val="000000"/>
          <w:spacing w:val="-2"/>
          <w:kern w:val="0"/>
          <w:sz w:val="28"/>
          <w:szCs w:val="28"/>
        </w:rPr>
      </w:pPr>
      <w:r>
        <w:rPr>
          <w:rFonts w:hint="eastAsia" w:ascii="Times New Roman" w:eastAsia="方正黑体_GBK"/>
          <w:color w:val="000000"/>
          <w:spacing w:val="-2"/>
          <w:kern w:val="0"/>
          <w:sz w:val="28"/>
          <w:szCs w:val="28"/>
        </w:rPr>
        <w:t>附件1：</w:t>
      </w:r>
    </w:p>
    <w:p>
      <w:pPr>
        <w:spacing w:line="60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江苏省建设工程监理企业不良行为考核标准</w:t>
      </w:r>
    </w:p>
    <w:tbl>
      <w:tblPr>
        <w:tblStyle w:val="12"/>
        <w:tblW w:w="0" w:type="auto"/>
        <w:tblInd w:w="12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20"/>
        <w:gridCol w:w="540"/>
        <w:gridCol w:w="6646"/>
        <w:gridCol w:w="87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trPr>
        <w:tc>
          <w:tcPr>
            <w:tcW w:w="720" w:type="dxa"/>
            <w:tcBorders>
              <w:top w:val="single" w:color="auto" w:sz="8" w:space="0"/>
              <w:left w:val="single" w:color="auto" w:sz="8" w:space="0"/>
              <w:bottom w:val="single" w:color="auto" w:sz="4" w:space="0"/>
              <w:right w:val="single" w:color="auto" w:sz="4" w:space="0"/>
            </w:tcBorders>
            <w:noWrap w:val="0"/>
            <w:vAlign w:val="center"/>
          </w:tcPr>
          <w:p>
            <w:pPr>
              <w:spacing w:line="36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行为类别</w:t>
            </w:r>
          </w:p>
        </w:tc>
        <w:tc>
          <w:tcPr>
            <w:tcW w:w="540" w:type="dxa"/>
            <w:tcBorders>
              <w:top w:val="single" w:color="auto" w:sz="8" w:space="0"/>
              <w:left w:val="single" w:color="auto" w:sz="4" w:space="0"/>
              <w:bottom w:val="single" w:color="auto" w:sz="4" w:space="0"/>
              <w:right w:val="single" w:color="auto" w:sz="4" w:space="0"/>
            </w:tcBorders>
            <w:noWrap w:val="0"/>
            <w:vAlign w:val="center"/>
          </w:tcPr>
          <w:p>
            <w:pPr>
              <w:spacing w:line="36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序号</w:t>
            </w:r>
          </w:p>
        </w:tc>
        <w:tc>
          <w:tcPr>
            <w:tcW w:w="6646" w:type="dxa"/>
            <w:tcBorders>
              <w:top w:val="single" w:color="auto" w:sz="8" w:space="0"/>
              <w:left w:val="single" w:color="auto" w:sz="4" w:space="0"/>
              <w:bottom w:val="single" w:color="auto" w:sz="4" w:space="0"/>
              <w:right w:val="single" w:color="auto" w:sz="4" w:space="0"/>
            </w:tcBorders>
            <w:noWrap w:val="0"/>
            <w:vAlign w:val="center"/>
          </w:tcPr>
          <w:p>
            <w:pPr>
              <w:spacing w:line="36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不良行为具体内容</w:t>
            </w:r>
          </w:p>
        </w:tc>
        <w:tc>
          <w:tcPr>
            <w:tcW w:w="870" w:type="dxa"/>
            <w:tcBorders>
              <w:top w:val="single" w:color="auto" w:sz="8" w:space="0"/>
              <w:left w:val="single" w:color="auto" w:sz="4" w:space="0"/>
              <w:bottom w:val="single" w:color="auto" w:sz="4" w:space="0"/>
              <w:right w:val="single" w:color="auto" w:sz="8" w:space="0"/>
            </w:tcBorders>
            <w:noWrap w:val="0"/>
            <w:vAlign w:val="center"/>
          </w:tcPr>
          <w:p>
            <w:pPr>
              <w:spacing w:line="36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不良行为类型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8" w:hRule="atLeast"/>
        </w:trPr>
        <w:tc>
          <w:tcPr>
            <w:tcW w:w="720"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hint="eastAsia" w:eastAsia="方正仿宋_GBK"/>
                <w:color w:val="000000"/>
                <w:spacing w:val="-2"/>
                <w:szCs w:val="21"/>
              </w:rPr>
              <w:t>资质</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超越本单位资质等级和范围承接监理业务的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资质许可后条件不达标的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允许其他单位或个人以本单位的名义承接监理业务的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涂改、伪造、出借、转让资质证书的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hint="eastAsia" w:eastAsia="方正仿宋_GBK"/>
                <w:color w:val="000000"/>
                <w:spacing w:val="-2"/>
                <w:szCs w:val="21"/>
              </w:rPr>
              <w:t>承接业务</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5</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与建设单位或监理企业之间相互串通投标，或以行贿等不正当手段谋取中标的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6</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以他人名义承接监理业务或以其他方式弄虚作假骗取中标的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7</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转让工程监理业务的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8</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未按规定签订监理合同进行项目监理工作的，或分公司和分支机构签订监理合同的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9</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监理合同签订后，</w:t>
            </w:r>
            <w:r>
              <w:rPr>
                <w:rFonts w:eastAsia="方正仿宋_GBK"/>
                <w:color w:val="000000"/>
                <w:spacing w:val="-2"/>
                <w:szCs w:val="21"/>
              </w:rPr>
              <w:t>10</w:t>
            </w:r>
            <w:r>
              <w:rPr>
                <w:rFonts w:hint="eastAsia" w:eastAsia="方正仿宋_GBK"/>
                <w:color w:val="000000"/>
                <w:spacing w:val="-2"/>
                <w:szCs w:val="21"/>
              </w:rPr>
              <w:t>日内合同未到项目所在地建设行政主管部门登记的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10</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未按规定办理项目核验手续或人员登记的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hint="eastAsia" w:eastAsia="方正仿宋_GBK"/>
                <w:color w:val="000000"/>
                <w:spacing w:val="-2"/>
                <w:szCs w:val="21"/>
              </w:rPr>
              <w:t>监理取费</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11</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签订阴阳合同的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12</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实际监理取费低于规定收费标准，但未低于规定收费标准</w:t>
            </w:r>
            <w:r>
              <w:rPr>
                <w:rFonts w:eastAsia="方正仿宋_GBK"/>
                <w:color w:val="000000"/>
                <w:spacing w:val="-2"/>
                <w:szCs w:val="21"/>
              </w:rPr>
              <w:t>80%</w:t>
            </w:r>
            <w:r>
              <w:rPr>
                <w:rFonts w:hint="eastAsia" w:eastAsia="方正仿宋_GBK"/>
                <w:color w:val="000000"/>
                <w:spacing w:val="-2"/>
                <w:szCs w:val="21"/>
              </w:rPr>
              <w:t>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13</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实际监理取费低于规定收费标准</w:t>
            </w:r>
            <w:r>
              <w:rPr>
                <w:rFonts w:eastAsia="方正仿宋_GBK"/>
                <w:color w:val="000000"/>
                <w:spacing w:val="-2"/>
                <w:szCs w:val="21"/>
              </w:rPr>
              <w:t>80%(</w:t>
            </w:r>
            <w:r>
              <w:rPr>
                <w:rFonts w:hint="eastAsia" w:eastAsia="方正仿宋_GBK"/>
                <w:color w:val="000000"/>
                <w:spacing w:val="-2"/>
                <w:szCs w:val="21"/>
              </w:rPr>
              <w:t>含</w:t>
            </w:r>
            <w:r>
              <w:rPr>
                <w:rFonts w:eastAsia="方正仿宋_GBK"/>
                <w:color w:val="000000"/>
                <w:spacing w:val="-2"/>
                <w:szCs w:val="21"/>
              </w:rPr>
              <w:t>80%)</w:t>
            </w:r>
            <w:r>
              <w:rPr>
                <w:rFonts w:hint="eastAsia" w:eastAsia="方正仿宋_GBK"/>
                <w:color w:val="000000"/>
                <w:spacing w:val="-2"/>
                <w:szCs w:val="21"/>
              </w:rPr>
              <w:t>超过</w:t>
            </w:r>
            <w:r>
              <w:rPr>
                <w:rFonts w:eastAsia="方正仿宋_GBK"/>
                <w:color w:val="000000"/>
                <w:spacing w:val="-2"/>
                <w:szCs w:val="21"/>
              </w:rPr>
              <w:t>60%</w:t>
            </w:r>
            <w:r>
              <w:rPr>
                <w:rFonts w:hint="eastAsia" w:eastAsia="方正仿宋_GBK"/>
                <w:color w:val="000000"/>
                <w:spacing w:val="-2"/>
                <w:szCs w:val="21"/>
              </w:rPr>
              <w:t>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14</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实际监理取费低于规定收费标准</w:t>
            </w:r>
            <w:r>
              <w:rPr>
                <w:rFonts w:eastAsia="方正仿宋_GBK"/>
                <w:color w:val="000000"/>
                <w:spacing w:val="-2"/>
                <w:szCs w:val="21"/>
              </w:rPr>
              <w:t>60%(</w:t>
            </w:r>
            <w:r>
              <w:rPr>
                <w:rFonts w:hint="eastAsia" w:eastAsia="方正仿宋_GBK"/>
                <w:color w:val="000000"/>
                <w:spacing w:val="-2"/>
                <w:szCs w:val="21"/>
              </w:rPr>
              <w:t>含</w:t>
            </w:r>
            <w:r>
              <w:rPr>
                <w:rFonts w:eastAsia="方正仿宋_GBK"/>
                <w:color w:val="000000"/>
                <w:spacing w:val="-2"/>
                <w:szCs w:val="21"/>
              </w:rPr>
              <w:t>60%)</w:t>
            </w:r>
            <w:r>
              <w:rPr>
                <w:rFonts w:hint="eastAsia" w:eastAsia="方正仿宋_GBK"/>
                <w:color w:val="000000"/>
                <w:spacing w:val="-2"/>
                <w:szCs w:val="21"/>
              </w:rPr>
              <w:t>以下的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hint="eastAsia" w:eastAsia="方正仿宋_GBK"/>
                <w:color w:val="000000"/>
                <w:spacing w:val="-2"/>
                <w:szCs w:val="21"/>
              </w:rPr>
              <w:t>工程质量安全</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15</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与建设单位或施工企业串通，弄虚作假，降低工程质量的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16</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未依法履行监理职责，将不合格的建设工程、建筑材料、建筑构配件和设备按照合格签字的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21" w:hRule="atLeas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17</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与被监理工程的施工企业以及建筑材料、建筑构配件和设备供应单位有隶属关系或其他利害关系承担该项建设工程监理业务的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90" w:hRule="atLeas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18</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对施工企业违反工程建设强制性标准条文行为，现场项目监理机构不及时按规定向有关单位提出书面制止和纠正要求的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3" w:hRule="atLeas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19</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发生三级以上工程建设重大质量安全事故、或发生两起以上四级工程建设质量安全事故监理有责任的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20</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发生四级工程建设质量安全事故监理有责任的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21</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bCs/>
                <w:color w:val="000000"/>
                <w:spacing w:val="-2"/>
                <w:szCs w:val="21"/>
              </w:rPr>
              <w:t>监理企业未建立安全监理责任制、安全生产管理制度、安全生产教育培训制度的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22</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未对施工组织设计中的安全技术措施或者专项施工方案进行审查的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23</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发现安全事故隐患未及时要求施工企业整改或者暂时停止施工的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24</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施工企业拒不整改或者不停止施工，未及时向有关主管部门书面报告的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hint="eastAsia" w:eastAsia="方正仿宋_GBK"/>
                <w:color w:val="000000"/>
                <w:spacing w:val="-2"/>
                <w:szCs w:val="21"/>
              </w:rPr>
              <w:t>现场人员</w:t>
            </w:r>
          </w:p>
          <w:p>
            <w:pPr>
              <w:spacing w:line="360" w:lineRule="exact"/>
              <w:jc w:val="center"/>
              <w:rPr>
                <w:rFonts w:eastAsia="方正仿宋_GBK"/>
                <w:color w:val="000000"/>
                <w:spacing w:val="-2"/>
                <w:szCs w:val="21"/>
              </w:rPr>
            </w:pPr>
            <w:r>
              <w:rPr>
                <w:rFonts w:hint="eastAsia" w:eastAsia="方正仿宋_GBK"/>
                <w:color w:val="000000"/>
                <w:spacing w:val="-2"/>
                <w:szCs w:val="21"/>
              </w:rPr>
              <w:t>管理</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25</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bCs/>
                <w:color w:val="000000"/>
                <w:spacing w:val="-2"/>
                <w:szCs w:val="21"/>
              </w:rPr>
            </w:pPr>
            <w:r>
              <w:rPr>
                <w:rFonts w:hint="eastAsia" w:eastAsia="方正仿宋_GBK"/>
                <w:color w:val="000000"/>
                <w:spacing w:val="-2"/>
                <w:kern w:val="0"/>
                <w:szCs w:val="21"/>
              </w:rPr>
              <w:t>工程中标、监理合同签订后，随意更改项目监理机构组成人员的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26</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现场项目监理机构中的总监理工程师未取得从业资格即上岗的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27</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现场项目监理机构的总监理工程师已取得相应从业资格但未注册即上岗的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28</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kern w:val="0"/>
                <w:szCs w:val="21"/>
              </w:rPr>
              <w:t>监理企业未按照监理规划严格执行监理人员进退场计划的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29</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从业人员超越已取得的从业资格从事监理工作的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30</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现场项目监理机构人员配备的专业、数量明显不能满足监理工作需要的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31</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具备担任项目总监资格的人员，同时担任</w:t>
            </w:r>
            <w:r>
              <w:rPr>
                <w:rFonts w:eastAsia="方正仿宋_GBK"/>
                <w:color w:val="000000"/>
                <w:spacing w:val="-2"/>
                <w:szCs w:val="21"/>
              </w:rPr>
              <w:t>3</w:t>
            </w:r>
            <w:r>
              <w:rPr>
                <w:rFonts w:hint="eastAsia" w:eastAsia="方正仿宋_GBK"/>
                <w:color w:val="000000"/>
                <w:spacing w:val="-2"/>
                <w:szCs w:val="21"/>
              </w:rPr>
              <w:t>个（不含</w:t>
            </w:r>
            <w:r>
              <w:rPr>
                <w:rFonts w:eastAsia="方正仿宋_GBK"/>
                <w:color w:val="000000"/>
                <w:spacing w:val="-2"/>
                <w:szCs w:val="21"/>
              </w:rPr>
              <w:t>3</w:t>
            </w:r>
            <w:r>
              <w:rPr>
                <w:rFonts w:hint="eastAsia" w:eastAsia="方正仿宋_GBK"/>
                <w:color w:val="000000"/>
                <w:spacing w:val="-2"/>
                <w:szCs w:val="21"/>
              </w:rPr>
              <w:t>个）以上项目总监的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32</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省内企业和驻苏企业跨设区市承接监理业务有未通过登记或项目核验未通过的监理人员从业的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33</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非驻苏企业有未通过登记或项目核验未通过的监理人员从业的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34</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总监理工程师同时在跨设区市的项目上任职的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35</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bCs/>
                <w:color w:val="000000"/>
                <w:spacing w:val="-2"/>
                <w:szCs w:val="21"/>
              </w:rPr>
            </w:pPr>
            <w:r>
              <w:rPr>
                <w:rFonts w:hint="eastAsia" w:eastAsia="方正仿宋_GBK"/>
                <w:bCs/>
                <w:color w:val="000000"/>
                <w:spacing w:val="-2"/>
                <w:szCs w:val="21"/>
              </w:rPr>
              <w:t>未办理监理人员上岗牌的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36</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使用非本单位人员的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restart"/>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hint="eastAsia" w:eastAsia="方正仿宋_GBK"/>
                <w:color w:val="000000"/>
                <w:spacing w:val="-2"/>
                <w:szCs w:val="21"/>
              </w:rPr>
              <w:t>现场工作</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36</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监理企业对项目监理机构</w:t>
            </w:r>
            <w:r>
              <w:rPr>
                <w:rFonts w:eastAsia="方正仿宋_GBK"/>
                <w:color w:val="000000"/>
                <w:spacing w:val="-2"/>
                <w:szCs w:val="21"/>
              </w:rPr>
              <w:t>3</w:t>
            </w:r>
            <w:r>
              <w:rPr>
                <w:rFonts w:hint="eastAsia" w:eastAsia="方正仿宋_GBK"/>
                <w:color w:val="000000"/>
                <w:spacing w:val="-2"/>
                <w:szCs w:val="21"/>
              </w:rPr>
              <w:t>个月未组织检查、考核的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37</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未编制《监理规划》即开展现场监理工作的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38</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项目监理工作中有《监理规划》，但其编制、审核等不符合国家监理规范要求的，或者按规定应编制而未编制《监理实施细则》的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39</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对施工企业上道工序未报经监理验收即进入下道工序施工的行为，现场项目监理机构不及时以书面形式予以制止和纠正的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40</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对施工企业在主要建筑材料、建筑构配件和设备未报经监理核验即用于工程或应复试而未复试即用于工程的行为，现场项目监理机构不及时以书面形式予以制止和纠正的；或监理签批报验单程序不符合规定的；或检验批未按标准和规定验收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41</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6"/>
                <w:szCs w:val="21"/>
              </w:rPr>
            </w:pPr>
            <w:r>
              <w:rPr>
                <w:rFonts w:hint="eastAsia" w:eastAsia="方正仿宋_GBK"/>
                <w:color w:val="000000"/>
                <w:spacing w:val="-6"/>
                <w:szCs w:val="21"/>
              </w:rPr>
              <w:t>现场项目监理机构对按规定应进行旁站、平行检验或见证取样而未进行的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42</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监理企业在本企业所监理的项目上经营施工、建筑材料</w:t>
            </w:r>
            <w:r>
              <w:rPr>
                <w:rFonts w:eastAsia="方正仿宋_GBK"/>
                <w:color w:val="000000"/>
                <w:spacing w:val="-2"/>
                <w:szCs w:val="21"/>
              </w:rPr>
              <w:t>(</w:t>
            </w:r>
            <w:r>
              <w:rPr>
                <w:rFonts w:hint="eastAsia" w:eastAsia="方正仿宋_GBK"/>
                <w:color w:val="000000"/>
                <w:spacing w:val="-2"/>
                <w:szCs w:val="21"/>
              </w:rPr>
              <w:t>构配件</w:t>
            </w:r>
            <w:r>
              <w:rPr>
                <w:rFonts w:eastAsia="方正仿宋_GBK"/>
                <w:color w:val="000000"/>
                <w:spacing w:val="-2"/>
                <w:szCs w:val="21"/>
              </w:rPr>
              <w:t>)</w:t>
            </w:r>
            <w:r>
              <w:rPr>
                <w:rFonts w:hint="eastAsia" w:eastAsia="方正仿宋_GBK"/>
                <w:color w:val="000000"/>
                <w:spacing w:val="-2"/>
                <w:szCs w:val="21"/>
              </w:rPr>
              <w:t>和设备供应业务的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43</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现场项目监理机构不按规定使用现行《江苏省建设工程施工阶段监理现场用表》开展现场监理工作的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44</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建设单位在未依法办妥施工许可证的情况下强行要求开工，监理不仅不予制止（以书面材料为准）、并且签批开工申请的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38" w:hRule="atLeas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45</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6"/>
                <w:szCs w:val="21"/>
              </w:rPr>
            </w:pPr>
            <w:r>
              <w:rPr>
                <w:rFonts w:hint="eastAsia" w:eastAsia="方正仿宋_GBK"/>
                <w:color w:val="000000"/>
                <w:spacing w:val="-6"/>
                <w:szCs w:val="21"/>
              </w:rPr>
              <w:t>项目监理机构未督促建设单位召开第一次工地会议的，或者项目监理机构未按确定的工地例会周期召开工地例会，例会无纪要或纪要严重不全的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46</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对施工企业按标准、规范、设计文件规定应进行检测、工程安全和功能性试验而未进行的行为，监理不及时以书面形式予以制止和纠正的</w:t>
            </w:r>
            <w:r>
              <w:rPr>
                <w:rFonts w:eastAsia="方正仿宋_GBK"/>
                <w:color w:val="000000"/>
                <w:spacing w:val="-2"/>
                <w:szCs w:val="21"/>
              </w:rPr>
              <w:t xml:space="preserve"> </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60" w:hRule="atLeas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47</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对施工企业的材料、构配件、设备报验品种不全、批次不足，实物与报验不符的行为，现场项目监理机构不予以制止和纠正的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16" w:hRule="atLeast"/>
        </w:trPr>
        <w:tc>
          <w:tcPr>
            <w:tcW w:w="7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48</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与施工企业串通，为施工企业谋取非法利益，给建设单位造成损失的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16" w:hRule="atLeast"/>
        </w:trPr>
        <w:tc>
          <w:tcPr>
            <w:tcW w:w="720" w:type="dxa"/>
            <w:vMerge w:val="restart"/>
            <w:tcBorders>
              <w:top w:val="single" w:color="auto" w:sz="4" w:space="0"/>
              <w:left w:val="single" w:color="auto" w:sz="8" w:space="0"/>
              <w:bottom w:val="single" w:color="auto" w:sz="8" w:space="0"/>
              <w:right w:val="single" w:color="auto" w:sz="4" w:space="0"/>
            </w:tcBorders>
            <w:noWrap w:val="0"/>
            <w:vAlign w:val="center"/>
          </w:tcPr>
          <w:p>
            <w:pPr>
              <w:spacing w:line="360" w:lineRule="exact"/>
              <w:jc w:val="center"/>
              <w:rPr>
                <w:rFonts w:eastAsia="方正仿宋_GBK"/>
                <w:color w:val="000000"/>
                <w:spacing w:val="-2"/>
                <w:szCs w:val="21"/>
              </w:rPr>
            </w:pPr>
            <w:r>
              <w:rPr>
                <w:rFonts w:hint="eastAsia" w:eastAsia="方正仿宋_GBK"/>
                <w:color w:val="000000"/>
                <w:spacing w:val="-2"/>
                <w:szCs w:val="21"/>
              </w:rPr>
              <w:t>信息管理</w:t>
            </w:r>
          </w:p>
        </w:tc>
        <w:tc>
          <w:tcPr>
            <w:tcW w:w="54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49</w:t>
            </w:r>
          </w:p>
        </w:tc>
        <w:tc>
          <w:tcPr>
            <w:tcW w:w="66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未在规定时间内将新注册人员、变更人员信息、新承接项目信息录入监理信息系统的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16" w:hRule="atLeast"/>
        </w:trPr>
        <w:tc>
          <w:tcPr>
            <w:tcW w:w="720"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szCs w:val="21"/>
              </w:rPr>
            </w:pPr>
          </w:p>
        </w:tc>
        <w:tc>
          <w:tcPr>
            <w:tcW w:w="540" w:type="dxa"/>
            <w:tcBorders>
              <w:top w:val="single" w:color="auto" w:sz="4" w:space="0"/>
              <w:left w:val="single" w:color="auto" w:sz="4" w:space="0"/>
              <w:bottom w:val="single" w:color="auto" w:sz="8"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50</w:t>
            </w:r>
          </w:p>
        </w:tc>
        <w:tc>
          <w:tcPr>
            <w:tcW w:w="6646" w:type="dxa"/>
            <w:tcBorders>
              <w:top w:val="single" w:color="auto" w:sz="4" w:space="0"/>
              <w:left w:val="single" w:color="auto" w:sz="4" w:space="0"/>
              <w:bottom w:val="single" w:color="auto" w:sz="8"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监理企业未在规定时间内将新承接项目信息录入监理信息系统，而由建设行政主管录入的</w:t>
            </w:r>
          </w:p>
        </w:tc>
        <w:tc>
          <w:tcPr>
            <w:tcW w:w="870" w:type="dxa"/>
            <w:tcBorders>
              <w:top w:val="single" w:color="auto" w:sz="4" w:space="0"/>
              <w:left w:val="single" w:color="auto" w:sz="4" w:space="0"/>
              <w:bottom w:val="single" w:color="auto" w:sz="8"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bl>
    <w:p>
      <w:pPr>
        <w:spacing w:line="600" w:lineRule="exact"/>
        <w:rPr>
          <w:rFonts w:hint="eastAsia" w:ascii="Times New Roman" w:hAnsi="Times New Roman" w:eastAsia="仿宋_GB2312"/>
          <w:bCs/>
          <w:color w:val="000000"/>
          <w:spacing w:val="-2"/>
          <w:sz w:val="28"/>
          <w:szCs w:val="28"/>
        </w:rPr>
      </w:pPr>
    </w:p>
    <w:p>
      <w:pPr>
        <w:spacing w:line="600" w:lineRule="exact"/>
        <w:rPr>
          <w:rFonts w:hint="eastAsia" w:ascii="Times New Roman" w:eastAsia="仿宋_GB2312"/>
          <w:color w:val="000000"/>
          <w:spacing w:val="-2"/>
          <w:sz w:val="28"/>
          <w:szCs w:val="28"/>
        </w:rPr>
      </w:pPr>
    </w:p>
    <w:p>
      <w:pPr>
        <w:spacing w:line="600" w:lineRule="exact"/>
        <w:rPr>
          <w:rFonts w:hint="eastAsia" w:ascii="Times New Roman" w:eastAsia="仿宋_GB2312"/>
          <w:color w:val="000000"/>
          <w:spacing w:val="-2"/>
          <w:sz w:val="28"/>
          <w:szCs w:val="28"/>
        </w:rPr>
      </w:pPr>
    </w:p>
    <w:p>
      <w:pPr>
        <w:spacing w:line="460" w:lineRule="exact"/>
        <w:rPr>
          <w:rFonts w:hint="eastAsia" w:ascii="Times New Roman" w:eastAsia="方正黑体_GBK"/>
          <w:color w:val="000000"/>
          <w:spacing w:val="-2"/>
          <w:kern w:val="0"/>
          <w:sz w:val="28"/>
          <w:szCs w:val="28"/>
        </w:rPr>
      </w:pPr>
      <w:r>
        <w:rPr>
          <w:rFonts w:hint="eastAsia" w:ascii="Times New Roman" w:hAnsi="Times New Roman" w:eastAsia="仿宋_GB2312"/>
          <w:bCs/>
          <w:color w:val="000000"/>
          <w:spacing w:val="-2"/>
          <w:sz w:val="28"/>
          <w:szCs w:val="28"/>
        </w:rPr>
        <w:br w:type="column"/>
      </w:r>
      <w:r>
        <w:rPr>
          <w:rFonts w:hint="eastAsia" w:ascii="Times New Roman" w:eastAsia="方正黑体_GBK"/>
          <w:color w:val="000000"/>
          <w:spacing w:val="-2"/>
          <w:kern w:val="0"/>
          <w:sz w:val="28"/>
          <w:szCs w:val="28"/>
        </w:rPr>
        <w:t>附件2：</w:t>
      </w:r>
    </w:p>
    <w:p>
      <w:pPr>
        <w:spacing w:line="60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江苏省建设工程监理人员不良行为考核标准</w:t>
      </w:r>
    </w:p>
    <w:tbl>
      <w:tblPr>
        <w:tblStyle w:val="12"/>
        <w:tblW w:w="0" w:type="auto"/>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7"/>
        <w:gridCol w:w="7479"/>
        <w:gridCol w:w="87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457"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序号</w:t>
            </w:r>
          </w:p>
        </w:tc>
        <w:tc>
          <w:tcPr>
            <w:tcW w:w="7479"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不良行为具体内容</w:t>
            </w:r>
          </w:p>
        </w:tc>
        <w:tc>
          <w:tcPr>
            <w:tcW w:w="870" w:type="dxa"/>
            <w:tcBorders>
              <w:top w:val="single" w:color="auto" w:sz="8" w:space="0"/>
              <w:left w:val="single" w:color="auto" w:sz="4" w:space="0"/>
              <w:bottom w:val="single" w:color="auto" w:sz="4" w:space="0"/>
              <w:right w:val="single" w:color="auto" w:sz="8" w:space="0"/>
            </w:tcBorders>
            <w:noWrap w:val="0"/>
            <w:vAlign w:val="center"/>
          </w:tcPr>
          <w:p>
            <w:pPr>
              <w:spacing w:line="240" w:lineRule="exact"/>
              <w:jc w:val="center"/>
              <w:rPr>
                <w:rFonts w:ascii="Times New Roman" w:eastAsia="方正黑体_GBK"/>
                <w:color w:val="000000"/>
                <w:spacing w:val="-2"/>
                <w:szCs w:val="21"/>
              </w:rPr>
            </w:pPr>
            <w:r>
              <w:rPr>
                <w:rFonts w:hint="eastAsia" w:ascii="Times New Roman" w:eastAsia="方正黑体_GBK"/>
                <w:color w:val="000000"/>
                <w:spacing w:val="-2"/>
                <w:szCs w:val="21"/>
              </w:rPr>
              <w:t>不良行为类型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因监理人员责任造成利害关系人严重经济损失的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因监理人员责任造成重大事故的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7"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3</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监理工程师（监理员）在施工、设备制造、材料（构配件）供应单位兼职，或是施工企业、设备制造、材料（构配件）供应单位的合伙经营者的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4</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超越已取得的从业资格从事监理工作的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5</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已经注册的监理工程师，以个人名义私自承接监理业务的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6</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以虚设、挂靠及其他不正当手段取得监理人员证书的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7</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监理工程师（监理员）同时在两个及以上的监理企业从事监理工作的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8</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出卖、出借、转让、涂改</w:t>
            </w:r>
            <w:r>
              <w:rPr>
                <w:rFonts w:eastAsia="方正仿宋_GBK"/>
                <w:color w:val="000000"/>
                <w:spacing w:val="-2"/>
                <w:szCs w:val="21"/>
              </w:rPr>
              <w:t>“</w:t>
            </w:r>
            <w:r>
              <w:rPr>
                <w:rFonts w:hint="eastAsia" w:eastAsia="方正仿宋_GBK"/>
                <w:color w:val="000000"/>
                <w:spacing w:val="-2"/>
                <w:szCs w:val="21"/>
              </w:rPr>
              <w:t>监理工程师（监理员）证书</w:t>
            </w:r>
            <w:r>
              <w:rPr>
                <w:rFonts w:eastAsia="方正仿宋_GBK"/>
                <w:color w:val="000000"/>
                <w:spacing w:val="-2"/>
                <w:szCs w:val="21"/>
              </w:rPr>
              <w:t>”</w:t>
            </w:r>
            <w:r>
              <w:rPr>
                <w:rFonts w:hint="eastAsia" w:eastAsia="方正仿宋_GBK"/>
                <w:color w:val="000000"/>
                <w:spacing w:val="-2"/>
                <w:szCs w:val="21"/>
              </w:rPr>
              <w:t>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9</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总监同时担任</w:t>
            </w:r>
            <w:r>
              <w:rPr>
                <w:rFonts w:eastAsia="方正仿宋_GBK"/>
                <w:color w:val="000000"/>
                <w:spacing w:val="-2"/>
                <w:szCs w:val="21"/>
              </w:rPr>
              <w:t>3</w:t>
            </w:r>
            <w:r>
              <w:rPr>
                <w:rFonts w:hint="eastAsia" w:eastAsia="方正仿宋_GBK"/>
                <w:color w:val="000000"/>
                <w:spacing w:val="-2"/>
                <w:szCs w:val="21"/>
              </w:rPr>
              <w:t>个以上（不含</w:t>
            </w:r>
            <w:r>
              <w:rPr>
                <w:rFonts w:eastAsia="方正仿宋_GBK"/>
                <w:color w:val="000000"/>
                <w:spacing w:val="-2"/>
                <w:szCs w:val="21"/>
              </w:rPr>
              <w:t>3</w:t>
            </w:r>
            <w:r>
              <w:rPr>
                <w:rFonts w:hint="eastAsia" w:eastAsia="方正仿宋_GBK"/>
                <w:color w:val="000000"/>
                <w:spacing w:val="-2"/>
                <w:szCs w:val="21"/>
              </w:rPr>
              <w:t>个）项目总监理工程师的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10</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监理人员未按规定佩带监理标志，未持证挂牌上岗的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11</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监理人员有吃、拿、卡、要行为的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12</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总监一年内变更超过两次的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13</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bCs/>
                <w:color w:val="000000"/>
                <w:spacing w:val="-2"/>
                <w:szCs w:val="21"/>
              </w:rPr>
            </w:pPr>
            <w:r>
              <w:rPr>
                <w:rFonts w:hint="eastAsia" w:eastAsia="方正仿宋_GBK"/>
                <w:color w:val="000000"/>
                <w:spacing w:val="-2"/>
                <w:szCs w:val="21"/>
              </w:rPr>
              <w:t>监理人员变更单位后，在未办妥有关手续前从业的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14</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专项施工方案总监未签字的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15</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发现安全事故隐患总监未及时要求施工企业整改或者暂时停止施工的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C</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510"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16</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color w:val="000000"/>
                <w:spacing w:val="-2"/>
                <w:szCs w:val="21"/>
              </w:rPr>
            </w:pPr>
            <w:r>
              <w:rPr>
                <w:rFonts w:hint="eastAsia" w:eastAsia="方正仿宋_GBK"/>
                <w:color w:val="000000"/>
                <w:spacing w:val="-2"/>
                <w:szCs w:val="21"/>
              </w:rPr>
              <w:t>施工企业拒不整改或者不停止施工，总监未及时向监理企业书面报告的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6"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17</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bCs/>
                <w:color w:val="000000"/>
                <w:spacing w:val="-2"/>
                <w:szCs w:val="21"/>
              </w:rPr>
            </w:pPr>
            <w:r>
              <w:rPr>
                <w:rFonts w:hint="eastAsia" w:eastAsia="方正仿宋_GBK"/>
                <w:bCs/>
                <w:color w:val="000000"/>
                <w:spacing w:val="-2"/>
                <w:szCs w:val="21"/>
              </w:rPr>
              <w:t>施工企业在工程项目上的安全生产规章制度和安全监管机构建立以及专职安全生产管理人员配备情况不符合要求，总监同意工程开工的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18</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bCs/>
                <w:color w:val="000000"/>
                <w:spacing w:val="-2"/>
                <w:szCs w:val="21"/>
              </w:rPr>
            </w:pPr>
            <w:r>
              <w:rPr>
                <w:rFonts w:hint="eastAsia" w:eastAsia="方正仿宋_GBK"/>
                <w:bCs/>
                <w:color w:val="000000"/>
                <w:spacing w:val="-2"/>
                <w:szCs w:val="21"/>
              </w:rPr>
              <w:t>未按规定签署工程质量验收意见，或者降低验收标准、出具虚假验收意见的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457"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19</w:t>
            </w:r>
          </w:p>
        </w:tc>
        <w:tc>
          <w:tcPr>
            <w:tcW w:w="7479"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eastAsia="方正仿宋_GBK"/>
                <w:bCs/>
                <w:color w:val="000000"/>
                <w:spacing w:val="-2"/>
                <w:szCs w:val="21"/>
              </w:rPr>
            </w:pPr>
            <w:r>
              <w:rPr>
                <w:rFonts w:hint="eastAsia" w:eastAsia="方正仿宋_GBK"/>
                <w:bCs/>
                <w:color w:val="000000"/>
                <w:spacing w:val="-2"/>
                <w:szCs w:val="21"/>
              </w:rPr>
              <w:t>未按规定和标准组织工程质量验收的</w:t>
            </w:r>
          </w:p>
        </w:tc>
        <w:tc>
          <w:tcPr>
            <w:tcW w:w="87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457" w:type="dxa"/>
            <w:tcBorders>
              <w:top w:val="single" w:color="auto" w:sz="4" w:space="0"/>
              <w:left w:val="single" w:color="auto" w:sz="8" w:space="0"/>
              <w:bottom w:val="single" w:color="auto" w:sz="8" w:space="0"/>
              <w:right w:val="single" w:color="auto" w:sz="4"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20</w:t>
            </w:r>
          </w:p>
        </w:tc>
        <w:tc>
          <w:tcPr>
            <w:tcW w:w="7479" w:type="dxa"/>
            <w:tcBorders>
              <w:top w:val="single" w:color="auto" w:sz="4" w:space="0"/>
              <w:left w:val="single" w:color="auto" w:sz="4" w:space="0"/>
              <w:bottom w:val="single" w:color="auto" w:sz="8" w:space="0"/>
              <w:right w:val="single" w:color="auto" w:sz="4" w:space="0"/>
            </w:tcBorders>
            <w:noWrap w:val="0"/>
            <w:vAlign w:val="center"/>
          </w:tcPr>
          <w:p>
            <w:pPr>
              <w:spacing w:line="360" w:lineRule="exact"/>
              <w:rPr>
                <w:rFonts w:eastAsia="方正仿宋_GBK"/>
                <w:bCs/>
                <w:color w:val="000000"/>
                <w:spacing w:val="-2"/>
                <w:szCs w:val="21"/>
              </w:rPr>
            </w:pPr>
            <w:r>
              <w:rPr>
                <w:rFonts w:hint="eastAsia" w:eastAsia="方正仿宋_GBK"/>
                <w:bCs/>
                <w:color w:val="000000"/>
                <w:spacing w:val="-2"/>
                <w:szCs w:val="21"/>
              </w:rPr>
              <w:t>监理人员未按规定参加继续教育学习的</w:t>
            </w:r>
          </w:p>
        </w:tc>
        <w:tc>
          <w:tcPr>
            <w:tcW w:w="870" w:type="dxa"/>
            <w:tcBorders>
              <w:top w:val="single" w:color="auto" w:sz="4" w:space="0"/>
              <w:left w:val="single" w:color="auto" w:sz="4" w:space="0"/>
              <w:bottom w:val="single" w:color="auto" w:sz="8" w:space="0"/>
              <w:right w:val="single" w:color="auto" w:sz="8" w:space="0"/>
            </w:tcBorders>
            <w:noWrap w:val="0"/>
            <w:vAlign w:val="center"/>
          </w:tcPr>
          <w:p>
            <w:pPr>
              <w:spacing w:line="360" w:lineRule="exact"/>
              <w:jc w:val="center"/>
              <w:rPr>
                <w:rFonts w:eastAsia="方正仿宋_GBK"/>
                <w:color w:val="000000"/>
                <w:spacing w:val="-2"/>
                <w:szCs w:val="21"/>
              </w:rPr>
            </w:pPr>
            <w:r>
              <w:rPr>
                <w:rFonts w:eastAsia="方正仿宋_GBK"/>
                <w:color w:val="000000"/>
                <w:spacing w:val="-2"/>
                <w:szCs w:val="21"/>
              </w:rPr>
              <w:t>B</w:t>
            </w:r>
          </w:p>
        </w:tc>
      </w:tr>
    </w:tbl>
    <w:p>
      <w:pPr>
        <w:rPr>
          <w:rFonts w:hint="eastAsia"/>
        </w:rPr>
      </w:pPr>
    </w:p>
    <w:p/>
    <w:p>
      <w:pPr>
        <w:pStyle w:val="2"/>
        <w:spacing w:before="240" w:beforeLines="100" w:after="240" w:afterLines="100" w:line="240" w:lineRule="auto"/>
        <w:jc w:val="center"/>
        <w:rPr>
          <w:rFonts w:ascii="Times New Roman" w:eastAsia="方正小标宋_GBK"/>
          <w:b w:val="0"/>
          <w:sz w:val="36"/>
          <w:szCs w:val="36"/>
        </w:rPr>
      </w:pPr>
      <w:bookmarkStart w:id="434" w:name="_Toc18315797"/>
      <w:bookmarkStart w:id="435" w:name="_Toc20726656"/>
      <w:r>
        <w:rPr>
          <w:rFonts w:hint="eastAsia" w:ascii="Times New Roman" w:eastAsia="方正小标宋_GBK"/>
          <w:b w:val="0"/>
          <w:sz w:val="36"/>
          <w:szCs w:val="36"/>
        </w:rPr>
        <w:t>关于印发《江苏省二级建造师注册实施办法》的通知</w:t>
      </w:r>
      <w:bookmarkEnd w:id="434"/>
      <w:bookmarkEnd w:id="43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36" w:name="_Toc18315798"/>
      <w:bookmarkStart w:id="437" w:name="_Toc20726657"/>
      <w:r>
        <w:rPr>
          <w:rFonts w:hint="eastAsia" w:ascii="Times New Roman" w:hAnsi="Times New Roman" w:eastAsia="方正楷体_GBK"/>
          <w:b w:val="0"/>
          <w:sz w:val="24"/>
          <w:szCs w:val="24"/>
        </w:rPr>
        <w:t>苏建管企〔</w:t>
      </w:r>
      <w:r>
        <w:rPr>
          <w:rFonts w:ascii="Times New Roman" w:hAnsi="Times New Roman" w:eastAsia="方正楷体_GBK"/>
          <w:b w:val="0"/>
          <w:sz w:val="24"/>
          <w:szCs w:val="24"/>
        </w:rPr>
        <w:t>2007</w:t>
      </w:r>
      <w:r>
        <w:rPr>
          <w:rFonts w:hint="eastAsia" w:ascii="Times New Roman" w:hAnsi="Times New Roman" w:eastAsia="方正楷体_GBK"/>
          <w:b w:val="0"/>
          <w:sz w:val="24"/>
          <w:szCs w:val="24"/>
        </w:rPr>
        <w:t>〕</w:t>
      </w:r>
      <w:r>
        <w:rPr>
          <w:rFonts w:ascii="Times New Roman" w:hAnsi="Times New Roman" w:eastAsia="方正楷体_GBK"/>
          <w:b w:val="0"/>
          <w:sz w:val="24"/>
          <w:szCs w:val="24"/>
        </w:rPr>
        <w:t xml:space="preserve">22 </w:t>
      </w:r>
      <w:r>
        <w:rPr>
          <w:rFonts w:hint="eastAsia" w:ascii="Times New Roman" w:hAnsi="Times New Roman" w:eastAsia="方正楷体_GBK"/>
          <w:b w:val="0"/>
          <w:sz w:val="24"/>
          <w:szCs w:val="24"/>
        </w:rPr>
        <w:t>号</w:t>
      </w:r>
      <w:bookmarkEnd w:id="436"/>
      <w:bookmarkEnd w:id="437"/>
    </w:p>
    <w:p>
      <w:pPr>
        <w:spacing w:line="460" w:lineRule="exact"/>
        <w:rPr>
          <w:rFonts w:eastAsia="方正仿宋_GBK"/>
          <w:color w:val="000000"/>
          <w:spacing w:val="-2"/>
          <w:kern w:val="0"/>
          <w:sz w:val="24"/>
        </w:rPr>
      </w:pPr>
      <w:r>
        <w:rPr>
          <w:rFonts w:hint="eastAsia" w:eastAsia="方正仿宋_GBK"/>
          <w:color w:val="000000"/>
          <w:spacing w:val="-2"/>
          <w:kern w:val="0"/>
          <w:sz w:val="24"/>
        </w:rPr>
        <w:t>各设区市建设局（委）、建工局，苏州工业园区规划建设局，省有关厅局，省属企业，中央驻苏企业：</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根据《注册建造师管理规定》（建设部令第</w:t>
      </w:r>
      <w:r>
        <w:rPr>
          <w:rFonts w:eastAsia="方正仿宋_GBK"/>
          <w:color w:val="000000"/>
          <w:spacing w:val="-2"/>
          <w:kern w:val="0"/>
          <w:sz w:val="24"/>
        </w:rPr>
        <w:t>153</w:t>
      </w:r>
      <w:r>
        <w:rPr>
          <w:rFonts w:hint="eastAsia" w:eastAsia="方正仿宋_GBK"/>
          <w:color w:val="000000"/>
          <w:spacing w:val="-2"/>
          <w:kern w:val="0"/>
          <w:sz w:val="24"/>
        </w:rPr>
        <w:t>号），结合我省实际，我局制定了《江苏省二级建造师注册实施办法》，现印发给你们，请遵照执行。执行过程中有何问题，请与我厅市场监管处联系。</w:t>
      </w:r>
    </w:p>
    <w:p>
      <w:pPr>
        <w:spacing w:line="460" w:lineRule="exact"/>
        <w:ind w:firstLine="472" w:firstLineChars="200"/>
        <w:rPr>
          <w:rFonts w:eastAsia="方正仿宋_GBK"/>
          <w:color w:val="000000"/>
          <w:spacing w:val="-2"/>
          <w:kern w:val="0"/>
          <w:sz w:val="24"/>
        </w:rPr>
      </w:pP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附件：江苏省二级建造师注册实施办法</w:t>
      </w:r>
    </w:p>
    <w:p>
      <w:pPr>
        <w:spacing w:line="460" w:lineRule="exact"/>
        <w:rPr>
          <w:rFonts w:eastAsia="方正仿宋_GBK"/>
          <w:color w:val="000000"/>
          <w:spacing w:val="-2"/>
          <w:sz w:val="24"/>
        </w:rPr>
      </w:pPr>
    </w:p>
    <w:p>
      <w:pPr>
        <w:spacing w:line="460" w:lineRule="exact"/>
        <w:ind w:firstLine="1770" w:firstLineChars="750"/>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江苏省建筑工程管理局</w:t>
      </w:r>
      <w:r>
        <w:rPr>
          <w:rFonts w:eastAsia="方正仿宋_GBK"/>
          <w:color w:val="000000"/>
          <w:spacing w:val="-2"/>
          <w:sz w:val="24"/>
        </w:rPr>
        <w:t xml:space="preserve">  </w:t>
      </w:r>
    </w:p>
    <w:p>
      <w:pPr>
        <w:spacing w:line="460" w:lineRule="exact"/>
        <w:ind w:right="458" w:rightChars="218"/>
        <w:jc w:val="right"/>
        <w:rPr>
          <w:rFonts w:eastAsia="方正仿宋_GBK"/>
          <w:b/>
          <w:color w:val="000000"/>
          <w:spacing w:val="-2"/>
          <w:kern w:val="0"/>
          <w:sz w:val="24"/>
        </w:rPr>
      </w:pPr>
      <w:r>
        <w:rPr>
          <w:rFonts w:hint="eastAsia" w:eastAsia="方正仿宋_GBK"/>
          <w:color w:val="000000"/>
          <w:spacing w:val="-2"/>
          <w:kern w:val="0"/>
          <w:sz w:val="24"/>
        </w:rPr>
        <w:t>二〇〇七年五月二十三日</w:t>
      </w:r>
      <w:r>
        <w:rPr>
          <w:rFonts w:eastAsia="方正仿宋_GBK"/>
          <w:color w:val="000000"/>
          <w:spacing w:val="-2"/>
          <w:kern w:val="0"/>
          <w:sz w:val="24"/>
        </w:rPr>
        <w:t xml:space="preserve">    </w:t>
      </w:r>
    </w:p>
    <w:p>
      <w:pPr>
        <w:spacing w:line="460" w:lineRule="exact"/>
        <w:rPr>
          <w:rFonts w:eastAsia="方正仿宋_GBK"/>
          <w:b/>
          <w:bCs/>
          <w:color w:val="000000"/>
          <w:spacing w:val="-2"/>
          <w:kern w:val="0"/>
          <w:sz w:val="24"/>
        </w:rPr>
      </w:pPr>
    </w:p>
    <w:p>
      <w:pPr>
        <w:spacing w:line="460" w:lineRule="exact"/>
        <w:rPr>
          <w:rFonts w:eastAsia="方正仿宋_GBK"/>
          <w:b/>
          <w:bCs/>
          <w:color w:val="000000"/>
          <w:spacing w:val="-2"/>
          <w:kern w:val="0"/>
          <w:sz w:val="24"/>
        </w:rPr>
      </w:pPr>
    </w:p>
    <w:p>
      <w:pPr>
        <w:spacing w:line="460" w:lineRule="exact"/>
        <w:jc w:val="center"/>
        <w:rPr>
          <w:rFonts w:eastAsia="方正黑体_GBK"/>
          <w:bCs/>
          <w:color w:val="000000"/>
          <w:spacing w:val="-2"/>
          <w:kern w:val="0"/>
          <w:sz w:val="36"/>
          <w:szCs w:val="36"/>
        </w:rPr>
      </w:pPr>
      <w:r>
        <w:rPr>
          <w:rFonts w:hint="eastAsia" w:eastAsia="方正黑体_GBK"/>
          <w:bCs/>
          <w:color w:val="000000"/>
          <w:spacing w:val="-2"/>
          <w:kern w:val="0"/>
          <w:sz w:val="36"/>
          <w:szCs w:val="36"/>
        </w:rPr>
        <w:t>江苏省二级建造师注册实施办法</w:t>
      </w:r>
    </w:p>
    <w:p>
      <w:pPr>
        <w:spacing w:line="460" w:lineRule="exact"/>
        <w:ind w:firstLine="472" w:firstLineChars="200"/>
        <w:rPr>
          <w:rFonts w:eastAsia="方正仿宋_GBK"/>
          <w:color w:val="000000"/>
          <w:spacing w:val="-2"/>
          <w:kern w:val="0"/>
          <w:sz w:val="24"/>
        </w:rPr>
      </w:pPr>
    </w:p>
    <w:p>
      <w:pPr>
        <w:spacing w:line="440" w:lineRule="exact"/>
        <w:ind w:firstLine="472" w:firstLineChars="200"/>
        <w:rPr>
          <w:rFonts w:eastAsia="方正黑体_GBK"/>
          <w:color w:val="000000"/>
          <w:spacing w:val="-2"/>
          <w:kern w:val="0"/>
          <w:sz w:val="24"/>
        </w:rPr>
      </w:pPr>
      <w:r>
        <w:rPr>
          <w:rFonts w:hint="eastAsia" w:eastAsia="方正黑体_GBK"/>
          <w:color w:val="000000"/>
          <w:spacing w:val="-2"/>
          <w:kern w:val="0"/>
          <w:sz w:val="24"/>
        </w:rPr>
        <w:t>一、注册管理体制</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第一条</w:t>
      </w:r>
      <w:r>
        <w:rPr>
          <w:rFonts w:eastAsia="方正仿宋_GBK"/>
          <w:b/>
          <w:color w:val="000000"/>
          <w:spacing w:val="-2"/>
          <w:kern w:val="0"/>
          <w:sz w:val="24"/>
        </w:rPr>
        <w:t xml:space="preserve">  </w:t>
      </w:r>
      <w:r>
        <w:rPr>
          <w:rFonts w:hint="eastAsia" w:eastAsia="方正仿宋_GBK"/>
          <w:color w:val="000000"/>
          <w:spacing w:val="-2"/>
          <w:kern w:val="0"/>
          <w:sz w:val="24"/>
        </w:rPr>
        <w:t>为规范二级建造师注册管理工作，依据《行政许可法》、《注册建造师管理规定》（建设部令第</w:t>
      </w:r>
      <w:r>
        <w:rPr>
          <w:rFonts w:eastAsia="方正仿宋_GBK"/>
          <w:color w:val="000000"/>
          <w:spacing w:val="-2"/>
          <w:kern w:val="0"/>
          <w:sz w:val="24"/>
        </w:rPr>
        <w:t>153</w:t>
      </w:r>
      <w:r>
        <w:rPr>
          <w:rFonts w:hint="eastAsia" w:eastAsia="方正仿宋_GBK"/>
          <w:color w:val="000000"/>
          <w:spacing w:val="-2"/>
          <w:kern w:val="0"/>
          <w:sz w:val="24"/>
        </w:rPr>
        <w:t>号）和相关法律法规，参照建设部《一级建造师注册实施办法》（建市</w:t>
      </w:r>
      <w:r>
        <w:rPr>
          <w:rFonts w:hint="eastAsia" w:eastAsia="方正仿宋_GBK"/>
          <w:bCs/>
          <w:color w:val="000000"/>
          <w:spacing w:val="-2"/>
          <w:kern w:val="0"/>
          <w:sz w:val="24"/>
        </w:rPr>
        <w:t>〔</w:t>
      </w:r>
      <w:r>
        <w:rPr>
          <w:rFonts w:eastAsia="方正仿宋_GBK"/>
          <w:bCs/>
          <w:color w:val="000000"/>
          <w:spacing w:val="-2"/>
          <w:kern w:val="0"/>
          <w:sz w:val="24"/>
        </w:rPr>
        <w:t>2007</w:t>
      </w:r>
      <w:r>
        <w:rPr>
          <w:rFonts w:hint="eastAsia" w:eastAsia="方正仿宋_GBK"/>
          <w:bCs/>
          <w:color w:val="000000"/>
          <w:spacing w:val="-2"/>
          <w:kern w:val="0"/>
          <w:sz w:val="24"/>
        </w:rPr>
        <w:t>〕</w:t>
      </w:r>
      <w:r>
        <w:rPr>
          <w:rFonts w:eastAsia="方正仿宋_GBK"/>
          <w:color w:val="000000"/>
          <w:spacing w:val="-2"/>
          <w:kern w:val="0"/>
          <w:sz w:val="24"/>
        </w:rPr>
        <w:t>101</w:t>
      </w:r>
      <w:r>
        <w:rPr>
          <w:rFonts w:hint="eastAsia" w:eastAsia="方正仿宋_GBK"/>
          <w:color w:val="000000"/>
          <w:spacing w:val="-2"/>
          <w:kern w:val="0"/>
          <w:sz w:val="24"/>
        </w:rPr>
        <w:t>号），结合我省实际，制定本实施办法。</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第二条</w:t>
      </w:r>
      <w:r>
        <w:rPr>
          <w:rFonts w:eastAsia="方正仿宋_GBK"/>
          <w:b/>
          <w:color w:val="000000"/>
          <w:spacing w:val="-2"/>
          <w:kern w:val="0"/>
          <w:sz w:val="24"/>
        </w:rPr>
        <w:t xml:space="preserve">  </w:t>
      </w:r>
      <w:r>
        <w:rPr>
          <w:rFonts w:hint="eastAsia" w:eastAsia="方正仿宋_GBK"/>
          <w:color w:val="000000"/>
          <w:spacing w:val="-2"/>
          <w:kern w:val="0"/>
          <w:sz w:val="24"/>
        </w:rPr>
        <w:t>本省行政区域内二级建造师注册管理适用本实施办法。</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第三条</w:t>
      </w:r>
      <w:r>
        <w:rPr>
          <w:rFonts w:eastAsia="方正仿宋_GBK"/>
          <w:b/>
          <w:color w:val="000000"/>
          <w:spacing w:val="-2"/>
          <w:kern w:val="0"/>
          <w:sz w:val="24"/>
        </w:rPr>
        <w:t xml:space="preserve">  </w:t>
      </w:r>
      <w:r>
        <w:rPr>
          <w:rFonts w:hint="eastAsia" w:eastAsia="方正仿宋_GBK"/>
          <w:b/>
          <w:color w:val="000000"/>
          <w:spacing w:val="-2"/>
          <w:kern w:val="0"/>
          <w:sz w:val="24"/>
        </w:rPr>
        <w:t>江苏省住房和城乡建设厅</w:t>
      </w:r>
      <w:r>
        <w:rPr>
          <w:rFonts w:hint="eastAsia" w:eastAsia="方正仿宋_GBK"/>
          <w:color w:val="000000"/>
          <w:spacing w:val="-2"/>
          <w:kern w:val="0"/>
          <w:sz w:val="24"/>
        </w:rPr>
        <w:t>为二级建造师注册机关，负责二级建造师注册审批工作。</w:t>
      </w:r>
    </w:p>
    <w:p>
      <w:pPr>
        <w:spacing w:line="440" w:lineRule="exact"/>
        <w:ind w:firstLine="472" w:firstLineChars="200"/>
        <w:rPr>
          <w:rFonts w:eastAsia="方正黑体_GBK"/>
          <w:color w:val="000000"/>
          <w:spacing w:val="-2"/>
          <w:kern w:val="0"/>
          <w:sz w:val="24"/>
        </w:rPr>
      </w:pPr>
      <w:r>
        <w:rPr>
          <w:rFonts w:hint="eastAsia" w:eastAsia="方正黑体_GBK"/>
          <w:color w:val="000000"/>
          <w:spacing w:val="-2"/>
          <w:kern w:val="0"/>
          <w:sz w:val="24"/>
        </w:rPr>
        <w:t>二、注册申报程序</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第四条</w:t>
      </w:r>
      <w:r>
        <w:rPr>
          <w:rFonts w:eastAsia="方正仿宋_GBK"/>
          <w:b/>
          <w:color w:val="000000"/>
          <w:spacing w:val="-2"/>
          <w:kern w:val="0"/>
          <w:sz w:val="24"/>
        </w:rPr>
        <w:t xml:space="preserve">  </w:t>
      </w:r>
      <w:r>
        <w:rPr>
          <w:rFonts w:hint="eastAsia" w:eastAsia="方正仿宋_GBK"/>
          <w:color w:val="000000"/>
          <w:spacing w:val="-2"/>
          <w:kern w:val="0"/>
          <w:sz w:val="24"/>
        </w:rPr>
        <w:t>申请人申请注册前，应当受聘于一个具有建设工程施工或勘察、设计、监理、招标代理、造价咨询资质的企业，与聘用企业依法签订聘用劳动合同。</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申请人向聘用企业如实提供有关申请材料并对内容真实性负责，通过聘用企业向江苏省住房和城乡建设厅提交注册申请材料。</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第五条</w:t>
      </w:r>
      <w:r>
        <w:rPr>
          <w:rFonts w:eastAsia="方正仿宋_GBK"/>
          <w:b/>
          <w:color w:val="000000"/>
          <w:spacing w:val="-2"/>
          <w:kern w:val="0"/>
          <w:sz w:val="24"/>
        </w:rPr>
        <w:t xml:space="preserve">  </w:t>
      </w:r>
      <w:r>
        <w:rPr>
          <w:rFonts w:hint="eastAsia" w:eastAsia="方正仿宋_GBK"/>
          <w:color w:val="000000"/>
          <w:spacing w:val="-2"/>
          <w:kern w:val="0"/>
          <w:sz w:val="24"/>
        </w:rPr>
        <w:t>注册申请实行网上申报方式。申请人所在聘用企业应当在</w:t>
      </w:r>
      <w:r>
        <w:rPr>
          <w:rFonts w:eastAsia="方正仿宋_GBK"/>
          <w:color w:val="000000"/>
          <w:sz w:val="24"/>
        </w:rPr>
        <w:t>“</w:t>
      </w:r>
      <w:r>
        <w:rPr>
          <w:rFonts w:hint="eastAsia" w:eastAsia="方正仿宋_GBK"/>
          <w:color w:val="000000"/>
          <w:sz w:val="24"/>
        </w:rPr>
        <w:t>江苏省建筑业监管信息平台</w:t>
      </w:r>
      <w:r>
        <w:rPr>
          <w:rFonts w:eastAsia="方正仿宋_GBK"/>
          <w:color w:val="000000"/>
          <w:sz w:val="24"/>
        </w:rPr>
        <w:t>2.0”</w:t>
      </w:r>
      <w:r>
        <w:rPr>
          <w:rFonts w:hint="eastAsia" w:eastAsia="方正仿宋_GBK"/>
          <w:color w:val="000000"/>
          <w:sz w:val="24"/>
        </w:rPr>
        <w:t>（网址：</w:t>
      </w:r>
      <w:r>
        <w:rPr>
          <w:rFonts w:eastAsia="方正仿宋_GBK"/>
          <w:color w:val="000000"/>
          <w:sz w:val="24"/>
        </w:rPr>
        <w:t>http://221.226.118.170:8080/</w:t>
      </w:r>
      <w:r>
        <w:rPr>
          <w:rFonts w:hint="eastAsia" w:eastAsia="方正仿宋_GBK"/>
          <w:color w:val="000000"/>
          <w:sz w:val="24"/>
        </w:rPr>
        <w:t>）</w:t>
      </w:r>
      <w:r>
        <w:rPr>
          <w:rFonts w:hint="eastAsia" w:eastAsia="方正仿宋_GBK"/>
          <w:color w:val="000000"/>
          <w:spacing w:val="-2"/>
          <w:kern w:val="0"/>
          <w:sz w:val="24"/>
        </w:rPr>
        <w:t>内进行填报，网上申报成功后自动生成打印所需申请表，并上传至该平台。</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第六条</w:t>
      </w:r>
      <w:r>
        <w:rPr>
          <w:rFonts w:eastAsia="方正仿宋_GBK"/>
          <w:color w:val="000000"/>
          <w:spacing w:val="-2"/>
          <w:kern w:val="0"/>
          <w:sz w:val="24"/>
        </w:rPr>
        <w:t xml:space="preserve">  </w:t>
      </w:r>
      <w:r>
        <w:rPr>
          <w:rFonts w:hint="eastAsia" w:eastAsia="方正仿宋_GBK"/>
          <w:color w:val="000000"/>
          <w:spacing w:val="-2"/>
          <w:kern w:val="0"/>
          <w:sz w:val="24"/>
        </w:rPr>
        <w:t>注册申请包括初始注册、延续注册、变更注册、增项注册、注销注册、重新注册和专业注册。</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第七条</w:t>
      </w:r>
      <w:r>
        <w:rPr>
          <w:rFonts w:eastAsia="方正仿宋_GBK"/>
          <w:color w:val="000000"/>
          <w:spacing w:val="-2"/>
          <w:kern w:val="0"/>
          <w:sz w:val="24"/>
        </w:rPr>
        <w:t xml:space="preserve">  </w:t>
      </w:r>
      <w:r>
        <w:rPr>
          <w:rFonts w:hint="eastAsia" w:eastAsia="方正仿宋_GBK"/>
          <w:color w:val="000000"/>
          <w:spacing w:val="-2"/>
          <w:kern w:val="0"/>
          <w:sz w:val="24"/>
        </w:rPr>
        <w:t>初始注册</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申请人自资格证书签发之日起</w:t>
      </w:r>
      <w:r>
        <w:rPr>
          <w:rFonts w:eastAsia="方正仿宋_GBK"/>
          <w:color w:val="000000"/>
          <w:spacing w:val="-2"/>
          <w:kern w:val="0"/>
          <w:sz w:val="24"/>
        </w:rPr>
        <w:t>3</w:t>
      </w:r>
      <w:r>
        <w:rPr>
          <w:rFonts w:hint="eastAsia" w:eastAsia="方正仿宋_GBK"/>
          <w:color w:val="000000"/>
          <w:spacing w:val="-2"/>
          <w:kern w:val="0"/>
          <w:sz w:val="24"/>
        </w:rPr>
        <w:t>年内可申请初始注册。逾期未申请者应当提供相应专业继续教育证明，其学习内容应当符合注册建造师继续教育的规定。</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申请初始注册的，申请人应当提交下列材料：</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（一）《二级建造师初始注册申请表》（附表</w:t>
      </w:r>
      <w:r>
        <w:rPr>
          <w:rFonts w:eastAsia="方正仿宋_GBK"/>
          <w:color w:val="000000"/>
          <w:spacing w:val="-2"/>
          <w:kern w:val="0"/>
          <w:sz w:val="24"/>
        </w:rPr>
        <w:t>1-1</w:t>
      </w:r>
      <w:r>
        <w:rPr>
          <w:rFonts w:hint="eastAsia" w:eastAsia="方正仿宋_GBK"/>
          <w:color w:val="000000"/>
          <w:spacing w:val="-2"/>
          <w:kern w:val="0"/>
          <w:sz w:val="24"/>
        </w:rPr>
        <w:t>）；</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（二）身份证明；</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（三）申请人与聘用企业签订的聘用劳动合同复印件或申请人所在企业出具的劳动、人事、工资关系证明。</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第八条</w:t>
      </w:r>
      <w:r>
        <w:rPr>
          <w:rFonts w:eastAsia="方正仿宋_GBK"/>
          <w:color w:val="000000"/>
          <w:spacing w:val="-2"/>
          <w:kern w:val="0"/>
          <w:sz w:val="24"/>
        </w:rPr>
        <w:t xml:space="preserve">  </w:t>
      </w:r>
      <w:r>
        <w:rPr>
          <w:rFonts w:hint="eastAsia" w:eastAsia="方正仿宋_GBK"/>
          <w:color w:val="000000"/>
          <w:spacing w:val="-2"/>
          <w:kern w:val="0"/>
          <w:sz w:val="24"/>
        </w:rPr>
        <w:t>延续注册</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注册有效期满需继续执业的，应当在注册有效期届满</w:t>
      </w:r>
      <w:r>
        <w:rPr>
          <w:rFonts w:eastAsia="方正仿宋_GBK"/>
          <w:color w:val="000000"/>
          <w:spacing w:val="-2"/>
          <w:kern w:val="0"/>
          <w:sz w:val="24"/>
        </w:rPr>
        <w:t>30</w:t>
      </w:r>
      <w:r>
        <w:rPr>
          <w:rFonts w:hint="eastAsia" w:eastAsia="方正仿宋_GBK"/>
          <w:color w:val="000000"/>
          <w:spacing w:val="-2"/>
          <w:kern w:val="0"/>
          <w:sz w:val="24"/>
        </w:rPr>
        <w:t>日前申请延续注册。延续注册的有效期为</w:t>
      </w:r>
      <w:r>
        <w:rPr>
          <w:rFonts w:eastAsia="方正仿宋_GBK"/>
          <w:color w:val="000000"/>
          <w:spacing w:val="-2"/>
          <w:kern w:val="0"/>
          <w:sz w:val="24"/>
        </w:rPr>
        <w:t>3</w:t>
      </w:r>
      <w:r>
        <w:rPr>
          <w:rFonts w:hint="eastAsia" w:eastAsia="方正仿宋_GBK"/>
          <w:color w:val="000000"/>
          <w:spacing w:val="-2"/>
          <w:kern w:val="0"/>
          <w:sz w:val="24"/>
        </w:rPr>
        <w:t>年。</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申请延续注册的，申请人应当在系统内提交下列扫描件：</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（一）《二级注册建造师延续注册申请表》（附表</w:t>
      </w:r>
      <w:r>
        <w:rPr>
          <w:rFonts w:eastAsia="方正仿宋_GBK"/>
          <w:color w:val="000000"/>
          <w:spacing w:val="-2"/>
          <w:kern w:val="0"/>
          <w:sz w:val="24"/>
        </w:rPr>
        <w:t>2-1</w:t>
      </w:r>
      <w:r>
        <w:rPr>
          <w:rFonts w:hint="eastAsia" w:eastAsia="方正仿宋_GBK"/>
          <w:color w:val="000000"/>
          <w:spacing w:val="-2"/>
          <w:kern w:val="0"/>
          <w:sz w:val="24"/>
        </w:rPr>
        <w:t>）；</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（二）申请人与聘用企业签订的聘用劳动合同或申请人聘用企业出具的劳动、人事、工资关系证明。</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第九条</w:t>
      </w:r>
      <w:r>
        <w:rPr>
          <w:rFonts w:eastAsia="方正仿宋_GBK"/>
          <w:color w:val="000000"/>
          <w:spacing w:val="-2"/>
          <w:kern w:val="0"/>
          <w:sz w:val="24"/>
        </w:rPr>
        <w:t xml:space="preserve">  </w:t>
      </w:r>
      <w:r>
        <w:rPr>
          <w:rFonts w:hint="eastAsia" w:eastAsia="方正仿宋_GBK"/>
          <w:color w:val="000000"/>
          <w:spacing w:val="-2"/>
          <w:kern w:val="0"/>
          <w:sz w:val="24"/>
        </w:rPr>
        <w:t>变更注册</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在注册有效期内，发生下列情形之一的，应当及时申请变更注册。变更注册后，有效期执行原注册证书的有效期。</w:t>
      </w:r>
    </w:p>
    <w:p>
      <w:pPr>
        <w:spacing w:line="440" w:lineRule="exact"/>
        <w:ind w:firstLine="472"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、执业企业变更的；</w:t>
      </w:r>
    </w:p>
    <w:p>
      <w:pPr>
        <w:spacing w:line="440" w:lineRule="exact"/>
        <w:ind w:firstLine="472"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、所在聘用企业名称变更的；</w:t>
      </w:r>
    </w:p>
    <w:p>
      <w:pPr>
        <w:spacing w:line="440" w:lineRule="exact"/>
        <w:ind w:firstLine="472"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、注册建造师自然情况变更的。</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申请变更注册的，申请人应当在系统内提交下列扫描件：</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（一）《二级注册建造师变更注册申请表》（附表</w:t>
      </w:r>
      <w:r>
        <w:rPr>
          <w:rFonts w:eastAsia="方正仿宋_GBK"/>
          <w:color w:val="000000"/>
          <w:spacing w:val="-2"/>
          <w:kern w:val="0"/>
          <w:sz w:val="24"/>
        </w:rPr>
        <w:t>3-1</w:t>
      </w:r>
      <w:r>
        <w:rPr>
          <w:rFonts w:hint="eastAsia" w:eastAsia="方正仿宋_GBK"/>
          <w:color w:val="000000"/>
          <w:spacing w:val="-2"/>
          <w:kern w:val="0"/>
          <w:sz w:val="24"/>
        </w:rPr>
        <w:t>）；</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执业企业变更的，应当提供申请人与新聘用企业签订的聘用劳动合同，或申请人聘用企业出具的劳动、人事、工资关系证明，以及工作调动证明复印件（与原聘用企业解除聘用合同或聘用合同到期的证明文件、退休人员的退休证明）；</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（三）申请人所在聘用企业名称发生变更的，应当提供变更后的《企业资质证书》复印件；</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（四）注册建造师自然情况变更的，应当提供变更后的身份证明原件或其他有效证明材料。</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第十条</w:t>
      </w:r>
      <w:r>
        <w:rPr>
          <w:rFonts w:eastAsia="方正仿宋_GBK"/>
          <w:color w:val="000000"/>
          <w:spacing w:val="-2"/>
          <w:kern w:val="0"/>
          <w:sz w:val="24"/>
        </w:rPr>
        <w:t xml:space="preserve">  </w:t>
      </w:r>
      <w:r>
        <w:rPr>
          <w:rFonts w:hint="eastAsia" w:eastAsia="方正仿宋_GBK"/>
          <w:color w:val="000000"/>
          <w:spacing w:val="-2"/>
          <w:kern w:val="0"/>
          <w:sz w:val="24"/>
        </w:rPr>
        <w:t>增项注册</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注册建造师取得相应专业资格证书可申请增项注册。取得增项专业资格超过</w:t>
      </w:r>
      <w:r>
        <w:rPr>
          <w:rFonts w:eastAsia="方正仿宋_GBK"/>
          <w:color w:val="000000"/>
          <w:spacing w:val="-2"/>
          <w:kern w:val="0"/>
          <w:sz w:val="24"/>
        </w:rPr>
        <w:t>3</w:t>
      </w:r>
      <w:r>
        <w:rPr>
          <w:rFonts w:hint="eastAsia" w:eastAsia="方正仿宋_GBK"/>
          <w:color w:val="000000"/>
          <w:spacing w:val="-2"/>
          <w:kern w:val="0"/>
          <w:sz w:val="24"/>
        </w:rPr>
        <w:t>年未注册的，应当提供该专业最近一个注册有效期继续教育学习证明。准予增项注册后，原专业注册有效截止日期保持不变。</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申请增项注册的，申请人应当在系统内提交《二级注册建造师增项注册申请表》（附表</w:t>
      </w:r>
      <w:r>
        <w:rPr>
          <w:rFonts w:eastAsia="方正仿宋_GBK"/>
          <w:color w:val="000000"/>
          <w:spacing w:val="-2"/>
          <w:kern w:val="0"/>
          <w:sz w:val="24"/>
        </w:rPr>
        <w:t>4-1</w:t>
      </w:r>
      <w:r>
        <w:rPr>
          <w:rFonts w:hint="eastAsia" w:eastAsia="方正仿宋_GBK"/>
          <w:color w:val="000000"/>
          <w:spacing w:val="-2"/>
          <w:kern w:val="0"/>
          <w:sz w:val="24"/>
        </w:rPr>
        <w:t>）扫描件。</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第十一条</w:t>
      </w:r>
      <w:r>
        <w:rPr>
          <w:rFonts w:eastAsia="方正仿宋_GBK"/>
          <w:color w:val="000000"/>
          <w:spacing w:val="-2"/>
          <w:kern w:val="0"/>
          <w:sz w:val="24"/>
        </w:rPr>
        <w:t xml:space="preserve">  </w:t>
      </w:r>
      <w:r>
        <w:rPr>
          <w:rFonts w:hint="eastAsia" w:eastAsia="方正仿宋_GBK"/>
          <w:color w:val="000000"/>
          <w:spacing w:val="-2"/>
          <w:kern w:val="0"/>
          <w:sz w:val="24"/>
        </w:rPr>
        <w:t>注销注册</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注册建造师有《注册建造师管理规定》第十七条所列情形之一的，由省住房和城乡建设厅办理注销手续。</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申请人或其聘用的企业，应当在系统内提交下列扫描件：</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（一）《二级注册建造师注销注册申请表》（附表</w:t>
      </w:r>
      <w:r>
        <w:rPr>
          <w:rFonts w:eastAsia="方正仿宋_GBK"/>
          <w:color w:val="000000"/>
          <w:spacing w:val="-2"/>
          <w:kern w:val="0"/>
          <w:sz w:val="24"/>
        </w:rPr>
        <w:t>5-1</w:t>
      </w:r>
      <w:r>
        <w:rPr>
          <w:rFonts w:hint="eastAsia" w:eastAsia="方正仿宋_GBK"/>
          <w:color w:val="000000"/>
          <w:spacing w:val="-2"/>
          <w:kern w:val="0"/>
          <w:sz w:val="24"/>
        </w:rPr>
        <w:t>）；</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（二）符合《注册建造师管理规定》第十七条所列情形之一的证明原件。</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第十二条</w:t>
      </w:r>
      <w:r>
        <w:rPr>
          <w:rFonts w:eastAsia="方正仿宋_GBK"/>
          <w:color w:val="000000"/>
          <w:spacing w:val="-2"/>
          <w:kern w:val="0"/>
          <w:sz w:val="24"/>
        </w:rPr>
        <w:t xml:space="preserve">  </w:t>
      </w:r>
      <w:r>
        <w:rPr>
          <w:rFonts w:hint="eastAsia" w:eastAsia="方正仿宋_GBK"/>
          <w:color w:val="000000"/>
          <w:spacing w:val="-2"/>
          <w:kern w:val="0"/>
          <w:sz w:val="24"/>
        </w:rPr>
        <w:t>重新注册</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建造师注销注册或者不予注册的，在重新具备注册条件后，可申请重新注册，重新注册按初始注册要求办理。</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申请重新注册的，申请人在系统内提交下列扫描件：</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（一）《二级建造师重新注册申请表》（附表</w:t>
      </w:r>
      <w:r>
        <w:rPr>
          <w:rFonts w:eastAsia="方正仿宋_GBK"/>
          <w:color w:val="000000"/>
          <w:spacing w:val="-2"/>
          <w:kern w:val="0"/>
          <w:sz w:val="24"/>
        </w:rPr>
        <w:t>6-1</w:t>
      </w:r>
      <w:r>
        <w:rPr>
          <w:rFonts w:hint="eastAsia" w:eastAsia="方正仿宋_GBK"/>
          <w:color w:val="000000"/>
          <w:spacing w:val="-2"/>
          <w:kern w:val="0"/>
          <w:sz w:val="24"/>
        </w:rPr>
        <w:t>）；</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（二）申请人与聘用企业签订的聘用劳动合同复印件或聘用企业出具的劳动、人事、工资关系证明。</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第十三条</w:t>
      </w:r>
      <w:r>
        <w:rPr>
          <w:rFonts w:eastAsia="方正仿宋_GBK"/>
          <w:color w:val="000000"/>
          <w:spacing w:val="-2"/>
          <w:kern w:val="0"/>
          <w:sz w:val="24"/>
        </w:rPr>
        <w:t xml:space="preserve">  </w:t>
      </w:r>
      <w:r>
        <w:rPr>
          <w:rFonts w:hint="eastAsia" w:eastAsia="方正仿宋_GBK"/>
          <w:color w:val="000000"/>
          <w:spacing w:val="-2"/>
          <w:kern w:val="0"/>
          <w:sz w:val="24"/>
        </w:rPr>
        <w:t>取得二级建造师资格证书的人员，可对应下述专业申请注册：建筑工程、公路工程、水利水电工程、市政公用工程、矿业工程、机电工程。</w:t>
      </w:r>
    </w:p>
    <w:p>
      <w:pPr>
        <w:spacing w:line="440" w:lineRule="exact"/>
        <w:ind w:firstLine="472" w:firstLineChars="200"/>
        <w:rPr>
          <w:rFonts w:eastAsia="方正仿宋_GBK"/>
          <w:color w:val="000000"/>
          <w:spacing w:val="-2"/>
          <w:kern w:val="0"/>
          <w:sz w:val="24"/>
        </w:rPr>
      </w:pPr>
      <w:r>
        <w:rPr>
          <w:rFonts w:hint="eastAsia" w:eastAsia="方正仿宋_GBK"/>
          <w:color w:val="000000"/>
          <w:spacing w:val="-2"/>
          <w:kern w:val="0"/>
          <w:sz w:val="24"/>
        </w:rPr>
        <w:t>资格证书所注专业为房屋建筑工程、装饰装修工程的，按建筑工程专业申请注册；资格证书所注专业为矿山工程的按矿业工程专业申请注册；资格证书所注专业为冶炼工程的，可选矿业工程或机电工程之中的一个专业申请注册；资格证书所注专业为电力工程、石油化工工程、机电安装工程的，按机电工程专业申请注册。</w:t>
      </w:r>
    </w:p>
    <w:p>
      <w:pPr>
        <w:spacing w:line="440" w:lineRule="exact"/>
        <w:ind w:firstLine="472" w:firstLineChars="200"/>
        <w:rPr>
          <w:rFonts w:eastAsia="方正黑体_GBK"/>
          <w:color w:val="000000"/>
          <w:spacing w:val="-2"/>
          <w:kern w:val="0"/>
          <w:sz w:val="24"/>
        </w:rPr>
      </w:pPr>
      <w:r>
        <w:rPr>
          <w:rFonts w:hint="eastAsia" w:eastAsia="方正黑体_GBK"/>
          <w:color w:val="000000"/>
          <w:spacing w:val="-2"/>
          <w:kern w:val="0"/>
          <w:sz w:val="24"/>
        </w:rPr>
        <w:t>三、核对与审批</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第十四条</w:t>
      </w:r>
      <w:r>
        <w:rPr>
          <w:rFonts w:eastAsia="方正仿宋_GBK"/>
          <w:color w:val="000000"/>
          <w:spacing w:val="-2"/>
          <w:kern w:val="0"/>
          <w:sz w:val="24"/>
        </w:rPr>
        <w:t xml:space="preserve">  </w:t>
      </w:r>
      <w:r>
        <w:rPr>
          <w:rFonts w:hint="eastAsia" w:eastAsia="方正仿宋_GBK"/>
          <w:color w:val="000000"/>
          <w:spacing w:val="-2"/>
          <w:kern w:val="0"/>
          <w:sz w:val="24"/>
        </w:rPr>
        <w:t>省住房和城乡建设厅按照初始注册、延续注册、变更注册、增项注册、重新注册和注销注册有关规定，对注册申请人材料的完整性进行核对。申请材料存在可以当场更正错误的，应当允许申请人当场更正。</w:t>
      </w:r>
    </w:p>
    <w:p>
      <w:pPr>
        <w:spacing w:line="440" w:lineRule="exact"/>
        <w:ind w:firstLine="456" w:firstLineChars="200"/>
        <w:rPr>
          <w:rFonts w:eastAsia="方正仿宋_GBK"/>
          <w:color w:val="000000"/>
          <w:spacing w:val="-6"/>
          <w:kern w:val="0"/>
          <w:sz w:val="24"/>
        </w:rPr>
      </w:pPr>
      <w:r>
        <w:rPr>
          <w:rFonts w:hint="eastAsia" w:eastAsia="方正仿宋_GBK"/>
          <w:color w:val="000000"/>
          <w:spacing w:val="-6"/>
          <w:kern w:val="0"/>
          <w:sz w:val="24"/>
        </w:rPr>
        <w:t>申请人有《注册建造师管理规定》第十五条所列情形之一的，不予受理或不予注册。</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第十五条</w:t>
      </w:r>
      <w:r>
        <w:rPr>
          <w:rFonts w:eastAsia="方正仿宋_GBK"/>
          <w:color w:val="000000"/>
          <w:spacing w:val="-2"/>
          <w:kern w:val="0"/>
          <w:sz w:val="24"/>
        </w:rPr>
        <w:t xml:space="preserve">  </w:t>
      </w:r>
      <w:r>
        <w:rPr>
          <w:rFonts w:hint="eastAsia" w:eastAsia="方正仿宋_GBK"/>
          <w:color w:val="000000"/>
          <w:spacing w:val="-2"/>
          <w:kern w:val="0"/>
          <w:sz w:val="24"/>
        </w:rPr>
        <w:t>对申请初始注册、重新注册、增项注册的，省住房和城乡建设厅收到核对意见等材料后，</w:t>
      </w:r>
      <w:r>
        <w:rPr>
          <w:rFonts w:eastAsia="方正仿宋_GBK"/>
          <w:color w:val="000000"/>
          <w:spacing w:val="-2"/>
          <w:kern w:val="0"/>
          <w:sz w:val="24"/>
        </w:rPr>
        <w:t>20</w:t>
      </w:r>
      <w:r>
        <w:rPr>
          <w:rFonts w:hint="eastAsia" w:eastAsia="方正仿宋_GBK"/>
          <w:color w:val="000000"/>
          <w:spacing w:val="-2"/>
          <w:kern w:val="0"/>
          <w:sz w:val="24"/>
        </w:rPr>
        <w:t>个工作日内审批完毕，并将审核结果向社会公示</w:t>
      </w:r>
      <w:r>
        <w:rPr>
          <w:rFonts w:eastAsia="方正仿宋_GBK"/>
          <w:color w:val="000000"/>
          <w:spacing w:val="-2"/>
          <w:kern w:val="0"/>
          <w:sz w:val="24"/>
        </w:rPr>
        <w:t>5</w:t>
      </w:r>
      <w:r>
        <w:rPr>
          <w:rFonts w:hint="eastAsia" w:eastAsia="方正仿宋_GBK"/>
          <w:color w:val="000000"/>
          <w:spacing w:val="-2"/>
          <w:kern w:val="0"/>
          <w:sz w:val="24"/>
        </w:rPr>
        <w:t>日，公示无异议的，准予注册，审批结果向社会公告。</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第十六条</w:t>
      </w:r>
      <w:r>
        <w:rPr>
          <w:rFonts w:eastAsia="方正仿宋_GBK"/>
          <w:color w:val="000000"/>
          <w:spacing w:val="-2"/>
          <w:kern w:val="0"/>
          <w:sz w:val="24"/>
        </w:rPr>
        <w:t xml:space="preserve">  </w:t>
      </w:r>
      <w:r>
        <w:rPr>
          <w:rFonts w:hint="eastAsia" w:eastAsia="方正仿宋_GBK"/>
          <w:color w:val="000000"/>
          <w:spacing w:val="-2"/>
          <w:kern w:val="0"/>
          <w:sz w:val="24"/>
        </w:rPr>
        <w:t>申请变更注册、注销注册的，省住房和城乡建设厅在</w:t>
      </w:r>
      <w:r>
        <w:rPr>
          <w:rFonts w:eastAsia="方正仿宋_GBK"/>
          <w:color w:val="000000"/>
          <w:spacing w:val="-2"/>
          <w:kern w:val="0"/>
          <w:sz w:val="24"/>
        </w:rPr>
        <w:t>5</w:t>
      </w:r>
      <w:r>
        <w:rPr>
          <w:rFonts w:hint="eastAsia" w:eastAsia="方正仿宋_GBK"/>
          <w:color w:val="000000"/>
          <w:spacing w:val="-2"/>
          <w:kern w:val="0"/>
          <w:sz w:val="24"/>
        </w:rPr>
        <w:t>个工作日内办结。</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第十七条</w:t>
      </w:r>
      <w:r>
        <w:rPr>
          <w:rFonts w:eastAsia="方正仿宋_GBK"/>
          <w:color w:val="000000"/>
          <w:spacing w:val="-2"/>
          <w:kern w:val="0"/>
          <w:sz w:val="24"/>
        </w:rPr>
        <w:t xml:space="preserve">  </w:t>
      </w:r>
      <w:r>
        <w:rPr>
          <w:rFonts w:hint="eastAsia" w:eastAsia="方正仿宋_GBK"/>
          <w:color w:val="000000"/>
          <w:spacing w:val="-2"/>
          <w:kern w:val="0"/>
          <w:sz w:val="24"/>
        </w:rPr>
        <w:t>对申请延续注册的，省住房和城乡建设厅收到核对意见等材料后，</w:t>
      </w:r>
      <w:r>
        <w:rPr>
          <w:rFonts w:eastAsia="方正仿宋_GBK"/>
          <w:color w:val="000000"/>
          <w:spacing w:val="-2"/>
          <w:kern w:val="0"/>
          <w:sz w:val="24"/>
        </w:rPr>
        <w:t>10</w:t>
      </w:r>
      <w:r>
        <w:rPr>
          <w:rFonts w:hint="eastAsia" w:eastAsia="方正仿宋_GBK"/>
          <w:color w:val="000000"/>
          <w:spacing w:val="-2"/>
          <w:kern w:val="0"/>
          <w:sz w:val="24"/>
        </w:rPr>
        <w:t>个工作日内审批完毕，并将审核结果向社会公示</w:t>
      </w:r>
      <w:r>
        <w:rPr>
          <w:rFonts w:eastAsia="方正仿宋_GBK"/>
          <w:color w:val="000000"/>
          <w:spacing w:val="-2"/>
          <w:kern w:val="0"/>
          <w:sz w:val="24"/>
        </w:rPr>
        <w:t>10</w:t>
      </w:r>
      <w:r>
        <w:rPr>
          <w:rFonts w:hint="eastAsia" w:eastAsia="方正仿宋_GBK"/>
          <w:color w:val="000000"/>
          <w:spacing w:val="-2"/>
          <w:kern w:val="0"/>
          <w:sz w:val="24"/>
        </w:rPr>
        <w:t>日，公示无异议的，准予注册，审批结果向社会公告。审批日期为注册证书签发日期，注册证书自签发之日起有效期</w:t>
      </w:r>
      <w:r>
        <w:rPr>
          <w:rFonts w:eastAsia="方正仿宋_GBK"/>
          <w:color w:val="000000"/>
          <w:spacing w:val="-2"/>
          <w:kern w:val="0"/>
          <w:sz w:val="24"/>
        </w:rPr>
        <w:t>3</w:t>
      </w:r>
      <w:r>
        <w:rPr>
          <w:rFonts w:hint="eastAsia" w:eastAsia="方正仿宋_GBK"/>
          <w:color w:val="000000"/>
          <w:spacing w:val="-2"/>
          <w:kern w:val="0"/>
          <w:sz w:val="24"/>
        </w:rPr>
        <w:t>年。</w:t>
      </w:r>
    </w:p>
    <w:p>
      <w:pPr>
        <w:spacing w:line="44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第二十条</w:t>
      </w:r>
      <w:r>
        <w:rPr>
          <w:rFonts w:eastAsia="方正黑体_GBK"/>
          <w:color w:val="000000"/>
          <w:spacing w:val="-2"/>
          <w:kern w:val="0"/>
          <w:sz w:val="24"/>
        </w:rPr>
        <w:t xml:space="preserve">  </w:t>
      </w:r>
      <w:r>
        <w:rPr>
          <w:rFonts w:hint="eastAsia" w:eastAsia="方正黑体_GBK"/>
          <w:color w:val="000000"/>
          <w:spacing w:val="-2"/>
          <w:kern w:val="0"/>
          <w:sz w:val="24"/>
        </w:rPr>
        <w:t>省住房和城乡建设厅</w:t>
      </w:r>
      <w:r>
        <w:rPr>
          <w:rFonts w:hint="eastAsia" w:eastAsia="方正仿宋_GBK"/>
          <w:color w:val="000000"/>
          <w:spacing w:val="-2"/>
          <w:kern w:val="0"/>
          <w:sz w:val="24"/>
        </w:rPr>
        <w:t>自公告发布之日起</w:t>
      </w:r>
      <w:r>
        <w:rPr>
          <w:rFonts w:eastAsia="方正仿宋_GBK"/>
          <w:color w:val="000000"/>
          <w:spacing w:val="-2"/>
          <w:kern w:val="0"/>
          <w:sz w:val="24"/>
        </w:rPr>
        <w:t>30</w:t>
      </w:r>
      <w:r>
        <w:rPr>
          <w:rFonts w:hint="eastAsia" w:eastAsia="方正仿宋_GBK"/>
          <w:color w:val="000000"/>
          <w:spacing w:val="-2"/>
          <w:kern w:val="0"/>
          <w:sz w:val="24"/>
        </w:rPr>
        <w:t>日内，向准予注册的申请人核发《中华人民共和国二级建造师注册证书》。</w:t>
      </w:r>
    </w:p>
    <w:p>
      <w:pPr>
        <w:pStyle w:val="2"/>
        <w:spacing w:before="240" w:beforeLines="100" w:after="240" w:afterLines="100" w:line="240" w:lineRule="auto"/>
        <w:jc w:val="center"/>
        <w:rPr>
          <w:rFonts w:ascii="Times New Roman" w:eastAsia="方正小标宋_GBK"/>
          <w:b w:val="0"/>
          <w:sz w:val="36"/>
          <w:szCs w:val="36"/>
        </w:rPr>
      </w:pPr>
      <w:r>
        <w:rPr>
          <w:rFonts w:eastAsia="方正仿宋_GBK"/>
          <w:color w:val="000000"/>
          <w:spacing w:val="-2"/>
          <w:kern w:val="0"/>
          <w:sz w:val="24"/>
        </w:rPr>
        <w:br w:type="column"/>
      </w:r>
      <w:bookmarkStart w:id="438" w:name="_Toc18315664"/>
      <w:bookmarkStart w:id="439" w:name="_Toc20726494"/>
      <w:r>
        <w:rPr>
          <w:rFonts w:hint="eastAsia" w:ascii="Times New Roman" w:eastAsia="方正小标宋_GBK"/>
          <w:b w:val="0"/>
          <w:sz w:val="36"/>
          <w:szCs w:val="36"/>
        </w:rPr>
        <w:t>省住房城乡建设厅关于印发《江苏省高支模工程监理实施细则（标准化格式文本）》和《江苏省扣件式钢管脚手架搭设、拆除工程监理实施细则（标准化格式文本）》的通知</w:t>
      </w:r>
      <w:bookmarkEnd w:id="438"/>
      <w:bookmarkEnd w:id="439"/>
    </w:p>
    <w:p>
      <w:pPr>
        <w:spacing w:line="460" w:lineRule="exact"/>
        <w:rPr>
          <w:rFonts w:hint="eastAsia" w:eastAsia="方正仿宋_GBK"/>
          <w:color w:val="000000"/>
          <w:spacing w:val="-2"/>
          <w:sz w:val="24"/>
        </w:rPr>
      </w:pPr>
    </w:p>
    <w:p>
      <w:pPr>
        <w:pStyle w:val="3"/>
        <w:spacing w:before="240" w:beforeLines="100" w:after="240" w:afterLines="100" w:line="240" w:lineRule="auto"/>
        <w:jc w:val="center"/>
        <w:rPr>
          <w:rFonts w:ascii="Times New Roman" w:hAnsi="Times New Roman" w:eastAsia="方正楷体_GBK"/>
          <w:b w:val="0"/>
          <w:sz w:val="24"/>
          <w:szCs w:val="24"/>
        </w:rPr>
      </w:pPr>
      <w:bookmarkStart w:id="440" w:name="_Toc20726495"/>
      <w:bookmarkStart w:id="441" w:name="_Toc18315665"/>
      <w:r>
        <w:rPr>
          <w:rFonts w:hint="eastAsia" w:ascii="Times New Roman" w:hAnsi="Times New Roman" w:eastAsia="方正楷体_GBK"/>
          <w:b w:val="0"/>
          <w:sz w:val="24"/>
          <w:szCs w:val="24"/>
        </w:rPr>
        <w:t>苏建建管〔</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266</w:t>
      </w:r>
      <w:r>
        <w:rPr>
          <w:rFonts w:hint="eastAsia" w:ascii="Times New Roman" w:hAnsi="Times New Roman" w:eastAsia="方正楷体_GBK"/>
          <w:b w:val="0"/>
          <w:sz w:val="24"/>
          <w:szCs w:val="24"/>
        </w:rPr>
        <w:t>号</w:t>
      </w:r>
      <w:bookmarkEnd w:id="440"/>
      <w:bookmarkEnd w:id="441"/>
    </w:p>
    <w:p>
      <w:pPr>
        <w:spacing w:line="460" w:lineRule="exact"/>
        <w:ind w:left="-170" w:leftChars="-120" w:right="-340" w:rightChars="-162" w:hanging="82" w:hangingChars="35"/>
        <w:jc w:val="distribute"/>
        <w:rPr>
          <w:rFonts w:eastAsia="方正仿宋_GBK"/>
          <w:color w:val="000000"/>
          <w:spacing w:val="-2"/>
          <w:sz w:val="24"/>
        </w:rPr>
      </w:pPr>
    </w:p>
    <w:p>
      <w:pPr>
        <w:spacing w:line="460" w:lineRule="exact"/>
        <w:rPr>
          <w:rFonts w:eastAsia="方正仿宋_GBK"/>
          <w:color w:val="000000"/>
          <w:spacing w:val="-2"/>
          <w:sz w:val="24"/>
        </w:rPr>
      </w:pPr>
      <w:r>
        <w:rPr>
          <w:rFonts w:hint="eastAsia" w:eastAsia="方正仿宋_GBK"/>
          <w:color w:val="000000"/>
          <w:spacing w:val="-2"/>
          <w:sz w:val="24"/>
        </w:rPr>
        <w:t>各市建设局（委），苏州工业园区规划建设局、张家港保税区规划建设局，昆山市、泰兴市、沭阳县建设局：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了提高监理规范化管理水平，提升监理现场的工作质量，我厅组织编制了《江苏省高支模工程监理实施细则（标准化格式文本）》和《江苏省扣件式钢管脚手架搭设、拆除工程监理实施细则（标准化格式文本）》，现印发你们，供全省统一使用。</w:t>
      </w:r>
    </w:p>
    <w:p>
      <w:pPr>
        <w:spacing w:line="460" w:lineRule="exact"/>
        <w:ind w:firstLine="645"/>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eastAsia" w:eastAsia="方正仿宋_GBK"/>
          <w:color w:val="000000"/>
          <w:spacing w:val="-2"/>
          <w:sz w:val="24"/>
        </w:rPr>
        <w:t>《江苏省高支模工程监理实施细则（标准化格式文本）》</w:t>
      </w:r>
    </w:p>
    <w:p>
      <w:pPr>
        <w:spacing w:line="460" w:lineRule="exact"/>
        <w:ind w:firstLine="1180" w:firstLineChars="5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《江苏省扣件式钢管脚手架搭设、拆除工程监理实施细则（标准化格式</w:t>
      </w:r>
    </w:p>
    <w:p>
      <w:pPr>
        <w:spacing w:line="460" w:lineRule="exact"/>
        <w:ind w:firstLine="1571" w:firstLineChars="666"/>
        <w:rPr>
          <w:rFonts w:eastAsia="方正仿宋_GBK"/>
          <w:color w:val="000000"/>
          <w:spacing w:val="-2"/>
          <w:sz w:val="24"/>
        </w:rPr>
      </w:pPr>
      <w:r>
        <w:rPr>
          <w:rFonts w:hint="eastAsia" w:eastAsia="方正仿宋_GBK"/>
          <w:color w:val="000000"/>
          <w:spacing w:val="-2"/>
          <w:sz w:val="24"/>
        </w:rPr>
        <w:t>文本）》</w:t>
      </w:r>
    </w:p>
    <w:p>
      <w:pPr>
        <w:spacing w:line="460" w:lineRule="exact"/>
        <w:ind w:firstLine="708" w:firstLineChars="300"/>
        <w:rPr>
          <w:rFonts w:eastAsia="方正仿宋_GBK"/>
          <w:color w:val="000000"/>
          <w:spacing w:val="-2"/>
          <w:sz w:val="24"/>
        </w:rPr>
      </w:pPr>
      <w:r>
        <w:rPr>
          <w:rFonts w:eastAsia="方正仿宋_GBK"/>
          <w:color w:val="000000"/>
          <w:spacing w:val="-2"/>
          <w:sz w:val="24"/>
        </w:rPr>
        <w:t xml:space="preserve"> </w:t>
      </w:r>
    </w:p>
    <w:p>
      <w:pPr>
        <w:spacing w:line="460" w:lineRule="exact"/>
        <w:ind w:firstLine="645"/>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江苏省住房和城乡建设厅</w:t>
      </w:r>
      <w:r>
        <w:rPr>
          <w:rFonts w:eastAsia="方正仿宋_GBK"/>
          <w:color w:val="000000"/>
          <w:spacing w:val="-2"/>
          <w:sz w:val="24"/>
        </w:rPr>
        <w:t xml:space="preserve">    </w:t>
      </w:r>
    </w:p>
    <w:p>
      <w:pPr>
        <w:wordWrap w:val="0"/>
        <w:spacing w:line="460" w:lineRule="exact"/>
        <w:ind w:firstLine="645"/>
        <w:jc w:val="right"/>
        <w:rPr>
          <w:rFonts w:eastAsia="方正仿宋_GBK"/>
          <w:color w:val="000000"/>
          <w:spacing w:val="-2"/>
          <w:sz w:val="24"/>
        </w:rPr>
      </w:pPr>
      <w:r>
        <w:rPr>
          <w:rFonts w:eastAsia="方正仿宋_GBK"/>
          <w:color w:val="000000"/>
          <w:spacing w:val="-2"/>
          <w:sz w:val="24"/>
        </w:rPr>
        <w:t xml:space="preserve">                      2013</w:t>
      </w:r>
      <w:r>
        <w:rPr>
          <w:rFonts w:hint="eastAsia" w:eastAsia="方正仿宋_GBK"/>
          <w:color w:val="000000"/>
          <w:spacing w:val="-2"/>
          <w:sz w:val="24"/>
        </w:rPr>
        <w:t>年</w:t>
      </w:r>
      <w:r>
        <w:rPr>
          <w:rFonts w:eastAsia="方正仿宋_GBK"/>
          <w:color w:val="000000"/>
          <w:spacing w:val="-2"/>
          <w:sz w:val="24"/>
        </w:rPr>
        <w:t>6</w:t>
      </w:r>
      <w:r>
        <w:rPr>
          <w:rFonts w:hint="eastAsia" w:eastAsia="方正仿宋_GBK"/>
          <w:color w:val="000000"/>
          <w:spacing w:val="-2"/>
          <w:sz w:val="24"/>
        </w:rPr>
        <w:t>月</w:t>
      </w:r>
      <w:r>
        <w:rPr>
          <w:rFonts w:eastAsia="方正仿宋_GBK"/>
          <w:color w:val="000000"/>
          <w:spacing w:val="-2"/>
          <w:sz w:val="24"/>
        </w:rPr>
        <w:t>4</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ind w:firstLine="645"/>
        <w:jc w:val="right"/>
        <w:rPr>
          <w:rFonts w:eastAsia="方正仿宋_GBK"/>
          <w:color w:val="000000"/>
          <w:spacing w:val="-2"/>
          <w:sz w:val="24"/>
        </w:rPr>
      </w:pPr>
    </w:p>
    <w:p>
      <w:pPr>
        <w:spacing w:line="460" w:lineRule="exact"/>
        <w:ind w:firstLine="645"/>
        <w:jc w:val="right"/>
        <w:rPr>
          <w:rFonts w:eastAsia="仿宋_GB2312"/>
          <w:color w:val="000000"/>
          <w:spacing w:val="-2"/>
          <w:sz w:val="28"/>
          <w:szCs w:val="28"/>
        </w:rPr>
      </w:pPr>
      <w:r>
        <w:rPr>
          <w:rFonts w:eastAsia="方正仿宋_GBK"/>
          <w:color w:val="000000"/>
          <w:spacing w:val="-2"/>
          <w:sz w:val="24"/>
        </w:rPr>
        <w:t xml:space="preserve">        </w:t>
      </w:r>
    </w:p>
    <w:p>
      <w:pPr>
        <w:widowControl/>
        <w:jc w:val="left"/>
        <w:rPr>
          <w:rFonts w:eastAsia="仿宋_GB2312"/>
          <w:color w:val="000000"/>
          <w:spacing w:val="-2"/>
          <w:sz w:val="28"/>
          <w:szCs w:val="28"/>
        </w:rPr>
        <w:sectPr>
          <w:pgSz w:w="11905" w:h="16838"/>
          <w:pgMar w:top="1701" w:right="1587" w:bottom="1701" w:left="1587" w:header="850" w:footer="1361" w:gutter="0"/>
          <w:paperSrc w:first="4" w:other="4"/>
          <w:cols w:space="720" w:num="1"/>
        </w:sectPr>
      </w:pPr>
    </w:p>
    <w:p>
      <w:pPr>
        <w:spacing w:line="460" w:lineRule="exact"/>
        <w:rPr>
          <w:rFonts w:ascii="Times New Roman" w:eastAsia="黑体"/>
          <w:color w:val="000000"/>
          <w:spacing w:val="-2"/>
          <w:sz w:val="28"/>
          <w:szCs w:val="28"/>
        </w:rPr>
      </w:pPr>
      <w:r>
        <w:rPr>
          <w:rFonts w:hint="eastAsia" w:ascii="Times New Roman" w:eastAsia="黑体"/>
          <w:color w:val="000000"/>
          <w:spacing w:val="-2"/>
          <w:sz w:val="28"/>
          <w:szCs w:val="28"/>
        </w:rPr>
        <w:t>附件1：</w:t>
      </w:r>
    </w:p>
    <w:p>
      <w:pPr>
        <w:jc w:val="right"/>
        <w:rPr>
          <w:rFonts w:hint="eastAsia"/>
          <w:b/>
          <w:color w:val="000000"/>
          <w:spacing w:val="-2"/>
          <w:sz w:val="28"/>
          <w:szCs w:val="28"/>
        </w:rPr>
      </w:pPr>
      <w:r>
        <w:rPr>
          <w:b/>
          <w:color w:val="000000"/>
          <w:spacing w:val="-2"/>
          <w:sz w:val="28"/>
          <w:szCs w:val="28"/>
        </w:rPr>
        <w:t>B13</w:t>
      </w:r>
    </w:p>
    <w:p>
      <w:pPr>
        <w:jc w:val="right"/>
        <w:rPr>
          <w:b/>
          <w:color w:val="000000"/>
          <w:spacing w:val="-2"/>
          <w:sz w:val="28"/>
          <w:szCs w:val="28"/>
        </w:rPr>
      </w:pPr>
    </w:p>
    <w:p>
      <w:pPr>
        <w:spacing w:after="480"/>
        <w:jc w:val="center"/>
        <w:rPr>
          <w:rFonts w:ascii="Times New Roman"/>
          <w:color w:val="000000"/>
          <w:spacing w:val="-2"/>
          <w:sz w:val="36"/>
        </w:rPr>
      </w:pPr>
      <w:r>
        <w:rPr>
          <w:rFonts w:hint="eastAsia" w:ascii="Times New Roman" w:hAnsi="Times New Roman"/>
          <w:color w:val="000000"/>
          <w:spacing w:val="-2"/>
          <w:sz w:val="36"/>
          <w:u w:val="single"/>
        </w:rPr>
        <w:t>　　　　　　　　　　　　　　　　</w:t>
      </w:r>
      <w:r>
        <w:rPr>
          <w:rFonts w:hint="eastAsia" w:ascii="Times New Roman" w:hAnsi="Times New Roman"/>
          <w:color w:val="000000"/>
          <w:spacing w:val="-2"/>
          <w:sz w:val="36"/>
        </w:rPr>
        <w:t>工程</w:t>
      </w:r>
    </w:p>
    <w:p>
      <w:pPr>
        <w:spacing w:after="120"/>
        <w:jc w:val="center"/>
        <w:rPr>
          <w:rFonts w:hint="eastAsia" w:ascii="Times New Roman"/>
          <w:b/>
          <w:color w:val="000000"/>
          <w:spacing w:val="-2"/>
          <w:sz w:val="36"/>
          <w:szCs w:val="36"/>
          <w14:shadow w14:blurRad="50800" w14:dist="38100" w14:dir="2700000" w14:sx="100000" w14:sy="100000" w14:kx="0" w14:ky="0" w14:algn="tl">
            <w14:srgbClr w14:val="000000">
              <w14:alpha w14:val="60000"/>
            </w14:srgbClr>
          </w14:shadow>
        </w:rPr>
      </w:pPr>
      <w:r>
        <w:rPr>
          <w:rFonts w:hint="eastAsia" w:ascii="Times New Roman" w:hAnsi="Times New Roman"/>
          <w:b/>
          <w:color w:val="000000"/>
          <w:spacing w:val="-2"/>
          <w:sz w:val="36"/>
          <w:szCs w:val="36"/>
          <w14:shadow w14:blurRad="50800" w14:dist="38100" w14:dir="2700000" w14:sx="100000" w14:sy="100000" w14:kx="0" w14:ky="0" w14:algn="tl">
            <w14:srgbClr w14:val="000000">
              <w14:alpha w14:val="60000"/>
            </w14:srgbClr>
          </w14:shadow>
        </w:rPr>
        <w:t>监理实施细则</w:t>
      </w:r>
    </w:p>
    <w:p>
      <w:pPr>
        <w:jc w:val="center"/>
        <w:rPr>
          <w:rFonts w:hint="eastAsia" w:ascii="Times New Roman"/>
          <w:b/>
          <w:color w:val="000000"/>
          <w:spacing w:val="-2"/>
          <w:sz w:val="48"/>
        </w:rPr>
      </w:pPr>
      <w:r>
        <w:rPr>
          <w:rFonts w:hint="eastAsia" w:ascii="Times New Roman" w:hAnsi="Times New Roman"/>
          <w:b/>
          <w:color w:val="000000"/>
          <w:spacing w:val="-2"/>
          <w:sz w:val="48"/>
        </w:rPr>
        <w:t>（高支模工程）</w:t>
      </w:r>
    </w:p>
    <w:p>
      <w:pPr>
        <w:jc w:val="center"/>
        <w:rPr>
          <w:rFonts w:hint="eastAsia" w:ascii="Times New Roman"/>
          <w:b/>
          <w:color w:val="000000"/>
          <w:spacing w:val="-2"/>
          <w:sz w:val="44"/>
          <w:szCs w:val="44"/>
        </w:rPr>
      </w:pPr>
      <w:r>
        <w:rPr>
          <w:rFonts w:hint="eastAsia" w:ascii="Times New Roman" w:hAnsi="Times New Roman"/>
          <w:b/>
          <w:color w:val="000000"/>
          <w:spacing w:val="-2"/>
          <w:sz w:val="44"/>
          <w:szCs w:val="44"/>
        </w:rPr>
        <w:t>（标准化格式文本）</w:t>
      </w:r>
    </w:p>
    <w:p>
      <w:pPr>
        <w:spacing w:line="540" w:lineRule="exact"/>
        <w:ind w:firstLine="2671" w:firstLineChars="964"/>
        <w:rPr>
          <w:rFonts w:hint="eastAsia" w:ascii="Times New Roman" w:hAnsi="Times New Roman"/>
          <w:b/>
          <w:color w:val="000000"/>
          <w:spacing w:val="-2"/>
          <w:sz w:val="28"/>
        </w:rPr>
      </w:pPr>
    </w:p>
    <w:p>
      <w:pPr>
        <w:spacing w:line="540" w:lineRule="exact"/>
        <w:ind w:firstLine="2671" w:firstLineChars="964"/>
        <w:rPr>
          <w:rFonts w:hint="eastAsia" w:ascii="Times New Roman"/>
          <w:b/>
          <w:color w:val="000000"/>
          <w:spacing w:val="-2"/>
          <w:sz w:val="28"/>
        </w:rPr>
      </w:pPr>
      <w:r>
        <w:rPr>
          <w:rFonts w:hint="eastAsia" w:ascii="Times New Roman" w:hAnsi="Times New Roman"/>
          <w:b/>
          <w:color w:val="000000"/>
          <w:spacing w:val="-2"/>
          <w:sz w:val="28"/>
        </w:rPr>
        <w:t>内容提要：</w:t>
      </w:r>
    </w:p>
    <w:p>
      <w:pPr>
        <w:spacing w:line="540" w:lineRule="exact"/>
        <w:ind w:firstLine="2704" w:firstLineChars="980"/>
        <w:rPr>
          <w:rFonts w:hint="eastAsia" w:ascii="Times New Roman"/>
          <w:color w:val="000000"/>
          <w:spacing w:val="-2"/>
          <w:sz w:val="28"/>
        </w:rPr>
      </w:pPr>
      <w:r>
        <w:rPr>
          <w:rFonts w:hint="eastAsia" w:ascii="Times New Roman" w:hAnsi="Times New Roman"/>
          <w:color w:val="000000"/>
          <w:spacing w:val="-2"/>
          <w:sz w:val="28"/>
        </w:rPr>
        <w:t>高支模工程概况</w:t>
      </w:r>
    </w:p>
    <w:p>
      <w:pPr>
        <w:spacing w:line="540" w:lineRule="exact"/>
        <w:ind w:firstLine="2691" w:firstLineChars="975"/>
        <w:rPr>
          <w:rFonts w:hint="eastAsia" w:ascii="Times New Roman"/>
          <w:color w:val="000000"/>
          <w:spacing w:val="-2"/>
          <w:sz w:val="28"/>
        </w:rPr>
      </w:pPr>
      <w:r>
        <w:rPr>
          <w:rFonts w:hint="eastAsia" w:ascii="Times New Roman" w:hAnsi="Times New Roman"/>
          <w:color w:val="000000"/>
          <w:spacing w:val="-2"/>
          <w:sz w:val="28"/>
        </w:rPr>
        <w:t>本工程特点、难点</w:t>
      </w:r>
    </w:p>
    <w:p>
      <w:pPr>
        <w:spacing w:line="540" w:lineRule="exact"/>
        <w:ind w:firstLine="2718" w:firstLineChars="985"/>
        <w:rPr>
          <w:rFonts w:hint="eastAsia" w:ascii="Times New Roman"/>
          <w:color w:val="000000"/>
          <w:spacing w:val="-2"/>
          <w:sz w:val="28"/>
        </w:rPr>
      </w:pPr>
      <w:r>
        <w:rPr>
          <w:rFonts w:hint="eastAsia" w:ascii="Times New Roman" w:hAnsi="Times New Roman"/>
          <w:color w:val="000000"/>
          <w:spacing w:val="-2"/>
          <w:sz w:val="28"/>
        </w:rPr>
        <w:t>监理工作依据</w:t>
      </w:r>
    </w:p>
    <w:p>
      <w:pPr>
        <w:spacing w:line="540" w:lineRule="exact"/>
        <w:ind w:firstLine="2704" w:firstLineChars="980"/>
        <w:rPr>
          <w:rFonts w:hint="eastAsia" w:ascii="Times New Roman"/>
          <w:color w:val="000000"/>
          <w:spacing w:val="-2"/>
          <w:sz w:val="28"/>
        </w:rPr>
      </w:pPr>
      <w:r>
        <w:rPr>
          <w:rFonts w:hint="eastAsia" w:ascii="Times New Roman" w:hAnsi="Times New Roman"/>
          <w:color w:val="000000"/>
          <w:spacing w:val="-2"/>
          <w:sz w:val="28"/>
        </w:rPr>
        <w:t>监理组织机构</w:t>
      </w:r>
    </w:p>
    <w:p>
      <w:pPr>
        <w:spacing w:line="540" w:lineRule="exact"/>
        <w:ind w:firstLine="2704" w:firstLineChars="980"/>
        <w:rPr>
          <w:rFonts w:hint="eastAsia" w:ascii="Times New Roman"/>
          <w:color w:val="000000"/>
          <w:spacing w:val="-2"/>
          <w:sz w:val="28"/>
        </w:rPr>
      </w:pPr>
      <w:r>
        <w:rPr>
          <w:rFonts w:hint="eastAsia" w:ascii="Times New Roman" w:hAnsi="Times New Roman"/>
          <w:color w:val="000000"/>
          <w:spacing w:val="-2"/>
          <w:sz w:val="28"/>
        </w:rPr>
        <w:t>监理工作流程</w:t>
      </w:r>
    </w:p>
    <w:p>
      <w:pPr>
        <w:spacing w:line="540" w:lineRule="exact"/>
        <w:ind w:firstLine="2704" w:firstLineChars="980"/>
        <w:rPr>
          <w:rFonts w:hint="eastAsia" w:ascii="Times New Roman"/>
          <w:color w:val="000000"/>
          <w:spacing w:val="-2"/>
          <w:sz w:val="28"/>
        </w:rPr>
      </w:pPr>
      <w:r>
        <w:rPr>
          <w:rFonts w:hint="eastAsia" w:ascii="Times New Roman" w:hAnsi="Times New Roman"/>
          <w:color w:val="000000"/>
          <w:spacing w:val="-2"/>
          <w:sz w:val="28"/>
        </w:rPr>
        <w:t>监理工作控制要点及目标值</w:t>
      </w:r>
    </w:p>
    <w:p>
      <w:pPr>
        <w:spacing w:line="540" w:lineRule="exact"/>
        <w:ind w:firstLine="2718" w:firstLineChars="985"/>
        <w:rPr>
          <w:rFonts w:hint="eastAsia" w:ascii="Times New Roman"/>
          <w:color w:val="000000"/>
          <w:spacing w:val="-2"/>
          <w:sz w:val="28"/>
        </w:rPr>
      </w:pPr>
      <w:r>
        <w:rPr>
          <w:rFonts w:hint="eastAsia" w:ascii="Times New Roman" w:hAnsi="Times New Roman"/>
          <w:color w:val="000000"/>
          <w:spacing w:val="-2"/>
          <w:sz w:val="28"/>
        </w:rPr>
        <w:t>监理工作方法及措施</w:t>
      </w:r>
    </w:p>
    <w:p>
      <w:pPr>
        <w:spacing w:line="540" w:lineRule="exact"/>
        <w:ind w:firstLine="2718" w:firstLineChars="985"/>
        <w:rPr>
          <w:rFonts w:hint="eastAsia" w:ascii="Times New Roman"/>
          <w:color w:val="000000"/>
          <w:spacing w:val="-2"/>
          <w:sz w:val="28"/>
        </w:rPr>
      </w:pPr>
    </w:p>
    <w:p>
      <w:pPr>
        <w:rPr>
          <w:rFonts w:hint="eastAsia" w:ascii="Times New Roman"/>
          <w:b/>
          <w:color w:val="000000"/>
          <w:spacing w:val="-2"/>
          <w:sz w:val="28"/>
          <w:u w:val="single"/>
        </w:rPr>
      </w:pPr>
      <w:r>
        <w:rPr>
          <w:rFonts w:hint="eastAsia" w:ascii="Times New Roman" w:hAnsi="Times New Roman"/>
          <w:b/>
          <w:color w:val="000000"/>
          <w:spacing w:val="-2"/>
          <w:sz w:val="28"/>
        </w:rPr>
        <w:t xml:space="preserve">              工程监理机构（章）：</w:t>
      </w:r>
      <w:r>
        <w:rPr>
          <w:rFonts w:hint="eastAsia" w:ascii="Times New Roman" w:hAnsi="Times New Roman"/>
          <w:b/>
          <w:color w:val="000000"/>
          <w:spacing w:val="-2"/>
          <w:sz w:val="28"/>
          <w:u w:val="single"/>
        </w:rPr>
        <w:t xml:space="preserve">　　　　　　　 </w:t>
      </w:r>
    </w:p>
    <w:p>
      <w:pPr>
        <w:rPr>
          <w:rFonts w:hint="eastAsia" w:ascii="Times New Roman"/>
          <w:b/>
          <w:color w:val="000000"/>
          <w:spacing w:val="-2"/>
          <w:sz w:val="28"/>
          <w:u w:val="single"/>
        </w:rPr>
      </w:pPr>
      <w:r>
        <w:rPr>
          <w:rFonts w:hint="eastAsia" w:ascii="Times New Roman" w:hAnsi="Times New Roman"/>
          <w:b/>
          <w:color w:val="000000"/>
          <w:spacing w:val="-2"/>
          <w:sz w:val="28"/>
        </w:rPr>
        <w:t xml:space="preserve">              专业监理工程师：</w:t>
      </w:r>
      <w:r>
        <w:rPr>
          <w:rFonts w:hint="eastAsia" w:ascii="Times New Roman" w:hAnsi="Times New Roman"/>
          <w:b/>
          <w:color w:val="000000"/>
          <w:spacing w:val="-2"/>
          <w:sz w:val="28"/>
          <w:u w:val="single"/>
        </w:rPr>
        <w:t xml:space="preserve">                  </w:t>
      </w:r>
    </w:p>
    <w:p>
      <w:pPr>
        <w:rPr>
          <w:rFonts w:hint="eastAsia" w:ascii="Times New Roman"/>
          <w:b/>
          <w:color w:val="000000"/>
          <w:spacing w:val="-2"/>
          <w:sz w:val="28"/>
          <w:u w:val="single"/>
        </w:rPr>
      </w:pPr>
      <w:r>
        <w:rPr>
          <w:rFonts w:hint="eastAsia" w:ascii="Times New Roman" w:hAnsi="Times New Roman"/>
          <w:b/>
          <w:color w:val="000000"/>
          <w:spacing w:val="-2"/>
          <w:sz w:val="28"/>
        </w:rPr>
        <w:t xml:space="preserve">              总监理工程师：</w:t>
      </w:r>
      <w:r>
        <w:rPr>
          <w:rFonts w:hint="eastAsia" w:ascii="Times New Roman" w:hAnsi="Times New Roman"/>
          <w:b/>
          <w:color w:val="000000"/>
          <w:spacing w:val="-2"/>
          <w:sz w:val="28"/>
          <w:u w:val="single"/>
        </w:rPr>
        <w:t xml:space="preserve">　　　　　　　　 　 </w:t>
      </w:r>
    </w:p>
    <w:p>
      <w:pPr>
        <w:spacing w:after="480"/>
        <w:ind w:firstLine="1965"/>
        <w:rPr>
          <w:rFonts w:hint="eastAsia" w:ascii="Times New Roman"/>
          <w:b/>
          <w:color w:val="000000"/>
          <w:spacing w:val="-2"/>
          <w:sz w:val="28"/>
          <w:u w:val="single"/>
        </w:rPr>
      </w:pPr>
      <w:r>
        <w:rPr>
          <w:rFonts w:hint="eastAsia" w:ascii="Times New Roman" w:hAnsi="Times New Roman"/>
          <w:b/>
          <w:color w:val="000000"/>
          <w:spacing w:val="-2"/>
          <w:sz w:val="28"/>
        </w:rPr>
        <w:t>日期：</w:t>
      </w:r>
      <w:r>
        <w:rPr>
          <w:rFonts w:hint="eastAsia" w:ascii="Times New Roman" w:hAnsi="Times New Roman"/>
          <w:b/>
          <w:color w:val="000000"/>
          <w:spacing w:val="-2"/>
          <w:sz w:val="28"/>
          <w:u w:val="single"/>
        </w:rPr>
        <w:t xml:space="preserve">　　　　　　　　　　        </w:t>
      </w:r>
    </w:p>
    <w:p>
      <w:pPr>
        <w:jc w:val="center"/>
        <w:rPr>
          <w:rFonts w:hint="eastAsia" w:ascii="Times New Roman" w:eastAsia="隶书"/>
          <w:color w:val="000000"/>
          <w:spacing w:val="-2"/>
          <w:sz w:val="28"/>
        </w:rPr>
      </w:pPr>
    </w:p>
    <w:p>
      <w:pPr>
        <w:jc w:val="center"/>
        <w:rPr>
          <w:rFonts w:hint="eastAsia" w:ascii="Times New Roman" w:eastAsia="隶书"/>
          <w:color w:val="000000"/>
          <w:spacing w:val="-2"/>
          <w:sz w:val="28"/>
        </w:rPr>
      </w:pPr>
    </w:p>
    <w:p>
      <w:pPr>
        <w:jc w:val="center"/>
        <w:rPr>
          <w:rFonts w:hint="eastAsia" w:ascii="Times New Roman" w:eastAsia="隶书"/>
          <w:color w:val="000000"/>
          <w:spacing w:val="-2"/>
          <w:sz w:val="28"/>
        </w:rPr>
      </w:pPr>
    </w:p>
    <w:p>
      <w:pPr>
        <w:jc w:val="center"/>
        <w:rPr>
          <w:rFonts w:hint="eastAsia" w:ascii="Times New Roman" w:eastAsia="隶书"/>
          <w:color w:val="000000"/>
          <w:spacing w:val="-2"/>
          <w:sz w:val="28"/>
        </w:rPr>
      </w:pPr>
      <w:r>
        <w:rPr>
          <w:rFonts w:hint="eastAsia" w:ascii="Times New Roman" w:eastAsia="隶书"/>
          <w:color w:val="000000"/>
          <w:spacing w:val="-2"/>
          <w:sz w:val="28"/>
        </w:rPr>
        <w:t>江苏省住房和城乡建设厅监制</w:t>
      </w:r>
    </w:p>
    <w:p>
      <w:pPr>
        <w:jc w:val="center"/>
        <w:textAlignment w:val="center"/>
        <w:rPr>
          <w:rFonts w:hint="eastAsia" w:ascii="Times New Roman"/>
          <w:b/>
          <w:color w:val="000000"/>
          <w:spacing w:val="-2"/>
          <w:sz w:val="32"/>
        </w:rPr>
      </w:pPr>
    </w:p>
    <w:p>
      <w:pPr>
        <w:jc w:val="center"/>
        <w:textAlignment w:val="center"/>
        <w:rPr>
          <w:rFonts w:hint="eastAsia" w:ascii="Times New Roman" w:hAnsi="Times New Roman" w:eastAsia="方正小标宋简体"/>
          <w:color w:val="000000"/>
          <w:spacing w:val="-2"/>
          <w:sz w:val="32"/>
        </w:rPr>
      </w:pPr>
      <w:r>
        <w:rPr>
          <w:rFonts w:hint="eastAsia" w:ascii="Times New Roman" w:hAnsi="Times New Roman" w:eastAsia="方正小标宋简体"/>
          <w:color w:val="000000"/>
          <w:spacing w:val="-2"/>
          <w:sz w:val="32"/>
        </w:rPr>
        <w:br w:type="column"/>
      </w:r>
    </w:p>
    <w:p>
      <w:pPr>
        <w:jc w:val="center"/>
        <w:textAlignment w:val="center"/>
        <w:rPr>
          <w:rFonts w:hint="eastAsia" w:ascii="Times New Roman" w:hAnsi="Times New Roman" w:eastAsia="方正小标宋简体"/>
          <w:color w:val="000000"/>
          <w:spacing w:val="-2"/>
          <w:sz w:val="36"/>
          <w:szCs w:val="36"/>
        </w:rPr>
      </w:pPr>
      <w:r>
        <w:rPr>
          <w:rFonts w:hint="eastAsia" w:ascii="Times New Roman" w:hAnsi="Times New Roman" w:eastAsia="方正小标宋简体"/>
          <w:color w:val="000000"/>
          <w:spacing w:val="-2"/>
          <w:sz w:val="36"/>
          <w:szCs w:val="36"/>
        </w:rPr>
        <w:t>高支模工程监理实施细则</w:t>
      </w:r>
    </w:p>
    <w:p>
      <w:pPr>
        <w:spacing w:line="420" w:lineRule="exact"/>
        <w:jc w:val="center"/>
        <w:textAlignment w:val="center"/>
        <w:rPr>
          <w:rFonts w:hint="eastAsia" w:ascii="Times New Roman"/>
          <w:b/>
          <w:color w:val="000000"/>
          <w:spacing w:val="-2"/>
          <w:sz w:val="32"/>
        </w:rPr>
      </w:pPr>
    </w:p>
    <w:p>
      <w:pPr>
        <w:spacing w:before="240" w:beforeLines="100" w:after="240" w:afterLines="100" w:line="420" w:lineRule="exact"/>
        <w:rPr>
          <w:rFonts w:hint="eastAsia"/>
          <w:b/>
          <w:color w:val="000000"/>
          <w:spacing w:val="-2"/>
          <w:sz w:val="28"/>
          <w:szCs w:val="28"/>
        </w:rPr>
      </w:pPr>
      <w:r>
        <w:rPr>
          <w:b/>
          <w:color w:val="000000"/>
          <w:spacing w:val="-2"/>
          <w:sz w:val="28"/>
          <w:szCs w:val="28"/>
        </w:rPr>
        <w:t xml:space="preserve">1 </w:t>
      </w:r>
      <w:r>
        <w:rPr>
          <w:rFonts w:hint="eastAsia"/>
          <w:b/>
          <w:color w:val="000000"/>
          <w:spacing w:val="-2"/>
          <w:sz w:val="28"/>
          <w:szCs w:val="28"/>
        </w:rPr>
        <w:t>高支模工程概况</w:t>
      </w:r>
    </w:p>
    <w:p>
      <w:pPr>
        <w:spacing w:line="420" w:lineRule="exact"/>
        <w:rPr>
          <w:rFonts w:ascii="Times New Roman"/>
          <w:b/>
          <w:color w:val="000000"/>
          <w:spacing w:val="-2"/>
          <w:sz w:val="24"/>
        </w:rPr>
      </w:pPr>
      <w:r>
        <w:rPr>
          <w:b/>
          <w:bCs/>
          <w:color w:val="000000"/>
          <w:spacing w:val="-2"/>
          <w:kern w:val="0"/>
          <w:sz w:val="24"/>
        </w:rPr>
        <w:t xml:space="preserve">1.1 </w:t>
      </w:r>
      <w:r>
        <w:rPr>
          <w:rFonts w:hint="eastAsia" w:ascii="Times New Roman" w:hAnsi="Times New Roman"/>
          <w:b/>
          <w:color w:val="000000"/>
          <w:spacing w:val="-2"/>
          <w:sz w:val="24"/>
        </w:rPr>
        <w:t>工程概况：</w:t>
      </w:r>
    </w:p>
    <w:p>
      <w:pPr>
        <w:spacing w:line="420" w:lineRule="exact"/>
        <w:rPr>
          <w:rFonts w:hint="eastAsia" w:ascii="Times New Roman"/>
          <w:color w:val="000000"/>
          <w:spacing w:val="-2"/>
          <w:sz w:val="24"/>
        </w:rPr>
      </w:pPr>
      <w:r>
        <w:rPr>
          <w:rFonts w:hint="eastAsia" w:ascii="Times New Roman" w:hAnsi="Times New Roman"/>
          <w:color w:val="000000"/>
          <w:spacing w:val="-2"/>
          <w:sz w:val="24"/>
        </w:rPr>
        <w:t>（应介绍本工程高大模板支架的相关内容：种类、最高多少，模板最重多少，安装的方法，支架上部主要荷载特征、地基特征等。）</w:t>
      </w:r>
    </w:p>
    <w:p>
      <w:pPr>
        <w:spacing w:line="420" w:lineRule="exact"/>
        <w:rPr>
          <w:rFonts w:hint="eastAsia" w:ascii="Times New Roman"/>
          <w:b/>
          <w:color w:val="000000"/>
          <w:spacing w:val="-2"/>
          <w:sz w:val="24"/>
        </w:rPr>
      </w:pPr>
      <w:r>
        <w:rPr>
          <w:b/>
          <w:bCs/>
          <w:color w:val="000000"/>
          <w:spacing w:val="-2"/>
          <w:kern w:val="0"/>
          <w:sz w:val="24"/>
        </w:rPr>
        <w:t xml:space="preserve">1.2 </w:t>
      </w:r>
      <w:r>
        <w:rPr>
          <w:rFonts w:hint="eastAsia" w:ascii="Times New Roman" w:hAnsi="Times New Roman"/>
          <w:b/>
          <w:color w:val="000000"/>
          <w:spacing w:val="-2"/>
          <w:sz w:val="24"/>
        </w:rPr>
        <w:t>本高支模工程概况：（如有多种支模形式应分别说明）</w:t>
      </w:r>
    </w:p>
    <w:p>
      <w:pPr>
        <w:spacing w:line="360" w:lineRule="auto"/>
        <w:rPr>
          <w:rFonts w:hint="eastAsia" w:ascii="Times New Roman"/>
          <w:color w:val="000000"/>
          <w:spacing w:val="-2"/>
        </w:rPr>
      </w:pPr>
      <w:r>
        <w:rPr>
          <w:rFonts w:hint="eastAsia" w:ascii="Times New Roman" w:hAnsi="Times New Roman"/>
          <w:b/>
          <w:color w:val="000000"/>
          <w:spacing w:val="-2"/>
        </w:rPr>
        <w:t xml:space="preserve">                               </w:t>
      </w:r>
      <w:r>
        <w:rPr>
          <w:rFonts w:hint="eastAsia" w:ascii="Times New Roman" w:hAnsi="Times New Roman" w:eastAsia="黑体"/>
          <w:color w:val="000000"/>
          <w:spacing w:val="-2"/>
          <w:sz w:val="24"/>
        </w:rPr>
        <w:t>本高支模工程概况一览表</w:t>
      </w:r>
      <w:r>
        <w:rPr>
          <w:rFonts w:hint="eastAsia" w:ascii="Times New Roman" w:hAnsi="Times New Roman"/>
          <w:color w:val="000000"/>
          <w:spacing w:val="-2"/>
          <w:sz w:val="24"/>
        </w:rPr>
        <w:t xml:space="preserve">   </w:t>
      </w:r>
      <w:r>
        <w:rPr>
          <w:rFonts w:hint="eastAsia" w:ascii="Times New Roman" w:hAnsi="Times New Roman"/>
          <w:color w:val="000000"/>
          <w:spacing w:val="-2"/>
        </w:rPr>
        <w:t xml:space="preserve">                   表1.1</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3157"/>
        <w:gridCol w:w="3447"/>
        <w:gridCol w:w="259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157"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szCs w:val="21"/>
              </w:rPr>
            </w:pPr>
            <w:r>
              <w:rPr>
                <w:rFonts w:hint="eastAsia" w:ascii="Times New Roman" w:eastAsia="黑体"/>
                <w:color w:val="000000"/>
                <w:spacing w:val="-2"/>
                <w:szCs w:val="21"/>
              </w:rPr>
              <w:t>高支模分项工程</w:t>
            </w:r>
          </w:p>
        </w:tc>
        <w:tc>
          <w:tcPr>
            <w:tcW w:w="3447"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szCs w:val="21"/>
              </w:rPr>
            </w:pPr>
            <w:r>
              <w:rPr>
                <w:rFonts w:hint="eastAsia" w:ascii="Times New Roman" w:eastAsia="黑体"/>
                <w:color w:val="000000"/>
                <w:spacing w:val="-2"/>
                <w:szCs w:val="21"/>
              </w:rPr>
              <w:t>施组设计要求</w:t>
            </w:r>
          </w:p>
        </w:tc>
        <w:tc>
          <w:tcPr>
            <w:tcW w:w="2599" w:type="dxa"/>
            <w:tcBorders>
              <w:top w:val="single" w:color="auto" w:sz="8" w:space="0"/>
              <w:left w:val="single" w:color="auto" w:sz="4" w:space="0"/>
              <w:bottom w:val="single" w:color="auto" w:sz="4" w:space="0"/>
              <w:right w:val="single" w:color="auto" w:sz="8" w:space="0"/>
            </w:tcBorders>
            <w:noWrap w:val="0"/>
            <w:vAlign w:val="center"/>
          </w:tcPr>
          <w:p>
            <w:pPr>
              <w:spacing w:line="240" w:lineRule="exact"/>
              <w:jc w:val="center"/>
              <w:rPr>
                <w:rFonts w:ascii="Times New Roman" w:eastAsia="黑体"/>
                <w:color w:val="000000"/>
                <w:spacing w:val="-2"/>
                <w:szCs w:val="21"/>
              </w:rPr>
            </w:pPr>
            <w:r>
              <w:rPr>
                <w:rFonts w:hint="eastAsia" w:ascii="Times New Roman" w:eastAsia="黑体"/>
                <w:color w:val="000000"/>
                <w:spacing w:val="-2"/>
                <w:szCs w:val="21"/>
              </w:rPr>
              <w:t>施工单位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157"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szCs w:val="21"/>
              </w:rPr>
            </w:pPr>
            <w:r>
              <w:rPr>
                <w:rFonts w:hint="eastAsia"/>
                <w:color w:val="000000"/>
                <w:spacing w:val="-2"/>
                <w:szCs w:val="21"/>
              </w:rPr>
              <w:t>地基处理</w:t>
            </w:r>
          </w:p>
        </w:tc>
        <w:tc>
          <w:tcPr>
            <w:tcW w:w="344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color w:val="000000"/>
                <w:spacing w:val="-2"/>
                <w:szCs w:val="21"/>
              </w:rPr>
            </w:pPr>
          </w:p>
        </w:tc>
        <w:tc>
          <w:tcPr>
            <w:tcW w:w="2599"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157"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szCs w:val="21"/>
              </w:rPr>
            </w:pPr>
            <w:r>
              <w:rPr>
                <w:rFonts w:hint="eastAsia"/>
                <w:color w:val="000000"/>
                <w:spacing w:val="-2"/>
                <w:szCs w:val="21"/>
              </w:rPr>
              <w:t>支架材料</w:t>
            </w:r>
          </w:p>
        </w:tc>
        <w:tc>
          <w:tcPr>
            <w:tcW w:w="344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color w:val="000000"/>
                <w:spacing w:val="-2"/>
                <w:szCs w:val="21"/>
              </w:rPr>
            </w:pPr>
          </w:p>
        </w:tc>
        <w:tc>
          <w:tcPr>
            <w:tcW w:w="2599"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157"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szCs w:val="21"/>
              </w:rPr>
            </w:pPr>
            <w:r>
              <w:rPr>
                <w:rFonts w:hint="eastAsia"/>
                <w:color w:val="000000"/>
                <w:spacing w:val="-2"/>
                <w:szCs w:val="21"/>
              </w:rPr>
              <w:t>支架安装</w:t>
            </w:r>
          </w:p>
        </w:tc>
        <w:tc>
          <w:tcPr>
            <w:tcW w:w="3447"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color w:val="000000"/>
                <w:spacing w:val="-2"/>
                <w:szCs w:val="21"/>
              </w:rPr>
            </w:pPr>
          </w:p>
        </w:tc>
        <w:tc>
          <w:tcPr>
            <w:tcW w:w="2599"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157" w:type="dxa"/>
            <w:tcBorders>
              <w:top w:val="single" w:color="auto" w:sz="4" w:space="0"/>
              <w:left w:val="single" w:color="auto" w:sz="8" w:space="0"/>
              <w:bottom w:val="single" w:color="auto" w:sz="8" w:space="0"/>
              <w:right w:val="single" w:color="auto" w:sz="4" w:space="0"/>
            </w:tcBorders>
            <w:noWrap w:val="0"/>
            <w:vAlign w:val="center"/>
          </w:tcPr>
          <w:p>
            <w:pPr>
              <w:spacing w:line="240" w:lineRule="exact"/>
              <w:jc w:val="center"/>
              <w:rPr>
                <w:color w:val="000000"/>
                <w:spacing w:val="-2"/>
                <w:szCs w:val="21"/>
              </w:rPr>
            </w:pPr>
            <w:r>
              <w:rPr>
                <w:rFonts w:hint="eastAsia"/>
                <w:color w:val="000000"/>
                <w:spacing w:val="-2"/>
                <w:szCs w:val="21"/>
              </w:rPr>
              <w:t>支架及模板拆除</w:t>
            </w:r>
          </w:p>
        </w:tc>
        <w:tc>
          <w:tcPr>
            <w:tcW w:w="3447" w:type="dxa"/>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rPr>
                <w:color w:val="000000"/>
                <w:spacing w:val="-2"/>
                <w:szCs w:val="21"/>
              </w:rPr>
            </w:pPr>
          </w:p>
        </w:tc>
        <w:tc>
          <w:tcPr>
            <w:tcW w:w="2599" w:type="dxa"/>
            <w:tcBorders>
              <w:top w:val="single" w:color="auto" w:sz="4" w:space="0"/>
              <w:left w:val="single" w:color="auto" w:sz="4" w:space="0"/>
              <w:bottom w:val="single" w:color="auto" w:sz="8" w:space="0"/>
              <w:right w:val="single" w:color="auto" w:sz="8" w:space="0"/>
            </w:tcBorders>
            <w:noWrap w:val="0"/>
            <w:vAlign w:val="center"/>
          </w:tcPr>
          <w:p>
            <w:pPr>
              <w:spacing w:line="240" w:lineRule="exact"/>
              <w:jc w:val="center"/>
              <w:rPr>
                <w:color w:val="000000"/>
                <w:spacing w:val="-2"/>
                <w:szCs w:val="21"/>
              </w:rPr>
            </w:pPr>
          </w:p>
        </w:tc>
      </w:tr>
    </w:tbl>
    <w:p>
      <w:pPr>
        <w:spacing w:before="240" w:beforeLines="100" w:after="240" w:afterLines="100" w:line="420" w:lineRule="exact"/>
        <w:rPr>
          <w:rFonts w:hint="eastAsia"/>
          <w:b/>
          <w:color w:val="000000"/>
          <w:spacing w:val="-2"/>
          <w:sz w:val="28"/>
          <w:szCs w:val="28"/>
        </w:rPr>
      </w:pPr>
      <w:r>
        <w:rPr>
          <w:b/>
          <w:color w:val="000000"/>
          <w:spacing w:val="-2"/>
          <w:sz w:val="28"/>
          <w:szCs w:val="28"/>
        </w:rPr>
        <w:t xml:space="preserve">2 </w:t>
      </w:r>
      <w:r>
        <w:rPr>
          <w:rFonts w:hint="eastAsia"/>
          <w:b/>
          <w:color w:val="000000"/>
          <w:spacing w:val="-2"/>
          <w:sz w:val="28"/>
          <w:szCs w:val="28"/>
        </w:rPr>
        <w:t>本工程高支模工程的特点、难点</w:t>
      </w:r>
    </w:p>
    <w:p>
      <w:pPr>
        <w:spacing w:line="420" w:lineRule="exact"/>
        <w:rPr>
          <w:rFonts w:ascii="Times New Roman"/>
          <w:b/>
          <w:color w:val="000000"/>
          <w:spacing w:val="-2"/>
          <w:sz w:val="24"/>
        </w:rPr>
      </w:pPr>
      <w:r>
        <w:rPr>
          <w:b/>
          <w:bCs/>
          <w:color w:val="000000"/>
          <w:spacing w:val="-2"/>
          <w:kern w:val="0"/>
          <w:sz w:val="24"/>
        </w:rPr>
        <w:t xml:space="preserve">2.1 </w:t>
      </w:r>
      <w:r>
        <w:rPr>
          <w:rFonts w:hint="eastAsia" w:ascii="Times New Roman" w:hAnsi="Times New Roman"/>
          <w:b/>
          <w:color w:val="000000"/>
          <w:spacing w:val="-2"/>
          <w:sz w:val="24"/>
        </w:rPr>
        <w:t>本工程高支模分部工程设计、施工特点、难点：</w:t>
      </w:r>
      <w:r>
        <w:rPr>
          <w:rFonts w:hint="eastAsia" w:ascii="Times New Roman" w:hAnsi="Times New Roman"/>
          <w:b/>
          <w:color w:val="000000"/>
          <w:spacing w:val="-2"/>
          <w:sz w:val="24"/>
          <w:u w:val="single"/>
        </w:rPr>
        <w:t xml:space="preserve">                           </w:t>
      </w:r>
      <w:r>
        <w:rPr>
          <w:rFonts w:hint="eastAsia" w:ascii="Times New Roman" w:hAnsi="Times New Roman"/>
          <w:b/>
          <w:color w:val="000000"/>
          <w:spacing w:val="-2"/>
          <w:sz w:val="24"/>
        </w:rPr>
        <w:t>。</w:t>
      </w:r>
    </w:p>
    <w:p>
      <w:pPr>
        <w:spacing w:line="420" w:lineRule="exact"/>
        <w:rPr>
          <w:rFonts w:hint="eastAsia" w:ascii="Times New Roman"/>
          <w:b/>
          <w:color w:val="000000"/>
          <w:spacing w:val="-2"/>
          <w:sz w:val="24"/>
        </w:rPr>
      </w:pPr>
      <w:r>
        <w:rPr>
          <w:b/>
          <w:bCs/>
          <w:color w:val="000000"/>
          <w:spacing w:val="-2"/>
          <w:kern w:val="0"/>
          <w:sz w:val="24"/>
        </w:rPr>
        <w:t xml:space="preserve">2.2 </w:t>
      </w:r>
      <w:r>
        <w:rPr>
          <w:rFonts w:hint="eastAsia" w:ascii="Times New Roman" w:hAnsi="Times New Roman"/>
          <w:b/>
          <w:color w:val="000000"/>
          <w:spacing w:val="-2"/>
          <w:sz w:val="24"/>
        </w:rPr>
        <w:t>本工程高支模分部工程监理质量控制的重点：</w:t>
      </w:r>
      <w:r>
        <w:rPr>
          <w:rFonts w:hint="eastAsia" w:ascii="Times New Roman" w:hAnsi="Times New Roman"/>
          <w:b/>
          <w:color w:val="000000"/>
          <w:spacing w:val="-2"/>
          <w:sz w:val="24"/>
          <w:u w:val="single"/>
        </w:rPr>
        <w:t xml:space="preserve">                             </w:t>
      </w:r>
      <w:r>
        <w:rPr>
          <w:rFonts w:hint="eastAsia" w:ascii="Times New Roman" w:hAnsi="Times New Roman"/>
          <w:b/>
          <w:color w:val="000000"/>
          <w:spacing w:val="-2"/>
          <w:sz w:val="24"/>
        </w:rPr>
        <w:t>。</w:t>
      </w:r>
    </w:p>
    <w:p>
      <w:pPr>
        <w:spacing w:before="240" w:beforeLines="100" w:after="240" w:afterLines="100" w:line="420" w:lineRule="exact"/>
        <w:rPr>
          <w:rFonts w:hint="eastAsia"/>
          <w:b/>
          <w:color w:val="000000"/>
          <w:spacing w:val="-2"/>
          <w:sz w:val="28"/>
          <w:szCs w:val="28"/>
        </w:rPr>
      </w:pPr>
      <w:r>
        <w:rPr>
          <w:b/>
          <w:color w:val="000000"/>
          <w:spacing w:val="-2"/>
          <w:sz w:val="28"/>
          <w:szCs w:val="28"/>
        </w:rPr>
        <w:t xml:space="preserve">3 </w:t>
      </w:r>
      <w:r>
        <w:rPr>
          <w:rFonts w:hint="eastAsia"/>
          <w:b/>
          <w:color w:val="000000"/>
          <w:spacing w:val="-2"/>
          <w:sz w:val="28"/>
          <w:szCs w:val="28"/>
        </w:rPr>
        <w:t>高支模工程监理工作依据</w:t>
      </w:r>
    </w:p>
    <w:p>
      <w:pPr>
        <w:spacing w:line="420" w:lineRule="exact"/>
        <w:rPr>
          <w:rFonts w:ascii="Times New Roman"/>
          <w:b/>
          <w:color w:val="000000"/>
          <w:spacing w:val="-2"/>
          <w:sz w:val="24"/>
        </w:rPr>
      </w:pPr>
      <w:r>
        <w:rPr>
          <w:b/>
          <w:bCs/>
          <w:color w:val="000000"/>
          <w:spacing w:val="-2"/>
          <w:kern w:val="0"/>
          <w:sz w:val="24"/>
        </w:rPr>
        <w:t xml:space="preserve">3.1 </w:t>
      </w:r>
      <w:r>
        <w:rPr>
          <w:rFonts w:hint="eastAsia" w:ascii="Times New Roman" w:hAnsi="Times New Roman"/>
          <w:b/>
          <w:color w:val="000000"/>
          <w:spacing w:val="-2"/>
          <w:sz w:val="24"/>
        </w:rPr>
        <w:t>经审查合格的设计文件。</w:t>
      </w:r>
    </w:p>
    <w:p>
      <w:pPr>
        <w:spacing w:line="420" w:lineRule="exact"/>
        <w:rPr>
          <w:rFonts w:hint="eastAsia" w:ascii="Times New Roman"/>
          <w:b/>
          <w:color w:val="000000"/>
          <w:spacing w:val="-2"/>
          <w:sz w:val="24"/>
        </w:rPr>
      </w:pPr>
      <w:r>
        <w:rPr>
          <w:b/>
          <w:bCs/>
          <w:color w:val="000000"/>
          <w:spacing w:val="-2"/>
          <w:kern w:val="0"/>
          <w:sz w:val="24"/>
        </w:rPr>
        <w:t xml:space="preserve">3.2 </w:t>
      </w:r>
      <w:r>
        <w:rPr>
          <w:rFonts w:hint="eastAsia" w:ascii="Times New Roman" w:hAnsi="Times New Roman"/>
          <w:b/>
          <w:color w:val="000000"/>
          <w:spacing w:val="-2"/>
          <w:sz w:val="24"/>
        </w:rPr>
        <w:t>本工程施工合同、协议等资料。</w:t>
      </w:r>
    </w:p>
    <w:p>
      <w:pPr>
        <w:spacing w:line="420" w:lineRule="exact"/>
        <w:rPr>
          <w:rFonts w:hint="eastAsia" w:ascii="Times New Roman"/>
          <w:b/>
          <w:color w:val="000000"/>
          <w:spacing w:val="-2"/>
          <w:sz w:val="24"/>
        </w:rPr>
      </w:pPr>
      <w:r>
        <w:rPr>
          <w:b/>
          <w:bCs/>
          <w:color w:val="000000"/>
          <w:spacing w:val="-2"/>
          <w:kern w:val="0"/>
          <w:sz w:val="24"/>
        </w:rPr>
        <w:t xml:space="preserve">3.3 </w:t>
      </w:r>
      <w:r>
        <w:rPr>
          <w:rFonts w:hint="eastAsia" w:ascii="Times New Roman" w:hAnsi="Times New Roman"/>
          <w:b/>
          <w:color w:val="000000"/>
          <w:spacing w:val="-2"/>
          <w:sz w:val="24"/>
        </w:rPr>
        <w:t>本工程《监理规划》。</w:t>
      </w:r>
    </w:p>
    <w:p>
      <w:pPr>
        <w:spacing w:line="420" w:lineRule="exact"/>
        <w:rPr>
          <w:rFonts w:hint="eastAsia" w:ascii="Times New Roman"/>
          <w:b/>
          <w:color w:val="000000"/>
          <w:spacing w:val="-2"/>
          <w:sz w:val="24"/>
        </w:rPr>
      </w:pPr>
      <w:r>
        <w:rPr>
          <w:b/>
          <w:bCs/>
          <w:color w:val="000000"/>
          <w:spacing w:val="-2"/>
          <w:kern w:val="0"/>
          <w:sz w:val="24"/>
        </w:rPr>
        <w:t xml:space="preserve">3.4 </w:t>
      </w:r>
      <w:r>
        <w:rPr>
          <w:rFonts w:hint="eastAsia" w:ascii="Times New Roman" w:hAnsi="Times New Roman"/>
          <w:b/>
          <w:color w:val="000000"/>
          <w:spacing w:val="-2"/>
          <w:sz w:val="24"/>
        </w:rPr>
        <w:t>经批准的工程施工组织设计、专项施工方案。</w:t>
      </w:r>
    </w:p>
    <w:p>
      <w:pPr>
        <w:spacing w:line="420" w:lineRule="exact"/>
        <w:rPr>
          <w:rFonts w:hint="eastAsia" w:ascii="Times New Roman"/>
          <w:b/>
          <w:color w:val="000000"/>
          <w:spacing w:val="-2"/>
          <w:sz w:val="24"/>
        </w:rPr>
      </w:pPr>
      <w:r>
        <w:rPr>
          <w:b/>
          <w:bCs/>
          <w:color w:val="000000"/>
          <w:spacing w:val="-2"/>
          <w:kern w:val="0"/>
          <w:sz w:val="24"/>
        </w:rPr>
        <w:t xml:space="preserve">3.5 </w:t>
      </w:r>
      <w:r>
        <w:rPr>
          <w:rFonts w:hint="eastAsia" w:ascii="Times New Roman" w:hAnsi="Times New Roman"/>
          <w:b/>
          <w:color w:val="000000"/>
          <w:spacing w:val="-2"/>
          <w:sz w:val="24"/>
        </w:rPr>
        <w:t>本工程适用的高支模工程相关现行法律法规、技术标准规范及图集。</w:t>
      </w:r>
    </w:p>
    <w:p>
      <w:pPr>
        <w:tabs>
          <w:tab w:val="left" w:pos="426"/>
        </w:tabs>
        <w:spacing w:line="276" w:lineRule="auto"/>
        <w:ind w:left="360" w:right="158"/>
        <w:jc w:val="right"/>
        <w:rPr>
          <w:rFonts w:hint="eastAsia" w:ascii="Times New Roman"/>
          <w:b/>
          <w:color w:val="000000"/>
          <w:spacing w:val="-2"/>
        </w:rPr>
      </w:pPr>
    </w:p>
    <w:p>
      <w:pPr>
        <w:tabs>
          <w:tab w:val="left" w:pos="426"/>
        </w:tabs>
        <w:spacing w:line="276" w:lineRule="auto"/>
        <w:ind w:left="360" w:right="38"/>
        <w:jc w:val="right"/>
        <w:rPr>
          <w:rFonts w:hint="eastAsia" w:ascii="Times New Roman"/>
          <w:color w:val="000000"/>
          <w:spacing w:val="-2"/>
        </w:rPr>
      </w:pPr>
      <w:r>
        <w:rPr>
          <w:rFonts w:hint="eastAsia" w:ascii="Times New Roman" w:hAnsi="Times New Roman" w:eastAsia="黑体"/>
          <w:color w:val="000000"/>
          <w:spacing w:val="-2"/>
          <w:sz w:val="24"/>
        </w:rPr>
        <w:t xml:space="preserve"> 高支模工程相关现行法律法规、技术标准规范及图集一览表</w:t>
      </w:r>
      <w:r>
        <w:rPr>
          <w:rFonts w:hint="eastAsia" w:ascii="Times New Roman" w:hAnsi="Times New Roman"/>
          <w:b/>
          <w:color w:val="000000"/>
          <w:spacing w:val="-2"/>
        </w:rPr>
        <w:t xml:space="preserve"> </w:t>
      </w:r>
      <w:r>
        <w:rPr>
          <w:rFonts w:hint="eastAsia" w:ascii="Times New Roman" w:hAnsi="Times New Roman"/>
          <w:color w:val="000000"/>
          <w:spacing w:val="-2"/>
        </w:rPr>
        <w:t xml:space="preserve">        表</w:t>
      </w:r>
      <w:r>
        <w:rPr>
          <w:color w:val="000000"/>
          <w:spacing w:val="-2"/>
        </w:rPr>
        <w:t>3.1</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23"/>
        <w:gridCol w:w="6146"/>
        <w:gridCol w:w="22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923" w:type="dxa"/>
            <w:tcBorders>
              <w:top w:val="single" w:color="auto" w:sz="8" w:space="0"/>
              <w:left w:val="single" w:color="auto" w:sz="8" w:space="0"/>
              <w:bottom w:val="single" w:color="auto" w:sz="4" w:space="0"/>
              <w:right w:val="single" w:color="auto" w:sz="4" w:space="0"/>
            </w:tcBorders>
            <w:noWrap w:val="0"/>
            <w:vAlign w:val="center"/>
          </w:tcPr>
          <w:p>
            <w:pPr>
              <w:spacing w:line="360" w:lineRule="exact"/>
              <w:jc w:val="center"/>
              <w:rPr>
                <w:rFonts w:ascii="Times New Roman" w:eastAsia="黑体"/>
                <w:color w:val="000000"/>
                <w:spacing w:val="-2"/>
              </w:rPr>
            </w:pPr>
            <w:r>
              <w:rPr>
                <w:rFonts w:hint="eastAsia" w:ascii="Times New Roman" w:eastAsia="黑体"/>
                <w:color w:val="000000"/>
                <w:spacing w:val="-2"/>
              </w:rPr>
              <w:t>序号</w:t>
            </w:r>
          </w:p>
        </w:tc>
        <w:tc>
          <w:tcPr>
            <w:tcW w:w="6146" w:type="dxa"/>
            <w:tcBorders>
              <w:top w:val="single" w:color="auto" w:sz="8" w:space="0"/>
              <w:left w:val="single" w:color="auto" w:sz="4" w:space="0"/>
              <w:bottom w:val="single" w:color="auto" w:sz="4" w:space="0"/>
              <w:right w:val="single" w:color="auto" w:sz="4" w:space="0"/>
            </w:tcBorders>
            <w:noWrap w:val="0"/>
            <w:vAlign w:val="center"/>
          </w:tcPr>
          <w:p>
            <w:pPr>
              <w:spacing w:line="360" w:lineRule="exact"/>
              <w:jc w:val="center"/>
              <w:rPr>
                <w:rFonts w:ascii="Times New Roman" w:eastAsia="黑体"/>
                <w:color w:val="000000"/>
                <w:spacing w:val="-2"/>
              </w:rPr>
            </w:pPr>
            <w:r>
              <w:rPr>
                <w:rFonts w:hint="eastAsia" w:ascii="Times New Roman" w:eastAsia="黑体"/>
                <w:color w:val="000000"/>
                <w:spacing w:val="-2"/>
              </w:rPr>
              <w:t>名        称</w:t>
            </w:r>
          </w:p>
        </w:tc>
        <w:tc>
          <w:tcPr>
            <w:tcW w:w="2290" w:type="dxa"/>
            <w:tcBorders>
              <w:top w:val="single" w:color="auto" w:sz="8" w:space="0"/>
              <w:left w:val="single" w:color="auto" w:sz="4" w:space="0"/>
              <w:bottom w:val="single" w:color="auto" w:sz="4" w:space="0"/>
              <w:right w:val="single" w:color="auto" w:sz="8" w:space="0"/>
            </w:tcBorders>
            <w:noWrap w:val="0"/>
            <w:vAlign w:val="center"/>
          </w:tcPr>
          <w:p>
            <w:pPr>
              <w:spacing w:line="360" w:lineRule="exact"/>
              <w:jc w:val="center"/>
              <w:rPr>
                <w:rFonts w:ascii="Times New Roman" w:eastAsia="黑体"/>
                <w:color w:val="000000"/>
                <w:spacing w:val="-2"/>
              </w:rPr>
            </w:pPr>
            <w:r>
              <w:rPr>
                <w:rFonts w:hint="eastAsia" w:ascii="Times New Roman" w:eastAsia="黑体"/>
                <w:color w:val="000000"/>
                <w:spacing w:val="-2"/>
              </w:rPr>
              <w:t>编号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923"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color w:val="000000"/>
                <w:spacing w:val="-2"/>
              </w:rPr>
            </w:pPr>
            <w:r>
              <w:rPr>
                <w:color w:val="000000"/>
                <w:spacing w:val="-2"/>
              </w:rPr>
              <w:t>1</w:t>
            </w:r>
          </w:p>
        </w:tc>
        <w:tc>
          <w:tcPr>
            <w:tcW w:w="61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color w:val="000000"/>
                <w:spacing w:val="-2"/>
              </w:rPr>
            </w:pPr>
          </w:p>
        </w:tc>
        <w:tc>
          <w:tcPr>
            <w:tcW w:w="229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923"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color w:val="000000"/>
                <w:spacing w:val="-2"/>
              </w:rPr>
            </w:pPr>
            <w:r>
              <w:rPr>
                <w:color w:val="000000"/>
                <w:spacing w:val="-2"/>
              </w:rPr>
              <w:t>2</w:t>
            </w:r>
          </w:p>
        </w:tc>
        <w:tc>
          <w:tcPr>
            <w:tcW w:w="614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color w:val="000000"/>
                <w:spacing w:val="-2"/>
              </w:rPr>
            </w:pPr>
          </w:p>
        </w:tc>
        <w:tc>
          <w:tcPr>
            <w:tcW w:w="229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923"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color w:val="000000"/>
                <w:spacing w:val="-2"/>
              </w:rPr>
            </w:pPr>
            <w:r>
              <w:rPr>
                <w:color w:val="000000"/>
                <w:spacing w:val="-2"/>
              </w:rPr>
              <w:t>3</w:t>
            </w:r>
          </w:p>
        </w:tc>
        <w:tc>
          <w:tcPr>
            <w:tcW w:w="6146" w:type="dxa"/>
            <w:tcBorders>
              <w:top w:val="single" w:color="auto" w:sz="4" w:space="0"/>
              <w:left w:val="single" w:color="auto" w:sz="4" w:space="0"/>
              <w:bottom w:val="single" w:color="auto" w:sz="4" w:space="0"/>
              <w:right w:val="single" w:color="auto" w:sz="4" w:space="0"/>
            </w:tcBorders>
            <w:noWrap w:val="0"/>
            <w:vAlign w:val="center"/>
          </w:tcPr>
          <w:p>
            <w:pPr>
              <w:tabs>
                <w:tab w:val="left" w:pos="7020"/>
              </w:tabs>
              <w:autoSpaceDE w:val="0"/>
              <w:autoSpaceDN w:val="0"/>
              <w:adjustRightInd w:val="0"/>
              <w:spacing w:line="360" w:lineRule="exact"/>
              <w:ind w:left="-63" w:leftChars="-30" w:right="28" w:firstLine="354" w:firstLineChars="150"/>
              <w:jc w:val="left"/>
              <w:rPr>
                <w:rFonts w:ascii="Times New Roman"/>
                <w:color w:val="000000"/>
                <w:spacing w:val="-2"/>
                <w:kern w:val="0"/>
                <w:sz w:val="24"/>
              </w:rPr>
            </w:pPr>
          </w:p>
        </w:tc>
        <w:tc>
          <w:tcPr>
            <w:tcW w:w="229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923"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color w:val="000000"/>
                <w:spacing w:val="-2"/>
              </w:rPr>
            </w:pPr>
            <w:r>
              <w:rPr>
                <w:color w:val="000000"/>
                <w:spacing w:val="-2"/>
              </w:rPr>
              <w:t>4</w:t>
            </w:r>
          </w:p>
        </w:tc>
        <w:tc>
          <w:tcPr>
            <w:tcW w:w="6146" w:type="dxa"/>
            <w:tcBorders>
              <w:top w:val="single" w:color="auto" w:sz="4" w:space="0"/>
              <w:left w:val="single" w:color="auto" w:sz="4" w:space="0"/>
              <w:bottom w:val="single" w:color="auto" w:sz="4" w:space="0"/>
              <w:right w:val="single" w:color="auto" w:sz="4" w:space="0"/>
            </w:tcBorders>
            <w:noWrap w:val="0"/>
            <w:vAlign w:val="center"/>
          </w:tcPr>
          <w:p>
            <w:pPr>
              <w:tabs>
                <w:tab w:val="left" w:pos="7020"/>
              </w:tabs>
              <w:autoSpaceDE w:val="0"/>
              <w:autoSpaceDN w:val="0"/>
              <w:adjustRightInd w:val="0"/>
              <w:spacing w:line="360" w:lineRule="exact"/>
              <w:ind w:left="-63" w:leftChars="-30" w:right="28" w:firstLine="354" w:firstLineChars="150"/>
              <w:jc w:val="left"/>
              <w:rPr>
                <w:rFonts w:ascii="Times New Roman"/>
                <w:color w:val="000000"/>
                <w:spacing w:val="-2"/>
                <w:kern w:val="0"/>
                <w:sz w:val="24"/>
              </w:rPr>
            </w:pPr>
          </w:p>
        </w:tc>
        <w:tc>
          <w:tcPr>
            <w:tcW w:w="229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923" w:type="dxa"/>
            <w:tcBorders>
              <w:top w:val="single" w:color="auto" w:sz="4" w:space="0"/>
              <w:left w:val="single" w:color="auto" w:sz="8" w:space="0"/>
              <w:bottom w:val="single" w:color="auto" w:sz="4" w:space="0"/>
              <w:right w:val="single" w:color="auto" w:sz="4" w:space="0"/>
            </w:tcBorders>
            <w:noWrap w:val="0"/>
            <w:vAlign w:val="center"/>
          </w:tcPr>
          <w:p>
            <w:pPr>
              <w:spacing w:line="360" w:lineRule="exact"/>
              <w:jc w:val="center"/>
              <w:rPr>
                <w:color w:val="000000"/>
                <w:spacing w:val="-2"/>
              </w:rPr>
            </w:pPr>
            <w:r>
              <w:rPr>
                <w:color w:val="000000"/>
                <w:spacing w:val="-2"/>
              </w:rPr>
              <w:t>5</w:t>
            </w:r>
          </w:p>
        </w:tc>
        <w:tc>
          <w:tcPr>
            <w:tcW w:w="6146" w:type="dxa"/>
            <w:tcBorders>
              <w:top w:val="single" w:color="auto" w:sz="4" w:space="0"/>
              <w:left w:val="single" w:color="auto" w:sz="4" w:space="0"/>
              <w:bottom w:val="single" w:color="auto" w:sz="4" w:space="0"/>
              <w:right w:val="single" w:color="auto" w:sz="4" w:space="0"/>
            </w:tcBorders>
            <w:noWrap w:val="0"/>
            <w:vAlign w:val="center"/>
          </w:tcPr>
          <w:p>
            <w:pPr>
              <w:tabs>
                <w:tab w:val="left" w:pos="7020"/>
              </w:tabs>
              <w:autoSpaceDE w:val="0"/>
              <w:autoSpaceDN w:val="0"/>
              <w:adjustRightInd w:val="0"/>
              <w:spacing w:line="360" w:lineRule="exact"/>
              <w:ind w:left="-63" w:leftChars="-30" w:right="28" w:firstLine="354" w:firstLineChars="150"/>
              <w:jc w:val="left"/>
              <w:rPr>
                <w:rFonts w:ascii="Times New Roman"/>
                <w:color w:val="000000"/>
                <w:spacing w:val="-2"/>
                <w:kern w:val="0"/>
                <w:sz w:val="24"/>
              </w:rPr>
            </w:pPr>
          </w:p>
        </w:tc>
        <w:tc>
          <w:tcPr>
            <w:tcW w:w="2290" w:type="dxa"/>
            <w:tcBorders>
              <w:top w:val="single" w:color="auto" w:sz="4" w:space="0"/>
              <w:left w:val="single" w:color="auto" w:sz="4" w:space="0"/>
              <w:bottom w:val="single" w:color="auto" w:sz="4" w:space="0"/>
              <w:right w:val="single" w:color="auto" w:sz="8" w:space="0"/>
            </w:tcBorders>
            <w:noWrap w:val="0"/>
            <w:vAlign w:val="center"/>
          </w:tcPr>
          <w:p>
            <w:pPr>
              <w:spacing w:line="360" w:lineRule="exact"/>
              <w:jc w:val="center"/>
              <w:rPr>
                <w:rFonts w:ascii="Times New Roman"/>
                <w:color w:val="000000"/>
                <w:spacing w:val="-2"/>
                <w:kern w:val="0"/>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923" w:type="dxa"/>
            <w:tcBorders>
              <w:top w:val="single" w:color="auto" w:sz="4" w:space="0"/>
              <w:left w:val="single" w:color="auto" w:sz="8" w:space="0"/>
              <w:bottom w:val="single" w:color="auto" w:sz="8" w:space="0"/>
              <w:right w:val="single" w:color="auto" w:sz="4" w:space="0"/>
            </w:tcBorders>
            <w:noWrap w:val="0"/>
            <w:vAlign w:val="center"/>
          </w:tcPr>
          <w:p>
            <w:pPr>
              <w:spacing w:line="360" w:lineRule="exact"/>
              <w:jc w:val="center"/>
              <w:rPr>
                <w:color w:val="000000"/>
                <w:spacing w:val="-2"/>
              </w:rPr>
            </w:pPr>
            <w:r>
              <w:rPr>
                <w:color w:val="000000"/>
                <w:spacing w:val="-2"/>
              </w:rPr>
              <w:t>6</w:t>
            </w:r>
          </w:p>
        </w:tc>
        <w:tc>
          <w:tcPr>
            <w:tcW w:w="6146" w:type="dxa"/>
            <w:tcBorders>
              <w:top w:val="single" w:color="auto" w:sz="4" w:space="0"/>
              <w:left w:val="single" w:color="auto" w:sz="4" w:space="0"/>
              <w:bottom w:val="single" w:color="auto" w:sz="8" w:space="0"/>
              <w:right w:val="single" w:color="auto" w:sz="4" w:space="0"/>
            </w:tcBorders>
            <w:noWrap w:val="0"/>
            <w:vAlign w:val="center"/>
          </w:tcPr>
          <w:p>
            <w:pPr>
              <w:tabs>
                <w:tab w:val="left" w:pos="7020"/>
              </w:tabs>
              <w:autoSpaceDE w:val="0"/>
              <w:autoSpaceDN w:val="0"/>
              <w:adjustRightInd w:val="0"/>
              <w:spacing w:line="360" w:lineRule="exact"/>
              <w:ind w:left="-63" w:leftChars="-30" w:right="28" w:firstLine="354" w:firstLineChars="150"/>
              <w:jc w:val="left"/>
              <w:rPr>
                <w:rFonts w:ascii="Times New Roman"/>
                <w:color w:val="000000"/>
                <w:spacing w:val="-2"/>
                <w:kern w:val="0"/>
                <w:sz w:val="24"/>
              </w:rPr>
            </w:pPr>
          </w:p>
        </w:tc>
        <w:tc>
          <w:tcPr>
            <w:tcW w:w="2290" w:type="dxa"/>
            <w:tcBorders>
              <w:top w:val="single" w:color="auto" w:sz="4" w:space="0"/>
              <w:left w:val="single" w:color="auto" w:sz="4" w:space="0"/>
              <w:bottom w:val="single" w:color="auto" w:sz="8" w:space="0"/>
              <w:right w:val="single" w:color="auto" w:sz="8" w:space="0"/>
            </w:tcBorders>
            <w:noWrap w:val="0"/>
            <w:vAlign w:val="center"/>
          </w:tcPr>
          <w:p>
            <w:pPr>
              <w:spacing w:line="360" w:lineRule="exact"/>
              <w:jc w:val="center"/>
              <w:rPr>
                <w:rFonts w:ascii="Times New Roman"/>
                <w:color w:val="000000"/>
                <w:spacing w:val="-2"/>
                <w:kern w:val="0"/>
                <w:sz w:val="24"/>
              </w:rPr>
            </w:pPr>
          </w:p>
        </w:tc>
      </w:tr>
    </w:tbl>
    <w:p>
      <w:pPr>
        <w:tabs>
          <w:tab w:val="left" w:pos="1276"/>
        </w:tabs>
        <w:spacing w:before="100" w:beforeAutospacing="1" w:after="100" w:afterAutospacing="1"/>
        <w:rPr>
          <w:rFonts w:hint="eastAsia" w:ascii="Times New Roman"/>
          <w:b/>
          <w:color w:val="000000"/>
          <w:spacing w:val="-2"/>
          <w:sz w:val="24"/>
        </w:rPr>
      </w:pPr>
      <w:r>
        <w:rPr>
          <w:b/>
          <w:bCs/>
          <w:color w:val="000000"/>
          <w:spacing w:val="-2"/>
          <w:kern w:val="0"/>
          <w:sz w:val="24"/>
        </w:rPr>
        <w:t>3.6</w:t>
      </w:r>
      <w:r>
        <w:rPr>
          <w:rFonts w:hint="eastAsia" w:ascii="Times New Roman" w:hAnsi="Times New Roman"/>
          <w:b/>
          <w:color w:val="000000"/>
          <w:spacing w:val="-2"/>
          <w:sz w:val="24"/>
        </w:rPr>
        <w:t xml:space="preserve">  其他依据：</w:t>
      </w:r>
    </w:p>
    <w:p>
      <w:pPr>
        <w:spacing w:before="240" w:beforeLines="100" w:after="240" w:afterLines="100" w:line="420" w:lineRule="exact"/>
        <w:rPr>
          <w:rFonts w:hint="eastAsia"/>
          <w:b/>
          <w:color w:val="000000"/>
          <w:spacing w:val="-2"/>
          <w:sz w:val="28"/>
          <w:szCs w:val="28"/>
        </w:rPr>
      </w:pPr>
      <w:r>
        <w:rPr>
          <w:b/>
          <w:color w:val="000000"/>
          <w:spacing w:val="-2"/>
          <w:sz w:val="28"/>
          <w:szCs w:val="28"/>
        </w:rPr>
        <w:t xml:space="preserve">4 </w:t>
      </w:r>
      <w:r>
        <w:rPr>
          <w:rFonts w:hint="eastAsia"/>
          <w:b/>
          <w:color w:val="000000"/>
          <w:spacing w:val="-2"/>
          <w:sz w:val="28"/>
          <w:szCs w:val="28"/>
        </w:rPr>
        <w:t>项目监理部组织机构</w:t>
      </w:r>
    </w:p>
    <w:p>
      <w:pPr>
        <w:spacing w:line="460" w:lineRule="exact"/>
        <w:rPr>
          <w:b/>
          <w:bCs/>
          <w:color w:val="000000"/>
          <w:spacing w:val="-2"/>
          <w:kern w:val="0"/>
          <w:sz w:val="24"/>
        </w:rPr>
      </w:pPr>
      <w:r>
        <w:rPr>
          <w:b/>
          <w:bCs/>
          <w:color w:val="000000"/>
          <w:spacing w:val="-2"/>
          <w:kern w:val="0"/>
          <w:sz w:val="24"/>
        </w:rPr>
        <w:t xml:space="preserve">4.1 </w:t>
      </w:r>
      <w:r>
        <w:rPr>
          <w:rFonts w:hint="eastAsia"/>
          <w:b/>
          <w:bCs/>
          <w:color w:val="000000"/>
          <w:spacing w:val="-2"/>
          <w:kern w:val="0"/>
          <w:sz w:val="24"/>
        </w:rPr>
        <w:t>项目监理部组织机构框图：（示意，框图中可添加人员姓名）</w:t>
      </w:r>
    </w:p>
    <w:p>
      <w:pPr>
        <w:rPr>
          <w:color w:val="000000"/>
          <w:spacing w:val="-2"/>
        </w:rPr>
      </w:pPr>
      <w:r>
        <mc:AlternateContent>
          <mc:Choice Requires="wpg">
            <w:drawing>
              <wp:anchor distT="0" distB="0" distL="114300" distR="114300" simplePos="0" relativeHeight="251662336" behindDoc="0" locked="0" layoutInCell="1" allowOverlap="1">
                <wp:simplePos x="0" y="0"/>
                <wp:positionH relativeFrom="column">
                  <wp:posOffset>351790</wp:posOffset>
                </wp:positionH>
                <wp:positionV relativeFrom="paragraph">
                  <wp:posOffset>59690</wp:posOffset>
                </wp:positionV>
                <wp:extent cx="4857750" cy="1478280"/>
                <wp:effectExtent l="9525" t="9525" r="9525" b="17145"/>
                <wp:wrapNone/>
                <wp:docPr id="27" name="组合 27"/>
                <wp:cNvGraphicFramePr/>
                <a:graphic xmlns:a="http://schemas.openxmlformats.org/drawingml/2006/main">
                  <a:graphicData uri="http://schemas.microsoft.com/office/word/2010/wordprocessingGroup">
                    <wpg:wgp>
                      <wpg:cNvGrpSpPr/>
                      <wpg:grpSpPr>
                        <a:xfrm>
                          <a:off x="0" y="0"/>
                          <a:ext cx="4857750" cy="1478280"/>
                          <a:chOff x="1875" y="11985"/>
                          <a:chExt cx="8250" cy="2511"/>
                        </a:xfrm>
                      </wpg:grpSpPr>
                      <wps:wsp>
                        <wps:cNvPr id="19" name="流程图: 可选过程 19"/>
                        <wps:cNvSpPr/>
                        <wps:spPr>
                          <a:xfrm>
                            <a:off x="4875" y="11985"/>
                            <a:ext cx="2100"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txbxContent>
                        </wps:txbx>
                        <wps:bodyPr upright="1"/>
                      </wps:wsp>
                      <wps:wsp>
                        <wps:cNvPr id="20" name="流程图: 可选过程 20"/>
                        <wps:cNvSpPr/>
                        <wps:spPr>
                          <a:xfrm>
                            <a:off x="1875" y="13761"/>
                            <a:ext cx="229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21" name="流程图: 可选过程 21"/>
                        <wps:cNvSpPr/>
                        <wps:spPr>
                          <a:xfrm>
                            <a:off x="4875" y="13761"/>
                            <a:ext cx="223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22" name="流程图: 可选过程 22"/>
                        <wps:cNvSpPr/>
                        <wps:spPr>
                          <a:xfrm>
                            <a:off x="8010" y="13761"/>
                            <a:ext cx="211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23" name="直接箭头连接符 23"/>
                        <wps:cNvCnPr/>
                        <wps:spPr>
                          <a:xfrm>
                            <a:off x="5925" y="12720"/>
                            <a:ext cx="15" cy="1041"/>
                          </a:xfrm>
                          <a:prstGeom prst="straightConnector1">
                            <a:avLst/>
                          </a:prstGeom>
                          <a:ln w="19050" cap="flat" cmpd="sng">
                            <a:solidFill>
                              <a:srgbClr val="000000"/>
                            </a:solidFill>
                            <a:prstDash val="solid"/>
                            <a:headEnd type="none" w="med" len="med"/>
                            <a:tailEnd type="triangle" w="med" len="med"/>
                          </a:ln>
                        </wps:spPr>
                        <wps:bodyPr/>
                      </wps:wsp>
                      <wps:wsp>
                        <wps:cNvPr id="24" name="直接箭头连接符 24"/>
                        <wps:cNvCnPr/>
                        <wps:spPr>
                          <a:xfrm>
                            <a:off x="3015" y="13215"/>
                            <a:ext cx="6045" cy="0"/>
                          </a:xfrm>
                          <a:prstGeom prst="straightConnector1">
                            <a:avLst/>
                          </a:prstGeom>
                          <a:ln w="19050" cap="flat" cmpd="sng">
                            <a:solidFill>
                              <a:srgbClr val="000000"/>
                            </a:solidFill>
                            <a:prstDash val="solid"/>
                            <a:headEnd type="none" w="med" len="med"/>
                            <a:tailEnd type="none" w="med" len="med"/>
                          </a:ln>
                        </wps:spPr>
                        <wps:bodyPr/>
                      </wps:wsp>
                      <wps:wsp>
                        <wps:cNvPr id="25" name="直接箭头连接符 25"/>
                        <wps:cNvCnPr/>
                        <wps:spPr>
                          <a:xfrm>
                            <a:off x="3015" y="13215"/>
                            <a:ext cx="0" cy="546"/>
                          </a:xfrm>
                          <a:prstGeom prst="straightConnector1">
                            <a:avLst/>
                          </a:prstGeom>
                          <a:ln w="19050" cap="flat" cmpd="sng">
                            <a:solidFill>
                              <a:srgbClr val="000000"/>
                            </a:solidFill>
                            <a:prstDash val="solid"/>
                            <a:headEnd type="none" w="med" len="med"/>
                            <a:tailEnd type="triangle" w="med" len="med"/>
                          </a:ln>
                        </wps:spPr>
                        <wps:bodyPr/>
                      </wps:wsp>
                      <wps:wsp>
                        <wps:cNvPr id="26" name="直接箭头连接符 26"/>
                        <wps:cNvCnPr/>
                        <wps:spPr>
                          <a:xfrm>
                            <a:off x="9060" y="13215"/>
                            <a:ext cx="0" cy="546"/>
                          </a:xfrm>
                          <a:prstGeom prst="straightConnector1">
                            <a:avLst/>
                          </a:prstGeom>
                          <a:ln w="19050" cap="flat" cmpd="sng">
                            <a:solidFill>
                              <a:srgbClr val="000000"/>
                            </a:solidFill>
                            <a:prstDash val="solid"/>
                            <a:headEnd type="none" w="med" len="med"/>
                            <a:tailEnd type="triangle" w="med" len="med"/>
                          </a:ln>
                        </wps:spPr>
                        <wps:bodyPr/>
                      </wps:wsp>
                    </wpg:wgp>
                  </a:graphicData>
                </a:graphic>
              </wp:anchor>
            </w:drawing>
          </mc:Choice>
          <mc:Fallback>
            <w:pict>
              <v:group id="_x0000_s1026" o:spid="_x0000_s1026" o:spt="203" style="position:absolute;left:0pt;margin-left:27.7pt;margin-top:4.7pt;height:116.4pt;width:382.5pt;z-index:251662336;mso-width-relative:page;mso-height-relative:page;" coordorigin="1875,11985" coordsize="8250,2511" o:gfxdata="UEsDBAoAAAAAAIdO4kAAAAAAAAAAAAAAAAAEAAAAZHJzL1BLAwQUAAAACACHTuJAYbBWy9kAAAAI&#10;AQAADwAAAGRycy9kb3ducmV2LnhtbE2PQUvDQBCF74L/YRnBm91NbKSNmRQp6qkItoL0ts1Ok9Ds&#10;bshuk/bfO570NDO8x5vvFauL7cRIQ2i9Q0hmCgS5ypvW1Qhfu7eHBYgQtTO6844QrhRgVd7eFDo3&#10;fnKfNG5jLTjEhVwjNDH2uZShasjqMPM9OdaOfrA68jnU0gx64nDbyVSpJ2l16/hDo3taN1SdtmeL&#10;8D7p6eUxeR03p+P6ut9lH9+bhBDv7xL1DCLSJf6Z4Ref0aFkpoM/OxNEh5Blc3YiLHmwvEgVLweE&#10;dJ6mIMtC/i9Q/gBQSwMEFAAAAAgAh07iQK34fje8AwAA1hQAAA4AAABkcnMvZTJvRG9jLnhtbO2Y&#10;y27UMBSG90i8g5U9zWXuUacItbQbBJUKD+AmzkVybMt2m+kOJCRASMAeiRUgFlw2sEKiT9MW3oJj&#10;J5lp6ZQpBUqBziLjJPaJ/Z/P9p/MXx4VFG0SqXLOho4/5zmIsIjHOUuHzq2by5f6DlIasxhTzsjQ&#10;2SLKubxw8cJ8KUIS8IzTmEgEQZgKSzF0Mq1F6LoqykiB1RwXhMHNhMsCaziVqRtLXEL0grqB53Xd&#10;kstYSB4RpeDqUnXTWbDxk4RE+kaSKKIRHTrQN22P0h7XzdFdmMdhKrHI8qjuBj5BLwqcM3joONQS&#10;1hhtyPxQqCKPJFc80XMRL1yeJHlE7BhgNL73zWhWJN8QdixpWKZiLBNI+41OJw4bXd9clSiPh07Q&#10;cxDDBeRo7+PdnSf3EVwAdUqRhlBpRYo1sSrrC2l1ZgY8SmRh/mEoaGR13RrrSkYaRXCx3e/0eh2Q&#10;P4J7frvXD/q18lEG6THt/H6v4yBz2x/0O1VaouxqHaAfNK2Dju+bu27zZNd0cNyfUgBGaqKU+jml&#10;1jIsiE2AMiLUSvmDRqndD3f2Xj3cefopRDuP3325/eDz9j24gKCGVcq2GuumQgUSThGtPWXwjXaB&#10;79XC9VpWl/HIcSik0iuEF8gUhk5CebmYYamvUE0kw5qsVhPDkok3ryldKde0M11RnObxck6pPZHp&#10;+iKVaBPDdFm2v1rsA9UoQyVkauDZrGCYtgnFGtJbCABJsdQ+8EATtT+yZ3/TIpueLWGVVT2wEUw1&#10;HBY5DMmWMoLjqyxGeksAqwxWFcf0piCxgyiBRciUbE2Nc3qcmqAoZYCUgafKkCnp0foIwpjiOo+3&#10;IPcbQuZpBkJXBNasVVV+O3QBUFBNz6Oggxp1fwHV2dBNZlyr17UjwuEYumAAs9HM1nPoThW6M0Ga&#10;P5M0i4vh/1ikTZa3aaTBqnZO2ukvb2eCtGAmacEPrWl98FCVi5hCmu+fk/YnNtIzQVqrIW3v6fvd&#10;Ry/23r7Zef7+8/YzU379EgWtfZwtstroNnag8Zpjl9sZBMCScatBr9p2J3tnQ5nvtQ861UN+TWmJ&#10;jaFY5IzBiwqX/veM2h8wXSe1WlrmmKWUTDdm0+1WRQlsttaGgZ06LV/VnkFG+4fIaHkm/4aMVgAl&#10;ax4aV9X12vUKZJ3a0Ub+nwXjaLd+xqCAPNXvwtOXC5vZ2gDNXi6+B0X9ctdpdw0s/yETf9Vi0Z3B&#10;hU3isbkYeN3GrhxaLM65+DWbiP0+BB/P7NyqP/SZr3P7z+2mM/kcufA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gYAAFtDb250ZW50X1R5cGVz&#10;XS54bWxQSwECFAAKAAAAAACHTuJAAAAAAAAAAAAAAAAABgAAAAAAAAAAABAAAAAQBQAAX3JlbHMv&#10;UEsBAhQAFAAAAAgAh07iQIoUZjzRAAAAlAEAAAsAAAAAAAAAAQAgAAAANAUAAF9yZWxzLy5yZWxz&#10;UEsBAhQACgAAAAAAh07iQAAAAAAAAAAAAAAAAAQAAAAAAAAAAAAQAAAAAAAAAGRycy9QSwECFAAU&#10;AAAACACHTuJAYbBWy9kAAAAIAQAADwAAAAAAAAABACAAAAAiAAAAZHJzL2Rvd25yZXYueG1sUEsB&#10;AhQAFAAAAAgAh07iQK34fje8AwAA1hQAAA4AAAAAAAAAAQAgAAAAKAEAAGRycy9lMm9Eb2MueG1s&#10;UEsFBgAAAAAGAAYAWQEAAFYHAAAAAA==&#10;">
                <o:lock v:ext="edit" aspectratio="f"/>
                <v:shape id="_x0000_s1026" o:spid="_x0000_s1026" o:spt="176" type="#_x0000_t176" style="position:absolute;left:4875;top:11985;height:735;width:2100;" fillcolor="#FFFFFF" filled="t" stroked="t" coordsize="21600,21600" o:gfxdata="UEsDBAoAAAAAAIdO4kAAAAAAAAAAAAAAAAAEAAAAZHJzL1BLAwQUAAAACACHTuJA7Jkj6LoAAADb&#10;AAAADwAAAGRycy9kb3ducmV2LnhtbEVPS4vCMBC+C/6HMMLeNO0iu1qNHhYEL4pWPXgbmrENNpOS&#10;xMf++40g7G0+vufMl0/bijv5YBwryEcZCOLKacO1guNhNZyACBFZY+uYFPxSgOWi35tjod2D93Qv&#10;Yy1SCIcCFTQxdoWUoWrIYhi5jjhxF+ctxgR9LbXHRwq3rfzMsi9p0XBqaLCjn4aqa3mzCtamPLXn&#10;lR9vLrTN3e77tt+ZrVIfgzybgYj0jP/it3ut0/wpvH5JB8jF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smSPougAAANsA&#10;AAAPAAAAAAAAAAEAIAAAACIAAABkcnMvZG93bnJldi54bWxQSwECFAAUAAAACACHTuJAMy8FnjsA&#10;AAA5AAAAEAAAAAAAAAABACAAAAAJAQAAZHJzL3NoYXBleG1sLnhtbFBLBQYAAAAABgAGAFsBAACz&#10;AwAAAAA=&#10;">
                  <v:fill on="t" focussize="0,0"/>
                  <v:stroke weight="1.5pt" color="#000000" joinstyle="miter"/>
                  <v:imagedata o:title=""/>
                  <o:lock v:ext="edit" aspectratio="f"/>
                  <v:textbox>
                    <w:txbxContent>
                      <w:p/>
                    </w:txbxContent>
                  </v:textbox>
                </v:shape>
                <v:shape id="_x0000_s1026" o:spid="_x0000_s1026" o:spt="176" type="#_x0000_t176" style="position:absolute;left:1875;top:13761;height:735;width:2295;" fillcolor="#FFFFFF" filled="t" stroked="t" coordsize="21600,21600" o:gfxdata="UEsDBAoAAAAAAIdO4kAAAAAAAAAAAAAAAAAEAAAAZHJzL1BLAwQUAAAACACHTuJAs89AyLgAAADb&#10;AAAADwAAAGRycy9kb3ducmV2LnhtbEVPy4rCMBTdD/gP4QruxrQio1SjC0Fwo2jVhbtLc22DzU1J&#10;4uvvzUKY5eG858uXbcWDfDCOFeTDDARx5bThWsHpuP6dgggRWWPrmBS8KcBy0fuZY6Hdkw/0KGMt&#10;UgiHAhU0MXaFlKFqyGIYuo44cVfnLcYEfS21x2cKt60cZdmftGg4NTTY0aqh6lberYKNKc/tZe3H&#10;2yvtcref3A97s1Nq0M+zGYhIr/gv/ro3WsEorU9f0g+Qi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89AyLgAAADbAAAA&#10;DwAAAAAAAAABACAAAAAiAAAAZHJzL2Rvd25yZXYueG1sUEsBAhQAFAAAAAgAh07iQDMvBZ47AAAA&#10;OQAAABAAAAAAAAAAAQAgAAAABwEAAGRycy9zaGFwZXhtbC54bWxQSwUGAAAAAAYABgBbAQAAsQMA&#10;AAAA&#10;">
                  <v:fill on="t" focussize="0,0"/>
                  <v:stroke weight="1.5pt" color="#000000" joinstyle="miter"/>
                  <v:imagedata o:title=""/>
                  <o:lock v:ext="edit" aspectratio="f"/>
                </v:shape>
                <v:shape id="_x0000_s1026" o:spid="_x0000_s1026" o:spt="176" type="#_x0000_t176" style="position:absolute;left:4875;top:13761;height:735;width:2235;" fillcolor="#FFFFFF" filled="t" stroked="t" coordsize="21600,21600" o:gfxdata="UEsDBAoAAAAAAIdO4kAAAAAAAAAAAAAAAAAEAAAAZHJzL1BLAwQUAAAACACHTuJA3IPlU7wAAADb&#10;AAAADwAAAGRycy9kb3ducmV2LnhtbEWPT4vCMBTE78J+h/AEbzatiC5dowdB8LKiVQ97ezTPNmzz&#10;UpL4Z7/9RhA8DjPzG2axethO3MgH41hBkeUgiGunDTcKTsfN+BNEiMgaO8ek4I8CrJYfgwWW2t35&#10;QLcqNiJBOJSooI2xL6UMdUsWQ+Z64uRdnLcYk/SN1B7vCW47OcnzmbRoOC202NO6pfq3uloFW1Od&#10;u5+Nn35faFe4/fx62JudUqNhkX+BiPSI7/CrvdUKJgU8v6QfIJ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yD5VO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shape>
                <v:shape id="_x0000_s1026" o:spid="_x0000_s1026" o:spt="176" type="#_x0000_t176" style="position:absolute;left:8010;top:13761;height:735;width:2115;" fillcolor="#FFFFFF" filled="t" stroked="t" coordsize="21600,21600" o:gfxdata="UEsDBAoAAAAAAIdO4kAAAAAAAAAAAAAAAAAEAAAAZHJzL1BLAwQUAAAACACHTuJALFF7JLwAAADb&#10;AAAADwAAAGRycy9kb3ducmV2LnhtbEWPT4vCMBTE78J+h/AWvGnaIrp0jR4WBC8rWvWwt0fzbMM2&#10;LyWJ/769EQSPw8z8hpkvb7YTF/LBOFaQjzMQxLXThhsFh/1q9AUiRGSNnWNScKcAy8XHYI6ldlfe&#10;0aWKjUgQDiUqaGPsSylD3ZLFMHY9cfJOzluMSfpGao/XBLedLLJsKi0aTgst9vTTUv1fna2CtamO&#10;3d/KT35PtMnddnbebc1GqeFnnn2DiHSL7/CrvdYKigKeX9IPkI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xReyS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shape>
                <v:shape id="_x0000_s1026" o:spid="_x0000_s1026" o:spt="32" type="#_x0000_t32" style="position:absolute;left:5925;top:12720;height:1041;width:15;" filled="f" stroked="t" coordsize="21600,21600" o:gfxdata="UEsDBAoAAAAAAIdO4kAAAAAAAAAAAAAAAAAEAAAAZHJzL1BLAwQUAAAACACHTuJAIQlbxbwAAADb&#10;AAAADwAAAGRycy9kb3ducmV2LnhtbEWPT4vCMBTE74LfITzBm6ZVWKQaRQTBPyd11eujebbV5qU2&#10;0dZvv1lY2OMwM79hZovWlOJNtSssK4iHEQji1OqCMwXfp/VgAsJ5ZI2lZVLwIQeLebczw0Tbhg/0&#10;PvpMBAi7BBXk3leJlC7NyaAb2oo4eDdbG/RB1pnUNTYBbko5iqIvabDgsJBjRauc0sfxZRSYy367&#10;vN/bZrm77J636/ncWh0r1e/F0RSEp9b/h//aG61gNIbfL+EHyP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EJW8W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shape id="_x0000_s1026" o:spid="_x0000_s1026" o:spt="32" type="#_x0000_t32" style="position:absolute;left:3015;top:13215;height:0;width:6045;" filled="f" stroked="t" coordsize="21600,21600" o:gfxdata="UEsDBAoAAAAAAIdO4kAAAAAAAAAAAAAAAAAEAAAAZHJzL1BLAwQUAAAACACHTuJALRyhZbsAAADb&#10;AAAADwAAAGRycy9kb3ducmV2LnhtbEWP3YrCMBSE7xd8h3CEvVk0VURKNe2FIAhebP15gGNzti3b&#10;nJQm2uzbbwTBy2FmvmG2RTCdeNDgWssKFvMEBHFldcu1gutlP0tBOI+ssbNMCv7IQZFPPraYaTvy&#10;iR5nX4sIYZehgsb7PpPSVQ0ZdHPbE0fvxw4GfZRDLfWAY4SbTi6TZC0NthwXGuxp11D1e74bBeF7&#10;zT6UabiNfD+69KsMaEqlPqeLZAPCU/Dv8Kt90AqWK3h+iT9A5v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RyhZbsAAADb&#10;AAAADwAAAAAAAAABACAAAAAiAAAAZHJzL2Rvd25yZXYueG1sUEsBAhQAFAAAAAgAh07iQDMvBZ47&#10;AAAAOQAAABAAAAAAAAAAAQAgAAAACgEAAGRycy9zaGFwZXhtbC54bWxQSwUGAAAAAAYABgBbAQAA&#10;tAMAAAAA&#10;">
                  <v:fill on="f" focussize="0,0"/>
                  <v:stroke weight="1.5pt" color="#000000" joinstyle="round"/>
                  <v:imagedata o:title=""/>
                  <o:lock v:ext="edit" aspectratio="f"/>
                </v:shape>
                <v:shape id="_x0000_s1026" o:spid="_x0000_s1026" o:spt="32" type="#_x0000_t32" style="position:absolute;left:3015;top:13215;height:546;width:0;" filled="f" stroked="t" coordsize="21600,21600" o:gfxdata="UEsDBAoAAAAAAIdO4kAAAAAAAAAAAAAAAAAEAAAAZHJzL1BLAwQUAAAACACHTuJAwaxmKrwAAADb&#10;AAAADwAAAGRycy9kb3ducmV2LnhtbEWPT4vCMBTE74LfITzBm6YVXKQaRQTBPyd11eujebbV5qU2&#10;0dZvv1lY2OMwM79hZovWlOJNtSssK4iHEQji1OqCMwXfp/VgAsJ5ZI2lZVLwIQeLebczw0Tbhg/0&#10;PvpMBAi7BBXk3leJlC7NyaAb2oo4eDdbG/RB1pnUNTYBbko5iqIvabDgsJBjRauc0sfxZRSYy367&#10;vN/bZrm77J636/ncWh0r1e/F0RSEp9b/h//aG61gNIbfL+EHyP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GsZiq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shape id="_x0000_s1026" o:spid="_x0000_s1026" o:spt="32" type="#_x0000_t32" style="position:absolute;left:9060;top:13215;height:546;width:0;" filled="f" stroked="t" coordsize="21600,21600" o:gfxdata="UEsDBAoAAAAAAIdO4kAAAAAAAAAAAAAAAAAEAAAAZHJzL1BLAwQUAAAACACHTuJAMX74XbsAAADb&#10;AAAADwAAAGRycy9kb3ducmV2LnhtbEWPS6vCMBSE94L/IZwL7jStC5FqFLlwwcfK9/bQHNt6m5Pa&#10;RFv/vREEl8PMfMNM560pxYNqV1hWEA8iEMSp1QVnCg77v/4YhPPIGkvLpOBJDuazbmeKibYNb+mx&#10;85kIEHYJKsi9rxIpXZqTQTewFXHwLrY26IOsM6lrbALclHIYRSNpsOCwkGNFvzml/7u7UWBOm9Xi&#10;em2bxfq0vl3Ox2NrdaxU7yeOJiA8tf4b/rSXWsFwBO8v4QfI2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X74XbsAAADb&#10;AAAADwAAAAAAAAABACAAAAAiAAAAZHJzL2Rvd25yZXYueG1sUEsBAhQAFAAAAAgAh07iQDMvBZ47&#10;AAAAOQAAABAAAAAAAAAAAQAgAAAACgEAAGRycy9zaGFwZXhtbC54bWxQSwUGAAAAAAYABgBbAQAA&#10;tAMAAAAA&#10;">
                  <v:fill on="f" focussize="0,0"/>
                  <v:stroke weight="1.5pt" color="#000000" joinstyle="round" endarrow="block"/>
                  <v:imagedata o:title=""/>
                  <o:lock v:ext="edit" aspectratio="f"/>
                </v:shape>
              </v:group>
            </w:pict>
          </mc:Fallback>
        </mc:AlternateContent>
      </w:r>
    </w:p>
    <w:p>
      <w:pPr>
        <w:rPr>
          <w:color w:val="000000"/>
          <w:spacing w:val="-2"/>
        </w:rPr>
      </w:pPr>
      <w:r>
        <w:rPr>
          <w:color w:val="000000"/>
          <w:spacing w:val="-2"/>
        </w:rPr>
        <w:t xml:space="preserve"> </w:t>
      </w: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jc w:val="center"/>
        <w:rPr>
          <w:rFonts w:ascii="Times New Roman" w:eastAsia="黑体"/>
          <w:color w:val="000000"/>
          <w:spacing w:val="-2"/>
        </w:rPr>
      </w:pPr>
      <w:r>
        <w:rPr>
          <w:rFonts w:hint="eastAsia" w:ascii="Times New Roman" w:eastAsia="黑体"/>
          <w:color w:val="000000"/>
          <w:spacing w:val="-2"/>
        </w:rPr>
        <w:t>图4.1 项目监理部组织机构框图</w:t>
      </w:r>
    </w:p>
    <w:p>
      <w:pPr>
        <w:spacing w:before="240" w:beforeLines="100" w:after="240" w:afterLines="100" w:line="420" w:lineRule="exact"/>
        <w:rPr>
          <w:rFonts w:hint="eastAsia"/>
          <w:b/>
          <w:color w:val="000000"/>
          <w:spacing w:val="-2"/>
          <w:sz w:val="28"/>
          <w:szCs w:val="28"/>
        </w:rPr>
      </w:pPr>
      <w:r>
        <w:rPr>
          <w:b/>
          <w:color w:val="000000"/>
          <w:spacing w:val="-2"/>
          <w:sz w:val="28"/>
          <w:szCs w:val="28"/>
        </w:rPr>
        <w:t xml:space="preserve">5 </w:t>
      </w:r>
      <w:r>
        <w:rPr>
          <w:rFonts w:hint="eastAsia"/>
          <w:b/>
          <w:color w:val="000000"/>
          <w:spacing w:val="-2"/>
          <w:sz w:val="28"/>
          <w:szCs w:val="28"/>
        </w:rPr>
        <w:t>高支模工程监理工作流程（用框图表示）</w:t>
      </w:r>
    </w:p>
    <w:p>
      <w:pPr>
        <w:spacing w:line="460" w:lineRule="exact"/>
        <w:rPr>
          <w:b/>
          <w:bCs/>
          <w:color w:val="000000"/>
          <w:spacing w:val="-2"/>
          <w:kern w:val="0"/>
          <w:sz w:val="24"/>
        </w:rPr>
      </w:pPr>
      <w:r>
        <w:rPr>
          <w:b/>
          <w:bCs/>
          <w:color w:val="000000"/>
          <w:spacing w:val="-2"/>
          <w:kern w:val="0"/>
          <w:sz w:val="24"/>
        </w:rPr>
        <w:t xml:space="preserve">5.1 </w:t>
      </w:r>
      <w:r>
        <w:rPr>
          <w:rFonts w:hint="eastAsia"/>
          <w:b/>
          <w:bCs/>
          <w:color w:val="000000"/>
          <w:spacing w:val="-2"/>
          <w:kern w:val="0"/>
          <w:sz w:val="24"/>
        </w:rPr>
        <w:t>高支模工程施工阶段监理程序：（示意）</w:t>
      </w:r>
      <w:r>
        <w:rPr>
          <w:b/>
          <w:bCs/>
          <w:color w:val="000000"/>
          <w:spacing w:val="-2"/>
          <w:kern w:val="0"/>
          <w:sz w:val="24"/>
        </w:rPr>
        <w:t xml:space="preserve"> </w:t>
      </w:r>
    </w:p>
    <w:p>
      <w:pPr>
        <w:tabs>
          <w:tab w:val="left" w:pos="1845"/>
        </w:tabs>
        <w:spacing w:line="276" w:lineRule="auto"/>
        <w:rPr>
          <w:rFonts w:ascii="Times New Roman"/>
          <w:color w:val="000000"/>
          <w:spacing w:val="-2"/>
        </w:rPr>
      </w:pPr>
      <w:r>
        <mc:AlternateContent>
          <mc:Choice Requires="wpg">
            <w:drawing>
              <wp:anchor distT="0" distB="0" distL="114300" distR="114300" simplePos="0" relativeHeight="251663360" behindDoc="0" locked="0" layoutInCell="1" allowOverlap="1">
                <wp:simplePos x="0" y="0"/>
                <wp:positionH relativeFrom="column">
                  <wp:posOffset>1943100</wp:posOffset>
                </wp:positionH>
                <wp:positionV relativeFrom="paragraph">
                  <wp:posOffset>40640</wp:posOffset>
                </wp:positionV>
                <wp:extent cx="1838960" cy="1678305"/>
                <wp:effectExtent l="9525" t="9525" r="18415" b="26670"/>
                <wp:wrapNone/>
                <wp:docPr id="7" name="组合 7"/>
                <wp:cNvGraphicFramePr/>
                <a:graphic xmlns:a="http://schemas.openxmlformats.org/drawingml/2006/main">
                  <a:graphicData uri="http://schemas.microsoft.com/office/word/2010/wordprocessingGroup">
                    <wpg:wgp>
                      <wpg:cNvGrpSpPr/>
                      <wpg:grpSpPr>
                        <a:xfrm>
                          <a:off x="0" y="0"/>
                          <a:ext cx="1838960" cy="1678305"/>
                          <a:chOff x="4260" y="1603"/>
                          <a:chExt cx="3092" cy="2822"/>
                        </a:xfrm>
                      </wpg:grpSpPr>
                      <wpg:grpSp>
                        <wpg:cNvPr id="4" name="组合 4"/>
                        <wpg:cNvGrpSpPr/>
                        <wpg:grpSpPr>
                          <a:xfrm>
                            <a:off x="4260" y="1603"/>
                            <a:ext cx="3092" cy="1749"/>
                            <a:chOff x="4320" y="13386"/>
                            <a:chExt cx="3092" cy="1749"/>
                          </a:xfrm>
                        </wpg:grpSpPr>
                        <wps:wsp>
                          <wps:cNvPr id="1" name="流程图: 可选过程 1"/>
                          <wps:cNvSpPr/>
                          <wps:spPr>
                            <a:xfrm>
                              <a:off x="4320" y="13386"/>
                              <a:ext cx="3092" cy="654"/>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pPr>
                                  <w:jc w:val="center"/>
                                </w:pPr>
                              </w:p>
                            </w:txbxContent>
                          </wps:txbx>
                          <wps:bodyPr upright="1"/>
                        </wps:wsp>
                        <wps:wsp>
                          <wps:cNvPr id="2" name="直接箭头连接符 2"/>
                          <wps:cNvCnPr/>
                          <wps:spPr>
                            <a:xfrm>
                              <a:off x="5865" y="14046"/>
                              <a:ext cx="0" cy="420"/>
                            </a:xfrm>
                            <a:prstGeom prst="straightConnector1">
                              <a:avLst/>
                            </a:prstGeom>
                            <a:ln w="9525" cap="flat" cmpd="sng">
                              <a:solidFill>
                                <a:srgbClr val="000000"/>
                              </a:solidFill>
                              <a:prstDash val="solid"/>
                              <a:headEnd type="none" w="med" len="med"/>
                              <a:tailEnd type="triangle" w="med" len="med"/>
                            </a:ln>
                          </wps:spPr>
                          <wps:bodyPr/>
                        </wps:wsp>
                        <wps:wsp>
                          <wps:cNvPr id="3" name="流程图: 可选过程 3"/>
                          <wps:cNvSpPr/>
                          <wps:spPr>
                            <a:xfrm>
                              <a:off x="4320" y="14481"/>
                              <a:ext cx="3092" cy="654"/>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pPr>
                                  <w:jc w:val="center"/>
                                </w:pPr>
                              </w:p>
                            </w:txbxContent>
                          </wps:txbx>
                          <wps:bodyPr upright="1"/>
                        </wps:wsp>
                      </wpg:grpSp>
                      <wps:wsp>
                        <wps:cNvPr id="5" name="流程图: 可选过程 5"/>
                        <wps:cNvSpPr/>
                        <wps:spPr>
                          <a:xfrm>
                            <a:off x="4260" y="3765"/>
                            <a:ext cx="3092" cy="660"/>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6" name="直接箭头连接符 6"/>
                        <wps:cNvCnPr/>
                        <wps:spPr>
                          <a:xfrm>
                            <a:off x="5805" y="3352"/>
                            <a:ext cx="0" cy="413"/>
                          </a:xfrm>
                          <a:prstGeom prst="straightConnector1">
                            <a:avLst/>
                          </a:prstGeom>
                          <a:ln w="9525" cap="flat" cmpd="sng">
                            <a:solidFill>
                              <a:srgbClr val="000000"/>
                            </a:solidFill>
                            <a:prstDash val="solid"/>
                            <a:headEnd type="none" w="med" len="med"/>
                            <a:tailEnd type="triangle" w="med" len="med"/>
                          </a:ln>
                        </wps:spPr>
                        <wps:bodyPr/>
                      </wps:wsp>
                    </wpg:wgp>
                  </a:graphicData>
                </a:graphic>
              </wp:anchor>
            </w:drawing>
          </mc:Choice>
          <mc:Fallback>
            <w:pict>
              <v:group id="_x0000_s1026" o:spid="_x0000_s1026" o:spt="203" style="position:absolute;left:0pt;margin-left:153pt;margin-top:3.2pt;height:132.15pt;width:144.8pt;z-index:251663360;mso-width-relative:page;mso-height-relative:page;" coordorigin="4260,1603" coordsize="3092,2822" o:gfxdata="UEsDBAoAAAAAAIdO4kAAAAAAAAAAAAAAAAAEAAAAZHJzL1BLAwQUAAAACACHTuJAxyV6wtoAAAAJ&#10;AQAADwAAAGRycy9kb3ducmV2LnhtbE2PQUvDQBSE74L/YXmCN7ub1qQa81KkqKci2Ari7TX7moRm&#10;d0N2m7T/3vWkx2GGmW+K1dl0YuTBt84iJDMFgm3ldGtrhM/d690DCB/IauqcZYQLe1iV11cF5dpN&#10;9oPHbahFLLE+J4QmhD6X0lcNG/Iz17ON3sENhkKUQy31QFMsN52cK5VJQ62NCw31vG64Om5PBuFt&#10;oul5kbyMm+Nhffnepe9fm4QRb28S9QQi8Dn8heEXP6JDGZn27mS1Fx3CQmXxS0DI7kFEP31MMxB7&#10;hPlSLUGWhfz/oPwBUEsDBBQAAAAIAIdO4kAzWttqqgMAAG0PAAAOAAAAZHJzL2Uyb0RvYy54bWzt&#10;V8tu3DYU3RfIPxDa13rOS/A4KOzYm6I1kOYDaIl6ABRJkLQ13rVAgbYo0HYfoKsk6KJJNskqQPI1&#10;jpO/yCUlzji2JrCdxujCs9DweXnv4eG55ObdRUPREZGq5mzuhRuBhwjLeF6zcu49+GH366mHlMYs&#10;x5QzMveOifLubt35arMVKYl4xWlOJAIjTKWtmHuV1iL1fZVVpMFqgwvCoLPgssEaqrL0c4lbsN5Q&#10;PwqCsd9ymQvJM6IUtO50nd6WtV8UJNPfF4UiGtG5B75p+5X2e2C+/tYmTkuJRVVnvRv4Gl40uGaw&#10;6NLUDtYYHcr6gqmmziRXvNAbGW98XhR1RmwMEE0YnItmT/JDYWMp07YUS5gA2nM4Xdts9t3RvkR1&#10;PvcmHmK4gS06ffXzyV+/oonBphVlCkP2pLgv9mXfUHY1E+6ikI35h0DQwqJ6vESVLDTKoDGcxtPZ&#10;GMDPoC8cT6ZxMOpwzyrYHDMviUy/7Q5i13evnx8Hs6ibHE2jyPT6bmHf+Ld0Z1n5skAl54BKjEtX&#10;BGogYAfXKtxwkswcGA6oOOqBiuPp2HVeRMpNXYsUnDa1IpT6PELdr7AglqfKsKUnVOhwevvyp9N/&#10;fj95+DpFJ38+f//jb+/e/AINKOyAs3OW9FKpAqYNcCsZCP0iZuOR3Y5l3DgVUuk9whtkCnOvoLzd&#10;rrDU31BNJMOa7HfqYY8vPvpW6Y5hbp5xRXFa57s1pbYiy4NtKtERBk3ZtT8TCCz50TDKUAt8nwUj&#10;Q30M2lZQrKHYCDhtipV2wY+mqLOWA/sbsmw828Gq6jywFjomNDWEBK7gtCI4v8dypI8FnGgG0usZ&#10;bxqSe4gSUGpTsiM1rullRkJ4lEGUrXA7ZEp6cbAAM6Z4wPNj2PlDIeuyAqDt7trhwLRuyBenHOhE&#10;r2EPX7z94/Hps6cnj168e/O3Kf/7BFnxML4CSbdZr2cuHKcpSzEbTcejTpSSIOnPmiNcr2YJnMZu&#10;650QOtb0bFNaYgPHNmcMchGX4ado1lFmNopg3ZthzHV5omWNWUnXsGqYKx1BDFxmC26OFLEjxTod&#10;shmnp8VVdChJppbkOHW0WGn3rQ5Zdbkuv9Yr1jC3Lq9DqyvDDWkSnOVOk9bRz16GLk8/d1WKJyBP&#10;FuQB9sF16pO6dJsF/8ss+H9IfWNHs9PB1Gfz1xVSH1zRzX08jkc2aa4kzmW+0KomnMbbzHfmPjWs&#10;TgOZz8oQvOnsvbF/f5pH49m6zZSrV/LW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0GAABbQ29udGVudF9UeXBlc10ueG1sUEsBAhQACgAAAAAA&#10;h07iQAAAAAAAAAAAAAAAAAYAAAAAAAAAAAAQAAAA/wQAAF9yZWxzL1BLAQIUABQAAAAIAIdO4kCK&#10;FGY80QAAAJQBAAALAAAAAAAAAAEAIAAAACMFAABfcmVscy8ucmVsc1BLAQIUAAoAAAAAAIdO4kAA&#10;AAAAAAAAAAAAAAAEAAAAAAAAAAAAEAAAAAAAAABkcnMvUEsBAhQAFAAAAAgAh07iQMclesLaAAAA&#10;CQEAAA8AAAAAAAAAAQAgAAAAIgAAAGRycy9kb3ducmV2LnhtbFBLAQIUABQAAAAIAIdO4kAzWttq&#10;qgMAAG0PAAAOAAAAAAAAAAEAIAAAACkBAABkcnMvZTJvRG9jLnhtbFBLBQYAAAAABgAGAFkBAABF&#10;BwAAAAA=&#10;">
                <o:lock v:ext="edit" aspectratio="f"/>
                <v:group id="_x0000_s1026" o:spid="_x0000_s1026" o:spt="203" style="position:absolute;left:4260;top:1603;height:1749;width:3092;" coordorigin="4320,13386" coordsize="3092,1749" o:gfxdata="UEsDBAoAAAAAAIdO4kAAAAAAAAAAAAAAAAAEAAAAZHJzL1BLAwQUAAAACACHTuJAG77s4L4AAADa&#10;AAAADwAAAGRycy9kb3ducmV2LnhtbEWPQWvCQBSE70L/w/IKvTWb2FYkuhGRtvQgBRNBvD2yzyQk&#10;+zZkt4n++26h4HGYmW+Y9eZqOjHS4BrLCpIoBkFcWt1wpeBYfDwvQTiPrLGzTApu5GCTPczWmGo7&#10;8YHG3FciQNilqKD2vk+ldGVNBl1ke+LgXexg0Ac5VFIPOAW46eQ8jhfSYMNhocaedjWVbf5jFHxO&#10;OG1fkvdx3152t3Px9n3aJ6TU02MSr0B4uvp7+L/9pRW8wt+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Bu+7OC+AAAA2gAAAA8AAAAAAAAAAQAgAAAAIgAAAGRycy9kb3ducmV2Lnht&#10;bFBLAQIUABQAAAAIAIdO4kAzLwWeOwAAADkAAAAVAAAAAAAAAAEAIAAAAA0BAABkcnMvZ3JvdXBz&#10;aGFwZXhtbC54bWxQSwUGAAAAAAYABgBgAQAAygMAAAAA&#10;">
                  <o:lock v:ext="edit" aspectratio="f"/>
                  <v:shape id="_x0000_s1026" o:spid="_x0000_s1026" o:spt="176" type="#_x0000_t176" style="position:absolute;left:4320;top:13386;height:654;width:3092;" fillcolor="#FFFFFF" filled="t" stroked="t" coordsize="21600,21600" o:gfxdata="UEsDBAoAAAAAAIdO4kAAAAAAAAAAAAAAAAAEAAAAZHJzL1BLAwQUAAAACACHTuJAlJNs07oAAADa&#10;AAAADwAAAGRycy9kb3ducmV2LnhtbEVPPWvDMBDdA/0P4gLdYtmlpMWNkiEQyNKQuO3Q7bDOlqh1&#10;MpKcpP8+ChQ6HY/3eavN1Q3iTCFazwqqogRB3HptuVfw+bFbvIKICVnj4JkU/FKEzfphtsJa+wuf&#10;6NykXuQQjjUqMCmNtZSxNeQwFn4kzlzng8OUYeilDnjJ4W6QT2W5lA4t5waDI20NtT/N5BTsbfM1&#10;fO/C83tHh8ofX6bT0R6UepxX5RuIRNf0L/5z73WeD/dX7leu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k2zTugAAANoA&#10;AAAPAAAAAAAAAAEAIAAAACIAAABkcnMvZG93bnJldi54bWxQSwECFAAUAAAACACHTuJAMy8FnjsA&#10;AAA5AAAAEAAAAAAAAAABACAAAAAJAQAAZHJzL3NoYXBleG1sLnhtbFBLBQYAAAAABgAGAFsBAACz&#10;AwAAAAA=&#10;">
                    <v:fill on="t" focussize="0,0"/>
                    <v:stroke weight="1.5pt" color="#000000" joinstyle="miter"/>
                    <v:imagedata o:title=""/>
                    <o:lock v:ext="edit" aspectratio="f"/>
                    <v:textbox>
                      <w:txbxContent>
                        <w:p>
                          <w:pPr>
                            <w:jc w:val="center"/>
                          </w:pPr>
                        </w:p>
                      </w:txbxContent>
                    </v:textbox>
                  </v:shape>
                  <v:shape id="_x0000_s1026" o:spid="_x0000_s1026" o:spt="32" type="#_x0000_t32" style="position:absolute;left:5865;top:14046;height:420;width:0;" filled="f" stroked="t" coordsize="21600,21600" o:gfxdata="UEsDBAoAAAAAAIdO4kAAAAAAAAAAAAAAAAAEAAAAZHJzL1BLAwQUAAAACACHTuJAuNxDorwAAADa&#10;AAAADwAAAGRycy9kb3ducmV2LnhtbEWPzWsCMRTE7wX/h/AEbzWrh8VujYKKuBcLfiA9Pjavm9DN&#10;y7KJn399Iwg9DjPzG2Y6v7lGXKgL1rOC0TADQVx5bblWcDys3ycgQkTW2HgmBXcKMJ/13qZYaH/l&#10;HV32sRYJwqFABSbGtpAyVIYchqFviZP34zuHMcmulrrDa4K7Ro6zLJcOLacFgy0tDVW/+7NTEFff&#10;d5OfqsWH/Tpstrl9lGW5UmrQH2WfICLd4n/41S61gjE8r6QbI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jcQ6K8AAAA&#10;2g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shape id="_x0000_s1026" o:spid="_x0000_s1026" o:spt="176" type="#_x0000_t176" style="position:absolute;left:4320;top:14481;height:654;width:3092;" fillcolor="#FFFFFF" filled="t" stroked="t" coordsize="21600,21600" o:gfxdata="UEsDBAoAAAAAAIdO4kAAAAAAAAAAAAAAAAAEAAAAZHJzL1BLAwQUAAAACACHTuJACw1XP7wAAADa&#10;AAAADwAAAGRycy9kb3ducmV2LnhtbEWPT4vCMBTE74LfITxhb5p2XVapRg8LghdFqx68PZpnG2xe&#10;ShL/7LffCMIeh5n5DTNfPm0r7uSDcawgH2UgiCunDdcKjofVcAoiRGSNrWNS8EsBlot+b46Fdg/e&#10;072MtUgQDgUqaGLsCilD1ZDFMHIdcfIuzluMSfpaao+PBLet/Myyb2nRcFposKOfhqprebMK1qY8&#10;teeV/9pcaJu73eS235mtUh+DPJuBiPSM/+F3e60VjOF1Jd0Auf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NVz+8AAAA&#10;2g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textbox>
                      <w:txbxContent>
                        <w:p>
                          <w:pPr>
                            <w:jc w:val="center"/>
                          </w:pPr>
                        </w:p>
                      </w:txbxContent>
                    </v:textbox>
                  </v:shape>
                </v:group>
                <v:shape id="_x0000_s1026" o:spid="_x0000_s1026" o:spt="176" type="#_x0000_t176" style="position:absolute;left:4260;top:3765;height:660;width:3092;" fillcolor="#FFFFFF" filled="t" stroked="t" coordsize="21600,21600" o:gfxdata="UEsDBAoAAAAAAIdO4kAAAAAAAAAAAAAAAAAEAAAAZHJzL1BLAwQUAAAACACHTuJA66hq0LwAAADa&#10;AAAADwAAAGRycy9kb3ducmV2LnhtbEWPT4vCMBTE74LfITxhb5p2cVepRg8LghdFqx68PZpnG2xe&#10;ShL/7LffCMIeh5n5DTNfPm0r7uSDcawgH2UgiCunDdcKjofVcAoiRGSNrWNS8EsBlot+b46Fdg/e&#10;072MtUgQDgUqaGLsCilD1ZDFMHIdcfIuzluMSfpaao+PBLet/Myyb2nRcFposKOfhqprebMK1qY8&#10;teeVH28utM3dbnLb78xWqY9Bns1ARHrG//C7vdYKvuB1Jd0Auf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uoatC8AAAA&#10;2g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shape>
                <v:shape id="_x0000_s1026" o:spid="_x0000_s1026" o:spt="32" type="#_x0000_t32" style="position:absolute;left:5805;top:3352;height:413;width:0;" filled="f" stroked="t" coordsize="21600,21600" o:gfxdata="UEsDBAoAAAAAAIdO4kAAAAAAAAAAAAAAAAAEAAAAZHJzL1BLAwQUAAAACACHTuJAx+dFobwAAADa&#10;AAAADwAAAGRycy9kb3ducmV2LnhtbEWPT2sCMRTE74V+h/AKvdWsHha7GgUrpXtR0JXS42Pz3AQ3&#10;L8sm/v30RhB6HGbmN8x0fnGtOFEfrGcFw0EGgrj22nKjYFd9f4xBhIissfVMCq4UYD57fZliof2Z&#10;N3TaxkYkCIcCFZgYu0LKUBtyGAa+I07e3vcOY5J9I3WP5wR3rRxlWS4dWk4LBjv6MlQftkenIC7/&#10;rib/rRefdl39rHJ7K8tyqdT72zCbgIh0if/hZ7vUCnJ4XEk3QM7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fnRaG8AAAA&#10;2g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group>
            </w:pict>
          </mc:Fallback>
        </mc:AlternateContent>
      </w:r>
      <w:r>
        <w:rPr>
          <w:rFonts w:hint="eastAsia" w:ascii="Times New Roman"/>
          <w:color w:val="000000"/>
          <w:spacing w:val="-2"/>
        </w:rPr>
        <w:tab/>
      </w:r>
    </w:p>
    <w:p>
      <w:pPr>
        <w:tabs>
          <w:tab w:val="left" w:pos="1845"/>
        </w:tabs>
        <w:spacing w:line="276" w:lineRule="auto"/>
        <w:rPr>
          <w:rFonts w:hint="eastAsia" w:ascii="Times New Roman"/>
          <w:color w:val="000000"/>
          <w:spacing w:val="-2"/>
        </w:rPr>
      </w:pPr>
    </w:p>
    <w:p>
      <w:pPr>
        <w:tabs>
          <w:tab w:val="left" w:pos="1845"/>
        </w:tabs>
        <w:spacing w:line="276" w:lineRule="auto"/>
        <w:rPr>
          <w:rFonts w:hint="eastAsia" w:ascii="Times New Roman"/>
          <w:color w:val="000000"/>
          <w:spacing w:val="-2"/>
        </w:rPr>
      </w:pPr>
    </w:p>
    <w:p>
      <w:pPr>
        <w:tabs>
          <w:tab w:val="left" w:pos="1845"/>
        </w:tabs>
        <w:spacing w:line="276" w:lineRule="auto"/>
        <w:rPr>
          <w:rFonts w:hint="eastAsia" w:ascii="Times New Roman"/>
          <w:color w:val="000000"/>
          <w:spacing w:val="-2"/>
        </w:rPr>
      </w:pPr>
    </w:p>
    <w:p>
      <w:pPr>
        <w:tabs>
          <w:tab w:val="left" w:pos="1845"/>
        </w:tabs>
        <w:spacing w:line="276" w:lineRule="auto"/>
        <w:rPr>
          <w:rFonts w:hint="eastAsia" w:ascii="Times New Roman"/>
          <w:color w:val="000000"/>
          <w:spacing w:val="-2"/>
        </w:rPr>
      </w:pPr>
    </w:p>
    <w:p>
      <w:pPr>
        <w:tabs>
          <w:tab w:val="left" w:pos="1845"/>
        </w:tabs>
        <w:spacing w:line="276" w:lineRule="auto"/>
        <w:rPr>
          <w:rFonts w:hint="eastAsia" w:ascii="Times New Roman"/>
          <w:color w:val="000000"/>
          <w:spacing w:val="-2"/>
        </w:rPr>
      </w:pPr>
    </w:p>
    <w:p>
      <w:pPr>
        <w:tabs>
          <w:tab w:val="left" w:pos="1845"/>
        </w:tabs>
        <w:spacing w:line="276" w:lineRule="auto"/>
        <w:rPr>
          <w:rFonts w:hint="eastAsia" w:ascii="Times New Roman"/>
          <w:color w:val="000000"/>
          <w:spacing w:val="-2"/>
        </w:rPr>
      </w:pPr>
    </w:p>
    <w:p>
      <w:pPr>
        <w:tabs>
          <w:tab w:val="left" w:pos="1845"/>
        </w:tabs>
        <w:spacing w:line="276" w:lineRule="auto"/>
        <w:rPr>
          <w:rFonts w:hint="eastAsia" w:ascii="Times New Roman"/>
          <w:color w:val="000000"/>
          <w:spacing w:val="-2"/>
        </w:rPr>
      </w:pPr>
    </w:p>
    <w:p>
      <w:pPr>
        <w:tabs>
          <w:tab w:val="left" w:pos="1845"/>
        </w:tabs>
        <w:spacing w:line="276" w:lineRule="auto"/>
        <w:rPr>
          <w:rFonts w:hint="eastAsia" w:ascii="Times New Roman"/>
          <w:color w:val="000000"/>
          <w:spacing w:val="-2"/>
        </w:rPr>
      </w:pPr>
    </w:p>
    <w:p>
      <w:pPr>
        <w:jc w:val="center"/>
        <w:rPr>
          <w:rFonts w:hint="eastAsia" w:ascii="Times New Roman" w:eastAsia="黑体"/>
          <w:color w:val="000000"/>
          <w:spacing w:val="-2"/>
        </w:rPr>
      </w:pPr>
      <w:r>
        <w:rPr>
          <w:rFonts w:hint="eastAsia" w:ascii="Times New Roman" w:eastAsia="黑体"/>
          <w:color w:val="000000"/>
          <w:spacing w:val="-2"/>
        </w:rPr>
        <w:t>图5.1高支模工程施工阶段监理程序框图</w:t>
      </w:r>
    </w:p>
    <w:p>
      <w:pPr>
        <w:jc w:val="center"/>
        <w:rPr>
          <w:rFonts w:hint="eastAsia" w:ascii="Times New Roman" w:eastAsia="黑体"/>
          <w:color w:val="000000"/>
          <w:spacing w:val="-2"/>
        </w:rPr>
      </w:pPr>
    </w:p>
    <w:p>
      <w:pPr>
        <w:tabs>
          <w:tab w:val="left" w:pos="5780"/>
        </w:tabs>
        <w:autoSpaceDE w:val="0"/>
        <w:autoSpaceDN w:val="0"/>
        <w:adjustRightInd w:val="0"/>
        <w:spacing w:line="460" w:lineRule="exact"/>
        <w:ind w:right="-20"/>
        <w:jc w:val="left"/>
        <w:rPr>
          <w:rFonts w:hint="eastAsia" w:ascii="Times New Roman"/>
          <w:b/>
          <w:color w:val="000000"/>
          <w:spacing w:val="-2"/>
          <w:sz w:val="24"/>
        </w:rPr>
      </w:pPr>
      <w:r>
        <w:rPr>
          <w:b/>
          <w:bCs/>
          <w:color w:val="000000"/>
          <w:spacing w:val="-2"/>
          <w:kern w:val="0"/>
          <w:sz w:val="24"/>
        </w:rPr>
        <w:t xml:space="preserve">5.2 </w:t>
      </w:r>
      <w:r>
        <w:rPr>
          <w:rFonts w:hint="eastAsia" w:ascii="Times New Roman" w:hAnsi="Times New Roman"/>
          <w:b/>
          <w:color w:val="000000"/>
          <w:spacing w:val="-2"/>
          <w:sz w:val="24"/>
        </w:rPr>
        <w:t>高支模施工专项方案审批监理程序：</w:t>
      </w:r>
    </w:p>
    <w:p>
      <w:pPr>
        <w:spacing w:line="460" w:lineRule="exact"/>
        <w:rPr>
          <w:rFonts w:hint="eastAsia" w:ascii="Times New Roman"/>
          <w:b/>
          <w:color w:val="000000"/>
          <w:spacing w:val="-2"/>
          <w:sz w:val="24"/>
        </w:rPr>
      </w:pPr>
      <w:r>
        <w:rPr>
          <w:b/>
          <w:bCs/>
          <w:color w:val="000000"/>
          <w:spacing w:val="-2"/>
          <w:kern w:val="0"/>
          <w:sz w:val="24"/>
        </w:rPr>
        <w:t>5.3</w:t>
      </w:r>
      <w:r>
        <w:rPr>
          <w:rFonts w:hint="eastAsia" w:ascii="Times New Roman" w:hAnsi="Times New Roman"/>
          <w:b/>
          <w:color w:val="000000"/>
          <w:spacing w:val="-2"/>
          <w:sz w:val="24"/>
        </w:rPr>
        <w:t>高支模搭设阶段的监理工作程序：</w:t>
      </w:r>
    </w:p>
    <w:p>
      <w:pPr>
        <w:spacing w:line="460" w:lineRule="exact"/>
        <w:rPr>
          <w:rFonts w:hint="eastAsia" w:ascii="Times New Roman"/>
          <w:b/>
          <w:color w:val="000000"/>
          <w:spacing w:val="-2"/>
          <w:sz w:val="24"/>
        </w:rPr>
      </w:pPr>
      <w:r>
        <w:rPr>
          <w:b/>
          <w:bCs/>
          <w:color w:val="000000"/>
          <w:spacing w:val="-2"/>
          <w:kern w:val="0"/>
          <w:sz w:val="24"/>
        </w:rPr>
        <w:t>5.4</w:t>
      </w:r>
      <w:r>
        <w:rPr>
          <w:rFonts w:hint="eastAsia"/>
          <w:b/>
          <w:color w:val="000000"/>
          <w:spacing w:val="-2"/>
          <w:sz w:val="24"/>
        </w:rPr>
        <w:t>支架预压的监理工作程序：</w:t>
      </w:r>
    </w:p>
    <w:p>
      <w:pPr>
        <w:spacing w:line="460" w:lineRule="exact"/>
        <w:rPr>
          <w:rFonts w:hint="eastAsia" w:ascii="Times New Roman"/>
          <w:b/>
          <w:color w:val="000000"/>
          <w:spacing w:val="-2"/>
          <w:sz w:val="24"/>
        </w:rPr>
      </w:pPr>
      <w:r>
        <w:rPr>
          <w:rFonts w:hint="eastAsia"/>
        </w:rPr>
        <w:drawing>
          <wp:anchor distT="0" distB="0" distL="114300" distR="114300" simplePos="0" relativeHeight="251658240" behindDoc="1" locked="1" layoutInCell="1" allowOverlap="1">
            <wp:simplePos x="0" y="0"/>
            <wp:positionH relativeFrom="column">
              <wp:posOffset>4445000</wp:posOffset>
            </wp:positionH>
            <wp:positionV relativeFrom="paragraph">
              <wp:posOffset>9448800</wp:posOffset>
            </wp:positionV>
            <wp:extent cx="482600" cy="469900"/>
            <wp:effectExtent l="0" t="0" r="12700" b="6350"/>
            <wp:wrapNone/>
            <wp:docPr id="54" name="图片 393"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393" descr="38"/>
                    <pic:cNvPicPr>
                      <a:picLocks noChangeAspect="1"/>
                    </pic:cNvPicPr>
                  </pic:nvPicPr>
                  <pic:blipFill>
                    <a:blip r:embed="rId7"/>
                    <a:stretch>
                      <a:fillRect/>
                    </a:stretch>
                  </pic:blipFill>
                  <pic:spPr>
                    <a:xfrm>
                      <a:off x="0" y="0"/>
                      <a:ext cx="482600" cy="469900"/>
                    </a:xfrm>
                    <a:prstGeom prst="rect">
                      <a:avLst/>
                    </a:prstGeom>
                    <a:noFill/>
                    <a:ln>
                      <a:noFill/>
                    </a:ln>
                  </pic:spPr>
                </pic:pic>
              </a:graphicData>
            </a:graphic>
          </wp:anchor>
        </w:drawing>
      </w:r>
      <w:r>
        <w:rPr>
          <w:b/>
          <w:bCs/>
          <w:color w:val="000000"/>
          <w:spacing w:val="-2"/>
          <w:kern w:val="0"/>
          <w:sz w:val="24"/>
        </w:rPr>
        <w:t>5.5</w:t>
      </w:r>
      <w:r>
        <w:rPr>
          <w:rFonts w:hint="eastAsia"/>
          <w:b/>
          <w:color w:val="000000"/>
          <w:spacing w:val="-2"/>
          <w:sz w:val="24"/>
        </w:rPr>
        <w:t>浇筑混凝土的施工监理工作程序：</w:t>
      </w:r>
    </w:p>
    <w:p>
      <w:pPr>
        <w:spacing w:line="460" w:lineRule="exact"/>
        <w:rPr>
          <w:rFonts w:hint="eastAsia" w:ascii="Times New Roman"/>
          <w:b/>
          <w:color w:val="000000"/>
          <w:spacing w:val="-2"/>
          <w:sz w:val="24"/>
        </w:rPr>
      </w:pPr>
      <w:r>
        <w:rPr>
          <w:b/>
          <w:bCs/>
          <w:color w:val="000000"/>
          <w:spacing w:val="-2"/>
          <w:kern w:val="0"/>
          <w:sz w:val="24"/>
        </w:rPr>
        <w:t>5.6</w:t>
      </w:r>
      <w:r>
        <w:rPr>
          <w:rFonts w:hint="eastAsia" w:ascii="Times New Roman" w:hAnsi="Times New Roman"/>
          <w:b/>
          <w:color w:val="000000"/>
          <w:spacing w:val="-2"/>
          <w:sz w:val="24"/>
        </w:rPr>
        <w:t>地基处理的监理工作程序：</w:t>
      </w:r>
    </w:p>
    <w:p>
      <w:pPr>
        <w:spacing w:line="460" w:lineRule="exact"/>
        <w:rPr>
          <w:rFonts w:hint="eastAsia" w:ascii="Times New Roman"/>
          <w:b/>
          <w:color w:val="000000"/>
          <w:spacing w:val="-2"/>
          <w:sz w:val="24"/>
        </w:rPr>
      </w:pPr>
      <w:r>
        <w:rPr>
          <w:b/>
          <w:bCs/>
          <w:color w:val="000000"/>
          <w:spacing w:val="-2"/>
          <w:kern w:val="0"/>
          <w:sz w:val="24"/>
        </w:rPr>
        <w:t>5.7</w:t>
      </w:r>
      <w:r>
        <w:rPr>
          <w:rFonts w:hint="eastAsia" w:ascii="Times New Roman" w:hAnsi="Times New Roman"/>
          <w:b/>
          <w:color w:val="000000"/>
          <w:spacing w:val="-2"/>
          <w:sz w:val="24"/>
        </w:rPr>
        <w:t>支架拆除的监理工作程序：</w:t>
      </w:r>
    </w:p>
    <w:p>
      <w:pPr>
        <w:spacing w:line="460" w:lineRule="exact"/>
        <w:rPr>
          <w:rFonts w:hint="eastAsia" w:ascii="Times New Roman"/>
          <w:b/>
          <w:color w:val="000000"/>
          <w:spacing w:val="-2"/>
          <w:sz w:val="24"/>
        </w:rPr>
      </w:pPr>
      <w:r>
        <w:rPr>
          <w:b/>
          <w:bCs/>
          <w:color w:val="000000"/>
          <w:spacing w:val="-2"/>
          <w:kern w:val="0"/>
          <w:sz w:val="24"/>
        </w:rPr>
        <w:t>5.8</w:t>
      </w:r>
      <w:r>
        <w:rPr>
          <w:rFonts w:hint="eastAsia" w:ascii="Times New Roman" w:hAnsi="Times New Roman"/>
          <w:b/>
          <w:color w:val="000000"/>
          <w:spacing w:val="-2"/>
          <w:sz w:val="24"/>
        </w:rPr>
        <w:t>其他程序或流程：（根据工程实际情况增减、调整）</w:t>
      </w:r>
    </w:p>
    <w:p>
      <w:pPr>
        <w:spacing w:before="240" w:beforeLines="100" w:after="240" w:afterLines="100" w:line="420" w:lineRule="exact"/>
        <w:rPr>
          <w:rFonts w:hint="eastAsia"/>
          <w:b/>
          <w:color w:val="000000"/>
          <w:spacing w:val="-2"/>
          <w:sz w:val="28"/>
          <w:szCs w:val="28"/>
        </w:rPr>
      </w:pPr>
      <w:r>
        <w:rPr>
          <w:b/>
          <w:color w:val="000000"/>
          <w:spacing w:val="-2"/>
          <w:sz w:val="28"/>
          <w:szCs w:val="28"/>
        </w:rPr>
        <w:t xml:space="preserve">6 </w:t>
      </w:r>
      <w:r>
        <w:rPr>
          <w:rFonts w:hint="eastAsia"/>
          <w:b/>
          <w:color w:val="000000"/>
          <w:spacing w:val="-2"/>
          <w:sz w:val="28"/>
          <w:szCs w:val="28"/>
        </w:rPr>
        <w:t>高支模工程监理工作控制要点及目标值</w:t>
      </w:r>
    </w:p>
    <w:p>
      <w:pPr>
        <w:tabs>
          <w:tab w:val="left" w:pos="5780"/>
        </w:tabs>
        <w:autoSpaceDE w:val="0"/>
        <w:autoSpaceDN w:val="0"/>
        <w:adjustRightInd w:val="0"/>
        <w:spacing w:line="460" w:lineRule="exact"/>
        <w:jc w:val="left"/>
        <w:rPr>
          <w:rFonts w:ascii="Times New Roman"/>
          <w:b/>
          <w:color w:val="000000"/>
          <w:spacing w:val="-2"/>
          <w:sz w:val="24"/>
        </w:rPr>
      </w:pPr>
      <w:r>
        <w:rPr>
          <w:b/>
          <w:bCs/>
          <w:color w:val="000000"/>
          <w:spacing w:val="-2"/>
          <w:kern w:val="0"/>
          <w:sz w:val="24"/>
        </w:rPr>
        <w:t>6.1</w:t>
      </w:r>
      <w:r>
        <w:rPr>
          <w:rFonts w:hint="eastAsia" w:ascii="Times New Roman" w:hAnsi="Times New Roman"/>
          <w:b/>
          <w:color w:val="000000"/>
          <w:spacing w:val="-2"/>
          <w:sz w:val="24"/>
        </w:rPr>
        <w:t xml:space="preserve"> 根据施工组织设计文件、施工合同及相关标准的要求，本高支模工程质量目标确定为：</w:t>
      </w:r>
      <w:r>
        <w:rPr>
          <w:rFonts w:hint="eastAsia" w:ascii="Times New Roman" w:hAnsi="Times New Roman"/>
          <w:b/>
          <w:color w:val="000000"/>
          <w:spacing w:val="-2"/>
          <w:sz w:val="24"/>
          <w:u w:val="single"/>
        </w:rPr>
        <w:t xml:space="preserve">                              </w:t>
      </w:r>
      <w:r>
        <w:rPr>
          <w:rFonts w:hint="eastAsia" w:ascii="Times New Roman" w:hAnsi="Times New Roman"/>
          <w:b/>
          <w:color w:val="000000"/>
          <w:spacing w:val="-2"/>
          <w:sz w:val="24"/>
        </w:rPr>
        <w:t>。</w:t>
      </w:r>
    </w:p>
    <w:p>
      <w:pPr>
        <w:spacing w:line="460" w:lineRule="exact"/>
        <w:rPr>
          <w:rFonts w:hint="eastAsia" w:ascii="Times New Roman" w:hAnsi="Times New Roman"/>
          <w:color w:val="000000"/>
          <w:spacing w:val="-2"/>
          <w:sz w:val="24"/>
        </w:rPr>
      </w:pPr>
      <w:r>
        <w:rPr>
          <w:rFonts w:hint="eastAsia" w:ascii="Times New Roman" w:hAnsi="Times New Roman"/>
          <w:color w:val="000000"/>
          <w:spacing w:val="-2"/>
          <w:sz w:val="24"/>
        </w:rPr>
        <w:t>本高支模工程的检验及主要验收内容如下：</w:t>
      </w:r>
    </w:p>
    <w:p>
      <w:pPr>
        <w:spacing w:line="360" w:lineRule="auto"/>
        <w:ind w:left="2" w:leftChars="1" w:firstLine="2124" w:firstLineChars="900"/>
        <w:rPr>
          <w:rFonts w:hint="eastAsia" w:ascii="Times New Roman"/>
          <w:color w:val="000000"/>
          <w:spacing w:val="-2"/>
          <w:sz w:val="24"/>
        </w:rPr>
      </w:pPr>
      <w:r>
        <w:rPr>
          <w:rFonts w:hint="eastAsia" w:ascii="Times New Roman" w:hAnsi="Times New Roman" w:eastAsia="黑体"/>
          <w:color w:val="000000"/>
          <w:spacing w:val="-2"/>
          <w:sz w:val="24"/>
        </w:rPr>
        <w:t>高支模工程检验及主要验收内容一览表</w:t>
      </w:r>
      <w:r>
        <w:rPr>
          <w:rFonts w:hint="eastAsia" w:ascii="Times New Roman" w:hAnsi="Times New Roman"/>
          <w:b/>
          <w:color w:val="000000"/>
          <w:spacing w:val="-2"/>
        </w:rPr>
        <w:t xml:space="preserve"> </w:t>
      </w:r>
      <w:r>
        <w:rPr>
          <w:rFonts w:hint="eastAsia" w:ascii="Times New Roman" w:hAnsi="Times New Roman"/>
          <w:color w:val="000000"/>
          <w:spacing w:val="-2"/>
        </w:rPr>
        <w:t xml:space="preserve">                 表</w:t>
      </w:r>
      <w:r>
        <w:rPr>
          <w:color w:val="000000"/>
          <w:spacing w:val="-2"/>
        </w:rPr>
        <w:t>6.1</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843"/>
        <w:gridCol w:w="599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9" w:type="dxa"/>
            <w:tcBorders>
              <w:top w:val="single" w:color="auto" w:sz="8" w:space="0"/>
              <w:left w:val="single" w:color="auto" w:sz="8" w:space="0"/>
              <w:bottom w:val="single" w:color="auto" w:sz="4" w:space="0"/>
              <w:right w:val="single" w:color="auto" w:sz="4" w:space="0"/>
            </w:tcBorders>
            <w:noWrap w:val="0"/>
            <w:vAlign w:val="center"/>
          </w:tcPr>
          <w:p>
            <w:pPr>
              <w:spacing w:line="30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序号</w:t>
            </w:r>
          </w:p>
        </w:tc>
        <w:tc>
          <w:tcPr>
            <w:tcW w:w="1843" w:type="dxa"/>
            <w:tcBorders>
              <w:top w:val="single" w:color="auto" w:sz="8" w:space="0"/>
              <w:left w:val="single" w:color="auto" w:sz="4" w:space="0"/>
              <w:bottom w:val="single" w:color="auto" w:sz="4" w:space="0"/>
              <w:right w:val="single" w:color="auto" w:sz="4" w:space="0"/>
            </w:tcBorders>
            <w:noWrap w:val="0"/>
            <w:vAlign w:val="center"/>
          </w:tcPr>
          <w:p>
            <w:pPr>
              <w:spacing w:line="30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检验项目</w:t>
            </w:r>
          </w:p>
        </w:tc>
        <w:tc>
          <w:tcPr>
            <w:tcW w:w="5998" w:type="dxa"/>
            <w:tcBorders>
              <w:top w:val="single" w:color="auto" w:sz="8" w:space="0"/>
              <w:left w:val="single" w:color="auto" w:sz="4" w:space="0"/>
              <w:bottom w:val="single" w:color="auto" w:sz="4" w:space="0"/>
              <w:right w:val="single" w:color="auto" w:sz="8" w:space="0"/>
            </w:tcBorders>
            <w:noWrap w:val="0"/>
            <w:vAlign w:val="center"/>
          </w:tcPr>
          <w:p>
            <w:pPr>
              <w:spacing w:line="30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主要验收内容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color w:val="000000"/>
                <w:spacing w:val="-2"/>
                <w:szCs w:val="21"/>
              </w:rPr>
            </w:pPr>
            <w:r>
              <w:rPr>
                <w:color w:val="000000"/>
                <w:spacing w:val="-2"/>
                <w:szCs w:val="21"/>
              </w:rPr>
              <w:t>1</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地基</w:t>
            </w:r>
          </w:p>
        </w:tc>
        <w:tc>
          <w:tcPr>
            <w:tcW w:w="5998"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color w:val="000000"/>
                <w:spacing w:val="-2"/>
                <w:szCs w:val="21"/>
              </w:rPr>
            </w:pPr>
            <w:r>
              <w:rPr>
                <w:color w:val="000000"/>
                <w:spacing w:val="-2"/>
                <w:szCs w:val="21"/>
              </w:rPr>
              <w:t>2</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支架工程</w:t>
            </w:r>
          </w:p>
        </w:tc>
        <w:tc>
          <w:tcPr>
            <w:tcW w:w="5998"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color w:val="000000"/>
                <w:spacing w:val="-2"/>
                <w:szCs w:val="21"/>
              </w:rPr>
            </w:pPr>
            <w:r>
              <w:rPr>
                <w:color w:val="000000"/>
                <w:spacing w:val="-2"/>
                <w:szCs w:val="21"/>
              </w:rPr>
              <w:t>3</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模板工程</w:t>
            </w:r>
          </w:p>
        </w:tc>
        <w:tc>
          <w:tcPr>
            <w:tcW w:w="5998"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9" w:type="dxa"/>
            <w:tcBorders>
              <w:top w:val="single" w:color="auto" w:sz="4" w:space="0"/>
              <w:left w:val="single" w:color="auto" w:sz="8" w:space="0"/>
              <w:bottom w:val="single" w:color="auto" w:sz="8" w:space="0"/>
              <w:right w:val="single" w:color="auto" w:sz="4" w:space="0"/>
            </w:tcBorders>
            <w:noWrap w:val="0"/>
            <w:vAlign w:val="center"/>
          </w:tcPr>
          <w:p>
            <w:pPr>
              <w:spacing w:line="300" w:lineRule="exact"/>
              <w:jc w:val="center"/>
              <w:rPr>
                <w:color w:val="000000"/>
                <w:spacing w:val="-2"/>
                <w:szCs w:val="21"/>
              </w:rPr>
            </w:pPr>
            <w:r>
              <w:rPr>
                <w:color w:val="000000"/>
                <w:spacing w:val="-2"/>
                <w:szCs w:val="21"/>
              </w:rPr>
              <w:t>4</w:t>
            </w:r>
          </w:p>
        </w:tc>
        <w:tc>
          <w:tcPr>
            <w:tcW w:w="1843" w:type="dxa"/>
            <w:tcBorders>
              <w:top w:val="single" w:color="auto" w:sz="4" w:space="0"/>
              <w:left w:val="single" w:color="auto" w:sz="4" w:space="0"/>
              <w:bottom w:val="single" w:color="auto" w:sz="8"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预压后验收</w:t>
            </w:r>
          </w:p>
        </w:tc>
        <w:tc>
          <w:tcPr>
            <w:tcW w:w="5998" w:type="dxa"/>
            <w:tcBorders>
              <w:top w:val="single" w:color="auto" w:sz="4" w:space="0"/>
              <w:left w:val="single" w:color="auto" w:sz="4" w:space="0"/>
              <w:bottom w:val="single" w:color="auto" w:sz="8" w:space="0"/>
              <w:right w:val="single" w:color="auto" w:sz="8" w:space="0"/>
            </w:tcBorders>
            <w:noWrap w:val="0"/>
            <w:vAlign w:val="center"/>
          </w:tcPr>
          <w:p>
            <w:pPr>
              <w:spacing w:line="300" w:lineRule="exact"/>
              <w:jc w:val="center"/>
              <w:rPr>
                <w:rFonts w:ascii="Times New Roman"/>
                <w:color w:val="000000"/>
                <w:spacing w:val="-2"/>
                <w:szCs w:val="21"/>
              </w:rPr>
            </w:pPr>
          </w:p>
        </w:tc>
      </w:tr>
    </w:tbl>
    <w:p>
      <w:pPr>
        <w:spacing w:before="100" w:beforeAutospacing="1" w:after="100" w:afterAutospacing="1"/>
        <w:rPr>
          <w:rFonts w:hint="eastAsia" w:ascii="Times New Roman"/>
          <w:b/>
          <w:color w:val="000000"/>
          <w:spacing w:val="-2"/>
          <w:sz w:val="24"/>
        </w:rPr>
      </w:pPr>
      <w:r>
        <w:rPr>
          <w:b/>
          <w:bCs/>
          <w:color w:val="000000"/>
          <w:spacing w:val="-2"/>
          <w:kern w:val="0"/>
          <w:sz w:val="24"/>
        </w:rPr>
        <w:t>6.2</w:t>
      </w:r>
      <w:r>
        <w:rPr>
          <w:rFonts w:hint="eastAsia" w:ascii="Times New Roman" w:hAnsi="Times New Roman"/>
          <w:b/>
          <w:color w:val="000000"/>
          <w:spacing w:val="-2"/>
          <w:sz w:val="24"/>
        </w:rPr>
        <w:t xml:space="preserve"> 本高支模工程监理质量控制点。</w:t>
      </w:r>
    </w:p>
    <w:p>
      <w:pPr>
        <w:tabs>
          <w:tab w:val="left" w:pos="5780"/>
        </w:tabs>
        <w:autoSpaceDE w:val="0"/>
        <w:autoSpaceDN w:val="0"/>
        <w:adjustRightInd w:val="0"/>
        <w:ind w:left="-15" w:leftChars="-7" w:firstLine="2832" w:firstLineChars="1200"/>
        <w:rPr>
          <w:rFonts w:hint="eastAsia" w:ascii="Times New Roman"/>
          <w:b/>
          <w:color w:val="000000"/>
          <w:spacing w:val="-2"/>
          <w:sz w:val="24"/>
        </w:rPr>
      </w:pPr>
      <w:r>
        <w:rPr>
          <w:rFonts w:hint="eastAsia" w:ascii="Times New Roman" w:hAnsi="Times New Roman" w:eastAsia="黑体"/>
          <w:color w:val="000000"/>
          <w:spacing w:val="-2"/>
          <w:sz w:val="24"/>
        </w:rPr>
        <w:t>高支模工程监理质量控制点一览表</w:t>
      </w:r>
      <w:r>
        <w:rPr>
          <w:rFonts w:hint="eastAsia" w:ascii="Times New Roman" w:hAnsi="Times New Roman"/>
          <w:b/>
          <w:color w:val="000000"/>
          <w:spacing w:val="-2"/>
        </w:rPr>
        <w:t xml:space="preserve">     </w:t>
      </w:r>
      <w:r>
        <w:rPr>
          <w:rFonts w:hint="eastAsia" w:ascii="Times New Roman" w:hAnsi="Times New Roman"/>
          <w:color w:val="000000"/>
          <w:spacing w:val="-2"/>
        </w:rPr>
        <w:t xml:space="preserve">             表</w:t>
      </w:r>
      <w:r>
        <w:rPr>
          <w:color w:val="000000"/>
          <w:spacing w:val="-2"/>
        </w:rPr>
        <w:t>6.2</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59"/>
        <w:gridCol w:w="3878"/>
        <w:gridCol w:w="410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959" w:type="dxa"/>
            <w:tcBorders>
              <w:top w:val="single" w:color="auto" w:sz="8" w:space="0"/>
              <w:left w:val="single" w:color="auto" w:sz="8" w:space="0"/>
              <w:bottom w:val="single" w:color="auto" w:sz="4" w:space="0"/>
              <w:right w:val="single" w:color="auto" w:sz="4" w:space="0"/>
            </w:tcBorders>
            <w:noWrap w:val="0"/>
            <w:vAlign w:val="center"/>
          </w:tcPr>
          <w:p>
            <w:pPr>
              <w:spacing w:line="30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序号</w:t>
            </w:r>
          </w:p>
        </w:tc>
        <w:tc>
          <w:tcPr>
            <w:tcW w:w="3878" w:type="dxa"/>
            <w:tcBorders>
              <w:top w:val="single" w:color="auto" w:sz="8" w:space="0"/>
              <w:left w:val="single" w:color="auto" w:sz="4" w:space="0"/>
              <w:bottom w:val="single" w:color="auto" w:sz="4" w:space="0"/>
              <w:right w:val="single" w:color="auto" w:sz="4" w:space="0"/>
            </w:tcBorders>
            <w:noWrap w:val="0"/>
            <w:vAlign w:val="center"/>
          </w:tcPr>
          <w:p>
            <w:pPr>
              <w:spacing w:line="30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项    目</w:t>
            </w:r>
          </w:p>
        </w:tc>
        <w:tc>
          <w:tcPr>
            <w:tcW w:w="4109" w:type="dxa"/>
            <w:tcBorders>
              <w:top w:val="single" w:color="auto" w:sz="8" w:space="0"/>
              <w:left w:val="single" w:color="auto" w:sz="4" w:space="0"/>
              <w:bottom w:val="single" w:color="auto" w:sz="4" w:space="0"/>
              <w:right w:val="single" w:color="auto" w:sz="8" w:space="0"/>
            </w:tcBorders>
            <w:noWrap w:val="0"/>
            <w:vAlign w:val="center"/>
          </w:tcPr>
          <w:p>
            <w:pPr>
              <w:spacing w:line="30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控制点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1</w:t>
            </w:r>
          </w:p>
        </w:tc>
        <w:tc>
          <w:tcPr>
            <w:tcW w:w="387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施工单位资质</w:t>
            </w:r>
          </w:p>
        </w:tc>
        <w:tc>
          <w:tcPr>
            <w:tcW w:w="4109"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2</w:t>
            </w:r>
          </w:p>
        </w:tc>
        <w:tc>
          <w:tcPr>
            <w:tcW w:w="387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高支模施工方案</w:t>
            </w:r>
          </w:p>
        </w:tc>
        <w:tc>
          <w:tcPr>
            <w:tcW w:w="4109"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3</w:t>
            </w:r>
          </w:p>
        </w:tc>
        <w:tc>
          <w:tcPr>
            <w:tcW w:w="387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地基处理</w:t>
            </w:r>
          </w:p>
        </w:tc>
        <w:tc>
          <w:tcPr>
            <w:tcW w:w="4109"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4</w:t>
            </w:r>
          </w:p>
        </w:tc>
        <w:tc>
          <w:tcPr>
            <w:tcW w:w="387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支架搭设</w:t>
            </w:r>
          </w:p>
        </w:tc>
        <w:tc>
          <w:tcPr>
            <w:tcW w:w="4109"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5</w:t>
            </w:r>
          </w:p>
        </w:tc>
        <w:tc>
          <w:tcPr>
            <w:tcW w:w="387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模板安装</w:t>
            </w:r>
          </w:p>
        </w:tc>
        <w:tc>
          <w:tcPr>
            <w:tcW w:w="4109"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6</w:t>
            </w:r>
          </w:p>
        </w:tc>
        <w:tc>
          <w:tcPr>
            <w:tcW w:w="387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支架预压</w:t>
            </w:r>
          </w:p>
        </w:tc>
        <w:tc>
          <w:tcPr>
            <w:tcW w:w="4109"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959" w:type="dxa"/>
            <w:tcBorders>
              <w:top w:val="single" w:color="auto" w:sz="4" w:space="0"/>
              <w:left w:val="single" w:color="auto" w:sz="8"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7</w:t>
            </w:r>
          </w:p>
        </w:tc>
        <w:tc>
          <w:tcPr>
            <w:tcW w:w="3878"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混凝土浇筑过程的监测</w:t>
            </w:r>
          </w:p>
        </w:tc>
        <w:tc>
          <w:tcPr>
            <w:tcW w:w="4109" w:type="dxa"/>
            <w:tcBorders>
              <w:top w:val="single" w:color="auto" w:sz="4" w:space="0"/>
              <w:left w:val="single" w:color="auto" w:sz="4" w:space="0"/>
              <w:bottom w:val="single" w:color="auto" w:sz="4" w:space="0"/>
              <w:right w:val="single" w:color="auto" w:sz="8" w:space="0"/>
            </w:tcBorders>
            <w:noWrap w:val="0"/>
            <w:vAlign w:val="center"/>
          </w:tcPr>
          <w:p>
            <w:pPr>
              <w:spacing w:line="30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9" w:hRule="exact"/>
          <w:jc w:val="center"/>
        </w:trPr>
        <w:tc>
          <w:tcPr>
            <w:tcW w:w="959" w:type="dxa"/>
            <w:tcBorders>
              <w:top w:val="single" w:color="auto" w:sz="4" w:space="0"/>
              <w:left w:val="single" w:color="auto" w:sz="8" w:space="0"/>
              <w:bottom w:val="single" w:color="auto" w:sz="8"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8</w:t>
            </w:r>
          </w:p>
        </w:tc>
        <w:tc>
          <w:tcPr>
            <w:tcW w:w="3878" w:type="dxa"/>
            <w:tcBorders>
              <w:top w:val="single" w:color="auto" w:sz="4" w:space="0"/>
              <w:left w:val="single" w:color="auto" w:sz="4" w:space="0"/>
              <w:bottom w:val="single" w:color="auto" w:sz="8" w:space="0"/>
              <w:right w:val="single" w:color="auto" w:sz="4" w:space="0"/>
            </w:tcBorders>
            <w:noWrap w:val="0"/>
            <w:vAlign w:val="center"/>
          </w:tcPr>
          <w:p>
            <w:pPr>
              <w:spacing w:line="300" w:lineRule="exact"/>
              <w:jc w:val="center"/>
              <w:rPr>
                <w:rFonts w:ascii="Times New Roman"/>
                <w:color w:val="000000"/>
                <w:spacing w:val="-2"/>
                <w:szCs w:val="21"/>
              </w:rPr>
            </w:pPr>
            <w:r>
              <w:rPr>
                <w:rFonts w:hint="eastAsia" w:ascii="Times New Roman" w:hAnsi="Times New Roman"/>
                <w:color w:val="000000"/>
                <w:spacing w:val="-2"/>
                <w:szCs w:val="21"/>
              </w:rPr>
              <w:t>支架拆除</w:t>
            </w:r>
          </w:p>
        </w:tc>
        <w:tc>
          <w:tcPr>
            <w:tcW w:w="4109" w:type="dxa"/>
            <w:tcBorders>
              <w:top w:val="single" w:color="auto" w:sz="4" w:space="0"/>
              <w:left w:val="single" w:color="auto" w:sz="4" w:space="0"/>
              <w:bottom w:val="single" w:color="auto" w:sz="8" w:space="0"/>
              <w:right w:val="single" w:color="auto" w:sz="8" w:space="0"/>
            </w:tcBorders>
            <w:noWrap w:val="0"/>
            <w:vAlign w:val="center"/>
          </w:tcPr>
          <w:p>
            <w:pPr>
              <w:spacing w:line="300" w:lineRule="exact"/>
              <w:jc w:val="center"/>
              <w:rPr>
                <w:rFonts w:ascii="Times New Roman"/>
                <w:color w:val="000000"/>
                <w:spacing w:val="-2"/>
                <w:szCs w:val="21"/>
              </w:rPr>
            </w:pPr>
          </w:p>
        </w:tc>
      </w:tr>
    </w:tbl>
    <w:p>
      <w:pPr>
        <w:spacing w:line="460" w:lineRule="exact"/>
        <w:rPr>
          <w:rFonts w:hint="eastAsia" w:ascii="Times New Roman"/>
          <w:b/>
          <w:color w:val="000000"/>
          <w:spacing w:val="-2"/>
          <w:sz w:val="24"/>
        </w:rPr>
      </w:pPr>
      <w:r>
        <w:rPr>
          <w:b/>
          <w:color w:val="000000"/>
          <w:spacing w:val="-2"/>
          <w:sz w:val="24"/>
        </w:rPr>
        <w:t xml:space="preserve">6.3 </w:t>
      </w:r>
      <w:r>
        <w:rPr>
          <w:rFonts w:hint="eastAsia" w:ascii="Times New Roman" w:hAnsi="Times New Roman"/>
          <w:b/>
          <w:color w:val="000000"/>
          <w:spacing w:val="-2"/>
          <w:sz w:val="24"/>
        </w:rPr>
        <w:t>材料、设备进场检查验收。</w:t>
      </w:r>
    </w:p>
    <w:p>
      <w:pPr>
        <w:pStyle w:val="4"/>
        <w:spacing w:before="0" w:after="0" w:line="460" w:lineRule="exact"/>
        <w:rPr>
          <w:rFonts w:hint="eastAsia" w:ascii="Times New Roman"/>
          <w:color w:val="000000"/>
          <w:spacing w:val="-2"/>
          <w:sz w:val="24"/>
          <w:szCs w:val="24"/>
        </w:rPr>
      </w:pPr>
      <w:r>
        <w:rPr>
          <w:color w:val="000000"/>
          <w:spacing w:val="-2"/>
          <w:sz w:val="24"/>
          <w:szCs w:val="24"/>
        </w:rPr>
        <w:t xml:space="preserve">6.3.1 </w:t>
      </w:r>
      <w:r>
        <w:rPr>
          <w:rFonts w:hint="eastAsia" w:ascii="Times New Roman" w:hAnsi="Times New Roman"/>
          <w:b w:val="0"/>
          <w:color w:val="000000"/>
          <w:spacing w:val="-2"/>
          <w:sz w:val="24"/>
          <w:szCs w:val="24"/>
        </w:rPr>
        <w:t>专业监理工程师对高支模工程所用进场材料和设备检查内容有：</w:t>
      </w:r>
      <w:r>
        <w:rPr>
          <w:rFonts w:hint="eastAsia" w:ascii="Times New Roman" w:hAnsi="Times New Roman"/>
          <w:color w:val="000000"/>
          <w:spacing w:val="-2"/>
          <w:sz w:val="24"/>
          <w:szCs w:val="24"/>
          <w:u w:val="single"/>
        </w:rPr>
        <w:t xml:space="preserve">           </w:t>
      </w:r>
      <w:r>
        <w:rPr>
          <w:rFonts w:hint="eastAsia" w:ascii="Times New Roman" w:hAnsi="Times New Roman"/>
          <w:color w:val="000000"/>
          <w:spacing w:val="-2"/>
          <w:sz w:val="24"/>
          <w:szCs w:val="24"/>
        </w:rPr>
        <w:t>。</w:t>
      </w:r>
    </w:p>
    <w:p>
      <w:pPr>
        <w:pStyle w:val="4"/>
        <w:spacing w:before="0" w:after="0" w:line="460" w:lineRule="exact"/>
        <w:rPr>
          <w:rFonts w:hint="eastAsia" w:ascii="Times New Roman"/>
          <w:b w:val="0"/>
          <w:color w:val="000000"/>
          <w:spacing w:val="-2"/>
          <w:sz w:val="24"/>
          <w:szCs w:val="24"/>
        </w:rPr>
      </w:pPr>
      <w:r>
        <w:rPr>
          <w:color w:val="000000"/>
          <w:spacing w:val="-2"/>
          <w:sz w:val="24"/>
          <w:szCs w:val="24"/>
        </w:rPr>
        <w:t>6.3.2</w:t>
      </w:r>
      <w:r>
        <w:rPr>
          <w:b w:val="0"/>
          <w:color w:val="000000"/>
          <w:spacing w:val="-2"/>
          <w:sz w:val="24"/>
          <w:szCs w:val="24"/>
        </w:rPr>
        <w:t xml:space="preserve"> </w:t>
      </w:r>
      <w:r>
        <w:rPr>
          <w:rFonts w:hint="eastAsia"/>
          <w:b w:val="0"/>
          <w:color w:val="000000"/>
          <w:spacing w:val="-2"/>
          <w:sz w:val="24"/>
          <w:szCs w:val="24"/>
        </w:rPr>
        <w:t>材料的见证取样：</w:t>
      </w:r>
    </w:p>
    <w:p>
      <w:pPr>
        <w:ind w:left="13" w:leftChars="6" w:firstLine="1888" w:firstLineChars="800"/>
        <w:rPr>
          <w:rFonts w:hint="eastAsia" w:ascii="Times New Roman"/>
          <w:color w:val="000000"/>
          <w:spacing w:val="-2"/>
          <w:sz w:val="24"/>
        </w:rPr>
      </w:pPr>
      <w:r>
        <w:rPr>
          <w:rFonts w:hint="eastAsia" w:ascii="Times New Roman" w:hAnsi="Times New Roman" w:eastAsia="黑体"/>
          <w:color w:val="000000"/>
          <w:spacing w:val="-2"/>
          <w:sz w:val="24"/>
        </w:rPr>
        <w:t>高支模工程监理</w:t>
      </w:r>
      <w:r>
        <w:rPr>
          <w:rFonts w:hint="eastAsia" w:ascii="Times New Roman" w:eastAsia="黑体"/>
          <w:color w:val="000000"/>
          <w:spacing w:val="-2"/>
          <w:sz w:val="24"/>
        </w:rPr>
        <w:t>材料的见证取样</w:t>
      </w:r>
      <w:r>
        <w:rPr>
          <w:rFonts w:hint="eastAsia" w:ascii="Times New Roman" w:hAnsi="Times New Roman" w:eastAsia="黑体"/>
          <w:color w:val="000000"/>
          <w:spacing w:val="-2"/>
          <w:sz w:val="24"/>
        </w:rPr>
        <w:t>一览表</w:t>
      </w:r>
      <w:r>
        <w:rPr>
          <w:rFonts w:hint="eastAsia" w:ascii="Times New Roman" w:hAnsi="Times New Roman"/>
          <w:color w:val="000000"/>
          <w:spacing w:val="-2"/>
        </w:rPr>
        <w:t xml:space="preserve">                    表</w:t>
      </w:r>
      <w:r>
        <w:rPr>
          <w:color w:val="000000"/>
          <w:spacing w:val="-2"/>
        </w:rPr>
        <w:t>6.3</w:t>
      </w:r>
      <w:r>
        <w:rPr>
          <w:rFonts w:hint="eastAsia" w:ascii="Times New Roman" w:hAnsi="Times New Roman"/>
          <w:color w:val="000000"/>
          <w:spacing w:val="-2"/>
          <w:sz w:val="24"/>
        </w:rPr>
        <w:t xml:space="preserve">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61"/>
        <w:gridCol w:w="2665"/>
        <w:gridCol w:w="3138"/>
        <w:gridCol w:w="218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exact"/>
          <w:tblHeader/>
          <w:jc w:val="center"/>
        </w:trPr>
        <w:tc>
          <w:tcPr>
            <w:tcW w:w="961"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序号</w:t>
            </w:r>
          </w:p>
        </w:tc>
        <w:tc>
          <w:tcPr>
            <w:tcW w:w="2665"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材料名称</w:t>
            </w:r>
          </w:p>
        </w:tc>
        <w:tc>
          <w:tcPr>
            <w:tcW w:w="3138"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要求    抽检数量</w:t>
            </w:r>
          </w:p>
        </w:tc>
        <w:tc>
          <w:tcPr>
            <w:tcW w:w="2182" w:type="dxa"/>
            <w:tcBorders>
              <w:top w:val="single" w:color="auto" w:sz="8" w:space="0"/>
              <w:left w:val="single" w:color="auto" w:sz="4" w:space="0"/>
              <w:bottom w:val="single" w:color="auto" w:sz="4" w:space="0"/>
              <w:right w:val="single" w:color="auto" w:sz="8" w:space="0"/>
            </w:tcBorders>
            <w:noWrap w:val="0"/>
            <w:vAlign w:val="center"/>
          </w:tcPr>
          <w:p>
            <w:pPr>
              <w:spacing w:line="240" w:lineRule="exact"/>
              <w:jc w:val="center"/>
              <w:rPr>
                <w:rFonts w:ascii="Times New Roman" w:hAnsi="Times New Roman" w:eastAsia="黑体"/>
                <w:color w:val="000000"/>
                <w:spacing w:val="-2"/>
                <w:szCs w:val="21"/>
              </w:rPr>
            </w:pPr>
            <w:r>
              <w:rPr>
                <w:rFonts w:hint="eastAsia" w:ascii="Times New Roman" w:hAnsi="Times New Roman" w:eastAsia="黑体"/>
                <w:color w:val="000000"/>
                <w:spacing w:val="-2"/>
                <w:szCs w:val="21"/>
              </w:rPr>
              <w:t>检验方法</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6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szCs w:val="21"/>
              </w:rPr>
            </w:pPr>
            <w:r>
              <w:rPr>
                <w:color w:val="000000"/>
                <w:spacing w:val="-2"/>
                <w:szCs w:val="21"/>
              </w:rPr>
              <w:t>1</w:t>
            </w:r>
          </w:p>
        </w:tc>
        <w:tc>
          <w:tcPr>
            <w:tcW w:w="266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r>
              <w:rPr>
                <w:rFonts w:hint="eastAsia" w:ascii="Times New Roman" w:hAnsi="Times New Roman"/>
                <w:color w:val="000000"/>
                <w:spacing w:val="-2"/>
                <w:szCs w:val="21"/>
              </w:rPr>
              <w:t>支（构）材料</w:t>
            </w:r>
          </w:p>
        </w:tc>
        <w:tc>
          <w:tcPr>
            <w:tcW w:w="313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p>
        </w:tc>
        <w:tc>
          <w:tcPr>
            <w:tcW w:w="2182" w:type="dxa"/>
            <w:tcBorders>
              <w:top w:val="single" w:color="auto" w:sz="4" w:space="0"/>
              <w:left w:val="single" w:color="auto" w:sz="4" w:space="0"/>
              <w:bottom w:val="single" w:color="auto" w:sz="4" w:space="0"/>
              <w:right w:val="single" w:color="auto" w:sz="8" w:space="0"/>
            </w:tcBorders>
            <w:noWrap w:val="0"/>
            <w:vAlign w:val="center"/>
          </w:tcPr>
          <w:p>
            <w:pPr>
              <w:spacing w:line="240" w:lineRule="exact"/>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6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szCs w:val="21"/>
              </w:rPr>
            </w:pPr>
            <w:r>
              <w:rPr>
                <w:color w:val="000000"/>
                <w:spacing w:val="-2"/>
                <w:szCs w:val="21"/>
              </w:rPr>
              <w:t>2</w:t>
            </w:r>
          </w:p>
        </w:tc>
        <w:tc>
          <w:tcPr>
            <w:tcW w:w="266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r>
              <w:rPr>
                <w:rFonts w:hint="eastAsia" w:ascii="Times New Roman" w:hAnsi="Times New Roman"/>
                <w:color w:val="000000"/>
                <w:spacing w:val="-2"/>
                <w:szCs w:val="21"/>
              </w:rPr>
              <w:t>扣  件</w:t>
            </w:r>
          </w:p>
        </w:tc>
        <w:tc>
          <w:tcPr>
            <w:tcW w:w="313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p>
        </w:tc>
        <w:tc>
          <w:tcPr>
            <w:tcW w:w="2182"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6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szCs w:val="21"/>
              </w:rPr>
            </w:pPr>
            <w:r>
              <w:rPr>
                <w:color w:val="000000"/>
                <w:spacing w:val="-2"/>
                <w:szCs w:val="21"/>
              </w:rPr>
              <w:t>3</w:t>
            </w:r>
          </w:p>
        </w:tc>
        <w:tc>
          <w:tcPr>
            <w:tcW w:w="266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r>
              <w:rPr>
                <w:rFonts w:hint="eastAsia" w:ascii="Times New Roman" w:hAnsi="Times New Roman"/>
                <w:color w:val="000000"/>
                <w:spacing w:val="-2"/>
                <w:szCs w:val="21"/>
              </w:rPr>
              <w:t>模板</w:t>
            </w:r>
          </w:p>
        </w:tc>
        <w:tc>
          <w:tcPr>
            <w:tcW w:w="313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p>
        </w:tc>
        <w:tc>
          <w:tcPr>
            <w:tcW w:w="2182"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6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szCs w:val="21"/>
              </w:rPr>
            </w:pPr>
            <w:r>
              <w:rPr>
                <w:color w:val="000000"/>
                <w:spacing w:val="-2"/>
                <w:szCs w:val="21"/>
              </w:rPr>
              <w:t>4</w:t>
            </w:r>
          </w:p>
        </w:tc>
        <w:tc>
          <w:tcPr>
            <w:tcW w:w="266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r>
              <w:rPr>
                <w:rFonts w:hint="eastAsia" w:ascii="Times New Roman" w:hAnsi="Times New Roman"/>
                <w:color w:val="000000"/>
                <w:spacing w:val="-2"/>
                <w:szCs w:val="21"/>
              </w:rPr>
              <w:t>…</w:t>
            </w:r>
          </w:p>
        </w:tc>
        <w:tc>
          <w:tcPr>
            <w:tcW w:w="313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p>
        </w:tc>
        <w:tc>
          <w:tcPr>
            <w:tcW w:w="2182"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6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szCs w:val="21"/>
              </w:rPr>
            </w:pPr>
            <w:r>
              <w:rPr>
                <w:color w:val="000000"/>
                <w:spacing w:val="-2"/>
                <w:szCs w:val="21"/>
              </w:rPr>
              <w:t>5</w:t>
            </w:r>
          </w:p>
        </w:tc>
        <w:tc>
          <w:tcPr>
            <w:tcW w:w="266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r>
              <w:rPr>
                <w:rFonts w:hint="eastAsia" w:ascii="Times New Roman" w:hAnsi="Times New Roman"/>
                <w:color w:val="000000"/>
                <w:spacing w:val="-2"/>
                <w:szCs w:val="21"/>
              </w:rPr>
              <w:t>…</w:t>
            </w:r>
          </w:p>
        </w:tc>
        <w:tc>
          <w:tcPr>
            <w:tcW w:w="313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szCs w:val="21"/>
              </w:rPr>
            </w:pPr>
          </w:p>
        </w:tc>
        <w:tc>
          <w:tcPr>
            <w:tcW w:w="2182"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961" w:type="dxa"/>
            <w:tcBorders>
              <w:top w:val="single" w:color="auto" w:sz="4" w:space="0"/>
              <w:left w:val="single" w:color="auto" w:sz="8" w:space="0"/>
              <w:bottom w:val="single" w:color="auto" w:sz="8" w:space="0"/>
              <w:right w:val="single" w:color="auto" w:sz="4" w:space="0"/>
            </w:tcBorders>
            <w:noWrap w:val="0"/>
            <w:vAlign w:val="center"/>
          </w:tcPr>
          <w:p>
            <w:pPr>
              <w:spacing w:line="240" w:lineRule="exact"/>
              <w:jc w:val="center"/>
              <w:rPr>
                <w:color w:val="000000"/>
                <w:spacing w:val="-2"/>
                <w:szCs w:val="21"/>
              </w:rPr>
            </w:pPr>
            <w:r>
              <w:rPr>
                <w:color w:val="000000"/>
                <w:spacing w:val="-2"/>
                <w:szCs w:val="21"/>
              </w:rPr>
              <w:t>6</w:t>
            </w:r>
          </w:p>
        </w:tc>
        <w:tc>
          <w:tcPr>
            <w:tcW w:w="2665" w:type="dxa"/>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rPr>
                <w:rFonts w:ascii="Times New Roman"/>
                <w:color w:val="000000"/>
                <w:spacing w:val="-2"/>
                <w:szCs w:val="21"/>
              </w:rPr>
            </w:pPr>
            <w:r>
              <w:rPr>
                <w:rFonts w:hint="eastAsia" w:ascii="Times New Roman" w:hAnsi="Times New Roman"/>
                <w:color w:val="000000"/>
                <w:spacing w:val="-2"/>
                <w:szCs w:val="21"/>
              </w:rPr>
              <w:t>…</w:t>
            </w:r>
          </w:p>
        </w:tc>
        <w:tc>
          <w:tcPr>
            <w:tcW w:w="3138" w:type="dxa"/>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rPr>
                <w:rFonts w:ascii="Times New Roman"/>
                <w:color w:val="000000"/>
                <w:spacing w:val="-2"/>
                <w:szCs w:val="21"/>
              </w:rPr>
            </w:pPr>
          </w:p>
        </w:tc>
        <w:tc>
          <w:tcPr>
            <w:tcW w:w="2182" w:type="dxa"/>
            <w:tcBorders>
              <w:top w:val="single" w:color="auto" w:sz="4" w:space="0"/>
              <w:left w:val="single" w:color="auto" w:sz="4" w:space="0"/>
              <w:bottom w:val="single" w:color="auto" w:sz="8" w:space="0"/>
              <w:right w:val="single" w:color="auto" w:sz="8" w:space="0"/>
            </w:tcBorders>
            <w:noWrap w:val="0"/>
            <w:vAlign w:val="center"/>
          </w:tcPr>
          <w:p>
            <w:pPr>
              <w:spacing w:line="240" w:lineRule="exact"/>
              <w:jc w:val="center"/>
              <w:rPr>
                <w:rFonts w:ascii="Times New Roman"/>
                <w:color w:val="000000"/>
                <w:spacing w:val="-2"/>
                <w:szCs w:val="21"/>
              </w:rPr>
            </w:pPr>
          </w:p>
        </w:tc>
      </w:tr>
    </w:tbl>
    <w:p>
      <w:pPr>
        <w:rPr>
          <w:rFonts w:hint="eastAsia" w:ascii="Times New Roman"/>
          <w:b/>
          <w:iCs/>
          <w:color w:val="000000"/>
          <w:spacing w:val="-2"/>
          <w:sz w:val="24"/>
        </w:rPr>
      </w:pPr>
    </w:p>
    <w:p>
      <w:pPr>
        <w:spacing w:line="460" w:lineRule="exact"/>
        <w:rPr>
          <w:rFonts w:hint="eastAsia" w:ascii="Times New Roman"/>
          <w:b/>
          <w:color w:val="000000"/>
          <w:spacing w:val="-2"/>
          <w:sz w:val="24"/>
        </w:rPr>
      </w:pPr>
      <w:r>
        <w:rPr>
          <w:b/>
          <w:color w:val="000000"/>
          <w:spacing w:val="-2"/>
          <w:sz w:val="24"/>
        </w:rPr>
        <w:t>6.4</w:t>
      </w:r>
      <w:r>
        <w:rPr>
          <w:rFonts w:hint="eastAsia" w:ascii="Times New Roman" w:hAnsi="Times New Roman"/>
          <w:b/>
          <w:color w:val="000000"/>
          <w:spacing w:val="-2"/>
          <w:sz w:val="24"/>
        </w:rPr>
        <w:t xml:space="preserve"> 高支模方案设计要求。</w:t>
      </w:r>
    </w:p>
    <w:p>
      <w:pPr>
        <w:tabs>
          <w:tab w:val="left" w:pos="540"/>
          <w:tab w:val="left" w:pos="7020"/>
        </w:tabs>
        <w:autoSpaceDE w:val="0"/>
        <w:autoSpaceDN w:val="0"/>
        <w:adjustRightInd w:val="0"/>
        <w:spacing w:line="460" w:lineRule="exact"/>
        <w:ind w:firstLine="472" w:firstLineChars="200"/>
        <w:jc w:val="left"/>
        <w:rPr>
          <w:rFonts w:hint="eastAsia" w:ascii="Times New Roman" w:cs="宋体"/>
          <w:color w:val="000000"/>
          <w:spacing w:val="-2"/>
          <w:kern w:val="0"/>
          <w:sz w:val="24"/>
        </w:rPr>
      </w:pPr>
      <w:r>
        <w:rPr>
          <w:rFonts w:hint="eastAsia" w:ascii="Times New Roman" w:hAnsi="Times New Roman"/>
          <w:color w:val="000000"/>
          <w:spacing w:val="-2"/>
          <w:kern w:val="0"/>
          <w:sz w:val="24"/>
        </w:rPr>
        <w:t>以下专项施工方案施工单位应编制专项施工方案：①</w:t>
      </w:r>
      <w:r>
        <w:rPr>
          <w:rFonts w:hint="eastAsia" w:ascii="Times New Roman" w:hAnsi="Times New Roman" w:cs="宋体"/>
          <w:color w:val="000000"/>
          <w:spacing w:val="-2"/>
          <w:kern w:val="0"/>
          <w:sz w:val="24"/>
        </w:rPr>
        <w:t>搭设高度5m及以上；</w:t>
      </w:r>
      <w:r>
        <w:rPr>
          <w:rFonts w:hint="eastAsia" w:ascii="Times New Roman" w:hAnsi="Times New Roman"/>
          <w:color w:val="000000"/>
          <w:spacing w:val="-2"/>
          <w:kern w:val="0"/>
          <w:sz w:val="24"/>
        </w:rPr>
        <w:t>②</w:t>
      </w:r>
      <w:r>
        <w:rPr>
          <w:rFonts w:hint="eastAsia" w:ascii="Times New Roman" w:hAnsi="Times New Roman" w:cs="宋体"/>
          <w:color w:val="000000"/>
          <w:spacing w:val="-2"/>
          <w:kern w:val="0"/>
          <w:sz w:val="24"/>
        </w:rPr>
        <w:t>搭设跨度10m及以上；</w:t>
      </w:r>
      <w:r>
        <w:rPr>
          <w:rFonts w:hint="eastAsia" w:ascii="Times New Roman" w:hAnsi="Times New Roman"/>
          <w:color w:val="000000"/>
          <w:spacing w:val="-2"/>
          <w:kern w:val="0"/>
          <w:sz w:val="24"/>
        </w:rPr>
        <w:t>③</w:t>
      </w:r>
      <w:r>
        <w:rPr>
          <w:rFonts w:hint="eastAsia" w:ascii="Times New Roman" w:hAnsi="Times New Roman" w:cs="宋体"/>
          <w:color w:val="000000"/>
          <w:spacing w:val="-2"/>
          <w:kern w:val="0"/>
          <w:sz w:val="24"/>
        </w:rPr>
        <w:t>施工总荷载10kN/m</w:t>
      </w:r>
      <w:r>
        <w:rPr>
          <w:rFonts w:hint="eastAsia" w:ascii="Times New Roman" w:hAnsi="Times New Roman" w:cs="宋体"/>
          <w:color w:val="000000"/>
          <w:spacing w:val="-2"/>
          <w:kern w:val="0"/>
          <w:sz w:val="24"/>
          <w:vertAlign w:val="superscript"/>
        </w:rPr>
        <w:t>2</w:t>
      </w:r>
      <w:r>
        <w:rPr>
          <w:rFonts w:hint="eastAsia" w:ascii="Times New Roman" w:hAnsi="Times New Roman" w:cs="宋体"/>
          <w:color w:val="000000"/>
          <w:spacing w:val="-2"/>
          <w:kern w:val="0"/>
          <w:sz w:val="24"/>
        </w:rPr>
        <w:t>及以上；</w:t>
      </w:r>
      <w:r>
        <w:rPr>
          <w:rFonts w:hint="eastAsia" w:ascii="Times New Roman" w:hAnsi="Times New Roman"/>
          <w:color w:val="000000"/>
          <w:spacing w:val="-2"/>
          <w:kern w:val="0"/>
          <w:sz w:val="24"/>
        </w:rPr>
        <w:t>④</w:t>
      </w:r>
      <w:r>
        <w:rPr>
          <w:rFonts w:hint="eastAsia" w:ascii="Times New Roman" w:hAnsi="Times New Roman" w:cs="宋体"/>
          <w:color w:val="000000"/>
          <w:spacing w:val="-2"/>
          <w:kern w:val="0"/>
          <w:sz w:val="24"/>
        </w:rPr>
        <w:t>集中线荷载15kN/m及以上；⑤高度大于支撑水平投影宽度且相对独立无联系构件的混凝土模板支撑工程。</w:t>
      </w:r>
    </w:p>
    <w:p>
      <w:pPr>
        <w:tabs>
          <w:tab w:val="left" w:pos="540"/>
          <w:tab w:val="left" w:pos="7020"/>
        </w:tabs>
        <w:autoSpaceDE w:val="0"/>
        <w:autoSpaceDN w:val="0"/>
        <w:adjustRightInd w:val="0"/>
        <w:spacing w:line="460" w:lineRule="exact"/>
        <w:ind w:firstLine="472" w:firstLineChars="200"/>
        <w:jc w:val="left"/>
        <w:rPr>
          <w:rFonts w:hint="eastAsia" w:ascii="Times New Roman"/>
          <w:color w:val="000000"/>
          <w:spacing w:val="-2"/>
          <w:kern w:val="0"/>
          <w:sz w:val="24"/>
        </w:rPr>
      </w:pPr>
      <w:r>
        <w:rPr>
          <w:rFonts w:hint="eastAsia" w:ascii="Times New Roman" w:hAnsi="Times New Roman"/>
          <w:color w:val="000000"/>
          <w:spacing w:val="-2"/>
          <w:kern w:val="0"/>
          <w:sz w:val="24"/>
        </w:rPr>
        <w:t>以下专项施工方案施工单位应组织专家组论证审查：①高度超过 8m及以上；②搭设 跨度超过18m及以上；③ 施工总荷载15</w:t>
      </w:r>
      <w:r>
        <w:rPr>
          <w:rFonts w:hint="eastAsia" w:ascii="Times New Roman" w:hAnsi="Times New Roman" w:cs="宋体"/>
          <w:color w:val="000000"/>
          <w:spacing w:val="-2"/>
          <w:kern w:val="0"/>
          <w:sz w:val="24"/>
        </w:rPr>
        <w:t>k</w:t>
      </w:r>
      <w:r>
        <w:rPr>
          <w:rFonts w:hint="eastAsia" w:ascii="Times New Roman" w:hAnsi="Times New Roman"/>
          <w:color w:val="000000"/>
          <w:spacing w:val="-2"/>
          <w:kern w:val="0"/>
          <w:sz w:val="24"/>
        </w:rPr>
        <w:t>N/m</w:t>
      </w:r>
      <w:r>
        <w:rPr>
          <w:rFonts w:hint="eastAsia" w:ascii="Times New Roman" w:hAnsi="Times New Roman"/>
          <w:color w:val="000000"/>
          <w:spacing w:val="-2"/>
          <w:kern w:val="0"/>
          <w:sz w:val="24"/>
          <w:vertAlign w:val="superscript"/>
        </w:rPr>
        <w:t>2</w:t>
      </w:r>
      <w:r>
        <w:rPr>
          <w:rFonts w:hint="eastAsia" w:ascii="Times New Roman" w:hAnsi="Times New Roman"/>
          <w:color w:val="000000"/>
          <w:spacing w:val="-2"/>
          <w:kern w:val="0"/>
          <w:sz w:val="24"/>
        </w:rPr>
        <w:t>及以上；④ 集中线荷载20</w:t>
      </w:r>
      <w:r>
        <w:rPr>
          <w:rFonts w:hint="eastAsia" w:ascii="Times New Roman" w:hAnsi="Times New Roman" w:cs="宋体"/>
          <w:color w:val="000000"/>
          <w:spacing w:val="-2"/>
          <w:kern w:val="0"/>
          <w:sz w:val="24"/>
        </w:rPr>
        <w:t>k</w:t>
      </w:r>
      <w:r>
        <w:rPr>
          <w:rFonts w:hint="eastAsia" w:ascii="Times New Roman" w:hAnsi="Times New Roman"/>
          <w:color w:val="000000"/>
          <w:spacing w:val="-2"/>
          <w:kern w:val="0"/>
          <w:sz w:val="24"/>
        </w:rPr>
        <w:t>N/m及以上。</w:t>
      </w:r>
    </w:p>
    <w:p>
      <w:pPr>
        <w:tabs>
          <w:tab w:val="left" w:pos="540"/>
          <w:tab w:val="left" w:pos="7020"/>
        </w:tabs>
        <w:autoSpaceDE w:val="0"/>
        <w:autoSpaceDN w:val="0"/>
        <w:adjustRightInd w:val="0"/>
        <w:spacing w:line="460" w:lineRule="exact"/>
        <w:ind w:firstLine="472" w:firstLineChars="200"/>
        <w:jc w:val="left"/>
        <w:rPr>
          <w:rFonts w:hint="eastAsia" w:ascii="Times New Roman"/>
          <w:color w:val="000000"/>
          <w:spacing w:val="-2"/>
          <w:kern w:val="0"/>
          <w:sz w:val="24"/>
        </w:rPr>
      </w:pPr>
      <w:r>
        <w:rPr>
          <w:rFonts w:hint="eastAsia" w:ascii="Times New Roman" w:hAnsi="Times New Roman"/>
          <w:color w:val="000000"/>
          <w:spacing w:val="-2"/>
          <w:kern w:val="0"/>
          <w:sz w:val="24"/>
        </w:rPr>
        <w:t>对于设通道、通航的支架应做专门的设计与计算。</w:t>
      </w:r>
    </w:p>
    <w:p>
      <w:pPr>
        <w:spacing w:line="460" w:lineRule="exact"/>
        <w:rPr>
          <w:rFonts w:hint="eastAsia" w:ascii="Times New Roman"/>
          <w:b/>
          <w:color w:val="000000"/>
          <w:spacing w:val="-2"/>
          <w:sz w:val="24"/>
        </w:rPr>
      </w:pPr>
      <w:r>
        <w:rPr>
          <w:b/>
          <w:color w:val="000000"/>
          <w:spacing w:val="-2"/>
          <w:sz w:val="24"/>
        </w:rPr>
        <w:t xml:space="preserve">6.5 </w:t>
      </w:r>
      <w:r>
        <w:rPr>
          <w:rFonts w:hint="eastAsia" w:ascii="Times New Roman" w:hAnsi="Times New Roman"/>
          <w:b/>
          <w:color w:val="000000"/>
          <w:spacing w:val="-2"/>
          <w:sz w:val="24"/>
        </w:rPr>
        <w:t>高支模施工专项方案审查的监理要点。</w:t>
      </w:r>
    </w:p>
    <w:p>
      <w:pPr>
        <w:spacing w:line="460" w:lineRule="exact"/>
        <w:rPr>
          <w:rFonts w:hint="eastAsia" w:ascii="Times New Roman"/>
          <w:color w:val="000000"/>
          <w:spacing w:val="-2"/>
          <w:kern w:val="0"/>
          <w:sz w:val="24"/>
        </w:rPr>
      </w:pPr>
      <w:r>
        <w:rPr>
          <w:rFonts w:hint="eastAsia" w:ascii="Times New Roman" w:hAnsi="Times New Roman"/>
          <w:color w:val="000000"/>
          <w:spacing w:val="-2"/>
          <w:kern w:val="0"/>
          <w:sz w:val="24"/>
        </w:rPr>
        <w:t>（高支模施工专项方案的编制内容、施工单位审核程序必须符合住建部〔2009〕87号文的规定。）</w:t>
      </w:r>
    </w:p>
    <w:p>
      <w:pPr>
        <w:spacing w:line="460" w:lineRule="exact"/>
        <w:rPr>
          <w:rFonts w:hint="eastAsia" w:ascii="Times New Roman"/>
          <w:b/>
          <w:color w:val="000000"/>
          <w:spacing w:val="-2"/>
          <w:sz w:val="24"/>
        </w:rPr>
      </w:pPr>
      <w:r>
        <w:rPr>
          <w:b/>
          <w:color w:val="000000"/>
          <w:spacing w:val="-2"/>
          <w:sz w:val="24"/>
        </w:rPr>
        <w:t xml:space="preserve">6.6 </w:t>
      </w:r>
      <w:r>
        <w:rPr>
          <w:rFonts w:hint="eastAsia" w:ascii="Times New Roman" w:hAnsi="Times New Roman"/>
          <w:b/>
          <w:color w:val="000000"/>
          <w:spacing w:val="-2"/>
          <w:sz w:val="24"/>
        </w:rPr>
        <w:t>高支模搭设过程的监理工作要点。</w:t>
      </w:r>
    </w:p>
    <w:p>
      <w:pPr>
        <w:spacing w:line="460" w:lineRule="exact"/>
        <w:rPr>
          <w:rFonts w:hint="eastAsia" w:ascii="Times New Roman"/>
          <w:color w:val="000000"/>
          <w:spacing w:val="-2"/>
          <w:kern w:val="0"/>
          <w:sz w:val="24"/>
        </w:rPr>
      </w:pPr>
      <w:r>
        <w:rPr>
          <w:rFonts w:hint="eastAsia" w:ascii="Times New Roman" w:hAnsi="Times New Roman"/>
          <w:color w:val="000000"/>
          <w:spacing w:val="-2"/>
          <w:kern w:val="0"/>
          <w:sz w:val="24"/>
        </w:rPr>
        <w:t>(高支模搭设的单位和个人的资质必须符合相关规定。在搭设时施工单位要做好自检，监理应做好巡视检查。)</w:t>
      </w:r>
    </w:p>
    <w:p>
      <w:pPr>
        <w:spacing w:line="460" w:lineRule="exact"/>
        <w:rPr>
          <w:rFonts w:hint="eastAsia" w:ascii="Times New Roman"/>
          <w:b/>
          <w:color w:val="000000"/>
          <w:spacing w:val="-2"/>
          <w:sz w:val="24"/>
        </w:rPr>
      </w:pPr>
      <w:r>
        <w:rPr>
          <w:b/>
          <w:color w:val="000000"/>
          <w:spacing w:val="-2"/>
          <w:sz w:val="24"/>
        </w:rPr>
        <w:t xml:space="preserve">6.7 </w:t>
      </w:r>
      <w:r>
        <w:rPr>
          <w:rFonts w:hint="eastAsia" w:ascii="Times New Roman" w:hAnsi="Times New Roman"/>
          <w:b/>
          <w:color w:val="000000"/>
          <w:spacing w:val="-2"/>
          <w:sz w:val="24"/>
        </w:rPr>
        <w:t>支架预压监理工作要点。</w:t>
      </w:r>
    </w:p>
    <w:p>
      <w:pPr>
        <w:spacing w:line="460" w:lineRule="exact"/>
        <w:rPr>
          <w:rFonts w:hint="eastAsia" w:ascii="Times New Roman"/>
          <w:color w:val="000000"/>
          <w:spacing w:val="-2"/>
          <w:kern w:val="0"/>
          <w:sz w:val="24"/>
        </w:rPr>
      </w:pPr>
      <w:r>
        <w:rPr>
          <w:rFonts w:hint="eastAsia" w:ascii="Times New Roman" w:hAnsi="Times New Roman"/>
          <w:color w:val="000000"/>
          <w:spacing w:val="-2"/>
          <w:kern w:val="0"/>
          <w:sz w:val="24"/>
        </w:rPr>
        <w:t>（支架预压必须按设计的加载和卸载方案实施，并应加强现场的监视和检测。）</w:t>
      </w:r>
    </w:p>
    <w:p>
      <w:pPr>
        <w:spacing w:line="460" w:lineRule="exact"/>
        <w:rPr>
          <w:rFonts w:hint="eastAsia" w:ascii="Times New Roman"/>
          <w:b/>
          <w:color w:val="000000"/>
          <w:spacing w:val="-2"/>
          <w:sz w:val="24"/>
        </w:rPr>
      </w:pPr>
      <w:r>
        <w:rPr>
          <w:b/>
          <w:color w:val="000000"/>
          <w:spacing w:val="-2"/>
          <w:sz w:val="24"/>
        </w:rPr>
        <w:t xml:space="preserve">6.8 </w:t>
      </w:r>
      <w:r>
        <w:rPr>
          <w:rFonts w:hint="eastAsia" w:ascii="Times New Roman" w:hAnsi="Times New Roman"/>
          <w:b/>
          <w:color w:val="000000"/>
          <w:spacing w:val="-2"/>
          <w:sz w:val="24"/>
        </w:rPr>
        <w:t>混凝土浇筑的监理工作要点。</w:t>
      </w:r>
    </w:p>
    <w:p>
      <w:pPr>
        <w:spacing w:line="460" w:lineRule="exact"/>
        <w:rPr>
          <w:rFonts w:hint="eastAsia" w:ascii="Times New Roman"/>
          <w:color w:val="000000"/>
          <w:spacing w:val="-2"/>
          <w:kern w:val="0"/>
          <w:sz w:val="24"/>
        </w:rPr>
      </w:pPr>
      <w:r>
        <w:rPr>
          <w:rFonts w:hint="eastAsia" w:ascii="Times New Roman" w:hAnsi="Times New Roman"/>
          <w:color w:val="000000"/>
          <w:spacing w:val="-2"/>
          <w:kern w:val="0"/>
          <w:sz w:val="24"/>
        </w:rPr>
        <w:t>（混凝土的浇筑必须按预定的浇筑程序和方案进行，并随时观察支架的变形情况，避免意外事故的发生。）</w:t>
      </w:r>
    </w:p>
    <w:p>
      <w:pPr>
        <w:spacing w:line="460" w:lineRule="exact"/>
        <w:rPr>
          <w:rFonts w:hint="eastAsia" w:ascii="Times New Roman"/>
          <w:b/>
          <w:color w:val="000000"/>
          <w:spacing w:val="-2"/>
          <w:sz w:val="24"/>
        </w:rPr>
      </w:pPr>
      <w:r>
        <w:rPr>
          <w:b/>
          <w:color w:val="000000"/>
          <w:spacing w:val="-2"/>
          <w:sz w:val="24"/>
        </w:rPr>
        <w:t xml:space="preserve">6.9 </w:t>
      </w:r>
      <w:r>
        <w:rPr>
          <w:rFonts w:hint="eastAsia" w:ascii="Times New Roman" w:hAnsi="Times New Roman"/>
          <w:b/>
          <w:color w:val="000000"/>
          <w:spacing w:val="-2"/>
          <w:sz w:val="24"/>
        </w:rPr>
        <w:t>支架的拆除阶段监理要点。</w:t>
      </w:r>
    </w:p>
    <w:p>
      <w:pPr>
        <w:spacing w:line="460" w:lineRule="exact"/>
        <w:rPr>
          <w:rFonts w:hint="eastAsia" w:ascii="Times New Roman"/>
          <w:color w:val="000000"/>
          <w:spacing w:val="-2"/>
          <w:kern w:val="0"/>
          <w:sz w:val="24"/>
        </w:rPr>
      </w:pPr>
      <w:r>
        <w:rPr>
          <w:rFonts w:hint="eastAsia" w:ascii="Times New Roman" w:hAnsi="Times New Roman"/>
          <w:color w:val="000000"/>
          <w:spacing w:val="-2"/>
          <w:kern w:val="0"/>
          <w:sz w:val="24"/>
        </w:rPr>
        <w:t>(支架的拆除需等混凝土强度达到设计要求方可拆除，拆除顺序应符合规范要求。)</w:t>
      </w:r>
    </w:p>
    <w:p>
      <w:pPr>
        <w:spacing w:before="240" w:beforeLines="100" w:after="240" w:afterLines="100" w:line="420" w:lineRule="exact"/>
        <w:rPr>
          <w:rFonts w:hint="eastAsia"/>
          <w:b/>
          <w:color w:val="000000"/>
          <w:spacing w:val="-2"/>
          <w:sz w:val="28"/>
          <w:szCs w:val="28"/>
        </w:rPr>
      </w:pPr>
      <w:r>
        <w:rPr>
          <w:b/>
          <w:color w:val="000000"/>
          <w:spacing w:val="-2"/>
          <w:sz w:val="28"/>
          <w:szCs w:val="28"/>
        </w:rPr>
        <w:t xml:space="preserve">7 </w:t>
      </w:r>
      <w:r>
        <w:rPr>
          <w:rFonts w:hint="eastAsia"/>
          <w:b/>
          <w:color w:val="000000"/>
          <w:spacing w:val="-2"/>
          <w:sz w:val="28"/>
          <w:szCs w:val="28"/>
        </w:rPr>
        <w:t>高支模工程监理工作方法及措施</w:t>
      </w:r>
    </w:p>
    <w:p>
      <w:pPr>
        <w:pStyle w:val="4"/>
        <w:spacing w:before="0" w:after="0" w:line="460" w:lineRule="exact"/>
        <w:rPr>
          <w:b w:val="0"/>
          <w:color w:val="000000"/>
          <w:spacing w:val="-2"/>
        </w:rPr>
      </w:pPr>
      <w:r>
        <w:rPr>
          <w:color w:val="000000"/>
          <w:spacing w:val="-2"/>
          <w:sz w:val="24"/>
          <w:szCs w:val="24"/>
        </w:rPr>
        <w:t xml:space="preserve">7.1 </w:t>
      </w:r>
      <w:r>
        <w:rPr>
          <w:rFonts w:hint="eastAsia"/>
          <w:color w:val="000000"/>
          <w:spacing w:val="-2"/>
          <w:sz w:val="24"/>
          <w:szCs w:val="24"/>
        </w:rPr>
        <w:t>审查内容</w:t>
      </w:r>
      <w:r>
        <w:rPr>
          <w:rFonts w:hint="eastAsia"/>
          <w:color w:val="000000"/>
          <w:spacing w:val="-2"/>
        </w:rPr>
        <w:t>：</w:t>
      </w:r>
      <w:r>
        <w:rPr>
          <w:b w:val="0"/>
          <w:color w:val="000000"/>
          <w:spacing w:val="-2"/>
          <w:u w:val="single"/>
        </w:rPr>
        <w:t xml:space="preserve">                                         </w:t>
      </w:r>
      <w:r>
        <w:rPr>
          <w:rFonts w:hint="eastAsia"/>
          <w:b w:val="0"/>
          <w:color w:val="000000"/>
          <w:spacing w:val="-2"/>
        </w:rPr>
        <w:t>。</w:t>
      </w:r>
    </w:p>
    <w:p>
      <w:pPr>
        <w:spacing w:line="460" w:lineRule="exact"/>
        <w:rPr>
          <w:rFonts w:ascii="Times New Roman"/>
          <w:color w:val="000000"/>
          <w:spacing w:val="-2"/>
          <w:sz w:val="24"/>
        </w:rPr>
      </w:pPr>
      <w:r>
        <w:rPr>
          <w:rFonts w:hint="eastAsia" w:ascii="Times New Roman" w:hAnsi="Times New Roman"/>
          <w:bCs/>
          <w:color w:val="000000"/>
          <w:spacing w:val="-2"/>
          <w:kern w:val="0"/>
          <w:sz w:val="24"/>
        </w:rPr>
        <w:t>（</w:t>
      </w:r>
      <w:r>
        <w:rPr>
          <w:rFonts w:hint="eastAsia" w:ascii="Times New Roman" w:hAnsi="Times New Roman"/>
          <w:color w:val="000000"/>
          <w:spacing w:val="-2"/>
          <w:sz w:val="24"/>
        </w:rPr>
        <w:t>如审查承包单位、分包单位的安全生产保证体系、质量保证体系是否建立、健全；审查承包单位报送的高支模专项施工方案，按要求需专家论证的是否组织论证并按论证意见修改完善，并提出审查意见；审查施工单位报送的进场材料、构配件和设备的报告，审查地基处理后的检验报告、支架搭设后的自查报告、支架预压后的沉降观测报告和高支模拆除的申请报告等；重点要认真审查施工单位方案中的技术方案的可行性，内容的完整性。）</w:t>
      </w:r>
    </w:p>
    <w:p>
      <w:pPr>
        <w:pStyle w:val="4"/>
        <w:spacing w:before="0" w:after="0" w:line="460" w:lineRule="exact"/>
        <w:rPr>
          <w:rFonts w:hint="eastAsia" w:ascii="Times New Roman"/>
          <w:color w:val="000000"/>
          <w:spacing w:val="-2"/>
        </w:rPr>
      </w:pPr>
      <w:r>
        <w:rPr>
          <w:color w:val="000000"/>
          <w:spacing w:val="-2"/>
          <w:sz w:val="24"/>
          <w:szCs w:val="24"/>
        </w:rPr>
        <w:t xml:space="preserve">7.2 </w:t>
      </w:r>
      <w:r>
        <w:rPr>
          <w:rFonts w:hint="eastAsia" w:ascii="Times New Roman" w:hAnsi="Times New Roman"/>
          <w:color w:val="000000"/>
          <w:spacing w:val="-2"/>
          <w:sz w:val="24"/>
          <w:szCs w:val="24"/>
        </w:rPr>
        <w:t>复核内容</w:t>
      </w:r>
      <w:r>
        <w:rPr>
          <w:rFonts w:hint="eastAsia" w:ascii="Times New Roman" w:hAnsi="Times New Roman"/>
          <w:color w:val="000000"/>
          <w:spacing w:val="-2"/>
        </w:rPr>
        <w:t>：</w:t>
      </w:r>
      <w:r>
        <w:rPr>
          <w:rFonts w:hint="eastAsia" w:ascii="Times New Roman" w:hAnsi="Times New Roman"/>
          <w:color w:val="000000"/>
          <w:spacing w:val="-2"/>
          <w:u w:val="single"/>
        </w:rPr>
        <w:t xml:space="preserve">                                        </w:t>
      </w:r>
      <w:r>
        <w:rPr>
          <w:rFonts w:hint="eastAsia" w:ascii="Times New Roman" w:hAnsi="Times New Roman"/>
          <w:color w:val="000000"/>
          <w:spacing w:val="-2"/>
        </w:rPr>
        <w:t>。</w:t>
      </w:r>
    </w:p>
    <w:p>
      <w:pPr>
        <w:spacing w:line="460" w:lineRule="exact"/>
        <w:rPr>
          <w:rFonts w:hint="eastAsia" w:ascii="Times New Roman"/>
          <w:color w:val="000000"/>
          <w:spacing w:val="-2"/>
          <w:sz w:val="24"/>
        </w:rPr>
      </w:pPr>
      <w:r>
        <w:rPr>
          <w:rFonts w:hint="eastAsia" w:ascii="Times New Roman" w:hAnsi="Times New Roman"/>
          <w:bCs/>
          <w:color w:val="000000"/>
          <w:spacing w:val="-2"/>
          <w:kern w:val="0"/>
          <w:sz w:val="24"/>
        </w:rPr>
        <w:t>（</w:t>
      </w:r>
      <w:r>
        <w:rPr>
          <w:rFonts w:hint="eastAsia" w:ascii="Times New Roman" w:hAnsi="Times New Roman"/>
          <w:color w:val="000000"/>
          <w:spacing w:val="-2"/>
          <w:sz w:val="24"/>
        </w:rPr>
        <w:t>如承包单位、分包单位资质、安全生产许可证、专职安全员、特种人员作业上岗证；复核专项方案中的荷载计算书；复核地基处理的承载力、标高、平整度、排水等情况；复核支架的位置、间距、支构（件）的链接质量、扫地杆、支撑等的搭设情况是否符合设计要求；复核模板安装的位置、尺寸、标高等是否符合要求；复核支架预压的堆载顺序、重量、和预压时间、变形等情况是否符合设计要求；复核支架拆模前结构混凝土同条件试块强度试验报告是否达到拆模强度要求等</w:t>
      </w:r>
      <w:r>
        <w:rPr>
          <w:rFonts w:hint="eastAsia" w:ascii="Times New Roman" w:hAnsi="Times New Roman"/>
          <w:color w:val="000000"/>
          <w:spacing w:val="-2"/>
          <w:kern w:val="0"/>
          <w:sz w:val="24"/>
        </w:rPr>
        <w:t>。）</w:t>
      </w:r>
    </w:p>
    <w:p>
      <w:pPr>
        <w:spacing w:line="460" w:lineRule="exact"/>
        <w:rPr>
          <w:rFonts w:hint="eastAsia" w:ascii="Times New Roman"/>
          <w:b/>
          <w:color w:val="000000"/>
          <w:spacing w:val="-2"/>
          <w:sz w:val="24"/>
        </w:rPr>
      </w:pPr>
      <w:r>
        <w:rPr>
          <w:b/>
          <w:bCs/>
          <w:color w:val="000000"/>
          <w:spacing w:val="-2"/>
          <w:kern w:val="0"/>
          <w:sz w:val="24"/>
        </w:rPr>
        <w:t xml:space="preserve">7.3 </w:t>
      </w:r>
      <w:r>
        <w:rPr>
          <w:rFonts w:hint="eastAsia" w:ascii="Times New Roman" w:hAnsi="Times New Roman"/>
          <w:b/>
          <w:color w:val="000000"/>
          <w:spacing w:val="-2"/>
          <w:sz w:val="24"/>
        </w:rPr>
        <w:t>质量安全问题的处理方法：</w:t>
      </w:r>
      <w:r>
        <w:rPr>
          <w:rFonts w:hint="eastAsia" w:ascii="Times New Roman" w:hAnsi="Times New Roman"/>
          <w:color w:val="000000"/>
          <w:spacing w:val="-2"/>
          <w:sz w:val="24"/>
          <w:u w:val="single"/>
        </w:rPr>
        <w:t xml:space="preserve">                                         </w:t>
      </w:r>
      <w:r>
        <w:rPr>
          <w:rFonts w:hint="eastAsia" w:ascii="Times New Roman" w:hAnsi="Times New Roman"/>
          <w:b/>
          <w:color w:val="000000"/>
          <w:spacing w:val="-2"/>
          <w:sz w:val="24"/>
        </w:rPr>
        <w:t>。</w:t>
      </w:r>
    </w:p>
    <w:p>
      <w:pPr>
        <w:spacing w:line="460" w:lineRule="exact"/>
        <w:rPr>
          <w:rFonts w:hint="eastAsia" w:ascii="Times New Roman"/>
          <w:color w:val="000000"/>
          <w:spacing w:val="-2"/>
          <w:sz w:val="24"/>
        </w:rPr>
      </w:pPr>
      <w:r>
        <w:rPr>
          <w:rFonts w:hint="eastAsia" w:ascii="Times New Roman" w:hAnsi="Times New Roman"/>
          <w:color w:val="000000"/>
          <w:spacing w:val="-2"/>
          <w:sz w:val="24"/>
        </w:rPr>
        <w:t>（如对未按照经批准的专项施工方案实施，搭设、使用或拆除中出现的质量、安全问题，材料、构配件进场未经监理人员验收或验收不合格，支架搭设完成后未经检查验收而擅自进行预压或混凝土浇筑的监理工程师应及时下达监理工程师通知单、备忘录、停工令等，报告业主，必要时报告政府行政主管部门。监理工程师在日常的巡视检查过程中发现的一些较轻微的质量问题和安全隐患要及时要求施工单位进行现场整改并做好复查。）</w:t>
      </w:r>
    </w:p>
    <w:p>
      <w:pPr>
        <w:spacing w:line="460" w:lineRule="exact"/>
        <w:rPr>
          <w:rFonts w:hint="eastAsia" w:ascii="Times New Roman"/>
          <w:b/>
          <w:color w:val="000000"/>
          <w:spacing w:val="-2"/>
          <w:sz w:val="24"/>
        </w:rPr>
      </w:pPr>
      <w:r>
        <w:rPr>
          <w:b/>
          <w:bCs/>
          <w:color w:val="000000"/>
          <w:spacing w:val="-2"/>
          <w:kern w:val="0"/>
          <w:sz w:val="24"/>
        </w:rPr>
        <w:t xml:space="preserve">7.4 </w:t>
      </w:r>
      <w:r>
        <w:rPr>
          <w:rFonts w:hint="eastAsia" w:ascii="Times New Roman" w:hAnsi="Times New Roman"/>
          <w:b/>
          <w:color w:val="000000"/>
          <w:spacing w:val="-2"/>
          <w:sz w:val="24"/>
        </w:rPr>
        <w:t>旁站。</w:t>
      </w:r>
    </w:p>
    <w:p>
      <w:pPr>
        <w:spacing w:line="460" w:lineRule="exact"/>
        <w:rPr>
          <w:rFonts w:hint="eastAsia" w:ascii="Times New Roman"/>
          <w:color w:val="000000"/>
          <w:spacing w:val="-2"/>
          <w:u w:val="single"/>
        </w:rPr>
      </w:pPr>
      <w:r>
        <w:rPr>
          <w:rFonts w:hint="eastAsia" w:ascii="Times New Roman" w:hAnsi="Times New Roman"/>
          <w:color w:val="000000"/>
          <w:spacing w:val="-2"/>
          <w:sz w:val="24"/>
        </w:rPr>
        <w:t>本工程高支模工程监理旁站内容主要包括</w:t>
      </w:r>
      <w:r>
        <w:rPr>
          <w:rFonts w:hint="eastAsia" w:ascii="Times New Roman" w:hAnsi="Times New Roman"/>
          <w:color w:val="000000"/>
          <w:spacing w:val="-2"/>
        </w:rPr>
        <w:t>：</w:t>
      </w:r>
      <w:r>
        <w:rPr>
          <w:rFonts w:hint="eastAsia" w:ascii="Times New Roman" w:hAnsi="Times New Roman"/>
          <w:color w:val="000000"/>
          <w:spacing w:val="-2"/>
          <w:u w:val="single"/>
        </w:rPr>
        <w:t xml:space="preserve">        混凝土浇筑                 </w:t>
      </w:r>
      <w:r>
        <w:rPr>
          <w:rFonts w:hint="eastAsia" w:ascii="Times New Roman" w:hAnsi="Times New Roman"/>
          <w:color w:val="000000"/>
          <w:spacing w:val="-2"/>
        </w:rPr>
        <w:t>。</w:t>
      </w:r>
    </w:p>
    <w:p>
      <w:pPr>
        <w:spacing w:line="460" w:lineRule="exact"/>
        <w:jc w:val="left"/>
        <w:rPr>
          <w:rFonts w:hint="eastAsia" w:ascii="Times New Roman"/>
          <w:color w:val="000000"/>
          <w:spacing w:val="-2"/>
        </w:rPr>
      </w:pPr>
      <w:r>
        <w:rPr>
          <w:rFonts w:hint="eastAsia" w:ascii="Times New Roman" w:hAnsi="Times New Roman"/>
          <w:color w:val="000000"/>
          <w:spacing w:val="-2"/>
          <w:sz w:val="24"/>
        </w:rPr>
        <w:t>其他：</w:t>
      </w:r>
      <w:r>
        <w:rPr>
          <w:rFonts w:hint="eastAsia" w:ascii="Times New Roman" w:hAnsi="Times New Roman"/>
          <w:color w:val="000000"/>
          <w:spacing w:val="-2"/>
          <w:u w:val="single"/>
        </w:rPr>
        <w:t xml:space="preserve">                                                                        </w:t>
      </w:r>
      <w:r>
        <w:rPr>
          <w:rFonts w:hint="eastAsia" w:ascii="Times New Roman" w:hAnsi="Times New Roman"/>
          <w:color w:val="000000"/>
          <w:spacing w:val="-2"/>
        </w:rPr>
        <w:t>。</w:t>
      </w:r>
    </w:p>
    <w:p>
      <w:pPr>
        <w:spacing w:line="460" w:lineRule="exact"/>
        <w:rPr>
          <w:rFonts w:hint="eastAsia" w:ascii="Times New Roman"/>
          <w:color w:val="000000"/>
          <w:spacing w:val="-2"/>
          <w:sz w:val="24"/>
        </w:rPr>
      </w:pPr>
      <w:r>
        <w:rPr>
          <w:rFonts w:hint="eastAsia" w:ascii="Times New Roman" w:hAnsi="Times New Roman"/>
          <w:color w:val="000000"/>
          <w:spacing w:val="-2"/>
          <w:sz w:val="24"/>
        </w:rPr>
        <w:t>（注：应根据住建部的有关规定确定，监理人员在哪些部位旁站。）</w:t>
      </w:r>
    </w:p>
    <w:p>
      <w:pPr>
        <w:spacing w:line="460" w:lineRule="exact"/>
        <w:rPr>
          <w:rFonts w:hint="eastAsia" w:ascii="Times New Roman"/>
          <w:color w:val="000000"/>
          <w:spacing w:val="-2"/>
          <w:sz w:val="24"/>
        </w:rPr>
      </w:pPr>
      <w:r>
        <w:rPr>
          <w:b/>
          <w:bCs/>
          <w:color w:val="000000"/>
          <w:spacing w:val="-2"/>
          <w:kern w:val="0"/>
          <w:sz w:val="24"/>
        </w:rPr>
        <w:t xml:space="preserve">7.5 </w:t>
      </w:r>
      <w:r>
        <w:rPr>
          <w:rFonts w:hint="eastAsia" w:ascii="Times New Roman" w:hAnsi="Times New Roman"/>
          <w:b/>
          <w:color w:val="000000"/>
          <w:spacing w:val="-2"/>
          <w:sz w:val="24"/>
        </w:rPr>
        <w:t>巡视检查内容：</w:t>
      </w:r>
      <w:r>
        <w:rPr>
          <w:rFonts w:hint="eastAsia" w:ascii="Times New Roman" w:hAnsi="Times New Roman"/>
          <w:color w:val="000000"/>
          <w:spacing w:val="-2"/>
          <w:sz w:val="24"/>
          <w:u w:val="single"/>
        </w:rPr>
        <w:t xml:space="preserve">                                                  </w:t>
      </w:r>
      <w:r>
        <w:rPr>
          <w:rFonts w:hint="eastAsia" w:ascii="Times New Roman" w:hAnsi="Times New Roman"/>
          <w:color w:val="000000"/>
          <w:spacing w:val="-2"/>
          <w:sz w:val="24"/>
        </w:rPr>
        <w:t>。</w:t>
      </w:r>
    </w:p>
    <w:p>
      <w:pPr>
        <w:spacing w:line="460" w:lineRule="exact"/>
        <w:rPr>
          <w:rFonts w:hint="eastAsia"/>
          <w:color w:val="000000"/>
          <w:spacing w:val="-2"/>
          <w:sz w:val="24"/>
        </w:rPr>
      </w:pPr>
      <w:r>
        <w:rPr>
          <w:rFonts w:hint="eastAsia"/>
          <w:color w:val="000000"/>
          <w:spacing w:val="-2"/>
          <w:sz w:val="24"/>
        </w:rPr>
        <w:t>（如：</w:t>
      </w:r>
      <w:r>
        <w:rPr>
          <w:rFonts w:hint="eastAsia" w:ascii="Times New Roman" w:hAnsi="Times New Roman"/>
          <w:color w:val="000000"/>
          <w:spacing w:val="-2"/>
          <w:sz w:val="24"/>
        </w:rPr>
        <w:t>对现场安全警戒情况，施工顺序、方法，搭设质量情况，安全文明施工情况；施工人员安全防护齐备，有无违规违章作业；支架的扫地杆、斜撑、剪刀撑设置、对预压过程中的支架沉降和变形、稳定情况，混凝土浇筑过程中支架的变形、沉降、稳定等进行巡视检查</w:t>
      </w:r>
      <w:r>
        <w:rPr>
          <w:rFonts w:hint="eastAsia"/>
          <w:color w:val="000000"/>
          <w:spacing w:val="-2"/>
          <w:sz w:val="24"/>
        </w:rPr>
        <w:t>，发现其他及时处理。）</w:t>
      </w:r>
    </w:p>
    <w:p>
      <w:pPr>
        <w:spacing w:line="460" w:lineRule="exact"/>
        <w:rPr>
          <w:rFonts w:ascii="Times New Roman"/>
          <w:b/>
          <w:color w:val="000000"/>
          <w:spacing w:val="-2"/>
          <w:sz w:val="24"/>
        </w:rPr>
      </w:pPr>
      <w:r>
        <w:rPr>
          <w:b/>
          <w:bCs/>
          <w:color w:val="000000"/>
          <w:spacing w:val="-2"/>
          <w:kern w:val="0"/>
          <w:sz w:val="24"/>
        </w:rPr>
        <w:t xml:space="preserve">7.6 </w:t>
      </w:r>
      <w:r>
        <w:rPr>
          <w:rFonts w:hint="eastAsia" w:ascii="Times New Roman" w:hAnsi="Times New Roman"/>
          <w:b/>
          <w:color w:val="000000"/>
          <w:spacing w:val="-2"/>
          <w:sz w:val="24"/>
        </w:rPr>
        <w:t>现场协调方式：</w:t>
      </w:r>
      <w:r>
        <w:rPr>
          <w:rFonts w:hint="eastAsia" w:ascii="Times New Roman" w:hAnsi="Times New Roman"/>
          <w:b/>
          <w:color w:val="000000"/>
          <w:spacing w:val="-2"/>
          <w:sz w:val="24"/>
          <w:u w:val="single"/>
        </w:rPr>
        <w:t xml:space="preserve">                                                   </w:t>
      </w:r>
      <w:r>
        <w:rPr>
          <w:rFonts w:hint="eastAsia" w:ascii="Times New Roman" w:hAnsi="Times New Roman"/>
          <w:color w:val="000000"/>
          <w:spacing w:val="-2"/>
        </w:rPr>
        <w:t>。</w:t>
      </w:r>
    </w:p>
    <w:p>
      <w:pPr>
        <w:spacing w:line="460" w:lineRule="exact"/>
        <w:rPr>
          <w:rFonts w:hint="eastAsia"/>
          <w:color w:val="000000"/>
          <w:spacing w:val="-2"/>
          <w:sz w:val="24"/>
        </w:rPr>
      </w:pPr>
      <w:r>
        <w:rPr>
          <w:rFonts w:hint="eastAsia"/>
          <w:color w:val="000000"/>
          <w:spacing w:val="-2"/>
          <w:sz w:val="24"/>
        </w:rPr>
        <w:t>（如：组织现场协调会、工地例会、专题会议等。）</w:t>
      </w:r>
    </w:p>
    <w:p>
      <w:pPr>
        <w:spacing w:line="460" w:lineRule="exact"/>
        <w:rPr>
          <w:rFonts w:ascii="Times New Roman"/>
          <w:b/>
          <w:color w:val="000000"/>
          <w:spacing w:val="-2"/>
          <w:sz w:val="24"/>
        </w:rPr>
      </w:pPr>
      <w:r>
        <w:rPr>
          <w:b/>
          <w:bCs/>
          <w:color w:val="000000"/>
          <w:spacing w:val="-2"/>
          <w:kern w:val="0"/>
          <w:sz w:val="24"/>
        </w:rPr>
        <w:t xml:space="preserve">7.7 </w:t>
      </w:r>
      <w:r>
        <w:rPr>
          <w:rFonts w:hint="eastAsia" w:ascii="Times New Roman" w:hAnsi="Times New Roman"/>
          <w:b/>
          <w:color w:val="000000"/>
          <w:spacing w:val="-2"/>
          <w:sz w:val="24"/>
        </w:rPr>
        <w:t>其他监理方法：</w:t>
      </w:r>
      <w:r>
        <w:rPr>
          <w:rFonts w:hint="eastAsia" w:ascii="Times New Roman" w:hAnsi="Times New Roman"/>
          <w:b/>
          <w:color w:val="000000"/>
          <w:spacing w:val="-2"/>
          <w:sz w:val="24"/>
          <w:u w:val="single"/>
        </w:rPr>
        <w:t xml:space="preserve">                                                   </w:t>
      </w:r>
      <w:r>
        <w:rPr>
          <w:rFonts w:hint="eastAsia" w:ascii="Times New Roman" w:hAnsi="Times New Roman"/>
          <w:color w:val="000000"/>
          <w:spacing w:val="-2"/>
        </w:rPr>
        <w:t>。</w:t>
      </w:r>
      <w:r>
        <w:rPr>
          <w:rFonts w:hint="eastAsia" w:ascii="Times New Roman" w:hAnsi="Times New Roman"/>
          <w:b/>
          <w:color w:val="000000"/>
          <w:spacing w:val="-2"/>
          <w:sz w:val="24"/>
        </w:rPr>
        <w:t xml:space="preserve"> </w:t>
      </w:r>
    </w:p>
    <w:p>
      <w:pPr>
        <w:spacing w:line="460" w:lineRule="exact"/>
        <w:rPr>
          <w:rFonts w:hint="eastAsia" w:ascii="Times New Roman"/>
          <w:b/>
          <w:color w:val="000000"/>
          <w:spacing w:val="-2"/>
          <w:sz w:val="24"/>
        </w:rPr>
      </w:pPr>
      <w:r>
        <w:rPr>
          <w:b/>
          <w:bCs/>
          <w:color w:val="000000"/>
          <w:spacing w:val="-2"/>
          <w:kern w:val="0"/>
          <w:sz w:val="24"/>
        </w:rPr>
        <w:t xml:space="preserve">7.8 </w:t>
      </w:r>
      <w:r>
        <w:rPr>
          <w:rFonts w:hint="eastAsia" w:ascii="Times New Roman" w:hAnsi="Times New Roman"/>
          <w:b/>
          <w:color w:val="000000"/>
          <w:spacing w:val="-2"/>
          <w:sz w:val="24"/>
        </w:rPr>
        <w:t>验收。</w:t>
      </w:r>
    </w:p>
    <w:p>
      <w:pPr>
        <w:spacing w:line="460" w:lineRule="exact"/>
        <w:rPr>
          <w:rFonts w:hint="eastAsia"/>
          <w:b/>
          <w:bCs/>
          <w:color w:val="000000"/>
          <w:spacing w:val="-2"/>
          <w:kern w:val="0"/>
          <w:sz w:val="24"/>
        </w:rPr>
      </w:pPr>
      <w:r>
        <w:rPr>
          <w:b/>
          <w:bCs/>
          <w:color w:val="000000"/>
          <w:spacing w:val="-2"/>
          <w:kern w:val="0"/>
          <w:sz w:val="24"/>
        </w:rPr>
        <w:t xml:space="preserve">7.8.1 </w:t>
      </w:r>
      <w:r>
        <w:rPr>
          <w:rFonts w:hint="eastAsia"/>
          <w:b/>
          <w:bCs/>
          <w:color w:val="000000"/>
          <w:spacing w:val="-2"/>
          <w:kern w:val="0"/>
          <w:sz w:val="24"/>
        </w:rPr>
        <w:t>验收条件。</w:t>
      </w:r>
    </w:p>
    <w:p>
      <w:pPr>
        <w:spacing w:line="460" w:lineRule="exact"/>
        <w:rPr>
          <w:rFonts w:ascii="Times New Roman"/>
          <w:color w:val="000000"/>
          <w:spacing w:val="-2"/>
          <w:sz w:val="24"/>
        </w:rPr>
      </w:pPr>
      <w:r>
        <w:rPr>
          <w:b/>
          <w:bCs/>
          <w:color w:val="000000"/>
          <w:spacing w:val="-2"/>
          <w:kern w:val="0"/>
          <w:sz w:val="24"/>
        </w:rPr>
        <w:t xml:space="preserve">7.8.2 </w:t>
      </w:r>
      <w:r>
        <w:rPr>
          <w:rFonts w:hint="eastAsia"/>
          <w:b/>
          <w:bCs/>
          <w:color w:val="000000"/>
          <w:spacing w:val="-2"/>
          <w:kern w:val="0"/>
          <w:sz w:val="24"/>
        </w:rPr>
        <w:t>验收程序</w:t>
      </w:r>
      <w:r>
        <w:rPr>
          <w:rFonts w:hint="eastAsia" w:ascii="Times New Roman" w:hAnsi="Times New Roman"/>
          <w:color w:val="000000"/>
          <w:spacing w:val="-2"/>
          <w:sz w:val="24"/>
        </w:rPr>
        <w:t>。</w:t>
      </w:r>
    </w:p>
    <w:p>
      <w:pPr>
        <w:spacing w:line="460" w:lineRule="exact"/>
        <w:rPr>
          <w:rFonts w:hint="eastAsia"/>
          <w:color w:val="000000"/>
          <w:spacing w:val="-2"/>
        </w:rPr>
      </w:pPr>
      <w:r>
        <w:rPr>
          <w:b/>
          <w:bCs/>
          <w:color w:val="000000"/>
          <w:spacing w:val="-2"/>
          <w:kern w:val="0"/>
          <w:sz w:val="24"/>
        </w:rPr>
        <w:t xml:space="preserve">7.8.3 </w:t>
      </w:r>
      <w:r>
        <w:rPr>
          <w:rFonts w:hint="eastAsia"/>
          <w:b/>
          <w:bCs/>
          <w:color w:val="000000"/>
          <w:spacing w:val="-2"/>
          <w:kern w:val="0"/>
          <w:sz w:val="24"/>
        </w:rPr>
        <w:t>验收内容：</w:t>
      </w:r>
      <w:r>
        <w:rPr>
          <w:color w:val="000000"/>
          <w:spacing w:val="-2"/>
          <w:u w:val="single"/>
        </w:rPr>
        <w:t xml:space="preserve">                                                              </w:t>
      </w:r>
      <w:r>
        <w:rPr>
          <w:rFonts w:hint="eastAsia"/>
          <w:color w:val="000000"/>
          <w:spacing w:val="-2"/>
        </w:rPr>
        <w:t>。</w:t>
      </w:r>
    </w:p>
    <w:p>
      <w:pPr>
        <w:spacing w:line="460" w:lineRule="exact"/>
        <w:rPr>
          <w:rFonts w:ascii="Times New Roman"/>
          <w:b/>
          <w:color w:val="000000"/>
          <w:spacing w:val="-2"/>
          <w:sz w:val="24"/>
        </w:rPr>
      </w:pPr>
      <w:r>
        <w:rPr>
          <w:b/>
          <w:bCs/>
          <w:color w:val="000000"/>
          <w:spacing w:val="-2"/>
          <w:kern w:val="0"/>
          <w:sz w:val="24"/>
        </w:rPr>
        <w:t xml:space="preserve">7.9 </w:t>
      </w:r>
      <w:r>
        <w:rPr>
          <w:rFonts w:hint="eastAsia" w:ascii="Times New Roman" w:hAnsi="Times New Roman"/>
          <w:b/>
          <w:color w:val="000000"/>
          <w:spacing w:val="-2"/>
          <w:sz w:val="24"/>
        </w:rPr>
        <w:t>高支模工程履行监理法定职责的服务。</w:t>
      </w:r>
    </w:p>
    <w:p>
      <w:pPr>
        <w:spacing w:line="460" w:lineRule="exact"/>
        <w:rPr>
          <w:rFonts w:hint="eastAsia"/>
          <w:color w:val="000000"/>
          <w:spacing w:val="-2"/>
          <w:sz w:val="24"/>
          <w:u w:val="single"/>
        </w:rPr>
      </w:pPr>
      <w:r>
        <w:rPr>
          <w:b/>
          <w:bCs/>
          <w:color w:val="000000"/>
          <w:spacing w:val="-2"/>
          <w:kern w:val="0"/>
          <w:sz w:val="24"/>
        </w:rPr>
        <w:t xml:space="preserve">7.9.1 </w:t>
      </w:r>
      <w:r>
        <w:rPr>
          <w:rFonts w:hint="eastAsia" w:hAnsi="Times New Roman"/>
          <w:color w:val="000000"/>
          <w:spacing w:val="-2"/>
          <w:sz w:val="24"/>
        </w:rPr>
        <w:t>开工前的安全监督管理：</w:t>
      </w:r>
      <w:r>
        <w:rPr>
          <w:color w:val="000000"/>
          <w:spacing w:val="-2"/>
          <w:sz w:val="24"/>
          <w:u w:val="single"/>
        </w:rPr>
        <w:t xml:space="preserve">                                          </w:t>
      </w:r>
      <w:r>
        <w:rPr>
          <w:rFonts w:hint="eastAsia" w:hAnsi="Times New Roman"/>
          <w:color w:val="000000"/>
          <w:spacing w:val="-2"/>
          <w:sz w:val="24"/>
        </w:rPr>
        <w:t>。</w:t>
      </w:r>
    </w:p>
    <w:p>
      <w:pPr>
        <w:spacing w:line="460" w:lineRule="exact"/>
        <w:rPr>
          <w:color w:val="000000"/>
          <w:spacing w:val="-2"/>
          <w:sz w:val="24"/>
        </w:rPr>
      </w:pPr>
      <w:r>
        <w:rPr>
          <w:b/>
          <w:bCs/>
          <w:color w:val="000000"/>
          <w:spacing w:val="-2"/>
          <w:kern w:val="0"/>
          <w:sz w:val="24"/>
        </w:rPr>
        <w:t xml:space="preserve">7.9.2 </w:t>
      </w:r>
      <w:r>
        <w:rPr>
          <w:rFonts w:hint="eastAsia" w:hAnsi="Times New Roman"/>
          <w:color w:val="000000"/>
          <w:spacing w:val="-2"/>
          <w:sz w:val="24"/>
        </w:rPr>
        <w:t>施工过程中的安全监督管理：</w:t>
      </w:r>
      <w:r>
        <w:rPr>
          <w:color w:val="000000"/>
          <w:spacing w:val="-2"/>
          <w:sz w:val="24"/>
          <w:u w:val="single"/>
        </w:rPr>
        <w:t xml:space="preserve">                                      </w:t>
      </w:r>
      <w:r>
        <w:rPr>
          <w:rFonts w:hint="eastAsia" w:hAnsi="Times New Roman"/>
          <w:color w:val="000000"/>
          <w:spacing w:val="-2"/>
          <w:sz w:val="24"/>
        </w:rPr>
        <w:t>。</w:t>
      </w:r>
    </w:p>
    <w:p>
      <w:pPr>
        <w:spacing w:line="460" w:lineRule="exact"/>
        <w:rPr>
          <w:color w:val="000000"/>
          <w:spacing w:val="-2"/>
        </w:rPr>
      </w:pPr>
      <w:r>
        <w:rPr>
          <w:b/>
          <w:bCs/>
          <w:color w:val="000000"/>
          <w:spacing w:val="-2"/>
          <w:kern w:val="0"/>
          <w:sz w:val="24"/>
        </w:rPr>
        <w:t xml:space="preserve">7.9.3 </w:t>
      </w:r>
      <w:r>
        <w:rPr>
          <w:rFonts w:hint="eastAsia" w:hAnsi="Times New Roman"/>
          <w:color w:val="000000"/>
          <w:spacing w:val="-2"/>
          <w:sz w:val="24"/>
        </w:rPr>
        <w:t>安</w:t>
      </w:r>
      <w:r>
        <w:rPr>
          <w:rFonts w:hint="eastAsia" w:ascii="Times New Roman" w:hAnsi="Times New Roman"/>
          <w:color w:val="000000"/>
          <w:spacing w:val="-2"/>
          <w:sz w:val="24"/>
        </w:rPr>
        <w:t>全监测：</w:t>
      </w:r>
      <w:r>
        <w:rPr>
          <w:color w:val="000000"/>
          <w:spacing w:val="-2"/>
          <w:u w:val="single"/>
        </w:rPr>
        <w:t xml:space="preserve">                                                              </w:t>
      </w:r>
      <w:r>
        <w:rPr>
          <w:rFonts w:hint="eastAsia"/>
          <w:color w:val="000000"/>
          <w:spacing w:val="-2"/>
        </w:rPr>
        <w:t>。</w:t>
      </w:r>
      <w:r>
        <w:rPr>
          <w:color w:val="000000"/>
          <w:spacing w:val="-2"/>
        </w:rPr>
        <w:t xml:space="preserve"> </w:t>
      </w:r>
    </w:p>
    <w:p>
      <w:pPr>
        <w:spacing w:before="240" w:beforeLines="100" w:after="240" w:afterLines="100"/>
        <w:rPr>
          <w:b/>
          <w:color w:val="000000"/>
          <w:spacing w:val="-2"/>
          <w:sz w:val="28"/>
          <w:szCs w:val="28"/>
        </w:rPr>
      </w:pPr>
      <w:r>
        <w:rPr>
          <w:b/>
          <w:color w:val="000000"/>
          <w:spacing w:val="-2"/>
          <w:sz w:val="28"/>
          <w:szCs w:val="28"/>
        </w:rPr>
        <w:t xml:space="preserve">8 </w:t>
      </w:r>
      <w:r>
        <w:rPr>
          <w:rFonts w:hint="eastAsia"/>
          <w:b/>
          <w:color w:val="000000"/>
          <w:spacing w:val="-2"/>
          <w:sz w:val="28"/>
          <w:szCs w:val="28"/>
        </w:rPr>
        <w:t>表式：按建设行政主管部门规定用表：</w:t>
      </w:r>
      <w:r>
        <w:rPr>
          <w:color w:val="000000"/>
          <w:spacing w:val="-2"/>
          <w:sz w:val="28"/>
          <w:szCs w:val="28"/>
          <w:u w:val="single"/>
        </w:rPr>
        <w:t xml:space="preserve">                       </w:t>
      </w:r>
      <w:r>
        <w:rPr>
          <w:rFonts w:hint="eastAsia"/>
          <w:color w:val="000000"/>
          <w:spacing w:val="-2"/>
          <w:sz w:val="28"/>
          <w:szCs w:val="28"/>
        </w:rPr>
        <w:t>。</w:t>
      </w:r>
    </w:p>
    <w:p>
      <w:pPr>
        <w:spacing w:line="460" w:lineRule="exact"/>
        <w:jc w:val="left"/>
        <w:rPr>
          <w:color w:val="000000"/>
          <w:spacing w:val="-2"/>
        </w:rPr>
      </w:pPr>
      <w:r>
        <w:rPr>
          <w:rFonts w:hint="eastAsia"/>
          <w:color w:val="000000"/>
          <w:spacing w:val="-2"/>
          <w:sz w:val="24"/>
        </w:rPr>
        <w:t>（</w:t>
      </w:r>
      <w:r>
        <w:rPr>
          <w:rFonts w:hint="eastAsia" w:ascii="Times New Roman" w:hAnsi="Times New Roman"/>
          <w:color w:val="000000"/>
          <w:spacing w:val="-2"/>
          <w:sz w:val="24"/>
        </w:rPr>
        <w:t>如施工安全生产管理体系报审表A3.2，分包单位资质报审表A3.6，施工安全专项方案报审表A3.9等。）</w:t>
      </w:r>
    </w:p>
    <w:p>
      <w:pPr>
        <w:rPr>
          <w:color w:val="000000"/>
          <w:spacing w:val="-2"/>
        </w:rPr>
      </w:pPr>
    </w:p>
    <w:p>
      <w:pPr>
        <w:rPr>
          <w:rFonts w:eastAsia="黑体"/>
          <w:color w:val="000000"/>
          <w:sz w:val="28"/>
          <w:szCs w:val="28"/>
        </w:rPr>
      </w:pPr>
      <w:r>
        <w:rPr>
          <w:color w:val="000000"/>
          <w:spacing w:val="-2"/>
        </w:rPr>
        <w:br w:type="column"/>
      </w:r>
      <w:r>
        <w:rPr>
          <w:rFonts w:hint="eastAsia" w:eastAsia="黑体"/>
          <w:color w:val="000000"/>
          <w:sz w:val="28"/>
          <w:szCs w:val="28"/>
        </w:rPr>
        <w:t>附件</w:t>
      </w:r>
      <w:r>
        <w:rPr>
          <w:rFonts w:eastAsia="黑体"/>
          <w:color w:val="000000"/>
          <w:sz w:val="28"/>
          <w:szCs w:val="28"/>
        </w:rPr>
        <w:t>2</w:t>
      </w:r>
      <w:r>
        <w:rPr>
          <w:rFonts w:hint="eastAsia" w:eastAsia="黑体"/>
          <w:color w:val="000000"/>
          <w:sz w:val="28"/>
          <w:szCs w:val="28"/>
        </w:rPr>
        <w:t>：</w:t>
      </w:r>
    </w:p>
    <w:p>
      <w:pPr>
        <w:rPr>
          <w:rFonts w:eastAsia="黑体"/>
          <w:b/>
          <w:color w:val="000000"/>
          <w:sz w:val="28"/>
          <w:szCs w:val="28"/>
        </w:rPr>
      </w:pPr>
    </w:p>
    <w:p>
      <w:pPr>
        <w:jc w:val="right"/>
        <w:rPr>
          <w:rFonts w:eastAsia="黑体"/>
          <w:b/>
          <w:sz w:val="28"/>
          <w:szCs w:val="28"/>
        </w:rPr>
      </w:pPr>
      <w:r>
        <w:rPr>
          <w:rFonts w:eastAsia="黑体"/>
          <w:b/>
          <w:sz w:val="28"/>
          <w:szCs w:val="28"/>
        </w:rPr>
        <w:t>B13</w:t>
      </w:r>
    </w:p>
    <w:p>
      <w:pPr>
        <w:jc w:val="right"/>
        <w:rPr>
          <w:rFonts w:eastAsia="黑体"/>
          <w:b/>
          <w:sz w:val="28"/>
          <w:szCs w:val="28"/>
        </w:rPr>
      </w:pPr>
    </w:p>
    <w:p>
      <w:pPr>
        <w:spacing w:after="480"/>
        <w:jc w:val="center"/>
        <w:rPr>
          <w:rFonts w:ascii="Times New Roman"/>
          <w:color w:val="000000"/>
          <w:spacing w:val="-2"/>
          <w:sz w:val="36"/>
        </w:rPr>
      </w:pPr>
      <w:r>
        <w:rPr>
          <w:rFonts w:hint="eastAsia" w:ascii="Times New Roman" w:hAnsi="Times New Roman"/>
          <w:color w:val="000000"/>
          <w:spacing w:val="-2"/>
          <w:sz w:val="36"/>
          <w:u w:val="single"/>
        </w:rPr>
        <w:t>　　　　　　　　　　　　　</w:t>
      </w:r>
      <w:r>
        <w:rPr>
          <w:rFonts w:hint="eastAsia" w:ascii="Times New Roman" w:hAnsi="Times New Roman"/>
          <w:color w:val="000000"/>
          <w:spacing w:val="-2"/>
          <w:sz w:val="36"/>
        </w:rPr>
        <w:t>工程</w:t>
      </w:r>
    </w:p>
    <w:p>
      <w:pPr>
        <w:spacing w:after="120"/>
        <w:jc w:val="center"/>
        <w:rPr>
          <w:rFonts w:hint="eastAsia" w:ascii="Times New Roman"/>
          <w:b/>
          <w:color w:val="000000"/>
          <w:spacing w:val="-2"/>
          <w:sz w:val="36"/>
          <w:szCs w:val="36"/>
          <w14:shadow w14:blurRad="50800" w14:dist="38100" w14:dir="2700000" w14:sx="100000" w14:sy="100000" w14:kx="0" w14:ky="0" w14:algn="tl">
            <w14:srgbClr w14:val="000000">
              <w14:alpha w14:val="60000"/>
            </w14:srgbClr>
          </w14:shadow>
        </w:rPr>
      </w:pPr>
      <w:r>
        <w:rPr>
          <w:rFonts w:hint="eastAsia" w:ascii="Times New Roman" w:hAnsi="Times New Roman"/>
          <w:b/>
          <w:color w:val="000000"/>
          <w:spacing w:val="-2"/>
          <w:sz w:val="36"/>
          <w:szCs w:val="36"/>
          <w14:shadow w14:blurRad="50800" w14:dist="38100" w14:dir="2700000" w14:sx="100000" w14:sy="100000" w14:kx="0" w14:ky="0" w14:algn="tl">
            <w14:srgbClr w14:val="000000">
              <w14:alpha w14:val="60000"/>
            </w14:srgbClr>
          </w14:shadow>
        </w:rPr>
        <w:t>监理实施细则</w:t>
      </w:r>
    </w:p>
    <w:p>
      <w:pPr>
        <w:jc w:val="center"/>
        <w:rPr>
          <w:rFonts w:hint="eastAsia" w:ascii="Times New Roman"/>
          <w:b/>
          <w:color w:val="000000"/>
          <w:spacing w:val="-2"/>
          <w:sz w:val="48"/>
        </w:rPr>
      </w:pPr>
      <w:r>
        <w:rPr>
          <w:rFonts w:hint="eastAsia" w:ascii="Times New Roman" w:hAnsi="Times New Roman"/>
          <w:b/>
          <w:color w:val="000000"/>
          <w:spacing w:val="-2"/>
          <w:sz w:val="48"/>
        </w:rPr>
        <w:t>（扣件式钢管脚手架搭设、拆除工程）</w:t>
      </w:r>
    </w:p>
    <w:p>
      <w:pPr>
        <w:jc w:val="center"/>
        <w:rPr>
          <w:rFonts w:hint="eastAsia" w:ascii="Times New Roman"/>
          <w:b/>
          <w:color w:val="000000"/>
          <w:spacing w:val="-2"/>
          <w:sz w:val="48"/>
        </w:rPr>
      </w:pPr>
      <w:r>
        <w:rPr>
          <w:rFonts w:hint="eastAsia" w:ascii="Times New Roman" w:hAnsi="Times New Roman"/>
          <w:b/>
          <w:color w:val="000000"/>
          <w:spacing w:val="-2"/>
          <w:sz w:val="48"/>
        </w:rPr>
        <w:t>（标准化格式文本）</w:t>
      </w:r>
    </w:p>
    <w:p>
      <w:pPr>
        <w:spacing w:line="460" w:lineRule="exact"/>
        <w:jc w:val="center"/>
        <w:rPr>
          <w:rFonts w:hint="eastAsia" w:ascii="Times New Roman" w:hAnsi="Times New Roman"/>
          <w:b/>
          <w:color w:val="000000"/>
          <w:spacing w:val="-2"/>
          <w:sz w:val="28"/>
        </w:rPr>
      </w:pPr>
    </w:p>
    <w:p>
      <w:pPr>
        <w:spacing w:line="460" w:lineRule="exact"/>
        <w:ind w:firstLine="2893" w:firstLineChars="1044"/>
        <w:rPr>
          <w:rFonts w:hint="eastAsia" w:ascii="Times New Roman"/>
          <w:b/>
          <w:color w:val="000000"/>
          <w:spacing w:val="-2"/>
          <w:sz w:val="28"/>
        </w:rPr>
      </w:pPr>
      <w:r>
        <w:rPr>
          <w:rFonts w:hint="eastAsia" w:ascii="Times New Roman" w:hAnsi="Times New Roman"/>
          <w:b/>
          <w:color w:val="000000"/>
          <w:spacing w:val="-2"/>
          <w:sz w:val="28"/>
        </w:rPr>
        <w:t>内容提要：</w:t>
      </w:r>
    </w:p>
    <w:p>
      <w:pPr>
        <w:spacing w:line="460" w:lineRule="exact"/>
        <w:ind w:firstLine="2898" w:firstLineChars="1050"/>
        <w:rPr>
          <w:rFonts w:hint="eastAsia"/>
          <w:color w:val="000000"/>
          <w:spacing w:val="-2"/>
          <w:sz w:val="28"/>
        </w:rPr>
      </w:pPr>
      <w:r>
        <w:rPr>
          <w:rFonts w:hint="eastAsia"/>
          <w:color w:val="000000"/>
          <w:spacing w:val="-2"/>
          <w:sz w:val="28"/>
        </w:rPr>
        <w:t>工程及脚手架搭设、拆除概况</w:t>
      </w:r>
    </w:p>
    <w:p>
      <w:pPr>
        <w:spacing w:line="460" w:lineRule="exact"/>
        <w:ind w:firstLine="2898" w:firstLineChars="1050"/>
        <w:rPr>
          <w:color w:val="000000"/>
          <w:spacing w:val="-2"/>
          <w:sz w:val="28"/>
        </w:rPr>
      </w:pPr>
      <w:r>
        <w:rPr>
          <w:rFonts w:hint="eastAsia"/>
          <w:color w:val="000000"/>
          <w:spacing w:val="-2"/>
          <w:sz w:val="28"/>
        </w:rPr>
        <w:t>脚手架搭设、拆除重点、难点</w:t>
      </w:r>
    </w:p>
    <w:p>
      <w:pPr>
        <w:spacing w:line="460" w:lineRule="exact"/>
        <w:ind w:firstLine="2898" w:firstLineChars="1050"/>
        <w:rPr>
          <w:color w:val="000000"/>
          <w:spacing w:val="-2"/>
          <w:sz w:val="28"/>
        </w:rPr>
      </w:pPr>
      <w:r>
        <w:rPr>
          <w:rFonts w:hint="eastAsia"/>
          <w:color w:val="000000"/>
          <w:spacing w:val="-2"/>
          <w:sz w:val="28"/>
        </w:rPr>
        <w:t>监理工作依据</w:t>
      </w:r>
    </w:p>
    <w:p>
      <w:pPr>
        <w:spacing w:line="460" w:lineRule="exact"/>
        <w:ind w:firstLine="2898" w:firstLineChars="1050"/>
        <w:rPr>
          <w:color w:val="000000"/>
          <w:spacing w:val="-2"/>
          <w:sz w:val="28"/>
        </w:rPr>
      </w:pPr>
      <w:r>
        <w:rPr>
          <w:rFonts w:hint="eastAsia"/>
          <w:color w:val="000000"/>
          <w:spacing w:val="-2"/>
          <w:sz w:val="28"/>
        </w:rPr>
        <w:t>监理组织机构</w:t>
      </w:r>
    </w:p>
    <w:p>
      <w:pPr>
        <w:spacing w:line="460" w:lineRule="exact"/>
        <w:ind w:firstLine="2898" w:firstLineChars="1050"/>
        <w:rPr>
          <w:color w:val="000000"/>
          <w:spacing w:val="-2"/>
          <w:sz w:val="28"/>
        </w:rPr>
      </w:pPr>
      <w:r>
        <w:rPr>
          <w:rFonts w:hint="eastAsia"/>
          <w:color w:val="000000"/>
          <w:spacing w:val="-2"/>
          <w:sz w:val="28"/>
        </w:rPr>
        <w:t>监理工作流程</w:t>
      </w:r>
    </w:p>
    <w:p>
      <w:pPr>
        <w:spacing w:line="460" w:lineRule="exact"/>
        <w:ind w:firstLine="2889" w:firstLineChars="1047"/>
        <w:rPr>
          <w:color w:val="000000"/>
          <w:spacing w:val="-2"/>
          <w:sz w:val="28"/>
        </w:rPr>
      </w:pPr>
      <w:r>
        <w:rPr>
          <w:rFonts w:hint="eastAsia"/>
          <w:color w:val="000000"/>
          <w:spacing w:val="-2"/>
          <w:sz w:val="28"/>
        </w:rPr>
        <w:t>监理工作的目标及要点</w:t>
      </w:r>
    </w:p>
    <w:p>
      <w:pPr>
        <w:spacing w:line="460" w:lineRule="exact"/>
        <w:ind w:firstLine="2889" w:firstLineChars="1047"/>
        <w:rPr>
          <w:color w:val="000000"/>
          <w:spacing w:val="-2"/>
          <w:sz w:val="28"/>
        </w:rPr>
      </w:pPr>
      <w:r>
        <w:rPr>
          <w:rFonts w:hint="eastAsia"/>
          <w:color w:val="000000"/>
          <w:spacing w:val="-2"/>
          <w:sz w:val="28"/>
        </w:rPr>
        <w:t>监理工作的方法及措施</w:t>
      </w:r>
    </w:p>
    <w:p>
      <w:pPr>
        <w:spacing w:line="460" w:lineRule="exact"/>
        <w:ind w:firstLine="2889" w:firstLineChars="1047"/>
        <w:rPr>
          <w:color w:val="000000"/>
          <w:spacing w:val="-2"/>
          <w:sz w:val="28"/>
        </w:rPr>
      </w:pPr>
    </w:p>
    <w:p>
      <w:pPr>
        <w:spacing w:line="460" w:lineRule="exact"/>
        <w:ind w:firstLine="2889" w:firstLineChars="1047"/>
        <w:rPr>
          <w:color w:val="000000"/>
          <w:spacing w:val="-2"/>
          <w:sz w:val="28"/>
        </w:rPr>
      </w:pPr>
    </w:p>
    <w:p>
      <w:pPr>
        <w:rPr>
          <w:rFonts w:ascii="Times New Roman"/>
          <w:b/>
          <w:color w:val="000000"/>
          <w:spacing w:val="-2"/>
          <w:sz w:val="28"/>
          <w:u w:val="single"/>
        </w:rPr>
      </w:pPr>
      <w:r>
        <w:rPr>
          <w:rFonts w:hint="eastAsia" w:ascii="Times New Roman"/>
          <w:b/>
          <w:color w:val="000000"/>
          <w:spacing w:val="-2"/>
          <w:sz w:val="28"/>
        </w:rPr>
        <w:t xml:space="preserve">           项目监理机构（章）：</w:t>
      </w:r>
      <w:r>
        <w:rPr>
          <w:rFonts w:hint="eastAsia" w:ascii="Times New Roman"/>
          <w:b/>
          <w:color w:val="000000"/>
          <w:spacing w:val="-2"/>
          <w:sz w:val="28"/>
          <w:u w:val="single"/>
        </w:rPr>
        <w:t>　　　　　　　　</w:t>
      </w:r>
    </w:p>
    <w:p>
      <w:pPr>
        <w:rPr>
          <w:rFonts w:hint="eastAsia" w:ascii="Times New Roman"/>
          <w:b/>
          <w:color w:val="000000"/>
          <w:spacing w:val="-2"/>
          <w:sz w:val="28"/>
          <w:u w:val="single"/>
        </w:rPr>
      </w:pPr>
      <w:r>
        <w:rPr>
          <w:rFonts w:hint="eastAsia" w:ascii="Times New Roman"/>
          <w:b/>
          <w:color w:val="000000"/>
          <w:spacing w:val="-2"/>
          <w:sz w:val="28"/>
        </w:rPr>
        <w:t xml:space="preserve">           专业监理工程师：</w:t>
      </w:r>
      <w:r>
        <w:rPr>
          <w:rFonts w:hint="eastAsia" w:ascii="Times New Roman"/>
          <w:b/>
          <w:color w:val="000000"/>
          <w:spacing w:val="-2"/>
          <w:sz w:val="28"/>
          <w:u w:val="single"/>
        </w:rPr>
        <w:t xml:space="preserve">                   </w:t>
      </w:r>
    </w:p>
    <w:p>
      <w:pPr>
        <w:rPr>
          <w:rFonts w:hint="eastAsia" w:ascii="Times New Roman" w:eastAsia="微软简标宋"/>
          <w:b/>
          <w:color w:val="000000"/>
          <w:spacing w:val="-2"/>
          <w:sz w:val="28"/>
          <w:u w:val="single"/>
        </w:rPr>
      </w:pPr>
      <w:r>
        <w:rPr>
          <w:rFonts w:hint="eastAsia" w:ascii="Times New Roman"/>
          <w:b/>
          <w:color w:val="000000"/>
          <w:spacing w:val="-2"/>
          <w:sz w:val="28"/>
        </w:rPr>
        <w:t xml:space="preserve">           总监理工程师：</w:t>
      </w:r>
      <w:r>
        <w:rPr>
          <w:rFonts w:hint="eastAsia" w:ascii="Times New Roman"/>
          <w:b/>
          <w:color w:val="000000"/>
          <w:spacing w:val="-2"/>
          <w:sz w:val="28"/>
          <w:u w:val="single"/>
        </w:rPr>
        <w:t>　　　　　 　　 　 　</w:t>
      </w:r>
    </w:p>
    <w:p>
      <w:pPr>
        <w:spacing w:after="480"/>
        <w:ind w:firstLine="1541" w:firstLineChars="556"/>
        <w:rPr>
          <w:rFonts w:hint="eastAsia"/>
          <w:b/>
          <w:color w:val="000000"/>
          <w:spacing w:val="-2"/>
          <w:sz w:val="28"/>
          <w:u w:val="single"/>
        </w:rPr>
      </w:pPr>
      <w:r>
        <w:rPr>
          <w:rFonts w:hint="eastAsia"/>
          <w:b/>
          <w:color w:val="000000"/>
          <w:spacing w:val="-2"/>
          <w:sz w:val="28"/>
        </w:rPr>
        <w:t>日期：</w:t>
      </w:r>
      <w:r>
        <w:rPr>
          <w:rFonts w:hint="eastAsia"/>
          <w:b/>
          <w:color w:val="000000"/>
          <w:spacing w:val="-2"/>
          <w:sz w:val="28"/>
          <w:u w:val="single"/>
        </w:rPr>
        <w:t>　</w:t>
      </w:r>
      <w:r>
        <w:rPr>
          <w:b/>
          <w:color w:val="000000"/>
          <w:spacing w:val="-2"/>
          <w:sz w:val="28"/>
          <w:u w:val="single"/>
        </w:rPr>
        <w:t xml:space="preserve">        </w:t>
      </w:r>
      <w:r>
        <w:rPr>
          <w:rFonts w:hint="eastAsia"/>
          <w:b/>
          <w:color w:val="000000"/>
          <w:spacing w:val="-2"/>
          <w:sz w:val="28"/>
          <w:u w:val="single"/>
        </w:rPr>
        <w:t>　　　　　</w:t>
      </w:r>
      <w:r>
        <w:rPr>
          <w:b/>
          <w:color w:val="000000"/>
          <w:spacing w:val="-2"/>
          <w:sz w:val="28"/>
          <w:u w:val="single"/>
        </w:rPr>
        <w:t xml:space="preserve"> </w:t>
      </w:r>
      <w:r>
        <w:rPr>
          <w:rFonts w:hint="eastAsia"/>
          <w:b/>
          <w:color w:val="000000"/>
          <w:spacing w:val="-2"/>
          <w:sz w:val="28"/>
          <w:u w:val="single"/>
        </w:rPr>
        <w:t>　</w:t>
      </w:r>
      <w:r>
        <w:rPr>
          <w:b/>
          <w:color w:val="000000"/>
          <w:spacing w:val="-2"/>
          <w:sz w:val="28"/>
          <w:u w:val="single"/>
        </w:rPr>
        <w:t xml:space="preserve"> </w:t>
      </w:r>
      <w:r>
        <w:rPr>
          <w:rFonts w:hint="eastAsia"/>
          <w:b/>
          <w:color w:val="000000"/>
          <w:spacing w:val="-2"/>
          <w:sz w:val="28"/>
          <w:u w:val="single"/>
        </w:rPr>
        <w:t>　　</w:t>
      </w:r>
      <w:r>
        <w:rPr>
          <w:b/>
          <w:color w:val="000000"/>
          <w:spacing w:val="-2"/>
          <w:sz w:val="28"/>
          <w:u w:val="single"/>
        </w:rPr>
        <w:t xml:space="preserve"> </w:t>
      </w:r>
    </w:p>
    <w:p>
      <w:pPr>
        <w:jc w:val="center"/>
        <w:rPr>
          <w:rFonts w:ascii="Times New Roman" w:eastAsia="隶书"/>
          <w:color w:val="000000"/>
          <w:spacing w:val="-2"/>
          <w:sz w:val="28"/>
        </w:rPr>
      </w:pPr>
    </w:p>
    <w:p>
      <w:pPr>
        <w:jc w:val="center"/>
        <w:rPr>
          <w:rFonts w:hint="eastAsia" w:ascii="Times New Roman" w:eastAsia="隶书"/>
          <w:color w:val="000000"/>
          <w:spacing w:val="-2"/>
          <w:sz w:val="28"/>
        </w:rPr>
      </w:pPr>
    </w:p>
    <w:p>
      <w:pPr>
        <w:jc w:val="center"/>
        <w:rPr>
          <w:rFonts w:hint="eastAsia" w:ascii="Times New Roman" w:eastAsia="隶书"/>
          <w:color w:val="000000"/>
          <w:spacing w:val="-2"/>
          <w:sz w:val="28"/>
        </w:rPr>
      </w:pPr>
    </w:p>
    <w:p>
      <w:pPr>
        <w:jc w:val="center"/>
        <w:rPr>
          <w:rFonts w:hint="eastAsia" w:ascii="Times New Roman" w:eastAsia="隶书"/>
          <w:color w:val="000000"/>
          <w:spacing w:val="-2"/>
          <w:sz w:val="28"/>
        </w:rPr>
      </w:pPr>
    </w:p>
    <w:p>
      <w:pPr>
        <w:jc w:val="center"/>
        <w:rPr>
          <w:rFonts w:hint="eastAsia" w:ascii="Times New Roman" w:eastAsia="隶书"/>
          <w:color w:val="000000"/>
          <w:spacing w:val="-2"/>
          <w:sz w:val="28"/>
        </w:rPr>
      </w:pPr>
      <w:r>
        <w:rPr>
          <w:rFonts w:hint="eastAsia" w:ascii="Times New Roman" w:eastAsia="隶书"/>
          <w:color w:val="000000"/>
          <w:spacing w:val="-2"/>
          <w:sz w:val="28"/>
        </w:rPr>
        <w:t>江苏省住房与城乡建设厅监制</w:t>
      </w:r>
    </w:p>
    <w:p>
      <w:pPr>
        <w:jc w:val="center"/>
        <w:rPr>
          <w:rFonts w:hint="eastAsia" w:ascii="Times New Roman" w:eastAsia="隶书"/>
          <w:color w:val="000000"/>
          <w:spacing w:val="-2"/>
          <w:sz w:val="28"/>
        </w:rPr>
      </w:pPr>
    </w:p>
    <w:p>
      <w:pPr>
        <w:jc w:val="center"/>
        <w:rPr>
          <w:rFonts w:hint="eastAsia" w:ascii="Times New Roman"/>
          <w:b/>
          <w:color w:val="000000"/>
          <w:spacing w:val="-2"/>
          <w:sz w:val="32"/>
          <w:szCs w:val="32"/>
        </w:rPr>
      </w:pPr>
      <w:r>
        <w:rPr>
          <w:rFonts w:hint="eastAsia" w:ascii="Times New Roman"/>
          <w:b/>
          <w:color w:val="000000"/>
          <w:spacing w:val="-2"/>
          <w:sz w:val="32"/>
          <w:szCs w:val="32"/>
        </w:rPr>
        <w:br w:type="column"/>
      </w:r>
    </w:p>
    <w:p>
      <w:pPr>
        <w:jc w:val="center"/>
        <w:rPr>
          <w:rFonts w:hint="eastAsia" w:ascii="Times New Roman" w:eastAsia="方正小标宋简体"/>
          <w:color w:val="000000"/>
          <w:spacing w:val="-2"/>
          <w:sz w:val="36"/>
          <w:szCs w:val="36"/>
        </w:rPr>
      </w:pPr>
      <w:r>
        <w:rPr>
          <w:rFonts w:hint="eastAsia" w:ascii="Times New Roman" w:hAnsi="Times New Roman" w:eastAsia="方正小标宋简体"/>
          <w:color w:val="000000"/>
          <w:spacing w:val="-2"/>
          <w:sz w:val="36"/>
          <w:szCs w:val="36"/>
        </w:rPr>
        <w:t>扣件式钢管脚手架搭设、拆除工程</w:t>
      </w:r>
    </w:p>
    <w:p>
      <w:pPr>
        <w:jc w:val="center"/>
        <w:rPr>
          <w:rFonts w:hint="eastAsia" w:ascii="Times New Roman" w:hAnsi="Times New Roman" w:eastAsia="方正小标宋简体"/>
          <w:color w:val="000000"/>
          <w:spacing w:val="-2"/>
          <w:sz w:val="36"/>
          <w:szCs w:val="36"/>
        </w:rPr>
      </w:pPr>
      <w:r>
        <w:rPr>
          <w:rFonts w:hint="eastAsia" w:ascii="Times New Roman" w:hAnsi="Times New Roman" w:eastAsia="方正小标宋简体"/>
          <w:color w:val="000000"/>
          <w:spacing w:val="-2"/>
          <w:sz w:val="36"/>
          <w:szCs w:val="36"/>
        </w:rPr>
        <w:t>监理实施细则</w:t>
      </w:r>
    </w:p>
    <w:p>
      <w:pPr>
        <w:spacing w:before="240" w:beforeLines="100" w:after="240" w:afterLines="100"/>
        <w:rPr>
          <w:rFonts w:hint="eastAsia"/>
          <w:b/>
          <w:color w:val="000000"/>
          <w:spacing w:val="-2"/>
          <w:sz w:val="28"/>
          <w:szCs w:val="28"/>
        </w:rPr>
      </w:pPr>
      <w:r>
        <w:rPr>
          <w:b/>
          <w:color w:val="000000"/>
          <w:spacing w:val="-2"/>
          <w:sz w:val="28"/>
          <w:szCs w:val="28"/>
        </w:rPr>
        <w:t xml:space="preserve">1 </w:t>
      </w:r>
      <w:r>
        <w:rPr>
          <w:rFonts w:hint="eastAsia"/>
          <w:b/>
          <w:color w:val="000000"/>
          <w:spacing w:val="-2"/>
          <w:sz w:val="28"/>
          <w:szCs w:val="28"/>
        </w:rPr>
        <w:t>工程概况</w:t>
      </w:r>
    </w:p>
    <w:p>
      <w:pPr>
        <w:spacing w:line="420" w:lineRule="exact"/>
        <w:rPr>
          <w:rFonts w:ascii="Times New Roman"/>
          <w:b/>
          <w:color w:val="000000"/>
          <w:spacing w:val="-2"/>
          <w:sz w:val="24"/>
        </w:rPr>
      </w:pPr>
      <w:r>
        <w:rPr>
          <w:b/>
          <w:color w:val="000000"/>
          <w:spacing w:val="-2"/>
          <w:sz w:val="24"/>
        </w:rPr>
        <w:t>1.1</w:t>
      </w:r>
      <w:r>
        <w:rPr>
          <w:rFonts w:hint="eastAsia" w:ascii="Times New Roman" w:hAnsi="Times New Roman"/>
          <w:b/>
          <w:color w:val="000000"/>
          <w:spacing w:val="-2"/>
          <w:sz w:val="24"/>
        </w:rPr>
        <w:t xml:space="preserve"> 工程概况：（简述建筑面积、高度、层高、结构形式等）</w:t>
      </w:r>
    </w:p>
    <w:p>
      <w:pPr>
        <w:spacing w:line="420" w:lineRule="exact"/>
        <w:rPr>
          <w:rFonts w:hint="eastAsia" w:ascii="Times New Roman"/>
          <w:b/>
          <w:color w:val="000000"/>
          <w:spacing w:val="-2"/>
          <w:sz w:val="24"/>
        </w:rPr>
      </w:pPr>
      <w:r>
        <w:rPr>
          <w:b/>
          <w:color w:val="000000"/>
          <w:spacing w:val="-2"/>
          <w:sz w:val="24"/>
        </w:rPr>
        <w:t>1.2</w:t>
      </w:r>
      <w:r>
        <w:rPr>
          <w:rFonts w:hint="eastAsia" w:ascii="Times New Roman" w:hAnsi="Times New Roman"/>
          <w:b/>
          <w:color w:val="000000"/>
          <w:spacing w:val="-2"/>
          <w:sz w:val="24"/>
        </w:rPr>
        <w:t xml:space="preserve"> 脚手架搭设、拆除概况：</w:t>
      </w:r>
    </w:p>
    <w:p>
      <w:pPr>
        <w:spacing w:line="420" w:lineRule="exact"/>
        <w:rPr>
          <w:rFonts w:hint="eastAsia" w:ascii="Times New Roman"/>
          <w:color w:val="000000"/>
          <w:spacing w:val="-2"/>
          <w:sz w:val="24"/>
        </w:rPr>
      </w:pPr>
      <w:r>
        <w:rPr>
          <w:b/>
          <w:color w:val="000000"/>
          <w:spacing w:val="-2"/>
          <w:sz w:val="24"/>
        </w:rPr>
        <w:t>1.2.1</w:t>
      </w:r>
      <w:r>
        <w:rPr>
          <w:rFonts w:hint="eastAsia" w:ascii="Times New Roman" w:hAnsi="Times New Roman"/>
          <w:color w:val="000000"/>
          <w:spacing w:val="-2"/>
          <w:sz w:val="24"/>
        </w:rPr>
        <w:t xml:space="preserve"> 拟搭设、拆除的脚手架型式：</w:t>
      </w:r>
    </w:p>
    <w:p>
      <w:pPr>
        <w:spacing w:line="420" w:lineRule="exact"/>
        <w:rPr>
          <w:rFonts w:hint="eastAsia" w:ascii="Times New Roman"/>
          <w:color w:val="000000"/>
          <w:spacing w:val="-2"/>
          <w:sz w:val="24"/>
        </w:rPr>
      </w:pPr>
      <w:r>
        <w:rPr>
          <w:rFonts w:hint="eastAsia" w:ascii="Times New Roman" w:hAnsi="Times New Roman"/>
          <w:color w:val="000000"/>
          <w:spacing w:val="-2"/>
          <w:sz w:val="24"/>
        </w:rPr>
        <w:t>□单排钢管脚手架                       □开口型</w:t>
      </w:r>
    </w:p>
    <w:p>
      <w:pPr>
        <w:spacing w:line="420" w:lineRule="exact"/>
        <w:rPr>
          <w:rFonts w:hint="eastAsia" w:ascii="Times New Roman"/>
          <w:color w:val="000000"/>
          <w:spacing w:val="-2"/>
          <w:sz w:val="24"/>
        </w:rPr>
      </w:pPr>
      <w:r>
        <w:rPr>
          <w:rFonts w:hint="eastAsia" w:ascii="Times New Roman" w:hAnsi="Times New Roman"/>
          <w:color w:val="000000"/>
          <w:spacing w:val="-2"/>
          <w:sz w:val="24"/>
        </w:rPr>
        <w:t>□双排钢管脚手架                       □封圈型</w:t>
      </w:r>
    </w:p>
    <w:p>
      <w:pPr>
        <w:spacing w:line="420" w:lineRule="exact"/>
        <w:rPr>
          <w:rFonts w:hint="eastAsia" w:ascii="Times New Roman"/>
          <w:color w:val="000000"/>
          <w:spacing w:val="-2"/>
          <w:sz w:val="24"/>
        </w:rPr>
      </w:pPr>
      <w:r>
        <w:rPr>
          <w:rFonts w:hint="eastAsia" w:ascii="Times New Roman" w:hAnsi="Times New Roman"/>
          <w:color w:val="000000"/>
          <w:spacing w:val="-2"/>
          <w:sz w:val="24"/>
        </w:rPr>
        <w:t>□满堂脚手架                           □敞开式</w:t>
      </w:r>
    </w:p>
    <w:p>
      <w:pPr>
        <w:spacing w:line="420" w:lineRule="exact"/>
        <w:rPr>
          <w:rFonts w:hint="eastAsia" w:ascii="Times New Roman"/>
          <w:color w:val="000000"/>
          <w:spacing w:val="-2"/>
          <w:sz w:val="24"/>
        </w:rPr>
      </w:pPr>
      <w:r>
        <w:rPr>
          <w:rFonts w:hint="eastAsia" w:ascii="Times New Roman" w:hAnsi="Times New Roman"/>
          <w:color w:val="000000"/>
          <w:spacing w:val="-2"/>
          <w:sz w:val="24"/>
        </w:rPr>
        <w:t>□满堂支撑架                           □遮挡式</w:t>
      </w:r>
    </w:p>
    <w:p>
      <w:pPr>
        <w:spacing w:line="420" w:lineRule="exact"/>
        <w:rPr>
          <w:rFonts w:hint="eastAsia" w:ascii="Times New Roman"/>
          <w:color w:val="000000"/>
          <w:spacing w:val="-2"/>
          <w:sz w:val="24"/>
        </w:rPr>
      </w:pPr>
      <w:r>
        <w:rPr>
          <w:rFonts w:hint="eastAsia" w:ascii="Times New Roman" w:hAnsi="Times New Roman"/>
          <w:color w:val="000000"/>
          <w:spacing w:val="-2"/>
          <w:sz w:val="24"/>
        </w:rPr>
        <w:t>□悬挑式脚手架                         □封闭式</w:t>
      </w:r>
    </w:p>
    <w:p>
      <w:pPr>
        <w:spacing w:line="420" w:lineRule="exact"/>
        <w:rPr>
          <w:rFonts w:hint="eastAsia" w:ascii="Times New Roman"/>
          <w:color w:val="000000"/>
          <w:spacing w:val="-2"/>
          <w:sz w:val="24"/>
        </w:rPr>
      </w:pPr>
      <w:r>
        <w:rPr>
          <w:rFonts w:hint="eastAsia" w:ascii="Times New Roman" w:hAnsi="Times New Roman"/>
          <w:color w:val="000000"/>
          <w:spacing w:val="-2"/>
          <w:sz w:val="24"/>
        </w:rPr>
        <w:t>□独立式脚手架（支撑架）               □底部双管立杆</w:t>
      </w:r>
    </w:p>
    <w:p>
      <w:pPr>
        <w:spacing w:line="420" w:lineRule="exact"/>
        <w:rPr>
          <w:rFonts w:hint="eastAsia" w:ascii="Times New Roman"/>
          <w:color w:val="000000"/>
          <w:spacing w:val="-2"/>
          <w:sz w:val="24"/>
        </w:rPr>
      </w:pPr>
      <w:r>
        <w:rPr>
          <w:rFonts w:hint="eastAsia" w:ascii="Times New Roman" w:hAnsi="Times New Roman"/>
          <w:color w:val="000000"/>
          <w:spacing w:val="-2"/>
          <w:sz w:val="24"/>
        </w:rPr>
        <w:t>□整体提升脚手架（可单独编制细则）</w:t>
      </w:r>
    </w:p>
    <w:p>
      <w:pPr>
        <w:spacing w:line="420" w:lineRule="exact"/>
        <w:rPr>
          <w:rFonts w:hint="eastAsia" w:ascii="Times New Roman"/>
          <w:color w:val="000000"/>
          <w:spacing w:val="-2"/>
          <w:sz w:val="24"/>
        </w:rPr>
      </w:pPr>
      <w:r>
        <w:rPr>
          <w:b/>
          <w:color w:val="000000"/>
          <w:spacing w:val="-2"/>
          <w:sz w:val="24"/>
        </w:rPr>
        <w:t>1.2.2</w:t>
      </w:r>
      <w:r>
        <w:rPr>
          <w:rFonts w:hint="eastAsia" w:ascii="Times New Roman" w:hAnsi="Times New Roman"/>
          <w:color w:val="000000"/>
          <w:spacing w:val="-2"/>
          <w:sz w:val="24"/>
        </w:rPr>
        <w:t xml:space="preserve"> 拟搭设、拆除的脚手架用途：</w:t>
      </w:r>
    </w:p>
    <w:p>
      <w:pPr>
        <w:spacing w:line="420" w:lineRule="exact"/>
        <w:rPr>
          <w:rFonts w:hint="eastAsia" w:ascii="Times New Roman"/>
          <w:color w:val="000000"/>
          <w:spacing w:val="-2"/>
          <w:sz w:val="24"/>
        </w:rPr>
      </w:pPr>
      <w:r>
        <w:rPr>
          <w:rFonts w:hint="eastAsia" w:ascii="Times New Roman" w:hAnsi="Times New Roman"/>
          <w:color w:val="000000"/>
          <w:spacing w:val="-2"/>
          <w:sz w:val="24"/>
        </w:rPr>
        <w:t>□结构施工                             □围护架</w:t>
      </w:r>
    </w:p>
    <w:p>
      <w:pPr>
        <w:spacing w:line="420" w:lineRule="exact"/>
        <w:rPr>
          <w:rFonts w:hint="eastAsia" w:ascii="Times New Roman"/>
          <w:color w:val="000000"/>
          <w:spacing w:val="-2"/>
          <w:sz w:val="24"/>
        </w:rPr>
      </w:pPr>
      <w:r>
        <w:rPr>
          <w:rFonts w:hint="eastAsia" w:ascii="Times New Roman" w:hAnsi="Times New Roman"/>
          <w:color w:val="000000"/>
          <w:spacing w:val="-2"/>
          <w:sz w:val="24"/>
        </w:rPr>
        <w:t>□装饰施工                             □模板施工</w:t>
      </w:r>
    </w:p>
    <w:p>
      <w:pPr>
        <w:spacing w:line="420" w:lineRule="exact"/>
        <w:rPr>
          <w:rFonts w:hint="eastAsia" w:ascii="Times New Roman"/>
          <w:color w:val="000000"/>
          <w:spacing w:val="-2"/>
          <w:sz w:val="24"/>
        </w:rPr>
      </w:pPr>
      <w:r>
        <w:rPr>
          <w:b/>
          <w:color w:val="000000"/>
          <w:spacing w:val="-2"/>
          <w:sz w:val="24"/>
        </w:rPr>
        <w:t>1.2.3</w:t>
      </w:r>
      <w:r>
        <w:rPr>
          <w:color w:val="000000"/>
          <w:spacing w:val="-2"/>
          <w:sz w:val="24"/>
        </w:rPr>
        <w:t xml:space="preserve"> </w:t>
      </w:r>
      <w:r>
        <w:rPr>
          <w:rFonts w:hint="eastAsia" w:ascii="Times New Roman" w:hAnsi="Times New Roman"/>
          <w:color w:val="000000"/>
          <w:spacing w:val="-2"/>
          <w:sz w:val="24"/>
        </w:rPr>
        <w:t>拟搭设、拆除脚手架分布区域：（可列表或图示、高大模板单列）</w:t>
      </w:r>
    </w:p>
    <w:p>
      <w:pPr>
        <w:spacing w:line="420" w:lineRule="exact"/>
        <w:rPr>
          <w:rFonts w:hint="eastAsia" w:ascii="Times New Roman"/>
          <w:color w:val="000000"/>
          <w:spacing w:val="-2"/>
          <w:sz w:val="24"/>
        </w:rPr>
      </w:pPr>
      <w:r>
        <w:rPr>
          <w:b/>
          <w:color w:val="000000"/>
          <w:spacing w:val="-2"/>
          <w:sz w:val="24"/>
        </w:rPr>
        <w:t>1.2.4</w:t>
      </w:r>
      <w:r>
        <w:rPr>
          <w:color w:val="000000"/>
          <w:spacing w:val="-2"/>
          <w:sz w:val="24"/>
        </w:rPr>
        <w:t xml:space="preserve"> </w:t>
      </w:r>
      <w:r>
        <w:rPr>
          <w:rFonts w:hint="eastAsia" w:ascii="Times New Roman" w:hAnsi="Times New Roman"/>
          <w:color w:val="000000"/>
          <w:spacing w:val="-2"/>
          <w:sz w:val="24"/>
        </w:rPr>
        <w:t>脚手架承受荷载简述：</w:t>
      </w:r>
    </w:p>
    <w:p>
      <w:pPr>
        <w:spacing w:line="420" w:lineRule="exact"/>
        <w:rPr>
          <w:rFonts w:hint="eastAsia" w:ascii="Times New Roman"/>
          <w:color w:val="000000"/>
          <w:spacing w:val="-2"/>
          <w:sz w:val="24"/>
        </w:rPr>
      </w:pPr>
      <w:r>
        <w:rPr>
          <w:rFonts w:hint="eastAsia" w:ascii="Times New Roman" w:hAnsi="Times New Roman"/>
          <w:color w:val="000000"/>
          <w:spacing w:val="-2"/>
          <w:sz w:val="24"/>
        </w:rPr>
        <w:t>满堂支撑架需注明各区域板厚、最大梁截面、构件尺寸、高度、跨度、永久荷载、可变荷载（可列表）。</w:t>
      </w:r>
    </w:p>
    <w:p>
      <w:pPr>
        <w:spacing w:line="420" w:lineRule="exact"/>
        <w:rPr>
          <w:rFonts w:hint="eastAsia" w:ascii="Times New Roman" w:hAnsi="Times New Roman"/>
          <w:color w:val="000000"/>
          <w:spacing w:val="-2"/>
        </w:rPr>
      </w:pPr>
      <w:r>
        <w:rPr>
          <w:b/>
          <w:color w:val="000000"/>
          <w:spacing w:val="-2"/>
          <w:sz w:val="24"/>
        </w:rPr>
        <w:t>1.2.5</w:t>
      </w:r>
      <w:r>
        <w:rPr>
          <w:color w:val="000000"/>
          <w:spacing w:val="-2"/>
          <w:sz w:val="24"/>
        </w:rPr>
        <w:t xml:space="preserve"> </w:t>
      </w:r>
      <w:r>
        <w:rPr>
          <w:rFonts w:hint="eastAsia" w:ascii="Times New Roman" w:hAnsi="Times New Roman"/>
          <w:color w:val="000000"/>
          <w:spacing w:val="-2"/>
          <w:sz w:val="24"/>
        </w:rPr>
        <w:t>拟搭设、拆除的脚手架构造要求：（高大模板单列）</w:t>
      </w:r>
      <w:r>
        <w:rPr>
          <w:rFonts w:hint="eastAsia" w:ascii="Times New Roman" w:hAnsi="Times New Roman"/>
          <w:color w:val="000000"/>
          <w:spacing w:val="-2"/>
        </w:rPr>
        <w:t xml:space="preserve"> </w:t>
      </w:r>
    </w:p>
    <w:p>
      <w:pPr>
        <w:spacing w:line="360" w:lineRule="auto"/>
        <w:rPr>
          <w:rFonts w:hint="eastAsia" w:ascii="Times New Roman" w:eastAsia="黑体"/>
          <w:color w:val="000000"/>
          <w:spacing w:val="-2"/>
          <w:szCs w:val="21"/>
        </w:rPr>
      </w:pPr>
      <w:r>
        <w:rPr>
          <w:rFonts w:hint="eastAsia" w:ascii="Times New Roman" w:hAnsi="Times New Roman"/>
          <w:color w:val="000000"/>
          <w:spacing w:val="-2"/>
        </w:rPr>
        <w:t xml:space="preserve">                   </w:t>
      </w:r>
      <w:r>
        <w:rPr>
          <w:rFonts w:hint="eastAsia" w:ascii="Times New Roman" w:hAnsi="Times New Roman" w:eastAsia="黑体"/>
          <w:color w:val="000000"/>
          <w:spacing w:val="-2"/>
          <w:sz w:val="24"/>
        </w:rPr>
        <w:t>拟搭设、拆除的脚手架构造要求一览表</w:t>
      </w:r>
      <w:r>
        <w:rPr>
          <w:rFonts w:hint="eastAsia" w:ascii="Times New Roman" w:hAnsi="Times New Roman" w:eastAsia="黑体"/>
          <w:b/>
          <w:color w:val="000000"/>
          <w:spacing w:val="-2"/>
          <w:szCs w:val="21"/>
        </w:rPr>
        <w:t xml:space="preserve">   </w:t>
      </w:r>
      <w:r>
        <w:rPr>
          <w:rFonts w:hint="eastAsia" w:ascii="Times New Roman" w:hAnsi="Times New Roman" w:eastAsia="黑体"/>
          <w:color w:val="000000"/>
          <w:spacing w:val="-2"/>
          <w:szCs w:val="21"/>
        </w:rPr>
        <w:t xml:space="preserve">                   表1.1</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95"/>
        <w:gridCol w:w="2315"/>
        <w:gridCol w:w="2167"/>
        <w:gridCol w:w="2034"/>
        <w:gridCol w:w="163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795" w:type="dxa"/>
            <w:tcBorders>
              <w:top w:val="single" w:color="auto" w:sz="8" w:space="0"/>
              <w:left w:val="single" w:color="auto" w:sz="8" w:space="0"/>
              <w:bottom w:val="single" w:color="auto" w:sz="4" w:space="0"/>
              <w:right w:val="single" w:color="auto" w:sz="4" w:space="0"/>
            </w:tcBorders>
            <w:noWrap w:val="0"/>
            <w:vAlign w:val="center"/>
          </w:tcPr>
          <w:p>
            <w:pPr>
              <w:jc w:val="center"/>
              <w:rPr>
                <w:rFonts w:eastAsia="黑体"/>
                <w:color w:val="000000"/>
                <w:spacing w:val="-2"/>
                <w:szCs w:val="21"/>
              </w:rPr>
            </w:pPr>
            <w:r>
              <w:rPr>
                <w:rFonts w:hint="eastAsia" w:eastAsia="黑体"/>
                <w:color w:val="000000"/>
                <w:spacing w:val="-2"/>
                <w:szCs w:val="21"/>
              </w:rPr>
              <w:t>序号</w:t>
            </w:r>
          </w:p>
        </w:tc>
        <w:tc>
          <w:tcPr>
            <w:tcW w:w="2315"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黑体"/>
                <w:color w:val="000000"/>
                <w:spacing w:val="-2"/>
                <w:szCs w:val="21"/>
              </w:rPr>
            </w:pPr>
            <w:r>
              <w:rPr>
                <w:rFonts w:hint="eastAsia" w:ascii="Times New Roman" w:hAnsi="Times New Roman" w:eastAsia="黑体"/>
                <w:color w:val="000000"/>
                <w:spacing w:val="-2"/>
                <w:szCs w:val="21"/>
              </w:rPr>
              <w:t>区域（轴线）</w:t>
            </w:r>
          </w:p>
        </w:tc>
        <w:tc>
          <w:tcPr>
            <w:tcW w:w="2167"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黑体"/>
                <w:color w:val="000000"/>
                <w:spacing w:val="-2"/>
                <w:szCs w:val="21"/>
              </w:rPr>
            </w:pPr>
            <w:r>
              <w:rPr>
                <w:rFonts w:hint="eastAsia" w:ascii="Times New Roman" w:hAnsi="Times New Roman" w:eastAsia="黑体"/>
                <w:color w:val="000000"/>
                <w:spacing w:val="-2"/>
                <w:szCs w:val="21"/>
              </w:rPr>
              <w:t>脚手架型式</w:t>
            </w:r>
          </w:p>
        </w:tc>
        <w:tc>
          <w:tcPr>
            <w:tcW w:w="2034"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黑体"/>
                <w:color w:val="000000"/>
                <w:spacing w:val="-2"/>
                <w:szCs w:val="21"/>
              </w:rPr>
            </w:pPr>
            <w:r>
              <w:rPr>
                <w:rFonts w:hint="eastAsia" w:ascii="Times New Roman" w:hAnsi="Times New Roman" w:eastAsia="黑体"/>
                <w:color w:val="000000"/>
                <w:spacing w:val="-2"/>
                <w:szCs w:val="21"/>
              </w:rPr>
              <w:t>构造要求</w:t>
            </w:r>
          </w:p>
        </w:tc>
        <w:tc>
          <w:tcPr>
            <w:tcW w:w="1635" w:type="dxa"/>
            <w:tcBorders>
              <w:top w:val="single" w:color="auto" w:sz="8" w:space="0"/>
              <w:left w:val="single" w:color="auto" w:sz="4" w:space="0"/>
              <w:bottom w:val="single" w:color="auto" w:sz="4" w:space="0"/>
              <w:right w:val="single" w:color="auto" w:sz="8" w:space="0"/>
            </w:tcBorders>
            <w:noWrap w:val="0"/>
            <w:vAlign w:val="center"/>
          </w:tcPr>
          <w:p>
            <w:pPr>
              <w:jc w:val="center"/>
              <w:rPr>
                <w:rFonts w:ascii="Times New Roman" w:eastAsia="黑体"/>
                <w:color w:val="000000"/>
                <w:spacing w:val="-2"/>
                <w:szCs w:val="21"/>
              </w:rPr>
            </w:pPr>
            <w:r>
              <w:rPr>
                <w:rFonts w:hint="eastAsia" w:ascii="Times New Roman" w:hAnsi="Times New Roman" w:eastAsia="黑体"/>
                <w:color w:val="000000"/>
                <w:spacing w:val="-2"/>
                <w:szCs w:val="21"/>
              </w:rPr>
              <w:t>构配件选用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95" w:type="dxa"/>
            <w:tcBorders>
              <w:top w:val="single" w:color="auto" w:sz="4" w:space="0"/>
              <w:left w:val="single" w:color="auto" w:sz="8" w:space="0"/>
              <w:bottom w:val="single" w:color="auto" w:sz="4" w:space="0"/>
              <w:right w:val="single" w:color="auto" w:sz="4" w:space="0"/>
            </w:tcBorders>
            <w:noWrap w:val="0"/>
            <w:vAlign w:val="center"/>
          </w:tcPr>
          <w:p>
            <w:pPr>
              <w:jc w:val="center"/>
              <w:rPr>
                <w:color w:val="000000"/>
                <w:spacing w:val="-2"/>
              </w:rPr>
            </w:pPr>
            <w:r>
              <w:rPr>
                <w:color w:val="000000"/>
                <w:spacing w:val="-2"/>
              </w:rPr>
              <w:t>1</w:t>
            </w:r>
          </w:p>
        </w:tc>
        <w:tc>
          <w:tcPr>
            <w:tcW w:w="231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1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03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1635" w:type="dxa"/>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95" w:type="dxa"/>
            <w:tcBorders>
              <w:top w:val="single" w:color="auto" w:sz="4" w:space="0"/>
              <w:left w:val="single" w:color="auto" w:sz="8" w:space="0"/>
              <w:bottom w:val="single" w:color="auto" w:sz="4" w:space="0"/>
              <w:right w:val="single" w:color="auto" w:sz="4" w:space="0"/>
            </w:tcBorders>
            <w:noWrap w:val="0"/>
            <w:vAlign w:val="center"/>
          </w:tcPr>
          <w:p>
            <w:pPr>
              <w:jc w:val="center"/>
              <w:rPr>
                <w:color w:val="000000"/>
                <w:spacing w:val="-2"/>
              </w:rPr>
            </w:pPr>
            <w:r>
              <w:rPr>
                <w:color w:val="000000"/>
                <w:spacing w:val="-2"/>
              </w:rPr>
              <w:t>2</w:t>
            </w:r>
          </w:p>
        </w:tc>
        <w:tc>
          <w:tcPr>
            <w:tcW w:w="231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1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03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1635" w:type="dxa"/>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95" w:type="dxa"/>
            <w:tcBorders>
              <w:top w:val="single" w:color="auto" w:sz="4" w:space="0"/>
              <w:left w:val="single" w:color="auto" w:sz="8" w:space="0"/>
              <w:bottom w:val="single" w:color="auto" w:sz="4" w:space="0"/>
              <w:right w:val="single" w:color="auto" w:sz="4" w:space="0"/>
            </w:tcBorders>
            <w:noWrap w:val="0"/>
            <w:vAlign w:val="center"/>
          </w:tcPr>
          <w:p>
            <w:pPr>
              <w:jc w:val="center"/>
              <w:rPr>
                <w:color w:val="000000"/>
                <w:spacing w:val="-2"/>
              </w:rPr>
            </w:pPr>
            <w:r>
              <w:rPr>
                <w:color w:val="000000"/>
                <w:spacing w:val="-2"/>
              </w:rPr>
              <w:t>3</w:t>
            </w:r>
          </w:p>
        </w:tc>
        <w:tc>
          <w:tcPr>
            <w:tcW w:w="231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1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03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1635" w:type="dxa"/>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95" w:type="dxa"/>
            <w:tcBorders>
              <w:top w:val="single" w:color="auto" w:sz="4" w:space="0"/>
              <w:left w:val="single" w:color="auto" w:sz="8" w:space="0"/>
              <w:bottom w:val="single" w:color="auto" w:sz="4" w:space="0"/>
              <w:right w:val="single" w:color="auto" w:sz="4" w:space="0"/>
            </w:tcBorders>
            <w:noWrap w:val="0"/>
            <w:vAlign w:val="center"/>
          </w:tcPr>
          <w:p>
            <w:pPr>
              <w:jc w:val="center"/>
              <w:rPr>
                <w:color w:val="000000"/>
                <w:spacing w:val="-2"/>
              </w:rPr>
            </w:pPr>
            <w:r>
              <w:rPr>
                <w:color w:val="000000"/>
                <w:spacing w:val="-2"/>
              </w:rPr>
              <w:t>.</w:t>
            </w:r>
          </w:p>
        </w:tc>
        <w:tc>
          <w:tcPr>
            <w:tcW w:w="231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1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03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1635" w:type="dxa"/>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95" w:type="dxa"/>
            <w:tcBorders>
              <w:top w:val="single" w:color="auto" w:sz="4" w:space="0"/>
              <w:left w:val="single" w:color="auto" w:sz="8" w:space="0"/>
              <w:bottom w:val="single" w:color="auto" w:sz="4" w:space="0"/>
              <w:right w:val="single" w:color="auto" w:sz="4" w:space="0"/>
            </w:tcBorders>
            <w:noWrap w:val="0"/>
            <w:vAlign w:val="center"/>
          </w:tcPr>
          <w:p>
            <w:pPr>
              <w:jc w:val="center"/>
              <w:rPr>
                <w:color w:val="000000"/>
                <w:spacing w:val="-2"/>
              </w:rPr>
            </w:pPr>
            <w:r>
              <w:rPr>
                <w:color w:val="000000"/>
                <w:spacing w:val="-2"/>
              </w:rPr>
              <w:t>.</w:t>
            </w:r>
          </w:p>
        </w:tc>
        <w:tc>
          <w:tcPr>
            <w:tcW w:w="231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1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03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1635" w:type="dxa"/>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95" w:type="dxa"/>
            <w:tcBorders>
              <w:top w:val="single" w:color="auto" w:sz="4" w:space="0"/>
              <w:left w:val="single" w:color="auto" w:sz="8" w:space="0"/>
              <w:bottom w:val="single" w:color="auto" w:sz="4" w:space="0"/>
              <w:right w:val="single" w:color="auto" w:sz="4" w:space="0"/>
            </w:tcBorders>
            <w:noWrap w:val="0"/>
            <w:vAlign w:val="center"/>
          </w:tcPr>
          <w:p>
            <w:pPr>
              <w:jc w:val="center"/>
              <w:rPr>
                <w:color w:val="000000"/>
                <w:spacing w:val="-2"/>
              </w:rPr>
            </w:pPr>
            <w:r>
              <w:rPr>
                <w:color w:val="000000"/>
                <w:spacing w:val="-2"/>
              </w:rPr>
              <w:t>.</w:t>
            </w:r>
          </w:p>
        </w:tc>
        <w:tc>
          <w:tcPr>
            <w:tcW w:w="2315"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167"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2034"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color w:val="000000"/>
                <w:spacing w:val="-2"/>
              </w:rPr>
            </w:pPr>
          </w:p>
        </w:tc>
        <w:tc>
          <w:tcPr>
            <w:tcW w:w="1635" w:type="dxa"/>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795" w:type="dxa"/>
            <w:tcBorders>
              <w:top w:val="single" w:color="auto" w:sz="4" w:space="0"/>
              <w:left w:val="single" w:color="auto" w:sz="8" w:space="0"/>
              <w:bottom w:val="single" w:color="auto" w:sz="8" w:space="0"/>
              <w:right w:val="single" w:color="auto" w:sz="4" w:space="0"/>
            </w:tcBorders>
            <w:noWrap w:val="0"/>
            <w:vAlign w:val="center"/>
          </w:tcPr>
          <w:p>
            <w:pPr>
              <w:jc w:val="center"/>
              <w:rPr>
                <w:color w:val="000000"/>
                <w:spacing w:val="-2"/>
              </w:rPr>
            </w:pPr>
            <w:r>
              <w:rPr>
                <w:color w:val="000000"/>
                <w:spacing w:val="-2"/>
              </w:rPr>
              <w:t>n</w:t>
            </w:r>
          </w:p>
        </w:tc>
        <w:tc>
          <w:tcPr>
            <w:tcW w:w="2315" w:type="dxa"/>
            <w:tcBorders>
              <w:top w:val="single" w:color="auto" w:sz="4" w:space="0"/>
              <w:left w:val="single" w:color="auto" w:sz="4" w:space="0"/>
              <w:bottom w:val="single" w:color="auto" w:sz="8" w:space="0"/>
              <w:right w:val="single" w:color="auto" w:sz="4" w:space="0"/>
            </w:tcBorders>
            <w:noWrap w:val="0"/>
            <w:vAlign w:val="center"/>
          </w:tcPr>
          <w:p>
            <w:pPr>
              <w:jc w:val="center"/>
              <w:rPr>
                <w:rFonts w:ascii="Times New Roman"/>
                <w:color w:val="000000"/>
                <w:spacing w:val="-2"/>
              </w:rPr>
            </w:pPr>
          </w:p>
        </w:tc>
        <w:tc>
          <w:tcPr>
            <w:tcW w:w="2167" w:type="dxa"/>
            <w:tcBorders>
              <w:top w:val="single" w:color="auto" w:sz="4" w:space="0"/>
              <w:left w:val="single" w:color="auto" w:sz="4" w:space="0"/>
              <w:bottom w:val="single" w:color="auto" w:sz="8" w:space="0"/>
              <w:right w:val="single" w:color="auto" w:sz="4" w:space="0"/>
            </w:tcBorders>
            <w:noWrap w:val="0"/>
            <w:vAlign w:val="center"/>
          </w:tcPr>
          <w:p>
            <w:pPr>
              <w:jc w:val="center"/>
              <w:rPr>
                <w:rFonts w:ascii="Times New Roman"/>
                <w:color w:val="000000"/>
                <w:spacing w:val="-2"/>
              </w:rPr>
            </w:pPr>
          </w:p>
        </w:tc>
        <w:tc>
          <w:tcPr>
            <w:tcW w:w="2034" w:type="dxa"/>
            <w:tcBorders>
              <w:top w:val="single" w:color="auto" w:sz="4" w:space="0"/>
              <w:left w:val="single" w:color="auto" w:sz="4" w:space="0"/>
              <w:bottom w:val="single" w:color="auto" w:sz="8" w:space="0"/>
              <w:right w:val="single" w:color="auto" w:sz="4" w:space="0"/>
            </w:tcBorders>
            <w:noWrap w:val="0"/>
            <w:vAlign w:val="center"/>
          </w:tcPr>
          <w:p>
            <w:pPr>
              <w:jc w:val="center"/>
              <w:rPr>
                <w:rFonts w:ascii="Times New Roman"/>
                <w:color w:val="000000"/>
                <w:spacing w:val="-2"/>
              </w:rPr>
            </w:pPr>
          </w:p>
        </w:tc>
        <w:tc>
          <w:tcPr>
            <w:tcW w:w="1635" w:type="dxa"/>
            <w:tcBorders>
              <w:top w:val="single" w:color="auto" w:sz="4" w:space="0"/>
              <w:left w:val="single" w:color="auto" w:sz="4" w:space="0"/>
              <w:bottom w:val="single" w:color="auto" w:sz="8" w:space="0"/>
              <w:right w:val="single" w:color="auto" w:sz="8" w:space="0"/>
            </w:tcBorders>
            <w:noWrap w:val="0"/>
            <w:vAlign w:val="center"/>
          </w:tcPr>
          <w:p>
            <w:pPr>
              <w:jc w:val="center"/>
              <w:rPr>
                <w:rFonts w:ascii="Times New Roman"/>
                <w:color w:val="000000"/>
                <w:spacing w:val="-2"/>
              </w:rPr>
            </w:pPr>
          </w:p>
        </w:tc>
      </w:tr>
    </w:tbl>
    <w:p>
      <w:pPr>
        <w:spacing w:line="460" w:lineRule="exact"/>
        <w:rPr>
          <w:rFonts w:hint="eastAsia" w:ascii="Times New Roman"/>
          <w:color w:val="000000"/>
          <w:spacing w:val="-2"/>
          <w:sz w:val="24"/>
        </w:rPr>
      </w:pPr>
      <w:r>
        <w:rPr>
          <w:rFonts w:hint="eastAsia" w:ascii="Times New Roman" w:hAnsi="Times New Roman"/>
          <w:color w:val="000000"/>
          <w:spacing w:val="-2"/>
          <w:sz w:val="24"/>
        </w:rPr>
        <w:t>表中构造要求主要有以下内容（包括但不限于）脚手架长度、宽度、高度、步距，主杆纵距、横距，连墙件纵距、横距，门洞构造、剪刀撑、横向斜撑构造等。</w:t>
      </w:r>
    </w:p>
    <w:p>
      <w:pPr>
        <w:spacing w:line="460" w:lineRule="exact"/>
        <w:rPr>
          <w:rFonts w:hint="eastAsia" w:ascii="Times New Roman"/>
          <w:color w:val="000000"/>
          <w:spacing w:val="-2"/>
        </w:rPr>
      </w:pPr>
      <w:r>
        <w:rPr>
          <w:b/>
          <w:color w:val="000000"/>
          <w:spacing w:val="-2"/>
          <w:sz w:val="24"/>
        </w:rPr>
        <w:t>1.3</w:t>
      </w:r>
      <w:r>
        <w:rPr>
          <w:rFonts w:hint="eastAsia" w:ascii="Times New Roman" w:hAnsi="Times New Roman"/>
          <w:b/>
          <w:color w:val="000000"/>
          <w:spacing w:val="-2"/>
          <w:sz w:val="24"/>
        </w:rPr>
        <w:t xml:space="preserve">  脚手架地基与基础构造：</w:t>
      </w:r>
    </w:p>
    <w:p>
      <w:pPr>
        <w:spacing w:before="240" w:beforeLines="100" w:after="240" w:afterLines="100"/>
        <w:rPr>
          <w:rFonts w:hint="eastAsia"/>
          <w:b/>
          <w:color w:val="000000"/>
          <w:spacing w:val="-2"/>
          <w:sz w:val="28"/>
          <w:szCs w:val="28"/>
        </w:rPr>
      </w:pPr>
      <w:r>
        <w:rPr>
          <w:b/>
          <w:color w:val="000000"/>
          <w:spacing w:val="-2"/>
          <w:sz w:val="28"/>
          <w:szCs w:val="28"/>
        </w:rPr>
        <w:t>2</w:t>
      </w:r>
      <w:r>
        <w:rPr>
          <w:rFonts w:hint="eastAsia"/>
          <w:b/>
          <w:color w:val="000000"/>
          <w:spacing w:val="-2"/>
          <w:sz w:val="28"/>
          <w:szCs w:val="28"/>
        </w:rPr>
        <w:t>扣件式钢管脚手架搭设、拆除工程的特点、难点。</w:t>
      </w:r>
    </w:p>
    <w:p>
      <w:pPr>
        <w:spacing w:line="460" w:lineRule="exact"/>
        <w:rPr>
          <w:rFonts w:ascii="Times New Roman"/>
          <w:b/>
          <w:color w:val="000000"/>
          <w:spacing w:val="-2"/>
          <w:sz w:val="24"/>
        </w:rPr>
      </w:pPr>
      <w:r>
        <w:rPr>
          <w:b/>
          <w:color w:val="000000"/>
          <w:spacing w:val="-2"/>
          <w:sz w:val="24"/>
        </w:rPr>
        <w:t>2.1</w:t>
      </w:r>
      <w:r>
        <w:rPr>
          <w:rFonts w:hint="eastAsia" w:ascii="Times New Roman" w:hAnsi="Times New Roman"/>
          <w:b/>
          <w:color w:val="000000"/>
          <w:spacing w:val="-2"/>
          <w:sz w:val="24"/>
        </w:rPr>
        <w:t xml:space="preserve"> 扣件式钢管脚手架搭设、拆除的特点、难点：</w:t>
      </w:r>
      <w:r>
        <w:rPr>
          <w:rFonts w:hint="eastAsia" w:ascii="Times New Roman" w:hAnsi="Times New Roman"/>
          <w:b/>
          <w:color w:val="000000"/>
          <w:spacing w:val="-2"/>
          <w:sz w:val="24"/>
          <w:u w:val="single"/>
        </w:rPr>
        <w:t xml:space="preserve">                           </w:t>
      </w:r>
      <w:r>
        <w:rPr>
          <w:rFonts w:hint="eastAsia" w:ascii="Times New Roman" w:hAnsi="Times New Roman"/>
          <w:b/>
          <w:color w:val="000000"/>
          <w:spacing w:val="-2"/>
          <w:sz w:val="24"/>
        </w:rPr>
        <w:t>。</w:t>
      </w:r>
    </w:p>
    <w:p>
      <w:pPr>
        <w:spacing w:line="460" w:lineRule="exact"/>
        <w:rPr>
          <w:rFonts w:hint="eastAsia" w:ascii="Times New Roman"/>
          <w:b/>
          <w:color w:val="000000"/>
          <w:spacing w:val="-2"/>
          <w:sz w:val="24"/>
        </w:rPr>
      </w:pPr>
      <w:r>
        <w:rPr>
          <w:b/>
          <w:color w:val="000000"/>
          <w:spacing w:val="-2"/>
          <w:sz w:val="24"/>
        </w:rPr>
        <w:t>2.2</w:t>
      </w:r>
      <w:r>
        <w:rPr>
          <w:rFonts w:hint="eastAsia" w:ascii="Times New Roman" w:hAnsi="Times New Roman"/>
          <w:b/>
          <w:color w:val="000000"/>
          <w:spacing w:val="-2"/>
          <w:sz w:val="24"/>
        </w:rPr>
        <w:t xml:space="preserve"> 脚手架搭设、拆除施工安全生产管理监理工作的重点：</w:t>
      </w:r>
      <w:r>
        <w:rPr>
          <w:rFonts w:hint="eastAsia" w:ascii="Times New Roman" w:hAnsi="Times New Roman"/>
          <w:b/>
          <w:color w:val="000000"/>
          <w:spacing w:val="-2"/>
          <w:sz w:val="24"/>
          <w:u w:val="single"/>
        </w:rPr>
        <w:t xml:space="preserve">                  </w:t>
      </w:r>
      <w:r>
        <w:rPr>
          <w:rFonts w:hint="eastAsia" w:ascii="Times New Roman" w:hAnsi="Times New Roman"/>
          <w:b/>
          <w:color w:val="000000"/>
          <w:spacing w:val="-2"/>
          <w:sz w:val="24"/>
        </w:rPr>
        <w:t>。</w:t>
      </w:r>
    </w:p>
    <w:p>
      <w:pPr>
        <w:spacing w:before="240" w:beforeLines="100" w:after="240" w:afterLines="100"/>
        <w:rPr>
          <w:rFonts w:hint="eastAsia"/>
          <w:b/>
          <w:color w:val="000000"/>
          <w:spacing w:val="-2"/>
          <w:sz w:val="28"/>
          <w:szCs w:val="28"/>
        </w:rPr>
      </w:pPr>
      <w:r>
        <w:rPr>
          <w:b/>
          <w:color w:val="000000"/>
          <w:spacing w:val="-2"/>
          <w:sz w:val="28"/>
          <w:szCs w:val="28"/>
        </w:rPr>
        <w:t xml:space="preserve">3 </w:t>
      </w:r>
      <w:r>
        <w:rPr>
          <w:rFonts w:hint="eastAsia"/>
          <w:b/>
          <w:color w:val="000000"/>
          <w:spacing w:val="-2"/>
          <w:sz w:val="28"/>
          <w:szCs w:val="28"/>
        </w:rPr>
        <w:t>监理依据</w:t>
      </w:r>
    </w:p>
    <w:p>
      <w:pPr>
        <w:spacing w:line="460" w:lineRule="exact"/>
        <w:rPr>
          <w:b/>
          <w:color w:val="000000"/>
          <w:spacing w:val="-2"/>
          <w:sz w:val="24"/>
        </w:rPr>
      </w:pPr>
      <w:r>
        <w:rPr>
          <w:b/>
          <w:color w:val="000000"/>
          <w:spacing w:val="-2"/>
          <w:sz w:val="24"/>
        </w:rPr>
        <w:t xml:space="preserve">3.1 </w:t>
      </w:r>
      <w:r>
        <w:rPr>
          <w:rFonts w:hint="eastAsia"/>
          <w:b/>
          <w:color w:val="000000"/>
          <w:spacing w:val="-2"/>
          <w:sz w:val="24"/>
        </w:rPr>
        <w:t>本工程施工合同、协议等资料。</w:t>
      </w:r>
    </w:p>
    <w:p>
      <w:pPr>
        <w:spacing w:line="460" w:lineRule="exact"/>
        <w:rPr>
          <w:b/>
          <w:color w:val="000000"/>
          <w:spacing w:val="-2"/>
          <w:sz w:val="24"/>
        </w:rPr>
      </w:pPr>
      <w:r>
        <w:rPr>
          <w:b/>
          <w:color w:val="000000"/>
          <w:spacing w:val="-2"/>
          <w:sz w:val="24"/>
        </w:rPr>
        <w:t xml:space="preserve">3.2 </w:t>
      </w:r>
      <w:r>
        <w:rPr>
          <w:rFonts w:hint="eastAsia"/>
          <w:b/>
          <w:color w:val="000000"/>
          <w:spacing w:val="-2"/>
          <w:sz w:val="24"/>
        </w:rPr>
        <w:t>本工程《监理规划》。</w:t>
      </w:r>
    </w:p>
    <w:p>
      <w:pPr>
        <w:spacing w:line="460" w:lineRule="exact"/>
        <w:rPr>
          <w:b/>
          <w:color w:val="000000"/>
          <w:spacing w:val="-2"/>
          <w:sz w:val="24"/>
        </w:rPr>
      </w:pPr>
      <w:r>
        <w:rPr>
          <w:b/>
          <w:color w:val="000000"/>
          <w:spacing w:val="-2"/>
          <w:sz w:val="24"/>
        </w:rPr>
        <w:t xml:space="preserve">3.3 </w:t>
      </w:r>
      <w:r>
        <w:rPr>
          <w:rFonts w:hint="eastAsia"/>
          <w:b/>
          <w:color w:val="000000"/>
          <w:spacing w:val="-2"/>
          <w:sz w:val="24"/>
        </w:rPr>
        <w:t>经审批通过的施工组织设计、脚手架搭设、拆除专项施工方案。</w:t>
      </w:r>
    </w:p>
    <w:p>
      <w:pPr>
        <w:spacing w:line="460" w:lineRule="exact"/>
        <w:rPr>
          <w:rFonts w:ascii="Times New Roman"/>
          <w:b/>
          <w:color w:val="000000"/>
          <w:spacing w:val="-2"/>
          <w:sz w:val="24"/>
        </w:rPr>
      </w:pPr>
      <w:r>
        <w:rPr>
          <w:b/>
          <w:color w:val="000000"/>
          <w:spacing w:val="-2"/>
          <w:sz w:val="24"/>
        </w:rPr>
        <w:t>3.4</w:t>
      </w:r>
      <w:r>
        <w:rPr>
          <w:rFonts w:hint="eastAsia" w:ascii="Times New Roman" w:hAnsi="Times New Roman"/>
          <w:b/>
          <w:color w:val="000000"/>
          <w:spacing w:val="-2"/>
          <w:sz w:val="24"/>
        </w:rPr>
        <w:t xml:space="preserve"> 本项目适用的扣件式脚手架搭设、拆除相关现行法律法规、技术标准规范。</w:t>
      </w:r>
    </w:p>
    <w:p>
      <w:pPr>
        <w:spacing w:line="360" w:lineRule="auto"/>
        <w:ind w:firstLine="590" w:firstLineChars="250"/>
        <w:rPr>
          <w:rFonts w:hint="eastAsia" w:ascii="Times New Roman" w:hAnsi="Times New Roman" w:eastAsia="黑体"/>
          <w:color w:val="000000"/>
          <w:spacing w:val="-2"/>
          <w:sz w:val="24"/>
        </w:rPr>
      </w:pPr>
    </w:p>
    <w:p>
      <w:pPr>
        <w:spacing w:line="360" w:lineRule="auto"/>
        <w:ind w:firstLine="590" w:firstLineChars="250"/>
        <w:rPr>
          <w:rFonts w:hint="eastAsia" w:ascii="Times New Roman"/>
          <w:color w:val="000000"/>
          <w:spacing w:val="-2"/>
        </w:rPr>
      </w:pPr>
      <w:r>
        <w:rPr>
          <w:rFonts w:hint="eastAsia" w:ascii="Times New Roman" w:hAnsi="Times New Roman" w:eastAsia="黑体"/>
          <w:color w:val="000000"/>
          <w:spacing w:val="-2"/>
          <w:sz w:val="24"/>
        </w:rPr>
        <w:t>扣件式钢管脚手架搭设、拆除工程相关法律法规、技术标准规范一览表</w:t>
      </w:r>
      <w:r>
        <w:rPr>
          <w:rFonts w:hint="eastAsia" w:ascii="Times New Roman" w:hAnsi="Times New Roman"/>
          <w:b/>
          <w:color w:val="000000"/>
          <w:spacing w:val="-2"/>
        </w:rPr>
        <w:t xml:space="preserve"> </w:t>
      </w:r>
      <w:r>
        <w:rPr>
          <w:rFonts w:hint="eastAsia" w:ascii="Times New Roman" w:hAnsi="Times New Roman"/>
          <w:color w:val="000000"/>
          <w:spacing w:val="-2"/>
        </w:rPr>
        <w:t xml:space="preserve">   表3.1</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12"/>
        <w:gridCol w:w="5985"/>
        <w:gridCol w:w="214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12"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序 号</w:t>
            </w:r>
          </w:p>
        </w:tc>
        <w:tc>
          <w:tcPr>
            <w:tcW w:w="5985"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名              称</w:t>
            </w:r>
          </w:p>
        </w:tc>
        <w:tc>
          <w:tcPr>
            <w:tcW w:w="2149" w:type="dxa"/>
            <w:tcBorders>
              <w:top w:val="single" w:color="auto" w:sz="8" w:space="0"/>
              <w:left w:val="single" w:color="auto" w:sz="4" w:space="0"/>
              <w:bottom w:val="single" w:color="auto" w:sz="4" w:space="0"/>
              <w:right w:val="single" w:color="auto" w:sz="8"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编   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12" w:type="dxa"/>
            <w:tcBorders>
              <w:top w:val="single" w:color="auto" w:sz="4" w:space="0"/>
              <w:left w:val="single" w:color="auto" w:sz="8" w:space="0"/>
              <w:bottom w:val="single" w:color="auto" w:sz="4" w:space="0"/>
              <w:right w:val="single" w:color="auto" w:sz="4" w:space="0"/>
            </w:tcBorders>
            <w:noWrap w:val="0"/>
            <w:vAlign w:val="top"/>
          </w:tcPr>
          <w:p>
            <w:pPr>
              <w:rPr>
                <w:rFonts w:ascii="Times New Roman"/>
                <w:color w:val="000000"/>
                <w:spacing w:val="-2"/>
              </w:rPr>
            </w:pPr>
          </w:p>
        </w:tc>
        <w:tc>
          <w:tcPr>
            <w:tcW w:w="5985" w:type="dxa"/>
            <w:tcBorders>
              <w:top w:val="single" w:color="auto" w:sz="4" w:space="0"/>
              <w:left w:val="single" w:color="auto" w:sz="4" w:space="0"/>
              <w:bottom w:val="single" w:color="auto" w:sz="4" w:space="0"/>
              <w:right w:val="single" w:color="auto" w:sz="4" w:space="0"/>
            </w:tcBorders>
            <w:noWrap w:val="0"/>
            <w:vAlign w:val="top"/>
          </w:tcPr>
          <w:p>
            <w:pPr>
              <w:rPr>
                <w:rFonts w:ascii="Times New Roman"/>
                <w:color w:val="000000"/>
                <w:spacing w:val="-2"/>
              </w:rPr>
            </w:pPr>
          </w:p>
        </w:tc>
        <w:tc>
          <w:tcPr>
            <w:tcW w:w="2149" w:type="dxa"/>
            <w:tcBorders>
              <w:top w:val="single" w:color="auto" w:sz="4" w:space="0"/>
              <w:left w:val="single" w:color="auto" w:sz="4" w:space="0"/>
              <w:bottom w:val="single" w:color="auto" w:sz="4" w:space="0"/>
              <w:right w:val="single" w:color="auto" w:sz="8" w:space="0"/>
            </w:tcBorders>
            <w:noWrap w:val="0"/>
            <w:vAlign w:val="top"/>
          </w:tcPr>
          <w:p>
            <w:pP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12" w:type="dxa"/>
            <w:tcBorders>
              <w:top w:val="single" w:color="auto" w:sz="4" w:space="0"/>
              <w:left w:val="single" w:color="auto" w:sz="8" w:space="0"/>
              <w:bottom w:val="single" w:color="auto" w:sz="4" w:space="0"/>
              <w:right w:val="single" w:color="auto" w:sz="4" w:space="0"/>
            </w:tcBorders>
            <w:noWrap w:val="0"/>
            <w:vAlign w:val="top"/>
          </w:tcPr>
          <w:p>
            <w:pPr>
              <w:rPr>
                <w:rFonts w:ascii="Times New Roman"/>
                <w:color w:val="000000"/>
                <w:spacing w:val="-2"/>
              </w:rPr>
            </w:pPr>
          </w:p>
        </w:tc>
        <w:tc>
          <w:tcPr>
            <w:tcW w:w="5985" w:type="dxa"/>
            <w:tcBorders>
              <w:top w:val="single" w:color="auto" w:sz="4" w:space="0"/>
              <w:left w:val="single" w:color="auto" w:sz="4" w:space="0"/>
              <w:bottom w:val="single" w:color="auto" w:sz="4" w:space="0"/>
              <w:right w:val="single" w:color="auto" w:sz="4" w:space="0"/>
            </w:tcBorders>
            <w:noWrap w:val="0"/>
            <w:vAlign w:val="top"/>
          </w:tcPr>
          <w:p>
            <w:pPr>
              <w:rPr>
                <w:rFonts w:ascii="Times New Roman"/>
                <w:color w:val="000000"/>
                <w:spacing w:val="-2"/>
              </w:rPr>
            </w:pPr>
          </w:p>
        </w:tc>
        <w:tc>
          <w:tcPr>
            <w:tcW w:w="2149" w:type="dxa"/>
            <w:tcBorders>
              <w:top w:val="single" w:color="auto" w:sz="4" w:space="0"/>
              <w:left w:val="single" w:color="auto" w:sz="4" w:space="0"/>
              <w:bottom w:val="single" w:color="auto" w:sz="4" w:space="0"/>
              <w:right w:val="single" w:color="auto" w:sz="8" w:space="0"/>
            </w:tcBorders>
            <w:noWrap w:val="0"/>
            <w:vAlign w:val="top"/>
          </w:tcPr>
          <w:p>
            <w:pP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12" w:type="dxa"/>
            <w:tcBorders>
              <w:top w:val="single" w:color="auto" w:sz="4" w:space="0"/>
              <w:left w:val="single" w:color="auto" w:sz="8" w:space="0"/>
              <w:bottom w:val="single" w:color="auto" w:sz="4" w:space="0"/>
              <w:right w:val="single" w:color="auto" w:sz="4" w:space="0"/>
            </w:tcBorders>
            <w:noWrap w:val="0"/>
            <w:vAlign w:val="top"/>
          </w:tcPr>
          <w:p>
            <w:pPr>
              <w:rPr>
                <w:rFonts w:ascii="Times New Roman"/>
                <w:color w:val="000000"/>
                <w:spacing w:val="-2"/>
              </w:rPr>
            </w:pPr>
          </w:p>
        </w:tc>
        <w:tc>
          <w:tcPr>
            <w:tcW w:w="5985" w:type="dxa"/>
            <w:tcBorders>
              <w:top w:val="single" w:color="auto" w:sz="4" w:space="0"/>
              <w:left w:val="single" w:color="auto" w:sz="4" w:space="0"/>
              <w:bottom w:val="single" w:color="auto" w:sz="4" w:space="0"/>
              <w:right w:val="single" w:color="auto" w:sz="4" w:space="0"/>
            </w:tcBorders>
            <w:noWrap w:val="0"/>
            <w:vAlign w:val="top"/>
          </w:tcPr>
          <w:p>
            <w:pPr>
              <w:rPr>
                <w:rFonts w:ascii="Times New Roman"/>
                <w:color w:val="000000"/>
                <w:spacing w:val="-2"/>
              </w:rPr>
            </w:pPr>
          </w:p>
        </w:tc>
        <w:tc>
          <w:tcPr>
            <w:tcW w:w="2149" w:type="dxa"/>
            <w:tcBorders>
              <w:top w:val="single" w:color="auto" w:sz="4" w:space="0"/>
              <w:left w:val="single" w:color="auto" w:sz="4" w:space="0"/>
              <w:bottom w:val="single" w:color="auto" w:sz="4" w:space="0"/>
              <w:right w:val="single" w:color="auto" w:sz="8" w:space="0"/>
            </w:tcBorders>
            <w:noWrap w:val="0"/>
            <w:vAlign w:val="top"/>
          </w:tcPr>
          <w:p>
            <w:pP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12" w:type="dxa"/>
            <w:tcBorders>
              <w:top w:val="single" w:color="auto" w:sz="4" w:space="0"/>
              <w:left w:val="single" w:color="auto" w:sz="8" w:space="0"/>
              <w:bottom w:val="single" w:color="auto" w:sz="4" w:space="0"/>
              <w:right w:val="single" w:color="auto" w:sz="4" w:space="0"/>
            </w:tcBorders>
            <w:noWrap w:val="0"/>
            <w:vAlign w:val="top"/>
          </w:tcPr>
          <w:p>
            <w:pPr>
              <w:rPr>
                <w:rFonts w:ascii="Times New Roman"/>
                <w:color w:val="000000"/>
                <w:spacing w:val="-2"/>
              </w:rPr>
            </w:pPr>
          </w:p>
        </w:tc>
        <w:tc>
          <w:tcPr>
            <w:tcW w:w="5985" w:type="dxa"/>
            <w:tcBorders>
              <w:top w:val="single" w:color="auto" w:sz="4" w:space="0"/>
              <w:left w:val="single" w:color="auto" w:sz="4" w:space="0"/>
              <w:bottom w:val="single" w:color="auto" w:sz="4" w:space="0"/>
              <w:right w:val="single" w:color="auto" w:sz="4" w:space="0"/>
            </w:tcBorders>
            <w:noWrap w:val="0"/>
            <w:vAlign w:val="top"/>
          </w:tcPr>
          <w:p>
            <w:pPr>
              <w:rPr>
                <w:rFonts w:ascii="Times New Roman"/>
                <w:color w:val="000000"/>
                <w:spacing w:val="-2"/>
              </w:rPr>
            </w:pPr>
          </w:p>
        </w:tc>
        <w:tc>
          <w:tcPr>
            <w:tcW w:w="2149" w:type="dxa"/>
            <w:tcBorders>
              <w:top w:val="single" w:color="auto" w:sz="4" w:space="0"/>
              <w:left w:val="single" w:color="auto" w:sz="4" w:space="0"/>
              <w:bottom w:val="single" w:color="auto" w:sz="4" w:space="0"/>
              <w:right w:val="single" w:color="auto" w:sz="8" w:space="0"/>
            </w:tcBorders>
            <w:noWrap w:val="0"/>
            <w:vAlign w:val="top"/>
          </w:tcPr>
          <w:p>
            <w:pP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812" w:type="dxa"/>
            <w:tcBorders>
              <w:top w:val="single" w:color="auto" w:sz="4" w:space="0"/>
              <w:left w:val="single" w:color="auto" w:sz="8" w:space="0"/>
              <w:bottom w:val="single" w:color="auto" w:sz="8" w:space="0"/>
              <w:right w:val="single" w:color="auto" w:sz="4" w:space="0"/>
            </w:tcBorders>
            <w:noWrap w:val="0"/>
            <w:vAlign w:val="top"/>
          </w:tcPr>
          <w:p>
            <w:pPr>
              <w:rPr>
                <w:rFonts w:ascii="Times New Roman"/>
                <w:color w:val="000000"/>
                <w:spacing w:val="-2"/>
              </w:rPr>
            </w:pPr>
          </w:p>
        </w:tc>
        <w:tc>
          <w:tcPr>
            <w:tcW w:w="5985" w:type="dxa"/>
            <w:tcBorders>
              <w:top w:val="single" w:color="auto" w:sz="4" w:space="0"/>
              <w:left w:val="single" w:color="auto" w:sz="4" w:space="0"/>
              <w:bottom w:val="single" w:color="auto" w:sz="8" w:space="0"/>
              <w:right w:val="single" w:color="auto" w:sz="4" w:space="0"/>
            </w:tcBorders>
            <w:noWrap w:val="0"/>
            <w:vAlign w:val="top"/>
          </w:tcPr>
          <w:p>
            <w:pPr>
              <w:rPr>
                <w:rFonts w:ascii="Times New Roman"/>
                <w:color w:val="000000"/>
                <w:spacing w:val="-2"/>
              </w:rPr>
            </w:pPr>
          </w:p>
        </w:tc>
        <w:tc>
          <w:tcPr>
            <w:tcW w:w="2149" w:type="dxa"/>
            <w:tcBorders>
              <w:top w:val="single" w:color="auto" w:sz="4" w:space="0"/>
              <w:left w:val="single" w:color="auto" w:sz="4" w:space="0"/>
              <w:bottom w:val="single" w:color="auto" w:sz="8" w:space="0"/>
              <w:right w:val="single" w:color="auto" w:sz="8" w:space="0"/>
            </w:tcBorders>
            <w:noWrap w:val="0"/>
            <w:vAlign w:val="top"/>
          </w:tcPr>
          <w:p>
            <w:pPr>
              <w:rPr>
                <w:rFonts w:ascii="Times New Roman"/>
                <w:color w:val="000000"/>
                <w:spacing w:val="-2"/>
              </w:rPr>
            </w:pPr>
          </w:p>
        </w:tc>
      </w:tr>
    </w:tbl>
    <w:p>
      <w:pPr>
        <w:spacing w:line="460" w:lineRule="exact"/>
        <w:rPr>
          <w:rFonts w:hint="eastAsia" w:ascii="Times New Roman"/>
          <w:color w:val="000000"/>
          <w:spacing w:val="-2"/>
        </w:rPr>
      </w:pPr>
      <w:r>
        <w:rPr>
          <w:b/>
          <w:color w:val="000000"/>
          <w:spacing w:val="-2"/>
          <w:sz w:val="24"/>
        </w:rPr>
        <w:t xml:space="preserve">3.5 </w:t>
      </w:r>
      <w:r>
        <w:rPr>
          <w:rFonts w:hint="eastAsia" w:ascii="Times New Roman" w:hAnsi="Times New Roman"/>
          <w:b/>
          <w:color w:val="000000"/>
          <w:spacing w:val="-2"/>
          <w:sz w:val="24"/>
        </w:rPr>
        <w:t>其它依据:</w:t>
      </w:r>
    </w:p>
    <w:p>
      <w:pPr>
        <w:spacing w:before="240" w:beforeLines="100" w:after="240" w:afterLines="100"/>
        <w:rPr>
          <w:rFonts w:hint="eastAsia"/>
          <w:b/>
          <w:color w:val="000000"/>
          <w:spacing w:val="-2"/>
          <w:sz w:val="28"/>
          <w:szCs w:val="28"/>
        </w:rPr>
      </w:pPr>
      <w:r>
        <w:rPr>
          <w:b/>
          <w:color w:val="000000"/>
          <w:spacing w:val="-2"/>
          <w:sz w:val="28"/>
          <w:szCs w:val="28"/>
        </w:rPr>
        <w:t xml:space="preserve">4  </w:t>
      </w:r>
      <w:r>
        <w:rPr>
          <w:rFonts w:hint="eastAsia"/>
          <w:b/>
          <w:color w:val="000000"/>
          <w:spacing w:val="-2"/>
          <w:sz w:val="28"/>
          <w:szCs w:val="28"/>
        </w:rPr>
        <w:t>监理组织架构</w:t>
      </w:r>
    </w:p>
    <w:p>
      <w:pPr>
        <w:spacing w:line="460" w:lineRule="exact"/>
        <w:rPr>
          <w:rFonts w:ascii="Times New Roman"/>
          <w:b/>
          <w:color w:val="000000"/>
          <w:spacing w:val="-2"/>
          <w:sz w:val="24"/>
        </w:rPr>
      </w:pPr>
      <w:r>
        <w:rPr>
          <w:rFonts w:hint="eastAsia" w:ascii="Times New Roman" w:hAnsi="Times New Roman"/>
          <w:b/>
          <w:color w:val="000000"/>
          <w:spacing w:val="-2"/>
          <w:sz w:val="24"/>
        </w:rPr>
        <w:t>4.1 扣件式钢管脚手架搭设工程监理组织架构框图:（示意，图框中可添加人员姓名）</w:t>
      </w:r>
    </w:p>
    <w:p>
      <w:pPr>
        <w:spacing w:before="100" w:beforeAutospacing="1" w:after="100" w:afterAutospacing="1"/>
        <w:rPr>
          <w:rFonts w:hint="eastAsia" w:ascii="Times New Roman"/>
          <w:b/>
          <w:color w:val="000000"/>
          <w:spacing w:val="-2"/>
          <w:sz w:val="24"/>
        </w:rPr>
      </w:pPr>
      <w:r>
        <w:rPr>
          <w:rFonts w:hint="eastAsia"/>
        </w:rPr>
        <mc:AlternateContent>
          <mc:Choice Requires="wpg">
            <w:drawing>
              <wp:anchor distT="0" distB="0" distL="114300" distR="114300" simplePos="0" relativeHeight="251664384" behindDoc="0" locked="0" layoutInCell="1" allowOverlap="1">
                <wp:simplePos x="0" y="0"/>
                <wp:positionH relativeFrom="column">
                  <wp:posOffset>161290</wp:posOffset>
                </wp:positionH>
                <wp:positionV relativeFrom="paragraph">
                  <wp:posOffset>133985</wp:posOffset>
                </wp:positionV>
                <wp:extent cx="5505450" cy="1000125"/>
                <wp:effectExtent l="4445" t="4445" r="14605" b="5080"/>
                <wp:wrapNone/>
                <wp:docPr id="18" name="组合 18"/>
                <wp:cNvGraphicFramePr/>
                <a:graphic xmlns:a="http://schemas.openxmlformats.org/drawingml/2006/main">
                  <a:graphicData uri="http://schemas.microsoft.com/office/word/2010/wordprocessingGroup">
                    <wpg:wgp>
                      <wpg:cNvGrpSpPr/>
                      <wpg:grpSpPr>
                        <a:xfrm>
                          <a:off x="0" y="0"/>
                          <a:ext cx="5505450" cy="1000125"/>
                          <a:chOff x="1613" y="3987"/>
                          <a:chExt cx="8670" cy="1575"/>
                        </a:xfrm>
                      </wpg:grpSpPr>
                      <wps:wsp>
                        <wps:cNvPr id="8" name="文本框 8"/>
                        <wps:cNvSpPr txBox="1"/>
                        <wps:spPr>
                          <a:xfrm>
                            <a:off x="4433" y="3987"/>
                            <a:ext cx="1691"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wps:wsp>
                        <wps:cNvPr id="9" name="文本框 9"/>
                        <wps:cNvSpPr txBox="1"/>
                        <wps:spPr>
                          <a:xfrm>
                            <a:off x="1613" y="5082"/>
                            <a:ext cx="2235"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wps:wsp>
                        <wps:cNvPr id="10" name="文本框 10"/>
                        <wps:cNvSpPr txBox="1"/>
                        <wps:spPr>
                          <a:xfrm>
                            <a:off x="4118" y="5082"/>
                            <a:ext cx="1796"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wps:wsp>
                        <wps:cNvPr id="11" name="文本框 11"/>
                        <wps:cNvSpPr txBox="1"/>
                        <wps:spPr>
                          <a:xfrm>
                            <a:off x="6203" y="5082"/>
                            <a:ext cx="231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wps:wsp>
                        <wps:cNvPr id="12" name="文本框 12"/>
                        <wps:cNvSpPr txBox="1"/>
                        <wps:spPr>
                          <a:xfrm>
                            <a:off x="8858" y="5082"/>
                            <a:ext cx="1425"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wps:wsp>
                        <wps:cNvPr id="13" name="直接箭头连接符 13"/>
                        <wps:cNvCnPr/>
                        <wps:spPr>
                          <a:xfrm>
                            <a:off x="5213" y="4467"/>
                            <a:ext cx="15" cy="615"/>
                          </a:xfrm>
                          <a:prstGeom prst="straightConnector1">
                            <a:avLst/>
                          </a:prstGeom>
                          <a:ln w="9525" cap="flat" cmpd="sng">
                            <a:solidFill>
                              <a:srgbClr val="000000"/>
                            </a:solidFill>
                            <a:prstDash val="solid"/>
                            <a:headEnd type="none" w="med" len="med"/>
                            <a:tailEnd type="triangle" w="med" len="med"/>
                          </a:ln>
                        </wps:spPr>
                        <wps:bodyPr/>
                      </wps:wsp>
                      <wps:wsp>
                        <wps:cNvPr id="14" name="直接箭头连接符 14"/>
                        <wps:cNvCnPr/>
                        <wps:spPr>
                          <a:xfrm>
                            <a:off x="2423" y="4722"/>
                            <a:ext cx="7125" cy="0"/>
                          </a:xfrm>
                          <a:prstGeom prst="straightConnector1">
                            <a:avLst/>
                          </a:prstGeom>
                          <a:ln w="9525" cap="flat" cmpd="sng">
                            <a:solidFill>
                              <a:srgbClr val="000000"/>
                            </a:solidFill>
                            <a:prstDash val="solid"/>
                            <a:headEnd type="none" w="med" len="med"/>
                            <a:tailEnd type="none" w="med" len="med"/>
                          </a:ln>
                        </wps:spPr>
                        <wps:bodyPr/>
                      </wps:wsp>
                      <wps:wsp>
                        <wps:cNvPr id="15" name="直接箭头连接符 15"/>
                        <wps:cNvCnPr/>
                        <wps:spPr>
                          <a:xfrm>
                            <a:off x="2423" y="4722"/>
                            <a:ext cx="15" cy="360"/>
                          </a:xfrm>
                          <a:prstGeom prst="straightConnector1">
                            <a:avLst/>
                          </a:prstGeom>
                          <a:ln w="9525" cap="flat" cmpd="sng">
                            <a:solidFill>
                              <a:srgbClr val="000000"/>
                            </a:solidFill>
                            <a:prstDash val="solid"/>
                            <a:headEnd type="none" w="med" len="med"/>
                            <a:tailEnd type="triangle" w="med" len="med"/>
                          </a:ln>
                        </wps:spPr>
                        <wps:bodyPr/>
                      </wps:wsp>
                      <wps:wsp>
                        <wps:cNvPr id="16" name="直接箭头连接符 16"/>
                        <wps:cNvCnPr/>
                        <wps:spPr>
                          <a:xfrm>
                            <a:off x="9548" y="4722"/>
                            <a:ext cx="0" cy="360"/>
                          </a:xfrm>
                          <a:prstGeom prst="straightConnector1">
                            <a:avLst/>
                          </a:prstGeom>
                          <a:ln w="9525" cap="flat" cmpd="sng">
                            <a:solidFill>
                              <a:srgbClr val="000000"/>
                            </a:solidFill>
                            <a:prstDash val="solid"/>
                            <a:headEnd type="none" w="med" len="med"/>
                            <a:tailEnd type="triangle" w="med" len="med"/>
                          </a:ln>
                        </wps:spPr>
                        <wps:bodyPr/>
                      </wps:wsp>
                      <wps:wsp>
                        <wps:cNvPr id="17" name="直接箭头连接符 17"/>
                        <wps:cNvCnPr/>
                        <wps:spPr>
                          <a:xfrm>
                            <a:off x="7418" y="4722"/>
                            <a:ext cx="15" cy="360"/>
                          </a:xfrm>
                          <a:prstGeom prst="straightConnector1">
                            <a:avLst/>
                          </a:prstGeom>
                          <a:ln w="9525" cap="flat" cmpd="sng">
                            <a:solidFill>
                              <a:srgbClr val="000000"/>
                            </a:solidFill>
                            <a:prstDash val="solid"/>
                            <a:headEnd type="none" w="med" len="med"/>
                            <a:tailEnd type="triangle" w="med" len="med"/>
                          </a:ln>
                        </wps:spPr>
                        <wps:bodyPr/>
                      </wps:wsp>
                    </wpg:wgp>
                  </a:graphicData>
                </a:graphic>
              </wp:anchor>
            </w:drawing>
          </mc:Choice>
          <mc:Fallback>
            <w:pict>
              <v:group id="_x0000_s1026" o:spid="_x0000_s1026" o:spt="203" style="position:absolute;left:0pt;margin-left:12.7pt;margin-top:10.55pt;height:78.75pt;width:433.5pt;z-index:251664384;mso-width-relative:page;mso-height-relative:page;" coordorigin="1613,3987" coordsize="8670,1575" o:gfxdata="UEsDBAoAAAAAAIdO4kAAAAAAAAAAAAAAAAAEAAAAZHJzL1BLAwQUAAAACACHTuJA6cIIxdkAAAAJ&#10;AQAADwAAAGRycy9kb3ducmV2LnhtbE2PQU/DMAyF70j8h8hI3FiawkYpTSc0AadpEhsS4pY1Xlut&#10;caoma7d/jznBybLf0/P3iuXZdWLEIbSeNKhZAgKp8ralWsPn7u0uAxGiIWs6T6jhggGW5fVVYXLr&#10;J/rAcRtrwSEUcqOhibHPpQxVg86Eme+RWDv4wZnI61BLO5iJw10n0yRZSGda4g+N6XHVYHXcnpyG&#10;98lML/fqdVwfD6vL926++Vor1Pr2RiXPICKe458ZfvEZHUpm2vsT2SA6Den8gZ08lQLBevaU8mHP&#10;xsdsAbIs5P8G5Q9QSwMEFAAAAAgAh07iQBUDD5baAwAA7xgAAA4AAABkcnMvZTJvRG9jLnhtbO1Z&#10;y27UMBTdI/EPVvY0j0kyM1GnSLS0GwSVgA9wE+chJbZlu53pHgErxIoNCAkJWAGr7ljwNS18BtfO&#10;Y6AzbenwEDAzi4zjx43vucf3kaxfn1QlOiBCFoyOLHfNsRChMUsKmo2s+/e2rw0sJBWmCS4ZJSPr&#10;kEjr+sbVK+tjHhGP5axMiEAghMpozEdWrhSPbFvGOamwXGOcUBhMmaiwgluR2YnAY5BelbbnOKE9&#10;ZiLhgsVESujdqgetDSM/TUms7qSpJAqVIwv2psxVmOuevtob6zjKBOZ5ETfbwAvsosIFhYd2oraw&#10;wmhfFDOiqiIWTLJUrcWsslmaFjExOoA2rnNKmx3B9rnRJYvGGe9gAmhP4bSw2Pj2wa5ARQK2A0tR&#10;XIGNPn98cPz0MYIOQGfMswgm7Qh+l++KpiOr77TCk1RU+h9UQROD62GHK5koFENnEDiBHwD8MYy5&#10;juO4XlAjH+dgHr3ODd2ehWC4Nxz027GbzfpB2G8XB32z0m4fbOv9ddsZc2CRnAIlfw6ouznmxOAv&#10;NQYNUB1OJ88enbx4d/LqIWqQMrM0TEhNbjCtVY2gjCR0zkHL93untW4xc8OhWwPmDwxNO5VxxIVU&#10;O4RVSDdGlgCWG/Lhg1tSgYlgajtFP1Syski2i7I0NyLb2ywFOsBwIrbNT28Slnw3raRoPLKGARgK&#10;xRgOZlpiBc2KA1UkzczzvlshvxUMNobfPMF6Y1tY5vUGjITa3FWhiICd4CgnOLlJE6QOObCRgt+w&#10;9GYqklioJOBmdMvMVLgof2QmaFdSUFLzozaFbqnJ3gTE6OYeSw7BbPtcFFkOkBrDmelAp3rKb+fV&#10;sD1/U14NtZp6f8C+y/CqO02BM/BqqFpeeV5PmxRO2opXy8ErF3xn7dinxIK+xZjluzpOAHtmmeX2&#10;h+GKWcvksVyIUDPM6mLeJX1W6Dl1LJxlltfTHF75rOWJha43h1kmki0QDQeD4Eyf5ZsEZxUNlybL&#10;0mVGU+Y8Pzp58ubzh/fHr4++fHqp2+/eIhifRsZN2pQ8bdrYlh1dvRN4Td3i+2FTt7SZltvkWSE0&#10;QOTZ+btUAuu0c5NRCqk8E+552fyfz8wXzceVKDDNyjOyrPk5eZ2Ia7j0Qf9zybfrX0AL/1K08Hyv&#10;DmZ+3zuVgPd18WuCWVsftSV0W7M1Zd3/SouzXc1fRgkw07mewhzrJh5d7CnOoUTrKXrhklLin/IU&#10;UOScS4vwUp5iGPh1cjLrKZqcd8WKuW9//jJn0b+AFSY5+GFn0febMnuWFStn8WvSCvPmGN6qm8ys&#10;+QKgX9t/e2/SkOl3io2v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TAYAAFtDb250ZW50X1R5cGVzXS54bWxQSwECFAAKAAAAAACHTuJAAAAAAAAA&#10;AAAAAAAABgAAAAAAAAAAABAAAAAuBQAAX3JlbHMvUEsBAhQAFAAAAAgAh07iQIoUZjzRAAAAlAEA&#10;AAsAAAAAAAAAAQAgAAAAUgUAAF9yZWxzLy5yZWxzUEsBAhQACgAAAAAAh07iQAAAAAAAAAAAAAAA&#10;AAQAAAAAAAAAAAAQAAAAAAAAAGRycy9QSwECFAAUAAAACACHTuJA6cIIxdkAAAAJAQAADwAAAAAA&#10;AAABACAAAAAiAAAAZHJzL2Rvd25yZXYueG1sUEsBAhQAFAAAAAgAh07iQBUDD5baAwAA7xgAAA4A&#10;AAAAAAAAAQAgAAAAKAEAAGRycy9lMm9Eb2MueG1sUEsFBgAAAAAGAAYAWQEAAHQHAAAAAA==&#10;">
                <o:lock v:ext="edit" aspectratio="f"/>
                <v:shape id="_x0000_s1026" o:spid="_x0000_s1026" o:spt="202" type="#_x0000_t202" style="position:absolute;left:4433;top:3987;height:480;width:1691;" fillcolor="#FFFFFF" filled="t" stroked="t" coordsize="21600,21600" o:gfxdata="UEsDBAoAAAAAAIdO4kAAAAAAAAAAAAAAAAAEAAAAZHJzL1BLAwQUAAAACACHTuJALu3bp7wAAADa&#10;AAAADwAAAGRycy9kb3ducmV2LnhtbEWPT4vCMBTE7wt+h/CEvSyaui7+qUYPgqI3V0Wvj+bZFpuX&#10;msSq394IC3scZn4zzHT+MJVoyPnSsoJeNwFBnFldcq7gsF92RiB8QNZYWSYFT/Iwn7U+pphqe+df&#10;anYhF7GEfYoKihDqVEqfFWTQd21NHL2zdQZDlC6X2uE9lptKfifJQBosOS4UWNOioOyyuxkFo591&#10;c/Kb/vaYDc7VOHwNm9XVKfXZ7iUTEIEe4T/8R6915OB9Jd4AOX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7t26e8AAAA&#10;2gAAAA8AAAAAAAAAAQAgAAAAIgAAAGRycy9kb3ducmV2LnhtbFBLAQIUABQAAAAIAIdO4kAzLwWe&#10;OwAAADkAAAAQAAAAAAAAAAEAIAAAAAsBAABkcnMvc2hhcGV4bWwueG1sUEsFBgAAAAAGAAYAWwEA&#10;ALUDAAAAAA==&#10;">
                  <v:fill on="t" focussize="0,0"/>
                  <v:stroke color="#000000" joinstyle="miter"/>
                  <v:imagedata o:title=""/>
                  <o:lock v:ext="edit" aspectratio="f"/>
                  <v:textbox>
                    <w:txbxContent>
                      <w:p/>
                    </w:txbxContent>
                  </v:textbox>
                </v:shape>
                <v:shape id="_x0000_s1026" o:spid="_x0000_s1026" o:spt="202" type="#_x0000_t202" style="position:absolute;left:1613;top:5082;height:480;width:2235;" fillcolor="#FFFFFF" filled="t" stroked="t" coordsize="21600,21600" o:gfxdata="UEsDBAoAAAAAAIdO4kAAAAAAAAAAAAAAAAAEAAAAZHJzL1BLAwQUAAAACACHTuJAQaF+PL0AAADa&#10;AAAADwAAAGRycy9kb3ducmV2LnhtbEWPQWvCQBSE7wX/w/KEXkrd2IrV6CaHQiW9VS31+sg+k2D2&#10;bdxdY/rvuwXB4zAz3zDrfDCt6Mn5xrKC6SQBQVxa3XCl4Hv/8bwA4QOyxtYyKfglD3k2elhjqu2V&#10;t9TvQiUihH2KCuoQulRKX9Zk0E9sRxy9o3UGQ5SuktrhNcJNK1+SZC4NNhwXauzovabytLsYBYtZ&#10;0R/85+vXTzk/tsvw9NZvzk6px/E0WYEINIR7+NYutIIl/F+JN0Bm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oX48vQAA&#10;ANoAAAAPAAAAAAAAAAEAIAAAACIAAABkcnMvZG93bnJldi54bWxQSwECFAAUAAAACACHTuJAMy8F&#10;njsAAAA5AAAAEAAAAAAAAAABACAAAAAMAQAAZHJzL3NoYXBleG1sLnhtbFBLBQYAAAAABgAGAFsB&#10;AAC2AwAAAAA=&#10;">
                  <v:fill on="t" focussize="0,0"/>
                  <v:stroke color="#000000" joinstyle="miter"/>
                  <v:imagedata o:title=""/>
                  <o:lock v:ext="edit" aspectratio="f"/>
                  <v:textbox>
                    <w:txbxContent>
                      <w:p/>
                    </w:txbxContent>
                  </v:textbox>
                </v:shape>
                <v:shape id="_x0000_s1026" o:spid="_x0000_s1026" o:spt="202" type="#_x0000_t202" style="position:absolute;left:4118;top:5082;height:480;width:1796;" fillcolor="#FFFFFF" filled="t" stroked="t" coordsize="21600,21600" o:gfxdata="UEsDBAoAAAAAAIdO4kAAAAAAAAAAAAAAAAAEAAAAZHJzL1BLAwQUAAAACACHTuJAeUTf2b4AAADb&#10;AAAADwAAAGRycy9kb3ducmV2LnhtbEWPT2/CMAzF75P4DpGRdpkgZZuAdQQOSJvgNv6IXa3GtNUa&#10;pyRZgW+PD0jcbL3n936eLS6uUR2FWHs2MBpmoIgLb2suDex3X4MpqJiQLTaeycCVIizmvacZ5taf&#10;eUPdNpVKQjjmaKBKqc21jkVFDuPQt8SiHX1wmGQNpbYBzxLuGv2aZWPtsGZpqLClZUXF3/bfGZi+&#10;r7rfuH77ORTjY/ORXibd9ykY89wfZZ+gEl3Sw3y/XlnBF3r5RQbQ8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UTf2b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txbxContent>
                  </v:textbox>
                </v:shape>
                <v:shape id="_x0000_s1026" o:spid="_x0000_s1026" o:spt="202" type="#_x0000_t202" style="position:absolute;left:6203;top:5082;height:480;width:2310;" fillcolor="#FFFFFF" filled="t" stroked="t" coordsize="21600,21600" o:gfxdata="UEsDBAoAAAAAAIdO4kAAAAAAAAAAAAAAAAAEAAAAZHJzL1BLAwQUAAAACACHTuJAFgh6QrsAAADb&#10;AAAADwAAAGRycy9kb3ducmV2LnhtbEVPS2sCMRC+F/wPYYReima3FR/rRg+Fir21KnodNrMP3EzW&#10;JK723zcFobf5+J6Tr++mFT0531hWkI4TEMSF1Q1XCg77j9EchA/IGlvLpOCHPKxXg6ccM21v/E39&#10;LlQihrDPUEEdQpdJ6YuaDPqx7YgjV1pnMEToKqkd3mK4aeVrkkylwYZjQ40dvddUnHdXo2A+2fYn&#10;//n2dSymZbsIL7N+c3FKPQ/TZAki0D38ix/urY7zU/j7JR4gV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gh6Qr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txbxContent>
                  </v:textbox>
                </v:shape>
                <v:shape id="_x0000_s1026" o:spid="_x0000_s1026" o:spt="202" type="#_x0000_t202" style="position:absolute;left:8858;top:5082;height:480;width:1425;" fillcolor="#FFFFFF" filled="t" stroked="t" coordsize="21600,21600" o:gfxdata="UEsDBAoAAAAAAIdO4kAAAAAAAAAAAAAAAAAEAAAAZHJzL1BLAwQUAAAACACHTuJA5trkNboAAADb&#10;AAAADwAAAGRycy9kb3ducmV2LnhtbEVPTYvCMBC9C/6HMIIXWVNdcbUaPQiK3lZd1uvQjG2xmdQk&#10;VvffmwXB2zze58yXD1OJhpwvLSsY9BMQxJnVJecKfo7rjwkIH5A1VpZJwR95WC7arTmm2t55T80h&#10;5CKGsE9RQRFCnUrps4IM+r6tiSN3ts5giNDlUju8x3BTyWGSjKXBkmNDgTWtCsouh5tRMBltm5Pf&#10;fX7/ZuNzNQ29r2ZzdUp1O4NkBiLQI7zFL/dWx/lD+P8lHiA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2uQ1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txbxContent>
                  </v:textbox>
                </v:shape>
                <v:shape id="_x0000_s1026" o:spid="_x0000_s1026" o:spt="32" type="#_x0000_t32" style="position:absolute;left:5213;top:4467;height:615;width:15;" filled="f" stroked="t" coordsize="21600,21600" o:gfxdata="UEsDBAoAAAAAAIdO4kAAAAAAAAAAAAAAAAAEAAAAZHJzL1BLAwQUAAAACACHTuJA7153jbsAAADb&#10;AAAADwAAAGRycy9kb3ducmV2LnhtbEVPS2sCMRC+F/ofwhS81awVFl2NQivFvVhQS/E4bMZNcDNZ&#10;NvH56xtB8DYf33Om84trxIm6YD0rGPQzEMSV15ZrBb/b7/cRiBCRNTaeScGVAsxnry9TLLQ/85pO&#10;m1iLFMKhQAUmxraQMlSGHIa+b4kTt/edw5hgV0vd4TmFu0Z+ZFkuHVpODQZb+jJUHTZHpyAudleT&#10;/1WfY/uzXa5yeyvLcqFU722QTUBEusSn+OEudZo/hPsv6QA5+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153jb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_x0000_s1026" o:spid="_x0000_s1026" o:spt="32" type="#_x0000_t32" style="position:absolute;left:2423;top:4722;height:0;width:7125;" filled="f" stroked="t" coordsize="21600,21600" o:gfxdata="UEsDBAoAAAAAAIdO4kAAAAAAAAAAAAAAAAAEAAAAZHJzL1BLAwQUAAAACACHTuJAM3PQY7sAAADb&#10;AAAADwAAAGRycy9kb3ducmV2LnhtbEVPTWvCQBC9C/0PyxR6kbobqWJT1yBCoR5rBK9Ddpqkzc6G&#10;7Mak+fVuoeBtHu9zttloG3GlzteONSQLBYK4cKbmUsM5f3/egPAB2WDjmDT8kods9zDbYmrcwJ90&#10;PYVSxBD2KWqoQmhTKX1RkUW/cC1x5L5cZzFE2JXSdDjEcNvIpVJrabHm2FBhS4eKip9TbzWQ71eJ&#10;2r/a8nychvllOX0Pba7102Oi3kAEGsNd/O/+MHH+C/z9Eg+Qux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3PQY7sAAADb&#10;AAAADwAAAAAAAAABACAAAAAiAAAAZHJzL2Rvd25yZXYueG1sUEsBAhQAFAAAAAgAh07iQDMvBZ47&#10;AAAAOQAAABAAAAAAAAAAAQAgAAAACgEAAGRycy9zaGFwZXhtbC54bWxQSwUGAAAAAAYABgBbAQAA&#10;tAMAAAAA&#10;">
                  <v:fill on="f" focussize="0,0"/>
                  <v:stroke color="#000000" joinstyle="round"/>
                  <v:imagedata o:title=""/>
                  <o:lock v:ext="edit" aspectratio="f"/>
                </v:shape>
                <v:shape id="_x0000_s1026" o:spid="_x0000_s1026" o:spt="32" type="#_x0000_t32" style="position:absolute;left:2423;top:4722;height:360;width:15;" filled="f" stroked="t" coordsize="21600,21600" o:gfxdata="UEsDBAoAAAAAAIdO4kAAAAAAAAAAAAAAAAAEAAAAZHJzL1BLAwQUAAAACACHTuJAD/tKYrsAAADb&#10;AAAADwAAAGRycy9kb3ducmV2LnhtbEVPS2sCMRC+F/ofwhS81awFF12NQivFvVhQS/E4bMZNcDNZ&#10;NvH56xtB8DYf33Om84trxIm6YD0rGPQzEMSV15ZrBb/b7/cRiBCRNTaeScGVAsxnry9TLLQ/85pO&#10;m1iLFMKhQAUmxraQMlSGHIa+b4kTt/edw5hgV0vd4TmFu0Z+ZFkuHVpODQZb+jJUHTZHpyAudleT&#10;/1WfY/uzXa5yeyvLcqFU722QTUBEusSn+OEudZo/hPsv6QA5+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tKYr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shape id="_x0000_s1026" o:spid="_x0000_s1026" o:spt="32" type="#_x0000_t32" style="position:absolute;left:9548;top:4722;height:360;width:0;" filled="f" stroked="t" coordsize="21600,21600" o:gfxdata="UEsDBAoAAAAAAIdO4kAAAAAAAAAAAAAAAAAEAAAAZHJzL1BLAwQUAAAACACHTuJA/ynUFbwAAADb&#10;AAAADwAAAGRycy9kb3ducmV2LnhtbEVPyWrDMBC9B/oPYgq9JXJ6MI0T2ZCGUl8aaBxKj4M1sUSs&#10;kbHULP36qFDIbR5vnVV1cb040RisZwXzWQaCuPXacqdg37xNX0CEiKyx90wKrhSgKh8mKyy0P/Mn&#10;nXaxEymEQ4EKTIxDIWVoDTkMMz8QJ+7gR4cxwbGTesRzCne9fM6yXDq0nBoMDvRqqD3ufpyCuPm+&#10;mvyrXS/stnn/yO1vXdcbpZ4e59kSRKRLvIv/3bVO83P4+yUdIM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8p1BW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shape id="_x0000_s1026" o:spid="_x0000_s1026" o:spt="32" type="#_x0000_t32" style="position:absolute;left:7418;top:4722;height:360;width:15;" filled="f" stroked="t" coordsize="21600,21600" o:gfxdata="UEsDBAoAAAAAAIdO4kAAAAAAAAAAAAAAAAAEAAAAZHJzL1BLAwQUAAAACACHTuJAkGVxjrwAAADb&#10;AAAADwAAAGRycy9kb3ducmV2LnhtbEVPS2sCMRC+C/0PYQreNLs9rHY1LrRSuhcLaikeh824CW4m&#10;yyb19eubQqG3+fies6yurhNnGoL1rCCfZiCIG68ttwo+92+TOYgQkTV2nknBjQJUq4fREkvtL7yl&#10;8y62IoVwKFGBibEvpQyNIYdh6nvixB394DAmOLRSD3hJ4a6TT1lWSIeWU4PBnl4NNafdt1MQ14eb&#10;Kb6al2f7sX/fFPZe1/VaqfFjni1ARLrGf/Gfu9Zp/gx+f0kHyN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BlcY68AAAA&#10;2w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group>
            </w:pict>
          </mc:Fallback>
        </mc:AlternateContent>
      </w: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jc w:val="center"/>
        <w:rPr>
          <w:rFonts w:hint="eastAsia" w:eastAsia="黑体"/>
          <w:color w:val="000000"/>
          <w:spacing w:val="-2"/>
        </w:rPr>
      </w:pPr>
      <w:r>
        <w:rPr>
          <w:rFonts w:hint="eastAsia" w:eastAsia="黑体"/>
          <w:color w:val="000000"/>
          <w:spacing w:val="-2"/>
        </w:rPr>
        <w:t>图</w:t>
      </w:r>
      <w:r>
        <w:rPr>
          <w:rFonts w:eastAsia="黑体"/>
          <w:color w:val="000000"/>
          <w:spacing w:val="-2"/>
        </w:rPr>
        <w:t xml:space="preserve">4.1 </w:t>
      </w:r>
      <w:r>
        <w:rPr>
          <w:rFonts w:hint="eastAsia" w:eastAsia="黑体"/>
          <w:color w:val="000000"/>
          <w:spacing w:val="-2"/>
        </w:rPr>
        <w:t>监理组织架构框图</w:t>
      </w:r>
    </w:p>
    <w:p>
      <w:pPr>
        <w:spacing w:before="240" w:beforeLines="100" w:after="240" w:afterLines="100"/>
        <w:rPr>
          <w:b/>
          <w:color w:val="000000"/>
          <w:spacing w:val="-2"/>
          <w:sz w:val="28"/>
          <w:szCs w:val="28"/>
        </w:rPr>
      </w:pPr>
      <w:r>
        <w:rPr>
          <w:b/>
          <w:color w:val="000000"/>
          <w:spacing w:val="-2"/>
          <w:sz w:val="28"/>
          <w:szCs w:val="28"/>
        </w:rPr>
        <w:br w:type="column"/>
      </w:r>
      <w:r>
        <w:rPr>
          <w:b/>
          <w:color w:val="000000"/>
          <w:spacing w:val="-2"/>
          <w:sz w:val="28"/>
          <w:szCs w:val="28"/>
        </w:rPr>
        <w:t xml:space="preserve">5 </w:t>
      </w:r>
      <w:r>
        <w:rPr>
          <w:rFonts w:hint="eastAsia"/>
          <w:b/>
          <w:color w:val="000000"/>
          <w:spacing w:val="-2"/>
          <w:sz w:val="28"/>
          <w:szCs w:val="28"/>
        </w:rPr>
        <w:t>监理工作的主要流程（用框图表示）</w:t>
      </w:r>
    </w:p>
    <w:p>
      <w:pPr>
        <w:spacing w:line="460" w:lineRule="exact"/>
        <w:rPr>
          <w:rFonts w:ascii="Times New Roman"/>
          <w:b/>
          <w:color w:val="000000"/>
          <w:spacing w:val="-2"/>
          <w:sz w:val="24"/>
        </w:rPr>
      </w:pPr>
      <w:r>
        <mc:AlternateContent>
          <mc:Choice Requires="wpg">
            <w:drawing>
              <wp:anchor distT="0" distB="0" distL="114300" distR="114300" simplePos="0" relativeHeight="251665408" behindDoc="0" locked="0" layoutInCell="1" allowOverlap="1">
                <wp:simplePos x="0" y="0"/>
                <wp:positionH relativeFrom="column">
                  <wp:posOffset>1818640</wp:posOffset>
                </wp:positionH>
                <wp:positionV relativeFrom="paragraph">
                  <wp:posOffset>352425</wp:posOffset>
                </wp:positionV>
                <wp:extent cx="1943100" cy="2314575"/>
                <wp:effectExtent l="4445" t="5080" r="14605" b="4445"/>
                <wp:wrapNone/>
                <wp:docPr id="44" name="组合 44"/>
                <wp:cNvGraphicFramePr/>
                <a:graphic xmlns:a="http://schemas.openxmlformats.org/drawingml/2006/main">
                  <a:graphicData uri="http://schemas.microsoft.com/office/word/2010/wordprocessingGroup">
                    <wpg:wgp>
                      <wpg:cNvGrpSpPr/>
                      <wpg:grpSpPr>
                        <a:xfrm>
                          <a:off x="0" y="0"/>
                          <a:ext cx="1943100" cy="2314575"/>
                          <a:chOff x="4118" y="8036"/>
                          <a:chExt cx="3060" cy="3645"/>
                        </a:xfrm>
                      </wpg:grpSpPr>
                      <wps:wsp>
                        <wps:cNvPr id="37" name="文本框 37"/>
                        <wps:cNvSpPr txBox="1"/>
                        <wps:spPr>
                          <a:xfrm>
                            <a:off x="4118" y="8036"/>
                            <a:ext cx="297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wps:wsp>
                        <wps:cNvPr id="38" name="文本框 38"/>
                        <wps:cNvSpPr txBox="1"/>
                        <wps:spPr>
                          <a:xfrm>
                            <a:off x="4208" y="9101"/>
                            <a:ext cx="288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wps:wsp>
                        <wps:cNvPr id="39" name="文本框 39"/>
                        <wps:cNvSpPr txBox="1"/>
                        <wps:spPr>
                          <a:xfrm>
                            <a:off x="4208" y="10121"/>
                            <a:ext cx="297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wps:wsp>
                        <wps:cNvPr id="40" name="文本框 40"/>
                        <wps:cNvSpPr txBox="1"/>
                        <wps:spPr>
                          <a:xfrm>
                            <a:off x="4208" y="11201"/>
                            <a:ext cx="2970" cy="480"/>
                          </a:xfrm>
                          <a:prstGeom prst="rect">
                            <a:avLst/>
                          </a:prstGeom>
                          <a:solidFill>
                            <a:srgbClr val="FFFFFF"/>
                          </a:solidFill>
                          <a:ln w="9525" cap="flat" cmpd="sng">
                            <a:solidFill>
                              <a:srgbClr val="000000"/>
                            </a:solidFill>
                            <a:prstDash val="solid"/>
                            <a:miter/>
                            <a:headEnd type="none" w="med" len="med"/>
                            <a:tailEnd type="none" w="med" len="med"/>
                          </a:ln>
                        </wps:spPr>
                        <wps:txbx>
                          <w:txbxContent>
                            <w:p/>
                          </w:txbxContent>
                        </wps:txbx>
                        <wps:bodyPr upright="1"/>
                      </wps:wsp>
                      <wps:wsp>
                        <wps:cNvPr id="41" name="直接箭头连接符 41"/>
                        <wps:cNvCnPr/>
                        <wps:spPr>
                          <a:xfrm>
                            <a:off x="5513" y="8516"/>
                            <a:ext cx="15" cy="615"/>
                          </a:xfrm>
                          <a:prstGeom prst="straightConnector1">
                            <a:avLst/>
                          </a:prstGeom>
                          <a:ln w="9525" cap="flat" cmpd="sng">
                            <a:solidFill>
                              <a:srgbClr val="000000"/>
                            </a:solidFill>
                            <a:prstDash val="solid"/>
                            <a:headEnd type="none" w="med" len="med"/>
                            <a:tailEnd type="triangle" w="med" len="med"/>
                          </a:ln>
                        </wps:spPr>
                        <wps:bodyPr/>
                      </wps:wsp>
                      <wps:wsp>
                        <wps:cNvPr id="42" name="直接箭头连接符 42"/>
                        <wps:cNvCnPr/>
                        <wps:spPr>
                          <a:xfrm>
                            <a:off x="5528" y="9581"/>
                            <a:ext cx="15" cy="615"/>
                          </a:xfrm>
                          <a:prstGeom prst="straightConnector1">
                            <a:avLst/>
                          </a:prstGeom>
                          <a:ln w="9525" cap="flat" cmpd="sng">
                            <a:solidFill>
                              <a:srgbClr val="000000"/>
                            </a:solidFill>
                            <a:prstDash val="solid"/>
                            <a:headEnd type="none" w="med" len="med"/>
                            <a:tailEnd type="triangle" w="med" len="med"/>
                          </a:ln>
                        </wps:spPr>
                        <wps:bodyPr/>
                      </wps:wsp>
                      <wps:wsp>
                        <wps:cNvPr id="43" name="直接箭头连接符 43"/>
                        <wps:cNvCnPr/>
                        <wps:spPr>
                          <a:xfrm>
                            <a:off x="5528" y="10635"/>
                            <a:ext cx="15" cy="615"/>
                          </a:xfrm>
                          <a:prstGeom prst="straightConnector1">
                            <a:avLst/>
                          </a:prstGeom>
                          <a:ln w="9525" cap="flat" cmpd="sng">
                            <a:solidFill>
                              <a:srgbClr val="000000"/>
                            </a:solidFill>
                            <a:prstDash val="solid"/>
                            <a:headEnd type="none" w="med" len="med"/>
                            <a:tailEnd type="triangle" w="med" len="med"/>
                          </a:ln>
                        </wps:spPr>
                        <wps:bodyPr/>
                      </wps:wsp>
                    </wpg:wgp>
                  </a:graphicData>
                </a:graphic>
              </wp:anchor>
            </w:drawing>
          </mc:Choice>
          <mc:Fallback>
            <w:pict>
              <v:group id="_x0000_s1026" o:spid="_x0000_s1026" o:spt="203" style="position:absolute;left:0pt;margin-left:143.2pt;margin-top:27.75pt;height:182.25pt;width:153pt;z-index:251665408;mso-width-relative:page;mso-height-relative:page;" coordorigin="4118,8036" coordsize="3060,3645" o:gfxdata="UEsDBAoAAAAAAIdO4kAAAAAAAAAAAAAAAAAEAAAAZHJzL1BLAwQUAAAACACHTuJAFWehTtoAAAAK&#10;AQAADwAAAGRycy9kb3ducmV2LnhtbE2PwU7DMAyG70i8Q2QkbixtWaZR6k5oAk4TEhsS4pY1Xlut&#10;Saoma7e3x5zY0fan//9crM62EyMNofUOIZ0lIMhV3rSuRvjavT0sQYSondGdd4RwoQCr8vam0Lnx&#10;k/ukcRtrwSEu5BqhibHPpQxVQ1aHme/J8e3gB6sjj0MtzaAnDredzJJkIa1uHTc0uqd1Q9Vxe7II&#10;75OeXh7T13FzPKwvPzv18b1JCfH+Lk2eQUQ6x38Y/vRZHUp22vuTM0F0CNlyMWcUQSkFggH1lPFi&#10;jzDnYpBlIa9fKH8BUEsDBBQAAAAIAIdO4kCZiSIObwMAAHMSAAAOAAAAZHJzL2Uyb0RvYy54bWzt&#10;WMtuEzEU3SPxD9bs6TyTJqMmlehrg6BS4QOcGc9DmrEt203SPQJWiBUbEBISsCqsumPB1zTlM7j2&#10;zKRpSKGkUAk1WUw89vWde4+P7xzPxua4LNCQCJkz2rPcNcdChEYszmnas5483r3XsZBUmMa4YJT0&#10;rCMirc3+3TsbIx4Sj2WsiIlA4ITKcMR7VqYUD21bRhkpsVxjnFAYTJgosYJbkdqxwCPwXha25zht&#10;e8REzAWLiJTQu10NWn3jP0lIpB4liSQKFT0LYlPmKsx1oK92fwOHqcA8y6M6DLxEFCXOKTx06mob&#10;K4wORf6TqzKPBJMsUWsRK22WJHlETA6QjevMZbMn2CE3uaThKOVTmADaOZyWdhs9HO4LlMc9Kwgs&#10;RHEJa3T29enpqxcIOgCdEU9DMNoT/IDvi7ojre50wuNElPofUkFjg+vRFFcyViiCTrcb+K4D8Ecw&#10;5vlu0FpvVchHGSyPnhe4LjAFhjuO327Gdur5vtOuJ/vtwMy0mwfbOr5pOCMOLJLnQMnrAXWQYU4M&#10;/lJjUAPlrzdATV4/n7w9nrx/hqDPQGPsNFBIje8znXrTL6FzAV4L8m5Q87rrddZBxxB1mjQOuZBq&#10;j7AS6UbPEsBzQz88fCAVRAKmjYl+qGRFHu/mRWFuRDrYKgQaYtgTu+ang4QpF8wKikY9q9vyWrBu&#10;GLZmUmAFzZIDWSRNzfMuzJCzjh3zW+RYB7aNZVYFYDxoMxyWuSLCtDKC4x0aI3XEgY8UKoelgylJ&#10;bKGCQKHRLWOpcF5cxRKyKygkqRlSLYVuqfFgDG50c8DiI1i2Qy7yNANIzcIZcyBUZfLvmQVboNqC&#10;M8zq6ER1hMDAP2KW51Q7qus6JhkcTpnVAUKZzbhi1i1hVncBs7rXZRYQy5un1qpo3bKiFUApmS9a&#10;0HfNouW6oIeqEj+tWitq3TZquQ21zt6cTF5+PPvy+fTDyfdv73T7+BMKDEPqd+MWreVp84JvJOJU&#10;m7Zarl9pzJZba8yGW64WOaA+29AA5l6utKQSWAuELUYpiC4m3F/prpvXUMsqJyVyTNPikrfhYvVU&#10;SSYNl16Cm5NJgfcbWngz1ecqtPBqodTqzJWcFS3+J1rA5q4PsIurhb8cLVyn7dfH1VW5qI9kf6lc&#10;mNM7fNkwFbf+CqM/nczem/Jy/q2o/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iBQAAW0NvbnRlbnRfVHlwZXNdLnhtbFBLAQIUAAoAAAAAAIdO&#10;4kAAAAAAAAAAAAAAAAAGAAAAAAAAAAAAEAAAAMQEAABfcmVscy9QSwECFAAUAAAACACHTuJAihRm&#10;PNEAAACUAQAACwAAAAAAAAABACAAAADoBAAAX3JlbHMvLnJlbHNQSwECFAAKAAAAAACHTuJAAAAA&#10;AAAAAAAAAAAABAAAAAAAAAAAABAAAAAAAAAAZHJzL1BLAQIUABQAAAAIAIdO4kAVZ6FO2gAAAAoB&#10;AAAPAAAAAAAAAAEAIAAAACIAAABkcnMvZG93bnJldi54bWxQSwECFAAUAAAACACHTuJAmYkiDm8D&#10;AABzEgAADgAAAAAAAAABACAAAAApAQAAZHJzL2Uyb0RvYy54bWxQSwUGAAAAAAYABgBZAQAACgcA&#10;AAAA&#10;">
                <o:lock v:ext="edit" aspectratio="f"/>
                <v:shape id="_x0000_s1026" o:spid="_x0000_s1026" o:spt="202" type="#_x0000_t202" style="position:absolute;left:4118;top:8036;height:480;width:2970;" fillcolor="#FFFFFF" filled="t" stroked="t" coordsize="21600,21600" o:gfxdata="UEsDBAoAAAAAAIdO4kAAAAAAAAAAAAAAAAAEAAAAZHJzL1BLAwQUAAAACACHTuJAvRgbzb4AAADb&#10;AAAADwAAAGRycy9kb3ducmV2LnhtbEWPQWvCQBSE7wX/w/KEXkrdxIja6OpBsKS3VqW9PrLPJJh9&#10;G3e3Mf333YLQ4zAz3zDr7WBa0ZPzjWUF6SQBQVxa3XCl4HTcPy9B+ICssbVMCn7Iw3Yzelhjru2N&#10;P6g/hEpECPscFdQhdLmUvqzJoJ/Yjjh6Z+sMhihdJbXDW4SbVk6TZC4NNhwXauxoV1N5OXwbBctZ&#10;0X/5t+z9s5yf25fwtOhfr06px3GarEAEGsJ/+N4utIJsAX9f4g+Qm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Rgbzb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txbxContent>
                  </v:textbox>
                </v:shape>
                <v:shape id="_x0000_s1026" o:spid="_x0000_s1026" o:spt="202" type="#_x0000_t202" style="position:absolute;left:4208;top:9101;height:480;width:2880;" fillcolor="#FFFFFF" filled="t" stroked="t" coordsize="21600,21600" o:gfxdata="UEsDBAoAAAAAAIdO4kAAAAAAAAAAAAAAAAAEAAAAZHJzL1BLAwQUAAAACACHTuJAzIePv7sAAADb&#10;AAAADwAAAGRycy9kb3ducmV2LnhtbEVPPW/CMBDdkfgP1iF1QeCkqYCmGIZKrWBrAcF6io8kIj4H&#10;203Sf18PSB2f3vd6O5hGdOR8bVlBOk9AEBdW11wqOB0/ZisQPiBrbCyTgl/ysN2MR2vMte35m7pD&#10;KEUMYZ+jgiqENpfSFxUZ9HPbEkfuap3BEKErpXbYx3DTyOckWUiDNceGClt6r6i4HX6MgtXLrrv4&#10;ffZ1LhbX5jVMl93n3Sn1NEmTNxCBhvAvfrh3WkEWx8Yv8QfIz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ePv7sAAADb&#10;AAAADwAAAAAAAAABACAAAAAiAAAAZHJzL2Rvd25yZXYueG1sUEsBAhQAFAAAAAgAh07iQDMvBZ47&#10;AAAAOQAAABAAAAAAAAAAAQAgAAAACgEAAGRycy9zaGFwZXhtbC54bWxQSwUGAAAAAAYABgBbAQAA&#10;tAMAAAAA&#10;">
                  <v:fill on="t" focussize="0,0"/>
                  <v:stroke color="#000000" joinstyle="miter"/>
                  <v:imagedata o:title=""/>
                  <o:lock v:ext="edit" aspectratio="f"/>
                  <v:textbox>
                    <w:txbxContent>
                      <w:p/>
                    </w:txbxContent>
                  </v:textbox>
                </v:shape>
                <v:shape id="_x0000_s1026" o:spid="_x0000_s1026" o:spt="202" type="#_x0000_t202" style="position:absolute;left:4208;top:10121;height:480;width:2970;" fillcolor="#FFFFFF" filled="t" stroked="t" coordsize="21600,21600" o:gfxdata="UEsDBAoAAAAAAIdO4kAAAAAAAAAAAAAAAAAEAAAAZHJzL1BLAwQUAAAACACHTuJAo8sqJL4AAADb&#10;AAAADwAAAGRycy9kb3ducmV2LnhtbEWPQWvCQBSE70L/w/IKvUjdpBGrqasHoSXe1Jb2+sg+k9Ds&#10;27i7jem/dwXB4zAz3zDL9WBa0ZPzjWUF6SQBQVxa3XCl4Ovz/XkOwgdkja1lUvBPHtarh9ESc23P&#10;vKf+ECoRIexzVFCH0OVS+rImg35iO+LoHa0zGKJ0ldQOzxFuWvmSJDNpsOG4UGNHm5rK38OfUTCf&#10;Fv2P32a773J2bBdh/Np/nJxST49p8gYi0BDu4Vu70AqyBVy/xB8gV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8sqJL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txbxContent>
                  </v:textbox>
                </v:shape>
                <v:shape id="_x0000_s1026" o:spid="_x0000_s1026" o:spt="202" type="#_x0000_t202" style="position:absolute;left:4208;top:11201;height:480;width:2970;" fillcolor="#FFFFFF" filled="t" stroked="t" coordsize="21600,21600" o:gfxdata="UEsDBAoAAAAAAIdO4kAAAAAAAAAAAAAAAAAEAAAAZHJzL1BLAwQUAAAACACHTuJAavfwxLoAAADb&#10;AAAADwAAAGRycy9kb3ducmV2LnhtbEVPy4rCMBTdC/5DuIIb0VRHfFSji4ER3Y0PdHtprm2xualJ&#10;rM7fm8WAy8N5L9cvU4mGnC8tKxgOEhDEmdUl5wpOx5/+DIQPyBory6TgjzysV+3WElNtn7yn5hBy&#10;EUPYp6igCKFOpfRZQQb9wNbEkbtaZzBE6HKpHT5juKnkKEkm0mDJsaHAmr4Lym6Hh1EwG2+bi999&#10;/Z6zybWah9602dydUt3OMFmACPQKH/G/e6sVjOP6+CX+ALl6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q9/DEugAAANsA&#10;AAAPAAAAAAAAAAEAIAAAACIAAABkcnMvZG93bnJldi54bWxQSwECFAAUAAAACACHTuJAMy8FnjsA&#10;AAA5AAAAEAAAAAAAAAABACAAAAAJAQAAZHJzL3NoYXBleG1sLnhtbFBLBQYAAAAABgAGAFsBAACz&#10;AwAAAAA=&#10;">
                  <v:fill on="t" focussize="0,0"/>
                  <v:stroke color="#000000" joinstyle="miter"/>
                  <v:imagedata o:title=""/>
                  <o:lock v:ext="edit" aspectratio="f"/>
                  <v:textbox>
                    <w:txbxContent>
                      <w:p/>
                    </w:txbxContent>
                  </v:textbox>
                </v:shape>
                <v:shape id="_x0000_s1026" o:spid="_x0000_s1026" o:spt="32" type="#_x0000_t32" style="position:absolute;left:5513;top:8516;height:615;width:15;" filled="f" stroked="t" coordsize="21600,21600" o:gfxdata="UEsDBAoAAAAAAIdO4kAAAAAAAAAAAAAAAAAEAAAAZHJzL1BLAwQUAAAACACHTuJAY3NjfL4AAADb&#10;AAAADwAAAGRycy9kb3ducmV2LnhtbEWPT2sCMRTE7wW/Q3hCbzW7UpZ2NQoq4l5aqIp4fGyem+Dm&#10;ZdnEf/30TaHQ4zAzv2Gm87trxZX6YD0ryEcZCOLaa8uNgv1u/fIGIkRkja1nUvCgAPPZ4GmKpfY3&#10;/qLrNjYiQTiUqMDE2JVShtqQwzDyHXHyTr53GJPsG6l7vCW4a+U4ywrp0HJaMNjR0lB93l6cgrg6&#10;PkxxqBfv9nO3+Sjsd1VVK6Weh3k2ARHpHv/Df+1KK3jN4fdL+gFy9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3Njf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_x0000_s1026" o:spid="_x0000_s1026" o:spt="32" type="#_x0000_t32" style="position:absolute;left:5528;top:9581;height:615;width:15;" filled="f" stroked="t" coordsize="21600,21600" o:gfxdata="UEsDBAoAAAAAAIdO4kAAAAAAAAAAAAAAAAAEAAAAZHJzL1BLAwQUAAAACACHTuJAk6H9C74AAADb&#10;AAAADwAAAGRycy9kb3ducmV2LnhtbEWPW2sCMRSE3wv+h3CEvtWsUhZdjUIV6b5Y8ELp42Fz3IRu&#10;TpZN6u3XN4Lg4zAz3zCzxcU14kRdsJ4VDAcZCOLKa8u1gsN+/TYGESKyxsYzKbhSgMW89zLDQvsz&#10;b+m0i7VIEA4FKjAxtoWUoTLkMAx8S5y8o+8cxiS7WuoOzwnuGjnKslw6tJwWDLa0NFT97v6cgrj6&#10;uZr8u/qY2K/95ya3t7IsV0q99ofZFESkS3yGH+1SK3gfwf1L+gFy/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6H9C7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_x0000_s1026" o:spid="_x0000_s1026" o:spt="32" type="#_x0000_t32" style="position:absolute;left:5528;top:10635;height:615;width:15;" filled="f" stroked="t" coordsize="21600,21600" o:gfxdata="UEsDBAoAAAAAAIdO4kAAAAAAAAAAAAAAAAAEAAAAZHJzL1BLAwQUAAAACACHTuJA/O1YkL4AAADb&#10;AAAADwAAAGRycy9kb3ducmV2LnhtbEWPW2sCMRSE3wv9D+EUfNOsWha7GoVWxH1pwQvFx8PmuAlu&#10;TpZNvPXXNwWhj8PMfMPMFjfXiAt1wXpWMBxkIIgrry3XCva7VX8CIkRkjY1nUnCnAIv589MMC+2v&#10;vKHLNtYiQTgUqMDE2BZShsqQwzDwLXHyjr5zGJPsaqk7vCa4a+Qoy3Lp0HJaMNjSh6HqtD07BXF5&#10;uJv8u3p/s1+79Wduf8qyXCrVexlmUxCRbvE//GiXWsHrGP6+pB8g5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1Yk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group>
            </w:pict>
          </mc:Fallback>
        </mc:AlternateContent>
      </w:r>
      <w:r>
        <w:rPr>
          <w:b/>
          <w:color w:val="000000"/>
          <w:spacing w:val="-2"/>
          <w:sz w:val="24"/>
        </w:rPr>
        <w:t>5.1</w:t>
      </w:r>
      <w:r>
        <w:rPr>
          <w:rFonts w:hint="eastAsia" w:ascii="Times New Roman" w:hAnsi="Times New Roman"/>
          <w:b/>
          <w:color w:val="000000"/>
          <w:spacing w:val="-2"/>
          <w:sz w:val="24"/>
        </w:rPr>
        <w:t xml:space="preserve"> 脚手架搭设、拆除工程监理的主要工作程序：（示意）</w:t>
      </w:r>
    </w:p>
    <w:p>
      <w:pPr>
        <w:spacing w:line="360" w:lineRule="auto"/>
        <w:rPr>
          <w:rFonts w:hint="eastAsia" w:ascii="Times New Roman"/>
          <w:color w:val="000000"/>
          <w:spacing w:val="-2"/>
        </w:rPr>
      </w:pPr>
      <w:r>
        <w:rPr>
          <w:rFonts w:hint="eastAsia" w:ascii="Times New Roman" w:hAnsi="Times New Roman"/>
          <w:color w:val="000000"/>
          <w:spacing w:val="-2"/>
        </w:rPr>
        <w:t xml:space="preserve">   </w:t>
      </w: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rPr>
          <w:rFonts w:hint="eastAsia" w:ascii="Times New Roman"/>
          <w:color w:val="000000"/>
          <w:spacing w:val="-2"/>
        </w:rPr>
      </w:pPr>
    </w:p>
    <w:p>
      <w:pPr>
        <w:spacing w:line="360" w:lineRule="auto"/>
        <w:jc w:val="center"/>
        <w:rPr>
          <w:rFonts w:hint="eastAsia" w:eastAsia="黑体"/>
          <w:color w:val="000000"/>
          <w:spacing w:val="-2"/>
        </w:rPr>
      </w:pPr>
      <w:r>
        <w:rPr>
          <w:rFonts w:hint="eastAsia" w:eastAsia="黑体"/>
          <w:color w:val="000000"/>
          <w:spacing w:val="-2"/>
        </w:rPr>
        <w:t>图</w:t>
      </w:r>
      <w:r>
        <w:rPr>
          <w:rFonts w:eastAsia="黑体"/>
          <w:color w:val="000000"/>
          <w:spacing w:val="-2"/>
        </w:rPr>
        <w:t xml:space="preserve">5.1   </w:t>
      </w:r>
      <w:r>
        <w:rPr>
          <w:rFonts w:hint="eastAsia" w:eastAsia="黑体"/>
          <w:color w:val="000000"/>
          <w:spacing w:val="-2"/>
        </w:rPr>
        <w:t>脚手架搭设、拆除工程的监理工作程序</w:t>
      </w:r>
    </w:p>
    <w:p>
      <w:pPr>
        <w:spacing w:line="460" w:lineRule="exact"/>
        <w:rPr>
          <w:b/>
          <w:color w:val="000000"/>
          <w:spacing w:val="-2"/>
          <w:sz w:val="24"/>
        </w:rPr>
      </w:pPr>
      <w:r>
        <w:rPr>
          <w:b/>
          <w:color w:val="000000"/>
          <w:spacing w:val="-2"/>
          <w:sz w:val="24"/>
        </w:rPr>
        <w:t xml:space="preserve">5.2 </w:t>
      </w:r>
      <w:r>
        <w:rPr>
          <w:rFonts w:hint="eastAsia"/>
          <w:b/>
          <w:color w:val="000000"/>
          <w:spacing w:val="-2"/>
          <w:sz w:val="24"/>
        </w:rPr>
        <w:t>扣件式钢管脚手架专项施工方案审核程序：</w:t>
      </w:r>
      <w:r>
        <w:rPr>
          <w:b/>
          <w:color w:val="000000"/>
          <w:spacing w:val="-2"/>
          <w:sz w:val="24"/>
        </w:rPr>
        <w:t xml:space="preserve"> </w:t>
      </w:r>
    </w:p>
    <w:p>
      <w:pPr>
        <w:spacing w:line="460" w:lineRule="exact"/>
        <w:rPr>
          <w:b/>
          <w:color w:val="000000"/>
          <w:spacing w:val="-2"/>
          <w:sz w:val="24"/>
        </w:rPr>
      </w:pPr>
      <w:r>
        <w:rPr>
          <w:b/>
          <w:color w:val="000000"/>
          <w:spacing w:val="-2"/>
          <w:sz w:val="24"/>
        </w:rPr>
        <w:t xml:space="preserve">5.3 </w:t>
      </w:r>
      <w:r>
        <w:rPr>
          <w:rFonts w:hint="eastAsia"/>
          <w:b/>
          <w:color w:val="000000"/>
          <w:spacing w:val="-2"/>
          <w:sz w:val="24"/>
        </w:rPr>
        <w:t>分包单位资质审核监理工作程序：</w:t>
      </w:r>
      <w:r>
        <w:rPr>
          <w:b/>
          <w:color w:val="000000"/>
          <w:spacing w:val="-2"/>
          <w:sz w:val="24"/>
        </w:rPr>
        <w:t xml:space="preserve"> </w:t>
      </w:r>
    </w:p>
    <w:p>
      <w:pPr>
        <w:spacing w:line="460" w:lineRule="exact"/>
        <w:rPr>
          <w:b/>
          <w:color w:val="000000"/>
          <w:spacing w:val="-2"/>
          <w:sz w:val="24"/>
        </w:rPr>
      </w:pPr>
      <w:r>
        <w:rPr>
          <w:b/>
          <w:color w:val="000000"/>
          <w:spacing w:val="-2"/>
          <w:sz w:val="24"/>
        </w:rPr>
        <w:t xml:space="preserve">5.4 </w:t>
      </w:r>
      <w:r>
        <w:rPr>
          <w:rFonts w:hint="eastAsia"/>
          <w:b/>
          <w:color w:val="000000"/>
          <w:spacing w:val="-2"/>
          <w:sz w:val="24"/>
        </w:rPr>
        <w:t>扣件式钢管脚手架材料、构配件验收监理程序：</w:t>
      </w:r>
      <w:r>
        <w:rPr>
          <w:b/>
          <w:color w:val="000000"/>
          <w:spacing w:val="-2"/>
          <w:sz w:val="24"/>
        </w:rPr>
        <w:t xml:space="preserve"> </w:t>
      </w:r>
    </w:p>
    <w:p>
      <w:pPr>
        <w:spacing w:line="460" w:lineRule="exact"/>
        <w:rPr>
          <w:b/>
          <w:color w:val="000000"/>
          <w:spacing w:val="-2"/>
          <w:sz w:val="24"/>
        </w:rPr>
      </w:pPr>
      <w:r>
        <w:rPr>
          <w:b/>
          <w:color w:val="000000"/>
          <w:spacing w:val="-2"/>
          <w:sz w:val="24"/>
        </w:rPr>
        <w:t xml:space="preserve">5.5 </w:t>
      </w:r>
      <w:r>
        <w:rPr>
          <w:rFonts w:hint="eastAsia"/>
          <w:b/>
          <w:color w:val="000000"/>
          <w:spacing w:val="-2"/>
          <w:sz w:val="24"/>
        </w:rPr>
        <w:t>扣件式钢管脚手架搭设检查验收程序：</w:t>
      </w:r>
      <w:r>
        <w:rPr>
          <w:b/>
          <w:color w:val="000000"/>
          <w:spacing w:val="-2"/>
          <w:sz w:val="24"/>
        </w:rPr>
        <w:t xml:space="preserve"> </w:t>
      </w:r>
    </w:p>
    <w:p>
      <w:pPr>
        <w:spacing w:line="460" w:lineRule="exact"/>
        <w:rPr>
          <w:rFonts w:ascii="Times New Roman"/>
          <w:color w:val="000000"/>
          <w:spacing w:val="-2"/>
        </w:rPr>
      </w:pPr>
      <w:r>
        <w:rPr>
          <w:b/>
          <w:color w:val="000000"/>
          <w:spacing w:val="-2"/>
          <w:sz w:val="24"/>
        </w:rPr>
        <w:t>5.6</w:t>
      </w:r>
      <w:r>
        <w:rPr>
          <w:rFonts w:hint="eastAsia" w:ascii="Times New Roman" w:hAnsi="Times New Roman"/>
          <w:b/>
          <w:color w:val="000000"/>
          <w:spacing w:val="-2"/>
          <w:sz w:val="24"/>
        </w:rPr>
        <w:t xml:space="preserve"> 其它程序或流程：（根据搭设、拆除实际情况增减、调整）</w:t>
      </w:r>
    </w:p>
    <w:p>
      <w:pPr>
        <w:spacing w:before="120" w:beforeLines="50" w:after="120" w:afterLines="50"/>
        <w:rPr>
          <w:rFonts w:hint="eastAsia"/>
          <w:b/>
          <w:color w:val="000000"/>
          <w:spacing w:val="-2"/>
          <w:sz w:val="28"/>
          <w:szCs w:val="28"/>
        </w:rPr>
      </w:pPr>
      <w:r>
        <w:rPr>
          <w:b/>
          <w:color w:val="000000"/>
          <w:spacing w:val="-2"/>
          <w:sz w:val="24"/>
        </w:rPr>
        <w:t>6</w:t>
      </w:r>
      <w:r>
        <w:rPr>
          <w:b/>
          <w:color w:val="000000"/>
          <w:spacing w:val="-2"/>
          <w:sz w:val="28"/>
          <w:szCs w:val="28"/>
        </w:rPr>
        <w:t xml:space="preserve"> </w:t>
      </w:r>
      <w:r>
        <w:rPr>
          <w:rFonts w:hint="eastAsia"/>
          <w:b/>
          <w:color w:val="000000"/>
          <w:spacing w:val="-2"/>
          <w:sz w:val="28"/>
          <w:szCs w:val="28"/>
        </w:rPr>
        <w:t>安全生产管理监理工作的目标及要点</w:t>
      </w:r>
    </w:p>
    <w:p>
      <w:pPr>
        <w:spacing w:line="460" w:lineRule="exact"/>
        <w:rPr>
          <w:rFonts w:ascii="Times New Roman"/>
          <w:b/>
          <w:color w:val="000000"/>
          <w:spacing w:val="-2"/>
          <w:sz w:val="24"/>
        </w:rPr>
      </w:pPr>
      <w:r>
        <w:rPr>
          <w:b/>
          <w:color w:val="000000"/>
          <w:spacing w:val="-2"/>
          <w:sz w:val="24"/>
        </w:rPr>
        <w:t>6.1</w:t>
      </w:r>
      <w:r>
        <w:rPr>
          <w:rFonts w:hint="eastAsia" w:ascii="Times New Roman" w:hAnsi="Times New Roman"/>
          <w:b/>
          <w:color w:val="000000"/>
          <w:spacing w:val="-2"/>
          <w:sz w:val="24"/>
        </w:rPr>
        <w:t xml:space="preserve"> 扣件式钢管脚手架搭设、拆除工程监理的目标：</w:t>
      </w:r>
    </w:p>
    <w:p>
      <w:pPr>
        <w:spacing w:line="460" w:lineRule="exact"/>
        <w:rPr>
          <w:rFonts w:hint="eastAsia" w:ascii="Times New Roman"/>
          <w:color w:val="000000"/>
          <w:spacing w:val="-2"/>
          <w:sz w:val="24"/>
        </w:rPr>
      </w:pPr>
      <w:r>
        <w:rPr>
          <w:rFonts w:hint="eastAsia" w:ascii="Times New Roman" w:hAnsi="Times New Roman"/>
          <w:color w:val="000000"/>
          <w:spacing w:val="-2"/>
          <w:sz w:val="24"/>
        </w:rPr>
        <w:t>按照施工合同、相关规范标准及专项施工方案要求，本扣件式钢管脚手架搭设、拆除工程监理的目标为：</w:t>
      </w:r>
      <w:r>
        <w:rPr>
          <w:rFonts w:hint="eastAsia" w:ascii="Times New Roman" w:hAnsi="Times New Roman"/>
          <w:color w:val="000000"/>
          <w:spacing w:val="-2"/>
          <w:sz w:val="24"/>
          <w:u w:val="single"/>
        </w:rPr>
        <w:t xml:space="preserve">                                              </w:t>
      </w:r>
      <w:r>
        <w:rPr>
          <w:rFonts w:hint="eastAsia" w:ascii="Times New Roman" w:hAnsi="Times New Roman"/>
          <w:color w:val="000000"/>
          <w:spacing w:val="-2"/>
          <w:sz w:val="24"/>
        </w:rPr>
        <w:t>。</w:t>
      </w:r>
    </w:p>
    <w:p>
      <w:pPr>
        <w:spacing w:line="460" w:lineRule="exact"/>
        <w:rPr>
          <w:rFonts w:hint="eastAsia" w:ascii="Times New Roman" w:hAnsi="Times New Roman"/>
          <w:b/>
          <w:color w:val="000000"/>
          <w:spacing w:val="-2"/>
          <w:sz w:val="24"/>
        </w:rPr>
      </w:pPr>
      <w:r>
        <w:rPr>
          <w:b/>
          <w:color w:val="000000"/>
          <w:spacing w:val="-2"/>
          <w:sz w:val="24"/>
        </w:rPr>
        <w:t>6.2</w:t>
      </w:r>
      <w:r>
        <w:rPr>
          <w:rFonts w:hint="eastAsia" w:ascii="Times New Roman" w:hAnsi="Times New Roman"/>
          <w:b/>
          <w:color w:val="000000"/>
          <w:spacing w:val="-2"/>
          <w:sz w:val="24"/>
        </w:rPr>
        <w:t xml:space="preserve"> 扣件式钢管脚手架搭设、拆除工程监理项目要点见表6.1：  </w:t>
      </w:r>
    </w:p>
    <w:p>
      <w:pPr>
        <w:spacing w:line="360" w:lineRule="auto"/>
        <w:rPr>
          <w:rFonts w:hint="eastAsia" w:ascii="Times New Roman"/>
          <w:color w:val="000000"/>
          <w:spacing w:val="-2"/>
        </w:rPr>
      </w:pPr>
      <w:r>
        <w:rPr>
          <w:rFonts w:hint="eastAsia" w:ascii="Times New Roman" w:hAnsi="Times New Roman"/>
          <w:color w:val="000000"/>
          <w:spacing w:val="-2"/>
        </w:rPr>
        <w:t xml:space="preserve">                           </w:t>
      </w:r>
      <w:r>
        <w:rPr>
          <w:rFonts w:hint="eastAsia" w:ascii="Times New Roman" w:hAnsi="Times New Roman" w:eastAsia="黑体"/>
          <w:color w:val="000000"/>
          <w:spacing w:val="-2"/>
          <w:sz w:val="24"/>
        </w:rPr>
        <w:t>扣件式钢管脚手架搭设、拆除监理要点</w:t>
      </w:r>
      <w:r>
        <w:rPr>
          <w:rFonts w:hint="eastAsia" w:ascii="Times New Roman" w:hAnsi="Times New Roman"/>
          <w:b/>
          <w:color w:val="000000"/>
          <w:spacing w:val="-2"/>
        </w:rPr>
        <w:t xml:space="preserve"> </w:t>
      </w:r>
      <w:r>
        <w:rPr>
          <w:rFonts w:hint="eastAsia" w:ascii="Times New Roman" w:hAnsi="Times New Roman"/>
          <w:color w:val="000000"/>
          <w:spacing w:val="-2"/>
        </w:rPr>
        <w:t xml:space="preserve">               表</w:t>
      </w:r>
      <w:r>
        <w:rPr>
          <w:color w:val="000000"/>
          <w:spacing w:val="-2"/>
        </w:rPr>
        <w:t>6.1</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559"/>
        <w:gridCol w:w="3261"/>
        <w:gridCol w:w="322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7"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eastAsia="黑体"/>
                <w:color w:val="000000"/>
                <w:spacing w:val="-2"/>
              </w:rPr>
            </w:pPr>
            <w:r>
              <w:rPr>
                <w:rFonts w:hint="eastAsia" w:eastAsia="黑体"/>
                <w:color w:val="000000"/>
                <w:spacing w:val="-2"/>
              </w:rPr>
              <w:t>序号</w:t>
            </w:r>
          </w:p>
        </w:tc>
        <w:tc>
          <w:tcPr>
            <w:tcW w:w="1559"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安全控制项目</w:t>
            </w:r>
          </w:p>
        </w:tc>
        <w:tc>
          <w:tcPr>
            <w:tcW w:w="3261"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安全控制点</w:t>
            </w:r>
          </w:p>
        </w:tc>
        <w:tc>
          <w:tcPr>
            <w:tcW w:w="3227" w:type="dxa"/>
            <w:tcBorders>
              <w:top w:val="single" w:color="auto" w:sz="8" w:space="0"/>
              <w:left w:val="single" w:color="auto" w:sz="4" w:space="0"/>
              <w:bottom w:val="single" w:color="auto" w:sz="4" w:space="0"/>
              <w:right w:val="single" w:color="auto" w:sz="8"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安全控制要求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restart"/>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rPr>
            </w:pPr>
            <w:r>
              <w:rPr>
                <w:color w:val="000000"/>
                <w:spacing w:val="-2"/>
              </w:rPr>
              <w:t>1</w:t>
            </w:r>
          </w:p>
        </w:tc>
        <w:tc>
          <w:tcPr>
            <w:tcW w:w="1559"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安全管理</w:t>
            </w: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rPr>
            </w:pPr>
            <w:r>
              <w:rPr>
                <w:color w:val="000000"/>
                <w:spacing w:val="-2"/>
              </w:rPr>
              <w:t>2</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材料、构配件</w:t>
            </w: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rPr>
            </w:pPr>
            <w:r>
              <w:rPr>
                <w:color w:val="000000"/>
                <w:spacing w:val="-2"/>
              </w:rPr>
              <w:t>3</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地基与基础</w:t>
            </w: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restart"/>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rPr>
            </w:pPr>
            <w:r>
              <w:rPr>
                <w:color w:val="000000"/>
                <w:spacing w:val="-2"/>
              </w:rPr>
              <w:t>4</w:t>
            </w:r>
          </w:p>
        </w:tc>
        <w:tc>
          <w:tcPr>
            <w:tcW w:w="1559"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搭设构造</w:t>
            </w: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restart"/>
            <w:tcBorders>
              <w:top w:val="single" w:color="auto" w:sz="4" w:space="0"/>
              <w:left w:val="single" w:color="auto" w:sz="8" w:space="0"/>
              <w:bottom w:val="single" w:color="auto" w:sz="4" w:space="0"/>
              <w:right w:val="single" w:color="auto" w:sz="4" w:space="0"/>
            </w:tcBorders>
            <w:noWrap w:val="0"/>
            <w:vAlign w:val="center"/>
          </w:tcPr>
          <w:p>
            <w:pPr>
              <w:spacing w:line="240" w:lineRule="exact"/>
              <w:ind w:firstLine="206" w:firstLineChars="100"/>
              <w:rPr>
                <w:color w:val="000000"/>
                <w:spacing w:val="-2"/>
              </w:rPr>
            </w:pPr>
            <w:r>
              <w:rPr>
                <w:color w:val="000000"/>
                <w:spacing w:val="-2"/>
              </w:rPr>
              <w:t>6</w:t>
            </w:r>
          </w:p>
        </w:tc>
        <w:tc>
          <w:tcPr>
            <w:tcW w:w="1559"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搭设质量</w:t>
            </w:r>
          </w:p>
          <w:p>
            <w:pPr>
              <w:spacing w:line="240" w:lineRule="exact"/>
              <w:jc w:val="center"/>
              <w:rPr>
                <w:rFonts w:ascii="Times New Roman"/>
                <w:color w:val="000000"/>
                <w:spacing w:val="-2"/>
              </w:rPr>
            </w:pPr>
            <w:r>
              <w:rPr>
                <w:rFonts w:hint="eastAsia" w:ascii="Times New Roman" w:hAnsi="Times New Roman"/>
                <w:color w:val="000000"/>
                <w:spacing w:val="-2"/>
              </w:rPr>
              <w:t>检查与验收</w:t>
            </w: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rPr>
            </w:pPr>
            <w:r>
              <w:rPr>
                <w:color w:val="000000"/>
                <w:spacing w:val="-2"/>
              </w:rPr>
              <w:t>7</w:t>
            </w: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接地与避雷</w:t>
            </w: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restart"/>
            <w:tcBorders>
              <w:top w:val="single" w:color="auto" w:sz="4" w:space="0"/>
              <w:left w:val="single" w:color="auto" w:sz="8" w:space="0"/>
              <w:bottom w:val="single" w:color="auto" w:sz="8" w:space="0"/>
              <w:right w:val="single" w:color="auto" w:sz="4" w:space="0"/>
            </w:tcBorders>
            <w:noWrap w:val="0"/>
            <w:vAlign w:val="center"/>
          </w:tcPr>
          <w:p>
            <w:pPr>
              <w:spacing w:line="240" w:lineRule="exact"/>
              <w:jc w:val="center"/>
              <w:rPr>
                <w:color w:val="000000"/>
                <w:spacing w:val="-2"/>
              </w:rPr>
            </w:pPr>
            <w:r>
              <w:rPr>
                <w:color w:val="000000"/>
                <w:spacing w:val="-2"/>
              </w:rPr>
              <w:t>8</w:t>
            </w:r>
          </w:p>
        </w:tc>
        <w:tc>
          <w:tcPr>
            <w:tcW w:w="1559" w:type="dxa"/>
            <w:vMerge w:val="restart"/>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脚手架拆除</w:t>
            </w: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left"/>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817"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color w:val="000000"/>
                <w:spacing w:val="-2"/>
              </w:rPr>
            </w:pPr>
          </w:p>
        </w:tc>
        <w:tc>
          <w:tcPr>
            <w:tcW w:w="1559"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color w:val="000000"/>
                <w:spacing w:val="-2"/>
              </w:rPr>
            </w:pPr>
          </w:p>
        </w:tc>
        <w:tc>
          <w:tcPr>
            <w:tcW w:w="3261" w:type="dxa"/>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rPr>
                <w:rFonts w:ascii="Times New Roman"/>
                <w:color w:val="000000"/>
                <w:spacing w:val="-2"/>
              </w:rPr>
            </w:pPr>
          </w:p>
        </w:tc>
        <w:tc>
          <w:tcPr>
            <w:tcW w:w="3227" w:type="dxa"/>
            <w:tcBorders>
              <w:top w:val="single" w:color="auto" w:sz="4" w:space="0"/>
              <w:left w:val="single" w:color="auto" w:sz="4" w:space="0"/>
              <w:bottom w:val="single" w:color="auto" w:sz="8" w:space="0"/>
              <w:right w:val="single" w:color="auto" w:sz="8" w:space="0"/>
            </w:tcBorders>
            <w:noWrap w:val="0"/>
            <w:vAlign w:val="center"/>
          </w:tcPr>
          <w:p>
            <w:pPr>
              <w:spacing w:line="240" w:lineRule="exact"/>
              <w:jc w:val="left"/>
              <w:rPr>
                <w:rFonts w:ascii="Times New Roman"/>
                <w:color w:val="000000"/>
                <w:spacing w:val="-2"/>
              </w:rPr>
            </w:pPr>
          </w:p>
        </w:tc>
      </w:tr>
    </w:tbl>
    <w:p>
      <w:pPr>
        <w:spacing w:line="460" w:lineRule="exact"/>
        <w:rPr>
          <w:rFonts w:hint="eastAsia" w:ascii="Times New Roman"/>
          <w:b/>
          <w:color w:val="000000"/>
          <w:spacing w:val="-2"/>
          <w:sz w:val="24"/>
        </w:rPr>
      </w:pPr>
      <w:r>
        <w:rPr>
          <w:b/>
          <w:color w:val="000000"/>
          <w:spacing w:val="-2"/>
          <w:sz w:val="24"/>
        </w:rPr>
        <w:t>6.3</w:t>
      </w:r>
      <w:r>
        <w:rPr>
          <w:rFonts w:hint="eastAsia" w:ascii="Times New Roman" w:hAnsi="Times New Roman"/>
          <w:b/>
          <w:color w:val="000000"/>
          <w:spacing w:val="-2"/>
          <w:sz w:val="24"/>
        </w:rPr>
        <w:t xml:space="preserve"> 扣件式钢管脚手架搭设、拆除工程监理要点：</w:t>
      </w:r>
    </w:p>
    <w:p>
      <w:pPr>
        <w:spacing w:line="460" w:lineRule="exact"/>
        <w:rPr>
          <w:rFonts w:hint="eastAsia" w:ascii="Times New Roman"/>
          <w:color w:val="000000"/>
          <w:spacing w:val="-2"/>
          <w:sz w:val="24"/>
        </w:rPr>
      </w:pPr>
      <w:r>
        <w:rPr>
          <w:b/>
          <w:color w:val="000000"/>
          <w:spacing w:val="-2"/>
          <w:sz w:val="24"/>
        </w:rPr>
        <w:t>6.3.1</w:t>
      </w:r>
      <w:r>
        <w:rPr>
          <w:rFonts w:hint="eastAsia" w:ascii="Times New Roman" w:hAnsi="Times New Roman"/>
          <w:color w:val="000000"/>
          <w:spacing w:val="-2"/>
          <w:sz w:val="24"/>
        </w:rPr>
        <w:t xml:space="preserve"> 扣件式钢管脚手架搭设、拆除工程专项施工方案审查。</w:t>
      </w:r>
    </w:p>
    <w:p>
      <w:pPr>
        <w:spacing w:line="460" w:lineRule="exact"/>
        <w:rPr>
          <w:rFonts w:hint="eastAsia" w:ascii="Times New Roman"/>
          <w:color w:val="000000"/>
          <w:spacing w:val="-2"/>
          <w:sz w:val="24"/>
        </w:rPr>
      </w:pPr>
      <w:r>
        <w:rPr>
          <w:b/>
          <w:color w:val="000000"/>
          <w:spacing w:val="-2"/>
          <w:sz w:val="24"/>
        </w:rPr>
        <w:t>6.3.2</w:t>
      </w:r>
      <w:r>
        <w:rPr>
          <w:rFonts w:hint="eastAsia" w:ascii="Times New Roman" w:hAnsi="Times New Roman"/>
          <w:color w:val="000000"/>
          <w:spacing w:val="-2"/>
          <w:sz w:val="24"/>
        </w:rPr>
        <w:t xml:space="preserve"> 资质审查。</w:t>
      </w:r>
    </w:p>
    <w:p>
      <w:pPr>
        <w:spacing w:line="460" w:lineRule="exact"/>
        <w:rPr>
          <w:rFonts w:hint="eastAsia" w:ascii="Times New Roman"/>
          <w:color w:val="000000"/>
          <w:spacing w:val="-2"/>
          <w:sz w:val="24"/>
        </w:rPr>
      </w:pPr>
      <w:r>
        <w:rPr>
          <w:b/>
          <w:color w:val="000000"/>
          <w:spacing w:val="-2"/>
          <w:sz w:val="24"/>
        </w:rPr>
        <w:t xml:space="preserve">6.3.3 </w:t>
      </w:r>
      <w:r>
        <w:rPr>
          <w:rFonts w:hint="eastAsia" w:ascii="Times New Roman" w:hAnsi="Times New Roman"/>
          <w:color w:val="000000"/>
          <w:spacing w:val="-2"/>
          <w:sz w:val="24"/>
        </w:rPr>
        <w:t>材料、构配件进场验收。</w:t>
      </w:r>
    </w:p>
    <w:p>
      <w:pPr>
        <w:spacing w:line="460" w:lineRule="exact"/>
        <w:rPr>
          <w:rFonts w:hint="eastAsia" w:ascii="Times New Roman"/>
          <w:color w:val="000000"/>
          <w:spacing w:val="-2"/>
          <w:sz w:val="24"/>
        </w:rPr>
      </w:pPr>
      <w:r>
        <w:rPr>
          <w:rFonts w:hint="eastAsia" w:ascii="Times New Roman" w:hAnsi="Times New Roman"/>
          <w:color w:val="000000"/>
          <w:spacing w:val="-2"/>
          <w:sz w:val="24"/>
        </w:rPr>
        <w:t>脚手架材料、构配件进场后，监理工程师应参加检查验收，检查验收内容见表</w:t>
      </w:r>
      <w:r>
        <w:rPr>
          <w:color w:val="000000"/>
          <w:spacing w:val="-2"/>
          <w:sz w:val="24"/>
        </w:rPr>
        <w:t>6.2</w:t>
      </w:r>
      <w:r>
        <w:rPr>
          <w:rFonts w:hint="eastAsia"/>
          <w:color w:val="000000"/>
          <w:spacing w:val="-2"/>
          <w:sz w:val="24"/>
        </w:rPr>
        <w:t>：</w:t>
      </w:r>
    </w:p>
    <w:p>
      <w:pPr>
        <w:spacing w:line="360" w:lineRule="auto"/>
        <w:jc w:val="center"/>
        <w:rPr>
          <w:rFonts w:hint="eastAsia" w:ascii="Times New Roman"/>
          <w:color w:val="000000"/>
          <w:spacing w:val="-2"/>
        </w:rPr>
      </w:pPr>
      <w:r>
        <w:rPr>
          <w:rFonts w:hint="eastAsia" w:ascii="Times New Roman" w:hAnsi="Times New Roman"/>
          <w:color w:val="000000"/>
          <w:spacing w:val="-2"/>
        </w:rPr>
        <w:t xml:space="preserve">                            </w:t>
      </w:r>
      <w:r>
        <w:rPr>
          <w:rFonts w:hint="eastAsia" w:ascii="Times New Roman" w:hAnsi="Times New Roman" w:eastAsia="黑体"/>
          <w:color w:val="000000"/>
          <w:spacing w:val="-2"/>
          <w:sz w:val="24"/>
        </w:rPr>
        <w:t xml:space="preserve">材料、构配件质量检查表 </w:t>
      </w:r>
      <w:r>
        <w:rPr>
          <w:rFonts w:hint="eastAsia" w:ascii="Times New Roman" w:hAnsi="Times New Roman"/>
          <w:b/>
          <w:color w:val="000000"/>
          <w:spacing w:val="-2"/>
        </w:rPr>
        <w:t xml:space="preserve">  </w:t>
      </w:r>
      <w:r>
        <w:rPr>
          <w:rFonts w:hint="eastAsia" w:ascii="Times New Roman" w:hAnsi="Times New Roman"/>
          <w:color w:val="000000"/>
          <w:spacing w:val="-2"/>
        </w:rPr>
        <w:t xml:space="preserve">                         表</w:t>
      </w:r>
      <w:r>
        <w:rPr>
          <w:color w:val="000000"/>
          <w:spacing w:val="-2"/>
        </w:rPr>
        <w:t>6.2</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4962"/>
        <w:gridCol w:w="1559"/>
        <w:gridCol w:w="127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项目</w:t>
            </w:r>
          </w:p>
        </w:tc>
        <w:tc>
          <w:tcPr>
            <w:tcW w:w="4962"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要     求</w:t>
            </w:r>
          </w:p>
        </w:tc>
        <w:tc>
          <w:tcPr>
            <w:tcW w:w="1559"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抽检数量</w:t>
            </w:r>
          </w:p>
        </w:tc>
        <w:tc>
          <w:tcPr>
            <w:tcW w:w="1276" w:type="dxa"/>
            <w:tcBorders>
              <w:top w:val="single" w:color="auto" w:sz="8" w:space="0"/>
              <w:left w:val="single" w:color="auto" w:sz="4" w:space="0"/>
              <w:bottom w:val="single" w:color="auto" w:sz="4" w:space="0"/>
              <w:right w:val="single" w:color="auto" w:sz="8"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检查方法</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1242" w:type="dxa"/>
            <w:vMerge w:val="restart"/>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钢管</w:t>
            </w: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top"/>
          </w:tcPr>
          <w:p>
            <w:pPr>
              <w:spacing w:line="240" w:lineRule="exact"/>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42"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钢管外径及壁厚</w:t>
            </w: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242" w:type="dxa"/>
            <w:vMerge w:val="restart"/>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扣件</w:t>
            </w: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left"/>
              <w:rPr>
                <w:rFonts w:ascii="Times New Roman"/>
                <w:color w:val="000000"/>
                <w:spacing w:val="-2"/>
                <w:sz w:val="18"/>
                <w:szCs w:val="18"/>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1242" w:type="dxa"/>
            <w:vMerge w:val="restart"/>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可调托撑</w:t>
            </w: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 w:hRule="atLeast"/>
          <w:jc w:val="center"/>
        </w:trPr>
        <w:tc>
          <w:tcPr>
            <w:tcW w:w="1242" w:type="dxa"/>
            <w:vMerge w:val="restart"/>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脚手板</w:t>
            </w: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 w:hRule="atLeast"/>
          <w:jc w:val="center"/>
        </w:trPr>
        <w:tc>
          <w:tcPr>
            <w:tcW w:w="12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color w:val="000000"/>
                <w:spacing w:val="-2"/>
              </w:rPr>
            </w:pPr>
          </w:p>
        </w:tc>
        <w:tc>
          <w:tcPr>
            <w:tcW w:w="496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 w:hRule="atLeast"/>
          <w:jc w:val="center"/>
        </w:trPr>
        <w:tc>
          <w:tcPr>
            <w:tcW w:w="1242" w:type="dxa"/>
            <w:tcBorders>
              <w:top w:val="single" w:color="auto" w:sz="4" w:space="0"/>
              <w:left w:val="single" w:color="auto" w:sz="8" w:space="0"/>
              <w:bottom w:val="single" w:color="auto" w:sz="8" w:space="0"/>
              <w:right w:val="single" w:color="auto" w:sz="4" w:space="0"/>
            </w:tcBorders>
            <w:noWrap w:val="0"/>
            <w:vAlign w:val="center"/>
          </w:tcPr>
          <w:p>
            <w:pPr>
              <w:spacing w:line="240" w:lineRule="exact"/>
              <w:ind w:firstLine="309" w:firstLineChars="150"/>
              <w:rPr>
                <w:rFonts w:ascii="Times New Roman"/>
                <w:color w:val="000000"/>
                <w:spacing w:val="-2"/>
              </w:rPr>
            </w:pPr>
            <w:r>
              <w:rPr>
                <w:rFonts w:hint="eastAsia" w:ascii="Times New Roman" w:hAnsi="Times New Roman"/>
                <w:color w:val="000000"/>
                <w:spacing w:val="-2"/>
              </w:rPr>
              <w:t>钢筋</w:t>
            </w:r>
          </w:p>
        </w:tc>
        <w:tc>
          <w:tcPr>
            <w:tcW w:w="4962" w:type="dxa"/>
            <w:tcBorders>
              <w:top w:val="single" w:color="auto" w:sz="4" w:space="0"/>
              <w:left w:val="single" w:color="auto" w:sz="4" w:space="0"/>
              <w:bottom w:val="single" w:color="auto" w:sz="8" w:space="0"/>
              <w:right w:val="single" w:color="auto" w:sz="4" w:space="0"/>
            </w:tcBorders>
            <w:noWrap w:val="0"/>
            <w:vAlign w:val="center"/>
          </w:tcPr>
          <w:p>
            <w:pPr>
              <w:spacing w:line="240" w:lineRule="exact"/>
              <w:rPr>
                <w:rFonts w:ascii="Times New Roman"/>
                <w:color w:val="000000"/>
                <w:spacing w:val="-2"/>
              </w:rPr>
            </w:pPr>
          </w:p>
        </w:tc>
        <w:tc>
          <w:tcPr>
            <w:tcW w:w="1559" w:type="dxa"/>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rPr>
                <w:rFonts w:ascii="Times New Roman"/>
                <w:color w:val="000000"/>
                <w:spacing w:val="-2"/>
              </w:rPr>
            </w:pPr>
          </w:p>
        </w:tc>
        <w:tc>
          <w:tcPr>
            <w:tcW w:w="1276" w:type="dxa"/>
            <w:tcBorders>
              <w:top w:val="single" w:color="auto" w:sz="4" w:space="0"/>
              <w:left w:val="single" w:color="auto" w:sz="4" w:space="0"/>
              <w:bottom w:val="single" w:color="auto" w:sz="8" w:space="0"/>
              <w:right w:val="single" w:color="auto" w:sz="8" w:space="0"/>
            </w:tcBorders>
            <w:noWrap w:val="0"/>
            <w:vAlign w:val="center"/>
          </w:tcPr>
          <w:p>
            <w:pPr>
              <w:spacing w:line="240" w:lineRule="exact"/>
              <w:jc w:val="center"/>
              <w:rPr>
                <w:rFonts w:ascii="Times New Roman"/>
                <w:color w:val="000000"/>
                <w:spacing w:val="-2"/>
              </w:rPr>
            </w:pPr>
          </w:p>
        </w:tc>
      </w:tr>
    </w:tbl>
    <w:p>
      <w:pPr>
        <w:spacing w:line="460" w:lineRule="exact"/>
        <w:ind w:firstLine="472" w:firstLineChars="200"/>
        <w:rPr>
          <w:rFonts w:hint="eastAsia" w:ascii="Times New Roman"/>
          <w:color w:val="000000"/>
          <w:spacing w:val="-2"/>
          <w:sz w:val="24"/>
        </w:rPr>
      </w:pPr>
      <w:r>
        <w:rPr>
          <w:rFonts w:hint="eastAsia" w:ascii="Times New Roman" w:hAnsi="Times New Roman"/>
          <w:color w:val="000000"/>
          <w:spacing w:val="-2"/>
          <w:sz w:val="24"/>
        </w:rPr>
        <w:t>脚手架材料、构配件进场后，监理工程师应随机抽取外观检验不合格的钢管、扣件见证取样送法定专业检测机构进行检测，检测项目见表6.3。</w:t>
      </w:r>
    </w:p>
    <w:p>
      <w:pPr>
        <w:spacing w:line="360" w:lineRule="auto"/>
        <w:ind w:firstLine="2714" w:firstLineChars="1150"/>
        <w:rPr>
          <w:rFonts w:hint="eastAsia" w:ascii="Times New Roman"/>
          <w:color w:val="000000"/>
          <w:spacing w:val="-2"/>
        </w:rPr>
      </w:pPr>
      <w:r>
        <w:rPr>
          <w:rFonts w:hint="eastAsia" w:ascii="Times New Roman" w:hAnsi="Times New Roman" w:eastAsia="黑体"/>
          <w:color w:val="000000"/>
          <w:spacing w:val="-2"/>
          <w:sz w:val="24"/>
        </w:rPr>
        <w:t>钢管、扣件见证取样检测项目</w:t>
      </w:r>
      <w:r>
        <w:rPr>
          <w:rFonts w:hint="eastAsia" w:ascii="Times New Roman" w:hAnsi="Times New Roman"/>
          <w:color w:val="000000"/>
          <w:spacing w:val="-2"/>
        </w:rPr>
        <w:t xml:space="preserve">                         表</w:t>
      </w:r>
      <w:r>
        <w:rPr>
          <w:color w:val="000000"/>
          <w:spacing w:val="-2"/>
        </w:rPr>
        <w:t>6.3</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09"/>
        <w:gridCol w:w="2268"/>
        <w:gridCol w:w="4809"/>
        <w:gridCol w:w="127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9"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序号</w:t>
            </w:r>
          </w:p>
        </w:tc>
        <w:tc>
          <w:tcPr>
            <w:tcW w:w="2268"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见证取样材料名称</w:t>
            </w:r>
          </w:p>
        </w:tc>
        <w:tc>
          <w:tcPr>
            <w:tcW w:w="4809"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检测项目</w:t>
            </w:r>
          </w:p>
        </w:tc>
        <w:tc>
          <w:tcPr>
            <w:tcW w:w="1275" w:type="dxa"/>
            <w:tcBorders>
              <w:top w:val="single" w:color="auto" w:sz="8" w:space="0"/>
              <w:left w:val="single" w:color="auto" w:sz="4" w:space="0"/>
              <w:bottom w:val="single" w:color="auto" w:sz="4" w:space="0"/>
              <w:right w:val="single" w:color="auto" w:sz="8" w:space="0"/>
            </w:tcBorders>
            <w:noWrap w:val="0"/>
            <w:vAlign w:val="center"/>
          </w:tcPr>
          <w:p>
            <w:pPr>
              <w:spacing w:line="240" w:lineRule="exact"/>
              <w:jc w:val="center"/>
              <w:rPr>
                <w:rFonts w:ascii="Times New Roman" w:eastAsia="黑体"/>
                <w:color w:val="000000"/>
                <w:spacing w:val="-2"/>
              </w:rPr>
            </w:pPr>
            <w:r>
              <w:rPr>
                <w:rFonts w:hint="eastAsia" w:ascii="Times New Roman" w:hAnsi="Times New Roman" w:eastAsia="黑体"/>
                <w:color w:val="000000"/>
                <w:spacing w:val="-2"/>
              </w:rPr>
              <w:t>备注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9"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rPr>
            </w:pPr>
            <w:r>
              <w:rPr>
                <w:color w:val="000000"/>
                <w:spacing w:val="-2"/>
              </w:rPr>
              <w:t>1</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钢管</w:t>
            </w:r>
          </w:p>
        </w:tc>
        <w:tc>
          <w:tcPr>
            <w:tcW w:w="480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515" w:firstLineChars="250"/>
              <w:jc w:val="center"/>
              <w:rPr>
                <w:rFonts w:ascii="Times New Roman"/>
                <w:color w:val="000000"/>
                <w:spacing w:val="-2"/>
              </w:rPr>
            </w:pPr>
          </w:p>
        </w:tc>
        <w:tc>
          <w:tcPr>
            <w:tcW w:w="127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9"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color w:val="000000"/>
                <w:spacing w:val="-2"/>
              </w:rPr>
            </w:pPr>
            <w:r>
              <w:rPr>
                <w:color w:val="000000"/>
                <w:spacing w:val="-2"/>
              </w:rPr>
              <w:t>2</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扣件</w:t>
            </w:r>
          </w:p>
        </w:tc>
        <w:tc>
          <w:tcPr>
            <w:tcW w:w="480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firstLine="515" w:firstLineChars="250"/>
              <w:jc w:val="center"/>
              <w:rPr>
                <w:rFonts w:ascii="Times New Roman"/>
                <w:color w:val="000000"/>
                <w:spacing w:val="-2"/>
              </w:rPr>
            </w:pPr>
          </w:p>
        </w:tc>
        <w:tc>
          <w:tcPr>
            <w:tcW w:w="1275"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center"/>
              <w:rPr>
                <w:rFonts w:ascii="Times New Roman"/>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9" w:type="dxa"/>
            <w:tcBorders>
              <w:top w:val="single" w:color="auto" w:sz="4" w:space="0"/>
              <w:left w:val="single" w:color="auto" w:sz="8" w:space="0"/>
              <w:bottom w:val="single" w:color="auto" w:sz="8" w:space="0"/>
              <w:right w:val="single" w:color="auto" w:sz="4" w:space="0"/>
            </w:tcBorders>
            <w:noWrap w:val="0"/>
            <w:vAlign w:val="center"/>
          </w:tcPr>
          <w:p>
            <w:pPr>
              <w:spacing w:line="240" w:lineRule="exact"/>
              <w:jc w:val="center"/>
              <w:rPr>
                <w:color w:val="000000"/>
                <w:spacing w:val="-2"/>
              </w:rPr>
            </w:pPr>
            <w:r>
              <w:rPr>
                <w:color w:val="000000"/>
                <w:spacing w:val="-2"/>
              </w:rPr>
              <w:t>3</w:t>
            </w:r>
          </w:p>
        </w:tc>
        <w:tc>
          <w:tcPr>
            <w:tcW w:w="2268" w:type="dxa"/>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rPr>
                <w:rFonts w:ascii="Times New Roman"/>
                <w:color w:val="000000"/>
                <w:spacing w:val="-2"/>
              </w:rPr>
            </w:pPr>
            <w:r>
              <w:rPr>
                <w:rFonts w:hint="eastAsia" w:ascii="Times New Roman" w:hAnsi="Times New Roman"/>
                <w:color w:val="000000"/>
                <w:spacing w:val="-2"/>
              </w:rPr>
              <w:t>钢筋</w:t>
            </w:r>
          </w:p>
        </w:tc>
        <w:tc>
          <w:tcPr>
            <w:tcW w:w="4809" w:type="dxa"/>
            <w:tcBorders>
              <w:top w:val="single" w:color="auto" w:sz="4" w:space="0"/>
              <w:left w:val="single" w:color="auto" w:sz="4" w:space="0"/>
              <w:bottom w:val="single" w:color="auto" w:sz="8" w:space="0"/>
              <w:right w:val="single" w:color="auto" w:sz="4" w:space="0"/>
            </w:tcBorders>
            <w:noWrap w:val="0"/>
            <w:vAlign w:val="center"/>
          </w:tcPr>
          <w:p>
            <w:pPr>
              <w:spacing w:line="240" w:lineRule="exact"/>
              <w:ind w:firstLine="515" w:firstLineChars="250"/>
              <w:jc w:val="center"/>
              <w:rPr>
                <w:rFonts w:ascii="Times New Roman"/>
                <w:color w:val="000000"/>
                <w:spacing w:val="-2"/>
              </w:rPr>
            </w:pPr>
          </w:p>
        </w:tc>
        <w:tc>
          <w:tcPr>
            <w:tcW w:w="1275" w:type="dxa"/>
            <w:tcBorders>
              <w:top w:val="single" w:color="auto" w:sz="4" w:space="0"/>
              <w:left w:val="single" w:color="auto" w:sz="4" w:space="0"/>
              <w:bottom w:val="single" w:color="auto" w:sz="8" w:space="0"/>
              <w:right w:val="single" w:color="auto" w:sz="8" w:space="0"/>
            </w:tcBorders>
            <w:noWrap w:val="0"/>
            <w:vAlign w:val="center"/>
          </w:tcPr>
          <w:p>
            <w:pPr>
              <w:spacing w:line="240" w:lineRule="exact"/>
              <w:jc w:val="center"/>
              <w:rPr>
                <w:rFonts w:ascii="Times New Roman"/>
                <w:color w:val="000000"/>
                <w:spacing w:val="-2"/>
              </w:rPr>
            </w:pPr>
          </w:p>
        </w:tc>
      </w:tr>
    </w:tbl>
    <w:p>
      <w:pPr>
        <w:spacing w:line="460" w:lineRule="exact"/>
        <w:rPr>
          <w:rFonts w:hint="eastAsia" w:ascii="Times New Roman"/>
          <w:color w:val="000000"/>
          <w:spacing w:val="-2"/>
        </w:rPr>
      </w:pPr>
    </w:p>
    <w:p>
      <w:pPr>
        <w:spacing w:line="460" w:lineRule="exact"/>
        <w:rPr>
          <w:rFonts w:hint="eastAsia"/>
          <w:color w:val="000000"/>
          <w:spacing w:val="-2"/>
          <w:sz w:val="24"/>
        </w:rPr>
      </w:pPr>
      <w:r>
        <w:rPr>
          <w:b/>
          <w:color w:val="000000"/>
          <w:spacing w:val="-2"/>
          <w:sz w:val="24"/>
        </w:rPr>
        <w:t>6.3.4</w:t>
      </w:r>
      <w:r>
        <w:rPr>
          <w:color w:val="000000"/>
          <w:spacing w:val="-2"/>
          <w:sz w:val="24"/>
        </w:rPr>
        <w:t xml:space="preserve"> </w:t>
      </w:r>
      <w:r>
        <w:rPr>
          <w:rFonts w:hint="eastAsia" w:hAnsi="Times New Roman"/>
          <w:color w:val="000000"/>
          <w:spacing w:val="-2"/>
          <w:sz w:val="24"/>
        </w:rPr>
        <w:t>地基与基础检查。</w:t>
      </w:r>
    </w:p>
    <w:p>
      <w:pPr>
        <w:spacing w:line="460" w:lineRule="exact"/>
        <w:rPr>
          <w:color w:val="000000"/>
          <w:spacing w:val="-2"/>
          <w:sz w:val="24"/>
        </w:rPr>
      </w:pPr>
      <w:r>
        <w:rPr>
          <w:b/>
          <w:color w:val="000000"/>
          <w:spacing w:val="-2"/>
          <w:sz w:val="24"/>
        </w:rPr>
        <w:t>6.3.5</w:t>
      </w:r>
      <w:r>
        <w:rPr>
          <w:color w:val="000000"/>
          <w:spacing w:val="-2"/>
          <w:sz w:val="24"/>
        </w:rPr>
        <w:t xml:space="preserve"> </w:t>
      </w:r>
      <w:r>
        <w:rPr>
          <w:rFonts w:hint="eastAsia" w:hAnsi="Times New Roman"/>
          <w:color w:val="000000"/>
          <w:spacing w:val="-2"/>
          <w:sz w:val="24"/>
        </w:rPr>
        <w:t>脚手架搭设构造。</w:t>
      </w:r>
    </w:p>
    <w:p>
      <w:pPr>
        <w:spacing w:line="460" w:lineRule="exact"/>
        <w:rPr>
          <w:color w:val="000000"/>
          <w:spacing w:val="-2"/>
          <w:sz w:val="24"/>
        </w:rPr>
      </w:pPr>
      <w:r>
        <w:rPr>
          <w:b/>
          <w:color w:val="000000"/>
          <w:spacing w:val="-2"/>
          <w:sz w:val="24"/>
        </w:rPr>
        <w:t>6.3.6</w:t>
      </w:r>
      <w:r>
        <w:rPr>
          <w:color w:val="000000"/>
          <w:spacing w:val="-2"/>
          <w:sz w:val="24"/>
        </w:rPr>
        <w:t xml:space="preserve"> </w:t>
      </w:r>
      <w:r>
        <w:rPr>
          <w:rFonts w:hint="eastAsia" w:hAnsi="Times New Roman"/>
          <w:color w:val="000000"/>
          <w:spacing w:val="-2"/>
          <w:sz w:val="24"/>
        </w:rPr>
        <w:t>脚手架搭设施工。</w:t>
      </w:r>
    </w:p>
    <w:p>
      <w:pPr>
        <w:spacing w:line="460" w:lineRule="exact"/>
        <w:rPr>
          <w:color w:val="000000"/>
          <w:spacing w:val="-2"/>
          <w:kern w:val="0"/>
          <w:sz w:val="24"/>
        </w:rPr>
      </w:pPr>
      <w:r>
        <w:rPr>
          <w:b/>
          <w:color w:val="000000"/>
          <w:spacing w:val="-2"/>
          <w:sz w:val="24"/>
        </w:rPr>
        <w:t xml:space="preserve">6.3.7 </w:t>
      </w:r>
      <w:r>
        <w:rPr>
          <w:rFonts w:hint="eastAsia" w:hAnsi="Times New Roman"/>
          <w:color w:val="000000"/>
          <w:spacing w:val="-2"/>
          <w:kern w:val="0"/>
          <w:sz w:val="24"/>
        </w:rPr>
        <w:t>脚手架拆除施工。</w:t>
      </w:r>
    </w:p>
    <w:p>
      <w:pPr>
        <w:spacing w:line="460" w:lineRule="exact"/>
        <w:rPr>
          <w:rFonts w:ascii="Times New Roman"/>
          <w:color w:val="000000"/>
          <w:spacing w:val="-2"/>
          <w:kern w:val="0"/>
          <w:szCs w:val="21"/>
        </w:rPr>
      </w:pPr>
      <w:r>
        <w:rPr>
          <w:b/>
          <w:color w:val="000000"/>
          <w:spacing w:val="-2"/>
          <w:sz w:val="24"/>
        </w:rPr>
        <w:t xml:space="preserve">6.3.8 </w:t>
      </w:r>
      <w:r>
        <w:rPr>
          <w:rFonts w:hint="eastAsia" w:hAnsi="Times New Roman"/>
          <w:color w:val="000000"/>
          <w:spacing w:val="-2"/>
          <w:kern w:val="0"/>
          <w:sz w:val="24"/>
        </w:rPr>
        <w:t>脚手架检</w:t>
      </w:r>
      <w:r>
        <w:rPr>
          <w:rFonts w:hint="eastAsia" w:ascii="Times New Roman" w:hAnsi="Times New Roman"/>
          <w:color w:val="000000"/>
          <w:spacing w:val="-2"/>
          <w:kern w:val="0"/>
          <w:sz w:val="24"/>
        </w:rPr>
        <w:t>查与验收。</w:t>
      </w:r>
    </w:p>
    <w:p>
      <w:pPr>
        <w:spacing w:before="120" w:beforeLines="50" w:after="120" w:afterLines="50"/>
        <w:rPr>
          <w:rFonts w:hint="eastAsia"/>
          <w:b/>
          <w:color w:val="000000"/>
          <w:spacing w:val="-2"/>
          <w:sz w:val="28"/>
          <w:szCs w:val="28"/>
        </w:rPr>
      </w:pPr>
      <w:r>
        <w:rPr>
          <w:b/>
          <w:color w:val="000000"/>
          <w:spacing w:val="-2"/>
          <w:sz w:val="28"/>
          <w:szCs w:val="28"/>
        </w:rPr>
        <w:t xml:space="preserve">7 </w:t>
      </w:r>
      <w:r>
        <w:rPr>
          <w:rFonts w:hint="eastAsia"/>
          <w:b/>
          <w:color w:val="000000"/>
          <w:spacing w:val="-2"/>
          <w:sz w:val="28"/>
          <w:szCs w:val="28"/>
        </w:rPr>
        <w:t>监理的主要工作方法及措施</w:t>
      </w:r>
    </w:p>
    <w:p>
      <w:pPr>
        <w:spacing w:line="460" w:lineRule="exact"/>
        <w:rPr>
          <w:rFonts w:ascii="Times New Roman"/>
          <w:b/>
          <w:color w:val="000000"/>
          <w:spacing w:val="-2"/>
          <w:sz w:val="24"/>
        </w:rPr>
      </w:pPr>
      <w:r>
        <w:rPr>
          <w:b/>
          <w:color w:val="000000"/>
          <w:spacing w:val="-2"/>
          <w:sz w:val="24"/>
        </w:rPr>
        <w:t xml:space="preserve">7.1 </w:t>
      </w:r>
      <w:r>
        <w:rPr>
          <w:rFonts w:hint="eastAsia" w:ascii="Times New Roman" w:hAnsi="Times New Roman"/>
          <w:b/>
          <w:color w:val="000000"/>
          <w:spacing w:val="-2"/>
          <w:sz w:val="24"/>
        </w:rPr>
        <w:t xml:space="preserve">审查内容： </w:t>
      </w:r>
      <w:r>
        <w:rPr>
          <w:rFonts w:hint="eastAsia" w:ascii="Times New Roman" w:hAnsi="Times New Roman"/>
          <w:b/>
          <w:color w:val="000000"/>
          <w:spacing w:val="-2"/>
          <w:sz w:val="24"/>
          <w:u w:val="single"/>
        </w:rPr>
        <w:t xml:space="preserve">                                                      </w:t>
      </w:r>
      <w:r>
        <w:rPr>
          <w:rFonts w:hint="eastAsia" w:ascii="Times New Roman" w:hAnsi="Times New Roman"/>
          <w:color w:val="000000"/>
          <w:spacing w:val="-2"/>
          <w:sz w:val="24"/>
        </w:rPr>
        <w:t>。</w:t>
      </w:r>
    </w:p>
    <w:p>
      <w:pPr>
        <w:spacing w:line="460" w:lineRule="exact"/>
        <w:rPr>
          <w:rFonts w:hint="eastAsia" w:ascii="Times New Roman"/>
          <w:color w:val="000000"/>
          <w:spacing w:val="-2"/>
          <w:sz w:val="24"/>
        </w:rPr>
      </w:pPr>
      <w:r>
        <w:rPr>
          <w:rFonts w:hint="eastAsia" w:ascii="Times New Roman" w:hAnsi="Times New Roman"/>
          <w:color w:val="000000"/>
          <w:spacing w:val="-2"/>
          <w:sz w:val="24"/>
        </w:rPr>
        <w:t>（如：审查承包单位、分包单位的安全生产保证体系、质量保证体系是否建立、健全；审查承包单位报送的专项施工方案，按要求需专家论证的是否组织论证并按论证意见修改完善，并提出审查意见；审查承包单位报送的拟进场的脚手架材料、构配件报审表（通用报审表）证明文件；审查脚手架搭设完成后检查验收报告；审查脚手架拆除签字审批手续；审查工程安全防护措施费使用计划等。）</w:t>
      </w:r>
    </w:p>
    <w:p>
      <w:pPr>
        <w:spacing w:line="460" w:lineRule="exact"/>
        <w:rPr>
          <w:rFonts w:hint="eastAsia" w:ascii="Times New Roman"/>
          <w:b/>
          <w:color w:val="000000"/>
          <w:spacing w:val="-2"/>
          <w:sz w:val="24"/>
        </w:rPr>
      </w:pPr>
      <w:r>
        <w:rPr>
          <w:b/>
          <w:color w:val="000000"/>
          <w:spacing w:val="-2"/>
          <w:sz w:val="24"/>
        </w:rPr>
        <w:t xml:space="preserve">7.2 </w:t>
      </w:r>
      <w:r>
        <w:rPr>
          <w:rFonts w:hint="eastAsia" w:ascii="Times New Roman" w:hAnsi="Times New Roman"/>
          <w:b/>
          <w:color w:val="000000"/>
          <w:spacing w:val="-2"/>
          <w:sz w:val="24"/>
        </w:rPr>
        <w:t>复核内容：</w:t>
      </w:r>
      <w:r>
        <w:rPr>
          <w:rFonts w:hint="eastAsia" w:ascii="Times New Roman" w:hAnsi="Times New Roman"/>
          <w:b/>
          <w:color w:val="000000"/>
          <w:spacing w:val="-2"/>
          <w:sz w:val="24"/>
          <w:u w:val="single"/>
        </w:rPr>
        <w:t xml:space="preserve">                                                      </w:t>
      </w:r>
      <w:r>
        <w:rPr>
          <w:rFonts w:hint="eastAsia" w:ascii="Times New Roman" w:hAnsi="Times New Roman"/>
          <w:b/>
          <w:color w:val="000000"/>
          <w:spacing w:val="-2"/>
          <w:sz w:val="24"/>
        </w:rPr>
        <w:t>。</w:t>
      </w:r>
    </w:p>
    <w:p>
      <w:pPr>
        <w:spacing w:line="460" w:lineRule="exact"/>
        <w:rPr>
          <w:rFonts w:hint="eastAsia" w:ascii="Times New Roman"/>
          <w:color w:val="000000"/>
          <w:spacing w:val="-2"/>
          <w:sz w:val="24"/>
        </w:rPr>
      </w:pPr>
      <w:r>
        <w:rPr>
          <w:rFonts w:hint="eastAsia" w:ascii="Times New Roman" w:hAnsi="Times New Roman"/>
          <w:color w:val="000000"/>
          <w:spacing w:val="-2"/>
          <w:sz w:val="24"/>
        </w:rPr>
        <w:t>（如：承包单位、分包单位资质、安全生产许可证、特种人员作业上岗证；脚手架基础标高、放线定位、复核每步架主杆位置，间距；脚手架搭设在6～8M高度后中间检查复核；脚手架搭设完成后、使用中、拆除前检查复核；高大模板支撑系统拆除前，复核结构混凝土同条件试块强度试验报告是否达到拆模强度要求；</w:t>
      </w:r>
      <w:r>
        <w:rPr>
          <w:rFonts w:hint="eastAsia" w:ascii="Times New Roman" w:hAnsi="Times New Roman"/>
          <w:color w:val="000000"/>
          <w:spacing w:val="-2"/>
          <w:kern w:val="0"/>
          <w:sz w:val="24"/>
        </w:rPr>
        <w:t>独立支撑系统拆除前，应检查其上支撑结构是否连接并形成稳定的受力体系等。）</w:t>
      </w:r>
    </w:p>
    <w:p>
      <w:pPr>
        <w:spacing w:line="460" w:lineRule="exact"/>
        <w:rPr>
          <w:rFonts w:hint="eastAsia" w:ascii="Times New Roman"/>
          <w:b/>
          <w:color w:val="000000"/>
          <w:spacing w:val="-2"/>
          <w:sz w:val="24"/>
        </w:rPr>
      </w:pPr>
      <w:r>
        <w:rPr>
          <w:b/>
          <w:color w:val="000000"/>
          <w:spacing w:val="-2"/>
          <w:sz w:val="24"/>
        </w:rPr>
        <w:t xml:space="preserve">7.3 </w:t>
      </w:r>
      <w:r>
        <w:rPr>
          <w:rFonts w:hint="eastAsia" w:ascii="Times New Roman" w:hAnsi="Times New Roman"/>
          <w:b/>
          <w:color w:val="000000"/>
          <w:spacing w:val="-2"/>
          <w:sz w:val="24"/>
        </w:rPr>
        <w:t>质量安全问题的处理方法：</w:t>
      </w:r>
      <w:r>
        <w:rPr>
          <w:rFonts w:hint="eastAsia" w:ascii="Times New Roman" w:hAnsi="Times New Roman"/>
          <w:b/>
          <w:color w:val="000000"/>
          <w:spacing w:val="-2"/>
          <w:sz w:val="24"/>
          <w:u w:val="single"/>
        </w:rPr>
        <w:t xml:space="preserve">                                         </w:t>
      </w:r>
      <w:r>
        <w:rPr>
          <w:rFonts w:hint="eastAsia" w:ascii="Times New Roman" w:hAnsi="Times New Roman"/>
          <w:b/>
          <w:color w:val="000000"/>
          <w:spacing w:val="-2"/>
          <w:sz w:val="24"/>
        </w:rPr>
        <w:t>。</w:t>
      </w:r>
    </w:p>
    <w:p>
      <w:pPr>
        <w:spacing w:line="460" w:lineRule="exact"/>
        <w:rPr>
          <w:rFonts w:hint="eastAsia" w:ascii="Times New Roman"/>
          <w:color w:val="000000"/>
          <w:spacing w:val="-2"/>
          <w:sz w:val="24"/>
        </w:rPr>
      </w:pPr>
      <w:r>
        <w:rPr>
          <w:rFonts w:hint="eastAsia" w:ascii="Times New Roman" w:hAnsi="Times New Roman"/>
          <w:color w:val="000000"/>
          <w:spacing w:val="-2"/>
          <w:sz w:val="24"/>
        </w:rPr>
        <w:t>（如：对未按照经批准的专项施工方案实施，搭设、使用或拆除中出现的质量、安全问题，材料、构配件进场未经监理人员验收或验收不合格，脚手架搭设完成后未经检查验收而擅自使用的及时下达监理工程师通知单、备忘录、停工令等，必要时报告政府行政主管部门。）</w:t>
      </w:r>
    </w:p>
    <w:p>
      <w:pPr>
        <w:spacing w:line="460" w:lineRule="exact"/>
        <w:rPr>
          <w:rFonts w:hint="eastAsia" w:ascii="Times New Roman"/>
          <w:b/>
          <w:color w:val="000000"/>
          <w:spacing w:val="-2"/>
          <w:sz w:val="24"/>
        </w:rPr>
      </w:pPr>
      <w:r>
        <w:rPr>
          <w:b/>
          <w:color w:val="000000"/>
          <w:spacing w:val="-2"/>
          <w:sz w:val="24"/>
        </w:rPr>
        <w:t xml:space="preserve">7.4 </w:t>
      </w:r>
      <w:r>
        <w:rPr>
          <w:rFonts w:hint="eastAsia" w:ascii="Times New Roman" w:hAnsi="Times New Roman"/>
          <w:b/>
          <w:color w:val="000000"/>
          <w:spacing w:val="-2"/>
          <w:sz w:val="24"/>
        </w:rPr>
        <w:t>旁站。</w:t>
      </w:r>
    </w:p>
    <w:p>
      <w:pPr>
        <w:spacing w:line="460" w:lineRule="exact"/>
        <w:rPr>
          <w:rFonts w:hint="eastAsia" w:ascii="Times New Roman"/>
          <w:color w:val="000000"/>
          <w:spacing w:val="-2"/>
          <w:sz w:val="24"/>
        </w:rPr>
      </w:pPr>
      <w:r>
        <w:rPr>
          <w:rFonts w:hint="eastAsia" w:ascii="Times New Roman" w:hAnsi="Times New Roman"/>
          <w:color w:val="000000"/>
          <w:spacing w:val="-2"/>
          <w:sz w:val="24"/>
        </w:rPr>
        <w:t>扣件式脚手架搭设与拆除过程中监理需旁站的部位为：</w:t>
      </w:r>
      <w:r>
        <w:rPr>
          <w:rFonts w:hint="eastAsia" w:ascii="Times New Roman" w:hAnsi="Times New Roman"/>
          <w:color w:val="000000"/>
          <w:spacing w:val="-2"/>
          <w:sz w:val="24"/>
          <w:u w:val="single"/>
        </w:rPr>
        <w:t xml:space="preserve">                     </w:t>
      </w:r>
      <w:r>
        <w:rPr>
          <w:rFonts w:hint="eastAsia" w:ascii="Times New Roman" w:hAnsi="Times New Roman"/>
          <w:color w:val="000000"/>
          <w:spacing w:val="-2"/>
          <w:sz w:val="24"/>
        </w:rPr>
        <w:t>。</w:t>
      </w:r>
    </w:p>
    <w:p>
      <w:pPr>
        <w:spacing w:line="460" w:lineRule="exact"/>
        <w:rPr>
          <w:rFonts w:hint="eastAsia" w:ascii="Times New Roman"/>
          <w:b/>
          <w:color w:val="000000"/>
          <w:spacing w:val="-2"/>
          <w:sz w:val="24"/>
        </w:rPr>
      </w:pPr>
      <w:r>
        <w:rPr>
          <w:b/>
          <w:color w:val="000000"/>
          <w:spacing w:val="-2"/>
          <w:sz w:val="24"/>
        </w:rPr>
        <w:t xml:space="preserve">7.5 </w:t>
      </w:r>
      <w:r>
        <w:rPr>
          <w:rFonts w:hint="eastAsia" w:ascii="Times New Roman" w:hAnsi="Times New Roman"/>
          <w:b/>
          <w:color w:val="000000"/>
          <w:spacing w:val="-2"/>
          <w:sz w:val="24"/>
        </w:rPr>
        <w:t>平行检验。</w:t>
      </w:r>
    </w:p>
    <w:p>
      <w:pPr>
        <w:spacing w:line="360" w:lineRule="auto"/>
        <w:ind w:right="-126" w:rightChars="-60"/>
        <w:rPr>
          <w:rFonts w:hint="eastAsia" w:ascii="Times New Roman"/>
          <w:color w:val="000000"/>
          <w:spacing w:val="-2"/>
          <w:szCs w:val="21"/>
        </w:rPr>
      </w:pPr>
      <w:r>
        <w:rPr>
          <w:rFonts w:hint="eastAsia" w:ascii="Times New Roman" w:hAnsi="Times New Roman"/>
          <w:b/>
          <w:color w:val="000000"/>
          <w:spacing w:val="-2"/>
          <w:szCs w:val="21"/>
        </w:rPr>
        <w:t xml:space="preserve">                  </w:t>
      </w:r>
      <w:r>
        <w:rPr>
          <w:rFonts w:hint="eastAsia" w:ascii="Times New Roman" w:hAnsi="Times New Roman" w:eastAsia="黑体"/>
          <w:color w:val="000000"/>
          <w:spacing w:val="-2"/>
          <w:sz w:val="24"/>
        </w:rPr>
        <w:t xml:space="preserve"> 扣件式钢管脚手架搭设施工监理平行检验计划表</w:t>
      </w:r>
      <w:r>
        <w:rPr>
          <w:rFonts w:hint="eastAsia" w:ascii="Times New Roman" w:hAnsi="Times New Roman"/>
          <w:color w:val="000000"/>
          <w:spacing w:val="-2"/>
          <w:szCs w:val="21"/>
        </w:rPr>
        <w:t xml:space="preserve">                表7.1</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8"/>
        <w:gridCol w:w="2484"/>
        <w:gridCol w:w="2152"/>
        <w:gridCol w:w="1269"/>
        <w:gridCol w:w="1270"/>
        <w:gridCol w:w="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8" w:type="dxa"/>
            <w:tcBorders>
              <w:top w:val="single" w:color="auto" w:sz="4" w:space="0"/>
              <w:left w:val="single" w:color="auto" w:sz="4" w:space="0"/>
              <w:bottom w:val="single" w:color="auto" w:sz="4" w:space="0"/>
              <w:right w:val="single" w:color="auto" w:sz="4" w:space="0"/>
            </w:tcBorders>
            <w:noWrap w:val="0"/>
            <w:vAlign w:val="top"/>
          </w:tcPr>
          <w:p>
            <w:pPr>
              <w:spacing w:line="240" w:lineRule="exact"/>
              <w:jc w:val="center"/>
              <w:rPr>
                <w:rFonts w:ascii="Times New Roman" w:eastAsia="黑体"/>
                <w:color w:val="000000"/>
                <w:spacing w:val="-2"/>
                <w:szCs w:val="21"/>
              </w:rPr>
            </w:pPr>
            <w:r>
              <w:rPr>
                <w:rFonts w:hint="eastAsia" w:ascii="Times New Roman" w:hAnsi="Times New Roman" w:eastAsia="黑体"/>
                <w:color w:val="000000"/>
                <w:spacing w:val="-2"/>
                <w:szCs w:val="21"/>
              </w:rPr>
              <w:t>序号</w:t>
            </w:r>
          </w:p>
        </w:tc>
        <w:tc>
          <w:tcPr>
            <w:tcW w:w="2484" w:type="dxa"/>
            <w:tcBorders>
              <w:top w:val="single" w:color="auto" w:sz="4" w:space="0"/>
              <w:left w:val="single" w:color="auto" w:sz="4" w:space="0"/>
              <w:bottom w:val="single" w:color="auto" w:sz="4" w:space="0"/>
              <w:right w:val="single" w:color="auto" w:sz="4" w:space="0"/>
            </w:tcBorders>
            <w:noWrap w:val="0"/>
            <w:vAlign w:val="top"/>
          </w:tcPr>
          <w:p>
            <w:pPr>
              <w:spacing w:line="240" w:lineRule="exact"/>
              <w:jc w:val="center"/>
              <w:rPr>
                <w:rFonts w:ascii="Times New Roman" w:eastAsia="黑体"/>
                <w:color w:val="000000"/>
                <w:spacing w:val="-2"/>
                <w:szCs w:val="21"/>
              </w:rPr>
            </w:pPr>
            <w:r>
              <w:rPr>
                <w:rFonts w:hint="eastAsia" w:ascii="Times New Roman" w:hAnsi="Times New Roman" w:eastAsia="黑体"/>
                <w:color w:val="000000"/>
                <w:spacing w:val="-2"/>
                <w:szCs w:val="21"/>
              </w:rPr>
              <w:t>部位或过程</w:t>
            </w:r>
          </w:p>
        </w:tc>
        <w:tc>
          <w:tcPr>
            <w:tcW w:w="2152" w:type="dxa"/>
            <w:tcBorders>
              <w:top w:val="single" w:color="auto" w:sz="4" w:space="0"/>
              <w:left w:val="single" w:color="auto" w:sz="4" w:space="0"/>
              <w:bottom w:val="single" w:color="auto" w:sz="4" w:space="0"/>
              <w:right w:val="single" w:color="auto" w:sz="4" w:space="0"/>
            </w:tcBorders>
            <w:noWrap w:val="0"/>
            <w:vAlign w:val="top"/>
          </w:tcPr>
          <w:p>
            <w:pPr>
              <w:spacing w:line="240" w:lineRule="exact"/>
              <w:jc w:val="center"/>
              <w:rPr>
                <w:rFonts w:ascii="Times New Roman" w:eastAsia="黑体"/>
                <w:color w:val="000000"/>
                <w:spacing w:val="-2"/>
                <w:szCs w:val="21"/>
              </w:rPr>
            </w:pPr>
            <w:r>
              <w:rPr>
                <w:rFonts w:hint="eastAsia" w:ascii="Times New Roman" w:hAnsi="Times New Roman" w:eastAsia="黑体"/>
                <w:color w:val="000000"/>
                <w:spacing w:val="-2"/>
                <w:szCs w:val="21"/>
              </w:rPr>
              <w:t>检验项目</w:t>
            </w:r>
          </w:p>
        </w:tc>
        <w:tc>
          <w:tcPr>
            <w:tcW w:w="1269" w:type="dxa"/>
            <w:tcBorders>
              <w:top w:val="single" w:color="auto" w:sz="4" w:space="0"/>
              <w:left w:val="single" w:color="auto" w:sz="4" w:space="0"/>
              <w:bottom w:val="single" w:color="auto" w:sz="4" w:space="0"/>
              <w:right w:val="single" w:color="auto" w:sz="4" w:space="0"/>
            </w:tcBorders>
            <w:noWrap w:val="0"/>
            <w:vAlign w:val="top"/>
          </w:tcPr>
          <w:p>
            <w:pPr>
              <w:spacing w:line="240" w:lineRule="exact"/>
              <w:jc w:val="center"/>
              <w:rPr>
                <w:rFonts w:ascii="Times New Roman" w:eastAsia="黑体"/>
                <w:color w:val="000000"/>
                <w:spacing w:val="-2"/>
                <w:szCs w:val="21"/>
              </w:rPr>
            </w:pPr>
            <w:r>
              <w:rPr>
                <w:rFonts w:hint="eastAsia" w:ascii="Times New Roman" w:hAnsi="Times New Roman" w:eastAsia="黑体"/>
                <w:color w:val="000000"/>
                <w:spacing w:val="-2"/>
                <w:szCs w:val="21"/>
              </w:rPr>
              <w:t>检验比例</w:t>
            </w:r>
          </w:p>
        </w:tc>
        <w:tc>
          <w:tcPr>
            <w:tcW w:w="1270" w:type="dxa"/>
            <w:tcBorders>
              <w:top w:val="single" w:color="auto" w:sz="4" w:space="0"/>
              <w:left w:val="single" w:color="auto" w:sz="4" w:space="0"/>
              <w:bottom w:val="single" w:color="auto" w:sz="4" w:space="0"/>
              <w:right w:val="single" w:color="auto" w:sz="4" w:space="0"/>
            </w:tcBorders>
            <w:noWrap w:val="0"/>
            <w:vAlign w:val="top"/>
          </w:tcPr>
          <w:p>
            <w:pPr>
              <w:spacing w:line="240" w:lineRule="exact"/>
              <w:jc w:val="center"/>
              <w:rPr>
                <w:rFonts w:ascii="Times New Roman" w:eastAsia="黑体"/>
                <w:color w:val="000000"/>
                <w:spacing w:val="-2"/>
                <w:szCs w:val="21"/>
              </w:rPr>
            </w:pPr>
            <w:r>
              <w:rPr>
                <w:rFonts w:hint="eastAsia" w:ascii="Times New Roman" w:hAnsi="Times New Roman" w:eastAsia="黑体"/>
                <w:color w:val="000000"/>
                <w:spacing w:val="-2"/>
                <w:szCs w:val="21"/>
              </w:rPr>
              <w:t>检验方法</w:t>
            </w:r>
          </w:p>
        </w:tc>
        <w:tc>
          <w:tcPr>
            <w:tcW w:w="709" w:type="dxa"/>
            <w:tcBorders>
              <w:top w:val="single" w:color="auto" w:sz="4" w:space="0"/>
              <w:left w:val="single" w:color="auto" w:sz="4" w:space="0"/>
              <w:bottom w:val="single" w:color="auto" w:sz="4" w:space="0"/>
              <w:right w:val="single" w:color="auto" w:sz="4" w:space="0"/>
            </w:tcBorders>
            <w:noWrap w:val="0"/>
            <w:vAlign w:val="top"/>
          </w:tcPr>
          <w:p>
            <w:pPr>
              <w:spacing w:line="240" w:lineRule="exact"/>
              <w:jc w:val="center"/>
              <w:rPr>
                <w:rFonts w:ascii="Times New Roman" w:eastAsia="黑体"/>
                <w:color w:val="000000"/>
                <w:spacing w:val="-2"/>
                <w:szCs w:val="21"/>
              </w:rPr>
            </w:pPr>
            <w:r>
              <w:rPr>
                <w:rFonts w:hint="eastAsia" w:ascii="Times New Roman" w:hAnsi="Times New Roman" w:eastAsia="黑体"/>
                <w:color w:val="000000"/>
                <w:spacing w:val="-2"/>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8"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248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21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1269"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127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709"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38"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2484"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2152"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1269"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1270"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c>
          <w:tcPr>
            <w:tcW w:w="709" w:type="dxa"/>
            <w:tcBorders>
              <w:top w:val="single" w:color="auto" w:sz="4" w:space="0"/>
              <w:left w:val="single" w:color="auto" w:sz="4" w:space="0"/>
              <w:bottom w:val="single" w:color="auto" w:sz="4" w:space="0"/>
              <w:right w:val="single" w:color="auto" w:sz="4" w:space="0"/>
            </w:tcBorders>
            <w:noWrap w:val="0"/>
            <w:vAlign w:val="top"/>
          </w:tcPr>
          <w:p>
            <w:pPr>
              <w:spacing w:line="360" w:lineRule="auto"/>
              <w:rPr>
                <w:rFonts w:ascii="Times New Roman"/>
                <w:color w:val="000000"/>
                <w:spacing w:val="-2"/>
                <w:szCs w:val="21"/>
              </w:rPr>
            </w:pPr>
          </w:p>
        </w:tc>
      </w:tr>
    </w:tbl>
    <w:p>
      <w:pPr>
        <w:spacing w:line="460" w:lineRule="exact"/>
        <w:rPr>
          <w:rFonts w:hint="eastAsia" w:ascii="Times New Roman"/>
          <w:b/>
          <w:color w:val="000000"/>
          <w:spacing w:val="-2"/>
          <w:sz w:val="24"/>
        </w:rPr>
      </w:pPr>
      <w:r>
        <w:rPr>
          <w:b/>
          <w:color w:val="000000"/>
          <w:spacing w:val="-2"/>
          <w:sz w:val="24"/>
        </w:rPr>
        <w:t>7.6</w:t>
      </w:r>
      <w:r>
        <w:rPr>
          <w:rFonts w:hint="eastAsia" w:ascii="Times New Roman" w:hAnsi="Times New Roman"/>
          <w:b/>
          <w:color w:val="000000"/>
          <w:spacing w:val="-2"/>
          <w:sz w:val="24"/>
        </w:rPr>
        <w:t xml:space="preserve"> 巡视检查内容：</w:t>
      </w:r>
      <w:r>
        <w:rPr>
          <w:rFonts w:hint="eastAsia" w:ascii="Times New Roman" w:hAnsi="Times New Roman"/>
          <w:color w:val="000000"/>
          <w:spacing w:val="-2"/>
          <w:sz w:val="24"/>
          <w:u w:val="single"/>
        </w:rPr>
        <w:t xml:space="preserve">                                             </w:t>
      </w:r>
      <w:r>
        <w:rPr>
          <w:rFonts w:hint="eastAsia" w:ascii="Times New Roman" w:hAnsi="Times New Roman"/>
          <w:b/>
          <w:color w:val="000000"/>
          <w:spacing w:val="-2"/>
          <w:sz w:val="24"/>
        </w:rPr>
        <w:t>。</w:t>
      </w:r>
    </w:p>
    <w:p>
      <w:pPr>
        <w:spacing w:line="460" w:lineRule="exact"/>
        <w:rPr>
          <w:rFonts w:hint="eastAsia" w:ascii="Times New Roman"/>
          <w:color w:val="000000"/>
          <w:spacing w:val="-2"/>
          <w:sz w:val="24"/>
        </w:rPr>
      </w:pPr>
      <w:r>
        <w:rPr>
          <w:rFonts w:hint="eastAsia" w:ascii="Times New Roman" w:hAnsi="Times New Roman"/>
          <w:color w:val="000000"/>
          <w:spacing w:val="-2"/>
          <w:sz w:val="24"/>
        </w:rPr>
        <w:t>（如：对现场安全警戒情况，施工顺序、方法，搭设质量情况，安全文明施工情况；施工人员安全防护齐备，有无违规违章作业；脚手架扫地杆、连墙件、剪刀撑设置、杆件连接位置方式等进行巡视检查。）</w:t>
      </w:r>
    </w:p>
    <w:p>
      <w:pPr>
        <w:spacing w:line="460" w:lineRule="exact"/>
        <w:rPr>
          <w:rFonts w:hint="eastAsia" w:ascii="Times New Roman"/>
          <w:b/>
          <w:color w:val="000000"/>
          <w:spacing w:val="-2"/>
          <w:sz w:val="24"/>
        </w:rPr>
      </w:pPr>
      <w:r>
        <w:rPr>
          <w:b/>
          <w:color w:val="000000"/>
          <w:spacing w:val="-2"/>
          <w:sz w:val="24"/>
        </w:rPr>
        <w:t xml:space="preserve">7.7 </w:t>
      </w:r>
      <w:r>
        <w:rPr>
          <w:rFonts w:hint="eastAsia" w:ascii="Times New Roman" w:hAnsi="Times New Roman"/>
          <w:b/>
          <w:color w:val="000000"/>
          <w:spacing w:val="-2"/>
          <w:sz w:val="24"/>
        </w:rPr>
        <w:t>现场协调方式：</w:t>
      </w:r>
      <w:r>
        <w:rPr>
          <w:rFonts w:hint="eastAsia" w:ascii="Times New Roman" w:hAnsi="Times New Roman"/>
          <w:color w:val="000000"/>
          <w:spacing w:val="-2"/>
          <w:sz w:val="24"/>
          <w:u w:val="single"/>
        </w:rPr>
        <w:t xml:space="preserve">                                                  </w:t>
      </w:r>
      <w:r>
        <w:rPr>
          <w:rFonts w:hint="eastAsia" w:ascii="Times New Roman" w:hAnsi="Times New Roman"/>
          <w:b/>
          <w:color w:val="000000"/>
          <w:spacing w:val="-2"/>
          <w:sz w:val="24"/>
        </w:rPr>
        <w:t>。</w:t>
      </w:r>
    </w:p>
    <w:p>
      <w:pPr>
        <w:spacing w:line="460" w:lineRule="exact"/>
        <w:rPr>
          <w:rFonts w:hint="eastAsia" w:ascii="Times New Roman"/>
          <w:color w:val="000000"/>
          <w:spacing w:val="-2"/>
          <w:sz w:val="24"/>
        </w:rPr>
      </w:pPr>
      <w:r>
        <w:rPr>
          <w:rFonts w:hint="eastAsia" w:ascii="Times New Roman" w:hAnsi="Times New Roman"/>
          <w:color w:val="000000"/>
          <w:spacing w:val="-2"/>
          <w:sz w:val="24"/>
        </w:rPr>
        <w:t>（脚手架在搭设时、使用中、拆除前可能牵涉到不同施工单位作业及使用，为此监理机构须及时予以协调。通常采用会议协调，其方式有：现场协调、工地例会、监理专题会议等。）</w:t>
      </w:r>
    </w:p>
    <w:p>
      <w:pPr>
        <w:spacing w:line="460" w:lineRule="exact"/>
        <w:rPr>
          <w:rFonts w:hint="eastAsia" w:ascii="Times New Roman"/>
          <w:b/>
          <w:color w:val="000000"/>
          <w:spacing w:val="-2"/>
          <w:sz w:val="24"/>
        </w:rPr>
      </w:pPr>
      <w:r>
        <w:rPr>
          <w:b/>
          <w:color w:val="000000"/>
          <w:spacing w:val="-2"/>
          <w:sz w:val="24"/>
        </w:rPr>
        <w:t>7.8</w:t>
      </w:r>
      <w:r>
        <w:rPr>
          <w:rFonts w:hint="eastAsia" w:ascii="Times New Roman" w:hAnsi="Times New Roman"/>
          <w:b/>
          <w:color w:val="000000"/>
          <w:spacing w:val="-2"/>
          <w:sz w:val="24"/>
        </w:rPr>
        <w:t xml:space="preserve"> 验收。</w:t>
      </w:r>
    </w:p>
    <w:p>
      <w:pPr>
        <w:spacing w:line="460" w:lineRule="exact"/>
        <w:rPr>
          <w:rFonts w:hint="eastAsia" w:ascii="Times New Roman"/>
          <w:color w:val="000000"/>
          <w:spacing w:val="-2"/>
          <w:sz w:val="24"/>
        </w:rPr>
      </w:pPr>
      <w:r>
        <w:rPr>
          <w:b/>
          <w:color w:val="000000"/>
          <w:spacing w:val="-2"/>
          <w:sz w:val="24"/>
        </w:rPr>
        <w:t>7.8.1</w:t>
      </w:r>
      <w:r>
        <w:rPr>
          <w:rFonts w:hint="eastAsia" w:ascii="Times New Roman" w:hAnsi="Times New Roman"/>
          <w:color w:val="000000"/>
          <w:spacing w:val="-2"/>
          <w:sz w:val="24"/>
        </w:rPr>
        <w:t xml:space="preserve"> 验收条件。</w:t>
      </w:r>
    </w:p>
    <w:p>
      <w:pPr>
        <w:spacing w:line="460" w:lineRule="exact"/>
        <w:rPr>
          <w:rFonts w:hint="eastAsia" w:ascii="Times New Roman"/>
          <w:color w:val="000000"/>
          <w:spacing w:val="-2"/>
          <w:sz w:val="24"/>
        </w:rPr>
      </w:pPr>
      <w:r>
        <w:rPr>
          <w:b/>
          <w:color w:val="000000"/>
          <w:spacing w:val="-2"/>
          <w:sz w:val="24"/>
        </w:rPr>
        <w:t>7.8.2</w:t>
      </w:r>
      <w:r>
        <w:rPr>
          <w:rFonts w:hint="eastAsia" w:ascii="Times New Roman" w:hAnsi="Times New Roman"/>
          <w:color w:val="000000"/>
          <w:spacing w:val="-2"/>
          <w:sz w:val="24"/>
        </w:rPr>
        <w:t xml:space="preserve"> 验收内容。</w:t>
      </w:r>
    </w:p>
    <w:p>
      <w:pPr>
        <w:spacing w:line="460" w:lineRule="exact"/>
        <w:rPr>
          <w:rFonts w:hint="eastAsia" w:ascii="Times New Roman"/>
          <w:color w:val="000000"/>
          <w:spacing w:val="-2"/>
          <w:sz w:val="24"/>
        </w:rPr>
      </w:pPr>
      <w:r>
        <w:rPr>
          <w:b/>
          <w:color w:val="000000"/>
          <w:spacing w:val="-2"/>
          <w:sz w:val="24"/>
        </w:rPr>
        <w:t>7.8.3</w:t>
      </w:r>
      <w:r>
        <w:rPr>
          <w:rFonts w:hint="eastAsia" w:ascii="Times New Roman" w:hAnsi="Times New Roman"/>
          <w:color w:val="000000"/>
          <w:spacing w:val="-2"/>
          <w:sz w:val="24"/>
        </w:rPr>
        <w:t xml:space="preserve"> 验收程序。</w:t>
      </w:r>
    </w:p>
    <w:p>
      <w:pPr>
        <w:spacing w:line="460" w:lineRule="exact"/>
        <w:rPr>
          <w:rFonts w:hint="eastAsia" w:ascii="Times New Roman"/>
          <w:b/>
          <w:color w:val="000000"/>
          <w:spacing w:val="-2"/>
          <w:sz w:val="24"/>
        </w:rPr>
      </w:pPr>
      <w:r>
        <w:rPr>
          <w:b/>
          <w:color w:val="000000"/>
          <w:spacing w:val="-2"/>
          <w:sz w:val="24"/>
        </w:rPr>
        <w:t xml:space="preserve">7.9 </w:t>
      </w:r>
      <w:r>
        <w:rPr>
          <w:rFonts w:hint="eastAsia" w:ascii="Times New Roman" w:hAnsi="Times New Roman"/>
          <w:b/>
          <w:color w:val="000000"/>
          <w:spacing w:val="-2"/>
          <w:sz w:val="24"/>
        </w:rPr>
        <w:t>高支模工程安全生产管理监理工作的服务。</w:t>
      </w:r>
    </w:p>
    <w:p>
      <w:pPr>
        <w:spacing w:line="460" w:lineRule="exact"/>
        <w:rPr>
          <w:rFonts w:hint="eastAsia" w:ascii="Times New Roman"/>
          <w:color w:val="000000"/>
          <w:spacing w:val="-2"/>
          <w:sz w:val="24"/>
        </w:rPr>
      </w:pPr>
      <w:r>
        <w:rPr>
          <w:b/>
          <w:color w:val="000000"/>
          <w:spacing w:val="-2"/>
          <w:sz w:val="24"/>
        </w:rPr>
        <w:t>7.9.1</w:t>
      </w:r>
      <w:r>
        <w:rPr>
          <w:rFonts w:hint="eastAsia" w:ascii="Times New Roman" w:hAnsi="Times New Roman"/>
          <w:color w:val="000000"/>
          <w:spacing w:val="-2"/>
          <w:sz w:val="24"/>
        </w:rPr>
        <w:t>开工前的安全监督管理。</w:t>
      </w:r>
    </w:p>
    <w:p>
      <w:pPr>
        <w:spacing w:line="460" w:lineRule="exact"/>
        <w:rPr>
          <w:rFonts w:hint="eastAsia" w:ascii="Times New Roman"/>
          <w:color w:val="000000"/>
          <w:spacing w:val="-2"/>
          <w:sz w:val="24"/>
        </w:rPr>
      </w:pPr>
      <w:r>
        <w:rPr>
          <w:b/>
          <w:color w:val="000000"/>
          <w:spacing w:val="-2"/>
          <w:sz w:val="24"/>
        </w:rPr>
        <w:t>7.9.2</w:t>
      </w:r>
      <w:r>
        <w:rPr>
          <w:rFonts w:hint="eastAsia" w:ascii="Times New Roman" w:hAnsi="Times New Roman"/>
          <w:color w:val="000000"/>
          <w:spacing w:val="-2"/>
          <w:sz w:val="24"/>
        </w:rPr>
        <w:t>施工过程中的安全监督管理。</w:t>
      </w:r>
    </w:p>
    <w:p>
      <w:pPr>
        <w:spacing w:line="460" w:lineRule="exact"/>
        <w:rPr>
          <w:rFonts w:hint="eastAsia" w:ascii="Times New Roman"/>
          <w:color w:val="000000"/>
          <w:spacing w:val="-2"/>
          <w:sz w:val="24"/>
        </w:rPr>
      </w:pPr>
      <w:r>
        <w:rPr>
          <w:b/>
          <w:color w:val="000000"/>
          <w:spacing w:val="-2"/>
          <w:sz w:val="24"/>
        </w:rPr>
        <w:t>7.9.3</w:t>
      </w:r>
      <w:r>
        <w:rPr>
          <w:rFonts w:hint="eastAsia" w:ascii="Times New Roman" w:hAnsi="Times New Roman"/>
          <w:color w:val="000000"/>
          <w:spacing w:val="-2"/>
          <w:sz w:val="24"/>
        </w:rPr>
        <w:t>安全监测。</w:t>
      </w:r>
    </w:p>
    <w:p>
      <w:pPr>
        <w:spacing w:before="120" w:beforeLines="50" w:after="120" w:afterLines="50"/>
        <w:rPr>
          <w:rFonts w:hint="eastAsia"/>
          <w:b/>
          <w:color w:val="000000"/>
          <w:spacing w:val="-2"/>
          <w:sz w:val="28"/>
          <w:szCs w:val="28"/>
        </w:rPr>
      </w:pPr>
      <w:r>
        <w:rPr>
          <w:b/>
          <w:color w:val="000000"/>
          <w:spacing w:val="-2"/>
          <w:sz w:val="24"/>
        </w:rPr>
        <w:t xml:space="preserve">8 </w:t>
      </w:r>
      <w:r>
        <w:rPr>
          <w:rFonts w:hint="eastAsia"/>
          <w:b/>
          <w:color w:val="000000"/>
          <w:spacing w:val="-2"/>
          <w:sz w:val="28"/>
          <w:szCs w:val="28"/>
        </w:rPr>
        <w:t>表式</w:t>
      </w:r>
    </w:p>
    <w:p>
      <w:pPr>
        <w:spacing w:line="360" w:lineRule="auto"/>
        <w:rPr>
          <w:color w:val="000000"/>
          <w:spacing w:val="-2"/>
        </w:rPr>
      </w:pPr>
      <w:r>
        <w:rPr>
          <w:rFonts w:hint="eastAsia" w:ascii="Times New Roman" w:hAnsi="Times New Roman"/>
          <w:color w:val="000000"/>
          <w:spacing w:val="-2"/>
          <w:kern w:val="0"/>
          <w:sz w:val="24"/>
        </w:rPr>
        <w:t>扣件式脚手架中间检查及交付使用前验收见相关表式(表格由监理机构自行设置)。</w:t>
      </w:r>
    </w:p>
    <w:p>
      <w:pPr>
        <w:spacing w:line="540" w:lineRule="exact"/>
        <w:ind w:left="-7" w:leftChars="-8" w:hanging="10" w:hangingChars="3"/>
        <w:jc w:val="center"/>
        <w:rPr>
          <w:rFonts w:ascii="Times New Roman" w:eastAsia="方正小标宋简体"/>
          <w:color w:val="000000"/>
          <w:spacing w:val="-2"/>
          <w:sz w:val="36"/>
          <w:szCs w:val="36"/>
        </w:rPr>
      </w:pPr>
    </w:p>
    <w:p>
      <w:pPr>
        <w:rPr>
          <w:rFonts w:hint="eastAsia"/>
        </w:rPr>
      </w:pPr>
    </w:p>
    <w:p>
      <w:pPr>
        <w:pStyle w:val="2"/>
        <w:spacing w:before="240" w:beforeLines="100" w:after="240" w:afterLines="100" w:line="240" w:lineRule="auto"/>
        <w:jc w:val="center"/>
        <w:rPr>
          <w:rFonts w:ascii="Times New Roman" w:eastAsia="方正小标宋_GBK"/>
          <w:b w:val="0"/>
          <w:sz w:val="36"/>
          <w:szCs w:val="36"/>
        </w:rPr>
      </w:pPr>
      <w:bookmarkStart w:id="442" w:name="_Toc20726496"/>
      <w:bookmarkStart w:id="443" w:name="_Toc18315666"/>
      <w:r>
        <w:rPr>
          <w:rFonts w:hint="eastAsia" w:ascii="Times New Roman" w:eastAsia="方正小标宋_GBK"/>
          <w:b w:val="0"/>
          <w:sz w:val="36"/>
          <w:szCs w:val="36"/>
        </w:rPr>
        <w:t>省住房城乡建设厅关于印发《江苏省深基坑支护工程监理实施细则（标准化格式文本）》的通知</w:t>
      </w:r>
      <w:bookmarkEnd w:id="442"/>
      <w:bookmarkEnd w:id="443"/>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44" w:name="_Toc20726497"/>
      <w:bookmarkStart w:id="445" w:name="_Toc18315667"/>
      <w:r>
        <w:rPr>
          <w:rFonts w:hint="eastAsia" w:ascii="Times New Roman" w:hAnsi="Times New Roman" w:eastAsia="方正楷体_GBK"/>
          <w:b w:val="0"/>
          <w:sz w:val="24"/>
          <w:szCs w:val="24"/>
        </w:rPr>
        <w:t>苏建建管〔</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314</w:t>
      </w:r>
      <w:r>
        <w:rPr>
          <w:rFonts w:hint="eastAsia" w:ascii="Times New Roman" w:hAnsi="Times New Roman" w:eastAsia="方正楷体_GBK"/>
          <w:b w:val="0"/>
          <w:sz w:val="24"/>
          <w:szCs w:val="24"/>
        </w:rPr>
        <w:t>号</w:t>
      </w:r>
      <w:bookmarkEnd w:id="444"/>
      <w:bookmarkEnd w:id="445"/>
    </w:p>
    <w:p>
      <w:pPr>
        <w:spacing w:line="460" w:lineRule="exact"/>
        <w:rPr>
          <w:rFonts w:eastAsia="方正仿宋_GBK"/>
          <w:color w:val="000000"/>
          <w:spacing w:val="-2"/>
          <w:sz w:val="24"/>
        </w:rPr>
      </w:pPr>
      <w:r>
        <w:rPr>
          <w:rFonts w:hint="eastAsia" w:eastAsia="方正仿宋_GBK"/>
          <w:color w:val="000000"/>
          <w:spacing w:val="-2"/>
          <w:sz w:val="24"/>
        </w:rPr>
        <w:t>各市建设局（委），苏州工业园区规划建设局、张家港保税区规划建设局，昆山市、泰兴市、沭阳县建设局：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为提高监理规范化管理水平，提升监理现场的工作质量，我厅组织编制了《江苏省深基坑支护工程监理实施细则（标准化格式文本）》，现印发你们，供全省统一使用。</w:t>
      </w:r>
    </w:p>
    <w:p>
      <w:pPr>
        <w:spacing w:line="460" w:lineRule="exact"/>
        <w:ind w:firstLine="645"/>
        <w:rPr>
          <w:rFonts w:eastAsia="方正仿宋_GBK"/>
          <w:color w:val="000000"/>
          <w:spacing w:val="-2"/>
          <w:sz w:val="24"/>
        </w:rPr>
      </w:pPr>
    </w:p>
    <w:p>
      <w:pPr>
        <w:spacing w:line="460" w:lineRule="exact"/>
        <w:ind w:firstLine="645"/>
        <w:rPr>
          <w:rFonts w:eastAsia="方正仿宋_GBK"/>
          <w:color w:val="000000"/>
          <w:spacing w:val="-2"/>
          <w:sz w:val="24"/>
        </w:rPr>
      </w:pPr>
      <w:r>
        <w:rPr>
          <w:rFonts w:hint="eastAsia" w:eastAsia="方正仿宋_GBK"/>
          <w:color w:val="000000"/>
          <w:spacing w:val="-2"/>
          <w:sz w:val="24"/>
        </w:rPr>
        <w:t>附件：《江苏省深基坑支护工程监理实施细则（标准化格式文本）》</w:t>
      </w:r>
      <w:r>
        <w:rPr>
          <w:rFonts w:eastAsia="方正仿宋_GBK"/>
          <w:color w:val="000000"/>
          <w:spacing w:val="-2"/>
          <w:sz w:val="24"/>
        </w:rPr>
        <w:t xml:space="preserve">  </w:t>
      </w:r>
    </w:p>
    <w:p>
      <w:pPr>
        <w:spacing w:line="460" w:lineRule="exact"/>
        <w:ind w:firstLine="645"/>
        <w:rPr>
          <w:rFonts w:eastAsia="方正仿宋_GBK"/>
          <w:color w:val="000000"/>
          <w:spacing w:val="-2"/>
          <w:sz w:val="24"/>
        </w:rPr>
      </w:pPr>
      <w:r>
        <w:rPr>
          <w:rFonts w:eastAsia="方正仿宋_GBK"/>
          <w:color w:val="000000"/>
          <w:spacing w:val="-2"/>
          <w:sz w:val="24"/>
        </w:rPr>
        <w:t xml:space="preserve">                       </w:t>
      </w:r>
    </w:p>
    <w:p>
      <w:pPr>
        <w:spacing w:line="460" w:lineRule="exact"/>
        <w:ind w:firstLine="3304" w:firstLineChars="1400"/>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firstLine="6254" w:firstLineChars="2650"/>
        <w:rPr>
          <w:rFonts w:ascii="Times New Roman" w:eastAsia="仿宋_GB2312"/>
          <w:color w:val="000000"/>
          <w:spacing w:val="-2"/>
          <w:sz w:val="32"/>
          <w:szCs w:val="32"/>
        </w:rPr>
      </w:pP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6</w:t>
      </w:r>
      <w:r>
        <w:rPr>
          <w:rFonts w:hint="eastAsia" w:eastAsia="方正仿宋_GBK"/>
          <w:color w:val="000000"/>
          <w:spacing w:val="-2"/>
          <w:sz w:val="24"/>
        </w:rPr>
        <w:t>月</w:t>
      </w:r>
      <w:r>
        <w:rPr>
          <w:rFonts w:eastAsia="方正仿宋_GBK"/>
          <w:color w:val="000000"/>
          <w:spacing w:val="-2"/>
          <w:sz w:val="24"/>
        </w:rPr>
        <w:t>25</w:t>
      </w:r>
      <w:r>
        <w:rPr>
          <w:rFonts w:hint="eastAsia" w:eastAsia="方正仿宋_GBK"/>
          <w:color w:val="000000"/>
          <w:spacing w:val="-2"/>
          <w:sz w:val="24"/>
        </w:rPr>
        <w:t>日</w:t>
      </w:r>
      <w:r>
        <w:rPr>
          <w:rFonts w:eastAsia="方正仿宋_GBK"/>
          <w:color w:val="000000"/>
          <w:spacing w:val="-2"/>
          <w:sz w:val="24"/>
        </w:rPr>
        <w:t xml:space="preserve">       </w:t>
      </w:r>
    </w:p>
    <w:p>
      <w:pPr>
        <w:jc w:val="center"/>
        <w:rPr>
          <w:rFonts w:hint="eastAsia" w:ascii="Times New Roman" w:eastAsia="仿宋_GB2312"/>
          <w:color w:val="000000"/>
          <w:spacing w:val="-2"/>
          <w:sz w:val="32"/>
          <w:szCs w:val="32"/>
        </w:rPr>
      </w:pPr>
    </w:p>
    <w:p>
      <w:pPr>
        <w:rPr>
          <w:rFonts w:hint="eastAsia" w:eastAsia="黑体"/>
          <w:sz w:val="28"/>
          <w:szCs w:val="28"/>
        </w:rPr>
      </w:pPr>
      <w:r>
        <w:rPr>
          <w:rFonts w:hint="eastAsia" w:ascii="Times New Roman" w:eastAsia="仿宋_GB2312"/>
          <w:color w:val="000000"/>
          <w:spacing w:val="-2"/>
          <w:sz w:val="32"/>
          <w:szCs w:val="32"/>
        </w:rPr>
        <w:br w:type="column"/>
      </w:r>
      <w:r>
        <w:rPr>
          <w:rFonts w:hint="eastAsia" w:eastAsia="黑体"/>
          <w:sz w:val="28"/>
          <w:szCs w:val="28"/>
        </w:rPr>
        <w:t>附件：</w:t>
      </w:r>
    </w:p>
    <w:p>
      <w:pPr>
        <w:ind w:right="138"/>
        <w:jc w:val="right"/>
        <w:rPr>
          <w:color w:val="000000"/>
          <w:spacing w:val="-2"/>
          <w:sz w:val="28"/>
          <w:szCs w:val="28"/>
        </w:rPr>
      </w:pPr>
    </w:p>
    <w:p>
      <w:pPr>
        <w:jc w:val="right"/>
        <w:rPr>
          <w:b/>
          <w:color w:val="000000"/>
          <w:spacing w:val="-2"/>
          <w:sz w:val="28"/>
          <w:szCs w:val="28"/>
        </w:rPr>
      </w:pPr>
      <w:r>
        <w:rPr>
          <w:b/>
          <w:color w:val="000000"/>
          <w:spacing w:val="-2"/>
          <w:sz w:val="28"/>
          <w:szCs w:val="28"/>
        </w:rPr>
        <w:t>B13</w:t>
      </w:r>
    </w:p>
    <w:p>
      <w:pPr>
        <w:jc w:val="right"/>
        <w:rPr>
          <w:color w:val="000000"/>
          <w:spacing w:val="-2"/>
          <w:sz w:val="28"/>
          <w:szCs w:val="28"/>
        </w:rPr>
      </w:pPr>
    </w:p>
    <w:p>
      <w:pPr>
        <w:spacing w:after="480"/>
        <w:jc w:val="center"/>
        <w:rPr>
          <w:rFonts w:ascii="Times New Roman"/>
          <w:snapToGrid w:val="0"/>
          <w:color w:val="000000"/>
          <w:spacing w:val="-2"/>
          <w:kern w:val="0"/>
          <w:sz w:val="36"/>
        </w:rPr>
      </w:pPr>
      <w:r>
        <w:rPr>
          <w:rFonts w:hint="eastAsia" w:ascii="Times New Roman" w:hAnsi="Times New Roman"/>
          <w:snapToGrid w:val="0"/>
          <w:color w:val="000000"/>
          <w:spacing w:val="-2"/>
          <w:kern w:val="0"/>
          <w:sz w:val="36"/>
          <w:u w:val="single"/>
        </w:rPr>
        <w:t>　　　　　　　　　　　　　　　　　</w:t>
      </w:r>
      <w:r>
        <w:rPr>
          <w:rFonts w:hint="eastAsia" w:ascii="Times New Roman" w:hAnsi="Times New Roman"/>
          <w:snapToGrid w:val="0"/>
          <w:color w:val="000000"/>
          <w:spacing w:val="-2"/>
          <w:kern w:val="0"/>
          <w:sz w:val="36"/>
        </w:rPr>
        <w:t>工程</w:t>
      </w:r>
    </w:p>
    <w:p>
      <w:pPr>
        <w:spacing w:after="120"/>
        <w:jc w:val="center"/>
        <w:rPr>
          <w:rFonts w:hint="eastAsia" w:ascii="Times New Roman" w:hAnsi="Times New Roman"/>
          <w:b/>
          <w:snapToGrid w:val="0"/>
          <w:color w:val="000000"/>
          <w:spacing w:val="-2"/>
          <w:kern w:val="0"/>
          <w:sz w:val="36"/>
          <w:szCs w:val="36"/>
          <w14:shadow w14:blurRad="50800" w14:dist="38100" w14:dir="2700000" w14:sx="100000" w14:sy="100000" w14:kx="0" w14:ky="0" w14:algn="tl">
            <w14:srgbClr w14:val="000000">
              <w14:alpha w14:val="60000"/>
            </w14:srgbClr>
          </w14:shadow>
        </w:rPr>
      </w:pPr>
    </w:p>
    <w:p>
      <w:pPr>
        <w:spacing w:after="120"/>
        <w:jc w:val="center"/>
        <w:rPr>
          <w:rFonts w:hint="eastAsia" w:ascii="Times New Roman"/>
          <w:b/>
          <w:snapToGrid w:val="0"/>
          <w:color w:val="000000"/>
          <w:spacing w:val="-2"/>
          <w:kern w:val="0"/>
          <w:sz w:val="36"/>
          <w:szCs w:val="36"/>
          <w14:shadow w14:blurRad="50800" w14:dist="38100" w14:dir="2700000" w14:sx="100000" w14:sy="100000" w14:kx="0" w14:ky="0" w14:algn="tl">
            <w14:srgbClr w14:val="000000">
              <w14:alpha w14:val="60000"/>
            </w14:srgbClr>
          </w14:shadow>
        </w:rPr>
      </w:pPr>
      <w:r>
        <w:rPr>
          <w:rFonts w:hint="eastAsia" w:ascii="Times New Roman" w:hAnsi="Times New Roman"/>
          <w:b/>
          <w:snapToGrid w:val="0"/>
          <w:color w:val="000000"/>
          <w:spacing w:val="-2"/>
          <w:kern w:val="0"/>
          <w:sz w:val="36"/>
          <w:szCs w:val="36"/>
          <w14:shadow w14:blurRad="50800" w14:dist="38100" w14:dir="2700000" w14:sx="100000" w14:sy="100000" w14:kx="0" w14:ky="0" w14:algn="tl">
            <w14:srgbClr w14:val="000000">
              <w14:alpha w14:val="60000"/>
            </w14:srgbClr>
          </w14:shadow>
        </w:rPr>
        <w:t>监理实施细则</w:t>
      </w:r>
    </w:p>
    <w:p>
      <w:pPr>
        <w:jc w:val="center"/>
        <w:rPr>
          <w:rFonts w:hint="eastAsia" w:ascii="Times New Roman"/>
          <w:b/>
          <w:snapToGrid w:val="0"/>
          <w:color w:val="000000"/>
          <w:spacing w:val="-2"/>
          <w:kern w:val="0"/>
          <w:sz w:val="48"/>
        </w:rPr>
      </w:pPr>
      <w:r>
        <w:rPr>
          <w:rFonts w:hint="eastAsia" w:ascii="Times New Roman" w:hAnsi="Times New Roman"/>
          <w:b/>
          <w:snapToGrid w:val="0"/>
          <w:color w:val="000000"/>
          <w:spacing w:val="-2"/>
          <w:kern w:val="0"/>
          <w:sz w:val="48"/>
        </w:rPr>
        <w:t>（深基坑支护工程）</w:t>
      </w:r>
    </w:p>
    <w:p>
      <w:pPr>
        <w:jc w:val="center"/>
        <w:rPr>
          <w:rFonts w:hint="eastAsia" w:ascii="Times New Roman"/>
          <w:b/>
          <w:snapToGrid w:val="0"/>
          <w:color w:val="000000"/>
          <w:spacing w:val="-2"/>
          <w:kern w:val="0"/>
          <w:sz w:val="44"/>
          <w:szCs w:val="44"/>
        </w:rPr>
      </w:pPr>
      <w:r>
        <w:rPr>
          <w:rFonts w:hint="eastAsia" w:ascii="Times New Roman" w:hAnsi="Times New Roman"/>
          <w:b/>
          <w:snapToGrid w:val="0"/>
          <w:color w:val="000000"/>
          <w:spacing w:val="-2"/>
          <w:kern w:val="0"/>
          <w:sz w:val="44"/>
          <w:szCs w:val="44"/>
        </w:rPr>
        <w:t>（标准化格式文本）</w:t>
      </w:r>
    </w:p>
    <w:p>
      <w:pPr>
        <w:jc w:val="center"/>
        <w:rPr>
          <w:rFonts w:hint="eastAsia" w:ascii="Times New Roman" w:hAnsi="Times New Roman"/>
          <w:b/>
          <w:snapToGrid w:val="0"/>
          <w:color w:val="000000"/>
          <w:spacing w:val="-2"/>
          <w:kern w:val="0"/>
          <w:sz w:val="28"/>
        </w:rPr>
      </w:pPr>
    </w:p>
    <w:p>
      <w:pPr>
        <w:ind w:firstLine="2713" w:firstLineChars="979"/>
        <w:rPr>
          <w:rFonts w:hint="eastAsia" w:ascii="Times New Roman"/>
          <w:b/>
          <w:snapToGrid w:val="0"/>
          <w:color w:val="000000"/>
          <w:spacing w:val="-2"/>
          <w:kern w:val="0"/>
          <w:sz w:val="28"/>
        </w:rPr>
      </w:pPr>
      <w:r>
        <w:rPr>
          <w:rFonts w:hint="eastAsia" w:ascii="Times New Roman" w:hAnsi="Times New Roman"/>
          <w:b/>
          <w:snapToGrid w:val="0"/>
          <w:color w:val="000000"/>
          <w:spacing w:val="-2"/>
          <w:kern w:val="0"/>
          <w:sz w:val="28"/>
        </w:rPr>
        <w:t>内容提要：</w:t>
      </w:r>
    </w:p>
    <w:p>
      <w:pPr>
        <w:ind w:firstLine="2704" w:firstLineChars="980"/>
        <w:rPr>
          <w:rFonts w:hint="eastAsia" w:ascii="Times New Roman"/>
          <w:snapToGrid w:val="0"/>
          <w:color w:val="000000"/>
          <w:spacing w:val="-2"/>
          <w:kern w:val="0"/>
          <w:sz w:val="28"/>
        </w:rPr>
      </w:pPr>
      <w:r>
        <w:rPr>
          <w:rFonts w:hint="eastAsia" w:ascii="Times New Roman" w:hAnsi="Times New Roman"/>
          <w:snapToGrid w:val="0"/>
          <w:color w:val="000000"/>
          <w:spacing w:val="-2"/>
          <w:kern w:val="0"/>
          <w:sz w:val="28"/>
        </w:rPr>
        <w:t>深基坑支护工程概况</w:t>
      </w:r>
    </w:p>
    <w:p>
      <w:pPr>
        <w:ind w:firstLine="2691" w:firstLineChars="975"/>
        <w:rPr>
          <w:rFonts w:hint="eastAsia" w:ascii="Times New Roman"/>
          <w:snapToGrid w:val="0"/>
          <w:color w:val="000000"/>
          <w:spacing w:val="-2"/>
          <w:kern w:val="0"/>
          <w:sz w:val="28"/>
        </w:rPr>
      </w:pPr>
      <w:r>
        <w:rPr>
          <w:rFonts w:hint="eastAsia" w:ascii="Times New Roman" w:hAnsi="Times New Roman"/>
          <w:snapToGrid w:val="0"/>
          <w:color w:val="000000"/>
          <w:spacing w:val="-2"/>
          <w:kern w:val="0"/>
          <w:sz w:val="28"/>
        </w:rPr>
        <w:t>本工程特点、难点</w:t>
      </w:r>
    </w:p>
    <w:p>
      <w:pPr>
        <w:ind w:firstLine="2718" w:firstLineChars="985"/>
        <w:rPr>
          <w:rFonts w:hint="eastAsia" w:ascii="Times New Roman"/>
          <w:snapToGrid w:val="0"/>
          <w:color w:val="000000"/>
          <w:spacing w:val="-2"/>
          <w:kern w:val="0"/>
          <w:sz w:val="28"/>
        </w:rPr>
      </w:pPr>
      <w:r>
        <w:rPr>
          <w:rFonts w:hint="eastAsia" w:ascii="Times New Roman" w:hAnsi="Times New Roman"/>
          <w:snapToGrid w:val="0"/>
          <w:color w:val="000000"/>
          <w:spacing w:val="-2"/>
          <w:kern w:val="0"/>
          <w:sz w:val="28"/>
        </w:rPr>
        <w:t>监理工作依据</w:t>
      </w:r>
    </w:p>
    <w:p>
      <w:pPr>
        <w:ind w:firstLine="2704" w:firstLineChars="980"/>
        <w:rPr>
          <w:rFonts w:hint="eastAsia" w:ascii="Times New Roman"/>
          <w:snapToGrid w:val="0"/>
          <w:color w:val="000000"/>
          <w:spacing w:val="-2"/>
          <w:kern w:val="0"/>
          <w:sz w:val="28"/>
        </w:rPr>
      </w:pPr>
      <w:r>
        <w:rPr>
          <w:rFonts w:hint="eastAsia" w:ascii="Times New Roman" w:hAnsi="Times New Roman"/>
          <w:snapToGrid w:val="0"/>
          <w:color w:val="000000"/>
          <w:spacing w:val="-2"/>
          <w:kern w:val="0"/>
          <w:sz w:val="28"/>
        </w:rPr>
        <w:t>监理组织机构</w:t>
      </w:r>
    </w:p>
    <w:p>
      <w:pPr>
        <w:ind w:firstLine="2704" w:firstLineChars="980"/>
        <w:rPr>
          <w:rFonts w:hint="eastAsia" w:ascii="Times New Roman"/>
          <w:snapToGrid w:val="0"/>
          <w:color w:val="000000"/>
          <w:spacing w:val="-2"/>
          <w:kern w:val="0"/>
          <w:sz w:val="28"/>
        </w:rPr>
      </w:pPr>
      <w:r>
        <w:rPr>
          <w:rFonts w:hint="eastAsia" w:ascii="Times New Roman" w:hAnsi="Times New Roman"/>
          <w:snapToGrid w:val="0"/>
          <w:color w:val="000000"/>
          <w:spacing w:val="-2"/>
          <w:kern w:val="0"/>
          <w:sz w:val="28"/>
        </w:rPr>
        <w:t>监理工作流程</w:t>
      </w:r>
    </w:p>
    <w:p>
      <w:pPr>
        <w:ind w:firstLine="2704" w:firstLineChars="980"/>
        <w:rPr>
          <w:rFonts w:hint="eastAsia" w:ascii="Times New Roman"/>
          <w:snapToGrid w:val="0"/>
          <w:color w:val="000000"/>
          <w:spacing w:val="-2"/>
          <w:kern w:val="0"/>
          <w:sz w:val="28"/>
        </w:rPr>
      </w:pPr>
      <w:r>
        <w:rPr>
          <w:rFonts w:hint="eastAsia" w:ascii="Times New Roman" w:hAnsi="Times New Roman"/>
          <w:snapToGrid w:val="0"/>
          <w:color w:val="000000"/>
          <w:spacing w:val="-2"/>
          <w:kern w:val="0"/>
          <w:sz w:val="28"/>
        </w:rPr>
        <w:t>监理工作控制要点及目标值</w:t>
      </w:r>
    </w:p>
    <w:p>
      <w:pPr>
        <w:ind w:firstLine="2718" w:firstLineChars="985"/>
        <w:rPr>
          <w:rFonts w:hint="eastAsia" w:ascii="Times New Roman"/>
          <w:snapToGrid w:val="0"/>
          <w:color w:val="000000"/>
          <w:spacing w:val="-2"/>
          <w:kern w:val="0"/>
          <w:sz w:val="28"/>
        </w:rPr>
      </w:pPr>
      <w:r>
        <w:rPr>
          <w:rFonts w:hint="eastAsia" w:ascii="Times New Roman" w:hAnsi="Times New Roman"/>
          <w:snapToGrid w:val="0"/>
          <w:color w:val="000000"/>
          <w:spacing w:val="-2"/>
          <w:kern w:val="0"/>
          <w:sz w:val="28"/>
        </w:rPr>
        <w:t>监理工作方法及措施</w:t>
      </w:r>
    </w:p>
    <w:p>
      <w:pPr>
        <w:rPr>
          <w:rFonts w:hint="eastAsia" w:ascii="Times New Roman" w:hAnsi="Times New Roman"/>
          <w:b/>
          <w:snapToGrid w:val="0"/>
          <w:color w:val="000000"/>
          <w:spacing w:val="-2"/>
          <w:kern w:val="0"/>
          <w:sz w:val="28"/>
        </w:rPr>
      </w:pPr>
      <w:r>
        <w:rPr>
          <w:rFonts w:hint="eastAsia" w:ascii="Times New Roman" w:hAnsi="Times New Roman"/>
          <w:b/>
          <w:snapToGrid w:val="0"/>
          <w:color w:val="000000"/>
          <w:spacing w:val="-2"/>
          <w:kern w:val="0"/>
          <w:sz w:val="28"/>
        </w:rPr>
        <w:t xml:space="preserve">             </w:t>
      </w:r>
    </w:p>
    <w:p>
      <w:pPr>
        <w:rPr>
          <w:rFonts w:hint="eastAsia" w:ascii="Times New Roman" w:hAnsi="Times New Roman"/>
          <w:b/>
          <w:snapToGrid w:val="0"/>
          <w:color w:val="000000"/>
          <w:spacing w:val="-2"/>
          <w:kern w:val="0"/>
          <w:sz w:val="28"/>
        </w:rPr>
      </w:pPr>
    </w:p>
    <w:p>
      <w:pPr>
        <w:rPr>
          <w:rFonts w:hint="eastAsia" w:ascii="Times New Roman" w:hAnsi="Times New Roman"/>
          <w:b/>
          <w:snapToGrid w:val="0"/>
          <w:color w:val="000000"/>
          <w:spacing w:val="-2"/>
          <w:kern w:val="0"/>
          <w:sz w:val="28"/>
        </w:rPr>
      </w:pPr>
    </w:p>
    <w:p>
      <w:pPr>
        <w:rPr>
          <w:rFonts w:hint="eastAsia" w:ascii="Times New Roman" w:hAnsi="Times New Roman"/>
          <w:b/>
          <w:snapToGrid w:val="0"/>
          <w:color w:val="000000"/>
          <w:spacing w:val="-2"/>
          <w:kern w:val="0"/>
          <w:sz w:val="28"/>
        </w:rPr>
      </w:pPr>
    </w:p>
    <w:p>
      <w:pPr>
        <w:ind w:firstLine="1912" w:firstLineChars="690"/>
        <w:rPr>
          <w:rFonts w:hint="eastAsia" w:ascii="Times New Roman"/>
          <w:b/>
          <w:snapToGrid w:val="0"/>
          <w:color w:val="000000"/>
          <w:spacing w:val="-2"/>
          <w:kern w:val="0"/>
          <w:sz w:val="28"/>
          <w:u w:val="single"/>
        </w:rPr>
      </w:pPr>
      <w:r>
        <w:rPr>
          <w:rFonts w:hint="eastAsia" w:ascii="Times New Roman" w:hAnsi="Times New Roman"/>
          <w:b/>
          <w:snapToGrid w:val="0"/>
          <w:color w:val="000000"/>
          <w:spacing w:val="-2"/>
          <w:kern w:val="0"/>
          <w:sz w:val="28"/>
        </w:rPr>
        <w:t>工程监理机构（章）：</w:t>
      </w:r>
      <w:r>
        <w:rPr>
          <w:rFonts w:hint="eastAsia" w:ascii="Times New Roman" w:hAnsi="Times New Roman"/>
          <w:b/>
          <w:snapToGrid w:val="0"/>
          <w:color w:val="000000"/>
          <w:spacing w:val="-2"/>
          <w:kern w:val="0"/>
          <w:sz w:val="28"/>
          <w:u w:val="single"/>
        </w:rPr>
        <w:t>　　　　　　　</w:t>
      </w:r>
    </w:p>
    <w:p>
      <w:pPr>
        <w:rPr>
          <w:rFonts w:hint="eastAsia" w:ascii="Times New Roman"/>
          <w:b/>
          <w:snapToGrid w:val="0"/>
          <w:color w:val="000000"/>
          <w:spacing w:val="-2"/>
          <w:kern w:val="0"/>
          <w:sz w:val="28"/>
          <w:u w:val="single"/>
        </w:rPr>
      </w:pPr>
      <w:r>
        <w:rPr>
          <w:rFonts w:hint="eastAsia" w:ascii="Times New Roman" w:hAnsi="Times New Roman"/>
          <w:b/>
          <w:snapToGrid w:val="0"/>
          <w:color w:val="000000"/>
          <w:spacing w:val="-2"/>
          <w:kern w:val="0"/>
          <w:sz w:val="28"/>
        </w:rPr>
        <w:t xml:space="preserve">              专业监理工程师：</w:t>
      </w:r>
      <w:r>
        <w:rPr>
          <w:rFonts w:hint="eastAsia" w:ascii="Times New Roman" w:hAnsi="Times New Roman"/>
          <w:b/>
          <w:snapToGrid w:val="0"/>
          <w:color w:val="000000"/>
          <w:spacing w:val="-2"/>
          <w:kern w:val="0"/>
          <w:sz w:val="28"/>
          <w:u w:val="single"/>
        </w:rPr>
        <w:t xml:space="preserve">                  </w:t>
      </w:r>
    </w:p>
    <w:p>
      <w:pPr>
        <w:rPr>
          <w:rFonts w:hint="eastAsia" w:ascii="Times New Roman"/>
          <w:b/>
          <w:snapToGrid w:val="0"/>
          <w:color w:val="000000"/>
          <w:spacing w:val="-2"/>
          <w:kern w:val="0"/>
          <w:sz w:val="28"/>
          <w:u w:val="single"/>
        </w:rPr>
      </w:pPr>
      <w:r>
        <w:rPr>
          <w:rFonts w:hint="eastAsia" w:ascii="Times New Roman" w:hAnsi="Times New Roman"/>
          <w:b/>
          <w:snapToGrid w:val="0"/>
          <w:color w:val="000000"/>
          <w:spacing w:val="-2"/>
          <w:kern w:val="0"/>
          <w:sz w:val="28"/>
        </w:rPr>
        <w:t xml:space="preserve">              总监理工程师：</w:t>
      </w:r>
      <w:r>
        <w:rPr>
          <w:rFonts w:hint="eastAsia" w:ascii="Times New Roman" w:hAnsi="Times New Roman"/>
          <w:b/>
          <w:snapToGrid w:val="0"/>
          <w:color w:val="000000"/>
          <w:spacing w:val="-2"/>
          <w:kern w:val="0"/>
          <w:sz w:val="28"/>
          <w:u w:val="single"/>
        </w:rPr>
        <w:t xml:space="preserve">　　　　　　　　 　 </w:t>
      </w:r>
    </w:p>
    <w:p>
      <w:pPr>
        <w:spacing w:after="480"/>
        <w:ind w:firstLine="1965"/>
        <w:rPr>
          <w:rFonts w:hint="eastAsia" w:ascii="Times New Roman"/>
          <w:b/>
          <w:snapToGrid w:val="0"/>
          <w:color w:val="000000"/>
          <w:spacing w:val="-2"/>
          <w:kern w:val="0"/>
          <w:sz w:val="28"/>
          <w:u w:val="single"/>
        </w:rPr>
      </w:pPr>
      <w:r>
        <w:rPr>
          <w:rFonts w:hint="eastAsia" w:ascii="Times New Roman" w:hAnsi="Times New Roman"/>
          <w:b/>
          <w:snapToGrid w:val="0"/>
          <w:color w:val="000000"/>
          <w:spacing w:val="-2"/>
          <w:kern w:val="0"/>
          <w:sz w:val="28"/>
        </w:rPr>
        <w:t>日期：</w:t>
      </w:r>
      <w:r>
        <w:rPr>
          <w:rFonts w:hint="eastAsia" w:ascii="Times New Roman" w:hAnsi="Times New Roman"/>
          <w:b/>
          <w:snapToGrid w:val="0"/>
          <w:color w:val="000000"/>
          <w:spacing w:val="-2"/>
          <w:kern w:val="0"/>
          <w:sz w:val="28"/>
          <w:u w:val="single"/>
        </w:rPr>
        <w:t xml:space="preserve">　　　　　　　　　　        </w:t>
      </w:r>
    </w:p>
    <w:p>
      <w:pPr>
        <w:jc w:val="center"/>
        <w:rPr>
          <w:rFonts w:hint="eastAsia" w:ascii="Times New Roman" w:eastAsia="隶书"/>
          <w:snapToGrid w:val="0"/>
          <w:color w:val="000000"/>
          <w:spacing w:val="-2"/>
          <w:kern w:val="0"/>
          <w:sz w:val="28"/>
        </w:rPr>
      </w:pPr>
    </w:p>
    <w:p>
      <w:pPr>
        <w:jc w:val="center"/>
        <w:rPr>
          <w:rFonts w:hint="eastAsia" w:ascii="Times New Roman" w:eastAsia="隶书"/>
          <w:snapToGrid w:val="0"/>
          <w:color w:val="000000"/>
          <w:spacing w:val="-2"/>
          <w:kern w:val="0"/>
          <w:sz w:val="28"/>
        </w:rPr>
      </w:pPr>
    </w:p>
    <w:p>
      <w:pPr>
        <w:jc w:val="center"/>
        <w:rPr>
          <w:rFonts w:hint="eastAsia" w:ascii="Times New Roman" w:eastAsia="隶书"/>
          <w:snapToGrid w:val="0"/>
          <w:color w:val="000000"/>
          <w:spacing w:val="-2"/>
          <w:kern w:val="0"/>
          <w:sz w:val="28"/>
        </w:rPr>
      </w:pPr>
    </w:p>
    <w:p>
      <w:pPr>
        <w:jc w:val="center"/>
        <w:rPr>
          <w:rFonts w:hint="eastAsia" w:ascii="Times New Roman" w:eastAsia="隶书"/>
          <w:snapToGrid w:val="0"/>
          <w:color w:val="000000"/>
          <w:spacing w:val="-2"/>
          <w:kern w:val="0"/>
          <w:sz w:val="28"/>
        </w:rPr>
      </w:pPr>
      <w:r>
        <w:rPr>
          <w:rFonts w:hint="eastAsia" w:ascii="Times New Roman" w:eastAsia="隶书"/>
          <w:snapToGrid w:val="0"/>
          <w:color w:val="000000"/>
          <w:spacing w:val="-2"/>
          <w:kern w:val="0"/>
          <w:sz w:val="28"/>
        </w:rPr>
        <w:t>江苏省住房和城乡建设厅监制</w:t>
      </w:r>
    </w:p>
    <w:p>
      <w:pPr>
        <w:jc w:val="center"/>
        <w:textAlignment w:val="center"/>
        <w:rPr>
          <w:rFonts w:hint="eastAsia" w:ascii="Times New Roman" w:hAnsi="Times New Roman" w:eastAsia="方正小标宋简体"/>
          <w:color w:val="000000"/>
          <w:spacing w:val="-2"/>
          <w:sz w:val="32"/>
        </w:rPr>
      </w:pPr>
      <w:r>
        <w:rPr>
          <w:rFonts w:hint="eastAsia" w:ascii="Times New Roman" w:hAnsi="Times New Roman" w:eastAsia="方正小标宋简体"/>
          <w:color w:val="000000"/>
          <w:spacing w:val="-2"/>
          <w:sz w:val="32"/>
        </w:rPr>
        <w:br w:type="column"/>
      </w:r>
      <w:r>
        <w:rPr>
          <w:rFonts w:hint="eastAsia" w:ascii="Times New Roman" w:hAnsi="Times New Roman" w:eastAsia="方正小标宋简体"/>
          <w:color w:val="000000"/>
          <w:spacing w:val="-2"/>
          <w:sz w:val="32"/>
        </w:rPr>
        <w:t>深基坑支护工程监理实施细则</w:t>
      </w:r>
    </w:p>
    <w:p>
      <w:pPr>
        <w:spacing w:before="240" w:beforeLines="100" w:after="240" w:afterLines="100" w:line="420" w:lineRule="exact"/>
        <w:rPr>
          <w:rFonts w:hint="eastAsia"/>
          <w:b/>
          <w:color w:val="000000"/>
          <w:spacing w:val="-2"/>
          <w:sz w:val="28"/>
          <w:szCs w:val="28"/>
        </w:rPr>
      </w:pPr>
      <w:r>
        <w:rPr>
          <w:b/>
          <w:color w:val="000000"/>
          <w:spacing w:val="-2"/>
          <w:sz w:val="28"/>
          <w:szCs w:val="28"/>
        </w:rPr>
        <w:t xml:space="preserve">1 </w:t>
      </w:r>
      <w:r>
        <w:rPr>
          <w:rFonts w:hint="eastAsia"/>
          <w:b/>
          <w:color w:val="000000"/>
          <w:spacing w:val="-2"/>
          <w:sz w:val="28"/>
          <w:szCs w:val="28"/>
        </w:rPr>
        <w:t>深基坑支护工程概况</w:t>
      </w:r>
    </w:p>
    <w:p>
      <w:pPr>
        <w:tabs>
          <w:tab w:val="left" w:pos="3780"/>
          <w:tab w:val="left" w:pos="4680"/>
        </w:tabs>
        <w:adjustRightInd w:val="0"/>
        <w:snapToGrid w:val="0"/>
        <w:spacing w:line="460" w:lineRule="exact"/>
        <w:ind w:left="1736" w:hanging="1741" w:hangingChars="735"/>
        <w:jc w:val="left"/>
        <w:rPr>
          <w:snapToGrid w:val="0"/>
          <w:color w:val="000000"/>
          <w:spacing w:val="-2"/>
          <w:kern w:val="0"/>
          <w:sz w:val="24"/>
        </w:rPr>
      </w:pPr>
      <w:r>
        <w:rPr>
          <w:b/>
          <w:snapToGrid w:val="0"/>
          <w:color w:val="000000"/>
          <w:spacing w:val="-2"/>
          <w:kern w:val="0"/>
          <w:sz w:val="24"/>
        </w:rPr>
        <w:t xml:space="preserve">1.1 </w:t>
      </w:r>
      <w:r>
        <w:rPr>
          <w:rFonts w:hint="eastAsia" w:hAnsi="Times New Roman"/>
          <w:b/>
          <w:snapToGrid w:val="0"/>
          <w:color w:val="000000"/>
          <w:spacing w:val="-2"/>
          <w:kern w:val="0"/>
          <w:sz w:val="24"/>
        </w:rPr>
        <w:t>深基坑支护工程的重要性。</w:t>
      </w:r>
    </w:p>
    <w:p>
      <w:pPr>
        <w:spacing w:line="460" w:lineRule="exact"/>
        <w:rPr>
          <w:rFonts w:ascii="Times New Roman"/>
          <w:b/>
          <w:snapToGrid w:val="0"/>
          <w:color w:val="000000"/>
          <w:spacing w:val="-2"/>
          <w:kern w:val="0"/>
          <w:sz w:val="24"/>
        </w:rPr>
      </w:pPr>
      <w:r>
        <w:rPr>
          <w:b/>
          <w:snapToGrid w:val="0"/>
          <w:color w:val="000000"/>
          <w:spacing w:val="-2"/>
          <w:kern w:val="0"/>
          <w:sz w:val="24"/>
        </w:rPr>
        <w:t xml:space="preserve">1.2 </w:t>
      </w:r>
      <w:r>
        <w:rPr>
          <w:rFonts w:hint="eastAsia" w:ascii="Times New Roman" w:hAnsi="Times New Roman"/>
          <w:b/>
          <w:snapToGrid w:val="0"/>
          <w:color w:val="000000"/>
          <w:spacing w:val="-2"/>
          <w:kern w:val="0"/>
          <w:sz w:val="24"/>
        </w:rPr>
        <w:t>本工程及深基坑支护工程概况及参数（可根据实际调整）：</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8"/>
        <w:gridCol w:w="2190"/>
        <w:gridCol w:w="1700"/>
        <w:gridCol w:w="1700"/>
        <w:gridCol w:w="1700"/>
        <w:gridCol w:w="82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72" w:hRule="atLeast"/>
        </w:trPr>
        <w:tc>
          <w:tcPr>
            <w:tcW w:w="828" w:type="dxa"/>
            <w:tcBorders>
              <w:top w:val="single" w:color="auto" w:sz="8" w:space="0"/>
              <w:left w:val="single" w:color="auto" w:sz="8" w:space="0"/>
              <w:bottom w:val="single" w:color="auto" w:sz="4" w:space="0"/>
              <w:right w:val="single" w:color="auto" w:sz="4" w:space="0"/>
            </w:tcBorders>
            <w:noWrap w:val="0"/>
            <w:textDirection w:val="tbRlV"/>
            <w:vAlign w:val="center"/>
          </w:tcPr>
          <w:p>
            <w:pPr>
              <w:spacing w:line="280" w:lineRule="exact"/>
              <w:ind w:left="113" w:right="113"/>
              <w:jc w:val="center"/>
              <w:rPr>
                <w:rFonts w:eastAsia="黑体"/>
                <w:snapToGrid w:val="0"/>
                <w:color w:val="000000"/>
                <w:spacing w:val="-2"/>
                <w:kern w:val="0"/>
                <w:szCs w:val="21"/>
              </w:rPr>
            </w:pPr>
            <w:r>
              <w:rPr>
                <w:rFonts w:hint="eastAsia" w:eastAsia="黑体"/>
                <w:snapToGrid w:val="0"/>
                <w:color w:val="000000"/>
                <w:spacing w:val="-2"/>
                <w:kern w:val="0"/>
                <w:szCs w:val="21"/>
              </w:rPr>
              <w:t>序</w:t>
            </w:r>
            <w:r>
              <w:rPr>
                <w:rFonts w:eastAsia="黑体"/>
                <w:snapToGrid w:val="0"/>
                <w:color w:val="000000"/>
                <w:spacing w:val="-2"/>
                <w:kern w:val="0"/>
                <w:szCs w:val="21"/>
              </w:rPr>
              <w:t xml:space="preserve"> </w:t>
            </w:r>
            <w:r>
              <w:rPr>
                <w:rFonts w:hint="eastAsia" w:eastAsia="黑体"/>
                <w:snapToGrid w:val="0"/>
                <w:color w:val="000000"/>
                <w:spacing w:val="-2"/>
                <w:kern w:val="0"/>
                <w:szCs w:val="21"/>
              </w:rPr>
              <w:t>号</w:t>
            </w:r>
          </w:p>
        </w:tc>
        <w:tc>
          <w:tcPr>
            <w:tcW w:w="2190" w:type="dxa"/>
            <w:tcBorders>
              <w:top w:val="single" w:color="auto" w:sz="8"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黑体"/>
                <w:snapToGrid w:val="0"/>
                <w:color w:val="000000"/>
                <w:spacing w:val="-2"/>
                <w:kern w:val="0"/>
                <w:szCs w:val="21"/>
              </w:rPr>
            </w:pPr>
            <w:r>
              <w:rPr>
                <w:rFonts w:hint="eastAsia" w:ascii="Times New Roman" w:hAnsi="Times New Roman" w:eastAsia="黑体"/>
                <w:snapToGrid w:val="0"/>
                <w:color w:val="000000"/>
                <w:spacing w:val="-2"/>
                <w:kern w:val="0"/>
                <w:szCs w:val="21"/>
              </w:rPr>
              <w:t>各分项工程内容</w:t>
            </w:r>
          </w:p>
        </w:tc>
        <w:tc>
          <w:tcPr>
            <w:tcW w:w="1700" w:type="dxa"/>
            <w:tcBorders>
              <w:top w:val="single" w:color="auto" w:sz="8"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黑体"/>
                <w:snapToGrid w:val="0"/>
                <w:color w:val="000000"/>
                <w:spacing w:val="-2"/>
                <w:kern w:val="0"/>
                <w:szCs w:val="21"/>
              </w:rPr>
            </w:pPr>
            <w:r>
              <w:rPr>
                <w:rFonts w:hint="eastAsia" w:ascii="Times New Roman" w:hAnsi="Times New Roman" w:eastAsia="黑体"/>
                <w:snapToGrid w:val="0"/>
                <w:color w:val="000000"/>
                <w:spacing w:val="-2"/>
                <w:kern w:val="0"/>
                <w:szCs w:val="21"/>
              </w:rPr>
              <w:t>设计及参数</w:t>
            </w:r>
          </w:p>
        </w:tc>
        <w:tc>
          <w:tcPr>
            <w:tcW w:w="1700" w:type="dxa"/>
            <w:tcBorders>
              <w:top w:val="single" w:color="auto" w:sz="8"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黑体"/>
                <w:snapToGrid w:val="0"/>
                <w:color w:val="000000"/>
                <w:spacing w:val="-2"/>
                <w:kern w:val="0"/>
                <w:szCs w:val="21"/>
              </w:rPr>
            </w:pPr>
            <w:r>
              <w:rPr>
                <w:rFonts w:hint="eastAsia" w:ascii="Times New Roman" w:hAnsi="Times New Roman" w:eastAsia="黑体"/>
                <w:snapToGrid w:val="0"/>
                <w:color w:val="000000"/>
                <w:spacing w:val="-2"/>
                <w:kern w:val="0"/>
                <w:szCs w:val="21"/>
              </w:rPr>
              <w:t>设计单位</w:t>
            </w:r>
          </w:p>
        </w:tc>
        <w:tc>
          <w:tcPr>
            <w:tcW w:w="1700" w:type="dxa"/>
            <w:tcBorders>
              <w:top w:val="single" w:color="auto" w:sz="8"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黑体"/>
                <w:snapToGrid w:val="0"/>
                <w:color w:val="000000"/>
                <w:spacing w:val="-2"/>
                <w:kern w:val="0"/>
                <w:szCs w:val="21"/>
              </w:rPr>
            </w:pPr>
            <w:r>
              <w:rPr>
                <w:rFonts w:hint="eastAsia" w:ascii="Times New Roman" w:hAnsi="Times New Roman" w:eastAsia="黑体"/>
                <w:snapToGrid w:val="0"/>
                <w:color w:val="000000"/>
                <w:spacing w:val="-2"/>
                <w:kern w:val="0"/>
                <w:szCs w:val="21"/>
              </w:rPr>
              <w:t>施工单位</w:t>
            </w:r>
          </w:p>
        </w:tc>
        <w:tc>
          <w:tcPr>
            <w:tcW w:w="828" w:type="dxa"/>
            <w:tcBorders>
              <w:top w:val="single" w:color="auto" w:sz="8" w:space="0"/>
              <w:left w:val="single" w:color="auto" w:sz="4" w:space="0"/>
              <w:bottom w:val="single" w:color="auto" w:sz="4" w:space="0"/>
              <w:right w:val="single" w:color="auto" w:sz="8" w:space="0"/>
            </w:tcBorders>
            <w:noWrap w:val="0"/>
            <w:textDirection w:val="tbRlV"/>
            <w:vAlign w:val="center"/>
          </w:tcPr>
          <w:p>
            <w:pPr>
              <w:spacing w:line="280" w:lineRule="exact"/>
              <w:ind w:left="113" w:right="113"/>
              <w:jc w:val="center"/>
              <w:rPr>
                <w:rFonts w:ascii="Times New Roman" w:hAnsi="Times New Roman" w:eastAsia="黑体"/>
                <w:snapToGrid w:val="0"/>
                <w:color w:val="000000"/>
                <w:spacing w:val="-2"/>
                <w:kern w:val="0"/>
                <w:szCs w:val="21"/>
              </w:rPr>
            </w:pPr>
            <w:r>
              <w:rPr>
                <w:rFonts w:hint="eastAsia" w:ascii="Times New Roman" w:hAnsi="Times New Roman" w:eastAsia="黑体"/>
                <w:snapToGrid w:val="0"/>
                <w:color w:val="000000"/>
                <w:spacing w:val="-2"/>
                <w:kern w:val="0"/>
                <w:szCs w:val="21"/>
              </w:rPr>
              <w:t>备 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1</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支护桩、钢筋砼及钢支撑系统</w:t>
            </w: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828" w:type="dxa"/>
            <w:tcBorders>
              <w:top w:val="single" w:color="auto" w:sz="4" w:space="0"/>
              <w:left w:val="single" w:color="auto" w:sz="4" w:space="0"/>
              <w:bottom w:val="single" w:color="auto" w:sz="4"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2</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地下连续墙</w:t>
            </w: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828" w:type="dxa"/>
            <w:tcBorders>
              <w:top w:val="single" w:color="auto" w:sz="4" w:space="0"/>
              <w:left w:val="single" w:color="auto" w:sz="4" w:space="0"/>
              <w:bottom w:val="single" w:color="auto" w:sz="4"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3</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锚杆或土钉墙</w:t>
            </w: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828" w:type="dxa"/>
            <w:tcBorders>
              <w:top w:val="single" w:color="auto" w:sz="4" w:space="0"/>
              <w:left w:val="single" w:color="auto" w:sz="4" w:space="0"/>
              <w:bottom w:val="single" w:color="auto" w:sz="4"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4</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水泥土搅拌桩</w:t>
            </w: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828" w:type="dxa"/>
            <w:tcBorders>
              <w:top w:val="single" w:color="auto" w:sz="4" w:space="0"/>
              <w:left w:val="single" w:color="auto" w:sz="4" w:space="0"/>
              <w:bottom w:val="single" w:color="auto" w:sz="4"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5</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土方开挖</w:t>
            </w: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828" w:type="dxa"/>
            <w:tcBorders>
              <w:top w:val="single" w:color="auto" w:sz="4" w:space="0"/>
              <w:left w:val="single" w:color="auto" w:sz="4" w:space="0"/>
              <w:bottom w:val="single" w:color="auto" w:sz="4"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6</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降水</w:t>
            </w: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828" w:type="dxa"/>
            <w:tcBorders>
              <w:top w:val="single" w:color="auto" w:sz="4" w:space="0"/>
              <w:left w:val="single" w:color="auto" w:sz="4" w:space="0"/>
              <w:bottom w:val="single" w:color="auto" w:sz="4"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7</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其它分项工程</w:t>
            </w: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17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p>
        </w:tc>
        <w:tc>
          <w:tcPr>
            <w:tcW w:w="828" w:type="dxa"/>
            <w:tcBorders>
              <w:top w:val="single" w:color="auto" w:sz="4" w:space="0"/>
              <w:left w:val="single" w:color="auto" w:sz="4" w:space="0"/>
              <w:bottom w:val="single" w:color="auto" w:sz="4"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8</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换撑及拆撑</w:t>
            </w:r>
          </w:p>
        </w:tc>
        <w:tc>
          <w:tcPr>
            <w:tcW w:w="5100" w:type="dxa"/>
            <w:gridSpan w:val="3"/>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snapToGrid w:val="0"/>
                <w:color w:val="000000"/>
                <w:spacing w:val="-2"/>
                <w:kern w:val="0"/>
                <w:szCs w:val="21"/>
              </w:rPr>
            </w:pPr>
            <w:r>
              <w:rPr>
                <w:rFonts w:hint="eastAsia" w:ascii="Times New Roman" w:hAnsi="Times New Roman"/>
                <w:snapToGrid w:val="0"/>
                <w:color w:val="000000"/>
                <w:spacing w:val="-2"/>
                <w:kern w:val="0"/>
                <w:szCs w:val="21"/>
              </w:rPr>
              <w:t>（实施单位）</w:t>
            </w:r>
          </w:p>
        </w:tc>
        <w:tc>
          <w:tcPr>
            <w:tcW w:w="828" w:type="dxa"/>
            <w:tcBorders>
              <w:top w:val="single" w:color="auto" w:sz="4" w:space="0"/>
              <w:left w:val="single" w:color="auto" w:sz="4" w:space="0"/>
              <w:bottom w:val="single" w:color="auto" w:sz="4"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9</w:t>
            </w:r>
          </w:p>
        </w:tc>
        <w:tc>
          <w:tcPr>
            <w:tcW w:w="219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基坑监测</w:t>
            </w:r>
          </w:p>
        </w:tc>
        <w:tc>
          <w:tcPr>
            <w:tcW w:w="5100" w:type="dxa"/>
            <w:gridSpan w:val="3"/>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color w:val="000000"/>
                <w:spacing w:val="-2"/>
                <w:szCs w:val="21"/>
              </w:rPr>
            </w:pPr>
            <w:r>
              <w:rPr>
                <w:rFonts w:hint="eastAsia" w:ascii="Times New Roman" w:hAnsi="Times New Roman"/>
                <w:snapToGrid w:val="0"/>
                <w:color w:val="000000"/>
                <w:spacing w:val="-2"/>
                <w:kern w:val="0"/>
                <w:szCs w:val="21"/>
              </w:rPr>
              <w:t>（实施单位）</w:t>
            </w:r>
          </w:p>
        </w:tc>
        <w:tc>
          <w:tcPr>
            <w:tcW w:w="828" w:type="dxa"/>
            <w:tcBorders>
              <w:top w:val="single" w:color="auto" w:sz="4" w:space="0"/>
              <w:left w:val="single" w:color="auto" w:sz="4" w:space="0"/>
              <w:bottom w:val="single" w:color="auto" w:sz="4"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28" w:type="dxa"/>
            <w:tcBorders>
              <w:top w:val="single" w:color="auto" w:sz="4" w:space="0"/>
              <w:left w:val="single" w:color="auto" w:sz="8" w:space="0"/>
              <w:bottom w:val="single" w:color="auto" w:sz="8" w:space="0"/>
              <w:right w:val="single" w:color="auto" w:sz="4" w:space="0"/>
            </w:tcBorders>
            <w:noWrap w:val="0"/>
            <w:vAlign w:val="center"/>
          </w:tcPr>
          <w:p>
            <w:pPr>
              <w:spacing w:line="280" w:lineRule="exact"/>
              <w:jc w:val="center"/>
              <w:rPr>
                <w:snapToGrid w:val="0"/>
                <w:color w:val="000000"/>
                <w:spacing w:val="-2"/>
                <w:kern w:val="0"/>
                <w:szCs w:val="21"/>
              </w:rPr>
            </w:pPr>
            <w:r>
              <w:rPr>
                <w:snapToGrid w:val="0"/>
                <w:color w:val="000000"/>
                <w:spacing w:val="-2"/>
                <w:kern w:val="0"/>
                <w:szCs w:val="21"/>
              </w:rPr>
              <w:t>10</w:t>
            </w:r>
          </w:p>
        </w:tc>
        <w:tc>
          <w:tcPr>
            <w:tcW w:w="2190" w:type="dxa"/>
            <w:tcBorders>
              <w:top w:val="single" w:color="auto" w:sz="4" w:space="0"/>
              <w:left w:val="single" w:color="auto" w:sz="4" w:space="0"/>
              <w:bottom w:val="single" w:color="auto" w:sz="8" w:space="0"/>
              <w:right w:val="single" w:color="auto" w:sz="4" w:space="0"/>
            </w:tcBorders>
            <w:noWrap w:val="0"/>
            <w:vAlign w:val="center"/>
          </w:tcPr>
          <w:p>
            <w:pPr>
              <w:spacing w:line="280" w:lineRule="exact"/>
              <w:rPr>
                <w:rFonts w:ascii="Times New Roman"/>
                <w:snapToGrid w:val="0"/>
                <w:color w:val="000000"/>
                <w:spacing w:val="-2"/>
                <w:kern w:val="0"/>
                <w:szCs w:val="21"/>
              </w:rPr>
            </w:pPr>
            <w:r>
              <w:rPr>
                <w:rFonts w:hint="eastAsia" w:ascii="Times New Roman" w:hAnsi="Times New Roman"/>
                <w:snapToGrid w:val="0"/>
                <w:color w:val="000000"/>
                <w:spacing w:val="-2"/>
                <w:kern w:val="0"/>
                <w:szCs w:val="21"/>
              </w:rPr>
              <w:t>支护桩基检测</w:t>
            </w:r>
          </w:p>
        </w:tc>
        <w:tc>
          <w:tcPr>
            <w:tcW w:w="5100" w:type="dxa"/>
            <w:gridSpan w:val="3"/>
            <w:tcBorders>
              <w:top w:val="single" w:color="auto" w:sz="4" w:space="0"/>
              <w:left w:val="single" w:color="auto" w:sz="4" w:space="0"/>
              <w:bottom w:val="single" w:color="auto" w:sz="8" w:space="0"/>
              <w:right w:val="single" w:color="auto" w:sz="4" w:space="0"/>
            </w:tcBorders>
            <w:noWrap w:val="0"/>
            <w:vAlign w:val="center"/>
          </w:tcPr>
          <w:p>
            <w:pPr>
              <w:spacing w:line="280" w:lineRule="exact"/>
              <w:jc w:val="center"/>
              <w:rPr>
                <w:color w:val="000000"/>
                <w:spacing w:val="-2"/>
                <w:szCs w:val="21"/>
              </w:rPr>
            </w:pPr>
            <w:r>
              <w:rPr>
                <w:rFonts w:hint="eastAsia" w:ascii="Times New Roman" w:hAnsi="Times New Roman"/>
                <w:snapToGrid w:val="0"/>
                <w:color w:val="000000"/>
                <w:spacing w:val="-2"/>
                <w:kern w:val="0"/>
                <w:szCs w:val="21"/>
              </w:rPr>
              <w:t>（实施单位）</w:t>
            </w:r>
          </w:p>
        </w:tc>
        <w:tc>
          <w:tcPr>
            <w:tcW w:w="828" w:type="dxa"/>
            <w:tcBorders>
              <w:top w:val="single" w:color="auto" w:sz="4" w:space="0"/>
              <w:left w:val="single" w:color="auto" w:sz="4" w:space="0"/>
              <w:bottom w:val="single" w:color="auto" w:sz="8" w:space="0"/>
              <w:right w:val="single" w:color="auto" w:sz="8" w:space="0"/>
            </w:tcBorders>
            <w:noWrap w:val="0"/>
            <w:vAlign w:val="center"/>
          </w:tcPr>
          <w:p>
            <w:pPr>
              <w:spacing w:line="280" w:lineRule="exact"/>
              <w:jc w:val="center"/>
              <w:rPr>
                <w:rFonts w:ascii="Times New Roman"/>
                <w:snapToGrid w:val="0"/>
                <w:color w:val="000000"/>
                <w:spacing w:val="-2"/>
                <w:kern w:val="0"/>
                <w:szCs w:val="21"/>
              </w:rPr>
            </w:pPr>
          </w:p>
        </w:tc>
      </w:tr>
    </w:tbl>
    <w:p>
      <w:pPr>
        <w:spacing w:line="360" w:lineRule="auto"/>
        <w:rPr>
          <w:rFonts w:hint="eastAsia"/>
          <w:snapToGrid w:val="0"/>
          <w:color w:val="000000"/>
          <w:spacing w:val="-2"/>
          <w:kern w:val="0"/>
          <w:szCs w:val="21"/>
        </w:rPr>
      </w:pPr>
      <w:r>
        <w:rPr>
          <w:rFonts w:hint="eastAsia" w:ascii="Times New Roman" w:hAnsi="Times New Roman"/>
          <w:snapToGrid w:val="0"/>
          <w:color w:val="000000"/>
          <w:spacing w:val="-2"/>
          <w:kern w:val="0"/>
          <w:szCs w:val="21"/>
        </w:rPr>
        <w:t>（注：表格应根据工程实际情况进行调整。）</w:t>
      </w:r>
    </w:p>
    <w:p>
      <w:pPr>
        <w:spacing w:before="240" w:beforeLines="100" w:after="240" w:afterLines="100" w:line="420" w:lineRule="exact"/>
        <w:rPr>
          <w:b/>
          <w:color w:val="000000"/>
          <w:spacing w:val="-2"/>
          <w:sz w:val="28"/>
          <w:szCs w:val="28"/>
        </w:rPr>
      </w:pPr>
      <w:r>
        <w:rPr>
          <w:b/>
          <w:color w:val="000000"/>
          <w:spacing w:val="-2"/>
          <w:sz w:val="28"/>
          <w:szCs w:val="28"/>
        </w:rPr>
        <w:t xml:space="preserve">2 </w:t>
      </w:r>
      <w:r>
        <w:rPr>
          <w:rFonts w:hint="eastAsia"/>
          <w:b/>
          <w:color w:val="000000"/>
          <w:spacing w:val="-2"/>
          <w:sz w:val="28"/>
          <w:szCs w:val="28"/>
        </w:rPr>
        <w:t>本工程深基坑支护工程的特点、难点</w:t>
      </w:r>
    </w:p>
    <w:p>
      <w:pPr>
        <w:pStyle w:val="4"/>
        <w:adjustRightInd w:val="0"/>
        <w:snapToGrid w:val="0"/>
        <w:spacing w:before="0" w:after="0" w:line="460" w:lineRule="exact"/>
        <w:rPr>
          <w:snapToGrid w:val="0"/>
          <w:color w:val="000000"/>
          <w:spacing w:val="-2"/>
          <w:sz w:val="24"/>
          <w:szCs w:val="24"/>
          <w:u w:val="single"/>
        </w:rPr>
      </w:pPr>
      <w:r>
        <w:rPr>
          <w:snapToGrid w:val="0"/>
          <w:color w:val="000000"/>
          <w:spacing w:val="-2"/>
          <w:sz w:val="24"/>
          <w:szCs w:val="24"/>
        </w:rPr>
        <w:t>2.1</w:t>
      </w:r>
      <w:r>
        <w:rPr>
          <w:rFonts w:hint="eastAsia"/>
          <w:snapToGrid w:val="0"/>
          <w:color w:val="000000"/>
          <w:spacing w:val="-2"/>
          <w:sz w:val="24"/>
          <w:szCs w:val="24"/>
        </w:rPr>
        <w:t>本工程深基坑支护工程设计、施工特点、难点：</w:t>
      </w:r>
      <w:r>
        <w:rPr>
          <w:b w:val="0"/>
          <w:snapToGrid w:val="0"/>
          <w:color w:val="000000"/>
          <w:spacing w:val="-2"/>
          <w:sz w:val="24"/>
          <w:szCs w:val="24"/>
          <w:u w:val="single"/>
        </w:rPr>
        <w:t xml:space="preserve">                             </w:t>
      </w:r>
      <w:r>
        <w:rPr>
          <w:rFonts w:hint="eastAsia"/>
          <w:snapToGrid w:val="0"/>
          <w:color w:val="000000"/>
          <w:spacing w:val="-2"/>
          <w:sz w:val="24"/>
          <w:szCs w:val="24"/>
        </w:rPr>
        <w:t>。</w:t>
      </w:r>
    </w:p>
    <w:p>
      <w:pPr>
        <w:pStyle w:val="4"/>
        <w:adjustRightInd w:val="0"/>
        <w:snapToGrid w:val="0"/>
        <w:spacing w:before="0" w:after="0" w:line="460" w:lineRule="exact"/>
        <w:rPr>
          <w:snapToGrid w:val="0"/>
          <w:color w:val="000000"/>
          <w:spacing w:val="-2"/>
          <w:sz w:val="24"/>
          <w:szCs w:val="24"/>
        </w:rPr>
      </w:pPr>
      <w:r>
        <w:rPr>
          <w:snapToGrid w:val="0"/>
          <w:color w:val="000000"/>
          <w:spacing w:val="-2"/>
          <w:sz w:val="24"/>
          <w:szCs w:val="24"/>
        </w:rPr>
        <w:t>2.2</w:t>
      </w:r>
      <w:r>
        <w:rPr>
          <w:rFonts w:hint="eastAsia"/>
          <w:snapToGrid w:val="0"/>
          <w:color w:val="000000"/>
          <w:spacing w:val="-2"/>
          <w:sz w:val="24"/>
          <w:szCs w:val="24"/>
        </w:rPr>
        <w:t>本工程深基坑支护工程监理质量控制的重点：</w:t>
      </w:r>
      <w:r>
        <w:rPr>
          <w:b w:val="0"/>
          <w:snapToGrid w:val="0"/>
          <w:color w:val="000000"/>
          <w:spacing w:val="-2"/>
          <w:sz w:val="24"/>
          <w:szCs w:val="24"/>
          <w:u w:val="single"/>
        </w:rPr>
        <w:t xml:space="preserve">                              </w:t>
      </w:r>
      <w:r>
        <w:rPr>
          <w:rFonts w:hint="eastAsia"/>
          <w:snapToGrid w:val="0"/>
          <w:color w:val="000000"/>
          <w:spacing w:val="-2"/>
          <w:sz w:val="24"/>
          <w:szCs w:val="24"/>
        </w:rPr>
        <w:t>。</w:t>
      </w:r>
    </w:p>
    <w:p>
      <w:pPr>
        <w:spacing w:before="240" w:beforeLines="100" w:after="240" w:afterLines="100" w:line="420" w:lineRule="exact"/>
        <w:rPr>
          <w:b/>
          <w:color w:val="000000"/>
          <w:spacing w:val="-2"/>
          <w:sz w:val="28"/>
          <w:szCs w:val="28"/>
        </w:rPr>
      </w:pPr>
      <w:r>
        <w:rPr>
          <w:b/>
          <w:color w:val="000000"/>
          <w:spacing w:val="-2"/>
          <w:sz w:val="28"/>
          <w:szCs w:val="28"/>
        </w:rPr>
        <w:t xml:space="preserve">3 </w:t>
      </w:r>
      <w:r>
        <w:rPr>
          <w:rFonts w:hint="eastAsia"/>
          <w:b/>
          <w:color w:val="000000"/>
          <w:spacing w:val="-2"/>
          <w:sz w:val="28"/>
          <w:szCs w:val="28"/>
        </w:rPr>
        <w:t>深基坑支护工程监理工作依据</w:t>
      </w:r>
    </w:p>
    <w:p>
      <w:pPr>
        <w:tabs>
          <w:tab w:val="left" w:pos="426"/>
        </w:tabs>
        <w:spacing w:line="460" w:lineRule="exact"/>
        <w:rPr>
          <w:rFonts w:hAnsi="Times New Roman"/>
          <w:b/>
          <w:snapToGrid w:val="0"/>
          <w:color w:val="000000"/>
          <w:spacing w:val="-2"/>
          <w:kern w:val="0"/>
          <w:sz w:val="24"/>
        </w:rPr>
      </w:pPr>
      <w:r>
        <w:rPr>
          <w:b/>
          <w:snapToGrid w:val="0"/>
          <w:color w:val="000000"/>
          <w:spacing w:val="-2"/>
          <w:kern w:val="0"/>
          <w:sz w:val="24"/>
        </w:rPr>
        <w:t xml:space="preserve">3.1 </w:t>
      </w:r>
      <w:r>
        <w:rPr>
          <w:rFonts w:hint="eastAsia" w:hAnsi="Times New Roman"/>
          <w:b/>
          <w:snapToGrid w:val="0"/>
          <w:color w:val="000000"/>
          <w:spacing w:val="-2"/>
          <w:kern w:val="0"/>
          <w:sz w:val="24"/>
        </w:rPr>
        <w:t>经审查合格的设计文件。</w:t>
      </w:r>
    </w:p>
    <w:p>
      <w:pPr>
        <w:spacing w:line="460" w:lineRule="exact"/>
        <w:jc w:val="left"/>
        <w:rPr>
          <w:rFonts w:hAnsi="Times New Roman"/>
          <w:b/>
          <w:snapToGrid w:val="0"/>
          <w:color w:val="000000"/>
          <w:spacing w:val="-2"/>
          <w:kern w:val="0"/>
          <w:sz w:val="24"/>
        </w:rPr>
      </w:pPr>
      <w:r>
        <w:rPr>
          <w:b/>
          <w:snapToGrid w:val="0"/>
          <w:color w:val="000000"/>
          <w:spacing w:val="-2"/>
          <w:kern w:val="0"/>
          <w:sz w:val="24"/>
        </w:rPr>
        <w:t xml:space="preserve">3.2 </w:t>
      </w:r>
      <w:r>
        <w:rPr>
          <w:rFonts w:hint="eastAsia" w:hAnsi="Times New Roman"/>
          <w:b/>
          <w:snapToGrid w:val="0"/>
          <w:color w:val="000000"/>
          <w:spacing w:val="-2"/>
          <w:kern w:val="0"/>
          <w:sz w:val="24"/>
        </w:rPr>
        <w:t>本工程施工合同、协议等资料。</w:t>
      </w:r>
    </w:p>
    <w:p>
      <w:pPr>
        <w:spacing w:line="460" w:lineRule="exact"/>
        <w:jc w:val="left"/>
        <w:rPr>
          <w:rFonts w:hAnsi="Times New Roman"/>
          <w:b/>
          <w:snapToGrid w:val="0"/>
          <w:color w:val="000000"/>
          <w:spacing w:val="-2"/>
          <w:kern w:val="0"/>
          <w:sz w:val="24"/>
        </w:rPr>
      </w:pPr>
      <w:r>
        <w:rPr>
          <w:rFonts w:hAnsi="Times New Roman"/>
          <w:b/>
          <w:snapToGrid w:val="0"/>
          <w:color w:val="000000"/>
          <w:spacing w:val="-2"/>
          <w:kern w:val="0"/>
          <w:sz w:val="24"/>
        </w:rPr>
        <w:t>3.3</w:t>
      </w:r>
      <w:r>
        <w:rPr>
          <w:b/>
          <w:snapToGrid w:val="0"/>
          <w:color w:val="000000"/>
          <w:spacing w:val="-2"/>
          <w:kern w:val="0"/>
          <w:sz w:val="24"/>
        </w:rPr>
        <w:t xml:space="preserve"> </w:t>
      </w:r>
      <w:r>
        <w:rPr>
          <w:rFonts w:hint="eastAsia" w:hAnsi="Times New Roman"/>
          <w:b/>
          <w:snapToGrid w:val="0"/>
          <w:color w:val="000000"/>
          <w:spacing w:val="-2"/>
          <w:kern w:val="0"/>
          <w:sz w:val="24"/>
        </w:rPr>
        <w:t>本工程《监理规划》。</w:t>
      </w:r>
    </w:p>
    <w:p>
      <w:pPr>
        <w:spacing w:line="460" w:lineRule="exact"/>
        <w:jc w:val="left"/>
        <w:rPr>
          <w:rFonts w:hAnsi="Times New Roman"/>
          <w:b/>
          <w:snapToGrid w:val="0"/>
          <w:color w:val="000000"/>
          <w:spacing w:val="-2"/>
          <w:kern w:val="0"/>
          <w:sz w:val="24"/>
        </w:rPr>
      </w:pPr>
      <w:r>
        <w:rPr>
          <w:rFonts w:hAnsi="Times New Roman"/>
          <w:b/>
          <w:snapToGrid w:val="0"/>
          <w:color w:val="000000"/>
          <w:spacing w:val="-2"/>
          <w:kern w:val="0"/>
          <w:sz w:val="24"/>
        </w:rPr>
        <w:t xml:space="preserve">3.4 </w:t>
      </w:r>
      <w:r>
        <w:rPr>
          <w:rFonts w:hint="eastAsia" w:hAnsi="Times New Roman"/>
          <w:b/>
          <w:snapToGrid w:val="0"/>
          <w:color w:val="000000"/>
          <w:spacing w:val="-2"/>
          <w:kern w:val="0"/>
          <w:sz w:val="24"/>
        </w:rPr>
        <w:t>经批准的工程施工组织设计、专项施工方案。</w:t>
      </w:r>
    </w:p>
    <w:p>
      <w:pPr>
        <w:spacing w:line="460" w:lineRule="exact"/>
        <w:rPr>
          <w:rFonts w:ascii="Times New Roman" w:hAnsi="Times New Roman"/>
          <w:b/>
          <w:snapToGrid w:val="0"/>
          <w:color w:val="000000"/>
          <w:spacing w:val="-2"/>
          <w:kern w:val="0"/>
          <w:sz w:val="24"/>
        </w:rPr>
      </w:pPr>
      <w:r>
        <w:rPr>
          <w:rFonts w:hAnsi="Times New Roman"/>
          <w:b/>
          <w:snapToGrid w:val="0"/>
          <w:color w:val="000000"/>
          <w:spacing w:val="-2"/>
          <w:kern w:val="0"/>
          <w:sz w:val="24"/>
        </w:rPr>
        <w:t>3.5</w:t>
      </w:r>
      <w:r>
        <w:rPr>
          <w:b/>
          <w:snapToGrid w:val="0"/>
          <w:color w:val="000000"/>
          <w:spacing w:val="-2"/>
          <w:kern w:val="0"/>
          <w:sz w:val="24"/>
        </w:rPr>
        <w:t xml:space="preserve"> </w:t>
      </w:r>
      <w:r>
        <w:rPr>
          <w:rFonts w:hint="eastAsia" w:hAnsi="Times New Roman"/>
          <w:b/>
          <w:snapToGrid w:val="0"/>
          <w:color w:val="000000"/>
          <w:spacing w:val="-2"/>
          <w:kern w:val="0"/>
          <w:sz w:val="24"/>
        </w:rPr>
        <w:t>本工程适用的深基坑</w:t>
      </w:r>
      <w:r>
        <w:rPr>
          <w:rFonts w:hint="eastAsia" w:ascii="Times New Roman" w:hAnsi="Times New Roman"/>
          <w:b/>
          <w:snapToGrid w:val="0"/>
          <w:color w:val="000000"/>
          <w:spacing w:val="-2"/>
          <w:kern w:val="0"/>
          <w:sz w:val="24"/>
        </w:rPr>
        <w:t>支护工程相关现行法律法规、技术标准规范及图集。</w:t>
      </w:r>
    </w:p>
    <w:p>
      <w:pPr>
        <w:tabs>
          <w:tab w:val="left" w:pos="426"/>
        </w:tabs>
        <w:spacing w:line="276" w:lineRule="auto"/>
        <w:ind w:left="360" w:right="38"/>
        <w:jc w:val="right"/>
        <w:rPr>
          <w:rFonts w:hint="eastAsia" w:ascii="Times New Roman"/>
          <w:snapToGrid w:val="0"/>
          <w:color w:val="000000"/>
          <w:spacing w:val="-2"/>
          <w:kern w:val="0"/>
        </w:rPr>
      </w:pPr>
      <w:r>
        <w:rPr>
          <w:rFonts w:hint="eastAsia" w:ascii="Times New Roman" w:hAnsi="Times New Roman" w:eastAsia="黑体"/>
          <w:snapToGrid w:val="0"/>
          <w:color w:val="000000"/>
          <w:spacing w:val="-2"/>
          <w:kern w:val="0"/>
          <w:sz w:val="24"/>
        </w:rPr>
        <w:t xml:space="preserve">  深基坑支护工程相关现行法律法规、技术标准规范及图集一览表</w:t>
      </w:r>
      <w:r>
        <w:rPr>
          <w:rFonts w:hint="eastAsia" w:ascii="Times New Roman" w:hAnsi="Times New Roman" w:eastAsia="黑体"/>
          <w:snapToGrid w:val="0"/>
          <w:color w:val="000000"/>
          <w:spacing w:val="-2"/>
          <w:kern w:val="0"/>
        </w:rPr>
        <w:t xml:space="preserve">   </w:t>
      </w:r>
      <w:r>
        <w:rPr>
          <w:rFonts w:hint="eastAsia" w:ascii="Times New Roman" w:hAnsi="Times New Roman"/>
          <w:snapToGrid w:val="0"/>
          <w:color w:val="000000"/>
          <w:spacing w:val="-2"/>
          <w:kern w:val="0"/>
        </w:rPr>
        <w:t xml:space="preserve">    表</w:t>
      </w:r>
      <w:r>
        <w:rPr>
          <w:snapToGrid w:val="0"/>
          <w:color w:val="000000"/>
          <w:spacing w:val="-2"/>
          <w:kern w:val="0"/>
        </w:rPr>
        <w:t>3.1</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23"/>
        <w:gridCol w:w="5958"/>
        <w:gridCol w:w="190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923" w:type="dxa"/>
            <w:tcBorders>
              <w:top w:val="single" w:color="auto" w:sz="8" w:space="0"/>
              <w:left w:val="single" w:color="auto" w:sz="8" w:space="0"/>
              <w:bottom w:val="single" w:color="auto" w:sz="4" w:space="0"/>
              <w:right w:val="single" w:color="auto" w:sz="4" w:space="0"/>
            </w:tcBorders>
            <w:noWrap w:val="0"/>
            <w:vAlign w:val="center"/>
          </w:tcPr>
          <w:p>
            <w:pPr>
              <w:jc w:val="center"/>
              <w:rPr>
                <w:rFonts w:ascii="Times New Roman" w:eastAsia="黑体"/>
                <w:snapToGrid w:val="0"/>
                <w:color w:val="000000"/>
                <w:spacing w:val="-2"/>
                <w:kern w:val="0"/>
              </w:rPr>
            </w:pPr>
            <w:r>
              <w:rPr>
                <w:rFonts w:hint="eastAsia" w:ascii="Times New Roman" w:eastAsia="黑体"/>
                <w:snapToGrid w:val="0"/>
                <w:color w:val="000000"/>
                <w:spacing w:val="-2"/>
                <w:kern w:val="0"/>
              </w:rPr>
              <w:t>序号</w:t>
            </w:r>
          </w:p>
        </w:tc>
        <w:tc>
          <w:tcPr>
            <w:tcW w:w="5958" w:type="dxa"/>
            <w:tcBorders>
              <w:top w:val="single" w:color="auto" w:sz="8" w:space="0"/>
              <w:left w:val="single" w:color="auto" w:sz="4" w:space="0"/>
              <w:bottom w:val="single" w:color="auto" w:sz="4" w:space="0"/>
              <w:right w:val="single" w:color="auto" w:sz="4" w:space="0"/>
            </w:tcBorders>
            <w:noWrap w:val="0"/>
            <w:vAlign w:val="center"/>
          </w:tcPr>
          <w:p>
            <w:pPr>
              <w:jc w:val="center"/>
              <w:rPr>
                <w:rFonts w:ascii="Times New Roman" w:eastAsia="黑体"/>
                <w:snapToGrid w:val="0"/>
                <w:color w:val="000000"/>
                <w:spacing w:val="-2"/>
                <w:kern w:val="0"/>
              </w:rPr>
            </w:pPr>
            <w:r>
              <w:rPr>
                <w:rFonts w:hint="eastAsia" w:ascii="Times New Roman" w:eastAsia="黑体"/>
                <w:snapToGrid w:val="0"/>
                <w:color w:val="000000"/>
                <w:spacing w:val="-2"/>
                <w:kern w:val="0"/>
              </w:rPr>
              <w:t>名        称</w:t>
            </w:r>
          </w:p>
        </w:tc>
        <w:tc>
          <w:tcPr>
            <w:tcW w:w="1909" w:type="dxa"/>
            <w:tcBorders>
              <w:top w:val="single" w:color="auto" w:sz="8" w:space="0"/>
              <w:left w:val="single" w:color="auto" w:sz="4" w:space="0"/>
              <w:bottom w:val="single" w:color="auto" w:sz="4" w:space="0"/>
              <w:right w:val="single" w:color="auto" w:sz="8" w:space="0"/>
            </w:tcBorders>
            <w:noWrap w:val="0"/>
            <w:vAlign w:val="center"/>
          </w:tcPr>
          <w:p>
            <w:pPr>
              <w:jc w:val="center"/>
              <w:rPr>
                <w:rFonts w:ascii="Times New Roman" w:eastAsia="黑体"/>
                <w:snapToGrid w:val="0"/>
                <w:color w:val="000000"/>
                <w:spacing w:val="-2"/>
                <w:kern w:val="0"/>
              </w:rPr>
            </w:pPr>
            <w:r>
              <w:rPr>
                <w:rFonts w:hint="eastAsia" w:ascii="Times New Roman" w:eastAsia="黑体"/>
                <w:snapToGrid w:val="0"/>
                <w:color w:val="000000"/>
                <w:spacing w:val="-2"/>
                <w:kern w:val="0"/>
              </w:rPr>
              <w:t>编号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923" w:type="dxa"/>
            <w:tcBorders>
              <w:top w:val="single" w:color="auto" w:sz="4" w:space="0"/>
              <w:left w:val="single" w:color="auto" w:sz="8" w:space="0"/>
              <w:bottom w:val="single" w:color="auto" w:sz="4" w:space="0"/>
              <w:right w:val="single" w:color="auto" w:sz="4" w:space="0"/>
            </w:tcBorders>
            <w:noWrap w:val="0"/>
            <w:vAlign w:val="center"/>
          </w:tcPr>
          <w:p>
            <w:pPr>
              <w:jc w:val="center"/>
              <w:rPr>
                <w:snapToGrid w:val="0"/>
                <w:color w:val="000000"/>
                <w:spacing w:val="-2"/>
                <w:kern w:val="0"/>
              </w:rPr>
            </w:pPr>
          </w:p>
        </w:tc>
        <w:tc>
          <w:tcPr>
            <w:tcW w:w="5958" w:type="dxa"/>
            <w:tcBorders>
              <w:top w:val="single" w:color="auto" w:sz="4" w:space="0"/>
              <w:left w:val="single" w:color="auto" w:sz="4" w:space="0"/>
              <w:bottom w:val="single" w:color="auto" w:sz="4" w:space="0"/>
              <w:right w:val="single" w:color="auto" w:sz="4" w:space="0"/>
            </w:tcBorders>
            <w:noWrap w:val="0"/>
            <w:vAlign w:val="center"/>
          </w:tcPr>
          <w:p>
            <w:pPr>
              <w:jc w:val="center"/>
              <w:rPr>
                <w:snapToGrid w:val="0"/>
                <w:color w:val="000000"/>
                <w:spacing w:val="-2"/>
                <w:kern w:val="0"/>
              </w:rPr>
            </w:pPr>
          </w:p>
        </w:tc>
        <w:tc>
          <w:tcPr>
            <w:tcW w:w="1909" w:type="dxa"/>
            <w:tcBorders>
              <w:top w:val="single" w:color="auto" w:sz="4" w:space="0"/>
              <w:left w:val="single" w:color="auto" w:sz="4" w:space="0"/>
              <w:bottom w:val="single" w:color="auto" w:sz="4" w:space="0"/>
              <w:right w:val="single" w:color="auto" w:sz="8" w:space="0"/>
            </w:tcBorders>
            <w:noWrap w:val="0"/>
            <w:vAlign w:val="center"/>
          </w:tcPr>
          <w:p>
            <w:pPr>
              <w:jc w:val="center"/>
              <w:rPr>
                <w:snapToGrid w:val="0"/>
                <w:color w:val="000000"/>
                <w:spacing w:val="-2"/>
                <w:kern w:val="0"/>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923" w:type="dxa"/>
            <w:tcBorders>
              <w:top w:val="single" w:color="auto" w:sz="4" w:space="0"/>
              <w:left w:val="single" w:color="auto" w:sz="8" w:space="0"/>
              <w:bottom w:val="single" w:color="auto" w:sz="8" w:space="0"/>
              <w:right w:val="single" w:color="auto" w:sz="4" w:space="0"/>
            </w:tcBorders>
            <w:noWrap w:val="0"/>
            <w:vAlign w:val="center"/>
          </w:tcPr>
          <w:p>
            <w:pPr>
              <w:jc w:val="center"/>
              <w:rPr>
                <w:snapToGrid w:val="0"/>
                <w:color w:val="000000"/>
                <w:spacing w:val="-2"/>
                <w:kern w:val="0"/>
              </w:rPr>
            </w:pPr>
          </w:p>
        </w:tc>
        <w:tc>
          <w:tcPr>
            <w:tcW w:w="5958" w:type="dxa"/>
            <w:tcBorders>
              <w:top w:val="single" w:color="auto" w:sz="4" w:space="0"/>
              <w:left w:val="single" w:color="auto" w:sz="4" w:space="0"/>
              <w:bottom w:val="single" w:color="auto" w:sz="8" w:space="0"/>
              <w:right w:val="single" w:color="auto" w:sz="4" w:space="0"/>
            </w:tcBorders>
            <w:noWrap w:val="0"/>
            <w:vAlign w:val="center"/>
          </w:tcPr>
          <w:p>
            <w:pPr>
              <w:jc w:val="center"/>
              <w:rPr>
                <w:snapToGrid w:val="0"/>
                <w:color w:val="000000"/>
                <w:spacing w:val="-2"/>
                <w:kern w:val="0"/>
              </w:rPr>
            </w:pPr>
          </w:p>
        </w:tc>
        <w:tc>
          <w:tcPr>
            <w:tcW w:w="1909" w:type="dxa"/>
            <w:tcBorders>
              <w:top w:val="single" w:color="auto" w:sz="4" w:space="0"/>
              <w:left w:val="single" w:color="auto" w:sz="4" w:space="0"/>
              <w:bottom w:val="single" w:color="auto" w:sz="8" w:space="0"/>
              <w:right w:val="single" w:color="auto" w:sz="8" w:space="0"/>
            </w:tcBorders>
            <w:noWrap w:val="0"/>
            <w:vAlign w:val="center"/>
          </w:tcPr>
          <w:p>
            <w:pPr>
              <w:jc w:val="center"/>
              <w:rPr>
                <w:snapToGrid w:val="0"/>
                <w:color w:val="000000"/>
                <w:spacing w:val="-2"/>
                <w:kern w:val="0"/>
              </w:rPr>
            </w:pPr>
          </w:p>
        </w:tc>
      </w:tr>
    </w:tbl>
    <w:p>
      <w:pPr>
        <w:spacing w:line="460" w:lineRule="exact"/>
        <w:jc w:val="left"/>
        <w:rPr>
          <w:rFonts w:hint="eastAsia" w:hAnsi="Times New Roman"/>
          <w:b/>
          <w:snapToGrid w:val="0"/>
          <w:color w:val="000000"/>
          <w:spacing w:val="-2"/>
          <w:kern w:val="0"/>
          <w:sz w:val="24"/>
        </w:rPr>
      </w:pPr>
      <w:r>
        <w:rPr>
          <w:rFonts w:hAnsi="Times New Roman"/>
          <w:b/>
          <w:snapToGrid w:val="0"/>
          <w:color w:val="000000"/>
          <w:spacing w:val="-2"/>
          <w:kern w:val="0"/>
          <w:sz w:val="24"/>
        </w:rPr>
        <w:t xml:space="preserve">3.6  </w:t>
      </w:r>
      <w:r>
        <w:rPr>
          <w:rFonts w:hint="eastAsia" w:hAnsi="Times New Roman"/>
          <w:b/>
          <w:snapToGrid w:val="0"/>
          <w:color w:val="000000"/>
          <w:spacing w:val="-2"/>
          <w:kern w:val="0"/>
          <w:sz w:val="24"/>
        </w:rPr>
        <w:t>其他依据：</w:t>
      </w:r>
    </w:p>
    <w:p>
      <w:pPr>
        <w:spacing w:before="240" w:beforeLines="100" w:after="240" w:afterLines="100" w:line="420" w:lineRule="exact"/>
        <w:rPr>
          <w:b/>
          <w:color w:val="000000"/>
          <w:spacing w:val="-2"/>
          <w:sz w:val="28"/>
          <w:szCs w:val="28"/>
        </w:rPr>
      </w:pPr>
      <w:r>
        <w:rPr>
          <w:b/>
          <w:color w:val="000000"/>
          <w:spacing w:val="-2"/>
          <w:sz w:val="28"/>
          <w:szCs w:val="28"/>
        </w:rPr>
        <w:t xml:space="preserve">4 </w:t>
      </w:r>
      <w:r>
        <w:rPr>
          <w:rFonts w:hint="eastAsia"/>
          <w:b/>
          <w:color w:val="000000"/>
          <w:spacing w:val="-2"/>
          <w:sz w:val="28"/>
          <w:szCs w:val="28"/>
        </w:rPr>
        <w:t>项目监理部组织机构</w:t>
      </w:r>
    </w:p>
    <w:p>
      <w:pPr>
        <w:pStyle w:val="4"/>
        <w:spacing w:before="0" w:after="0" w:line="460" w:lineRule="exact"/>
        <w:rPr>
          <w:snapToGrid w:val="0"/>
          <w:color w:val="000000"/>
          <w:spacing w:val="-2"/>
        </w:rPr>
      </w:pPr>
      <w:r>
        <w:rPr>
          <w:snapToGrid w:val="0"/>
          <w:color w:val="000000"/>
          <w:spacing w:val="-2"/>
        </w:rPr>
        <w:t xml:space="preserve">4.1 </w:t>
      </w:r>
      <w:r>
        <w:rPr>
          <w:rFonts w:hint="eastAsia"/>
          <w:snapToGrid w:val="0"/>
          <w:color w:val="000000"/>
          <w:spacing w:val="-2"/>
        </w:rPr>
        <w:t>项目监理部组织机构框图：（示意，框图中可添加人员姓名）</w:t>
      </w:r>
    </w:p>
    <w:p>
      <w:pPr>
        <w:rPr>
          <w:snapToGrid w:val="0"/>
          <w:color w:val="000000"/>
          <w:spacing w:val="-2"/>
          <w:kern w:val="0"/>
        </w:rPr>
      </w:pPr>
      <w:r>
        <mc:AlternateContent>
          <mc:Choice Requires="wpg">
            <w:drawing>
              <wp:anchor distT="0" distB="0" distL="114300" distR="114300" simplePos="0" relativeHeight="251666432" behindDoc="0" locked="0" layoutInCell="1" allowOverlap="1">
                <wp:simplePos x="0" y="0"/>
                <wp:positionH relativeFrom="column">
                  <wp:posOffset>342900</wp:posOffset>
                </wp:positionH>
                <wp:positionV relativeFrom="paragraph">
                  <wp:posOffset>116840</wp:posOffset>
                </wp:positionV>
                <wp:extent cx="5238750" cy="1594485"/>
                <wp:effectExtent l="9525" t="9525" r="9525" b="15240"/>
                <wp:wrapNone/>
                <wp:docPr id="36" name="组合 36"/>
                <wp:cNvGraphicFramePr/>
                <a:graphic xmlns:a="http://schemas.openxmlformats.org/drawingml/2006/main">
                  <a:graphicData uri="http://schemas.microsoft.com/office/word/2010/wordprocessingGroup">
                    <wpg:wgp>
                      <wpg:cNvGrpSpPr/>
                      <wpg:grpSpPr>
                        <a:xfrm>
                          <a:off x="0" y="0"/>
                          <a:ext cx="5238750" cy="1594485"/>
                          <a:chOff x="1875" y="11985"/>
                          <a:chExt cx="8250" cy="2511"/>
                        </a:xfrm>
                      </wpg:grpSpPr>
                      <wps:wsp>
                        <wps:cNvPr id="28" name="流程图: 可选过程 28"/>
                        <wps:cNvSpPr/>
                        <wps:spPr>
                          <a:xfrm>
                            <a:off x="4875" y="11985"/>
                            <a:ext cx="2100"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txbxContent>
                        </wps:txbx>
                        <wps:bodyPr upright="1"/>
                      </wps:wsp>
                      <wps:wsp>
                        <wps:cNvPr id="29" name="流程图: 可选过程 29"/>
                        <wps:cNvSpPr/>
                        <wps:spPr>
                          <a:xfrm>
                            <a:off x="1875" y="13761"/>
                            <a:ext cx="229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30" name="流程图: 可选过程 30"/>
                        <wps:cNvSpPr/>
                        <wps:spPr>
                          <a:xfrm>
                            <a:off x="4875" y="13761"/>
                            <a:ext cx="223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31" name="流程图: 可选过程 31"/>
                        <wps:cNvSpPr/>
                        <wps:spPr>
                          <a:xfrm>
                            <a:off x="8010" y="13761"/>
                            <a:ext cx="2115" cy="735"/>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32" name="直接箭头连接符 32"/>
                        <wps:cNvCnPr/>
                        <wps:spPr>
                          <a:xfrm>
                            <a:off x="5925" y="12720"/>
                            <a:ext cx="15" cy="1041"/>
                          </a:xfrm>
                          <a:prstGeom prst="straightConnector1">
                            <a:avLst/>
                          </a:prstGeom>
                          <a:ln w="19050" cap="flat" cmpd="sng">
                            <a:solidFill>
                              <a:srgbClr val="000000"/>
                            </a:solidFill>
                            <a:prstDash val="solid"/>
                            <a:headEnd type="none" w="med" len="med"/>
                            <a:tailEnd type="triangle" w="med" len="med"/>
                          </a:ln>
                        </wps:spPr>
                        <wps:bodyPr/>
                      </wps:wsp>
                      <wps:wsp>
                        <wps:cNvPr id="33" name="直接箭头连接符 33"/>
                        <wps:cNvCnPr/>
                        <wps:spPr>
                          <a:xfrm>
                            <a:off x="3015" y="13215"/>
                            <a:ext cx="6045" cy="0"/>
                          </a:xfrm>
                          <a:prstGeom prst="straightConnector1">
                            <a:avLst/>
                          </a:prstGeom>
                          <a:ln w="19050" cap="flat" cmpd="sng">
                            <a:solidFill>
                              <a:srgbClr val="000000"/>
                            </a:solidFill>
                            <a:prstDash val="solid"/>
                            <a:headEnd type="none" w="med" len="med"/>
                            <a:tailEnd type="none" w="med" len="med"/>
                          </a:ln>
                        </wps:spPr>
                        <wps:bodyPr/>
                      </wps:wsp>
                      <wps:wsp>
                        <wps:cNvPr id="34" name="直接箭头连接符 34"/>
                        <wps:cNvCnPr/>
                        <wps:spPr>
                          <a:xfrm>
                            <a:off x="3015" y="13215"/>
                            <a:ext cx="0" cy="546"/>
                          </a:xfrm>
                          <a:prstGeom prst="straightConnector1">
                            <a:avLst/>
                          </a:prstGeom>
                          <a:ln w="19050" cap="flat" cmpd="sng">
                            <a:solidFill>
                              <a:srgbClr val="000000"/>
                            </a:solidFill>
                            <a:prstDash val="solid"/>
                            <a:headEnd type="none" w="med" len="med"/>
                            <a:tailEnd type="triangle" w="med" len="med"/>
                          </a:ln>
                        </wps:spPr>
                        <wps:bodyPr/>
                      </wps:wsp>
                      <wps:wsp>
                        <wps:cNvPr id="35" name="直接箭头连接符 35"/>
                        <wps:cNvCnPr/>
                        <wps:spPr>
                          <a:xfrm>
                            <a:off x="9060" y="13215"/>
                            <a:ext cx="0" cy="546"/>
                          </a:xfrm>
                          <a:prstGeom prst="straightConnector1">
                            <a:avLst/>
                          </a:prstGeom>
                          <a:ln w="19050" cap="flat" cmpd="sng">
                            <a:solidFill>
                              <a:srgbClr val="000000"/>
                            </a:solidFill>
                            <a:prstDash val="solid"/>
                            <a:headEnd type="none" w="med" len="med"/>
                            <a:tailEnd type="triangle" w="med" len="med"/>
                          </a:ln>
                        </wps:spPr>
                        <wps:bodyPr/>
                      </wps:wsp>
                    </wpg:wgp>
                  </a:graphicData>
                </a:graphic>
              </wp:anchor>
            </w:drawing>
          </mc:Choice>
          <mc:Fallback>
            <w:pict>
              <v:group id="_x0000_s1026" o:spid="_x0000_s1026" o:spt="203" style="position:absolute;left:0pt;margin-left:27pt;margin-top:9.2pt;height:125.55pt;width:412.5pt;z-index:251666432;mso-width-relative:page;mso-height-relative:page;" coordorigin="1875,11985" coordsize="8250,2511" o:gfxdata="UEsDBAoAAAAAAIdO4kAAAAAAAAAAAAAAAAAEAAAAZHJzL1BLAwQUAAAACACHTuJAZgNhR9oAAAAJ&#10;AQAADwAAAGRycy9kb3ducmV2LnhtbE2PQU/CQBCF7yb+h82YeJNtkWKp3RJD1BMhEUwIt6E7tA3d&#10;3aa7tPDvHU96nPde3nwvX15NKwbqfeOsgngSgSBbOt3YSsH37uMpBeEDWo2ts6TgRh6Wxf1djpl2&#10;o/2iYRsqwSXWZ6igDqHLpPRlTQb9xHVk2Tu53mDgs6+k7nHkctPKaRTNpcHG8ocaO1rVVJ63F6Pg&#10;c8Tx7Tl+H9bn0+p22CWb/TompR4f4ugVRKBr+AvDLz6jQ8FMR3ex2otWQTLjKYH1dAaC/fRlwcJR&#10;wXS+SEAWufy/oPgBUEsDBBQAAAAIAIdO4kBRSygptwMAANYUAAAOAAAAZHJzL2Uyb0RvYy54bWzt&#10;WMtu1DAU3SPxD1b2NK+Z6UzUKUIt7QZBpcIHuInzkBzbst1mugMJCRASsEdiBYgFjw2skOjXtIW/&#10;4NpJZlo6MFCgFOgsMo4fN/ceH18fe+HiqKRoi0hVcDZ0/DnPQYTFPClYNnRuXF+50HeQ0pglmHJG&#10;hs42Uc7FxfPnFioRkYDnnCZEIjDCVFSJoZNrLSLXVXFOSqzmuCAMGlMuS6zhVWZuInEF1kvqBp7X&#10;cysuEyF5TJSC2uW60Vm09tOUxPpamiqiER064Ju2T2mfG+bpLi7gKJNY5EXcuIGP4UWJCwYfHZta&#10;xhqjTVkcMVUWseSKp3ou5qXL07SIiY0BovG9L6JZlXxT2FiyqMrEGCaA9gucjm02vrq1JlGRDJ2w&#10;5yCGS5ij/fe3dx/dRVAB6FQii6DTqhTrYk02FVn9ZgIepbI0/xAKGllct8e4kpFGMVR2g7A/3wX4&#10;Y2jzu4NOp9+tkY9zmB4zzocODjLN/mDSeLkx0A/a0UHX981Qt/2yaxwc+1MJoJGaIKV+Dqn1HAti&#10;J0AZEBqkAuB0jdTeu1v7L+7vPv4Qod2Hbz7dvPdx5w5UIOhhkbKjxripSAGEU0DrTAm+xS7wvQa4&#10;+dCCNo4cR0IqvUp4iUxh6KSUV0s5lvoS1UQyrMlavTAsM/HWFaVr5NpxxhXFaZGsFJTaF5ltLFGJ&#10;tjAslxX7a8A+1I0yVMFMDTw7KxiWbUqxhuktBRBJscx+8NAQddCyZ3/TLBvPlrHKaw+sBdMNR2UB&#10;IdlSTnBymSVIbwvgKoOs4hhvSpI4iBJIQqZke2pc0O/pCYhSBpQy5KlnyJT0aGMEZkxxgyfbMPeb&#10;QhZZDkDXDGy4Vnf5/aQbzCTdwIRtvAKqzibdZMWF8z0bEY7GpAsGsBrNaj0j3YmS7jQwLYR88+30&#10;Bj1+hGmT9DaNaZDVzph28untVDDNn8k0m5i+O6f1QUPVKmIK03z/jGl/YiM9FUwLWqbtP3679+DZ&#10;/utXu0/fftx5Ysovn6MwOJDRllgjdFs50GrNscrtDgLgklGrwXzQHCLavbNlme91DivVI3pNaYmN&#10;oFjijMFBhUv/W0LtD4iu40otLQvMMkqmC7PpcqtmCWwrVoaBnDohXRWGM5gR/hAzQs/Mv2FGGEDJ&#10;ioeWGT2v02QgS5mvC/l/lhhfV+unjBSdGaTo/DJSNIe7bseetv9DTvxVyQLWb3NHMn0bsSu+kSuz&#10;t5GB12vlypFkccaLX7OJ2PshuDyzV0bNRZ+5nTv4bjedyXXk4m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qBgAAW0NvbnRlbnRfVHlwZXNdLnht&#10;bFBLAQIUAAoAAAAAAIdO4kAAAAAAAAAAAAAAAAAGAAAAAAAAAAAAEAAAAAwFAABfcmVscy9QSwEC&#10;FAAUAAAACACHTuJAihRmPNEAAACUAQAACwAAAAAAAAABACAAAAAwBQAAX3JlbHMvLnJlbHNQSwEC&#10;FAAKAAAAAACHTuJAAAAAAAAAAAAAAAAABAAAAAAAAAAAABAAAAAAAAAAZHJzL1BLAQIUABQAAAAI&#10;AIdO4kBmA2FH2gAAAAkBAAAPAAAAAAAAAAEAIAAAACIAAABkcnMvZG93bnJldi54bWxQSwECFAAU&#10;AAAACACHTuJAUUsoKbcDAADWFAAADgAAAAAAAAABACAAAAApAQAAZHJzL2Uyb0RvYy54bWxQSwUG&#10;AAAAAAYABgBZAQAAUgcAAAAA&#10;">
                <o:lock v:ext="edit" aspectratio="f"/>
                <v:shape id="_x0000_s1026" o:spid="_x0000_s1026" o:spt="176" type="#_x0000_t176" style="position:absolute;left:4875;top:11985;height:735;width:2100;" fillcolor="#FFFFFF" filled="t" stroked="t" coordsize="21600,21600" o:gfxdata="UEsDBAoAAAAAAIdO4kAAAAAAAAAAAAAAAAAEAAAAZHJzL1BLAwQUAAAACACHTuJATblMzrgAAADb&#10;AAAADwAAAGRycy9kb3ducmV2LnhtbEVPy4rCMBTdD/gP4QruxrQio1SjC0Fwo2jVhbtLc22DzU1J&#10;4uvvzUKY5eG858uXbcWDfDCOFeTDDARx5bThWsHpuP6dgggRWWPrmBS8KcBy0fuZY6Hdkw/0KGMt&#10;UgiHAhU0MXaFlKFqyGIYuo44cVfnLcYEfS21x2cKt60cZdmftGg4NTTY0aqh6lberYKNKc/tZe3H&#10;2yvtcref3A97s1Nq0M+zGYhIr/gv/ro3WsEojU1f0g+Qi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blMzrgAAADbAAAA&#10;DwAAAAAAAAABACAAAAAiAAAAZHJzL2Rvd25yZXYueG1sUEsBAhQAFAAAAAgAh07iQDMvBZ47AAAA&#10;OQAAABAAAAAAAAAAAQAgAAAABwEAAGRycy9zaGFwZXhtbC54bWxQSwUGAAAAAAYABgBbAQAAsQMA&#10;AAAA&#10;">
                  <v:fill on="t" focussize="0,0"/>
                  <v:stroke weight="1.5pt" color="#000000" joinstyle="miter"/>
                  <v:imagedata o:title=""/>
                  <o:lock v:ext="edit" aspectratio="f"/>
                  <v:textbox>
                    <w:txbxContent>
                      <w:p/>
                    </w:txbxContent>
                  </v:textbox>
                </v:shape>
                <v:shape id="_x0000_s1026" o:spid="_x0000_s1026" o:spt="176" type="#_x0000_t176" style="position:absolute;left:1875;top:13761;height:735;width:2295;" fillcolor="#FFFFFF" filled="t" stroked="t" coordsize="21600,21600" o:gfxdata="UEsDBAoAAAAAAIdO4kAAAAAAAAAAAAAAAAAEAAAAZHJzL1BLAwQUAAAACACHTuJAIvXpVb0AAADb&#10;AAAADwAAAGRycy9kb3ducmV2LnhtbEWPT4vCMBTE7wt+h/CEva1pRVatRg+C4EXRqgdvj+bZBpuX&#10;ksQ/++03Cwseh5n5DTNfvmwrHuSDcawgH2QgiCunDdcKTsf11wREiMgaW8ek4IcCLBe9jzkW2j35&#10;QI8y1iJBOBSooImxK6QMVUMWw8B1xMm7Om8xJulrqT0+E9y2cphl39Ki4bTQYEerhqpbebcKNqY8&#10;t5e1H22vtMvdfnw/7M1Oqc9+ns1ARHrFd/i/vdEKhlP4+5J+gF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9elVvQAA&#10;ANsAAAAPAAAAAAAAAAEAIAAAACIAAABkcnMvZG93bnJldi54bWxQSwECFAAUAAAACACHTuJAMy8F&#10;njsAAAA5AAAAEAAAAAAAAAABACAAAAAMAQAAZHJzL3NoYXBleG1sLnhtbFBLBQYAAAAABgAGAFsB&#10;AAC2AwAAAAA=&#10;">
                  <v:fill on="t" focussize="0,0"/>
                  <v:stroke weight="1.5pt" color="#000000" joinstyle="miter"/>
                  <v:imagedata o:title=""/>
                  <o:lock v:ext="edit" aspectratio="f"/>
                </v:shape>
                <v:shape id="_x0000_s1026" o:spid="_x0000_s1026" o:spt="176" type="#_x0000_t176" style="position:absolute;left:4875;top:13761;height:735;width:2235;" fillcolor="#FFFFFF" filled="t" stroked="t" coordsize="21600,21600" o:gfxdata="UEsDBAoAAAAAAIdO4kAAAAAAAAAAAAAAAAAEAAAAZHJzL1BLAwQUAAAACACHTuJANhbWFbsAAADb&#10;AAAADwAAAGRycy9kb3ducmV2LnhtbEVPz2vCMBS+D/wfwhN2m2m3MUdn9CAIvazUqgdvj+bZBpuX&#10;ksTq/vvlMNjx4/u92jzsICbywThWkC8yEMSt04Y7BcfD7uUTRIjIGgfHpOCHAmzWs6cVFtrdeU9T&#10;EzuRQjgUqKCPcSykDG1PFsPCjcSJuzhvMSboO6k93lO4HeRrln1Ii4ZTQ48jbXtqr83NKihNcxrO&#10;O//+faEqd/Xytq9NpdTzPM++QER6xH/xn7vUCt7S+vQl/QC5/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hbWFbsAAADb&#10;AAAADwAAAAAAAAABACAAAAAiAAAAZHJzL2Rvd25yZXYueG1sUEsBAhQAFAAAAAgAh07iQDMvBZ47&#10;AAAAOQAAABAAAAAAAAAAAQAgAAAACgEAAGRycy9zaGFwZXhtbC54bWxQSwUGAAAAAAYABgBbAQAA&#10;tAMAAAAA&#10;">
                  <v:fill on="t" focussize="0,0"/>
                  <v:stroke weight="1.5pt" color="#000000" joinstyle="miter"/>
                  <v:imagedata o:title=""/>
                  <o:lock v:ext="edit" aspectratio="f"/>
                </v:shape>
                <v:shape id="_x0000_s1026" o:spid="_x0000_s1026" o:spt="176" type="#_x0000_t176" style="position:absolute;left:8010;top:13761;height:735;width:2115;" fillcolor="#FFFFFF" filled="t" stroked="t" coordsize="21600,21600" o:gfxdata="UEsDBAoAAAAAAIdO4kAAAAAAAAAAAAAAAAAEAAAAZHJzL1BLAwQUAAAACACHTuJAWVpzjr4AAADb&#10;AAAADwAAAGRycy9kb3ducmV2LnhtbEWPwWrDMBBE74X8g9hAb7XsNiTFjZJDIZBLjeM2h94Wa2OL&#10;WisjyUn691GhkOMwM2+Y9fZqB3EmH4xjBUWWgyBunTbcKfj63D29gggRWePgmBT8UoDtZvawxlK7&#10;Cx/o3MROJAiHEhX0MY6llKHtyWLI3EicvJPzFmOSvpPa4yXB7SCf83wpLRpOCz2O9N5T+9NMVsHe&#10;NMfhe+cXHyeqClevpkNtKqUe50X+BiLSNd7D/+29VvBSwN+X9AP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Vpzjr4A&#10;AADbAAAADwAAAAAAAAABACAAAAAiAAAAZHJzL2Rvd25yZXYueG1sUEsBAhQAFAAAAAgAh07iQDMv&#10;BZ47AAAAOQAAABAAAAAAAAAAAQAgAAAADQEAAGRycy9zaGFwZXhtbC54bWxQSwUGAAAAAAYABgBb&#10;AQAAtwMAAAAA&#10;">
                  <v:fill on="t" focussize="0,0"/>
                  <v:stroke weight="1.5pt" color="#000000" joinstyle="miter"/>
                  <v:imagedata o:title=""/>
                  <o:lock v:ext="edit" aspectratio="f"/>
                </v:shape>
                <v:shape id="_x0000_s1026" o:spid="_x0000_s1026" o:spt="32" type="#_x0000_t32" style="position:absolute;left:5925;top:12720;height:1041;width:15;" filled="f" stroked="t" coordsize="21600,21600" o:gfxdata="UEsDBAoAAAAAAIdO4kAAAAAAAAAAAAAAAAAEAAAAZHJzL1BLAwQUAAAACACHTuJAy5xog7wAAADb&#10;AAAADwAAAGRycy9kb3ducmV2LnhtbEWPT4vCMBTE74LfITzBm6ZVWKQaRQTBPyd11eujebbV5qU2&#10;0dZvv1lY2OMwM79hZovWlOJNtSssK4iHEQji1OqCMwXfp/VgAsJ5ZI2lZVLwIQeLebczw0Tbhg/0&#10;PvpMBAi7BBXk3leJlC7NyaAb2oo4eDdbG/RB1pnUNTYBbko5iqIvabDgsJBjRauc0sfxZRSYy367&#10;vN/bZrm77J636/ncWh0r1e/F0RSEp9b/h//aG61gPILfL+EHyPk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ucaIO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shape id="_x0000_s1026" o:spid="_x0000_s1026" o:spt="32" type="#_x0000_t32" style="position:absolute;left:3015;top:13215;height:0;width:6045;" filled="f" stroked="t" coordsize="21600,21600" o:gfxdata="UEsDBAoAAAAAAIdO4kAAAAAAAAAAAAAAAAAEAAAAZHJzL1BLAwQUAAAACACHTuJAJyyvzLwAAADb&#10;AAAADwAAAGRycy9kb3ducmV2LnhtbEWPwWrDMBBE74X8g9hALiWWE0MwjpUcAoFCD3HTfsDW2tgm&#10;1spYiq38fVUo9DjMzBumPAbTi4lG11lWsElSEMS11R03Cr4+z+schPPIGnvLpOBJDo6HxUuJhbYz&#10;f9B09Y2IEHYFKmi9HwopXd2SQZfYgTh6Nzsa9FGOjdQjzhFuerlN05002HFcaHGgU0v1/fowCsJl&#10;xz5Uefie+fHu8tcqoKmUWi036R6Ep+D/w3/tN60gy+D3S/wB8vA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csr8y8AAAA&#10;2wAAAA8AAAAAAAAAAQAgAAAAIgAAAGRycy9kb3ducmV2LnhtbFBLAQIUABQAAAAIAIdO4kAzLwWe&#10;OwAAADkAAAAQAAAAAAAAAAEAIAAAAAsBAABkcnMvc2hhcGV4bWwueG1sUEsFBgAAAAAGAAYAWwEA&#10;ALUDAAAAAA==&#10;">
                  <v:fill on="f" focussize="0,0"/>
                  <v:stroke weight="1.5pt" color="#000000" joinstyle="round"/>
                  <v:imagedata o:title=""/>
                  <o:lock v:ext="edit" aspectratio="f"/>
                </v:shape>
                <v:shape id="_x0000_s1026" o:spid="_x0000_s1026" o:spt="32" type="#_x0000_t32" style="position:absolute;left:3015;top:13215;height:546;width:0;" filled="f" stroked="t" coordsize="21600,21600" o:gfxdata="UEsDBAoAAAAAAIdO4kAAAAAAAAAAAAAAAAAEAAAAZHJzL1BLAwQUAAAACACHTuJAKzlVbLwAAADb&#10;AAAADwAAAGRycy9kb3ducmV2LnhtbEWPQYvCMBSE7wv+h/AEb5pWRaQaRQRhV0/rrnp9NM+22rzU&#10;Jtr67zeCsMdhZr5h5svWlOJBtSssK4gHEQji1OqCMwW/P5v+FITzyBpLy6TgSQ6Wi87HHBNtG/6m&#10;x95nIkDYJagg975KpHRpTgbdwFbEwTvb2qAPss6krrEJcFPKYRRNpMGCw0KOFa1zSq/7u1Fgjruv&#10;1eXSNqvtcXs7nw6H1upYqV43jmYgPLX+P/xuf2oFozG8voQfI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5VWy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shape id="_x0000_s1026" o:spid="_x0000_s1026" o:spt="32" type="#_x0000_t32" style="position:absolute;left:9060;top:13215;height:546;width:0;" filled="f" stroked="t" coordsize="21600,21600" o:gfxdata="UEsDBAoAAAAAAIdO4kAAAAAAAAAAAAAAAAAEAAAAZHJzL1BLAwQUAAAACACHTuJARHXw97wAAADb&#10;AAAADwAAAGRycy9kb3ducmV2LnhtbEWPQYvCMBSE7wv+h/AEb5pWUaQaRQRhV0/rrnp9NM+22rzU&#10;Jtr67zeCsMdhZr5h5svWlOJBtSssK4gHEQji1OqCMwW/P5v+FITzyBpLy6TgSQ6Wi87HHBNtG/6m&#10;x95nIkDYJagg975KpHRpTgbdwFbEwTvb2qAPss6krrEJcFPKYRRNpMGCw0KOFa1zSq/7u1Fgjruv&#10;1eXSNqvtcXs7nw6H1upYqV43jmYgPLX+P/xuf2oFozG8voQfI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R18Pe8AAAA&#10;2wAAAA8AAAAAAAAAAQAgAAAAIgAAAGRycy9kb3ducmV2LnhtbFBLAQIUABQAAAAIAIdO4kAzLwWe&#10;OwAAADkAAAAQAAAAAAAAAAEAIAAAAAsBAABkcnMvc2hhcGV4bWwueG1sUEsFBgAAAAAGAAYAWwEA&#10;ALUDAAAAAA==&#10;">
                  <v:fill on="f" focussize="0,0"/>
                  <v:stroke weight="1.5pt" color="#000000" joinstyle="round" endarrow="block"/>
                  <v:imagedata o:title=""/>
                  <o:lock v:ext="edit" aspectratio="f"/>
                </v:shape>
              </v:group>
            </w:pict>
          </mc:Fallback>
        </mc:AlternateContent>
      </w:r>
    </w:p>
    <w:p>
      <w:pPr>
        <w:rPr>
          <w:snapToGrid w:val="0"/>
          <w:color w:val="000000"/>
          <w:spacing w:val="-2"/>
          <w:kern w:val="0"/>
        </w:rPr>
      </w:pPr>
      <w:r>
        <w:rPr>
          <w:snapToGrid w:val="0"/>
          <w:color w:val="000000"/>
          <w:spacing w:val="-2"/>
          <w:kern w:val="0"/>
        </w:rPr>
        <w:t xml:space="preserve"> </w:t>
      </w:r>
    </w:p>
    <w:p>
      <w:pPr>
        <w:rPr>
          <w:snapToGrid w:val="0"/>
          <w:color w:val="000000"/>
          <w:spacing w:val="-2"/>
          <w:kern w:val="0"/>
        </w:rPr>
      </w:pPr>
    </w:p>
    <w:p>
      <w:pPr>
        <w:rPr>
          <w:snapToGrid w:val="0"/>
          <w:color w:val="000000"/>
          <w:spacing w:val="-2"/>
          <w:kern w:val="0"/>
        </w:rPr>
      </w:pPr>
    </w:p>
    <w:p>
      <w:pPr>
        <w:rPr>
          <w:snapToGrid w:val="0"/>
          <w:color w:val="000000"/>
          <w:spacing w:val="-2"/>
          <w:kern w:val="0"/>
        </w:rPr>
      </w:pPr>
    </w:p>
    <w:p>
      <w:pPr>
        <w:rPr>
          <w:snapToGrid w:val="0"/>
          <w:color w:val="000000"/>
          <w:spacing w:val="-2"/>
          <w:kern w:val="0"/>
        </w:rPr>
      </w:pPr>
    </w:p>
    <w:p>
      <w:pPr>
        <w:rPr>
          <w:snapToGrid w:val="0"/>
          <w:color w:val="000000"/>
          <w:spacing w:val="-2"/>
          <w:kern w:val="0"/>
        </w:rPr>
      </w:pPr>
    </w:p>
    <w:p>
      <w:pPr>
        <w:rPr>
          <w:snapToGrid w:val="0"/>
          <w:color w:val="000000"/>
          <w:spacing w:val="-2"/>
          <w:kern w:val="0"/>
        </w:rPr>
      </w:pPr>
    </w:p>
    <w:p>
      <w:pPr>
        <w:rPr>
          <w:snapToGrid w:val="0"/>
          <w:color w:val="000000"/>
          <w:spacing w:val="-2"/>
          <w:kern w:val="0"/>
        </w:rPr>
      </w:pPr>
    </w:p>
    <w:p>
      <w:pPr>
        <w:rPr>
          <w:snapToGrid w:val="0"/>
          <w:color w:val="000000"/>
          <w:spacing w:val="-2"/>
          <w:kern w:val="0"/>
        </w:rPr>
      </w:pPr>
    </w:p>
    <w:p>
      <w:pPr>
        <w:rPr>
          <w:snapToGrid w:val="0"/>
          <w:color w:val="000000"/>
          <w:spacing w:val="-2"/>
          <w:kern w:val="0"/>
        </w:rPr>
      </w:pPr>
    </w:p>
    <w:p>
      <w:pPr>
        <w:rPr>
          <w:snapToGrid w:val="0"/>
          <w:color w:val="000000"/>
          <w:spacing w:val="-2"/>
          <w:kern w:val="0"/>
        </w:rPr>
      </w:pPr>
    </w:p>
    <w:p>
      <w:pPr>
        <w:jc w:val="center"/>
        <w:rPr>
          <w:snapToGrid w:val="0"/>
          <w:color w:val="000000"/>
          <w:spacing w:val="-2"/>
          <w:kern w:val="0"/>
        </w:rPr>
      </w:pPr>
      <w:r>
        <w:rPr>
          <w:rFonts w:hint="eastAsia"/>
          <w:snapToGrid w:val="0"/>
          <w:color w:val="000000"/>
          <w:spacing w:val="-2"/>
          <w:kern w:val="0"/>
        </w:rPr>
        <w:t>图</w:t>
      </w:r>
      <w:r>
        <w:rPr>
          <w:snapToGrid w:val="0"/>
          <w:color w:val="000000"/>
          <w:spacing w:val="-2"/>
          <w:kern w:val="0"/>
        </w:rPr>
        <w:t xml:space="preserve">4.1 </w:t>
      </w:r>
      <w:r>
        <w:rPr>
          <w:rFonts w:hint="eastAsia"/>
          <w:snapToGrid w:val="0"/>
          <w:color w:val="000000"/>
          <w:spacing w:val="-2"/>
          <w:kern w:val="0"/>
        </w:rPr>
        <w:t>项目监理部组织机构框图</w:t>
      </w:r>
    </w:p>
    <w:p>
      <w:pPr>
        <w:spacing w:before="240" w:beforeLines="100" w:after="240" w:afterLines="100" w:line="420" w:lineRule="exact"/>
        <w:rPr>
          <w:b/>
          <w:color w:val="000000"/>
          <w:spacing w:val="-2"/>
          <w:sz w:val="28"/>
          <w:szCs w:val="28"/>
        </w:rPr>
      </w:pPr>
      <w:r>
        <w:rPr>
          <w:b/>
          <w:color w:val="000000"/>
          <w:spacing w:val="-2"/>
          <w:sz w:val="28"/>
          <w:szCs w:val="28"/>
        </w:rPr>
        <w:t xml:space="preserve">5 </w:t>
      </w:r>
      <w:r>
        <w:rPr>
          <w:rFonts w:hint="eastAsia"/>
          <w:b/>
          <w:color w:val="000000"/>
          <w:spacing w:val="-2"/>
          <w:sz w:val="28"/>
          <w:szCs w:val="28"/>
        </w:rPr>
        <w:t>深基坑支护工程监理工作流程（用框图表示）</w:t>
      </w:r>
    </w:p>
    <w:p>
      <w:pPr>
        <w:pStyle w:val="4"/>
        <w:spacing w:before="0" w:after="0" w:line="460" w:lineRule="exact"/>
        <w:rPr>
          <w:snapToGrid w:val="0"/>
          <w:color w:val="000000"/>
          <w:spacing w:val="-2"/>
        </w:rPr>
      </w:pPr>
      <w:r>
        <w:rPr>
          <w:snapToGrid w:val="0"/>
          <w:color w:val="000000"/>
          <w:spacing w:val="-2"/>
        </w:rPr>
        <w:t xml:space="preserve">5.1 </w:t>
      </w:r>
      <w:r>
        <w:rPr>
          <w:rFonts w:hint="eastAsia"/>
          <w:snapToGrid w:val="0"/>
          <w:color w:val="000000"/>
          <w:spacing w:val="-2"/>
        </w:rPr>
        <w:t>深基坑支护工程施工阶段监理程序：（示意）</w:t>
      </w:r>
      <w:r>
        <w:rPr>
          <w:snapToGrid w:val="0"/>
          <w:color w:val="000000"/>
          <w:spacing w:val="-2"/>
        </w:rPr>
        <w:t xml:space="preserve"> </w:t>
      </w:r>
    </w:p>
    <w:p>
      <w:pPr>
        <w:tabs>
          <w:tab w:val="left" w:pos="1845"/>
        </w:tabs>
        <w:spacing w:line="276" w:lineRule="auto"/>
        <w:rPr>
          <w:rFonts w:ascii="Times New Roman"/>
          <w:snapToGrid w:val="0"/>
          <w:color w:val="000000"/>
          <w:spacing w:val="-2"/>
          <w:kern w:val="0"/>
        </w:rPr>
      </w:pPr>
      <w:r>
        <mc:AlternateContent>
          <mc:Choice Requires="wpg">
            <w:drawing>
              <wp:anchor distT="0" distB="0" distL="114300" distR="114300" simplePos="0" relativeHeight="251667456" behindDoc="0" locked="0" layoutInCell="1" allowOverlap="1">
                <wp:simplePos x="0" y="0"/>
                <wp:positionH relativeFrom="column">
                  <wp:posOffset>1943100</wp:posOffset>
                </wp:positionH>
                <wp:positionV relativeFrom="paragraph">
                  <wp:posOffset>40640</wp:posOffset>
                </wp:positionV>
                <wp:extent cx="1963420" cy="1791970"/>
                <wp:effectExtent l="9525" t="9525" r="27305" b="27305"/>
                <wp:wrapNone/>
                <wp:docPr id="51" name="组合 51"/>
                <wp:cNvGraphicFramePr/>
                <a:graphic xmlns:a="http://schemas.openxmlformats.org/drawingml/2006/main">
                  <a:graphicData uri="http://schemas.microsoft.com/office/word/2010/wordprocessingGroup">
                    <wpg:wgp>
                      <wpg:cNvGrpSpPr/>
                      <wpg:grpSpPr>
                        <a:xfrm>
                          <a:off x="0" y="0"/>
                          <a:ext cx="1963420" cy="1791970"/>
                          <a:chOff x="4260" y="1603"/>
                          <a:chExt cx="3092" cy="2822"/>
                        </a:xfrm>
                      </wpg:grpSpPr>
                      <wpg:grpSp>
                        <wpg:cNvPr id="48" name="组合 48"/>
                        <wpg:cNvGrpSpPr/>
                        <wpg:grpSpPr>
                          <a:xfrm>
                            <a:off x="4260" y="1603"/>
                            <a:ext cx="3092" cy="1749"/>
                            <a:chOff x="4320" y="13386"/>
                            <a:chExt cx="3092" cy="1749"/>
                          </a:xfrm>
                        </wpg:grpSpPr>
                        <wps:wsp>
                          <wps:cNvPr id="45" name="流程图: 可选过程 45"/>
                          <wps:cNvSpPr/>
                          <wps:spPr>
                            <a:xfrm>
                              <a:off x="4320" y="13386"/>
                              <a:ext cx="3092" cy="654"/>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pPr>
                                  <w:jc w:val="center"/>
                                </w:pPr>
                              </w:p>
                            </w:txbxContent>
                          </wps:txbx>
                          <wps:bodyPr upright="1"/>
                        </wps:wsp>
                        <wps:wsp>
                          <wps:cNvPr id="46" name="直接箭头连接符 46"/>
                          <wps:cNvCnPr/>
                          <wps:spPr>
                            <a:xfrm>
                              <a:off x="5865" y="14046"/>
                              <a:ext cx="0" cy="420"/>
                            </a:xfrm>
                            <a:prstGeom prst="straightConnector1">
                              <a:avLst/>
                            </a:prstGeom>
                            <a:ln w="9525" cap="flat" cmpd="sng">
                              <a:solidFill>
                                <a:srgbClr val="000000"/>
                              </a:solidFill>
                              <a:prstDash val="solid"/>
                              <a:headEnd type="none" w="med" len="med"/>
                              <a:tailEnd type="triangle" w="med" len="med"/>
                            </a:ln>
                          </wps:spPr>
                          <wps:bodyPr/>
                        </wps:wsp>
                        <wps:wsp>
                          <wps:cNvPr id="47" name="流程图: 可选过程 47"/>
                          <wps:cNvSpPr/>
                          <wps:spPr>
                            <a:xfrm>
                              <a:off x="4320" y="14481"/>
                              <a:ext cx="3092" cy="654"/>
                            </a:xfrm>
                            <a:prstGeom prst="flowChartAlternateProcess">
                              <a:avLst/>
                            </a:prstGeom>
                            <a:solidFill>
                              <a:srgbClr val="FFFFFF"/>
                            </a:solidFill>
                            <a:ln w="19050" cap="flat" cmpd="sng">
                              <a:solidFill>
                                <a:srgbClr val="000000"/>
                              </a:solidFill>
                              <a:prstDash val="solid"/>
                              <a:miter/>
                              <a:headEnd type="none" w="med" len="med"/>
                              <a:tailEnd type="none" w="med" len="med"/>
                            </a:ln>
                          </wps:spPr>
                          <wps:txbx>
                            <w:txbxContent>
                              <w:p>
                                <w:pPr>
                                  <w:jc w:val="center"/>
                                </w:pPr>
                              </w:p>
                            </w:txbxContent>
                          </wps:txbx>
                          <wps:bodyPr upright="1"/>
                        </wps:wsp>
                      </wpg:grpSp>
                      <wps:wsp>
                        <wps:cNvPr id="49" name="流程图: 可选过程 49"/>
                        <wps:cNvSpPr/>
                        <wps:spPr>
                          <a:xfrm>
                            <a:off x="4260" y="3765"/>
                            <a:ext cx="3092" cy="660"/>
                          </a:xfrm>
                          <a:prstGeom prst="flowChartAlternateProcess">
                            <a:avLst/>
                          </a:prstGeom>
                          <a:solidFill>
                            <a:srgbClr val="FFFFFF"/>
                          </a:solidFill>
                          <a:ln w="19050" cap="flat" cmpd="sng">
                            <a:solidFill>
                              <a:srgbClr val="000000"/>
                            </a:solidFill>
                            <a:prstDash val="solid"/>
                            <a:miter/>
                            <a:headEnd type="none" w="med" len="med"/>
                            <a:tailEnd type="none" w="med" len="med"/>
                          </a:ln>
                        </wps:spPr>
                        <wps:bodyPr upright="1"/>
                      </wps:wsp>
                      <wps:wsp>
                        <wps:cNvPr id="50" name="直接箭头连接符 50"/>
                        <wps:cNvCnPr/>
                        <wps:spPr>
                          <a:xfrm>
                            <a:off x="5805" y="3352"/>
                            <a:ext cx="0" cy="413"/>
                          </a:xfrm>
                          <a:prstGeom prst="straightConnector1">
                            <a:avLst/>
                          </a:prstGeom>
                          <a:ln w="9525" cap="flat" cmpd="sng">
                            <a:solidFill>
                              <a:srgbClr val="000000"/>
                            </a:solidFill>
                            <a:prstDash val="solid"/>
                            <a:headEnd type="none" w="med" len="med"/>
                            <a:tailEnd type="triangle" w="med" len="med"/>
                          </a:ln>
                        </wps:spPr>
                        <wps:bodyPr/>
                      </wps:wsp>
                    </wpg:wgp>
                  </a:graphicData>
                </a:graphic>
              </wp:anchor>
            </w:drawing>
          </mc:Choice>
          <mc:Fallback>
            <w:pict>
              <v:group id="_x0000_s1026" o:spid="_x0000_s1026" o:spt="203" style="position:absolute;left:0pt;margin-left:153pt;margin-top:3.2pt;height:141.1pt;width:154.6pt;z-index:251667456;mso-width-relative:page;mso-height-relative:page;" coordorigin="4260,1603" coordsize="3092,2822" o:gfxdata="UEsDBAoAAAAAAIdO4kAAAAAAAAAAAAAAAAAEAAAAZHJzL1BLAwQUAAAACACHTuJABS/f6dkAAAAJ&#10;AQAADwAAAGRycy9kb3ducmV2LnhtbE2PUUvDMBSF3wX/Q7iCby5J50KpTYcM9WkIboL4ljV3bVlz&#10;U5qs3f698UkfD+dwznfK9cX1bMIxdJ40yIUAhlR721Gj4XP/+pADC9GQNb0n1HDFAOvq9qY0hfUz&#10;feC0iw1LJRQKo6GNcSg4D3WLzoSFH5CSd/SjMzHJseF2NHMqdz3PhFDcmY7SQmsG3LRYn3Znp+Ft&#10;NvPzUr5M29Nxc/3er96/thK1vr+T4glYxEv8C8MvfkKHKjEd/JlsYL2GpVDpS9SgHoElX8lVBuyg&#10;IctzBbwq+f8H1Q9QSwMEFAAAAAgAh07iQH9exA2wAwAAew8AAA4AAABkcnMvZTJvRG9jLnhtbO1X&#10;y27cNhTdB+g/ENrXes5L8Dgo7NibojGQ9ANoiXoAFEmQtDXeJUCBJgjQdh+gq7Took02ySpA8zWO&#10;07/oJSWO7HgmcVzY6MKz0PB5de/huedSm3cXDUVHRKqas7kXbgQeIizjec3Kuff9w92vpx5SGrMc&#10;U87I3Dsmyru79dWdzVakJOIVpzmRCIwwlbZi7lVai9T3VVaRBqsNLgiDyYLLBmvoytLPJW7BekP9&#10;KAjGfstlLiTPiFIwutNNelvWflGQTN8vCkU0onMPfNP2Ke3zwDz9rU2clhKLqs56N/AVvGhwzeCl&#10;S1M7WGN0KOsLppo6k1zxQm9kvPF5UdQZsTFANGHwUTR7kh8KG0uZtqVYwgTQfoTTlc1m3x3tS1Tn&#10;c28UeojhBs7o9O0PJ788QTAA6LSiTGHRnhQPxL7sB8quZwJeFLIx/xAKWlhcj5e4koVGGQyGs3Gc&#10;RAB/BnPhZBbOJj3yWQXHY/Yl0RjmzfQ4iLtTyap7/f44mEXd5mgaRWbWdy/2jX9Ld5ad64UqAVKf&#10;gwoGvhyqFSE7wIaAw0kyc3A4qGIDpYEqjqdjN3kRK7d1LVaQcWoglfpvpHpQYUEsV5XhS0+qZOSQ&#10;ev/m8ekfz06e/52ik59f/fPo6Yd3P8IAghUWOrtrSTGVKmDbCn4lK4K/iNp4lBiry8hxKqTSe4Q3&#10;yDTmXkF5u11hqb+hmkiGNdnvNMQmMT76Vuluv9tnXFGc1vluTantyPJgm0p0hEFZdu2vf+W5ZZSh&#10;1iRAMDL0x6BwBcUamo2AnFOstC88t0WdtRzY3yrLxrMdrKrOA2vBLMNpU0NItlURnN9jOdLHAtKa&#10;gQB7xpuG5B6iBPTatOxKjWt6mZWAKGUAbCvcCZmWXhwswIxpHvD8GM7+UMi6rABoqyF2OXCtW3L9&#10;pBs70p0+f/3+p99OX/518uL1h3e/mvafv6PEJo3xFoi6zXpVcwE5ZVlK2mg6BhabfEuCbitOHeV6&#10;TTPiBgCs55vSEhtAtjljUJO4DD9FtI40s1EE770ZzlyVKVrWmJV0Da9Ws6WjiIHLHMEN0mLiaLFW&#10;iybmFHtifIkWJcnUEn0gxqDgt1oEmOL0qgxbr1qr2XV5LRquDjelS7PPEtDW+ssT0F2a4glIlIXZ&#10;CdMZ/sHFyiTboGuupt3Wwmuohf+HAmjuGv39dGUBhPlB5y5TAIOuAMbxyN6+B5lz9S+0d/b1HLut&#10;f9191qT2ivpnpQi+8Gya9l+j5hPybN/Wy+Gbeet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gYAAFtDb250ZW50X1R5cGVzXS54bWxQSwECFAAK&#10;AAAAAACHTuJAAAAAAAAAAAAAAAAABgAAAAAAAAAAABAAAAAEBQAAX3JlbHMvUEsBAhQAFAAAAAgA&#10;h07iQIoUZjzRAAAAlAEAAAsAAAAAAAAAAQAgAAAAKAUAAF9yZWxzLy5yZWxzUEsBAhQACgAAAAAA&#10;h07iQAAAAAAAAAAAAAAAAAQAAAAAAAAAAAAQAAAAAAAAAGRycy9QSwECFAAUAAAACACHTuJABS/f&#10;6dkAAAAJAQAADwAAAAAAAAABACAAAAAiAAAAZHJzL2Rvd25yZXYueG1sUEsBAhQAFAAAAAgAh07i&#10;QH9exA2wAwAAew8AAA4AAAAAAAAAAQAgAAAAKAEAAGRycy9lMm9Eb2MueG1sUEsFBgAAAAAGAAYA&#10;WQEAAEoHAAAAAA==&#10;">
                <o:lock v:ext="edit" aspectratio="f"/>
                <v:group id="_x0000_s1026" o:spid="_x0000_s1026" o:spt="203" style="position:absolute;left:4260;top:1603;height:1749;width:3092;" coordorigin="4320,13386" coordsize="3092,1749" o:gfxdata="UEsDBAoAAAAAAIdO4kAAAAAAAAAAAAAAAAAEAAAAZHJzL1BLAwQUAAAACACHTuJAH8uyDrsAAADb&#10;AAAADwAAAGRycy9kb3ducmV2LnhtbEVPy4rCMBTdD/gP4QqzG9M6o0g1FREdZiGCDxB3l+b2gc1N&#10;aWKrfz9ZCC4P571YPkwtOmpdZVlBPIpAEGdWV1woOJ+2XzMQziNrrC2Tgic5WKaDjwUm2vZ8oO7o&#10;CxFC2CWooPS+SaR0WUkG3cg2xIHLbWvQB9gWUrfYh3BTy3EUTaXBikNDiQ2tS8pux7tR8Ntjv/qO&#10;N93ulq+f19Nkf9nFpNTnMI7mIDw9/Fv8cv9pBT9hbP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B/Lsg67AAAA2wAAAA8AAAAAAAAAAQAgAAAAIgAAAGRycy9kb3ducmV2LnhtbFBL&#10;AQIUABQAAAAIAIdO4kAzLwWeOwAAADkAAAAVAAAAAAAAAAEAIAAAAAoBAABkcnMvZ3JvdXBzaGFw&#10;ZXhtbC54bWxQSwUGAAAAAAYABgBgAQAAxwMAAAAA&#10;">
                  <o:lock v:ext="edit" aspectratio="f"/>
                  <v:shape id="_x0000_s1026" o:spid="_x0000_s1026" o:spt="176" type="#_x0000_t176" style="position:absolute;left:4320;top:13386;height:654;width:3092;" fillcolor="#FFFFFF" filled="t" stroked="t" coordsize="21600,21600" o:gfxdata="UEsDBAoAAAAAAIdO4kAAAAAAAAAAAAAAAAAEAAAAZHJzL1BLAwQUAAAACACHTuJAfmcG8LwAAADb&#10;AAAADwAAAGRycy9kb3ducmV2LnhtbEWPT4vCMBTE78J+h/AWvGlacVWq0cOC4EXR6h729miebdjm&#10;pSTx37ffCILHYWZ+wyxWd9uKK/lgHCvIhxkI4sppw7WC03E9mIEIEVlj65gUPCjAavnRW2Ch3Y0P&#10;dC1jLRKEQ4EKmhi7QspQNWQxDF1HnLyz8xZjkr6W2uMtwW0rR1k2kRYNp4UGO/puqPorL1bBxpQ/&#10;7e/aj7dn2uVuP70c9manVP8zz+YgIt3jO/xqb7SC8Rc8v6QfIJ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5nBvC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textbox>
                      <w:txbxContent>
                        <w:p>
                          <w:pPr>
                            <w:jc w:val="center"/>
                          </w:pPr>
                        </w:p>
                      </w:txbxContent>
                    </v:textbox>
                  </v:shape>
                  <v:shape id="_x0000_s1026" o:spid="_x0000_s1026" o:spt="32" type="#_x0000_t32" style="position:absolute;left:5865;top:14046;height:420;width:0;" filled="f" stroked="t" coordsize="21600,21600" o:gfxdata="UEsDBAoAAAAAAIdO4kAAAAAAAAAAAAAAAAAEAAAAZHJzL1BLAwQUAAAACACHTuJA7Jr7CL8AAADb&#10;AAAADwAAAGRycy9kb3ducmV2LnhtbEWPzWrDMBCE74G8g9hAb4nsUEzrRjEkIdSXBpqE0ONibS1R&#10;a2UsNT99+qhQ6HGYmW+YRXV1nTjTEKxnBfksA0HceG25VXA8bKdPIEJE1th5JgU3ClAtx6MFltpf&#10;+J3O+9iKBOFQogITY19KGRpDDsPM98TJ+/SDw5jk0Eo94CXBXSfnWVZIh5bTgsGe1oaar/23UxA3&#10;HzdTnJrVs90dXt8K+1PX9Uaph0mevYCIdI3/4b92rRU8FvD7Jf0Aub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ya+wi/&#10;AAAA2wAAAA8AAAAAAAAAAQAgAAAAIgAAAGRycy9kb3ducmV2LnhtbFBLAQIUABQAAAAIAIdO4kAz&#10;LwWeOwAAADkAAAAQAAAAAAAAAAEAIAAAAA4BAABkcnMvc2hhcGV4bWwueG1sUEsFBgAAAAAGAAYA&#10;WwEAALgDAAAAAA==&#10;">
                    <v:fill on="f" focussize="0,0"/>
                    <v:stroke color="#000000" joinstyle="round" endarrow="block"/>
                    <v:imagedata o:title=""/>
                    <o:lock v:ext="edit" aspectratio="f"/>
                  </v:shape>
                  <v:shape id="_x0000_s1026" o:spid="_x0000_s1026" o:spt="176" type="#_x0000_t176" style="position:absolute;left:4320;top:14481;height:654;width:3092;" fillcolor="#FFFFFF" filled="t" stroked="t" coordsize="21600,21600" o:gfxdata="UEsDBAoAAAAAAIdO4kAAAAAAAAAAAAAAAAAEAAAAZHJzL1BLAwQUAAAACACHTuJA4fk9HLwAAADb&#10;AAAADwAAAGRycy9kb3ducmV2LnhtbEWPT4vCMBTE7wv7HcJb8LamXUSlGj0IgpcVrXrw9miebbB5&#10;KUn89+2NIHgcZuY3zHR+t624kg/GsYK8n4Egrpw2XCvY75a/YxAhImtsHZOCBwWYz76/plhod+Mt&#10;XctYiwThUKCCJsaukDJUDVkMfdcRJ+/kvMWYpK+l9nhLcNvKvywbSouG00KDHS0aqs7lxSpYmfLQ&#10;Hpd+8H+ide42o8t2Y9ZK9X7ybAIi0j1+wu/2SisYjOD1Jf0AOXs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H5PRy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textbox>
                      <w:txbxContent>
                        <w:p>
                          <w:pPr>
                            <w:jc w:val="center"/>
                          </w:pPr>
                        </w:p>
                      </w:txbxContent>
                    </v:textbox>
                  </v:shape>
                </v:group>
                <v:shape id="_x0000_s1026" o:spid="_x0000_s1026" o:spt="176" type="#_x0000_t176" style="position:absolute;left:4260;top:3765;height:660;width:3092;" fillcolor="#FFFFFF" filled="t" stroked="t" coordsize="21600,21600" o:gfxdata="UEsDBAoAAAAAAIdO4kAAAAAAAAAAAAAAAAAEAAAAZHJzL1BLAwQUAAAACACHTuJA/yoM9bwAAADb&#10;AAAADwAAAGRycy9kb3ducmV2LnhtbEWPT4vCMBTE78J+h/AWvGlakVWr0cOC4EXR6h729miebdjm&#10;pSTx37ffCILHYWZ+wyxWd9uKK/lgHCvIhxkI4sppw7WC03E9mIIIEVlj65gUPCjAavnRW2Ch3Y0P&#10;dC1jLRKEQ4EKmhi7QspQNWQxDF1HnLyz8xZjkr6W2uMtwW0rR1n2JS0aTgsNdvTdUPVXXqyCjSl/&#10;2t+1H2/PtMvdfnI57M1Oqf5nns1BRLrHd/jV3mgF4xk8v6QfIJ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8qDPW8AAAA&#10;2wAAAA8AAAAAAAAAAQAgAAAAIgAAAGRycy9kb3ducmV2LnhtbFBLAQIUABQAAAAIAIdO4kAzLwWe&#10;OwAAADkAAAAQAAAAAAAAAAEAIAAAAAsBAABkcnMvc2hhcGV4bWwueG1sUEsFBgAAAAAGAAYAWwEA&#10;ALUDAAAAAA==&#10;">
                  <v:fill on="t" focussize="0,0"/>
                  <v:stroke weight="1.5pt" color="#000000" joinstyle="miter"/>
                  <v:imagedata o:title=""/>
                  <o:lock v:ext="edit" aspectratio="f"/>
                </v:shape>
                <v:shape id="_x0000_s1026" o:spid="_x0000_s1026" o:spt="32" type="#_x0000_t32" style="position:absolute;left:5805;top:3352;height:413;width:0;" filled="f" stroked="t" coordsize="21600,21600" o:gfxdata="UEsDBAoAAAAAAIdO4kAAAAAAAAAAAAAAAAAEAAAAZHJzL1BLAwQUAAAACACHTuJAieZQOrsAAADb&#10;AAAADwAAAGRycy9kb3ducmV2LnhtbEVPW2vCMBR+H+w/hDPY20wrrGg1FjaR9WWCOoaPh+bYBJuT&#10;0mRe9uvNg+Djx3efVxfXiRMNwXpWkI8yEMSN15ZbBT+71dsERIjIGjvPpOBKAarF89McS+3PvKHT&#10;NrYihXAoUYGJsS+lDI0hh2Hke+LEHfzgMCY4tFIPeE7hrpPjLCukQ8upwWBPn4aa4/bPKYjL/dUU&#10;v83H1K53X9+F/a/reqnU60uezUBEusSH+O6utYL3tD59ST9A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eZQOr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shape>
              </v:group>
            </w:pict>
          </mc:Fallback>
        </mc:AlternateContent>
      </w:r>
      <w:r>
        <w:rPr>
          <w:rFonts w:hint="eastAsia" w:ascii="Times New Roman"/>
          <w:snapToGrid w:val="0"/>
          <w:color w:val="000000"/>
          <w:spacing w:val="-2"/>
          <w:kern w:val="0"/>
        </w:rPr>
        <w:tab/>
      </w:r>
    </w:p>
    <w:p>
      <w:pPr>
        <w:tabs>
          <w:tab w:val="left" w:pos="1845"/>
        </w:tabs>
        <w:spacing w:line="276" w:lineRule="auto"/>
        <w:rPr>
          <w:rFonts w:hint="eastAsia" w:ascii="Times New Roman"/>
          <w:snapToGrid w:val="0"/>
          <w:color w:val="000000"/>
          <w:spacing w:val="-2"/>
          <w:kern w:val="0"/>
        </w:rPr>
      </w:pPr>
    </w:p>
    <w:p>
      <w:pPr>
        <w:tabs>
          <w:tab w:val="left" w:pos="1845"/>
        </w:tabs>
        <w:spacing w:line="276" w:lineRule="auto"/>
        <w:rPr>
          <w:rFonts w:hint="eastAsia" w:ascii="Times New Roman"/>
          <w:snapToGrid w:val="0"/>
          <w:color w:val="000000"/>
          <w:spacing w:val="-2"/>
          <w:kern w:val="0"/>
        </w:rPr>
      </w:pPr>
    </w:p>
    <w:p>
      <w:pPr>
        <w:tabs>
          <w:tab w:val="left" w:pos="1845"/>
        </w:tabs>
        <w:spacing w:line="276" w:lineRule="auto"/>
        <w:rPr>
          <w:rFonts w:hint="eastAsia" w:ascii="Times New Roman"/>
          <w:snapToGrid w:val="0"/>
          <w:color w:val="000000"/>
          <w:spacing w:val="-2"/>
          <w:kern w:val="0"/>
        </w:rPr>
      </w:pPr>
    </w:p>
    <w:p>
      <w:pPr>
        <w:tabs>
          <w:tab w:val="left" w:pos="1845"/>
        </w:tabs>
        <w:spacing w:line="276" w:lineRule="auto"/>
        <w:rPr>
          <w:rFonts w:hint="eastAsia" w:ascii="Times New Roman"/>
          <w:snapToGrid w:val="0"/>
          <w:color w:val="000000"/>
          <w:spacing w:val="-2"/>
          <w:kern w:val="0"/>
        </w:rPr>
      </w:pPr>
    </w:p>
    <w:p>
      <w:pPr>
        <w:tabs>
          <w:tab w:val="left" w:pos="1845"/>
        </w:tabs>
        <w:spacing w:line="276" w:lineRule="auto"/>
        <w:rPr>
          <w:rFonts w:hint="eastAsia" w:ascii="Times New Roman"/>
          <w:snapToGrid w:val="0"/>
          <w:color w:val="000000"/>
          <w:spacing w:val="-2"/>
          <w:kern w:val="0"/>
        </w:rPr>
      </w:pPr>
    </w:p>
    <w:p>
      <w:pPr>
        <w:tabs>
          <w:tab w:val="left" w:pos="1845"/>
        </w:tabs>
        <w:spacing w:line="276" w:lineRule="auto"/>
        <w:rPr>
          <w:rFonts w:hint="eastAsia" w:ascii="Times New Roman"/>
          <w:snapToGrid w:val="0"/>
          <w:color w:val="000000"/>
          <w:spacing w:val="-2"/>
          <w:kern w:val="0"/>
        </w:rPr>
      </w:pPr>
    </w:p>
    <w:p>
      <w:pPr>
        <w:tabs>
          <w:tab w:val="left" w:pos="1845"/>
        </w:tabs>
        <w:spacing w:line="276" w:lineRule="auto"/>
        <w:rPr>
          <w:rFonts w:hint="eastAsia" w:ascii="Times New Roman"/>
          <w:snapToGrid w:val="0"/>
          <w:color w:val="000000"/>
          <w:spacing w:val="-2"/>
          <w:kern w:val="0"/>
        </w:rPr>
      </w:pPr>
    </w:p>
    <w:p>
      <w:pPr>
        <w:tabs>
          <w:tab w:val="left" w:pos="1845"/>
        </w:tabs>
        <w:spacing w:line="276" w:lineRule="auto"/>
        <w:rPr>
          <w:rFonts w:hint="eastAsia" w:ascii="Times New Roman"/>
          <w:snapToGrid w:val="0"/>
          <w:color w:val="000000"/>
          <w:spacing w:val="-2"/>
          <w:kern w:val="0"/>
        </w:rPr>
      </w:pPr>
    </w:p>
    <w:p>
      <w:pPr>
        <w:tabs>
          <w:tab w:val="left" w:pos="1845"/>
        </w:tabs>
        <w:spacing w:line="276" w:lineRule="auto"/>
        <w:jc w:val="center"/>
        <w:rPr>
          <w:rFonts w:hint="eastAsia" w:ascii="Times New Roman"/>
          <w:snapToGrid w:val="0"/>
          <w:color w:val="000000"/>
          <w:spacing w:val="-2"/>
          <w:kern w:val="0"/>
        </w:rPr>
      </w:pPr>
    </w:p>
    <w:p>
      <w:pPr>
        <w:tabs>
          <w:tab w:val="left" w:pos="1845"/>
        </w:tabs>
        <w:spacing w:line="276" w:lineRule="auto"/>
        <w:jc w:val="center"/>
        <w:rPr>
          <w:rFonts w:hint="eastAsia" w:eastAsia="黑体"/>
          <w:snapToGrid w:val="0"/>
          <w:color w:val="000000"/>
          <w:spacing w:val="-2"/>
          <w:kern w:val="0"/>
        </w:rPr>
      </w:pPr>
      <w:r>
        <w:rPr>
          <w:rFonts w:hint="eastAsia" w:eastAsia="黑体"/>
          <w:snapToGrid w:val="0"/>
          <w:color w:val="000000"/>
          <w:spacing w:val="-2"/>
          <w:kern w:val="0"/>
        </w:rPr>
        <w:t>图</w:t>
      </w:r>
      <w:r>
        <w:rPr>
          <w:rFonts w:eastAsia="黑体"/>
          <w:snapToGrid w:val="0"/>
          <w:color w:val="000000"/>
          <w:spacing w:val="-2"/>
          <w:kern w:val="0"/>
        </w:rPr>
        <w:t xml:space="preserve">5.1 </w:t>
      </w:r>
      <w:r>
        <w:rPr>
          <w:rFonts w:hint="eastAsia" w:eastAsia="黑体"/>
          <w:snapToGrid w:val="0"/>
          <w:color w:val="000000"/>
          <w:spacing w:val="-2"/>
          <w:kern w:val="0"/>
        </w:rPr>
        <w:t>深基坑支护工程施工阶段监理程序框图</w:t>
      </w:r>
    </w:p>
    <w:p>
      <w:pPr>
        <w:tabs>
          <w:tab w:val="left" w:pos="1845"/>
        </w:tabs>
        <w:spacing w:line="276" w:lineRule="auto"/>
        <w:jc w:val="center"/>
        <w:rPr>
          <w:rFonts w:eastAsia="黑体"/>
          <w:snapToGrid w:val="0"/>
          <w:color w:val="000000"/>
          <w:spacing w:val="-2"/>
          <w:kern w:val="0"/>
        </w:rPr>
      </w:pPr>
    </w:p>
    <w:p>
      <w:pPr>
        <w:spacing w:line="460" w:lineRule="exact"/>
        <w:rPr>
          <w:b/>
          <w:snapToGrid w:val="0"/>
          <w:color w:val="000000"/>
          <w:spacing w:val="-2"/>
          <w:kern w:val="0"/>
          <w:sz w:val="24"/>
        </w:rPr>
      </w:pPr>
      <w:r>
        <w:rPr>
          <w:b/>
          <w:snapToGrid w:val="0"/>
          <w:color w:val="000000"/>
          <w:spacing w:val="-2"/>
          <w:kern w:val="0"/>
          <w:sz w:val="24"/>
        </w:rPr>
        <w:t xml:space="preserve">5.2 </w:t>
      </w:r>
      <w:r>
        <w:rPr>
          <w:rFonts w:hint="eastAsia" w:hAnsi="Times New Roman"/>
          <w:b/>
          <w:snapToGrid w:val="0"/>
          <w:color w:val="000000"/>
          <w:spacing w:val="-2"/>
          <w:kern w:val="0"/>
          <w:sz w:val="24"/>
        </w:rPr>
        <w:t>深基坑支护工程施工方案审核程序（同上）。</w:t>
      </w:r>
    </w:p>
    <w:p>
      <w:pPr>
        <w:spacing w:line="460" w:lineRule="exact"/>
        <w:rPr>
          <w:b/>
          <w:snapToGrid w:val="0"/>
          <w:color w:val="000000"/>
          <w:spacing w:val="-2"/>
          <w:kern w:val="0"/>
          <w:sz w:val="24"/>
        </w:rPr>
      </w:pPr>
      <w:r>
        <w:rPr>
          <w:b/>
          <w:snapToGrid w:val="0"/>
          <w:color w:val="000000"/>
          <w:spacing w:val="-2"/>
          <w:kern w:val="0"/>
          <w:sz w:val="24"/>
        </w:rPr>
        <w:t xml:space="preserve">5.3 </w:t>
      </w:r>
      <w:r>
        <w:rPr>
          <w:rFonts w:hint="eastAsia" w:hAnsi="Times New Roman"/>
          <w:b/>
          <w:snapToGrid w:val="0"/>
          <w:color w:val="000000"/>
          <w:spacing w:val="-2"/>
          <w:kern w:val="0"/>
          <w:sz w:val="24"/>
        </w:rPr>
        <w:t>分包单位资格审核监理工作程序（同上）。</w:t>
      </w:r>
    </w:p>
    <w:p>
      <w:pPr>
        <w:spacing w:line="460" w:lineRule="exact"/>
        <w:rPr>
          <w:b/>
          <w:snapToGrid w:val="0"/>
          <w:color w:val="000000"/>
          <w:spacing w:val="-2"/>
          <w:kern w:val="0"/>
          <w:sz w:val="24"/>
        </w:rPr>
      </w:pPr>
      <w:r>
        <w:rPr>
          <w:b/>
          <w:snapToGrid w:val="0"/>
          <w:color w:val="000000"/>
          <w:spacing w:val="-2"/>
          <w:kern w:val="0"/>
          <w:sz w:val="24"/>
        </w:rPr>
        <w:t xml:space="preserve">5.4 </w:t>
      </w:r>
      <w:r>
        <w:rPr>
          <w:rFonts w:hint="eastAsia" w:hAnsi="Times New Roman"/>
          <w:b/>
          <w:snapToGrid w:val="0"/>
          <w:color w:val="000000"/>
          <w:spacing w:val="-2"/>
          <w:kern w:val="0"/>
          <w:sz w:val="24"/>
        </w:rPr>
        <w:t>深基坑支护工程施工质量控制流程（同上）。</w:t>
      </w:r>
    </w:p>
    <w:p>
      <w:pPr>
        <w:spacing w:line="460" w:lineRule="exact"/>
        <w:rPr>
          <w:b/>
          <w:snapToGrid w:val="0"/>
          <w:color w:val="000000"/>
          <w:spacing w:val="-2"/>
          <w:kern w:val="0"/>
          <w:sz w:val="24"/>
        </w:rPr>
      </w:pPr>
      <w:r>
        <w:drawing>
          <wp:anchor distT="0" distB="0" distL="114300" distR="114300" simplePos="0" relativeHeight="251659264" behindDoc="1" locked="1" layoutInCell="1" allowOverlap="1">
            <wp:simplePos x="0" y="0"/>
            <wp:positionH relativeFrom="column">
              <wp:posOffset>4445000</wp:posOffset>
            </wp:positionH>
            <wp:positionV relativeFrom="paragraph">
              <wp:posOffset>9448800</wp:posOffset>
            </wp:positionV>
            <wp:extent cx="482600" cy="469900"/>
            <wp:effectExtent l="0" t="0" r="12700" b="6350"/>
            <wp:wrapNone/>
            <wp:docPr id="55" name="图片 2"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2" descr="38"/>
                    <pic:cNvPicPr>
                      <a:picLocks noChangeAspect="1"/>
                    </pic:cNvPicPr>
                  </pic:nvPicPr>
                  <pic:blipFill>
                    <a:blip r:embed="rId7"/>
                    <a:stretch>
                      <a:fillRect/>
                    </a:stretch>
                  </pic:blipFill>
                  <pic:spPr>
                    <a:xfrm>
                      <a:off x="0" y="0"/>
                      <a:ext cx="482600" cy="469900"/>
                    </a:xfrm>
                    <a:prstGeom prst="rect">
                      <a:avLst/>
                    </a:prstGeom>
                    <a:noFill/>
                    <a:ln>
                      <a:noFill/>
                    </a:ln>
                  </pic:spPr>
                </pic:pic>
              </a:graphicData>
            </a:graphic>
          </wp:anchor>
        </w:drawing>
      </w:r>
      <w:r>
        <w:rPr>
          <w:b/>
          <w:snapToGrid w:val="0"/>
          <w:color w:val="000000"/>
          <w:spacing w:val="-2"/>
          <w:kern w:val="0"/>
          <w:sz w:val="24"/>
        </w:rPr>
        <w:t xml:space="preserve">5.5 </w:t>
      </w:r>
      <w:r>
        <w:rPr>
          <w:rFonts w:hint="eastAsia" w:hAnsi="Times New Roman"/>
          <w:b/>
          <w:snapToGrid w:val="0"/>
          <w:color w:val="000000"/>
          <w:spacing w:val="-2"/>
          <w:kern w:val="0"/>
          <w:sz w:val="24"/>
        </w:rPr>
        <w:t>深基坑支护工程验收流程（同上）。</w:t>
      </w:r>
    </w:p>
    <w:p>
      <w:pPr>
        <w:spacing w:line="460" w:lineRule="exact"/>
        <w:rPr>
          <w:rFonts w:ascii="Times New Roman"/>
          <w:b/>
          <w:snapToGrid w:val="0"/>
          <w:color w:val="000000"/>
          <w:spacing w:val="-2"/>
          <w:kern w:val="0"/>
          <w:sz w:val="24"/>
        </w:rPr>
      </w:pPr>
      <w:r>
        <w:rPr>
          <w:b/>
          <w:snapToGrid w:val="0"/>
          <w:color w:val="000000"/>
          <w:spacing w:val="-2"/>
          <w:kern w:val="0"/>
          <w:sz w:val="24"/>
        </w:rPr>
        <w:t xml:space="preserve">5.6 </w:t>
      </w:r>
      <w:r>
        <w:rPr>
          <w:rFonts w:hint="eastAsia" w:ascii="Times New Roman" w:hAnsi="Times New Roman"/>
          <w:b/>
          <w:snapToGrid w:val="0"/>
          <w:color w:val="000000"/>
          <w:spacing w:val="-2"/>
          <w:kern w:val="0"/>
          <w:sz w:val="24"/>
        </w:rPr>
        <w:t>其它程序或流程（根据工程实际情况增减、调整）。</w:t>
      </w:r>
    </w:p>
    <w:p>
      <w:pPr>
        <w:spacing w:before="240" w:beforeLines="100" w:after="240" w:afterLines="100" w:line="420" w:lineRule="exact"/>
        <w:rPr>
          <w:rFonts w:hint="eastAsia"/>
          <w:b/>
          <w:color w:val="000000"/>
          <w:spacing w:val="-2"/>
          <w:sz w:val="28"/>
          <w:szCs w:val="28"/>
        </w:rPr>
      </w:pPr>
      <w:r>
        <w:rPr>
          <w:b/>
          <w:color w:val="000000"/>
          <w:spacing w:val="-2"/>
          <w:sz w:val="28"/>
          <w:szCs w:val="28"/>
        </w:rPr>
        <w:t xml:space="preserve">6 </w:t>
      </w:r>
      <w:r>
        <w:rPr>
          <w:rFonts w:hint="eastAsia"/>
          <w:b/>
          <w:color w:val="000000"/>
          <w:spacing w:val="-2"/>
          <w:sz w:val="28"/>
          <w:szCs w:val="28"/>
        </w:rPr>
        <w:t>深基坑支护工程监理工作控制要点及目标值</w:t>
      </w:r>
    </w:p>
    <w:p>
      <w:pPr>
        <w:pStyle w:val="3"/>
        <w:spacing w:before="0" w:after="0" w:line="460" w:lineRule="exact"/>
        <w:rPr>
          <w:rFonts w:ascii="Times New Roman" w:hAnsi="Times New Roman"/>
          <w:iCs/>
          <w:snapToGrid w:val="0"/>
          <w:color w:val="000000"/>
          <w:spacing w:val="-2"/>
          <w:sz w:val="24"/>
          <w:szCs w:val="24"/>
        </w:rPr>
      </w:pPr>
      <w:bookmarkStart w:id="446" w:name="_Toc20726498"/>
      <w:bookmarkStart w:id="447" w:name="_Toc20667969"/>
      <w:bookmarkStart w:id="448" w:name="_Toc18315668"/>
      <w:r>
        <w:rPr>
          <w:rFonts w:ascii="Times New Roman" w:hAnsi="Times New Roman"/>
          <w:iCs/>
          <w:snapToGrid w:val="0"/>
          <w:color w:val="000000"/>
          <w:spacing w:val="-2"/>
          <w:sz w:val="24"/>
          <w:szCs w:val="24"/>
        </w:rPr>
        <w:t xml:space="preserve">6.1 </w:t>
      </w:r>
      <w:r>
        <w:rPr>
          <w:rFonts w:hint="eastAsia" w:ascii="Times New Roman" w:hAnsi="Times New Roman"/>
          <w:iCs/>
          <w:snapToGrid w:val="0"/>
          <w:color w:val="000000"/>
          <w:spacing w:val="-2"/>
          <w:sz w:val="24"/>
          <w:szCs w:val="24"/>
        </w:rPr>
        <w:t>本工程深基坑支护工程质量目标。</w:t>
      </w:r>
      <w:bookmarkEnd w:id="446"/>
      <w:bookmarkEnd w:id="447"/>
      <w:bookmarkEnd w:id="448"/>
    </w:p>
    <w:p>
      <w:pPr>
        <w:snapToGrid w:val="0"/>
        <w:spacing w:line="460" w:lineRule="exact"/>
        <w:ind w:firstLine="472" w:firstLineChars="200"/>
        <w:rPr>
          <w:rFonts w:ascii="Times New Roman"/>
          <w:snapToGrid w:val="0"/>
          <w:color w:val="000000"/>
          <w:spacing w:val="-2"/>
          <w:kern w:val="0"/>
          <w:sz w:val="24"/>
        </w:rPr>
      </w:pPr>
      <w:r>
        <w:rPr>
          <w:rFonts w:hint="eastAsia" w:ascii="Times New Roman"/>
          <w:snapToGrid w:val="0"/>
          <w:color w:val="000000"/>
          <w:spacing w:val="-2"/>
          <w:kern w:val="0"/>
          <w:sz w:val="24"/>
        </w:rPr>
        <w:t>根据设计文件、施工合同及相关标准的要求，本工程深基坑等级为</w:t>
      </w:r>
      <w:r>
        <w:rPr>
          <w:rFonts w:hint="eastAsia" w:ascii="Times New Roman"/>
          <w:snapToGrid w:val="0"/>
          <w:color w:val="000000"/>
          <w:spacing w:val="-2"/>
          <w:kern w:val="0"/>
          <w:sz w:val="24"/>
          <w:u w:val="single"/>
        </w:rPr>
        <w:t xml:space="preserve">           </w:t>
      </w:r>
      <w:r>
        <w:rPr>
          <w:rFonts w:hint="eastAsia" w:ascii="Times New Roman"/>
          <w:snapToGrid w:val="0"/>
          <w:color w:val="000000"/>
          <w:spacing w:val="-2"/>
          <w:kern w:val="0"/>
          <w:sz w:val="24"/>
        </w:rPr>
        <w:t>，子分部质量目标确定为</w:t>
      </w:r>
      <w:r>
        <w:rPr>
          <w:rFonts w:hint="eastAsia" w:ascii="Times New Roman"/>
          <w:snapToGrid w:val="0"/>
          <w:color w:val="000000"/>
          <w:spacing w:val="-2"/>
          <w:kern w:val="0"/>
          <w:sz w:val="24"/>
          <w:u w:val="single"/>
        </w:rPr>
        <w:t xml:space="preserve">           </w:t>
      </w:r>
      <w:r>
        <w:rPr>
          <w:rFonts w:hint="eastAsia" w:ascii="Times New Roman"/>
          <w:snapToGrid w:val="0"/>
          <w:color w:val="000000"/>
          <w:spacing w:val="-2"/>
          <w:kern w:val="0"/>
          <w:sz w:val="24"/>
        </w:rPr>
        <w:t>、工期目标为</w:t>
      </w:r>
      <w:r>
        <w:rPr>
          <w:rFonts w:hint="eastAsia" w:ascii="Times New Roman"/>
          <w:snapToGrid w:val="0"/>
          <w:color w:val="000000"/>
          <w:spacing w:val="-2"/>
          <w:kern w:val="0"/>
          <w:sz w:val="24"/>
          <w:u w:val="single"/>
        </w:rPr>
        <w:t xml:space="preserve">           </w:t>
      </w:r>
      <w:r>
        <w:rPr>
          <w:rFonts w:hint="eastAsia" w:ascii="Times New Roman"/>
          <w:snapToGrid w:val="0"/>
          <w:color w:val="000000"/>
          <w:spacing w:val="-2"/>
          <w:kern w:val="0"/>
          <w:sz w:val="24"/>
        </w:rPr>
        <w:t>。</w:t>
      </w:r>
    </w:p>
    <w:p>
      <w:pPr>
        <w:pStyle w:val="3"/>
        <w:spacing w:before="0" w:after="0" w:line="460" w:lineRule="exact"/>
        <w:rPr>
          <w:rFonts w:hint="eastAsia" w:ascii="Times New Roman" w:hAnsi="Times New Roman"/>
          <w:iCs/>
          <w:snapToGrid w:val="0"/>
          <w:color w:val="000000"/>
          <w:spacing w:val="-2"/>
          <w:sz w:val="24"/>
          <w:szCs w:val="24"/>
        </w:rPr>
      </w:pPr>
      <w:bookmarkStart w:id="449" w:name="_Toc20726499"/>
      <w:bookmarkStart w:id="450" w:name="_Toc20667970"/>
      <w:bookmarkStart w:id="451" w:name="_Toc18315669"/>
      <w:r>
        <w:rPr>
          <w:rFonts w:ascii="Times New Roman" w:hAnsi="Times New Roman"/>
          <w:iCs/>
          <w:snapToGrid w:val="0"/>
          <w:color w:val="000000"/>
          <w:spacing w:val="-2"/>
          <w:sz w:val="24"/>
          <w:szCs w:val="24"/>
        </w:rPr>
        <w:t xml:space="preserve">6.2 </w:t>
      </w:r>
      <w:r>
        <w:rPr>
          <w:rFonts w:hint="eastAsia" w:ascii="Times New Roman" w:hAnsi="Times New Roman"/>
          <w:iCs/>
          <w:snapToGrid w:val="0"/>
          <w:color w:val="000000"/>
          <w:spacing w:val="-2"/>
          <w:sz w:val="24"/>
          <w:szCs w:val="24"/>
        </w:rPr>
        <w:t>本工程深基坑支护工程监理质量控制点。</w:t>
      </w:r>
      <w:bookmarkEnd w:id="449"/>
      <w:bookmarkEnd w:id="450"/>
      <w:bookmarkEnd w:id="451"/>
    </w:p>
    <w:p>
      <w:pPr>
        <w:snapToGrid w:val="0"/>
        <w:spacing w:line="460" w:lineRule="exact"/>
        <w:ind w:firstLine="472" w:firstLineChars="200"/>
        <w:rPr>
          <w:snapToGrid w:val="0"/>
          <w:color w:val="000000"/>
          <w:spacing w:val="-2"/>
          <w:sz w:val="24"/>
        </w:rPr>
      </w:pPr>
      <w:r>
        <w:rPr>
          <w:rFonts w:hint="eastAsia" w:hAnsi="Times New Roman"/>
          <w:color w:val="000000"/>
          <w:spacing w:val="-2"/>
          <w:sz w:val="24"/>
        </w:rPr>
        <w:t>依据建质〔</w:t>
      </w:r>
      <w:r>
        <w:rPr>
          <w:color w:val="000000"/>
          <w:spacing w:val="-2"/>
          <w:sz w:val="24"/>
        </w:rPr>
        <w:t>2009</w:t>
      </w:r>
      <w:r>
        <w:rPr>
          <w:rFonts w:hint="eastAsia" w:hAnsi="Times New Roman"/>
          <w:color w:val="000000"/>
          <w:spacing w:val="-2"/>
          <w:sz w:val="24"/>
        </w:rPr>
        <w:t>〕</w:t>
      </w:r>
      <w:r>
        <w:rPr>
          <w:color w:val="000000"/>
          <w:spacing w:val="-2"/>
          <w:sz w:val="24"/>
        </w:rPr>
        <w:t>87</w:t>
      </w:r>
      <w:r>
        <w:rPr>
          <w:rFonts w:hint="eastAsia" w:hAnsi="Times New Roman"/>
          <w:color w:val="000000"/>
          <w:spacing w:val="-2"/>
          <w:sz w:val="24"/>
        </w:rPr>
        <w:t>号文及省市建设行政主管部门的相关规定</w:t>
      </w:r>
      <w:r>
        <w:rPr>
          <w:rFonts w:hint="eastAsia" w:hAnsi="Times New Roman"/>
          <w:snapToGrid w:val="0"/>
          <w:color w:val="000000"/>
          <w:spacing w:val="-2"/>
          <w:sz w:val="24"/>
        </w:rPr>
        <w:t>，本项目深基坑支护将对以下</w:t>
      </w:r>
      <w:r>
        <w:rPr>
          <w:rFonts w:hint="eastAsia" w:hAnsi="Times New Roman"/>
          <w:color w:val="000000"/>
          <w:spacing w:val="-2"/>
          <w:sz w:val="24"/>
        </w:rPr>
        <w:t>安全专项施工方案</w:t>
      </w:r>
      <w:r>
        <w:rPr>
          <w:rFonts w:hint="eastAsia" w:hAnsi="Times New Roman"/>
          <w:snapToGrid w:val="0"/>
          <w:color w:val="000000"/>
          <w:spacing w:val="-2"/>
          <w:sz w:val="24"/>
        </w:rPr>
        <w:t>进行专家论证：</w:t>
      </w:r>
    </w:p>
    <w:p>
      <w:pPr>
        <w:snapToGrid w:val="0"/>
        <w:spacing w:line="460" w:lineRule="exact"/>
        <w:ind w:firstLine="472" w:firstLineChars="200"/>
        <w:rPr>
          <w:snapToGrid w:val="0"/>
          <w:color w:val="000000"/>
          <w:spacing w:val="-2"/>
          <w:kern w:val="0"/>
          <w:sz w:val="24"/>
        </w:rPr>
      </w:pPr>
      <w:r>
        <w:rPr>
          <w:snapToGrid w:val="0"/>
          <w:color w:val="000000"/>
          <w:spacing w:val="-2"/>
          <w:kern w:val="0"/>
          <w:sz w:val="24"/>
        </w:rPr>
        <w:t>1.</w:t>
      </w:r>
      <w:r>
        <w:rPr>
          <w:snapToGrid w:val="0"/>
          <w:color w:val="000000"/>
          <w:spacing w:val="-2"/>
          <w:kern w:val="0"/>
          <w:sz w:val="24"/>
          <w:u w:val="single"/>
        </w:rPr>
        <w:t xml:space="preserve">                                                                   </w:t>
      </w:r>
      <w:r>
        <w:rPr>
          <w:rFonts w:hint="eastAsia"/>
          <w:snapToGrid w:val="0"/>
          <w:color w:val="000000"/>
          <w:spacing w:val="-2"/>
          <w:kern w:val="0"/>
          <w:sz w:val="24"/>
        </w:rPr>
        <w:t>。</w:t>
      </w:r>
    </w:p>
    <w:p>
      <w:pPr>
        <w:snapToGrid w:val="0"/>
        <w:spacing w:line="460" w:lineRule="exact"/>
        <w:ind w:firstLine="472" w:firstLineChars="200"/>
        <w:rPr>
          <w:snapToGrid w:val="0"/>
          <w:color w:val="000000"/>
          <w:spacing w:val="-2"/>
          <w:kern w:val="0"/>
          <w:sz w:val="24"/>
        </w:rPr>
      </w:pPr>
      <w:r>
        <w:rPr>
          <w:snapToGrid w:val="0"/>
          <w:color w:val="000000"/>
          <w:spacing w:val="-2"/>
          <w:kern w:val="0"/>
          <w:sz w:val="24"/>
        </w:rPr>
        <w:t>2.</w:t>
      </w:r>
      <w:r>
        <w:rPr>
          <w:snapToGrid w:val="0"/>
          <w:color w:val="000000"/>
          <w:spacing w:val="-2"/>
          <w:kern w:val="0"/>
          <w:sz w:val="24"/>
          <w:u w:val="single"/>
        </w:rPr>
        <w:t xml:space="preserve">                                                                   </w:t>
      </w:r>
      <w:r>
        <w:rPr>
          <w:rFonts w:hint="eastAsia"/>
          <w:snapToGrid w:val="0"/>
          <w:color w:val="000000"/>
          <w:spacing w:val="-2"/>
          <w:kern w:val="0"/>
          <w:sz w:val="24"/>
        </w:rPr>
        <w:t>。</w:t>
      </w:r>
    </w:p>
    <w:p>
      <w:pPr>
        <w:snapToGrid w:val="0"/>
        <w:spacing w:line="460" w:lineRule="exact"/>
        <w:ind w:firstLine="472" w:firstLineChars="200"/>
        <w:rPr>
          <w:snapToGrid w:val="0"/>
          <w:color w:val="000000"/>
          <w:spacing w:val="-2"/>
          <w:kern w:val="0"/>
          <w:sz w:val="24"/>
        </w:rPr>
      </w:pPr>
      <w:r>
        <w:rPr>
          <w:snapToGrid w:val="0"/>
          <w:color w:val="000000"/>
          <w:spacing w:val="-2"/>
          <w:kern w:val="0"/>
          <w:sz w:val="24"/>
        </w:rPr>
        <w:t>3.</w:t>
      </w:r>
      <w:r>
        <w:rPr>
          <w:snapToGrid w:val="0"/>
          <w:color w:val="000000"/>
          <w:spacing w:val="-2"/>
          <w:kern w:val="0"/>
          <w:sz w:val="24"/>
          <w:u w:val="single"/>
        </w:rPr>
        <w:t xml:space="preserve">                                                                   </w:t>
      </w:r>
      <w:r>
        <w:rPr>
          <w:rFonts w:hint="eastAsia"/>
          <w:snapToGrid w:val="0"/>
          <w:color w:val="000000"/>
          <w:spacing w:val="-2"/>
          <w:kern w:val="0"/>
          <w:sz w:val="24"/>
        </w:rPr>
        <w:t>。</w:t>
      </w:r>
    </w:p>
    <w:p>
      <w:pPr>
        <w:snapToGrid w:val="0"/>
        <w:spacing w:line="460" w:lineRule="exact"/>
        <w:ind w:firstLine="472" w:firstLineChars="200"/>
        <w:rPr>
          <w:rFonts w:ascii="Times New Roman"/>
          <w:snapToGrid w:val="0"/>
          <w:color w:val="000000"/>
          <w:spacing w:val="-2"/>
          <w:kern w:val="0"/>
          <w:sz w:val="24"/>
        </w:rPr>
      </w:pPr>
      <w:r>
        <w:rPr>
          <w:snapToGrid w:val="0"/>
          <w:color w:val="000000"/>
          <w:spacing w:val="-2"/>
          <w:kern w:val="0"/>
          <w:sz w:val="24"/>
        </w:rPr>
        <w:t>4.</w:t>
      </w:r>
      <w:r>
        <w:rPr>
          <w:snapToGrid w:val="0"/>
          <w:color w:val="000000"/>
          <w:spacing w:val="-2"/>
          <w:kern w:val="0"/>
          <w:sz w:val="24"/>
          <w:u w:val="single"/>
        </w:rPr>
        <w:t xml:space="preserve"> </w:t>
      </w:r>
      <w:r>
        <w:rPr>
          <w:rFonts w:hint="eastAsia" w:ascii="Times New Roman"/>
          <w:snapToGrid w:val="0"/>
          <w:color w:val="000000"/>
          <w:spacing w:val="-2"/>
          <w:kern w:val="0"/>
          <w:sz w:val="24"/>
          <w:u w:val="single"/>
        </w:rPr>
        <w:t xml:space="preserve">                                                                  </w:t>
      </w:r>
      <w:r>
        <w:rPr>
          <w:rFonts w:hint="eastAsia" w:ascii="Times New Roman"/>
          <w:snapToGrid w:val="0"/>
          <w:color w:val="000000"/>
          <w:spacing w:val="-2"/>
          <w:kern w:val="0"/>
          <w:sz w:val="24"/>
        </w:rPr>
        <w:t>。</w:t>
      </w:r>
    </w:p>
    <w:p>
      <w:pPr>
        <w:snapToGrid w:val="0"/>
        <w:spacing w:line="460" w:lineRule="exact"/>
        <w:ind w:firstLine="472" w:firstLineChars="200"/>
        <w:rPr>
          <w:rFonts w:hint="eastAsia" w:ascii="Times New Roman"/>
          <w:snapToGrid w:val="0"/>
          <w:color w:val="000000"/>
          <w:spacing w:val="-2"/>
          <w:kern w:val="0"/>
          <w:sz w:val="24"/>
        </w:rPr>
      </w:pPr>
      <w:r>
        <w:rPr>
          <w:rFonts w:hint="eastAsia" w:ascii="Times New Roman"/>
          <w:snapToGrid w:val="0"/>
          <w:color w:val="000000"/>
          <w:spacing w:val="-2"/>
          <w:kern w:val="0"/>
          <w:sz w:val="24"/>
        </w:rPr>
        <w:t>根据国家规范及相关标准的规定，结合本工程深基坑支护分项工程的实施内容及特点，本工程深基坑支护工程监理质量控制关键点的确定。</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3908"/>
        <w:gridCol w:w="39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blHeader/>
        </w:trPr>
        <w:tc>
          <w:tcPr>
            <w:tcW w:w="98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eastAsia="黑体"/>
                <w:snapToGrid w:val="0"/>
                <w:color w:val="000000"/>
                <w:spacing w:val="-2"/>
                <w:kern w:val="0"/>
                <w:szCs w:val="21"/>
              </w:rPr>
            </w:pPr>
            <w:r>
              <w:rPr>
                <w:rFonts w:hint="eastAsia" w:eastAsia="黑体"/>
                <w:snapToGrid w:val="0"/>
                <w:color w:val="000000"/>
                <w:spacing w:val="-2"/>
                <w:kern w:val="0"/>
                <w:szCs w:val="21"/>
              </w:rPr>
              <w:t>序号</w:t>
            </w: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eastAsia="黑体"/>
                <w:snapToGrid w:val="0"/>
                <w:color w:val="000000"/>
                <w:spacing w:val="-2"/>
                <w:kern w:val="0"/>
                <w:szCs w:val="21"/>
              </w:rPr>
            </w:pPr>
            <w:r>
              <w:rPr>
                <w:rFonts w:hint="eastAsia" w:ascii="Times New Roman" w:eastAsia="黑体"/>
                <w:snapToGrid w:val="0"/>
                <w:color w:val="000000"/>
                <w:spacing w:val="-2"/>
                <w:kern w:val="0"/>
                <w:szCs w:val="21"/>
              </w:rPr>
              <w:t>分项工程名称</w:t>
            </w: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eastAsia="黑体"/>
                <w:snapToGrid w:val="0"/>
                <w:color w:val="000000"/>
                <w:spacing w:val="-2"/>
                <w:kern w:val="0"/>
                <w:szCs w:val="21"/>
              </w:rPr>
            </w:pPr>
            <w:r>
              <w:rPr>
                <w:rFonts w:hint="eastAsia" w:ascii="Times New Roman" w:eastAsia="黑体"/>
                <w:snapToGrid w:val="0"/>
                <w:color w:val="000000"/>
                <w:spacing w:val="-2"/>
                <w:kern w:val="0"/>
                <w:szCs w:val="21"/>
              </w:rPr>
              <w:t>质量控制关键点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98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snapToGrid w:val="0"/>
                <w:color w:val="000000"/>
                <w:spacing w:val="-2"/>
                <w:kern w:val="0"/>
                <w:szCs w:val="21"/>
              </w:rPr>
            </w:pPr>
            <w:r>
              <w:rPr>
                <w:snapToGrid w:val="0"/>
                <w:color w:val="000000"/>
                <w:spacing w:val="-2"/>
                <w:kern w:val="0"/>
                <w:szCs w:val="21"/>
              </w:rPr>
              <w:t>1</w:t>
            </w: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98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snapToGrid w:val="0"/>
                <w:color w:val="000000"/>
                <w:spacing w:val="-2"/>
                <w:kern w:val="0"/>
                <w:szCs w:val="21"/>
              </w:rPr>
            </w:pPr>
            <w:r>
              <w:rPr>
                <w:snapToGrid w:val="0"/>
                <w:color w:val="000000"/>
                <w:spacing w:val="-2"/>
                <w:kern w:val="0"/>
                <w:szCs w:val="21"/>
              </w:rPr>
              <w:t>2</w:t>
            </w: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98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snapToGrid w:val="0"/>
                <w:color w:val="000000"/>
                <w:spacing w:val="-2"/>
                <w:kern w:val="0"/>
                <w:szCs w:val="21"/>
              </w:rPr>
            </w:pPr>
            <w:r>
              <w:rPr>
                <w:snapToGrid w:val="0"/>
                <w:color w:val="000000"/>
                <w:spacing w:val="-2"/>
                <w:kern w:val="0"/>
                <w:szCs w:val="21"/>
              </w:rPr>
              <w:t>3</w:t>
            </w: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98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snapToGrid w:val="0"/>
                <w:color w:val="000000"/>
                <w:spacing w:val="-2"/>
                <w:kern w:val="0"/>
                <w:szCs w:val="21"/>
              </w:rPr>
            </w:pPr>
            <w:r>
              <w:rPr>
                <w:snapToGrid w:val="0"/>
                <w:color w:val="000000"/>
                <w:spacing w:val="-2"/>
                <w:kern w:val="0"/>
                <w:szCs w:val="21"/>
              </w:rPr>
              <w:t>4</w:t>
            </w: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98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snapToGrid w:val="0"/>
                <w:color w:val="000000"/>
                <w:spacing w:val="-2"/>
                <w:kern w:val="0"/>
                <w:szCs w:val="21"/>
              </w:rPr>
            </w:pPr>
            <w:r>
              <w:rPr>
                <w:snapToGrid w:val="0"/>
                <w:color w:val="000000"/>
                <w:spacing w:val="-2"/>
                <w:kern w:val="0"/>
                <w:szCs w:val="21"/>
              </w:rPr>
              <w:t>5</w:t>
            </w: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exact"/>
        </w:trPr>
        <w:tc>
          <w:tcPr>
            <w:tcW w:w="98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snapToGrid w:val="0"/>
                <w:color w:val="000000"/>
                <w:spacing w:val="-2"/>
                <w:kern w:val="0"/>
                <w:szCs w:val="21"/>
              </w:rPr>
            </w:pPr>
            <w:r>
              <w:rPr>
                <w:snapToGrid w:val="0"/>
                <w:color w:val="000000"/>
                <w:spacing w:val="-2"/>
                <w:kern w:val="0"/>
                <w:szCs w:val="21"/>
              </w:rPr>
              <w:t>6</w:t>
            </w: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c>
          <w:tcPr>
            <w:tcW w:w="3908" w:type="dxa"/>
            <w:tcBorders>
              <w:top w:val="single" w:color="auto" w:sz="4" w:space="0"/>
              <w:left w:val="single" w:color="auto" w:sz="4" w:space="0"/>
              <w:bottom w:val="single" w:color="auto" w:sz="4" w:space="0"/>
              <w:right w:val="single" w:color="auto" w:sz="4" w:space="0"/>
            </w:tcBorders>
            <w:noWrap w:val="0"/>
            <w:vAlign w:val="center"/>
          </w:tcPr>
          <w:p>
            <w:pPr>
              <w:snapToGrid w:val="0"/>
              <w:spacing w:line="260" w:lineRule="exact"/>
              <w:jc w:val="center"/>
              <w:rPr>
                <w:rFonts w:ascii="Times New Roman"/>
                <w:snapToGrid w:val="0"/>
                <w:color w:val="000000"/>
                <w:spacing w:val="-2"/>
                <w:kern w:val="0"/>
                <w:szCs w:val="21"/>
              </w:rPr>
            </w:pPr>
          </w:p>
        </w:tc>
      </w:tr>
    </w:tbl>
    <w:p>
      <w:pPr>
        <w:pStyle w:val="3"/>
        <w:spacing w:before="0" w:after="0" w:line="460" w:lineRule="exact"/>
        <w:rPr>
          <w:rFonts w:hint="eastAsia" w:ascii="Times New Roman" w:hAnsi="Times New Roman"/>
          <w:iCs/>
          <w:snapToGrid w:val="0"/>
          <w:color w:val="000000"/>
          <w:spacing w:val="-2"/>
          <w:sz w:val="24"/>
          <w:szCs w:val="24"/>
        </w:rPr>
      </w:pPr>
      <w:bookmarkStart w:id="452" w:name="_Toc20726500"/>
      <w:bookmarkStart w:id="453" w:name="_Toc18315670"/>
      <w:bookmarkStart w:id="454" w:name="_Toc20667971"/>
      <w:r>
        <w:rPr>
          <w:rFonts w:ascii="Times New Roman" w:hAnsi="Times New Roman"/>
          <w:iCs/>
          <w:snapToGrid w:val="0"/>
          <w:color w:val="000000"/>
          <w:spacing w:val="-2"/>
          <w:sz w:val="24"/>
          <w:szCs w:val="24"/>
        </w:rPr>
        <w:t xml:space="preserve">6.3 </w:t>
      </w:r>
      <w:r>
        <w:rPr>
          <w:rFonts w:hint="eastAsia" w:ascii="Times New Roman" w:hAnsi="Times New Roman"/>
          <w:iCs/>
          <w:snapToGrid w:val="0"/>
          <w:color w:val="000000"/>
          <w:spacing w:val="-2"/>
          <w:sz w:val="24"/>
          <w:szCs w:val="24"/>
        </w:rPr>
        <w:t>深基坑支护工程各分项工程监理控制要点及目标值。</w:t>
      </w:r>
      <w:bookmarkEnd w:id="452"/>
      <w:bookmarkEnd w:id="453"/>
      <w:bookmarkEnd w:id="454"/>
    </w:p>
    <w:p>
      <w:pPr>
        <w:spacing w:line="460" w:lineRule="exact"/>
        <w:ind w:firstLine="417" w:firstLineChars="177"/>
        <w:rPr>
          <w:rFonts w:ascii="Times New Roman"/>
          <w:snapToGrid w:val="0"/>
          <w:color w:val="000000"/>
          <w:spacing w:val="-2"/>
          <w:kern w:val="0"/>
          <w:sz w:val="24"/>
        </w:rPr>
      </w:pPr>
      <w:r>
        <w:rPr>
          <w:rFonts w:hint="eastAsia" w:ascii="Times New Roman"/>
          <w:snapToGrid w:val="0"/>
          <w:color w:val="000000"/>
          <w:spacing w:val="-2"/>
          <w:kern w:val="0"/>
          <w:sz w:val="24"/>
        </w:rPr>
        <w:t>根据国家规范及相关标准的规定，结合本工程深基坑支护分项工程的实施内容及特点，本工程深基坑支护工程监理质量控制要点及目标值。</w:t>
      </w:r>
    </w:p>
    <w:p>
      <w:pPr>
        <w:pStyle w:val="3"/>
        <w:spacing w:before="0" w:after="0" w:line="460" w:lineRule="exact"/>
        <w:rPr>
          <w:rFonts w:hint="eastAsia" w:ascii="Times New Roman" w:hAnsi="Times New Roman"/>
          <w:iCs/>
          <w:snapToGrid w:val="0"/>
          <w:color w:val="000000"/>
          <w:spacing w:val="-2"/>
          <w:sz w:val="24"/>
          <w:szCs w:val="24"/>
        </w:rPr>
      </w:pPr>
      <w:bookmarkStart w:id="455" w:name="_Toc18315671"/>
      <w:bookmarkStart w:id="456" w:name="_Toc20726501"/>
      <w:bookmarkStart w:id="457" w:name="_Toc20667972"/>
      <w:r>
        <w:rPr>
          <w:rFonts w:ascii="Times New Roman" w:hAnsi="Times New Roman"/>
          <w:iCs/>
          <w:snapToGrid w:val="0"/>
          <w:color w:val="000000"/>
          <w:spacing w:val="-2"/>
          <w:sz w:val="24"/>
          <w:szCs w:val="24"/>
        </w:rPr>
        <w:t xml:space="preserve">6.4 </w:t>
      </w:r>
      <w:r>
        <w:rPr>
          <w:rFonts w:hint="eastAsia" w:ascii="Times New Roman" w:hAnsi="Times New Roman"/>
          <w:iCs/>
          <w:snapToGrid w:val="0"/>
          <w:color w:val="000000"/>
          <w:spacing w:val="-2"/>
          <w:sz w:val="24"/>
          <w:szCs w:val="24"/>
        </w:rPr>
        <w:t>深基坑支护工程监测的监理控制要点。</w:t>
      </w:r>
      <w:bookmarkEnd w:id="455"/>
      <w:bookmarkEnd w:id="456"/>
      <w:bookmarkEnd w:id="457"/>
    </w:p>
    <w:p>
      <w:pPr>
        <w:spacing w:before="240" w:beforeLines="100" w:after="240" w:afterLines="100" w:line="420" w:lineRule="exact"/>
        <w:rPr>
          <w:b/>
          <w:color w:val="000000"/>
          <w:spacing w:val="-2"/>
          <w:sz w:val="28"/>
          <w:szCs w:val="28"/>
        </w:rPr>
      </w:pPr>
      <w:r>
        <w:rPr>
          <w:b/>
          <w:color w:val="000000"/>
          <w:spacing w:val="-2"/>
          <w:sz w:val="28"/>
          <w:szCs w:val="28"/>
        </w:rPr>
        <w:t xml:space="preserve">7 </w:t>
      </w:r>
      <w:r>
        <w:rPr>
          <w:rFonts w:hint="eastAsia"/>
          <w:b/>
          <w:color w:val="000000"/>
          <w:spacing w:val="-2"/>
          <w:sz w:val="28"/>
          <w:szCs w:val="28"/>
        </w:rPr>
        <w:t>深基坑支护工程监理工作方法及措施</w:t>
      </w:r>
    </w:p>
    <w:p>
      <w:pPr>
        <w:pStyle w:val="4"/>
        <w:spacing w:before="0" w:after="0" w:line="460" w:lineRule="exact"/>
        <w:rPr>
          <w:snapToGrid w:val="0"/>
          <w:color w:val="000000"/>
          <w:spacing w:val="-2"/>
          <w:sz w:val="24"/>
          <w:szCs w:val="24"/>
        </w:rPr>
      </w:pPr>
      <w:r>
        <w:rPr>
          <w:snapToGrid w:val="0"/>
          <w:color w:val="000000"/>
          <w:spacing w:val="-2"/>
          <w:sz w:val="24"/>
          <w:szCs w:val="24"/>
        </w:rPr>
        <w:t xml:space="preserve">7.1 </w:t>
      </w:r>
      <w:r>
        <w:rPr>
          <w:rFonts w:hint="eastAsia"/>
          <w:snapToGrid w:val="0"/>
          <w:color w:val="000000"/>
          <w:spacing w:val="-2"/>
          <w:sz w:val="24"/>
          <w:szCs w:val="24"/>
        </w:rPr>
        <w:t>审查内容：</w:t>
      </w:r>
      <w:r>
        <w:rPr>
          <w:b w:val="0"/>
          <w:snapToGrid w:val="0"/>
          <w:color w:val="000000"/>
          <w:spacing w:val="-2"/>
          <w:sz w:val="24"/>
          <w:szCs w:val="24"/>
          <w:u w:val="single"/>
        </w:rPr>
        <w:t xml:space="preserve">                                                           </w:t>
      </w:r>
      <w:r>
        <w:rPr>
          <w:rFonts w:hint="eastAsia"/>
          <w:b w:val="0"/>
          <w:snapToGrid w:val="0"/>
          <w:color w:val="000000"/>
          <w:spacing w:val="-2"/>
          <w:sz w:val="24"/>
          <w:szCs w:val="24"/>
        </w:rPr>
        <w:t>。</w:t>
      </w:r>
    </w:p>
    <w:p>
      <w:pPr>
        <w:spacing w:line="460" w:lineRule="exact"/>
        <w:rPr>
          <w:snapToGrid w:val="0"/>
          <w:color w:val="000000"/>
          <w:spacing w:val="-2"/>
          <w:kern w:val="0"/>
          <w:sz w:val="24"/>
        </w:rPr>
      </w:pPr>
      <w:r>
        <w:rPr>
          <w:rFonts w:hint="eastAsia"/>
          <w:snapToGrid w:val="0"/>
          <w:color w:val="000000"/>
          <w:spacing w:val="-2"/>
          <w:kern w:val="0"/>
          <w:sz w:val="24"/>
        </w:rPr>
        <w:t>（如：</w:t>
      </w:r>
      <w:r>
        <w:rPr>
          <w:rFonts w:hint="eastAsia" w:ascii="Times New Roman" w:hAnsi="Times New Roman"/>
          <w:snapToGrid w:val="0"/>
          <w:color w:val="000000"/>
          <w:spacing w:val="-2"/>
          <w:kern w:val="0"/>
          <w:sz w:val="24"/>
        </w:rPr>
        <w:t>审查设计图审手续是否完备；是否进行了专家论证；签字手续是否齐全；如有较大变更是否重新组织专家论证，签字批准手续是否齐全；审查承包单位的质量保证体系、安保体系是否建立健全；审查承包单位报送的拟进场的建筑材料/构配件/设备报审表及其质量证明资料。）</w:t>
      </w:r>
    </w:p>
    <w:p>
      <w:pPr>
        <w:pStyle w:val="4"/>
        <w:spacing w:before="0" w:after="0" w:line="460" w:lineRule="exact"/>
        <w:rPr>
          <w:rFonts w:ascii="Times New Roman"/>
          <w:b w:val="0"/>
          <w:snapToGrid w:val="0"/>
          <w:color w:val="000000"/>
          <w:spacing w:val="-2"/>
          <w:sz w:val="24"/>
          <w:szCs w:val="24"/>
        </w:rPr>
      </w:pPr>
      <w:r>
        <w:rPr>
          <w:snapToGrid w:val="0"/>
          <w:color w:val="000000"/>
          <w:spacing w:val="-2"/>
          <w:sz w:val="24"/>
          <w:szCs w:val="24"/>
        </w:rPr>
        <w:t xml:space="preserve">7.2 </w:t>
      </w:r>
      <w:r>
        <w:rPr>
          <w:rFonts w:hint="eastAsia"/>
          <w:snapToGrid w:val="0"/>
          <w:color w:val="000000"/>
          <w:spacing w:val="-2"/>
          <w:sz w:val="24"/>
          <w:szCs w:val="24"/>
        </w:rPr>
        <w:t>复核内</w:t>
      </w:r>
      <w:r>
        <w:rPr>
          <w:rFonts w:hint="eastAsia" w:ascii="Times New Roman" w:hAnsi="Times New Roman"/>
          <w:snapToGrid w:val="0"/>
          <w:color w:val="000000"/>
          <w:spacing w:val="-2"/>
          <w:sz w:val="24"/>
          <w:szCs w:val="24"/>
        </w:rPr>
        <w:t>容：</w:t>
      </w:r>
      <w:r>
        <w:rPr>
          <w:rFonts w:hint="eastAsia" w:ascii="Times New Roman" w:hAnsi="Times New Roman"/>
          <w:b w:val="0"/>
          <w:snapToGrid w:val="0"/>
          <w:color w:val="000000"/>
          <w:spacing w:val="-2"/>
          <w:sz w:val="24"/>
          <w:szCs w:val="24"/>
          <w:u w:val="single"/>
        </w:rPr>
        <w:t xml:space="preserve">                                                           </w:t>
      </w:r>
      <w:r>
        <w:rPr>
          <w:rFonts w:hint="eastAsia" w:ascii="Times New Roman" w:hAnsi="Times New Roman"/>
          <w:b w:val="0"/>
          <w:snapToGrid w:val="0"/>
          <w:color w:val="000000"/>
          <w:spacing w:val="-2"/>
          <w:sz w:val="24"/>
          <w:szCs w:val="24"/>
        </w:rPr>
        <w:t>。</w:t>
      </w:r>
    </w:p>
    <w:p>
      <w:pPr>
        <w:spacing w:line="460" w:lineRule="exact"/>
        <w:rPr>
          <w:rFonts w:hint="eastAsia"/>
          <w:snapToGrid w:val="0"/>
          <w:color w:val="000000"/>
          <w:spacing w:val="-2"/>
          <w:kern w:val="0"/>
          <w:sz w:val="24"/>
        </w:rPr>
      </w:pPr>
      <w:r>
        <w:rPr>
          <w:rFonts w:hint="eastAsia"/>
          <w:snapToGrid w:val="0"/>
          <w:color w:val="000000"/>
          <w:spacing w:val="-2"/>
          <w:kern w:val="0"/>
          <w:sz w:val="24"/>
        </w:rPr>
        <w:t>（如：施工单位生产资质、安全生产许可证，特种作业人员上岗证等。</w:t>
      </w:r>
      <w:r>
        <w:rPr>
          <w:rFonts w:hint="eastAsia" w:ascii="Times New Roman" w:hAnsi="Times New Roman"/>
          <w:snapToGrid w:val="0"/>
          <w:color w:val="000000"/>
          <w:spacing w:val="-2"/>
          <w:kern w:val="0"/>
          <w:sz w:val="24"/>
        </w:rPr>
        <w:t>）</w:t>
      </w:r>
    </w:p>
    <w:p>
      <w:pPr>
        <w:pStyle w:val="4"/>
        <w:spacing w:before="0" w:after="0" w:line="460" w:lineRule="exact"/>
        <w:rPr>
          <w:snapToGrid w:val="0"/>
          <w:color w:val="000000"/>
          <w:spacing w:val="-2"/>
          <w:sz w:val="24"/>
          <w:szCs w:val="24"/>
        </w:rPr>
      </w:pPr>
      <w:r>
        <w:rPr>
          <w:snapToGrid w:val="0"/>
          <w:color w:val="000000"/>
          <w:spacing w:val="-2"/>
          <w:sz w:val="24"/>
          <w:szCs w:val="24"/>
        </w:rPr>
        <w:t xml:space="preserve">7.3 </w:t>
      </w:r>
      <w:r>
        <w:rPr>
          <w:rFonts w:hint="eastAsia" w:ascii="Times New Roman" w:hAnsi="Times New Roman"/>
          <w:snapToGrid w:val="0"/>
          <w:color w:val="000000"/>
          <w:spacing w:val="-2"/>
          <w:sz w:val="24"/>
          <w:szCs w:val="24"/>
        </w:rPr>
        <w:t>质量安全问题的处理方法：</w:t>
      </w:r>
      <w:r>
        <w:rPr>
          <w:b w:val="0"/>
          <w:snapToGrid w:val="0"/>
          <w:color w:val="000000"/>
          <w:spacing w:val="-2"/>
          <w:sz w:val="24"/>
          <w:szCs w:val="24"/>
          <w:u w:val="single"/>
        </w:rPr>
        <w:t xml:space="preserve">                                             </w:t>
      </w:r>
      <w:r>
        <w:rPr>
          <w:rFonts w:hint="eastAsia"/>
          <w:b w:val="0"/>
          <w:snapToGrid w:val="0"/>
          <w:color w:val="000000"/>
          <w:spacing w:val="-2"/>
          <w:sz w:val="24"/>
          <w:szCs w:val="24"/>
        </w:rPr>
        <w:t>。</w:t>
      </w:r>
    </w:p>
    <w:p>
      <w:pPr>
        <w:spacing w:line="460" w:lineRule="exact"/>
        <w:rPr>
          <w:rFonts w:ascii="Times New Roman"/>
          <w:snapToGrid w:val="0"/>
          <w:color w:val="000000"/>
          <w:spacing w:val="-2"/>
          <w:kern w:val="0"/>
          <w:sz w:val="24"/>
        </w:rPr>
      </w:pPr>
      <w:r>
        <w:rPr>
          <w:rFonts w:hint="eastAsia" w:ascii="Times New Roman" w:hAnsi="Times New Roman"/>
          <w:snapToGrid w:val="0"/>
          <w:color w:val="000000"/>
          <w:spacing w:val="-2"/>
          <w:kern w:val="0"/>
          <w:sz w:val="24"/>
        </w:rPr>
        <w:t>（如：对深基坑支护工程施工过程中质量问题及安全问题，监理处理方法。如监理工程师通知单、停工令、备忘录、项目监理机构向有关主管部门质量安全报告单等。）</w:t>
      </w:r>
    </w:p>
    <w:p>
      <w:pPr>
        <w:pStyle w:val="4"/>
        <w:spacing w:before="0" w:after="0" w:line="460" w:lineRule="exact"/>
        <w:rPr>
          <w:rFonts w:hint="eastAsia" w:ascii="Times New Roman"/>
          <w:snapToGrid w:val="0"/>
          <w:color w:val="000000"/>
          <w:spacing w:val="-2"/>
          <w:sz w:val="24"/>
          <w:szCs w:val="24"/>
        </w:rPr>
      </w:pPr>
      <w:r>
        <w:rPr>
          <w:snapToGrid w:val="0"/>
          <w:color w:val="000000"/>
          <w:spacing w:val="-2"/>
          <w:sz w:val="24"/>
          <w:szCs w:val="24"/>
        </w:rPr>
        <w:t>7.4</w:t>
      </w:r>
      <w:r>
        <w:rPr>
          <w:rFonts w:hint="eastAsia" w:ascii="Times New Roman" w:hAnsi="Times New Roman"/>
          <w:snapToGrid w:val="0"/>
          <w:color w:val="000000"/>
          <w:spacing w:val="-2"/>
          <w:sz w:val="24"/>
          <w:szCs w:val="24"/>
        </w:rPr>
        <w:t xml:space="preserve"> 旁站</w:t>
      </w:r>
    </w:p>
    <w:p>
      <w:pPr>
        <w:kinsoku w:val="0"/>
        <w:adjustRightInd w:val="0"/>
        <w:snapToGrid w:val="0"/>
        <w:spacing w:line="460" w:lineRule="exact"/>
        <w:ind w:firstLine="354" w:firstLineChars="150"/>
        <w:jc w:val="left"/>
        <w:rPr>
          <w:rFonts w:hint="eastAsia" w:ascii="Times New Roman"/>
          <w:snapToGrid w:val="0"/>
          <w:color w:val="000000"/>
          <w:spacing w:val="-2"/>
          <w:kern w:val="0"/>
          <w:u w:val="single"/>
        </w:rPr>
      </w:pPr>
      <w:r>
        <w:rPr>
          <w:rFonts w:hint="eastAsia" w:ascii="Times New Roman" w:hAnsi="Times New Roman"/>
          <w:snapToGrid w:val="0"/>
          <w:color w:val="000000"/>
          <w:spacing w:val="-2"/>
          <w:kern w:val="0"/>
          <w:sz w:val="24"/>
        </w:rPr>
        <w:t>本工程深基坑支护工程监理旁站部位主要包括：</w:t>
      </w:r>
      <w:r>
        <w:rPr>
          <w:rFonts w:hint="eastAsia" w:ascii="Times New Roman" w:hAnsi="Times New Roman"/>
          <w:snapToGrid w:val="0"/>
          <w:color w:val="000000"/>
          <w:spacing w:val="-2"/>
          <w:kern w:val="0"/>
          <w:u w:val="single"/>
        </w:rPr>
        <w:t xml:space="preserve">                                </w:t>
      </w:r>
      <w:r>
        <w:rPr>
          <w:rFonts w:hint="eastAsia" w:ascii="Times New Roman" w:hAnsi="Times New Roman"/>
          <w:snapToGrid w:val="0"/>
          <w:color w:val="000000"/>
          <w:spacing w:val="-2"/>
          <w:kern w:val="0"/>
        </w:rPr>
        <w:t>。</w:t>
      </w:r>
    </w:p>
    <w:p>
      <w:pPr>
        <w:spacing w:line="460" w:lineRule="exact"/>
        <w:ind w:firstLine="360"/>
        <w:rPr>
          <w:rFonts w:hint="eastAsia" w:ascii="Times New Roman"/>
          <w:snapToGrid w:val="0"/>
          <w:color w:val="000000"/>
          <w:spacing w:val="-2"/>
          <w:kern w:val="0"/>
        </w:rPr>
      </w:pPr>
      <w:r>
        <w:rPr>
          <w:rFonts w:hint="eastAsia" w:ascii="Times New Roman" w:hAnsi="Times New Roman"/>
          <w:snapToGrid w:val="0"/>
          <w:color w:val="000000"/>
          <w:spacing w:val="-2"/>
          <w:kern w:val="0"/>
          <w:sz w:val="24"/>
        </w:rPr>
        <w:t>其他：</w:t>
      </w:r>
      <w:r>
        <w:rPr>
          <w:rFonts w:hint="eastAsia" w:ascii="Times New Roman" w:hAnsi="Times New Roman"/>
          <w:snapToGrid w:val="0"/>
          <w:color w:val="000000"/>
          <w:spacing w:val="-2"/>
          <w:kern w:val="0"/>
          <w:u w:val="single"/>
        </w:rPr>
        <w:t xml:space="preserve">                                                                          </w:t>
      </w:r>
      <w:r>
        <w:rPr>
          <w:rFonts w:hint="eastAsia" w:ascii="Times New Roman" w:hAnsi="Times New Roman"/>
          <w:snapToGrid w:val="0"/>
          <w:color w:val="000000"/>
          <w:spacing w:val="-2"/>
          <w:kern w:val="0"/>
        </w:rPr>
        <w:t>。</w:t>
      </w:r>
    </w:p>
    <w:p>
      <w:pPr>
        <w:spacing w:line="460" w:lineRule="exact"/>
        <w:rPr>
          <w:rFonts w:hint="eastAsia" w:ascii="Times New Roman"/>
          <w:snapToGrid w:val="0"/>
          <w:color w:val="000000"/>
          <w:spacing w:val="-2"/>
          <w:kern w:val="0"/>
          <w:sz w:val="24"/>
        </w:rPr>
      </w:pPr>
      <w:r>
        <w:rPr>
          <w:rFonts w:hint="eastAsia"/>
          <w:snapToGrid w:val="0"/>
          <w:color w:val="000000"/>
          <w:spacing w:val="-2"/>
          <w:kern w:val="0"/>
          <w:sz w:val="24"/>
        </w:rPr>
        <w:t>（注：监理人员在哪些部位旁站。）</w:t>
      </w:r>
    </w:p>
    <w:p>
      <w:pPr>
        <w:pStyle w:val="4"/>
        <w:spacing w:before="0" w:after="0" w:line="460" w:lineRule="exact"/>
        <w:rPr>
          <w:rFonts w:hint="eastAsia"/>
          <w:snapToGrid w:val="0"/>
          <w:color w:val="000000"/>
          <w:spacing w:val="-2"/>
          <w:sz w:val="24"/>
          <w:szCs w:val="24"/>
        </w:rPr>
      </w:pPr>
      <w:r>
        <w:rPr>
          <w:snapToGrid w:val="0"/>
          <w:color w:val="000000"/>
          <w:spacing w:val="-2"/>
          <w:sz w:val="24"/>
          <w:szCs w:val="24"/>
        </w:rPr>
        <w:t xml:space="preserve">7.5 </w:t>
      </w:r>
      <w:r>
        <w:rPr>
          <w:rFonts w:hint="eastAsia" w:ascii="Times New Roman" w:hAnsi="Times New Roman"/>
          <w:snapToGrid w:val="0"/>
          <w:color w:val="000000"/>
          <w:spacing w:val="-2"/>
          <w:sz w:val="24"/>
          <w:szCs w:val="24"/>
        </w:rPr>
        <w:t>平行检验</w:t>
      </w:r>
      <w:r>
        <w:rPr>
          <w:rFonts w:hint="eastAsia" w:ascii="Times New Roman" w:hAnsi="Times New Roman"/>
          <w:snapToGrid w:val="0"/>
          <w:color w:val="000000"/>
          <w:spacing w:val="-2"/>
          <w:sz w:val="24"/>
          <w:szCs w:val="24"/>
          <w:u w:val="single"/>
        </w:rPr>
        <w:t xml:space="preserve">                                                           </w:t>
      </w:r>
      <w:r>
        <w:rPr>
          <w:rFonts w:hint="eastAsia" w:ascii="Times New Roman" w:hAnsi="Times New Roman"/>
          <w:b w:val="0"/>
          <w:snapToGrid w:val="0"/>
          <w:color w:val="000000"/>
          <w:spacing w:val="-2"/>
          <w:sz w:val="24"/>
          <w:szCs w:val="24"/>
          <w:u w:val="single"/>
        </w:rPr>
        <w:t xml:space="preserve"> </w:t>
      </w:r>
      <w:r>
        <w:rPr>
          <w:rFonts w:hint="eastAsia" w:ascii="Times New Roman" w:hAnsi="Times New Roman"/>
          <w:b w:val="0"/>
          <w:snapToGrid w:val="0"/>
          <w:color w:val="000000"/>
          <w:spacing w:val="-2"/>
          <w:sz w:val="24"/>
          <w:szCs w:val="24"/>
        </w:rPr>
        <w:t>。</w:t>
      </w:r>
    </w:p>
    <w:p>
      <w:pPr>
        <w:spacing w:line="460" w:lineRule="exact"/>
        <w:rPr>
          <w:rFonts w:ascii="Times New Roman"/>
          <w:snapToGrid w:val="0"/>
          <w:color w:val="000000"/>
          <w:spacing w:val="-2"/>
          <w:kern w:val="0"/>
          <w:sz w:val="24"/>
        </w:rPr>
      </w:pPr>
      <w:r>
        <w:rPr>
          <w:rFonts w:hint="eastAsia" w:ascii="Times New Roman" w:hAnsi="Times New Roman"/>
          <w:snapToGrid w:val="0"/>
          <w:color w:val="000000"/>
          <w:spacing w:val="-2"/>
          <w:sz w:val="24"/>
        </w:rPr>
        <w:t>（如材料的平行检验和工序的平行检验等，材料如钢筋、砼的平行检验等。）</w:t>
      </w:r>
    </w:p>
    <w:p>
      <w:pPr>
        <w:pStyle w:val="4"/>
        <w:spacing w:before="0" w:after="0" w:line="460" w:lineRule="exact"/>
        <w:rPr>
          <w:rFonts w:hint="eastAsia"/>
          <w:b w:val="0"/>
          <w:snapToGrid w:val="0"/>
          <w:color w:val="000000"/>
          <w:spacing w:val="-2"/>
          <w:sz w:val="24"/>
          <w:szCs w:val="24"/>
        </w:rPr>
      </w:pPr>
      <w:r>
        <w:rPr>
          <w:snapToGrid w:val="0"/>
          <w:color w:val="000000"/>
          <w:spacing w:val="-2"/>
          <w:sz w:val="24"/>
          <w:szCs w:val="24"/>
        </w:rPr>
        <w:t xml:space="preserve">7.6 </w:t>
      </w:r>
      <w:r>
        <w:rPr>
          <w:rFonts w:hint="eastAsia" w:ascii="Times New Roman" w:hAnsi="Times New Roman"/>
          <w:snapToGrid w:val="0"/>
          <w:color w:val="000000"/>
          <w:spacing w:val="-2"/>
          <w:sz w:val="24"/>
          <w:szCs w:val="24"/>
        </w:rPr>
        <w:t>巡视检查内容</w:t>
      </w:r>
      <w:r>
        <w:rPr>
          <w:rFonts w:hint="eastAsia"/>
          <w:snapToGrid w:val="0"/>
          <w:color w:val="000000"/>
          <w:spacing w:val="-2"/>
          <w:sz w:val="24"/>
          <w:szCs w:val="24"/>
        </w:rPr>
        <w:t>：</w:t>
      </w:r>
      <w:r>
        <w:rPr>
          <w:b w:val="0"/>
          <w:snapToGrid w:val="0"/>
          <w:color w:val="000000"/>
          <w:spacing w:val="-2"/>
          <w:sz w:val="24"/>
          <w:szCs w:val="24"/>
          <w:u w:val="single"/>
        </w:rPr>
        <w:t xml:space="preserve">                                                      </w:t>
      </w:r>
      <w:r>
        <w:rPr>
          <w:rFonts w:hint="eastAsia"/>
          <w:b w:val="0"/>
          <w:snapToGrid w:val="0"/>
          <w:color w:val="000000"/>
          <w:spacing w:val="-2"/>
          <w:sz w:val="24"/>
          <w:szCs w:val="24"/>
        </w:rPr>
        <w:t>。</w:t>
      </w:r>
    </w:p>
    <w:p>
      <w:pPr>
        <w:spacing w:line="420" w:lineRule="exact"/>
        <w:rPr>
          <w:rFonts w:ascii="Times New Roman"/>
          <w:snapToGrid w:val="0"/>
          <w:color w:val="000000"/>
          <w:spacing w:val="-2"/>
          <w:kern w:val="0"/>
          <w:sz w:val="24"/>
        </w:rPr>
      </w:pPr>
      <w:r>
        <w:rPr>
          <w:rFonts w:hint="eastAsia" w:ascii="Times New Roman" w:hAnsi="Times New Roman"/>
          <w:snapToGrid w:val="0"/>
          <w:color w:val="000000"/>
          <w:spacing w:val="-2"/>
          <w:sz w:val="24"/>
        </w:rPr>
        <w:t>（如工程测量基准点、控制点及监测点等的保护使用情况，进场工程材料的质量检测、报验情况，施工现场的工程材料/构配件的制作加工使用情况，正在施工作业面操作情况，施工现场机械设备、安全设施使用和保养情况，各作业面安全操作、文明施工情况，已完成的检验批、分部分项工程质量等。）</w:t>
      </w:r>
    </w:p>
    <w:p>
      <w:pPr>
        <w:pStyle w:val="4"/>
        <w:spacing w:before="0" w:after="0" w:line="460" w:lineRule="exact"/>
        <w:rPr>
          <w:rFonts w:hint="eastAsia" w:ascii="Times New Roman"/>
          <w:snapToGrid w:val="0"/>
          <w:color w:val="000000"/>
          <w:spacing w:val="-2"/>
          <w:sz w:val="24"/>
          <w:szCs w:val="24"/>
        </w:rPr>
      </w:pPr>
      <w:r>
        <w:rPr>
          <w:snapToGrid w:val="0"/>
          <w:color w:val="000000"/>
          <w:spacing w:val="-2"/>
          <w:sz w:val="24"/>
          <w:szCs w:val="24"/>
        </w:rPr>
        <w:t xml:space="preserve">7.7 </w:t>
      </w:r>
      <w:r>
        <w:rPr>
          <w:rFonts w:hint="eastAsia" w:ascii="Times New Roman" w:hAnsi="Times New Roman"/>
          <w:snapToGrid w:val="0"/>
          <w:color w:val="000000"/>
          <w:spacing w:val="-2"/>
          <w:sz w:val="24"/>
          <w:szCs w:val="24"/>
        </w:rPr>
        <w:t>现场协调方式：</w:t>
      </w:r>
      <w:r>
        <w:rPr>
          <w:rFonts w:hint="eastAsia" w:ascii="Times New Roman" w:hAnsi="Times New Roman"/>
          <w:snapToGrid w:val="0"/>
          <w:color w:val="000000"/>
          <w:spacing w:val="-2"/>
          <w:sz w:val="24"/>
          <w:szCs w:val="24"/>
          <w:u w:val="single"/>
        </w:rPr>
        <w:t xml:space="preserve">                                                       </w:t>
      </w:r>
      <w:r>
        <w:rPr>
          <w:rFonts w:hint="eastAsia" w:ascii="Times New Roman" w:hAnsi="Times New Roman"/>
          <w:snapToGrid w:val="0"/>
          <w:color w:val="000000"/>
          <w:spacing w:val="-2"/>
          <w:sz w:val="24"/>
          <w:szCs w:val="24"/>
        </w:rPr>
        <w:t>。</w:t>
      </w:r>
    </w:p>
    <w:p>
      <w:pPr>
        <w:spacing w:line="460" w:lineRule="exact"/>
        <w:rPr>
          <w:rFonts w:hint="eastAsia"/>
          <w:snapToGrid w:val="0"/>
          <w:color w:val="000000"/>
          <w:spacing w:val="-2"/>
          <w:kern w:val="0"/>
          <w:sz w:val="24"/>
        </w:rPr>
      </w:pPr>
      <w:r>
        <w:rPr>
          <w:rFonts w:hint="eastAsia"/>
          <w:snapToGrid w:val="0"/>
          <w:color w:val="000000"/>
          <w:spacing w:val="-2"/>
          <w:kern w:val="0"/>
          <w:sz w:val="24"/>
        </w:rPr>
        <w:t>（如组织现场协调会、工地例会、专题会议等。）</w:t>
      </w:r>
    </w:p>
    <w:p>
      <w:pPr>
        <w:pStyle w:val="4"/>
        <w:spacing w:before="0" w:after="0" w:line="460" w:lineRule="exact"/>
        <w:rPr>
          <w:rFonts w:ascii="Times New Roman"/>
          <w:snapToGrid w:val="0"/>
          <w:color w:val="000000"/>
          <w:spacing w:val="-2"/>
          <w:sz w:val="24"/>
          <w:szCs w:val="24"/>
        </w:rPr>
      </w:pPr>
      <w:r>
        <w:rPr>
          <w:snapToGrid w:val="0"/>
          <w:color w:val="000000"/>
          <w:spacing w:val="-2"/>
          <w:sz w:val="24"/>
          <w:szCs w:val="24"/>
        </w:rPr>
        <w:t xml:space="preserve">7.8 </w:t>
      </w:r>
      <w:r>
        <w:rPr>
          <w:rFonts w:hint="eastAsia" w:ascii="Times New Roman" w:hAnsi="Times New Roman"/>
          <w:snapToGrid w:val="0"/>
          <w:color w:val="000000"/>
          <w:spacing w:val="-2"/>
          <w:sz w:val="24"/>
          <w:szCs w:val="24"/>
        </w:rPr>
        <w:t>其他监理方法：</w:t>
      </w:r>
      <w:r>
        <w:rPr>
          <w:rFonts w:hint="eastAsia" w:ascii="Times New Roman" w:hAnsi="Times New Roman"/>
          <w:snapToGrid w:val="0"/>
          <w:color w:val="000000"/>
          <w:spacing w:val="-2"/>
          <w:sz w:val="24"/>
          <w:szCs w:val="24"/>
          <w:u w:val="single"/>
        </w:rPr>
        <w:t xml:space="preserve">                                                       </w:t>
      </w:r>
      <w:r>
        <w:rPr>
          <w:rFonts w:hint="eastAsia" w:ascii="Times New Roman" w:hAnsi="Times New Roman"/>
          <w:snapToGrid w:val="0"/>
          <w:color w:val="000000"/>
          <w:spacing w:val="-2"/>
          <w:sz w:val="24"/>
          <w:szCs w:val="24"/>
        </w:rPr>
        <w:t>。</w:t>
      </w:r>
    </w:p>
    <w:p>
      <w:pPr>
        <w:spacing w:line="460" w:lineRule="exact"/>
        <w:rPr>
          <w:rFonts w:hint="eastAsia"/>
          <w:snapToGrid w:val="0"/>
          <w:color w:val="000000"/>
          <w:spacing w:val="-2"/>
          <w:kern w:val="0"/>
          <w:sz w:val="24"/>
        </w:rPr>
      </w:pPr>
      <w:r>
        <w:rPr>
          <w:rFonts w:hint="eastAsia"/>
          <w:snapToGrid w:val="0"/>
          <w:color w:val="000000"/>
          <w:spacing w:val="-2"/>
          <w:kern w:val="0"/>
          <w:sz w:val="24"/>
        </w:rPr>
        <w:t>（如工程款支付控制、验收等。）</w:t>
      </w:r>
    </w:p>
    <w:p>
      <w:pPr>
        <w:pStyle w:val="4"/>
        <w:spacing w:before="0" w:after="0" w:line="460" w:lineRule="exact"/>
        <w:rPr>
          <w:rFonts w:ascii="Times New Roman"/>
          <w:snapToGrid w:val="0"/>
          <w:color w:val="000000"/>
          <w:spacing w:val="-2"/>
          <w:sz w:val="24"/>
          <w:szCs w:val="24"/>
        </w:rPr>
      </w:pPr>
      <w:r>
        <w:rPr>
          <w:snapToGrid w:val="0"/>
          <w:color w:val="000000"/>
          <w:spacing w:val="-2"/>
          <w:sz w:val="24"/>
          <w:szCs w:val="24"/>
        </w:rPr>
        <w:t xml:space="preserve">7.9 </w:t>
      </w:r>
      <w:r>
        <w:rPr>
          <w:rFonts w:hint="eastAsia" w:ascii="Times New Roman" w:hAnsi="Times New Roman"/>
          <w:snapToGrid w:val="0"/>
          <w:color w:val="000000"/>
          <w:spacing w:val="-2"/>
          <w:sz w:val="24"/>
          <w:szCs w:val="24"/>
        </w:rPr>
        <w:t>深基坑支护子分部工程质量检测。</w:t>
      </w:r>
    </w:p>
    <w:p>
      <w:pPr>
        <w:spacing w:line="420" w:lineRule="exact"/>
        <w:rPr>
          <w:rFonts w:hint="eastAsia" w:ascii="Times New Roman"/>
          <w:snapToGrid w:val="0"/>
          <w:color w:val="000000"/>
          <w:spacing w:val="-2"/>
          <w:kern w:val="0"/>
          <w:sz w:val="24"/>
        </w:rPr>
      </w:pPr>
      <w:r>
        <w:rPr>
          <w:rFonts w:hint="eastAsia" w:ascii="Times New Roman" w:hAnsi="Times New Roman"/>
          <w:snapToGrid w:val="0"/>
          <w:color w:val="000000"/>
          <w:spacing w:val="-2"/>
          <w:sz w:val="24"/>
        </w:rPr>
        <w:t>（如所有建筑材料、产品、半成品的常规材料检测；支护桩结构的强度、桩身完整性检测；水泥土桩的取芯、强度检测；土层锚杆拉拔力检测；支撑结构的砼强度检测；钢结构的焊缝质量检测；其它必要的检测项目。）</w:t>
      </w:r>
    </w:p>
    <w:p>
      <w:pPr>
        <w:pStyle w:val="4"/>
        <w:spacing w:before="0" w:after="0" w:line="460" w:lineRule="exact"/>
        <w:rPr>
          <w:rFonts w:hint="eastAsia" w:ascii="Times New Roman"/>
          <w:snapToGrid w:val="0"/>
          <w:color w:val="000000"/>
          <w:spacing w:val="-2"/>
          <w:sz w:val="24"/>
          <w:szCs w:val="24"/>
        </w:rPr>
      </w:pPr>
      <w:r>
        <w:rPr>
          <w:snapToGrid w:val="0"/>
          <w:color w:val="000000"/>
          <w:spacing w:val="-2"/>
          <w:sz w:val="24"/>
          <w:szCs w:val="24"/>
        </w:rPr>
        <w:t xml:space="preserve">7.10 </w:t>
      </w:r>
      <w:r>
        <w:rPr>
          <w:rFonts w:hint="eastAsia" w:ascii="Times New Roman" w:hAnsi="Times New Roman"/>
          <w:snapToGrid w:val="0"/>
          <w:color w:val="000000"/>
          <w:spacing w:val="-2"/>
          <w:sz w:val="24"/>
          <w:szCs w:val="24"/>
        </w:rPr>
        <w:t>表式。</w:t>
      </w:r>
    </w:p>
    <w:p>
      <w:pPr>
        <w:spacing w:line="460" w:lineRule="exact"/>
        <w:rPr>
          <w:rFonts w:hint="eastAsia" w:ascii="Times New Roman"/>
          <w:snapToGrid w:val="0"/>
          <w:color w:val="000000"/>
          <w:spacing w:val="-2"/>
          <w:kern w:val="0"/>
          <w:sz w:val="24"/>
        </w:rPr>
      </w:pPr>
      <w:r>
        <w:rPr>
          <w:rFonts w:hint="eastAsia"/>
          <w:bCs/>
          <w:snapToGrid w:val="0"/>
          <w:color w:val="000000"/>
          <w:spacing w:val="-2"/>
          <w:kern w:val="0"/>
          <w:sz w:val="24"/>
        </w:rPr>
        <w:t>深基坑支护工程监理表式、表格可由监理机构根据相关规定自行设置。</w:t>
      </w:r>
    </w:p>
    <w:p>
      <w:pPr>
        <w:spacing w:line="460" w:lineRule="exact"/>
        <w:jc w:val="center"/>
        <w:rPr>
          <w:rFonts w:hint="eastAsia" w:ascii="Times New Roman" w:eastAsia="方正小标宋简体"/>
          <w:color w:val="000000"/>
          <w:sz w:val="36"/>
          <w:szCs w:val="36"/>
        </w:rPr>
      </w:pPr>
    </w:p>
    <w:p>
      <w:pPr>
        <w:spacing w:line="460" w:lineRule="exact"/>
        <w:jc w:val="center"/>
        <w:rPr>
          <w:rFonts w:hint="eastAsia" w:ascii="Times New Roman" w:eastAsia="方正小标宋简体"/>
          <w:color w:val="000000"/>
          <w:sz w:val="36"/>
          <w:szCs w:val="36"/>
        </w:rPr>
      </w:pPr>
    </w:p>
    <w:p>
      <w:pPr>
        <w:spacing w:line="500" w:lineRule="exact"/>
        <w:ind w:left="-7" w:leftChars="-8" w:hanging="10" w:hangingChars="3"/>
        <w:jc w:val="center"/>
        <w:rPr>
          <w:rFonts w:hint="eastAsia" w:ascii="Times New Roman" w:eastAsia="方正小标宋简体"/>
          <w:bCs/>
          <w:sz w:val="36"/>
          <w:szCs w:val="36"/>
        </w:rPr>
      </w:pPr>
      <w:r>
        <w:rPr>
          <w:rFonts w:hint="eastAsia" w:ascii="Times New Roman" w:eastAsia="方正小标宋简体"/>
          <w:bCs/>
          <w:sz w:val="36"/>
          <w:szCs w:val="36"/>
        </w:rPr>
        <w:br w:type="column"/>
      </w:r>
    </w:p>
    <w:p>
      <w:pPr>
        <w:pStyle w:val="2"/>
        <w:spacing w:before="240" w:beforeLines="100" w:after="240" w:afterLines="100" w:line="240" w:lineRule="auto"/>
        <w:jc w:val="center"/>
        <w:rPr>
          <w:rFonts w:hint="eastAsia" w:ascii="Times New Roman" w:eastAsia="方正小标宋_GBK"/>
          <w:b w:val="0"/>
          <w:sz w:val="36"/>
          <w:szCs w:val="36"/>
        </w:rPr>
      </w:pPr>
      <w:bookmarkStart w:id="458" w:name="_Toc20726502"/>
      <w:bookmarkStart w:id="459" w:name="_Toc18315672"/>
      <w:r>
        <w:rPr>
          <w:rFonts w:hint="eastAsia" w:ascii="Times New Roman" w:eastAsia="方正小标宋_GBK"/>
          <w:b w:val="0"/>
          <w:sz w:val="36"/>
          <w:szCs w:val="36"/>
        </w:rPr>
        <w:t>省住房城乡建设厅关于简化建筑业企业跨区域       施工开具相关证明手续的通知</w:t>
      </w:r>
      <w:bookmarkEnd w:id="458"/>
      <w:bookmarkEnd w:id="45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60" w:name="_Toc20726503"/>
      <w:bookmarkStart w:id="461" w:name="_Toc18315673"/>
      <w:r>
        <w:rPr>
          <w:rFonts w:hint="eastAsia" w:ascii="Times New Roman" w:hAnsi="Times New Roman" w:eastAsia="方正楷体_GBK"/>
          <w:b w:val="0"/>
          <w:sz w:val="24"/>
          <w:szCs w:val="24"/>
        </w:rPr>
        <w:t>苏建建管〔</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508</w:t>
      </w:r>
      <w:r>
        <w:rPr>
          <w:rFonts w:hint="eastAsia" w:ascii="Times New Roman" w:hAnsi="Times New Roman" w:eastAsia="方正楷体_GBK"/>
          <w:b w:val="0"/>
          <w:sz w:val="24"/>
          <w:szCs w:val="24"/>
        </w:rPr>
        <w:t>号</w:t>
      </w:r>
      <w:bookmarkEnd w:id="460"/>
      <w:bookmarkEnd w:id="461"/>
    </w:p>
    <w:p>
      <w:pPr>
        <w:pStyle w:val="10"/>
        <w:widowControl w:val="0"/>
        <w:spacing w:before="0" w:beforeAutospacing="0" w:after="0" w:afterAutospacing="0" w:line="420" w:lineRule="exact"/>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各省辖市建设局（委）、泰州市建工局，苏州工业园区规划建设局、张家港保税区规划建设局，昆山市、泰兴市、沭阳县建设局，省有关单位：</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为进一步转变政府职能和改进作风，提高办事效率，服务建筑业企业开拓市场，经研究决定，现就简化建筑业企业跨区域施工开具相关证明手续通知如下：</w:t>
      </w:r>
    </w:p>
    <w:p>
      <w:pPr>
        <w:pStyle w:val="10"/>
        <w:widowControl w:val="0"/>
        <w:spacing w:before="0" w:beforeAutospacing="0" w:after="0" w:afterAutospacing="0" w:line="420" w:lineRule="exact"/>
        <w:ind w:firstLine="472" w:firstLineChars="200"/>
        <w:jc w:val="both"/>
        <w:rPr>
          <w:rFonts w:ascii="Times New Roman" w:hAnsi="Times New Roman" w:eastAsia="方正黑体_GBK"/>
          <w:color w:val="000000"/>
          <w:spacing w:val="-2"/>
        </w:rPr>
      </w:pPr>
      <w:r>
        <w:rPr>
          <w:rFonts w:hint="eastAsia" w:ascii="Times New Roman" w:hAnsi="Times New Roman" w:eastAsia="方正黑体_GBK"/>
          <w:color w:val="000000"/>
          <w:spacing w:val="-2"/>
        </w:rPr>
        <w:t>一、省外工程所在地无省住房城乡建设厅驻外办事处的办理手续</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前往河北省、山西省、内蒙古自治区、吉林省、浙江省、安徽省、福建省、江西省、河南省、湖南省、广西壮族自治区、海南省、四川省、贵州省、云南省、西藏自治区、甘肃省、青海省、宁夏回族自治区等</w:t>
      </w:r>
      <w:r>
        <w:rPr>
          <w:rFonts w:ascii="Times New Roman" w:hAnsi="Times New Roman" w:eastAsia="方正仿宋_GBK"/>
          <w:color w:val="000000"/>
          <w:spacing w:val="-2"/>
        </w:rPr>
        <w:t>19</w:t>
      </w:r>
      <w:r>
        <w:rPr>
          <w:rFonts w:hint="eastAsia" w:ascii="Times New Roman" w:hAnsi="Times New Roman" w:eastAsia="方正仿宋_GBK"/>
          <w:color w:val="000000"/>
          <w:spacing w:val="-2"/>
        </w:rPr>
        <w:t>个省（自治区）开展工程建设经营活动的企业，自</w:t>
      </w:r>
      <w:r>
        <w:rPr>
          <w:rFonts w:ascii="Times New Roman" w:hAnsi="Times New Roman" w:eastAsia="方正仿宋_GBK"/>
          <w:color w:val="000000"/>
          <w:spacing w:val="-2"/>
        </w:rPr>
        <w:t>2013</w:t>
      </w:r>
      <w:r>
        <w:rPr>
          <w:rFonts w:hint="eastAsia" w:ascii="Times New Roman" w:hAnsi="Times New Roman" w:eastAsia="方正仿宋_GBK"/>
          <w:color w:val="000000"/>
          <w:spacing w:val="-2"/>
        </w:rPr>
        <w:t>年</w:t>
      </w:r>
      <w:r>
        <w:rPr>
          <w:rFonts w:ascii="Times New Roman" w:hAnsi="Times New Roman" w:eastAsia="方正仿宋_GBK"/>
          <w:color w:val="000000"/>
          <w:spacing w:val="-2"/>
        </w:rPr>
        <w:t>10</w:t>
      </w:r>
      <w:r>
        <w:rPr>
          <w:rFonts w:hint="eastAsia" w:ascii="Times New Roman" w:hAnsi="Times New Roman" w:eastAsia="方正仿宋_GBK"/>
          <w:color w:val="000000"/>
          <w:spacing w:val="-2"/>
        </w:rPr>
        <w:t>月</w:t>
      </w:r>
      <w:r>
        <w:rPr>
          <w:rFonts w:ascii="Times New Roman" w:hAnsi="Times New Roman" w:eastAsia="方正仿宋_GBK"/>
          <w:color w:val="000000"/>
          <w:spacing w:val="-2"/>
        </w:rPr>
        <w:t>14</w:t>
      </w:r>
      <w:r>
        <w:rPr>
          <w:rFonts w:hint="eastAsia" w:ascii="Times New Roman" w:hAnsi="Times New Roman" w:eastAsia="方正仿宋_GBK"/>
          <w:color w:val="000000"/>
          <w:spacing w:val="-2"/>
        </w:rPr>
        <w:t>日起，可凭企业用户名、密码或加密锁登录江苏省建筑业监管信息平台，进入出省施工证明审批</w:t>
      </w:r>
      <w:r>
        <w:rPr>
          <w:rFonts w:ascii="Times New Roman" w:hAnsi="Times New Roman" w:eastAsia="方正仿宋_GBK"/>
          <w:color w:val="000000"/>
          <w:spacing w:val="-2"/>
        </w:rPr>
        <w:t>2.0</w:t>
      </w:r>
      <w:r>
        <w:rPr>
          <w:rFonts w:hint="eastAsia" w:ascii="Times New Roman" w:hAnsi="Times New Roman" w:eastAsia="方正仿宋_GBK"/>
          <w:color w:val="000000"/>
          <w:spacing w:val="-2"/>
        </w:rPr>
        <w:t>版，进行网上申请。经系统自动审核通过后，使用激光彩色打印机打印系统自动生成加载了</w:t>
      </w:r>
      <w:r>
        <w:rPr>
          <w:rFonts w:ascii="Times New Roman" w:hAnsi="Times New Roman" w:eastAsia="方正仿宋_GBK"/>
          <w:color w:val="000000"/>
          <w:spacing w:val="-2"/>
        </w:rPr>
        <w:t>“</w:t>
      </w:r>
      <w:r>
        <w:rPr>
          <w:rFonts w:hint="eastAsia" w:ascii="Times New Roman" w:hAnsi="Times New Roman" w:eastAsia="方正仿宋_GBK"/>
          <w:color w:val="000000"/>
          <w:spacing w:val="-2"/>
        </w:rPr>
        <w:t>江苏省住房和城乡建设厅施工队伍介绍专用章</w:t>
      </w:r>
      <w:r>
        <w:rPr>
          <w:rFonts w:ascii="Times New Roman" w:hAnsi="Times New Roman" w:eastAsia="方正仿宋_GBK"/>
          <w:color w:val="000000"/>
          <w:spacing w:val="-2"/>
        </w:rPr>
        <w:t>”</w:t>
      </w:r>
      <w:r>
        <w:rPr>
          <w:rFonts w:hint="eastAsia" w:ascii="Times New Roman" w:hAnsi="Times New Roman" w:eastAsia="方正仿宋_GBK"/>
          <w:color w:val="000000"/>
          <w:spacing w:val="-2"/>
        </w:rPr>
        <w:t>的相关证明。系统</w:t>
      </w:r>
      <w:r>
        <w:rPr>
          <w:rFonts w:ascii="Times New Roman" w:hAnsi="Times New Roman" w:eastAsia="方正仿宋_GBK"/>
          <w:color w:val="000000"/>
          <w:spacing w:val="-2"/>
        </w:rPr>
        <w:t>24</w:t>
      </w:r>
      <w:r>
        <w:rPr>
          <w:rFonts w:hint="eastAsia" w:ascii="Times New Roman" w:hAnsi="Times New Roman" w:eastAsia="方正仿宋_GBK"/>
          <w:color w:val="000000"/>
          <w:spacing w:val="-2"/>
        </w:rPr>
        <w:t>小时网上接受申请并开具证明，办理结果同步在江苏建筑业网上公开。</w:t>
      </w:r>
    </w:p>
    <w:p>
      <w:pPr>
        <w:pStyle w:val="10"/>
        <w:widowControl w:val="0"/>
        <w:spacing w:before="0" w:beforeAutospacing="0" w:after="0" w:afterAutospacing="0" w:line="420" w:lineRule="exact"/>
        <w:ind w:firstLine="472" w:firstLineChars="200"/>
        <w:jc w:val="both"/>
        <w:rPr>
          <w:rFonts w:ascii="Times New Roman" w:hAnsi="Times New Roman" w:eastAsia="方正黑体_GBK"/>
          <w:color w:val="000000"/>
          <w:spacing w:val="-2"/>
        </w:rPr>
      </w:pPr>
      <w:r>
        <w:rPr>
          <w:rFonts w:hint="eastAsia" w:ascii="Times New Roman" w:hAnsi="Times New Roman" w:eastAsia="方正黑体_GBK"/>
          <w:color w:val="000000"/>
          <w:spacing w:val="-2"/>
        </w:rPr>
        <w:t>二、省外工程所在地有省住房城乡建设厅驻外办事处的办理手续</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前往北京市、天津市、辽宁省、黑龙江省、上海市、山东省、湖北省、广东省、重庆市、陕西省、新疆维吾尔自治区等</w:t>
      </w:r>
      <w:r>
        <w:rPr>
          <w:rFonts w:ascii="Times New Roman" w:hAnsi="Times New Roman" w:eastAsia="方正仿宋_GBK"/>
          <w:color w:val="000000"/>
          <w:spacing w:val="-2"/>
        </w:rPr>
        <w:t>11</w:t>
      </w:r>
      <w:r>
        <w:rPr>
          <w:rFonts w:hint="eastAsia" w:ascii="Times New Roman" w:hAnsi="Times New Roman" w:eastAsia="方正仿宋_GBK"/>
          <w:color w:val="000000"/>
          <w:spacing w:val="-2"/>
        </w:rPr>
        <w:t>个省（直辖市、自治区）开展工程建设经营活动的企业，自</w:t>
      </w:r>
      <w:r>
        <w:rPr>
          <w:rFonts w:ascii="Times New Roman" w:hAnsi="Times New Roman" w:eastAsia="方正仿宋_GBK"/>
          <w:color w:val="000000"/>
          <w:spacing w:val="-2"/>
        </w:rPr>
        <w:t>2013</w:t>
      </w:r>
      <w:r>
        <w:rPr>
          <w:rFonts w:hint="eastAsia" w:ascii="Times New Roman" w:hAnsi="Times New Roman" w:eastAsia="方正仿宋_GBK"/>
          <w:color w:val="000000"/>
          <w:spacing w:val="-2"/>
        </w:rPr>
        <w:t>年</w:t>
      </w:r>
      <w:r>
        <w:rPr>
          <w:rFonts w:ascii="Times New Roman" w:hAnsi="Times New Roman" w:eastAsia="方正仿宋_GBK"/>
          <w:color w:val="000000"/>
          <w:spacing w:val="-2"/>
        </w:rPr>
        <w:t>10</w:t>
      </w:r>
      <w:r>
        <w:rPr>
          <w:rFonts w:hint="eastAsia" w:ascii="Times New Roman" w:hAnsi="Times New Roman" w:eastAsia="方正仿宋_GBK"/>
          <w:color w:val="000000"/>
          <w:spacing w:val="-2"/>
        </w:rPr>
        <w:t>月</w:t>
      </w:r>
      <w:r>
        <w:rPr>
          <w:rFonts w:ascii="Times New Roman" w:hAnsi="Times New Roman" w:eastAsia="方正仿宋_GBK"/>
          <w:color w:val="000000"/>
          <w:spacing w:val="-2"/>
        </w:rPr>
        <w:t>14</w:t>
      </w:r>
      <w:r>
        <w:rPr>
          <w:rFonts w:hint="eastAsia" w:ascii="Times New Roman" w:hAnsi="Times New Roman" w:eastAsia="方正仿宋_GBK"/>
          <w:color w:val="000000"/>
          <w:spacing w:val="-2"/>
        </w:rPr>
        <w:t>日起，可凭企业用户名、密码或加密锁登录江苏省建筑业监管信息平台，进入出省施工证明审批</w:t>
      </w:r>
      <w:r>
        <w:rPr>
          <w:rFonts w:ascii="Times New Roman" w:hAnsi="Times New Roman" w:eastAsia="方正仿宋_GBK"/>
          <w:color w:val="000000"/>
          <w:spacing w:val="-2"/>
        </w:rPr>
        <w:t>2.0</w:t>
      </w:r>
      <w:r>
        <w:rPr>
          <w:rFonts w:hint="eastAsia" w:ascii="Times New Roman" w:hAnsi="Times New Roman" w:eastAsia="方正仿宋_GBK"/>
          <w:color w:val="000000"/>
          <w:spacing w:val="-2"/>
        </w:rPr>
        <w:t>版，进行网上申请。经系统自动审核通过后，企业凭打印出的回执单至省住房城乡建设厅驻外办事处打印出省施工相关证明，办理结果同步在江苏建筑业网上公开。</w:t>
      </w:r>
    </w:p>
    <w:p>
      <w:pPr>
        <w:pStyle w:val="10"/>
        <w:widowControl w:val="0"/>
        <w:spacing w:before="0" w:beforeAutospacing="0" w:after="0" w:afterAutospacing="0" w:line="420" w:lineRule="exact"/>
        <w:ind w:firstLine="472" w:firstLineChars="200"/>
        <w:jc w:val="both"/>
        <w:rPr>
          <w:rFonts w:ascii="Times New Roman" w:hAnsi="Times New Roman" w:eastAsia="方正黑体_GBK"/>
          <w:color w:val="000000"/>
          <w:spacing w:val="-2"/>
        </w:rPr>
      </w:pPr>
      <w:r>
        <w:rPr>
          <w:rFonts w:hint="eastAsia" w:ascii="Times New Roman" w:hAnsi="Times New Roman" w:eastAsia="方正黑体_GBK"/>
          <w:color w:val="000000"/>
          <w:spacing w:val="-2"/>
        </w:rPr>
        <w:t>三、取消省内企业在省内跨区域施工开具相关证明事项</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本省建筑业企业在本省行政区域内跨企业注册所在地市、县（区）施工，工程所在地建设行政主管部门在市场准入、招标投标等环节一律不得要求企业注册所在地建设行政主管部门出具相关证明，不得设立不合理条件排斥或限制承揽业务。对于违反规定的，省住房城乡建设厅将责令其限期改正直至予以通报批评。</w:t>
      </w:r>
    </w:p>
    <w:p>
      <w:pPr>
        <w:pStyle w:val="10"/>
        <w:widowControl w:val="0"/>
        <w:spacing w:before="0" w:beforeAutospacing="0" w:after="0" w:afterAutospacing="0" w:line="420" w:lineRule="exact"/>
        <w:ind w:firstLine="472" w:firstLineChars="200"/>
        <w:jc w:val="both"/>
        <w:rPr>
          <w:rFonts w:ascii="Times New Roman" w:hAnsi="Times New Roman" w:eastAsia="方正黑体_GBK"/>
          <w:color w:val="000000"/>
          <w:spacing w:val="-2"/>
        </w:rPr>
      </w:pPr>
      <w:r>
        <w:rPr>
          <w:rFonts w:hint="eastAsia" w:ascii="Times New Roman" w:hAnsi="Times New Roman" w:eastAsia="方正黑体_GBK"/>
          <w:color w:val="000000"/>
          <w:spacing w:val="-2"/>
        </w:rPr>
        <w:t>四、后续监管</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（一）各级建设行政主管部门在出省施工证明审批</w:t>
      </w:r>
      <w:r>
        <w:rPr>
          <w:rFonts w:ascii="Times New Roman" w:hAnsi="Times New Roman" w:eastAsia="方正仿宋_GBK"/>
          <w:color w:val="000000"/>
          <w:spacing w:val="-2"/>
        </w:rPr>
        <w:t>2.0</w:t>
      </w:r>
      <w:r>
        <w:rPr>
          <w:rFonts w:hint="eastAsia" w:ascii="Times New Roman" w:hAnsi="Times New Roman" w:eastAsia="方正仿宋_GBK"/>
          <w:color w:val="000000"/>
          <w:spacing w:val="-2"/>
        </w:rPr>
        <w:t>版投入使用后，可通过系统对辖区内开展工程建设经营活动中产生违法、违规等不良行为的企业在系统内进行数据维护和监管。</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（二）各级建设行政主管部门在本省外地企业市场准入、招标投标等环节可按照《江苏省行政管理中实行信用报告信用承诺和信用审查的办法》（苏政办发〔</w:t>
      </w:r>
      <w:r>
        <w:rPr>
          <w:rFonts w:ascii="Times New Roman" w:hAnsi="Times New Roman" w:eastAsia="方正仿宋_GBK"/>
          <w:color w:val="000000"/>
          <w:spacing w:val="-2"/>
        </w:rPr>
        <w:t>2013</w:t>
      </w:r>
      <w:r>
        <w:rPr>
          <w:rFonts w:hint="eastAsia" w:ascii="Times New Roman" w:hAnsi="Times New Roman" w:eastAsia="方正仿宋_GBK"/>
          <w:color w:val="000000"/>
          <w:spacing w:val="-2"/>
        </w:rPr>
        <w:t>〕</w:t>
      </w:r>
      <w:r>
        <w:rPr>
          <w:rFonts w:ascii="Times New Roman" w:hAnsi="Times New Roman" w:eastAsia="方正仿宋_GBK"/>
          <w:color w:val="000000"/>
          <w:spacing w:val="-2"/>
        </w:rPr>
        <w:t>101</w:t>
      </w:r>
      <w:r>
        <w:rPr>
          <w:rFonts w:hint="eastAsia" w:ascii="Times New Roman" w:hAnsi="Times New Roman" w:eastAsia="方正仿宋_GBK"/>
          <w:color w:val="000000"/>
          <w:spacing w:val="-2"/>
        </w:rPr>
        <w:t>号）（见附件</w:t>
      </w:r>
      <w:r>
        <w:rPr>
          <w:rFonts w:ascii="Times New Roman" w:hAnsi="Times New Roman" w:eastAsia="方正仿宋_GBK"/>
          <w:color w:val="000000"/>
          <w:spacing w:val="-2"/>
        </w:rPr>
        <w:t>2</w:t>
      </w:r>
      <w:r>
        <w:rPr>
          <w:rFonts w:hint="eastAsia" w:ascii="Times New Roman" w:hAnsi="Times New Roman" w:eastAsia="方正仿宋_GBK"/>
          <w:color w:val="000000"/>
          <w:spacing w:val="-2"/>
        </w:rPr>
        <w:t>）第十三条、第十五条的规定，采用企业信用承诺的方式替代原有审查形式。</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（三）出省施工证明审批</w:t>
      </w:r>
      <w:r>
        <w:rPr>
          <w:rFonts w:ascii="Times New Roman" w:hAnsi="Times New Roman" w:eastAsia="方正仿宋_GBK"/>
          <w:color w:val="000000"/>
          <w:spacing w:val="-2"/>
        </w:rPr>
        <w:t>2.0</w:t>
      </w:r>
      <w:r>
        <w:rPr>
          <w:rFonts w:hint="eastAsia" w:ascii="Times New Roman" w:hAnsi="Times New Roman" w:eastAsia="方正仿宋_GBK"/>
          <w:color w:val="000000"/>
          <w:spacing w:val="-2"/>
        </w:rPr>
        <w:t>版系统自动不接受未参加当年度资质网上核查、建造师人数不满足标准要求、无安全生产许可证或不在有效状态企业的申请；各级建设行政主管部门可根据权限对企业和建造师安全生产情况、企业诚信行为和农民工工资支付情况进行数据维护。对于存在不良信息的企业，系统自动不予审核通过。</w:t>
      </w:r>
    </w:p>
    <w:p>
      <w:pPr>
        <w:pStyle w:val="10"/>
        <w:widowControl w:val="0"/>
        <w:spacing w:before="0" w:beforeAutospacing="0" w:after="0" w:afterAutospacing="0" w:line="420" w:lineRule="exact"/>
        <w:ind w:firstLine="472" w:firstLineChars="200"/>
        <w:jc w:val="both"/>
        <w:rPr>
          <w:rFonts w:ascii="Times New Roman" w:hAnsi="Times New Roman" w:eastAsia="方正黑体_GBK"/>
          <w:color w:val="000000"/>
          <w:spacing w:val="-2"/>
        </w:rPr>
      </w:pPr>
      <w:r>
        <w:rPr>
          <w:rFonts w:hint="eastAsia" w:ascii="Times New Roman" w:hAnsi="Times New Roman" w:eastAsia="方正黑体_GBK"/>
          <w:color w:val="000000"/>
          <w:spacing w:val="-2"/>
        </w:rPr>
        <w:t>五、其它事项</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（一）本通知中的</w:t>
      </w:r>
      <w:r>
        <w:rPr>
          <w:rFonts w:ascii="Times New Roman" w:hAnsi="Times New Roman" w:eastAsia="方正仿宋_GBK"/>
          <w:color w:val="000000"/>
          <w:spacing w:val="-2"/>
        </w:rPr>
        <w:t>“</w:t>
      </w:r>
      <w:r>
        <w:rPr>
          <w:rFonts w:hint="eastAsia" w:ascii="Times New Roman" w:hAnsi="Times New Roman" w:eastAsia="方正仿宋_GBK"/>
          <w:color w:val="000000"/>
          <w:spacing w:val="-2"/>
        </w:rPr>
        <w:t>相关证明</w:t>
      </w:r>
      <w:r>
        <w:rPr>
          <w:rFonts w:ascii="Times New Roman" w:hAnsi="Times New Roman" w:eastAsia="方正仿宋_GBK"/>
          <w:color w:val="000000"/>
          <w:spacing w:val="-2"/>
        </w:rPr>
        <w:t>”</w:t>
      </w:r>
      <w:r>
        <w:rPr>
          <w:rFonts w:hint="eastAsia" w:ascii="Times New Roman" w:hAnsi="Times New Roman" w:eastAsia="方正仿宋_GBK"/>
          <w:color w:val="000000"/>
          <w:spacing w:val="-2"/>
        </w:rPr>
        <w:t>是指外出施工介绍信、诚信证明、质量安全证明、无拖欠农民工工资行为证明、建造师无在建工程证明、建造师无安全事故证明等。</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（二）本通知中的</w:t>
      </w:r>
      <w:r>
        <w:rPr>
          <w:rFonts w:ascii="Times New Roman" w:hAnsi="Times New Roman" w:eastAsia="方正仿宋_GBK"/>
          <w:color w:val="000000"/>
          <w:spacing w:val="-2"/>
        </w:rPr>
        <w:t>“</w:t>
      </w:r>
      <w:r>
        <w:rPr>
          <w:rFonts w:hint="eastAsia" w:ascii="Times New Roman" w:hAnsi="Times New Roman" w:eastAsia="方正仿宋_GBK"/>
          <w:color w:val="000000"/>
          <w:spacing w:val="-2"/>
        </w:rPr>
        <w:t>建筑业企业</w:t>
      </w:r>
      <w:r>
        <w:rPr>
          <w:rFonts w:ascii="Times New Roman" w:hAnsi="Times New Roman" w:eastAsia="方正仿宋_GBK"/>
          <w:color w:val="000000"/>
          <w:spacing w:val="-2"/>
        </w:rPr>
        <w:t>”</w:t>
      </w:r>
      <w:r>
        <w:rPr>
          <w:rFonts w:hint="eastAsia" w:ascii="Times New Roman" w:hAnsi="Times New Roman" w:eastAsia="方正仿宋_GBK"/>
          <w:color w:val="000000"/>
          <w:spacing w:val="-2"/>
        </w:rPr>
        <w:t>含从事施工任务的设计施工一体化资质企业。</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（三）原外出施工证明</w:t>
      </w:r>
      <w:r>
        <w:rPr>
          <w:rFonts w:ascii="Times New Roman" w:hAnsi="Times New Roman" w:eastAsia="方正仿宋_GBK"/>
          <w:color w:val="000000"/>
          <w:spacing w:val="-2"/>
        </w:rPr>
        <w:t>1.0</w:t>
      </w:r>
      <w:r>
        <w:rPr>
          <w:rFonts w:hint="eastAsia" w:ascii="Times New Roman" w:hAnsi="Times New Roman" w:eastAsia="方正仿宋_GBK"/>
          <w:color w:val="000000"/>
          <w:spacing w:val="-2"/>
        </w:rPr>
        <w:t>版继续使用至</w:t>
      </w:r>
      <w:r>
        <w:rPr>
          <w:rFonts w:ascii="Times New Roman" w:hAnsi="Times New Roman" w:eastAsia="方正仿宋_GBK"/>
          <w:color w:val="000000"/>
          <w:spacing w:val="-2"/>
        </w:rPr>
        <w:t>2013</w:t>
      </w:r>
      <w:r>
        <w:rPr>
          <w:rFonts w:hint="eastAsia" w:ascii="Times New Roman" w:hAnsi="Times New Roman" w:eastAsia="方正仿宋_GBK"/>
          <w:color w:val="000000"/>
          <w:spacing w:val="-2"/>
        </w:rPr>
        <w:t>年</w:t>
      </w:r>
      <w:r>
        <w:rPr>
          <w:rFonts w:ascii="Times New Roman" w:hAnsi="Times New Roman" w:eastAsia="方正仿宋_GBK"/>
          <w:color w:val="000000"/>
          <w:spacing w:val="-2"/>
        </w:rPr>
        <w:t>10</w:t>
      </w:r>
      <w:r>
        <w:rPr>
          <w:rFonts w:hint="eastAsia" w:ascii="Times New Roman" w:hAnsi="Times New Roman" w:eastAsia="方正仿宋_GBK"/>
          <w:color w:val="000000"/>
          <w:spacing w:val="-2"/>
        </w:rPr>
        <w:t>月</w:t>
      </w:r>
      <w:r>
        <w:rPr>
          <w:rFonts w:ascii="Times New Roman" w:hAnsi="Times New Roman" w:eastAsia="方正仿宋_GBK"/>
          <w:color w:val="000000"/>
          <w:spacing w:val="-2"/>
        </w:rPr>
        <w:t>31</w:t>
      </w:r>
      <w:r>
        <w:rPr>
          <w:rFonts w:hint="eastAsia" w:ascii="Times New Roman" w:hAnsi="Times New Roman" w:eastAsia="方正仿宋_GBK"/>
          <w:color w:val="000000"/>
          <w:spacing w:val="-2"/>
        </w:rPr>
        <w:t>日。</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（四）各市、县（市、区）系统维护人员名单请填写</w:t>
      </w:r>
      <w:r>
        <w:rPr>
          <w:rFonts w:ascii="Times New Roman" w:hAnsi="Times New Roman" w:eastAsia="方正仿宋_GBK"/>
          <w:color w:val="000000"/>
          <w:spacing w:val="-2"/>
        </w:rPr>
        <w:t>“</w:t>
      </w:r>
      <w:r>
        <w:rPr>
          <w:rFonts w:hint="eastAsia" w:ascii="Times New Roman" w:hAnsi="Times New Roman" w:eastAsia="方正仿宋_GBK"/>
          <w:color w:val="000000"/>
          <w:spacing w:val="-2"/>
        </w:rPr>
        <w:t>出省施工证明审批</w:t>
      </w:r>
      <w:r>
        <w:rPr>
          <w:rFonts w:ascii="Times New Roman" w:hAnsi="Times New Roman" w:eastAsia="方正仿宋_GBK"/>
          <w:color w:val="000000"/>
          <w:spacing w:val="-2"/>
        </w:rPr>
        <w:t>2.0</w:t>
      </w:r>
      <w:r>
        <w:rPr>
          <w:rFonts w:hint="eastAsia" w:ascii="Times New Roman" w:hAnsi="Times New Roman" w:eastAsia="方正仿宋_GBK"/>
          <w:color w:val="000000"/>
          <w:spacing w:val="-2"/>
        </w:rPr>
        <w:t>版系统维护人员登记表</w:t>
      </w:r>
      <w:r>
        <w:rPr>
          <w:rFonts w:ascii="Times New Roman" w:hAnsi="Times New Roman" w:eastAsia="方正仿宋_GBK"/>
          <w:color w:val="000000"/>
          <w:spacing w:val="-2"/>
        </w:rPr>
        <w:t>”</w:t>
      </w:r>
      <w:r>
        <w:rPr>
          <w:rFonts w:hint="eastAsia" w:ascii="Times New Roman" w:hAnsi="Times New Roman" w:eastAsia="方正仿宋_GBK"/>
          <w:color w:val="000000"/>
          <w:spacing w:val="-2"/>
        </w:rPr>
        <w:t>（见附件</w:t>
      </w:r>
      <w:r>
        <w:rPr>
          <w:rFonts w:ascii="Times New Roman" w:hAnsi="Times New Roman" w:eastAsia="方正仿宋_GBK"/>
          <w:color w:val="000000"/>
          <w:spacing w:val="-2"/>
        </w:rPr>
        <w:t>2</w:t>
      </w:r>
      <w:r>
        <w:rPr>
          <w:rFonts w:hint="eastAsia" w:ascii="Times New Roman" w:hAnsi="Times New Roman" w:eastAsia="方正仿宋_GBK"/>
          <w:color w:val="000000"/>
          <w:spacing w:val="-2"/>
        </w:rPr>
        <w:t>），以各直辖市（园区、保税区、省管县）为单位于</w:t>
      </w:r>
      <w:r>
        <w:rPr>
          <w:rFonts w:ascii="Times New Roman" w:hAnsi="Times New Roman" w:eastAsia="方正仿宋_GBK"/>
          <w:color w:val="000000"/>
          <w:spacing w:val="-2"/>
        </w:rPr>
        <w:t>10</w:t>
      </w:r>
      <w:r>
        <w:rPr>
          <w:rFonts w:hint="eastAsia" w:ascii="Times New Roman" w:hAnsi="Times New Roman" w:eastAsia="方正仿宋_GBK"/>
          <w:color w:val="000000"/>
          <w:spacing w:val="-2"/>
        </w:rPr>
        <w:t>月</w:t>
      </w:r>
      <w:r>
        <w:rPr>
          <w:rFonts w:ascii="Times New Roman" w:hAnsi="Times New Roman" w:eastAsia="方正仿宋_GBK"/>
          <w:color w:val="000000"/>
          <w:spacing w:val="-2"/>
        </w:rPr>
        <w:t>18</w:t>
      </w:r>
      <w:r>
        <w:rPr>
          <w:rFonts w:hint="eastAsia" w:ascii="Times New Roman" w:hAnsi="Times New Roman" w:eastAsia="方正仿宋_GBK"/>
          <w:color w:val="000000"/>
          <w:spacing w:val="-2"/>
        </w:rPr>
        <w:t>日前报省住房城乡建设厅建管处。传真：</w:t>
      </w:r>
      <w:r>
        <w:rPr>
          <w:rFonts w:ascii="Times New Roman" w:hAnsi="Times New Roman" w:eastAsia="方正仿宋_GBK"/>
          <w:color w:val="000000"/>
          <w:spacing w:val="-2"/>
        </w:rPr>
        <w:t>025-51868740</w:t>
      </w:r>
      <w:r>
        <w:rPr>
          <w:rFonts w:hint="eastAsia" w:ascii="Times New Roman" w:hAnsi="Times New Roman" w:eastAsia="方正仿宋_GBK"/>
          <w:color w:val="000000"/>
          <w:spacing w:val="-2"/>
        </w:rPr>
        <w:t>。</w:t>
      </w:r>
    </w:p>
    <w:p>
      <w:pPr>
        <w:pStyle w:val="10"/>
        <w:widowControl w:val="0"/>
        <w:spacing w:before="0" w:beforeAutospacing="0" w:after="0" w:afterAutospacing="0" w:line="420" w:lineRule="exact"/>
        <w:ind w:firstLine="472" w:firstLineChars="200"/>
        <w:jc w:val="both"/>
        <w:rPr>
          <w:rFonts w:ascii="Times New Roman" w:hAnsi="Times New Roman" w:eastAsia="方正黑体_GBK"/>
          <w:color w:val="000000"/>
          <w:spacing w:val="-2"/>
        </w:rPr>
      </w:pPr>
      <w:r>
        <w:rPr>
          <w:rFonts w:hint="eastAsia" w:ascii="Times New Roman" w:hAnsi="Times New Roman" w:eastAsia="方正黑体_GBK"/>
          <w:color w:val="000000"/>
          <w:spacing w:val="-2"/>
        </w:rPr>
        <w:t>六、要求</w:t>
      </w:r>
    </w:p>
    <w:p>
      <w:pPr>
        <w:pStyle w:val="10"/>
        <w:widowControl w:val="0"/>
        <w:spacing w:before="0" w:beforeAutospacing="0" w:after="0" w:afterAutospacing="0" w:line="42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各级建设行政主管部门要及时转变观念，加大简政放权力度，减少和下放生产经营活动的审批事项，提高行政效能和行政服务质量，服务好广大企业和群众。认真做好工作的落实和衔接工作，明确监管责任，强化事中、事后监管，避免出现监管真空。</w:t>
      </w:r>
    </w:p>
    <w:p>
      <w:pPr>
        <w:pStyle w:val="10"/>
        <w:widowControl w:val="0"/>
        <w:spacing w:before="0" w:beforeAutospacing="0" w:after="0" w:afterAutospacing="0" w:line="460" w:lineRule="exact"/>
        <w:ind w:firstLine="472" w:firstLineChars="200"/>
        <w:jc w:val="both"/>
        <w:rPr>
          <w:rFonts w:ascii="Times New Roman" w:hAnsi="Times New Roman" w:eastAsia="方正仿宋_GBK"/>
          <w:color w:val="000000"/>
          <w:spacing w:val="-2"/>
        </w:rPr>
      </w:pPr>
    </w:p>
    <w:p>
      <w:pPr>
        <w:pStyle w:val="10"/>
        <w:widowControl w:val="0"/>
        <w:spacing w:before="0" w:beforeAutospacing="0" w:after="0" w:afterAutospacing="0" w:line="460" w:lineRule="exact"/>
        <w:ind w:firstLine="472" w:firstLineChars="200"/>
        <w:jc w:val="both"/>
        <w:rPr>
          <w:rFonts w:ascii="Times New Roman" w:hAnsi="Times New Roman" w:eastAsia="方正仿宋_GBK"/>
          <w:color w:val="000000"/>
          <w:spacing w:val="-2"/>
        </w:rPr>
      </w:pPr>
      <w:r>
        <w:rPr>
          <w:rFonts w:hint="eastAsia" w:ascii="Times New Roman" w:hAnsi="Times New Roman" w:eastAsia="方正仿宋_GBK"/>
          <w:color w:val="000000"/>
          <w:spacing w:val="-2"/>
        </w:rPr>
        <w:t>附件：</w:t>
      </w:r>
      <w:r>
        <w:rPr>
          <w:rFonts w:ascii="Times New Roman" w:hAnsi="Times New Roman" w:eastAsia="方正仿宋_GBK"/>
          <w:color w:val="000000"/>
          <w:spacing w:val="-2"/>
        </w:rPr>
        <w:t>1. </w:t>
      </w:r>
      <w:r>
        <w:rPr>
          <w:rFonts w:hint="eastAsia" w:ascii="Times New Roman" w:hAnsi="Times New Roman" w:eastAsia="方正仿宋_GBK"/>
          <w:color w:val="000000"/>
          <w:spacing w:val="-2"/>
        </w:rPr>
        <w:t>江苏省行政管理中实行信用报告信用承诺和信用审查的办法</w:t>
      </w:r>
    </w:p>
    <w:p>
      <w:pPr>
        <w:pStyle w:val="10"/>
        <w:widowControl w:val="0"/>
        <w:spacing w:before="0" w:beforeAutospacing="0" w:after="0" w:afterAutospacing="0" w:line="460" w:lineRule="exact"/>
        <w:ind w:firstLine="1191" w:firstLineChars="505"/>
        <w:jc w:val="both"/>
        <w:rPr>
          <w:rFonts w:ascii="Times New Roman" w:hAnsi="Times New Roman" w:eastAsia="方正仿宋_GBK"/>
          <w:color w:val="000000"/>
          <w:spacing w:val="-2"/>
        </w:rPr>
      </w:pPr>
      <w:r>
        <w:rPr>
          <w:rFonts w:ascii="Times New Roman" w:hAnsi="Times New Roman" w:eastAsia="方正仿宋_GBK"/>
          <w:color w:val="000000"/>
          <w:spacing w:val="-2"/>
        </w:rPr>
        <w:t>2. </w:t>
      </w:r>
      <w:r>
        <w:rPr>
          <w:rFonts w:hint="eastAsia" w:ascii="Times New Roman" w:hAnsi="Times New Roman" w:eastAsia="方正仿宋_GBK"/>
          <w:color w:val="000000"/>
          <w:spacing w:val="-2"/>
        </w:rPr>
        <w:t>外出施工证明</w:t>
      </w:r>
      <w:r>
        <w:rPr>
          <w:rFonts w:ascii="Times New Roman" w:hAnsi="Times New Roman" w:eastAsia="方正仿宋_GBK"/>
          <w:color w:val="000000"/>
          <w:spacing w:val="-2"/>
        </w:rPr>
        <w:t>2.0</w:t>
      </w:r>
      <w:r>
        <w:rPr>
          <w:rFonts w:hint="eastAsia" w:ascii="Times New Roman" w:hAnsi="Times New Roman" w:eastAsia="方正仿宋_GBK"/>
          <w:color w:val="000000"/>
          <w:spacing w:val="-2"/>
        </w:rPr>
        <w:t>版系统维护人员登记表</w:t>
      </w:r>
    </w:p>
    <w:p>
      <w:pPr>
        <w:pStyle w:val="10"/>
        <w:widowControl w:val="0"/>
        <w:spacing w:before="0" w:beforeAutospacing="0" w:after="0" w:afterAutospacing="0" w:line="460" w:lineRule="exact"/>
        <w:ind w:firstLine="1191" w:firstLineChars="505"/>
        <w:jc w:val="both"/>
        <w:rPr>
          <w:rFonts w:ascii="Times New Roman" w:hAnsi="Times New Roman" w:eastAsia="方正仿宋_GBK"/>
          <w:color w:val="000000"/>
          <w:spacing w:val="-2"/>
        </w:rPr>
      </w:pPr>
    </w:p>
    <w:p>
      <w:pPr>
        <w:pStyle w:val="10"/>
        <w:widowControl w:val="0"/>
        <w:spacing w:before="0" w:beforeAutospacing="0" w:after="0" w:afterAutospacing="0" w:line="460" w:lineRule="exact"/>
        <w:ind w:right="418" w:rightChars="199" w:firstLine="472" w:firstLineChars="200"/>
        <w:jc w:val="right"/>
        <w:rPr>
          <w:rFonts w:ascii="Times New Roman" w:hAnsi="Times New Roman" w:eastAsia="方正仿宋_GBK"/>
          <w:color w:val="000000"/>
          <w:spacing w:val="-2"/>
        </w:rPr>
      </w:pPr>
      <w:r>
        <w:rPr>
          <w:rFonts w:hint="eastAsia" w:ascii="Times New Roman" w:hAnsi="Times New Roman" w:eastAsia="方正仿宋_GBK"/>
          <w:color w:val="000000"/>
          <w:spacing w:val="-2"/>
        </w:rPr>
        <w:t>江苏省住房和城乡建设厅</w:t>
      </w:r>
      <w:r>
        <w:rPr>
          <w:rFonts w:ascii="Times New Roman" w:hAnsi="Times New Roman" w:eastAsia="方正仿宋_GBK"/>
          <w:color w:val="000000"/>
          <w:spacing w:val="-2"/>
        </w:rPr>
        <w:t xml:space="preserve">    </w:t>
      </w:r>
    </w:p>
    <w:p>
      <w:pPr>
        <w:pStyle w:val="10"/>
        <w:widowControl w:val="0"/>
        <w:spacing w:before="0" w:beforeAutospacing="0" w:after="0" w:afterAutospacing="0" w:line="460" w:lineRule="exact"/>
        <w:ind w:right="778" w:firstLine="4366" w:firstLineChars="1850"/>
        <w:jc w:val="right"/>
        <w:rPr>
          <w:rFonts w:ascii="Times New Roman" w:hAnsi="Times New Roman" w:eastAsia="方正仿宋_GBK"/>
          <w:color w:val="000000"/>
          <w:spacing w:val="-2"/>
        </w:rPr>
      </w:pPr>
      <w:r>
        <w:rPr>
          <w:rFonts w:ascii="Times New Roman" w:hAnsi="Times New Roman" w:eastAsia="方正仿宋_GBK"/>
          <w:color w:val="000000"/>
          <w:spacing w:val="-2"/>
        </w:rPr>
        <w:t>2013</w:t>
      </w:r>
      <w:r>
        <w:rPr>
          <w:rFonts w:hint="eastAsia" w:ascii="Times New Roman" w:hAnsi="Times New Roman" w:eastAsia="方正仿宋_GBK"/>
          <w:color w:val="000000"/>
          <w:spacing w:val="-2"/>
        </w:rPr>
        <w:t>年</w:t>
      </w:r>
      <w:r>
        <w:rPr>
          <w:rFonts w:ascii="Times New Roman" w:hAnsi="Times New Roman" w:eastAsia="方正仿宋_GBK"/>
          <w:color w:val="000000"/>
          <w:spacing w:val="-2"/>
        </w:rPr>
        <w:t>10</w:t>
      </w:r>
      <w:r>
        <w:rPr>
          <w:rFonts w:hint="eastAsia" w:ascii="Times New Roman" w:hAnsi="Times New Roman" w:eastAsia="方正仿宋_GBK"/>
          <w:color w:val="000000"/>
          <w:spacing w:val="-2"/>
        </w:rPr>
        <w:t>月</w:t>
      </w:r>
      <w:r>
        <w:rPr>
          <w:rFonts w:ascii="Times New Roman" w:hAnsi="Times New Roman" w:eastAsia="方正仿宋_GBK"/>
          <w:color w:val="000000"/>
          <w:spacing w:val="-2"/>
        </w:rPr>
        <w:t>13</w:t>
      </w:r>
      <w:r>
        <w:rPr>
          <w:rFonts w:hint="eastAsia" w:ascii="Times New Roman" w:hAnsi="Times New Roman" w:eastAsia="方正仿宋_GBK"/>
          <w:color w:val="000000"/>
          <w:spacing w:val="-2"/>
        </w:rPr>
        <w:t>日</w:t>
      </w:r>
      <w:r>
        <w:rPr>
          <w:rFonts w:ascii="Times New Roman" w:hAnsi="Times New Roman" w:eastAsia="方正仿宋_GBK"/>
          <w:color w:val="000000"/>
          <w:spacing w:val="-2"/>
        </w:rPr>
        <w:t xml:space="preserve">    </w:t>
      </w:r>
    </w:p>
    <w:p>
      <w:pPr>
        <w:spacing w:line="460" w:lineRule="exact"/>
        <w:rPr>
          <w:rFonts w:ascii="Times New Roman" w:eastAsia="方正黑体_GBK"/>
          <w:sz w:val="28"/>
          <w:szCs w:val="28"/>
        </w:rPr>
      </w:pPr>
      <w:r>
        <w:br w:type="column"/>
      </w:r>
      <w:r>
        <w:rPr>
          <w:rFonts w:hint="eastAsia" w:ascii="Times New Roman" w:eastAsia="方正黑体_GBK"/>
          <w:sz w:val="28"/>
          <w:szCs w:val="28"/>
        </w:rPr>
        <w:t>附件1</w:t>
      </w:r>
    </w:p>
    <w:p>
      <w:pPr>
        <w:spacing w:line="460" w:lineRule="exact"/>
        <w:rPr>
          <w:rFonts w:hint="eastAsia" w:ascii="Times New Roman" w:eastAsia="方正黑体_GBK"/>
          <w:sz w:val="28"/>
          <w:szCs w:val="28"/>
        </w:rPr>
      </w:pPr>
    </w:p>
    <w:p>
      <w:pPr>
        <w:spacing w:line="460" w:lineRule="exact"/>
        <w:jc w:val="center"/>
        <w:rPr>
          <w:rFonts w:hint="eastAsia" w:ascii="Times New Roman" w:eastAsia="方正小标宋简体"/>
          <w:color w:val="000000"/>
          <w:sz w:val="36"/>
          <w:szCs w:val="36"/>
        </w:rPr>
      </w:pPr>
      <w:r>
        <w:rPr>
          <w:rFonts w:hint="eastAsia" w:ascii="Times New Roman" w:eastAsia="方正小标宋简体"/>
          <w:color w:val="000000"/>
          <w:sz w:val="36"/>
          <w:szCs w:val="36"/>
        </w:rPr>
        <w:t>省政府办公厅关于印发</w:t>
      </w:r>
    </w:p>
    <w:p>
      <w:pPr>
        <w:spacing w:line="460" w:lineRule="exact"/>
        <w:jc w:val="center"/>
        <w:rPr>
          <w:rFonts w:hint="eastAsia" w:ascii="Times New Roman" w:eastAsia="方正小标宋简体"/>
          <w:color w:val="000000"/>
          <w:sz w:val="36"/>
          <w:szCs w:val="36"/>
        </w:rPr>
      </w:pPr>
      <w:r>
        <w:rPr>
          <w:rFonts w:hint="eastAsia" w:ascii="Times New Roman" w:eastAsia="方正小标宋简体"/>
          <w:color w:val="000000"/>
          <w:sz w:val="36"/>
          <w:szCs w:val="36"/>
        </w:rPr>
        <w:t>江苏省行政管理中实行信用报告</w:t>
      </w:r>
    </w:p>
    <w:p>
      <w:pPr>
        <w:spacing w:line="460" w:lineRule="exact"/>
        <w:jc w:val="center"/>
        <w:rPr>
          <w:rFonts w:hint="eastAsia" w:eastAsia="方正仿宋_GBK"/>
          <w:color w:val="000000"/>
          <w:sz w:val="24"/>
        </w:rPr>
      </w:pPr>
      <w:r>
        <w:rPr>
          <w:rFonts w:hint="eastAsia" w:ascii="Times New Roman" w:eastAsia="方正小标宋简体"/>
          <w:color w:val="000000"/>
          <w:sz w:val="36"/>
          <w:szCs w:val="36"/>
        </w:rPr>
        <w:t>信用承诺和信用审查办法的通知</w:t>
      </w:r>
    </w:p>
    <w:p>
      <w:pPr>
        <w:spacing w:line="460" w:lineRule="exact"/>
        <w:jc w:val="center"/>
        <w:rPr>
          <w:rFonts w:eastAsia="方正仿宋_GBK"/>
          <w:color w:val="000000"/>
          <w:sz w:val="24"/>
        </w:rPr>
      </w:pPr>
    </w:p>
    <w:p>
      <w:pPr>
        <w:spacing w:line="460" w:lineRule="exact"/>
        <w:jc w:val="center"/>
        <w:rPr>
          <w:rFonts w:eastAsia="方正仿宋_GBK"/>
          <w:color w:val="000000"/>
          <w:sz w:val="24"/>
        </w:rPr>
      </w:pPr>
      <w:r>
        <w:rPr>
          <w:rFonts w:hint="eastAsia" w:eastAsia="方正仿宋_GBK"/>
          <w:color w:val="000000"/>
          <w:sz w:val="24"/>
        </w:rPr>
        <w:t>苏政办发〔</w:t>
      </w:r>
      <w:r>
        <w:rPr>
          <w:rFonts w:eastAsia="方正仿宋_GBK"/>
          <w:color w:val="000000"/>
          <w:sz w:val="24"/>
        </w:rPr>
        <w:t>2013</w:t>
      </w:r>
      <w:r>
        <w:rPr>
          <w:rFonts w:hint="eastAsia" w:eastAsia="方正仿宋_GBK"/>
          <w:color w:val="000000"/>
          <w:sz w:val="24"/>
        </w:rPr>
        <w:t>〕</w:t>
      </w:r>
      <w:r>
        <w:rPr>
          <w:rFonts w:eastAsia="方正仿宋_GBK"/>
          <w:color w:val="000000"/>
          <w:sz w:val="24"/>
        </w:rPr>
        <w:t>101</w:t>
      </w:r>
      <w:r>
        <w:rPr>
          <w:rFonts w:hint="eastAsia" w:eastAsia="方正仿宋_GBK"/>
          <w:color w:val="000000"/>
          <w:sz w:val="24"/>
        </w:rPr>
        <w:t>号</w:t>
      </w:r>
    </w:p>
    <w:p>
      <w:pPr>
        <w:spacing w:line="460" w:lineRule="exact"/>
        <w:rPr>
          <w:rFonts w:eastAsia="方正仿宋_GBK"/>
          <w:color w:val="000000"/>
          <w:sz w:val="24"/>
        </w:rPr>
      </w:pPr>
    </w:p>
    <w:p>
      <w:pPr>
        <w:spacing w:line="460" w:lineRule="exact"/>
        <w:rPr>
          <w:rFonts w:eastAsia="方正仿宋_GBK"/>
          <w:color w:val="000000"/>
          <w:sz w:val="24"/>
        </w:rPr>
      </w:pPr>
      <w:r>
        <w:rPr>
          <w:rFonts w:hint="eastAsia" w:eastAsia="方正仿宋_GBK"/>
          <w:color w:val="000000"/>
          <w:sz w:val="24"/>
        </w:rPr>
        <w:t>各市、县（市、区）人民政府，省各委办厅局，省各直属单位：</w:t>
      </w:r>
    </w:p>
    <w:p>
      <w:pPr>
        <w:spacing w:line="460" w:lineRule="exact"/>
        <w:ind w:left="105" w:leftChars="50" w:right="105" w:rightChars="50" w:firstLine="480" w:firstLineChars="200"/>
        <w:rPr>
          <w:rFonts w:eastAsia="方正仿宋_GBK"/>
          <w:color w:val="000000"/>
          <w:sz w:val="24"/>
        </w:rPr>
      </w:pPr>
      <w:r>
        <w:rPr>
          <w:rFonts w:hint="eastAsia" w:eastAsia="方正仿宋_GBK"/>
          <w:color w:val="000000"/>
          <w:sz w:val="24"/>
        </w:rPr>
        <w:t>《江苏省行政管理中实行信用报告信用承诺和信用审查的办法》已经省人民政府同意，现印发给你们，请认真组织实施。</w:t>
      </w:r>
    </w:p>
    <w:p>
      <w:pPr>
        <w:spacing w:line="460" w:lineRule="exact"/>
        <w:ind w:left="105" w:leftChars="50" w:right="105" w:rightChars="50" w:firstLine="480" w:firstLineChars="200"/>
        <w:rPr>
          <w:rFonts w:eastAsia="方正仿宋_GBK"/>
          <w:color w:val="000000"/>
          <w:sz w:val="24"/>
        </w:rPr>
      </w:pPr>
    </w:p>
    <w:p>
      <w:pPr>
        <w:spacing w:line="460" w:lineRule="exact"/>
        <w:ind w:left="105" w:leftChars="50" w:right="578" w:rightChars="275" w:firstLine="480" w:firstLineChars="200"/>
        <w:jc w:val="right"/>
        <w:rPr>
          <w:rFonts w:eastAsia="方正仿宋_GBK"/>
          <w:color w:val="000000"/>
          <w:sz w:val="24"/>
        </w:rPr>
      </w:pPr>
      <w:r>
        <w:rPr>
          <w:rFonts w:hint="eastAsia" w:eastAsia="方正仿宋_GBK"/>
          <w:color w:val="000000"/>
          <w:sz w:val="24"/>
        </w:rPr>
        <w:t>江苏省人民政府办公厅</w:t>
      </w:r>
    </w:p>
    <w:p>
      <w:pPr>
        <w:spacing w:line="460" w:lineRule="exact"/>
        <w:ind w:left="105" w:leftChars="50" w:right="838" w:rightChars="399" w:firstLine="480" w:firstLineChars="200"/>
        <w:jc w:val="right"/>
        <w:rPr>
          <w:rFonts w:eastAsia="方正仿宋_GBK"/>
          <w:color w:val="000000"/>
          <w:sz w:val="24"/>
        </w:rPr>
      </w:pPr>
      <w:r>
        <w:rPr>
          <w:rFonts w:eastAsia="方正仿宋_GBK"/>
          <w:color w:val="000000"/>
          <w:sz w:val="24"/>
        </w:rPr>
        <w:t>2013</w:t>
      </w:r>
      <w:r>
        <w:rPr>
          <w:rFonts w:hint="eastAsia" w:eastAsia="方正仿宋_GBK"/>
          <w:color w:val="000000"/>
          <w:sz w:val="24"/>
        </w:rPr>
        <w:t>年</w:t>
      </w:r>
      <w:r>
        <w:rPr>
          <w:rFonts w:eastAsia="方正仿宋_GBK"/>
          <w:color w:val="000000"/>
          <w:sz w:val="24"/>
        </w:rPr>
        <w:t>5</w:t>
      </w:r>
      <w:r>
        <w:rPr>
          <w:rFonts w:hint="eastAsia" w:eastAsia="方正仿宋_GBK"/>
          <w:color w:val="000000"/>
          <w:sz w:val="24"/>
        </w:rPr>
        <w:t>月</w:t>
      </w:r>
      <w:r>
        <w:rPr>
          <w:rFonts w:eastAsia="方正仿宋_GBK"/>
          <w:color w:val="000000"/>
          <w:sz w:val="24"/>
        </w:rPr>
        <w:t>28</w:t>
      </w:r>
      <w:r>
        <w:rPr>
          <w:rFonts w:hint="eastAsia" w:eastAsia="方正仿宋_GBK"/>
          <w:color w:val="000000"/>
          <w:sz w:val="24"/>
        </w:rPr>
        <w:t>日</w:t>
      </w:r>
    </w:p>
    <w:p>
      <w:pPr>
        <w:spacing w:line="460" w:lineRule="exact"/>
        <w:ind w:right="105" w:rightChars="50"/>
        <w:rPr>
          <w:rFonts w:eastAsia="方正仿宋_GBK"/>
          <w:color w:val="000000"/>
          <w:sz w:val="24"/>
        </w:rPr>
      </w:pPr>
    </w:p>
    <w:p>
      <w:pPr>
        <w:spacing w:line="460" w:lineRule="exact"/>
        <w:ind w:right="105" w:rightChars="50"/>
        <w:jc w:val="center"/>
        <w:rPr>
          <w:rFonts w:ascii="Times New Roman" w:eastAsia="黑体"/>
          <w:color w:val="000000"/>
          <w:sz w:val="36"/>
          <w:szCs w:val="36"/>
        </w:rPr>
      </w:pPr>
    </w:p>
    <w:p>
      <w:pPr>
        <w:spacing w:line="460" w:lineRule="exact"/>
        <w:ind w:right="105" w:rightChars="50"/>
        <w:jc w:val="center"/>
        <w:rPr>
          <w:rFonts w:hint="eastAsia" w:ascii="Times New Roman" w:eastAsia="黑体"/>
          <w:color w:val="000000"/>
          <w:sz w:val="36"/>
          <w:szCs w:val="36"/>
        </w:rPr>
      </w:pPr>
      <w:r>
        <w:rPr>
          <w:rFonts w:hint="eastAsia" w:ascii="Times New Roman" w:eastAsia="黑体"/>
          <w:color w:val="000000"/>
          <w:sz w:val="36"/>
          <w:szCs w:val="36"/>
        </w:rPr>
        <w:t>江苏省行政管理中实行信用报告</w:t>
      </w:r>
    </w:p>
    <w:p>
      <w:pPr>
        <w:spacing w:line="460" w:lineRule="exact"/>
        <w:ind w:right="105" w:rightChars="50"/>
        <w:jc w:val="center"/>
        <w:rPr>
          <w:rFonts w:hint="eastAsia" w:ascii="Times New Roman" w:eastAsia="黑体"/>
          <w:color w:val="000000"/>
          <w:sz w:val="36"/>
          <w:szCs w:val="36"/>
        </w:rPr>
      </w:pPr>
      <w:r>
        <w:rPr>
          <w:rFonts w:hint="eastAsia" w:ascii="Times New Roman" w:eastAsia="黑体"/>
          <w:color w:val="000000"/>
          <w:sz w:val="36"/>
          <w:szCs w:val="36"/>
        </w:rPr>
        <w:t>信用承诺和信用审查的办法</w:t>
      </w:r>
    </w:p>
    <w:p>
      <w:pPr>
        <w:spacing w:line="460" w:lineRule="exact"/>
        <w:ind w:firstLine="480" w:firstLineChars="200"/>
        <w:rPr>
          <w:rFonts w:hint="eastAsia" w:eastAsia="方正仿宋_GBK"/>
          <w:color w:val="000000"/>
          <w:sz w:val="24"/>
        </w:rPr>
      </w:pPr>
    </w:p>
    <w:p>
      <w:pPr>
        <w:spacing w:line="460" w:lineRule="exact"/>
        <w:jc w:val="center"/>
        <w:rPr>
          <w:rFonts w:ascii="Times New Roman" w:eastAsia="方正黑体_GBK"/>
          <w:color w:val="000000"/>
          <w:sz w:val="24"/>
        </w:rPr>
      </w:pPr>
      <w:r>
        <w:rPr>
          <w:rFonts w:hint="eastAsia" w:ascii="Times New Roman" w:eastAsia="方正黑体_GBK"/>
          <w:color w:val="000000"/>
          <w:sz w:val="24"/>
        </w:rPr>
        <w:t>第一章  总则</w:t>
      </w:r>
    </w:p>
    <w:p>
      <w:pPr>
        <w:spacing w:line="460" w:lineRule="exact"/>
        <w:ind w:firstLine="480" w:firstLineChars="200"/>
        <w:rPr>
          <w:rFonts w:hint="eastAsia" w:eastAsia="方正仿宋_GBK"/>
          <w:color w:val="000000"/>
          <w:sz w:val="24"/>
        </w:rPr>
      </w:pPr>
    </w:p>
    <w:p>
      <w:pPr>
        <w:spacing w:line="460" w:lineRule="exact"/>
        <w:ind w:firstLine="480" w:firstLineChars="200"/>
        <w:rPr>
          <w:rFonts w:eastAsia="方正仿宋_GBK"/>
          <w:color w:val="000000"/>
          <w:sz w:val="24"/>
        </w:rPr>
      </w:pPr>
      <w:r>
        <w:rPr>
          <w:rFonts w:hint="eastAsia" w:ascii="Times New Roman" w:eastAsia="方正黑体_GBK"/>
          <w:color w:val="000000"/>
          <w:sz w:val="24"/>
        </w:rPr>
        <w:t xml:space="preserve">第一条 </w:t>
      </w:r>
      <w:r>
        <w:rPr>
          <w:rFonts w:eastAsia="方正仿宋_GBK"/>
          <w:color w:val="000000"/>
          <w:sz w:val="24"/>
        </w:rPr>
        <w:t xml:space="preserve"> </w:t>
      </w:r>
      <w:r>
        <w:rPr>
          <w:rFonts w:hint="eastAsia" w:eastAsia="方正仿宋_GBK"/>
          <w:color w:val="000000"/>
          <w:sz w:val="24"/>
        </w:rPr>
        <w:t>为推进全省社会信用体系建设，维护公平竞争的市场经济秩序，充分发挥政府的诚信导向作用，积极探索行政管理新路径，根据《国务院办公厅关于社会信用体系建设的若干意见》和省委、省政府《关于加快诚信江苏建设的意见》要求，制定本办法。</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第二条</w:t>
      </w:r>
      <w:r>
        <w:rPr>
          <w:rFonts w:eastAsia="方正仿宋_GBK"/>
          <w:color w:val="000000"/>
          <w:sz w:val="24"/>
        </w:rPr>
        <w:t xml:space="preserve">  </w:t>
      </w:r>
      <w:r>
        <w:rPr>
          <w:rFonts w:hint="eastAsia" w:eastAsia="方正仿宋_GBK"/>
          <w:color w:val="000000"/>
          <w:sz w:val="24"/>
        </w:rPr>
        <w:t>江苏省行政机关及具有行政管理职能的公用事业单位在行政管理中对行政相对人实施信用管理制度。</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第三条</w:t>
      </w:r>
      <w:r>
        <w:rPr>
          <w:rFonts w:eastAsia="方正仿宋_GBK"/>
          <w:color w:val="000000"/>
          <w:sz w:val="24"/>
        </w:rPr>
        <w:t xml:space="preserve">  </w:t>
      </w:r>
      <w:r>
        <w:rPr>
          <w:rFonts w:hint="eastAsia" w:eastAsia="方正仿宋_GBK"/>
          <w:color w:val="000000"/>
          <w:sz w:val="24"/>
        </w:rPr>
        <w:t>本办法所指的信用管理制度，包括信用报告制度、信用承诺制度和信用审查制度。</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第四条</w:t>
      </w:r>
      <w:r>
        <w:rPr>
          <w:rFonts w:eastAsia="方正仿宋_GBK"/>
          <w:color w:val="000000"/>
          <w:sz w:val="24"/>
        </w:rPr>
        <w:t xml:space="preserve">  </w:t>
      </w:r>
      <w:r>
        <w:rPr>
          <w:rFonts w:hint="eastAsia" w:eastAsia="方正仿宋_GBK"/>
          <w:color w:val="000000"/>
          <w:sz w:val="24"/>
        </w:rPr>
        <w:t>本办法适用于江苏省行政区域范围内的各级行政机关及具有行政管理职能的公用事业单位在分配专项资金、组织政府采购、开展招投标等公共资源分配过程中的各项管理活动。</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第五条</w:t>
      </w:r>
      <w:r>
        <w:rPr>
          <w:rFonts w:eastAsia="方正仿宋_GBK"/>
          <w:color w:val="000000"/>
          <w:sz w:val="24"/>
        </w:rPr>
        <w:t xml:space="preserve">  </w:t>
      </w:r>
      <w:r>
        <w:rPr>
          <w:rFonts w:hint="eastAsia" w:eastAsia="方正仿宋_GBK"/>
          <w:color w:val="000000"/>
          <w:sz w:val="24"/>
        </w:rPr>
        <w:t>本办法所称的行政相对人是指向江苏省各级行政机关及具有行政管理职能的公用事业单位申请各类财政资金、政策性贷款、国家或地方政府对外借款或者担保所筹集资金，参与政府采购、招投标、行政许可、评优评级、评定职称、国有企业产权交易，以及其他公共资源分配活动的企事业单位、社会团体和自然人。</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第六条</w:t>
      </w:r>
      <w:r>
        <w:rPr>
          <w:rFonts w:eastAsia="方正仿宋_GBK"/>
          <w:color w:val="000000"/>
          <w:sz w:val="24"/>
        </w:rPr>
        <w:t xml:space="preserve">  </w:t>
      </w:r>
      <w:r>
        <w:rPr>
          <w:rFonts w:hint="eastAsia" w:eastAsia="方正仿宋_GBK"/>
          <w:color w:val="000000"/>
          <w:sz w:val="24"/>
        </w:rPr>
        <w:t>本办法执行主体，是指江苏省行政区域内各级行政机关及具有行政管理职能的公用事业单位。</w:t>
      </w:r>
    </w:p>
    <w:p>
      <w:pPr>
        <w:spacing w:line="460" w:lineRule="exact"/>
        <w:ind w:firstLine="480" w:firstLineChars="200"/>
        <w:rPr>
          <w:rFonts w:eastAsia="方正仿宋_GBK"/>
          <w:color w:val="000000"/>
          <w:sz w:val="24"/>
        </w:rPr>
      </w:pPr>
    </w:p>
    <w:p>
      <w:pPr>
        <w:spacing w:line="460" w:lineRule="exact"/>
        <w:jc w:val="center"/>
        <w:rPr>
          <w:rFonts w:ascii="Times New Roman" w:eastAsia="方正黑体_GBK"/>
          <w:color w:val="000000"/>
          <w:sz w:val="24"/>
        </w:rPr>
      </w:pPr>
      <w:r>
        <w:rPr>
          <w:rFonts w:hint="eastAsia" w:ascii="Times New Roman" w:eastAsia="方正黑体_GBK"/>
          <w:color w:val="000000"/>
          <w:sz w:val="24"/>
        </w:rPr>
        <w:t>第二章  信用报告</w:t>
      </w:r>
    </w:p>
    <w:p>
      <w:pPr>
        <w:spacing w:line="460" w:lineRule="exact"/>
        <w:ind w:firstLine="480" w:firstLineChars="200"/>
        <w:rPr>
          <w:rFonts w:hint="eastAsia" w:eastAsia="方正仿宋_GBK"/>
          <w:color w:val="000000"/>
          <w:sz w:val="24"/>
        </w:rPr>
      </w:pP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第七条</w:t>
      </w:r>
      <w:r>
        <w:rPr>
          <w:rFonts w:eastAsia="方正仿宋_GBK"/>
          <w:color w:val="000000"/>
          <w:sz w:val="24"/>
        </w:rPr>
        <w:t xml:space="preserve">  </w:t>
      </w:r>
      <w:r>
        <w:rPr>
          <w:rFonts w:hint="eastAsia" w:eastAsia="方正仿宋_GBK"/>
          <w:color w:val="000000"/>
          <w:sz w:val="24"/>
        </w:rPr>
        <w:t>信用报告，是指行政相对人根据行政机关及具有行政管理职能的公用事业单位的要求，委托第三方信用评级机构对其出具信用评级报告。</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第八条</w:t>
      </w:r>
      <w:r>
        <w:rPr>
          <w:rFonts w:eastAsia="方正仿宋_GBK"/>
          <w:color w:val="000000"/>
          <w:sz w:val="24"/>
        </w:rPr>
        <w:t xml:space="preserve">  </w:t>
      </w:r>
      <w:r>
        <w:rPr>
          <w:rFonts w:hint="eastAsia" w:eastAsia="方正仿宋_GBK"/>
          <w:color w:val="000000"/>
          <w:sz w:val="24"/>
        </w:rPr>
        <w:t>信用评级报告的主要内容，一般包括行政相对入的基本情况信息、经营业务信息、主要财务数据与指标、银行信用记录、合同履约信息、公共信用监管信息、司法信用信息、行政机关及具有行政管理职能的公用事业单位需要的其他相关信息，以及含有信用等级和风险提示的综合评价。</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第九条</w:t>
      </w:r>
      <w:r>
        <w:rPr>
          <w:rFonts w:eastAsia="方正仿宋_GBK"/>
          <w:color w:val="000000"/>
          <w:sz w:val="24"/>
        </w:rPr>
        <w:t xml:space="preserve">  </w:t>
      </w:r>
      <w:r>
        <w:rPr>
          <w:rFonts w:hint="eastAsia" w:eastAsia="方正仿宋_GBK"/>
          <w:color w:val="000000"/>
          <w:sz w:val="24"/>
        </w:rPr>
        <w:t>信用报告的使用领域。</w:t>
      </w:r>
    </w:p>
    <w:p>
      <w:pPr>
        <w:spacing w:line="460" w:lineRule="exact"/>
        <w:ind w:firstLine="480" w:firstLineChars="200"/>
        <w:rPr>
          <w:rFonts w:eastAsia="方正仿宋_GBK"/>
          <w:color w:val="000000"/>
          <w:sz w:val="24"/>
        </w:rPr>
      </w:pPr>
      <w:r>
        <w:rPr>
          <w:rFonts w:hint="eastAsia" w:eastAsia="方正仿宋_GBK"/>
          <w:color w:val="000000"/>
          <w:sz w:val="24"/>
        </w:rPr>
        <w:t>（一）申请政府公共资源分配、财政性资金、政策性贷款、国家或地方政府对外借款或者担保所筹集资金等融资项目；</w:t>
      </w:r>
    </w:p>
    <w:p>
      <w:pPr>
        <w:spacing w:line="460" w:lineRule="exact"/>
        <w:ind w:firstLine="480" w:firstLineChars="200"/>
        <w:rPr>
          <w:rFonts w:eastAsia="方正仿宋_GBK"/>
          <w:color w:val="000000"/>
          <w:sz w:val="24"/>
        </w:rPr>
      </w:pPr>
      <w:r>
        <w:rPr>
          <w:rFonts w:hint="eastAsia" w:eastAsia="方正仿宋_GBK"/>
          <w:color w:val="000000"/>
          <w:sz w:val="24"/>
        </w:rPr>
        <w:t>（二）参与政府采购的公开招标以及国有资金建设项目和货物招投标、土地招投标；</w:t>
      </w:r>
    </w:p>
    <w:p>
      <w:pPr>
        <w:spacing w:line="460" w:lineRule="exact"/>
        <w:ind w:firstLine="480" w:firstLineChars="200"/>
        <w:rPr>
          <w:rFonts w:eastAsia="方正仿宋_GBK"/>
          <w:color w:val="000000"/>
          <w:sz w:val="24"/>
        </w:rPr>
      </w:pPr>
      <w:r>
        <w:rPr>
          <w:rFonts w:hint="eastAsia" w:eastAsia="方正仿宋_GBK"/>
          <w:color w:val="000000"/>
          <w:sz w:val="24"/>
        </w:rPr>
        <w:t>（三）行政机关评优评级、评定职称和国有企业产权交易等领域；</w:t>
      </w:r>
    </w:p>
    <w:p>
      <w:pPr>
        <w:spacing w:line="460" w:lineRule="exact"/>
        <w:ind w:firstLine="480" w:firstLineChars="200"/>
        <w:rPr>
          <w:rFonts w:eastAsia="方正仿宋_GBK"/>
          <w:color w:val="000000"/>
          <w:sz w:val="24"/>
        </w:rPr>
      </w:pPr>
      <w:r>
        <w:rPr>
          <w:rFonts w:hint="eastAsia" w:eastAsia="方正仿宋_GBK"/>
          <w:color w:val="000000"/>
          <w:sz w:val="24"/>
        </w:rPr>
        <w:t>（四）其他需要出具信用报告的行政管理领域。</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第十条</w:t>
      </w:r>
      <w:r>
        <w:rPr>
          <w:rFonts w:eastAsia="方正仿宋_GBK"/>
          <w:color w:val="000000"/>
          <w:sz w:val="24"/>
        </w:rPr>
        <w:t xml:space="preserve">  </w:t>
      </w:r>
      <w:r>
        <w:rPr>
          <w:rFonts w:hint="eastAsia" w:eastAsia="方正仿宋_GBK"/>
          <w:color w:val="000000"/>
          <w:sz w:val="24"/>
        </w:rPr>
        <w:t>信用评级报告有效期原则上为</w:t>
      </w:r>
      <w:r>
        <w:rPr>
          <w:rFonts w:eastAsia="方正仿宋_GBK"/>
          <w:color w:val="000000"/>
          <w:sz w:val="24"/>
        </w:rPr>
        <w:t>1</w:t>
      </w:r>
      <w:r>
        <w:rPr>
          <w:rFonts w:hint="eastAsia" w:eastAsia="方正仿宋_GBK"/>
          <w:color w:val="000000"/>
          <w:sz w:val="24"/>
        </w:rPr>
        <w:t>年，有效期内可重复使用。</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第十一条</w:t>
      </w:r>
      <w:r>
        <w:rPr>
          <w:rFonts w:eastAsia="方正仿宋_GBK"/>
          <w:color w:val="000000"/>
          <w:sz w:val="24"/>
        </w:rPr>
        <w:t xml:space="preserve">  </w:t>
      </w:r>
      <w:r>
        <w:rPr>
          <w:rFonts w:hint="eastAsia" w:eastAsia="方正仿宋_GBK"/>
          <w:color w:val="000000"/>
          <w:sz w:val="24"/>
        </w:rPr>
        <w:t>信用评级报告出具单位。</w:t>
      </w:r>
    </w:p>
    <w:p>
      <w:pPr>
        <w:spacing w:line="460" w:lineRule="exact"/>
        <w:ind w:firstLine="480" w:firstLineChars="200"/>
        <w:rPr>
          <w:rFonts w:eastAsia="方正仿宋_GBK"/>
          <w:color w:val="000000"/>
          <w:sz w:val="24"/>
        </w:rPr>
      </w:pPr>
      <w:r>
        <w:rPr>
          <w:rFonts w:hint="eastAsia" w:eastAsia="方正仿宋_GBK"/>
          <w:color w:val="000000"/>
          <w:sz w:val="24"/>
        </w:rPr>
        <w:t>信用评级报告由设区的市以上具有信用管理职能的机构备案或认可的信用服务机构出具。</w:t>
      </w:r>
    </w:p>
    <w:p>
      <w:pPr>
        <w:spacing w:line="460" w:lineRule="exact"/>
        <w:ind w:firstLine="480" w:firstLineChars="200"/>
        <w:rPr>
          <w:rFonts w:eastAsia="方正仿宋_GBK"/>
          <w:color w:val="000000"/>
          <w:sz w:val="24"/>
        </w:rPr>
      </w:pPr>
      <w:r>
        <w:rPr>
          <w:rFonts w:hint="eastAsia" w:eastAsia="方正仿宋_GBK"/>
          <w:color w:val="000000"/>
          <w:sz w:val="24"/>
        </w:rPr>
        <w:t>信用服务机构要坚持公平、公正、独立的原则，出具信用评级报告。</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第十二条</w:t>
      </w:r>
      <w:r>
        <w:rPr>
          <w:rFonts w:eastAsia="方正仿宋_GBK"/>
          <w:color w:val="000000"/>
          <w:sz w:val="24"/>
        </w:rPr>
        <w:t xml:space="preserve">  </w:t>
      </w:r>
      <w:r>
        <w:rPr>
          <w:rFonts w:hint="eastAsia" w:eastAsia="方正仿宋_GBK"/>
          <w:color w:val="000000"/>
          <w:sz w:val="24"/>
        </w:rPr>
        <w:t>信用评级标准。</w:t>
      </w:r>
    </w:p>
    <w:p>
      <w:pPr>
        <w:spacing w:line="460" w:lineRule="exact"/>
        <w:ind w:firstLine="480" w:firstLineChars="200"/>
        <w:rPr>
          <w:rFonts w:eastAsia="方正仿宋_GBK"/>
          <w:color w:val="000000"/>
          <w:sz w:val="24"/>
        </w:rPr>
      </w:pPr>
      <w:r>
        <w:rPr>
          <w:rFonts w:hint="eastAsia" w:eastAsia="方正仿宋_GBK"/>
          <w:color w:val="000000"/>
          <w:sz w:val="24"/>
        </w:rPr>
        <w:t>省、市信用管理机构会同相关行政机关及具有行政管理职能的公用事业单位制定信用评级标准及信用评级报告格式文本。</w:t>
      </w:r>
    </w:p>
    <w:p>
      <w:pPr>
        <w:spacing w:line="460" w:lineRule="exact"/>
        <w:ind w:firstLine="480" w:firstLineChars="200"/>
        <w:rPr>
          <w:rFonts w:eastAsia="方正仿宋_GBK"/>
          <w:color w:val="000000"/>
          <w:sz w:val="24"/>
        </w:rPr>
      </w:pPr>
    </w:p>
    <w:p>
      <w:pPr>
        <w:spacing w:line="460" w:lineRule="exact"/>
        <w:jc w:val="center"/>
        <w:rPr>
          <w:rFonts w:ascii="Times New Roman" w:eastAsia="方正黑体_GBK"/>
          <w:color w:val="000000"/>
          <w:sz w:val="24"/>
        </w:rPr>
      </w:pPr>
      <w:r>
        <w:rPr>
          <w:rFonts w:hint="eastAsia" w:ascii="Times New Roman" w:eastAsia="方正黑体_GBK"/>
          <w:color w:val="000000"/>
          <w:sz w:val="24"/>
        </w:rPr>
        <w:t>第三章  信用承诺</w:t>
      </w:r>
    </w:p>
    <w:p>
      <w:pPr>
        <w:spacing w:line="460" w:lineRule="exact"/>
        <w:ind w:firstLine="480" w:firstLineChars="200"/>
        <w:rPr>
          <w:rFonts w:hint="eastAsia" w:eastAsia="方正仿宋_GBK"/>
          <w:color w:val="000000"/>
          <w:sz w:val="24"/>
        </w:rPr>
      </w:pP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第十三条</w:t>
      </w:r>
      <w:r>
        <w:rPr>
          <w:rFonts w:eastAsia="方正仿宋_GBK"/>
          <w:color w:val="000000"/>
          <w:sz w:val="24"/>
        </w:rPr>
        <w:t xml:space="preserve">  </w:t>
      </w:r>
      <w:r>
        <w:rPr>
          <w:rFonts w:hint="eastAsia" w:eastAsia="方正仿宋_GBK"/>
          <w:color w:val="000000"/>
          <w:sz w:val="24"/>
        </w:rPr>
        <w:t>信用承诺，是指行政相对人根据行政机关及具有行政管理职能的公用事业单位的要求和诚实信用原则，对自身的信用状况、申请材料的真实性以及违约责任作出书面承诺。</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第十四条</w:t>
      </w:r>
      <w:r>
        <w:rPr>
          <w:rFonts w:eastAsia="方正仿宋_GBK"/>
          <w:color w:val="000000"/>
          <w:sz w:val="24"/>
        </w:rPr>
        <w:t xml:space="preserve">  </w:t>
      </w:r>
      <w:r>
        <w:rPr>
          <w:rFonts w:hint="eastAsia" w:eastAsia="方正仿宋_GBK"/>
          <w:color w:val="000000"/>
          <w:sz w:val="24"/>
        </w:rPr>
        <w:t>行政机关及具有行政管理职能的公用事业单位对审批项目可采用信用承诺的方式，简化审批程序；条件成熟的可以承诺代替审批。</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第十五条</w:t>
      </w:r>
      <w:r>
        <w:rPr>
          <w:rFonts w:eastAsia="方正仿宋_GBK"/>
          <w:color w:val="000000"/>
          <w:sz w:val="24"/>
        </w:rPr>
        <w:t xml:space="preserve">  </w:t>
      </w:r>
      <w:r>
        <w:rPr>
          <w:rFonts w:hint="eastAsia" w:eastAsia="方正仿宋_GBK"/>
          <w:color w:val="000000"/>
          <w:sz w:val="24"/>
        </w:rPr>
        <w:t>信用承诺责任。</w:t>
      </w:r>
    </w:p>
    <w:p>
      <w:pPr>
        <w:spacing w:line="460" w:lineRule="exact"/>
        <w:ind w:firstLine="480" w:firstLineChars="200"/>
        <w:rPr>
          <w:rFonts w:eastAsia="方正仿宋_GBK"/>
          <w:color w:val="000000"/>
          <w:sz w:val="24"/>
        </w:rPr>
      </w:pPr>
      <w:r>
        <w:rPr>
          <w:rFonts w:hint="eastAsia" w:eastAsia="方正仿宋_GBK"/>
          <w:color w:val="000000"/>
          <w:sz w:val="24"/>
        </w:rPr>
        <w:t>作出信用承诺的行政相对人应当严格遵守国家的法律、法规和规章，全面履行应尽的贲任和义务，并接受行业行政主管部门的监督管理；违背承诺约定的，应承担违约责任，并依法承担相应的法律责任。</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第十六条</w:t>
      </w:r>
      <w:r>
        <w:rPr>
          <w:rFonts w:eastAsia="方正仿宋_GBK"/>
          <w:color w:val="000000"/>
          <w:sz w:val="24"/>
        </w:rPr>
        <w:t xml:space="preserve">  </w:t>
      </w:r>
      <w:r>
        <w:rPr>
          <w:rFonts w:hint="eastAsia" w:eastAsia="方正仿宋_GBK"/>
          <w:color w:val="000000"/>
          <w:sz w:val="24"/>
        </w:rPr>
        <w:t>信用承诺违约信息记录。</w:t>
      </w:r>
    </w:p>
    <w:p>
      <w:pPr>
        <w:spacing w:line="460" w:lineRule="exact"/>
        <w:ind w:firstLine="480" w:firstLineChars="200"/>
        <w:rPr>
          <w:rFonts w:eastAsia="方正仿宋_GBK"/>
          <w:color w:val="000000"/>
          <w:sz w:val="24"/>
        </w:rPr>
      </w:pPr>
      <w:r>
        <w:rPr>
          <w:rFonts w:hint="eastAsia" w:eastAsia="方正仿宋_GBK"/>
          <w:color w:val="000000"/>
          <w:sz w:val="24"/>
        </w:rPr>
        <w:t>行政机关及具有行政管理职能的公用事业单位应将违约信息录入省、市、县（市、区）公共信用信息系统，并予公开。</w:t>
      </w:r>
      <w:r>
        <w:rPr>
          <w:rFonts w:eastAsia="方正仿宋_GBK"/>
          <w:color w:val="000000"/>
          <w:sz w:val="24"/>
        </w:rPr>
        <w:t xml:space="preserve">  </w:t>
      </w:r>
    </w:p>
    <w:p>
      <w:pPr>
        <w:spacing w:line="460" w:lineRule="exact"/>
        <w:ind w:firstLine="480" w:firstLineChars="200"/>
        <w:rPr>
          <w:rFonts w:eastAsia="方正仿宋_GBK"/>
          <w:color w:val="000000"/>
          <w:sz w:val="24"/>
        </w:rPr>
      </w:pPr>
      <w:r>
        <w:rPr>
          <w:rFonts w:eastAsia="方正仿宋_GBK"/>
          <w:color w:val="000000"/>
          <w:sz w:val="24"/>
        </w:rPr>
        <w:t xml:space="preserve">  </w:t>
      </w:r>
    </w:p>
    <w:p>
      <w:pPr>
        <w:spacing w:line="460" w:lineRule="exact"/>
        <w:jc w:val="center"/>
        <w:rPr>
          <w:rFonts w:ascii="Times New Roman" w:eastAsia="方正黑体_GBK"/>
          <w:color w:val="000000"/>
          <w:sz w:val="24"/>
        </w:rPr>
      </w:pPr>
      <w:r>
        <w:rPr>
          <w:rFonts w:hint="eastAsia" w:ascii="Times New Roman" w:eastAsia="方正黑体_GBK"/>
          <w:color w:val="000000"/>
          <w:sz w:val="24"/>
        </w:rPr>
        <w:t>第四章  信用审查</w:t>
      </w:r>
    </w:p>
    <w:p>
      <w:pPr>
        <w:spacing w:line="460" w:lineRule="exact"/>
        <w:ind w:firstLine="480" w:firstLineChars="200"/>
        <w:rPr>
          <w:rFonts w:hint="eastAsia" w:eastAsia="方正仿宋_GBK"/>
          <w:color w:val="000000"/>
          <w:sz w:val="24"/>
        </w:rPr>
      </w:pP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第十七条</w:t>
      </w:r>
      <w:r>
        <w:rPr>
          <w:rFonts w:eastAsia="方正仿宋_GBK"/>
          <w:color w:val="000000"/>
          <w:sz w:val="24"/>
        </w:rPr>
        <w:t xml:space="preserve">  </w:t>
      </w:r>
      <w:r>
        <w:rPr>
          <w:rFonts w:hint="eastAsia" w:eastAsia="方正仿宋_GBK"/>
          <w:color w:val="000000"/>
          <w:sz w:val="24"/>
        </w:rPr>
        <w:t>信用审查，是指行政相对人或行政机关及具有行政管理职能的公用事业单位经省、市、县（市、区）公共信用信息系统查询行政相对人信用信患，并取得信用审查报告。</w:t>
      </w:r>
    </w:p>
    <w:p>
      <w:pPr>
        <w:spacing w:line="460" w:lineRule="exact"/>
        <w:ind w:firstLine="480" w:firstLineChars="200"/>
        <w:rPr>
          <w:rFonts w:eastAsia="方正仿宋_GBK"/>
          <w:color w:val="000000"/>
          <w:sz w:val="24"/>
        </w:rPr>
      </w:pPr>
      <w:r>
        <w:rPr>
          <w:rFonts w:hint="eastAsia" w:eastAsia="方正仿宋_GBK"/>
          <w:color w:val="000000"/>
          <w:sz w:val="24"/>
        </w:rPr>
        <w:t>信用审查报告由省、市、县（市、区）公共信用信息中心出具。</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第十八条</w:t>
      </w:r>
      <w:r>
        <w:rPr>
          <w:rFonts w:eastAsia="方正仿宋_GBK"/>
          <w:color w:val="000000"/>
          <w:sz w:val="24"/>
        </w:rPr>
        <w:t xml:space="preserve">  </w:t>
      </w:r>
      <w:r>
        <w:rPr>
          <w:rFonts w:hint="eastAsia" w:eastAsia="方正仿宋_GBK"/>
          <w:color w:val="000000"/>
          <w:sz w:val="24"/>
        </w:rPr>
        <w:t>省、市、县（市、区）公共信用信息中心接到审查申请后，在</w:t>
      </w:r>
      <w:r>
        <w:rPr>
          <w:rFonts w:eastAsia="方正仿宋_GBK"/>
          <w:color w:val="000000"/>
          <w:sz w:val="24"/>
        </w:rPr>
        <w:t>5</w:t>
      </w:r>
      <w:r>
        <w:rPr>
          <w:rFonts w:hint="eastAsia" w:eastAsia="方正仿宋_GBK"/>
          <w:color w:val="000000"/>
          <w:sz w:val="24"/>
        </w:rPr>
        <w:t>个工作日内将审查结果反馈申请审查的行政相对人或行政机关及具有行政管理职能的公用事业单位。</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第十九条</w:t>
      </w:r>
      <w:r>
        <w:rPr>
          <w:rFonts w:eastAsia="方正仿宋_GBK"/>
          <w:color w:val="000000"/>
          <w:sz w:val="24"/>
        </w:rPr>
        <w:t xml:space="preserve">  </w:t>
      </w:r>
      <w:r>
        <w:rPr>
          <w:rFonts w:hint="eastAsia" w:eastAsia="方正仿宋_GBK"/>
          <w:color w:val="000000"/>
          <w:sz w:val="24"/>
        </w:rPr>
        <w:t>信用审查报告的应用。</w:t>
      </w:r>
    </w:p>
    <w:p>
      <w:pPr>
        <w:spacing w:line="460" w:lineRule="exact"/>
        <w:ind w:firstLine="480" w:firstLineChars="200"/>
        <w:rPr>
          <w:rFonts w:eastAsia="方正仿宋_GBK"/>
          <w:color w:val="000000"/>
          <w:sz w:val="24"/>
        </w:rPr>
      </w:pPr>
      <w:r>
        <w:rPr>
          <w:rFonts w:hint="eastAsia" w:eastAsia="方正仿宋_GBK"/>
          <w:color w:val="000000"/>
          <w:sz w:val="24"/>
        </w:rPr>
        <w:t>信用审查报告主要用于行政相对人申请各类财政资金、政策性贷款、国家或地方政府对外借款，参与评优评级、评定职称以及其他公共资源分配活动。</w:t>
      </w:r>
    </w:p>
    <w:p>
      <w:pPr>
        <w:spacing w:line="460" w:lineRule="exact"/>
        <w:ind w:firstLine="480" w:firstLineChars="200"/>
        <w:rPr>
          <w:rFonts w:eastAsia="方正仿宋_GBK"/>
          <w:color w:val="000000"/>
          <w:sz w:val="24"/>
        </w:rPr>
      </w:pPr>
    </w:p>
    <w:p>
      <w:pPr>
        <w:spacing w:line="460" w:lineRule="exact"/>
        <w:jc w:val="center"/>
        <w:rPr>
          <w:rFonts w:ascii="Times New Roman" w:eastAsia="方正黑体_GBK"/>
          <w:color w:val="000000"/>
          <w:sz w:val="24"/>
        </w:rPr>
      </w:pPr>
      <w:r>
        <w:rPr>
          <w:rFonts w:hint="eastAsia" w:ascii="Times New Roman" w:eastAsia="方正黑体_GBK"/>
          <w:color w:val="000000"/>
          <w:sz w:val="24"/>
        </w:rPr>
        <w:t>第五章  保障措施</w:t>
      </w:r>
    </w:p>
    <w:p>
      <w:pPr>
        <w:spacing w:line="460" w:lineRule="exact"/>
        <w:ind w:firstLine="480" w:firstLineChars="200"/>
        <w:rPr>
          <w:rFonts w:hint="eastAsia" w:eastAsia="方正仿宋_GBK"/>
          <w:color w:val="000000"/>
          <w:sz w:val="24"/>
        </w:rPr>
      </w:pP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第二十条</w:t>
      </w:r>
      <w:r>
        <w:rPr>
          <w:rFonts w:eastAsia="方正仿宋_GBK"/>
          <w:color w:val="000000"/>
          <w:sz w:val="24"/>
        </w:rPr>
        <w:t xml:space="preserve">  </w:t>
      </w:r>
      <w:r>
        <w:rPr>
          <w:rFonts w:hint="eastAsia" w:eastAsia="方正仿宋_GBK"/>
          <w:color w:val="000000"/>
          <w:sz w:val="24"/>
        </w:rPr>
        <w:t>各级信用管理机构负责对行政相对人信用信息审查工作的推进、指导和监管。</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第二十一条</w:t>
      </w:r>
      <w:r>
        <w:rPr>
          <w:rFonts w:eastAsia="方正仿宋_GBK"/>
          <w:color w:val="000000"/>
          <w:sz w:val="24"/>
        </w:rPr>
        <w:t xml:space="preserve">  </w:t>
      </w:r>
      <w:r>
        <w:rPr>
          <w:rFonts w:hint="eastAsia" w:eastAsia="方正仿宋_GBK"/>
          <w:color w:val="000000"/>
          <w:sz w:val="24"/>
        </w:rPr>
        <w:t>各级行政机关及具有行政管理职能的公用事业单位按照各自行政管理职能，制定本单位具体实施办法。</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第二十二条</w:t>
      </w:r>
      <w:r>
        <w:rPr>
          <w:rFonts w:eastAsia="方正仿宋_GBK"/>
          <w:color w:val="000000"/>
          <w:sz w:val="24"/>
        </w:rPr>
        <w:t xml:space="preserve">  </w:t>
      </w:r>
      <w:r>
        <w:rPr>
          <w:rFonts w:hint="eastAsia" w:eastAsia="方正仿宋_GBK"/>
          <w:color w:val="000000"/>
          <w:sz w:val="24"/>
        </w:rPr>
        <w:t>信用管理机构要加强对信用服务机构的监督管理，建立从业人员信用档案。信用服务机构要加强自身信用建设，严格管理其从业人员。</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第二十三条</w:t>
      </w:r>
      <w:r>
        <w:rPr>
          <w:rFonts w:eastAsia="方正仿宋_GBK"/>
          <w:color w:val="000000"/>
          <w:sz w:val="24"/>
        </w:rPr>
        <w:t xml:space="preserve">  </w:t>
      </w:r>
      <w:r>
        <w:rPr>
          <w:rFonts w:hint="eastAsia" w:eastAsia="方正仿宋_GBK"/>
          <w:color w:val="000000"/>
          <w:sz w:val="24"/>
        </w:rPr>
        <w:t>信用管理机构要加强对同级公共信用信息中心的指导、管理和考核工作。省、市、县（市、区）公共信用信息中心应制定信用审查的具体实施办法并在同级信用管理机构备案。</w:t>
      </w:r>
    </w:p>
    <w:p>
      <w:pPr>
        <w:spacing w:line="460" w:lineRule="exact"/>
        <w:ind w:firstLine="480" w:firstLineChars="200"/>
        <w:rPr>
          <w:rFonts w:eastAsia="方正仿宋_GBK"/>
          <w:color w:val="000000"/>
          <w:sz w:val="24"/>
        </w:rPr>
      </w:pPr>
    </w:p>
    <w:p>
      <w:pPr>
        <w:spacing w:line="460" w:lineRule="exact"/>
        <w:jc w:val="center"/>
        <w:rPr>
          <w:rFonts w:ascii="Times New Roman" w:eastAsia="方正黑体_GBK"/>
          <w:color w:val="000000"/>
          <w:sz w:val="24"/>
        </w:rPr>
      </w:pPr>
      <w:r>
        <w:rPr>
          <w:rFonts w:hint="eastAsia" w:ascii="Times New Roman" w:eastAsia="方正黑体_GBK"/>
          <w:color w:val="000000"/>
          <w:sz w:val="24"/>
        </w:rPr>
        <w:t>第六章  附则</w:t>
      </w:r>
    </w:p>
    <w:p>
      <w:pPr>
        <w:spacing w:line="460" w:lineRule="exact"/>
        <w:ind w:firstLine="480" w:firstLineChars="200"/>
        <w:rPr>
          <w:rFonts w:hint="eastAsia" w:eastAsia="方正仿宋_GBK"/>
          <w:color w:val="000000"/>
          <w:sz w:val="24"/>
        </w:rPr>
      </w:pP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第二十四条</w:t>
      </w:r>
      <w:r>
        <w:rPr>
          <w:rFonts w:eastAsia="方正仿宋_GBK"/>
          <w:color w:val="000000"/>
          <w:sz w:val="24"/>
        </w:rPr>
        <w:t xml:space="preserve">  </w:t>
      </w:r>
      <w:r>
        <w:rPr>
          <w:rFonts w:hint="eastAsia" w:eastAsia="方正仿宋_GBK"/>
          <w:color w:val="000000"/>
          <w:sz w:val="24"/>
        </w:rPr>
        <w:t>本办法由省社会信用体系建设领导小组办公室负责解释。</w:t>
      </w:r>
    </w:p>
    <w:p>
      <w:pPr>
        <w:spacing w:line="460" w:lineRule="exact"/>
        <w:ind w:firstLine="480" w:firstLineChars="200"/>
        <w:rPr>
          <w:rFonts w:eastAsia="方正仿宋_GBK"/>
          <w:color w:val="000000"/>
          <w:sz w:val="24"/>
        </w:rPr>
      </w:pPr>
      <w:r>
        <w:rPr>
          <w:rFonts w:hint="eastAsia" w:ascii="Times New Roman" w:eastAsia="方正黑体_GBK"/>
          <w:color w:val="000000"/>
          <w:sz w:val="24"/>
        </w:rPr>
        <w:t>第二十五条</w:t>
      </w:r>
      <w:r>
        <w:rPr>
          <w:rFonts w:eastAsia="方正仿宋_GBK"/>
          <w:color w:val="000000"/>
          <w:sz w:val="24"/>
        </w:rPr>
        <w:t xml:space="preserve">  </w:t>
      </w:r>
      <w:r>
        <w:rPr>
          <w:rFonts w:hint="eastAsia" w:eastAsia="方正仿宋_GBK"/>
          <w:color w:val="000000"/>
          <w:sz w:val="24"/>
        </w:rPr>
        <w:t>本办法自发布之日起实施。</w:t>
      </w:r>
    </w:p>
    <w:p>
      <w:pPr>
        <w:spacing w:line="460" w:lineRule="exact"/>
        <w:rPr>
          <w:rFonts w:ascii="Times New Roman" w:eastAsia="方正黑体_GBK"/>
          <w:color w:val="000000"/>
          <w:sz w:val="28"/>
          <w:szCs w:val="28"/>
        </w:rPr>
      </w:pPr>
      <w:r>
        <w:rPr>
          <w:rFonts w:eastAsia="方正仿宋_GBK"/>
          <w:color w:val="000000"/>
          <w:sz w:val="24"/>
        </w:rPr>
        <w:br w:type="column"/>
      </w:r>
      <w:r>
        <w:rPr>
          <w:rFonts w:hint="eastAsia" w:ascii="Times New Roman" w:eastAsia="方正黑体_GBK"/>
          <w:color w:val="000000"/>
          <w:sz w:val="28"/>
          <w:szCs w:val="28"/>
        </w:rPr>
        <w:t>附件2：</w:t>
      </w:r>
    </w:p>
    <w:p>
      <w:pPr>
        <w:spacing w:line="460" w:lineRule="exact"/>
        <w:jc w:val="center"/>
        <w:rPr>
          <w:rFonts w:hint="eastAsia" w:ascii="Times New Roman" w:eastAsia="方正黑体_GBK"/>
          <w:color w:val="000000"/>
          <w:szCs w:val="21"/>
        </w:rPr>
      </w:pPr>
      <w:r>
        <w:rPr>
          <w:rFonts w:hint="eastAsia" w:ascii="Times New Roman" w:eastAsia="方正黑体_GBK"/>
          <w:color w:val="000000"/>
          <w:szCs w:val="21"/>
        </w:rPr>
        <w:t>“出省施工证明审批2</w:t>
      </w:r>
      <w:r>
        <w:rPr>
          <w:rFonts w:eastAsia="方正黑体_GBK"/>
          <w:color w:val="000000"/>
          <w:szCs w:val="21"/>
        </w:rPr>
        <w:t> </w:t>
      </w:r>
      <w:r>
        <w:rPr>
          <w:rFonts w:hint="eastAsia" w:ascii="Times New Roman" w:eastAsia="方正黑体_GBK"/>
          <w:color w:val="000000"/>
          <w:szCs w:val="21"/>
        </w:rPr>
        <w:t>.0版”系统维护人员情况表</w:t>
      </w:r>
    </w:p>
    <w:p>
      <w:pPr>
        <w:spacing w:line="460" w:lineRule="exact"/>
        <w:jc w:val="center"/>
        <w:rPr>
          <w:rFonts w:hint="eastAsia" w:eastAsia="方正仿宋_GBK"/>
          <w:color w:val="000000"/>
          <w:sz w:val="24"/>
        </w:rPr>
      </w:pP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2433"/>
        <w:gridCol w:w="596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156" w:hRule="atLeast"/>
          <w:jc w:val="center"/>
        </w:trPr>
        <w:tc>
          <w:tcPr>
            <w:tcW w:w="2433" w:type="dxa"/>
            <w:tcBorders>
              <w:top w:val="single" w:color="auto" w:sz="8" w:space="0"/>
              <w:left w:val="single" w:color="auto" w:sz="8" w:space="0"/>
              <w:bottom w:val="single" w:color="auto" w:sz="4" w:space="0"/>
              <w:right w:val="single" w:color="auto" w:sz="4" w:space="0"/>
            </w:tcBorders>
            <w:noWrap w:val="0"/>
            <w:vAlign w:val="center"/>
          </w:tcPr>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单位名称</w:t>
            </w:r>
          </w:p>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（盖章）</w:t>
            </w:r>
          </w:p>
        </w:tc>
        <w:tc>
          <w:tcPr>
            <w:tcW w:w="5960" w:type="dxa"/>
            <w:tcBorders>
              <w:top w:val="single" w:color="auto" w:sz="8" w:space="0"/>
              <w:left w:val="single" w:color="auto" w:sz="4" w:space="0"/>
              <w:bottom w:val="single" w:color="auto" w:sz="4" w:space="0"/>
              <w:right w:val="single" w:color="auto" w:sz="8" w:space="0"/>
            </w:tcBorders>
            <w:noWrap w:val="0"/>
            <w:vAlign w:val="top"/>
          </w:tcPr>
          <w:p>
            <w:pPr>
              <w:autoSpaceDE w:val="0"/>
              <w:autoSpaceDN w:val="0"/>
              <w:spacing w:line="300" w:lineRule="exact"/>
              <w:rPr>
                <w:rFonts w:eastAsia="方正仿宋_GBK"/>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761" w:hRule="atLeast"/>
          <w:jc w:val="center"/>
        </w:trPr>
        <w:tc>
          <w:tcPr>
            <w:tcW w:w="2433" w:type="dxa"/>
            <w:tcBorders>
              <w:top w:val="single" w:color="auto" w:sz="4" w:space="0"/>
              <w:left w:val="single" w:color="auto" w:sz="8" w:space="0"/>
              <w:bottom w:val="single" w:color="auto" w:sz="4" w:space="0"/>
              <w:right w:val="single" w:color="auto" w:sz="4" w:space="0"/>
            </w:tcBorders>
            <w:noWrap w:val="0"/>
            <w:vAlign w:val="center"/>
          </w:tcPr>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具体承担</w:t>
            </w:r>
          </w:p>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此项业务的</w:t>
            </w:r>
          </w:p>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维护人员姓名</w:t>
            </w:r>
          </w:p>
        </w:tc>
        <w:tc>
          <w:tcPr>
            <w:tcW w:w="5960" w:type="dxa"/>
            <w:tcBorders>
              <w:top w:val="single" w:color="auto" w:sz="4" w:space="0"/>
              <w:left w:val="single" w:color="auto" w:sz="4" w:space="0"/>
              <w:bottom w:val="single" w:color="auto" w:sz="4" w:space="0"/>
              <w:right w:val="single" w:color="auto" w:sz="8" w:space="0"/>
            </w:tcBorders>
            <w:noWrap w:val="0"/>
            <w:vAlign w:val="top"/>
          </w:tcPr>
          <w:p>
            <w:pPr>
              <w:autoSpaceDE w:val="0"/>
              <w:autoSpaceDN w:val="0"/>
              <w:spacing w:line="300" w:lineRule="exact"/>
              <w:rPr>
                <w:rFonts w:eastAsia="方正仿宋_GBK"/>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176" w:hRule="atLeast"/>
          <w:jc w:val="center"/>
        </w:trPr>
        <w:tc>
          <w:tcPr>
            <w:tcW w:w="2433" w:type="dxa"/>
            <w:tcBorders>
              <w:top w:val="single" w:color="auto" w:sz="4" w:space="0"/>
              <w:left w:val="single" w:color="auto" w:sz="8" w:space="0"/>
              <w:bottom w:val="single" w:color="auto" w:sz="4" w:space="0"/>
              <w:right w:val="single" w:color="auto" w:sz="4" w:space="0"/>
            </w:tcBorders>
            <w:noWrap w:val="0"/>
            <w:vAlign w:val="center"/>
          </w:tcPr>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联系电话</w:t>
            </w:r>
          </w:p>
        </w:tc>
        <w:tc>
          <w:tcPr>
            <w:tcW w:w="5960" w:type="dxa"/>
            <w:tcBorders>
              <w:top w:val="single" w:color="auto" w:sz="4" w:space="0"/>
              <w:left w:val="single" w:color="auto" w:sz="4" w:space="0"/>
              <w:bottom w:val="single" w:color="auto" w:sz="4" w:space="0"/>
              <w:right w:val="single" w:color="auto" w:sz="8" w:space="0"/>
            </w:tcBorders>
            <w:noWrap w:val="0"/>
            <w:vAlign w:val="center"/>
          </w:tcPr>
          <w:p>
            <w:pPr>
              <w:autoSpaceDE w:val="0"/>
              <w:autoSpaceDN w:val="0"/>
              <w:spacing w:line="300" w:lineRule="exact"/>
              <w:ind w:firstLine="105" w:firstLineChars="50"/>
              <w:rPr>
                <w:rFonts w:eastAsia="方正仿宋_GBK"/>
                <w:color w:val="000000"/>
                <w:kern w:val="0"/>
                <w:szCs w:val="21"/>
              </w:rPr>
            </w:pPr>
            <w:r>
              <w:rPr>
                <w:rFonts w:hint="eastAsia" w:eastAsia="方正仿宋_GBK"/>
                <w:color w:val="000000"/>
                <w:kern w:val="0"/>
                <w:szCs w:val="21"/>
              </w:rPr>
              <w:t>办公室：</w:t>
            </w:r>
          </w:p>
          <w:p>
            <w:pPr>
              <w:autoSpaceDE w:val="0"/>
              <w:autoSpaceDN w:val="0"/>
              <w:spacing w:line="300" w:lineRule="exact"/>
              <w:ind w:firstLine="105" w:firstLineChars="50"/>
              <w:rPr>
                <w:rFonts w:eastAsia="方正仿宋_GBK"/>
                <w:color w:val="000000"/>
                <w:kern w:val="0"/>
                <w:szCs w:val="21"/>
              </w:rPr>
            </w:pPr>
            <w:r>
              <w:rPr>
                <w:rFonts w:hint="eastAsia" w:eastAsia="方正仿宋_GBK"/>
                <w:color w:val="000000"/>
                <w:kern w:val="0"/>
                <w:szCs w:val="21"/>
              </w:rPr>
              <w:t>手</w:t>
            </w:r>
            <w:r>
              <w:rPr>
                <w:rFonts w:eastAsia="方正仿宋_GBK"/>
                <w:color w:val="000000"/>
                <w:kern w:val="0"/>
                <w:szCs w:val="21"/>
              </w:rPr>
              <w:t xml:space="preserve">  </w:t>
            </w:r>
            <w:r>
              <w:rPr>
                <w:rFonts w:hint="eastAsia" w:eastAsia="方正仿宋_GBK"/>
                <w:color w:val="000000"/>
                <w:kern w:val="0"/>
                <w:szCs w:val="21"/>
              </w:rPr>
              <w:t>机：</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923" w:hRule="atLeast"/>
          <w:jc w:val="center"/>
        </w:trPr>
        <w:tc>
          <w:tcPr>
            <w:tcW w:w="2433" w:type="dxa"/>
            <w:tcBorders>
              <w:top w:val="single" w:color="auto" w:sz="4" w:space="0"/>
              <w:left w:val="single" w:color="auto" w:sz="8" w:space="0"/>
              <w:bottom w:val="single" w:color="auto" w:sz="8" w:space="0"/>
              <w:right w:val="single" w:color="auto" w:sz="4" w:space="0"/>
            </w:tcBorders>
            <w:noWrap w:val="0"/>
            <w:vAlign w:val="center"/>
          </w:tcPr>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维护人员持有</w:t>
            </w:r>
          </w:p>
          <w:p>
            <w:pPr>
              <w:autoSpaceDE w:val="0"/>
              <w:autoSpaceDN w:val="0"/>
              <w:spacing w:line="300" w:lineRule="exact"/>
              <w:jc w:val="center"/>
              <w:rPr>
                <w:rFonts w:eastAsia="方正仿宋_GBK"/>
                <w:color w:val="000000"/>
                <w:kern w:val="0"/>
                <w:szCs w:val="21"/>
              </w:rPr>
            </w:pPr>
            <w:r>
              <w:rPr>
                <w:rFonts w:eastAsia="方正仿宋_GBK"/>
                <w:color w:val="000000"/>
                <w:kern w:val="0"/>
                <w:szCs w:val="21"/>
              </w:rPr>
              <w:t>“</w:t>
            </w:r>
            <w:r>
              <w:rPr>
                <w:rFonts w:hint="eastAsia" w:eastAsia="方正仿宋_GBK"/>
                <w:color w:val="000000"/>
                <w:kern w:val="0"/>
                <w:szCs w:val="21"/>
              </w:rPr>
              <w:t>江苏省</w:t>
            </w:r>
          </w:p>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建筑业监管</w:t>
            </w:r>
          </w:p>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信息平台</w:t>
            </w:r>
            <w:r>
              <w:rPr>
                <w:rFonts w:eastAsia="方正仿宋_GBK"/>
                <w:color w:val="000000"/>
                <w:kern w:val="0"/>
                <w:szCs w:val="21"/>
              </w:rPr>
              <w:t>”</w:t>
            </w:r>
          </w:p>
          <w:p>
            <w:pPr>
              <w:autoSpaceDE w:val="0"/>
              <w:autoSpaceDN w:val="0"/>
              <w:spacing w:line="300" w:lineRule="exact"/>
              <w:jc w:val="center"/>
              <w:rPr>
                <w:rFonts w:eastAsia="方正仿宋_GBK"/>
                <w:color w:val="000000"/>
                <w:kern w:val="0"/>
                <w:szCs w:val="21"/>
              </w:rPr>
            </w:pPr>
            <w:r>
              <w:rPr>
                <w:rFonts w:hint="eastAsia" w:eastAsia="方正仿宋_GBK"/>
                <w:color w:val="000000"/>
                <w:kern w:val="0"/>
                <w:szCs w:val="21"/>
              </w:rPr>
              <w:t>加密锁情况</w:t>
            </w:r>
          </w:p>
        </w:tc>
        <w:tc>
          <w:tcPr>
            <w:tcW w:w="5960" w:type="dxa"/>
            <w:tcBorders>
              <w:top w:val="single" w:color="auto" w:sz="4" w:space="0"/>
              <w:left w:val="single" w:color="auto" w:sz="4" w:space="0"/>
              <w:bottom w:val="single" w:color="auto" w:sz="8" w:space="0"/>
              <w:right w:val="single" w:color="auto" w:sz="8" w:space="0"/>
            </w:tcBorders>
            <w:noWrap w:val="0"/>
            <w:vAlign w:val="center"/>
          </w:tcPr>
          <w:p>
            <w:pPr>
              <w:autoSpaceDE w:val="0"/>
              <w:autoSpaceDN w:val="0"/>
              <w:spacing w:line="300" w:lineRule="exact"/>
              <w:ind w:firstLine="105" w:firstLineChars="50"/>
              <w:rPr>
                <w:rFonts w:eastAsia="方正仿宋_GBK"/>
                <w:color w:val="000000"/>
                <w:kern w:val="0"/>
                <w:szCs w:val="21"/>
              </w:rPr>
            </w:pPr>
            <w:r>
              <w:rPr>
                <w:rFonts w:hint="eastAsia" w:ascii="Times New Roman" w:hAnsi="Times New Roman"/>
                <w:color w:val="000000"/>
                <w:kern w:val="0"/>
                <w:szCs w:val="21"/>
              </w:rPr>
              <w:t>口</w:t>
            </w:r>
            <w:r>
              <w:rPr>
                <w:rFonts w:hint="eastAsia" w:eastAsia="方正仿宋_GBK"/>
                <w:color w:val="000000"/>
                <w:kern w:val="0"/>
                <w:szCs w:val="21"/>
              </w:rPr>
              <w:t>无</w:t>
            </w:r>
          </w:p>
          <w:p>
            <w:pPr>
              <w:autoSpaceDE w:val="0"/>
              <w:autoSpaceDN w:val="0"/>
              <w:spacing w:line="300" w:lineRule="exact"/>
              <w:ind w:firstLine="105" w:firstLineChars="50"/>
              <w:rPr>
                <w:rFonts w:eastAsia="方正仿宋_GBK"/>
                <w:color w:val="000000"/>
                <w:kern w:val="0"/>
                <w:szCs w:val="21"/>
              </w:rPr>
            </w:pPr>
            <w:r>
              <w:rPr>
                <w:rFonts w:hint="eastAsia" w:ascii="Times New Roman" w:hAnsi="Times New Roman"/>
                <w:color w:val="000000"/>
                <w:kern w:val="0"/>
                <w:szCs w:val="21"/>
              </w:rPr>
              <w:t>口</w:t>
            </w:r>
            <w:r>
              <w:rPr>
                <w:rFonts w:hint="eastAsia" w:eastAsia="方正仿宋_GBK"/>
                <w:color w:val="000000"/>
                <w:kern w:val="0"/>
                <w:szCs w:val="21"/>
              </w:rPr>
              <w:t>有</w:t>
            </w:r>
          </w:p>
          <w:p>
            <w:pPr>
              <w:autoSpaceDE w:val="0"/>
              <w:autoSpaceDN w:val="0"/>
              <w:spacing w:line="300" w:lineRule="exact"/>
              <w:ind w:firstLine="315" w:firstLineChars="150"/>
              <w:rPr>
                <w:rFonts w:eastAsia="方正仿宋_GBK"/>
                <w:color w:val="000000"/>
                <w:kern w:val="0"/>
                <w:szCs w:val="21"/>
              </w:rPr>
            </w:pPr>
            <w:r>
              <w:rPr>
                <w:rFonts w:hint="eastAsia" w:eastAsia="方正仿宋_GBK"/>
                <w:color w:val="000000"/>
                <w:kern w:val="0"/>
                <w:szCs w:val="21"/>
              </w:rPr>
              <w:t>如加密锁登录平台时的姓名和现使用者不一致，原使用者姓名：</w:t>
            </w:r>
          </w:p>
          <w:p>
            <w:pPr>
              <w:autoSpaceDE w:val="0"/>
              <w:autoSpaceDN w:val="0"/>
              <w:spacing w:line="300" w:lineRule="exact"/>
              <w:rPr>
                <w:rFonts w:eastAsia="方正仿宋_GBK"/>
                <w:color w:val="000000"/>
                <w:kern w:val="0"/>
                <w:szCs w:val="21"/>
              </w:rPr>
            </w:pPr>
          </w:p>
        </w:tc>
      </w:tr>
    </w:tbl>
    <w:p>
      <w:pPr>
        <w:autoSpaceDE w:val="0"/>
        <w:autoSpaceDN w:val="0"/>
        <w:adjustRightInd w:val="0"/>
        <w:spacing w:line="460" w:lineRule="exact"/>
        <w:jc w:val="left"/>
        <w:rPr>
          <w:rFonts w:eastAsia="方正仿宋_GBK"/>
          <w:color w:val="000000"/>
          <w:kern w:val="0"/>
          <w:sz w:val="24"/>
        </w:rPr>
      </w:pPr>
    </w:p>
    <w:p>
      <w:pPr>
        <w:spacing w:line="460" w:lineRule="exact"/>
        <w:jc w:val="center"/>
        <w:rPr>
          <w:rFonts w:ascii="Times New Roman" w:eastAsia="方正小标宋简体"/>
          <w:color w:val="000000"/>
          <w:sz w:val="36"/>
          <w:szCs w:val="36"/>
        </w:rPr>
      </w:pPr>
    </w:p>
    <w:p>
      <w:pPr>
        <w:spacing w:line="460" w:lineRule="exact"/>
        <w:jc w:val="center"/>
        <w:rPr>
          <w:rFonts w:hint="eastAsia" w:ascii="Times New Roman" w:eastAsia="方正小标宋简体"/>
          <w:color w:val="000000"/>
          <w:sz w:val="36"/>
          <w:szCs w:val="36"/>
        </w:rPr>
      </w:pPr>
    </w:p>
    <w:p>
      <w:pPr>
        <w:spacing w:line="460" w:lineRule="exact"/>
        <w:jc w:val="center"/>
        <w:rPr>
          <w:rFonts w:hint="eastAsia" w:ascii="Times New Roman" w:eastAsia="方正小标宋简体"/>
          <w:color w:val="000000"/>
          <w:sz w:val="36"/>
          <w:szCs w:val="36"/>
        </w:rPr>
      </w:pPr>
    </w:p>
    <w:p>
      <w:pPr>
        <w:rPr>
          <w:rFonts w:hint="eastAsia"/>
        </w:rPr>
      </w:pPr>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462" w:name="_Toc18315678"/>
      <w:bookmarkStart w:id="463" w:name="_Toc20726508"/>
      <w:r>
        <w:rPr>
          <w:rFonts w:hint="eastAsia" w:ascii="Times New Roman" w:eastAsia="方正小标宋_GBK"/>
          <w:b w:val="0"/>
          <w:sz w:val="36"/>
          <w:szCs w:val="36"/>
        </w:rPr>
        <w:t>关于印发《江苏省建筑业企业信用综合评价办法(试行)》的通知</w:t>
      </w:r>
      <w:bookmarkEnd w:id="462"/>
      <w:bookmarkEnd w:id="463"/>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64" w:name="_Toc20726509"/>
      <w:bookmarkStart w:id="465" w:name="_Toc18315679"/>
      <w:r>
        <w:rPr>
          <w:rFonts w:hint="eastAsia" w:ascii="Times New Roman" w:hAnsi="Times New Roman" w:eastAsia="方正楷体_GBK"/>
          <w:b w:val="0"/>
          <w:sz w:val="24"/>
          <w:szCs w:val="24"/>
        </w:rPr>
        <w:t>苏建建管〔</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662</w:t>
      </w:r>
      <w:r>
        <w:rPr>
          <w:rFonts w:hint="eastAsia" w:ascii="Times New Roman" w:hAnsi="Times New Roman" w:eastAsia="方正楷体_GBK"/>
          <w:b w:val="0"/>
          <w:sz w:val="24"/>
          <w:szCs w:val="24"/>
        </w:rPr>
        <w:t>号</w:t>
      </w:r>
      <w:bookmarkEnd w:id="464"/>
      <w:bookmarkEnd w:id="465"/>
    </w:p>
    <w:p>
      <w:pPr>
        <w:snapToGrid w:val="0"/>
        <w:spacing w:line="460" w:lineRule="exact"/>
        <w:rPr>
          <w:rFonts w:eastAsia="方正仿宋_GBK"/>
          <w:color w:val="000000"/>
          <w:spacing w:val="-2"/>
          <w:kern w:val="0"/>
          <w:sz w:val="24"/>
        </w:rPr>
      </w:pPr>
      <w:r>
        <w:rPr>
          <w:rFonts w:hint="eastAsia" w:eastAsia="方正仿宋_GBK"/>
          <w:color w:val="000000"/>
          <w:spacing w:val="-2"/>
          <w:kern w:val="0"/>
          <w:sz w:val="24"/>
        </w:rPr>
        <w:t>各市建设局（委）、泰州市建工局，信用办：</w:t>
      </w:r>
    </w:p>
    <w:p>
      <w:pPr>
        <w:pStyle w:val="10"/>
        <w:widowControl w:val="0"/>
        <w:spacing w:before="0" w:beforeAutospacing="0" w:after="0" w:afterAutospacing="0" w:line="460" w:lineRule="exact"/>
        <w:ind w:left="42" w:leftChars="20" w:right="41" w:firstLine="472" w:firstLineChars="200"/>
        <w:jc w:val="both"/>
        <w:rPr>
          <w:rFonts w:ascii="Times New Roman" w:hAnsi="Times New Roman" w:eastAsia="方正仿宋_GBK"/>
          <w:color w:val="000000"/>
          <w:spacing w:val="-2"/>
        </w:rPr>
      </w:pPr>
      <w:r>
        <w:rPr>
          <w:rFonts w:hint="eastAsia" w:ascii="Times New Roman" w:hAnsi="Times New Roman" w:eastAsia="方正仿宋_GBK"/>
          <w:bCs/>
          <w:color w:val="000000"/>
          <w:spacing w:val="-2"/>
        </w:rPr>
        <w:t>根据省工程建设专项治理和社会信用体系建设工作的总体部署，</w:t>
      </w:r>
      <w:r>
        <w:rPr>
          <w:rFonts w:ascii="Times New Roman" w:hAnsi="Times New Roman" w:eastAsia="方正仿宋_GBK"/>
          <w:bCs/>
          <w:color w:val="000000"/>
          <w:spacing w:val="-2"/>
        </w:rPr>
        <w:t>2012</w:t>
      </w:r>
      <w:r>
        <w:rPr>
          <w:rFonts w:hint="eastAsia" w:ascii="Times New Roman" w:hAnsi="Times New Roman" w:eastAsia="方正仿宋_GBK"/>
          <w:bCs/>
          <w:color w:val="000000"/>
          <w:spacing w:val="-2"/>
        </w:rPr>
        <w:t>年初，省建设厅</w:t>
      </w:r>
      <w:r>
        <w:rPr>
          <w:rFonts w:hint="eastAsia" w:ascii="Times New Roman" w:hAnsi="Times New Roman" w:eastAsia="方正仿宋_GBK"/>
          <w:color w:val="000000"/>
          <w:spacing w:val="-2"/>
        </w:rPr>
        <w:t>、省</w:t>
      </w:r>
      <w:r>
        <w:rPr>
          <w:rFonts w:hint="eastAsia" w:ascii="Times New Roman" w:hAnsi="Times New Roman" w:eastAsia="方正仿宋_GBK"/>
          <w:bCs/>
          <w:color w:val="000000"/>
          <w:spacing w:val="-2"/>
        </w:rPr>
        <w:t>监察厅</w:t>
      </w:r>
      <w:r>
        <w:rPr>
          <w:rFonts w:hint="eastAsia" w:ascii="Times New Roman" w:hAnsi="Times New Roman" w:eastAsia="方正仿宋_GBK"/>
          <w:color w:val="000000"/>
          <w:spacing w:val="-2"/>
        </w:rPr>
        <w:t>和省信用办联合在常州市启动了我省建筑市场信用管理平台暨常州市建设工程</w:t>
      </w:r>
      <w:r>
        <w:rPr>
          <w:rFonts w:ascii="Times New Roman" w:hAnsi="Times New Roman" w:eastAsia="方正仿宋_GBK"/>
          <w:color w:val="000000"/>
          <w:spacing w:val="-2"/>
        </w:rPr>
        <w:t>“</w:t>
      </w:r>
      <w:r>
        <w:rPr>
          <w:rFonts w:hint="eastAsia" w:ascii="Times New Roman" w:hAnsi="Times New Roman" w:eastAsia="方正仿宋_GBK"/>
          <w:color w:val="000000"/>
          <w:spacing w:val="-2"/>
        </w:rPr>
        <w:t>三合一</w:t>
      </w:r>
      <w:r>
        <w:rPr>
          <w:rFonts w:ascii="Times New Roman" w:hAnsi="Times New Roman" w:eastAsia="方正仿宋_GBK"/>
          <w:color w:val="000000"/>
          <w:spacing w:val="-2"/>
        </w:rPr>
        <w:t>”</w:t>
      </w:r>
      <w:r>
        <w:rPr>
          <w:rFonts w:hint="eastAsia" w:ascii="Times New Roman" w:hAnsi="Times New Roman" w:eastAsia="方正仿宋_GBK"/>
          <w:color w:val="000000"/>
          <w:spacing w:val="-2"/>
        </w:rPr>
        <w:t>评标系统，将我省建</w:t>
      </w:r>
      <w:r>
        <w:rPr>
          <w:rFonts w:hint="eastAsia" w:ascii="Times New Roman" w:hAnsi="Times New Roman" w:eastAsia="方正仿宋_GBK"/>
          <w:bCs/>
          <w:color w:val="000000"/>
          <w:spacing w:val="-2"/>
        </w:rPr>
        <w:t>筑市场信用体系建设由试点转向全面推进阶段。经过近两年的努力，全省建筑市场信用体系及省市一体化信用平台建设工作已取得明显成效，</w:t>
      </w:r>
      <w:r>
        <w:rPr>
          <w:rFonts w:ascii="Times New Roman" w:hAnsi="Times New Roman" w:eastAsia="方正仿宋_GBK"/>
          <w:bCs/>
          <w:color w:val="000000"/>
          <w:spacing w:val="-2"/>
        </w:rPr>
        <w:t>13</w:t>
      </w:r>
      <w:r>
        <w:rPr>
          <w:rFonts w:hint="eastAsia" w:ascii="Times New Roman" w:hAnsi="Times New Roman" w:eastAsia="方正仿宋_GBK"/>
          <w:bCs/>
          <w:color w:val="000000"/>
          <w:spacing w:val="-2"/>
        </w:rPr>
        <w:t>个省辖市的企业库、人员库和项目库均已建成，实</w:t>
      </w:r>
      <w:r>
        <w:rPr>
          <w:rFonts w:hint="eastAsia" w:ascii="Times New Roman" w:hAnsi="Times New Roman" w:eastAsia="方正仿宋_GBK"/>
          <w:color w:val="000000"/>
          <w:spacing w:val="-2"/>
        </w:rPr>
        <w:t>现了企业、人员和项目信息的关联互通，南京、常州、盐城、镇江等市已将信用评价结果应用到评标过程中，初步实现了建筑市场和施工现场的</w:t>
      </w:r>
      <w:r>
        <w:rPr>
          <w:rFonts w:ascii="Times New Roman" w:hAnsi="Times New Roman" w:eastAsia="方正仿宋_GBK"/>
          <w:color w:val="000000"/>
          <w:spacing w:val="-2"/>
        </w:rPr>
        <w:t>“</w:t>
      </w:r>
      <w:r>
        <w:rPr>
          <w:rFonts w:hint="eastAsia" w:ascii="Times New Roman" w:hAnsi="Times New Roman" w:eastAsia="方正仿宋_GBK"/>
          <w:color w:val="000000"/>
          <w:spacing w:val="-2"/>
        </w:rPr>
        <w:t>两场</w:t>
      </w:r>
      <w:r>
        <w:rPr>
          <w:rFonts w:ascii="Times New Roman" w:hAnsi="Times New Roman" w:eastAsia="方正仿宋_GBK"/>
          <w:color w:val="000000"/>
          <w:spacing w:val="-2"/>
        </w:rPr>
        <w:t>”</w:t>
      </w:r>
      <w:r>
        <w:rPr>
          <w:rFonts w:hint="eastAsia" w:ascii="Times New Roman" w:hAnsi="Times New Roman" w:eastAsia="方正仿宋_GBK"/>
          <w:color w:val="000000"/>
          <w:spacing w:val="-2"/>
        </w:rPr>
        <w:t>联动。</w:t>
      </w:r>
    </w:p>
    <w:p>
      <w:pPr>
        <w:snapToGrid w:val="0"/>
        <w:spacing w:line="460" w:lineRule="exact"/>
        <w:rPr>
          <w:rFonts w:eastAsia="方正仿宋_GBK"/>
          <w:bCs/>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为进一步巩固工程建设领域专项治理工作的成果，加大我省建设领域信用体系建设力度，</w:t>
      </w:r>
      <w:r>
        <w:rPr>
          <w:rFonts w:eastAsia="方正仿宋_GBK"/>
          <w:bCs/>
          <w:color w:val="000000"/>
          <w:spacing w:val="-2"/>
          <w:sz w:val="24"/>
        </w:rPr>
        <w:t xml:space="preserve"> </w:t>
      </w:r>
      <w:r>
        <w:rPr>
          <w:rFonts w:hint="eastAsia" w:eastAsia="方正仿宋_GBK"/>
          <w:bCs/>
          <w:color w:val="000000"/>
          <w:spacing w:val="-2"/>
          <w:sz w:val="24"/>
        </w:rPr>
        <w:t>切实规范建筑市场秩序，省住房城乡建设厅、省信用办制定了《江苏省建筑业企业信用综合评价办法</w:t>
      </w:r>
      <w:r>
        <w:rPr>
          <w:rFonts w:eastAsia="方正仿宋_GBK"/>
          <w:bCs/>
          <w:color w:val="000000"/>
          <w:spacing w:val="-2"/>
          <w:sz w:val="24"/>
        </w:rPr>
        <w:t>(</w:t>
      </w:r>
      <w:r>
        <w:rPr>
          <w:rFonts w:hint="eastAsia" w:eastAsia="方正仿宋_GBK"/>
          <w:bCs/>
          <w:color w:val="000000"/>
          <w:spacing w:val="-2"/>
          <w:sz w:val="24"/>
        </w:rPr>
        <w:t>试行</w:t>
      </w:r>
      <w:r>
        <w:rPr>
          <w:rFonts w:eastAsia="方正仿宋_GBK"/>
          <w:bCs/>
          <w:color w:val="000000"/>
          <w:spacing w:val="-2"/>
          <w:sz w:val="24"/>
        </w:rPr>
        <w:t>)</w:t>
      </w:r>
      <w:r>
        <w:rPr>
          <w:rFonts w:hint="eastAsia" w:eastAsia="方正仿宋_GBK"/>
          <w:bCs/>
          <w:color w:val="000000"/>
          <w:spacing w:val="-2"/>
          <w:sz w:val="24"/>
        </w:rPr>
        <w:t>》</w:t>
      </w:r>
      <w:r>
        <w:rPr>
          <w:rFonts w:hint="eastAsia" w:eastAsia="方正仿宋_GBK"/>
          <w:bCs/>
          <w:color w:val="000000"/>
          <w:spacing w:val="-2"/>
          <w:kern w:val="0"/>
          <w:sz w:val="24"/>
        </w:rPr>
        <w:t>，现印发给你们，并就相</w:t>
      </w:r>
      <w:r>
        <w:rPr>
          <w:rFonts w:hint="eastAsia" w:eastAsia="方正仿宋_GBK"/>
          <w:bCs/>
          <w:color w:val="000000"/>
          <w:spacing w:val="-2"/>
          <w:sz w:val="24"/>
        </w:rPr>
        <w:t>关事项明确如下：</w:t>
      </w:r>
    </w:p>
    <w:p>
      <w:pPr>
        <w:spacing w:line="460" w:lineRule="exact"/>
        <w:ind w:firstLine="472" w:firstLineChars="200"/>
        <w:rPr>
          <w:rFonts w:eastAsia="方正仿宋_GBK"/>
          <w:bCs/>
          <w:color w:val="000000"/>
          <w:spacing w:val="-2"/>
          <w:sz w:val="24"/>
        </w:rPr>
      </w:pPr>
      <w:r>
        <w:rPr>
          <w:rFonts w:hint="eastAsia" w:eastAsia="方正仿宋_GBK"/>
          <w:bCs/>
          <w:color w:val="000000"/>
          <w:spacing w:val="-2"/>
          <w:sz w:val="24"/>
        </w:rPr>
        <w:t>一、自</w:t>
      </w:r>
      <w:r>
        <w:rPr>
          <w:rFonts w:eastAsia="方正仿宋_GBK"/>
          <w:bCs/>
          <w:color w:val="000000"/>
          <w:spacing w:val="-2"/>
          <w:sz w:val="24"/>
        </w:rPr>
        <w:t>2014</w:t>
      </w:r>
      <w:r>
        <w:rPr>
          <w:rFonts w:hint="eastAsia" w:eastAsia="方正仿宋_GBK"/>
          <w:bCs/>
          <w:color w:val="000000"/>
          <w:spacing w:val="-2"/>
          <w:sz w:val="24"/>
        </w:rPr>
        <w:t>年</w:t>
      </w:r>
      <w:r>
        <w:rPr>
          <w:rFonts w:eastAsia="方正仿宋_GBK"/>
          <w:bCs/>
          <w:color w:val="000000"/>
          <w:spacing w:val="-2"/>
          <w:sz w:val="24"/>
        </w:rPr>
        <w:t>4</w:t>
      </w:r>
      <w:r>
        <w:rPr>
          <w:rFonts w:hint="eastAsia" w:eastAsia="方正仿宋_GBK"/>
          <w:bCs/>
          <w:color w:val="000000"/>
          <w:spacing w:val="-2"/>
          <w:sz w:val="24"/>
        </w:rPr>
        <w:t>月</w:t>
      </w:r>
      <w:r>
        <w:rPr>
          <w:rFonts w:eastAsia="方正仿宋_GBK"/>
          <w:bCs/>
          <w:color w:val="000000"/>
          <w:spacing w:val="-2"/>
          <w:sz w:val="24"/>
        </w:rPr>
        <w:t>1</w:t>
      </w:r>
      <w:r>
        <w:rPr>
          <w:rFonts w:hint="eastAsia" w:eastAsia="方正仿宋_GBK"/>
          <w:bCs/>
          <w:color w:val="000000"/>
          <w:spacing w:val="-2"/>
          <w:sz w:val="24"/>
        </w:rPr>
        <w:t>日起，使用国有资金投资、国有资金投资占控股或主导地位的建设工程项目实行招标发包的，建设单位应当将建筑业企业信用评价结果纳入招投标环节；其他类型建设工程项目招标可参照执行。</w:t>
      </w:r>
    </w:p>
    <w:p>
      <w:pPr>
        <w:spacing w:line="460" w:lineRule="exact"/>
        <w:ind w:firstLine="472" w:firstLineChars="200"/>
        <w:rPr>
          <w:rFonts w:eastAsia="方正仿宋_GBK"/>
          <w:bCs/>
          <w:color w:val="000000"/>
          <w:spacing w:val="-2"/>
          <w:sz w:val="24"/>
        </w:rPr>
      </w:pPr>
      <w:r>
        <w:rPr>
          <w:rFonts w:hint="eastAsia" w:eastAsia="方正仿宋_GBK"/>
          <w:bCs/>
          <w:color w:val="000000"/>
          <w:spacing w:val="-2"/>
          <w:sz w:val="24"/>
        </w:rPr>
        <w:t>二、建筑业企业信用综合得分由省、市两部分构成，其中省级信用平均分占</w:t>
      </w:r>
      <w:r>
        <w:rPr>
          <w:rFonts w:eastAsia="方正仿宋_GBK"/>
          <w:bCs/>
          <w:color w:val="000000"/>
          <w:spacing w:val="-2"/>
          <w:sz w:val="24"/>
        </w:rPr>
        <w:t>40%</w:t>
      </w:r>
      <w:r>
        <w:rPr>
          <w:rFonts w:hint="eastAsia" w:eastAsia="方正仿宋_GBK"/>
          <w:bCs/>
          <w:color w:val="000000"/>
          <w:spacing w:val="-2"/>
          <w:sz w:val="24"/>
        </w:rPr>
        <w:t>，市级信用分占</w:t>
      </w:r>
      <w:r>
        <w:rPr>
          <w:rFonts w:eastAsia="方正仿宋_GBK"/>
          <w:bCs/>
          <w:color w:val="000000"/>
          <w:spacing w:val="-2"/>
          <w:sz w:val="24"/>
        </w:rPr>
        <w:t>60%</w:t>
      </w:r>
      <w:r>
        <w:rPr>
          <w:rFonts w:hint="eastAsia" w:eastAsia="方正仿宋_GBK"/>
          <w:bCs/>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bCs/>
          <w:color w:val="000000"/>
          <w:spacing w:val="-2"/>
          <w:sz w:val="24"/>
        </w:rPr>
        <w:t>三、采用商务标、技术标、信用标综合评标法的</w:t>
      </w:r>
      <w:r>
        <w:rPr>
          <w:rFonts w:hint="eastAsia" w:eastAsia="方正仿宋_GBK"/>
          <w:color w:val="000000"/>
          <w:spacing w:val="-2"/>
          <w:sz w:val="24"/>
        </w:rPr>
        <w:t>，信用分所占比例不得低于</w:t>
      </w:r>
      <w:r>
        <w:rPr>
          <w:rFonts w:eastAsia="方正仿宋_GBK"/>
          <w:color w:val="000000"/>
          <w:spacing w:val="-2"/>
          <w:sz w:val="24"/>
        </w:rPr>
        <w:t>5%</w:t>
      </w:r>
      <w:r>
        <w:rPr>
          <w:rFonts w:hint="eastAsia" w:eastAsia="方正仿宋_GBK"/>
          <w:color w:val="000000"/>
          <w:spacing w:val="-2"/>
          <w:sz w:val="24"/>
        </w:rPr>
        <w:t>，各市可根据实际情况适当上浮；</w:t>
      </w:r>
      <w:r>
        <w:rPr>
          <w:rFonts w:hint="eastAsia" w:eastAsia="方正仿宋_GBK"/>
          <w:color w:val="000000"/>
          <w:spacing w:val="-2"/>
          <w:kern w:val="0"/>
          <w:sz w:val="24"/>
        </w:rPr>
        <w:t>采用经评审的最低投标价法、合理低价法、合理价随机确定中标人法的，必须将建筑业企业信用综合得分作为资格审查的必要条件。</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kern w:val="0"/>
          <w:sz w:val="24"/>
        </w:rPr>
        <w:t>四、建筑业企业信用</w:t>
      </w:r>
      <w:r>
        <w:rPr>
          <w:rFonts w:hint="eastAsia" w:eastAsia="方正仿宋_GBK"/>
          <w:color w:val="000000"/>
          <w:spacing w:val="-2"/>
          <w:sz w:val="24"/>
        </w:rPr>
        <w:t>评价结果纳入招投标环节</w:t>
      </w:r>
      <w:r>
        <w:rPr>
          <w:rFonts w:hint="eastAsia" w:eastAsia="方正仿宋_GBK"/>
          <w:color w:val="000000"/>
          <w:spacing w:val="-2"/>
          <w:kern w:val="0"/>
          <w:sz w:val="24"/>
        </w:rPr>
        <w:t>后，企业获得的建设工程类单项奖励在评标时不再单独计</w:t>
      </w:r>
      <w:r>
        <w:rPr>
          <w:rFonts w:eastAsia="方正仿宋_GBK"/>
          <w:color w:val="000000"/>
          <w:spacing w:val="-2"/>
          <w:kern w:val="0"/>
          <w:sz w:val="24"/>
        </w:rPr>
        <w:t>(</w:t>
      </w:r>
      <w:r>
        <w:rPr>
          <w:rFonts w:hint="eastAsia" w:eastAsia="方正仿宋_GBK"/>
          <w:color w:val="000000"/>
          <w:spacing w:val="-2"/>
          <w:kern w:val="0"/>
          <w:sz w:val="24"/>
        </w:rPr>
        <w:t>加</w:t>
      </w:r>
      <w:r>
        <w:rPr>
          <w:rFonts w:eastAsia="方正仿宋_GBK"/>
          <w:color w:val="000000"/>
          <w:spacing w:val="-2"/>
          <w:kern w:val="0"/>
          <w:sz w:val="24"/>
        </w:rPr>
        <w:t>)</w:t>
      </w:r>
      <w:r>
        <w:rPr>
          <w:rFonts w:hint="eastAsia" w:eastAsia="方正仿宋_GBK"/>
          <w:color w:val="000000"/>
          <w:spacing w:val="-2"/>
          <w:kern w:val="0"/>
          <w:sz w:val="24"/>
        </w:rPr>
        <w:t>分</w:t>
      </w:r>
      <w:r>
        <w:rPr>
          <w:rFonts w:hint="eastAsia" w:eastAsia="方正仿宋_GBK"/>
          <w:color w:val="000000"/>
          <w:spacing w:val="-2"/>
          <w:sz w:val="24"/>
        </w:rPr>
        <w:t>；不再使用第三方出具的企业信用评级报告。</w:t>
      </w:r>
    </w:p>
    <w:p>
      <w:pPr>
        <w:snapToGrid w:val="0"/>
        <w:spacing w:line="460" w:lineRule="exact"/>
        <w:ind w:firstLine="462" w:firstLineChars="196"/>
        <w:rPr>
          <w:rFonts w:eastAsia="方正仿宋_GBK"/>
          <w:color w:val="000000"/>
          <w:spacing w:val="-2"/>
          <w:kern w:val="0"/>
          <w:sz w:val="24"/>
        </w:rPr>
      </w:pPr>
      <w:r>
        <w:rPr>
          <w:rFonts w:hint="eastAsia" w:eastAsia="方正仿宋_GBK"/>
          <w:color w:val="000000"/>
          <w:spacing w:val="-2"/>
          <w:kern w:val="0"/>
          <w:sz w:val="24"/>
        </w:rPr>
        <w:t>各市建设局（委）、建工局和信用办要密切配合，协同贯彻落实《江苏省建筑业企业信用综合评价办法</w:t>
      </w:r>
      <w:r>
        <w:rPr>
          <w:rFonts w:eastAsia="方正仿宋_GBK"/>
          <w:color w:val="000000"/>
          <w:spacing w:val="-2"/>
          <w:kern w:val="0"/>
          <w:sz w:val="24"/>
        </w:rPr>
        <w:t>(</w:t>
      </w:r>
      <w:r>
        <w:rPr>
          <w:rFonts w:hint="eastAsia" w:eastAsia="方正仿宋_GBK"/>
          <w:color w:val="000000"/>
          <w:spacing w:val="-2"/>
          <w:kern w:val="0"/>
          <w:sz w:val="24"/>
        </w:rPr>
        <w:t>试行</w:t>
      </w:r>
      <w:r>
        <w:rPr>
          <w:rFonts w:eastAsia="方正仿宋_GBK"/>
          <w:color w:val="000000"/>
          <w:spacing w:val="-2"/>
          <w:kern w:val="0"/>
          <w:sz w:val="24"/>
        </w:rPr>
        <w:t>)</w:t>
      </w:r>
      <w:r>
        <w:rPr>
          <w:rFonts w:hint="eastAsia" w:eastAsia="方正仿宋_GBK"/>
          <w:color w:val="000000"/>
          <w:spacing w:val="-2"/>
          <w:kern w:val="0"/>
          <w:sz w:val="24"/>
        </w:rPr>
        <w:t>》。各市信用管理部门要做好对各相关部门的工作指导，共同做好建筑业企业信用综合评价结果的推广应用工作。</w:t>
      </w:r>
    </w:p>
    <w:p>
      <w:pPr>
        <w:snapToGrid w:val="0"/>
        <w:spacing w:line="460" w:lineRule="exact"/>
        <w:ind w:firstLine="462" w:firstLineChars="196"/>
        <w:rPr>
          <w:rFonts w:eastAsia="方正仿宋_GBK"/>
          <w:color w:val="000000"/>
          <w:spacing w:val="-2"/>
          <w:kern w:val="0"/>
          <w:sz w:val="24"/>
        </w:rPr>
      </w:pPr>
      <w:r>
        <w:rPr>
          <w:rFonts w:hint="eastAsia" w:eastAsia="方正仿宋_GBK"/>
          <w:color w:val="000000"/>
          <w:spacing w:val="-2"/>
          <w:kern w:val="0"/>
          <w:sz w:val="24"/>
        </w:rPr>
        <w:t>附件：《江苏省建筑业企业信用综合评价办法</w:t>
      </w:r>
      <w:r>
        <w:rPr>
          <w:rFonts w:eastAsia="方正仿宋_GBK"/>
          <w:color w:val="000000"/>
          <w:spacing w:val="-2"/>
          <w:kern w:val="0"/>
          <w:sz w:val="24"/>
        </w:rPr>
        <w:t>(</w:t>
      </w:r>
      <w:r>
        <w:rPr>
          <w:rFonts w:hint="eastAsia" w:eastAsia="方正仿宋_GBK"/>
          <w:color w:val="000000"/>
          <w:spacing w:val="-2"/>
          <w:kern w:val="0"/>
          <w:sz w:val="24"/>
        </w:rPr>
        <w:t>试行</w:t>
      </w:r>
      <w:r>
        <w:rPr>
          <w:rFonts w:eastAsia="方正仿宋_GBK"/>
          <w:color w:val="000000"/>
          <w:spacing w:val="-2"/>
          <w:kern w:val="0"/>
          <w:sz w:val="24"/>
        </w:rPr>
        <w:t>)</w:t>
      </w:r>
      <w:r>
        <w:rPr>
          <w:rFonts w:hint="eastAsia" w:eastAsia="方正仿宋_GBK"/>
          <w:color w:val="000000"/>
          <w:spacing w:val="-2"/>
          <w:kern w:val="0"/>
          <w:sz w:val="24"/>
        </w:rPr>
        <w:t>》</w:t>
      </w:r>
    </w:p>
    <w:p>
      <w:pPr>
        <w:snapToGrid w:val="0"/>
        <w:spacing w:line="460" w:lineRule="exact"/>
        <w:rPr>
          <w:rFonts w:eastAsia="方正仿宋_GBK"/>
          <w:color w:val="000000"/>
          <w:spacing w:val="-2"/>
          <w:kern w:val="0"/>
          <w:sz w:val="24"/>
        </w:rPr>
      </w:pPr>
    </w:p>
    <w:p>
      <w:pPr>
        <w:snapToGrid w:val="0"/>
        <w:spacing w:line="460" w:lineRule="exact"/>
        <w:ind w:right="57" w:rightChars="27" w:firstLine="4471" w:firstLineChars="1863"/>
        <w:jc w:val="distribute"/>
        <w:rPr>
          <w:rFonts w:eastAsia="方正仿宋_GBK"/>
          <w:color w:val="000000"/>
          <w:kern w:val="0"/>
          <w:sz w:val="24"/>
        </w:rPr>
      </w:pPr>
      <w:r>
        <w:rPr>
          <w:rFonts w:hint="eastAsia" w:eastAsia="方正仿宋_GBK"/>
          <w:color w:val="000000"/>
          <w:kern w:val="0"/>
          <w:sz w:val="24"/>
        </w:rPr>
        <w:t>江苏省住房和城乡建设厅</w:t>
      </w:r>
    </w:p>
    <w:p>
      <w:pPr>
        <w:snapToGrid w:val="0"/>
        <w:spacing w:line="460" w:lineRule="exact"/>
        <w:jc w:val="right"/>
        <w:rPr>
          <w:rFonts w:eastAsia="方正仿宋_GBK"/>
          <w:color w:val="000000"/>
          <w:spacing w:val="-2"/>
          <w:kern w:val="0"/>
          <w:sz w:val="24"/>
        </w:rPr>
      </w:pPr>
      <w:r>
        <w:rPr>
          <w:rFonts w:hint="eastAsia" w:eastAsia="方正仿宋_GBK"/>
          <w:color w:val="000000"/>
          <w:spacing w:val="-2"/>
          <w:kern w:val="0"/>
          <w:sz w:val="24"/>
        </w:rPr>
        <w:t>江苏省社会信用体系建设领导小组办公室</w:t>
      </w:r>
    </w:p>
    <w:p>
      <w:pPr>
        <w:snapToGrid w:val="0"/>
        <w:spacing w:line="460" w:lineRule="exact"/>
        <w:rPr>
          <w:rFonts w:eastAsia="方正仿宋_GBK"/>
          <w:color w:val="000000"/>
          <w:spacing w:val="-2"/>
          <w:kern w:val="0"/>
          <w:sz w:val="24"/>
        </w:rPr>
      </w:pPr>
      <w:r>
        <w:rPr>
          <w:rFonts w:eastAsia="方正仿宋_GBK"/>
          <w:color w:val="000000"/>
          <w:spacing w:val="-2"/>
          <w:kern w:val="0"/>
          <w:sz w:val="24"/>
        </w:rPr>
        <w:t xml:space="preserve">                                                  2013</w:t>
      </w:r>
      <w:r>
        <w:rPr>
          <w:rFonts w:hint="eastAsia" w:eastAsia="方正仿宋_GBK"/>
          <w:color w:val="000000"/>
          <w:spacing w:val="-2"/>
          <w:kern w:val="0"/>
          <w:sz w:val="24"/>
        </w:rPr>
        <w:t>年</w:t>
      </w:r>
      <w:r>
        <w:rPr>
          <w:rFonts w:eastAsia="方正仿宋_GBK"/>
          <w:color w:val="000000"/>
          <w:spacing w:val="-2"/>
          <w:kern w:val="0"/>
          <w:sz w:val="24"/>
        </w:rPr>
        <w:t>12</w:t>
      </w:r>
      <w:r>
        <w:rPr>
          <w:rFonts w:hint="eastAsia" w:eastAsia="方正仿宋_GBK"/>
          <w:color w:val="000000"/>
          <w:spacing w:val="-2"/>
          <w:kern w:val="0"/>
          <w:sz w:val="24"/>
        </w:rPr>
        <w:t>月</w:t>
      </w:r>
      <w:r>
        <w:rPr>
          <w:rFonts w:eastAsia="方正仿宋_GBK"/>
          <w:color w:val="000000"/>
          <w:spacing w:val="-2"/>
          <w:kern w:val="0"/>
          <w:sz w:val="24"/>
        </w:rPr>
        <w:t>22</w:t>
      </w:r>
      <w:r>
        <w:rPr>
          <w:rFonts w:hint="eastAsia" w:eastAsia="方正仿宋_GBK"/>
          <w:color w:val="000000"/>
          <w:spacing w:val="-2"/>
          <w:kern w:val="0"/>
          <w:sz w:val="24"/>
        </w:rPr>
        <w:t>日</w:t>
      </w:r>
      <w:r>
        <w:rPr>
          <w:rFonts w:eastAsia="方正仿宋_GBK"/>
          <w:color w:val="000000"/>
          <w:spacing w:val="-2"/>
          <w:kern w:val="0"/>
          <w:sz w:val="24"/>
        </w:rPr>
        <w:t xml:space="preserve">          </w:t>
      </w:r>
    </w:p>
    <w:p>
      <w:pPr>
        <w:snapToGrid w:val="0"/>
        <w:spacing w:line="460" w:lineRule="exact"/>
        <w:rPr>
          <w:rFonts w:eastAsia="方正仿宋_GBK"/>
          <w:color w:val="000000"/>
          <w:spacing w:val="-2"/>
          <w:kern w:val="0"/>
          <w:sz w:val="24"/>
        </w:rPr>
      </w:pPr>
    </w:p>
    <w:p>
      <w:pPr>
        <w:snapToGrid w:val="0"/>
        <w:spacing w:line="460" w:lineRule="exact"/>
        <w:rPr>
          <w:rFonts w:eastAsia="方正仿宋_GBK"/>
          <w:b/>
          <w:bCs/>
          <w:color w:val="000000"/>
          <w:spacing w:val="-2"/>
          <w:kern w:val="0"/>
          <w:sz w:val="24"/>
        </w:rPr>
      </w:pPr>
      <w:r>
        <w:rPr>
          <w:rFonts w:eastAsia="方正仿宋_GBK"/>
          <w:b/>
          <w:bCs/>
          <w:color w:val="000000"/>
          <w:spacing w:val="-2"/>
          <w:kern w:val="0"/>
          <w:sz w:val="24"/>
        </w:rPr>
        <w:t xml:space="preserve"> </w:t>
      </w:r>
    </w:p>
    <w:p>
      <w:pPr>
        <w:snapToGrid w:val="0"/>
        <w:spacing w:line="460" w:lineRule="exact"/>
        <w:jc w:val="center"/>
        <w:rPr>
          <w:rFonts w:ascii="Times New Roman" w:eastAsia="方正黑体_GBK"/>
          <w:color w:val="000000"/>
          <w:spacing w:val="-2"/>
          <w:kern w:val="0"/>
          <w:sz w:val="36"/>
          <w:szCs w:val="36"/>
        </w:rPr>
      </w:pPr>
      <w:r>
        <w:rPr>
          <w:rFonts w:hint="eastAsia" w:ascii="Times New Roman" w:eastAsia="方正黑体_GBK"/>
          <w:bCs/>
          <w:color w:val="000000"/>
          <w:spacing w:val="-2"/>
          <w:kern w:val="0"/>
          <w:sz w:val="36"/>
          <w:szCs w:val="36"/>
        </w:rPr>
        <w:t>江苏省建筑业企业信用综合评价办法(试行)</w:t>
      </w:r>
    </w:p>
    <w:p>
      <w:pPr>
        <w:snapToGrid w:val="0"/>
        <w:spacing w:line="460" w:lineRule="exact"/>
        <w:rPr>
          <w:rFonts w:hint="eastAsia" w:eastAsia="方正仿宋_GBK"/>
          <w:color w:val="000000"/>
          <w:spacing w:val="-2"/>
          <w:kern w:val="0"/>
          <w:sz w:val="24"/>
        </w:rPr>
      </w:pPr>
      <w:r>
        <w:rPr>
          <w:rFonts w:eastAsia="方正仿宋_GBK"/>
          <w:color w:val="000000"/>
          <w:spacing w:val="-2"/>
          <w:kern w:val="0"/>
          <w:sz w:val="24"/>
        </w:rPr>
        <w:t xml:space="preserve">                 </w:t>
      </w:r>
    </w:p>
    <w:p>
      <w:pPr>
        <w:snapToGrid w:val="0"/>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第一章  总</w:t>
      </w:r>
      <w:r>
        <w:rPr>
          <w:rFonts w:eastAsia="方正黑体_GBK"/>
          <w:color w:val="000000"/>
          <w:spacing w:val="-2"/>
          <w:kern w:val="0"/>
          <w:sz w:val="24"/>
        </w:rPr>
        <w:t> </w:t>
      </w:r>
      <w:r>
        <w:rPr>
          <w:rFonts w:hint="eastAsia" w:ascii="Times New Roman" w:eastAsia="方正黑体_GBK"/>
          <w:color w:val="000000"/>
          <w:spacing w:val="-2"/>
          <w:kern w:val="0"/>
          <w:sz w:val="24"/>
        </w:rPr>
        <w:t xml:space="preserve"> 则</w:t>
      </w:r>
    </w:p>
    <w:p>
      <w:pPr>
        <w:snapToGrid w:val="0"/>
        <w:spacing w:line="460" w:lineRule="exact"/>
        <w:ind w:firstLine="474" w:firstLineChars="200"/>
        <w:rPr>
          <w:rFonts w:hint="eastAsia" w:eastAsia="方正仿宋_GBK"/>
          <w:b/>
          <w:bCs/>
          <w:color w:val="000000"/>
          <w:spacing w:val="-2"/>
          <w:kern w:val="0"/>
          <w:sz w:val="24"/>
        </w:rPr>
      </w:pP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第一条</w:t>
      </w:r>
      <w:r>
        <w:rPr>
          <w:rFonts w:eastAsia="方正仿宋_GBK"/>
          <w:b/>
          <w:bCs/>
          <w:color w:val="000000"/>
          <w:spacing w:val="-2"/>
          <w:kern w:val="0"/>
          <w:sz w:val="24"/>
        </w:rPr>
        <w:t xml:space="preserve">  </w:t>
      </w:r>
      <w:r>
        <w:rPr>
          <w:rFonts w:hint="eastAsia" w:eastAsia="方正仿宋_GBK"/>
          <w:color w:val="000000"/>
          <w:spacing w:val="-2"/>
          <w:kern w:val="0"/>
          <w:sz w:val="24"/>
        </w:rPr>
        <w:t>为规范建筑业企业信用考核工作，根据《省政府关于加快推进社会信用体系建设的意见》、</w:t>
      </w:r>
      <w:r>
        <w:rPr>
          <w:rFonts w:hint="eastAsia" w:eastAsia="方正仿宋_GBK"/>
          <w:color w:val="000000"/>
          <w:spacing w:val="-2"/>
          <w:sz w:val="24"/>
          <w:shd w:val="clear" w:color="auto" w:fill="FFFFFF"/>
        </w:rPr>
        <w:t>《江苏省社会法人失信惩戒办法（试行）》的</w:t>
      </w:r>
      <w:r>
        <w:rPr>
          <w:rFonts w:hint="eastAsia" w:eastAsia="方正仿宋_GBK"/>
          <w:color w:val="000000"/>
          <w:spacing w:val="-2"/>
          <w:kern w:val="0"/>
          <w:sz w:val="24"/>
        </w:rPr>
        <w:t>要求，结合建筑业企业特点以及试点情况，制定本办法。</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第二条</w:t>
      </w:r>
      <w:r>
        <w:rPr>
          <w:rFonts w:eastAsia="方正仿宋_GBK"/>
          <w:color w:val="000000"/>
          <w:spacing w:val="-2"/>
          <w:kern w:val="0"/>
          <w:sz w:val="24"/>
        </w:rPr>
        <w:t xml:space="preserve">  </w:t>
      </w:r>
      <w:r>
        <w:rPr>
          <w:rFonts w:hint="eastAsia" w:eastAsia="方正仿宋_GBK"/>
          <w:color w:val="000000"/>
          <w:spacing w:val="-2"/>
          <w:kern w:val="0"/>
          <w:sz w:val="24"/>
        </w:rPr>
        <w:t>本办法所称建筑业企业信用综合评价，是对建筑业企业信用情况实行量化计分，即在考核时段内，依据国家法律、法规、规范标准对企业建筑市场行为（承接工程量、社会和行业奖惩、投标活动、合同履约、工程造价管理、工程档案管理等）、施工现场行为（包括质量行为、安全行为、实体质量、安全生产标准化、农民工管理等）进行量化考核后，建筑业企业获得的信用分。</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第三条</w:t>
      </w:r>
      <w:r>
        <w:rPr>
          <w:rFonts w:eastAsia="方正仿宋_GBK"/>
          <w:b/>
          <w:bCs/>
          <w:color w:val="000000"/>
          <w:spacing w:val="-2"/>
          <w:kern w:val="0"/>
          <w:sz w:val="24"/>
        </w:rPr>
        <w:t xml:space="preserve">  </w:t>
      </w:r>
      <w:r>
        <w:rPr>
          <w:rFonts w:hint="eastAsia" w:eastAsia="方正仿宋_GBK"/>
          <w:color w:val="000000"/>
          <w:spacing w:val="-2"/>
          <w:kern w:val="0"/>
          <w:sz w:val="24"/>
        </w:rPr>
        <w:t>在本省行政区域内从事建筑工程、线路管道及设备安装工程、装饰装修工程等建筑活动的具有施工总承包资质、专业承包资质的省内外建筑业企业的信用综合评价，均</w:t>
      </w:r>
      <w:r>
        <w:rPr>
          <w:rStyle w:val="15"/>
          <w:rFonts w:hint="eastAsia" w:eastAsia="方正仿宋_GBK"/>
          <w:spacing w:val="-2"/>
          <w:sz w:val="24"/>
        </w:rPr>
        <w:t>适用本</w:t>
      </w:r>
      <w:r>
        <w:rPr>
          <w:rFonts w:hint="eastAsia" w:eastAsia="方正仿宋_GBK"/>
          <w:color w:val="000000"/>
          <w:spacing w:val="-2"/>
          <w:kern w:val="0"/>
          <w:sz w:val="24"/>
        </w:rPr>
        <w:t>办法。</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第四条</w:t>
      </w:r>
      <w:r>
        <w:rPr>
          <w:rFonts w:eastAsia="方正仿宋_GBK"/>
          <w:b/>
          <w:bCs/>
          <w:color w:val="000000"/>
          <w:spacing w:val="-2"/>
          <w:kern w:val="0"/>
          <w:sz w:val="24"/>
        </w:rPr>
        <w:t xml:space="preserve">  </w:t>
      </w:r>
      <w:r>
        <w:rPr>
          <w:rStyle w:val="15"/>
          <w:rFonts w:hint="eastAsia" w:eastAsia="方正仿宋_GBK"/>
          <w:spacing w:val="-2"/>
          <w:sz w:val="24"/>
        </w:rPr>
        <w:t>建筑业企业信用综合评价</w:t>
      </w:r>
      <w:r>
        <w:rPr>
          <w:rFonts w:hint="eastAsia" w:eastAsia="方正仿宋_GBK"/>
          <w:color w:val="000000"/>
          <w:spacing w:val="-2"/>
          <w:kern w:val="0"/>
          <w:sz w:val="24"/>
        </w:rPr>
        <w:t>遵循依法、公开、公平、公正、诚实守信的原则，以市场信用建设为主导，以政府监督管理为主要手段，以工程项目为载体，实行</w:t>
      </w:r>
      <w:r>
        <w:rPr>
          <w:rFonts w:eastAsia="方正仿宋_GBK"/>
          <w:color w:val="000000"/>
          <w:spacing w:val="-2"/>
          <w:kern w:val="0"/>
          <w:sz w:val="24"/>
        </w:rPr>
        <w:t>“</w:t>
      </w:r>
      <w:r>
        <w:rPr>
          <w:rFonts w:hint="eastAsia" w:eastAsia="方正仿宋_GBK"/>
          <w:color w:val="000000"/>
          <w:spacing w:val="-2"/>
          <w:kern w:val="0"/>
          <w:sz w:val="24"/>
        </w:rPr>
        <w:t>政府推动、权威发布、信息共享、统一标准、合理奖惩、社会监督</w:t>
      </w:r>
      <w:r>
        <w:rPr>
          <w:rFonts w:eastAsia="方正仿宋_GBK"/>
          <w:color w:val="000000"/>
          <w:spacing w:val="-2"/>
          <w:kern w:val="0"/>
          <w:sz w:val="24"/>
        </w:rPr>
        <w:t>”</w:t>
      </w:r>
      <w:r>
        <w:rPr>
          <w:rFonts w:hint="eastAsia" w:eastAsia="方正仿宋_GBK"/>
          <w:color w:val="000000"/>
          <w:spacing w:val="-2"/>
          <w:kern w:val="0"/>
          <w:sz w:val="24"/>
        </w:rPr>
        <w:t>的运作方式。</w:t>
      </w:r>
    </w:p>
    <w:p>
      <w:pPr>
        <w:snapToGrid w:val="0"/>
        <w:spacing w:line="460" w:lineRule="exact"/>
        <w:ind w:firstLine="472" w:firstLineChars="200"/>
        <w:rPr>
          <w:rFonts w:eastAsia="方正仿宋_GBK"/>
          <w:color w:val="000000"/>
          <w:spacing w:val="-2"/>
          <w:sz w:val="24"/>
        </w:rPr>
      </w:pPr>
      <w:r>
        <w:rPr>
          <w:rFonts w:hint="eastAsia" w:ascii="Times New Roman" w:eastAsia="方正黑体_GBK"/>
          <w:bCs/>
          <w:color w:val="000000"/>
          <w:spacing w:val="-2"/>
          <w:kern w:val="0"/>
          <w:sz w:val="24"/>
        </w:rPr>
        <w:t>第五条</w:t>
      </w:r>
      <w:r>
        <w:rPr>
          <w:rFonts w:eastAsia="方正仿宋_GBK"/>
          <w:b/>
          <w:bCs/>
          <w:color w:val="000000"/>
          <w:spacing w:val="-2"/>
          <w:sz w:val="24"/>
        </w:rPr>
        <w:t xml:space="preserve">  </w:t>
      </w:r>
      <w:r>
        <w:rPr>
          <w:rFonts w:hint="eastAsia" w:eastAsia="方正仿宋_GBK"/>
          <w:color w:val="000000"/>
          <w:spacing w:val="-2"/>
          <w:sz w:val="24"/>
        </w:rPr>
        <w:t>省住房和城乡建设厅负责全省建筑业企业信用管理指导工作。</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sz w:val="24"/>
        </w:rPr>
        <w:t>省辖市建设主管部门负责本行政区域内建筑业企业信用评价日常工作。内部各相关业务部门为</w:t>
      </w:r>
      <w:r>
        <w:rPr>
          <w:rFonts w:hint="eastAsia" w:eastAsia="方正仿宋_GBK"/>
          <w:color w:val="000000"/>
          <w:spacing w:val="-2"/>
          <w:kern w:val="0"/>
          <w:sz w:val="24"/>
        </w:rPr>
        <w:t>信用信息采集单位。</w:t>
      </w:r>
    </w:p>
    <w:p>
      <w:pPr>
        <w:spacing w:line="460" w:lineRule="exact"/>
        <w:ind w:firstLine="472" w:firstLineChars="200"/>
        <w:rPr>
          <w:rFonts w:eastAsia="方正仿宋_GBK"/>
          <w:color w:val="000000"/>
          <w:spacing w:val="-2"/>
          <w:sz w:val="24"/>
        </w:rPr>
      </w:pPr>
    </w:p>
    <w:p>
      <w:pPr>
        <w:snapToGrid w:val="0"/>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第二章</w:t>
      </w:r>
      <w:r>
        <w:rPr>
          <w:rFonts w:ascii="Times New Roman" w:eastAsia="方正黑体_GBK"/>
          <w:color w:val="000000"/>
          <w:spacing w:val="-2"/>
          <w:kern w:val="0"/>
          <w:sz w:val="24"/>
        </w:rPr>
        <w:t> </w:t>
      </w:r>
      <w:r>
        <w:rPr>
          <w:rFonts w:hint="eastAsia" w:ascii="Times New Roman" w:eastAsia="方正黑体_GBK"/>
          <w:color w:val="000000"/>
          <w:spacing w:val="-2"/>
          <w:kern w:val="0"/>
          <w:sz w:val="24"/>
        </w:rPr>
        <w:t xml:space="preserve"> 评价内容和计分方法</w:t>
      </w:r>
    </w:p>
    <w:p>
      <w:pPr>
        <w:snapToGrid w:val="0"/>
        <w:spacing w:line="460" w:lineRule="exact"/>
        <w:jc w:val="center"/>
        <w:rPr>
          <w:rFonts w:hint="eastAsia" w:eastAsia="方正仿宋_GBK"/>
          <w:bCs/>
          <w:color w:val="000000"/>
          <w:spacing w:val="-2"/>
          <w:kern w:val="0"/>
          <w:sz w:val="24"/>
        </w:rPr>
      </w:pP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第六条</w:t>
      </w:r>
      <w:r>
        <w:rPr>
          <w:rFonts w:eastAsia="方正仿宋_GBK"/>
          <w:color w:val="000000"/>
          <w:spacing w:val="-2"/>
          <w:kern w:val="0"/>
          <w:sz w:val="24"/>
        </w:rPr>
        <w:t xml:space="preserve">  </w:t>
      </w:r>
      <w:r>
        <w:rPr>
          <w:rFonts w:hint="eastAsia" w:eastAsia="方正仿宋_GBK"/>
          <w:color w:val="000000"/>
          <w:spacing w:val="-2"/>
          <w:kern w:val="0"/>
          <w:sz w:val="24"/>
        </w:rPr>
        <w:t>建筑业企业信用评价采用百分制，综合评价分由基本信用、日常考核、综合考核三部分组成。</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第七条</w:t>
      </w:r>
      <w:r>
        <w:rPr>
          <w:rFonts w:eastAsia="方正仿宋_GBK"/>
          <w:color w:val="000000"/>
          <w:spacing w:val="-2"/>
          <w:kern w:val="0"/>
          <w:sz w:val="24"/>
        </w:rPr>
        <w:t xml:space="preserve">  </w:t>
      </w:r>
      <w:r>
        <w:rPr>
          <w:rFonts w:hint="eastAsia" w:eastAsia="方正仿宋_GBK"/>
          <w:color w:val="000000"/>
          <w:spacing w:val="-2"/>
          <w:kern w:val="0"/>
          <w:sz w:val="24"/>
        </w:rPr>
        <w:t>基本信用分是指在考核时段内，根据企业在建设活动中的基本信息、奖励情况进行的量化考核得分，满分为</w:t>
      </w:r>
      <w:r>
        <w:rPr>
          <w:rFonts w:eastAsia="方正仿宋_GBK"/>
          <w:color w:val="000000"/>
          <w:spacing w:val="-2"/>
          <w:kern w:val="0"/>
          <w:sz w:val="24"/>
        </w:rPr>
        <w:t>50</w:t>
      </w:r>
      <w:r>
        <w:rPr>
          <w:rFonts w:hint="eastAsia" w:eastAsia="方正仿宋_GBK"/>
          <w:color w:val="000000"/>
          <w:spacing w:val="-2"/>
          <w:kern w:val="0"/>
          <w:sz w:val="24"/>
        </w:rPr>
        <w:t>分。</w:t>
      </w:r>
    </w:p>
    <w:p>
      <w:pPr>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建筑业企业基本信用考核内容和计分办法全省统一，具体见附件一。</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第八条</w:t>
      </w:r>
      <w:r>
        <w:rPr>
          <w:rFonts w:eastAsia="方正仿宋_GBK"/>
          <w:b/>
          <w:bCs/>
          <w:color w:val="000000"/>
          <w:spacing w:val="-2"/>
          <w:kern w:val="0"/>
          <w:sz w:val="24"/>
        </w:rPr>
        <w:t xml:space="preserve">  </w:t>
      </w:r>
      <w:r>
        <w:rPr>
          <w:rFonts w:hint="eastAsia" w:eastAsia="方正仿宋_GBK"/>
          <w:color w:val="000000"/>
          <w:spacing w:val="-2"/>
          <w:kern w:val="0"/>
          <w:sz w:val="24"/>
        </w:rPr>
        <w:t>日常考核分是指对建筑业企业在建设活动中的不良行为进行的量化扣分，日常考核扣分不封底。</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kern w:val="0"/>
          <w:sz w:val="24"/>
        </w:rPr>
        <w:t>建筑业企业日常考核内容和计分方法见附件二，共八大类内容，其中第一大类</w:t>
      </w:r>
      <w:r>
        <w:rPr>
          <w:rFonts w:hint="eastAsia" w:eastAsia="方正仿宋_GBK"/>
          <w:color w:val="000000"/>
          <w:spacing w:val="-2"/>
          <w:sz w:val="24"/>
        </w:rPr>
        <w:t>通报批评及行政处罚扣分、发生质量安全事故扣分、被监察和司法部门认定不良行为扣分全省统一，其他不良行为扣分参照附件内容执行，各市可根据实际情况作适当调整</w:t>
      </w:r>
      <w:r>
        <w:rPr>
          <w:rFonts w:hint="eastAsia" w:eastAsia="方正仿宋_GBK"/>
          <w:color w:val="000000"/>
          <w:spacing w:val="-2"/>
          <w:kern w:val="0"/>
          <w:sz w:val="24"/>
        </w:rPr>
        <w:t>。</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第九条</w:t>
      </w:r>
      <w:r>
        <w:rPr>
          <w:rFonts w:eastAsia="方正仿宋_GBK"/>
          <w:b/>
          <w:bCs/>
          <w:color w:val="000000"/>
          <w:spacing w:val="-2"/>
          <w:kern w:val="0"/>
          <w:sz w:val="24"/>
        </w:rPr>
        <w:t xml:space="preserve">  </w:t>
      </w:r>
      <w:r>
        <w:rPr>
          <w:rFonts w:hint="eastAsia" w:eastAsia="方正仿宋_GBK"/>
          <w:color w:val="000000"/>
          <w:spacing w:val="-2"/>
          <w:kern w:val="0"/>
          <w:sz w:val="24"/>
        </w:rPr>
        <w:t>综合考核是指在建筑市场综合检查中，对建筑业企业市场行为和现场行为及工程项目实体质量、安全生产、文明施工状况等综合考核得分，满分为</w:t>
      </w:r>
      <w:r>
        <w:rPr>
          <w:rFonts w:eastAsia="方正仿宋_GBK"/>
          <w:color w:val="000000"/>
          <w:spacing w:val="-2"/>
          <w:kern w:val="0"/>
          <w:sz w:val="24"/>
        </w:rPr>
        <w:t>50</w:t>
      </w:r>
      <w:r>
        <w:rPr>
          <w:rFonts w:hint="eastAsia" w:eastAsia="方正仿宋_GBK"/>
          <w:color w:val="000000"/>
          <w:spacing w:val="-2"/>
          <w:kern w:val="0"/>
          <w:sz w:val="24"/>
        </w:rPr>
        <w:t>分。</w:t>
      </w:r>
    </w:p>
    <w:p>
      <w:pPr>
        <w:snapToGrid w:val="0"/>
        <w:spacing w:line="460" w:lineRule="exact"/>
        <w:ind w:firstLine="472" w:firstLineChars="200"/>
        <w:rPr>
          <w:rFonts w:eastAsia="方正仿宋_GBK"/>
          <w:color w:val="000000"/>
          <w:spacing w:val="-2"/>
          <w:sz w:val="24"/>
        </w:rPr>
      </w:pPr>
      <w:r>
        <w:rPr>
          <w:rFonts w:hint="eastAsia" w:eastAsia="方正仿宋_GBK"/>
          <w:color w:val="000000"/>
          <w:spacing w:val="-2"/>
          <w:kern w:val="0"/>
          <w:sz w:val="24"/>
        </w:rPr>
        <w:t>建筑业企业建筑市场综合考核内容和计分方法参见附件三，</w:t>
      </w:r>
      <w:r>
        <w:rPr>
          <w:rFonts w:hint="eastAsia" w:eastAsia="方正仿宋_GBK"/>
          <w:color w:val="000000"/>
          <w:spacing w:val="-2"/>
          <w:sz w:val="24"/>
        </w:rPr>
        <w:t>各市可根据实际情况作适当调整</w:t>
      </w:r>
      <w:r>
        <w:rPr>
          <w:rFonts w:hint="eastAsia" w:eastAsia="方正仿宋_GBK"/>
          <w:color w:val="000000"/>
          <w:spacing w:val="-2"/>
          <w:kern w:val="0"/>
          <w:sz w:val="24"/>
        </w:rPr>
        <w:t>。</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第十条</w:t>
      </w:r>
      <w:r>
        <w:rPr>
          <w:rFonts w:eastAsia="方正仿宋_GBK"/>
          <w:b/>
          <w:bCs/>
          <w:color w:val="000000"/>
          <w:spacing w:val="-2"/>
          <w:kern w:val="0"/>
          <w:sz w:val="24"/>
        </w:rPr>
        <w:t xml:space="preserve">  </w:t>
      </w:r>
      <w:r>
        <w:rPr>
          <w:rFonts w:hint="eastAsia" w:eastAsia="方正仿宋_GBK"/>
          <w:color w:val="000000"/>
          <w:spacing w:val="-2"/>
          <w:kern w:val="0"/>
          <w:sz w:val="24"/>
        </w:rPr>
        <w:t>以总承包资质为主项的建筑业企业，其增项的专业承包资质信用考核得分为本企业信用考核分乘</w:t>
      </w:r>
      <w:r>
        <w:rPr>
          <w:rFonts w:eastAsia="方正仿宋_GBK"/>
          <w:color w:val="000000"/>
          <w:spacing w:val="-2"/>
          <w:kern w:val="0"/>
          <w:sz w:val="24"/>
        </w:rPr>
        <w:t>0.90</w:t>
      </w:r>
      <w:r>
        <w:rPr>
          <w:rFonts w:hint="eastAsia" w:eastAsia="方正仿宋_GBK"/>
          <w:color w:val="000000"/>
          <w:spacing w:val="-2"/>
          <w:kern w:val="0"/>
          <w:sz w:val="24"/>
        </w:rPr>
        <w:t>计分，建筑业企业总承包资质主项与增项专业承包资质为同类别的除外。</w:t>
      </w:r>
    </w:p>
    <w:p>
      <w:pPr>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专业承包资质为主项的建筑业企业，其增项专业承包资质信用考核得分为本企业信用考核分乘</w:t>
      </w:r>
      <w:r>
        <w:rPr>
          <w:rFonts w:eastAsia="方正仿宋_GBK"/>
          <w:color w:val="000000"/>
          <w:spacing w:val="-2"/>
          <w:kern w:val="0"/>
          <w:sz w:val="24"/>
        </w:rPr>
        <w:t>0.95</w:t>
      </w:r>
      <w:r>
        <w:rPr>
          <w:rFonts w:hint="eastAsia" w:eastAsia="方正仿宋_GBK"/>
          <w:color w:val="000000"/>
          <w:spacing w:val="-2"/>
          <w:kern w:val="0"/>
          <w:sz w:val="24"/>
        </w:rPr>
        <w:t>计分。</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第十一条</w:t>
      </w:r>
      <w:r>
        <w:rPr>
          <w:rFonts w:eastAsia="方正仿宋_GBK"/>
          <w:b/>
          <w:bCs/>
          <w:color w:val="000000"/>
          <w:spacing w:val="-2"/>
          <w:kern w:val="0"/>
          <w:sz w:val="24"/>
        </w:rPr>
        <w:t xml:space="preserve">  </w:t>
      </w:r>
      <w:r>
        <w:rPr>
          <w:rFonts w:hint="eastAsia" w:eastAsia="方正仿宋_GBK"/>
          <w:bCs/>
          <w:color w:val="000000"/>
          <w:spacing w:val="-2"/>
          <w:kern w:val="0"/>
          <w:sz w:val="24"/>
        </w:rPr>
        <w:t>首次</w:t>
      </w:r>
      <w:r>
        <w:rPr>
          <w:rStyle w:val="15"/>
          <w:rFonts w:hint="eastAsia" w:eastAsia="方正仿宋_GBK"/>
          <w:spacing w:val="-2"/>
          <w:sz w:val="24"/>
        </w:rPr>
        <w:t>进入</w:t>
      </w:r>
      <w:r>
        <w:rPr>
          <w:rFonts w:hint="eastAsia" w:eastAsia="方正仿宋_GBK"/>
          <w:color w:val="000000"/>
          <w:spacing w:val="-2"/>
          <w:kern w:val="0"/>
          <w:sz w:val="24"/>
        </w:rPr>
        <w:t>省辖市行政区域的外地企业初始信用考核得分：有省级平均信用分的，以省级平均信用分作为初始信用考核得分；无省级平均信用分的，</w:t>
      </w:r>
      <w:r>
        <w:rPr>
          <w:rStyle w:val="15"/>
          <w:rFonts w:hint="eastAsia" w:eastAsia="方正仿宋_GBK"/>
          <w:spacing w:val="-2"/>
          <w:sz w:val="24"/>
        </w:rPr>
        <w:t>以</w:t>
      </w:r>
      <w:r>
        <w:rPr>
          <w:rFonts w:hint="eastAsia" w:eastAsia="方正仿宋_GBK"/>
          <w:color w:val="000000"/>
          <w:spacing w:val="-2"/>
          <w:kern w:val="0"/>
          <w:sz w:val="24"/>
        </w:rPr>
        <w:t>省辖市行政区域内同序列、同类别、同等级外地建筑业企业上一考核时段公布的信用考核得分的平均分作为初始信用考核得分。</w:t>
      </w:r>
    </w:p>
    <w:p>
      <w:pPr>
        <w:snapToGrid w:val="0"/>
        <w:spacing w:line="460" w:lineRule="exact"/>
        <w:ind w:firstLine="472" w:firstLineChars="200"/>
        <w:rPr>
          <w:rFonts w:eastAsia="方正仿宋_GBK"/>
          <w:b/>
          <w:color w:val="000000"/>
          <w:spacing w:val="-2"/>
          <w:kern w:val="0"/>
          <w:sz w:val="24"/>
        </w:rPr>
      </w:pPr>
      <w:r>
        <w:rPr>
          <w:rFonts w:hint="eastAsia" w:eastAsia="方正仿宋_GBK"/>
          <w:color w:val="000000"/>
          <w:spacing w:val="-2"/>
          <w:kern w:val="0"/>
          <w:sz w:val="24"/>
        </w:rPr>
        <w:t>上述建筑业企业若有多项资质，以初始进入该区域承接工程的资质给予信用初始得分。</w:t>
      </w:r>
    </w:p>
    <w:p>
      <w:pPr>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该区域新办企业初始信用考核得分为本地同序列、同类别、同等级建筑业企业上一考核时段公布信用考核得分的平均分。</w:t>
      </w:r>
    </w:p>
    <w:p>
      <w:pPr>
        <w:snapToGrid w:val="0"/>
        <w:spacing w:line="460" w:lineRule="exact"/>
        <w:ind w:firstLine="472" w:firstLineChars="200"/>
        <w:rPr>
          <w:rFonts w:eastAsia="方正仿宋_GBK"/>
          <w:color w:val="000000"/>
          <w:spacing w:val="-2"/>
          <w:kern w:val="0"/>
          <w:sz w:val="24"/>
        </w:rPr>
      </w:pPr>
    </w:p>
    <w:p>
      <w:pPr>
        <w:snapToGrid w:val="0"/>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第三章　考核信息录入和结果公布</w:t>
      </w:r>
    </w:p>
    <w:p>
      <w:pPr>
        <w:snapToGrid w:val="0"/>
        <w:spacing w:line="460" w:lineRule="exact"/>
        <w:ind w:firstLine="472" w:firstLineChars="200"/>
        <w:rPr>
          <w:rFonts w:hint="eastAsia" w:eastAsia="方正仿宋_GBK"/>
          <w:bCs/>
          <w:color w:val="000000"/>
          <w:spacing w:val="-2"/>
          <w:kern w:val="0"/>
          <w:sz w:val="24"/>
        </w:rPr>
      </w:pP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第十二条</w:t>
      </w:r>
      <w:r>
        <w:rPr>
          <w:rFonts w:eastAsia="方正仿宋_GBK"/>
          <w:color w:val="000000"/>
          <w:spacing w:val="-2"/>
          <w:kern w:val="0"/>
          <w:sz w:val="24"/>
        </w:rPr>
        <w:t xml:space="preserve">  </w:t>
      </w:r>
      <w:r>
        <w:rPr>
          <w:rFonts w:hint="eastAsia" w:eastAsia="方正仿宋_GBK"/>
          <w:color w:val="000000"/>
          <w:spacing w:val="-2"/>
          <w:kern w:val="0"/>
          <w:sz w:val="24"/>
        </w:rPr>
        <w:t>建筑业企业基本信用考核涉及的基本信息、奖励情况由企业负责自行录入，并及时更新，同时向建设主管部门提供有关证明材料进行复核。</w:t>
      </w:r>
    </w:p>
    <w:p>
      <w:pPr>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建筑业企业的各类受惩信息，由工程所在地建设主管部门负责录入。</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第十三条</w:t>
      </w:r>
      <w:r>
        <w:rPr>
          <w:rFonts w:eastAsia="方正仿宋_GBK"/>
          <w:color w:val="000000"/>
          <w:spacing w:val="-2"/>
          <w:kern w:val="0"/>
          <w:sz w:val="24"/>
        </w:rPr>
        <w:t xml:space="preserve">  </w:t>
      </w:r>
      <w:r>
        <w:rPr>
          <w:rFonts w:hint="eastAsia" w:eastAsia="方正仿宋_GBK"/>
          <w:color w:val="000000"/>
          <w:spacing w:val="-2"/>
          <w:kern w:val="0"/>
          <w:sz w:val="24"/>
        </w:rPr>
        <w:t>各市负责信用信息采集的单位应根据各自的管理职责，建立健全日常监督管理和各项检查、巡查制度，完善信用考核内容和计分方法，及时准确地采集记录各项日常考核信息。</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第十四条</w:t>
      </w:r>
      <w:r>
        <w:rPr>
          <w:rFonts w:eastAsia="方正仿宋_GBK"/>
          <w:color w:val="000000"/>
          <w:spacing w:val="-2"/>
          <w:kern w:val="0"/>
          <w:sz w:val="24"/>
        </w:rPr>
        <w:t xml:space="preserve">  </w:t>
      </w:r>
      <w:r>
        <w:rPr>
          <w:rFonts w:hint="eastAsia" w:eastAsia="方正仿宋_GBK"/>
          <w:color w:val="000000"/>
          <w:spacing w:val="-2"/>
          <w:kern w:val="0"/>
          <w:sz w:val="24"/>
        </w:rPr>
        <w:t>建筑业企业信用考核结果在综合考核结束后公布，每年公布不少于</w:t>
      </w:r>
      <w:r>
        <w:rPr>
          <w:rFonts w:eastAsia="方正仿宋_GBK"/>
          <w:color w:val="000000"/>
          <w:spacing w:val="-2"/>
          <w:kern w:val="0"/>
          <w:sz w:val="24"/>
        </w:rPr>
        <w:t>2</w:t>
      </w:r>
      <w:r>
        <w:rPr>
          <w:rFonts w:hint="eastAsia" w:eastAsia="方正仿宋_GBK"/>
          <w:color w:val="000000"/>
          <w:spacing w:val="-2"/>
          <w:kern w:val="0"/>
          <w:sz w:val="24"/>
        </w:rPr>
        <w:t>次。</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第十五条</w:t>
      </w:r>
      <w:r>
        <w:rPr>
          <w:rFonts w:eastAsia="方正仿宋_GBK"/>
          <w:color w:val="000000"/>
          <w:spacing w:val="-2"/>
          <w:kern w:val="0"/>
          <w:sz w:val="24"/>
        </w:rPr>
        <w:t xml:space="preserve">  </w:t>
      </w:r>
      <w:r>
        <w:rPr>
          <w:rFonts w:hint="eastAsia" w:eastAsia="方正仿宋_GBK"/>
          <w:color w:val="000000"/>
          <w:spacing w:val="-2"/>
          <w:kern w:val="0"/>
          <w:sz w:val="24"/>
        </w:rPr>
        <w:t>各市建设主管部门依据企业基本信用信息、</w:t>
      </w:r>
      <w:r>
        <w:rPr>
          <w:rStyle w:val="15"/>
          <w:rFonts w:hint="eastAsia" w:eastAsia="方正仿宋_GBK"/>
          <w:spacing w:val="-2"/>
          <w:sz w:val="24"/>
        </w:rPr>
        <w:t>日常信用信息和</w:t>
      </w:r>
      <w:r>
        <w:rPr>
          <w:rFonts w:hint="eastAsia" w:eastAsia="方正仿宋_GBK"/>
          <w:color w:val="000000"/>
          <w:spacing w:val="-2"/>
          <w:kern w:val="0"/>
          <w:sz w:val="24"/>
        </w:rPr>
        <w:t>综合考</w:t>
      </w:r>
      <w:r>
        <w:rPr>
          <w:rStyle w:val="15"/>
          <w:rFonts w:hint="eastAsia" w:eastAsia="方正仿宋_GBK"/>
          <w:spacing w:val="-2"/>
          <w:sz w:val="24"/>
        </w:rPr>
        <w:t>核信息计算出</w:t>
      </w:r>
      <w:r>
        <w:rPr>
          <w:rFonts w:hint="eastAsia" w:eastAsia="方正仿宋_GBK"/>
          <w:color w:val="000000"/>
          <w:spacing w:val="-2"/>
          <w:kern w:val="0"/>
          <w:sz w:val="24"/>
        </w:rPr>
        <w:t>本考核时段的建筑业企业信用综合评价分，并在各市建设主管部门网站及政府信用网站向社会公布。</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第十六条</w:t>
      </w:r>
      <w:r>
        <w:rPr>
          <w:rFonts w:eastAsia="方正仿宋_GBK"/>
          <w:b/>
          <w:bCs/>
          <w:color w:val="000000"/>
          <w:spacing w:val="-2"/>
          <w:kern w:val="0"/>
          <w:sz w:val="24"/>
        </w:rPr>
        <w:t xml:space="preserve">  </w:t>
      </w:r>
      <w:r>
        <w:rPr>
          <w:rFonts w:hint="eastAsia" w:eastAsia="方正仿宋_GBK"/>
          <w:color w:val="000000"/>
          <w:spacing w:val="-2"/>
          <w:kern w:val="0"/>
          <w:sz w:val="24"/>
        </w:rPr>
        <w:t>建筑业企业信用综合评价分自公布之日起至下次公布之日前有效，并记入建筑业企业信用档案。</w:t>
      </w:r>
    </w:p>
    <w:p>
      <w:pPr>
        <w:snapToGrid w:val="0"/>
        <w:spacing w:line="460" w:lineRule="exact"/>
        <w:ind w:firstLine="472" w:firstLineChars="200"/>
        <w:rPr>
          <w:rFonts w:eastAsia="方正仿宋_GBK"/>
          <w:color w:val="000000"/>
          <w:spacing w:val="-2"/>
          <w:kern w:val="0"/>
          <w:sz w:val="24"/>
        </w:rPr>
      </w:pPr>
    </w:p>
    <w:p>
      <w:pPr>
        <w:snapToGrid w:val="0"/>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第四章　信用成果运用</w:t>
      </w:r>
    </w:p>
    <w:p>
      <w:pPr>
        <w:snapToGrid w:val="0"/>
        <w:spacing w:line="460" w:lineRule="exact"/>
        <w:jc w:val="center"/>
        <w:rPr>
          <w:rFonts w:hint="eastAsia" w:eastAsia="方正仿宋_GBK"/>
          <w:b/>
          <w:color w:val="000000"/>
          <w:spacing w:val="-2"/>
          <w:kern w:val="0"/>
          <w:sz w:val="24"/>
        </w:rPr>
      </w:pPr>
    </w:p>
    <w:p>
      <w:pPr>
        <w:spacing w:line="460" w:lineRule="exact"/>
        <w:ind w:firstLine="472" w:firstLineChars="200"/>
        <w:rPr>
          <w:rFonts w:eastAsia="方正仿宋_GBK"/>
          <w:color w:val="000000"/>
          <w:spacing w:val="-2"/>
          <w:sz w:val="24"/>
        </w:rPr>
      </w:pPr>
      <w:r>
        <w:rPr>
          <w:rFonts w:hint="eastAsia" w:ascii="Times New Roman" w:eastAsia="方正黑体_GBK"/>
          <w:bCs/>
          <w:color w:val="000000"/>
          <w:spacing w:val="-2"/>
          <w:kern w:val="0"/>
          <w:sz w:val="24"/>
        </w:rPr>
        <w:t>第十七条</w:t>
      </w:r>
      <w:r>
        <w:rPr>
          <w:rFonts w:eastAsia="方正仿宋_GBK"/>
          <w:b/>
          <w:color w:val="000000"/>
          <w:spacing w:val="-2"/>
          <w:sz w:val="24"/>
        </w:rPr>
        <w:t xml:space="preserve">  </w:t>
      </w:r>
      <w:r>
        <w:rPr>
          <w:rFonts w:hint="eastAsia" w:eastAsia="方正仿宋_GBK"/>
          <w:color w:val="000000"/>
          <w:spacing w:val="-2"/>
          <w:sz w:val="24"/>
        </w:rPr>
        <w:t>使用国有资金投资、国</w:t>
      </w:r>
      <w:r>
        <w:rPr>
          <w:rStyle w:val="15"/>
          <w:rFonts w:hint="eastAsia" w:eastAsia="方正仿宋_GBK"/>
          <w:spacing w:val="-2"/>
          <w:sz w:val="24"/>
        </w:rPr>
        <w:t>有资金投资占控股或主导地位的建设工程项目实行招标发包的，</w:t>
      </w:r>
      <w:r>
        <w:rPr>
          <w:rFonts w:hint="eastAsia" w:eastAsia="方正仿宋_GBK"/>
          <w:color w:val="000000"/>
          <w:spacing w:val="-2"/>
          <w:sz w:val="24"/>
        </w:rPr>
        <w:t>应当将建筑业企业信用评价结果纳入招投标环节；其他类型建设工程项目招标可以参照执行。</w:t>
      </w:r>
    </w:p>
    <w:p>
      <w:pPr>
        <w:spacing w:line="460" w:lineRule="exact"/>
        <w:ind w:firstLine="472" w:firstLineChars="200"/>
        <w:rPr>
          <w:rFonts w:eastAsia="方正仿宋_GBK"/>
          <w:color w:val="000000"/>
          <w:spacing w:val="-2"/>
          <w:sz w:val="24"/>
        </w:rPr>
      </w:pPr>
      <w:r>
        <w:rPr>
          <w:rFonts w:hint="eastAsia" w:ascii="Times New Roman" w:eastAsia="方正黑体_GBK"/>
          <w:bCs/>
          <w:color w:val="000000"/>
          <w:spacing w:val="-2"/>
          <w:kern w:val="0"/>
          <w:sz w:val="24"/>
        </w:rPr>
        <w:t>第十八条</w:t>
      </w:r>
      <w:r>
        <w:rPr>
          <w:rFonts w:eastAsia="方正仿宋_GBK"/>
          <w:b/>
          <w:color w:val="000000"/>
          <w:spacing w:val="-2"/>
          <w:sz w:val="24"/>
        </w:rPr>
        <w:t xml:space="preserve">  </w:t>
      </w:r>
      <w:r>
        <w:rPr>
          <w:rFonts w:hint="eastAsia" w:eastAsia="方正仿宋_GBK"/>
          <w:color w:val="000000"/>
          <w:spacing w:val="-2"/>
          <w:sz w:val="24"/>
        </w:rPr>
        <w:t>采用商务标、技术标、信用标综合评标法的，信用分按照建筑业企业信用综合得分不低于</w:t>
      </w:r>
      <w:r>
        <w:rPr>
          <w:rFonts w:eastAsia="方正仿宋_GBK"/>
          <w:color w:val="000000"/>
          <w:spacing w:val="-2"/>
          <w:sz w:val="24"/>
        </w:rPr>
        <w:t>5%</w:t>
      </w:r>
      <w:r>
        <w:rPr>
          <w:rFonts w:hint="eastAsia" w:eastAsia="方正仿宋_GBK"/>
          <w:color w:val="000000"/>
          <w:spacing w:val="-2"/>
          <w:sz w:val="24"/>
        </w:rPr>
        <w:t>记入，其中省级平均信用分的权重占</w:t>
      </w:r>
      <w:r>
        <w:rPr>
          <w:rFonts w:eastAsia="方正仿宋_GBK"/>
          <w:color w:val="000000"/>
          <w:spacing w:val="-2"/>
          <w:sz w:val="24"/>
        </w:rPr>
        <w:t xml:space="preserve">40% </w:t>
      </w:r>
      <w:r>
        <w:rPr>
          <w:rFonts w:hint="eastAsia" w:eastAsia="方正仿宋_GBK"/>
          <w:color w:val="000000"/>
          <w:spacing w:val="-2"/>
          <w:sz w:val="24"/>
        </w:rPr>
        <w:t>，市级信用分的权重占</w:t>
      </w:r>
      <w:r>
        <w:rPr>
          <w:rFonts w:eastAsia="方正仿宋_GBK"/>
          <w:color w:val="000000"/>
          <w:spacing w:val="-2"/>
          <w:sz w:val="24"/>
        </w:rPr>
        <w:t>60%</w:t>
      </w:r>
      <w:r>
        <w:rPr>
          <w:rFonts w:hint="eastAsia" w:eastAsia="方正仿宋_GBK"/>
          <w:color w:val="000000"/>
          <w:spacing w:val="-2"/>
          <w:sz w:val="24"/>
        </w:rPr>
        <w:t>；采用经评审的最低投标价法、合理低价法、合理价随机确定中标人法的，必须将建筑业企业信用综合得分作为资格审查的必要条件。</w:t>
      </w:r>
    </w:p>
    <w:p>
      <w:pPr>
        <w:snapToGrid w:val="0"/>
        <w:spacing w:line="460" w:lineRule="exact"/>
        <w:ind w:firstLine="472" w:firstLineChars="200"/>
        <w:rPr>
          <w:rFonts w:eastAsia="方正仿宋_GBK"/>
          <w:color w:val="000000"/>
          <w:spacing w:val="-2"/>
          <w:sz w:val="24"/>
        </w:rPr>
      </w:pPr>
      <w:r>
        <w:rPr>
          <w:rFonts w:hint="eastAsia" w:ascii="Times New Roman" w:eastAsia="方正黑体_GBK"/>
          <w:bCs/>
          <w:color w:val="000000"/>
          <w:spacing w:val="-2"/>
          <w:kern w:val="0"/>
          <w:sz w:val="24"/>
        </w:rPr>
        <w:t>第十九条</w:t>
      </w:r>
      <w:r>
        <w:rPr>
          <w:rFonts w:eastAsia="方正仿宋_GBK"/>
          <w:b/>
          <w:bCs/>
          <w:color w:val="000000"/>
          <w:spacing w:val="-2"/>
          <w:kern w:val="0"/>
          <w:sz w:val="24"/>
        </w:rPr>
        <w:t xml:space="preserve">  </w:t>
      </w:r>
      <w:r>
        <w:rPr>
          <w:rFonts w:hint="eastAsia" w:eastAsia="方正仿宋_GBK"/>
          <w:color w:val="000000"/>
          <w:spacing w:val="-2"/>
          <w:sz w:val="24"/>
        </w:rPr>
        <w:t>建筑业企业信用记录作为建设主管部门对其资质审批、动态核查的考核内容及差别化管理的依据；建筑市场信用数据库中的建设工程项目信息，作为建筑业企业资质申报、审批和动态核查时工程业绩依据。</w:t>
      </w:r>
    </w:p>
    <w:p>
      <w:pPr>
        <w:snapToGrid w:val="0"/>
        <w:spacing w:line="460" w:lineRule="exact"/>
        <w:ind w:firstLine="645"/>
        <w:rPr>
          <w:rFonts w:eastAsia="方正仿宋_GBK"/>
          <w:color w:val="000000"/>
          <w:spacing w:val="-2"/>
          <w:sz w:val="24"/>
        </w:rPr>
      </w:pPr>
    </w:p>
    <w:p>
      <w:pPr>
        <w:snapToGrid w:val="0"/>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第五章  监督管理</w:t>
      </w:r>
    </w:p>
    <w:p>
      <w:pPr>
        <w:snapToGrid w:val="0"/>
        <w:spacing w:line="460" w:lineRule="exact"/>
        <w:ind w:firstLine="472" w:firstLineChars="200"/>
        <w:rPr>
          <w:rFonts w:hint="eastAsia" w:eastAsia="方正仿宋_GBK"/>
          <w:bCs/>
          <w:color w:val="000000"/>
          <w:spacing w:val="-2"/>
          <w:kern w:val="0"/>
          <w:sz w:val="24"/>
        </w:rPr>
      </w:pP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第二十条</w:t>
      </w:r>
      <w:r>
        <w:rPr>
          <w:rFonts w:eastAsia="方正仿宋_GBK"/>
          <w:b/>
          <w:bCs/>
          <w:color w:val="000000"/>
          <w:spacing w:val="-2"/>
          <w:kern w:val="0"/>
          <w:sz w:val="24"/>
        </w:rPr>
        <w:t xml:space="preserve">  </w:t>
      </w:r>
      <w:r>
        <w:rPr>
          <w:rFonts w:hint="eastAsia" w:eastAsia="方正仿宋_GBK"/>
          <w:color w:val="000000"/>
          <w:spacing w:val="-2"/>
          <w:kern w:val="0"/>
          <w:sz w:val="24"/>
        </w:rPr>
        <w:t>建筑业企业信用信息的录入应保证信息的真实性、完整性。</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第二十一条</w:t>
      </w:r>
      <w:r>
        <w:rPr>
          <w:rFonts w:eastAsia="方正仿宋_GBK"/>
          <w:b/>
          <w:bCs/>
          <w:color w:val="000000"/>
          <w:spacing w:val="-2"/>
          <w:kern w:val="0"/>
          <w:sz w:val="24"/>
        </w:rPr>
        <w:t xml:space="preserve">  </w:t>
      </w:r>
      <w:r>
        <w:rPr>
          <w:rFonts w:hint="eastAsia" w:eastAsia="方正仿宋_GBK"/>
          <w:color w:val="000000"/>
          <w:spacing w:val="-2"/>
          <w:kern w:val="0"/>
          <w:sz w:val="24"/>
        </w:rPr>
        <w:t>各级建设主管部门应加强建筑业企业日常考核信息采集工作，信息采集全面、行为定性准确、及时监督检查，引导建筑业企业依法诚信经营。</w:t>
      </w: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第二十二条</w:t>
      </w:r>
      <w:r>
        <w:rPr>
          <w:rFonts w:eastAsia="方正仿宋_GBK"/>
          <w:b/>
          <w:bCs/>
          <w:color w:val="000000"/>
          <w:spacing w:val="-2"/>
          <w:kern w:val="0"/>
          <w:sz w:val="24"/>
        </w:rPr>
        <w:t xml:space="preserve">  </w:t>
      </w:r>
      <w:r>
        <w:rPr>
          <w:rFonts w:hint="eastAsia" w:eastAsia="方正仿宋_GBK"/>
          <w:color w:val="000000"/>
          <w:spacing w:val="-2"/>
          <w:kern w:val="0"/>
          <w:sz w:val="24"/>
        </w:rPr>
        <w:t>各市建设主管部门应建立对信用考核信息采集单位的考评制度，并将考评结果予以通报。</w:t>
      </w:r>
    </w:p>
    <w:p>
      <w:pPr>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对在信用信息采集、审核、上报、评价、公布等工作中，成绩突出的相关人员和单位，给予奖励。</w:t>
      </w:r>
    </w:p>
    <w:p>
      <w:pPr>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对玩忽职守、弄虚作假、隐瞒不报或徇私舞弊的责任单位和责任人，依法给予行政处分或追究相关责任。</w:t>
      </w:r>
    </w:p>
    <w:p>
      <w:pPr>
        <w:snapToGrid w:val="0"/>
        <w:spacing w:line="460" w:lineRule="exact"/>
        <w:ind w:firstLine="474" w:firstLineChars="200"/>
        <w:jc w:val="center"/>
        <w:rPr>
          <w:rFonts w:eastAsia="方正仿宋_GBK"/>
          <w:b/>
          <w:color w:val="000000"/>
          <w:spacing w:val="-2"/>
          <w:kern w:val="0"/>
          <w:sz w:val="24"/>
        </w:rPr>
      </w:pPr>
    </w:p>
    <w:p>
      <w:pPr>
        <w:snapToGrid w:val="0"/>
        <w:spacing w:line="46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第六章  附   则</w:t>
      </w:r>
    </w:p>
    <w:p>
      <w:pPr>
        <w:snapToGrid w:val="0"/>
        <w:spacing w:line="460" w:lineRule="exact"/>
        <w:ind w:firstLine="472" w:firstLineChars="200"/>
        <w:rPr>
          <w:rFonts w:hint="eastAsia" w:eastAsia="方正仿宋_GBK"/>
          <w:bCs/>
          <w:color w:val="000000"/>
          <w:spacing w:val="-2"/>
          <w:kern w:val="0"/>
          <w:sz w:val="24"/>
        </w:rPr>
      </w:pPr>
    </w:p>
    <w:p>
      <w:pPr>
        <w:snapToGrid w:val="0"/>
        <w:spacing w:line="460" w:lineRule="exact"/>
        <w:ind w:firstLine="472" w:firstLineChars="200"/>
        <w:rPr>
          <w:rFonts w:eastAsia="方正仿宋_GBK"/>
          <w:color w:val="000000"/>
          <w:spacing w:val="-2"/>
          <w:kern w:val="0"/>
          <w:sz w:val="24"/>
        </w:rPr>
      </w:pPr>
      <w:r>
        <w:rPr>
          <w:rFonts w:hint="eastAsia" w:ascii="Times New Roman" w:eastAsia="方正黑体_GBK"/>
          <w:bCs/>
          <w:color w:val="000000"/>
          <w:spacing w:val="-2"/>
          <w:kern w:val="0"/>
          <w:sz w:val="24"/>
        </w:rPr>
        <w:t>第二十三条</w:t>
      </w:r>
      <w:r>
        <w:rPr>
          <w:rFonts w:eastAsia="方正仿宋_GBK"/>
          <w:b/>
          <w:color w:val="000000"/>
          <w:spacing w:val="-2"/>
          <w:kern w:val="0"/>
          <w:sz w:val="24"/>
        </w:rPr>
        <w:t xml:space="preserve">  </w:t>
      </w:r>
      <w:r>
        <w:rPr>
          <w:rFonts w:hint="eastAsia" w:eastAsia="方正仿宋_GBK"/>
          <w:color w:val="000000"/>
          <w:spacing w:val="-2"/>
          <w:kern w:val="0"/>
          <w:sz w:val="24"/>
        </w:rPr>
        <w:t>本办法由省住房和城乡建设厅负责解释。</w:t>
      </w:r>
    </w:p>
    <w:p>
      <w:pPr>
        <w:spacing w:line="460" w:lineRule="exact"/>
        <w:rPr>
          <w:rFonts w:eastAsia="方正仿宋_GBK"/>
          <w:color w:val="000000"/>
          <w:spacing w:val="-2"/>
          <w:kern w:val="0"/>
          <w:sz w:val="24"/>
        </w:rPr>
      </w:pPr>
      <w:r>
        <w:rPr>
          <w:rFonts w:eastAsia="方正仿宋_GBK"/>
          <w:color w:val="000000"/>
          <w:spacing w:val="-2"/>
          <w:kern w:val="0"/>
          <w:sz w:val="24"/>
        </w:rPr>
        <w:t> </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附件：</w:t>
      </w:r>
      <w:r>
        <w:rPr>
          <w:rFonts w:eastAsia="方正仿宋_GBK"/>
          <w:color w:val="000000"/>
          <w:spacing w:val="-2"/>
          <w:kern w:val="0"/>
          <w:sz w:val="24"/>
        </w:rPr>
        <w:t>1. </w:t>
      </w:r>
      <w:r>
        <w:rPr>
          <w:rFonts w:hint="eastAsia" w:eastAsia="方正仿宋_GBK"/>
          <w:color w:val="000000"/>
          <w:spacing w:val="-2"/>
          <w:kern w:val="0"/>
          <w:sz w:val="24"/>
        </w:rPr>
        <w:t>江苏省建筑业企业基本信用考核内容和计分方法</w:t>
      </w:r>
    </w:p>
    <w:p>
      <w:pPr>
        <w:spacing w:line="460" w:lineRule="exact"/>
        <w:ind w:firstLine="1180" w:firstLineChars="500"/>
        <w:jc w:val="left"/>
        <w:rPr>
          <w:rFonts w:eastAsia="方正仿宋_GBK"/>
          <w:color w:val="000000"/>
          <w:spacing w:val="-2"/>
          <w:kern w:val="0"/>
          <w:sz w:val="24"/>
        </w:rPr>
      </w:pPr>
      <w:r>
        <w:rPr>
          <w:rFonts w:eastAsia="方正仿宋_GBK"/>
          <w:color w:val="000000"/>
          <w:spacing w:val="-2"/>
          <w:kern w:val="0"/>
          <w:sz w:val="24"/>
        </w:rPr>
        <w:t>2. </w:t>
      </w:r>
      <w:r>
        <w:rPr>
          <w:rFonts w:hint="eastAsia" w:eastAsia="方正仿宋_GBK"/>
          <w:color w:val="000000"/>
          <w:spacing w:val="-2"/>
          <w:kern w:val="0"/>
          <w:sz w:val="24"/>
        </w:rPr>
        <w:t>江苏省建筑业企业日常考核内容和计分方法</w:t>
      </w:r>
    </w:p>
    <w:p>
      <w:pPr>
        <w:spacing w:line="460" w:lineRule="exact"/>
        <w:ind w:firstLine="1180" w:firstLineChars="500"/>
        <w:jc w:val="left"/>
        <w:rPr>
          <w:rFonts w:eastAsia="方正仿宋_GBK"/>
          <w:color w:val="000000"/>
          <w:spacing w:val="-2"/>
          <w:kern w:val="0"/>
          <w:sz w:val="24"/>
        </w:rPr>
      </w:pPr>
      <w:r>
        <w:rPr>
          <w:rFonts w:eastAsia="方正仿宋_GBK"/>
          <w:color w:val="000000"/>
          <w:spacing w:val="-2"/>
          <w:kern w:val="0"/>
          <w:sz w:val="24"/>
        </w:rPr>
        <w:t>3. </w:t>
      </w:r>
      <w:r>
        <w:rPr>
          <w:rFonts w:hint="eastAsia" w:eastAsia="方正仿宋_GBK"/>
          <w:color w:val="000000"/>
          <w:spacing w:val="-2"/>
          <w:kern w:val="0"/>
          <w:sz w:val="24"/>
        </w:rPr>
        <w:t>江苏省建筑业企业建筑市场综合考核内容和计分方法</w:t>
      </w:r>
    </w:p>
    <w:p>
      <w:pPr>
        <w:widowControl/>
        <w:spacing w:beforeAutospacing="1" w:afterAutospacing="1"/>
        <w:jc w:val="left"/>
        <w:rPr>
          <w:rFonts w:eastAsia="方正仿宋_GBK"/>
          <w:color w:val="000000"/>
          <w:spacing w:val="-2"/>
          <w:kern w:val="0"/>
          <w:sz w:val="24"/>
        </w:rPr>
        <w:sectPr>
          <w:pgSz w:w="11906" w:h="16838"/>
          <w:pgMar w:top="1701" w:right="1588" w:bottom="1701" w:left="1588" w:header="851" w:footer="1361" w:gutter="0"/>
          <w:cols w:space="720" w:num="1"/>
        </w:sectPr>
      </w:pPr>
    </w:p>
    <w:p>
      <w:pPr>
        <w:pStyle w:val="7"/>
        <w:adjustRightInd w:val="0"/>
        <w:snapToGrid w:val="0"/>
        <w:spacing w:after="0" w:line="460" w:lineRule="exact"/>
        <w:ind w:left="0" w:leftChars="0"/>
        <w:rPr>
          <w:rFonts w:ascii="Times New Roman" w:eastAsia="方正黑体_GBK"/>
          <w:color w:val="000000"/>
          <w:spacing w:val="-2"/>
          <w:sz w:val="28"/>
          <w:szCs w:val="28"/>
        </w:rPr>
      </w:pPr>
      <w:r>
        <w:rPr>
          <w:rFonts w:hint="eastAsia" w:ascii="Times New Roman" w:eastAsia="方正黑体_GBK"/>
          <w:color w:val="000000"/>
          <w:spacing w:val="-2"/>
          <w:sz w:val="28"/>
          <w:szCs w:val="28"/>
        </w:rPr>
        <w:t>附件1</w:t>
      </w:r>
    </w:p>
    <w:p>
      <w:pPr>
        <w:pStyle w:val="7"/>
        <w:adjustRightInd w:val="0"/>
        <w:snapToGrid w:val="0"/>
        <w:spacing w:after="0" w:line="460" w:lineRule="exact"/>
        <w:ind w:left="0" w:leftChars="0" w:firstLine="472" w:firstLineChars="200"/>
        <w:rPr>
          <w:rFonts w:hint="eastAsia" w:eastAsia="方正仿宋_GBK"/>
          <w:bCs/>
          <w:color w:val="000000"/>
          <w:spacing w:val="-2"/>
          <w:sz w:val="24"/>
        </w:rPr>
      </w:pPr>
    </w:p>
    <w:p>
      <w:pPr>
        <w:pStyle w:val="7"/>
        <w:adjustRightInd w:val="0"/>
        <w:snapToGrid w:val="0"/>
        <w:spacing w:after="0" w:line="460" w:lineRule="exact"/>
        <w:ind w:left="0" w:leftChars="0"/>
        <w:jc w:val="center"/>
        <w:rPr>
          <w:rFonts w:ascii="Times New Roman" w:eastAsia="方正黑体_GBK"/>
          <w:bCs/>
          <w:color w:val="000000"/>
          <w:spacing w:val="-2"/>
          <w:sz w:val="36"/>
          <w:szCs w:val="36"/>
        </w:rPr>
      </w:pPr>
      <w:r>
        <w:rPr>
          <w:rFonts w:hint="eastAsia" w:ascii="Times New Roman" w:eastAsia="方正黑体_GBK"/>
          <w:bCs/>
          <w:color w:val="000000"/>
          <w:spacing w:val="-2"/>
          <w:sz w:val="36"/>
          <w:szCs w:val="36"/>
        </w:rPr>
        <w:t>江苏省建筑业企业基本信用考核内容和计分方法</w:t>
      </w:r>
    </w:p>
    <w:p>
      <w:pPr>
        <w:pStyle w:val="7"/>
        <w:adjustRightInd w:val="0"/>
        <w:snapToGrid w:val="0"/>
        <w:spacing w:after="0" w:line="460" w:lineRule="exact"/>
        <w:ind w:left="0" w:leftChars="0" w:firstLine="472" w:firstLineChars="200"/>
        <w:rPr>
          <w:rFonts w:hint="eastAsia" w:eastAsia="方正仿宋_GBK"/>
          <w:bCs/>
          <w:color w:val="000000"/>
          <w:spacing w:val="-2"/>
          <w:sz w:val="24"/>
        </w:rPr>
      </w:pP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hint="eastAsia" w:eastAsia="方正仿宋_GBK"/>
          <w:bCs/>
          <w:color w:val="000000"/>
          <w:spacing w:val="-2"/>
          <w:sz w:val="24"/>
        </w:rPr>
        <w:t>一、凡具有有效《资质证书》、《安全生产许可证》的建筑业企业即获得企业基本分为</w:t>
      </w:r>
      <w:r>
        <w:rPr>
          <w:rFonts w:eastAsia="方正仿宋_GBK"/>
          <w:bCs/>
          <w:color w:val="000000"/>
          <w:spacing w:val="-2"/>
          <w:sz w:val="24"/>
        </w:rPr>
        <w:t>30</w:t>
      </w:r>
      <w:r>
        <w:rPr>
          <w:rFonts w:hint="eastAsia" w:eastAsia="方正仿宋_GBK"/>
          <w:bCs/>
          <w:color w:val="000000"/>
          <w:spacing w:val="-2"/>
          <w:sz w:val="24"/>
        </w:rPr>
        <w:t>分。</w:t>
      </w: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hint="eastAsia" w:eastAsia="方正仿宋_GBK"/>
          <w:bCs/>
          <w:color w:val="000000"/>
          <w:spacing w:val="-2"/>
          <w:sz w:val="24"/>
        </w:rPr>
        <w:t>二、具备以下条件，根据具体情况给予得分。</w:t>
      </w:r>
    </w:p>
    <w:p>
      <w:pPr>
        <w:pStyle w:val="7"/>
        <w:adjustRightInd w:val="0"/>
        <w:snapToGrid w:val="0"/>
        <w:spacing w:after="0" w:line="460" w:lineRule="exact"/>
        <w:ind w:left="0" w:leftChars="0" w:firstLine="472" w:firstLineChars="200"/>
        <w:rPr>
          <w:rFonts w:eastAsia="方正仿宋_GBK"/>
          <w:bCs/>
          <w:color w:val="000000"/>
          <w:spacing w:val="-2"/>
          <w:sz w:val="24"/>
          <w:shd w:val="pct10" w:color="auto" w:fill="FFFFFF"/>
        </w:rPr>
      </w:pPr>
      <w:r>
        <w:rPr>
          <w:rFonts w:hint="eastAsia" w:eastAsia="方正仿宋_GBK"/>
          <w:bCs/>
          <w:color w:val="000000"/>
          <w:spacing w:val="-2"/>
          <w:sz w:val="24"/>
        </w:rPr>
        <w:t>（一）承接工程得分。按照建筑业企业在省辖市行政区域内承接的工程项目数得分，项目备案个数最多得</w:t>
      </w:r>
      <w:r>
        <w:rPr>
          <w:rFonts w:eastAsia="方正仿宋_GBK"/>
          <w:bCs/>
          <w:color w:val="000000"/>
          <w:spacing w:val="-2"/>
          <w:sz w:val="24"/>
        </w:rPr>
        <w:t>8</w:t>
      </w:r>
      <w:r>
        <w:rPr>
          <w:rFonts w:hint="eastAsia" w:eastAsia="方正仿宋_GBK"/>
          <w:bCs/>
          <w:color w:val="000000"/>
          <w:spacing w:val="-2"/>
          <w:sz w:val="24"/>
        </w:rPr>
        <w:t>分，没有项目为零分，其余按线性插值计算。有效期</w:t>
      </w:r>
      <w:r>
        <w:rPr>
          <w:rFonts w:eastAsia="方正仿宋_GBK"/>
          <w:bCs/>
          <w:color w:val="000000"/>
          <w:spacing w:val="-2"/>
          <w:sz w:val="24"/>
        </w:rPr>
        <w:t>24</w:t>
      </w:r>
      <w:r>
        <w:rPr>
          <w:rFonts w:hint="eastAsia" w:eastAsia="方正仿宋_GBK"/>
          <w:bCs/>
          <w:color w:val="000000"/>
          <w:spacing w:val="-2"/>
          <w:sz w:val="24"/>
        </w:rPr>
        <w:t>个月。</w:t>
      </w: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hint="eastAsia" w:eastAsia="方正仿宋_GBK"/>
          <w:bCs/>
          <w:color w:val="000000"/>
          <w:spacing w:val="-2"/>
          <w:sz w:val="24"/>
        </w:rPr>
        <w:t>（二）工程质量表彰及其他各类通报表扬和奖励得分。</w:t>
      </w: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eastAsia="方正仿宋_GBK"/>
          <w:bCs/>
          <w:color w:val="000000"/>
          <w:spacing w:val="-2"/>
          <w:sz w:val="24"/>
        </w:rPr>
        <w:t>1</w:t>
      </w:r>
      <w:r>
        <w:rPr>
          <w:rFonts w:hint="eastAsia" w:eastAsia="方正仿宋_GBK"/>
          <w:bCs/>
          <w:color w:val="000000"/>
          <w:spacing w:val="-2"/>
          <w:sz w:val="24"/>
        </w:rPr>
        <w:t>．获得国家级表彰的（含国优工程、科技奖、鲁班奖），每一次得</w:t>
      </w:r>
      <w:r>
        <w:rPr>
          <w:rFonts w:eastAsia="方正仿宋_GBK"/>
          <w:bCs/>
          <w:color w:val="000000"/>
          <w:spacing w:val="-2"/>
          <w:sz w:val="24"/>
        </w:rPr>
        <w:t>3</w:t>
      </w:r>
      <w:r>
        <w:rPr>
          <w:rFonts w:hint="eastAsia" w:eastAsia="方正仿宋_GBK"/>
          <w:bCs/>
          <w:color w:val="000000"/>
          <w:spacing w:val="-2"/>
          <w:sz w:val="24"/>
        </w:rPr>
        <w:t>分，满分为</w:t>
      </w:r>
      <w:r>
        <w:rPr>
          <w:rFonts w:eastAsia="方正仿宋_GBK"/>
          <w:bCs/>
          <w:color w:val="000000"/>
          <w:spacing w:val="-2"/>
          <w:sz w:val="24"/>
        </w:rPr>
        <w:t>3</w:t>
      </w:r>
      <w:r>
        <w:rPr>
          <w:rFonts w:hint="eastAsia" w:eastAsia="方正仿宋_GBK"/>
          <w:bCs/>
          <w:color w:val="000000"/>
          <w:spacing w:val="-2"/>
          <w:sz w:val="24"/>
        </w:rPr>
        <w:t>分。有效期</w:t>
      </w:r>
      <w:r>
        <w:rPr>
          <w:rFonts w:eastAsia="方正仿宋_GBK"/>
          <w:bCs/>
          <w:color w:val="000000"/>
          <w:spacing w:val="-2"/>
          <w:sz w:val="24"/>
        </w:rPr>
        <w:t>36</w:t>
      </w:r>
      <w:r>
        <w:rPr>
          <w:rFonts w:hint="eastAsia" w:eastAsia="方正仿宋_GBK"/>
          <w:bCs/>
          <w:color w:val="000000"/>
          <w:spacing w:val="-2"/>
          <w:sz w:val="24"/>
        </w:rPr>
        <w:t>个月。</w:t>
      </w: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eastAsia="方正仿宋_GBK"/>
          <w:bCs/>
          <w:color w:val="000000"/>
          <w:spacing w:val="-2"/>
          <w:sz w:val="24"/>
        </w:rPr>
        <w:t>2</w:t>
      </w:r>
      <w:r>
        <w:rPr>
          <w:rFonts w:hint="eastAsia" w:eastAsia="方正仿宋_GBK"/>
          <w:bCs/>
          <w:color w:val="000000"/>
          <w:spacing w:val="-2"/>
          <w:sz w:val="24"/>
        </w:rPr>
        <w:t>．获得住房和城乡建设部表彰的（含专业类奖项）以及在我省获得江苏省人民政府表彰（含</w:t>
      </w:r>
      <w:r>
        <w:rPr>
          <w:rFonts w:eastAsia="方正仿宋_GBK"/>
          <w:bCs/>
          <w:color w:val="000000"/>
          <w:spacing w:val="-2"/>
          <w:sz w:val="24"/>
        </w:rPr>
        <w:t>“</w:t>
      </w:r>
      <w:r>
        <w:rPr>
          <w:rFonts w:hint="eastAsia" w:eastAsia="方正仿宋_GBK"/>
          <w:bCs/>
          <w:color w:val="000000"/>
          <w:spacing w:val="-2"/>
          <w:sz w:val="24"/>
        </w:rPr>
        <w:t>扬子杯</w:t>
      </w:r>
      <w:r>
        <w:rPr>
          <w:rFonts w:eastAsia="方正仿宋_GBK"/>
          <w:bCs/>
          <w:color w:val="000000"/>
          <w:spacing w:val="-2"/>
          <w:sz w:val="24"/>
        </w:rPr>
        <w:t>”</w:t>
      </w:r>
      <w:r>
        <w:rPr>
          <w:rFonts w:hint="eastAsia" w:eastAsia="方正仿宋_GBK"/>
          <w:bCs/>
          <w:color w:val="000000"/>
          <w:spacing w:val="-2"/>
          <w:sz w:val="24"/>
        </w:rPr>
        <w:t>优质工程奖）的，每一次得</w:t>
      </w:r>
      <w:r>
        <w:rPr>
          <w:rFonts w:eastAsia="方正仿宋_GBK"/>
          <w:bCs/>
          <w:color w:val="000000"/>
          <w:spacing w:val="-2"/>
          <w:sz w:val="24"/>
        </w:rPr>
        <w:t>2</w:t>
      </w:r>
      <w:r>
        <w:rPr>
          <w:rFonts w:hint="eastAsia" w:eastAsia="方正仿宋_GBK"/>
          <w:bCs/>
          <w:color w:val="000000"/>
          <w:spacing w:val="-2"/>
          <w:sz w:val="24"/>
        </w:rPr>
        <w:t>分，满分为</w:t>
      </w:r>
      <w:r>
        <w:rPr>
          <w:rFonts w:eastAsia="方正仿宋_GBK"/>
          <w:bCs/>
          <w:color w:val="000000"/>
          <w:spacing w:val="-2"/>
          <w:sz w:val="24"/>
        </w:rPr>
        <w:t>4</w:t>
      </w:r>
      <w:r>
        <w:rPr>
          <w:rFonts w:hint="eastAsia" w:eastAsia="方正仿宋_GBK"/>
          <w:bCs/>
          <w:color w:val="000000"/>
          <w:spacing w:val="-2"/>
          <w:sz w:val="24"/>
        </w:rPr>
        <w:t>分。有效期</w:t>
      </w:r>
      <w:r>
        <w:rPr>
          <w:rFonts w:eastAsia="方正仿宋_GBK"/>
          <w:bCs/>
          <w:color w:val="000000"/>
          <w:spacing w:val="-2"/>
          <w:sz w:val="24"/>
        </w:rPr>
        <w:t>24</w:t>
      </w:r>
      <w:r>
        <w:rPr>
          <w:rFonts w:hint="eastAsia" w:eastAsia="方正仿宋_GBK"/>
          <w:bCs/>
          <w:color w:val="000000"/>
          <w:spacing w:val="-2"/>
          <w:sz w:val="24"/>
        </w:rPr>
        <w:t>个月。</w:t>
      </w: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eastAsia="方正仿宋_GBK"/>
          <w:bCs/>
          <w:color w:val="000000"/>
          <w:spacing w:val="-2"/>
          <w:sz w:val="24"/>
        </w:rPr>
        <w:t>3</w:t>
      </w:r>
      <w:r>
        <w:rPr>
          <w:rFonts w:hint="eastAsia" w:eastAsia="方正仿宋_GBK"/>
          <w:bCs/>
          <w:color w:val="000000"/>
          <w:spacing w:val="-2"/>
          <w:sz w:val="24"/>
        </w:rPr>
        <w:t>．获得江苏省住房和城乡建设厅表彰的（含专业类奖项）以及获得省辖市人民政府表彰的，每一次得</w:t>
      </w:r>
      <w:r>
        <w:rPr>
          <w:rFonts w:eastAsia="方正仿宋_GBK"/>
          <w:bCs/>
          <w:color w:val="000000"/>
          <w:spacing w:val="-2"/>
          <w:sz w:val="24"/>
        </w:rPr>
        <w:t>1.5</w:t>
      </w:r>
      <w:r>
        <w:rPr>
          <w:rFonts w:hint="eastAsia" w:eastAsia="方正仿宋_GBK"/>
          <w:bCs/>
          <w:color w:val="000000"/>
          <w:spacing w:val="-2"/>
          <w:sz w:val="24"/>
        </w:rPr>
        <w:t>分，满分为</w:t>
      </w:r>
      <w:r>
        <w:rPr>
          <w:rFonts w:eastAsia="方正仿宋_GBK"/>
          <w:bCs/>
          <w:color w:val="000000"/>
          <w:spacing w:val="-2"/>
          <w:sz w:val="24"/>
        </w:rPr>
        <w:t>3</w:t>
      </w:r>
      <w:r>
        <w:rPr>
          <w:rFonts w:hint="eastAsia" w:eastAsia="方正仿宋_GBK"/>
          <w:bCs/>
          <w:color w:val="000000"/>
          <w:spacing w:val="-2"/>
          <w:sz w:val="24"/>
        </w:rPr>
        <w:t>分。有效期</w:t>
      </w:r>
      <w:r>
        <w:rPr>
          <w:rFonts w:eastAsia="方正仿宋_GBK"/>
          <w:bCs/>
          <w:color w:val="000000"/>
          <w:spacing w:val="-2"/>
          <w:sz w:val="24"/>
        </w:rPr>
        <w:t>12</w:t>
      </w:r>
      <w:r>
        <w:rPr>
          <w:rFonts w:hint="eastAsia" w:eastAsia="方正仿宋_GBK"/>
          <w:bCs/>
          <w:color w:val="000000"/>
          <w:spacing w:val="-2"/>
          <w:sz w:val="24"/>
        </w:rPr>
        <w:t>个月。</w:t>
      </w: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eastAsia="方正仿宋_GBK"/>
          <w:bCs/>
          <w:color w:val="000000"/>
          <w:spacing w:val="-2"/>
          <w:sz w:val="24"/>
        </w:rPr>
        <w:t>4</w:t>
      </w:r>
      <w:r>
        <w:rPr>
          <w:rFonts w:hint="eastAsia" w:eastAsia="方正仿宋_GBK"/>
          <w:bCs/>
          <w:color w:val="000000"/>
          <w:spacing w:val="-2"/>
          <w:sz w:val="24"/>
        </w:rPr>
        <w:t>．获得企业信用综合评价所在地省辖市建设主管部门（含专业类奖项）以及市（县）人民政府表彰的，每一次得</w:t>
      </w:r>
      <w:r>
        <w:rPr>
          <w:rFonts w:eastAsia="方正仿宋_GBK"/>
          <w:bCs/>
          <w:color w:val="000000"/>
          <w:spacing w:val="-2"/>
          <w:sz w:val="24"/>
        </w:rPr>
        <w:t>1</w:t>
      </w:r>
      <w:r>
        <w:rPr>
          <w:rFonts w:hint="eastAsia" w:eastAsia="方正仿宋_GBK"/>
          <w:bCs/>
          <w:color w:val="000000"/>
          <w:spacing w:val="-2"/>
          <w:sz w:val="24"/>
        </w:rPr>
        <w:t>分，满分为</w:t>
      </w:r>
      <w:r>
        <w:rPr>
          <w:rFonts w:eastAsia="方正仿宋_GBK"/>
          <w:bCs/>
          <w:color w:val="000000"/>
          <w:spacing w:val="-2"/>
          <w:sz w:val="24"/>
        </w:rPr>
        <w:t>2</w:t>
      </w:r>
      <w:r>
        <w:rPr>
          <w:rFonts w:hint="eastAsia" w:eastAsia="方正仿宋_GBK"/>
          <w:bCs/>
          <w:color w:val="000000"/>
          <w:spacing w:val="-2"/>
          <w:sz w:val="24"/>
        </w:rPr>
        <w:t>分。有效期</w:t>
      </w:r>
      <w:r>
        <w:rPr>
          <w:rFonts w:eastAsia="方正仿宋_GBK"/>
          <w:bCs/>
          <w:color w:val="000000"/>
          <w:spacing w:val="-2"/>
          <w:sz w:val="24"/>
        </w:rPr>
        <w:t>12</w:t>
      </w:r>
      <w:r>
        <w:rPr>
          <w:rFonts w:hint="eastAsia" w:eastAsia="方正仿宋_GBK"/>
          <w:bCs/>
          <w:color w:val="000000"/>
          <w:spacing w:val="-2"/>
          <w:sz w:val="24"/>
        </w:rPr>
        <w:t>个月。</w:t>
      </w: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eastAsia="方正仿宋_GBK"/>
          <w:bCs/>
          <w:color w:val="000000"/>
          <w:spacing w:val="-2"/>
          <w:sz w:val="24"/>
        </w:rPr>
        <w:t>5</w:t>
      </w:r>
      <w:r>
        <w:rPr>
          <w:rFonts w:hint="eastAsia" w:eastAsia="方正仿宋_GBK"/>
          <w:bCs/>
          <w:color w:val="000000"/>
          <w:spacing w:val="-2"/>
          <w:sz w:val="24"/>
        </w:rPr>
        <w:t>．手续完备的专业承包企业为获奖工程的参建单位，其业绩参照总承包企业考核分计入。</w:t>
      </w: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hint="eastAsia" w:eastAsia="方正仿宋_GBK"/>
          <w:bCs/>
          <w:color w:val="000000"/>
          <w:spacing w:val="-2"/>
          <w:sz w:val="24"/>
        </w:rPr>
        <w:t>同一企业、同一工程项目、同一性质的不同级别荣誉，按最高级别得分，不作累计得分。</w:t>
      </w:r>
    </w:p>
    <w:p>
      <w:pPr>
        <w:pStyle w:val="7"/>
        <w:adjustRightInd w:val="0"/>
        <w:snapToGrid w:val="0"/>
        <w:spacing w:after="0" w:line="460" w:lineRule="exact"/>
        <w:ind w:left="0" w:leftChars="0" w:firstLine="472" w:firstLineChars="200"/>
        <w:rPr>
          <w:rFonts w:eastAsia="方正仿宋_GBK"/>
          <w:bCs/>
          <w:color w:val="000000"/>
          <w:spacing w:val="-2"/>
          <w:sz w:val="24"/>
        </w:rPr>
      </w:pPr>
      <w:r>
        <w:rPr>
          <w:rFonts w:hint="eastAsia" w:eastAsia="方正仿宋_GBK"/>
          <w:bCs/>
          <w:color w:val="000000"/>
          <w:spacing w:val="-2"/>
          <w:sz w:val="24"/>
        </w:rPr>
        <w:t>三、上述</w:t>
      </w:r>
      <w:r>
        <w:rPr>
          <w:rFonts w:eastAsia="方正仿宋_GBK"/>
          <w:bCs/>
          <w:color w:val="000000"/>
          <w:spacing w:val="-2"/>
          <w:sz w:val="24"/>
        </w:rPr>
        <w:t>“</w:t>
      </w:r>
      <w:r>
        <w:rPr>
          <w:rFonts w:hint="eastAsia" w:eastAsia="方正仿宋_GBK"/>
          <w:bCs/>
          <w:color w:val="000000"/>
          <w:spacing w:val="-2"/>
          <w:sz w:val="24"/>
        </w:rPr>
        <w:t>有效期</w:t>
      </w:r>
      <w:r>
        <w:rPr>
          <w:rFonts w:eastAsia="方正仿宋_GBK"/>
          <w:bCs/>
          <w:color w:val="000000"/>
          <w:spacing w:val="-2"/>
          <w:sz w:val="24"/>
        </w:rPr>
        <w:t>”</w:t>
      </w:r>
      <w:r>
        <w:rPr>
          <w:rFonts w:hint="eastAsia" w:eastAsia="方正仿宋_GBK"/>
          <w:bCs/>
          <w:color w:val="000000"/>
          <w:spacing w:val="-2"/>
          <w:sz w:val="24"/>
        </w:rPr>
        <w:t>指信用综合考核时点往前的追</w:t>
      </w:r>
      <w:r>
        <w:rPr>
          <w:rFonts w:hint="eastAsia" w:eastAsia="方正仿宋_GBK"/>
          <w:color w:val="000000"/>
          <w:spacing w:val="-2"/>
          <w:sz w:val="24"/>
        </w:rPr>
        <w:t>溯时间</w:t>
      </w:r>
      <w:r>
        <w:rPr>
          <w:rFonts w:hint="eastAsia" w:eastAsia="方正仿宋_GBK"/>
          <w:bCs/>
          <w:color w:val="000000"/>
          <w:spacing w:val="-2"/>
          <w:sz w:val="24"/>
        </w:rPr>
        <w:t>。</w:t>
      </w:r>
    </w:p>
    <w:p>
      <w:pPr>
        <w:pStyle w:val="7"/>
        <w:adjustRightInd w:val="0"/>
        <w:snapToGrid w:val="0"/>
        <w:spacing w:after="0" w:line="460" w:lineRule="exact"/>
        <w:ind w:left="0" w:leftChars="0" w:firstLine="472" w:firstLineChars="200"/>
        <w:rPr>
          <w:rFonts w:eastAsia="方正仿宋_GBK"/>
          <w:bCs/>
          <w:color w:val="000000"/>
          <w:spacing w:val="-2"/>
          <w:sz w:val="24"/>
        </w:rPr>
      </w:pPr>
    </w:p>
    <w:p>
      <w:pPr>
        <w:pStyle w:val="7"/>
        <w:adjustRightInd w:val="0"/>
        <w:snapToGrid w:val="0"/>
        <w:spacing w:line="460" w:lineRule="exact"/>
        <w:rPr>
          <w:rFonts w:eastAsia="方正仿宋_GBK"/>
          <w:bCs/>
          <w:color w:val="000000"/>
          <w:spacing w:val="-2"/>
          <w:sz w:val="24"/>
        </w:rPr>
      </w:pPr>
    </w:p>
    <w:p>
      <w:pPr>
        <w:snapToGrid w:val="0"/>
        <w:spacing w:line="460" w:lineRule="exact"/>
        <w:rPr>
          <w:rFonts w:ascii="Times New Roman" w:eastAsia="方正黑体_GBK"/>
          <w:color w:val="000000"/>
          <w:spacing w:val="-2"/>
          <w:sz w:val="28"/>
          <w:szCs w:val="28"/>
        </w:rPr>
      </w:pPr>
      <w:r>
        <w:rPr>
          <w:rFonts w:eastAsia="方正仿宋_GBK"/>
          <w:color w:val="000000"/>
          <w:spacing w:val="-2"/>
          <w:kern w:val="0"/>
          <w:sz w:val="24"/>
        </w:rPr>
        <w:br w:type="column"/>
      </w:r>
      <w:r>
        <w:rPr>
          <w:rFonts w:hint="eastAsia" w:ascii="Times New Roman" w:eastAsia="方正黑体_GBK"/>
          <w:color w:val="000000"/>
          <w:spacing w:val="-2"/>
          <w:sz w:val="28"/>
          <w:szCs w:val="28"/>
        </w:rPr>
        <w:t>附件2</w:t>
      </w:r>
    </w:p>
    <w:p>
      <w:pPr>
        <w:snapToGrid w:val="0"/>
        <w:spacing w:line="460" w:lineRule="exact"/>
        <w:rPr>
          <w:rFonts w:hint="eastAsia" w:eastAsia="方正仿宋_GBK"/>
          <w:color w:val="000000"/>
          <w:spacing w:val="-2"/>
          <w:sz w:val="24"/>
        </w:rPr>
      </w:pPr>
    </w:p>
    <w:p>
      <w:pPr>
        <w:pStyle w:val="7"/>
        <w:adjustRightInd w:val="0"/>
        <w:snapToGrid w:val="0"/>
        <w:spacing w:after="0" w:line="460" w:lineRule="exact"/>
        <w:ind w:left="0" w:leftChars="0"/>
        <w:jc w:val="center"/>
        <w:rPr>
          <w:rFonts w:ascii="Times New Roman" w:eastAsia="方正黑体_GBK"/>
          <w:bCs/>
          <w:color w:val="000000"/>
          <w:spacing w:val="-2"/>
          <w:sz w:val="36"/>
          <w:szCs w:val="36"/>
        </w:rPr>
      </w:pPr>
      <w:r>
        <w:rPr>
          <w:rFonts w:hint="eastAsia" w:ascii="Times New Roman" w:eastAsia="方正黑体_GBK"/>
          <w:bCs/>
          <w:color w:val="000000"/>
          <w:spacing w:val="-2"/>
          <w:sz w:val="36"/>
          <w:szCs w:val="36"/>
        </w:rPr>
        <w:t>江苏省建筑业企业日常考核内容和计分方法</w:t>
      </w:r>
    </w:p>
    <w:p>
      <w:pPr>
        <w:adjustRightInd w:val="0"/>
        <w:snapToGrid w:val="0"/>
        <w:spacing w:line="460" w:lineRule="exact"/>
        <w:ind w:firstLine="474" w:firstLineChars="200"/>
        <w:rPr>
          <w:rFonts w:hint="eastAsia" w:eastAsia="方正仿宋_GBK"/>
          <w:b/>
          <w:color w:val="000000"/>
          <w:spacing w:val="-2"/>
          <w:kern w:val="0"/>
          <w:sz w:val="24"/>
        </w:rPr>
      </w:pPr>
    </w:p>
    <w:p>
      <w:pPr>
        <w:adjustRightInd w:val="0"/>
        <w:snapToGrid w:val="0"/>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一、具有以下行为，根据具体情况给予扣分</w:t>
      </w:r>
    </w:p>
    <w:p>
      <w:pPr>
        <w:adjustRightInd w:val="0"/>
        <w:snapToGrid w:val="0"/>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（一）通报批评及行政处罚扣分</w:t>
      </w:r>
      <w:r>
        <w:rPr>
          <w:rFonts w:eastAsia="方正仿宋_GBK"/>
          <w:color w:val="000000"/>
          <w:spacing w:val="-2"/>
          <w:sz w:val="24"/>
        </w:rPr>
        <w:t xml:space="preserve"> </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．在建筑活动中受到住房和城乡建设部或江苏省人民政府通报批评的，每一次扣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．在建筑活动中受到江苏省住房和城乡建设厅或省辖市人民政府通报批评的，每一次扣</w:t>
      </w:r>
      <w:r>
        <w:rPr>
          <w:rFonts w:eastAsia="方正仿宋_GBK"/>
          <w:color w:val="000000"/>
          <w:spacing w:val="-2"/>
          <w:sz w:val="24"/>
        </w:rPr>
        <w:t>2</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．在建筑活动中受到省辖市建设主管部门、市（县）人民政府或市（县）建设主管部门通报批评的，每一次扣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．在建筑活动中，因存在违规行为或施工现场存在严重工程质量和安全生产隐患被建设主管部门或其委托的监督管理部门诫勉谈话的，每一次扣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．在建筑活动中受到行政处罚的，每次扣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（二）发生质量安全事故扣分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．建筑业企业所承建项目发生重大及以上质量安全事故，每一起扣</w:t>
      </w:r>
      <w:r>
        <w:rPr>
          <w:rFonts w:eastAsia="方正仿宋_GBK"/>
          <w:color w:val="000000"/>
          <w:spacing w:val="-2"/>
          <w:sz w:val="24"/>
        </w:rPr>
        <w:t>10</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．建筑业企业所承建项目发生较大质量安全事故，每一起扣</w:t>
      </w:r>
      <w:r>
        <w:rPr>
          <w:rFonts w:eastAsia="方正仿宋_GBK"/>
          <w:color w:val="000000"/>
          <w:spacing w:val="-2"/>
          <w:sz w:val="24"/>
        </w:rPr>
        <w:t>6</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．建筑业企业所承建项目发生一般质量安全事故，每一起扣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．建筑业企业所承建项目发生质量安全事故隐瞒不报或者谎报、拖延报告的，每一起扣</w:t>
      </w:r>
      <w:r>
        <w:rPr>
          <w:rFonts w:eastAsia="方正仿宋_GBK"/>
          <w:color w:val="000000"/>
          <w:spacing w:val="-2"/>
          <w:sz w:val="24"/>
        </w:rPr>
        <w:t>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（三）被监察、司法部门认定不良行为扣分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．建筑业企业在建筑活动中，被纪检监察机关和司法部门认定有不良记录的，每一起扣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．建筑业企业在建筑活动中，被司法部门认定有行贿、索贿行为的，每一起扣</w:t>
      </w:r>
      <w:r>
        <w:rPr>
          <w:rFonts w:eastAsia="方正仿宋_GBK"/>
          <w:color w:val="000000"/>
          <w:spacing w:val="-2"/>
          <w:sz w:val="24"/>
        </w:rPr>
        <w:t>5</w:t>
      </w:r>
      <w:r>
        <w:rPr>
          <w:rFonts w:hint="eastAsia" w:eastAsia="方正仿宋_GBK"/>
          <w:color w:val="000000"/>
          <w:spacing w:val="-2"/>
          <w:sz w:val="24"/>
        </w:rPr>
        <w:t>分。</w:t>
      </w:r>
    </w:p>
    <w:p>
      <w:pPr>
        <w:adjustRightInd w:val="0"/>
        <w:snapToGrid w:val="0"/>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二、市场行为考核中发现以下情况的，根据具体情况予以扣分</w:t>
      </w:r>
    </w:p>
    <w:p>
      <w:pPr>
        <w:adjustRightInd w:val="0"/>
        <w:snapToGrid w:val="0"/>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．建筑业企业涂改、伪造、出借《营业执照》、《建筑企业资质证书》、《安全生产许可证》、</w:t>
      </w:r>
      <w:r>
        <w:rPr>
          <w:rFonts w:eastAsia="方正仿宋_GBK"/>
          <w:color w:val="000000"/>
          <w:spacing w:val="-2"/>
          <w:sz w:val="24"/>
        </w:rPr>
        <w:t>“</w:t>
      </w:r>
      <w:r>
        <w:rPr>
          <w:rFonts w:hint="eastAsia" w:eastAsia="方正仿宋_GBK"/>
          <w:color w:val="000000"/>
          <w:spacing w:val="-2"/>
          <w:sz w:val="24"/>
        </w:rPr>
        <w:t>印章</w:t>
      </w:r>
      <w:r>
        <w:rPr>
          <w:rFonts w:eastAsia="方正仿宋_GBK"/>
          <w:color w:val="000000"/>
          <w:spacing w:val="-2"/>
          <w:sz w:val="24"/>
        </w:rPr>
        <w:t>”</w:t>
      </w:r>
      <w:r>
        <w:rPr>
          <w:rFonts w:hint="eastAsia" w:eastAsia="方正仿宋_GBK"/>
          <w:color w:val="000000"/>
          <w:spacing w:val="-2"/>
          <w:sz w:val="24"/>
        </w:rPr>
        <w:t>以及个人资格证书等相关证件，提供虚假业绩证明、授权证明材料的，每一起扣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．超越本单位资质等级和范围，允许其他单位或个人以本单位名义参加投标活动或承揽工程的，每一起扣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．建筑业企业未按规定签订合同或与非法人主体签订施工合同即进行施工的，每一项扣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．施工合同（包括劳务分包）未办理备案（见证）手续的，每一项扣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．总承包单位将所承包的工程转包或者违法分包的，每一项扣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．注册建造师（项目经理）专业资格和等级与承接工程不相适应的，每一项扣</w:t>
      </w:r>
      <w:r>
        <w:rPr>
          <w:rFonts w:eastAsia="方正仿宋_GBK"/>
          <w:color w:val="000000"/>
          <w:spacing w:val="-2"/>
          <w:sz w:val="24"/>
        </w:rPr>
        <w:t>2</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7</w:t>
      </w:r>
      <w:r>
        <w:rPr>
          <w:rFonts w:hint="eastAsia" w:eastAsia="方正仿宋_GBK"/>
          <w:color w:val="000000"/>
          <w:spacing w:val="-2"/>
          <w:sz w:val="24"/>
        </w:rPr>
        <w:t>．总承包单位未对工程的分包企业的资质进行审核并报监理审核或手续不全的，每一项扣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8</w:t>
      </w:r>
      <w:r>
        <w:rPr>
          <w:rFonts w:hint="eastAsia" w:eastAsia="方正仿宋_GBK"/>
          <w:color w:val="000000"/>
          <w:spacing w:val="-2"/>
          <w:sz w:val="24"/>
        </w:rPr>
        <w:t>．建筑业企业未按规定及时办理《江苏省建筑业企业信用管理手册》的扣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9</w:t>
      </w:r>
      <w:r>
        <w:rPr>
          <w:rFonts w:hint="eastAsia" w:eastAsia="方正仿宋_GBK"/>
          <w:color w:val="000000"/>
          <w:spacing w:val="-2"/>
          <w:sz w:val="24"/>
        </w:rPr>
        <w:t>．建筑业企业未按要求在规定期限内办理信用信息变更（资质等级及其内容变更，通信方式、人员变更）的，每一项次扣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10</w:t>
      </w:r>
      <w:r>
        <w:rPr>
          <w:rFonts w:hint="eastAsia" w:eastAsia="方正仿宋_GBK"/>
          <w:color w:val="000000"/>
          <w:spacing w:val="-2"/>
          <w:sz w:val="24"/>
        </w:rPr>
        <w:t>．建筑业企业未按规定及时上报建筑业统计月报、季报、年报等统计报表的，每一起扣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11</w:t>
      </w:r>
      <w:r>
        <w:rPr>
          <w:rFonts w:hint="eastAsia" w:eastAsia="方正仿宋_GBK"/>
          <w:color w:val="000000"/>
          <w:spacing w:val="-2"/>
          <w:sz w:val="24"/>
        </w:rPr>
        <w:t>．建筑业企业未按规定办理或持有有效的《建筑工程承发包计价手册》的，扣</w:t>
      </w:r>
      <w:r>
        <w:rPr>
          <w:rFonts w:eastAsia="方正仿宋_GBK"/>
          <w:color w:val="000000"/>
          <w:spacing w:val="-2"/>
          <w:sz w:val="24"/>
        </w:rPr>
        <w:t>1</w:t>
      </w:r>
      <w:r>
        <w:rPr>
          <w:rFonts w:hint="eastAsia" w:eastAsia="方正仿宋_GBK"/>
          <w:color w:val="000000"/>
          <w:spacing w:val="-2"/>
          <w:sz w:val="24"/>
        </w:rPr>
        <w:t>分，未按规定使用该手册的，每一起扣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12</w:t>
      </w:r>
      <w:r>
        <w:rPr>
          <w:rFonts w:hint="eastAsia" w:eastAsia="方正仿宋_GBK"/>
          <w:color w:val="000000"/>
          <w:spacing w:val="-2"/>
          <w:sz w:val="24"/>
        </w:rPr>
        <w:t>．建筑业企业未办理相关手续擅自施工的，扣</w:t>
      </w:r>
      <w:r>
        <w:rPr>
          <w:rFonts w:eastAsia="方正仿宋_GBK"/>
          <w:color w:val="000000"/>
          <w:spacing w:val="-2"/>
          <w:sz w:val="24"/>
        </w:rPr>
        <w:t>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b/>
          <w:color w:val="000000"/>
          <w:spacing w:val="-2"/>
          <w:sz w:val="24"/>
        </w:rPr>
      </w:pPr>
      <w:r>
        <w:rPr>
          <w:rFonts w:eastAsia="方正仿宋_GBK"/>
          <w:color w:val="000000"/>
          <w:spacing w:val="-2"/>
          <w:sz w:val="24"/>
        </w:rPr>
        <w:t>13</w:t>
      </w:r>
      <w:r>
        <w:rPr>
          <w:rFonts w:hint="eastAsia" w:eastAsia="方正仿宋_GBK"/>
          <w:color w:val="000000"/>
          <w:spacing w:val="-2"/>
          <w:sz w:val="24"/>
        </w:rPr>
        <w:t>．建筑业企业未按规定缴纳农民工工资保证金的，每一起扣</w:t>
      </w:r>
      <w:r>
        <w:rPr>
          <w:rFonts w:eastAsia="方正仿宋_GBK"/>
          <w:color w:val="000000"/>
          <w:spacing w:val="-2"/>
          <w:sz w:val="24"/>
        </w:rPr>
        <w:t>2</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14</w:t>
      </w:r>
      <w:r>
        <w:rPr>
          <w:rFonts w:hint="eastAsia" w:eastAsia="方正仿宋_GBK"/>
          <w:color w:val="000000"/>
          <w:spacing w:val="-2"/>
          <w:sz w:val="24"/>
        </w:rPr>
        <w:t>．企业施工现场项目部未建立以项目经理为组长、现场负责人、劳务负责人、班组长为成员的农民工工资投诉处理机制的，每一项工程扣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15</w:t>
      </w:r>
      <w:r>
        <w:rPr>
          <w:rFonts w:hint="eastAsia" w:eastAsia="方正仿宋_GBK"/>
          <w:color w:val="000000"/>
          <w:spacing w:val="-2"/>
          <w:sz w:val="24"/>
        </w:rPr>
        <w:t>．施工现场未按规定要求实行农民工考勤制度和工资发放清单制度，每一项工程扣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施工现场虽按规定要求实行农民工考勤制度和工资发放清单制度，但农民工花名册、考勤表、工资支付表、计酬手册等记录不全，填写不规范，每一工程和每一项次扣</w:t>
      </w:r>
      <w:r>
        <w:rPr>
          <w:rFonts w:eastAsia="方正仿宋_GBK"/>
          <w:color w:val="000000"/>
          <w:spacing w:val="-2"/>
          <w:sz w:val="24"/>
        </w:rPr>
        <w:t>0.2</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16</w:t>
      </w:r>
      <w:r>
        <w:rPr>
          <w:rFonts w:hint="eastAsia" w:eastAsia="方正仿宋_GBK"/>
          <w:color w:val="000000"/>
          <w:spacing w:val="-2"/>
          <w:sz w:val="24"/>
        </w:rPr>
        <w:t>．施工现场未按规定要求在工地现场设置农民工业余学校的，每一项工程扣</w:t>
      </w:r>
      <w:r>
        <w:rPr>
          <w:rFonts w:eastAsia="方正仿宋_GBK"/>
          <w:color w:val="000000"/>
          <w:spacing w:val="-2"/>
          <w:sz w:val="24"/>
        </w:rPr>
        <w:t>0.5</w:t>
      </w:r>
      <w:r>
        <w:rPr>
          <w:rFonts w:hint="eastAsia" w:eastAsia="方正仿宋_GBK"/>
          <w:color w:val="000000"/>
          <w:spacing w:val="-2"/>
          <w:sz w:val="24"/>
        </w:rPr>
        <w:t>分（平行发包和专业分包的企业除外）。</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17</w:t>
      </w:r>
      <w:r>
        <w:rPr>
          <w:rFonts w:hint="eastAsia" w:eastAsia="方正仿宋_GBK"/>
          <w:color w:val="000000"/>
          <w:spacing w:val="-2"/>
          <w:sz w:val="24"/>
        </w:rPr>
        <w:t>．因企业自身原因发生</w:t>
      </w:r>
      <w:r>
        <w:rPr>
          <w:rFonts w:eastAsia="方正仿宋_GBK"/>
          <w:color w:val="000000"/>
          <w:spacing w:val="-2"/>
          <w:sz w:val="24"/>
        </w:rPr>
        <w:t>10</w:t>
      </w:r>
      <w:r>
        <w:rPr>
          <w:rFonts w:hint="eastAsia" w:eastAsia="方正仿宋_GBK"/>
          <w:color w:val="000000"/>
          <w:spacing w:val="-2"/>
          <w:sz w:val="24"/>
        </w:rPr>
        <w:t>人以上农民工到工程所在地建设行政主管部门投诉的，每一起扣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因企业自身原因发生</w:t>
      </w:r>
      <w:r>
        <w:rPr>
          <w:rFonts w:eastAsia="方正仿宋_GBK"/>
          <w:color w:val="000000"/>
          <w:spacing w:val="-2"/>
          <w:sz w:val="24"/>
        </w:rPr>
        <w:t>10</w:t>
      </w:r>
      <w:r>
        <w:rPr>
          <w:rFonts w:hint="eastAsia" w:eastAsia="方正仿宋_GBK"/>
          <w:color w:val="000000"/>
          <w:spacing w:val="-2"/>
          <w:sz w:val="24"/>
        </w:rPr>
        <w:t>人以上农民工到省级以上建设行政主管部门或各级人民政府投诉的，每一起扣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三、工程招投标活动考核中发现以下情况的，根据具体情况予以扣分</w:t>
      </w:r>
    </w:p>
    <w:p>
      <w:pPr>
        <w:adjustRightInd w:val="0"/>
        <w:snapToGrid w:val="0"/>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．在投标活动中，经查实存在投标人相互串通投标或者与招标人串通投标的、投标人以向招标人或招标代理机构或评标委员会成员行贿的手段谋取中标的，每一项分别扣</w:t>
      </w:r>
      <w:r>
        <w:rPr>
          <w:rFonts w:eastAsia="方正仿宋_GBK"/>
          <w:color w:val="000000"/>
          <w:spacing w:val="-2"/>
          <w:sz w:val="24"/>
        </w:rPr>
        <w:t>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在投标活动中，发现存在不同投标人的投标文件（含电子文档）内容存在非正常一致、不同投标人的投标文件（含电子文档）错漏之处一致、不同投标人的投标报价或者报价组成异常一致或者呈规律性变化、不同投标人的投标文件（含电子文档）由同一单位或者同一个人编制、不同投标人的投标文件载明的项目管理班子成员出现同一人、不同投标人的投标文件（含电子文档）相互混装、不同投标人委托同一人投标、不同投标人聘请同一人为其投标提供技术或者经济咨询服务、不同投标人使用同一人或者企业资金交纳投标保证金等，每一项分别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在投标活动中，发现存在未按照招标文件的要求提交履约保证金、资格预审合格的投标人无正当理由不购买招标文件或不递交投标文件的、放弃中标项目、中标后不与招标人签订合同、签订合同时更改合同实质性内容要求、项目中标后，未按规定及时进行合同备案的、未按照规定提交中标差额保证金等，每一项分别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在投标活动中，发现开标时主要人员迟到、招标公告或招标文件中要求的投标单位法定代表人或注册建造师未到场、有关人员未携带第二代身份证等有效身份证明、投标文件中的投标函未加盖投标人的公章及法定代表人印章、投标人名称或组织结构与资格预审时不一致、注册建造师与资格预审时不一致、投标文件载明的招标项目完成期限超过招标文件规定的期限、投标报价超过招标文件规定的最高限价、投标文件未附联合体各方共同投标协议以及法定代表人的委托代理人没有合法、有效的授权委托书（原件）及委托代理人印章等，按</w:t>
      </w:r>
      <w:r>
        <w:rPr>
          <w:rFonts w:eastAsia="方正仿宋_GBK"/>
          <w:color w:val="000000"/>
          <w:spacing w:val="-2"/>
          <w:sz w:val="24"/>
        </w:rPr>
        <w:t>6</w:t>
      </w:r>
      <w:r>
        <w:rPr>
          <w:rFonts w:hint="eastAsia" w:eastAsia="方正仿宋_GBK"/>
          <w:color w:val="000000"/>
          <w:spacing w:val="-2"/>
          <w:sz w:val="24"/>
        </w:rPr>
        <w:t>个月计，上述行为累计满三次扣１分。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．建筑业企业在工程造价计价活动中弄虚作假，抬价压价的，每一项（次）扣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四、主要责任人员到岗履责考核中发现以下情况的，根据具体情况予以扣分</w:t>
      </w:r>
    </w:p>
    <w:p>
      <w:pPr>
        <w:adjustRightInd w:val="0"/>
        <w:snapToGrid w:val="0"/>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．建筑业企业未按建设部规定，企业负责人（法定代表人、总经理、主管质量安全和生产工作的副总经理、总工程师和副总工程师）定期带班检查，按月统计每月检查时间不少于其工作日的</w:t>
      </w:r>
      <w:r>
        <w:rPr>
          <w:rFonts w:eastAsia="方正仿宋_GBK"/>
          <w:color w:val="000000"/>
          <w:spacing w:val="-2"/>
          <w:sz w:val="24"/>
        </w:rPr>
        <w:t>25%</w:t>
      </w:r>
      <w:r>
        <w:rPr>
          <w:rFonts w:hint="eastAsia" w:eastAsia="方正仿宋_GBK"/>
          <w:color w:val="000000"/>
          <w:spacing w:val="-2"/>
          <w:sz w:val="24"/>
        </w:rPr>
        <w:t>的，每月扣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．建筑业企业未按建设部规定，工程项目进行超过一定规模的危险性较大的分部分项工程施工时，建筑施工企业负责人未到施工现场进行带班检查的，每次扣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对于有分公司（非独立法人）的企业集团，集团负责人因故不能到现场的，可书面委托工程所在地的分公司负责人对施工现场进行带班检查。</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．建筑业企业未按建设部规定，中标的和专业承包合同中明确的注册建造师（项目经理）在岗时间按月统计达不到</w:t>
      </w:r>
      <w:r>
        <w:rPr>
          <w:rFonts w:eastAsia="方正仿宋_GBK"/>
          <w:color w:val="000000"/>
          <w:spacing w:val="-2"/>
          <w:sz w:val="24"/>
        </w:rPr>
        <w:t>80%</w:t>
      </w:r>
      <w:r>
        <w:rPr>
          <w:rFonts w:hint="eastAsia" w:eastAsia="方正仿宋_GBK"/>
          <w:color w:val="000000"/>
          <w:spacing w:val="-2"/>
          <w:sz w:val="24"/>
        </w:rPr>
        <w:t>的，每一次月扣</w:t>
      </w:r>
      <w:r>
        <w:rPr>
          <w:rFonts w:eastAsia="方正仿宋_GBK"/>
          <w:color w:val="000000"/>
          <w:spacing w:val="-2"/>
          <w:sz w:val="24"/>
        </w:rPr>
        <w:t>2</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．施工现场项目部主要管理制度不明确（未上墙），每一项目缺一项（员）扣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．建筑业企业未按规定建立施工现场项目部组织机构管理班子的，每一项工程扣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hint="eastAsia" w:eastAsia="方正仿宋_GBK"/>
          <w:color w:val="000000"/>
          <w:spacing w:val="-2"/>
          <w:sz w:val="24"/>
        </w:rPr>
        <w:t>现场项目部虽有组织机构管理班子，但未能涵盖质量、安全、文明、环保、农民工管理等方面内容的，每一项工程每一项次扣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．现场项目部未按规定配备施工员、技术员、质量员、安全员等管理人员，每一项目缺一项（员）扣</w:t>
      </w:r>
      <w:r>
        <w:rPr>
          <w:rFonts w:eastAsia="方正仿宋_GBK"/>
          <w:color w:val="000000"/>
          <w:spacing w:val="-2"/>
          <w:sz w:val="24"/>
        </w:rPr>
        <w:t>0.5</w:t>
      </w:r>
      <w:r>
        <w:rPr>
          <w:rFonts w:hint="eastAsia" w:eastAsia="方正仿宋_GBK"/>
          <w:color w:val="000000"/>
          <w:spacing w:val="-2"/>
          <w:sz w:val="24"/>
        </w:rPr>
        <w:t>分。现场项目部虽按规定配备施工员、技术员、质量员、安全员等管理人员，但未按规定上岗，每一项目缺一项（员）扣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7</w:t>
      </w:r>
      <w:r>
        <w:rPr>
          <w:rFonts w:hint="eastAsia" w:eastAsia="方正仿宋_GBK"/>
          <w:color w:val="000000"/>
          <w:spacing w:val="-2"/>
          <w:sz w:val="24"/>
        </w:rPr>
        <w:t>．施工现场的特种作业人员未按照规定实行持有效证件持证上岗的，每一项目缺一项（员）扣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8</w:t>
      </w:r>
      <w:r>
        <w:rPr>
          <w:rFonts w:hint="eastAsia" w:eastAsia="方正仿宋_GBK"/>
          <w:color w:val="000000"/>
          <w:spacing w:val="-2"/>
          <w:sz w:val="24"/>
        </w:rPr>
        <w:t>．建筑业企业未按有关要求及时上报人工工资单价的，扣</w:t>
      </w:r>
      <w:r>
        <w:rPr>
          <w:rFonts w:eastAsia="方正仿宋_GBK"/>
          <w:color w:val="000000"/>
          <w:spacing w:val="-2"/>
          <w:sz w:val="24"/>
        </w:rPr>
        <w:t>1</w:t>
      </w:r>
      <w:r>
        <w:rPr>
          <w:rFonts w:hint="eastAsia" w:eastAsia="方正仿宋_GBK"/>
          <w:color w:val="000000"/>
          <w:spacing w:val="-2"/>
          <w:sz w:val="24"/>
        </w:rPr>
        <w:t>分，无本单位注册且资格证书有效的造价专业人员或造价从业人员未按规定参加继续教育的，缺一员扣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9</w:t>
      </w:r>
      <w:r>
        <w:rPr>
          <w:rFonts w:hint="eastAsia" w:eastAsia="方正仿宋_GBK"/>
          <w:color w:val="000000"/>
          <w:spacing w:val="-2"/>
          <w:sz w:val="24"/>
        </w:rPr>
        <w:t>．工程造价成果文件上使用非本企业（项目）执业人员的执业印章的，每一项（次）扣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10</w:t>
      </w:r>
      <w:r>
        <w:rPr>
          <w:rFonts w:hint="eastAsia" w:eastAsia="方正仿宋_GBK"/>
          <w:color w:val="000000"/>
          <w:spacing w:val="-2"/>
          <w:sz w:val="24"/>
        </w:rPr>
        <w:t>．建筑业企业出借、借用外企业造价从业人员证章的，每一项（次）扣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五、工程质量监督管理考核中发现以下情况的，根据具体情况予以扣分</w:t>
      </w:r>
    </w:p>
    <w:p>
      <w:pPr>
        <w:adjustRightInd w:val="0"/>
        <w:snapToGrid w:val="0"/>
        <w:spacing w:line="460" w:lineRule="exact"/>
        <w:ind w:firstLine="472"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．建筑业企业</w:t>
      </w:r>
      <w:r>
        <w:rPr>
          <w:rFonts w:hint="eastAsia" w:eastAsia="方正仿宋_GBK"/>
          <w:color w:val="000000"/>
          <w:spacing w:val="-2"/>
          <w:sz w:val="24"/>
        </w:rPr>
        <w:t>未建立质保体系或质保体系不健全，未能有效落实质量责任，发现存在施工组织方案审批手续不完备（未经企业内部和监理单位审核）即进行施工、工序检验或隐蔽验收手续不完备即进入下道工序施工，每一项次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．施工现场发现存在未按经施工图审查机构审查合格的施工图或施工技术标准施工的，每一项次扣</w:t>
      </w:r>
      <w:r>
        <w:rPr>
          <w:rFonts w:eastAsia="方正仿宋_GBK"/>
          <w:color w:val="000000"/>
          <w:spacing w:val="-2"/>
          <w:sz w:val="24"/>
        </w:rPr>
        <w:t>2</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．施工现场发现存在未对钢筋、保温材料、防水材料、防火材料以及其他按规定必须经现场见证取样检测合格方能使用的建筑材料、建筑构配件、设备进行检验，每一项次扣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sz w:val="24"/>
        </w:rPr>
        <w:t>对发现检验不合格，仍然擅自使用的，每一项次扣</w:t>
      </w:r>
      <w:r>
        <w:rPr>
          <w:rFonts w:eastAsia="方正仿宋_GBK"/>
          <w:color w:val="000000"/>
          <w:spacing w:val="-2"/>
          <w:sz w:val="24"/>
        </w:rPr>
        <w:t>2</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．施工现场发现存在未按规定对涉及结构安全的试块、试件以及有关材料进行见证现场取样，送交工程质量检测机构进行检测的，每一项次扣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kern w:val="0"/>
          <w:sz w:val="24"/>
        </w:rPr>
      </w:pPr>
      <w:r>
        <w:rPr>
          <w:rFonts w:eastAsia="方正仿宋_GBK"/>
          <w:color w:val="000000"/>
          <w:spacing w:val="-2"/>
          <w:sz w:val="24"/>
        </w:rPr>
        <w:t>5</w:t>
      </w:r>
      <w:r>
        <w:rPr>
          <w:rFonts w:hint="eastAsia" w:eastAsia="方正仿宋_GBK"/>
          <w:color w:val="000000"/>
          <w:spacing w:val="-2"/>
          <w:sz w:val="24"/>
        </w:rPr>
        <w:t>．施工现场发现存在未按建筑节能设计进行施工的，每一项次扣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w:t>
      </w:r>
      <w:r>
        <w:rPr>
          <w:rFonts w:hint="eastAsia" w:eastAsia="方正仿宋_GBK"/>
          <w:color w:val="000000"/>
          <w:spacing w:val="-2"/>
          <w:sz w:val="24"/>
        </w:rPr>
        <w:t>施工过程中有违反工程建设标准强制性条文的，每一项次扣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kern w:val="0"/>
          <w:sz w:val="24"/>
        </w:rPr>
        <w:t>7</w:t>
      </w:r>
      <w:r>
        <w:rPr>
          <w:rFonts w:hint="eastAsia" w:eastAsia="方正仿宋_GBK"/>
          <w:color w:val="000000"/>
          <w:spacing w:val="-2"/>
          <w:kern w:val="0"/>
          <w:sz w:val="24"/>
        </w:rPr>
        <w:t>．</w:t>
      </w:r>
      <w:r>
        <w:rPr>
          <w:rFonts w:hint="eastAsia" w:eastAsia="方正仿宋_GBK"/>
          <w:color w:val="000000"/>
          <w:spacing w:val="-2"/>
          <w:sz w:val="24"/>
        </w:rPr>
        <w:t>施工过程中，对监理单位或质量监督机构发出的整改意见未能在规定时间内完成的，每一次扣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8</w:t>
      </w:r>
      <w:r>
        <w:rPr>
          <w:rFonts w:hint="eastAsia" w:eastAsia="方正仿宋_GBK"/>
          <w:color w:val="000000"/>
          <w:spacing w:val="-2"/>
          <w:sz w:val="24"/>
        </w:rPr>
        <w:t>．施工过程中</w:t>
      </w:r>
      <w:r>
        <w:rPr>
          <w:rFonts w:hint="eastAsia" w:eastAsia="方正仿宋_GBK"/>
          <w:b/>
          <w:color w:val="000000"/>
          <w:spacing w:val="-2"/>
          <w:sz w:val="24"/>
        </w:rPr>
        <w:t>，</w:t>
      </w:r>
      <w:r>
        <w:rPr>
          <w:rFonts w:hint="eastAsia" w:eastAsia="方正仿宋_GBK"/>
          <w:color w:val="000000"/>
          <w:spacing w:val="-2"/>
          <w:sz w:val="24"/>
        </w:rPr>
        <w:t>因工程质量存在严重施工过程隐患被责令局部停工的，每一次扣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b/>
          <w:color w:val="000000"/>
          <w:spacing w:val="-2"/>
          <w:kern w:val="0"/>
          <w:sz w:val="24"/>
        </w:rPr>
      </w:pPr>
      <w:r>
        <w:rPr>
          <w:rFonts w:eastAsia="方正仿宋_GBK"/>
          <w:color w:val="000000"/>
          <w:spacing w:val="-2"/>
          <w:sz w:val="24"/>
        </w:rPr>
        <w:t>9</w:t>
      </w:r>
      <w:r>
        <w:rPr>
          <w:rFonts w:hint="eastAsia" w:eastAsia="方正仿宋_GBK"/>
          <w:color w:val="000000"/>
          <w:spacing w:val="-2"/>
          <w:sz w:val="24"/>
        </w:rPr>
        <w:t>．工程竣工验收后，不履行保修义务，或者拖延履行保修义务，或工程所在地的质量监督机构收到该工程质量投诉的，每一次扣</w:t>
      </w:r>
      <w:r>
        <w:rPr>
          <w:rFonts w:eastAsia="方正仿宋_GBK"/>
          <w:color w:val="000000"/>
          <w:spacing w:val="-2"/>
          <w:sz w:val="24"/>
        </w:rPr>
        <w:t>2</w:t>
      </w:r>
      <w:r>
        <w:rPr>
          <w:rFonts w:hint="eastAsia" w:eastAsia="方正仿宋_GBK"/>
          <w:color w:val="000000"/>
          <w:spacing w:val="-2"/>
          <w:sz w:val="24"/>
        </w:rPr>
        <w:t>分。</w:t>
      </w:r>
    </w:p>
    <w:p>
      <w:pPr>
        <w:adjustRightInd w:val="0"/>
        <w:snapToGrid w:val="0"/>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六、施工安全监督管理考核中发现以下情况的，根据具体情况予以扣分</w:t>
      </w:r>
    </w:p>
    <w:p>
      <w:pPr>
        <w:adjustRightInd w:val="0"/>
        <w:snapToGrid w:val="0"/>
        <w:spacing w:line="460" w:lineRule="exact"/>
        <w:ind w:firstLine="472" w:firstLineChars="200"/>
        <w:rPr>
          <w:rFonts w:hint="eastAsia" w:eastAsia="方正仿宋_GBK"/>
          <w:color w:val="000000"/>
          <w:spacing w:val="-2"/>
          <w:sz w:val="24"/>
        </w:rPr>
      </w:pPr>
      <w:r>
        <w:rPr>
          <w:rFonts w:eastAsia="方正仿宋_GBK"/>
          <w:color w:val="000000"/>
          <w:spacing w:val="-2"/>
          <w:kern w:val="0"/>
          <w:sz w:val="24"/>
        </w:rPr>
        <w:t>1</w:t>
      </w:r>
      <w:r>
        <w:rPr>
          <w:rFonts w:hint="eastAsia" w:eastAsia="方正仿宋_GBK"/>
          <w:color w:val="000000"/>
          <w:spacing w:val="-2"/>
          <w:kern w:val="0"/>
          <w:sz w:val="24"/>
        </w:rPr>
        <w:t>．</w:t>
      </w:r>
      <w:r>
        <w:rPr>
          <w:rFonts w:hint="eastAsia" w:eastAsia="方正仿宋_GBK"/>
          <w:color w:val="000000"/>
          <w:spacing w:val="-2"/>
          <w:sz w:val="24"/>
        </w:rPr>
        <w:t>建筑业企业降低安全生产条件，未能有效执行安全生产制度和履行各级安全生产职责的，未能按规定逐级签订安全生产责任书和安全生产目标考核的，未按规定设置安全管理机构、配备专职安全管理人员的，未按规定对所承接的工程项目进行安全生产检查、交底和验收的，每一项（次）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．在施工过程中，因发现存在同一类安全隐患</w:t>
      </w:r>
      <w:r>
        <w:rPr>
          <w:rFonts w:eastAsia="方正仿宋_GBK"/>
          <w:color w:val="000000"/>
          <w:spacing w:val="-2"/>
          <w:sz w:val="24"/>
        </w:rPr>
        <w:t>2</w:t>
      </w:r>
      <w:r>
        <w:rPr>
          <w:rFonts w:hint="eastAsia" w:eastAsia="方正仿宋_GBK"/>
          <w:color w:val="000000"/>
          <w:spacing w:val="-2"/>
          <w:sz w:val="24"/>
        </w:rPr>
        <w:t>次及以上要求整改的，每一项、每一次扣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．施工现场发现建筑起重机械未按规定办理产权登记即投入使用的或已办理拆卸注销告知仍使用的，每一台次扣</w:t>
      </w:r>
      <w:r>
        <w:rPr>
          <w:rFonts w:eastAsia="方正仿宋_GBK"/>
          <w:color w:val="000000"/>
          <w:spacing w:val="-2"/>
          <w:sz w:val="24"/>
        </w:rPr>
        <w:t>3</w:t>
      </w:r>
      <w:r>
        <w:rPr>
          <w:rFonts w:hint="eastAsia" w:eastAsia="方正仿宋_GBK"/>
          <w:color w:val="000000"/>
          <w:spacing w:val="-2"/>
          <w:sz w:val="24"/>
        </w:rPr>
        <w:t>分。发现重大安全隐患被暂停使用的，每次扣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．施工过程中，对监理单位发出停工整改意见拒绝执行的，每次扣</w:t>
      </w:r>
      <w:r>
        <w:rPr>
          <w:rFonts w:eastAsia="方正仿宋_GBK"/>
          <w:color w:val="000000"/>
          <w:spacing w:val="-2"/>
          <w:sz w:val="24"/>
        </w:rPr>
        <w:t>1</w:t>
      </w:r>
      <w:r>
        <w:rPr>
          <w:rFonts w:hint="eastAsia" w:eastAsia="方正仿宋_GBK"/>
          <w:color w:val="000000"/>
          <w:spacing w:val="-2"/>
          <w:sz w:val="24"/>
        </w:rPr>
        <w:t>分。安全监督机构发出的整改意见未能在规定时间内完成的，每一次扣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．建筑业企业和施工现场项目部未按建设部《危险性较大的分部分项工程</w:t>
      </w:r>
      <w:r>
        <w:fldChar w:fldCharType="begin"/>
      </w:r>
      <w:r>
        <w:instrText xml:space="preserve"> HYPERLINK "http://zhidao.baidu.com/search?word=%E5%AE%89%E5%85%A8%E7%AE%A1%E7%90%86&amp;fr=qb_search_exp&amp;ie=utf8" \t "_blank" </w:instrText>
      </w:r>
      <w:r>
        <w:fldChar w:fldCharType="separate"/>
      </w:r>
      <w:r>
        <w:rPr>
          <w:rStyle w:val="16"/>
          <w:rFonts w:hint="eastAsia" w:eastAsia="方正仿宋_GBK"/>
          <w:spacing w:val="-2"/>
          <w:sz w:val="24"/>
        </w:rPr>
        <w:t>安全管理</w:t>
      </w:r>
      <w:r>
        <w:fldChar w:fldCharType="end"/>
      </w:r>
      <w:r>
        <w:rPr>
          <w:rFonts w:hint="eastAsia" w:eastAsia="方正仿宋_GBK"/>
          <w:color w:val="000000"/>
          <w:spacing w:val="-2"/>
          <w:sz w:val="24"/>
        </w:rPr>
        <w:t>办法的通知》（建质〔</w:t>
      </w:r>
      <w:r>
        <w:rPr>
          <w:rFonts w:eastAsia="方正仿宋_GBK"/>
          <w:color w:val="000000"/>
          <w:spacing w:val="-2"/>
          <w:sz w:val="24"/>
        </w:rPr>
        <w:t>2009</w:t>
      </w:r>
      <w:r>
        <w:rPr>
          <w:rFonts w:hint="eastAsia" w:eastAsia="方正仿宋_GBK"/>
          <w:color w:val="000000"/>
          <w:spacing w:val="-2"/>
          <w:sz w:val="24"/>
        </w:rPr>
        <w:t>〕</w:t>
      </w:r>
      <w:r>
        <w:rPr>
          <w:rFonts w:eastAsia="方正仿宋_GBK"/>
          <w:color w:val="000000"/>
          <w:spacing w:val="-2"/>
          <w:sz w:val="24"/>
        </w:rPr>
        <w:t>87</w:t>
      </w:r>
      <w:r>
        <w:rPr>
          <w:rFonts w:hint="eastAsia" w:eastAsia="方正仿宋_GBK"/>
          <w:color w:val="000000"/>
          <w:spacing w:val="-2"/>
          <w:sz w:val="24"/>
        </w:rPr>
        <w:t>号）的要求对危险性较大的分部项工程实施有效安全管理的，存在重大安全隐患，被责令局部停工整改的，每一项每一次扣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．建筑业企业和施工现场项目部未有效落实应急救援预案并定期组织演练的，每一次扣</w:t>
      </w:r>
      <w:r>
        <w:rPr>
          <w:rFonts w:eastAsia="方正仿宋_GBK"/>
          <w:color w:val="000000"/>
          <w:spacing w:val="-2"/>
          <w:sz w:val="24"/>
        </w:rPr>
        <w:t>0.5</w:t>
      </w:r>
      <w:r>
        <w:rPr>
          <w:rFonts w:hint="eastAsia" w:eastAsia="方正仿宋_GBK"/>
          <w:color w:val="000000"/>
          <w:spacing w:val="-2"/>
          <w:sz w:val="24"/>
        </w:rPr>
        <w:t>分。</w:t>
      </w:r>
    </w:p>
    <w:p>
      <w:pPr>
        <w:pStyle w:val="7"/>
        <w:adjustRightInd w:val="0"/>
        <w:snapToGrid w:val="0"/>
        <w:spacing w:after="0" w:line="460" w:lineRule="exact"/>
        <w:ind w:left="0" w:leftChars="0" w:firstLine="200"/>
        <w:rPr>
          <w:rFonts w:eastAsia="方正仿宋_GBK"/>
          <w:color w:val="000000"/>
          <w:spacing w:val="-2"/>
          <w:sz w:val="24"/>
        </w:rPr>
      </w:pPr>
      <w:r>
        <w:rPr>
          <w:rFonts w:eastAsia="方正仿宋_GBK"/>
          <w:color w:val="000000"/>
          <w:spacing w:val="-2"/>
          <w:sz w:val="24"/>
        </w:rPr>
        <w:t>7</w:t>
      </w:r>
      <w:r>
        <w:rPr>
          <w:rFonts w:hint="eastAsia" w:eastAsia="方正仿宋_GBK"/>
          <w:color w:val="000000"/>
          <w:spacing w:val="-2"/>
          <w:sz w:val="24"/>
        </w:rPr>
        <w:t>．建筑业企业和施工现场项目部未按规定要求开展各类安全生产活动和人员安全教育培训的，按活动时间要求统计，每一次扣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七、文明施工考核中发现以下情况的，根据具体情况予以扣分</w:t>
      </w:r>
    </w:p>
    <w:p>
      <w:pPr>
        <w:adjustRightInd w:val="0"/>
        <w:snapToGrid w:val="0"/>
        <w:spacing w:line="460" w:lineRule="exact"/>
        <w:ind w:firstLine="472" w:firstLineChars="200"/>
        <w:rPr>
          <w:rFonts w:hint="eastAsia"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．施工过程中，考核为不合格文明工地的，每一项目扣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．施工过程中，被媒体曝光的，每一项目每一次扣</w:t>
      </w:r>
      <w:r>
        <w:rPr>
          <w:rFonts w:eastAsia="方正仿宋_GBK"/>
          <w:color w:val="000000"/>
          <w:spacing w:val="-2"/>
          <w:sz w:val="24"/>
        </w:rPr>
        <w:t>2</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．施工过程中，发现在尚未竣工的建筑物内设置员工宿舍的，每一项目每一处扣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．施工现场职工宿舍区发现使用不符合安全要求设备设施的，每一项目每一处扣</w:t>
      </w:r>
      <w:r>
        <w:rPr>
          <w:rFonts w:eastAsia="方正仿宋_GBK"/>
          <w:color w:val="000000"/>
          <w:spacing w:val="-2"/>
          <w:sz w:val="24"/>
        </w:rPr>
        <w:t>3</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．建筑起重设备作业区内有与高压线小于安全距离的、城市主次要干道、学校社区等危及公共安全且未及时采取有效防护措施的，每一项目每一处扣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．施工现场出入口和主要道路未硬化，未有控扬尘措施，场容场貌较差，每一项每一次扣</w:t>
      </w:r>
      <w:r>
        <w:rPr>
          <w:rFonts w:eastAsia="方正仿宋_GBK"/>
          <w:color w:val="000000"/>
          <w:spacing w:val="-2"/>
          <w:sz w:val="24"/>
        </w:rPr>
        <w:t>1</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sz w:val="24"/>
        </w:rPr>
      </w:pPr>
      <w:r>
        <w:rPr>
          <w:rFonts w:eastAsia="方正仿宋_GBK"/>
          <w:color w:val="000000"/>
          <w:spacing w:val="-2"/>
          <w:sz w:val="24"/>
        </w:rPr>
        <w:t>7</w:t>
      </w:r>
      <w:r>
        <w:rPr>
          <w:rFonts w:hint="eastAsia" w:eastAsia="方正仿宋_GBK"/>
          <w:color w:val="000000"/>
          <w:spacing w:val="-2"/>
          <w:sz w:val="24"/>
        </w:rPr>
        <w:t>．施工现场因违规或野蛮施工，发生有责投诉，情况属实的，每一项每一次扣</w:t>
      </w:r>
      <w:r>
        <w:rPr>
          <w:rFonts w:eastAsia="方正仿宋_GBK"/>
          <w:color w:val="000000"/>
          <w:spacing w:val="-2"/>
          <w:sz w:val="24"/>
        </w:rPr>
        <w:t>0.5</w:t>
      </w:r>
      <w:r>
        <w:rPr>
          <w:rFonts w:hint="eastAsia" w:eastAsia="方正仿宋_GBK"/>
          <w:color w:val="000000"/>
          <w:spacing w:val="-2"/>
          <w:sz w:val="24"/>
        </w:rPr>
        <w:t>分。</w:t>
      </w:r>
    </w:p>
    <w:p>
      <w:pPr>
        <w:adjustRightInd w:val="0"/>
        <w:snapToGrid w:val="0"/>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八、扣分有效期限以各市的信用综合考核时段为准。</w:t>
      </w:r>
    </w:p>
    <w:p>
      <w:pPr>
        <w:pStyle w:val="7"/>
        <w:adjustRightInd w:val="0"/>
        <w:snapToGrid w:val="0"/>
        <w:spacing w:line="460" w:lineRule="exact"/>
        <w:rPr>
          <w:rFonts w:eastAsia="方正仿宋_GBK"/>
          <w:color w:val="000000"/>
          <w:spacing w:val="-2"/>
          <w:sz w:val="24"/>
        </w:rPr>
      </w:pPr>
    </w:p>
    <w:p>
      <w:pPr>
        <w:pStyle w:val="7"/>
        <w:adjustRightInd w:val="0"/>
        <w:snapToGrid w:val="0"/>
        <w:spacing w:line="460" w:lineRule="exact"/>
        <w:rPr>
          <w:rFonts w:eastAsia="方正仿宋_GBK"/>
          <w:color w:val="000000"/>
          <w:spacing w:val="-2"/>
          <w:sz w:val="24"/>
        </w:rPr>
      </w:pPr>
    </w:p>
    <w:p>
      <w:pPr>
        <w:pStyle w:val="7"/>
        <w:adjustRightInd w:val="0"/>
        <w:snapToGrid w:val="0"/>
        <w:spacing w:line="460" w:lineRule="exact"/>
        <w:rPr>
          <w:rFonts w:eastAsia="方正仿宋_GBK"/>
          <w:color w:val="000000"/>
          <w:spacing w:val="-2"/>
          <w:sz w:val="24"/>
        </w:rPr>
      </w:pPr>
    </w:p>
    <w:p>
      <w:pPr>
        <w:pStyle w:val="7"/>
        <w:adjustRightInd w:val="0"/>
        <w:snapToGrid w:val="0"/>
        <w:spacing w:line="460" w:lineRule="exact"/>
        <w:rPr>
          <w:rFonts w:eastAsia="方正仿宋_GBK"/>
          <w:color w:val="000000"/>
          <w:spacing w:val="-2"/>
          <w:sz w:val="24"/>
        </w:rPr>
      </w:pPr>
    </w:p>
    <w:p>
      <w:pPr>
        <w:adjustRightInd w:val="0"/>
        <w:snapToGrid w:val="0"/>
        <w:spacing w:line="460" w:lineRule="exac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附件3</w:t>
      </w:r>
    </w:p>
    <w:p>
      <w:pPr>
        <w:adjustRightInd w:val="0"/>
        <w:snapToGrid w:val="0"/>
        <w:spacing w:line="460" w:lineRule="exact"/>
        <w:rPr>
          <w:rFonts w:hint="eastAsia" w:eastAsia="方正仿宋_GBK"/>
          <w:color w:val="000000"/>
          <w:spacing w:val="-2"/>
          <w:sz w:val="24"/>
        </w:rPr>
      </w:pPr>
    </w:p>
    <w:p>
      <w:pPr>
        <w:pStyle w:val="7"/>
        <w:adjustRightInd w:val="0"/>
        <w:snapToGrid w:val="0"/>
        <w:spacing w:line="570" w:lineRule="exact"/>
        <w:jc w:val="center"/>
        <w:rPr>
          <w:rFonts w:ascii="Times New Roman" w:hAnsi="Times New Roman" w:eastAsia="方正黑体_GBK"/>
          <w:color w:val="000000"/>
          <w:spacing w:val="-2"/>
          <w:sz w:val="36"/>
          <w:szCs w:val="36"/>
        </w:rPr>
      </w:pPr>
      <w:r>
        <w:rPr>
          <w:rFonts w:hint="eastAsia" w:ascii="Times New Roman" w:hAnsi="Times New Roman" w:eastAsia="方正黑体_GBK"/>
          <w:color w:val="000000"/>
          <w:spacing w:val="-2"/>
          <w:sz w:val="36"/>
          <w:szCs w:val="36"/>
        </w:rPr>
        <w:t>江苏省建筑业企业建筑市场综合考核内容和计分方法</w:t>
      </w:r>
    </w:p>
    <w:p>
      <w:pPr>
        <w:pStyle w:val="7"/>
        <w:adjustRightInd w:val="0"/>
        <w:snapToGrid w:val="0"/>
        <w:spacing w:line="240" w:lineRule="exact"/>
        <w:rPr>
          <w:rFonts w:hint="eastAsia"/>
          <w:color w:val="000000"/>
          <w:spacing w:val="-2"/>
        </w:rPr>
      </w:pPr>
    </w:p>
    <w:p>
      <w:pPr>
        <w:pStyle w:val="7"/>
        <w:adjustRightInd w:val="0"/>
        <w:snapToGrid w:val="0"/>
        <w:spacing w:line="460" w:lineRule="exact"/>
        <w:ind w:firstLine="561"/>
        <w:rPr>
          <w:rFonts w:eastAsia="方正仿宋_GBK"/>
          <w:color w:val="000000"/>
          <w:spacing w:val="-2"/>
          <w:sz w:val="24"/>
        </w:rPr>
      </w:pPr>
      <w:r>
        <w:rPr>
          <w:rFonts w:hint="eastAsia" w:eastAsia="方正仿宋_GBK"/>
          <w:color w:val="000000"/>
          <w:spacing w:val="-2"/>
          <w:sz w:val="24"/>
        </w:rPr>
        <w:t>一、建筑业企业综合考核是指在建筑市场综合检查中对工程建设各方主体的建筑市场行为、项目管理、质量行为、安全行为、实体质量、安全生产状况等进行的量化考核。</w:t>
      </w:r>
    </w:p>
    <w:p>
      <w:pPr>
        <w:pStyle w:val="7"/>
        <w:adjustRightInd w:val="0"/>
        <w:snapToGrid w:val="0"/>
        <w:spacing w:line="460" w:lineRule="exact"/>
        <w:ind w:firstLine="561"/>
        <w:rPr>
          <w:rFonts w:eastAsia="方正仿宋_GBK"/>
          <w:color w:val="000000"/>
          <w:spacing w:val="-2"/>
          <w:sz w:val="24"/>
        </w:rPr>
      </w:pPr>
      <w:r>
        <w:rPr>
          <w:rFonts w:hint="eastAsia" w:eastAsia="方正仿宋_GBK"/>
          <w:color w:val="000000"/>
          <w:spacing w:val="-2"/>
          <w:sz w:val="24"/>
        </w:rPr>
        <w:t>二、检查内容和评分标准见用表之一～六</w:t>
      </w:r>
    </w:p>
    <w:p>
      <w:pPr>
        <w:pStyle w:val="7"/>
        <w:adjustRightInd w:val="0"/>
        <w:snapToGrid w:val="0"/>
        <w:spacing w:line="570" w:lineRule="exact"/>
        <w:jc w:val="center"/>
        <w:rPr>
          <w:rFonts w:ascii="Times New Roman" w:hAnsi="Times New Roman" w:eastAsia="方正黑体_GBK"/>
          <w:color w:val="000000"/>
          <w:spacing w:val="-2"/>
          <w:sz w:val="28"/>
          <w:szCs w:val="28"/>
        </w:rPr>
      </w:pPr>
      <w:r>
        <w:rPr>
          <w:rFonts w:hint="eastAsia" w:ascii="Times New Roman" w:hAnsi="Times New Roman" w:eastAsia="方正黑体_GBK"/>
          <w:bCs/>
          <w:color w:val="000000"/>
          <w:spacing w:val="-2"/>
          <w:sz w:val="28"/>
          <w:szCs w:val="28"/>
        </w:rPr>
        <w:t>建筑市场综合考核用表之一</w:t>
      </w:r>
      <w:r>
        <w:rPr>
          <w:rFonts w:hint="eastAsia" w:ascii="Times New Roman" w:hAnsi="Times New Roman" w:eastAsia="方正黑体_GBK"/>
          <w:color w:val="000000"/>
          <w:spacing w:val="-2"/>
          <w:sz w:val="28"/>
          <w:szCs w:val="28"/>
        </w:rPr>
        <w:t>(工程概况)</w:t>
      </w:r>
    </w:p>
    <w:p>
      <w:pPr>
        <w:adjustRightInd w:val="0"/>
        <w:snapToGrid w:val="0"/>
        <w:spacing w:line="570" w:lineRule="exact"/>
        <w:jc w:val="left"/>
        <w:rPr>
          <w:rFonts w:hint="eastAsia" w:ascii="Times New Roman" w:hAnsi="Times New Roman" w:eastAsia="仿宋_GB2312"/>
          <w:color w:val="000000"/>
          <w:spacing w:val="-2"/>
          <w:kern w:val="0"/>
          <w:sz w:val="24"/>
        </w:rPr>
      </w:pPr>
      <w:r>
        <w:rPr>
          <w:rFonts w:hint="eastAsia" w:ascii="Times New Roman" w:hAnsi="Times New Roman" w:eastAsia="仿宋_GB2312"/>
          <w:bCs/>
          <w:color w:val="000000"/>
          <w:spacing w:val="-2"/>
          <w:kern w:val="0"/>
          <w:sz w:val="24"/>
        </w:rPr>
        <w:t xml:space="preserve"> 项目编号：                           检查日期：   </w:t>
      </w:r>
    </w:p>
    <w:tbl>
      <w:tblPr>
        <w:tblStyle w:val="12"/>
        <w:tblW w:w="0" w:type="auto"/>
        <w:jc w:val="center"/>
        <w:tblLayout w:type="fixed"/>
        <w:tblCellMar>
          <w:top w:w="0" w:type="dxa"/>
          <w:left w:w="108" w:type="dxa"/>
          <w:bottom w:w="0" w:type="dxa"/>
          <w:right w:w="108" w:type="dxa"/>
        </w:tblCellMar>
      </w:tblPr>
      <w:tblGrid>
        <w:gridCol w:w="742"/>
        <w:gridCol w:w="1365"/>
        <w:gridCol w:w="816"/>
        <w:gridCol w:w="741"/>
        <w:gridCol w:w="1856"/>
        <w:gridCol w:w="567"/>
        <w:gridCol w:w="999"/>
        <w:gridCol w:w="1357"/>
      </w:tblGrid>
      <w:tr>
        <w:tblPrEx>
          <w:tblCellMar>
            <w:top w:w="0" w:type="dxa"/>
            <w:left w:w="108" w:type="dxa"/>
            <w:bottom w:w="0" w:type="dxa"/>
            <w:right w:w="108" w:type="dxa"/>
          </w:tblCellMar>
        </w:tblPrEx>
        <w:trPr>
          <w:trHeight w:val="460" w:hRule="atLeast"/>
          <w:jc w:val="center"/>
        </w:trPr>
        <w:tc>
          <w:tcPr>
            <w:tcW w:w="2107" w:type="dxa"/>
            <w:gridSpan w:val="2"/>
            <w:tcBorders>
              <w:top w:val="single" w:color="auto" w:sz="8" w:space="0"/>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工程名称</w:t>
            </w:r>
          </w:p>
        </w:tc>
        <w:tc>
          <w:tcPr>
            <w:tcW w:w="1557" w:type="dxa"/>
            <w:gridSpan w:val="2"/>
            <w:tcBorders>
              <w:top w:val="single" w:color="auto" w:sz="8"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color="auto" w:sz="8"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工程地点</w:t>
            </w:r>
          </w:p>
        </w:tc>
        <w:tc>
          <w:tcPr>
            <w:tcW w:w="2356" w:type="dxa"/>
            <w:gridSpan w:val="2"/>
            <w:tcBorders>
              <w:top w:val="single" w:color="auto" w:sz="8" w:space="0"/>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448" w:hRule="atLeast"/>
          <w:jc w:val="center"/>
        </w:trPr>
        <w:tc>
          <w:tcPr>
            <w:tcW w:w="2107" w:type="dxa"/>
            <w:gridSpan w:val="2"/>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开工日期</w:t>
            </w:r>
          </w:p>
        </w:tc>
        <w:tc>
          <w:tcPr>
            <w:tcW w:w="155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竣工日期</w:t>
            </w:r>
          </w:p>
        </w:tc>
        <w:tc>
          <w:tcPr>
            <w:tcW w:w="2356" w:type="dxa"/>
            <w:gridSpan w:val="2"/>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15" w:hRule="atLeast"/>
          <w:jc w:val="center"/>
        </w:trPr>
        <w:tc>
          <w:tcPr>
            <w:tcW w:w="2107" w:type="dxa"/>
            <w:gridSpan w:val="2"/>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建筑总面积（平方米）</w:t>
            </w:r>
          </w:p>
        </w:tc>
        <w:tc>
          <w:tcPr>
            <w:tcW w:w="155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形象进度</w:t>
            </w:r>
          </w:p>
        </w:tc>
        <w:tc>
          <w:tcPr>
            <w:tcW w:w="2356" w:type="dxa"/>
            <w:gridSpan w:val="2"/>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94" w:hRule="atLeast"/>
          <w:jc w:val="center"/>
        </w:trPr>
        <w:tc>
          <w:tcPr>
            <w:tcW w:w="2107" w:type="dxa"/>
            <w:gridSpan w:val="2"/>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结构类型</w:t>
            </w:r>
          </w:p>
        </w:tc>
        <w:tc>
          <w:tcPr>
            <w:tcW w:w="155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建筑层数（层）</w:t>
            </w:r>
          </w:p>
        </w:tc>
        <w:tc>
          <w:tcPr>
            <w:tcW w:w="2356" w:type="dxa"/>
            <w:gridSpan w:val="2"/>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15" w:hRule="atLeast"/>
          <w:jc w:val="center"/>
        </w:trPr>
        <w:tc>
          <w:tcPr>
            <w:tcW w:w="2107" w:type="dxa"/>
            <w:gridSpan w:val="2"/>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工程造价金额（万元）</w:t>
            </w:r>
          </w:p>
        </w:tc>
        <w:tc>
          <w:tcPr>
            <w:tcW w:w="155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2423"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投资来源</w:t>
            </w:r>
          </w:p>
        </w:tc>
        <w:tc>
          <w:tcPr>
            <w:tcW w:w="2356" w:type="dxa"/>
            <w:gridSpan w:val="2"/>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15" w:hRule="atLeast"/>
          <w:jc w:val="center"/>
        </w:trPr>
        <w:tc>
          <w:tcPr>
            <w:tcW w:w="8443" w:type="dxa"/>
            <w:gridSpan w:val="8"/>
            <w:tcBorders>
              <w:top w:val="single" w:color="auto" w:sz="4" w:space="0"/>
              <w:left w:val="single" w:color="auto" w:sz="8" w:space="0"/>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各方主体和有关机构</w:t>
            </w:r>
          </w:p>
        </w:tc>
      </w:tr>
      <w:tr>
        <w:tblPrEx>
          <w:tblCellMar>
            <w:top w:w="0" w:type="dxa"/>
            <w:left w:w="108" w:type="dxa"/>
            <w:bottom w:w="0" w:type="dxa"/>
            <w:right w:w="108" w:type="dxa"/>
          </w:tblCellMar>
        </w:tblPrEx>
        <w:trPr>
          <w:trHeight w:val="340" w:hRule="exact"/>
          <w:jc w:val="center"/>
        </w:trPr>
        <w:tc>
          <w:tcPr>
            <w:tcW w:w="742" w:type="dxa"/>
            <w:vMerge w:val="restart"/>
            <w:tcBorders>
              <w:top w:val="single" w:color="auto" w:sz="4" w:space="0"/>
              <w:left w:val="single" w:color="auto" w:sz="8" w:space="0"/>
              <w:bottom w:val="single" w:color="auto" w:sz="4" w:space="0"/>
              <w:right w:val="single" w:color="auto" w:sz="4" w:space="0"/>
            </w:tcBorders>
            <w:noWrap w:val="0"/>
            <w:textDirection w:val="tbRlV"/>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各方主体和有关机构</w:t>
            </w:r>
          </w:p>
        </w:tc>
        <w:tc>
          <w:tcPr>
            <w:tcW w:w="2181"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项</w:t>
            </w:r>
            <w:r>
              <w:rPr>
                <w:rFonts w:eastAsia="仿宋_GB2312"/>
                <w:color w:val="000000"/>
                <w:spacing w:val="-2"/>
                <w:kern w:val="0"/>
                <w:szCs w:val="21"/>
              </w:rPr>
              <w:t xml:space="preserve">    </w:t>
            </w:r>
            <w:r>
              <w:rPr>
                <w:rFonts w:hint="eastAsia" w:eastAsia="仿宋_GB2312"/>
                <w:color w:val="000000"/>
                <w:spacing w:val="-2"/>
                <w:kern w:val="0"/>
                <w:szCs w:val="21"/>
              </w:rPr>
              <w:t>目</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单位名称</w:t>
            </w: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合同内容</w:t>
            </w: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项目负责人</w:t>
            </w: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建设单位</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勘察单位</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设计单位</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总包单位</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施工分包单位</w:t>
            </w:r>
          </w:p>
        </w:tc>
        <w:tc>
          <w:tcPr>
            <w:tcW w:w="259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59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59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监理单位</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vMerge w:val="restart"/>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检测机构</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商品砼生产单位</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预拌砂浆生产单位</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74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2181"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施工图审查机构</w:t>
            </w:r>
          </w:p>
        </w:tc>
        <w:tc>
          <w:tcPr>
            <w:tcW w:w="2597"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566"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p>
        </w:tc>
        <w:tc>
          <w:tcPr>
            <w:tcW w:w="1357"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2923" w:type="dxa"/>
            <w:gridSpan w:val="3"/>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备</w:t>
            </w:r>
            <w:r>
              <w:rPr>
                <w:rFonts w:eastAsia="仿宋_GB2312"/>
                <w:color w:val="000000"/>
                <w:spacing w:val="-2"/>
                <w:kern w:val="0"/>
                <w:szCs w:val="21"/>
              </w:rPr>
              <w:t xml:space="preserve">   </w:t>
            </w:r>
            <w:r>
              <w:rPr>
                <w:rFonts w:hint="eastAsia" w:eastAsia="仿宋_GB2312"/>
                <w:color w:val="000000"/>
                <w:spacing w:val="-2"/>
                <w:kern w:val="0"/>
                <w:szCs w:val="21"/>
              </w:rPr>
              <w:t>注</w:t>
            </w:r>
          </w:p>
        </w:tc>
        <w:tc>
          <w:tcPr>
            <w:tcW w:w="5520" w:type="dxa"/>
            <w:gridSpan w:val="5"/>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p>
        </w:tc>
      </w:tr>
      <w:tr>
        <w:tblPrEx>
          <w:tblCellMar>
            <w:top w:w="0" w:type="dxa"/>
            <w:left w:w="108" w:type="dxa"/>
            <w:bottom w:w="0" w:type="dxa"/>
            <w:right w:w="108" w:type="dxa"/>
          </w:tblCellMar>
        </w:tblPrEx>
        <w:trPr>
          <w:trHeight w:val="340" w:hRule="exact"/>
          <w:jc w:val="center"/>
        </w:trPr>
        <w:tc>
          <w:tcPr>
            <w:tcW w:w="2923" w:type="dxa"/>
            <w:gridSpan w:val="3"/>
            <w:tcBorders>
              <w:top w:val="single" w:color="auto" w:sz="4" w:space="0"/>
              <w:left w:val="single" w:color="auto" w:sz="8" w:space="0"/>
              <w:bottom w:val="single" w:color="auto" w:sz="8" w:space="0"/>
              <w:right w:val="single" w:color="auto" w:sz="4" w:space="0"/>
            </w:tcBorders>
            <w:noWrap w:val="0"/>
            <w:vAlign w:val="center"/>
          </w:tcPr>
          <w:p>
            <w:pPr>
              <w:adjustRightInd w:val="0"/>
              <w:snapToGrid w:val="0"/>
              <w:spacing w:line="240" w:lineRule="exact"/>
              <w:rPr>
                <w:rFonts w:eastAsia="仿宋_GB2312"/>
                <w:color w:val="000000"/>
                <w:spacing w:val="-2"/>
                <w:kern w:val="0"/>
                <w:szCs w:val="21"/>
              </w:rPr>
            </w:pPr>
            <w:r>
              <w:rPr>
                <w:rFonts w:hint="eastAsia" w:eastAsia="仿宋_GB2312"/>
                <w:color w:val="000000"/>
                <w:spacing w:val="-2"/>
                <w:kern w:val="0"/>
                <w:szCs w:val="21"/>
              </w:rPr>
              <w:t>填表单位签字：</w:t>
            </w:r>
          </w:p>
        </w:tc>
        <w:tc>
          <w:tcPr>
            <w:tcW w:w="5520" w:type="dxa"/>
            <w:gridSpan w:val="5"/>
            <w:tcBorders>
              <w:top w:val="single" w:color="auto" w:sz="4" w:space="0"/>
              <w:left w:val="nil"/>
              <w:bottom w:val="single" w:color="auto" w:sz="8" w:space="0"/>
              <w:right w:val="single" w:color="auto" w:sz="8" w:space="0"/>
            </w:tcBorders>
            <w:noWrap w:val="0"/>
            <w:vAlign w:val="center"/>
          </w:tcPr>
          <w:p>
            <w:pPr>
              <w:adjustRightInd w:val="0"/>
              <w:snapToGrid w:val="0"/>
              <w:spacing w:line="240" w:lineRule="exact"/>
              <w:jc w:val="center"/>
              <w:rPr>
                <w:rFonts w:eastAsia="仿宋_GB2312"/>
                <w:color w:val="000000"/>
                <w:spacing w:val="-2"/>
                <w:kern w:val="0"/>
                <w:szCs w:val="21"/>
              </w:rPr>
            </w:pPr>
            <w:r>
              <w:rPr>
                <w:rFonts w:hint="eastAsia" w:eastAsia="仿宋_GB2312"/>
                <w:color w:val="000000"/>
                <w:spacing w:val="-2"/>
                <w:kern w:val="0"/>
                <w:szCs w:val="21"/>
              </w:rPr>
              <w:t>被检查单位签字：</w:t>
            </w:r>
          </w:p>
        </w:tc>
      </w:tr>
    </w:tbl>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建筑市场综合考核用表之二 （建设程序情况）</w:t>
      </w:r>
    </w:p>
    <w:p>
      <w:pPr>
        <w:adjustRightInd w:val="0"/>
        <w:snapToGrid w:val="0"/>
        <w:spacing w:line="570" w:lineRule="exact"/>
        <w:rPr>
          <w:rFonts w:hint="eastAsia" w:ascii="Times New Roman" w:hAnsi="Times New Roman" w:eastAsia="仿宋_GB2312"/>
          <w:bCs/>
          <w:color w:val="000000"/>
          <w:spacing w:val="-2"/>
          <w:kern w:val="0"/>
          <w:sz w:val="24"/>
        </w:rPr>
      </w:pPr>
      <w:r>
        <w:rPr>
          <w:rFonts w:hint="eastAsia" w:ascii="Times New Roman" w:hAnsi="Times New Roman" w:eastAsia="仿宋_GB2312"/>
          <w:bCs/>
          <w:color w:val="000000"/>
          <w:spacing w:val="-2"/>
          <w:kern w:val="0"/>
          <w:sz w:val="24"/>
        </w:rPr>
        <w:t xml:space="preserve">项目编号：                                            检查日期：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81"/>
        <w:gridCol w:w="1508"/>
        <w:gridCol w:w="1994"/>
        <w:gridCol w:w="1116"/>
        <w:gridCol w:w="1929"/>
        <w:gridCol w:w="694"/>
        <w:gridCol w:w="599"/>
        <w:gridCol w:w="96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9282" w:type="dxa"/>
            <w:gridSpan w:val="8"/>
            <w:tcBorders>
              <w:top w:val="single" w:color="auto" w:sz="8" w:space="0"/>
              <w:left w:val="single" w:color="auto" w:sz="8" w:space="0"/>
              <w:bottom w:val="single" w:color="auto" w:sz="4" w:space="0"/>
              <w:right w:val="single" w:color="auto" w:sz="8" w:space="0"/>
            </w:tcBorders>
            <w:shd w:val="clear" w:color="auto" w:fill="FFFFFF"/>
            <w:noWrap w:val="0"/>
            <w:vAlign w:val="center"/>
          </w:tcPr>
          <w:p>
            <w:pPr>
              <w:adjustRightInd w:val="0"/>
              <w:snapToGrid w:val="0"/>
              <w:spacing w:line="300" w:lineRule="exact"/>
              <w:rPr>
                <w:rFonts w:eastAsia="仿宋_GB2312"/>
                <w:b/>
                <w:bCs/>
                <w:color w:val="000000"/>
                <w:spacing w:val="-2"/>
                <w:kern w:val="0"/>
                <w:szCs w:val="21"/>
              </w:rPr>
            </w:pPr>
            <w:r>
              <w:rPr>
                <w:rFonts w:hint="eastAsia" w:eastAsia="仿宋_GB2312"/>
                <w:b/>
                <w:bCs/>
                <w:color w:val="000000"/>
                <w:spacing w:val="-2"/>
                <w:kern w:val="0"/>
                <w:szCs w:val="21"/>
              </w:rPr>
              <w:t>建设单位（</w:t>
            </w:r>
            <w:r>
              <w:rPr>
                <w:rFonts w:eastAsia="仿宋_GB2312"/>
                <w:b/>
                <w:bCs/>
                <w:color w:val="000000"/>
                <w:spacing w:val="-2"/>
                <w:kern w:val="0"/>
                <w:szCs w:val="21"/>
              </w:rPr>
              <w:t>100</w:t>
            </w:r>
            <w:r>
              <w:rPr>
                <w:rFonts w:hint="eastAsia" w:eastAsia="仿宋_GB2312"/>
                <w:b/>
                <w:bCs/>
                <w:color w:val="000000"/>
                <w:spacing w:val="-2"/>
                <w:kern w:val="0"/>
                <w:szCs w:val="21"/>
              </w:rPr>
              <w:t>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4" w:hRule="atLeast"/>
          <w:jc w:val="center"/>
        </w:trPr>
        <w:tc>
          <w:tcPr>
            <w:tcW w:w="48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ind w:left="-105" w:leftChars="-50" w:right="-105" w:rightChars="-50"/>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序号</w:t>
            </w:r>
          </w:p>
        </w:tc>
        <w:tc>
          <w:tcPr>
            <w:tcW w:w="150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ind w:left="-105" w:leftChars="-50" w:right="-105" w:rightChars="-5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检查项目</w:t>
            </w:r>
          </w:p>
        </w:tc>
        <w:tc>
          <w:tcPr>
            <w:tcW w:w="19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ind w:left="-105" w:leftChars="-50" w:right="-105" w:rightChars="-50"/>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检 查 内 容</w:t>
            </w:r>
          </w:p>
        </w:tc>
        <w:tc>
          <w:tcPr>
            <w:tcW w:w="111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ind w:left="-105" w:leftChars="-50" w:right="-105" w:rightChars="-50"/>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评分</w:t>
            </w:r>
          </w:p>
          <w:p>
            <w:pPr>
              <w:adjustRightInd w:val="0"/>
              <w:snapToGrid w:val="0"/>
              <w:spacing w:line="300" w:lineRule="exact"/>
              <w:ind w:left="-105" w:leftChars="-50" w:right="-105" w:rightChars="-50"/>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标准</w:t>
            </w: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ind w:left="-105" w:leftChars="-50" w:right="-105" w:rightChars="-50"/>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结果描述</w:t>
            </w: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ind w:left="-105" w:leftChars="-50" w:right="-105" w:rightChars="-50"/>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扣分</w:t>
            </w: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ind w:left="-105" w:leftChars="-50" w:right="-105" w:rightChars="-50"/>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得分</w:t>
            </w: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ind w:left="-105" w:leftChars="-50" w:right="-105" w:rightChars="-50"/>
              <w:jc w:val="center"/>
              <w:rPr>
                <w:rFonts w:ascii="Times New Roman" w:eastAsia="方正黑体_GBK"/>
                <w:bCs/>
                <w:color w:val="000000"/>
                <w:spacing w:val="-2"/>
                <w:kern w:val="0"/>
                <w:szCs w:val="21"/>
              </w:rPr>
            </w:pPr>
            <w:r>
              <w:rPr>
                <w:rFonts w:hint="eastAsia" w:ascii="Times New Roman" w:eastAsia="方正黑体_GBK"/>
                <w:bCs/>
                <w:color w:val="000000"/>
                <w:spacing w:val="-2"/>
                <w:kern w:val="0"/>
                <w:szCs w:val="21"/>
              </w:rPr>
              <w:t>扣分原因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48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1</w:t>
            </w:r>
          </w:p>
        </w:tc>
        <w:tc>
          <w:tcPr>
            <w:tcW w:w="150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施工许可证</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19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是否有施工许可证</w:t>
            </w:r>
          </w:p>
        </w:tc>
        <w:tc>
          <w:tcPr>
            <w:tcW w:w="111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无证施工扣</w:t>
            </w:r>
            <w:r>
              <w:rPr>
                <w:rFonts w:eastAsia="仿宋_GB2312"/>
                <w:color w:val="000000"/>
                <w:spacing w:val="-2"/>
                <w:kern w:val="0"/>
                <w:szCs w:val="21"/>
              </w:rPr>
              <w:t>20</w:t>
            </w:r>
            <w:r>
              <w:rPr>
                <w:rFonts w:hint="eastAsia" w:eastAsia="仿宋_GB2312"/>
                <w:color w:val="000000"/>
                <w:spacing w:val="-2"/>
                <w:kern w:val="0"/>
                <w:szCs w:val="21"/>
              </w:rPr>
              <w:t>分</w:t>
            </w: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无施工许可证。</w:t>
            </w: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14" w:hRule="atLeast"/>
          <w:jc w:val="center"/>
        </w:trPr>
        <w:tc>
          <w:tcPr>
            <w:tcW w:w="48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2</w:t>
            </w:r>
          </w:p>
        </w:tc>
        <w:tc>
          <w:tcPr>
            <w:tcW w:w="150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招标情况</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9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招标内容是否与实际施工情况一致</w:t>
            </w:r>
          </w:p>
        </w:tc>
        <w:tc>
          <w:tcPr>
            <w:tcW w:w="1116"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其中任何一项不符合要求扣</w:t>
            </w:r>
            <w:r>
              <w:rPr>
                <w:rFonts w:eastAsia="仿宋_GB2312"/>
                <w:color w:val="000000"/>
                <w:spacing w:val="-2"/>
                <w:kern w:val="0"/>
                <w:szCs w:val="21"/>
              </w:rPr>
              <w:t>10</w:t>
            </w:r>
            <w:r>
              <w:rPr>
                <w:rFonts w:hint="eastAsia" w:eastAsia="仿宋_GB2312"/>
                <w:color w:val="000000"/>
                <w:spacing w:val="-2"/>
                <w:kern w:val="0"/>
                <w:szCs w:val="21"/>
              </w:rPr>
              <w:t>分</w:t>
            </w: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招标内容与实际施工情况不一致</w:t>
            </w: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48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3</w:t>
            </w:r>
          </w:p>
        </w:tc>
        <w:tc>
          <w:tcPr>
            <w:tcW w:w="150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施工合同备案</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9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是否备案</w:t>
            </w:r>
          </w:p>
        </w:tc>
        <w:tc>
          <w:tcPr>
            <w:tcW w:w="11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施工合同未经招投标</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监管部门备案。</w:t>
            </w: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48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4</w:t>
            </w:r>
          </w:p>
        </w:tc>
        <w:tc>
          <w:tcPr>
            <w:tcW w:w="150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监理合同备案</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9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是否备案</w:t>
            </w:r>
          </w:p>
        </w:tc>
        <w:tc>
          <w:tcPr>
            <w:tcW w:w="11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监理合同未经招投标</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监管部门备案。</w:t>
            </w: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0" w:hRule="atLeast"/>
          <w:jc w:val="center"/>
        </w:trPr>
        <w:tc>
          <w:tcPr>
            <w:tcW w:w="48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5</w:t>
            </w:r>
          </w:p>
        </w:tc>
        <w:tc>
          <w:tcPr>
            <w:tcW w:w="150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档案报建</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9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项目开工前是否与城建档案馆签订报送责任书</w:t>
            </w:r>
          </w:p>
        </w:tc>
        <w:tc>
          <w:tcPr>
            <w:tcW w:w="11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未与城建档案馆签订报送责任书。</w:t>
            </w: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01" w:hRule="atLeast"/>
          <w:jc w:val="center"/>
        </w:trPr>
        <w:tc>
          <w:tcPr>
            <w:tcW w:w="48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6</w:t>
            </w:r>
          </w:p>
        </w:tc>
        <w:tc>
          <w:tcPr>
            <w:tcW w:w="150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档案积累（</w:t>
            </w:r>
            <w:r>
              <w:rPr>
                <w:rFonts w:eastAsia="仿宋_GB2312"/>
                <w:color w:val="000000"/>
                <w:spacing w:val="-2"/>
                <w:kern w:val="0"/>
                <w:szCs w:val="21"/>
              </w:rPr>
              <w:t>10</w:t>
            </w:r>
            <w:r>
              <w:rPr>
                <w:rFonts w:hint="eastAsia" w:eastAsia="仿宋_GB2312"/>
                <w:color w:val="000000"/>
                <w:spacing w:val="-2"/>
                <w:kern w:val="0"/>
                <w:szCs w:val="21"/>
              </w:rPr>
              <w:t>）</w:t>
            </w:r>
          </w:p>
        </w:tc>
        <w:tc>
          <w:tcPr>
            <w:tcW w:w="19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纸质、电子和声像档案按要求积累</w:t>
            </w:r>
          </w:p>
        </w:tc>
        <w:tc>
          <w:tcPr>
            <w:tcW w:w="11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未按要求积累</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声像档案</w:t>
            </w: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96" w:hRule="atLeast"/>
          <w:jc w:val="center"/>
        </w:trPr>
        <w:tc>
          <w:tcPr>
            <w:tcW w:w="48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7</w:t>
            </w:r>
          </w:p>
        </w:tc>
        <w:tc>
          <w:tcPr>
            <w:tcW w:w="150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资金支付情况</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19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是否按见证施工合同约定，支付工程款（查支付凭证）。</w:t>
            </w:r>
          </w:p>
        </w:tc>
        <w:tc>
          <w:tcPr>
            <w:tcW w:w="111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不符合依据情节扣</w:t>
            </w:r>
            <w:r>
              <w:rPr>
                <w:rFonts w:eastAsia="仿宋_GB2312"/>
                <w:color w:val="000000"/>
                <w:spacing w:val="-2"/>
                <w:kern w:val="0"/>
                <w:szCs w:val="21"/>
              </w:rPr>
              <w:t>10-20</w:t>
            </w:r>
            <w:r>
              <w:rPr>
                <w:rFonts w:hint="eastAsia" w:eastAsia="仿宋_GB2312"/>
                <w:color w:val="000000"/>
                <w:spacing w:val="-2"/>
                <w:kern w:val="0"/>
                <w:szCs w:val="21"/>
              </w:rPr>
              <w:t>分</w:t>
            </w: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未按经过备案的施工合同约定支付工程款。</w:t>
            </w: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48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8</w:t>
            </w:r>
          </w:p>
        </w:tc>
        <w:tc>
          <w:tcPr>
            <w:tcW w:w="150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其他（</w:t>
            </w:r>
            <w:r>
              <w:rPr>
                <w:rFonts w:eastAsia="仿宋_GB2312"/>
                <w:color w:val="000000"/>
                <w:spacing w:val="-2"/>
                <w:kern w:val="0"/>
                <w:szCs w:val="21"/>
              </w:rPr>
              <w:t>10</w:t>
            </w:r>
            <w:r>
              <w:rPr>
                <w:rFonts w:hint="eastAsia" w:eastAsia="仿宋_GB2312"/>
                <w:color w:val="000000"/>
                <w:spacing w:val="-2"/>
                <w:kern w:val="0"/>
                <w:szCs w:val="21"/>
              </w:rPr>
              <w:t>）</w:t>
            </w:r>
          </w:p>
        </w:tc>
        <w:tc>
          <w:tcPr>
            <w:tcW w:w="19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违法发包</w:t>
            </w:r>
          </w:p>
        </w:tc>
        <w:tc>
          <w:tcPr>
            <w:tcW w:w="111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存在</w:t>
            </w:r>
          </w:p>
          <w:p>
            <w:pPr>
              <w:adjustRightInd w:val="0"/>
              <w:snapToGrid w:val="0"/>
              <w:spacing w:line="300" w:lineRule="exact"/>
              <w:jc w:val="center"/>
              <w:rPr>
                <w:rFonts w:eastAsia="仿宋_GB2312"/>
                <w:color w:val="000000"/>
                <w:spacing w:val="-2"/>
                <w:kern w:val="0"/>
                <w:szCs w:val="21"/>
              </w:rPr>
            </w:pPr>
            <w:r>
              <w:rPr>
                <w:rFonts w:hint="eastAsia" w:eastAsia="仿宋_GB2312"/>
                <w:color w:val="000000"/>
                <w:spacing w:val="-2"/>
                <w:kern w:val="0"/>
                <w:szCs w:val="21"/>
              </w:rPr>
              <w:t>扣</w:t>
            </w:r>
            <w:r>
              <w:rPr>
                <w:rFonts w:eastAsia="仿宋_GB2312"/>
                <w:color w:val="000000"/>
                <w:spacing w:val="-2"/>
                <w:kern w:val="0"/>
                <w:szCs w:val="21"/>
              </w:rPr>
              <w:t>10</w:t>
            </w:r>
            <w:r>
              <w:rPr>
                <w:rFonts w:hint="eastAsia" w:eastAsia="仿宋_GB2312"/>
                <w:color w:val="000000"/>
                <w:spacing w:val="-2"/>
                <w:kern w:val="0"/>
                <w:szCs w:val="21"/>
              </w:rPr>
              <w:t>分</w:t>
            </w: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39" w:hRule="atLeast"/>
          <w:jc w:val="center"/>
        </w:trPr>
        <w:tc>
          <w:tcPr>
            <w:tcW w:w="1989" w:type="dxa"/>
            <w:gridSpan w:val="2"/>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00" w:lineRule="exact"/>
              <w:rPr>
                <w:rFonts w:eastAsia="仿宋_GB2312"/>
                <w:color w:val="000000"/>
                <w:spacing w:val="-2"/>
                <w:kern w:val="0"/>
                <w:szCs w:val="21"/>
              </w:rPr>
            </w:pPr>
            <w:r>
              <w:rPr>
                <w:rFonts w:hint="eastAsia" w:eastAsia="仿宋_GB2312"/>
                <w:color w:val="000000"/>
                <w:spacing w:val="-2"/>
                <w:kern w:val="0"/>
                <w:szCs w:val="21"/>
              </w:rPr>
              <w:t>检查人签字</w:t>
            </w:r>
            <w:r>
              <w:rPr>
                <w:rFonts w:eastAsia="仿宋_GB2312"/>
                <w:color w:val="000000"/>
                <w:spacing w:val="-2"/>
                <w:kern w:val="0"/>
                <w:szCs w:val="21"/>
              </w:rPr>
              <w:t>:</w:t>
            </w:r>
          </w:p>
        </w:tc>
        <w:tc>
          <w:tcPr>
            <w:tcW w:w="3110"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rPr>
                <w:rFonts w:eastAsia="仿宋_GB2312"/>
                <w:color w:val="000000"/>
                <w:spacing w:val="-2"/>
                <w:kern w:val="0"/>
                <w:szCs w:val="21"/>
              </w:rPr>
            </w:pPr>
            <w:r>
              <w:rPr>
                <w:rFonts w:hint="eastAsia" w:eastAsia="仿宋_GB2312"/>
                <w:color w:val="000000"/>
                <w:spacing w:val="-2"/>
                <w:kern w:val="0"/>
                <w:szCs w:val="21"/>
              </w:rPr>
              <w:t>被检查单位签字</w:t>
            </w:r>
            <w:r>
              <w:rPr>
                <w:rFonts w:eastAsia="仿宋_GB2312"/>
                <w:color w:val="000000"/>
                <w:spacing w:val="-2"/>
                <w:kern w:val="0"/>
                <w:szCs w:val="21"/>
              </w:rPr>
              <w:t>:</w:t>
            </w:r>
          </w:p>
        </w:tc>
        <w:tc>
          <w:tcPr>
            <w:tcW w:w="192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r>
              <w:rPr>
                <w:rFonts w:eastAsia="仿宋_GB2312"/>
                <w:color w:val="000000"/>
                <w:spacing w:val="-2"/>
                <w:kern w:val="0"/>
                <w:szCs w:val="21"/>
              </w:rPr>
              <w:t xml:space="preserve"> </w:t>
            </w:r>
            <w:r>
              <w:rPr>
                <w:rFonts w:hint="eastAsia" w:eastAsia="仿宋_GB2312"/>
                <w:color w:val="000000"/>
                <w:spacing w:val="-2"/>
                <w:kern w:val="0"/>
                <w:szCs w:val="21"/>
              </w:rPr>
              <w:t>得失分情况</w:t>
            </w:r>
          </w:p>
        </w:tc>
        <w:tc>
          <w:tcPr>
            <w:tcW w:w="6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59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00" w:lineRule="exact"/>
              <w:jc w:val="center"/>
              <w:rPr>
                <w:rFonts w:eastAsia="仿宋_GB2312"/>
                <w:color w:val="000000"/>
                <w:spacing w:val="-2"/>
                <w:kern w:val="0"/>
                <w:szCs w:val="21"/>
              </w:rPr>
            </w:pPr>
          </w:p>
        </w:tc>
        <w:tc>
          <w:tcPr>
            <w:tcW w:w="961"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00" w:lineRule="exact"/>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4" w:hRule="atLeast"/>
          <w:jc w:val="center"/>
        </w:trPr>
        <w:tc>
          <w:tcPr>
            <w:tcW w:w="9282" w:type="dxa"/>
            <w:gridSpan w:val="8"/>
            <w:tcBorders>
              <w:top w:val="single" w:color="auto" w:sz="4" w:space="0"/>
              <w:left w:val="single" w:color="auto" w:sz="8" w:space="0"/>
              <w:bottom w:val="single" w:color="auto" w:sz="8" w:space="0"/>
              <w:right w:val="single" w:color="auto" w:sz="8" w:space="0"/>
            </w:tcBorders>
            <w:noWrap w:val="0"/>
            <w:vAlign w:val="center"/>
          </w:tcPr>
          <w:p>
            <w:pPr>
              <w:adjustRightInd w:val="0"/>
              <w:snapToGrid w:val="0"/>
              <w:spacing w:line="300" w:lineRule="exact"/>
              <w:rPr>
                <w:rFonts w:eastAsia="仿宋_GB2312"/>
                <w:color w:val="000000"/>
                <w:spacing w:val="-2"/>
                <w:kern w:val="0"/>
                <w:szCs w:val="21"/>
              </w:rPr>
            </w:pPr>
            <w:r>
              <w:rPr>
                <w:rFonts w:hint="eastAsia" w:eastAsia="仿宋_GB2312"/>
                <w:color w:val="000000"/>
                <w:spacing w:val="-2"/>
                <w:kern w:val="0"/>
                <w:szCs w:val="21"/>
              </w:rPr>
              <w:t>检查需准备资料：施工许可证、中标通知书或直接发包备案书、施工总包及分包合同、监理合同、档案报建等手续。</w:t>
            </w:r>
          </w:p>
        </w:tc>
      </w:tr>
    </w:tbl>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仿宋"/>
          <w:b/>
          <w:bCs/>
          <w:color w:val="000000"/>
          <w:spacing w:val="-2"/>
        </w:rPr>
        <w:br w:type="column"/>
      </w:r>
      <w:r>
        <w:rPr>
          <w:rFonts w:hint="eastAsia" w:ascii="Times New Roman" w:hAnsi="Times New Roman" w:eastAsia="方正黑体_GBK"/>
          <w:bCs/>
          <w:color w:val="000000"/>
          <w:spacing w:val="-2"/>
          <w:sz w:val="28"/>
          <w:szCs w:val="28"/>
        </w:rPr>
        <w:t>建筑市场综合考核用表之三（项目综合情况）</w:t>
      </w:r>
    </w:p>
    <w:p>
      <w:pPr>
        <w:adjustRightInd w:val="0"/>
        <w:snapToGrid w:val="0"/>
        <w:spacing w:line="570" w:lineRule="exact"/>
        <w:rPr>
          <w:rFonts w:hint="eastAsia" w:ascii="Times New Roman" w:hAnsi="Times New Roman" w:eastAsia="仿宋_GB2312"/>
          <w:color w:val="000000"/>
          <w:spacing w:val="-2"/>
          <w:kern w:val="0"/>
          <w:sz w:val="24"/>
        </w:rPr>
      </w:pPr>
      <w:r>
        <w:rPr>
          <w:rFonts w:hint="eastAsia" w:ascii="Times New Roman" w:hAnsi="Times New Roman" w:eastAsia="仿宋_GB2312"/>
          <w:bCs/>
          <w:color w:val="000000"/>
          <w:spacing w:val="-2"/>
          <w:kern w:val="0"/>
          <w:sz w:val="24"/>
        </w:rPr>
        <w:t xml:space="preserve">项目编号：                                        检查日期：           </w:t>
      </w:r>
    </w:p>
    <w:tbl>
      <w:tblPr>
        <w:tblStyle w:val="12"/>
        <w:tblW w:w="0" w:type="auto"/>
        <w:jc w:val="center"/>
        <w:tblLayout w:type="fixed"/>
        <w:tblCellMar>
          <w:top w:w="0" w:type="dxa"/>
          <w:left w:w="108" w:type="dxa"/>
          <w:bottom w:w="0" w:type="dxa"/>
          <w:right w:w="108" w:type="dxa"/>
        </w:tblCellMar>
      </w:tblPr>
      <w:tblGrid>
        <w:gridCol w:w="319"/>
        <w:gridCol w:w="902"/>
        <w:gridCol w:w="1433"/>
        <w:gridCol w:w="2956"/>
        <w:gridCol w:w="2372"/>
        <w:gridCol w:w="532"/>
        <w:gridCol w:w="480"/>
        <w:gridCol w:w="520"/>
      </w:tblGrid>
      <w:tr>
        <w:tblPrEx>
          <w:tblCellMar>
            <w:top w:w="0" w:type="dxa"/>
            <w:left w:w="108" w:type="dxa"/>
            <w:bottom w:w="0" w:type="dxa"/>
            <w:right w:w="108" w:type="dxa"/>
          </w:tblCellMar>
        </w:tblPrEx>
        <w:trPr>
          <w:trHeight w:val="462" w:hRule="atLeast"/>
          <w:jc w:val="center"/>
        </w:trPr>
        <w:tc>
          <w:tcPr>
            <w:tcW w:w="9514" w:type="dxa"/>
            <w:gridSpan w:val="8"/>
            <w:tcBorders>
              <w:top w:val="single" w:color="auto" w:sz="8" w:space="0"/>
              <w:left w:val="single" w:color="auto" w:sz="8" w:space="0"/>
              <w:bottom w:val="single" w:color="auto" w:sz="4" w:space="0"/>
              <w:right w:val="single" w:color="auto" w:sz="8" w:space="0"/>
            </w:tcBorders>
            <w:noWrap w:val="0"/>
            <w:vAlign w:val="center"/>
          </w:tcPr>
          <w:p>
            <w:pPr>
              <w:adjustRightInd w:val="0"/>
              <w:snapToGrid w:val="0"/>
              <w:spacing w:line="240" w:lineRule="exact"/>
              <w:ind w:left="-63" w:leftChars="-30" w:right="-63" w:rightChars="-30"/>
              <w:rPr>
                <w:rFonts w:eastAsia="仿宋_GB2312"/>
                <w:b/>
                <w:bCs/>
                <w:color w:val="000000"/>
                <w:spacing w:val="-2"/>
                <w:kern w:val="0"/>
                <w:sz w:val="18"/>
                <w:szCs w:val="18"/>
              </w:rPr>
            </w:pPr>
            <w:r>
              <w:rPr>
                <w:rFonts w:hint="eastAsia" w:eastAsia="仿宋_GB2312"/>
                <w:b/>
                <w:bCs/>
                <w:color w:val="000000"/>
                <w:spacing w:val="-2"/>
                <w:kern w:val="0"/>
                <w:sz w:val="18"/>
                <w:szCs w:val="18"/>
              </w:rPr>
              <w:t>施工单位（</w:t>
            </w:r>
            <w:r>
              <w:rPr>
                <w:rFonts w:eastAsia="仿宋_GB2312"/>
                <w:b/>
                <w:bCs/>
                <w:color w:val="000000"/>
                <w:spacing w:val="-2"/>
                <w:kern w:val="0"/>
                <w:sz w:val="18"/>
                <w:szCs w:val="18"/>
              </w:rPr>
              <w:t>100</w:t>
            </w:r>
            <w:r>
              <w:rPr>
                <w:rFonts w:hint="eastAsia" w:eastAsia="仿宋_GB2312"/>
                <w:b/>
                <w:bCs/>
                <w:color w:val="000000"/>
                <w:spacing w:val="-2"/>
                <w:kern w:val="0"/>
                <w:sz w:val="18"/>
                <w:szCs w:val="18"/>
              </w:rPr>
              <w:t>分）</w:t>
            </w:r>
          </w:p>
        </w:tc>
      </w:tr>
      <w:tr>
        <w:tblPrEx>
          <w:tblCellMar>
            <w:top w:w="0" w:type="dxa"/>
            <w:left w:w="108" w:type="dxa"/>
            <w:bottom w:w="0" w:type="dxa"/>
            <w:right w:w="108" w:type="dxa"/>
          </w:tblCellMar>
        </w:tblPrEx>
        <w:trPr>
          <w:trHeight w:val="285" w:hRule="atLeast"/>
          <w:jc w:val="center"/>
        </w:trPr>
        <w:tc>
          <w:tcPr>
            <w:tcW w:w="319"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序号</w:t>
            </w:r>
          </w:p>
        </w:tc>
        <w:tc>
          <w:tcPr>
            <w:tcW w:w="2335"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检查项目</w:t>
            </w:r>
          </w:p>
        </w:tc>
        <w:tc>
          <w:tcPr>
            <w:tcW w:w="2956"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检 查 内 容</w:t>
            </w: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评分标准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扣分</w:t>
            </w:r>
          </w:p>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情况</w:t>
            </w: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得分</w:t>
            </w:r>
          </w:p>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情况</w:t>
            </w: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扣分</w:t>
            </w:r>
          </w:p>
          <w:p>
            <w:pPr>
              <w:adjustRightInd w:val="0"/>
              <w:snapToGrid w:val="0"/>
              <w:spacing w:line="240" w:lineRule="exact"/>
              <w:ind w:left="-63" w:leftChars="-30" w:right="-63" w:rightChars="-30"/>
              <w:jc w:val="center"/>
              <w:rPr>
                <w:rFonts w:ascii="Times New Roman" w:eastAsia="方正黑体_GBK"/>
                <w:color w:val="000000"/>
                <w:spacing w:val="-2"/>
                <w:kern w:val="0"/>
                <w:sz w:val="18"/>
                <w:szCs w:val="18"/>
              </w:rPr>
            </w:pPr>
            <w:r>
              <w:rPr>
                <w:rFonts w:hint="eastAsia" w:ascii="Times New Roman" w:eastAsia="方正黑体_GBK"/>
                <w:color w:val="000000"/>
                <w:spacing w:val="-2"/>
                <w:kern w:val="0"/>
                <w:sz w:val="18"/>
                <w:szCs w:val="18"/>
              </w:rPr>
              <w:t>原因</w:t>
            </w:r>
          </w:p>
        </w:tc>
      </w:tr>
      <w:tr>
        <w:tblPrEx>
          <w:tblCellMar>
            <w:top w:w="0" w:type="dxa"/>
            <w:left w:w="108" w:type="dxa"/>
            <w:bottom w:w="0" w:type="dxa"/>
            <w:right w:w="108" w:type="dxa"/>
          </w:tblCellMar>
        </w:tblPrEx>
        <w:trPr>
          <w:trHeight w:val="760" w:hRule="atLeast"/>
          <w:jc w:val="center"/>
        </w:trPr>
        <w:tc>
          <w:tcPr>
            <w:tcW w:w="319"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eastAsia="仿宋_GB2312"/>
                <w:color w:val="000000"/>
                <w:spacing w:val="-2"/>
                <w:kern w:val="0"/>
                <w:sz w:val="18"/>
                <w:szCs w:val="18"/>
              </w:rPr>
              <w:t>1</w:t>
            </w:r>
          </w:p>
        </w:tc>
        <w:tc>
          <w:tcPr>
            <w:tcW w:w="902" w:type="dxa"/>
            <w:tcBorders>
              <w:top w:val="nil"/>
              <w:left w:val="single" w:color="auto" w:sz="4" w:space="0"/>
              <w:bottom w:val="single" w:color="000000"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企业管理（</w:t>
            </w:r>
            <w:r>
              <w:rPr>
                <w:rFonts w:eastAsia="仿宋_GB2312"/>
                <w:color w:val="000000"/>
                <w:spacing w:val="-2"/>
                <w:kern w:val="0"/>
                <w:sz w:val="18"/>
                <w:szCs w:val="18"/>
              </w:rPr>
              <w:t>8</w:t>
            </w:r>
            <w:r>
              <w:rPr>
                <w:rFonts w:hint="eastAsia" w:eastAsia="仿宋_GB2312"/>
                <w:color w:val="000000"/>
                <w:spacing w:val="-2"/>
                <w:kern w:val="0"/>
                <w:sz w:val="18"/>
                <w:szCs w:val="18"/>
              </w:rPr>
              <w:t>分）</w:t>
            </w:r>
          </w:p>
        </w:tc>
        <w:tc>
          <w:tcPr>
            <w:tcW w:w="1433" w:type="dxa"/>
            <w:tcBorders>
              <w:top w:val="nil"/>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《信用管理手册》使用（</w:t>
            </w:r>
            <w:r>
              <w:rPr>
                <w:rFonts w:eastAsia="仿宋_GB2312"/>
                <w:color w:val="000000"/>
                <w:spacing w:val="-2"/>
                <w:kern w:val="0"/>
                <w:sz w:val="18"/>
                <w:szCs w:val="18"/>
              </w:rPr>
              <w:t>8</w:t>
            </w:r>
            <w:r>
              <w:rPr>
                <w:rFonts w:hint="eastAsia" w:eastAsia="仿宋_GB2312"/>
                <w:color w:val="000000"/>
                <w:spacing w:val="-2"/>
                <w:kern w:val="0"/>
                <w:sz w:val="18"/>
                <w:szCs w:val="18"/>
              </w:rPr>
              <w:t>分）</w:t>
            </w:r>
          </w:p>
        </w:tc>
        <w:tc>
          <w:tcPr>
            <w:tcW w:w="2956" w:type="dxa"/>
            <w:tcBorders>
              <w:top w:val="nil"/>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总、分包企业是否按规定办理</w:t>
            </w:r>
            <w:r>
              <w:rPr>
                <w:rFonts w:eastAsia="仿宋_GB2312"/>
                <w:color w:val="000000"/>
                <w:spacing w:val="-2"/>
                <w:kern w:val="0"/>
                <w:sz w:val="18"/>
                <w:szCs w:val="18"/>
              </w:rPr>
              <w:t xml:space="preserve"> </w:t>
            </w:r>
            <w:r>
              <w:rPr>
                <w:rFonts w:hint="eastAsia" w:eastAsia="仿宋_GB2312"/>
                <w:color w:val="000000"/>
                <w:spacing w:val="-2"/>
                <w:kern w:val="0"/>
                <w:sz w:val="18"/>
                <w:szCs w:val="18"/>
              </w:rPr>
              <w:t>《信用管理手册》</w:t>
            </w:r>
          </w:p>
        </w:tc>
        <w:tc>
          <w:tcPr>
            <w:tcW w:w="2372" w:type="dxa"/>
            <w:tcBorders>
              <w:top w:val="nil"/>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一项不符合扣</w:t>
            </w:r>
            <w:r>
              <w:rPr>
                <w:rFonts w:eastAsia="仿宋_GB2312"/>
                <w:color w:val="000000"/>
                <w:spacing w:val="-2"/>
                <w:kern w:val="0"/>
                <w:sz w:val="18"/>
                <w:szCs w:val="18"/>
              </w:rPr>
              <w:t>3</w:t>
            </w:r>
            <w:r>
              <w:rPr>
                <w:rFonts w:hint="eastAsia" w:eastAsia="仿宋_GB2312"/>
                <w:color w:val="000000"/>
                <w:spacing w:val="-2"/>
                <w:kern w:val="0"/>
                <w:sz w:val="18"/>
                <w:szCs w:val="18"/>
              </w:rPr>
              <w:t>分，最多扣</w:t>
            </w:r>
            <w:r>
              <w:rPr>
                <w:rFonts w:eastAsia="仿宋_GB2312"/>
                <w:color w:val="000000"/>
                <w:spacing w:val="-2"/>
                <w:kern w:val="0"/>
                <w:sz w:val="18"/>
                <w:szCs w:val="18"/>
              </w:rPr>
              <w:t>8</w:t>
            </w:r>
            <w:r>
              <w:rPr>
                <w:rFonts w:hint="eastAsia" w:eastAsia="仿宋_GB2312"/>
                <w:color w:val="000000"/>
                <w:spacing w:val="-2"/>
                <w:kern w:val="0"/>
                <w:sz w:val="18"/>
                <w:szCs w:val="18"/>
              </w:rPr>
              <w:t>分</w:t>
            </w:r>
          </w:p>
        </w:tc>
        <w:tc>
          <w:tcPr>
            <w:tcW w:w="532" w:type="dxa"/>
            <w:tcBorders>
              <w:top w:val="nil"/>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802" w:hRule="atLeast"/>
          <w:jc w:val="center"/>
        </w:trPr>
        <w:tc>
          <w:tcPr>
            <w:tcW w:w="319"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eastAsia="仿宋_GB2312"/>
                <w:color w:val="000000"/>
                <w:spacing w:val="-2"/>
                <w:kern w:val="0"/>
                <w:sz w:val="18"/>
                <w:szCs w:val="18"/>
              </w:rPr>
              <w:t>2</w:t>
            </w:r>
          </w:p>
        </w:tc>
        <w:tc>
          <w:tcPr>
            <w:tcW w:w="90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项目</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经理</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w:t>
            </w:r>
            <w:r>
              <w:rPr>
                <w:rFonts w:eastAsia="仿宋_GB2312"/>
                <w:color w:val="000000"/>
                <w:spacing w:val="-2"/>
                <w:kern w:val="0"/>
                <w:sz w:val="18"/>
                <w:szCs w:val="18"/>
              </w:rPr>
              <w:t>15</w:t>
            </w:r>
            <w:r>
              <w:rPr>
                <w:rFonts w:hint="eastAsia" w:eastAsia="仿宋_GB2312"/>
                <w:color w:val="000000"/>
                <w:spacing w:val="-2"/>
                <w:kern w:val="0"/>
                <w:sz w:val="18"/>
                <w:szCs w:val="18"/>
              </w:rPr>
              <w:t>分</w:t>
            </w:r>
            <w:r>
              <w:rPr>
                <w:rFonts w:eastAsia="仿宋_GB2312"/>
                <w:color w:val="000000"/>
                <w:spacing w:val="-2"/>
                <w:kern w:val="0"/>
                <w:sz w:val="18"/>
                <w:szCs w:val="18"/>
              </w:rPr>
              <w:t>)</w:t>
            </w:r>
          </w:p>
        </w:tc>
        <w:tc>
          <w:tcPr>
            <w:tcW w:w="4389" w:type="dxa"/>
            <w:gridSpan w:val="2"/>
            <w:tcBorders>
              <w:top w:val="single" w:color="auto" w:sz="4" w:space="0"/>
              <w:left w:val="nil"/>
              <w:bottom w:val="nil"/>
              <w:right w:val="single" w:color="000000"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项目经理是否在岗（</w:t>
            </w:r>
            <w:r>
              <w:rPr>
                <w:rFonts w:eastAsia="仿宋_GB2312"/>
                <w:color w:val="000000"/>
                <w:spacing w:val="-2"/>
                <w:kern w:val="0"/>
                <w:sz w:val="18"/>
                <w:szCs w:val="18"/>
              </w:rPr>
              <w:t>15</w:t>
            </w:r>
            <w:r>
              <w:rPr>
                <w:rFonts w:hint="eastAsia" w:eastAsia="仿宋_GB2312"/>
                <w:color w:val="000000"/>
                <w:spacing w:val="-2"/>
                <w:kern w:val="0"/>
                <w:sz w:val="18"/>
                <w:szCs w:val="18"/>
              </w:rPr>
              <w:t>分）</w:t>
            </w:r>
          </w:p>
        </w:tc>
        <w:tc>
          <w:tcPr>
            <w:tcW w:w="2372" w:type="dxa"/>
            <w:tcBorders>
              <w:top w:val="single" w:color="auto" w:sz="4" w:space="0"/>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不在岗扣</w:t>
            </w:r>
            <w:r>
              <w:rPr>
                <w:rFonts w:eastAsia="仿宋_GB2312"/>
                <w:color w:val="000000"/>
                <w:spacing w:val="-2"/>
                <w:kern w:val="0"/>
                <w:sz w:val="18"/>
                <w:szCs w:val="18"/>
              </w:rPr>
              <w:t>15</w:t>
            </w:r>
            <w:r>
              <w:rPr>
                <w:rFonts w:hint="eastAsia" w:eastAsia="仿宋_GB2312"/>
                <w:color w:val="000000"/>
                <w:spacing w:val="-2"/>
                <w:kern w:val="0"/>
                <w:sz w:val="18"/>
                <w:szCs w:val="18"/>
              </w:rPr>
              <w:t>分、</w:t>
            </w:r>
          </w:p>
        </w:tc>
        <w:tc>
          <w:tcPr>
            <w:tcW w:w="532" w:type="dxa"/>
            <w:tcBorders>
              <w:top w:val="single" w:color="auto" w:sz="4" w:space="0"/>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nil"/>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323" w:hRule="atLeast"/>
          <w:jc w:val="center"/>
        </w:trPr>
        <w:tc>
          <w:tcPr>
            <w:tcW w:w="319"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eastAsia="仿宋_GB2312"/>
                <w:color w:val="000000"/>
                <w:spacing w:val="-2"/>
                <w:kern w:val="0"/>
                <w:sz w:val="18"/>
                <w:szCs w:val="18"/>
              </w:rPr>
              <w:t>3</w:t>
            </w:r>
          </w:p>
        </w:tc>
        <w:tc>
          <w:tcPr>
            <w:tcW w:w="902"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项目部</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管理</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w:t>
            </w:r>
            <w:r>
              <w:rPr>
                <w:rFonts w:eastAsia="仿宋_GB2312"/>
                <w:color w:val="000000"/>
                <w:spacing w:val="-2"/>
                <w:kern w:val="0"/>
                <w:sz w:val="18"/>
                <w:szCs w:val="18"/>
              </w:rPr>
              <w:t>25</w:t>
            </w:r>
            <w:r>
              <w:rPr>
                <w:rFonts w:hint="eastAsia" w:eastAsia="仿宋_GB2312"/>
                <w:color w:val="000000"/>
                <w:spacing w:val="-2"/>
                <w:kern w:val="0"/>
                <w:sz w:val="18"/>
                <w:szCs w:val="18"/>
              </w:rPr>
              <w:t>分）</w:t>
            </w:r>
          </w:p>
        </w:tc>
        <w:tc>
          <w:tcPr>
            <w:tcW w:w="1433"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管理制度建设</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w:t>
            </w:r>
            <w:r>
              <w:rPr>
                <w:rFonts w:eastAsia="仿宋_GB2312"/>
                <w:color w:val="000000"/>
                <w:spacing w:val="-2"/>
                <w:kern w:val="0"/>
                <w:sz w:val="18"/>
                <w:szCs w:val="18"/>
              </w:rPr>
              <w:t>15</w:t>
            </w:r>
            <w:r>
              <w:rPr>
                <w:rFonts w:hint="eastAsia" w:eastAsia="仿宋_GB2312"/>
                <w:color w:val="000000"/>
                <w:spacing w:val="-2"/>
                <w:kern w:val="0"/>
                <w:sz w:val="18"/>
                <w:szCs w:val="18"/>
              </w:rPr>
              <w:t>分）</w:t>
            </w:r>
          </w:p>
        </w:tc>
        <w:tc>
          <w:tcPr>
            <w:tcW w:w="2956"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项目部组织机构建立情况；项目部各项管理制度建立情况；主要管理制度上墙情况，工程档案管理人员是否参加档案管理培训，档案存放是否安全。</w:t>
            </w:r>
          </w:p>
        </w:tc>
        <w:tc>
          <w:tcPr>
            <w:tcW w:w="237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未使用台账扣</w:t>
            </w:r>
            <w:r>
              <w:rPr>
                <w:rFonts w:eastAsia="仿宋_GB2312"/>
                <w:color w:val="000000"/>
                <w:spacing w:val="-2"/>
                <w:kern w:val="0"/>
                <w:sz w:val="18"/>
                <w:szCs w:val="18"/>
              </w:rPr>
              <w:t>5</w:t>
            </w:r>
            <w:r>
              <w:rPr>
                <w:rFonts w:hint="eastAsia" w:eastAsia="仿宋_GB2312"/>
                <w:color w:val="000000"/>
                <w:spacing w:val="-2"/>
                <w:kern w:val="0"/>
                <w:sz w:val="18"/>
                <w:szCs w:val="18"/>
              </w:rPr>
              <w:t>分，</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使用不规范扣</w:t>
            </w:r>
            <w:r>
              <w:rPr>
                <w:rFonts w:eastAsia="仿宋_GB2312"/>
                <w:color w:val="000000"/>
                <w:spacing w:val="-2"/>
                <w:kern w:val="0"/>
                <w:sz w:val="18"/>
                <w:szCs w:val="18"/>
              </w:rPr>
              <w:t>2</w:t>
            </w:r>
            <w:r>
              <w:rPr>
                <w:rFonts w:hint="eastAsia" w:eastAsia="仿宋_GB2312"/>
                <w:color w:val="000000"/>
                <w:spacing w:val="-2"/>
                <w:kern w:val="0"/>
                <w:sz w:val="18"/>
                <w:szCs w:val="18"/>
              </w:rPr>
              <w:t>分</w:t>
            </w:r>
          </w:p>
        </w:tc>
        <w:tc>
          <w:tcPr>
            <w:tcW w:w="53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429"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9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组织机构未建立扣</w:t>
            </w:r>
            <w:r>
              <w:rPr>
                <w:rFonts w:eastAsia="仿宋_GB2312"/>
                <w:color w:val="000000"/>
                <w:spacing w:val="-2"/>
                <w:kern w:val="0"/>
                <w:sz w:val="18"/>
                <w:szCs w:val="18"/>
              </w:rPr>
              <w:t>2</w:t>
            </w:r>
            <w:r>
              <w:rPr>
                <w:rFonts w:hint="eastAsia" w:eastAsia="仿宋_GB2312"/>
                <w:color w:val="000000"/>
                <w:spacing w:val="-2"/>
                <w:kern w:val="0"/>
                <w:sz w:val="18"/>
                <w:szCs w:val="18"/>
              </w:rPr>
              <w:t>分，</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不健全扣</w:t>
            </w:r>
            <w:r>
              <w:rPr>
                <w:rFonts w:eastAsia="仿宋_GB2312"/>
                <w:color w:val="000000"/>
                <w:spacing w:val="-2"/>
                <w:kern w:val="0"/>
                <w:sz w:val="18"/>
                <w:szCs w:val="18"/>
              </w:rPr>
              <w:t>1</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523"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9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管理制度未建立扣</w:t>
            </w:r>
            <w:r>
              <w:rPr>
                <w:rFonts w:eastAsia="仿宋_GB2312"/>
                <w:color w:val="000000"/>
                <w:spacing w:val="-2"/>
                <w:kern w:val="0"/>
                <w:sz w:val="18"/>
                <w:szCs w:val="18"/>
              </w:rPr>
              <w:t>3</w:t>
            </w:r>
            <w:r>
              <w:rPr>
                <w:rFonts w:hint="eastAsia" w:eastAsia="仿宋_GB2312"/>
                <w:color w:val="000000"/>
                <w:spacing w:val="-2"/>
                <w:kern w:val="0"/>
                <w:sz w:val="18"/>
                <w:szCs w:val="18"/>
              </w:rPr>
              <w:t>分，不健全扣</w:t>
            </w:r>
            <w:r>
              <w:rPr>
                <w:rFonts w:eastAsia="仿宋_GB2312"/>
                <w:color w:val="000000"/>
                <w:spacing w:val="-2"/>
                <w:kern w:val="0"/>
                <w:sz w:val="18"/>
                <w:szCs w:val="18"/>
              </w:rPr>
              <w:t>2</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338"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9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主要管理制度未上墙扣</w:t>
            </w:r>
            <w:r>
              <w:rPr>
                <w:rFonts w:eastAsia="仿宋_GB2312"/>
                <w:color w:val="000000"/>
                <w:spacing w:val="-2"/>
                <w:kern w:val="0"/>
                <w:sz w:val="18"/>
                <w:szCs w:val="18"/>
              </w:rPr>
              <w:t>3</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267"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9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档案人员未培训扣</w:t>
            </w:r>
            <w:r>
              <w:rPr>
                <w:rFonts w:eastAsia="仿宋_GB2312"/>
                <w:color w:val="000000"/>
                <w:spacing w:val="-2"/>
                <w:kern w:val="0"/>
                <w:sz w:val="18"/>
                <w:szCs w:val="18"/>
              </w:rPr>
              <w:t>1</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338"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9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档案无存放地扣</w:t>
            </w:r>
            <w:r>
              <w:rPr>
                <w:rFonts w:eastAsia="仿宋_GB2312"/>
                <w:color w:val="000000"/>
                <w:spacing w:val="-2"/>
                <w:kern w:val="0"/>
                <w:sz w:val="18"/>
                <w:szCs w:val="18"/>
              </w:rPr>
              <w:t>1</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322"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eastAsia="仿宋_GB2312"/>
                <w:color w:val="000000"/>
                <w:spacing w:val="-2"/>
                <w:kern w:val="0"/>
                <w:sz w:val="18"/>
                <w:szCs w:val="18"/>
              </w:rPr>
              <w:t>“</w:t>
            </w:r>
            <w:r>
              <w:rPr>
                <w:rFonts w:hint="eastAsia" w:eastAsia="仿宋_GB2312"/>
                <w:color w:val="000000"/>
                <w:spacing w:val="-2"/>
                <w:kern w:val="0"/>
                <w:sz w:val="18"/>
                <w:szCs w:val="18"/>
              </w:rPr>
              <w:t>九牌一图</w:t>
            </w:r>
            <w:r>
              <w:rPr>
                <w:rFonts w:eastAsia="仿宋_GB2312"/>
                <w:color w:val="000000"/>
                <w:spacing w:val="-2"/>
                <w:kern w:val="0"/>
                <w:sz w:val="18"/>
                <w:szCs w:val="18"/>
              </w:rPr>
              <w:t>”(10</w:t>
            </w:r>
            <w:r>
              <w:rPr>
                <w:rFonts w:hint="eastAsia" w:eastAsia="仿宋_GB2312"/>
                <w:color w:val="000000"/>
                <w:spacing w:val="-2"/>
                <w:kern w:val="0"/>
                <w:sz w:val="18"/>
                <w:szCs w:val="18"/>
              </w:rPr>
              <w:t>分</w:t>
            </w:r>
            <w:r>
              <w:rPr>
                <w:rFonts w:eastAsia="仿宋_GB2312"/>
                <w:color w:val="000000"/>
                <w:spacing w:val="-2"/>
                <w:kern w:val="0"/>
                <w:sz w:val="18"/>
                <w:szCs w:val="18"/>
              </w:rPr>
              <w:t>)</w:t>
            </w:r>
          </w:p>
        </w:tc>
        <w:tc>
          <w:tcPr>
            <w:tcW w:w="2956"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是否在醒目位置悬挂公示</w:t>
            </w: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漏一项扣</w:t>
            </w:r>
            <w:r>
              <w:rPr>
                <w:rFonts w:eastAsia="仿宋_GB2312"/>
                <w:color w:val="000000"/>
                <w:spacing w:val="-2"/>
                <w:kern w:val="0"/>
                <w:sz w:val="18"/>
                <w:szCs w:val="18"/>
              </w:rPr>
              <w:t>2</w:t>
            </w:r>
            <w:r>
              <w:rPr>
                <w:rFonts w:hint="eastAsia" w:eastAsia="仿宋_GB2312"/>
                <w:color w:val="000000"/>
                <w:spacing w:val="-2"/>
                <w:kern w:val="0"/>
                <w:sz w:val="18"/>
                <w:szCs w:val="18"/>
              </w:rPr>
              <w:t>分，最多扣</w:t>
            </w:r>
            <w:r>
              <w:rPr>
                <w:rFonts w:eastAsia="仿宋_GB2312"/>
                <w:color w:val="000000"/>
                <w:spacing w:val="-2"/>
                <w:kern w:val="0"/>
                <w:sz w:val="18"/>
                <w:szCs w:val="18"/>
              </w:rPr>
              <w:t>10</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353" w:hRule="atLeast"/>
          <w:jc w:val="center"/>
        </w:trPr>
        <w:tc>
          <w:tcPr>
            <w:tcW w:w="319"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eastAsia="仿宋_GB2312"/>
                <w:color w:val="000000"/>
                <w:spacing w:val="-2"/>
                <w:kern w:val="0"/>
                <w:sz w:val="18"/>
                <w:szCs w:val="18"/>
              </w:rPr>
              <w:t>4</w:t>
            </w:r>
          </w:p>
        </w:tc>
        <w:tc>
          <w:tcPr>
            <w:tcW w:w="902"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总分包</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管理</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w:t>
            </w:r>
            <w:r>
              <w:rPr>
                <w:rFonts w:eastAsia="仿宋_GB2312"/>
                <w:color w:val="000000"/>
                <w:spacing w:val="-2"/>
                <w:kern w:val="0"/>
                <w:sz w:val="18"/>
                <w:szCs w:val="18"/>
              </w:rPr>
              <w:t>30</w:t>
            </w:r>
            <w:r>
              <w:rPr>
                <w:rFonts w:hint="eastAsia" w:eastAsia="仿宋_GB2312"/>
                <w:color w:val="000000"/>
                <w:spacing w:val="-2"/>
                <w:kern w:val="0"/>
                <w:sz w:val="18"/>
                <w:szCs w:val="18"/>
              </w:rPr>
              <w:t>分）</w:t>
            </w:r>
          </w:p>
        </w:tc>
        <w:tc>
          <w:tcPr>
            <w:tcW w:w="1433" w:type="dxa"/>
            <w:vMerge w:val="restart"/>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发包管理（</w:t>
            </w:r>
            <w:r>
              <w:rPr>
                <w:rFonts w:eastAsia="仿宋_GB2312"/>
                <w:color w:val="000000"/>
                <w:spacing w:val="-2"/>
                <w:kern w:val="0"/>
                <w:sz w:val="18"/>
                <w:szCs w:val="18"/>
              </w:rPr>
              <w:t>10</w:t>
            </w:r>
            <w:r>
              <w:rPr>
                <w:rFonts w:hint="eastAsia" w:eastAsia="仿宋_GB2312"/>
                <w:color w:val="000000"/>
                <w:spacing w:val="-2"/>
                <w:kern w:val="0"/>
                <w:sz w:val="18"/>
                <w:szCs w:val="18"/>
              </w:rPr>
              <w:t>分）</w:t>
            </w:r>
          </w:p>
        </w:tc>
        <w:tc>
          <w:tcPr>
            <w:tcW w:w="2956" w:type="dxa"/>
            <w:vMerge w:val="restart"/>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总包单位是否具备</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发包资格。</w:t>
            </w:r>
          </w:p>
        </w:tc>
        <w:tc>
          <w:tcPr>
            <w:tcW w:w="2372" w:type="dxa"/>
            <w:vMerge w:val="restart"/>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不具备发包资格发包的扣</w:t>
            </w:r>
            <w:r>
              <w:rPr>
                <w:rFonts w:eastAsia="仿宋_GB2312"/>
                <w:color w:val="000000"/>
                <w:spacing w:val="-2"/>
                <w:kern w:val="0"/>
                <w:sz w:val="18"/>
                <w:szCs w:val="18"/>
              </w:rPr>
              <w:t>10</w:t>
            </w:r>
            <w:r>
              <w:rPr>
                <w:rFonts w:hint="eastAsia" w:eastAsia="仿宋_GB2312"/>
                <w:color w:val="000000"/>
                <w:spacing w:val="-2"/>
                <w:kern w:val="0"/>
                <w:sz w:val="18"/>
                <w:szCs w:val="18"/>
              </w:rPr>
              <w:t>分</w:t>
            </w:r>
          </w:p>
        </w:tc>
        <w:tc>
          <w:tcPr>
            <w:tcW w:w="53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476"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continue"/>
            <w:tcBorders>
              <w:top w:val="nil"/>
              <w:left w:val="nil"/>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956"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372" w:type="dxa"/>
            <w:vMerge w:val="continue"/>
            <w:tcBorders>
              <w:top w:val="nil"/>
              <w:left w:val="nil"/>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53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465"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restart"/>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资质管理（</w:t>
            </w:r>
            <w:r>
              <w:rPr>
                <w:rFonts w:eastAsia="仿宋_GB2312"/>
                <w:color w:val="000000"/>
                <w:spacing w:val="-2"/>
                <w:kern w:val="0"/>
                <w:sz w:val="18"/>
                <w:szCs w:val="18"/>
              </w:rPr>
              <w:t>10</w:t>
            </w:r>
            <w:r>
              <w:rPr>
                <w:rFonts w:hint="eastAsia" w:eastAsia="仿宋_GB2312"/>
                <w:color w:val="000000"/>
                <w:spacing w:val="-2"/>
                <w:kern w:val="0"/>
                <w:sz w:val="18"/>
                <w:szCs w:val="18"/>
              </w:rPr>
              <w:t>分）</w:t>
            </w:r>
          </w:p>
        </w:tc>
        <w:tc>
          <w:tcPr>
            <w:tcW w:w="2956"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分包单位是否具备</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相应资质（</w:t>
            </w:r>
            <w:r>
              <w:rPr>
                <w:rFonts w:eastAsia="仿宋_GB2312"/>
                <w:color w:val="000000"/>
                <w:spacing w:val="-2"/>
                <w:kern w:val="0"/>
                <w:sz w:val="18"/>
                <w:szCs w:val="18"/>
              </w:rPr>
              <w:t>7</w:t>
            </w:r>
            <w:r>
              <w:rPr>
                <w:rFonts w:hint="eastAsia" w:eastAsia="仿宋_GB2312"/>
                <w:color w:val="000000"/>
                <w:spacing w:val="-2"/>
                <w:kern w:val="0"/>
                <w:sz w:val="18"/>
                <w:szCs w:val="18"/>
              </w:rPr>
              <w:t>分）</w:t>
            </w: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无资质扣</w:t>
            </w:r>
            <w:r>
              <w:rPr>
                <w:rFonts w:eastAsia="仿宋_GB2312"/>
                <w:color w:val="000000"/>
                <w:spacing w:val="-2"/>
                <w:kern w:val="0"/>
                <w:sz w:val="18"/>
                <w:szCs w:val="18"/>
              </w:rPr>
              <w:t>7</w:t>
            </w:r>
            <w:r>
              <w:rPr>
                <w:rFonts w:hint="eastAsia" w:eastAsia="仿宋_GB2312"/>
                <w:color w:val="000000"/>
                <w:spacing w:val="-2"/>
                <w:kern w:val="0"/>
                <w:sz w:val="18"/>
                <w:szCs w:val="18"/>
              </w:rPr>
              <w:t>分</w:t>
            </w:r>
          </w:p>
        </w:tc>
        <w:tc>
          <w:tcPr>
            <w:tcW w:w="53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465"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95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总包单位是否对其分包单位资质进行核查，并报建设、监理备案。（</w:t>
            </w:r>
            <w:r>
              <w:rPr>
                <w:rFonts w:eastAsia="仿宋_GB2312"/>
                <w:color w:val="000000"/>
                <w:spacing w:val="-2"/>
                <w:kern w:val="0"/>
                <w:sz w:val="18"/>
                <w:szCs w:val="18"/>
              </w:rPr>
              <w:t>3</w:t>
            </w:r>
            <w:r>
              <w:rPr>
                <w:rFonts w:hint="eastAsia" w:eastAsia="仿宋_GB2312"/>
                <w:color w:val="000000"/>
                <w:spacing w:val="-2"/>
                <w:kern w:val="0"/>
                <w:sz w:val="18"/>
                <w:szCs w:val="18"/>
              </w:rPr>
              <w:t>分）</w:t>
            </w:r>
          </w:p>
        </w:tc>
        <w:tc>
          <w:tcPr>
            <w:tcW w:w="237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未报审批扣</w:t>
            </w:r>
            <w:r>
              <w:rPr>
                <w:rFonts w:eastAsia="仿宋_GB2312"/>
                <w:color w:val="000000"/>
                <w:spacing w:val="-2"/>
                <w:kern w:val="0"/>
                <w:sz w:val="18"/>
                <w:szCs w:val="18"/>
              </w:rPr>
              <w:t>3</w:t>
            </w:r>
            <w:r>
              <w:rPr>
                <w:rFonts w:hint="eastAsia" w:eastAsia="仿宋_GB2312"/>
                <w:color w:val="000000"/>
                <w:spacing w:val="-2"/>
                <w:kern w:val="0"/>
                <w:sz w:val="18"/>
                <w:szCs w:val="18"/>
              </w:rPr>
              <w:t>分</w:t>
            </w:r>
          </w:p>
        </w:tc>
        <w:tc>
          <w:tcPr>
            <w:tcW w:w="53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438" w:hRule="atLeast"/>
          <w:jc w:val="center"/>
        </w:trPr>
        <w:tc>
          <w:tcPr>
            <w:tcW w:w="319"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合同管理（</w:t>
            </w:r>
            <w:r>
              <w:rPr>
                <w:rFonts w:eastAsia="仿宋_GB2312"/>
                <w:color w:val="000000"/>
                <w:spacing w:val="-2"/>
                <w:kern w:val="0"/>
                <w:sz w:val="18"/>
                <w:szCs w:val="18"/>
              </w:rPr>
              <w:t>10</w:t>
            </w:r>
            <w:r>
              <w:rPr>
                <w:rFonts w:hint="eastAsia" w:eastAsia="仿宋_GB2312"/>
                <w:color w:val="000000"/>
                <w:spacing w:val="-2"/>
                <w:kern w:val="0"/>
                <w:sz w:val="18"/>
                <w:szCs w:val="18"/>
              </w:rPr>
              <w:t>分）</w:t>
            </w:r>
          </w:p>
        </w:tc>
        <w:tc>
          <w:tcPr>
            <w:tcW w:w="2956"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分包合同是否按规定进行备案</w:t>
            </w:r>
          </w:p>
        </w:tc>
        <w:tc>
          <w:tcPr>
            <w:tcW w:w="237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一项未备案扣</w:t>
            </w:r>
            <w:r>
              <w:rPr>
                <w:rFonts w:eastAsia="仿宋_GB2312"/>
                <w:color w:val="000000"/>
                <w:spacing w:val="-2"/>
                <w:kern w:val="0"/>
                <w:sz w:val="18"/>
                <w:szCs w:val="18"/>
              </w:rPr>
              <w:t>5</w:t>
            </w:r>
            <w:r>
              <w:rPr>
                <w:rFonts w:hint="eastAsia" w:eastAsia="仿宋_GB2312"/>
                <w:color w:val="000000"/>
                <w:spacing w:val="-2"/>
                <w:kern w:val="0"/>
                <w:sz w:val="18"/>
                <w:szCs w:val="18"/>
              </w:rPr>
              <w:t>分，最多扣</w:t>
            </w:r>
            <w:r>
              <w:rPr>
                <w:rFonts w:eastAsia="仿宋_GB2312"/>
                <w:color w:val="000000"/>
                <w:spacing w:val="-2"/>
                <w:kern w:val="0"/>
                <w:sz w:val="18"/>
                <w:szCs w:val="18"/>
              </w:rPr>
              <w:t>10</w:t>
            </w:r>
            <w:r>
              <w:rPr>
                <w:rFonts w:hint="eastAsia" w:eastAsia="仿宋_GB2312"/>
                <w:color w:val="000000"/>
                <w:spacing w:val="-2"/>
                <w:kern w:val="0"/>
                <w:sz w:val="18"/>
                <w:szCs w:val="18"/>
              </w:rPr>
              <w:t>分</w:t>
            </w:r>
          </w:p>
        </w:tc>
        <w:tc>
          <w:tcPr>
            <w:tcW w:w="53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320" w:hRule="atLeast"/>
          <w:jc w:val="center"/>
        </w:trPr>
        <w:tc>
          <w:tcPr>
            <w:tcW w:w="319" w:type="dxa"/>
            <w:vMerge w:val="restart"/>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eastAsia="仿宋_GB2312"/>
                <w:color w:val="000000"/>
                <w:spacing w:val="-2"/>
                <w:kern w:val="0"/>
                <w:sz w:val="18"/>
                <w:szCs w:val="18"/>
              </w:rPr>
              <w:t>5</w:t>
            </w:r>
          </w:p>
        </w:tc>
        <w:tc>
          <w:tcPr>
            <w:tcW w:w="902" w:type="dxa"/>
            <w:vMerge w:val="restart"/>
            <w:tcBorders>
              <w:top w:val="nil"/>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农民工</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管理</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w:t>
            </w:r>
            <w:r>
              <w:rPr>
                <w:rFonts w:eastAsia="仿宋_GB2312"/>
                <w:color w:val="000000"/>
                <w:spacing w:val="-2"/>
                <w:kern w:val="0"/>
                <w:sz w:val="18"/>
                <w:szCs w:val="18"/>
              </w:rPr>
              <w:t>22</w:t>
            </w:r>
            <w:r>
              <w:rPr>
                <w:rFonts w:hint="eastAsia" w:eastAsia="仿宋_GB2312"/>
                <w:color w:val="000000"/>
                <w:spacing w:val="-2"/>
                <w:kern w:val="0"/>
                <w:sz w:val="18"/>
                <w:szCs w:val="18"/>
              </w:rPr>
              <w:t>分）</w:t>
            </w:r>
          </w:p>
        </w:tc>
        <w:tc>
          <w:tcPr>
            <w:tcW w:w="1433"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农民工投诉处理机制建设（</w:t>
            </w:r>
            <w:r>
              <w:rPr>
                <w:rFonts w:eastAsia="仿宋_GB2312"/>
                <w:color w:val="000000"/>
                <w:spacing w:val="-2"/>
                <w:kern w:val="0"/>
                <w:sz w:val="18"/>
                <w:szCs w:val="18"/>
              </w:rPr>
              <w:t>3</w:t>
            </w:r>
            <w:r>
              <w:rPr>
                <w:rFonts w:hint="eastAsia" w:eastAsia="仿宋_GB2312"/>
                <w:color w:val="000000"/>
                <w:spacing w:val="-2"/>
                <w:kern w:val="0"/>
                <w:sz w:val="18"/>
                <w:szCs w:val="18"/>
              </w:rPr>
              <w:t>分）</w:t>
            </w:r>
          </w:p>
        </w:tc>
        <w:tc>
          <w:tcPr>
            <w:tcW w:w="2956"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项目部建立农民工工资投诉处理机制情况</w:t>
            </w: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机制未建立扣</w:t>
            </w:r>
            <w:r>
              <w:rPr>
                <w:rFonts w:eastAsia="仿宋_GB2312"/>
                <w:color w:val="000000"/>
                <w:spacing w:val="-2"/>
                <w:kern w:val="0"/>
                <w:sz w:val="18"/>
                <w:szCs w:val="18"/>
              </w:rPr>
              <w:t>3</w:t>
            </w:r>
            <w:r>
              <w:rPr>
                <w:rFonts w:hint="eastAsia" w:eastAsia="仿宋_GB2312"/>
                <w:color w:val="000000"/>
                <w:spacing w:val="-2"/>
                <w:kern w:val="0"/>
                <w:sz w:val="18"/>
                <w:szCs w:val="18"/>
              </w:rPr>
              <w:t>分，不健全扣</w:t>
            </w:r>
            <w:r>
              <w:rPr>
                <w:rFonts w:eastAsia="仿宋_GB2312"/>
                <w:color w:val="000000"/>
                <w:spacing w:val="-2"/>
                <w:kern w:val="0"/>
                <w:sz w:val="18"/>
                <w:szCs w:val="18"/>
              </w:rPr>
              <w:t>2</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585" w:hRule="atLeast"/>
          <w:jc w:val="center"/>
        </w:trPr>
        <w:tc>
          <w:tcPr>
            <w:tcW w:w="319"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restart"/>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农民工工资管理</w:t>
            </w:r>
          </w:p>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w:t>
            </w:r>
            <w:r>
              <w:rPr>
                <w:rFonts w:eastAsia="仿宋_GB2312"/>
                <w:color w:val="000000"/>
                <w:spacing w:val="-2"/>
                <w:kern w:val="0"/>
                <w:sz w:val="18"/>
                <w:szCs w:val="18"/>
              </w:rPr>
              <w:t>10</w:t>
            </w:r>
            <w:r>
              <w:rPr>
                <w:rFonts w:hint="eastAsia" w:eastAsia="仿宋_GB2312"/>
                <w:color w:val="000000"/>
                <w:spacing w:val="-2"/>
                <w:kern w:val="0"/>
                <w:sz w:val="18"/>
                <w:szCs w:val="18"/>
              </w:rPr>
              <w:t>分）</w:t>
            </w:r>
          </w:p>
        </w:tc>
        <w:tc>
          <w:tcPr>
            <w:tcW w:w="2956"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是否使用《计酬手册》（</w:t>
            </w:r>
            <w:r>
              <w:rPr>
                <w:rFonts w:eastAsia="仿宋_GB2312"/>
                <w:color w:val="000000"/>
                <w:spacing w:val="-2"/>
                <w:kern w:val="0"/>
                <w:sz w:val="18"/>
                <w:szCs w:val="18"/>
              </w:rPr>
              <w:t>4</w:t>
            </w:r>
            <w:r>
              <w:rPr>
                <w:rFonts w:hint="eastAsia" w:eastAsia="仿宋_GB2312"/>
                <w:color w:val="000000"/>
                <w:spacing w:val="-2"/>
                <w:kern w:val="0"/>
                <w:sz w:val="18"/>
                <w:szCs w:val="18"/>
              </w:rPr>
              <w:t>分）</w:t>
            </w: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未使用扣</w:t>
            </w:r>
            <w:r>
              <w:rPr>
                <w:rFonts w:eastAsia="仿宋_GB2312"/>
                <w:color w:val="000000"/>
                <w:spacing w:val="-2"/>
                <w:kern w:val="0"/>
                <w:sz w:val="18"/>
                <w:szCs w:val="18"/>
              </w:rPr>
              <w:t>4</w:t>
            </w:r>
            <w:r>
              <w:rPr>
                <w:rFonts w:hint="eastAsia" w:eastAsia="仿宋_GB2312"/>
                <w:color w:val="000000"/>
                <w:spacing w:val="-2"/>
                <w:kern w:val="0"/>
                <w:sz w:val="18"/>
                <w:szCs w:val="18"/>
              </w:rPr>
              <w:t>分，不规范扣</w:t>
            </w:r>
            <w:r>
              <w:rPr>
                <w:rFonts w:eastAsia="仿宋_GB2312"/>
                <w:color w:val="000000"/>
                <w:spacing w:val="-2"/>
                <w:kern w:val="0"/>
                <w:sz w:val="18"/>
                <w:szCs w:val="18"/>
              </w:rPr>
              <w:t>2</w:t>
            </w:r>
            <w:r>
              <w:rPr>
                <w:rFonts w:hint="eastAsia" w:eastAsia="仿宋_GB2312"/>
                <w:color w:val="000000"/>
                <w:spacing w:val="-2"/>
                <w:kern w:val="0"/>
                <w:sz w:val="18"/>
                <w:szCs w:val="18"/>
              </w:rPr>
              <w:t>分</w:t>
            </w:r>
          </w:p>
        </w:tc>
        <w:tc>
          <w:tcPr>
            <w:tcW w:w="53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585" w:hRule="atLeast"/>
          <w:jc w:val="center"/>
        </w:trPr>
        <w:tc>
          <w:tcPr>
            <w:tcW w:w="319"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continue"/>
            <w:tcBorders>
              <w:top w:val="nil"/>
              <w:left w:val="nil"/>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956"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是否按规定将农民工考勤表、工资支付表、农民工花名册等进行存档（</w:t>
            </w:r>
            <w:r>
              <w:rPr>
                <w:rFonts w:eastAsia="仿宋_GB2312"/>
                <w:color w:val="000000"/>
                <w:spacing w:val="-2"/>
                <w:kern w:val="0"/>
                <w:sz w:val="18"/>
                <w:szCs w:val="18"/>
              </w:rPr>
              <w:t>6</w:t>
            </w:r>
            <w:r>
              <w:rPr>
                <w:rFonts w:hint="eastAsia" w:eastAsia="仿宋_GB2312"/>
                <w:color w:val="000000"/>
                <w:spacing w:val="-2"/>
                <w:kern w:val="0"/>
                <w:sz w:val="18"/>
                <w:szCs w:val="18"/>
              </w:rPr>
              <w:t>分）</w:t>
            </w: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未存档或存档虚假扣</w:t>
            </w:r>
            <w:r>
              <w:rPr>
                <w:rFonts w:eastAsia="仿宋_GB2312"/>
                <w:color w:val="000000"/>
                <w:spacing w:val="-2"/>
                <w:kern w:val="0"/>
                <w:sz w:val="18"/>
                <w:szCs w:val="18"/>
              </w:rPr>
              <w:t>6</w:t>
            </w:r>
            <w:r>
              <w:rPr>
                <w:rFonts w:hint="eastAsia" w:eastAsia="仿宋_GB2312"/>
                <w:color w:val="000000"/>
                <w:spacing w:val="-2"/>
                <w:kern w:val="0"/>
                <w:sz w:val="18"/>
                <w:szCs w:val="18"/>
              </w:rPr>
              <w:t>分，存档不全扣</w:t>
            </w:r>
            <w:r>
              <w:rPr>
                <w:rFonts w:eastAsia="仿宋_GB2312"/>
                <w:color w:val="000000"/>
                <w:spacing w:val="-2"/>
                <w:kern w:val="0"/>
                <w:sz w:val="18"/>
                <w:szCs w:val="18"/>
              </w:rPr>
              <w:t>4</w:t>
            </w:r>
            <w:r>
              <w:rPr>
                <w:rFonts w:hint="eastAsia" w:eastAsia="仿宋_GB2312"/>
                <w:color w:val="000000"/>
                <w:spacing w:val="-2"/>
                <w:kern w:val="0"/>
                <w:sz w:val="18"/>
                <w:szCs w:val="18"/>
              </w:rPr>
              <w:t>分。</w:t>
            </w:r>
          </w:p>
        </w:tc>
        <w:tc>
          <w:tcPr>
            <w:tcW w:w="53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392" w:hRule="atLeast"/>
          <w:jc w:val="center"/>
        </w:trPr>
        <w:tc>
          <w:tcPr>
            <w:tcW w:w="319"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restart"/>
            <w:tcBorders>
              <w:top w:val="nil"/>
              <w:left w:val="single" w:color="auto" w:sz="4" w:space="0"/>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农民工业余学校设置情况（</w:t>
            </w:r>
            <w:r>
              <w:rPr>
                <w:rFonts w:eastAsia="仿宋_GB2312"/>
                <w:color w:val="000000"/>
                <w:spacing w:val="-2"/>
                <w:kern w:val="0"/>
                <w:sz w:val="18"/>
                <w:szCs w:val="18"/>
              </w:rPr>
              <w:t>3</w:t>
            </w:r>
            <w:r>
              <w:rPr>
                <w:rFonts w:hint="eastAsia" w:eastAsia="仿宋_GB2312"/>
                <w:color w:val="000000"/>
                <w:spacing w:val="-2"/>
                <w:kern w:val="0"/>
                <w:sz w:val="18"/>
                <w:szCs w:val="18"/>
              </w:rPr>
              <w:t>分）</w:t>
            </w:r>
          </w:p>
        </w:tc>
        <w:tc>
          <w:tcPr>
            <w:tcW w:w="2956"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按有关要求设置农民工业余学校（</w:t>
            </w:r>
            <w:r>
              <w:rPr>
                <w:rFonts w:eastAsia="仿宋_GB2312"/>
                <w:color w:val="000000"/>
                <w:spacing w:val="-2"/>
                <w:kern w:val="0"/>
                <w:sz w:val="18"/>
                <w:szCs w:val="18"/>
              </w:rPr>
              <w:t>8000</w:t>
            </w:r>
            <w:r>
              <w:rPr>
                <w:rFonts w:hint="eastAsia" w:eastAsia="仿宋_GB2312"/>
                <w:color w:val="000000"/>
                <w:spacing w:val="-2"/>
                <w:kern w:val="0"/>
                <w:sz w:val="18"/>
                <w:szCs w:val="18"/>
              </w:rPr>
              <w:t>平方米或</w:t>
            </w:r>
            <w:r>
              <w:rPr>
                <w:rFonts w:eastAsia="仿宋_GB2312"/>
                <w:color w:val="000000"/>
                <w:spacing w:val="-2"/>
                <w:kern w:val="0"/>
                <w:sz w:val="18"/>
                <w:szCs w:val="18"/>
              </w:rPr>
              <w:t>500</w:t>
            </w:r>
            <w:r>
              <w:rPr>
                <w:rFonts w:hint="eastAsia" w:eastAsia="仿宋_GB2312"/>
                <w:color w:val="000000"/>
                <w:spacing w:val="-2"/>
                <w:kern w:val="0"/>
                <w:sz w:val="18"/>
                <w:szCs w:val="18"/>
              </w:rPr>
              <w:t>万元造价必须设置）</w:t>
            </w:r>
          </w:p>
        </w:tc>
        <w:tc>
          <w:tcPr>
            <w:tcW w:w="237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未设置扣</w:t>
            </w:r>
            <w:r>
              <w:rPr>
                <w:rFonts w:eastAsia="仿宋_GB2312"/>
                <w:color w:val="000000"/>
                <w:spacing w:val="-2"/>
                <w:kern w:val="0"/>
                <w:sz w:val="18"/>
                <w:szCs w:val="18"/>
              </w:rPr>
              <w:t>3</w:t>
            </w:r>
            <w:r>
              <w:rPr>
                <w:rFonts w:hint="eastAsia" w:eastAsia="仿宋_GB2312"/>
                <w:color w:val="000000"/>
                <w:spacing w:val="-2"/>
                <w:kern w:val="0"/>
                <w:sz w:val="18"/>
                <w:szCs w:val="18"/>
              </w:rPr>
              <w:t>分，已设置不达标扣</w:t>
            </w:r>
            <w:r>
              <w:rPr>
                <w:rFonts w:eastAsia="仿宋_GB2312"/>
                <w:color w:val="000000"/>
                <w:spacing w:val="-2"/>
                <w:kern w:val="0"/>
                <w:sz w:val="18"/>
                <w:szCs w:val="18"/>
              </w:rPr>
              <w:t>2</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160" w:hRule="atLeast"/>
          <w:jc w:val="center"/>
        </w:trPr>
        <w:tc>
          <w:tcPr>
            <w:tcW w:w="319"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2956" w:type="dxa"/>
            <w:tcBorders>
              <w:top w:val="nil"/>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农民工业余学校台账</w:t>
            </w:r>
          </w:p>
        </w:tc>
        <w:tc>
          <w:tcPr>
            <w:tcW w:w="2372" w:type="dxa"/>
            <w:tcBorders>
              <w:top w:val="nil"/>
              <w:left w:val="nil"/>
              <w:bottom w:val="nil"/>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未建立扣</w:t>
            </w:r>
            <w:r>
              <w:rPr>
                <w:rFonts w:eastAsia="仿宋_GB2312"/>
                <w:color w:val="000000"/>
                <w:spacing w:val="-2"/>
                <w:kern w:val="0"/>
                <w:sz w:val="18"/>
                <w:szCs w:val="18"/>
              </w:rPr>
              <w:t>2</w:t>
            </w:r>
            <w:r>
              <w:rPr>
                <w:rFonts w:hint="eastAsia" w:eastAsia="仿宋_GB2312"/>
                <w:color w:val="000000"/>
                <w:spacing w:val="-2"/>
                <w:kern w:val="0"/>
                <w:sz w:val="18"/>
                <w:szCs w:val="18"/>
              </w:rPr>
              <w:t>分，不健全扣</w:t>
            </w:r>
            <w:r>
              <w:rPr>
                <w:rFonts w:eastAsia="仿宋_GB2312"/>
                <w:color w:val="000000"/>
                <w:spacing w:val="-2"/>
                <w:kern w:val="0"/>
                <w:sz w:val="18"/>
                <w:szCs w:val="18"/>
              </w:rPr>
              <w:t>1</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248" w:hRule="atLeast"/>
          <w:jc w:val="center"/>
        </w:trPr>
        <w:tc>
          <w:tcPr>
            <w:tcW w:w="319"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902"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 w:val="18"/>
                <w:szCs w:val="18"/>
              </w:rPr>
            </w:pPr>
          </w:p>
        </w:tc>
        <w:tc>
          <w:tcPr>
            <w:tcW w:w="1433"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工资投诉（</w:t>
            </w:r>
            <w:r>
              <w:rPr>
                <w:rFonts w:eastAsia="仿宋_GB2312"/>
                <w:color w:val="000000"/>
                <w:spacing w:val="-2"/>
                <w:kern w:val="0"/>
                <w:sz w:val="18"/>
                <w:szCs w:val="18"/>
              </w:rPr>
              <w:t>6</w:t>
            </w:r>
            <w:r>
              <w:rPr>
                <w:rFonts w:hint="eastAsia" w:eastAsia="仿宋_GB2312"/>
                <w:color w:val="000000"/>
                <w:spacing w:val="-2"/>
                <w:kern w:val="0"/>
                <w:sz w:val="18"/>
                <w:szCs w:val="18"/>
              </w:rPr>
              <w:t>分）</w:t>
            </w:r>
          </w:p>
        </w:tc>
        <w:tc>
          <w:tcPr>
            <w:tcW w:w="2956"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检查时段，因拖欠农民工工资产生集访</w:t>
            </w:r>
          </w:p>
        </w:tc>
        <w:tc>
          <w:tcPr>
            <w:tcW w:w="2372"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产生</w:t>
            </w:r>
            <w:r>
              <w:rPr>
                <w:rFonts w:eastAsia="仿宋_GB2312"/>
                <w:color w:val="000000"/>
                <w:spacing w:val="-2"/>
                <w:kern w:val="0"/>
                <w:sz w:val="18"/>
                <w:szCs w:val="18"/>
              </w:rPr>
              <w:t>10</w:t>
            </w:r>
            <w:r>
              <w:rPr>
                <w:rFonts w:hint="eastAsia" w:eastAsia="仿宋_GB2312"/>
                <w:color w:val="000000"/>
                <w:spacing w:val="-2"/>
                <w:kern w:val="0"/>
                <w:sz w:val="18"/>
                <w:szCs w:val="18"/>
              </w:rPr>
              <w:t>人及以上集访扣</w:t>
            </w:r>
            <w:r>
              <w:rPr>
                <w:rFonts w:eastAsia="仿宋_GB2312"/>
                <w:color w:val="000000"/>
                <w:spacing w:val="-2"/>
                <w:kern w:val="0"/>
                <w:sz w:val="18"/>
                <w:szCs w:val="18"/>
              </w:rPr>
              <w:t>6</w:t>
            </w:r>
            <w:r>
              <w:rPr>
                <w:rFonts w:hint="eastAsia" w:eastAsia="仿宋_GB2312"/>
                <w:color w:val="000000"/>
                <w:spacing w:val="-2"/>
                <w:kern w:val="0"/>
                <w:sz w:val="18"/>
                <w:szCs w:val="18"/>
              </w:rPr>
              <w:t>分，</w:t>
            </w:r>
            <w:r>
              <w:rPr>
                <w:rFonts w:eastAsia="仿宋_GB2312"/>
                <w:color w:val="000000"/>
                <w:spacing w:val="-2"/>
                <w:kern w:val="0"/>
                <w:sz w:val="18"/>
                <w:szCs w:val="18"/>
              </w:rPr>
              <w:t>5-10</w:t>
            </w:r>
            <w:r>
              <w:rPr>
                <w:rFonts w:hint="eastAsia" w:eastAsia="仿宋_GB2312"/>
                <w:color w:val="000000"/>
                <w:spacing w:val="-2"/>
                <w:kern w:val="0"/>
                <w:sz w:val="18"/>
                <w:szCs w:val="18"/>
              </w:rPr>
              <w:t>人集访扣</w:t>
            </w:r>
            <w:r>
              <w:rPr>
                <w:rFonts w:eastAsia="仿宋_GB2312"/>
                <w:color w:val="000000"/>
                <w:spacing w:val="-2"/>
                <w:kern w:val="0"/>
                <w:sz w:val="18"/>
                <w:szCs w:val="18"/>
              </w:rPr>
              <w:t>4</w:t>
            </w:r>
            <w:r>
              <w:rPr>
                <w:rFonts w:hint="eastAsia" w:eastAsia="仿宋_GB2312"/>
                <w:color w:val="000000"/>
                <w:spacing w:val="-2"/>
                <w:kern w:val="0"/>
                <w:sz w:val="18"/>
                <w:szCs w:val="18"/>
              </w:rPr>
              <w:t>分</w:t>
            </w:r>
          </w:p>
        </w:tc>
        <w:tc>
          <w:tcPr>
            <w:tcW w:w="532"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nil"/>
              <w:left w:val="nil"/>
              <w:bottom w:val="single" w:color="auto" w:sz="4"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nil"/>
              <w:left w:val="nil"/>
              <w:bottom w:val="single" w:color="auto" w:sz="4"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r>
        <w:tblPrEx>
          <w:tblCellMar>
            <w:top w:w="0" w:type="dxa"/>
            <w:left w:w="108" w:type="dxa"/>
            <w:bottom w:w="0" w:type="dxa"/>
            <w:right w:w="108" w:type="dxa"/>
          </w:tblCellMar>
        </w:tblPrEx>
        <w:trPr>
          <w:trHeight w:val="253" w:hRule="atLeast"/>
          <w:jc w:val="center"/>
        </w:trPr>
        <w:tc>
          <w:tcPr>
            <w:tcW w:w="2654" w:type="dxa"/>
            <w:gridSpan w:val="3"/>
            <w:tcBorders>
              <w:top w:val="single" w:color="auto" w:sz="4" w:space="0"/>
              <w:left w:val="single" w:color="auto" w:sz="8" w:space="0"/>
              <w:bottom w:val="single" w:color="auto" w:sz="8"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检查人签字：</w:t>
            </w:r>
          </w:p>
        </w:tc>
        <w:tc>
          <w:tcPr>
            <w:tcW w:w="2956" w:type="dxa"/>
            <w:tcBorders>
              <w:top w:val="single" w:color="auto" w:sz="4" w:space="0"/>
              <w:left w:val="nil"/>
              <w:bottom w:val="single" w:color="auto" w:sz="8"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被检查单位签字：</w:t>
            </w:r>
          </w:p>
        </w:tc>
        <w:tc>
          <w:tcPr>
            <w:tcW w:w="2372" w:type="dxa"/>
            <w:tcBorders>
              <w:top w:val="single" w:color="auto" w:sz="4" w:space="0"/>
              <w:left w:val="nil"/>
              <w:bottom w:val="single" w:color="auto" w:sz="8"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r>
              <w:rPr>
                <w:rFonts w:hint="eastAsia" w:eastAsia="仿宋_GB2312"/>
                <w:color w:val="000000"/>
                <w:spacing w:val="-2"/>
                <w:kern w:val="0"/>
                <w:sz w:val="18"/>
                <w:szCs w:val="18"/>
              </w:rPr>
              <w:t>得分扣分情况</w:t>
            </w:r>
          </w:p>
        </w:tc>
        <w:tc>
          <w:tcPr>
            <w:tcW w:w="532" w:type="dxa"/>
            <w:tcBorders>
              <w:top w:val="single" w:color="auto" w:sz="4" w:space="0"/>
              <w:left w:val="nil"/>
              <w:bottom w:val="single" w:color="auto" w:sz="8"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480" w:type="dxa"/>
            <w:tcBorders>
              <w:top w:val="single" w:color="auto" w:sz="4" w:space="0"/>
              <w:left w:val="nil"/>
              <w:bottom w:val="single" w:color="auto" w:sz="8" w:space="0"/>
              <w:right w:val="single" w:color="auto" w:sz="4"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c>
          <w:tcPr>
            <w:tcW w:w="520" w:type="dxa"/>
            <w:tcBorders>
              <w:top w:val="single" w:color="auto" w:sz="4" w:space="0"/>
              <w:left w:val="nil"/>
              <w:bottom w:val="single" w:color="auto" w:sz="8" w:space="0"/>
              <w:right w:val="single" w:color="auto" w:sz="8" w:space="0"/>
            </w:tcBorders>
            <w:noWrap w:val="0"/>
            <w:vAlign w:val="center"/>
          </w:tcPr>
          <w:p>
            <w:pPr>
              <w:adjustRightInd w:val="0"/>
              <w:snapToGrid w:val="0"/>
              <w:spacing w:line="240" w:lineRule="exact"/>
              <w:ind w:left="-63" w:leftChars="-30" w:right="-63" w:rightChars="-30"/>
              <w:jc w:val="center"/>
              <w:rPr>
                <w:rFonts w:eastAsia="仿宋_GB2312"/>
                <w:color w:val="000000"/>
                <w:spacing w:val="-2"/>
                <w:kern w:val="0"/>
                <w:sz w:val="18"/>
                <w:szCs w:val="18"/>
              </w:rPr>
            </w:pPr>
          </w:p>
        </w:tc>
      </w:tr>
    </w:tbl>
    <w:p>
      <w:pPr>
        <w:rPr>
          <w:rFonts w:hint="eastAsia"/>
        </w:rPr>
      </w:pPr>
      <w:r>
        <w:rPr>
          <w:rFonts w:hint="eastAsia" w:eastAsia="仿宋_GB2312"/>
          <w:color w:val="000000"/>
          <w:spacing w:val="-2"/>
          <w:kern w:val="0"/>
          <w:sz w:val="18"/>
          <w:szCs w:val="18"/>
        </w:rPr>
        <w:t>注：九牌一图包括：工程概况，项目组织，安全生产，文明施工，消防保卫，农民工权益告知，农民工投诉，建筑节能，安全应急预案，施工平面布置图</w:t>
      </w:r>
    </w:p>
    <w:p>
      <w:pPr>
        <w:pStyle w:val="7"/>
        <w:adjustRightInd w:val="0"/>
        <w:snapToGrid w:val="0"/>
        <w:spacing w:line="570" w:lineRule="exact"/>
        <w:jc w:val="center"/>
        <w:rPr>
          <w:rFonts w:ascii="Times New Roman" w:hAnsi="Times New Roman" w:eastAsia="方正黑体_GBK"/>
          <w:bCs/>
          <w:color w:val="000000"/>
          <w:spacing w:val="-2"/>
          <w:sz w:val="28"/>
          <w:szCs w:val="28"/>
        </w:rPr>
      </w:pPr>
      <w:r>
        <w:rPr>
          <w:rFonts w:hint="eastAsia" w:ascii="Times New Roman" w:hAnsi="Times New Roman" w:eastAsia="黑体"/>
          <w:bCs/>
          <w:color w:val="000000"/>
          <w:spacing w:val="-2"/>
        </w:rPr>
        <w:br w:type="column"/>
      </w:r>
      <w:r>
        <w:rPr>
          <w:rFonts w:hint="eastAsia" w:ascii="Times New Roman" w:hAnsi="Times New Roman" w:eastAsia="方正黑体_GBK"/>
          <w:bCs/>
          <w:color w:val="000000"/>
          <w:spacing w:val="-2"/>
          <w:sz w:val="28"/>
          <w:szCs w:val="28"/>
        </w:rPr>
        <w:t>建筑市场综合考核用表之三（分包工程）</w:t>
      </w:r>
    </w:p>
    <w:p>
      <w:pPr>
        <w:adjustRightInd w:val="0"/>
        <w:snapToGrid w:val="0"/>
        <w:jc w:val="left"/>
        <w:rPr>
          <w:rFonts w:hint="eastAsia" w:ascii="Times New Roman" w:hAnsi="Times New Roman" w:eastAsia="仿宋"/>
          <w:bCs/>
          <w:color w:val="000000"/>
          <w:spacing w:val="-2"/>
          <w:kern w:val="0"/>
          <w:sz w:val="24"/>
        </w:rPr>
      </w:pPr>
    </w:p>
    <w:p>
      <w:pPr>
        <w:adjustRightInd w:val="0"/>
        <w:snapToGrid w:val="0"/>
        <w:jc w:val="left"/>
        <w:rPr>
          <w:rFonts w:hint="eastAsia" w:ascii="Times New Roman" w:hAnsi="Times New Roman" w:eastAsia="仿宋_GB2312"/>
          <w:bCs/>
          <w:color w:val="000000"/>
          <w:spacing w:val="-2"/>
          <w:kern w:val="0"/>
          <w:sz w:val="24"/>
        </w:rPr>
      </w:pPr>
      <w:r>
        <w:rPr>
          <w:rFonts w:hint="eastAsia" w:ascii="Times New Roman" w:hAnsi="Times New Roman" w:eastAsia="仿宋_GB2312"/>
          <w:bCs/>
          <w:color w:val="000000"/>
          <w:spacing w:val="-2"/>
          <w:kern w:val="0"/>
          <w:sz w:val="24"/>
        </w:rPr>
        <w:t xml:space="preserve">项目编号：　                              检查日期：　                            </w:t>
      </w:r>
    </w:p>
    <w:tbl>
      <w:tblPr>
        <w:tblStyle w:val="12"/>
        <w:tblW w:w="0" w:type="auto"/>
        <w:jc w:val="center"/>
        <w:tblLayout w:type="fixed"/>
        <w:tblCellMar>
          <w:top w:w="0" w:type="dxa"/>
          <w:left w:w="108" w:type="dxa"/>
          <w:bottom w:w="0" w:type="dxa"/>
          <w:right w:w="108" w:type="dxa"/>
        </w:tblCellMar>
      </w:tblPr>
      <w:tblGrid>
        <w:gridCol w:w="684"/>
        <w:gridCol w:w="1249"/>
        <w:gridCol w:w="1274"/>
        <w:gridCol w:w="1134"/>
        <w:gridCol w:w="195"/>
        <w:gridCol w:w="2421"/>
        <w:gridCol w:w="569"/>
        <w:gridCol w:w="424"/>
        <w:gridCol w:w="143"/>
        <w:gridCol w:w="1418"/>
      </w:tblGrid>
      <w:tr>
        <w:tblPrEx>
          <w:tblCellMar>
            <w:top w:w="0" w:type="dxa"/>
            <w:left w:w="108" w:type="dxa"/>
            <w:bottom w:w="0" w:type="dxa"/>
            <w:right w:w="108" w:type="dxa"/>
          </w:tblCellMar>
        </w:tblPrEx>
        <w:trPr>
          <w:trHeight w:val="871" w:hRule="atLeast"/>
          <w:jc w:val="center"/>
        </w:trPr>
        <w:tc>
          <w:tcPr>
            <w:tcW w:w="9511" w:type="dxa"/>
            <w:gridSpan w:val="10"/>
            <w:tcBorders>
              <w:top w:val="single" w:color="auto" w:sz="4" w:space="0"/>
              <w:left w:val="single" w:color="auto" w:sz="4" w:space="0"/>
              <w:bottom w:val="single" w:color="auto" w:sz="4" w:space="0"/>
              <w:right w:val="single" w:color="000000" w:sz="4" w:space="0"/>
            </w:tcBorders>
            <w:noWrap w:val="0"/>
            <w:vAlign w:val="center"/>
          </w:tcPr>
          <w:p>
            <w:pPr>
              <w:adjustRightInd w:val="0"/>
              <w:snapToGrid w:val="0"/>
              <w:ind w:left="2114" w:hanging="2120" w:hangingChars="1025"/>
              <w:rPr>
                <w:rFonts w:eastAsia="仿宋_GB2312"/>
                <w:b/>
                <w:bCs/>
                <w:color w:val="000000"/>
                <w:spacing w:val="-2"/>
                <w:kern w:val="0"/>
                <w:szCs w:val="21"/>
              </w:rPr>
            </w:pPr>
            <w:r>
              <w:rPr>
                <w:rFonts w:hint="eastAsia" w:eastAsia="仿宋_GB2312"/>
                <w:b/>
                <w:bCs/>
                <w:color w:val="000000"/>
                <w:spacing w:val="-2"/>
                <w:kern w:val="0"/>
                <w:szCs w:val="21"/>
              </w:rPr>
              <w:t>施工单位（</w:t>
            </w:r>
            <w:r>
              <w:rPr>
                <w:rFonts w:eastAsia="仿宋_GB2312"/>
                <w:b/>
                <w:bCs/>
                <w:color w:val="000000"/>
                <w:spacing w:val="-2"/>
                <w:kern w:val="0"/>
                <w:szCs w:val="21"/>
              </w:rPr>
              <w:t>100</w:t>
            </w:r>
            <w:r>
              <w:rPr>
                <w:rFonts w:hint="eastAsia" w:eastAsia="仿宋_GB2312"/>
                <w:b/>
                <w:bCs/>
                <w:color w:val="000000"/>
                <w:spacing w:val="-2"/>
                <w:kern w:val="0"/>
                <w:szCs w:val="21"/>
              </w:rPr>
              <w:t>分）</w:t>
            </w:r>
            <w:r>
              <w:rPr>
                <w:rFonts w:eastAsia="仿宋_GB2312"/>
                <w:b/>
                <w:bCs/>
                <w:color w:val="000000"/>
                <w:spacing w:val="-2"/>
                <w:kern w:val="0"/>
                <w:szCs w:val="21"/>
              </w:rPr>
              <w:t xml:space="preserve">  □</w:t>
            </w:r>
            <w:r>
              <w:rPr>
                <w:rFonts w:hint="eastAsia" w:eastAsia="仿宋_GB2312"/>
                <w:b/>
                <w:bCs/>
                <w:color w:val="000000"/>
                <w:spacing w:val="-2"/>
                <w:kern w:val="0"/>
                <w:szCs w:val="21"/>
              </w:rPr>
              <w:t>防水</w:t>
            </w:r>
            <w:r>
              <w:rPr>
                <w:rFonts w:eastAsia="仿宋_GB2312"/>
                <w:b/>
                <w:bCs/>
                <w:color w:val="000000"/>
                <w:spacing w:val="-2"/>
                <w:kern w:val="0"/>
                <w:szCs w:val="21"/>
              </w:rPr>
              <w:t xml:space="preserve">    □</w:t>
            </w:r>
            <w:r>
              <w:rPr>
                <w:rFonts w:hint="eastAsia" w:eastAsia="仿宋_GB2312"/>
                <w:b/>
                <w:bCs/>
                <w:color w:val="000000"/>
                <w:spacing w:val="-2"/>
                <w:kern w:val="0"/>
                <w:szCs w:val="21"/>
              </w:rPr>
              <w:t>装饰装修</w:t>
            </w:r>
            <w:r>
              <w:rPr>
                <w:rFonts w:eastAsia="仿宋_GB2312"/>
                <w:b/>
                <w:bCs/>
                <w:color w:val="000000"/>
                <w:spacing w:val="-2"/>
                <w:kern w:val="0"/>
                <w:szCs w:val="21"/>
              </w:rPr>
              <w:t xml:space="preserve">   □</w:t>
            </w:r>
            <w:r>
              <w:rPr>
                <w:rFonts w:hint="eastAsia" w:eastAsia="仿宋_GB2312"/>
                <w:b/>
                <w:bCs/>
                <w:color w:val="000000"/>
                <w:spacing w:val="-2"/>
                <w:kern w:val="0"/>
                <w:szCs w:val="21"/>
              </w:rPr>
              <w:t>幕墙</w:t>
            </w:r>
            <w:r>
              <w:rPr>
                <w:rFonts w:eastAsia="仿宋_GB2312"/>
                <w:b/>
                <w:bCs/>
                <w:color w:val="000000"/>
                <w:spacing w:val="-2"/>
                <w:kern w:val="0"/>
                <w:szCs w:val="21"/>
              </w:rPr>
              <w:t xml:space="preserve">   □</w:t>
            </w:r>
            <w:r>
              <w:rPr>
                <w:rFonts w:hint="eastAsia" w:eastAsia="仿宋_GB2312"/>
                <w:b/>
                <w:bCs/>
                <w:color w:val="000000"/>
                <w:spacing w:val="-2"/>
                <w:kern w:val="0"/>
                <w:szCs w:val="21"/>
              </w:rPr>
              <w:t>安装</w:t>
            </w:r>
            <w:r>
              <w:rPr>
                <w:rFonts w:eastAsia="仿宋_GB2312"/>
                <w:b/>
                <w:bCs/>
                <w:color w:val="000000"/>
                <w:spacing w:val="-2"/>
                <w:kern w:val="0"/>
                <w:szCs w:val="21"/>
              </w:rPr>
              <w:t xml:space="preserve">  □</w:t>
            </w:r>
            <w:r>
              <w:rPr>
                <w:rFonts w:hint="eastAsia" w:eastAsia="仿宋_GB2312"/>
                <w:b/>
                <w:bCs/>
                <w:color w:val="000000"/>
                <w:spacing w:val="-2"/>
                <w:kern w:val="0"/>
                <w:szCs w:val="21"/>
              </w:rPr>
              <w:t>钢结构</w:t>
            </w:r>
            <w:r>
              <w:rPr>
                <w:rFonts w:eastAsia="仿宋_GB2312"/>
                <w:b/>
                <w:bCs/>
                <w:color w:val="000000"/>
                <w:spacing w:val="-2"/>
                <w:kern w:val="0"/>
                <w:szCs w:val="21"/>
              </w:rPr>
              <w:t xml:space="preserve">  □</w:t>
            </w:r>
            <w:r>
              <w:rPr>
                <w:rFonts w:hint="eastAsia" w:eastAsia="仿宋_GB2312"/>
                <w:b/>
                <w:bCs/>
                <w:color w:val="000000"/>
                <w:spacing w:val="-2"/>
                <w:kern w:val="0"/>
                <w:szCs w:val="21"/>
              </w:rPr>
              <w:t>桩基</w:t>
            </w:r>
            <w:r>
              <w:rPr>
                <w:rFonts w:eastAsia="仿宋_GB2312"/>
                <w:b/>
                <w:bCs/>
                <w:color w:val="000000"/>
                <w:spacing w:val="-2"/>
                <w:kern w:val="0"/>
                <w:szCs w:val="21"/>
              </w:rPr>
              <w:t xml:space="preserve">  □</w:t>
            </w:r>
            <w:r>
              <w:rPr>
                <w:rFonts w:hint="eastAsia" w:eastAsia="仿宋_GB2312"/>
                <w:b/>
                <w:bCs/>
                <w:color w:val="000000"/>
                <w:spacing w:val="-2"/>
                <w:kern w:val="0"/>
                <w:szCs w:val="21"/>
              </w:rPr>
              <w:t>弱电</w:t>
            </w:r>
            <w:r>
              <w:rPr>
                <w:rFonts w:eastAsia="仿宋_GB2312"/>
                <w:b/>
                <w:bCs/>
                <w:color w:val="000000"/>
                <w:spacing w:val="-2"/>
                <w:kern w:val="0"/>
                <w:szCs w:val="21"/>
              </w:rPr>
              <w:t xml:space="preserve">  </w:t>
            </w:r>
          </w:p>
          <w:p>
            <w:pPr>
              <w:adjustRightInd w:val="0"/>
              <w:snapToGrid w:val="0"/>
              <w:ind w:firstLine="2023" w:firstLineChars="978"/>
              <w:rPr>
                <w:rFonts w:eastAsia="仿宋_GB2312"/>
                <w:b/>
                <w:bCs/>
                <w:color w:val="000000"/>
                <w:spacing w:val="-2"/>
                <w:kern w:val="0"/>
                <w:szCs w:val="21"/>
              </w:rPr>
            </w:pPr>
            <w:r>
              <w:rPr>
                <w:rFonts w:eastAsia="仿宋_GB2312"/>
                <w:b/>
                <w:bCs/>
                <w:color w:val="000000"/>
                <w:spacing w:val="-2"/>
                <w:kern w:val="0"/>
                <w:szCs w:val="21"/>
              </w:rPr>
              <w:t>□</w:t>
            </w:r>
            <w:r>
              <w:rPr>
                <w:rFonts w:hint="eastAsia" w:eastAsia="仿宋_GB2312"/>
                <w:b/>
                <w:bCs/>
                <w:color w:val="000000"/>
                <w:spacing w:val="-2"/>
                <w:kern w:val="0"/>
                <w:szCs w:val="21"/>
              </w:rPr>
              <w:t>保温</w:t>
            </w:r>
            <w:r>
              <w:rPr>
                <w:rFonts w:eastAsia="仿宋_GB2312"/>
                <w:b/>
                <w:bCs/>
                <w:color w:val="000000"/>
                <w:spacing w:val="-2"/>
                <w:kern w:val="0"/>
                <w:szCs w:val="21"/>
              </w:rPr>
              <w:t xml:space="preserve">    □</w:t>
            </w:r>
            <w:r>
              <w:rPr>
                <w:rFonts w:hint="eastAsia" w:eastAsia="仿宋_GB2312"/>
                <w:b/>
                <w:bCs/>
                <w:color w:val="000000"/>
                <w:spacing w:val="-2"/>
                <w:kern w:val="0"/>
                <w:szCs w:val="21"/>
              </w:rPr>
              <w:t>其他</w:t>
            </w:r>
            <w:r>
              <w:rPr>
                <w:rFonts w:eastAsia="仿宋_GB2312"/>
                <w:b/>
                <w:bCs/>
                <w:color w:val="000000"/>
                <w:spacing w:val="-2"/>
                <w:kern w:val="0"/>
                <w:szCs w:val="21"/>
              </w:rPr>
              <w:t xml:space="preserve">       □</w:t>
            </w:r>
            <w:r>
              <w:rPr>
                <w:rFonts w:hint="eastAsia" w:eastAsia="仿宋_GB2312"/>
                <w:b/>
                <w:bCs/>
                <w:color w:val="000000"/>
                <w:spacing w:val="-2"/>
                <w:kern w:val="0"/>
                <w:szCs w:val="21"/>
              </w:rPr>
              <w:t>劳务</w:t>
            </w:r>
          </w:p>
        </w:tc>
      </w:tr>
      <w:tr>
        <w:tblPrEx>
          <w:tblCellMar>
            <w:top w:w="0" w:type="dxa"/>
            <w:left w:w="108" w:type="dxa"/>
            <w:bottom w:w="0" w:type="dxa"/>
            <w:right w:w="108" w:type="dxa"/>
          </w:tblCellMar>
        </w:tblPrEx>
        <w:trPr>
          <w:trHeight w:val="620" w:hRule="atLeast"/>
          <w:jc w:val="center"/>
        </w:trPr>
        <w:tc>
          <w:tcPr>
            <w:tcW w:w="684" w:type="dxa"/>
            <w:tcBorders>
              <w:top w:val="nil"/>
              <w:left w:val="single" w:color="auto" w:sz="4" w:space="0"/>
              <w:bottom w:val="single" w:color="auto" w:sz="4" w:space="0"/>
              <w:right w:val="single" w:color="auto" w:sz="4" w:space="0"/>
            </w:tcBorders>
            <w:noWrap w:val="0"/>
            <w:vAlign w:val="center"/>
          </w:tcPr>
          <w:p>
            <w:pPr>
              <w:adjustRightInd w:val="0"/>
              <w:snapToGrid w:val="0"/>
              <w:jc w:val="center"/>
              <w:rPr>
                <w:rFonts w:eastAsia="仿宋_GB2312"/>
                <w:b/>
                <w:bCs/>
                <w:color w:val="000000"/>
                <w:spacing w:val="-2"/>
                <w:kern w:val="0"/>
                <w:szCs w:val="21"/>
              </w:rPr>
            </w:pPr>
            <w:r>
              <w:rPr>
                <w:rFonts w:hint="eastAsia" w:eastAsia="仿宋_GB2312"/>
                <w:b/>
                <w:bCs/>
                <w:color w:val="000000"/>
                <w:spacing w:val="-2"/>
                <w:kern w:val="0"/>
                <w:szCs w:val="21"/>
              </w:rPr>
              <w:t>分包单位</w:t>
            </w:r>
          </w:p>
        </w:tc>
        <w:tc>
          <w:tcPr>
            <w:tcW w:w="2523"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b/>
                <w:bCs/>
                <w:color w:val="000000"/>
                <w:spacing w:val="-2"/>
                <w:kern w:val="0"/>
                <w:szCs w:val="21"/>
              </w:rPr>
            </w:pPr>
          </w:p>
        </w:tc>
        <w:tc>
          <w:tcPr>
            <w:tcW w:w="1134" w:type="dxa"/>
            <w:tcBorders>
              <w:top w:val="nil"/>
              <w:left w:val="nil"/>
              <w:bottom w:val="single" w:color="auto" w:sz="4" w:space="0"/>
              <w:right w:val="single" w:color="auto" w:sz="4" w:space="0"/>
            </w:tcBorders>
            <w:noWrap w:val="0"/>
            <w:vAlign w:val="center"/>
          </w:tcPr>
          <w:p>
            <w:pPr>
              <w:adjustRightInd w:val="0"/>
              <w:snapToGrid w:val="0"/>
              <w:jc w:val="center"/>
              <w:rPr>
                <w:rFonts w:eastAsia="仿宋_GB2312"/>
                <w:b/>
                <w:bCs/>
                <w:color w:val="000000"/>
                <w:spacing w:val="-2"/>
                <w:kern w:val="0"/>
                <w:szCs w:val="21"/>
              </w:rPr>
            </w:pPr>
            <w:r>
              <w:rPr>
                <w:rFonts w:hint="eastAsia" w:eastAsia="仿宋_GB2312"/>
                <w:b/>
                <w:bCs/>
                <w:color w:val="000000"/>
                <w:spacing w:val="-2"/>
                <w:kern w:val="0"/>
                <w:szCs w:val="21"/>
              </w:rPr>
              <w:t>分包</w:t>
            </w:r>
          </w:p>
          <w:p>
            <w:pPr>
              <w:adjustRightInd w:val="0"/>
              <w:snapToGrid w:val="0"/>
              <w:jc w:val="center"/>
              <w:rPr>
                <w:rFonts w:eastAsia="仿宋_GB2312"/>
                <w:b/>
                <w:bCs/>
                <w:color w:val="000000"/>
                <w:spacing w:val="-2"/>
                <w:kern w:val="0"/>
                <w:szCs w:val="21"/>
              </w:rPr>
            </w:pPr>
            <w:r>
              <w:rPr>
                <w:rFonts w:hint="eastAsia" w:eastAsia="仿宋_GB2312"/>
                <w:b/>
                <w:bCs/>
                <w:color w:val="000000"/>
                <w:spacing w:val="-2"/>
                <w:kern w:val="0"/>
                <w:szCs w:val="21"/>
              </w:rPr>
              <w:t>内容</w:t>
            </w:r>
          </w:p>
        </w:tc>
        <w:tc>
          <w:tcPr>
            <w:tcW w:w="2616" w:type="dxa"/>
            <w:gridSpan w:val="2"/>
            <w:tcBorders>
              <w:top w:val="nil"/>
              <w:left w:val="nil"/>
              <w:bottom w:val="single" w:color="auto" w:sz="4" w:space="0"/>
              <w:right w:val="single" w:color="000000" w:sz="4" w:space="0"/>
            </w:tcBorders>
            <w:noWrap w:val="0"/>
            <w:vAlign w:val="center"/>
          </w:tcPr>
          <w:p>
            <w:pPr>
              <w:adjustRightInd w:val="0"/>
              <w:snapToGrid w:val="0"/>
              <w:jc w:val="center"/>
              <w:rPr>
                <w:rFonts w:eastAsia="仿宋_GB2312"/>
                <w:b/>
                <w:bCs/>
                <w:color w:val="000000"/>
                <w:spacing w:val="-2"/>
                <w:kern w:val="0"/>
                <w:szCs w:val="21"/>
              </w:rPr>
            </w:pPr>
          </w:p>
        </w:tc>
        <w:tc>
          <w:tcPr>
            <w:tcW w:w="993" w:type="dxa"/>
            <w:gridSpan w:val="2"/>
            <w:tcBorders>
              <w:top w:val="nil"/>
              <w:left w:val="nil"/>
              <w:bottom w:val="single" w:color="auto" w:sz="4" w:space="0"/>
              <w:right w:val="single" w:color="000000" w:sz="4" w:space="0"/>
            </w:tcBorders>
            <w:noWrap w:val="0"/>
            <w:vAlign w:val="center"/>
          </w:tcPr>
          <w:p>
            <w:pPr>
              <w:adjustRightInd w:val="0"/>
              <w:snapToGrid w:val="0"/>
              <w:jc w:val="center"/>
              <w:rPr>
                <w:rFonts w:eastAsia="仿宋_GB2312"/>
                <w:b/>
                <w:bCs/>
                <w:color w:val="000000"/>
                <w:spacing w:val="-2"/>
                <w:kern w:val="0"/>
                <w:szCs w:val="21"/>
              </w:rPr>
            </w:pPr>
            <w:r>
              <w:rPr>
                <w:rFonts w:hint="eastAsia" w:eastAsia="仿宋_GB2312"/>
                <w:b/>
                <w:bCs/>
                <w:color w:val="000000"/>
                <w:spacing w:val="-2"/>
                <w:kern w:val="0"/>
                <w:szCs w:val="21"/>
              </w:rPr>
              <w:t>项</w:t>
            </w:r>
            <w:r>
              <w:rPr>
                <w:rFonts w:eastAsia="仿宋_GB2312"/>
                <w:b/>
                <w:bCs/>
                <w:color w:val="000000"/>
                <w:spacing w:val="-2"/>
                <w:kern w:val="0"/>
                <w:szCs w:val="21"/>
              </w:rPr>
              <w:t xml:space="preserve"> </w:t>
            </w:r>
            <w:r>
              <w:rPr>
                <w:rFonts w:hint="eastAsia" w:eastAsia="仿宋_GB2312"/>
                <w:b/>
                <w:bCs/>
                <w:color w:val="000000"/>
                <w:spacing w:val="-2"/>
                <w:kern w:val="0"/>
                <w:szCs w:val="21"/>
              </w:rPr>
              <w:t>目</w:t>
            </w:r>
          </w:p>
          <w:p>
            <w:pPr>
              <w:adjustRightInd w:val="0"/>
              <w:snapToGrid w:val="0"/>
              <w:jc w:val="center"/>
              <w:rPr>
                <w:rFonts w:eastAsia="仿宋_GB2312"/>
                <w:b/>
                <w:bCs/>
                <w:color w:val="000000"/>
                <w:spacing w:val="-2"/>
                <w:kern w:val="0"/>
                <w:szCs w:val="21"/>
              </w:rPr>
            </w:pPr>
            <w:r>
              <w:rPr>
                <w:rFonts w:hint="eastAsia" w:eastAsia="仿宋_GB2312"/>
                <w:b/>
                <w:bCs/>
                <w:color w:val="000000"/>
                <w:spacing w:val="-2"/>
                <w:kern w:val="0"/>
                <w:szCs w:val="21"/>
              </w:rPr>
              <w:t>经</w:t>
            </w:r>
            <w:r>
              <w:rPr>
                <w:rFonts w:eastAsia="仿宋_GB2312"/>
                <w:b/>
                <w:bCs/>
                <w:color w:val="000000"/>
                <w:spacing w:val="-2"/>
                <w:kern w:val="0"/>
                <w:szCs w:val="21"/>
              </w:rPr>
              <w:t xml:space="preserve"> </w:t>
            </w:r>
            <w:r>
              <w:rPr>
                <w:rFonts w:hint="eastAsia" w:eastAsia="仿宋_GB2312"/>
                <w:b/>
                <w:bCs/>
                <w:color w:val="000000"/>
                <w:spacing w:val="-2"/>
                <w:kern w:val="0"/>
                <w:szCs w:val="21"/>
              </w:rPr>
              <w:t>理</w:t>
            </w:r>
          </w:p>
        </w:tc>
        <w:tc>
          <w:tcPr>
            <w:tcW w:w="1561" w:type="dxa"/>
            <w:gridSpan w:val="2"/>
            <w:tcBorders>
              <w:top w:val="nil"/>
              <w:left w:val="nil"/>
              <w:bottom w:val="single" w:color="auto" w:sz="4" w:space="0"/>
              <w:right w:val="single" w:color="000000" w:sz="4" w:space="0"/>
            </w:tcBorders>
            <w:noWrap w:val="0"/>
            <w:vAlign w:val="center"/>
          </w:tcPr>
          <w:p>
            <w:pPr>
              <w:adjustRightInd w:val="0"/>
              <w:snapToGrid w:val="0"/>
              <w:jc w:val="center"/>
              <w:rPr>
                <w:rFonts w:eastAsia="仿宋_GB2312"/>
                <w:b/>
                <w:bCs/>
                <w:color w:val="000000"/>
                <w:spacing w:val="-2"/>
                <w:kern w:val="0"/>
                <w:szCs w:val="21"/>
              </w:rPr>
            </w:pPr>
          </w:p>
        </w:tc>
      </w:tr>
      <w:tr>
        <w:tblPrEx>
          <w:tblCellMar>
            <w:top w:w="0" w:type="dxa"/>
            <w:left w:w="108" w:type="dxa"/>
            <w:bottom w:w="0" w:type="dxa"/>
            <w:right w:w="108" w:type="dxa"/>
          </w:tblCellMar>
        </w:tblPrEx>
        <w:trPr>
          <w:trHeight w:val="540" w:hRule="atLeast"/>
          <w:jc w:val="center"/>
        </w:trPr>
        <w:tc>
          <w:tcPr>
            <w:tcW w:w="684" w:type="dxa"/>
            <w:tcBorders>
              <w:top w:val="nil"/>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序号</w:t>
            </w:r>
          </w:p>
        </w:tc>
        <w:tc>
          <w:tcPr>
            <w:tcW w:w="1249"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检查项目</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及分值</w:t>
            </w:r>
          </w:p>
        </w:tc>
        <w:tc>
          <w:tcPr>
            <w:tcW w:w="2603" w:type="dxa"/>
            <w:gridSpan w:val="3"/>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检查内容</w:t>
            </w:r>
          </w:p>
        </w:tc>
        <w:tc>
          <w:tcPr>
            <w:tcW w:w="2421"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扣分标准</w:t>
            </w:r>
          </w:p>
        </w:tc>
        <w:tc>
          <w:tcPr>
            <w:tcW w:w="569" w:type="dxa"/>
            <w:tcBorders>
              <w:top w:val="nil"/>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扣分</w:t>
            </w:r>
          </w:p>
        </w:tc>
        <w:tc>
          <w:tcPr>
            <w:tcW w:w="567" w:type="dxa"/>
            <w:gridSpan w:val="2"/>
            <w:tcBorders>
              <w:top w:val="nil"/>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得分</w:t>
            </w:r>
          </w:p>
        </w:tc>
        <w:tc>
          <w:tcPr>
            <w:tcW w:w="1418" w:type="dxa"/>
            <w:tcBorders>
              <w:top w:val="nil"/>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扣分原因</w:t>
            </w:r>
          </w:p>
        </w:tc>
      </w:tr>
      <w:tr>
        <w:tblPrEx>
          <w:tblCellMar>
            <w:top w:w="0" w:type="dxa"/>
            <w:left w:w="108" w:type="dxa"/>
            <w:bottom w:w="0" w:type="dxa"/>
            <w:right w:w="108" w:type="dxa"/>
          </w:tblCellMar>
        </w:tblPrEx>
        <w:trPr>
          <w:trHeight w:val="769" w:hRule="atLeast"/>
          <w:jc w:val="center"/>
        </w:trPr>
        <w:tc>
          <w:tcPr>
            <w:tcW w:w="684" w:type="dxa"/>
            <w:tcBorders>
              <w:top w:val="nil"/>
              <w:left w:val="single" w:color="auto" w:sz="4" w:space="0"/>
              <w:bottom w:val="single" w:color="000000"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tc>
        <w:tc>
          <w:tcPr>
            <w:tcW w:w="1249"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企业管理</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15</w:t>
            </w:r>
            <w:r>
              <w:rPr>
                <w:rFonts w:hint="eastAsia" w:eastAsia="仿宋_GB2312"/>
                <w:color w:val="000000"/>
                <w:spacing w:val="-2"/>
                <w:kern w:val="0"/>
                <w:szCs w:val="21"/>
              </w:rPr>
              <w:t>分）</w:t>
            </w:r>
          </w:p>
        </w:tc>
        <w:tc>
          <w:tcPr>
            <w:tcW w:w="2603" w:type="dxa"/>
            <w:gridSpan w:val="3"/>
            <w:tcBorders>
              <w:top w:val="single" w:color="auto" w:sz="4" w:space="0"/>
              <w:left w:val="nil"/>
              <w:bottom w:val="nil"/>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分包方是否具备相应资质，是否具备信用手册</w:t>
            </w:r>
          </w:p>
        </w:tc>
        <w:tc>
          <w:tcPr>
            <w:tcW w:w="2421"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承包方无资质扣</w:t>
            </w:r>
            <w:r>
              <w:rPr>
                <w:rFonts w:eastAsia="仿宋_GB2312"/>
                <w:color w:val="000000"/>
                <w:spacing w:val="-2"/>
                <w:kern w:val="0"/>
                <w:szCs w:val="21"/>
              </w:rPr>
              <w:t>15</w:t>
            </w:r>
            <w:r>
              <w:rPr>
                <w:rFonts w:hint="eastAsia" w:eastAsia="仿宋_GB2312"/>
                <w:color w:val="000000"/>
                <w:spacing w:val="-2"/>
                <w:kern w:val="0"/>
                <w:szCs w:val="21"/>
              </w:rPr>
              <w:t>分，无信用手册后</w:t>
            </w:r>
            <w:r>
              <w:rPr>
                <w:rFonts w:eastAsia="仿宋_GB2312"/>
                <w:color w:val="000000"/>
                <w:spacing w:val="-2"/>
                <w:kern w:val="0"/>
                <w:szCs w:val="21"/>
              </w:rPr>
              <w:t>10</w:t>
            </w:r>
            <w:r>
              <w:rPr>
                <w:rFonts w:hint="eastAsia" w:eastAsia="仿宋_GB2312"/>
                <w:color w:val="000000"/>
                <w:spacing w:val="-2"/>
                <w:kern w:val="0"/>
                <w:szCs w:val="21"/>
              </w:rPr>
              <w:t>分。</w:t>
            </w:r>
          </w:p>
        </w:tc>
        <w:tc>
          <w:tcPr>
            <w:tcW w:w="569" w:type="dxa"/>
            <w:tcBorders>
              <w:top w:val="nil"/>
              <w:left w:val="single" w:color="auto" w:sz="4" w:space="0"/>
              <w:bottom w:val="single" w:color="auto" w:sz="4" w:space="0"/>
              <w:right w:val="single" w:color="auto" w:sz="4" w:space="0"/>
            </w:tcBorders>
            <w:noWrap w:val="0"/>
            <w:vAlign w:val="center"/>
          </w:tcPr>
          <w:p>
            <w:pPr>
              <w:adjustRightInd w:val="0"/>
              <w:snapToGrid w:val="0"/>
              <w:rPr>
                <w:rFonts w:eastAsia="仿宋_GB2312"/>
                <w:i/>
                <w:color w:val="000000"/>
                <w:spacing w:val="-2"/>
                <w:kern w:val="0"/>
                <w:szCs w:val="21"/>
              </w:rPr>
            </w:pPr>
            <w:r>
              <w:rPr>
                <w:rFonts w:hint="eastAsia" w:eastAsia="仿宋_GB2312"/>
                <w:i/>
                <w:color w:val="000000"/>
                <w:spacing w:val="-2"/>
                <w:kern w:val="0"/>
                <w:szCs w:val="21"/>
              </w:rPr>
              <w:t>　</w:t>
            </w:r>
          </w:p>
        </w:tc>
        <w:tc>
          <w:tcPr>
            <w:tcW w:w="567" w:type="dxa"/>
            <w:gridSpan w:val="2"/>
            <w:tcBorders>
              <w:top w:val="nil"/>
              <w:left w:val="single" w:color="auto" w:sz="4" w:space="0"/>
              <w:bottom w:val="single" w:color="auto" w:sz="4" w:space="0"/>
              <w:right w:val="single" w:color="auto" w:sz="4" w:space="0"/>
            </w:tcBorders>
            <w:noWrap w:val="0"/>
            <w:vAlign w:val="center"/>
          </w:tcPr>
          <w:p>
            <w:pPr>
              <w:adjustRightInd w:val="0"/>
              <w:snapToGrid w:val="0"/>
              <w:rPr>
                <w:rFonts w:eastAsia="仿宋_GB2312"/>
                <w:i/>
                <w:color w:val="000000"/>
                <w:spacing w:val="-2"/>
                <w:kern w:val="0"/>
                <w:szCs w:val="21"/>
              </w:rPr>
            </w:pPr>
            <w:r>
              <w:rPr>
                <w:rFonts w:hint="eastAsia" w:eastAsia="仿宋_GB2312"/>
                <w:i/>
                <w:color w:val="000000"/>
                <w:spacing w:val="-2"/>
                <w:kern w:val="0"/>
                <w:szCs w:val="21"/>
              </w:rPr>
              <w:t>　</w:t>
            </w:r>
          </w:p>
        </w:tc>
        <w:tc>
          <w:tcPr>
            <w:tcW w:w="1418" w:type="dxa"/>
            <w:tcBorders>
              <w:top w:val="nil"/>
              <w:left w:val="single" w:color="auto" w:sz="4" w:space="0"/>
              <w:bottom w:val="single" w:color="000000"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CellMar>
            <w:top w:w="0" w:type="dxa"/>
            <w:left w:w="108" w:type="dxa"/>
            <w:bottom w:w="0" w:type="dxa"/>
            <w:right w:w="108" w:type="dxa"/>
          </w:tblCellMar>
        </w:tblPrEx>
        <w:trPr>
          <w:trHeight w:val="548" w:hRule="atLeast"/>
          <w:jc w:val="center"/>
        </w:trPr>
        <w:tc>
          <w:tcPr>
            <w:tcW w:w="684" w:type="dxa"/>
            <w:vMerge w:val="restart"/>
            <w:tcBorders>
              <w:top w:val="nil"/>
              <w:left w:val="single" w:color="auto" w:sz="4" w:space="0"/>
              <w:bottom w:val="single" w:color="000000"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249" w:type="dxa"/>
            <w:vMerge w:val="restart"/>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合同管理</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15</w:t>
            </w:r>
            <w:r>
              <w:rPr>
                <w:rFonts w:hint="eastAsia" w:eastAsia="仿宋_GB2312"/>
                <w:color w:val="000000"/>
                <w:spacing w:val="-2"/>
                <w:kern w:val="0"/>
                <w:szCs w:val="21"/>
              </w:rPr>
              <w:t>分）</w:t>
            </w:r>
          </w:p>
        </w:tc>
        <w:tc>
          <w:tcPr>
            <w:tcW w:w="2603" w:type="dxa"/>
            <w:gridSpan w:val="3"/>
            <w:vMerge w:val="restart"/>
            <w:tcBorders>
              <w:top w:val="single" w:color="auto" w:sz="4" w:space="0"/>
              <w:left w:val="nil"/>
              <w:bottom w:val="nil"/>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施工合同是否按规定签订备案（</w:t>
            </w:r>
            <w:r>
              <w:rPr>
                <w:rFonts w:eastAsia="仿宋_GB2312"/>
                <w:color w:val="000000"/>
                <w:spacing w:val="-2"/>
                <w:kern w:val="0"/>
                <w:szCs w:val="21"/>
              </w:rPr>
              <w:t>15</w:t>
            </w:r>
            <w:r>
              <w:rPr>
                <w:rFonts w:hint="eastAsia" w:eastAsia="仿宋_GB2312"/>
                <w:color w:val="000000"/>
                <w:spacing w:val="-2"/>
                <w:kern w:val="0"/>
                <w:szCs w:val="21"/>
              </w:rPr>
              <w:t>分）</w:t>
            </w:r>
          </w:p>
        </w:tc>
        <w:tc>
          <w:tcPr>
            <w:tcW w:w="2421" w:type="dxa"/>
            <w:tcBorders>
              <w:top w:val="single" w:color="auto" w:sz="4" w:space="0"/>
              <w:left w:val="single" w:color="auto" w:sz="4" w:space="0"/>
              <w:bottom w:val="single" w:color="000000"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未按规定签订扣</w:t>
            </w:r>
            <w:r>
              <w:rPr>
                <w:rFonts w:eastAsia="仿宋_GB2312"/>
                <w:color w:val="000000"/>
                <w:spacing w:val="-2"/>
                <w:kern w:val="0"/>
                <w:szCs w:val="21"/>
              </w:rPr>
              <w:t>15</w:t>
            </w:r>
            <w:r>
              <w:rPr>
                <w:rFonts w:hint="eastAsia" w:eastAsia="仿宋_GB2312"/>
                <w:color w:val="000000"/>
                <w:spacing w:val="-2"/>
                <w:kern w:val="0"/>
                <w:szCs w:val="21"/>
              </w:rPr>
              <w:t>分</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56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1418" w:type="dxa"/>
            <w:vMerge w:val="restart"/>
            <w:tcBorders>
              <w:top w:val="nil"/>
              <w:left w:val="single" w:color="auto" w:sz="4" w:space="0"/>
              <w:bottom w:val="single" w:color="000000" w:sz="4" w:space="0"/>
              <w:right w:val="single" w:color="auto" w:sz="4" w:space="0"/>
            </w:tcBorders>
            <w:noWrap w:val="0"/>
            <w:vAlign w:val="center"/>
          </w:tcPr>
          <w:p>
            <w:pPr>
              <w:adjustRightInd w:val="0"/>
              <w:snapToGrid w:val="0"/>
              <w:rPr>
                <w:rFonts w:eastAsia="仿宋_GB2312"/>
                <w:color w:val="000000"/>
                <w:spacing w:val="-2"/>
                <w:kern w:val="0"/>
                <w:szCs w:val="21"/>
              </w:rPr>
            </w:pPr>
          </w:p>
        </w:tc>
      </w:tr>
      <w:tr>
        <w:tblPrEx>
          <w:tblCellMar>
            <w:top w:w="0" w:type="dxa"/>
            <w:left w:w="108" w:type="dxa"/>
            <w:bottom w:w="0" w:type="dxa"/>
            <w:right w:w="108" w:type="dxa"/>
          </w:tblCellMar>
        </w:tblPrEx>
        <w:trPr>
          <w:trHeight w:val="547" w:hRule="atLeast"/>
          <w:jc w:val="center"/>
        </w:trPr>
        <w:tc>
          <w:tcPr>
            <w:tcW w:w="684"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仿宋_GB2312"/>
                <w:color w:val="000000"/>
                <w:spacing w:val="-2"/>
                <w:kern w:val="0"/>
                <w:szCs w:val="21"/>
              </w:rPr>
            </w:pPr>
          </w:p>
        </w:tc>
        <w:tc>
          <w:tcPr>
            <w:tcW w:w="1249" w:type="dxa"/>
            <w:vMerge w:val="continue"/>
            <w:tcBorders>
              <w:top w:val="single" w:color="auto" w:sz="4" w:space="0"/>
              <w:left w:val="single" w:color="auto" w:sz="4" w:space="0"/>
              <w:bottom w:val="single" w:color="000000" w:sz="4" w:space="0"/>
              <w:right w:val="single" w:color="000000" w:sz="4" w:space="0"/>
            </w:tcBorders>
            <w:noWrap w:val="0"/>
            <w:vAlign w:val="center"/>
          </w:tcPr>
          <w:p>
            <w:pPr>
              <w:widowControl/>
              <w:jc w:val="left"/>
              <w:rPr>
                <w:rFonts w:eastAsia="仿宋_GB2312"/>
                <w:color w:val="000000"/>
                <w:spacing w:val="-2"/>
                <w:kern w:val="0"/>
                <w:szCs w:val="21"/>
              </w:rPr>
            </w:pPr>
          </w:p>
        </w:tc>
        <w:tc>
          <w:tcPr>
            <w:tcW w:w="2603" w:type="dxa"/>
            <w:gridSpan w:val="3"/>
            <w:vMerge w:val="continue"/>
            <w:tcBorders>
              <w:top w:val="single" w:color="auto" w:sz="4" w:space="0"/>
              <w:left w:val="nil"/>
              <w:bottom w:val="nil"/>
              <w:right w:val="single" w:color="000000" w:sz="4" w:space="0"/>
            </w:tcBorders>
            <w:noWrap w:val="0"/>
            <w:vAlign w:val="center"/>
          </w:tcPr>
          <w:p>
            <w:pPr>
              <w:widowControl/>
              <w:jc w:val="left"/>
              <w:rPr>
                <w:rFonts w:eastAsia="仿宋_GB2312"/>
                <w:color w:val="000000"/>
                <w:spacing w:val="-2"/>
                <w:kern w:val="0"/>
                <w:szCs w:val="21"/>
              </w:rPr>
            </w:pPr>
          </w:p>
        </w:tc>
        <w:tc>
          <w:tcPr>
            <w:tcW w:w="2421" w:type="dxa"/>
            <w:tcBorders>
              <w:top w:val="single" w:color="auto" w:sz="4" w:space="0"/>
              <w:left w:val="single" w:color="auto" w:sz="4" w:space="0"/>
              <w:bottom w:val="single" w:color="000000"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未备案扣</w:t>
            </w:r>
            <w:r>
              <w:rPr>
                <w:rFonts w:eastAsia="仿宋_GB2312"/>
                <w:color w:val="000000"/>
                <w:spacing w:val="-2"/>
                <w:kern w:val="0"/>
                <w:szCs w:val="21"/>
              </w:rPr>
              <w:t>10</w:t>
            </w:r>
            <w:r>
              <w:rPr>
                <w:rFonts w:hint="eastAsia" w:eastAsia="仿宋_GB2312"/>
                <w:color w:val="000000"/>
                <w:spacing w:val="-2"/>
                <w:kern w:val="0"/>
                <w:szCs w:val="21"/>
              </w:rPr>
              <w:t>分</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56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1418" w:type="dxa"/>
            <w:vMerge w:val="continue"/>
            <w:tcBorders>
              <w:top w:val="nil"/>
              <w:left w:val="single" w:color="auto" w:sz="4" w:space="0"/>
              <w:bottom w:val="single" w:color="000000" w:sz="4" w:space="0"/>
              <w:right w:val="single" w:color="auto" w:sz="4"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05" w:hRule="atLeast"/>
          <w:jc w:val="center"/>
        </w:trPr>
        <w:tc>
          <w:tcPr>
            <w:tcW w:w="684" w:type="dxa"/>
            <w:tcBorders>
              <w:top w:val="nil"/>
              <w:left w:val="single" w:color="auto" w:sz="4" w:space="0"/>
              <w:bottom w:val="single" w:color="000000"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249"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管理体系</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15</w:t>
            </w:r>
            <w:r>
              <w:rPr>
                <w:rFonts w:hint="eastAsia" w:eastAsia="仿宋_GB2312"/>
                <w:color w:val="000000"/>
                <w:spacing w:val="-2"/>
                <w:kern w:val="0"/>
                <w:szCs w:val="21"/>
              </w:rPr>
              <w:t>分）</w:t>
            </w:r>
          </w:p>
        </w:tc>
        <w:tc>
          <w:tcPr>
            <w:tcW w:w="2603" w:type="dxa"/>
            <w:gridSpan w:val="3"/>
            <w:tcBorders>
              <w:top w:val="single" w:color="auto" w:sz="4" w:space="0"/>
              <w:left w:val="nil"/>
              <w:bottom w:val="nil"/>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是否建立管理体系</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并报总包备案</w:t>
            </w:r>
          </w:p>
        </w:tc>
        <w:tc>
          <w:tcPr>
            <w:tcW w:w="2421"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未建立扣</w:t>
            </w:r>
            <w:r>
              <w:rPr>
                <w:rFonts w:eastAsia="仿宋_GB2312"/>
                <w:color w:val="000000"/>
                <w:spacing w:val="-2"/>
                <w:kern w:val="0"/>
                <w:szCs w:val="21"/>
              </w:rPr>
              <w:t>15</w:t>
            </w:r>
            <w:r>
              <w:rPr>
                <w:rFonts w:hint="eastAsia" w:eastAsia="仿宋_GB2312"/>
                <w:color w:val="000000"/>
                <w:spacing w:val="-2"/>
                <w:kern w:val="0"/>
                <w:szCs w:val="21"/>
              </w:rPr>
              <w:t>分，不健全</w:t>
            </w:r>
            <w:r>
              <w:rPr>
                <w:rFonts w:eastAsia="仿宋_GB2312"/>
                <w:color w:val="000000"/>
                <w:spacing w:val="-2"/>
                <w:kern w:val="0"/>
                <w:szCs w:val="21"/>
              </w:rPr>
              <w:t>8</w:t>
            </w:r>
            <w:r>
              <w:rPr>
                <w:rFonts w:hint="eastAsia" w:eastAsia="仿宋_GB2312"/>
                <w:color w:val="000000"/>
                <w:spacing w:val="-2"/>
                <w:kern w:val="0"/>
                <w:szCs w:val="21"/>
              </w:rPr>
              <w:t>分</w:t>
            </w:r>
          </w:p>
        </w:tc>
        <w:tc>
          <w:tcPr>
            <w:tcW w:w="569" w:type="dxa"/>
            <w:tcBorders>
              <w:top w:val="single" w:color="auto" w:sz="4" w:space="0"/>
              <w:left w:val="single" w:color="auto" w:sz="4" w:space="0"/>
              <w:bottom w:val="single" w:color="000000"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567" w:type="dxa"/>
            <w:gridSpan w:val="2"/>
            <w:tcBorders>
              <w:top w:val="single" w:color="auto" w:sz="4" w:space="0"/>
              <w:left w:val="single" w:color="auto" w:sz="4" w:space="0"/>
              <w:bottom w:val="single" w:color="000000"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1418" w:type="dxa"/>
            <w:tcBorders>
              <w:top w:val="nil"/>
              <w:left w:val="single" w:color="auto" w:sz="4" w:space="0"/>
              <w:bottom w:val="single" w:color="000000" w:sz="4" w:space="0"/>
              <w:right w:val="single" w:color="auto" w:sz="4" w:space="0"/>
            </w:tcBorders>
            <w:noWrap w:val="0"/>
            <w:vAlign w:val="center"/>
          </w:tcPr>
          <w:p>
            <w:pPr>
              <w:adjustRightInd w:val="0"/>
              <w:snapToGrid w:val="0"/>
              <w:rPr>
                <w:rFonts w:eastAsia="仿宋_GB2312"/>
                <w:color w:val="000000"/>
                <w:spacing w:val="-2"/>
                <w:kern w:val="0"/>
                <w:szCs w:val="21"/>
              </w:rPr>
            </w:pPr>
          </w:p>
        </w:tc>
      </w:tr>
      <w:tr>
        <w:tblPrEx>
          <w:tblCellMar>
            <w:top w:w="0" w:type="dxa"/>
            <w:left w:w="108" w:type="dxa"/>
            <w:bottom w:w="0" w:type="dxa"/>
            <w:right w:w="108" w:type="dxa"/>
          </w:tblCellMar>
        </w:tblPrEx>
        <w:trPr>
          <w:trHeight w:val="829" w:hRule="atLeast"/>
          <w:jc w:val="center"/>
        </w:trPr>
        <w:tc>
          <w:tcPr>
            <w:tcW w:w="684" w:type="dxa"/>
            <w:tcBorders>
              <w:top w:val="nil"/>
              <w:left w:val="single" w:color="auto" w:sz="4" w:space="0"/>
              <w:bottom w:val="single" w:color="000000"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249"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农民工投诉</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处理机制</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15</w:t>
            </w:r>
            <w:r>
              <w:rPr>
                <w:rFonts w:hint="eastAsia" w:eastAsia="仿宋_GB2312"/>
                <w:color w:val="000000"/>
                <w:spacing w:val="-2"/>
                <w:kern w:val="0"/>
                <w:szCs w:val="21"/>
              </w:rPr>
              <w:t>分）</w:t>
            </w:r>
          </w:p>
        </w:tc>
        <w:tc>
          <w:tcPr>
            <w:tcW w:w="2603" w:type="dxa"/>
            <w:gridSpan w:val="3"/>
            <w:tcBorders>
              <w:top w:val="single" w:color="auto" w:sz="4" w:space="0"/>
              <w:left w:val="nil"/>
              <w:bottom w:val="nil"/>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是否建立投诉处理机制</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并报总包备案</w:t>
            </w:r>
          </w:p>
        </w:tc>
        <w:tc>
          <w:tcPr>
            <w:tcW w:w="2421"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未建立扣</w:t>
            </w:r>
            <w:r>
              <w:rPr>
                <w:rFonts w:eastAsia="仿宋_GB2312"/>
                <w:color w:val="000000"/>
                <w:spacing w:val="-2"/>
                <w:kern w:val="0"/>
                <w:szCs w:val="21"/>
              </w:rPr>
              <w:t>11</w:t>
            </w:r>
            <w:r>
              <w:rPr>
                <w:rFonts w:hint="eastAsia" w:eastAsia="仿宋_GB2312"/>
                <w:color w:val="000000"/>
                <w:spacing w:val="-2"/>
                <w:kern w:val="0"/>
                <w:szCs w:val="21"/>
              </w:rPr>
              <w:t>分，不健全</w:t>
            </w:r>
            <w:r>
              <w:rPr>
                <w:rFonts w:eastAsia="仿宋_GB2312"/>
                <w:color w:val="000000"/>
                <w:spacing w:val="-2"/>
                <w:kern w:val="0"/>
                <w:szCs w:val="21"/>
              </w:rPr>
              <w:t>5</w:t>
            </w:r>
            <w:r>
              <w:rPr>
                <w:rFonts w:hint="eastAsia" w:eastAsia="仿宋_GB2312"/>
                <w:color w:val="000000"/>
                <w:spacing w:val="-2"/>
                <w:kern w:val="0"/>
                <w:szCs w:val="21"/>
              </w:rPr>
              <w:t>分</w:t>
            </w:r>
          </w:p>
        </w:tc>
        <w:tc>
          <w:tcPr>
            <w:tcW w:w="569" w:type="dxa"/>
            <w:tcBorders>
              <w:top w:val="nil"/>
              <w:left w:val="single" w:color="auto" w:sz="4" w:space="0"/>
              <w:bottom w:val="single" w:color="000000"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567" w:type="dxa"/>
            <w:gridSpan w:val="2"/>
            <w:tcBorders>
              <w:top w:val="nil"/>
              <w:left w:val="single" w:color="auto" w:sz="4" w:space="0"/>
              <w:bottom w:val="single" w:color="000000"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1418" w:type="dxa"/>
            <w:tcBorders>
              <w:top w:val="nil"/>
              <w:left w:val="single" w:color="auto" w:sz="4" w:space="0"/>
              <w:bottom w:val="single" w:color="000000" w:sz="4" w:space="0"/>
              <w:right w:val="single" w:color="auto" w:sz="4" w:space="0"/>
            </w:tcBorders>
            <w:noWrap w:val="0"/>
            <w:vAlign w:val="center"/>
          </w:tcPr>
          <w:p>
            <w:pPr>
              <w:adjustRightInd w:val="0"/>
              <w:snapToGrid w:val="0"/>
              <w:rPr>
                <w:rFonts w:eastAsia="仿宋_GB2312"/>
                <w:color w:val="000000"/>
                <w:spacing w:val="-2"/>
                <w:kern w:val="0"/>
                <w:szCs w:val="21"/>
              </w:rPr>
            </w:pPr>
          </w:p>
        </w:tc>
      </w:tr>
      <w:tr>
        <w:tblPrEx>
          <w:tblCellMar>
            <w:top w:w="0" w:type="dxa"/>
            <w:left w:w="108" w:type="dxa"/>
            <w:bottom w:w="0" w:type="dxa"/>
            <w:right w:w="108" w:type="dxa"/>
          </w:tblCellMar>
        </w:tblPrEx>
        <w:trPr>
          <w:trHeight w:val="841" w:hRule="atLeast"/>
          <w:jc w:val="center"/>
        </w:trPr>
        <w:tc>
          <w:tcPr>
            <w:tcW w:w="684" w:type="dxa"/>
            <w:tcBorders>
              <w:top w:val="nil"/>
              <w:left w:val="single" w:color="auto" w:sz="4" w:space="0"/>
              <w:bottom w:val="single" w:color="000000"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5</w:t>
            </w:r>
          </w:p>
        </w:tc>
        <w:tc>
          <w:tcPr>
            <w:tcW w:w="1249"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农民工投诉</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2603" w:type="dxa"/>
            <w:gridSpan w:val="3"/>
            <w:tcBorders>
              <w:top w:val="single" w:color="auto" w:sz="4" w:space="0"/>
              <w:left w:val="nil"/>
              <w:bottom w:val="nil"/>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检查期间因分包项目引起的农民工工资集访（</w:t>
            </w:r>
            <w:r>
              <w:rPr>
                <w:rFonts w:eastAsia="仿宋_GB2312"/>
                <w:color w:val="000000"/>
                <w:spacing w:val="-2"/>
                <w:kern w:val="0"/>
                <w:szCs w:val="21"/>
              </w:rPr>
              <w:t>20</w:t>
            </w:r>
            <w:r>
              <w:rPr>
                <w:rFonts w:hint="eastAsia" w:eastAsia="仿宋_GB2312"/>
                <w:color w:val="000000"/>
                <w:spacing w:val="-2"/>
                <w:kern w:val="0"/>
                <w:szCs w:val="21"/>
              </w:rPr>
              <w:t>分）</w:t>
            </w:r>
          </w:p>
        </w:tc>
        <w:tc>
          <w:tcPr>
            <w:tcW w:w="2421"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产生</w:t>
            </w:r>
            <w:r>
              <w:rPr>
                <w:rFonts w:eastAsia="仿宋_GB2312"/>
                <w:color w:val="000000"/>
                <w:spacing w:val="-2"/>
                <w:kern w:val="0"/>
                <w:szCs w:val="21"/>
              </w:rPr>
              <w:t>10</w:t>
            </w:r>
            <w:r>
              <w:rPr>
                <w:rFonts w:hint="eastAsia" w:eastAsia="仿宋_GB2312"/>
                <w:color w:val="000000"/>
                <w:spacing w:val="-2"/>
                <w:kern w:val="0"/>
                <w:szCs w:val="21"/>
              </w:rPr>
              <w:t>人及以上集访扣</w:t>
            </w:r>
            <w:r>
              <w:rPr>
                <w:rFonts w:eastAsia="仿宋_GB2312"/>
                <w:color w:val="000000"/>
                <w:spacing w:val="-2"/>
                <w:kern w:val="0"/>
                <w:szCs w:val="21"/>
              </w:rPr>
              <w:t>20</w:t>
            </w:r>
            <w:r>
              <w:rPr>
                <w:rFonts w:hint="eastAsia" w:eastAsia="仿宋_GB2312"/>
                <w:color w:val="000000"/>
                <w:spacing w:val="-2"/>
                <w:kern w:val="0"/>
                <w:szCs w:val="21"/>
              </w:rPr>
              <w:t>分，</w:t>
            </w:r>
            <w:r>
              <w:rPr>
                <w:rFonts w:eastAsia="仿宋_GB2312"/>
                <w:color w:val="000000"/>
                <w:spacing w:val="-2"/>
                <w:kern w:val="0"/>
                <w:szCs w:val="21"/>
              </w:rPr>
              <w:t>5-10</w:t>
            </w:r>
            <w:r>
              <w:rPr>
                <w:rFonts w:hint="eastAsia" w:eastAsia="仿宋_GB2312"/>
                <w:color w:val="000000"/>
                <w:spacing w:val="-2"/>
                <w:kern w:val="0"/>
                <w:szCs w:val="21"/>
              </w:rPr>
              <w:t>人集访扣</w:t>
            </w:r>
            <w:r>
              <w:rPr>
                <w:rFonts w:eastAsia="仿宋_GB2312"/>
                <w:color w:val="000000"/>
                <w:spacing w:val="-2"/>
                <w:kern w:val="0"/>
                <w:szCs w:val="21"/>
              </w:rPr>
              <w:t>10</w:t>
            </w:r>
            <w:r>
              <w:rPr>
                <w:rFonts w:hint="eastAsia" w:eastAsia="仿宋_GB2312"/>
                <w:color w:val="000000"/>
                <w:spacing w:val="-2"/>
                <w:kern w:val="0"/>
                <w:szCs w:val="21"/>
              </w:rPr>
              <w:t>分</w:t>
            </w:r>
          </w:p>
        </w:tc>
        <w:tc>
          <w:tcPr>
            <w:tcW w:w="569" w:type="dxa"/>
            <w:tcBorders>
              <w:top w:val="nil"/>
              <w:left w:val="single" w:color="auto" w:sz="4" w:space="0"/>
              <w:bottom w:val="single" w:color="000000"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567" w:type="dxa"/>
            <w:gridSpan w:val="2"/>
            <w:tcBorders>
              <w:top w:val="nil"/>
              <w:left w:val="single" w:color="auto" w:sz="4" w:space="0"/>
              <w:bottom w:val="single" w:color="000000"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1418" w:type="dxa"/>
            <w:tcBorders>
              <w:top w:val="nil"/>
              <w:left w:val="single" w:color="auto" w:sz="4" w:space="0"/>
              <w:bottom w:val="single" w:color="000000" w:sz="4" w:space="0"/>
              <w:right w:val="single" w:color="auto" w:sz="4" w:space="0"/>
            </w:tcBorders>
            <w:noWrap w:val="0"/>
            <w:vAlign w:val="center"/>
          </w:tcPr>
          <w:p>
            <w:pPr>
              <w:adjustRightInd w:val="0"/>
              <w:snapToGrid w:val="0"/>
              <w:rPr>
                <w:rFonts w:eastAsia="仿宋_GB2312"/>
                <w:color w:val="000000"/>
                <w:spacing w:val="-2"/>
                <w:kern w:val="0"/>
                <w:szCs w:val="21"/>
              </w:rPr>
            </w:pPr>
          </w:p>
        </w:tc>
      </w:tr>
      <w:tr>
        <w:tblPrEx>
          <w:tblCellMar>
            <w:top w:w="0" w:type="dxa"/>
            <w:left w:w="108" w:type="dxa"/>
            <w:bottom w:w="0" w:type="dxa"/>
            <w:right w:w="108" w:type="dxa"/>
          </w:tblCellMar>
        </w:tblPrEx>
        <w:trPr>
          <w:trHeight w:val="1052" w:hRule="atLeast"/>
          <w:jc w:val="center"/>
        </w:trPr>
        <w:tc>
          <w:tcPr>
            <w:tcW w:w="684" w:type="dxa"/>
            <w:vMerge w:val="restart"/>
            <w:tcBorders>
              <w:top w:val="nil"/>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6</w:t>
            </w:r>
          </w:p>
        </w:tc>
        <w:tc>
          <w:tcPr>
            <w:tcW w:w="1249" w:type="dxa"/>
            <w:vMerge w:val="restart"/>
            <w:tcBorders>
              <w:top w:val="single" w:color="auto" w:sz="4" w:space="0"/>
              <w:left w:val="single" w:color="auto" w:sz="4" w:space="0"/>
              <w:bottom w:val="single" w:color="auto" w:sz="4" w:space="0"/>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项目负责人</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2603" w:type="dxa"/>
            <w:gridSpan w:val="3"/>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分包项目负责人专业、等级是否与承接内容相适应（</w:t>
            </w:r>
            <w:r>
              <w:rPr>
                <w:rFonts w:eastAsia="仿宋_GB2312"/>
                <w:color w:val="000000"/>
                <w:spacing w:val="-2"/>
                <w:kern w:val="0"/>
                <w:szCs w:val="21"/>
              </w:rPr>
              <w:t>10</w:t>
            </w:r>
            <w:r>
              <w:rPr>
                <w:rFonts w:hint="eastAsia" w:eastAsia="仿宋_GB2312"/>
                <w:color w:val="000000"/>
                <w:spacing w:val="-2"/>
                <w:kern w:val="0"/>
                <w:szCs w:val="21"/>
              </w:rPr>
              <w:t>分）</w:t>
            </w:r>
          </w:p>
        </w:tc>
        <w:tc>
          <w:tcPr>
            <w:tcW w:w="2421"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专业、等级不适应。扣</w:t>
            </w:r>
            <w:r>
              <w:rPr>
                <w:rFonts w:eastAsia="仿宋_GB2312"/>
                <w:color w:val="000000"/>
                <w:spacing w:val="-2"/>
                <w:kern w:val="0"/>
                <w:szCs w:val="21"/>
              </w:rPr>
              <w:t>10</w:t>
            </w:r>
            <w:r>
              <w:rPr>
                <w:rFonts w:hint="eastAsia" w:eastAsia="仿宋_GB2312"/>
                <w:color w:val="000000"/>
                <w:spacing w:val="-2"/>
                <w:kern w:val="0"/>
                <w:szCs w:val="21"/>
              </w:rPr>
              <w:t>分，</w:t>
            </w:r>
            <w:r>
              <w:rPr>
                <w:rFonts w:eastAsia="仿宋_GB2312"/>
                <w:color w:val="000000"/>
                <w:spacing w:val="-2"/>
                <w:kern w:val="0"/>
                <w:szCs w:val="21"/>
              </w:rPr>
              <w:t xml:space="preserve"> </w:t>
            </w:r>
          </w:p>
        </w:tc>
        <w:tc>
          <w:tcPr>
            <w:tcW w:w="569" w:type="dxa"/>
            <w:tcBorders>
              <w:top w:val="nil"/>
              <w:left w:val="nil"/>
              <w:bottom w:val="single" w:color="auto" w:sz="4" w:space="0"/>
              <w:right w:val="single" w:color="auto" w:sz="4" w:space="0"/>
            </w:tcBorders>
            <w:noWrap w:val="0"/>
            <w:vAlign w:val="top"/>
          </w:tcPr>
          <w:p>
            <w:pPr>
              <w:adjustRightInd w:val="0"/>
              <w:snapToGrid w:val="0"/>
              <w:rPr>
                <w:rFonts w:eastAsia="仿宋_GB2312"/>
                <w:i/>
                <w:color w:val="000000"/>
                <w:spacing w:val="-2"/>
                <w:kern w:val="0"/>
                <w:szCs w:val="21"/>
              </w:rPr>
            </w:pPr>
            <w:r>
              <w:rPr>
                <w:rFonts w:hint="eastAsia" w:eastAsia="仿宋_GB2312"/>
                <w:i/>
                <w:color w:val="000000"/>
                <w:spacing w:val="-2"/>
                <w:kern w:val="0"/>
                <w:szCs w:val="21"/>
              </w:rPr>
              <w:t>　</w:t>
            </w:r>
          </w:p>
        </w:tc>
        <w:tc>
          <w:tcPr>
            <w:tcW w:w="567" w:type="dxa"/>
            <w:gridSpan w:val="2"/>
            <w:tcBorders>
              <w:top w:val="nil"/>
              <w:left w:val="nil"/>
              <w:bottom w:val="single" w:color="auto" w:sz="4" w:space="0"/>
              <w:right w:val="single" w:color="auto" w:sz="4" w:space="0"/>
            </w:tcBorders>
            <w:noWrap w:val="0"/>
            <w:vAlign w:val="top"/>
          </w:tcPr>
          <w:p>
            <w:pPr>
              <w:adjustRightInd w:val="0"/>
              <w:snapToGrid w:val="0"/>
              <w:rPr>
                <w:rFonts w:eastAsia="仿宋_GB2312"/>
                <w:i/>
                <w:color w:val="000000"/>
                <w:spacing w:val="-2"/>
                <w:kern w:val="0"/>
                <w:szCs w:val="21"/>
              </w:rPr>
            </w:pPr>
            <w:r>
              <w:rPr>
                <w:rFonts w:hint="eastAsia" w:eastAsia="仿宋_GB2312"/>
                <w:i/>
                <w:color w:val="000000"/>
                <w:spacing w:val="-2"/>
                <w:kern w:val="0"/>
                <w:szCs w:val="21"/>
              </w:rPr>
              <w:t>　</w:t>
            </w:r>
          </w:p>
        </w:tc>
        <w:tc>
          <w:tcPr>
            <w:tcW w:w="1418" w:type="dxa"/>
            <w:tcBorders>
              <w:top w:val="nil"/>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CellMar>
            <w:top w:w="0" w:type="dxa"/>
            <w:left w:w="108" w:type="dxa"/>
            <w:bottom w:w="0" w:type="dxa"/>
            <w:right w:w="108" w:type="dxa"/>
          </w:tblCellMar>
        </w:tblPrEx>
        <w:trPr>
          <w:trHeight w:val="705" w:hRule="atLeast"/>
          <w:jc w:val="center"/>
        </w:trPr>
        <w:tc>
          <w:tcPr>
            <w:tcW w:w="684"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49" w:type="dxa"/>
            <w:vMerge w:val="continue"/>
            <w:tcBorders>
              <w:top w:val="single" w:color="auto" w:sz="4" w:space="0"/>
              <w:left w:val="single" w:color="auto" w:sz="4" w:space="0"/>
              <w:bottom w:val="single" w:color="auto" w:sz="4" w:space="0"/>
              <w:right w:val="single" w:color="000000" w:sz="4" w:space="0"/>
            </w:tcBorders>
            <w:noWrap w:val="0"/>
            <w:vAlign w:val="center"/>
          </w:tcPr>
          <w:p>
            <w:pPr>
              <w:widowControl/>
              <w:jc w:val="left"/>
              <w:rPr>
                <w:rFonts w:eastAsia="仿宋_GB2312"/>
                <w:color w:val="000000"/>
                <w:spacing w:val="-2"/>
                <w:kern w:val="0"/>
                <w:szCs w:val="21"/>
              </w:rPr>
            </w:pPr>
          </w:p>
        </w:tc>
        <w:tc>
          <w:tcPr>
            <w:tcW w:w="2603" w:type="dxa"/>
            <w:gridSpan w:val="3"/>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是否在岗</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2421" w:type="dxa"/>
            <w:tcBorders>
              <w:top w:val="single" w:color="auto" w:sz="4" w:space="0"/>
              <w:left w:val="single" w:color="auto" w:sz="4" w:space="0"/>
              <w:bottom w:val="single" w:color="000000" w:sz="4" w:space="0"/>
              <w:right w:val="single" w:color="000000"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不在岗扣</w:t>
            </w:r>
            <w:r>
              <w:rPr>
                <w:rFonts w:eastAsia="仿宋_GB2312"/>
                <w:color w:val="000000"/>
                <w:spacing w:val="-2"/>
                <w:kern w:val="0"/>
                <w:szCs w:val="21"/>
              </w:rPr>
              <w:t>10</w:t>
            </w:r>
            <w:r>
              <w:rPr>
                <w:rFonts w:hint="eastAsia" w:eastAsia="仿宋_GB2312"/>
                <w:color w:val="000000"/>
                <w:spacing w:val="-2"/>
                <w:kern w:val="0"/>
                <w:szCs w:val="21"/>
              </w:rPr>
              <w:t>分，考勤记录不全扣</w:t>
            </w:r>
            <w:r>
              <w:rPr>
                <w:rFonts w:eastAsia="仿宋_GB2312"/>
                <w:color w:val="000000"/>
                <w:spacing w:val="-2"/>
                <w:kern w:val="0"/>
                <w:szCs w:val="21"/>
              </w:rPr>
              <w:t>5</w:t>
            </w:r>
            <w:r>
              <w:rPr>
                <w:rFonts w:hint="eastAsia" w:eastAsia="仿宋_GB2312"/>
                <w:color w:val="000000"/>
                <w:spacing w:val="-2"/>
                <w:kern w:val="0"/>
                <w:szCs w:val="21"/>
              </w:rPr>
              <w:t>分</w:t>
            </w:r>
          </w:p>
        </w:tc>
        <w:tc>
          <w:tcPr>
            <w:tcW w:w="569" w:type="dxa"/>
            <w:tcBorders>
              <w:top w:val="nil"/>
              <w:left w:val="nil"/>
              <w:bottom w:val="single" w:color="auto" w:sz="4" w:space="0"/>
              <w:right w:val="single" w:color="auto" w:sz="4" w:space="0"/>
            </w:tcBorders>
            <w:noWrap w:val="0"/>
            <w:vAlign w:val="top"/>
          </w:tcPr>
          <w:p>
            <w:pPr>
              <w:adjustRightInd w:val="0"/>
              <w:snapToGrid w:val="0"/>
              <w:rPr>
                <w:rFonts w:eastAsia="仿宋_GB2312"/>
                <w:i/>
                <w:color w:val="000000"/>
                <w:spacing w:val="-2"/>
                <w:kern w:val="0"/>
                <w:szCs w:val="21"/>
              </w:rPr>
            </w:pPr>
            <w:r>
              <w:rPr>
                <w:rFonts w:hint="eastAsia" w:eastAsia="仿宋_GB2312"/>
                <w:i/>
                <w:color w:val="000000"/>
                <w:spacing w:val="-2"/>
                <w:kern w:val="0"/>
                <w:szCs w:val="21"/>
              </w:rPr>
              <w:t>　</w:t>
            </w:r>
          </w:p>
        </w:tc>
        <w:tc>
          <w:tcPr>
            <w:tcW w:w="567" w:type="dxa"/>
            <w:gridSpan w:val="2"/>
            <w:tcBorders>
              <w:top w:val="nil"/>
              <w:left w:val="nil"/>
              <w:bottom w:val="single" w:color="auto" w:sz="4" w:space="0"/>
              <w:right w:val="single" w:color="auto" w:sz="4" w:space="0"/>
            </w:tcBorders>
            <w:noWrap w:val="0"/>
            <w:vAlign w:val="top"/>
          </w:tcPr>
          <w:p>
            <w:pPr>
              <w:adjustRightInd w:val="0"/>
              <w:snapToGrid w:val="0"/>
              <w:rPr>
                <w:rFonts w:eastAsia="仿宋_GB2312"/>
                <w:i/>
                <w:color w:val="000000"/>
                <w:spacing w:val="-2"/>
                <w:kern w:val="0"/>
                <w:szCs w:val="21"/>
              </w:rPr>
            </w:pPr>
            <w:r>
              <w:rPr>
                <w:rFonts w:hint="eastAsia" w:eastAsia="仿宋_GB2312"/>
                <w:i/>
                <w:color w:val="000000"/>
                <w:spacing w:val="-2"/>
                <w:kern w:val="0"/>
                <w:szCs w:val="21"/>
              </w:rPr>
              <w:t>　</w:t>
            </w:r>
          </w:p>
        </w:tc>
        <w:tc>
          <w:tcPr>
            <w:tcW w:w="1418" w:type="dxa"/>
            <w:tcBorders>
              <w:top w:val="nil"/>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CellMar>
            <w:top w:w="0" w:type="dxa"/>
            <w:left w:w="108" w:type="dxa"/>
            <w:bottom w:w="0" w:type="dxa"/>
            <w:right w:w="108" w:type="dxa"/>
          </w:tblCellMar>
        </w:tblPrEx>
        <w:trPr>
          <w:trHeight w:val="1452" w:hRule="atLeast"/>
          <w:jc w:val="center"/>
        </w:trPr>
        <w:tc>
          <w:tcPr>
            <w:tcW w:w="68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7</w:t>
            </w:r>
          </w:p>
        </w:tc>
        <w:tc>
          <w:tcPr>
            <w:tcW w:w="1249" w:type="dxa"/>
            <w:tcBorders>
              <w:top w:val="single" w:color="auto" w:sz="4" w:space="0"/>
              <w:left w:val="single" w:color="auto" w:sz="4" w:space="0"/>
              <w:bottom w:val="single" w:color="auto" w:sz="4" w:space="0"/>
              <w:right w:val="single" w:color="000000"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农民工管理（</w:t>
            </w:r>
            <w:r>
              <w:rPr>
                <w:rFonts w:eastAsia="仿宋_GB2312"/>
                <w:color w:val="000000"/>
                <w:spacing w:val="-2"/>
                <w:kern w:val="0"/>
                <w:szCs w:val="21"/>
              </w:rPr>
              <w:t>20</w:t>
            </w:r>
            <w:r>
              <w:rPr>
                <w:rFonts w:hint="eastAsia" w:eastAsia="仿宋_GB2312"/>
                <w:color w:val="000000"/>
                <w:spacing w:val="-2"/>
                <w:kern w:val="0"/>
                <w:szCs w:val="21"/>
              </w:rPr>
              <w:t>分）</w:t>
            </w:r>
          </w:p>
        </w:tc>
        <w:tc>
          <w:tcPr>
            <w:tcW w:w="2603" w:type="dxa"/>
            <w:gridSpan w:val="3"/>
            <w:tcBorders>
              <w:top w:val="single" w:color="auto" w:sz="4" w:space="0"/>
              <w:left w:val="nil"/>
              <w:bottom w:val="nil"/>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是否按规定将农民工考勤表、工资支付表、农民工花名册等进行存档（</w:t>
            </w:r>
            <w:r>
              <w:rPr>
                <w:rFonts w:eastAsia="仿宋_GB2312"/>
                <w:color w:val="000000"/>
                <w:spacing w:val="-2"/>
                <w:kern w:val="0"/>
                <w:szCs w:val="21"/>
              </w:rPr>
              <w:t>20</w:t>
            </w:r>
            <w:r>
              <w:rPr>
                <w:rFonts w:hint="eastAsia" w:eastAsia="仿宋_GB2312"/>
                <w:color w:val="000000"/>
                <w:spacing w:val="-2"/>
                <w:kern w:val="0"/>
                <w:szCs w:val="21"/>
              </w:rPr>
              <w:t>分）</w:t>
            </w:r>
          </w:p>
        </w:tc>
        <w:tc>
          <w:tcPr>
            <w:tcW w:w="2421" w:type="dxa"/>
            <w:tcBorders>
              <w:top w:val="single" w:color="auto" w:sz="4" w:space="0"/>
              <w:left w:val="nil"/>
              <w:bottom w:val="nil"/>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未存档或存档虚假扣</w:t>
            </w:r>
            <w:r>
              <w:rPr>
                <w:rFonts w:eastAsia="仿宋_GB2312"/>
                <w:color w:val="000000"/>
                <w:spacing w:val="-2"/>
                <w:kern w:val="0"/>
                <w:szCs w:val="21"/>
              </w:rPr>
              <w:t>20</w:t>
            </w:r>
            <w:r>
              <w:rPr>
                <w:rFonts w:hint="eastAsia" w:eastAsia="仿宋_GB2312"/>
                <w:color w:val="000000"/>
                <w:spacing w:val="-2"/>
                <w:kern w:val="0"/>
                <w:szCs w:val="21"/>
              </w:rPr>
              <w:t>分，存档不全扣</w:t>
            </w:r>
            <w:r>
              <w:rPr>
                <w:rFonts w:eastAsia="仿宋_GB2312"/>
                <w:color w:val="000000"/>
                <w:spacing w:val="-2"/>
                <w:kern w:val="0"/>
                <w:szCs w:val="21"/>
              </w:rPr>
              <w:t>10</w:t>
            </w:r>
            <w:r>
              <w:rPr>
                <w:rFonts w:hint="eastAsia" w:eastAsia="仿宋_GB2312"/>
                <w:color w:val="000000"/>
                <w:spacing w:val="-2"/>
                <w:kern w:val="0"/>
                <w:szCs w:val="21"/>
              </w:rPr>
              <w:t>分。</w:t>
            </w:r>
          </w:p>
        </w:tc>
        <w:tc>
          <w:tcPr>
            <w:tcW w:w="569"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i/>
                <w:color w:val="000000"/>
                <w:spacing w:val="-2"/>
                <w:kern w:val="0"/>
                <w:szCs w:val="21"/>
              </w:rPr>
            </w:pPr>
            <w:r>
              <w:rPr>
                <w:rFonts w:hint="eastAsia" w:eastAsia="仿宋_GB2312"/>
                <w:i/>
                <w:color w:val="000000"/>
                <w:spacing w:val="-2"/>
                <w:kern w:val="0"/>
                <w:szCs w:val="21"/>
              </w:rPr>
              <w:t>　</w:t>
            </w:r>
          </w:p>
        </w:tc>
        <w:tc>
          <w:tcPr>
            <w:tcW w:w="567"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i/>
                <w:color w:val="000000"/>
                <w:spacing w:val="-2"/>
                <w:kern w:val="0"/>
                <w:szCs w:val="21"/>
              </w:rPr>
            </w:pPr>
          </w:p>
        </w:tc>
        <w:tc>
          <w:tcPr>
            <w:tcW w:w="1418"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CellMar>
            <w:top w:w="0" w:type="dxa"/>
            <w:left w:w="108" w:type="dxa"/>
            <w:bottom w:w="0" w:type="dxa"/>
            <w:right w:w="108" w:type="dxa"/>
          </w:tblCellMar>
        </w:tblPrEx>
        <w:trPr>
          <w:trHeight w:val="751" w:hRule="atLeast"/>
          <w:jc w:val="center"/>
        </w:trPr>
        <w:tc>
          <w:tcPr>
            <w:tcW w:w="1933" w:type="dxa"/>
            <w:gridSpan w:val="2"/>
            <w:tcBorders>
              <w:top w:val="nil"/>
              <w:left w:val="single" w:color="auto" w:sz="4" w:space="0"/>
              <w:bottom w:val="single" w:color="auto" w:sz="4" w:space="0"/>
              <w:right w:val="single" w:color="000000"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检查人签字：　</w:t>
            </w:r>
          </w:p>
        </w:tc>
        <w:tc>
          <w:tcPr>
            <w:tcW w:w="2603" w:type="dxa"/>
            <w:gridSpan w:val="3"/>
            <w:tcBorders>
              <w:top w:val="single" w:color="auto" w:sz="4" w:space="0"/>
              <w:left w:val="nil"/>
              <w:bottom w:val="single" w:color="auto" w:sz="4" w:space="0"/>
              <w:right w:val="single" w:color="000000"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被检查单位签字：　</w:t>
            </w:r>
          </w:p>
        </w:tc>
        <w:tc>
          <w:tcPr>
            <w:tcW w:w="2421" w:type="dxa"/>
            <w:tcBorders>
              <w:top w:val="single" w:color="auto" w:sz="4" w:space="0"/>
              <w:left w:val="nil"/>
              <w:bottom w:val="single" w:color="auto" w:sz="4" w:space="0"/>
              <w:right w:val="nil"/>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得分扣分情况</w:t>
            </w:r>
          </w:p>
        </w:tc>
        <w:tc>
          <w:tcPr>
            <w:tcW w:w="56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p>
        </w:tc>
        <w:tc>
          <w:tcPr>
            <w:tcW w:w="567"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p>
        </w:tc>
        <w:tc>
          <w:tcPr>
            <w:tcW w:w="1418"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p>
        </w:tc>
      </w:tr>
    </w:tbl>
    <w:p>
      <w:pPr>
        <w:adjustRightInd w:val="0"/>
        <w:snapToGrid w:val="0"/>
        <w:spacing w:line="570" w:lineRule="exact"/>
        <w:rPr>
          <w:rFonts w:hint="eastAsia"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注：专业分包企业第7项不考核，劳务企业第6项不考核</w:t>
      </w:r>
    </w:p>
    <w:p>
      <w:pPr>
        <w:widowControl/>
        <w:spacing w:beforeAutospacing="1" w:afterAutospacing="1"/>
        <w:jc w:val="left"/>
        <w:rPr>
          <w:rFonts w:ascii="Times New Roman" w:hAnsi="Times New Roman" w:eastAsia="仿宋_GB2312"/>
          <w:color w:val="000000"/>
          <w:spacing w:val="-2"/>
          <w:kern w:val="0"/>
          <w:szCs w:val="21"/>
        </w:rPr>
        <w:sectPr>
          <w:pgSz w:w="11906" w:h="16838"/>
          <w:pgMar w:top="1701" w:right="1588" w:bottom="1701" w:left="1588" w:header="851" w:footer="1361" w:gutter="0"/>
          <w:cols w:space="720" w:num="1"/>
        </w:sectPr>
      </w:pPr>
    </w:p>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建筑市场综合考核用表之四（工程质量一）</w:t>
      </w:r>
    </w:p>
    <w:p>
      <w:pPr>
        <w:adjustRightInd w:val="0"/>
        <w:snapToGrid w:val="0"/>
        <w:spacing w:line="570" w:lineRule="exact"/>
        <w:ind w:firstLine="236" w:firstLineChars="100"/>
        <w:rPr>
          <w:rFonts w:hint="eastAsia" w:eastAsia="仿宋_GB2312"/>
          <w:bCs/>
          <w:color w:val="000000"/>
          <w:spacing w:val="-2"/>
          <w:kern w:val="0"/>
          <w:sz w:val="24"/>
        </w:rPr>
      </w:pPr>
      <w:r>
        <w:rPr>
          <w:rFonts w:hint="eastAsia" w:eastAsia="仿宋_GB2312"/>
          <w:bCs/>
          <w:color w:val="000000"/>
          <w:spacing w:val="-2"/>
          <w:kern w:val="0"/>
          <w:sz w:val="24"/>
        </w:rPr>
        <w:t>项目编号：</w:t>
      </w:r>
      <w:r>
        <w:rPr>
          <w:rFonts w:eastAsia="仿宋_GB2312"/>
          <w:bCs/>
          <w:color w:val="000000"/>
          <w:spacing w:val="-2"/>
          <w:kern w:val="0"/>
          <w:sz w:val="24"/>
        </w:rPr>
        <w:t xml:space="preserve">                                     </w:t>
      </w:r>
      <w:r>
        <w:rPr>
          <w:rFonts w:hint="eastAsia" w:eastAsia="仿宋_GB2312"/>
          <w:bCs/>
          <w:color w:val="000000"/>
          <w:spacing w:val="-2"/>
          <w:kern w:val="0"/>
          <w:sz w:val="24"/>
        </w:rPr>
        <w:t>检查日期：</w:t>
      </w:r>
      <w:r>
        <w:rPr>
          <w:rFonts w:eastAsia="仿宋_GB2312"/>
          <w:bCs/>
          <w:color w:val="000000"/>
          <w:spacing w:val="-2"/>
          <w:kern w:val="0"/>
          <w:sz w:val="24"/>
        </w:rPr>
        <w:t xml:space="preserve">                                                             </w:t>
      </w:r>
    </w:p>
    <w:tbl>
      <w:tblPr>
        <w:tblStyle w:val="12"/>
        <w:tblW w:w="0" w:type="auto"/>
        <w:jc w:val="center"/>
        <w:tblLayout w:type="fixed"/>
        <w:tblCellMar>
          <w:top w:w="0" w:type="dxa"/>
          <w:left w:w="108" w:type="dxa"/>
          <w:bottom w:w="0" w:type="dxa"/>
          <w:right w:w="108" w:type="dxa"/>
        </w:tblCellMar>
      </w:tblPr>
      <w:tblGrid>
        <w:gridCol w:w="463"/>
        <w:gridCol w:w="1096"/>
        <w:gridCol w:w="1086"/>
        <w:gridCol w:w="698"/>
        <w:gridCol w:w="3060"/>
        <w:gridCol w:w="720"/>
        <w:gridCol w:w="720"/>
        <w:gridCol w:w="1227"/>
      </w:tblGrid>
      <w:tr>
        <w:tblPrEx>
          <w:tblCellMar>
            <w:top w:w="0" w:type="dxa"/>
            <w:left w:w="108" w:type="dxa"/>
            <w:bottom w:w="0" w:type="dxa"/>
            <w:right w:w="108" w:type="dxa"/>
          </w:tblCellMar>
        </w:tblPrEx>
        <w:trPr>
          <w:trHeight w:val="539" w:hRule="atLeast"/>
          <w:jc w:val="center"/>
        </w:trPr>
        <w:tc>
          <w:tcPr>
            <w:tcW w:w="9070" w:type="dxa"/>
            <w:gridSpan w:val="8"/>
            <w:tcBorders>
              <w:top w:val="single" w:color="auto" w:sz="4" w:space="0"/>
              <w:left w:val="single" w:color="auto" w:sz="4" w:space="0"/>
              <w:bottom w:val="single" w:color="auto" w:sz="4" w:space="0"/>
              <w:right w:val="single" w:color="000000" w:sz="4" w:space="0"/>
            </w:tcBorders>
            <w:noWrap w:val="0"/>
            <w:vAlign w:val="center"/>
          </w:tcPr>
          <w:p>
            <w:pPr>
              <w:adjustRightInd w:val="0"/>
              <w:snapToGrid w:val="0"/>
              <w:rPr>
                <w:rFonts w:eastAsia="仿宋_GB2312"/>
                <w:b/>
                <w:bCs/>
                <w:color w:val="000000"/>
                <w:spacing w:val="-2"/>
                <w:kern w:val="0"/>
                <w:szCs w:val="21"/>
              </w:rPr>
            </w:pPr>
            <w:r>
              <w:rPr>
                <w:rFonts w:hint="eastAsia" w:eastAsia="仿宋_GB2312"/>
                <w:b/>
                <w:bCs/>
                <w:color w:val="000000"/>
                <w:spacing w:val="-2"/>
                <w:kern w:val="0"/>
                <w:szCs w:val="21"/>
              </w:rPr>
              <w:t>建设单位</w:t>
            </w:r>
            <w:r>
              <w:rPr>
                <w:rFonts w:eastAsia="仿宋_GB2312"/>
                <w:b/>
                <w:bCs/>
                <w:color w:val="000000"/>
                <w:spacing w:val="-2"/>
                <w:kern w:val="0"/>
                <w:szCs w:val="21"/>
              </w:rPr>
              <w:t xml:space="preserve"> </w:t>
            </w:r>
            <w:r>
              <w:rPr>
                <w:rFonts w:hint="eastAsia" w:eastAsia="仿宋_GB2312"/>
                <w:b/>
                <w:bCs/>
                <w:color w:val="000000"/>
                <w:spacing w:val="-2"/>
                <w:kern w:val="0"/>
                <w:szCs w:val="21"/>
              </w:rPr>
              <w:t>（</w:t>
            </w:r>
            <w:r>
              <w:rPr>
                <w:rFonts w:eastAsia="仿宋_GB2312"/>
                <w:b/>
                <w:bCs/>
                <w:color w:val="000000"/>
                <w:spacing w:val="-2"/>
                <w:kern w:val="0"/>
                <w:szCs w:val="21"/>
              </w:rPr>
              <w:t>100</w:t>
            </w:r>
            <w:r>
              <w:rPr>
                <w:rFonts w:hint="eastAsia" w:eastAsia="仿宋_GB2312"/>
                <w:b/>
                <w:bCs/>
                <w:color w:val="000000"/>
                <w:spacing w:val="-2"/>
                <w:kern w:val="0"/>
                <w:szCs w:val="21"/>
              </w:rPr>
              <w:t>分）</w:t>
            </w:r>
          </w:p>
        </w:tc>
      </w:tr>
      <w:tr>
        <w:tblPrEx>
          <w:tblCellMar>
            <w:top w:w="0" w:type="dxa"/>
            <w:left w:w="108" w:type="dxa"/>
            <w:bottom w:w="0" w:type="dxa"/>
            <w:right w:w="108" w:type="dxa"/>
          </w:tblCellMar>
        </w:tblPrEx>
        <w:trPr>
          <w:trHeight w:val="600" w:hRule="atLeast"/>
          <w:jc w:val="center"/>
        </w:trPr>
        <w:tc>
          <w:tcPr>
            <w:tcW w:w="46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序号</w:t>
            </w:r>
          </w:p>
        </w:tc>
        <w:tc>
          <w:tcPr>
            <w:tcW w:w="1096"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检查项目</w:t>
            </w:r>
          </w:p>
        </w:tc>
        <w:tc>
          <w:tcPr>
            <w:tcW w:w="1784"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检查内容</w:t>
            </w: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扣分标准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扣分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得分</w:t>
            </w:r>
          </w:p>
        </w:tc>
        <w:tc>
          <w:tcPr>
            <w:tcW w:w="1227"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扣分原因</w:t>
            </w:r>
          </w:p>
        </w:tc>
      </w:tr>
      <w:tr>
        <w:tblPrEx>
          <w:tblCellMar>
            <w:top w:w="0" w:type="dxa"/>
            <w:left w:w="108" w:type="dxa"/>
            <w:bottom w:w="0" w:type="dxa"/>
            <w:right w:w="108" w:type="dxa"/>
          </w:tblCellMar>
        </w:tblPrEx>
        <w:trPr>
          <w:trHeight w:val="885" w:hRule="atLeast"/>
          <w:jc w:val="center"/>
        </w:trPr>
        <w:tc>
          <w:tcPr>
            <w:tcW w:w="463"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tc>
        <w:tc>
          <w:tcPr>
            <w:tcW w:w="1096"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设计变更</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1784"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建设单位执行重大变更审批程序情况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有重大设计变更未经施工图审查通过的，扣</w:t>
            </w:r>
            <w:r>
              <w:rPr>
                <w:rFonts w:eastAsia="仿宋_GB2312"/>
                <w:color w:val="000000"/>
                <w:spacing w:val="-2"/>
                <w:kern w:val="0"/>
                <w:szCs w:val="21"/>
              </w:rPr>
              <w:t>20</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227"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751" w:hRule="atLeast"/>
          <w:jc w:val="center"/>
        </w:trPr>
        <w:tc>
          <w:tcPr>
            <w:tcW w:w="4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096"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8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设计变更手续不规范一处扣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27"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99" w:hRule="atLeast"/>
          <w:jc w:val="center"/>
        </w:trPr>
        <w:tc>
          <w:tcPr>
            <w:tcW w:w="463"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096"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住宅工程质量通病控制标准</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1784"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建设单位执行住宅工程质量通病控制标准的任务书、方案和施工措施情况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建设单位未下达任务书至设计、施工、监理单位的各扣</w:t>
            </w:r>
            <w:r>
              <w:rPr>
                <w:rFonts w:eastAsia="仿宋_GB2312"/>
                <w:color w:val="000000"/>
                <w:spacing w:val="-2"/>
                <w:kern w:val="0"/>
                <w:szCs w:val="21"/>
              </w:rPr>
              <w:t>10</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227"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906" w:hRule="atLeast"/>
          <w:jc w:val="center"/>
        </w:trPr>
        <w:tc>
          <w:tcPr>
            <w:tcW w:w="4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096"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8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方案及施工措施每缺一项扣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27"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1617" w:hRule="atLeast"/>
          <w:jc w:val="center"/>
        </w:trPr>
        <w:tc>
          <w:tcPr>
            <w:tcW w:w="463"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096"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原材料</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30</w:t>
            </w:r>
            <w:r>
              <w:rPr>
                <w:rFonts w:hint="eastAsia" w:eastAsia="仿宋_GB2312"/>
                <w:color w:val="000000"/>
                <w:spacing w:val="-2"/>
                <w:kern w:val="0"/>
                <w:szCs w:val="21"/>
              </w:rPr>
              <w:t>分）</w:t>
            </w:r>
          </w:p>
        </w:tc>
        <w:tc>
          <w:tcPr>
            <w:tcW w:w="1784"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建设单位按规定使用合格的建筑材料、建筑构配件和设备的情况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15</w:t>
            </w:r>
            <w:r>
              <w:rPr>
                <w:rFonts w:hint="eastAsia" w:eastAsia="仿宋_GB2312"/>
                <w:color w:val="000000"/>
                <w:spacing w:val="-2"/>
                <w:kern w:val="0"/>
                <w:szCs w:val="21"/>
              </w:rPr>
              <w:t>分）</w:t>
            </w: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违反规定，明示或暗示有关单位采购使用不符合设计、标准的建筑材料、构配件或设备的，每发现一处扣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227"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761" w:hRule="atLeast"/>
          <w:jc w:val="center"/>
        </w:trPr>
        <w:tc>
          <w:tcPr>
            <w:tcW w:w="4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09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84"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建设单位按设计文件要求采用预拌砼、预拌砂浆的情况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15</w:t>
            </w:r>
            <w:r>
              <w:rPr>
                <w:rFonts w:hint="eastAsia" w:eastAsia="仿宋_GB2312"/>
                <w:color w:val="000000"/>
                <w:spacing w:val="-2"/>
                <w:kern w:val="0"/>
                <w:szCs w:val="21"/>
              </w:rPr>
              <w:t>分）</w:t>
            </w: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预拌砼、砂浆合同未备案扣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27"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647" w:hRule="atLeast"/>
          <w:jc w:val="center"/>
        </w:trPr>
        <w:tc>
          <w:tcPr>
            <w:tcW w:w="46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09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8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未按要求使用预拌砂浆扣</w:t>
            </w:r>
            <w:r>
              <w:rPr>
                <w:rFonts w:eastAsia="仿宋_GB2312"/>
                <w:color w:val="000000"/>
                <w:spacing w:val="-2"/>
                <w:kern w:val="0"/>
                <w:szCs w:val="21"/>
              </w:rPr>
              <w:t>10</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27"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630" w:hRule="atLeast"/>
          <w:jc w:val="center"/>
        </w:trPr>
        <w:tc>
          <w:tcPr>
            <w:tcW w:w="463" w:type="dxa"/>
            <w:vMerge w:val="restart"/>
            <w:tcBorders>
              <w:top w:val="single" w:color="auto" w:sz="4" w:space="0"/>
              <w:left w:val="single" w:color="auto" w:sz="4" w:space="0"/>
              <w:bottom w:val="nil"/>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096" w:type="dxa"/>
            <w:vMerge w:val="restart"/>
            <w:tcBorders>
              <w:top w:val="single" w:color="auto" w:sz="4" w:space="0"/>
              <w:left w:val="single" w:color="auto" w:sz="4" w:space="0"/>
              <w:bottom w:val="nil"/>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建筑节能</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30</w:t>
            </w:r>
            <w:r>
              <w:rPr>
                <w:rFonts w:hint="eastAsia" w:eastAsia="仿宋_GB2312"/>
                <w:color w:val="000000"/>
                <w:spacing w:val="-2"/>
                <w:kern w:val="0"/>
                <w:szCs w:val="21"/>
              </w:rPr>
              <w:t>分）</w:t>
            </w:r>
          </w:p>
        </w:tc>
        <w:tc>
          <w:tcPr>
            <w:tcW w:w="1784"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建设单位贯彻执行《江苏省建筑节能管理办法》的情况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30</w:t>
            </w:r>
            <w:r>
              <w:rPr>
                <w:rFonts w:hint="eastAsia" w:eastAsia="仿宋_GB2312"/>
                <w:color w:val="000000"/>
                <w:spacing w:val="-2"/>
                <w:kern w:val="0"/>
                <w:szCs w:val="21"/>
              </w:rPr>
              <w:t>分）</w:t>
            </w: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是否按设计文件要求使用节能材料，未使用，每发现一处扣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227"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630" w:hRule="atLeast"/>
          <w:jc w:val="center"/>
        </w:trPr>
        <w:tc>
          <w:tcPr>
            <w:tcW w:w="463" w:type="dxa"/>
            <w:vMerge w:val="continue"/>
            <w:tcBorders>
              <w:top w:val="single" w:color="auto" w:sz="4" w:space="0"/>
              <w:left w:val="single" w:color="auto" w:sz="4" w:space="0"/>
              <w:bottom w:val="nil"/>
              <w:right w:val="single" w:color="auto" w:sz="4" w:space="0"/>
            </w:tcBorders>
            <w:noWrap w:val="0"/>
            <w:vAlign w:val="center"/>
          </w:tcPr>
          <w:p>
            <w:pPr>
              <w:widowControl/>
              <w:jc w:val="left"/>
              <w:rPr>
                <w:rFonts w:eastAsia="仿宋_GB2312"/>
                <w:color w:val="000000"/>
                <w:spacing w:val="-2"/>
                <w:kern w:val="0"/>
                <w:szCs w:val="21"/>
              </w:rPr>
            </w:pPr>
          </w:p>
        </w:tc>
        <w:tc>
          <w:tcPr>
            <w:tcW w:w="1096" w:type="dxa"/>
            <w:vMerge w:val="continue"/>
            <w:tcBorders>
              <w:top w:val="single" w:color="auto" w:sz="4" w:space="0"/>
              <w:left w:val="single" w:color="auto" w:sz="4" w:space="0"/>
              <w:bottom w:val="nil"/>
              <w:right w:val="single" w:color="auto" w:sz="4" w:space="0"/>
            </w:tcBorders>
            <w:noWrap w:val="0"/>
            <w:vAlign w:val="center"/>
          </w:tcPr>
          <w:p>
            <w:pPr>
              <w:widowControl/>
              <w:jc w:val="left"/>
              <w:rPr>
                <w:rFonts w:eastAsia="仿宋_GB2312"/>
                <w:color w:val="000000"/>
                <w:spacing w:val="-2"/>
                <w:kern w:val="0"/>
                <w:szCs w:val="21"/>
              </w:rPr>
            </w:pPr>
          </w:p>
        </w:tc>
        <w:tc>
          <w:tcPr>
            <w:tcW w:w="178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门窗是否符合设计节能要求，不符合一处扣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27"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630" w:hRule="atLeast"/>
          <w:jc w:val="center"/>
        </w:trPr>
        <w:tc>
          <w:tcPr>
            <w:tcW w:w="463" w:type="dxa"/>
            <w:vMerge w:val="continue"/>
            <w:tcBorders>
              <w:top w:val="single" w:color="auto" w:sz="4" w:space="0"/>
              <w:left w:val="single" w:color="auto" w:sz="4" w:space="0"/>
              <w:bottom w:val="nil"/>
              <w:right w:val="single" w:color="auto" w:sz="4" w:space="0"/>
            </w:tcBorders>
            <w:noWrap w:val="0"/>
            <w:vAlign w:val="center"/>
          </w:tcPr>
          <w:p>
            <w:pPr>
              <w:widowControl/>
              <w:jc w:val="left"/>
              <w:rPr>
                <w:rFonts w:eastAsia="仿宋_GB2312"/>
                <w:color w:val="000000"/>
                <w:spacing w:val="-2"/>
                <w:kern w:val="0"/>
                <w:szCs w:val="21"/>
              </w:rPr>
            </w:pPr>
          </w:p>
        </w:tc>
        <w:tc>
          <w:tcPr>
            <w:tcW w:w="1096" w:type="dxa"/>
            <w:vMerge w:val="continue"/>
            <w:tcBorders>
              <w:top w:val="single" w:color="auto" w:sz="4" w:space="0"/>
              <w:left w:val="single" w:color="auto" w:sz="4" w:space="0"/>
              <w:bottom w:val="nil"/>
              <w:right w:val="single" w:color="auto" w:sz="4" w:space="0"/>
            </w:tcBorders>
            <w:noWrap w:val="0"/>
            <w:vAlign w:val="center"/>
          </w:tcPr>
          <w:p>
            <w:pPr>
              <w:widowControl/>
              <w:jc w:val="left"/>
              <w:rPr>
                <w:rFonts w:eastAsia="仿宋_GB2312"/>
                <w:color w:val="000000"/>
                <w:spacing w:val="-2"/>
                <w:kern w:val="0"/>
                <w:szCs w:val="21"/>
              </w:rPr>
            </w:pPr>
          </w:p>
        </w:tc>
        <w:tc>
          <w:tcPr>
            <w:tcW w:w="178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外遮阳是否按设计文件要求设置，不符合一处扣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27"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630" w:hRule="atLeast"/>
          <w:jc w:val="center"/>
        </w:trPr>
        <w:tc>
          <w:tcPr>
            <w:tcW w:w="463" w:type="dxa"/>
            <w:vMerge w:val="continue"/>
            <w:tcBorders>
              <w:top w:val="single" w:color="auto" w:sz="4" w:space="0"/>
              <w:left w:val="single" w:color="auto" w:sz="4" w:space="0"/>
              <w:bottom w:val="nil"/>
              <w:right w:val="single" w:color="auto" w:sz="4" w:space="0"/>
            </w:tcBorders>
            <w:noWrap w:val="0"/>
            <w:vAlign w:val="center"/>
          </w:tcPr>
          <w:p>
            <w:pPr>
              <w:widowControl/>
              <w:jc w:val="left"/>
              <w:rPr>
                <w:rFonts w:eastAsia="仿宋_GB2312"/>
                <w:color w:val="000000"/>
                <w:spacing w:val="-2"/>
                <w:kern w:val="0"/>
                <w:szCs w:val="21"/>
              </w:rPr>
            </w:pPr>
          </w:p>
        </w:tc>
        <w:tc>
          <w:tcPr>
            <w:tcW w:w="1096" w:type="dxa"/>
            <w:vMerge w:val="continue"/>
            <w:tcBorders>
              <w:top w:val="single" w:color="auto" w:sz="4" w:space="0"/>
              <w:left w:val="single" w:color="auto" w:sz="4" w:space="0"/>
              <w:bottom w:val="nil"/>
              <w:right w:val="single" w:color="auto" w:sz="4" w:space="0"/>
            </w:tcBorders>
            <w:noWrap w:val="0"/>
            <w:vAlign w:val="center"/>
          </w:tcPr>
          <w:p>
            <w:pPr>
              <w:widowControl/>
              <w:jc w:val="left"/>
              <w:rPr>
                <w:rFonts w:eastAsia="仿宋_GB2312"/>
                <w:color w:val="000000"/>
                <w:spacing w:val="-2"/>
                <w:kern w:val="0"/>
                <w:szCs w:val="21"/>
              </w:rPr>
            </w:pPr>
          </w:p>
        </w:tc>
        <w:tc>
          <w:tcPr>
            <w:tcW w:w="178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eastAsia="仿宋_GB2312"/>
                <w:color w:val="000000"/>
                <w:spacing w:val="-2"/>
                <w:kern w:val="0"/>
                <w:szCs w:val="21"/>
              </w:rPr>
              <w:t>12</w:t>
            </w:r>
            <w:r>
              <w:rPr>
                <w:rFonts w:hint="eastAsia" w:eastAsia="仿宋_GB2312"/>
                <w:color w:val="000000"/>
                <w:spacing w:val="-2"/>
                <w:kern w:val="0"/>
                <w:szCs w:val="21"/>
              </w:rPr>
              <w:t>层以下住宅是否按设计文件要求使用太阳能热水器，不符合扣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27"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39" w:hRule="atLeast"/>
          <w:jc w:val="center"/>
        </w:trPr>
        <w:tc>
          <w:tcPr>
            <w:tcW w:w="2645" w:type="dxa"/>
            <w:gridSpan w:val="3"/>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检查人签字：</w:t>
            </w:r>
            <w:r>
              <w:rPr>
                <w:rFonts w:eastAsia="仿宋_GB2312"/>
                <w:color w:val="000000"/>
                <w:spacing w:val="-2"/>
                <w:kern w:val="0"/>
                <w:szCs w:val="21"/>
              </w:rPr>
              <w:t xml:space="preserve">                     </w:t>
            </w:r>
          </w:p>
        </w:tc>
        <w:tc>
          <w:tcPr>
            <w:tcW w:w="375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被检查单位签字：</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227"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r>
    </w:tbl>
    <w:p>
      <w:pPr>
        <w:widowControl/>
        <w:spacing w:beforeAutospacing="1" w:afterAutospacing="1"/>
        <w:jc w:val="left"/>
        <w:rPr>
          <w:rFonts w:ascii="Times New Roman" w:hAnsi="Times New Roman" w:eastAsia="仿宋"/>
          <w:b/>
          <w:bCs/>
          <w:color w:val="000000"/>
          <w:spacing w:val="-2"/>
          <w:kern w:val="0"/>
          <w:sz w:val="32"/>
          <w:szCs w:val="32"/>
        </w:rPr>
        <w:sectPr>
          <w:pgSz w:w="11906" w:h="16838"/>
          <w:pgMar w:top="1701" w:right="1588" w:bottom="1701" w:left="1588" w:header="851" w:footer="1361" w:gutter="0"/>
          <w:cols w:space="720" w:num="1"/>
        </w:sectPr>
      </w:pPr>
    </w:p>
    <w:p>
      <w:pPr>
        <w:pStyle w:val="7"/>
        <w:adjustRightInd w:val="0"/>
        <w:snapToGrid w:val="0"/>
        <w:spacing w:line="570" w:lineRule="exact"/>
        <w:jc w:val="center"/>
        <w:rPr>
          <w:rFonts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建筑市场综合考核用表之四（工程质量二）</w:t>
      </w:r>
    </w:p>
    <w:p>
      <w:pPr>
        <w:adjustRightInd w:val="0"/>
        <w:snapToGrid w:val="0"/>
        <w:spacing w:line="570" w:lineRule="exact"/>
        <w:rPr>
          <w:rFonts w:hint="eastAsia" w:ascii="Times New Roman" w:hAnsi="Times New Roman" w:eastAsia="仿宋_GB2312"/>
          <w:b/>
          <w:bCs/>
          <w:color w:val="000000"/>
          <w:spacing w:val="-2"/>
          <w:kern w:val="0"/>
          <w:sz w:val="24"/>
        </w:rPr>
      </w:pPr>
      <w:r>
        <w:rPr>
          <w:rFonts w:hint="eastAsia" w:ascii="Times New Roman" w:hAnsi="Times New Roman" w:eastAsia="仿宋_GB2312"/>
          <w:bCs/>
          <w:color w:val="000000"/>
          <w:spacing w:val="-2"/>
          <w:kern w:val="0"/>
          <w:sz w:val="24"/>
        </w:rPr>
        <w:t>项目编号                                           检查日期：</w:t>
      </w:r>
    </w:p>
    <w:tbl>
      <w:tblPr>
        <w:tblStyle w:val="12"/>
        <w:tblW w:w="0" w:type="auto"/>
        <w:jc w:val="center"/>
        <w:tblLayout w:type="fixed"/>
        <w:tblCellMar>
          <w:top w:w="0" w:type="dxa"/>
          <w:left w:w="108" w:type="dxa"/>
          <w:bottom w:w="0" w:type="dxa"/>
          <w:right w:w="108" w:type="dxa"/>
        </w:tblCellMar>
      </w:tblPr>
      <w:tblGrid>
        <w:gridCol w:w="386"/>
        <w:gridCol w:w="1104"/>
        <w:gridCol w:w="995"/>
        <w:gridCol w:w="2485"/>
        <w:gridCol w:w="94"/>
        <w:gridCol w:w="1622"/>
        <w:gridCol w:w="720"/>
        <w:gridCol w:w="720"/>
        <w:gridCol w:w="1149"/>
      </w:tblGrid>
      <w:tr>
        <w:tblPrEx>
          <w:tblCellMar>
            <w:top w:w="0" w:type="dxa"/>
            <w:left w:w="108" w:type="dxa"/>
            <w:bottom w:w="0" w:type="dxa"/>
            <w:right w:w="108" w:type="dxa"/>
          </w:tblCellMar>
        </w:tblPrEx>
        <w:trPr>
          <w:trHeight w:val="528" w:hRule="atLeast"/>
          <w:jc w:val="center"/>
        </w:trPr>
        <w:tc>
          <w:tcPr>
            <w:tcW w:w="9275" w:type="dxa"/>
            <w:gridSpan w:val="9"/>
            <w:tcBorders>
              <w:top w:val="single" w:color="auto" w:sz="8" w:space="0"/>
              <w:left w:val="single" w:color="auto" w:sz="8" w:space="0"/>
              <w:bottom w:val="single" w:color="auto" w:sz="4" w:space="0"/>
              <w:right w:val="single" w:color="auto" w:sz="8" w:space="0"/>
            </w:tcBorders>
            <w:noWrap w:val="0"/>
            <w:vAlign w:val="center"/>
          </w:tcPr>
          <w:p>
            <w:pPr>
              <w:adjustRightInd w:val="0"/>
              <w:snapToGrid w:val="0"/>
              <w:rPr>
                <w:rFonts w:eastAsia="仿宋_GB2312"/>
                <w:b/>
                <w:bCs/>
                <w:color w:val="000000"/>
                <w:spacing w:val="-2"/>
                <w:kern w:val="0"/>
                <w:szCs w:val="21"/>
              </w:rPr>
            </w:pPr>
            <w:r>
              <w:rPr>
                <w:rFonts w:hint="eastAsia" w:eastAsia="仿宋_GB2312"/>
                <w:b/>
                <w:bCs/>
                <w:color w:val="000000"/>
                <w:spacing w:val="-2"/>
                <w:kern w:val="0"/>
                <w:szCs w:val="21"/>
              </w:rPr>
              <w:t>施工单位（</w:t>
            </w:r>
            <w:r>
              <w:rPr>
                <w:rFonts w:eastAsia="仿宋_GB2312"/>
                <w:b/>
                <w:bCs/>
                <w:color w:val="000000"/>
                <w:spacing w:val="-2"/>
                <w:kern w:val="0"/>
                <w:szCs w:val="21"/>
              </w:rPr>
              <w:t>100</w:t>
            </w:r>
            <w:r>
              <w:rPr>
                <w:rFonts w:hint="eastAsia" w:eastAsia="仿宋_GB2312"/>
                <w:b/>
                <w:bCs/>
                <w:color w:val="000000"/>
                <w:spacing w:val="-2"/>
                <w:kern w:val="0"/>
                <w:szCs w:val="21"/>
              </w:rPr>
              <w:t>分）</w:t>
            </w:r>
            <w:r>
              <w:rPr>
                <w:rFonts w:eastAsia="仿宋_GB2312"/>
                <w:b/>
                <w:bCs/>
                <w:color w:val="000000"/>
                <w:spacing w:val="-2"/>
                <w:kern w:val="0"/>
                <w:szCs w:val="21"/>
              </w:rPr>
              <w:t xml:space="preserve">                                     </w:t>
            </w:r>
          </w:p>
        </w:tc>
      </w:tr>
      <w:tr>
        <w:tblPrEx>
          <w:tblCellMar>
            <w:top w:w="0" w:type="dxa"/>
            <w:left w:w="108" w:type="dxa"/>
            <w:bottom w:w="0" w:type="dxa"/>
            <w:right w:w="108" w:type="dxa"/>
          </w:tblCellMar>
        </w:tblPrEx>
        <w:trPr>
          <w:trHeight w:val="435" w:hRule="atLeast"/>
          <w:jc w:val="center"/>
        </w:trPr>
        <w:tc>
          <w:tcPr>
            <w:tcW w:w="386" w:type="dxa"/>
            <w:tcBorders>
              <w:top w:val="nil"/>
              <w:left w:val="single" w:color="auto" w:sz="8" w:space="0"/>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序号</w:t>
            </w:r>
          </w:p>
        </w:tc>
        <w:tc>
          <w:tcPr>
            <w:tcW w:w="1104"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检查项目</w:t>
            </w:r>
          </w:p>
        </w:tc>
        <w:tc>
          <w:tcPr>
            <w:tcW w:w="348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检查内容</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扣分标准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得分</w:t>
            </w:r>
          </w:p>
        </w:tc>
        <w:tc>
          <w:tcPr>
            <w:tcW w:w="1149" w:type="dxa"/>
            <w:tcBorders>
              <w:top w:val="single" w:color="auto" w:sz="4" w:space="0"/>
              <w:left w:val="nil"/>
              <w:bottom w:val="single" w:color="auto" w:sz="4" w:space="0"/>
              <w:right w:val="single" w:color="auto" w:sz="8"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扣分原因</w:t>
            </w:r>
          </w:p>
        </w:tc>
      </w:tr>
      <w:tr>
        <w:tblPrEx>
          <w:tblCellMar>
            <w:top w:w="0" w:type="dxa"/>
            <w:left w:w="108" w:type="dxa"/>
            <w:bottom w:w="0" w:type="dxa"/>
            <w:right w:w="108" w:type="dxa"/>
          </w:tblCellMar>
        </w:tblPrEx>
        <w:trPr>
          <w:trHeight w:val="530" w:hRule="atLeast"/>
          <w:jc w:val="center"/>
        </w:trPr>
        <w:tc>
          <w:tcPr>
            <w:tcW w:w="386" w:type="dxa"/>
            <w:vMerge w:val="restart"/>
            <w:tcBorders>
              <w:top w:val="nil"/>
              <w:left w:val="single" w:color="auto" w:sz="8" w:space="0"/>
              <w:bottom w:val="nil"/>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p>
            <w:pPr>
              <w:adjustRightInd w:val="0"/>
              <w:snapToGrid w:val="0"/>
              <w:jc w:val="center"/>
              <w:rPr>
                <w:rFonts w:eastAsia="仿宋_GB2312"/>
                <w:color w:val="000000"/>
                <w:spacing w:val="-2"/>
                <w:kern w:val="0"/>
                <w:szCs w:val="21"/>
              </w:rPr>
            </w:pPr>
          </w:p>
        </w:tc>
        <w:tc>
          <w:tcPr>
            <w:tcW w:w="1104"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质量行为</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p>
            <w:pPr>
              <w:adjustRightInd w:val="0"/>
              <w:snapToGrid w:val="0"/>
              <w:jc w:val="center"/>
              <w:rPr>
                <w:rFonts w:eastAsia="仿宋_GB2312"/>
                <w:color w:val="000000"/>
                <w:spacing w:val="-2"/>
                <w:kern w:val="0"/>
                <w:szCs w:val="21"/>
              </w:rPr>
            </w:pPr>
          </w:p>
        </w:tc>
        <w:tc>
          <w:tcPr>
            <w:tcW w:w="348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质量责任制履行情况，质量员配备及到岗情况（</w:t>
            </w:r>
            <w:r>
              <w:rPr>
                <w:rFonts w:eastAsia="仿宋_GB2312"/>
                <w:color w:val="000000"/>
                <w:spacing w:val="-2"/>
                <w:kern w:val="0"/>
                <w:szCs w:val="21"/>
              </w:rPr>
              <w:t>5</w:t>
            </w:r>
            <w:r>
              <w:rPr>
                <w:rFonts w:hint="eastAsia" w:eastAsia="仿宋_GB2312"/>
                <w:color w:val="000000"/>
                <w:spacing w:val="-2"/>
                <w:kern w:val="0"/>
                <w:szCs w:val="21"/>
              </w:rPr>
              <w:t>分）</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缺一项（人）</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49" w:type="dxa"/>
            <w:vMerge w:val="restart"/>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530" w:hRule="atLeast"/>
          <w:jc w:val="center"/>
        </w:trPr>
        <w:tc>
          <w:tcPr>
            <w:tcW w:w="386" w:type="dxa"/>
            <w:vMerge w:val="continue"/>
            <w:tcBorders>
              <w:top w:val="nil"/>
              <w:left w:val="single" w:color="auto" w:sz="8" w:space="0"/>
              <w:bottom w:val="nil"/>
              <w:right w:val="single" w:color="auto" w:sz="4" w:space="0"/>
            </w:tcBorders>
            <w:noWrap w:val="0"/>
            <w:vAlign w:val="center"/>
          </w:tcPr>
          <w:p>
            <w:pPr>
              <w:widowControl/>
              <w:jc w:val="left"/>
              <w:rPr>
                <w:rFonts w:eastAsia="仿宋_GB2312"/>
                <w:color w:val="000000"/>
                <w:spacing w:val="-2"/>
                <w:kern w:val="0"/>
                <w:szCs w:val="21"/>
              </w:rPr>
            </w:pPr>
          </w:p>
        </w:tc>
        <w:tc>
          <w:tcPr>
            <w:tcW w:w="1104"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总分包管理资料及措施（</w:t>
            </w:r>
            <w:r>
              <w:rPr>
                <w:rFonts w:eastAsia="仿宋_GB2312"/>
                <w:color w:val="000000"/>
                <w:spacing w:val="-2"/>
                <w:kern w:val="0"/>
                <w:szCs w:val="21"/>
              </w:rPr>
              <w:t>5</w:t>
            </w:r>
            <w:r>
              <w:rPr>
                <w:rFonts w:hint="eastAsia" w:eastAsia="仿宋_GB2312"/>
                <w:color w:val="000000"/>
                <w:spacing w:val="-2"/>
                <w:kern w:val="0"/>
                <w:szCs w:val="21"/>
              </w:rPr>
              <w:t>分）</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49"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449" w:hRule="atLeast"/>
          <w:jc w:val="center"/>
        </w:trPr>
        <w:tc>
          <w:tcPr>
            <w:tcW w:w="386" w:type="dxa"/>
            <w:vMerge w:val="continue"/>
            <w:tcBorders>
              <w:top w:val="nil"/>
              <w:left w:val="single" w:color="auto" w:sz="8" w:space="0"/>
              <w:bottom w:val="nil"/>
              <w:right w:val="single" w:color="auto" w:sz="4" w:space="0"/>
            </w:tcBorders>
            <w:noWrap w:val="0"/>
            <w:vAlign w:val="center"/>
          </w:tcPr>
          <w:p>
            <w:pPr>
              <w:widowControl/>
              <w:jc w:val="left"/>
              <w:rPr>
                <w:rFonts w:eastAsia="仿宋_GB2312"/>
                <w:color w:val="000000"/>
                <w:spacing w:val="-2"/>
                <w:kern w:val="0"/>
                <w:szCs w:val="21"/>
              </w:rPr>
            </w:pPr>
          </w:p>
        </w:tc>
        <w:tc>
          <w:tcPr>
            <w:tcW w:w="1104"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配备设计文件、规范、图集情况；设计审图、设计变更文件手续是否符合相关规定（</w:t>
            </w:r>
            <w:r>
              <w:rPr>
                <w:rFonts w:eastAsia="仿宋_GB2312"/>
                <w:color w:val="000000"/>
                <w:spacing w:val="-2"/>
                <w:kern w:val="0"/>
                <w:szCs w:val="21"/>
              </w:rPr>
              <w:t>5</w:t>
            </w:r>
            <w:r>
              <w:rPr>
                <w:rFonts w:hint="eastAsia" w:eastAsia="仿宋_GB2312"/>
                <w:color w:val="000000"/>
                <w:spacing w:val="-2"/>
                <w:kern w:val="0"/>
                <w:szCs w:val="21"/>
              </w:rPr>
              <w:t>分）</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49"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551" w:hRule="atLeast"/>
          <w:jc w:val="center"/>
        </w:trPr>
        <w:tc>
          <w:tcPr>
            <w:tcW w:w="386" w:type="dxa"/>
            <w:vMerge w:val="continue"/>
            <w:tcBorders>
              <w:top w:val="nil"/>
              <w:left w:val="single" w:color="auto" w:sz="8" w:space="0"/>
              <w:bottom w:val="nil"/>
              <w:right w:val="single" w:color="auto" w:sz="4" w:space="0"/>
            </w:tcBorders>
            <w:noWrap w:val="0"/>
            <w:vAlign w:val="center"/>
          </w:tcPr>
          <w:p>
            <w:pPr>
              <w:widowControl/>
              <w:jc w:val="left"/>
              <w:rPr>
                <w:rFonts w:eastAsia="仿宋_GB2312"/>
                <w:color w:val="000000"/>
                <w:spacing w:val="-2"/>
                <w:kern w:val="0"/>
                <w:szCs w:val="21"/>
              </w:rPr>
            </w:pPr>
          </w:p>
        </w:tc>
        <w:tc>
          <w:tcPr>
            <w:tcW w:w="1104"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图纸会审、方案制定审批情况（</w:t>
            </w:r>
            <w:r>
              <w:rPr>
                <w:rFonts w:eastAsia="仿宋_GB2312"/>
                <w:color w:val="000000"/>
                <w:spacing w:val="-2"/>
                <w:kern w:val="0"/>
                <w:szCs w:val="21"/>
              </w:rPr>
              <w:t>5</w:t>
            </w:r>
            <w:r>
              <w:rPr>
                <w:rFonts w:hint="eastAsia" w:eastAsia="仿宋_GB2312"/>
                <w:color w:val="000000"/>
                <w:spacing w:val="-2"/>
                <w:kern w:val="0"/>
                <w:szCs w:val="21"/>
              </w:rPr>
              <w:t>分）</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49"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500" w:hRule="atLeast"/>
          <w:jc w:val="center"/>
        </w:trPr>
        <w:tc>
          <w:tcPr>
            <w:tcW w:w="386" w:type="dxa"/>
            <w:vMerge w:val="restart"/>
            <w:tcBorders>
              <w:top w:val="nil"/>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104"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质保资料</w:t>
            </w:r>
            <w:r>
              <w:rPr>
                <w:rFonts w:eastAsia="仿宋_GB2312"/>
                <w:color w:val="000000"/>
                <w:spacing w:val="-2"/>
                <w:kern w:val="0"/>
                <w:szCs w:val="21"/>
              </w:rPr>
              <w:t>(25</w:t>
            </w:r>
            <w:r>
              <w:rPr>
                <w:rFonts w:hint="eastAsia" w:eastAsia="仿宋_GB2312"/>
                <w:color w:val="000000"/>
                <w:spacing w:val="-2"/>
                <w:kern w:val="0"/>
                <w:szCs w:val="21"/>
              </w:rPr>
              <w:t>分</w:t>
            </w:r>
            <w:r>
              <w:rPr>
                <w:rFonts w:eastAsia="仿宋_GB2312"/>
                <w:color w:val="000000"/>
                <w:spacing w:val="-2"/>
                <w:kern w:val="0"/>
                <w:szCs w:val="21"/>
              </w:rPr>
              <w:t>)</w:t>
            </w:r>
          </w:p>
        </w:tc>
        <w:tc>
          <w:tcPr>
            <w:tcW w:w="348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原材料进场验收资料完善、规范</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5</w:t>
            </w:r>
            <w:r>
              <w:rPr>
                <w:rFonts w:hint="eastAsia" w:eastAsia="仿宋_GB2312"/>
                <w:color w:val="000000"/>
                <w:spacing w:val="-2"/>
                <w:kern w:val="0"/>
                <w:szCs w:val="21"/>
              </w:rPr>
              <w:t>分）</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49" w:type="dxa"/>
            <w:vMerge w:val="restart"/>
            <w:tcBorders>
              <w:top w:val="single" w:color="auto" w:sz="4" w:space="0"/>
              <w:left w:val="nil"/>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651" w:hRule="atLeast"/>
          <w:jc w:val="center"/>
        </w:trPr>
        <w:tc>
          <w:tcPr>
            <w:tcW w:w="386"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工序资料同步、真实、规范、齐全</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49" w:type="dxa"/>
            <w:vMerge w:val="continue"/>
            <w:tcBorders>
              <w:top w:val="single" w:color="auto" w:sz="4" w:space="0"/>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55" w:hRule="atLeast"/>
          <w:jc w:val="center"/>
        </w:trPr>
        <w:tc>
          <w:tcPr>
            <w:tcW w:w="386"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见证取样送检制度落实；涉及结构安全的试块、试件、材料取样数量及检测规范</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49" w:type="dxa"/>
            <w:vMerge w:val="continue"/>
            <w:tcBorders>
              <w:top w:val="single" w:color="auto" w:sz="4" w:space="0"/>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61" w:hRule="atLeast"/>
          <w:jc w:val="center"/>
        </w:trPr>
        <w:tc>
          <w:tcPr>
            <w:tcW w:w="386"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104"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实物质量（</w:t>
            </w:r>
            <w:r>
              <w:rPr>
                <w:rFonts w:eastAsia="仿宋_GB2312"/>
                <w:color w:val="000000"/>
                <w:spacing w:val="-2"/>
                <w:kern w:val="0"/>
                <w:szCs w:val="21"/>
              </w:rPr>
              <w:t>45</w:t>
            </w:r>
            <w:r>
              <w:rPr>
                <w:rFonts w:hint="eastAsia" w:eastAsia="仿宋_GB2312"/>
                <w:color w:val="000000"/>
                <w:spacing w:val="-2"/>
                <w:kern w:val="0"/>
                <w:szCs w:val="21"/>
              </w:rPr>
              <w:t>分）</w:t>
            </w:r>
          </w:p>
        </w:tc>
        <w:tc>
          <w:tcPr>
            <w:tcW w:w="3480" w:type="dxa"/>
            <w:gridSpan w:val="2"/>
            <w:vMerge w:val="restart"/>
            <w:tcBorders>
              <w:top w:val="single" w:color="auto" w:sz="4" w:space="0"/>
              <w:left w:val="nil"/>
              <w:bottom w:val="single" w:color="auto" w:sz="4" w:space="0"/>
              <w:right w:val="single" w:color="auto" w:sz="4" w:space="0"/>
            </w:tcBorders>
            <w:noWrap w:val="0"/>
            <w:vAlign w:val="center"/>
          </w:tcPr>
          <w:p>
            <w:pPr>
              <w:adjustRightInd w:val="0"/>
              <w:snapToGrid w:val="0"/>
              <w:ind w:firstLine="103" w:firstLineChars="50"/>
              <w:jc w:val="center"/>
              <w:rPr>
                <w:rFonts w:eastAsia="仿宋_GB2312"/>
                <w:color w:val="000000"/>
                <w:spacing w:val="-2"/>
                <w:kern w:val="0"/>
                <w:szCs w:val="21"/>
              </w:rPr>
            </w:pPr>
            <w:r>
              <w:rPr>
                <w:rFonts w:hint="eastAsia" w:eastAsia="仿宋_GB2312"/>
                <w:color w:val="000000"/>
                <w:spacing w:val="-2"/>
                <w:kern w:val="0"/>
                <w:szCs w:val="21"/>
              </w:rPr>
              <w:t>抽查工程实体质量</w:t>
            </w:r>
          </w:p>
          <w:p>
            <w:pPr>
              <w:adjustRightInd w:val="0"/>
              <w:snapToGrid w:val="0"/>
              <w:ind w:firstLine="103" w:firstLineChars="5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45</w:t>
            </w:r>
            <w:r>
              <w:rPr>
                <w:rFonts w:hint="eastAsia" w:eastAsia="仿宋_GB2312"/>
                <w:color w:val="000000"/>
                <w:spacing w:val="-2"/>
                <w:kern w:val="0"/>
                <w:szCs w:val="21"/>
              </w:rPr>
              <w:t>分）</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违反强制性条文的一处扣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49" w:type="dxa"/>
            <w:tcBorders>
              <w:top w:val="single" w:color="auto" w:sz="4" w:space="0"/>
              <w:left w:val="nil"/>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817" w:hRule="atLeast"/>
          <w:jc w:val="center"/>
        </w:trPr>
        <w:tc>
          <w:tcPr>
            <w:tcW w:w="38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0" w:type="dxa"/>
            <w:gridSpan w:val="2"/>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违反强制性标准的一处扣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49" w:type="dxa"/>
            <w:vMerge w:val="restart"/>
            <w:tcBorders>
              <w:top w:val="single" w:color="auto" w:sz="4" w:space="0"/>
              <w:left w:val="nil"/>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877" w:hRule="atLeast"/>
          <w:jc w:val="center"/>
        </w:trPr>
        <w:tc>
          <w:tcPr>
            <w:tcW w:w="38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0" w:type="dxa"/>
            <w:gridSpan w:val="2"/>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观感质量较差的扣</w:t>
            </w:r>
            <w:r>
              <w:rPr>
                <w:rFonts w:eastAsia="仿宋_GB2312"/>
                <w:color w:val="000000"/>
                <w:spacing w:val="-2"/>
                <w:kern w:val="0"/>
                <w:szCs w:val="21"/>
              </w:rPr>
              <w:t>1—25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49" w:type="dxa"/>
            <w:vMerge w:val="continue"/>
            <w:tcBorders>
              <w:top w:val="single" w:color="auto" w:sz="4" w:space="0"/>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63" w:hRule="atLeast"/>
          <w:jc w:val="center"/>
        </w:trPr>
        <w:tc>
          <w:tcPr>
            <w:tcW w:w="38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0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0" w:type="dxa"/>
            <w:gridSpan w:val="2"/>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ind w:firstLine="103" w:firstLineChars="50"/>
              <w:jc w:val="center"/>
              <w:rPr>
                <w:rFonts w:eastAsia="仿宋_GB2312"/>
                <w:color w:val="000000"/>
                <w:spacing w:val="-2"/>
                <w:kern w:val="0"/>
                <w:szCs w:val="21"/>
              </w:rPr>
            </w:pPr>
            <w:r>
              <w:rPr>
                <w:rFonts w:hint="eastAsia" w:eastAsia="仿宋_GB2312"/>
                <w:color w:val="000000"/>
                <w:spacing w:val="-2"/>
                <w:kern w:val="0"/>
                <w:szCs w:val="21"/>
              </w:rPr>
              <w:t>其它质量问题</w:t>
            </w:r>
          </w:p>
          <w:p>
            <w:pPr>
              <w:adjustRightInd w:val="0"/>
              <w:snapToGrid w:val="0"/>
              <w:ind w:firstLine="103" w:firstLineChars="50"/>
              <w:jc w:val="center"/>
              <w:rPr>
                <w:rFonts w:eastAsia="仿宋_GB2312"/>
                <w:color w:val="000000"/>
                <w:spacing w:val="-2"/>
                <w:kern w:val="0"/>
                <w:szCs w:val="21"/>
              </w:rPr>
            </w:pPr>
            <w:r>
              <w:rPr>
                <w:rFonts w:hint="eastAsia" w:eastAsia="仿宋_GB2312"/>
                <w:color w:val="000000"/>
                <w:spacing w:val="-2"/>
                <w:kern w:val="0"/>
                <w:szCs w:val="21"/>
              </w:rPr>
              <w:t>扣</w:t>
            </w:r>
            <w:r>
              <w:rPr>
                <w:rFonts w:eastAsia="仿宋_GB2312"/>
                <w:color w:val="000000"/>
                <w:spacing w:val="-2"/>
                <w:kern w:val="0"/>
                <w:szCs w:val="21"/>
              </w:rPr>
              <w:t>1—5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49" w:type="dxa"/>
            <w:vMerge w:val="continue"/>
            <w:tcBorders>
              <w:top w:val="single" w:color="auto" w:sz="4" w:space="0"/>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435" w:hRule="atLeast"/>
          <w:jc w:val="center"/>
        </w:trPr>
        <w:tc>
          <w:tcPr>
            <w:tcW w:w="386" w:type="dxa"/>
            <w:vMerge w:val="restart"/>
            <w:tcBorders>
              <w:top w:val="nil"/>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104"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创优治劣情况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3480" w:type="dxa"/>
            <w:gridSpan w:val="2"/>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根据创优申报落实专项施工方案及现场实施情况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未制定创优方案扣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49" w:type="dxa"/>
            <w:vMerge w:val="restart"/>
            <w:tcBorders>
              <w:top w:val="single" w:color="auto" w:sz="4" w:space="0"/>
              <w:left w:val="nil"/>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480" w:hRule="atLeast"/>
          <w:jc w:val="center"/>
        </w:trPr>
        <w:tc>
          <w:tcPr>
            <w:tcW w:w="386"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04"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0" w:type="dxa"/>
            <w:gridSpan w:val="2"/>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16"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未按创优专项方案落实施工扣</w:t>
            </w:r>
          </w:p>
          <w:p>
            <w:pPr>
              <w:adjustRightInd w:val="0"/>
              <w:snapToGrid w:val="0"/>
              <w:jc w:val="center"/>
              <w:rPr>
                <w:rFonts w:eastAsia="仿宋_GB2312"/>
                <w:color w:val="000000"/>
                <w:spacing w:val="-2"/>
                <w:kern w:val="0"/>
                <w:szCs w:val="21"/>
              </w:rPr>
            </w:pP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49" w:type="dxa"/>
            <w:vMerge w:val="continue"/>
            <w:tcBorders>
              <w:top w:val="single" w:color="auto" w:sz="4" w:space="0"/>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660" w:hRule="atLeast"/>
          <w:jc w:val="center"/>
        </w:trPr>
        <w:tc>
          <w:tcPr>
            <w:tcW w:w="2485" w:type="dxa"/>
            <w:gridSpan w:val="3"/>
            <w:tcBorders>
              <w:top w:val="single" w:color="auto" w:sz="4" w:space="0"/>
              <w:left w:val="single" w:color="auto" w:sz="8"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检查人签字：</w:t>
            </w:r>
            <w:r>
              <w:rPr>
                <w:rFonts w:eastAsia="仿宋_GB2312"/>
                <w:color w:val="000000"/>
                <w:spacing w:val="-2"/>
                <w:kern w:val="0"/>
                <w:szCs w:val="21"/>
              </w:rPr>
              <w:t xml:space="preserve"> </w:t>
            </w:r>
          </w:p>
        </w:tc>
        <w:tc>
          <w:tcPr>
            <w:tcW w:w="2579" w:type="dxa"/>
            <w:gridSpan w:val="2"/>
            <w:tcBorders>
              <w:top w:val="single" w:color="auto" w:sz="4" w:space="0"/>
              <w:left w:val="single" w:color="auto" w:sz="4"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被检查单位签字：</w:t>
            </w:r>
          </w:p>
        </w:tc>
        <w:tc>
          <w:tcPr>
            <w:tcW w:w="1622"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得分扣分情况</w:t>
            </w:r>
          </w:p>
        </w:tc>
        <w:tc>
          <w:tcPr>
            <w:tcW w:w="720" w:type="dxa"/>
            <w:tcBorders>
              <w:top w:val="single" w:color="auto" w:sz="4" w:space="0"/>
              <w:left w:val="nil"/>
              <w:bottom w:val="single" w:color="auto" w:sz="8"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tcBorders>
              <w:top w:val="single" w:color="auto" w:sz="4" w:space="0"/>
              <w:left w:val="nil"/>
              <w:bottom w:val="single" w:color="auto" w:sz="8"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49" w:type="dxa"/>
            <w:tcBorders>
              <w:top w:val="single" w:color="auto" w:sz="4" w:space="0"/>
              <w:left w:val="nil"/>
              <w:bottom w:val="single" w:color="auto" w:sz="8"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bl>
    <w:p>
      <w:pPr>
        <w:widowControl/>
        <w:spacing w:beforeAutospacing="1" w:afterAutospacing="1"/>
        <w:jc w:val="left"/>
        <w:rPr>
          <w:rFonts w:ascii="Times New Roman" w:hAnsi="Times New Roman" w:eastAsia="仿宋"/>
          <w:b/>
          <w:bCs/>
          <w:color w:val="000000"/>
          <w:spacing w:val="-2"/>
          <w:kern w:val="0"/>
          <w:sz w:val="32"/>
          <w:szCs w:val="32"/>
        </w:rPr>
        <w:sectPr>
          <w:pgSz w:w="11906" w:h="16838"/>
          <w:pgMar w:top="1701" w:right="1588" w:bottom="1701" w:left="1588" w:header="851" w:footer="1361" w:gutter="0"/>
          <w:cols w:space="720" w:num="1"/>
        </w:sectPr>
      </w:pPr>
    </w:p>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建筑市场综合考核用表之四（工程质量三）</w:t>
      </w:r>
    </w:p>
    <w:p>
      <w:pPr>
        <w:adjustRightInd w:val="0"/>
        <w:snapToGrid w:val="0"/>
        <w:spacing w:line="570" w:lineRule="exact"/>
        <w:ind w:firstLine="236" w:firstLineChars="100"/>
        <w:rPr>
          <w:rFonts w:hint="eastAsia" w:ascii="Times New Roman" w:hAnsi="Times New Roman" w:eastAsia="仿宋_GB2312"/>
          <w:b/>
          <w:bCs/>
          <w:color w:val="000000"/>
          <w:spacing w:val="-2"/>
          <w:kern w:val="0"/>
          <w:sz w:val="24"/>
        </w:rPr>
      </w:pPr>
      <w:r>
        <w:rPr>
          <w:rFonts w:hint="eastAsia" w:ascii="Times New Roman" w:hAnsi="Times New Roman" w:eastAsia="仿宋_GB2312"/>
          <w:bCs/>
          <w:color w:val="000000"/>
          <w:spacing w:val="-2"/>
          <w:kern w:val="0"/>
          <w:sz w:val="24"/>
        </w:rPr>
        <w:t>项目编号                                        检查日期：</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51"/>
        <w:gridCol w:w="1273"/>
        <w:gridCol w:w="890"/>
        <w:gridCol w:w="335"/>
        <w:gridCol w:w="375"/>
        <w:gridCol w:w="8"/>
        <w:gridCol w:w="367"/>
        <w:gridCol w:w="375"/>
        <w:gridCol w:w="375"/>
        <w:gridCol w:w="375"/>
        <w:gridCol w:w="136"/>
        <w:gridCol w:w="239"/>
        <w:gridCol w:w="375"/>
        <w:gridCol w:w="375"/>
        <w:gridCol w:w="375"/>
        <w:gridCol w:w="376"/>
        <w:gridCol w:w="774"/>
        <w:gridCol w:w="732"/>
        <w:gridCol w:w="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525" w:hRule="atLeast"/>
          <w:jc w:val="center"/>
        </w:trPr>
        <w:tc>
          <w:tcPr>
            <w:tcW w:w="9106" w:type="dxa"/>
            <w:gridSpan w:val="18"/>
            <w:tcBorders>
              <w:top w:val="single" w:color="auto" w:sz="8" w:space="0"/>
              <w:left w:val="single" w:color="auto" w:sz="8" w:space="0"/>
              <w:bottom w:val="single" w:color="auto" w:sz="4"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b/>
                <w:bCs/>
                <w:color w:val="000000"/>
                <w:spacing w:val="-2"/>
                <w:kern w:val="0"/>
                <w:szCs w:val="21"/>
              </w:rPr>
              <w:t>工程实体抽测质量（</w:t>
            </w:r>
            <w:r>
              <w:rPr>
                <w:rFonts w:eastAsia="仿宋_GB2312"/>
                <w:b/>
                <w:bCs/>
                <w:color w:val="000000"/>
                <w:spacing w:val="-2"/>
                <w:kern w:val="0"/>
                <w:szCs w:val="21"/>
              </w:rPr>
              <w:t>100</w:t>
            </w:r>
            <w:r>
              <w:rPr>
                <w:rFonts w:hint="eastAsia" w:eastAsia="仿宋_GB2312"/>
                <w:b/>
                <w:bCs/>
                <w:color w:val="000000"/>
                <w:spacing w:val="-2"/>
                <w:kern w:val="0"/>
                <w:szCs w:val="21"/>
              </w:rPr>
              <w:t>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525" w:hRule="atLeast"/>
          <w:jc w:val="center"/>
        </w:trPr>
        <w:tc>
          <w:tcPr>
            <w:tcW w:w="135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单位名称</w:t>
            </w:r>
          </w:p>
        </w:tc>
        <w:tc>
          <w:tcPr>
            <w:tcW w:w="21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2346" w:type="dxa"/>
            <w:gridSpan w:val="8"/>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抽测地点</w:t>
            </w:r>
          </w:p>
        </w:tc>
        <w:tc>
          <w:tcPr>
            <w:tcW w:w="3246" w:type="dxa"/>
            <w:gridSpan w:val="7"/>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525" w:hRule="atLeast"/>
          <w:jc w:val="center"/>
        </w:trPr>
        <w:tc>
          <w:tcPr>
            <w:tcW w:w="135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工程名称</w:t>
            </w:r>
          </w:p>
        </w:tc>
        <w:tc>
          <w:tcPr>
            <w:tcW w:w="21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2346" w:type="dxa"/>
            <w:gridSpan w:val="8"/>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抽测日期</w:t>
            </w:r>
          </w:p>
        </w:tc>
        <w:tc>
          <w:tcPr>
            <w:tcW w:w="3246" w:type="dxa"/>
            <w:gridSpan w:val="7"/>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525" w:hRule="atLeast"/>
          <w:jc w:val="center"/>
        </w:trPr>
        <w:tc>
          <w:tcPr>
            <w:tcW w:w="135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抽测项目及</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分值</w:t>
            </w: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部位</w:t>
            </w: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设计值</w:t>
            </w:r>
          </w:p>
        </w:tc>
        <w:tc>
          <w:tcPr>
            <w:tcW w:w="4086" w:type="dxa"/>
            <w:gridSpan w:val="13"/>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抽测数据</w:t>
            </w:r>
          </w:p>
        </w:tc>
        <w:tc>
          <w:tcPr>
            <w:tcW w:w="77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得分</w:t>
            </w:r>
          </w:p>
        </w:tc>
        <w:tc>
          <w:tcPr>
            <w:tcW w:w="732"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扣分</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原因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624" w:hRule="exact"/>
          <w:jc w:val="center"/>
        </w:trPr>
        <w:tc>
          <w:tcPr>
            <w:tcW w:w="1351"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混凝土强度（</w:t>
            </w:r>
            <w:r>
              <w:rPr>
                <w:rFonts w:eastAsia="仿宋_GB2312"/>
                <w:color w:val="000000"/>
                <w:spacing w:val="-2"/>
                <w:kern w:val="0"/>
                <w:szCs w:val="21"/>
              </w:rPr>
              <w:t>30</w:t>
            </w:r>
            <w:r>
              <w:rPr>
                <w:rFonts w:hint="eastAsia" w:eastAsia="仿宋_GB2312"/>
                <w:color w:val="000000"/>
                <w:spacing w:val="-2"/>
                <w:kern w:val="0"/>
                <w:szCs w:val="21"/>
              </w:rPr>
              <w:t>分）</w:t>
            </w: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Ⅰ</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32" w:type="dxa"/>
            <w:vMerge w:val="restart"/>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624" w:hRule="exact"/>
          <w:jc w:val="center"/>
        </w:trPr>
        <w:tc>
          <w:tcPr>
            <w:tcW w:w="13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Ⅱ</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732"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351"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轴线尺寸</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Ⅰ</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41" w:type="dxa"/>
            <w:gridSpan w:val="2"/>
            <w:vMerge w:val="restart"/>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3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Ⅱ</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741" w:type="dxa"/>
            <w:gridSpan w:val="2"/>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351"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楼层标高</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Ⅰ</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41" w:type="dxa"/>
            <w:gridSpan w:val="2"/>
            <w:vMerge w:val="restart"/>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3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Ⅱ</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741" w:type="dxa"/>
            <w:gridSpan w:val="2"/>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351"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现浇板厚度（</w:t>
            </w:r>
            <w:r>
              <w:rPr>
                <w:rFonts w:eastAsia="仿宋_GB2312"/>
                <w:color w:val="000000"/>
                <w:spacing w:val="-2"/>
                <w:kern w:val="0"/>
                <w:szCs w:val="21"/>
              </w:rPr>
              <w:t>10</w:t>
            </w:r>
            <w:r>
              <w:rPr>
                <w:rFonts w:hint="eastAsia" w:eastAsia="仿宋_GB2312"/>
                <w:color w:val="000000"/>
                <w:spacing w:val="-2"/>
                <w:kern w:val="0"/>
                <w:szCs w:val="21"/>
              </w:rPr>
              <w:t>分）</w:t>
            </w: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Ⅰ</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41" w:type="dxa"/>
            <w:gridSpan w:val="2"/>
            <w:vMerge w:val="restart"/>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3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Ⅱ</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741" w:type="dxa"/>
            <w:gridSpan w:val="2"/>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351"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重要构件几何尺寸</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Ⅰ</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41" w:type="dxa"/>
            <w:gridSpan w:val="2"/>
            <w:vMerge w:val="restart"/>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1351"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ascii="Times New Roman" w:hAnsi="Times New Roman" w:cs="宋体"/>
                <w:color w:val="000000"/>
                <w:spacing w:val="-2"/>
                <w:kern w:val="0"/>
                <w:szCs w:val="21"/>
              </w:rPr>
              <w:t>Ⅱ</w:t>
            </w: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37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741" w:type="dxa"/>
            <w:gridSpan w:val="2"/>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720" w:hRule="atLeast"/>
          <w:jc w:val="center"/>
        </w:trPr>
        <w:tc>
          <w:tcPr>
            <w:tcW w:w="135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原材料抽检情况（</w:t>
            </w:r>
            <w:r>
              <w:rPr>
                <w:rFonts w:eastAsia="仿宋_GB2312"/>
                <w:color w:val="000000"/>
                <w:spacing w:val="-2"/>
                <w:kern w:val="0"/>
                <w:szCs w:val="21"/>
              </w:rPr>
              <w:t>30</w:t>
            </w:r>
            <w:r>
              <w:rPr>
                <w:rFonts w:hint="eastAsia" w:eastAsia="仿宋_GB2312"/>
                <w:color w:val="000000"/>
                <w:spacing w:val="-2"/>
                <w:kern w:val="0"/>
                <w:szCs w:val="21"/>
              </w:rPr>
              <w:t>分）</w:t>
            </w:r>
          </w:p>
        </w:tc>
        <w:tc>
          <w:tcPr>
            <w:tcW w:w="127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89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4086" w:type="dxa"/>
            <w:gridSpan w:val="13"/>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7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32"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615" w:hRule="atLeast"/>
          <w:jc w:val="center"/>
        </w:trPr>
        <w:tc>
          <w:tcPr>
            <w:tcW w:w="135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总分</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100</w:t>
            </w:r>
            <w:r>
              <w:rPr>
                <w:rFonts w:hint="eastAsia" w:eastAsia="仿宋_GB2312"/>
                <w:color w:val="000000"/>
                <w:spacing w:val="-2"/>
                <w:kern w:val="0"/>
                <w:szCs w:val="21"/>
              </w:rPr>
              <w:t>分）</w:t>
            </w:r>
          </w:p>
        </w:tc>
        <w:tc>
          <w:tcPr>
            <w:tcW w:w="2163"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得分扣分情况</w:t>
            </w:r>
          </w:p>
        </w:tc>
        <w:tc>
          <w:tcPr>
            <w:tcW w:w="5592" w:type="dxa"/>
            <w:gridSpan w:val="15"/>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615" w:hRule="atLeast"/>
          <w:jc w:val="center"/>
        </w:trPr>
        <w:tc>
          <w:tcPr>
            <w:tcW w:w="135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对工程实体质量抽测、检查意见</w:t>
            </w:r>
          </w:p>
        </w:tc>
        <w:tc>
          <w:tcPr>
            <w:tcW w:w="7755" w:type="dxa"/>
            <w:gridSpan w:val="17"/>
            <w:tcBorders>
              <w:top w:val="single" w:color="auto" w:sz="4" w:space="0"/>
              <w:left w:val="single" w:color="auto" w:sz="4" w:space="0"/>
              <w:bottom w:val="single" w:color="auto" w:sz="4"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795" w:hRule="atLeast"/>
          <w:jc w:val="center"/>
        </w:trPr>
        <w:tc>
          <w:tcPr>
            <w:tcW w:w="4232" w:type="dxa"/>
            <w:gridSpan w:val="6"/>
            <w:tcBorders>
              <w:top w:val="single" w:color="auto" w:sz="4" w:space="0"/>
              <w:left w:val="single" w:color="auto" w:sz="8"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检查人签字：</w:t>
            </w:r>
          </w:p>
        </w:tc>
        <w:tc>
          <w:tcPr>
            <w:tcW w:w="4874" w:type="dxa"/>
            <w:gridSpan w:val="12"/>
            <w:tcBorders>
              <w:top w:val="single" w:color="auto" w:sz="4" w:space="0"/>
              <w:left w:val="single" w:color="auto" w:sz="4" w:space="0"/>
              <w:bottom w:val="single" w:color="auto" w:sz="8"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被检查单位签字：</w:t>
            </w:r>
          </w:p>
        </w:tc>
      </w:tr>
    </w:tbl>
    <w:p>
      <w:pPr>
        <w:widowControl/>
        <w:spacing w:beforeAutospacing="1" w:afterAutospacing="1"/>
        <w:jc w:val="left"/>
        <w:rPr>
          <w:rFonts w:ascii="Times New Roman" w:hAnsi="Times New Roman" w:eastAsia="仿宋"/>
          <w:b/>
          <w:bCs/>
          <w:color w:val="000000"/>
          <w:spacing w:val="-2"/>
          <w:kern w:val="0"/>
          <w:sz w:val="32"/>
          <w:szCs w:val="32"/>
        </w:rPr>
        <w:sectPr>
          <w:pgSz w:w="11906" w:h="16838"/>
          <w:pgMar w:top="1701" w:right="1588" w:bottom="1701" w:left="1588" w:header="851" w:footer="1361" w:gutter="0"/>
          <w:cols w:space="720" w:num="1"/>
        </w:sectPr>
      </w:pPr>
    </w:p>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建筑市场综合考核用表之四（工程质量四 分包工程）</w:t>
      </w:r>
    </w:p>
    <w:p>
      <w:pPr>
        <w:adjustRightInd w:val="0"/>
        <w:snapToGrid w:val="0"/>
        <w:spacing w:line="570" w:lineRule="exact"/>
        <w:ind w:firstLine="472" w:firstLineChars="200"/>
        <w:rPr>
          <w:rFonts w:hint="eastAsia" w:ascii="Times New Roman" w:hAnsi="Times New Roman" w:eastAsia="仿宋_GB2312"/>
          <w:b/>
          <w:bCs/>
          <w:color w:val="000000"/>
          <w:spacing w:val="-2"/>
          <w:kern w:val="0"/>
          <w:sz w:val="24"/>
        </w:rPr>
      </w:pPr>
      <w:r>
        <w:rPr>
          <w:rFonts w:hint="eastAsia" w:ascii="Times New Roman" w:hAnsi="Times New Roman" w:eastAsia="仿宋_GB2312"/>
          <w:bCs/>
          <w:color w:val="000000"/>
          <w:spacing w:val="-2"/>
          <w:kern w:val="0"/>
          <w:sz w:val="24"/>
        </w:rPr>
        <w:t>项目编号                                   检查日期：</w:t>
      </w:r>
    </w:p>
    <w:tbl>
      <w:tblPr>
        <w:tblStyle w:val="12"/>
        <w:tblW w:w="0" w:type="auto"/>
        <w:jc w:val="center"/>
        <w:tblLayout w:type="fixed"/>
        <w:tblCellMar>
          <w:top w:w="0" w:type="dxa"/>
          <w:left w:w="108" w:type="dxa"/>
          <w:bottom w:w="0" w:type="dxa"/>
          <w:right w:w="108" w:type="dxa"/>
        </w:tblCellMar>
      </w:tblPr>
      <w:tblGrid>
        <w:gridCol w:w="516"/>
        <w:gridCol w:w="1208"/>
        <w:gridCol w:w="621"/>
        <w:gridCol w:w="2439"/>
        <w:gridCol w:w="401"/>
        <w:gridCol w:w="1327"/>
        <w:gridCol w:w="720"/>
        <w:gridCol w:w="720"/>
        <w:gridCol w:w="1154"/>
      </w:tblGrid>
      <w:tr>
        <w:tblPrEx>
          <w:tblCellMar>
            <w:top w:w="0" w:type="dxa"/>
            <w:left w:w="108" w:type="dxa"/>
            <w:bottom w:w="0" w:type="dxa"/>
            <w:right w:w="108" w:type="dxa"/>
          </w:tblCellMar>
        </w:tblPrEx>
        <w:trPr>
          <w:trHeight w:val="475" w:hRule="atLeast"/>
          <w:jc w:val="center"/>
        </w:trPr>
        <w:tc>
          <w:tcPr>
            <w:tcW w:w="9106" w:type="dxa"/>
            <w:gridSpan w:val="9"/>
            <w:tcBorders>
              <w:top w:val="single" w:color="auto" w:sz="8" w:space="0"/>
              <w:left w:val="single" w:color="auto" w:sz="8" w:space="0"/>
              <w:bottom w:val="single" w:color="auto" w:sz="4" w:space="0"/>
              <w:right w:val="single" w:color="auto" w:sz="8" w:space="0"/>
            </w:tcBorders>
            <w:noWrap w:val="0"/>
            <w:vAlign w:val="center"/>
          </w:tcPr>
          <w:p>
            <w:pPr>
              <w:adjustRightInd w:val="0"/>
              <w:snapToGrid w:val="0"/>
              <w:rPr>
                <w:rFonts w:eastAsia="仿宋_GB2312"/>
                <w:b/>
                <w:bCs/>
                <w:color w:val="000000"/>
                <w:spacing w:val="-2"/>
                <w:kern w:val="0"/>
                <w:szCs w:val="21"/>
              </w:rPr>
            </w:pPr>
            <w:r>
              <w:rPr>
                <w:rFonts w:hint="eastAsia" w:eastAsia="仿宋_GB2312"/>
                <w:b/>
                <w:bCs/>
                <w:color w:val="000000"/>
                <w:spacing w:val="-2"/>
                <w:kern w:val="0"/>
                <w:szCs w:val="21"/>
              </w:rPr>
              <w:t>施工单位（</w:t>
            </w:r>
            <w:r>
              <w:rPr>
                <w:rFonts w:eastAsia="仿宋_GB2312"/>
                <w:b/>
                <w:bCs/>
                <w:color w:val="000000"/>
                <w:spacing w:val="-2"/>
                <w:kern w:val="0"/>
                <w:szCs w:val="21"/>
              </w:rPr>
              <w:t>100</w:t>
            </w:r>
            <w:r>
              <w:rPr>
                <w:rFonts w:hint="eastAsia" w:eastAsia="仿宋_GB2312"/>
                <w:b/>
                <w:bCs/>
                <w:color w:val="000000"/>
                <w:spacing w:val="-2"/>
                <w:kern w:val="0"/>
                <w:szCs w:val="21"/>
              </w:rPr>
              <w:t>分）</w:t>
            </w:r>
            <w:r>
              <w:rPr>
                <w:rFonts w:eastAsia="仿宋_GB2312"/>
                <w:b/>
                <w:bCs/>
                <w:color w:val="000000"/>
                <w:spacing w:val="-2"/>
                <w:kern w:val="0"/>
                <w:szCs w:val="21"/>
              </w:rPr>
              <w:t xml:space="preserve">   □</w:t>
            </w:r>
            <w:r>
              <w:rPr>
                <w:rFonts w:hint="eastAsia" w:eastAsia="仿宋_GB2312"/>
                <w:b/>
                <w:bCs/>
                <w:color w:val="000000"/>
                <w:spacing w:val="-2"/>
                <w:kern w:val="0"/>
                <w:szCs w:val="21"/>
              </w:rPr>
              <w:t>防水</w:t>
            </w:r>
            <w:r>
              <w:rPr>
                <w:rFonts w:eastAsia="仿宋_GB2312"/>
                <w:b/>
                <w:bCs/>
                <w:color w:val="000000"/>
                <w:spacing w:val="-2"/>
                <w:kern w:val="0"/>
                <w:szCs w:val="21"/>
              </w:rPr>
              <w:t xml:space="preserve">    □</w:t>
            </w:r>
            <w:r>
              <w:rPr>
                <w:rFonts w:hint="eastAsia" w:eastAsia="仿宋_GB2312"/>
                <w:b/>
                <w:bCs/>
                <w:color w:val="000000"/>
                <w:spacing w:val="-2"/>
                <w:kern w:val="0"/>
                <w:szCs w:val="21"/>
              </w:rPr>
              <w:t>装饰装修</w:t>
            </w:r>
            <w:r>
              <w:rPr>
                <w:rFonts w:eastAsia="仿宋_GB2312"/>
                <w:b/>
                <w:bCs/>
                <w:color w:val="000000"/>
                <w:spacing w:val="-2"/>
                <w:kern w:val="0"/>
                <w:szCs w:val="21"/>
              </w:rPr>
              <w:t xml:space="preserve">   □</w:t>
            </w:r>
            <w:r>
              <w:rPr>
                <w:rFonts w:hint="eastAsia" w:eastAsia="仿宋_GB2312"/>
                <w:b/>
                <w:bCs/>
                <w:color w:val="000000"/>
                <w:spacing w:val="-2"/>
                <w:kern w:val="0"/>
                <w:szCs w:val="21"/>
              </w:rPr>
              <w:t>幕墙</w:t>
            </w:r>
            <w:r>
              <w:rPr>
                <w:rFonts w:eastAsia="仿宋_GB2312"/>
                <w:b/>
                <w:bCs/>
                <w:color w:val="000000"/>
                <w:spacing w:val="-2"/>
                <w:kern w:val="0"/>
                <w:szCs w:val="21"/>
              </w:rPr>
              <w:t xml:space="preserve">   □</w:t>
            </w:r>
            <w:r>
              <w:rPr>
                <w:rFonts w:hint="eastAsia" w:eastAsia="仿宋_GB2312"/>
                <w:b/>
                <w:bCs/>
                <w:color w:val="000000"/>
                <w:spacing w:val="-2"/>
                <w:kern w:val="0"/>
                <w:szCs w:val="21"/>
              </w:rPr>
              <w:t>安装</w:t>
            </w:r>
            <w:r>
              <w:rPr>
                <w:rFonts w:eastAsia="仿宋_GB2312"/>
                <w:b/>
                <w:bCs/>
                <w:color w:val="000000"/>
                <w:spacing w:val="-2"/>
                <w:kern w:val="0"/>
                <w:szCs w:val="21"/>
              </w:rPr>
              <w:t xml:space="preserve">  □</w:t>
            </w:r>
            <w:r>
              <w:rPr>
                <w:rFonts w:hint="eastAsia" w:eastAsia="仿宋_GB2312"/>
                <w:b/>
                <w:bCs/>
                <w:color w:val="000000"/>
                <w:spacing w:val="-2"/>
                <w:kern w:val="0"/>
                <w:szCs w:val="21"/>
              </w:rPr>
              <w:t>钢结构</w:t>
            </w:r>
            <w:r>
              <w:rPr>
                <w:rFonts w:eastAsia="仿宋_GB2312"/>
                <w:b/>
                <w:bCs/>
                <w:color w:val="000000"/>
                <w:spacing w:val="-2"/>
                <w:kern w:val="0"/>
                <w:szCs w:val="21"/>
              </w:rPr>
              <w:t xml:space="preserve">                                  </w:t>
            </w:r>
          </w:p>
        </w:tc>
      </w:tr>
      <w:tr>
        <w:tblPrEx>
          <w:tblCellMar>
            <w:top w:w="0" w:type="dxa"/>
            <w:left w:w="108" w:type="dxa"/>
            <w:bottom w:w="0" w:type="dxa"/>
            <w:right w:w="108" w:type="dxa"/>
          </w:tblCellMar>
        </w:tblPrEx>
        <w:trPr>
          <w:trHeight w:val="435" w:hRule="atLeast"/>
          <w:jc w:val="center"/>
        </w:trPr>
        <w:tc>
          <w:tcPr>
            <w:tcW w:w="516" w:type="dxa"/>
            <w:tcBorders>
              <w:top w:val="nil"/>
              <w:left w:val="single" w:color="auto" w:sz="8" w:space="0"/>
              <w:bottom w:val="single" w:color="auto" w:sz="4" w:space="0"/>
              <w:right w:val="single" w:color="auto" w:sz="4" w:space="0"/>
            </w:tcBorders>
            <w:noWrap w:val="0"/>
            <w:vAlign w:val="center"/>
          </w:tcPr>
          <w:p>
            <w:pPr>
              <w:adjustRightInd w:val="0"/>
              <w:snapToGrid w:val="0"/>
              <w:ind w:left="-105" w:leftChars="-50" w:right="-105" w:rightChars="-5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序号</w:t>
            </w:r>
          </w:p>
        </w:tc>
        <w:tc>
          <w:tcPr>
            <w:tcW w:w="1208" w:type="dxa"/>
            <w:tcBorders>
              <w:top w:val="single" w:color="auto" w:sz="4" w:space="0"/>
              <w:left w:val="nil"/>
              <w:bottom w:val="single" w:color="auto" w:sz="4" w:space="0"/>
              <w:right w:val="single" w:color="auto" w:sz="4" w:space="0"/>
            </w:tcBorders>
            <w:noWrap w:val="0"/>
            <w:vAlign w:val="center"/>
          </w:tcPr>
          <w:p>
            <w:pPr>
              <w:adjustRightInd w:val="0"/>
              <w:snapToGrid w:val="0"/>
              <w:ind w:left="-105" w:leftChars="-50" w:right="-105" w:rightChars="-5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检查项目</w:t>
            </w:r>
          </w:p>
        </w:tc>
        <w:tc>
          <w:tcPr>
            <w:tcW w:w="3060" w:type="dxa"/>
            <w:gridSpan w:val="2"/>
            <w:tcBorders>
              <w:top w:val="single" w:color="auto" w:sz="4" w:space="0"/>
              <w:left w:val="nil"/>
              <w:bottom w:val="single" w:color="auto" w:sz="4" w:space="0"/>
              <w:right w:val="single" w:color="auto" w:sz="4" w:space="0"/>
            </w:tcBorders>
            <w:noWrap w:val="0"/>
            <w:vAlign w:val="center"/>
          </w:tcPr>
          <w:p>
            <w:pPr>
              <w:adjustRightInd w:val="0"/>
              <w:snapToGrid w:val="0"/>
              <w:ind w:left="-105" w:leftChars="-50" w:right="-105" w:rightChars="-5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检查内容</w:t>
            </w:r>
          </w:p>
        </w:tc>
        <w:tc>
          <w:tcPr>
            <w:tcW w:w="1728" w:type="dxa"/>
            <w:gridSpan w:val="2"/>
            <w:tcBorders>
              <w:top w:val="nil"/>
              <w:left w:val="nil"/>
              <w:bottom w:val="single" w:color="auto" w:sz="4" w:space="0"/>
              <w:right w:val="single" w:color="auto" w:sz="4" w:space="0"/>
            </w:tcBorders>
            <w:noWrap w:val="0"/>
            <w:vAlign w:val="center"/>
          </w:tcPr>
          <w:p>
            <w:pPr>
              <w:adjustRightInd w:val="0"/>
              <w:snapToGrid w:val="0"/>
              <w:ind w:left="-105" w:leftChars="-50" w:right="-105" w:rightChars="-5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扣分标准</w:t>
            </w:r>
          </w:p>
        </w:tc>
        <w:tc>
          <w:tcPr>
            <w:tcW w:w="720" w:type="dxa"/>
            <w:tcBorders>
              <w:top w:val="nil"/>
              <w:left w:val="nil"/>
              <w:bottom w:val="single" w:color="auto" w:sz="4" w:space="0"/>
              <w:right w:val="single" w:color="auto" w:sz="4" w:space="0"/>
            </w:tcBorders>
            <w:noWrap w:val="0"/>
            <w:vAlign w:val="center"/>
          </w:tcPr>
          <w:p>
            <w:pPr>
              <w:adjustRightInd w:val="0"/>
              <w:snapToGrid w:val="0"/>
              <w:ind w:left="-105" w:leftChars="-50" w:right="-105" w:rightChars="-5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w:t>
            </w:r>
          </w:p>
        </w:tc>
        <w:tc>
          <w:tcPr>
            <w:tcW w:w="720" w:type="dxa"/>
            <w:tcBorders>
              <w:top w:val="nil"/>
              <w:left w:val="nil"/>
              <w:bottom w:val="single" w:color="auto" w:sz="4" w:space="0"/>
              <w:right w:val="single" w:color="auto" w:sz="4" w:space="0"/>
            </w:tcBorders>
            <w:noWrap w:val="0"/>
            <w:vAlign w:val="center"/>
          </w:tcPr>
          <w:p>
            <w:pPr>
              <w:adjustRightInd w:val="0"/>
              <w:snapToGrid w:val="0"/>
              <w:ind w:left="-105" w:leftChars="-50" w:right="-105" w:rightChars="-5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得分</w:t>
            </w:r>
          </w:p>
        </w:tc>
        <w:tc>
          <w:tcPr>
            <w:tcW w:w="1154" w:type="dxa"/>
            <w:tcBorders>
              <w:top w:val="nil"/>
              <w:left w:val="nil"/>
              <w:bottom w:val="single" w:color="auto" w:sz="4" w:space="0"/>
              <w:right w:val="single" w:color="auto" w:sz="8" w:space="0"/>
            </w:tcBorders>
            <w:noWrap w:val="0"/>
            <w:vAlign w:val="center"/>
          </w:tcPr>
          <w:p>
            <w:pPr>
              <w:adjustRightInd w:val="0"/>
              <w:snapToGrid w:val="0"/>
              <w:ind w:left="-105" w:leftChars="-50" w:right="-105" w:rightChars="-5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扣分原因</w:t>
            </w:r>
          </w:p>
        </w:tc>
      </w:tr>
      <w:tr>
        <w:tblPrEx>
          <w:tblCellMar>
            <w:top w:w="0" w:type="dxa"/>
            <w:left w:w="108" w:type="dxa"/>
            <w:bottom w:w="0" w:type="dxa"/>
            <w:right w:w="108" w:type="dxa"/>
          </w:tblCellMar>
        </w:tblPrEx>
        <w:trPr>
          <w:trHeight w:val="770" w:hRule="atLeast"/>
          <w:jc w:val="center"/>
        </w:trPr>
        <w:tc>
          <w:tcPr>
            <w:tcW w:w="516" w:type="dxa"/>
            <w:vMerge w:val="restart"/>
            <w:tcBorders>
              <w:top w:val="nil"/>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tc>
        <w:tc>
          <w:tcPr>
            <w:tcW w:w="1208"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质量行为</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3060" w:type="dxa"/>
            <w:gridSpan w:val="2"/>
            <w:tcBorders>
              <w:top w:val="single" w:color="auto" w:sz="4" w:space="0"/>
              <w:left w:val="nil"/>
              <w:bottom w:val="nil"/>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质量责任制履行的情况，质检员配备及到岗情况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5</w:t>
            </w:r>
            <w:r>
              <w:rPr>
                <w:rFonts w:hint="eastAsia" w:eastAsia="仿宋_GB2312"/>
                <w:color w:val="000000"/>
                <w:spacing w:val="-2"/>
                <w:kern w:val="0"/>
                <w:szCs w:val="21"/>
              </w:rPr>
              <w:t>分）</w:t>
            </w:r>
          </w:p>
        </w:tc>
        <w:tc>
          <w:tcPr>
            <w:tcW w:w="1728" w:type="dxa"/>
            <w:gridSpan w:val="2"/>
            <w:tcBorders>
              <w:top w:val="nil"/>
              <w:left w:val="nil"/>
              <w:bottom w:val="nil"/>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缺一项（人）</w:t>
            </w:r>
          </w:p>
          <w:p>
            <w:pPr>
              <w:adjustRightInd w:val="0"/>
              <w:snapToGrid w:val="0"/>
              <w:rPr>
                <w:rFonts w:eastAsia="仿宋_GB2312"/>
                <w:color w:val="000000"/>
                <w:spacing w:val="-2"/>
                <w:kern w:val="0"/>
                <w:szCs w:val="21"/>
              </w:rPr>
            </w:pPr>
            <w:r>
              <w:rPr>
                <w:rFonts w:hint="eastAsia" w:eastAsia="仿宋_GB2312"/>
                <w:color w:val="000000"/>
                <w:spacing w:val="-2"/>
                <w:kern w:val="0"/>
                <w:szCs w:val="21"/>
              </w:rPr>
              <w:t>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nil"/>
              <w:left w:val="nil"/>
              <w:bottom w:val="nil"/>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nil"/>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54" w:type="dxa"/>
            <w:vMerge w:val="restart"/>
            <w:tcBorders>
              <w:top w:val="nil"/>
              <w:left w:val="nil"/>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766" w:hRule="atLeast"/>
          <w:jc w:val="center"/>
        </w:trPr>
        <w:tc>
          <w:tcPr>
            <w:tcW w:w="516"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08"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与总包单位有配合管理制度及落实（</w:t>
            </w:r>
            <w:r>
              <w:rPr>
                <w:rFonts w:eastAsia="仿宋_GB2312"/>
                <w:color w:val="000000"/>
                <w:spacing w:val="-2"/>
                <w:kern w:val="0"/>
                <w:szCs w:val="21"/>
              </w:rPr>
              <w:t>5</w:t>
            </w:r>
            <w:r>
              <w:rPr>
                <w:rFonts w:hint="eastAsia" w:eastAsia="仿宋_GB2312"/>
                <w:color w:val="000000"/>
                <w:spacing w:val="-2"/>
                <w:kern w:val="0"/>
                <w:szCs w:val="21"/>
              </w:rPr>
              <w:t>分）</w:t>
            </w:r>
          </w:p>
        </w:tc>
        <w:tc>
          <w:tcPr>
            <w:tcW w:w="172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nil"/>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54" w:type="dxa"/>
            <w:vMerge w:val="continue"/>
            <w:tcBorders>
              <w:top w:val="nil"/>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624" w:hRule="atLeast"/>
          <w:jc w:val="center"/>
        </w:trPr>
        <w:tc>
          <w:tcPr>
            <w:tcW w:w="516"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08"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gridSpan w:val="2"/>
            <w:tcBorders>
              <w:top w:val="single" w:color="auto" w:sz="4" w:space="0"/>
              <w:left w:val="nil"/>
              <w:bottom w:val="nil"/>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设计审图、设计变更文件手续</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是否符合相关规定</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5</w:t>
            </w:r>
            <w:r>
              <w:rPr>
                <w:rFonts w:hint="eastAsia" w:eastAsia="仿宋_GB2312"/>
                <w:color w:val="000000"/>
                <w:spacing w:val="-2"/>
                <w:kern w:val="0"/>
                <w:szCs w:val="21"/>
              </w:rPr>
              <w:t>分）</w:t>
            </w:r>
          </w:p>
        </w:tc>
        <w:tc>
          <w:tcPr>
            <w:tcW w:w="1728" w:type="dxa"/>
            <w:gridSpan w:val="2"/>
            <w:tcBorders>
              <w:top w:val="nil"/>
              <w:left w:val="nil"/>
              <w:bottom w:val="nil"/>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nil"/>
              <w:bottom w:val="nil"/>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nil"/>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54" w:type="dxa"/>
            <w:vMerge w:val="continue"/>
            <w:tcBorders>
              <w:top w:val="nil"/>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591" w:hRule="atLeast"/>
          <w:jc w:val="center"/>
        </w:trPr>
        <w:tc>
          <w:tcPr>
            <w:tcW w:w="516"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08"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检查图纸会审、方案制定审批</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5</w:t>
            </w:r>
            <w:r>
              <w:rPr>
                <w:rFonts w:hint="eastAsia" w:eastAsia="仿宋_GB2312"/>
                <w:color w:val="000000"/>
                <w:spacing w:val="-2"/>
                <w:kern w:val="0"/>
                <w:szCs w:val="21"/>
              </w:rPr>
              <w:t>分）</w:t>
            </w:r>
          </w:p>
        </w:tc>
        <w:tc>
          <w:tcPr>
            <w:tcW w:w="172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nil"/>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54" w:type="dxa"/>
            <w:vMerge w:val="continue"/>
            <w:tcBorders>
              <w:top w:val="nil"/>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69" w:hRule="atLeast"/>
          <w:jc w:val="center"/>
        </w:trPr>
        <w:tc>
          <w:tcPr>
            <w:tcW w:w="516" w:type="dxa"/>
            <w:vMerge w:val="restart"/>
            <w:tcBorders>
              <w:top w:val="nil"/>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208"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质保资料</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25</w:t>
            </w:r>
            <w:r>
              <w:rPr>
                <w:rFonts w:hint="eastAsia" w:eastAsia="仿宋_GB2312"/>
                <w:color w:val="000000"/>
                <w:spacing w:val="-2"/>
                <w:kern w:val="0"/>
                <w:szCs w:val="21"/>
              </w:rPr>
              <w:t>分）</w:t>
            </w:r>
          </w:p>
        </w:tc>
        <w:tc>
          <w:tcPr>
            <w:tcW w:w="306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原材料进场验收资料完善、规范</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5</w:t>
            </w:r>
            <w:r>
              <w:rPr>
                <w:rFonts w:hint="eastAsia" w:eastAsia="仿宋_GB2312"/>
                <w:color w:val="000000"/>
                <w:spacing w:val="-2"/>
                <w:kern w:val="0"/>
                <w:szCs w:val="21"/>
              </w:rPr>
              <w:t>分）</w:t>
            </w:r>
          </w:p>
        </w:tc>
        <w:tc>
          <w:tcPr>
            <w:tcW w:w="1728" w:type="dxa"/>
            <w:gridSpan w:val="2"/>
            <w:tcBorders>
              <w:top w:val="nil"/>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nil"/>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nil"/>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54" w:type="dxa"/>
            <w:vMerge w:val="restart"/>
            <w:tcBorders>
              <w:top w:val="nil"/>
              <w:left w:val="nil"/>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777" w:hRule="atLeast"/>
          <w:jc w:val="center"/>
        </w:trPr>
        <w:tc>
          <w:tcPr>
            <w:tcW w:w="516"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0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工序资料同步、真实、规范、齐全（</w:t>
            </w:r>
            <w:r>
              <w:rPr>
                <w:rFonts w:eastAsia="仿宋_GB2312"/>
                <w:color w:val="000000"/>
                <w:spacing w:val="-2"/>
                <w:kern w:val="0"/>
                <w:szCs w:val="21"/>
              </w:rPr>
              <w:t>10</w:t>
            </w:r>
            <w:r>
              <w:rPr>
                <w:rFonts w:hint="eastAsia" w:eastAsia="仿宋_GB2312"/>
                <w:color w:val="000000"/>
                <w:spacing w:val="-2"/>
                <w:kern w:val="0"/>
                <w:szCs w:val="21"/>
              </w:rPr>
              <w:t>分）</w:t>
            </w:r>
          </w:p>
        </w:tc>
        <w:tc>
          <w:tcPr>
            <w:tcW w:w="172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54" w:type="dxa"/>
            <w:vMerge w:val="continue"/>
            <w:tcBorders>
              <w:top w:val="nil"/>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70" w:hRule="atLeast"/>
          <w:jc w:val="center"/>
        </w:trPr>
        <w:tc>
          <w:tcPr>
            <w:tcW w:w="516" w:type="dxa"/>
            <w:vMerge w:val="continue"/>
            <w:tcBorders>
              <w:top w:val="nil"/>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0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gridSpan w:val="2"/>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见证取样送检制度落实；材料取样数量及检测规范（</w:t>
            </w:r>
            <w:r>
              <w:rPr>
                <w:rFonts w:eastAsia="仿宋_GB2312"/>
                <w:color w:val="000000"/>
                <w:spacing w:val="-2"/>
                <w:kern w:val="0"/>
                <w:szCs w:val="21"/>
              </w:rPr>
              <w:t>10</w:t>
            </w:r>
            <w:r>
              <w:rPr>
                <w:rFonts w:hint="eastAsia" w:eastAsia="仿宋_GB2312"/>
                <w:color w:val="000000"/>
                <w:spacing w:val="-2"/>
                <w:kern w:val="0"/>
                <w:szCs w:val="21"/>
              </w:rPr>
              <w:t>分）</w:t>
            </w:r>
          </w:p>
        </w:tc>
        <w:tc>
          <w:tcPr>
            <w:tcW w:w="172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缺一项扣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54" w:type="dxa"/>
            <w:vMerge w:val="continue"/>
            <w:tcBorders>
              <w:top w:val="nil"/>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05" w:hRule="atLeast"/>
          <w:jc w:val="center"/>
        </w:trPr>
        <w:tc>
          <w:tcPr>
            <w:tcW w:w="516"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208"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实物质量</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45</w:t>
            </w:r>
            <w:r>
              <w:rPr>
                <w:rFonts w:hint="eastAsia" w:eastAsia="仿宋_GB2312"/>
                <w:color w:val="000000"/>
                <w:spacing w:val="-2"/>
                <w:kern w:val="0"/>
                <w:szCs w:val="21"/>
              </w:rPr>
              <w:t>分）</w:t>
            </w:r>
          </w:p>
        </w:tc>
        <w:tc>
          <w:tcPr>
            <w:tcW w:w="3060" w:type="dxa"/>
            <w:gridSpan w:val="2"/>
            <w:vMerge w:val="restart"/>
            <w:tcBorders>
              <w:top w:val="single" w:color="auto" w:sz="4" w:space="0"/>
              <w:left w:val="nil"/>
              <w:bottom w:val="single" w:color="auto" w:sz="4" w:space="0"/>
              <w:right w:val="single" w:color="auto" w:sz="4" w:space="0"/>
            </w:tcBorders>
            <w:noWrap w:val="0"/>
            <w:vAlign w:val="center"/>
          </w:tcPr>
          <w:p>
            <w:pPr>
              <w:adjustRightInd w:val="0"/>
              <w:snapToGrid w:val="0"/>
              <w:ind w:firstLine="103" w:firstLineChars="50"/>
              <w:jc w:val="center"/>
              <w:rPr>
                <w:rFonts w:eastAsia="仿宋_GB2312"/>
                <w:color w:val="000000"/>
                <w:spacing w:val="-2"/>
                <w:kern w:val="0"/>
                <w:szCs w:val="21"/>
              </w:rPr>
            </w:pPr>
            <w:r>
              <w:rPr>
                <w:rFonts w:eastAsia="仿宋_GB2312"/>
                <w:color w:val="000000"/>
                <w:spacing w:val="-2"/>
                <w:kern w:val="0"/>
                <w:szCs w:val="21"/>
              </w:rPr>
              <w:t xml:space="preserve"> </w:t>
            </w:r>
          </w:p>
          <w:p>
            <w:pPr>
              <w:adjustRightInd w:val="0"/>
              <w:snapToGrid w:val="0"/>
              <w:ind w:firstLine="103" w:firstLineChars="50"/>
              <w:jc w:val="center"/>
              <w:rPr>
                <w:rFonts w:eastAsia="仿宋_GB2312"/>
                <w:color w:val="000000"/>
                <w:spacing w:val="-2"/>
                <w:kern w:val="0"/>
                <w:szCs w:val="21"/>
              </w:rPr>
            </w:pPr>
            <w:r>
              <w:rPr>
                <w:rFonts w:hint="eastAsia" w:eastAsia="仿宋_GB2312"/>
                <w:color w:val="000000"/>
                <w:spacing w:val="-2"/>
                <w:kern w:val="0"/>
                <w:szCs w:val="21"/>
              </w:rPr>
              <w:t>抽查工程实体质量</w:t>
            </w:r>
          </w:p>
          <w:p>
            <w:pPr>
              <w:adjustRightInd w:val="0"/>
              <w:snapToGrid w:val="0"/>
              <w:ind w:firstLine="103" w:firstLineChars="5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45</w:t>
            </w:r>
            <w:r>
              <w:rPr>
                <w:rFonts w:hint="eastAsia" w:eastAsia="仿宋_GB2312"/>
                <w:color w:val="000000"/>
                <w:spacing w:val="-2"/>
                <w:kern w:val="0"/>
                <w:szCs w:val="21"/>
              </w:rPr>
              <w:t>分）</w:t>
            </w:r>
          </w:p>
        </w:tc>
        <w:tc>
          <w:tcPr>
            <w:tcW w:w="172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违反强制性条文的一处扣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54" w:type="dxa"/>
            <w:vMerge w:val="restart"/>
            <w:tcBorders>
              <w:top w:val="single" w:color="auto" w:sz="4" w:space="0"/>
              <w:left w:val="nil"/>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794" w:hRule="atLeast"/>
          <w:jc w:val="center"/>
        </w:trPr>
        <w:tc>
          <w:tcPr>
            <w:tcW w:w="51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0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gridSpan w:val="2"/>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2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违反强制性标准的一处扣</w:t>
            </w:r>
            <w:r>
              <w:rPr>
                <w:rFonts w:eastAsia="仿宋_GB2312"/>
                <w:color w:val="000000"/>
                <w:spacing w:val="-2"/>
                <w:kern w:val="0"/>
                <w:szCs w:val="21"/>
              </w:rPr>
              <w:t>2</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54" w:type="dxa"/>
            <w:vMerge w:val="continue"/>
            <w:tcBorders>
              <w:top w:val="single" w:color="auto" w:sz="4" w:space="0"/>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05" w:hRule="atLeast"/>
          <w:jc w:val="center"/>
        </w:trPr>
        <w:tc>
          <w:tcPr>
            <w:tcW w:w="51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0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gridSpan w:val="2"/>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2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观感质量较差的扣</w:t>
            </w:r>
            <w:r>
              <w:rPr>
                <w:rFonts w:eastAsia="仿宋_GB2312"/>
                <w:color w:val="000000"/>
                <w:spacing w:val="-2"/>
                <w:kern w:val="0"/>
                <w:szCs w:val="21"/>
              </w:rPr>
              <w:t>1—25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54" w:type="dxa"/>
            <w:vMerge w:val="continue"/>
            <w:tcBorders>
              <w:top w:val="single" w:color="auto" w:sz="4" w:space="0"/>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705" w:hRule="atLeast"/>
          <w:jc w:val="center"/>
        </w:trPr>
        <w:tc>
          <w:tcPr>
            <w:tcW w:w="51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0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gridSpan w:val="2"/>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2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其它质量问题扣</w:t>
            </w:r>
            <w:r>
              <w:rPr>
                <w:rFonts w:eastAsia="仿宋_GB2312"/>
                <w:color w:val="000000"/>
                <w:spacing w:val="-2"/>
                <w:kern w:val="0"/>
                <w:szCs w:val="21"/>
              </w:rPr>
              <w:t>1—5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54" w:type="dxa"/>
            <w:vMerge w:val="continue"/>
            <w:tcBorders>
              <w:top w:val="single" w:color="auto" w:sz="4" w:space="0"/>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540" w:hRule="atLeast"/>
          <w:jc w:val="center"/>
        </w:trPr>
        <w:tc>
          <w:tcPr>
            <w:tcW w:w="516"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208"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创优治劣情况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3060" w:type="dxa"/>
            <w:gridSpan w:val="2"/>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根据创优申报落实专项施工方案及现场实施情况</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10</w:t>
            </w:r>
            <w:r>
              <w:rPr>
                <w:rFonts w:hint="eastAsia" w:eastAsia="仿宋_GB2312"/>
                <w:color w:val="000000"/>
                <w:spacing w:val="-2"/>
                <w:kern w:val="0"/>
                <w:szCs w:val="21"/>
              </w:rPr>
              <w:t>分）</w:t>
            </w:r>
          </w:p>
        </w:tc>
        <w:tc>
          <w:tcPr>
            <w:tcW w:w="1728" w:type="dxa"/>
            <w:gridSpan w:val="2"/>
            <w:tcBorders>
              <w:top w:val="nil"/>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未制定创优方案扣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restart"/>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54" w:type="dxa"/>
            <w:vMerge w:val="restart"/>
            <w:tcBorders>
              <w:top w:val="single" w:color="auto" w:sz="4" w:space="0"/>
              <w:left w:val="nil"/>
              <w:bottom w:val="single" w:color="auto" w:sz="4"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r>
        <w:tblPrEx>
          <w:tblCellMar>
            <w:top w:w="0" w:type="dxa"/>
            <w:left w:w="108" w:type="dxa"/>
            <w:bottom w:w="0" w:type="dxa"/>
            <w:right w:w="108" w:type="dxa"/>
          </w:tblCellMar>
        </w:tblPrEx>
        <w:trPr>
          <w:trHeight w:val="540" w:hRule="atLeast"/>
          <w:jc w:val="center"/>
        </w:trPr>
        <w:tc>
          <w:tcPr>
            <w:tcW w:w="516"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208"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060" w:type="dxa"/>
            <w:gridSpan w:val="2"/>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728" w:type="dxa"/>
            <w:gridSpan w:val="2"/>
            <w:tcBorders>
              <w:top w:val="single" w:color="auto" w:sz="4" w:space="0"/>
              <w:left w:val="nil"/>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未按创优专项方案落实施工扣</w:t>
            </w:r>
            <w:r>
              <w:rPr>
                <w:rFonts w:eastAsia="仿宋_GB2312"/>
                <w:color w:val="000000"/>
                <w:spacing w:val="-2"/>
                <w:kern w:val="0"/>
                <w:szCs w:val="21"/>
              </w:rPr>
              <w:t>5</w:t>
            </w:r>
            <w:r>
              <w:rPr>
                <w:rFonts w:hint="eastAsia" w:eastAsia="仿宋_GB2312"/>
                <w:color w:val="000000"/>
                <w:spacing w:val="-2"/>
                <w:kern w:val="0"/>
                <w:szCs w:val="21"/>
              </w:rPr>
              <w:t>分</w:t>
            </w:r>
          </w:p>
        </w:tc>
        <w:tc>
          <w:tcPr>
            <w:tcW w:w="720" w:type="dxa"/>
            <w:tcBorders>
              <w:top w:val="single" w:color="auto" w:sz="4" w:space="0"/>
              <w:left w:val="nil"/>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vMerge w:val="continue"/>
            <w:tcBorders>
              <w:top w:val="single" w:color="auto" w:sz="4" w:space="0"/>
              <w:left w:val="nil"/>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1154" w:type="dxa"/>
            <w:vMerge w:val="continue"/>
            <w:tcBorders>
              <w:top w:val="single" w:color="auto" w:sz="4" w:space="0"/>
              <w:left w:val="nil"/>
              <w:bottom w:val="single" w:color="auto" w:sz="4" w:space="0"/>
              <w:right w:val="single" w:color="auto" w:sz="8" w:space="0"/>
            </w:tcBorders>
            <w:noWrap w:val="0"/>
            <w:vAlign w:val="center"/>
          </w:tcPr>
          <w:p>
            <w:pPr>
              <w:widowControl/>
              <w:jc w:val="left"/>
              <w:rPr>
                <w:rFonts w:eastAsia="仿宋_GB2312"/>
                <w:color w:val="000000"/>
                <w:spacing w:val="-2"/>
                <w:kern w:val="0"/>
                <w:szCs w:val="21"/>
              </w:rPr>
            </w:pPr>
          </w:p>
        </w:tc>
      </w:tr>
      <w:tr>
        <w:tblPrEx>
          <w:tblCellMar>
            <w:top w:w="0" w:type="dxa"/>
            <w:left w:w="108" w:type="dxa"/>
            <w:bottom w:w="0" w:type="dxa"/>
            <w:right w:w="108" w:type="dxa"/>
          </w:tblCellMar>
        </w:tblPrEx>
        <w:trPr>
          <w:trHeight w:val="660" w:hRule="atLeast"/>
          <w:jc w:val="center"/>
        </w:trPr>
        <w:tc>
          <w:tcPr>
            <w:tcW w:w="2345" w:type="dxa"/>
            <w:gridSpan w:val="3"/>
            <w:tcBorders>
              <w:top w:val="single" w:color="auto" w:sz="4" w:space="0"/>
              <w:left w:val="single" w:color="auto" w:sz="8"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检查人签字：</w:t>
            </w:r>
          </w:p>
        </w:tc>
        <w:tc>
          <w:tcPr>
            <w:tcW w:w="2840" w:type="dxa"/>
            <w:gridSpan w:val="2"/>
            <w:tcBorders>
              <w:top w:val="single" w:color="auto" w:sz="4" w:space="0"/>
              <w:left w:val="single" w:color="auto" w:sz="4"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被检查单位签字：</w:t>
            </w:r>
          </w:p>
        </w:tc>
        <w:tc>
          <w:tcPr>
            <w:tcW w:w="1327"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得分扣分情况</w:t>
            </w:r>
          </w:p>
        </w:tc>
        <w:tc>
          <w:tcPr>
            <w:tcW w:w="720" w:type="dxa"/>
            <w:tcBorders>
              <w:top w:val="nil"/>
              <w:left w:val="nil"/>
              <w:bottom w:val="single" w:color="auto" w:sz="8"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720" w:type="dxa"/>
            <w:tcBorders>
              <w:top w:val="nil"/>
              <w:left w:val="nil"/>
              <w:bottom w:val="single" w:color="auto" w:sz="8" w:space="0"/>
              <w:right w:val="single" w:color="auto" w:sz="4" w:space="0"/>
            </w:tcBorders>
            <w:noWrap w:val="0"/>
            <w:vAlign w:val="center"/>
          </w:tcPr>
          <w:p>
            <w:pPr>
              <w:adjustRightInd w:val="0"/>
              <w:snapToGrid w:val="0"/>
              <w:jc w:val="center"/>
              <w:rPr>
                <w:rFonts w:eastAsia="仿宋_GB2312"/>
                <w:color w:val="000000"/>
                <w:spacing w:val="-2"/>
                <w:kern w:val="0"/>
                <w:szCs w:val="21"/>
              </w:rPr>
            </w:pPr>
          </w:p>
        </w:tc>
        <w:tc>
          <w:tcPr>
            <w:tcW w:w="1154" w:type="dxa"/>
            <w:tcBorders>
              <w:top w:val="nil"/>
              <w:left w:val="nil"/>
              <w:bottom w:val="single" w:color="auto" w:sz="8" w:space="0"/>
              <w:right w:val="single" w:color="auto" w:sz="8" w:space="0"/>
            </w:tcBorders>
            <w:noWrap w:val="0"/>
            <w:vAlign w:val="center"/>
          </w:tcPr>
          <w:p>
            <w:pPr>
              <w:adjustRightInd w:val="0"/>
              <w:snapToGrid w:val="0"/>
              <w:jc w:val="center"/>
              <w:rPr>
                <w:rFonts w:eastAsia="仿宋_GB2312"/>
                <w:color w:val="000000"/>
                <w:spacing w:val="-2"/>
                <w:kern w:val="0"/>
                <w:szCs w:val="21"/>
              </w:rPr>
            </w:pPr>
          </w:p>
        </w:tc>
      </w:tr>
    </w:tbl>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p>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br w:type="column"/>
      </w:r>
      <w:r>
        <w:rPr>
          <w:rFonts w:hint="eastAsia" w:ascii="Times New Roman" w:hAnsi="Times New Roman" w:eastAsia="方正黑体_GBK"/>
          <w:bCs/>
          <w:color w:val="000000"/>
          <w:spacing w:val="-2"/>
          <w:sz w:val="28"/>
          <w:szCs w:val="28"/>
        </w:rPr>
        <w:t>建筑市场综合考核用表之五（安全生产文明施工一）</w:t>
      </w:r>
    </w:p>
    <w:p>
      <w:pPr>
        <w:adjustRightInd w:val="0"/>
        <w:snapToGrid w:val="0"/>
        <w:spacing w:line="570" w:lineRule="exact"/>
        <w:ind w:firstLine="118" w:firstLineChars="50"/>
        <w:jc w:val="left"/>
        <w:rPr>
          <w:rFonts w:hint="eastAsia" w:ascii="Times New Roman" w:hAnsi="Times New Roman" w:eastAsia="仿宋_GB2312"/>
          <w:bCs/>
          <w:color w:val="000000"/>
          <w:spacing w:val="-2"/>
          <w:kern w:val="0"/>
          <w:sz w:val="24"/>
        </w:rPr>
      </w:pPr>
      <w:r>
        <w:rPr>
          <w:rFonts w:hint="eastAsia" w:ascii="Times New Roman" w:hAnsi="Times New Roman" w:eastAsia="仿宋_GB2312"/>
          <w:bCs/>
          <w:color w:val="000000"/>
          <w:spacing w:val="-2"/>
          <w:kern w:val="0"/>
          <w:sz w:val="24"/>
        </w:rPr>
        <w:t>项目编号：                                   检查日期：</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78"/>
        <w:gridCol w:w="1944"/>
        <w:gridCol w:w="2643"/>
        <w:gridCol w:w="1398"/>
        <w:gridCol w:w="688"/>
        <w:gridCol w:w="764"/>
        <w:gridCol w:w="107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9185" w:type="dxa"/>
            <w:gridSpan w:val="7"/>
            <w:tcBorders>
              <w:top w:val="single" w:color="auto" w:sz="8" w:space="0"/>
              <w:left w:val="single" w:color="auto" w:sz="8" w:space="0"/>
              <w:bottom w:val="single" w:color="auto" w:sz="4" w:space="0"/>
              <w:right w:val="single" w:color="auto" w:sz="8" w:space="0"/>
            </w:tcBorders>
            <w:noWrap w:val="0"/>
            <w:vAlign w:val="center"/>
          </w:tcPr>
          <w:p>
            <w:pPr>
              <w:adjustRightInd w:val="0"/>
              <w:snapToGrid w:val="0"/>
              <w:rPr>
                <w:rFonts w:eastAsia="仿宋_GB2312"/>
                <w:b/>
                <w:bCs/>
                <w:color w:val="000000"/>
                <w:spacing w:val="-2"/>
                <w:kern w:val="0"/>
                <w:szCs w:val="21"/>
              </w:rPr>
            </w:pPr>
            <w:r>
              <w:rPr>
                <w:rFonts w:hint="eastAsia" w:eastAsia="仿宋_GB2312"/>
                <w:b/>
                <w:bCs/>
                <w:color w:val="000000"/>
                <w:spacing w:val="-2"/>
                <w:kern w:val="0"/>
                <w:szCs w:val="21"/>
              </w:rPr>
              <w:t>（建设单位</w:t>
            </w:r>
            <w:r>
              <w:rPr>
                <w:rFonts w:eastAsia="仿宋_GB2312"/>
                <w:b/>
                <w:bCs/>
                <w:color w:val="000000"/>
                <w:spacing w:val="-2"/>
                <w:kern w:val="0"/>
                <w:szCs w:val="21"/>
              </w:rPr>
              <w:t>100</w:t>
            </w:r>
            <w:r>
              <w:rPr>
                <w:rFonts w:hint="eastAsia" w:eastAsia="仿宋_GB2312"/>
                <w:b/>
                <w:bCs/>
                <w:color w:val="000000"/>
                <w:spacing w:val="-2"/>
                <w:kern w:val="0"/>
                <w:szCs w:val="21"/>
              </w:rPr>
              <w:t>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78"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序号</w:t>
            </w:r>
          </w:p>
        </w:tc>
        <w:tc>
          <w:tcPr>
            <w:tcW w:w="194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检查项目</w:t>
            </w:r>
          </w:p>
        </w:tc>
        <w:tc>
          <w:tcPr>
            <w:tcW w:w="4041"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检查情况及扣分办法</w:t>
            </w:r>
          </w:p>
        </w:tc>
        <w:tc>
          <w:tcPr>
            <w:tcW w:w="68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w:t>
            </w:r>
          </w:p>
        </w:tc>
        <w:tc>
          <w:tcPr>
            <w:tcW w:w="76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得分</w:t>
            </w:r>
          </w:p>
        </w:tc>
        <w:tc>
          <w:tcPr>
            <w:tcW w:w="107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扣分原因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45" w:hRule="atLeast"/>
          <w:jc w:val="center"/>
        </w:trPr>
        <w:tc>
          <w:tcPr>
            <w:tcW w:w="678"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1</w:t>
            </w:r>
          </w:p>
        </w:tc>
        <w:tc>
          <w:tcPr>
            <w:tcW w:w="194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提供工程相关资料（</w:t>
            </w:r>
            <w:r>
              <w:rPr>
                <w:rFonts w:eastAsia="仿宋_GB2312"/>
                <w:color w:val="000000"/>
                <w:spacing w:val="-2"/>
                <w:kern w:val="0"/>
                <w:szCs w:val="21"/>
              </w:rPr>
              <w:t>10</w:t>
            </w:r>
            <w:r>
              <w:rPr>
                <w:rFonts w:hint="eastAsia" w:eastAsia="仿宋_GB2312"/>
                <w:color w:val="000000"/>
                <w:spacing w:val="-2"/>
                <w:kern w:val="0"/>
                <w:szCs w:val="21"/>
              </w:rPr>
              <w:t>分）</w:t>
            </w:r>
          </w:p>
        </w:tc>
        <w:tc>
          <w:tcPr>
            <w:tcW w:w="4041"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未提供施工现场及毗邻区域地下管线等有关资料扣</w:t>
            </w:r>
            <w:r>
              <w:rPr>
                <w:rFonts w:eastAsia="仿宋_GB2312"/>
                <w:color w:val="000000"/>
                <w:spacing w:val="-2"/>
                <w:kern w:val="0"/>
                <w:szCs w:val="21"/>
              </w:rPr>
              <w:t>10</w:t>
            </w:r>
            <w:r>
              <w:rPr>
                <w:rFonts w:hint="eastAsia" w:eastAsia="仿宋_GB2312"/>
                <w:color w:val="000000"/>
                <w:spacing w:val="-2"/>
                <w:kern w:val="0"/>
                <w:szCs w:val="21"/>
              </w:rPr>
              <w:t>分。</w:t>
            </w:r>
          </w:p>
        </w:tc>
        <w:tc>
          <w:tcPr>
            <w:tcW w:w="68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76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107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44" w:hRule="atLeast"/>
          <w:jc w:val="center"/>
        </w:trPr>
        <w:tc>
          <w:tcPr>
            <w:tcW w:w="678"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2</w:t>
            </w:r>
          </w:p>
        </w:tc>
        <w:tc>
          <w:tcPr>
            <w:tcW w:w="194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落实安全技术措施（</w:t>
            </w:r>
            <w:r>
              <w:rPr>
                <w:rFonts w:eastAsia="仿宋_GB2312"/>
                <w:color w:val="000000"/>
                <w:spacing w:val="-2"/>
                <w:kern w:val="0"/>
                <w:szCs w:val="21"/>
              </w:rPr>
              <w:t>15</w:t>
            </w:r>
            <w:r>
              <w:rPr>
                <w:rFonts w:hint="eastAsia" w:eastAsia="仿宋_GB2312"/>
                <w:color w:val="000000"/>
                <w:spacing w:val="-2"/>
                <w:kern w:val="0"/>
                <w:szCs w:val="21"/>
              </w:rPr>
              <w:t>分）</w:t>
            </w:r>
          </w:p>
        </w:tc>
        <w:tc>
          <w:tcPr>
            <w:tcW w:w="4041"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未落实安全技术措施，强令施工单位赶工期现象的扣</w:t>
            </w:r>
            <w:r>
              <w:rPr>
                <w:rFonts w:eastAsia="仿宋_GB2312"/>
                <w:color w:val="000000"/>
                <w:spacing w:val="-2"/>
                <w:kern w:val="0"/>
                <w:szCs w:val="21"/>
              </w:rPr>
              <w:t>5</w:t>
            </w:r>
            <w:r>
              <w:rPr>
                <w:rFonts w:hint="eastAsia" w:eastAsia="仿宋_GB2312"/>
                <w:color w:val="000000"/>
                <w:spacing w:val="-2"/>
                <w:kern w:val="0"/>
                <w:szCs w:val="21"/>
              </w:rPr>
              <w:t>分。</w:t>
            </w:r>
          </w:p>
          <w:p>
            <w:pPr>
              <w:adjustRightInd w:val="0"/>
              <w:snapToGrid w:val="0"/>
              <w:rPr>
                <w:rFonts w:eastAsia="仿宋_GB2312"/>
                <w:color w:val="000000"/>
                <w:spacing w:val="-2"/>
                <w:kern w:val="0"/>
                <w:szCs w:val="21"/>
              </w:rPr>
            </w:pPr>
            <w:r>
              <w:rPr>
                <w:rFonts w:hint="eastAsia" w:eastAsia="仿宋_GB2312"/>
                <w:color w:val="000000"/>
                <w:spacing w:val="-2"/>
                <w:kern w:val="0"/>
                <w:szCs w:val="21"/>
              </w:rPr>
              <w:t>未采纳设计等单位提出的保证安全措施的意见及建议的扣</w:t>
            </w:r>
            <w:r>
              <w:rPr>
                <w:rFonts w:eastAsia="仿宋_GB2312"/>
                <w:color w:val="000000"/>
                <w:spacing w:val="-2"/>
                <w:kern w:val="0"/>
                <w:szCs w:val="21"/>
              </w:rPr>
              <w:t>5</w:t>
            </w:r>
            <w:r>
              <w:rPr>
                <w:rFonts w:hint="eastAsia" w:eastAsia="仿宋_GB2312"/>
                <w:color w:val="000000"/>
                <w:spacing w:val="-2"/>
                <w:kern w:val="0"/>
                <w:szCs w:val="21"/>
              </w:rPr>
              <w:t>分。</w:t>
            </w:r>
          </w:p>
          <w:p>
            <w:pPr>
              <w:adjustRightInd w:val="0"/>
              <w:snapToGrid w:val="0"/>
              <w:rPr>
                <w:rFonts w:eastAsia="仿宋_GB2312"/>
                <w:color w:val="000000"/>
                <w:spacing w:val="-2"/>
                <w:kern w:val="0"/>
                <w:szCs w:val="21"/>
              </w:rPr>
            </w:pPr>
            <w:r>
              <w:rPr>
                <w:rFonts w:hint="eastAsia" w:eastAsia="仿宋_GB2312"/>
                <w:color w:val="000000"/>
                <w:spacing w:val="-2"/>
                <w:kern w:val="0"/>
                <w:szCs w:val="21"/>
              </w:rPr>
              <w:t>有明示或暗示施工单位购买、租赁、使用不符合安全施工要求的防护用具、机械设备等行为的扣</w:t>
            </w:r>
            <w:r>
              <w:rPr>
                <w:rFonts w:eastAsia="仿宋_GB2312"/>
                <w:color w:val="000000"/>
                <w:spacing w:val="-2"/>
                <w:kern w:val="0"/>
                <w:szCs w:val="21"/>
              </w:rPr>
              <w:t>5</w:t>
            </w:r>
            <w:r>
              <w:rPr>
                <w:rFonts w:hint="eastAsia" w:eastAsia="仿宋_GB2312"/>
                <w:color w:val="000000"/>
                <w:spacing w:val="-2"/>
                <w:kern w:val="0"/>
                <w:szCs w:val="21"/>
              </w:rPr>
              <w:t>分。</w:t>
            </w:r>
          </w:p>
        </w:tc>
        <w:tc>
          <w:tcPr>
            <w:tcW w:w="68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76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107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678"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3</w:t>
            </w:r>
          </w:p>
        </w:tc>
        <w:tc>
          <w:tcPr>
            <w:tcW w:w="194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履行安全职责</w:t>
            </w:r>
            <w:r>
              <w:rPr>
                <w:rFonts w:eastAsia="仿宋_GB2312"/>
                <w:color w:val="000000"/>
                <w:spacing w:val="-2"/>
                <w:kern w:val="0"/>
                <w:szCs w:val="21"/>
              </w:rPr>
              <w:t xml:space="preserve">            </w:t>
            </w: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4041"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未在超过一定规模危险性较大分部分项工程专家论证报告中签注意见并落实措施的扣</w:t>
            </w:r>
            <w:r>
              <w:rPr>
                <w:rFonts w:eastAsia="仿宋_GB2312"/>
                <w:color w:val="000000"/>
                <w:spacing w:val="-2"/>
                <w:kern w:val="0"/>
                <w:szCs w:val="21"/>
              </w:rPr>
              <w:t>10</w:t>
            </w:r>
            <w:r>
              <w:rPr>
                <w:rFonts w:hint="eastAsia" w:eastAsia="仿宋_GB2312"/>
                <w:color w:val="000000"/>
                <w:spacing w:val="-2"/>
                <w:kern w:val="0"/>
                <w:szCs w:val="21"/>
              </w:rPr>
              <w:t>分；未组织签订施工单位之间安全生产管理协议的扣</w:t>
            </w:r>
            <w:r>
              <w:rPr>
                <w:rFonts w:eastAsia="仿宋_GB2312"/>
                <w:color w:val="000000"/>
                <w:spacing w:val="-2"/>
                <w:kern w:val="0"/>
                <w:szCs w:val="21"/>
              </w:rPr>
              <w:t>10</w:t>
            </w:r>
            <w:r>
              <w:rPr>
                <w:rFonts w:hint="eastAsia" w:eastAsia="仿宋_GB2312"/>
                <w:color w:val="000000"/>
                <w:spacing w:val="-2"/>
                <w:kern w:val="0"/>
                <w:szCs w:val="21"/>
              </w:rPr>
              <w:t>分。</w:t>
            </w:r>
          </w:p>
        </w:tc>
        <w:tc>
          <w:tcPr>
            <w:tcW w:w="68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76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107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p>
            <w:pPr>
              <w:adjustRightInd w:val="0"/>
              <w:snapToGrid w:val="0"/>
              <w:rPr>
                <w:rFonts w:eastAsia="仿宋_GB2312"/>
                <w:color w:val="000000"/>
                <w:spacing w:val="-2"/>
                <w:kern w:val="0"/>
                <w:szCs w:val="21"/>
              </w:rPr>
            </w:pPr>
            <w:r>
              <w:rPr>
                <w:rFonts w:eastAsia="仿宋_GB2312"/>
                <w:color w:val="000000"/>
                <w:spacing w:val="-2"/>
                <w:kern w:val="0"/>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0" w:hRule="atLeast"/>
          <w:jc w:val="center"/>
        </w:trPr>
        <w:tc>
          <w:tcPr>
            <w:tcW w:w="678"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4</w:t>
            </w:r>
          </w:p>
        </w:tc>
        <w:tc>
          <w:tcPr>
            <w:tcW w:w="194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现场施工基本条件（</w:t>
            </w:r>
            <w:r>
              <w:rPr>
                <w:rFonts w:eastAsia="仿宋_GB2312"/>
                <w:color w:val="000000"/>
                <w:spacing w:val="-2"/>
                <w:kern w:val="0"/>
                <w:szCs w:val="21"/>
              </w:rPr>
              <w:t>15</w:t>
            </w:r>
            <w:r>
              <w:rPr>
                <w:rFonts w:hint="eastAsia" w:eastAsia="仿宋_GB2312"/>
                <w:color w:val="000000"/>
                <w:spacing w:val="-2"/>
                <w:kern w:val="0"/>
                <w:szCs w:val="21"/>
              </w:rPr>
              <w:t>分）</w:t>
            </w:r>
          </w:p>
        </w:tc>
        <w:tc>
          <w:tcPr>
            <w:tcW w:w="4041"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eastAsia="仿宋_GB2312"/>
                <w:color w:val="000000"/>
                <w:spacing w:val="-2"/>
                <w:kern w:val="0"/>
                <w:szCs w:val="21"/>
              </w:rPr>
              <w:t>“</w:t>
            </w:r>
            <w:r>
              <w:rPr>
                <w:rFonts w:hint="eastAsia" w:eastAsia="仿宋_GB2312"/>
                <w:color w:val="000000"/>
                <w:spacing w:val="-2"/>
                <w:kern w:val="0"/>
                <w:szCs w:val="21"/>
              </w:rPr>
              <w:t>三通一平</w:t>
            </w:r>
            <w:r>
              <w:rPr>
                <w:rFonts w:eastAsia="仿宋_GB2312"/>
                <w:color w:val="000000"/>
                <w:spacing w:val="-2"/>
                <w:kern w:val="0"/>
                <w:szCs w:val="21"/>
              </w:rPr>
              <w:t>”</w:t>
            </w:r>
            <w:r>
              <w:rPr>
                <w:rFonts w:hint="eastAsia" w:eastAsia="仿宋_GB2312"/>
                <w:color w:val="000000"/>
                <w:spacing w:val="-2"/>
                <w:kern w:val="0"/>
                <w:szCs w:val="21"/>
              </w:rPr>
              <w:t>等不符合施工条件扣</w:t>
            </w:r>
            <w:r>
              <w:rPr>
                <w:rFonts w:eastAsia="仿宋_GB2312"/>
                <w:color w:val="000000"/>
                <w:spacing w:val="-2"/>
                <w:kern w:val="0"/>
                <w:szCs w:val="21"/>
              </w:rPr>
              <w:t>15</w:t>
            </w:r>
            <w:r>
              <w:rPr>
                <w:rFonts w:hint="eastAsia" w:eastAsia="仿宋_GB2312"/>
                <w:color w:val="000000"/>
                <w:spacing w:val="-2"/>
                <w:kern w:val="0"/>
                <w:szCs w:val="21"/>
              </w:rPr>
              <w:t>分。</w:t>
            </w:r>
          </w:p>
        </w:tc>
        <w:tc>
          <w:tcPr>
            <w:tcW w:w="68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76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107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0" w:hRule="atLeast"/>
          <w:jc w:val="center"/>
        </w:trPr>
        <w:tc>
          <w:tcPr>
            <w:tcW w:w="678"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5</w:t>
            </w:r>
          </w:p>
        </w:tc>
        <w:tc>
          <w:tcPr>
            <w:tcW w:w="194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文明工地长效管理</w:t>
            </w:r>
            <w:r>
              <w:rPr>
                <w:rFonts w:eastAsia="仿宋_GB2312"/>
                <w:color w:val="000000"/>
                <w:spacing w:val="-2"/>
                <w:kern w:val="0"/>
                <w:szCs w:val="21"/>
              </w:rPr>
              <w:t xml:space="preserve">            </w:t>
            </w: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4041"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未按要求设置围挡扣</w:t>
            </w:r>
            <w:r>
              <w:rPr>
                <w:rFonts w:eastAsia="仿宋_GB2312"/>
                <w:color w:val="000000"/>
                <w:spacing w:val="-2"/>
                <w:kern w:val="0"/>
                <w:szCs w:val="21"/>
              </w:rPr>
              <w:t>10</w:t>
            </w:r>
            <w:r>
              <w:rPr>
                <w:rFonts w:hint="eastAsia" w:eastAsia="仿宋_GB2312"/>
                <w:color w:val="000000"/>
                <w:spacing w:val="-2"/>
                <w:kern w:val="0"/>
                <w:szCs w:val="21"/>
              </w:rPr>
              <w:t>分；未按要求设置冲洗台扣</w:t>
            </w:r>
            <w:r>
              <w:rPr>
                <w:rFonts w:eastAsia="仿宋_GB2312"/>
                <w:color w:val="000000"/>
                <w:spacing w:val="-2"/>
                <w:kern w:val="0"/>
                <w:szCs w:val="21"/>
              </w:rPr>
              <w:t>10</w:t>
            </w:r>
            <w:r>
              <w:rPr>
                <w:rFonts w:hint="eastAsia" w:eastAsia="仿宋_GB2312"/>
                <w:color w:val="000000"/>
                <w:spacing w:val="-2"/>
                <w:kern w:val="0"/>
                <w:szCs w:val="21"/>
              </w:rPr>
              <w:t>分；未按要求设置沉淀池、排水沟扣</w:t>
            </w:r>
            <w:r>
              <w:rPr>
                <w:rFonts w:eastAsia="仿宋_GB2312"/>
                <w:color w:val="000000"/>
                <w:spacing w:val="-2"/>
                <w:kern w:val="0"/>
                <w:szCs w:val="21"/>
              </w:rPr>
              <w:t>10</w:t>
            </w:r>
            <w:r>
              <w:rPr>
                <w:rFonts w:hint="eastAsia" w:eastAsia="仿宋_GB2312"/>
                <w:color w:val="000000"/>
                <w:spacing w:val="-2"/>
                <w:kern w:val="0"/>
                <w:szCs w:val="21"/>
              </w:rPr>
              <w:t>分。</w:t>
            </w:r>
          </w:p>
        </w:tc>
        <w:tc>
          <w:tcPr>
            <w:tcW w:w="68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76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107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31" w:hRule="atLeast"/>
          <w:jc w:val="center"/>
        </w:trPr>
        <w:tc>
          <w:tcPr>
            <w:tcW w:w="678"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eastAsia="仿宋_GB2312"/>
                <w:color w:val="000000"/>
                <w:spacing w:val="-2"/>
                <w:kern w:val="0"/>
                <w:szCs w:val="21"/>
              </w:rPr>
              <w:t>6</w:t>
            </w:r>
          </w:p>
        </w:tc>
        <w:tc>
          <w:tcPr>
            <w:tcW w:w="194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扬尘控制</w:t>
            </w:r>
          </w:p>
          <w:p>
            <w:pPr>
              <w:adjustRightInd w:val="0"/>
              <w:snapToGrid w:val="0"/>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4041"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文明施工及长效管理无相应措施扣</w:t>
            </w:r>
            <w:r>
              <w:rPr>
                <w:rFonts w:eastAsia="仿宋_GB2312"/>
                <w:color w:val="000000"/>
                <w:spacing w:val="-2"/>
                <w:kern w:val="0"/>
                <w:szCs w:val="21"/>
              </w:rPr>
              <w:t>10</w:t>
            </w:r>
            <w:r>
              <w:rPr>
                <w:rFonts w:hint="eastAsia" w:eastAsia="仿宋_GB2312"/>
                <w:color w:val="000000"/>
                <w:spacing w:val="-2"/>
                <w:kern w:val="0"/>
                <w:szCs w:val="21"/>
              </w:rPr>
              <w:t>分；施工现场土方等进出场污染城市道路扣</w:t>
            </w:r>
            <w:r>
              <w:rPr>
                <w:rFonts w:eastAsia="仿宋_GB2312"/>
                <w:color w:val="000000"/>
                <w:spacing w:val="-2"/>
                <w:kern w:val="0"/>
                <w:szCs w:val="21"/>
              </w:rPr>
              <w:t>10</w:t>
            </w:r>
            <w:r>
              <w:rPr>
                <w:rFonts w:hint="eastAsia" w:eastAsia="仿宋_GB2312"/>
                <w:color w:val="000000"/>
                <w:spacing w:val="-2"/>
                <w:kern w:val="0"/>
                <w:szCs w:val="21"/>
              </w:rPr>
              <w:t>分；施工场地土方裸露，未采取防尘措施扣</w:t>
            </w:r>
            <w:r>
              <w:rPr>
                <w:rFonts w:eastAsia="仿宋_GB2312"/>
                <w:color w:val="000000"/>
                <w:spacing w:val="-2"/>
                <w:kern w:val="0"/>
                <w:szCs w:val="21"/>
              </w:rPr>
              <w:t>10</w:t>
            </w:r>
            <w:r>
              <w:rPr>
                <w:rFonts w:hint="eastAsia" w:eastAsia="仿宋_GB2312"/>
                <w:color w:val="000000"/>
                <w:spacing w:val="-2"/>
                <w:kern w:val="0"/>
                <w:szCs w:val="21"/>
              </w:rPr>
              <w:t>分</w:t>
            </w:r>
          </w:p>
        </w:tc>
        <w:tc>
          <w:tcPr>
            <w:tcW w:w="688"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76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107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0" w:hRule="atLeast"/>
          <w:jc w:val="center"/>
        </w:trPr>
        <w:tc>
          <w:tcPr>
            <w:tcW w:w="2622" w:type="dxa"/>
            <w:gridSpan w:val="2"/>
            <w:tcBorders>
              <w:top w:val="single" w:color="auto" w:sz="4" w:space="0"/>
              <w:left w:val="single" w:color="auto" w:sz="8"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检查人签字：</w:t>
            </w:r>
          </w:p>
        </w:tc>
        <w:tc>
          <w:tcPr>
            <w:tcW w:w="2643"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被检查单位签字：</w:t>
            </w:r>
            <w:r>
              <w:rPr>
                <w:rFonts w:eastAsia="仿宋_GB2312"/>
                <w:color w:val="000000"/>
                <w:spacing w:val="-2"/>
                <w:kern w:val="0"/>
                <w:szCs w:val="21"/>
              </w:rPr>
              <w:t xml:space="preserve">                                     </w:t>
            </w:r>
          </w:p>
        </w:tc>
        <w:tc>
          <w:tcPr>
            <w:tcW w:w="1398"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得扣分情况</w:t>
            </w:r>
          </w:p>
        </w:tc>
        <w:tc>
          <w:tcPr>
            <w:tcW w:w="688"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764"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c>
          <w:tcPr>
            <w:tcW w:w="1070" w:type="dxa"/>
            <w:tcBorders>
              <w:top w:val="single" w:color="auto" w:sz="4" w:space="0"/>
              <w:left w:val="single" w:color="auto" w:sz="4" w:space="0"/>
              <w:bottom w:val="single" w:color="auto" w:sz="8" w:space="0"/>
              <w:right w:val="single" w:color="auto" w:sz="8" w:space="0"/>
            </w:tcBorders>
            <w:noWrap w:val="0"/>
            <w:vAlign w:val="center"/>
          </w:tcPr>
          <w:p>
            <w:pPr>
              <w:adjustRightInd w:val="0"/>
              <w:snapToGrid w:val="0"/>
              <w:rPr>
                <w:rFonts w:eastAsia="仿宋_GB2312"/>
                <w:color w:val="000000"/>
                <w:spacing w:val="-2"/>
                <w:kern w:val="0"/>
                <w:szCs w:val="21"/>
              </w:rPr>
            </w:pPr>
            <w:r>
              <w:rPr>
                <w:rFonts w:hint="eastAsia" w:eastAsia="仿宋_GB2312"/>
                <w:color w:val="000000"/>
                <w:spacing w:val="-2"/>
                <w:kern w:val="0"/>
                <w:szCs w:val="21"/>
              </w:rPr>
              <w:t>　</w:t>
            </w:r>
          </w:p>
        </w:tc>
      </w:tr>
    </w:tbl>
    <w:p>
      <w:pPr>
        <w:widowControl/>
        <w:spacing w:beforeAutospacing="1" w:afterAutospacing="1"/>
        <w:jc w:val="left"/>
        <w:rPr>
          <w:rFonts w:ascii="Times New Roman" w:hAnsi="Times New Roman" w:eastAsia="仿宋"/>
          <w:b/>
          <w:bCs/>
          <w:color w:val="000000"/>
          <w:spacing w:val="-2"/>
          <w:kern w:val="0"/>
          <w:sz w:val="32"/>
          <w:szCs w:val="32"/>
        </w:rPr>
        <w:sectPr>
          <w:pgSz w:w="11906" w:h="16838"/>
          <w:pgMar w:top="1701" w:right="1588" w:bottom="1701" w:left="1588" w:header="851" w:footer="1361" w:gutter="0"/>
          <w:cols w:space="720" w:num="1"/>
        </w:sectPr>
      </w:pPr>
    </w:p>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建筑市场综合考核用表之五（安全生产文明施工二）</w:t>
      </w:r>
    </w:p>
    <w:p>
      <w:pPr>
        <w:adjustRightInd w:val="0"/>
        <w:snapToGrid w:val="0"/>
        <w:spacing w:line="570" w:lineRule="exact"/>
        <w:ind w:firstLine="354" w:firstLineChars="150"/>
        <w:jc w:val="left"/>
        <w:rPr>
          <w:rFonts w:hint="eastAsia" w:ascii="Times New Roman" w:hAnsi="Times New Roman" w:eastAsia="仿宋_GB2312"/>
          <w:b/>
          <w:bCs/>
          <w:color w:val="000000"/>
          <w:spacing w:val="-2"/>
          <w:kern w:val="0"/>
          <w:sz w:val="24"/>
        </w:rPr>
      </w:pPr>
      <w:r>
        <w:rPr>
          <w:rFonts w:hint="eastAsia" w:ascii="Times New Roman" w:hAnsi="Times New Roman" w:eastAsia="仿宋_GB2312"/>
          <w:bCs/>
          <w:color w:val="000000"/>
          <w:spacing w:val="-2"/>
          <w:kern w:val="0"/>
          <w:sz w:val="24"/>
        </w:rPr>
        <w:t>项目编号：                                 检查日期：</w:t>
      </w:r>
    </w:p>
    <w:tbl>
      <w:tblPr>
        <w:tblStyle w:val="12"/>
        <w:tblW w:w="0" w:type="auto"/>
        <w:jc w:val="center"/>
        <w:tblLayout w:type="fixed"/>
        <w:tblCellMar>
          <w:top w:w="0" w:type="dxa"/>
          <w:left w:w="108" w:type="dxa"/>
          <w:bottom w:w="0" w:type="dxa"/>
          <w:right w:w="108" w:type="dxa"/>
        </w:tblCellMar>
      </w:tblPr>
      <w:tblGrid>
        <w:gridCol w:w="698"/>
        <w:gridCol w:w="1764"/>
        <w:gridCol w:w="440"/>
        <w:gridCol w:w="2520"/>
        <w:gridCol w:w="1080"/>
        <w:gridCol w:w="595"/>
        <w:gridCol w:w="659"/>
        <w:gridCol w:w="1080"/>
      </w:tblGrid>
      <w:tr>
        <w:tblPrEx>
          <w:tblCellMar>
            <w:top w:w="0" w:type="dxa"/>
            <w:left w:w="108" w:type="dxa"/>
            <w:bottom w:w="0" w:type="dxa"/>
            <w:right w:w="108" w:type="dxa"/>
          </w:tblCellMar>
        </w:tblPrEx>
        <w:trPr>
          <w:trHeight w:val="555" w:hRule="atLeast"/>
          <w:jc w:val="center"/>
        </w:trPr>
        <w:tc>
          <w:tcPr>
            <w:tcW w:w="8836" w:type="dxa"/>
            <w:gridSpan w:val="8"/>
            <w:tcBorders>
              <w:top w:val="single" w:color="auto" w:sz="8" w:space="0"/>
              <w:left w:val="single" w:color="auto" w:sz="8"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b/>
                <w:bCs/>
                <w:color w:val="000000"/>
                <w:spacing w:val="-2"/>
                <w:kern w:val="0"/>
                <w:szCs w:val="21"/>
              </w:rPr>
            </w:pPr>
            <w:r>
              <w:rPr>
                <w:rFonts w:hint="eastAsia" w:ascii="Times New Roman" w:hAnsi="Times New Roman" w:eastAsia="仿宋_GB2312"/>
                <w:b/>
                <w:bCs/>
                <w:color w:val="000000"/>
                <w:spacing w:val="-2"/>
                <w:kern w:val="0"/>
                <w:szCs w:val="21"/>
              </w:rPr>
              <w:t>（施工单位100分）</w:t>
            </w:r>
          </w:p>
        </w:tc>
      </w:tr>
      <w:tr>
        <w:tblPrEx>
          <w:tblCellMar>
            <w:top w:w="0" w:type="dxa"/>
            <w:left w:w="108" w:type="dxa"/>
            <w:bottom w:w="0" w:type="dxa"/>
            <w:right w:w="108" w:type="dxa"/>
          </w:tblCellMar>
        </w:tblPrEx>
        <w:trPr>
          <w:trHeight w:val="405" w:hRule="atLeast"/>
          <w:jc w:val="center"/>
        </w:trPr>
        <w:tc>
          <w:tcPr>
            <w:tcW w:w="698"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序号</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检查项目</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检查情况及扣分办法</w:t>
            </w:r>
          </w:p>
        </w:tc>
        <w:tc>
          <w:tcPr>
            <w:tcW w:w="595"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扣分</w:t>
            </w:r>
          </w:p>
        </w:tc>
        <w:tc>
          <w:tcPr>
            <w:tcW w:w="659"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得分</w:t>
            </w:r>
          </w:p>
        </w:tc>
        <w:tc>
          <w:tcPr>
            <w:tcW w:w="1080"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扣分</w:t>
            </w:r>
          </w:p>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原因</w:t>
            </w:r>
          </w:p>
        </w:tc>
      </w:tr>
      <w:tr>
        <w:tblPrEx>
          <w:tblCellMar>
            <w:top w:w="0" w:type="dxa"/>
            <w:left w:w="108" w:type="dxa"/>
            <w:bottom w:w="0" w:type="dxa"/>
            <w:right w:w="108" w:type="dxa"/>
          </w:tblCellMar>
        </w:tblPrEx>
        <w:trPr>
          <w:trHeight w:val="1170" w:hRule="atLeast"/>
          <w:jc w:val="center"/>
        </w:trPr>
        <w:tc>
          <w:tcPr>
            <w:tcW w:w="698"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安全履责情况</w:t>
            </w:r>
          </w:p>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（20分）</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项目经理（包括分包单位项目经理）不履行职责扣10分；</w:t>
            </w:r>
          </w:p>
          <w:p>
            <w:pPr>
              <w:adjustRightInd w:val="0"/>
              <w:snapToGrid w:val="0"/>
              <w:spacing w:line="240" w:lineRule="exact"/>
              <w:rPr>
                <w:rFonts w:hint="eastAsia"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安全员（包括分包单位安全员）、机管员不履行职责扣10  分；</w:t>
            </w:r>
          </w:p>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安全检查台帐不能如实反映现场真实情况扣5分。</w:t>
            </w:r>
          </w:p>
        </w:tc>
        <w:tc>
          <w:tcPr>
            <w:tcW w:w="595"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659"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080"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r>
      <w:tr>
        <w:tblPrEx>
          <w:tblCellMar>
            <w:top w:w="0" w:type="dxa"/>
            <w:left w:w="108" w:type="dxa"/>
            <w:bottom w:w="0" w:type="dxa"/>
            <w:right w:w="108" w:type="dxa"/>
          </w:tblCellMar>
        </w:tblPrEx>
        <w:trPr>
          <w:trHeight w:val="885" w:hRule="atLeast"/>
          <w:jc w:val="center"/>
        </w:trPr>
        <w:tc>
          <w:tcPr>
            <w:tcW w:w="698"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2</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特种作业人员持证上岗（10分）</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未如实建立特种作业人员（包括司索信号工）名册扣10分。</w:t>
            </w:r>
          </w:p>
        </w:tc>
        <w:tc>
          <w:tcPr>
            <w:tcW w:w="595"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659"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080"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r>
      <w:tr>
        <w:tblPrEx>
          <w:tblCellMar>
            <w:top w:w="0" w:type="dxa"/>
            <w:left w:w="108" w:type="dxa"/>
            <w:bottom w:w="0" w:type="dxa"/>
            <w:right w:w="108" w:type="dxa"/>
          </w:tblCellMar>
        </w:tblPrEx>
        <w:trPr>
          <w:trHeight w:val="1065" w:hRule="atLeast"/>
          <w:jc w:val="center"/>
        </w:trPr>
        <w:tc>
          <w:tcPr>
            <w:tcW w:w="698"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3</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安全生产目标管理</w:t>
            </w:r>
          </w:p>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（10分）</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公司与项目部未签订安全责任书扣5分；</w:t>
            </w:r>
          </w:p>
          <w:p>
            <w:pPr>
              <w:adjustRightInd w:val="0"/>
              <w:snapToGrid w:val="0"/>
              <w:spacing w:line="240" w:lineRule="exact"/>
              <w:rPr>
                <w:rFonts w:hint="eastAsia"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未签订总分包安全生产协议的扣5分；</w:t>
            </w:r>
          </w:p>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无安全生产目标扣5分。</w:t>
            </w:r>
          </w:p>
        </w:tc>
        <w:tc>
          <w:tcPr>
            <w:tcW w:w="595"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659"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080"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r>
      <w:tr>
        <w:tblPrEx>
          <w:tblCellMar>
            <w:top w:w="0" w:type="dxa"/>
            <w:left w:w="108" w:type="dxa"/>
            <w:bottom w:w="0" w:type="dxa"/>
            <w:right w:w="108" w:type="dxa"/>
          </w:tblCellMar>
        </w:tblPrEx>
        <w:trPr>
          <w:trHeight w:val="990" w:hRule="atLeast"/>
          <w:jc w:val="center"/>
        </w:trPr>
        <w:tc>
          <w:tcPr>
            <w:tcW w:w="698"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4</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教育培训计划制定和实施（10分）</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无教育培训计划扣5分；</w:t>
            </w:r>
          </w:p>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发现未落实人员岗前培训教育扣5分。</w:t>
            </w:r>
          </w:p>
        </w:tc>
        <w:tc>
          <w:tcPr>
            <w:tcW w:w="595"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659"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080"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r>
      <w:tr>
        <w:tblPrEx>
          <w:tblCellMar>
            <w:top w:w="0" w:type="dxa"/>
            <w:left w:w="108" w:type="dxa"/>
            <w:bottom w:w="0" w:type="dxa"/>
            <w:right w:w="108" w:type="dxa"/>
          </w:tblCellMar>
        </w:tblPrEx>
        <w:trPr>
          <w:trHeight w:val="1170" w:hRule="atLeast"/>
          <w:jc w:val="center"/>
        </w:trPr>
        <w:tc>
          <w:tcPr>
            <w:tcW w:w="698"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5</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安全防护用具（品）</w:t>
            </w:r>
          </w:p>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（10分）</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未提供钢管、扣件、安全网等验收、检测及有效证书的，每项扣4分：使用不合格产品的扣5分。直至扣完10分</w:t>
            </w:r>
          </w:p>
        </w:tc>
        <w:tc>
          <w:tcPr>
            <w:tcW w:w="595"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659"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080"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r>
      <w:tr>
        <w:tblPrEx>
          <w:tblCellMar>
            <w:top w:w="0" w:type="dxa"/>
            <w:left w:w="108" w:type="dxa"/>
            <w:bottom w:w="0" w:type="dxa"/>
            <w:right w:w="108" w:type="dxa"/>
          </w:tblCellMar>
        </w:tblPrEx>
        <w:trPr>
          <w:trHeight w:val="769" w:hRule="atLeast"/>
          <w:jc w:val="center"/>
        </w:trPr>
        <w:tc>
          <w:tcPr>
            <w:tcW w:w="698"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6</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安全技术交底</w:t>
            </w:r>
          </w:p>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（10分）</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 xml:space="preserve">项目部未对班组落实安全技术交底扣5分；班组未对成员落实安全技术交底的扣5分。 </w:t>
            </w:r>
          </w:p>
        </w:tc>
        <w:tc>
          <w:tcPr>
            <w:tcW w:w="59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65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r>
      <w:tr>
        <w:tblPrEx>
          <w:tblCellMar>
            <w:top w:w="0" w:type="dxa"/>
            <w:left w:w="108" w:type="dxa"/>
            <w:bottom w:w="0" w:type="dxa"/>
            <w:right w:w="108" w:type="dxa"/>
          </w:tblCellMar>
        </w:tblPrEx>
        <w:trPr>
          <w:trHeight w:val="929" w:hRule="atLeast"/>
          <w:jc w:val="center"/>
        </w:trPr>
        <w:tc>
          <w:tcPr>
            <w:tcW w:w="698"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7</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安全检查及整改情况</w:t>
            </w:r>
          </w:p>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（10分）</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未定期或按要求开展安全检查的扣5分，未在规定时间内将隐患整改到位的扣5分。直至扣完10分。</w:t>
            </w:r>
          </w:p>
        </w:tc>
        <w:tc>
          <w:tcPr>
            <w:tcW w:w="595"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659" w:type="dxa"/>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080" w:type="dxa"/>
            <w:tcBorders>
              <w:top w:val="single" w:color="auto" w:sz="4" w:space="0"/>
              <w:left w:val="nil"/>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r>
      <w:tr>
        <w:tblPrEx>
          <w:tblCellMar>
            <w:top w:w="0" w:type="dxa"/>
            <w:left w:w="108" w:type="dxa"/>
            <w:bottom w:w="0" w:type="dxa"/>
            <w:right w:w="108" w:type="dxa"/>
          </w:tblCellMar>
        </w:tblPrEx>
        <w:trPr>
          <w:trHeight w:val="801" w:hRule="atLeast"/>
          <w:jc w:val="center"/>
        </w:trPr>
        <w:tc>
          <w:tcPr>
            <w:tcW w:w="698"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8</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机械设备验收、检测、登记</w:t>
            </w:r>
          </w:p>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（10分）</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未验收合格即投入使用的扣5分；</w:t>
            </w:r>
          </w:p>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未按规定办理使用登记的扣5分。</w:t>
            </w:r>
          </w:p>
        </w:tc>
        <w:tc>
          <w:tcPr>
            <w:tcW w:w="595"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659"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080"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r>
      <w:tr>
        <w:tblPrEx>
          <w:tblCellMar>
            <w:top w:w="0" w:type="dxa"/>
            <w:left w:w="108" w:type="dxa"/>
            <w:bottom w:w="0" w:type="dxa"/>
            <w:right w:w="108" w:type="dxa"/>
          </w:tblCellMar>
        </w:tblPrEx>
        <w:trPr>
          <w:trHeight w:val="1440" w:hRule="atLeast"/>
          <w:jc w:val="center"/>
        </w:trPr>
        <w:tc>
          <w:tcPr>
            <w:tcW w:w="698" w:type="dxa"/>
            <w:tcBorders>
              <w:top w:val="nil"/>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9</w:t>
            </w:r>
          </w:p>
        </w:tc>
        <w:tc>
          <w:tcPr>
            <w:tcW w:w="2204"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施工方案及专家论证</w:t>
            </w:r>
          </w:p>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（10分）</w:t>
            </w:r>
          </w:p>
        </w:tc>
        <w:tc>
          <w:tcPr>
            <w:tcW w:w="3600" w:type="dxa"/>
            <w:gridSpan w:val="2"/>
            <w:tcBorders>
              <w:top w:val="single" w:color="auto" w:sz="4" w:space="0"/>
              <w:left w:val="nil"/>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危险性较大分部分项工程未编制方案的扣5分，审批手续不规范的扣3分；超过一定规模的危险性较大分部分项工程未组织专家论证并按要求完善方案的扣10分。</w:t>
            </w:r>
          </w:p>
        </w:tc>
        <w:tc>
          <w:tcPr>
            <w:tcW w:w="595"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659" w:type="dxa"/>
            <w:tcBorders>
              <w:top w:val="nil"/>
              <w:left w:val="nil"/>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080" w:type="dxa"/>
            <w:tcBorders>
              <w:top w:val="nil"/>
              <w:left w:val="nil"/>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r>
      <w:tr>
        <w:tblPrEx>
          <w:tblCellMar>
            <w:top w:w="0" w:type="dxa"/>
            <w:left w:w="108" w:type="dxa"/>
            <w:bottom w:w="0" w:type="dxa"/>
            <w:right w:w="108" w:type="dxa"/>
          </w:tblCellMar>
        </w:tblPrEx>
        <w:trPr>
          <w:trHeight w:val="615" w:hRule="atLeast"/>
          <w:jc w:val="center"/>
        </w:trPr>
        <w:tc>
          <w:tcPr>
            <w:tcW w:w="2462" w:type="dxa"/>
            <w:gridSpan w:val="2"/>
            <w:tcBorders>
              <w:top w:val="single" w:color="auto" w:sz="4" w:space="0"/>
              <w:left w:val="single" w:color="auto" w:sz="8" w:space="0"/>
              <w:bottom w:val="single" w:color="auto" w:sz="8" w:space="0"/>
              <w:right w:val="single" w:color="000000"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检查人签字：</w:t>
            </w:r>
          </w:p>
        </w:tc>
        <w:tc>
          <w:tcPr>
            <w:tcW w:w="2960" w:type="dxa"/>
            <w:gridSpan w:val="2"/>
            <w:tcBorders>
              <w:top w:val="single" w:color="auto" w:sz="4" w:space="0"/>
              <w:left w:val="nil"/>
              <w:bottom w:val="single" w:color="auto" w:sz="8" w:space="0"/>
              <w:right w:val="single" w:color="000000"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被检查单位签字：</w:t>
            </w:r>
          </w:p>
        </w:tc>
        <w:tc>
          <w:tcPr>
            <w:tcW w:w="1080" w:type="dxa"/>
            <w:tcBorders>
              <w:top w:val="nil"/>
              <w:left w:val="nil"/>
              <w:bottom w:val="single" w:color="auto" w:sz="8"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得分扣分情况</w:t>
            </w:r>
          </w:p>
        </w:tc>
        <w:tc>
          <w:tcPr>
            <w:tcW w:w="595" w:type="dxa"/>
            <w:tcBorders>
              <w:top w:val="nil"/>
              <w:left w:val="nil"/>
              <w:bottom w:val="single" w:color="auto" w:sz="8" w:space="0"/>
              <w:right w:val="single" w:color="auto" w:sz="4" w:space="0"/>
            </w:tcBorders>
            <w:noWrap w:val="0"/>
            <w:vAlign w:val="top"/>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　</w:t>
            </w:r>
          </w:p>
        </w:tc>
        <w:tc>
          <w:tcPr>
            <w:tcW w:w="659" w:type="dxa"/>
            <w:tcBorders>
              <w:top w:val="nil"/>
              <w:left w:val="nil"/>
              <w:bottom w:val="single" w:color="auto" w:sz="8"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　</w:t>
            </w:r>
          </w:p>
        </w:tc>
        <w:tc>
          <w:tcPr>
            <w:tcW w:w="1080" w:type="dxa"/>
            <w:tcBorders>
              <w:top w:val="nil"/>
              <w:left w:val="nil"/>
              <w:bottom w:val="single" w:color="auto" w:sz="8"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　</w:t>
            </w:r>
          </w:p>
        </w:tc>
      </w:tr>
    </w:tbl>
    <w:p>
      <w:pPr>
        <w:widowControl/>
        <w:spacing w:beforeAutospacing="1" w:afterAutospacing="1"/>
        <w:jc w:val="left"/>
        <w:rPr>
          <w:rFonts w:ascii="Times New Roman" w:hAnsi="Times New Roman" w:eastAsia="仿宋"/>
          <w:b/>
          <w:bCs/>
          <w:color w:val="000000"/>
          <w:spacing w:val="-2"/>
          <w:kern w:val="0"/>
          <w:sz w:val="32"/>
          <w:szCs w:val="32"/>
        </w:rPr>
        <w:sectPr>
          <w:pgSz w:w="11906" w:h="16838"/>
          <w:pgMar w:top="1701" w:right="1588" w:bottom="1701" w:left="1588" w:header="851" w:footer="1361" w:gutter="0"/>
          <w:cols w:space="720" w:num="1"/>
        </w:sectPr>
      </w:pPr>
    </w:p>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方正黑体_GBK"/>
          <w:bCs/>
          <w:color w:val="000000"/>
          <w:spacing w:val="-2"/>
          <w:sz w:val="28"/>
          <w:szCs w:val="28"/>
        </w:rPr>
        <w:t>建筑市场综合考核用表之五（安全生产文明施工三）</w:t>
      </w:r>
    </w:p>
    <w:p>
      <w:pPr>
        <w:adjustRightInd w:val="0"/>
        <w:snapToGrid w:val="0"/>
        <w:spacing w:line="570" w:lineRule="exact"/>
        <w:jc w:val="left"/>
        <w:rPr>
          <w:rFonts w:hint="eastAsia" w:ascii="Times New Roman" w:hAnsi="Times New Roman" w:eastAsia="仿宋_GB2312"/>
          <w:bCs/>
          <w:color w:val="000000"/>
          <w:spacing w:val="-2"/>
          <w:kern w:val="0"/>
          <w:sz w:val="24"/>
        </w:rPr>
      </w:pPr>
      <w:r>
        <w:rPr>
          <w:rFonts w:hint="eastAsia" w:ascii="Times New Roman" w:hAnsi="Times New Roman" w:eastAsia="仿宋_GB2312"/>
          <w:bCs/>
          <w:color w:val="000000"/>
          <w:spacing w:val="-2"/>
          <w:kern w:val="0"/>
          <w:sz w:val="24"/>
        </w:rPr>
        <w:t xml:space="preserve">项目编号：                                        检查日期：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91"/>
        <w:gridCol w:w="1162"/>
        <w:gridCol w:w="1283"/>
        <w:gridCol w:w="3037"/>
        <w:gridCol w:w="1306"/>
        <w:gridCol w:w="592"/>
        <w:gridCol w:w="592"/>
        <w:gridCol w:w="10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9643" w:type="dxa"/>
            <w:gridSpan w:val="8"/>
            <w:tcBorders>
              <w:top w:val="single" w:color="auto" w:sz="8" w:space="0"/>
              <w:left w:val="single" w:color="auto" w:sz="8" w:space="0"/>
              <w:bottom w:val="single" w:color="auto" w:sz="4" w:space="0"/>
              <w:right w:val="single" w:color="auto" w:sz="8" w:space="0"/>
            </w:tcBorders>
            <w:noWrap w:val="0"/>
            <w:vAlign w:val="bottom"/>
          </w:tcPr>
          <w:p>
            <w:pPr>
              <w:adjustRightInd w:val="0"/>
              <w:snapToGrid w:val="0"/>
              <w:spacing w:line="280" w:lineRule="exact"/>
              <w:rPr>
                <w:rFonts w:eastAsia="仿宋_GB2312"/>
                <w:b/>
                <w:bCs/>
                <w:color w:val="000000"/>
                <w:spacing w:val="-2"/>
                <w:kern w:val="0"/>
                <w:szCs w:val="21"/>
              </w:rPr>
            </w:pPr>
            <w:r>
              <w:rPr>
                <w:rFonts w:hint="eastAsia" w:eastAsia="仿宋_GB2312"/>
                <w:b/>
                <w:bCs/>
                <w:color w:val="000000"/>
                <w:spacing w:val="-2"/>
                <w:kern w:val="0"/>
                <w:szCs w:val="21"/>
              </w:rPr>
              <w:t>工程实体安全（</w:t>
            </w:r>
            <w:r>
              <w:rPr>
                <w:rFonts w:eastAsia="仿宋_GB2312"/>
                <w:b/>
                <w:bCs/>
                <w:color w:val="000000"/>
                <w:spacing w:val="-2"/>
                <w:kern w:val="0"/>
                <w:szCs w:val="21"/>
              </w:rPr>
              <w:t>100</w:t>
            </w:r>
            <w:r>
              <w:rPr>
                <w:rFonts w:hint="eastAsia" w:eastAsia="仿宋_GB2312"/>
                <w:b/>
                <w:bCs/>
                <w:color w:val="000000"/>
                <w:spacing w:val="-2"/>
                <w:kern w:val="0"/>
                <w:szCs w:val="21"/>
              </w:rPr>
              <w:t>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59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8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序号</w:t>
            </w:r>
          </w:p>
        </w:tc>
        <w:tc>
          <w:tcPr>
            <w:tcW w:w="116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检查项目</w:t>
            </w:r>
          </w:p>
        </w:tc>
        <w:tc>
          <w:tcPr>
            <w:tcW w:w="5626" w:type="dxa"/>
            <w:gridSpan w:val="3"/>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检查情况及扣分办法</w:t>
            </w:r>
          </w:p>
        </w:tc>
        <w:tc>
          <w:tcPr>
            <w:tcW w:w="59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w:t>
            </w:r>
          </w:p>
        </w:tc>
        <w:tc>
          <w:tcPr>
            <w:tcW w:w="59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得分</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8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扣分原因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96" w:hRule="atLeast"/>
          <w:jc w:val="center"/>
        </w:trPr>
        <w:tc>
          <w:tcPr>
            <w:tcW w:w="59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1</w:t>
            </w:r>
          </w:p>
        </w:tc>
        <w:tc>
          <w:tcPr>
            <w:tcW w:w="116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安全防护</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设施</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5626" w:type="dxa"/>
            <w:gridSpan w:val="3"/>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脚手架、模板支架杆件或部件设置不齐全一处扣</w:t>
            </w:r>
            <w:r>
              <w:rPr>
                <w:rFonts w:eastAsia="仿宋_GB2312"/>
                <w:color w:val="000000"/>
                <w:spacing w:val="-2"/>
                <w:kern w:val="0"/>
                <w:szCs w:val="21"/>
              </w:rPr>
              <w:t>2</w:t>
            </w:r>
            <w:r>
              <w:rPr>
                <w:rFonts w:hint="eastAsia" w:eastAsia="仿宋_GB2312"/>
                <w:color w:val="000000"/>
                <w:spacing w:val="-2"/>
                <w:kern w:val="0"/>
                <w:szCs w:val="21"/>
              </w:rPr>
              <w:t>分；杆件间距不符规定的扣</w:t>
            </w:r>
            <w:r>
              <w:rPr>
                <w:rFonts w:eastAsia="仿宋_GB2312"/>
                <w:color w:val="000000"/>
                <w:spacing w:val="-2"/>
                <w:kern w:val="0"/>
                <w:szCs w:val="21"/>
              </w:rPr>
              <w:t>4</w:t>
            </w:r>
            <w:r>
              <w:rPr>
                <w:rFonts w:hint="eastAsia" w:eastAsia="仿宋_GB2312"/>
                <w:color w:val="000000"/>
                <w:spacing w:val="-2"/>
                <w:kern w:val="0"/>
                <w:szCs w:val="21"/>
              </w:rPr>
              <w:t>分；脚手架、模板支架基础处理不到位，存在不均匀沉降的扣</w:t>
            </w:r>
            <w:r>
              <w:rPr>
                <w:rFonts w:eastAsia="仿宋_GB2312"/>
                <w:color w:val="000000"/>
                <w:spacing w:val="-2"/>
                <w:kern w:val="0"/>
                <w:szCs w:val="21"/>
              </w:rPr>
              <w:t>4</w:t>
            </w:r>
            <w:r>
              <w:rPr>
                <w:rFonts w:hint="eastAsia" w:eastAsia="仿宋_GB2312"/>
                <w:color w:val="000000"/>
                <w:spacing w:val="-2"/>
                <w:kern w:val="0"/>
                <w:szCs w:val="21"/>
              </w:rPr>
              <w:t>分；模板立柱未采取对接接长的扣</w:t>
            </w:r>
            <w:r>
              <w:rPr>
                <w:rFonts w:eastAsia="仿宋_GB2312"/>
                <w:color w:val="000000"/>
                <w:spacing w:val="-2"/>
                <w:kern w:val="0"/>
                <w:szCs w:val="21"/>
              </w:rPr>
              <w:t>4</w:t>
            </w:r>
            <w:r>
              <w:rPr>
                <w:rFonts w:hint="eastAsia" w:eastAsia="仿宋_GB2312"/>
                <w:color w:val="000000"/>
                <w:spacing w:val="-2"/>
                <w:kern w:val="0"/>
                <w:szCs w:val="21"/>
              </w:rPr>
              <w:t>分；超过一定规模的模板支撑未使用可调支托的扣</w:t>
            </w:r>
            <w:r>
              <w:rPr>
                <w:rFonts w:eastAsia="仿宋_GB2312"/>
                <w:color w:val="000000"/>
                <w:spacing w:val="-2"/>
                <w:kern w:val="0"/>
                <w:szCs w:val="21"/>
              </w:rPr>
              <w:t>4</w:t>
            </w:r>
            <w:r>
              <w:rPr>
                <w:rFonts w:hint="eastAsia" w:eastAsia="仿宋_GB2312"/>
                <w:color w:val="000000"/>
                <w:spacing w:val="-2"/>
                <w:kern w:val="0"/>
                <w:szCs w:val="21"/>
              </w:rPr>
              <w:t>分；基坑支护措施不落实每项扣</w:t>
            </w:r>
            <w:r>
              <w:rPr>
                <w:rFonts w:eastAsia="仿宋_GB2312"/>
                <w:color w:val="000000"/>
                <w:spacing w:val="-2"/>
                <w:kern w:val="0"/>
                <w:szCs w:val="21"/>
              </w:rPr>
              <w:t>2</w:t>
            </w:r>
            <w:r>
              <w:rPr>
                <w:rFonts w:hint="eastAsia" w:eastAsia="仿宋_GB2312"/>
                <w:color w:val="000000"/>
                <w:spacing w:val="-2"/>
                <w:kern w:val="0"/>
                <w:szCs w:val="21"/>
              </w:rPr>
              <w:t>分；临边洞口防护未按规定设置的一处扣</w:t>
            </w:r>
            <w:r>
              <w:rPr>
                <w:rFonts w:eastAsia="仿宋_GB2312"/>
                <w:color w:val="000000"/>
                <w:spacing w:val="-2"/>
                <w:kern w:val="0"/>
                <w:szCs w:val="21"/>
              </w:rPr>
              <w:t>1</w:t>
            </w:r>
            <w:r>
              <w:rPr>
                <w:rFonts w:hint="eastAsia" w:eastAsia="仿宋_GB2312"/>
                <w:color w:val="000000"/>
                <w:spacing w:val="-2"/>
                <w:kern w:val="0"/>
                <w:szCs w:val="21"/>
              </w:rPr>
              <w:t>分，人行通道无防护的扣</w:t>
            </w:r>
            <w:r>
              <w:rPr>
                <w:rFonts w:eastAsia="仿宋_GB2312"/>
                <w:color w:val="000000"/>
                <w:spacing w:val="-2"/>
                <w:kern w:val="0"/>
                <w:szCs w:val="21"/>
              </w:rPr>
              <w:t>4</w:t>
            </w:r>
            <w:r>
              <w:rPr>
                <w:rFonts w:hint="eastAsia" w:eastAsia="仿宋_GB2312"/>
                <w:color w:val="000000"/>
                <w:spacing w:val="-2"/>
                <w:kern w:val="0"/>
                <w:szCs w:val="21"/>
              </w:rPr>
              <w:t>分；料台未按方案设置的每一处扣</w:t>
            </w:r>
            <w:r>
              <w:rPr>
                <w:rFonts w:eastAsia="仿宋_GB2312"/>
                <w:color w:val="000000"/>
                <w:spacing w:val="-2"/>
                <w:kern w:val="0"/>
                <w:szCs w:val="21"/>
              </w:rPr>
              <w:t>2</w:t>
            </w:r>
            <w:r>
              <w:rPr>
                <w:rFonts w:hint="eastAsia" w:eastAsia="仿宋_GB2312"/>
                <w:color w:val="000000"/>
                <w:spacing w:val="-2"/>
                <w:kern w:val="0"/>
                <w:szCs w:val="21"/>
              </w:rPr>
              <w:t>分；存在其他隐患酌情扣分，直至扣完</w:t>
            </w:r>
            <w:r>
              <w:rPr>
                <w:rFonts w:eastAsia="仿宋_GB2312"/>
                <w:color w:val="000000"/>
                <w:spacing w:val="-2"/>
                <w:kern w:val="0"/>
                <w:szCs w:val="21"/>
              </w:rPr>
              <w:t>20</w:t>
            </w:r>
            <w:r>
              <w:rPr>
                <w:rFonts w:hint="eastAsia" w:eastAsia="仿宋_GB2312"/>
                <w:color w:val="000000"/>
                <w:spacing w:val="-2"/>
                <w:kern w:val="0"/>
                <w:szCs w:val="21"/>
              </w:rPr>
              <w:t>分。</w:t>
            </w:r>
          </w:p>
        </w:tc>
        <w:tc>
          <w:tcPr>
            <w:tcW w:w="59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59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15" w:hRule="atLeast"/>
          <w:jc w:val="center"/>
        </w:trPr>
        <w:tc>
          <w:tcPr>
            <w:tcW w:w="59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2</w:t>
            </w:r>
          </w:p>
        </w:tc>
        <w:tc>
          <w:tcPr>
            <w:tcW w:w="116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机械设备</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使用管理</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5626" w:type="dxa"/>
            <w:gridSpan w:val="3"/>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起重机械未按规定办理使用登记的扣</w:t>
            </w:r>
            <w:r>
              <w:rPr>
                <w:rFonts w:eastAsia="仿宋_GB2312"/>
                <w:color w:val="000000"/>
                <w:spacing w:val="-2"/>
                <w:kern w:val="0"/>
                <w:szCs w:val="21"/>
              </w:rPr>
              <w:t>10</w:t>
            </w:r>
            <w:r>
              <w:rPr>
                <w:rFonts w:hint="eastAsia" w:eastAsia="仿宋_GB2312"/>
                <w:color w:val="000000"/>
                <w:spacing w:val="-2"/>
                <w:kern w:val="0"/>
                <w:szCs w:val="21"/>
              </w:rPr>
              <w:t>分；起重设备作业区内有其他设施而无防护措施的扣</w:t>
            </w:r>
            <w:r>
              <w:rPr>
                <w:rFonts w:eastAsia="仿宋_GB2312"/>
                <w:color w:val="000000"/>
                <w:spacing w:val="-2"/>
                <w:kern w:val="0"/>
                <w:szCs w:val="21"/>
              </w:rPr>
              <w:t>4</w:t>
            </w:r>
            <w:r>
              <w:rPr>
                <w:rFonts w:hint="eastAsia" w:eastAsia="仿宋_GB2312"/>
                <w:color w:val="000000"/>
                <w:spacing w:val="-2"/>
                <w:kern w:val="0"/>
                <w:szCs w:val="21"/>
              </w:rPr>
              <w:t>分；未执行机械日常验收、保养制度的每台次扣</w:t>
            </w:r>
            <w:r>
              <w:rPr>
                <w:rFonts w:eastAsia="仿宋_GB2312"/>
                <w:color w:val="000000"/>
                <w:spacing w:val="-2"/>
                <w:kern w:val="0"/>
                <w:szCs w:val="21"/>
              </w:rPr>
              <w:t>2</w:t>
            </w:r>
            <w:r>
              <w:rPr>
                <w:rFonts w:hint="eastAsia" w:eastAsia="仿宋_GB2312"/>
                <w:color w:val="000000"/>
                <w:spacing w:val="-2"/>
                <w:kern w:val="0"/>
                <w:szCs w:val="21"/>
              </w:rPr>
              <w:t>分；起重机械未规范使用吊索具的一处扣</w:t>
            </w:r>
            <w:r>
              <w:rPr>
                <w:rFonts w:eastAsia="仿宋_GB2312"/>
                <w:color w:val="000000"/>
                <w:spacing w:val="-2"/>
                <w:kern w:val="0"/>
                <w:szCs w:val="21"/>
              </w:rPr>
              <w:t>4</w:t>
            </w:r>
            <w:r>
              <w:rPr>
                <w:rFonts w:hint="eastAsia" w:eastAsia="仿宋_GB2312"/>
                <w:color w:val="000000"/>
                <w:spacing w:val="-2"/>
                <w:kern w:val="0"/>
                <w:szCs w:val="21"/>
              </w:rPr>
              <w:t>分；附墙装置不按规定设置的扣</w:t>
            </w:r>
            <w:r>
              <w:rPr>
                <w:rFonts w:eastAsia="仿宋_GB2312"/>
                <w:color w:val="000000"/>
                <w:spacing w:val="-2"/>
                <w:kern w:val="0"/>
                <w:szCs w:val="21"/>
              </w:rPr>
              <w:t>4</w:t>
            </w:r>
            <w:r>
              <w:rPr>
                <w:rFonts w:hint="eastAsia" w:eastAsia="仿宋_GB2312"/>
                <w:color w:val="000000"/>
                <w:spacing w:val="-2"/>
                <w:kern w:val="0"/>
                <w:szCs w:val="21"/>
              </w:rPr>
              <w:t>分；安全保护装置或部件失灵的一处扣</w:t>
            </w:r>
            <w:r>
              <w:rPr>
                <w:rFonts w:eastAsia="仿宋_GB2312"/>
                <w:color w:val="000000"/>
                <w:spacing w:val="-2"/>
                <w:kern w:val="0"/>
                <w:szCs w:val="21"/>
              </w:rPr>
              <w:t>4</w:t>
            </w:r>
            <w:r>
              <w:rPr>
                <w:rFonts w:hint="eastAsia" w:eastAsia="仿宋_GB2312"/>
                <w:color w:val="000000"/>
                <w:spacing w:val="-2"/>
                <w:kern w:val="0"/>
                <w:szCs w:val="21"/>
              </w:rPr>
              <w:t>分；存在其他隐患酌情扣分，直至扣完</w:t>
            </w:r>
            <w:r>
              <w:rPr>
                <w:rFonts w:eastAsia="仿宋_GB2312"/>
                <w:color w:val="000000"/>
                <w:spacing w:val="-2"/>
                <w:kern w:val="0"/>
                <w:szCs w:val="21"/>
              </w:rPr>
              <w:t>20</w:t>
            </w:r>
            <w:r>
              <w:rPr>
                <w:rFonts w:hint="eastAsia" w:eastAsia="仿宋_GB2312"/>
                <w:color w:val="000000"/>
                <w:spacing w:val="-2"/>
                <w:kern w:val="0"/>
                <w:szCs w:val="21"/>
              </w:rPr>
              <w:t>分。</w:t>
            </w:r>
          </w:p>
        </w:tc>
        <w:tc>
          <w:tcPr>
            <w:tcW w:w="59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59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75" w:hRule="atLeast"/>
          <w:jc w:val="center"/>
        </w:trPr>
        <w:tc>
          <w:tcPr>
            <w:tcW w:w="59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3</w:t>
            </w:r>
          </w:p>
        </w:tc>
        <w:tc>
          <w:tcPr>
            <w:tcW w:w="116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安全用电</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消防管理</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5626" w:type="dxa"/>
            <w:gridSpan w:val="3"/>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外电防护措施不到位擅自施工的扣</w:t>
            </w:r>
            <w:r>
              <w:rPr>
                <w:rFonts w:eastAsia="仿宋_GB2312"/>
                <w:color w:val="000000"/>
                <w:spacing w:val="-2"/>
                <w:kern w:val="0"/>
                <w:szCs w:val="21"/>
              </w:rPr>
              <w:t>2</w:t>
            </w:r>
            <w:r>
              <w:rPr>
                <w:rFonts w:hint="eastAsia" w:eastAsia="仿宋_GB2312"/>
                <w:color w:val="000000"/>
                <w:spacing w:val="-2"/>
                <w:kern w:val="0"/>
                <w:szCs w:val="21"/>
              </w:rPr>
              <w:t>分；三级配电二级保护不到位的扣</w:t>
            </w:r>
            <w:r>
              <w:rPr>
                <w:rFonts w:eastAsia="仿宋_GB2312"/>
                <w:color w:val="000000"/>
                <w:spacing w:val="-2"/>
                <w:kern w:val="0"/>
                <w:szCs w:val="21"/>
              </w:rPr>
              <w:t>4</w:t>
            </w:r>
            <w:r>
              <w:rPr>
                <w:rFonts w:hint="eastAsia" w:eastAsia="仿宋_GB2312"/>
                <w:color w:val="000000"/>
                <w:spacing w:val="-2"/>
                <w:kern w:val="0"/>
                <w:szCs w:val="21"/>
              </w:rPr>
              <w:t>分；电气元件不齐全一处扣</w:t>
            </w:r>
            <w:r>
              <w:rPr>
                <w:rFonts w:eastAsia="仿宋_GB2312"/>
                <w:color w:val="000000"/>
                <w:spacing w:val="-2"/>
                <w:kern w:val="0"/>
                <w:szCs w:val="21"/>
              </w:rPr>
              <w:t>1</w:t>
            </w:r>
            <w:r>
              <w:rPr>
                <w:rFonts w:hint="eastAsia" w:eastAsia="仿宋_GB2312"/>
                <w:color w:val="000000"/>
                <w:spacing w:val="-2"/>
                <w:kern w:val="0"/>
                <w:szCs w:val="21"/>
              </w:rPr>
              <w:t>分；接零保护系统未形成的扣</w:t>
            </w:r>
            <w:r>
              <w:rPr>
                <w:rFonts w:eastAsia="仿宋_GB2312"/>
                <w:color w:val="000000"/>
                <w:spacing w:val="-2"/>
                <w:kern w:val="0"/>
                <w:szCs w:val="21"/>
              </w:rPr>
              <w:t>4</w:t>
            </w:r>
            <w:r>
              <w:rPr>
                <w:rFonts w:hint="eastAsia" w:eastAsia="仿宋_GB2312"/>
                <w:color w:val="000000"/>
                <w:spacing w:val="-2"/>
                <w:kern w:val="0"/>
                <w:szCs w:val="21"/>
              </w:rPr>
              <w:t>分；保护零线未接到用电设备外壳每一处扣</w:t>
            </w:r>
            <w:r>
              <w:rPr>
                <w:rFonts w:eastAsia="仿宋_GB2312"/>
                <w:color w:val="000000"/>
                <w:spacing w:val="-2"/>
                <w:kern w:val="0"/>
                <w:szCs w:val="21"/>
              </w:rPr>
              <w:t>1</w:t>
            </w:r>
            <w:r>
              <w:rPr>
                <w:rFonts w:hint="eastAsia" w:eastAsia="仿宋_GB2312"/>
                <w:color w:val="000000"/>
                <w:spacing w:val="-2"/>
                <w:kern w:val="0"/>
                <w:szCs w:val="21"/>
              </w:rPr>
              <w:t>分；导线随意拖地、架设在金属物上无瓷瓶绑扎的一处扣</w:t>
            </w:r>
            <w:r>
              <w:rPr>
                <w:rFonts w:eastAsia="仿宋_GB2312"/>
                <w:color w:val="000000"/>
                <w:spacing w:val="-2"/>
                <w:kern w:val="0"/>
                <w:szCs w:val="21"/>
              </w:rPr>
              <w:t>1</w:t>
            </w:r>
            <w:r>
              <w:rPr>
                <w:rFonts w:hint="eastAsia" w:eastAsia="仿宋_GB2312"/>
                <w:color w:val="000000"/>
                <w:spacing w:val="-2"/>
                <w:kern w:val="0"/>
                <w:szCs w:val="21"/>
              </w:rPr>
              <w:t>分；施工现场无消防平面布置图的扣</w:t>
            </w:r>
            <w:r>
              <w:rPr>
                <w:rFonts w:eastAsia="仿宋_GB2312"/>
                <w:color w:val="000000"/>
                <w:spacing w:val="-2"/>
                <w:kern w:val="0"/>
                <w:szCs w:val="21"/>
              </w:rPr>
              <w:t>2</w:t>
            </w:r>
            <w:r>
              <w:rPr>
                <w:rFonts w:hint="eastAsia" w:eastAsia="仿宋_GB2312"/>
                <w:color w:val="000000"/>
                <w:spacing w:val="-2"/>
                <w:kern w:val="0"/>
                <w:szCs w:val="21"/>
              </w:rPr>
              <w:t>分；防火重点部位消防措施不到位的一处扣</w:t>
            </w:r>
            <w:r>
              <w:rPr>
                <w:rFonts w:eastAsia="仿宋_GB2312"/>
                <w:color w:val="000000"/>
                <w:spacing w:val="-2"/>
                <w:kern w:val="0"/>
                <w:szCs w:val="21"/>
              </w:rPr>
              <w:t>2</w:t>
            </w:r>
            <w:r>
              <w:rPr>
                <w:rFonts w:hint="eastAsia" w:eastAsia="仿宋_GB2312"/>
                <w:color w:val="000000"/>
                <w:spacing w:val="-2"/>
                <w:kern w:val="0"/>
                <w:szCs w:val="21"/>
              </w:rPr>
              <w:t>分；施工作业面无消防措施的扣</w:t>
            </w:r>
            <w:r>
              <w:rPr>
                <w:rFonts w:eastAsia="仿宋_GB2312"/>
                <w:color w:val="000000"/>
                <w:spacing w:val="-2"/>
                <w:kern w:val="0"/>
                <w:szCs w:val="21"/>
              </w:rPr>
              <w:t>3</w:t>
            </w:r>
            <w:r>
              <w:rPr>
                <w:rFonts w:hint="eastAsia" w:eastAsia="仿宋_GB2312"/>
                <w:color w:val="000000"/>
                <w:spacing w:val="-2"/>
                <w:kern w:val="0"/>
                <w:szCs w:val="21"/>
              </w:rPr>
              <w:t>分；存在其他隐患酌情扣分，直至扣完</w:t>
            </w:r>
            <w:r>
              <w:rPr>
                <w:rFonts w:eastAsia="仿宋_GB2312"/>
                <w:color w:val="000000"/>
                <w:spacing w:val="-2"/>
                <w:kern w:val="0"/>
                <w:szCs w:val="21"/>
              </w:rPr>
              <w:t>20</w:t>
            </w:r>
            <w:r>
              <w:rPr>
                <w:rFonts w:hint="eastAsia" w:eastAsia="仿宋_GB2312"/>
                <w:color w:val="000000"/>
                <w:spacing w:val="-2"/>
                <w:kern w:val="0"/>
                <w:szCs w:val="21"/>
              </w:rPr>
              <w:t>分。</w:t>
            </w:r>
          </w:p>
        </w:tc>
        <w:tc>
          <w:tcPr>
            <w:tcW w:w="59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59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10" w:hRule="atLeast"/>
          <w:jc w:val="center"/>
        </w:trPr>
        <w:tc>
          <w:tcPr>
            <w:tcW w:w="59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4</w:t>
            </w:r>
          </w:p>
        </w:tc>
        <w:tc>
          <w:tcPr>
            <w:tcW w:w="116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环境保护</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5626" w:type="dxa"/>
            <w:gridSpan w:val="3"/>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不落实门卫制度及责任人的扣</w:t>
            </w:r>
            <w:r>
              <w:rPr>
                <w:rFonts w:eastAsia="仿宋_GB2312"/>
                <w:color w:val="000000"/>
                <w:spacing w:val="-2"/>
                <w:kern w:val="0"/>
                <w:szCs w:val="21"/>
              </w:rPr>
              <w:t>3</w:t>
            </w:r>
            <w:r>
              <w:rPr>
                <w:rFonts w:hint="eastAsia" w:eastAsia="仿宋_GB2312"/>
                <w:color w:val="000000"/>
                <w:spacing w:val="-2"/>
                <w:kern w:val="0"/>
                <w:szCs w:val="21"/>
              </w:rPr>
              <w:t>分；出入口未落实文明措施的扣</w:t>
            </w:r>
            <w:r>
              <w:rPr>
                <w:rFonts w:eastAsia="仿宋_GB2312"/>
                <w:color w:val="000000"/>
                <w:spacing w:val="-2"/>
                <w:kern w:val="0"/>
                <w:szCs w:val="21"/>
              </w:rPr>
              <w:t>3</w:t>
            </w:r>
            <w:r>
              <w:rPr>
                <w:rFonts w:hint="eastAsia" w:eastAsia="仿宋_GB2312"/>
                <w:color w:val="000000"/>
                <w:spacing w:val="-2"/>
                <w:kern w:val="0"/>
                <w:szCs w:val="21"/>
              </w:rPr>
              <w:t>分；材料堆放无序的扣</w:t>
            </w:r>
            <w:r>
              <w:rPr>
                <w:rFonts w:eastAsia="仿宋_GB2312"/>
                <w:color w:val="000000"/>
                <w:spacing w:val="-2"/>
                <w:kern w:val="0"/>
                <w:szCs w:val="21"/>
              </w:rPr>
              <w:t>3</w:t>
            </w:r>
            <w:r>
              <w:rPr>
                <w:rFonts w:hint="eastAsia" w:eastAsia="仿宋_GB2312"/>
                <w:color w:val="000000"/>
                <w:spacing w:val="-2"/>
                <w:kern w:val="0"/>
                <w:szCs w:val="21"/>
              </w:rPr>
              <w:t>分；噪音、扬尘等控制不力的扣</w:t>
            </w:r>
            <w:r>
              <w:rPr>
                <w:rFonts w:eastAsia="仿宋_GB2312"/>
                <w:color w:val="000000"/>
                <w:spacing w:val="-2"/>
                <w:kern w:val="0"/>
                <w:szCs w:val="21"/>
              </w:rPr>
              <w:t>3</w:t>
            </w:r>
            <w:r>
              <w:rPr>
                <w:rFonts w:hint="eastAsia" w:eastAsia="仿宋_GB2312"/>
                <w:color w:val="000000"/>
                <w:spacing w:val="-2"/>
                <w:kern w:val="0"/>
                <w:szCs w:val="21"/>
              </w:rPr>
              <w:t>分；暴露土方未覆盖的扣</w:t>
            </w:r>
            <w:r>
              <w:rPr>
                <w:rFonts w:eastAsia="仿宋_GB2312"/>
                <w:color w:val="000000"/>
                <w:spacing w:val="-2"/>
                <w:kern w:val="0"/>
                <w:szCs w:val="21"/>
              </w:rPr>
              <w:t>2</w:t>
            </w:r>
            <w:r>
              <w:rPr>
                <w:rFonts w:hint="eastAsia" w:eastAsia="仿宋_GB2312"/>
                <w:color w:val="000000"/>
                <w:spacing w:val="-2"/>
                <w:kern w:val="0"/>
                <w:szCs w:val="21"/>
              </w:rPr>
              <w:t>分；出现举报或投诉的扣</w:t>
            </w:r>
            <w:r>
              <w:rPr>
                <w:rFonts w:eastAsia="仿宋_GB2312"/>
                <w:color w:val="000000"/>
                <w:spacing w:val="-2"/>
                <w:kern w:val="0"/>
                <w:szCs w:val="21"/>
              </w:rPr>
              <w:t>10</w:t>
            </w:r>
            <w:r>
              <w:rPr>
                <w:rFonts w:hint="eastAsia" w:eastAsia="仿宋_GB2312"/>
                <w:color w:val="000000"/>
                <w:spacing w:val="-2"/>
                <w:kern w:val="0"/>
                <w:szCs w:val="21"/>
              </w:rPr>
              <w:t>分；存在其他问题酌情扣分，直至扣完</w:t>
            </w:r>
            <w:r>
              <w:rPr>
                <w:rFonts w:eastAsia="仿宋_GB2312"/>
                <w:color w:val="000000"/>
                <w:spacing w:val="-2"/>
                <w:kern w:val="0"/>
                <w:szCs w:val="21"/>
              </w:rPr>
              <w:t>20</w:t>
            </w:r>
            <w:r>
              <w:rPr>
                <w:rFonts w:hint="eastAsia" w:eastAsia="仿宋_GB2312"/>
                <w:color w:val="000000"/>
                <w:spacing w:val="-2"/>
                <w:kern w:val="0"/>
                <w:szCs w:val="21"/>
              </w:rPr>
              <w:t>分。</w:t>
            </w:r>
          </w:p>
        </w:tc>
        <w:tc>
          <w:tcPr>
            <w:tcW w:w="59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59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16" w:hRule="atLeast"/>
          <w:jc w:val="center"/>
        </w:trPr>
        <w:tc>
          <w:tcPr>
            <w:tcW w:w="591"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eastAsia="仿宋_GB2312"/>
                <w:color w:val="000000"/>
                <w:spacing w:val="-2"/>
                <w:kern w:val="0"/>
                <w:szCs w:val="21"/>
              </w:rPr>
              <w:t>5</w:t>
            </w:r>
          </w:p>
        </w:tc>
        <w:tc>
          <w:tcPr>
            <w:tcW w:w="116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生活卫生</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20</w:t>
            </w:r>
            <w:r>
              <w:rPr>
                <w:rFonts w:hint="eastAsia" w:eastAsia="仿宋_GB2312"/>
                <w:color w:val="000000"/>
                <w:spacing w:val="-2"/>
                <w:kern w:val="0"/>
                <w:szCs w:val="21"/>
              </w:rPr>
              <w:t>分）</w:t>
            </w:r>
          </w:p>
        </w:tc>
        <w:tc>
          <w:tcPr>
            <w:tcW w:w="5626" w:type="dxa"/>
            <w:gridSpan w:val="3"/>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临设用房采光及通风条件差的扣</w:t>
            </w:r>
            <w:r>
              <w:rPr>
                <w:rFonts w:eastAsia="仿宋_GB2312"/>
                <w:color w:val="000000"/>
                <w:spacing w:val="-2"/>
                <w:kern w:val="0"/>
                <w:szCs w:val="21"/>
              </w:rPr>
              <w:t>3</w:t>
            </w:r>
            <w:r>
              <w:rPr>
                <w:rFonts w:hint="eastAsia" w:eastAsia="仿宋_GB2312"/>
                <w:color w:val="000000"/>
                <w:spacing w:val="-2"/>
                <w:kern w:val="0"/>
                <w:szCs w:val="21"/>
              </w:rPr>
              <w:t>分；食堂无卫生许可证扣</w:t>
            </w:r>
            <w:r>
              <w:rPr>
                <w:rFonts w:eastAsia="仿宋_GB2312"/>
                <w:color w:val="000000"/>
                <w:spacing w:val="-2"/>
                <w:kern w:val="0"/>
                <w:szCs w:val="21"/>
              </w:rPr>
              <w:t>3</w:t>
            </w:r>
            <w:r>
              <w:rPr>
                <w:rFonts w:hint="eastAsia" w:eastAsia="仿宋_GB2312"/>
                <w:color w:val="000000"/>
                <w:spacing w:val="-2"/>
                <w:kern w:val="0"/>
                <w:szCs w:val="21"/>
              </w:rPr>
              <w:t>分；无淋浴设施的扣</w:t>
            </w:r>
            <w:r>
              <w:rPr>
                <w:rFonts w:eastAsia="仿宋_GB2312"/>
                <w:color w:val="000000"/>
                <w:spacing w:val="-2"/>
                <w:kern w:val="0"/>
                <w:szCs w:val="21"/>
              </w:rPr>
              <w:t>3</w:t>
            </w:r>
            <w:r>
              <w:rPr>
                <w:rFonts w:hint="eastAsia" w:eastAsia="仿宋_GB2312"/>
                <w:color w:val="000000"/>
                <w:spacing w:val="-2"/>
                <w:kern w:val="0"/>
                <w:szCs w:val="21"/>
              </w:rPr>
              <w:t>分；生活垃圾未入箱的一处扣</w:t>
            </w:r>
            <w:r>
              <w:rPr>
                <w:rFonts w:eastAsia="仿宋_GB2312"/>
                <w:color w:val="000000"/>
                <w:spacing w:val="-2"/>
                <w:kern w:val="0"/>
                <w:szCs w:val="21"/>
              </w:rPr>
              <w:t>3</w:t>
            </w:r>
            <w:r>
              <w:rPr>
                <w:rFonts w:hint="eastAsia" w:eastAsia="仿宋_GB2312"/>
                <w:color w:val="000000"/>
                <w:spacing w:val="-2"/>
                <w:kern w:val="0"/>
                <w:szCs w:val="21"/>
              </w:rPr>
              <w:t>分；无季节性劳动防护措施的扣</w:t>
            </w:r>
            <w:r>
              <w:rPr>
                <w:rFonts w:eastAsia="仿宋_GB2312"/>
                <w:color w:val="000000"/>
                <w:spacing w:val="-2"/>
                <w:kern w:val="0"/>
                <w:szCs w:val="21"/>
              </w:rPr>
              <w:t>3</w:t>
            </w:r>
            <w:r>
              <w:rPr>
                <w:rFonts w:hint="eastAsia" w:eastAsia="仿宋_GB2312"/>
                <w:color w:val="000000"/>
                <w:spacing w:val="-2"/>
                <w:kern w:val="0"/>
                <w:szCs w:val="21"/>
              </w:rPr>
              <w:t>分。被城市长效管理考评扣分的扣</w:t>
            </w:r>
            <w:r>
              <w:rPr>
                <w:rFonts w:eastAsia="仿宋_GB2312"/>
                <w:color w:val="000000"/>
                <w:spacing w:val="-2"/>
                <w:kern w:val="0"/>
                <w:szCs w:val="21"/>
              </w:rPr>
              <w:t>15</w:t>
            </w:r>
            <w:r>
              <w:rPr>
                <w:rFonts w:hint="eastAsia" w:eastAsia="仿宋_GB2312"/>
                <w:color w:val="000000"/>
                <w:spacing w:val="-2"/>
                <w:kern w:val="0"/>
                <w:szCs w:val="21"/>
              </w:rPr>
              <w:t>分。存在其他问题酌情扣分，直至扣完</w:t>
            </w:r>
            <w:r>
              <w:rPr>
                <w:rFonts w:eastAsia="仿宋_GB2312"/>
                <w:color w:val="000000"/>
                <w:spacing w:val="-2"/>
                <w:kern w:val="0"/>
                <w:szCs w:val="21"/>
              </w:rPr>
              <w:t>20</w:t>
            </w:r>
            <w:r>
              <w:rPr>
                <w:rFonts w:hint="eastAsia" w:eastAsia="仿宋_GB2312"/>
                <w:color w:val="000000"/>
                <w:spacing w:val="-2"/>
                <w:kern w:val="0"/>
                <w:szCs w:val="21"/>
              </w:rPr>
              <w:t>分。</w:t>
            </w:r>
          </w:p>
        </w:tc>
        <w:tc>
          <w:tcPr>
            <w:tcW w:w="592" w:type="dxa"/>
            <w:tcBorders>
              <w:top w:val="single" w:color="auto" w:sz="4" w:space="0"/>
              <w:left w:val="single" w:color="auto" w:sz="4" w:space="0"/>
              <w:bottom w:val="single" w:color="auto" w:sz="4" w:space="0"/>
              <w:right w:val="single" w:color="auto" w:sz="4" w:space="0"/>
            </w:tcBorders>
            <w:noWrap w:val="0"/>
            <w:vAlign w:val="top"/>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59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42" w:hRule="atLeast"/>
          <w:jc w:val="center"/>
        </w:trPr>
        <w:tc>
          <w:tcPr>
            <w:tcW w:w="3036" w:type="dxa"/>
            <w:gridSpan w:val="3"/>
            <w:tcBorders>
              <w:top w:val="single" w:color="auto" w:sz="4" w:space="0"/>
              <w:left w:val="single" w:color="auto" w:sz="8" w:space="0"/>
              <w:bottom w:val="single" w:color="auto" w:sz="8"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检查人签字：</w:t>
            </w:r>
          </w:p>
        </w:tc>
        <w:tc>
          <w:tcPr>
            <w:tcW w:w="3037"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被检查单位签字：</w:t>
            </w:r>
          </w:p>
        </w:tc>
        <w:tc>
          <w:tcPr>
            <w:tcW w:w="1306"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得分</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扣分</w:t>
            </w:r>
          </w:p>
          <w:p>
            <w:pPr>
              <w:adjustRightInd w:val="0"/>
              <w:snapToGrid w:val="0"/>
              <w:spacing w:line="280" w:lineRule="exact"/>
              <w:jc w:val="center"/>
              <w:rPr>
                <w:rFonts w:eastAsia="仿宋_GB2312"/>
                <w:color w:val="000000"/>
                <w:spacing w:val="-2"/>
                <w:kern w:val="0"/>
                <w:szCs w:val="21"/>
              </w:rPr>
            </w:pPr>
            <w:r>
              <w:rPr>
                <w:rFonts w:hint="eastAsia" w:eastAsia="仿宋_GB2312"/>
                <w:color w:val="000000"/>
                <w:spacing w:val="-2"/>
                <w:kern w:val="0"/>
                <w:szCs w:val="21"/>
              </w:rPr>
              <w:t>情况</w:t>
            </w:r>
          </w:p>
        </w:tc>
        <w:tc>
          <w:tcPr>
            <w:tcW w:w="592" w:type="dxa"/>
            <w:tcBorders>
              <w:top w:val="single" w:color="auto" w:sz="4" w:space="0"/>
              <w:left w:val="single" w:color="auto" w:sz="4" w:space="0"/>
              <w:bottom w:val="single" w:color="auto" w:sz="8" w:space="0"/>
              <w:right w:val="single" w:color="auto" w:sz="4" w:space="0"/>
            </w:tcBorders>
            <w:noWrap w:val="0"/>
            <w:vAlign w:val="top"/>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592"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8" w:space="0"/>
              <w:right w:val="single" w:color="auto" w:sz="8" w:space="0"/>
            </w:tcBorders>
            <w:noWrap w:val="0"/>
            <w:vAlign w:val="center"/>
          </w:tcPr>
          <w:p>
            <w:pPr>
              <w:adjustRightInd w:val="0"/>
              <w:snapToGrid w:val="0"/>
              <w:spacing w:line="280" w:lineRule="exact"/>
              <w:rPr>
                <w:rFonts w:eastAsia="仿宋_GB2312"/>
                <w:color w:val="000000"/>
                <w:spacing w:val="-2"/>
                <w:kern w:val="0"/>
                <w:szCs w:val="21"/>
              </w:rPr>
            </w:pPr>
            <w:r>
              <w:rPr>
                <w:rFonts w:hint="eastAsia" w:eastAsia="仿宋_GB2312"/>
                <w:color w:val="000000"/>
                <w:spacing w:val="-2"/>
                <w:kern w:val="0"/>
                <w:szCs w:val="21"/>
              </w:rPr>
              <w:t>　</w:t>
            </w:r>
          </w:p>
        </w:tc>
      </w:tr>
    </w:tbl>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hAnsi="Times New Roman" w:eastAsia="黑体"/>
          <w:bCs/>
          <w:color w:val="000000"/>
          <w:spacing w:val="-2"/>
        </w:rPr>
        <w:br w:type="column"/>
      </w:r>
      <w:r>
        <w:rPr>
          <w:rFonts w:hint="eastAsia" w:ascii="Times New Roman" w:hAnsi="Times New Roman" w:eastAsia="方正黑体_GBK"/>
          <w:bCs/>
          <w:color w:val="000000"/>
          <w:spacing w:val="-2"/>
          <w:sz w:val="28"/>
          <w:szCs w:val="28"/>
        </w:rPr>
        <w:t>建筑市场综合考核用表之六</w:t>
      </w:r>
    </w:p>
    <w:p>
      <w:pPr>
        <w:adjustRightInd w:val="0"/>
        <w:snapToGrid w:val="0"/>
        <w:spacing w:line="570" w:lineRule="exact"/>
        <w:ind w:firstLine="118" w:firstLineChars="50"/>
        <w:rPr>
          <w:rFonts w:hint="eastAsia" w:ascii="Times New Roman" w:hAnsi="Times New Roman" w:eastAsia="仿宋_GB2312"/>
          <w:bCs/>
          <w:color w:val="000000"/>
          <w:spacing w:val="-2"/>
          <w:kern w:val="0"/>
          <w:sz w:val="24"/>
        </w:rPr>
      </w:pPr>
      <w:r>
        <w:rPr>
          <w:rFonts w:hint="eastAsia" w:ascii="Times New Roman" w:hAnsi="Times New Roman" w:eastAsia="仿宋_GB2312"/>
          <w:bCs/>
          <w:color w:val="000000"/>
          <w:spacing w:val="-2"/>
          <w:kern w:val="0"/>
          <w:sz w:val="24"/>
        </w:rPr>
        <w:t>项目编号：                                          检查日期：</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40"/>
        <w:gridCol w:w="1512"/>
        <w:gridCol w:w="3488"/>
        <w:gridCol w:w="1081"/>
        <w:gridCol w:w="703"/>
        <w:gridCol w:w="704"/>
        <w:gridCol w:w="10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208" w:type="dxa"/>
            <w:gridSpan w:val="7"/>
            <w:tcBorders>
              <w:top w:val="single" w:color="auto" w:sz="8" w:space="0"/>
              <w:left w:val="single" w:color="auto" w:sz="8" w:space="0"/>
              <w:bottom w:val="single" w:color="auto" w:sz="4" w:space="0"/>
              <w:right w:val="single" w:color="auto" w:sz="8" w:space="0"/>
            </w:tcBorders>
            <w:noWrap w:val="0"/>
            <w:vAlign w:val="center"/>
          </w:tcPr>
          <w:p>
            <w:pPr>
              <w:adjustRightInd w:val="0"/>
              <w:snapToGrid w:val="0"/>
              <w:spacing w:line="340" w:lineRule="exact"/>
              <w:rPr>
                <w:rFonts w:eastAsia="仿宋_GB2312"/>
                <w:b/>
                <w:bCs/>
                <w:color w:val="000000"/>
                <w:spacing w:val="-2"/>
                <w:kern w:val="0"/>
                <w:szCs w:val="21"/>
              </w:rPr>
            </w:pPr>
            <w:r>
              <w:rPr>
                <w:rFonts w:hint="eastAsia" w:eastAsia="仿宋_GB2312"/>
                <w:b/>
                <w:bCs/>
                <w:color w:val="000000"/>
                <w:spacing w:val="-2"/>
                <w:kern w:val="0"/>
                <w:szCs w:val="21"/>
              </w:rPr>
              <w:t>建设单位（</w:t>
            </w:r>
            <w:r>
              <w:rPr>
                <w:rFonts w:eastAsia="仿宋_GB2312"/>
                <w:b/>
                <w:bCs/>
                <w:color w:val="000000"/>
                <w:spacing w:val="-2"/>
                <w:kern w:val="0"/>
                <w:szCs w:val="21"/>
              </w:rPr>
              <w:t>100</w:t>
            </w:r>
            <w:r>
              <w:rPr>
                <w:rFonts w:hint="eastAsia" w:eastAsia="仿宋_GB2312"/>
                <w:b/>
                <w:bCs/>
                <w:color w:val="000000"/>
                <w:spacing w:val="-2"/>
                <w:kern w:val="0"/>
                <w:szCs w:val="21"/>
              </w:rPr>
              <w:t>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640"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序号</w:t>
            </w:r>
          </w:p>
        </w:tc>
        <w:tc>
          <w:tcPr>
            <w:tcW w:w="151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检查项目</w:t>
            </w:r>
          </w:p>
        </w:tc>
        <w:tc>
          <w:tcPr>
            <w:tcW w:w="348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检查内容</w:t>
            </w:r>
          </w:p>
        </w:tc>
        <w:tc>
          <w:tcPr>
            <w:tcW w:w="1081"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扣分标准</w:t>
            </w:r>
          </w:p>
        </w:tc>
        <w:tc>
          <w:tcPr>
            <w:tcW w:w="70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w:t>
            </w:r>
          </w:p>
        </w:tc>
        <w:tc>
          <w:tcPr>
            <w:tcW w:w="70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得分</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扣分原因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0" w:hRule="atLeast"/>
          <w:jc w:val="center"/>
        </w:trPr>
        <w:tc>
          <w:tcPr>
            <w:tcW w:w="640"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1</w:t>
            </w:r>
          </w:p>
        </w:tc>
        <w:tc>
          <w:tcPr>
            <w:tcW w:w="1512"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建设管理</w:t>
            </w:r>
          </w:p>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行为</w:t>
            </w:r>
          </w:p>
        </w:tc>
        <w:tc>
          <w:tcPr>
            <w:tcW w:w="348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项目开工前，应组织设计、施工、监理等单位召开第一次施工现场工地会议。（</w:t>
            </w:r>
            <w:r>
              <w:rPr>
                <w:rFonts w:eastAsia="仿宋_GB2312"/>
                <w:color w:val="000000"/>
                <w:spacing w:val="-2"/>
                <w:kern w:val="0"/>
                <w:szCs w:val="21"/>
              </w:rPr>
              <w:t>10</w:t>
            </w:r>
            <w:r>
              <w:rPr>
                <w:rFonts w:hint="eastAsia" w:eastAsia="仿宋_GB2312"/>
                <w:color w:val="000000"/>
                <w:spacing w:val="-2"/>
                <w:kern w:val="0"/>
                <w:szCs w:val="21"/>
              </w:rPr>
              <w:t>分）</w:t>
            </w:r>
          </w:p>
        </w:tc>
        <w:tc>
          <w:tcPr>
            <w:tcW w:w="1081"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未达到</w:t>
            </w:r>
          </w:p>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扣</w:t>
            </w:r>
            <w:r>
              <w:rPr>
                <w:rFonts w:eastAsia="仿宋_GB2312"/>
                <w:color w:val="000000"/>
                <w:spacing w:val="-2"/>
                <w:kern w:val="0"/>
                <w:szCs w:val="21"/>
              </w:rPr>
              <w:t>10</w:t>
            </w:r>
            <w:r>
              <w:rPr>
                <w:rFonts w:hint="eastAsia" w:eastAsia="仿宋_GB2312"/>
                <w:color w:val="000000"/>
                <w:spacing w:val="-2"/>
                <w:kern w:val="0"/>
                <w:szCs w:val="21"/>
              </w:rPr>
              <w:t>分</w:t>
            </w:r>
          </w:p>
        </w:tc>
        <w:tc>
          <w:tcPr>
            <w:tcW w:w="70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70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0" w:hRule="atLeast"/>
          <w:jc w:val="center"/>
        </w:trPr>
        <w:tc>
          <w:tcPr>
            <w:tcW w:w="640"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2</w:t>
            </w:r>
          </w:p>
        </w:tc>
        <w:tc>
          <w:tcPr>
            <w:tcW w:w="1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应按经备案签证的监理合同约定支付监理服务费用（提供支付凭证）。</w:t>
            </w:r>
          </w:p>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w:t>
            </w:r>
            <w:r>
              <w:rPr>
                <w:rFonts w:eastAsia="仿宋_GB2312"/>
                <w:color w:val="000000"/>
                <w:spacing w:val="-2"/>
                <w:kern w:val="0"/>
                <w:szCs w:val="21"/>
              </w:rPr>
              <w:t>30</w:t>
            </w:r>
            <w:r>
              <w:rPr>
                <w:rFonts w:hint="eastAsia" w:eastAsia="仿宋_GB2312"/>
                <w:color w:val="000000"/>
                <w:spacing w:val="-2"/>
                <w:kern w:val="0"/>
                <w:szCs w:val="21"/>
              </w:rPr>
              <w:t>分）</w:t>
            </w:r>
          </w:p>
        </w:tc>
        <w:tc>
          <w:tcPr>
            <w:tcW w:w="1081"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未达到</w:t>
            </w:r>
          </w:p>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扣</w:t>
            </w:r>
            <w:r>
              <w:rPr>
                <w:rFonts w:eastAsia="仿宋_GB2312"/>
                <w:color w:val="000000"/>
                <w:spacing w:val="-2"/>
                <w:kern w:val="0"/>
                <w:szCs w:val="21"/>
              </w:rPr>
              <w:t>30</w:t>
            </w:r>
            <w:r>
              <w:rPr>
                <w:rFonts w:hint="eastAsia" w:eastAsia="仿宋_GB2312"/>
                <w:color w:val="000000"/>
                <w:spacing w:val="-2"/>
                <w:kern w:val="0"/>
                <w:szCs w:val="21"/>
              </w:rPr>
              <w:t>分</w:t>
            </w:r>
          </w:p>
        </w:tc>
        <w:tc>
          <w:tcPr>
            <w:tcW w:w="70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70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0" w:hRule="atLeast"/>
          <w:jc w:val="center"/>
        </w:trPr>
        <w:tc>
          <w:tcPr>
            <w:tcW w:w="640"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3</w:t>
            </w:r>
          </w:p>
        </w:tc>
        <w:tc>
          <w:tcPr>
            <w:tcW w:w="1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不得违反工程强制性标准，明示或暗示设计或施工单位变更或降低建筑节能要求。（</w:t>
            </w:r>
            <w:r>
              <w:rPr>
                <w:rFonts w:eastAsia="仿宋_GB2312"/>
                <w:color w:val="000000"/>
                <w:spacing w:val="-2"/>
                <w:kern w:val="0"/>
                <w:szCs w:val="21"/>
              </w:rPr>
              <w:t>20</w:t>
            </w:r>
            <w:r>
              <w:rPr>
                <w:rFonts w:hint="eastAsia" w:eastAsia="仿宋_GB2312"/>
                <w:color w:val="000000"/>
                <w:spacing w:val="-2"/>
                <w:kern w:val="0"/>
                <w:szCs w:val="21"/>
              </w:rPr>
              <w:t>分）</w:t>
            </w:r>
          </w:p>
        </w:tc>
        <w:tc>
          <w:tcPr>
            <w:tcW w:w="1081"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未达到</w:t>
            </w:r>
          </w:p>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扣</w:t>
            </w:r>
            <w:r>
              <w:rPr>
                <w:rFonts w:eastAsia="仿宋_GB2312"/>
                <w:color w:val="000000"/>
                <w:spacing w:val="-2"/>
                <w:kern w:val="0"/>
                <w:szCs w:val="21"/>
              </w:rPr>
              <w:t>20</w:t>
            </w:r>
            <w:r>
              <w:rPr>
                <w:rFonts w:hint="eastAsia" w:eastAsia="仿宋_GB2312"/>
                <w:color w:val="000000"/>
                <w:spacing w:val="-2"/>
                <w:kern w:val="0"/>
                <w:szCs w:val="21"/>
              </w:rPr>
              <w:t>分</w:t>
            </w:r>
          </w:p>
        </w:tc>
        <w:tc>
          <w:tcPr>
            <w:tcW w:w="70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70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0" w:hRule="atLeast"/>
          <w:jc w:val="center"/>
        </w:trPr>
        <w:tc>
          <w:tcPr>
            <w:tcW w:w="640"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4</w:t>
            </w:r>
          </w:p>
        </w:tc>
        <w:tc>
          <w:tcPr>
            <w:tcW w:w="1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不得违反工程强制性标准，明示或暗示设计或施工单位变更或降低工程质量安全要求。（</w:t>
            </w:r>
            <w:r>
              <w:rPr>
                <w:rFonts w:eastAsia="仿宋_GB2312"/>
                <w:color w:val="000000"/>
                <w:spacing w:val="-2"/>
                <w:kern w:val="0"/>
                <w:szCs w:val="21"/>
              </w:rPr>
              <w:t>20</w:t>
            </w:r>
            <w:r>
              <w:rPr>
                <w:rFonts w:hint="eastAsia" w:eastAsia="仿宋_GB2312"/>
                <w:color w:val="000000"/>
                <w:spacing w:val="-2"/>
                <w:kern w:val="0"/>
                <w:szCs w:val="21"/>
              </w:rPr>
              <w:t>分）</w:t>
            </w:r>
          </w:p>
        </w:tc>
        <w:tc>
          <w:tcPr>
            <w:tcW w:w="1081"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未达到</w:t>
            </w:r>
          </w:p>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扣</w:t>
            </w:r>
            <w:r>
              <w:rPr>
                <w:rFonts w:eastAsia="仿宋_GB2312"/>
                <w:color w:val="000000"/>
                <w:spacing w:val="-2"/>
                <w:kern w:val="0"/>
                <w:szCs w:val="21"/>
              </w:rPr>
              <w:t>20</w:t>
            </w:r>
            <w:r>
              <w:rPr>
                <w:rFonts w:hint="eastAsia" w:eastAsia="仿宋_GB2312"/>
                <w:color w:val="000000"/>
                <w:spacing w:val="-2"/>
                <w:kern w:val="0"/>
                <w:szCs w:val="21"/>
              </w:rPr>
              <w:t>分</w:t>
            </w:r>
          </w:p>
        </w:tc>
        <w:tc>
          <w:tcPr>
            <w:tcW w:w="70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70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50" w:hRule="atLeast"/>
          <w:jc w:val="center"/>
        </w:trPr>
        <w:tc>
          <w:tcPr>
            <w:tcW w:w="640"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eastAsia="仿宋_GB2312"/>
                <w:color w:val="000000"/>
                <w:spacing w:val="-2"/>
                <w:kern w:val="0"/>
                <w:szCs w:val="21"/>
              </w:rPr>
              <w:t>5</w:t>
            </w:r>
          </w:p>
        </w:tc>
        <w:tc>
          <w:tcPr>
            <w:tcW w:w="151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eastAsia="仿宋_GB2312"/>
                <w:color w:val="000000"/>
                <w:spacing w:val="-2"/>
                <w:kern w:val="0"/>
                <w:szCs w:val="21"/>
              </w:rPr>
            </w:pPr>
          </w:p>
        </w:tc>
        <w:tc>
          <w:tcPr>
            <w:tcW w:w="3488"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不得明示或暗示施工单位使用不合格的建筑材料、建筑构配件和设备。（</w:t>
            </w:r>
            <w:r>
              <w:rPr>
                <w:rFonts w:eastAsia="仿宋_GB2312"/>
                <w:color w:val="000000"/>
                <w:spacing w:val="-2"/>
                <w:kern w:val="0"/>
                <w:szCs w:val="21"/>
              </w:rPr>
              <w:t>20</w:t>
            </w:r>
            <w:r>
              <w:rPr>
                <w:rFonts w:hint="eastAsia" w:eastAsia="仿宋_GB2312"/>
                <w:color w:val="000000"/>
                <w:spacing w:val="-2"/>
                <w:kern w:val="0"/>
                <w:szCs w:val="21"/>
              </w:rPr>
              <w:t>分）</w:t>
            </w:r>
          </w:p>
        </w:tc>
        <w:tc>
          <w:tcPr>
            <w:tcW w:w="1081"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未达到</w:t>
            </w:r>
          </w:p>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扣</w:t>
            </w:r>
            <w:r>
              <w:rPr>
                <w:rFonts w:eastAsia="仿宋_GB2312"/>
                <w:color w:val="000000"/>
                <w:spacing w:val="-2"/>
                <w:kern w:val="0"/>
                <w:szCs w:val="21"/>
              </w:rPr>
              <w:t>20</w:t>
            </w:r>
            <w:r>
              <w:rPr>
                <w:rFonts w:hint="eastAsia" w:eastAsia="仿宋_GB2312"/>
                <w:color w:val="000000"/>
                <w:spacing w:val="-2"/>
                <w:kern w:val="0"/>
                <w:szCs w:val="21"/>
              </w:rPr>
              <w:t>分</w:t>
            </w:r>
          </w:p>
        </w:tc>
        <w:tc>
          <w:tcPr>
            <w:tcW w:w="70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70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47" w:hRule="atLeast"/>
          <w:jc w:val="center"/>
        </w:trPr>
        <w:tc>
          <w:tcPr>
            <w:tcW w:w="2152" w:type="dxa"/>
            <w:gridSpan w:val="2"/>
            <w:tcBorders>
              <w:top w:val="single" w:color="auto" w:sz="4" w:space="0"/>
              <w:left w:val="single" w:color="auto" w:sz="8" w:space="0"/>
              <w:bottom w:val="single" w:color="auto" w:sz="8"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检查人签字：</w:t>
            </w:r>
          </w:p>
        </w:tc>
        <w:tc>
          <w:tcPr>
            <w:tcW w:w="3488"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被检查单位签字：</w:t>
            </w:r>
          </w:p>
        </w:tc>
        <w:tc>
          <w:tcPr>
            <w:tcW w:w="1081"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得分扣分</w:t>
            </w:r>
          </w:p>
          <w:p>
            <w:pPr>
              <w:adjustRightInd w:val="0"/>
              <w:snapToGrid w:val="0"/>
              <w:spacing w:line="340" w:lineRule="exact"/>
              <w:jc w:val="center"/>
              <w:rPr>
                <w:rFonts w:eastAsia="仿宋_GB2312"/>
                <w:color w:val="000000"/>
                <w:spacing w:val="-2"/>
                <w:kern w:val="0"/>
                <w:szCs w:val="21"/>
              </w:rPr>
            </w:pPr>
            <w:r>
              <w:rPr>
                <w:rFonts w:hint="eastAsia" w:eastAsia="仿宋_GB2312"/>
                <w:color w:val="000000"/>
                <w:spacing w:val="-2"/>
                <w:kern w:val="0"/>
                <w:szCs w:val="21"/>
              </w:rPr>
              <w:t>情况</w:t>
            </w:r>
          </w:p>
        </w:tc>
        <w:tc>
          <w:tcPr>
            <w:tcW w:w="703"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704"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c>
          <w:tcPr>
            <w:tcW w:w="1080" w:type="dxa"/>
            <w:tcBorders>
              <w:top w:val="single" w:color="auto" w:sz="4" w:space="0"/>
              <w:left w:val="single" w:color="auto" w:sz="4" w:space="0"/>
              <w:bottom w:val="single" w:color="auto" w:sz="8" w:space="0"/>
              <w:right w:val="single" w:color="auto" w:sz="8" w:space="0"/>
            </w:tcBorders>
            <w:noWrap w:val="0"/>
            <w:vAlign w:val="center"/>
          </w:tcPr>
          <w:p>
            <w:pPr>
              <w:adjustRightInd w:val="0"/>
              <w:snapToGrid w:val="0"/>
              <w:spacing w:line="340" w:lineRule="exact"/>
              <w:rPr>
                <w:rFonts w:eastAsia="仿宋_GB2312"/>
                <w:color w:val="000000"/>
                <w:spacing w:val="-2"/>
                <w:kern w:val="0"/>
                <w:szCs w:val="21"/>
              </w:rPr>
            </w:pPr>
            <w:r>
              <w:rPr>
                <w:rFonts w:hint="eastAsia" w:eastAsia="仿宋_GB2312"/>
                <w:color w:val="000000"/>
                <w:spacing w:val="-2"/>
                <w:kern w:val="0"/>
                <w:szCs w:val="21"/>
              </w:rPr>
              <w:t>　</w:t>
            </w:r>
          </w:p>
        </w:tc>
      </w:tr>
    </w:tbl>
    <w:p>
      <w:pPr>
        <w:adjustRightInd w:val="0"/>
        <w:snapToGrid w:val="0"/>
        <w:spacing w:line="570" w:lineRule="exact"/>
        <w:jc w:val="center"/>
        <w:rPr>
          <w:rFonts w:hint="eastAsia" w:ascii="Times New Roman" w:hAnsi="Times New Roman" w:eastAsia="仿宋"/>
          <w:b/>
          <w:bCs/>
          <w:color w:val="000000"/>
          <w:spacing w:val="-2"/>
          <w:kern w:val="0"/>
          <w:sz w:val="32"/>
          <w:szCs w:val="32"/>
        </w:rPr>
      </w:pPr>
    </w:p>
    <w:p>
      <w:pPr>
        <w:pStyle w:val="7"/>
        <w:adjustRightInd w:val="0"/>
        <w:snapToGrid w:val="0"/>
        <w:spacing w:line="570" w:lineRule="exact"/>
        <w:jc w:val="center"/>
        <w:rPr>
          <w:rFonts w:hint="eastAsia" w:ascii="Times New Roman" w:hAnsi="Times New Roman" w:eastAsia="方正黑体_GBK"/>
          <w:bCs/>
          <w:color w:val="000000"/>
          <w:spacing w:val="-2"/>
          <w:sz w:val="28"/>
          <w:szCs w:val="28"/>
        </w:rPr>
      </w:pPr>
      <w:r>
        <w:rPr>
          <w:rFonts w:hint="eastAsia" w:ascii="Times New Roman" w:eastAsia="仿宋"/>
          <w:b/>
          <w:bCs/>
          <w:color w:val="000000"/>
          <w:spacing w:val="-2"/>
        </w:rPr>
        <w:br w:type="column"/>
      </w:r>
      <w:r>
        <w:rPr>
          <w:rFonts w:hint="eastAsia" w:ascii="Times New Roman" w:hAnsi="Times New Roman" w:eastAsia="方正黑体_GBK"/>
          <w:bCs/>
          <w:color w:val="000000"/>
          <w:spacing w:val="-2"/>
          <w:sz w:val="28"/>
          <w:szCs w:val="28"/>
        </w:rPr>
        <w:t>建筑市场综合考核用表之六（监理）</w:t>
      </w:r>
    </w:p>
    <w:p>
      <w:pPr>
        <w:adjustRightInd w:val="0"/>
        <w:snapToGrid w:val="0"/>
        <w:spacing w:line="570" w:lineRule="exact"/>
        <w:rPr>
          <w:rFonts w:hint="eastAsia" w:ascii="Times New Roman" w:hAnsi="Times New Roman" w:eastAsia="仿宋_GB2312"/>
          <w:bCs/>
          <w:color w:val="000000"/>
          <w:spacing w:val="-2"/>
          <w:kern w:val="0"/>
          <w:sz w:val="24"/>
        </w:rPr>
      </w:pPr>
      <w:r>
        <w:rPr>
          <w:rFonts w:hint="eastAsia" w:ascii="Times New Roman" w:hAnsi="Times New Roman" w:eastAsia="仿宋_GB2312"/>
          <w:color w:val="000000"/>
          <w:spacing w:val="-2"/>
          <w:kern w:val="0"/>
          <w:sz w:val="24"/>
        </w:rPr>
        <w:t>项目编号：</w:t>
      </w:r>
      <w:r>
        <w:rPr>
          <w:rFonts w:hint="eastAsia" w:ascii="Times New Roman" w:hAnsi="Times New Roman" w:eastAsia="仿宋_GB2312"/>
          <w:bCs/>
          <w:color w:val="000000"/>
          <w:spacing w:val="-2"/>
          <w:kern w:val="0"/>
          <w:sz w:val="24"/>
        </w:rPr>
        <w:t xml:space="preserve">                                </w:t>
      </w:r>
      <w:r>
        <w:rPr>
          <w:rFonts w:hint="eastAsia" w:ascii="Times New Roman" w:hAnsi="Times New Roman" w:eastAsia="仿宋_GB2312"/>
          <w:color w:val="000000"/>
          <w:spacing w:val="-2"/>
          <w:kern w:val="0"/>
          <w:sz w:val="24"/>
        </w:rPr>
        <w:t>检查日期：</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20"/>
        <w:gridCol w:w="820"/>
        <w:gridCol w:w="230"/>
        <w:gridCol w:w="1785"/>
        <w:gridCol w:w="1785"/>
        <w:gridCol w:w="1396"/>
        <w:gridCol w:w="793"/>
        <w:gridCol w:w="794"/>
        <w:gridCol w:w="735"/>
        <w:gridCol w:w="76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26" w:hRule="atLeast"/>
          <w:tblHeader/>
          <w:jc w:val="center"/>
        </w:trPr>
        <w:tc>
          <w:tcPr>
            <w:tcW w:w="420" w:type="dxa"/>
            <w:tcBorders>
              <w:top w:val="single" w:color="auto" w:sz="8" w:space="0"/>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序号</w:t>
            </w:r>
          </w:p>
        </w:tc>
        <w:tc>
          <w:tcPr>
            <w:tcW w:w="820" w:type="dxa"/>
            <w:tcBorders>
              <w:top w:val="single" w:color="auto" w:sz="8"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检查</w:t>
            </w:r>
          </w:p>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项目</w:t>
            </w:r>
          </w:p>
        </w:tc>
        <w:tc>
          <w:tcPr>
            <w:tcW w:w="5196" w:type="dxa"/>
            <w:gridSpan w:val="4"/>
            <w:tcBorders>
              <w:top w:val="single" w:color="auto" w:sz="8"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检查内容和分值分配</w:t>
            </w:r>
          </w:p>
        </w:tc>
        <w:tc>
          <w:tcPr>
            <w:tcW w:w="1587" w:type="dxa"/>
            <w:gridSpan w:val="2"/>
            <w:tcBorders>
              <w:top w:val="single" w:color="auto" w:sz="8"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扣分（对不符合规定的条款，扣除相应分值）</w:t>
            </w:r>
          </w:p>
        </w:tc>
        <w:tc>
          <w:tcPr>
            <w:tcW w:w="735" w:type="dxa"/>
            <w:tcBorders>
              <w:top w:val="single" w:color="auto" w:sz="8"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得分</w:t>
            </w:r>
          </w:p>
        </w:tc>
        <w:tc>
          <w:tcPr>
            <w:tcW w:w="766" w:type="dxa"/>
            <w:tcBorders>
              <w:top w:val="single" w:color="auto" w:sz="8" w:space="0"/>
              <w:left w:val="single" w:color="auto" w:sz="4" w:space="0"/>
              <w:bottom w:val="single" w:color="auto" w:sz="4" w:space="0"/>
              <w:right w:val="single" w:color="auto" w:sz="8" w:space="0"/>
            </w:tcBorders>
            <w:noWrap w:val="0"/>
            <w:vAlign w:val="center"/>
          </w:tcPr>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扣分</w:t>
            </w:r>
          </w:p>
          <w:p>
            <w:pPr>
              <w:adjustRightInd w:val="0"/>
              <w:snapToGrid w:val="0"/>
              <w:spacing w:line="240" w:lineRule="exact"/>
              <w:jc w:val="center"/>
              <w:rPr>
                <w:rFonts w:ascii="Times New Roman" w:hAnsi="Times New Roman" w:eastAsia="方正黑体_GBK"/>
                <w:color w:val="000000"/>
                <w:spacing w:val="-2"/>
                <w:kern w:val="0"/>
                <w:szCs w:val="21"/>
              </w:rPr>
            </w:pPr>
            <w:r>
              <w:rPr>
                <w:rFonts w:hint="eastAsia" w:ascii="Times New Roman" w:hAnsi="Times New Roman" w:eastAsia="方正黑体_GBK"/>
                <w:color w:val="000000"/>
                <w:spacing w:val="-2"/>
                <w:kern w:val="0"/>
                <w:szCs w:val="21"/>
              </w:rPr>
              <w:t>原因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420"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一</w:t>
            </w:r>
          </w:p>
        </w:tc>
        <w:tc>
          <w:tcPr>
            <w:tcW w:w="820"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现场监理人员和监理机构管理（25分）</w:t>
            </w: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1.监理规划的编制、审核等均应符合监理规范规定，并严格执行（2分）。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2.监理实施细则的编制、审核等应符合监理规范规定，并严格执行（2分）。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3.项目监理部的监理工作制度、工作流程等应制成图牌上墙，内容完整（1分）；办公环境整洁（1分）。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4.中标总监应按要求到岗（3分）；变更时手续必须完整（1分）（无变更时总分为4分）。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5. 现场监理人员应按要求到岗（2分）；人员变更时手续必须完整（1分）。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6.正确使用《江苏省建设工程施工阶段监理现场用表》的有效版本（2分），监理资料真实、完整、准确（1分）。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7"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7.监理日记记录的内容归类正确、完整、连续（1分）；总监及时审阅和签名（1分）。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8.项目监理部应按监理规范的要求对分包单位资格进行审查（2分）。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9.按规定编制监理月报，内容齐全（3分）。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10.对建设、施工单位违规行为应提出监理书面意见，并按规定上报（2分）。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420"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二</w:t>
            </w:r>
          </w:p>
        </w:tc>
        <w:tc>
          <w:tcPr>
            <w:tcW w:w="820"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质量控制（35分）</w:t>
            </w: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1.应结合工程特点编制巡视、旁站和平行检查方案，并分别做好书面记录（2分）。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2.按规定时限对施工组织设计提出完整的审核意见，并严格督促施工单位执行（2分）。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3.工程材料、构配件和设备进场应按规定报验（1分）；不得将不合格或未经复试合格的材料、构配件、设备按合格同意使用（3分）。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4.严格执行检测见证取样制度，不得弄虚作假（2分）。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5.按规定参加设计交底及图纸会审（2分）。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6.对检验批（分项工程）的验收应按规范规定进行（3分）。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7.严格按规定进行工序把关，上道工序未经验收合格不得进入下道工序施工（2分）。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8.工程变更符合监理规范要求（2分）；涉及重大设计变更内容的应督促审图（1分）。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9.现场工程质量状况与监理资料记录一致（3分）；现场实体观感质量：优（8—12分），中（4—8分），差（0—4分）。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420" w:type="dxa"/>
            <w:vMerge w:val="restart"/>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三</w:t>
            </w:r>
          </w:p>
        </w:tc>
        <w:tc>
          <w:tcPr>
            <w:tcW w:w="820" w:type="dxa"/>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安全生产（35分）</w:t>
            </w: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1.按规定编制安全监理方案并严格执行（3分）。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2"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2.按规定审查危险性较大的分部分项工程的专项施工方案或超过一定规模的危险性较大分部分项工程经过专家论证的专项施工方案（2分）。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3.危险性较大的分部分项工程或超过一定规模的危险性较大的分部分项工程应按规定单独编制安全监理实施细则（2分）。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4.按规定审核施工现场三类人员及特种作业人员上岗证和资格证（2分）。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5.按规定审查施工机械和设备的验收手续（2分）。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6.应定期进行安全生产和文明施工检查（2分）；发现安全隐患，应及时发出监理工程师通知单（2分）；对施工企业拒不整改的，应按规定上报（3分）。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7.按规定审查分包单位的安全生产责任制、各种规章制度建立情况，并有检查记录（2分）。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15" w:hRule="atLeast"/>
          <w:jc w:val="center"/>
        </w:trPr>
        <w:tc>
          <w:tcPr>
            <w:tcW w:w="42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82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8.现场的安全文明施工状况与监理资料记录一致（3分）；现场安全文明施工，优（8—12分），中（4—8分），差（0—4分）。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420"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四</w:t>
            </w:r>
          </w:p>
        </w:tc>
        <w:tc>
          <w:tcPr>
            <w:tcW w:w="82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进度控制（2.5分）</w:t>
            </w: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 按规定审核施工阶段进度计划，对不符合总进度要求的，督促施工单位采取有效措施（2.5分）。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59" w:hRule="atLeast"/>
          <w:jc w:val="center"/>
        </w:trPr>
        <w:tc>
          <w:tcPr>
            <w:tcW w:w="420" w:type="dxa"/>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五</w:t>
            </w:r>
          </w:p>
        </w:tc>
        <w:tc>
          <w:tcPr>
            <w:tcW w:w="82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造价控制（2.5分）</w:t>
            </w:r>
          </w:p>
        </w:tc>
        <w:tc>
          <w:tcPr>
            <w:tcW w:w="5196" w:type="dxa"/>
            <w:gridSpan w:val="4"/>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1.按施工合同约定，进行工程计量支付监管（2.5分）。</w:t>
            </w:r>
          </w:p>
        </w:tc>
        <w:tc>
          <w:tcPr>
            <w:tcW w:w="1587" w:type="dxa"/>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66" w:type="dxa"/>
            <w:tcBorders>
              <w:top w:val="single" w:color="auto" w:sz="4" w:space="0"/>
              <w:left w:val="single" w:color="auto" w:sz="4" w:space="0"/>
              <w:bottom w:val="single" w:color="auto" w:sz="4"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1470" w:type="dxa"/>
            <w:gridSpan w:val="3"/>
            <w:tcBorders>
              <w:top w:val="single" w:color="auto" w:sz="4" w:space="0"/>
              <w:left w:val="single" w:color="auto" w:sz="8"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检查人签字</w:t>
            </w:r>
          </w:p>
        </w:tc>
        <w:tc>
          <w:tcPr>
            <w:tcW w:w="178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78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被检查单位签字</w:t>
            </w:r>
          </w:p>
        </w:tc>
        <w:tc>
          <w:tcPr>
            <w:tcW w:w="139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93" w:type="dxa"/>
            <w:vMerge w:val="restart"/>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扣分</w:t>
            </w:r>
          </w:p>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情况</w:t>
            </w:r>
          </w:p>
        </w:tc>
        <w:tc>
          <w:tcPr>
            <w:tcW w:w="794" w:type="dxa"/>
            <w:vMerge w:val="restart"/>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p>
        </w:tc>
        <w:tc>
          <w:tcPr>
            <w:tcW w:w="735" w:type="dxa"/>
            <w:vMerge w:val="restart"/>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得分</w:t>
            </w:r>
          </w:p>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情况</w:t>
            </w:r>
          </w:p>
        </w:tc>
        <w:tc>
          <w:tcPr>
            <w:tcW w:w="766" w:type="dxa"/>
            <w:vMerge w:val="restart"/>
            <w:tcBorders>
              <w:top w:val="single" w:color="auto" w:sz="4" w:space="0"/>
              <w:left w:val="single" w:color="auto" w:sz="4" w:space="0"/>
              <w:bottom w:val="single" w:color="auto" w:sz="8" w:space="0"/>
              <w:right w:val="single" w:color="auto" w:sz="8" w:space="0"/>
            </w:tcBorders>
            <w:noWrap w:val="0"/>
            <w:vAlign w:val="center"/>
          </w:tcPr>
          <w:p>
            <w:pPr>
              <w:adjustRightInd w:val="0"/>
              <w:snapToGrid w:val="0"/>
              <w:spacing w:line="240" w:lineRule="exact"/>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6" w:hRule="atLeast"/>
          <w:jc w:val="center"/>
        </w:trPr>
        <w:tc>
          <w:tcPr>
            <w:tcW w:w="1470" w:type="dxa"/>
            <w:gridSpan w:val="3"/>
            <w:tcBorders>
              <w:top w:val="single" w:color="auto" w:sz="4" w:space="0"/>
              <w:left w:val="single" w:color="auto" w:sz="8" w:space="0"/>
              <w:bottom w:val="single" w:color="auto" w:sz="8"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联系电话</w:t>
            </w:r>
          </w:p>
        </w:tc>
        <w:tc>
          <w:tcPr>
            <w:tcW w:w="1785"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1785"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r>
              <w:rPr>
                <w:rFonts w:hint="eastAsia" w:ascii="Times New Roman" w:hAnsi="Times New Roman" w:eastAsia="仿宋_GB2312"/>
                <w:color w:val="000000"/>
                <w:spacing w:val="-2"/>
                <w:kern w:val="0"/>
                <w:szCs w:val="21"/>
              </w:rPr>
              <w:t>联系电话</w:t>
            </w:r>
          </w:p>
        </w:tc>
        <w:tc>
          <w:tcPr>
            <w:tcW w:w="1396" w:type="dxa"/>
            <w:tcBorders>
              <w:top w:val="single" w:color="auto" w:sz="4" w:space="0"/>
              <w:left w:val="single" w:color="auto" w:sz="4" w:space="0"/>
              <w:bottom w:val="single" w:color="auto" w:sz="8" w:space="0"/>
              <w:right w:val="single" w:color="auto" w:sz="4" w:space="0"/>
            </w:tcBorders>
            <w:noWrap w:val="0"/>
            <w:vAlign w:val="center"/>
          </w:tcPr>
          <w:p>
            <w:pPr>
              <w:adjustRightInd w:val="0"/>
              <w:snapToGrid w:val="0"/>
              <w:spacing w:line="240" w:lineRule="exact"/>
              <w:jc w:val="center"/>
              <w:rPr>
                <w:rFonts w:ascii="Times New Roman" w:hAnsi="Times New Roman" w:eastAsia="仿宋_GB2312"/>
                <w:color w:val="000000"/>
                <w:spacing w:val="-2"/>
                <w:kern w:val="0"/>
                <w:szCs w:val="21"/>
              </w:rPr>
            </w:pPr>
          </w:p>
        </w:tc>
        <w:tc>
          <w:tcPr>
            <w:tcW w:w="793"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794"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735"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eastAsia="仿宋_GB2312"/>
                <w:color w:val="000000"/>
                <w:spacing w:val="-2"/>
                <w:kern w:val="0"/>
                <w:szCs w:val="21"/>
              </w:rPr>
            </w:pPr>
          </w:p>
        </w:tc>
        <w:tc>
          <w:tcPr>
            <w:tcW w:w="766" w:type="dxa"/>
            <w:vMerge w:val="continue"/>
            <w:tcBorders>
              <w:top w:val="single" w:color="auto" w:sz="4" w:space="0"/>
              <w:left w:val="single" w:color="auto" w:sz="4" w:space="0"/>
              <w:bottom w:val="single" w:color="auto" w:sz="8" w:space="0"/>
              <w:right w:val="single" w:color="auto" w:sz="8" w:space="0"/>
            </w:tcBorders>
            <w:noWrap w:val="0"/>
            <w:vAlign w:val="center"/>
          </w:tcPr>
          <w:p>
            <w:pPr>
              <w:widowControl/>
              <w:jc w:val="left"/>
              <w:rPr>
                <w:rFonts w:ascii="Times New Roman" w:hAnsi="Times New Roman" w:eastAsia="仿宋_GB2312"/>
                <w:color w:val="000000"/>
                <w:spacing w:val="-2"/>
                <w:kern w:val="0"/>
                <w:szCs w:val="21"/>
              </w:rPr>
            </w:pPr>
          </w:p>
        </w:tc>
      </w:tr>
    </w:tbl>
    <w:p>
      <w:pPr>
        <w:adjustRightInd w:val="0"/>
        <w:snapToGrid w:val="0"/>
        <w:spacing w:line="570" w:lineRule="exact"/>
        <w:rPr>
          <w:rFonts w:hint="eastAsia" w:ascii="Times New Roman" w:hAnsi="Times New Roman" w:eastAsia="仿宋"/>
          <w:color w:val="000000"/>
          <w:spacing w:val="-2"/>
        </w:rPr>
      </w:pPr>
    </w:p>
    <w:p>
      <w:pPr>
        <w:widowControl/>
        <w:spacing w:beforeAutospacing="1" w:afterAutospacing="1"/>
        <w:jc w:val="left"/>
        <w:rPr>
          <w:rFonts w:ascii="Times New Roman" w:hAnsi="Times New Roman" w:eastAsia="仿宋"/>
          <w:color w:val="000000"/>
          <w:spacing w:val="-2"/>
          <w:kern w:val="0"/>
          <w:sz w:val="20"/>
        </w:rPr>
        <w:sectPr>
          <w:pgSz w:w="11906" w:h="16838"/>
          <w:pgMar w:top="1701" w:right="1588" w:bottom="1701" w:left="1588" w:header="851" w:footer="1361" w:gutter="0"/>
          <w:cols w:space="720" w:num="1"/>
        </w:sectPr>
      </w:pPr>
    </w:p>
    <w:p>
      <w:pPr>
        <w:pStyle w:val="7"/>
        <w:adjustRightInd w:val="0"/>
        <w:snapToGrid w:val="0"/>
        <w:spacing w:after="0" w:line="460" w:lineRule="exact"/>
        <w:ind w:left="0" w:leftChars="0" w:firstLine="472" w:firstLineChars="200"/>
        <w:rPr>
          <w:rFonts w:hint="eastAsia" w:eastAsia="方正仿宋_GBK"/>
          <w:color w:val="000000"/>
          <w:spacing w:val="-2"/>
          <w:sz w:val="24"/>
        </w:rPr>
      </w:pPr>
      <w:r>
        <w:rPr>
          <w:rFonts w:hint="eastAsia" w:eastAsia="方正仿宋_GBK"/>
          <w:color w:val="000000"/>
          <w:spacing w:val="-2"/>
          <w:sz w:val="24"/>
        </w:rPr>
        <w:t>三、在建筑市场综合考核中，建筑业企业的工程项目得分按照下列方法计算：</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无专业分包工程的总承包建筑业企业得分</w:t>
      </w:r>
      <w:r>
        <w:rPr>
          <w:rFonts w:eastAsia="方正仿宋_GBK"/>
          <w:color w:val="000000"/>
          <w:spacing w:val="-2"/>
          <w:kern w:val="0"/>
          <w:sz w:val="24"/>
        </w:rPr>
        <w:t xml:space="preserve"> = </w:t>
      </w:r>
      <w:r>
        <w:rPr>
          <w:rFonts w:hint="eastAsia" w:eastAsia="方正仿宋_GBK"/>
          <w:color w:val="000000"/>
          <w:spacing w:val="-2"/>
          <w:kern w:val="0"/>
          <w:sz w:val="24"/>
        </w:rPr>
        <w:t>表三</w:t>
      </w:r>
      <w:r>
        <w:rPr>
          <w:rFonts w:eastAsia="方正仿宋_GBK"/>
          <w:color w:val="000000"/>
          <w:spacing w:val="-2"/>
          <w:kern w:val="0"/>
          <w:sz w:val="24"/>
        </w:rPr>
        <w:t>(</w:t>
      </w:r>
      <w:r>
        <w:rPr>
          <w:rFonts w:hint="eastAsia" w:eastAsia="方正仿宋_GBK"/>
          <w:color w:val="000000"/>
          <w:spacing w:val="-2"/>
          <w:kern w:val="0"/>
          <w:sz w:val="24"/>
        </w:rPr>
        <w:t>项目综合情况</w:t>
      </w:r>
      <w:r>
        <w:rPr>
          <w:rFonts w:eastAsia="方正仿宋_GBK"/>
          <w:color w:val="000000"/>
          <w:spacing w:val="-2"/>
          <w:kern w:val="0"/>
          <w:sz w:val="24"/>
        </w:rPr>
        <w:t>)×30%+</w:t>
      </w:r>
      <w:r>
        <w:rPr>
          <w:rFonts w:hint="eastAsia" w:eastAsia="方正仿宋_GBK"/>
          <w:color w:val="000000"/>
          <w:spacing w:val="-2"/>
          <w:kern w:val="0"/>
          <w:sz w:val="24"/>
        </w:rPr>
        <w:t>表四（二）</w:t>
      </w:r>
      <w:r>
        <w:rPr>
          <w:rFonts w:eastAsia="方正仿宋_GBK"/>
          <w:color w:val="000000"/>
          <w:spacing w:val="-2"/>
          <w:kern w:val="0"/>
          <w:sz w:val="24"/>
        </w:rPr>
        <w:t>×20%+</w:t>
      </w:r>
      <w:r>
        <w:rPr>
          <w:rFonts w:hint="eastAsia" w:eastAsia="方正仿宋_GBK"/>
          <w:color w:val="000000"/>
          <w:spacing w:val="-2"/>
          <w:kern w:val="0"/>
          <w:sz w:val="24"/>
        </w:rPr>
        <w:t>表五（二）</w:t>
      </w:r>
      <w:r>
        <w:rPr>
          <w:rFonts w:eastAsia="方正仿宋_GBK"/>
          <w:color w:val="000000"/>
          <w:spacing w:val="-2"/>
          <w:kern w:val="0"/>
          <w:sz w:val="24"/>
        </w:rPr>
        <w:t>×20%+</w:t>
      </w:r>
      <w:r>
        <w:rPr>
          <w:rFonts w:hint="eastAsia" w:eastAsia="方正仿宋_GBK"/>
          <w:color w:val="000000"/>
          <w:spacing w:val="-2"/>
          <w:kern w:val="0"/>
          <w:sz w:val="24"/>
        </w:rPr>
        <w:t>表四（三）</w:t>
      </w:r>
      <w:r>
        <w:rPr>
          <w:rFonts w:eastAsia="方正仿宋_GBK"/>
          <w:color w:val="000000"/>
          <w:spacing w:val="-2"/>
          <w:kern w:val="0"/>
          <w:sz w:val="24"/>
        </w:rPr>
        <w:t>×15%+</w:t>
      </w:r>
      <w:r>
        <w:rPr>
          <w:rFonts w:hint="eastAsia" w:eastAsia="方正仿宋_GBK"/>
          <w:color w:val="000000"/>
          <w:spacing w:val="-2"/>
          <w:kern w:val="0"/>
          <w:sz w:val="24"/>
        </w:rPr>
        <w:t>表五（三）</w:t>
      </w:r>
      <w:r>
        <w:rPr>
          <w:rFonts w:eastAsia="方正仿宋_GBK"/>
          <w:color w:val="000000"/>
          <w:spacing w:val="-2"/>
          <w:kern w:val="0"/>
          <w:sz w:val="24"/>
        </w:rPr>
        <w:t>×15%</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有专业分包工程的总承包建筑业企业得分</w:t>
      </w:r>
      <w:r>
        <w:rPr>
          <w:rFonts w:eastAsia="方正仿宋_GBK"/>
          <w:color w:val="000000"/>
          <w:spacing w:val="-2"/>
          <w:kern w:val="0"/>
          <w:sz w:val="24"/>
        </w:rPr>
        <w:t xml:space="preserve"> = </w:t>
      </w:r>
      <w:r>
        <w:rPr>
          <w:rFonts w:hint="eastAsia" w:eastAsia="方正仿宋_GBK"/>
          <w:color w:val="000000"/>
          <w:spacing w:val="-2"/>
          <w:kern w:val="0"/>
          <w:sz w:val="24"/>
        </w:rPr>
        <w:t>表三</w:t>
      </w:r>
      <w:r>
        <w:rPr>
          <w:rFonts w:eastAsia="方正仿宋_GBK"/>
          <w:color w:val="000000"/>
          <w:spacing w:val="-2"/>
          <w:kern w:val="0"/>
          <w:sz w:val="24"/>
        </w:rPr>
        <w:t>(</w:t>
      </w:r>
      <w:r>
        <w:rPr>
          <w:rFonts w:hint="eastAsia" w:eastAsia="方正仿宋_GBK"/>
          <w:color w:val="000000"/>
          <w:spacing w:val="-2"/>
          <w:kern w:val="0"/>
          <w:sz w:val="24"/>
        </w:rPr>
        <w:t>项目综合情况</w:t>
      </w:r>
      <w:r>
        <w:rPr>
          <w:rFonts w:eastAsia="方正仿宋_GBK"/>
          <w:color w:val="000000"/>
          <w:spacing w:val="-2"/>
          <w:kern w:val="0"/>
          <w:sz w:val="24"/>
        </w:rPr>
        <w:t>)×20%+</w:t>
      </w:r>
      <w:r>
        <w:rPr>
          <w:rFonts w:hint="eastAsia" w:eastAsia="方正仿宋_GBK"/>
          <w:color w:val="000000"/>
          <w:spacing w:val="-2"/>
          <w:kern w:val="0"/>
          <w:sz w:val="24"/>
        </w:rPr>
        <w:t>表四</w:t>
      </w:r>
      <w:r>
        <w:rPr>
          <w:rFonts w:eastAsia="方正仿宋_GBK"/>
          <w:color w:val="000000"/>
          <w:spacing w:val="-2"/>
          <w:kern w:val="0"/>
          <w:sz w:val="24"/>
        </w:rPr>
        <w:t>(</w:t>
      </w:r>
      <w:r>
        <w:rPr>
          <w:rFonts w:hint="eastAsia" w:eastAsia="方正仿宋_GBK"/>
          <w:color w:val="000000"/>
          <w:spacing w:val="-2"/>
          <w:kern w:val="0"/>
          <w:sz w:val="24"/>
        </w:rPr>
        <w:t>二</w:t>
      </w:r>
      <w:r>
        <w:rPr>
          <w:rFonts w:eastAsia="方正仿宋_GBK"/>
          <w:color w:val="000000"/>
          <w:spacing w:val="-2"/>
          <w:kern w:val="0"/>
          <w:sz w:val="24"/>
        </w:rPr>
        <w:t>)×15%+</w:t>
      </w:r>
      <w:r>
        <w:rPr>
          <w:rFonts w:hint="eastAsia" w:eastAsia="方正仿宋_GBK"/>
          <w:color w:val="000000"/>
          <w:spacing w:val="-2"/>
          <w:kern w:val="0"/>
          <w:sz w:val="24"/>
        </w:rPr>
        <w:t>表五</w:t>
      </w:r>
      <w:r>
        <w:rPr>
          <w:rFonts w:eastAsia="方正仿宋_GBK"/>
          <w:color w:val="000000"/>
          <w:spacing w:val="-2"/>
          <w:kern w:val="0"/>
          <w:sz w:val="24"/>
        </w:rPr>
        <w:t>(</w:t>
      </w:r>
      <w:r>
        <w:rPr>
          <w:rFonts w:hint="eastAsia" w:eastAsia="方正仿宋_GBK"/>
          <w:color w:val="000000"/>
          <w:spacing w:val="-2"/>
          <w:kern w:val="0"/>
          <w:sz w:val="24"/>
        </w:rPr>
        <w:t>二</w:t>
      </w:r>
      <w:r>
        <w:rPr>
          <w:rFonts w:eastAsia="方正仿宋_GBK"/>
          <w:color w:val="000000"/>
          <w:spacing w:val="-2"/>
          <w:kern w:val="0"/>
          <w:sz w:val="24"/>
        </w:rPr>
        <w:t>)×15%+</w:t>
      </w:r>
      <w:r>
        <w:rPr>
          <w:rFonts w:hint="eastAsia" w:eastAsia="方正仿宋_GBK"/>
          <w:color w:val="000000"/>
          <w:spacing w:val="-2"/>
          <w:kern w:val="0"/>
          <w:sz w:val="24"/>
        </w:rPr>
        <w:t>表四</w:t>
      </w:r>
      <w:r>
        <w:rPr>
          <w:rFonts w:eastAsia="方正仿宋_GBK"/>
          <w:color w:val="000000"/>
          <w:spacing w:val="-2"/>
          <w:kern w:val="0"/>
          <w:sz w:val="24"/>
        </w:rPr>
        <w:t>(</w:t>
      </w:r>
      <w:r>
        <w:rPr>
          <w:rFonts w:hint="eastAsia" w:eastAsia="方正仿宋_GBK"/>
          <w:color w:val="000000"/>
          <w:spacing w:val="-2"/>
          <w:kern w:val="0"/>
          <w:sz w:val="24"/>
        </w:rPr>
        <w:t>三</w:t>
      </w:r>
      <w:r>
        <w:rPr>
          <w:rFonts w:eastAsia="方正仿宋_GBK"/>
          <w:color w:val="000000"/>
          <w:spacing w:val="-2"/>
          <w:kern w:val="0"/>
          <w:sz w:val="24"/>
        </w:rPr>
        <w:t>)×15%+</w:t>
      </w:r>
      <w:r>
        <w:rPr>
          <w:rFonts w:hint="eastAsia" w:eastAsia="方正仿宋_GBK"/>
          <w:color w:val="000000"/>
          <w:spacing w:val="-2"/>
          <w:kern w:val="0"/>
          <w:sz w:val="24"/>
        </w:rPr>
        <w:t>表五</w:t>
      </w:r>
      <w:r>
        <w:rPr>
          <w:rFonts w:eastAsia="方正仿宋_GBK"/>
          <w:color w:val="000000"/>
          <w:spacing w:val="-2"/>
          <w:kern w:val="0"/>
          <w:sz w:val="24"/>
        </w:rPr>
        <w:t>(</w:t>
      </w:r>
      <w:r>
        <w:rPr>
          <w:rFonts w:hint="eastAsia" w:eastAsia="方正仿宋_GBK"/>
          <w:color w:val="000000"/>
          <w:spacing w:val="-2"/>
          <w:kern w:val="0"/>
          <w:sz w:val="24"/>
        </w:rPr>
        <w:t>三</w:t>
      </w:r>
      <w:r>
        <w:rPr>
          <w:rFonts w:eastAsia="方正仿宋_GBK"/>
          <w:color w:val="000000"/>
          <w:spacing w:val="-2"/>
          <w:kern w:val="0"/>
          <w:sz w:val="24"/>
        </w:rPr>
        <w:t>)×15%+∑(</w:t>
      </w:r>
      <w:r>
        <w:rPr>
          <w:rFonts w:hint="eastAsia" w:eastAsia="方正仿宋_GBK"/>
          <w:color w:val="000000"/>
          <w:spacing w:val="-2"/>
          <w:kern w:val="0"/>
          <w:sz w:val="24"/>
        </w:rPr>
        <w:t>专业分包单位平均得分</w:t>
      </w:r>
      <w:r>
        <w:rPr>
          <w:rFonts w:eastAsia="方正仿宋_GBK"/>
          <w:color w:val="000000"/>
          <w:spacing w:val="-2"/>
          <w:kern w:val="0"/>
          <w:sz w:val="24"/>
        </w:rPr>
        <w:t>)×20%</w:t>
      </w:r>
      <w:r>
        <w:rPr>
          <w:rFonts w:hint="eastAsia" w:eastAsia="方正仿宋_GBK"/>
          <w:color w:val="000000"/>
          <w:spacing w:val="-2"/>
          <w:kern w:val="0"/>
          <w:sz w:val="24"/>
        </w:rPr>
        <w:t>。</w:t>
      </w:r>
      <w:r>
        <w:rPr>
          <w:rFonts w:eastAsia="方正仿宋_GBK"/>
          <w:color w:val="000000"/>
          <w:spacing w:val="-2"/>
          <w:kern w:val="0"/>
          <w:sz w:val="24"/>
        </w:rPr>
        <w:t xml:space="preserve"> </w:t>
      </w:r>
    </w:p>
    <w:p>
      <w:pPr>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分包建筑业企业得分</w:t>
      </w:r>
      <w:r>
        <w:rPr>
          <w:rFonts w:eastAsia="方正仿宋_GBK"/>
          <w:color w:val="000000"/>
          <w:spacing w:val="-2"/>
          <w:kern w:val="0"/>
          <w:sz w:val="24"/>
        </w:rPr>
        <w:t>=</w:t>
      </w:r>
      <w:r>
        <w:rPr>
          <w:rFonts w:hint="eastAsia" w:eastAsia="方正仿宋_GBK"/>
          <w:color w:val="000000"/>
          <w:spacing w:val="-2"/>
          <w:kern w:val="0"/>
          <w:sz w:val="24"/>
        </w:rPr>
        <w:t>表三</w:t>
      </w:r>
      <w:r>
        <w:rPr>
          <w:rFonts w:eastAsia="方正仿宋_GBK"/>
          <w:color w:val="000000"/>
          <w:spacing w:val="-2"/>
          <w:kern w:val="0"/>
          <w:sz w:val="24"/>
        </w:rPr>
        <w:t>(</w:t>
      </w:r>
      <w:r>
        <w:rPr>
          <w:rFonts w:hint="eastAsia" w:eastAsia="方正仿宋_GBK"/>
          <w:color w:val="000000"/>
          <w:spacing w:val="-2"/>
          <w:kern w:val="0"/>
          <w:sz w:val="24"/>
        </w:rPr>
        <w:t>分包工程</w:t>
      </w:r>
      <w:r>
        <w:rPr>
          <w:rFonts w:eastAsia="方正仿宋_GBK"/>
          <w:color w:val="000000"/>
          <w:spacing w:val="-2"/>
          <w:kern w:val="0"/>
          <w:sz w:val="24"/>
        </w:rPr>
        <w:t>)×50%+</w:t>
      </w:r>
      <w:r>
        <w:rPr>
          <w:rFonts w:hint="eastAsia" w:eastAsia="方正仿宋_GBK"/>
          <w:color w:val="000000"/>
          <w:spacing w:val="-2"/>
          <w:kern w:val="0"/>
          <w:sz w:val="24"/>
        </w:rPr>
        <w:t>表四</w:t>
      </w:r>
      <w:r>
        <w:rPr>
          <w:rFonts w:eastAsia="方正仿宋_GBK"/>
          <w:color w:val="000000"/>
          <w:spacing w:val="-2"/>
          <w:kern w:val="0"/>
          <w:sz w:val="24"/>
        </w:rPr>
        <w:t>(</w:t>
      </w:r>
      <w:r>
        <w:rPr>
          <w:rFonts w:hint="eastAsia" w:eastAsia="方正仿宋_GBK"/>
          <w:color w:val="000000"/>
          <w:spacing w:val="-2"/>
          <w:kern w:val="0"/>
          <w:sz w:val="24"/>
        </w:rPr>
        <w:t>分包工程</w:t>
      </w:r>
      <w:r>
        <w:rPr>
          <w:rFonts w:eastAsia="方正仿宋_GBK"/>
          <w:color w:val="000000"/>
          <w:spacing w:val="-2"/>
          <w:kern w:val="0"/>
          <w:sz w:val="24"/>
        </w:rPr>
        <w:t>) ×50%</w:t>
      </w:r>
      <w:r>
        <w:rPr>
          <w:rFonts w:hint="eastAsia" w:eastAsia="方正仿宋_GBK"/>
          <w:color w:val="000000"/>
          <w:spacing w:val="-2"/>
          <w:kern w:val="0"/>
          <w:sz w:val="24"/>
        </w:rPr>
        <w:t>。</w:t>
      </w:r>
      <w:r>
        <w:rPr>
          <w:rFonts w:eastAsia="方正仿宋_GBK"/>
          <w:color w:val="000000"/>
          <w:spacing w:val="-2"/>
          <w:kern w:val="0"/>
          <w:sz w:val="24"/>
        </w:rPr>
        <w:t xml:space="preserve"> </w:t>
      </w:r>
    </w:p>
    <w:p>
      <w:pPr>
        <w:pStyle w:val="7"/>
        <w:adjustRightInd w:val="0"/>
        <w:snapToGrid w:val="0"/>
        <w:spacing w:after="0" w:line="460" w:lineRule="exact"/>
        <w:ind w:left="0" w:leftChars="0" w:firstLine="472" w:firstLineChars="200"/>
        <w:rPr>
          <w:rFonts w:eastAsia="方正仿宋_GBK"/>
          <w:color w:val="000000"/>
          <w:spacing w:val="-2"/>
          <w:sz w:val="24"/>
        </w:rPr>
      </w:pPr>
      <w:r>
        <w:rPr>
          <w:rFonts w:hint="eastAsia" w:eastAsia="方正仿宋_GBK"/>
          <w:color w:val="000000"/>
          <w:spacing w:val="-2"/>
          <w:sz w:val="24"/>
        </w:rPr>
        <w:t>四、在建筑市场综合考核中，无法综合考核的在建项目的总承包企业的项目得分，按本次建筑市场综合检查在建项目综合考核的总承包企业的项目得分的平均分计算。</w:t>
      </w:r>
    </w:p>
    <w:p>
      <w:pPr>
        <w:pStyle w:val="7"/>
        <w:adjustRightInd w:val="0"/>
        <w:snapToGrid w:val="0"/>
        <w:spacing w:after="0" w:line="460" w:lineRule="exact"/>
        <w:ind w:left="0" w:leftChars="0" w:firstLine="472" w:firstLineChars="200"/>
        <w:rPr>
          <w:rFonts w:eastAsia="方正仿宋_GBK"/>
          <w:color w:val="000000"/>
          <w:spacing w:val="-2"/>
          <w:sz w:val="24"/>
        </w:rPr>
      </w:pPr>
      <w:r>
        <w:rPr>
          <w:rFonts w:hint="eastAsia" w:eastAsia="方正仿宋_GBK"/>
          <w:color w:val="000000"/>
          <w:spacing w:val="-2"/>
          <w:sz w:val="24"/>
        </w:rPr>
        <w:t>在建筑市场综合考核中，总承包企业的项目平均分</w:t>
      </w:r>
      <w:r>
        <w:rPr>
          <w:rFonts w:eastAsia="方正仿宋_GBK"/>
          <w:color w:val="000000"/>
          <w:spacing w:val="-2"/>
          <w:sz w:val="24"/>
        </w:rPr>
        <w:t>=</w:t>
      </w:r>
      <w:r>
        <w:rPr>
          <w:rFonts w:hint="eastAsia" w:eastAsia="方正仿宋_GBK"/>
          <w:color w:val="000000"/>
          <w:spacing w:val="-2"/>
          <w:sz w:val="24"/>
        </w:rPr>
        <w:t>所有检查项目的综合考核建筑业企业的项目得分之和除以具备综合考核条件的项目个数之和。</w:t>
      </w:r>
    </w:p>
    <w:p>
      <w:pPr>
        <w:pStyle w:val="7"/>
        <w:adjustRightInd w:val="0"/>
        <w:snapToGrid w:val="0"/>
        <w:spacing w:after="0" w:line="460" w:lineRule="exact"/>
        <w:ind w:left="0" w:leftChars="0" w:firstLine="472" w:firstLineChars="200"/>
        <w:rPr>
          <w:rFonts w:eastAsia="方正仿宋_GBK"/>
          <w:color w:val="000000"/>
          <w:spacing w:val="-2"/>
          <w:sz w:val="24"/>
        </w:rPr>
      </w:pPr>
      <w:r>
        <w:rPr>
          <w:rFonts w:hint="eastAsia" w:eastAsia="方正仿宋_GBK"/>
          <w:color w:val="000000"/>
          <w:spacing w:val="-2"/>
          <w:sz w:val="24"/>
        </w:rPr>
        <w:t>在建筑市场综合考核中，无法综合考核的在建项目的专业分包企业的项目得分，按本次建筑市场综合检查的在建项目综合考核的专业分包企业的项目得分的平均分计算。</w:t>
      </w:r>
    </w:p>
    <w:p>
      <w:pPr>
        <w:pStyle w:val="7"/>
        <w:adjustRightInd w:val="0"/>
        <w:snapToGrid w:val="0"/>
        <w:spacing w:after="0" w:line="460" w:lineRule="exact"/>
        <w:ind w:left="0" w:leftChars="0" w:firstLine="472" w:firstLineChars="200"/>
        <w:rPr>
          <w:rFonts w:eastAsia="方正仿宋_GBK"/>
          <w:color w:val="000000"/>
          <w:spacing w:val="-2"/>
          <w:sz w:val="24"/>
        </w:rPr>
      </w:pPr>
      <w:r>
        <w:rPr>
          <w:rFonts w:hint="eastAsia" w:eastAsia="方正仿宋_GBK"/>
          <w:color w:val="000000"/>
          <w:spacing w:val="-2"/>
          <w:sz w:val="24"/>
        </w:rPr>
        <w:t>在建筑市场综合考核中，专业分包企业的项目平均分</w:t>
      </w:r>
      <w:r>
        <w:rPr>
          <w:rFonts w:eastAsia="方正仿宋_GBK"/>
          <w:color w:val="000000"/>
          <w:spacing w:val="-2"/>
          <w:sz w:val="24"/>
        </w:rPr>
        <w:t>=</w:t>
      </w:r>
      <w:r>
        <w:rPr>
          <w:rFonts w:hint="eastAsia" w:eastAsia="方正仿宋_GBK"/>
          <w:color w:val="000000"/>
          <w:spacing w:val="-2"/>
          <w:sz w:val="24"/>
        </w:rPr>
        <w:t>所有检查项目的综合考核专业项目得分之和除以具备综合考核条件的专业分包项目个数之和。</w:t>
      </w:r>
    </w:p>
    <w:p>
      <w:pPr>
        <w:pStyle w:val="7"/>
        <w:adjustRightInd w:val="0"/>
        <w:snapToGrid w:val="0"/>
        <w:spacing w:after="0" w:line="460" w:lineRule="exact"/>
        <w:ind w:left="0" w:leftChars="0" w:firstLine="472" w:firstLineChars="200"/>
        <w:rPr>
          <w:rFonts w:eastAsia="方正仿宋_GBK"/>
          <w:color w:val="000000"/>
          <w:spacing w:val="-2"/>
          <w:sz w:val="24"/>
        </w:rPr>
      </w:pPr>
      <w:r>
        <w:rPr>
          <w:rFonts w:hint="eastAsia" w:eastAsia="方正仿宋_GBK"/>
          <w:color w:val="000000"/>
          <w:spacing w:val="-2"/>
          <w:sz w:val="24"/>
        </w:rPr>
        <w:t>五、建筑业企业综合考核得分</w:t>
      </w:r>
      <w:r>
        <w:rPr>
          <w:rFonts w:eastAsia="方正仿宋_GBK"/>
          <w:color w:val="000000"/>
          <w:spacing w:val="-2"/>
          <w:sz w:val="24"/>
        </w:rPr>
        <w:t>=</w:t>
      </w:r>
      <w:r>
        <w:rPr>
          <w:rFonts w:hint="eastAsia" w:eastAsia="方正仿宋_GBK"/>
          <w:color w:val="000000"/>
          <w:spacing w:val="-2"/>
          <w:sz w:val="24"/>
        </w:rPr>
        <w:t>该企业参加在建项目综合考核所有项目的平均得分</w:t>
      </w:r>
      <w:r>
        <w:rPr>
          <w:rFonts w:eastAsia="方正仿宋_GBK"/>
          <w:color w:val="000000"/>
          <w:spacing w:val="-2"/>
          <w:sz w:val="24"/>
        </w:rPr>
        <w:t>×50%</w:t>
      </w:r>
      <w:r>
        <w:rPr>
          <w:rFonts w:hint="eastAsia" w:eastAsia="方正仿宋_GBK"/>
          <w:color w:val="000000"/>
          <w:spacing w:val="-2"/>
          <w:sz w:val="24"/>
        </w:rPr>
        <w:t>。</w:t>
      </w:r>
    </w:p>
    <w:p>
      <w:pPr>
        <w:pStyle w:val="7"/>
        <w:adjustRightInd w:val="0"/>
        <w:snapToGrid w:val="0"/>
        <w:spacing w:line="460" w:lineRule="exact"/>
        <w:ind w:firstLine="643"/>
        <w:rPr>
          <w:rFonts w:eastAsia="方正仿宋_GBK"/>
          <w:b/>
          <w:color w:val="000000"/>
          <w:spacing w:val="-2"/>
          <w:sz w:val="24"/>
        </w:rPr>
      </w:pPr>
    </w:p>
    <w:p>
      <w:pPr>
        <w:pStyle w:val="2"/>
        <w:spacing w:before="312" w:after="312" w:line="240" w:lineRule="auto"/>
        <w:jc w:val="center"/>
      </w:pPr>
    </w:p>
    <w:p/>
    <w:p/>
    <w:p/>
    <w:p/>
    <w:p/>
    <w:p>
      <w:pPr>
        <w:pStyle w:val="2"/>
        <w:spacing w:before="240" w:beforeLines="100" w:after="240" w:afterLines="100" w:line="240" w:lineRule="auto"/>
        <w:jc w:val="center"/>
        <w:rPr>
          <w:rFonts w:ascii="Times New Roman" w:eastAsia="方正小标宋_GBK"/>
          <w:b w:val="0"/>
          <w:sz w:val="36"/>
          <w:szCs w:val="36"/>
        </w:rPr>
      </w:pPr>
      <w:bookmarkStart w:id="466" w:name="_Toc20726527"/>
      <w:bookmarkStart w:id="467" w:name="_Toc18315692"/>
      <w:bookmarkStart w:id="468" w:name="_Toc20726488"/>
      <w:r>
        <w:rPr>
          <w:rFonts w:hint="eastAsia" w:ascii="Times New Roman" w:eastAsia="方正小标宋_GBK"/>
          <w:b w:val="0"/>
          <w:sz w:val="36"/>
          <w:szCs w:val="36"/>
        </w:rPr>
        <w:t>关于对省住房和城乡建设厅关于转发住房城乡建设部《建筑业企业资质管理规定和资质标准实施意见》的通知</w:t>
      </w:r>
      <w:bookmarkEnd w:id="466"/>
      <w:bookmarkEnd w:id="467"/>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69" w:name="_Toc20726528"/>
      <w:bookmarkStart w:id="470" w:name="_Toc18315693"/>
      <w:r>
        <w:rPr>
          <w:rFonts w:hint="eastAsia" w:ascii="Times New Roman" w:hAnsi="Times New Roman" w:eastAsia="方正楷体_GBK"/>
          <w:b w:val="0"/>
          <w:sz w:val="24"/>
          <w:szCs w:val="24"/>
        </w:rPr>
        <w:t>苏建建管〔</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227</w:t>
      </w:r>
      <w:r>
        <w:rPr>
          <w:rFonts w:hint="eastAsia" w:ascii="Times New Roman" w:hAnsi="Times New Roman" w:eastAsia="方正楷体_GBK"/>
          <w:b w:val="0"/>
          <w:sz w:val="24"/>
          <w:szCs w:val="24"/>
        </w:rPr>
        <w:t>号</w:t>
      </w:r>
      <w:bookmarkEnd w:id="469"/>
      <w:bookmarkEnd w:id="470"/>
    </w:p>
    <w:p>
      <w:pPr>
        <w:spacing w:line="460" w:lineRule="exact"/>
        <w:rPr>
          <w:rFonts w:eastAsia="方正仿宋_GBK"/>
          <w:color w:val="000000"/>
          <w:spacing w:val="-2"/>
          <w:sz w:val="24"/>
        </w:rPr>
      </w:pPr>
      <w:r>
        <w:rPr>
          <w:rFonts w:hint="eastAsia" w:eastAsia="方正仿宋_GBK"/>
          <w:color w:val="000000"/>
          <w:spacing w:val="-2"/>
          <w:sz w:val="24"/>
        </w:rPr>
        <w:t>各市建设局（委），泰州市建工局，苏州工业园区规划建设局、张家港保税区规划建设局，昆山市、泰兴市、沭阳县建设局，省有关厅、局：</w:t>
      </w:r>
    </w:p>
    <w:p>
      <w:pPr>
        <w:spacing w:line="460" w:lineRule="exact"/>
        <w:ind w:firstLine="472" w:firstLineChars="200"/>
        <w:rPr>
          <w:rFonts w:eastAsia="方正仿宋_GBK"/>
          <w:color w:val="000000"/>
          <w:spacing w:val="-2"/>
          <w:sz w:val="24"/>
          <w:shd w:val="clear" w:color="auto" w:fill="FFFFFF"/>
        </w:rPr>
      </w:pPr>
      <w:r>
        <w:rPr>
          <w:rFonts w:hint="eastAsia" w:eastAsia="方正仿宋_GBK"/>
          <w:color w:val="000000"/>
          <w:spacing w:val="-2"/>
          <w:sz w:val="24"/>
          <w:shd w:val="clear" w:color="auto" w:fill="FFFFFF"/>
        </w:rPr>
        <w:t>现将住房城乡建设部出台的《建筑业企业资质管理规定》（住房城乡</w:t>
      </w:r>
      <w:r>
        <w:rPr>
          <w:rFonts w:hint="eastAsia" w:eastAsia="方正仿宋_GBK"/>
          <w:color w:val="000000"/>
          <w:spacing w:val="-2"/>
          <w:kern w:val="0"/>
          <w:sz w:val="24"/>
        </w:rPr>
        <w:t>建设部令第</w:t>
      </w:r>
      <w:r>
        <w:rPr>
          <w:rFonts w:eastAsia="方正仿宋_GBK"/>
          <w:color w:val="000000"/>
          <w:spacing w:val="-2"/>
          <w:kern w:val="0"/>
          <w:sz w:val="24"/>
        </w:rPr>
        <w:t>22</w:t>
      </w:r>
      <w:r>
        <w:rPr>
          <w:rFonts w:hint="eastAsia" w:eastAsia="方正仿宋_GBK"/>
          <w:color w:val="000000"/>
          <w:spacing w:val="-2"/>
          <w:kern w:val="0"/>
          <w:sz w:val="24"/>
        </w:rPr>
        <w:t>号，以下简称《规定》）</w:t>
      </w:r>
      <w:r>
        <w:rPr>
          <w:rFonts w:hint="eastAsia" w:eastAsia="方正仿宋_GBK"/>
          <w:color w:val="000000"/>
          <w:spacing w:val="-2"/>
          <w:sz w:val="24"/>
          <w:shd w:val="clear" w:color="auto" w:fill="FFFFFF"/>
        </w:rPr>
        <w:t>、</w:t>
      </w:r>
      <w:r>
        <w:rPr>
          <w:rFonts w:hint="eastAsia" w:eastAsia="方正仿宋_GBK"/>
          <w:color w:val="000000"/>
          <w:spacing w:val="-2"/>
          <w:kern w:val="0"/>
          <w:sz w:val="24"/>
        </w:rPr>
        <w:t>《建筑业企业资质标准》（建市〔</w:t>
      </w:r>
      <w:r>
        <w:rPr>
          <w:rFonts w:eastAsia="方正仿宋_GBK"/>
          <w:color w:val="000000"/>
          <w:spacing w:val="-2"/>
          <w:kern w:val="0"/>
          <w:sz w:val="24"/>
        </w:rPr>
        <w:t>2014</w:t>
      </w:r>
      <w:r>
        <w:rPr>
          <w:rFonts w:hint="eastAsia" w:eastAsia="方正仿宋_GBK"/>
          <w:color w:val="000000"/>
          <w:spacing w:val="-2"/>
          <w:kern w:val="0"/>
          <w:sz w:val="24"/>
        </w:rPr>
        <w:t>〕</w:t>
      </w:r>
      <w:r>
        <w:rPr>
          <w:rFonts w:eastAsia="方正仿宋_GBK"/>
          <w:color w:val="000000"/>
          <w:spacing w:val="-2"/>
          <w:kern w:val="0"/>
          <w:sz w:val="24"/>
        </w:rPr>
        <w:t>159</w:t>
      </w:r>
      <w:r>
        <w:rPr>
          <w:rFonts w:hint="eastAsia" w:eastAsia="方正仿宋_GBK"/>
          <w:color w:val="000000"/>
          <w:spacing w:val="-2"/>
          <w:kern w:val="0"/>
          <w:sz w:val="24"/>
        </w:rPr>
        <w:t>号，以下简称《标准》）、</w:t>
      </w:r>
      <w:r>
        <w:rPr>
          <w:rFonts w:hint="eastAsia" w:eastAsia="方正仿宋_GBK"/>
          <w:color w:val="000000"/>
          <w:spacing w:val="-2"/>
          <w:sz w:val="24"/>
          <w:shd w:val="clear" w:color="auto" w:fill="FFFFFF"/>
        </w:rPr>
        <w:t>《建筑业企业资质管理规定和资质标准实施意见》（</w:t>
      </w:r>
      <w:r>
        <w:rPr>
          <w:rFonts w:hint="eastAsia" w:eastAsia="方正仿宋_GBK"/>
          <w:color w:val="000000"/>
          <w:spacing w:val="-2"/>
          <w:sz w:val="24"/>
        </w:rPr>
        <w:t>建市〔</w:t>
      </w:r>
      <w:r>
        <w:rPr>
          <w:rFonts w:eastAsia="方正仿宋_GBK"/>
          <w:color w:val="000000"/>
          <w:spacing w:val="-2"/>
          <w:sz w:val="24"/>
        </w:rPr>
        <w:t>2015</w:t>
      </w:r>
      <w:r>
        <w:rPr>
          <w:rFonts w:hint="eastAsia" w:eastAsia="方正仿宋_GBK"/>
          <w:color w:val="000000"/>
          <w:spacing w:val="-2"/>
          <w:sz w:val="24"/>
        </w:rPr>
        <w:t>〕</w:t>
      </w:r>
      <w:r>
        <w:rPr>
          <w:rFonts w:eastAsia="方正仿宋_GBK"/>
          <w:color w:val="000000"/>
          <w:spacing w:val="-2"/>
          <w:sz w:val="24"/>
        </w:rPr>
        <w:t>20</w:t>
      </w:r>
      <w:r>
        <w:rPr>
          <w:rFonts w:hint="eastAsia" w:eastAsia="方正仿宋_GBK"/>
          <w:color w:val="000000"/>
          <w:spacing w:val="-2"/>
          <w:sz w:val="24"/>
        </w:rPr>
        <w:t>号，以下简称《实施意见》）</w:t>
      </w:r>
      <w:r>
        <w:rPr>
          <w:rFonts w:hint="eastAsia" w:eastAsia="方正仿宋_GBK"/>
          <w:color w:val="000000"/>
          <w:spacing w:val="-2"/>
          <w:sz w:val="24"/>
          <w:shd w:val="clear" w:color="auto" w:fill="FFFFFF"/>
        </w:rPr>
        <w:t>、</w:t>
      </w:r>
      <w:r>
        <w:rPr>
          <w:rFonts w:hint="eastAsia" w:eastAsia="方正仿宋_GBK"/>
          <w:bCs/>
          <w:color w:val="000000"/>
          <w:spacing w:val="-2"/>
          <w:sz w:val="24"/>
        </w:rPr>
        <w:t>《关于推进建设省级建筑市场监管与诚信信息一体化工作平台若干意见的通知》（建办市〔</w:t>
      </w:r>
      <w:r>
        <w:rPr>
          <w:rFonts w:eastAsia="方正仿宋_GBK"/>
          <w:bCs/>
          <w:color w:val="000000"/>
          <w:spacing w:val="-2"/>
          <w:sz w:val="24"/>
        </w:rPr>
        <w:t>2014</w:t>
      </w:r>
      <w:r>
        <w:rPr>
          <w:rFonts w:hint="eastAsia" w:eastAsia="方正仿宋_GBK"/>
          <w:bCs/>
          <w:color w:val="000000"/>
          <w:spacing w:val="-2"/>
          <w:sz w:val="24"/>
        </w:rPr>
        <w:t>〕</w:t>
      </w:r>
      <w:r>
        <w:rPr>
          <w:rFonts w:eastAsia="方正仿宋_GBK"/>
          <w:bCs/>
          <w:color w:val="000000"/>
          <w:spacing w:val="-2"/>
          <w:sz w:val="24"/>
        </w:rPr>
        <w:t>55</w:t>
      </w:r>
      <w:r>
        <w:rPr>
          <w:rFonts w:hint="eastAsia" w:eastAsia="方正仿宋_GBK"/>
          <w:bCs/>
          <w:color w:val="000000"/>
          <w:spacing w:val="-2"/>
          <w:sz w:val="24"/>
        </w:rPr>
        <w:t>号）</w:t>
      </w:r>
      <w:r>
        <w:rPr>
          <w:rFonts w:hint="eastAsia" w:eastAsia="方正仿宋_GBK"/>
          <w:color w:val="000000"/>
          <w:spacing w:val="-2"/>
          <w:sz w:val="24"/>
          <w:shd w:val="clear" w:color="auto" w:fill="FFFFFF"/>
        </w:rPr>
        <w:t>转发给你们，并</w:t>
      </w:r>
      <w:r>
        <w:rPr>
          <w:rFonts w:hint="eastAsia" w:eastAsia="方正仿宋_GBK"/>
          <w:bCs/>
          <w:color w:val="000000"/>
          <w:spacing w:val="-2"/>
          <w:sz w:val="24"/>
        </w:rPr>
        <w:t>根据我省实际，提出如下意见</w:t>
      </w: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 </w:t>
      </w:r>
      <w:r>
        <w:rPr>
          <w:rFonts w:hint="eastAsia" w:eastAsia="方正仿宋_GBK"/>
          <w:color w:val="000000"/>
          <w:spacing w:val="-2"/>
          <w:sz w:val="24"/>
          <w:shd w:val="clear" w:color="auto" w:fill="FFFFFF"/>
        </w:rPr>
        <w:t>请一并贯彻执行。</w:t>
      </w:r>
    </w:p>
    <w:p>
      <w:pPr>
        <w:spacing w:line="460" w:lineRule="exact"/>
        <w:ind w:firstLine="472" w:firstLineChars="200"/>
        <w:rPr>
          <w:rFonts w:ascii="Times New Roman" w:eastAsia="黑体"/>
          <w:color w:val="000000"/>
          <w:spacing w:val="-2"/>
          <w:sz w:val="24"/>
          <w:shd w:val="clear" w:color="auto" w:fill="FFFFFF"/>
        </w:rPr>
      </w:pPr>
      <w:r>
        <w:rPr>
          <w:rFonts w:hint="eastAsia" w:ascii="Times New Roman" w:eastAsia="黑体"/>
          <w:color w:val="000000"/>
          <w:spacing w:val="-2"/>
          <w:sz w:val="24"/>
          <w:shd w:val="clear" w:color="auto" w:fill="FFFFFF"/>
        </w:rPr>
        <w:t>一、许可权限</w:t>
      </w:r>
    </w:p>
    <w:p>
      <w:pPr>
        <w:spacing w:line="460" w:lineRule="exact"/>
        <w:ind w:firstLine="472" w:firstLineChars="200"/>
        <w:rPr>
          <w:rFonts w:hint="eastAsia" w:eastAsia="方正仿宋_GBK"/>
          <w:color w:val="000000"/>
          <w:spacing w:val="-2"/>
          <w:sz w:val="24"/>
          <w:shd w:val="clear" w:color="auto" w:fill="FFFFFF"/>
        </w:rPr>
      </w:pPr>
      <w:r>
        <w:rPr>
          <w:rFonts w:hint="eastAsia" w:eastAsia="方正仿宋_GBK"/>
          <w:color w:val="000000"/>
          <w:spacing w:val="-2"/>
          <w:sz w:val="24"/>
          <w:shd w:val="clear" w:color="auto" w:fill="FFFFFF"/>
        </w:rPr>
        <w:t>（一）下列建筑业企业资质，由住房城乡建设部许可：</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、施工总承包资质序列特级资质、一级资质及铁路工程施工总承包二级资质；</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2</w:t>
      </w:r>
      <w:r>
        <w:rPr>
          <w:rFonts w:hint="eastAsia" w:eastAsia="方正仿宋_GBK"/>
          <w:color w:val="000000"/>
          <w:spacing w:val="-2"/>
          <w:sz w:val="24"/>
          <w:shd w:val="clear" w:color="auto" w:fill="FFFFFF"/>
        </w:rPr>
        <w:t>、专业承包资质序列公路、水运、水利、铁路、民航方面的专业承包一级资质及铁路、民航方面的专业承包二级资质；</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3</w:t>
      </w:r>
      <w:r>
        <w:rPr>
          <w:rFonts w:hint="eastAsia" w:eastAsia="方正仿宋_GBK"/>
          <w:color w:val="000000"/>
          <w:spacing w:val="-2"/>
          <w:sz w:val="24"/>
          <w:shd w:val="clear" w:color="auto" w:fill="FFFFFF"/>
        </w:rPr>
        <w:t>、桥梁工程、隧道工程、核工程、海洋石油工程、输变电工程、钢结构工程专业承包一级资质。</w:t>
      </w:r>
    </w:p>
    <w:p>
      <w:pPr>
        <w:spacing w:line="460" w:lineRule="exact"/>
        <w:ind w:firstLine="472" w:firstLineChars="200"/>
        <w:rPr>
          <w:rFonts w:eastAsia="方正仿宋_GBK"/>
          <w:color w:val="000000"/>
          <w:spacing w:val="-2"/>
          <w:sz w:val="24"/>
          <w:shd w:val="clear" w:color="auto" w:fill="FFFFFF"/>
        </w:rPr>
      </w:pPr>
      <w:r>
        <w:rPr>
          <w:rFonts w:hint="eastAsia" w:eastAsia="方正仿宋_GBK"/>
          <w:color w:val="000000"/>
          <w:spacing w:val="-2"/>
          <w:sz w:val="24"/>
          <w:shd w:val="clear" w:color="auto" w:fill="FFFFFF"/>
        </w:rPr>
        <w:t>（二）下列建筑业企业资质，由省住房城乡建设厅负责许可：</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、施工总承包资质序列二级资质（不含铁路工程施工总承包二级）及铁路、通信、电力工程施工总承包三级资质；</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2</w:t>
      </w:r>
      <w:r>
        <w:rPr>
          <w:rFonts w:hint="eastAsia" w:eastAsia="方正仿宋_GBK"/>
          <w:color w:val="000000"/>
          <w:spacing w:val="-2"/>
          <w:sz w:val="24"/>
          <w:shd w:val="clear" w:color="auto" w:fill="FFFFFF"/>
        </w:rPr>
        <w:t>、专业承包资质序列一级资质（不含公路、水运、水利、铁路、民航方面的专业承包一级资质及桥梁、隧道、核工程、海洋石油、输变电、钢结构工程专业承包一级资质）；</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3</w:t>
      </w:r>
      <w:r>
        <w:rPr>
          <w:rFonts w:hint="eastAsia" w:eastAsia="方正仿宋_GBK"/>
          <w:color w:val="000000"/>
          <w:spacing w:val="-2"/>
          <w:sz w:val="24"/>
          <w:shd w:val="clear" w:color="auto" w:fill="FFFFFF"/>
        </w:rPr>
        <w:t>、专业承包资质序列二级资质（不含铁路、民航方面的专业承包二级资质）；</w:t>
      </w:r>
    </w:p>
    <w:p>
      <w:pPr>
        <w:spacing w:line="460" w:lineRule="exact"/>
        <w:ind w:firstLine="472" w:firstLineChars="200"/>
        <w:rPr>
          <w:rFonts w:eastAsia="方正仿宋_GBK"/>
          <w:b/>
          <w:color w:val="000000"/>
          <w:spacing w:val="-2"/>
          <w:sz w:val="24"/>
          <w:shd w:val="clear" w:color="auto" w:fill="FFFFFF"/>
        </w:rPr>
      </w:pPr>
      <w:r>
        <w:rPr>
          <w:rFonts w:eastAsia="方正仿宋_GBK"/>
          <w:color w:val="000000"/>
          <w:spacing w:val="-2"/>
          <w:sz w:val="24"/>
          <w:shd w:val="clear" w:color="auto" w:fill="FFFFFF"/>
        </w:rPr>
        <w:t>4</w:t>
      </w:r>
      <w:r>
        <w:rPr>
          <w:rFonts w:hint="eastAsia" w:eastAsia="方正仿宋_GBK"/>
          <w:color w:val="000000"/>
          <w:spacing w:val="-2"/>
          <w:sz w:val="24"/>
          <w:shd w:val="clear" w:color="auto" w:fill="FFFFFF"/>
        </w:rPr>
        <w:t>、铁路方面专业承包三级资质及桥梁工程、隧道工程、输变电工程专业承包三级资质；</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5</w:t>
      </w:r>
      <w:r>
        <w:rPr>
          <w:rFonts w:hint="eastAsia" w:eastAsia="方正仿宋_GBK"/>
          <w:color w:val="000000"/>
          <w:spacing w:val="-2"/>
          <w:sz w:val="24"/>
          <w:shd w:val="clear" w:color="auto" w:fill="FFFFFF"/>
        </w:rPr>
        <w:t>、特种工程专业承包资质。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下列建筑业企业资质，由企业工商注册所在地设区的市建设行政主管部门负责许可。企业注册所在地为省直管试点市（县）的，按照《江苏省住房和城乡建设系统省直管县体制改革试点工作对接方案》（苏建法〔</w:t>
      </w:r>
      <w:r>
        <w:rPr>
          <w:rFonts w:eastAsia="方正仿宋_GBK"/>
          <w:color w:val="000000"/>
          <w:spacing w:val="-2"/>
          <w:sz w:val="24"/>
        </w:rPr>
        <w:t>2012</w:t>
      </w:r>
      <w:r>
        <w:rPr>
          <w:rFonts w:hint="eastAsia" w:eastAsia="方正仿宋_GBK"/>
          <w:color w:val="000000"/>
          <w:spacing w:val="-2"/>
          <w:sz w:val="24"/>
        </w:rPr>
        <w:t>〕</w:t>
      </w:r>
      <w:r>
        <w:rPr>
          <w:rFonts w:eastAsia="方正仿宋_GBK"/>
          <w:color w:val="000000"/>
          <w:spacing w:val="-2"/>
          <w:sz w:val="24"/>
        </w:rPr>
        <w:t>569</w:t>
      </w:r>
      <w:r>
        <w:rPr>
          <w:rFonts w:hint="eastAsia" w:eastAsia="方正仿宋_GBK"/>
          <w:color w:val="000000"/>
          <w:spacing w:val="-2"/>
          <w:sz w:val="24"/>
        </w:rPr>
        <w:t>号）文件精神，由省直管试点市（县）建设行政主管部门负责许可：</w:t>
      </w:r>
    </w:p>
    <w:p>
      <w:pPr>
        <w:spacing w:line="460" w:lineRule="exact"/>
        <w:ind w:firstLine="472" w:firstLineChars="200"/>
        <w:rPr>
          <w:rFonts w:eastAsia="方正仿宋_GBK"/>
          <w:color w:val="000000"/>
          <w:spacing w:val="-8"/>
          <w:sz w:val="24"/>
          <w:shd w:val="clear" w:color="auto" w:fill="FFFFFF"/>
        </w:rPr>
      </w:pP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w:t>
      </w:r>
      <w:r>
        <w:rPr>
          <w:rFonts w:hint="eastAsia" w:eastAsia="方正仿宋_GBK"/>
          <w:color w:val="000000"/>
          <w:spacing w:val="-8"/>
          <w:sz w:val="24"/>
          <w:shd w:val="clear" w:color="auto" w:fill="FFFFFF"/>
        </w:rPr>
        <w:t>施工总承包资质序列三级资质（不含铁路、通信、电力工程施工总承包三级资质）；</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2</w:t>
      </w:r>
      <w:r>
        <w:rPr>
          <w:rFonts w:hint="eastAsia" w:eastAsia="方正仿宋_GBK"/>
          <w:color w:val="000000"/>
          <w:spacing w:val="-2"/>
          <w:sz w:val="24"/>
          <w:shd w:val="clear" w:color="auto" w:fill="FFFFFF"/>
        </w:rPr>
        <w:t>、专业承包资质序列三级资质（不含铁路方面专业承包资质和桥梁工程、隧道工程、输变电工程专业承包三级资质）；</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3</w:t>
      </w:r>
      <w:r>
        <w:rPr>
          <w:rFonts w:hint="eastAsia" w:eastAsia="方正仿宋_GBK"/>
          <w:color w:val="000000"/>
          <w:spacing w:val="-2"/>
          <w:sz w:val="24"/>
          <w:shd w:val="clear" w:color="auto" w:fill="FFFFFF"/>
        </w:rPr>
        <w:t>、预拌混凝土、模板脚手架专业承包资质；</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4</w:t>
      </w:r>
      <w:r>
        <w:rPr>
          <w:rFonts w:hint="eastAsia" w:eastAsia="方正仿宋_GBK"/>
          <w:color w:val="000000"/>
          <w:spacing w:val="-2"/>
          <w:sz w:val="24"/>
          <w:shd w:val="clear" w:color="auto" w:fill="FFFFFF"/>
        </w:rPr>
        <w:t>、施工劳务资质；</w:t>
      </w:r>
    </w:p>
    <w:p>
      <w:pPr>
        <w:spacing w:line="460" w:lineRule="exact"/>
        <w:ind w:firstLine="472" w:firstLineChars="200"/>
        <w:rPr>
          <w:rFonts w:eastAsia="方正仿宋_GBK"/>
          <w:color w:val="000000"/>
          <w:spacing w:val="-2"/>
          <w:sz w:val="24"/>
          <w:shd w:val="clear" w:color="auto" w:fill="FFFFFF"/>
        </w:rPr>
      </w:pPr>
      <w:r>
        <w:rPr>
          <w:rFonts w:eastAsia="方正仿宋_GBK"/>
          <w:color w:val="000000"/>
          <w:spacing w:val="-2"/>
          <w:sz w:val="24"/>
          <w:shd w:val="clear" w:color="auto" w:fill="FFFFFF"/>
        </w:rPr>
        <w:t>5</w:t>
      </w:r>
      <w:r>
        <w:rPr>
          <w:rFonts w:hint="eastAsia" w:eastAsia="方正仿宋_GBK"/>
          <w:color w:val="000000"/>
          <w:spacing w:val="-2"/>
          <w:sz w:val="24"/>
          <w:shd w:val="clear" w:color="auto" w:fill="FFFFFF"/>
        </w:rPr>
        <w:t>、燃气燃烧器具安装、维修企业资质。具体标准按《关于燃气燃烧器具安装、维修企业资质管理有关事项的通知》（建城〔</w:t>
      </w:r>
      <w:r>
        <w:rPr>
          <w:rFonts w:eastAsia="方正仿宋_GBK"/>
          <w:color w:val="000000"/>
          <w:spacing w:val="-2"/>
          <w:sz w:val="24"/>
          <w:shd w:val="clear" w:color="auto" w:fill="FFFFFF"/>
        </w:rPr>
        <w:t>2007</w:t>
      </w: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250</w:t>
      </w:r>
      <w:r>
        <w:rPr>
          <w:rFonts w:hint="eastAsia" w:eastAsia="方正仿宋_GBK"/>
          <w:color w:val="000000"/>
          <w:spacing w:val="-2"/>
          <w:sz w:val="24"/>
          <w:shd w:val="clear" w:color="auto" w:fill="FFFFFF"/>
        </w:rPr>
        <w:t>号）有关规定执行。</w:t>
      </w:r>
    </w:p>
    <w:p>
      <w:pPr>
        <w:spacing w:line="460" w:lineRule="exact"/>
        <w:ind w:firstLine="472" w:firstLineChars="200"/>
        <w:rPr>
          <w:rFonts w:ascii="Times New Roman" w:eastAsia="黑体"/>
          <w:color w:val="000000"/>
          <w:spacing w:val="-2"/>
          <w:sz w:val="24"/>
          <w:shd w:val="clear" w:color="auto" w:fill="FFFFFF"/>
        </w:rPr>
      </w:pPr>
      <w:r>
        <w:rPr>
          <w:rFonts w:hint="eastAsia" w:ascii="Times New Roman" w:eastAsia="黑体"/>
          <w:color w:val="000000"/>
          <w:spacing w:val="-2"/>
          <w:sz w:val="24"/>
          <w:shd w:val="clear" w:color="auto" w:fill="FFFFFF"/>
        </w:rPr>
        <w:t>二、申报程序</w:t>
      </w:r>
    </w:p>
    <w:p>
      <w:pPr>
        <w:spacing w:line="460" w:lineRule="exact"/>
        <w:ind w:firstLine="448" w:firstLineChars="200"/>
        <w:rPr>
          <w:rFonts w:hint="eastAsia" w:eastAsia="方正仿宋_GBK"/>
          <w:color w:val="000000"/>
          <w:spacing w:val="-8"/>
          <w:sz w:val="24"/>
          <w:shd w:val="clear" w:color="auto" w:fill="FFFFFF"/>
        </w:rPr>
      </w:pPr>
      <w:r>
        <w:rPr>
          <w:rFonts w:hint="eastAsia" w:eastAsia="方正仿宋_GBK"/>
          <w:color w:val="000000"/>
          <w:spacing w:val="-8"/>
          <w:sz w:val="24"/>
          <w:shd w:val="clear" w:color="auto" w:fill="FFFFFF"/>
        </w:rPr>
        <w:t>（四）企业申请省住房城乡建设厅许可的资质，可以向企业工商注册所在地设区的市或县（市）建设行政主管部门提交申请材料。市或县（市）住房城乡建设主管部门收到申请材料后，应当在</w:t>
      </w:r>
      <w:r>
        <w:rPr>
          <w:rFonts w:eastAsia="方正仿宋_GBK"/>
          <w:color w:val="000000"/>
          <w:spacing w:val="-8"/>
          <w:sz w:val="24"/>
          <w:shd w:val="clear" w:color="auto" w:fill="FFFFFF"/>
        </w:rPr>
        <w:t>5</w:t>
      </w:r>
      <w:r>
        <w:rPr>
          <w:rFonts w:hint="eastAsia" w:eastAsia="方正仿宋_GBK"/>
          <w:color w:val="000000"/>
          <w:spacing w:val="-8"/>
          <w:sz w:val="24"/>
          <w:shd w:val="clear" w:color="auto" w:fill="FFFFFF"/>
        </w:rPr>
        <w:t>日内将全部申请材料报省住房城乡建设厅。</w:t>
      </w:r>
    </w:p>
    <w:p>
      <w:pPr>
        <w:spacing w:line="460" w:lineRule="exact"/>
        <w:ind w:firstLine="448" w:firstLineChars="200"/>
        <w:rPr>
          <w:rFonts w:eastAsia="方正仿宋_GBK"/>
          <w:color w:val="000000"/>
          <w:spacing w:val="-8"/>
          <w:sz w:val="24"/>
          <w:shd w:val="clear" w:color="auto" w:fill="FFFFFF"/>
        </w:rPr>
      </w:pPr>
      <w:r>
        <w:rPr>
          <w:rFonts w:hint="eastAsia" w:eastAsia="方正仿宋_GBK"/>
          <w:color w:val="000000"/>
          <w:spacing w:val="-8"/>
          <w:sz w:val="24"/>
          <w:shd w:val="clear" w:color="auto" w:fill="FFFFFF"/>
        </w:rPr>
        <w:t>省住房城乡建设厅在收到申请材料后，应当依法作出是否受理的决定，并出具凭证；申请材料不齐全或者不符合法定形式的，应当在</w:t>
      </w:r>
      <w:r>
        <w:rPr>
          <w:rFonts w:eastAsia="方正仿宋_GBK"/>
          <w:color w:val="000000"/>
          <w:spacing w:val="-8"/>
          <w:sz w:val="24"/>
          <w:shd w:val="clear" w:color="auto" w:fill="FFFFFF"/>
        </w:rPr>
        <w:t>5</w:t>
      </w:r>
      <w:r>
        <w:rPr>
          <w:rFonts w:hint="eastAsia" w:eastAsia="方正仿宋_GBK"/>
          <w:color w:val="000000"/>
          <w:spacing w:val="-8"/>
          <w:sz w:val="24"/>
          <w:shd w:val="clear" w:color="auto" w:fill="FFFFFF"/>
        </w:rPr>
        <w:t>日内一次性告知申请人需要补正的全部内容。逾期不告知的，自收到申请材料之日起即为受理。</w:t>
      </w:r>
    </w:p>
    <w:p>
      <w:pPr>
        <w:spacing w:line="460" w:lineRule="exact"/>
        <w:ind w:firstLine="448" w:firstLineChars="200"/>
        <w:rPr>
          <w:rFonts w:eastAsia="方正仿宋_GBK"/>
          <w:color w:val="000000"/>
          <w:spacing w:val="-8"/>
          <w:sz w:val="24"/>
          <w:shd w:val="clear" w:color="auto" w:fill="FFFFFF"/>
        </w:rPr>
      </w:pPr>
      <w:r>
        <w:rPr>
          <w:rFonts w:hint="eastAsia" w:eastAsia="方正仿宋_GBK"/>
          <w:color w:val="000000"/>
          <w:spacing w:val="-8"/>
          <w:sz w:val="24"/>
          <w:shd w:val="clear" w:color="auto" w:fill="FFFFFF"/>
        </w:rPr>
        <w:t>省住房城乡建设厅应当自受理之日起</w:t>
      </w:r>
      <w:r>
        <w:rPr>
          <w:rFonts w:eastAsia="方正仿宋_GBK"/>
          <w:color w:val="000000"/>
          <w:spacing w:val="-8"/>
          <w:sz w:val="24"/>
          <w:shd w:val="clear" w:color="auto" w:fill="FFFFFF"/>
        </w:rPr>
        <w:t>20</w:t>
      </w:r>
      <w:r>
        <w:rPr>
          <w:rFonts w:hint="eastAsia" w:eastAsia="方正仿宋_GBK"/>
          <w:color w:val="000000"/>
          <w:spacing w:val="-8"/>
          <w:sz w:val="24"/>
          <w:shd w:val="clear" w:color="auto" w:fill="FFFFFF"/>
        </w:rPr>
        <w:t>个工作日内完成审查。自作出决定之日起</w:t>
      </w:r>
      <w:r>
        <w:rPr>
          <w:rFonts w:eastAsia="方正仿宋_GBK"/>
          <w:color w:val="000000"/>
          <w:spacing w:val="-8"/>
          <w:sz w:val="24"/>
          <w:shd w:val="clear" w:color="auto" w:fill="FFFFFF"/>
        </w:rPr>
        <w:t>10</w:t>
      </w:r>
      <w:r>
        <w:rPr>
          <w:rFonts w:hint="eastAsia" w:eastAsia="方正仿宋_GBK"/>
          <w:color w:val="000000"/>
          <w:spacing w:val="-8"/>
          <w:sz w:val="24"/>
          <w:shd w:val="clear" w:color="auto" w:fill="FFFFFF"/>
        </w:rPr>
        <w:t>日内公告审批结果。其中，涉及交通、水利、通信、电力等方面资质的，由省住房城乡建设厅会同省有关部门审查。</w:t>
      </w:r>
    </w:p>
    <w:p>
      <w:pPr>
        <w:spacing w:line="460" w:lineRule="exact"/>
        <w:ind w:firstLine="448" w:firstLineChars="200"/>
        <w:rPr>
          <w:rFonts w:eastAsia="方正仿宋_GBK"/>
          <w:color w:val="000000"/>
          <w:spacing w:val="-8"/>
          <w:sz w:val="24"/>
          <w:shd w:val="clear" w:color="auto" w:fill="FFFFFF"/>
        </w:rPr>
      </w:pPr>
      <w:r>
        <w:rPr>
          <w:rFonts w:hint="eastAsia" w:eastAsia="方正仿宋_GBK"/>
          <w:color w:val="000000"/>
          <w:spacing w:val="-8"/>
          <w:sz w:val="24"/>
          <w:shd w:val="clear" w:color="auto" w:fill="FFFFFF"/>
        </w:rPr>
        <w:t>需要组织专家评审的，所需时间不计算在许可时限内，但应当明确告知申请人。</w:t>
      </w:r>
    </w:p>
    <w:p>
      <w:pPr>
        <w:spacing w:line="460" w:lineRule="exact"/>
        <w:ind w:firstLine="448" w:firstLineChars="200"/>
        <w:rPr>
          <w:rFonts w:eastAsia="方正仿宋_GBK"/>
          <w:color w:val="000000"/>
          <w:spacing w:val="-8"/>
          <w:sz w:val="24"/>
          <w:shd w:val="clear" w:color="auto" w:fill="FFFFFF"/>
        </w:rPr>
      </w:pPr>
      <w:r>
        <w:rPr>
          <w:rFonts w:hint="eastAsia" w:eastAsia="方正仿宋_GBK"/>
          <w:color w:val="000000"/>
          <w:spacing w:val="-8"/>
          <w:sz w:val="24"/>
          <w:shd w:val="clear" w:color="auto" w:fill="FFFFFF"/>
        </w:rPr>
        <w:t>涉及交通、水利、通信方面的建筑业企业资质申请，由省住房城乡建设厅受理后，征求相关部门意见，相关部门应在</w:t>
      </w:r>
      <w:r>
        <w:rPr>
          <w:rFonts w:eastAsia="方正仿宋_GBK"/>
          <w:color w:val="000000"/>
          <w:spacing w:val="-8"/>
          <w:sz w:val="24"/>
          <w:shd w:val="clear" w:color="auto" w:fill="FFFFFF"/>
        </w:rPr>
        <w:t>10</w:t>
      </w:r>
      <w:r>
        <w:rPr>
          <w:rFonts w:hint="eastAsia" w:eastAsia="方正仿宋_GBK"/>
          <w:color w:val="000000"/>
          <w:spacing w:val="-8"/>
          <w:sz w:val="24"/>
          <w:shd w:val="clear" w:color="auto" w:fill="FFFFFF"/>
        </w:rPr>
        <w:t>个工作日内反馈。逾期未反馈的，视为无不同意见。</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sz w:val="24"/>
        </w:rPr>
        <w:t>（五）注册地在我省的</w:t>
      </w:r>
      <w:r>
        <w:rPr>
          <w:rFonts w:hint="eastAsia" w:eastAsia="方正仿宋_GBK"/>
          <w:color w:val="000000"/>
          <w:spacing w:val="-2"/>
          <w:kern w:val="0"/>
          <w:sz w:val="24"/>
        </w:rPr>
        <w:t>国务院国有资产管理部门直接监管的建筑业企业及其下属企业、</w:t>
      </w:r>
      <w:r>
        <w:rPr>
          <w:rFonts w:hint="eastAsia" w:eastAsia="方正仿宋_GBK"/>
          <w:color w:val="000000"/>
          <w:spacing w:val="-2"/>
          <w:sz w:val="24"/>
        </w:rPr>
        <w:t>省国有资产管理部门直接监管的建筑业企业及其下属企业，申请由</w:t>
      </w:r>
      <w:r>
        <w:rPr>
          <w:rFonts w:hint="eastAsia" w:eastAsia="方正仿宋_GBK"/>
          <w:color w:val="000000"/>
          <w:spacing w:val="-2"/>
          <w:kern w:val="0"/>
          <w:sz w:val="24"/>
        </w:rPr>
        <w:t>省住房城乡建设厅和部</w:t>
      </w:r>
      <w:r>
        <w:rPr>
          <w:rFonts w:hint="eastAsia" w:eastAsia="方正仿宋_GBK"/>
          <w:color w:val="000000"/>
          <w:spacing w:val="-2"/>
          <w:sz w:val="24"/>
        </w:rPr>
        <w:t>许可的资质，企业可直接向省住房城乡建设厅提出申请。</w:t>
      </w:r>
    </w:p>
    <w:p>
      <w:pPr>
        <w:spacing w:line="460" w:lineRule="exact"/>
        <w:ind w:firstLine="472" w:firstLineChars="200"/>
        <w:rPr>
          <w:rFonts w:eastAsia="方正仿宋_GBK"/>
          <w:color w:val="000000"/>
          <w:spacing w:val="-2"/>
          <w:sz w:val="24"/>
        </w:rPr>
      </w:pPr>
      <w:r>
        <w:rPr>
          <w:rFonts w:hint="eastAsia" w:eastAsia="方正仿宋_GBK"/>
          <w:color w:val="000000"/>
          <w:spacing w:val="-2"/>
          <w:kern w:val="0"/>
          <w:sz w:val="24"/>
        </w:rPr>
        <w:t>注册地在苏州工业园区和张家港保税区</w:t>
      </w:r>
      <w:r>
        <w:rPr>
          <w:rFonts w:hint="eastAsia" w:eastAsia="方正仿宋_GBK"/>
          <w:color w:val="000000"/>
          <w:spacing w:val="-2"/>
          <w:sz w:val="24"/>
        </w:rPr>
        <w:t>的建筑业企业，申请</w:t>
      </w:r>
      <w:r>
        <w:rPr>
          <w:rFonts w:hint="eastAsia" w:eastAsia="方正仿宋_GBK"/>
          <w:color w:val="000000"/>
          <w:spacing w:val="-2"/>
          <w:kern w:val="0"/>
          <w:sz w:val="24"/>
        </w:rPr>
        <w:t>由省住房城乡建设厅</w:t>
      </w:r>
      <w:r>
        <w:rPr>
          <w:rFonts w:hint="eastAsia" w:eastAsia="方正仿宋_GBK"/>
          <w:color w:val="000000"/>
          <w:spacing w:val="-2"/>
          <w:sz w:val="24"/>
        </w:rPr>
        <w:t>许可或初审的资质，由</w:t>
      </w:r>
      <w:r>
        <w:rPr>
          <w:rFonts w:hint="eastAsia" w:eastAsia="方正仿宋_GBK"/>
          <w:color w:val="000000"/>
          <w:spacing w:val="-2"/>
          <w:kern w:val="0"/>
          <w:sz w:val="24"/>
        </w:rPr>
        <w:t>苏州工业园区和张家港保税区建设主管部门对</w:t>
      </w:r>
      <w:r>
        <w:rPr>
          <w:rFonts w:hint="eastAsia" w:eastAsia="方正仿宋_GBK"/>
          <w:color w:val="000000"/>
          <w:spacing w:val="-2"/>
          <w:sz w:val="24"/>
        </w:rPr>
        <w:t>申报材料进行核对、汇总</w:t>
      </w:r>
      <w:r>
        <w:rPr>
          <w:rFonts w:hint="eastAsia" w:eastAsia="方正仿宋_GBK"/>
          <w:color w:val="000000"/>
          <w:spacing w:val="-2"/>
          <w:kern w:val="0"/>
          <w:sz w:val="24"/>
        </w:rPr>
        <w:t>，上</w:t>
      </w:r>
      <w:r>
        <w:rPr>
          <w:rFonts w:hint="eastAsia" w:eastAsia="方正仿宋_GBK"/>
          <w:color w:val="000000"/>
          <w:spacing w:val="-2"/>
          <w:sz w:val="24"/>
        </w:rPr>
        <w:t>报省住房城乡建设厅。</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上述企业申请</w:t>
      </w:r>
      <w:r>
        <w:rPr>
          <w:rFonts w:hint="eastAsia" w:eastAsia="方正仿宋_GBK"/>
          <w:color w:val="000000"/>
          <w:spacing w:val="-2"/>
          <w:sz w:val="24"/>
          <w:shd w:val="clear" w:color="auto" w:fill="FFFFFF"/>
        </w:rPr>
        <w:t>设区的市或</w:t>
      </w:r>
      <w:r>
        <w:rPr>
          <w:rFonts w:hint="eastAsia" w:eastAsia="方正仿宋_GBK"/>
          <w:color w:val="000000"/>
          <w:spacing w:val="-2"/>
          <w:sz w:val="24"/>
        </w:rPr>
        <w:t>省直管试点市（县）</w:t>
      </w:r>
      <w:r>
        <w:rPr>
          <w:rFonts w:hint="eastAsia" w:eastAsia="方正仿宋_GBK"/>
          <w:color w:val="000000"/>
          <w:spacing w:val="-2"/>
          <w:sz w:val="24"/>
          <w:shd w:val="clear" w:color="auto" w:fill="FFFFFF"/>
        </w:rPr>
        <w:t>建设行政主管部门</w:t>
      </w:r>
      <w:r>
        <w:rPr>
          <w:rFonts w:hint="eastAsia" w:eastAsia="方正仿宋_GBK"/>
          <w:color w:val="000000"/>
          <w:spacing w:val="-2"/>
          <w:kern w:val="0"/>
          <w:sz w:val="24"/>
        </w:rPr>
        <w:t>许可的资质，按照企业注册所在地</w:t>
      </w:r>
      <w:r>
        <w:rPr>
          <w:rFonts w:hint="eastAsia" w:eastAsia="方正仿宋_GBK"/>
          <w:color w:val="000000"/>
          <w:spacing w:val="-2"/>
          <w:sz w:val="24"/>
          <w:shd w:val="clear" w:color="auto" w:fill="FFFFFF"/>
        </w:rPr>
        <w:t>设区的市或</w:t>
      </w:r>
      <w:r>
        <w:rPr>
          <w:rFonts w:hint="eastAsia" w:eastAsia="方正仿宋_GBK"/>
          <w:color w:val="000000"/>
          <w:spacing w:val="-2"/>
          <w:sz w:val="24"/>
        </w:rPr>
        <w:t>省直管试点市（县）</w:t>
      </w:r>
      <w:r>
        <w:rPr>
          <w:rFonts w:hint="eastAsia" w:eastAsia="方正仿宋_GBK"/>
          <w:color w:val="000000"/>
          <w:spacing w:val="-2"/>
          <w:sz w:val="24"/>
          <w:shd w:val="clear" w:color="auto" w:fill="FFFFFF"/>
        </w:rPr>
        <w:t>建设行政主管部门</w:t>
      </w:r>
      <w:r>
        <w:rPr>
          <w:rFonts w:hint="eastAsia" w:eastAsia="方正仿宋_GBK"/>
          <w:color w:val="000000"/>
          <w:spacing w:val="-2"/>
          <w:kern w:val="0"/>
          <w:sz w:val="24"/>
        </w:rPr>
        <w:t>规定的程序提出申请和审批。</w:t>
      </w:r>
    </w:p>
    <w:p>
      <w:pPr>
        <w:spacing w:line="460" w:lineRule="exact"/>
        <w:ind w:firstLine="472" w:firstLineChars="200"/>
        <w:rPr>
          <w:rFonts w:eastAsia="方正仿宋_GBK"/>
          <w:color w:val="000000"/>
          <w:spacing w:val="-2"/>
          <w:sz w:val="24"/>
          <w:shd w:val="clear" w:color="auto" w:fill="FFFFFF"/>
        </w:rPr>
      </w:pPr>
      <w:r>
        <w:rPr>
          <w:rFonts w:hint="eastAsia" w:eastAsia="方正仿宋_GBK"/>
          <w:color w:val="000000"/>
          <w:spacing w:val="-2"/>
          <w:sz w:val="24"/>
        </w:rPr>
        <w:t>（</w:t>
      </w:r>
      <w:r>
        <w:rPr>
          <w:rFonts w:hint="eastAsia" w:eastAsia="方正仿宋_GBK"/>
          <w:color w:val="000000"/>
          <w:spacing w:val="-2"/>
          <w:sz w:val="24"/>
          <w:shd w:val="clear" w:color="auto" w:fill="FFFFFF"/>
        </w:rPr>
        <w:t>六）申请建筑业企业资质，需从江苏省建筑业监管信息平台上传电子材料。</w:t>
      </w:r>
      <w:r>
        <w:rPr>
          <w:rFonts w:hint="eastAsia" w:eastAsia="方正仿宋_GBK"/>
          <w:color w:val="000000"/>
          <w:spacing w:val="-2"/>
          <w:sz w:val="24"/>
        </w:rPr>
        <w:t>由住房城乡建设部许可的资质</w:t>
      </w:r>
      <w:r>
        <w:rPr>
          <w:rFonts w:hint="eastAsia" w:eastAsia="方正仿宋_GBK"/>
          <w:color w:val="000000"/>
          <w:spacing w:val="-2"/>
          <w:sz w:val="24"/>
          <w:shd w:val="clear" w:color="auto" w:fill="FFFFFF"/>
        </w:rPr>
        <w:t>，除上传电子材料外，还需按住房城乡建设部《实施意见》的要求报送书面申请表和相关附件材料。</w:t>
      </w:r>
    </w:p>
    <w:p>
      <w:pPr>
        <w:spacing w:line="460" w:lineRule="exact"/>
        <w:ind w:firstLine="472" w:firstLineChars="200"/>
        <w:rPr>
          <w:rFonts w:ascii="Times New Roman" w:eastAsia="黑体"/>
          <w:color w:val="000000"/>
          <w:spacing w:val="-2"/>
          <w:sz w:val="24"/>
          <w:shd w:val="clear" w:color="auto" w:fill="FFFFFF"/>
        </w:rPr>
      </w:pPr>
      <w:r>
        <w:rPr>
          <w:rFonts w:hint="eastAsia" w:ascii="Times New Roman" w:eastAsia="黑体"/>
          <w:color w:val="000000"/>
          <w:spacing w:val="-2"/>
          <w:sz w:val="24"/>
          <w:shd w:val="clear" w:color="auto" w:fill="FFFFFF"/>
        </w:rPr>
        <w:t>三、企业主要人员信息</w:t>
      </w:r>
    </w:p>
    <w:p>
      <w:pPr>
        <w:spacing w:line="460" w:lineRule="exact"/>
        <w:ind w:firstLine="472" w:firstLineChars="200"/>
        <w:rPr>
          <w:rFonts w:hint="eastAsia" w:eastAsia="方正仿宋_GBK"/>
          <w:b/>
          <w:color w:val="000000"/>
          <w:spacing w:val="-2"/>
          <w:sz w:val="24"/>
        </w:rPr>
      </w:pPr>
      <w:r>
        <w:rPr>
          <w:rFonts w:hint="eastAsia" w:eastAsia="方正仿宋_GBK"/>
          <w:color w:val="000000"/>
          <w:spacing w:val="-2"/>
          <w:sz w:val="24"/>
        </w:rPr>
        <w:t>（七）资质申报涉及的企业主要人员包括注册执业人员、技术职称人员、现场管理人员、技术工人，人员信息须从省住房城乡建设厅相关信息系统读取。</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（八）人员信息采集和认定办法另行规定。</w:t>
      </w:r>
    </w:p>
    <w:p>
      <w:pPr>
        <w:spacing w:line="460" w:lineRule="exact"/>
        <w:ind w:firstLine="472" w:firstLineChars="200"/>
        <w:rPr>
          <w:rFonts w:ascii="Times New Roman" w:eastAsia="黑体"/>
          <w:color w:val="000000"/>
          <w:spacing w:val="-2"/>
          <w:sz w:val="24"/>
          <w:shd w:val="clear" w:color="auto" w:fill="FFFFFF"/>
        </w:rPr>
      </w:pPr>
      <w:r>
        <w:rPr>
          <w:rFonts w:hint="eastAsia" w:ascii="Times New Roman" w:eastAsia="黑体"/>
          <w:color w:val="000000"/>
          <w:spacing w:val="-2"/>
          <w:sz w:val="24"/>
          <w:shd w:val="clear" w:color="auto" w:fill="FFFFFF"/>
        </w:rPr>
        <w:t>四、企业和个人工程业绩</w:t>
      </w:r>
    </w:p>
    <w:p>
      <w:pPr>
        <w:spacing w:line="460" w:lineRule="exact"/>
        <w:ind w:firstLine="472" w:firstLineChars="200"/>
        <w:rPr>
          <w:rFonts w:hint="eastAsia" w:eastAsia="方正仿宋_GBK"/>
          <w:color w:val="000000"/>
          <w:spacing w:val="-2"/>
          <w:sz w:val="24"/>
          <w:shd w:val="clear" w:color="auto" w:fill="FFFFFF"/>
        </w:rPr>
      </w:pPr>
      <w:r>
        <w:rPr>
          <w:rFonts w:hint="eastAsia" w:eastAsia="方正仿宋_GBK"/>
          <w:color w:val="000000"/>
          <w:spacing w:val="-2"/>
          <w:sz w:val="24"/>
          <w:shd w:val="clear" w:color="auto" w:fill="FFFFFF"/>
        </w:rPr>
        <w:t>（九）申请建筑业企业资质，企业和个人工程业绩须符合《标准》对业绩的要求。</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（十）申请住房城乡建设部许可的资质工程业绩</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申请住房城乡建设部许可的建筑工程施工总承包、市政公用工程施工总承包资质，企业使用在已联网省（自治区、直辖市）完成的工程业绩，以全国建筑市场监管与诚信信息发布平台信息为准，无需提供中标通知书、工程承包合同、竣工验收报告以及相关图纸等证明材料。对上述工程业绩，市、县（市）建设行政主管部门应在《建设工程企业资质申报企业业绩核查汇总表》</w:t>
      </w:r>
      <w:r>
        <w:rPr>
          <w:rFonts w:eastAsia="方正仿宋_GBK"/>
          <w:color w:val="000000"/>
          <w:spacing w:val="-2"/>
          <w:sz w:val="24"/>
        </w:rPr>
        <w:t>“</w:t>
      </w:r>
      <w:r>
        <w:rPr>
          <w:rFonts w:hint="eastAsia" w:eastAsia="方正仿宋_GBK"/>
          <w:color w:val="000000"/>
          <w:spacing w:val="-2"/>
          <w:sz w:val="24"/>
        </w:rPr>
        <w:t>备注</w:t>
      </w:r>
      <w:r>
        <w:rPr>
          <w:rFonts w:eastAsia="方正仿宋_GBK"/>
          <w:color w:val="000000"/>
          <w:spacing w:val="-2"/>
          <w:sz w:val="24"/>
        </w:rPr>
        <w:t>”</w:t>
      </w:r>
      <w:r>
        <w:rPr>
          <w:rFonts w:hint="eastAsia" w:eastAsia="方正仿宋_GBK"/>
          <w:color w:val="000000"/>
          <w:spacing w:val="-2"/>
          <w:sz w:val="24"/>
        </w:rPr>
        <w:t>栏内注明；在已联网省（自治区、直辖市）完成但未进入全国建筑市场监管与诚信信息发布平台的工程业绩，不作为有效业绩认定。</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在未联网省（自治区、直辖市）完成的工程业绩及申报建筑工程施工总承包、市政公用工程施工总承包以外的其他类别资质工程业绩核查按原办法执行。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（十一）申请省住房城乡建设厅许可的资质工程业绩</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申请省住房城乡建设厅许可的资质，企业使用省内完成的工程业绩，以省建筑市场信用管理平台或省建筑工程施工许可与竣工验收备案申报系统信息为准，无需提供中标通知书、工程承包合同、竣工验收报告以及相关图纸等证明材料。对上述工程业绩，市、县（市）建设行政主管部门应在《建设工程企业资质申报企业业绩核查汇总表》</w:t>
      </w:r>
      <w:r>
        <w:rPr>
          <w:rFonts w:eastAsia="方正仿宋_GBK"/>
          <w:color w:val="000000"/>
          <w:spacing w:val="-2"/>
          <w:sz w:val="24"/>
        </w:rPr>
        <w:t>“</w:t>
      </w:r>
      <w:r>
        <w:rPr>
          <w:rFonts w:hint="eastAsia" w:eastAsia="方正仿宋_GBK"/>
          <w:color w:val="000000"/>
          <w:spacing w:val="-2"/>
          <w:sz w:val="24"/>
        </w:rPr>
        <w:t>备注</w:t>
      </w:r>
      <w:r>
        <w:rPr>
          <w:rFonts w:eastAsia="方正仿宋_GBK"/>
          <w:color w:val="000000"/>
          <w:spacing w:val="-2"/>
          <w:sz w:val="24"/>
        </w:rPr>
        <w:t>”</w:t>
      </w:r>
      <w:r>
        <w:rPr>
          <w:rFonts w:hint="eastAsia" w:eastAsia="方正仿宋_GBK"/>
          <w:color w:val="000000"/>
          <w:spacing w:val="-2"/>
          <w:sz w:val="24"/>
        </w:rPr>
        <w:t>栏内注明；未进入平台或系统的工程业绩不予认可。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省外工程业绩，按原办法提交《建设工程企业资质申报企业单项业绩核查表》等相应的证明材料。</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（十二）企业申请交通、水利、通信、电力等方面资质提交的业绩，业绩核查按原办法执行。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（十三）原办法是指《关于加强建设工程企业资质申报业绩核查工作的通知》（苏建建管〔</w:t>
      </w:r>
      <w:r>
        <w:rPr>
          <w:rFonts w:eastAsia="方正仿宋_GBK"/>
          <w:color w:val="000000"/>
          <w:spacing w:val="-2"/>
          <w:sz w:val="24"/>
        </w:rPr>
        <w:t>2012</w:t>
      </w:r>
      <w:r>
        <w:rPr>
          <w:rFonts w:hint="eastAsia" w:eastAsia="方正仿宋_GBK"/>
          <w:color w:val="000000"/>
          <w:spacing w:val="-2"/>
          <w:sz w:val="24"/>
        </w:rPr>
        <w:t>〕</w:t>
      </w:r>
      <w:r>
        <w:rPr>
          <w:rFonts w:eastAsia="方正仿宋_GBK"/>
          <w:color w:val="000000"/>
          <w:spacing w:val="-2"/>
          <w:sz w:val="24"/>
        </w:rPr>
        <w:t>640</w:t>
      </w:r>
      <w:r>
        <w:rPr>
          <w:rFonts w:hint="eastAsia" w:eastAsia="方正仿宋_GBK"/>
          <w:color w:val="000000"/>
          <w:spacing w:val="-2"/>
          <w:sz w:val="24"/>
        </w:rPr>
        <w:t>号）、《关于加强建设工程企业资质申报业绩核查工作的补充通知》（苏建建管〔</w:t>
      </w:r>
      <w:r>
        <w:rPr>
          <w:rFonts w:eastAsia="方正仿宋_GBK"/>
          <w:color w:val="000000"/>
          <w:spacing w:val="-2"/>
          <w:sz w:val="24"/>
        </w:rPr>
        <w:t>2012</w:t>
      </w:r>
      <w:r>
        <w:rPr>
          <w:rFonts w:hint="eastAsia" w:eastAsia="方正仿宋_GBK"/>
          <w:color w:val="000000"/>
          <w:spacing w:val="-2"/>
          <w:sz w:val="24"/>
        </w:rPr>
        <w:t>〕</w:t>
      </w:r>
      <w:r>
        <w:rPr>
          <w:rFonts w:eastAsia="方正仿宋_GBK"/>
          <w:color w:val="000000"/>
          <w:spacing w:val="-2"/>
          <w:sz w:val="24"/>
        </w:rPr>
        <w:t>690</w:t>
      </w:r>
      <w:r>
        <w:rPr>
          <w:rFonts w:hint="eastAsia" w:eastAsia="方正仿宋_GBK"/>
          <w:color w:val="000000"/>
          <w:spacing w:val="-2"/>
          <w:sz w:val="24"/>
        </w:rPr>
        <w:t>号）、《关于进一步规范建筑业企业资质申报业绩核查工作的通知》（苏建建管〔</w:t>
      </w:r>
      <w:r>
        <w:rPr>
          <w:rFonts w:eastAsia="方正仿宋_GBK"/>
          <w:color w:val="000000"/>
          <w:spacing w:val="-2"/>
          <w:sz w:val="24"/>
        </w:rPr>
        <w:t>2014</w:t>
      </w:r>
      <w:r>
        <w:rPr>
          <w:rFonts w:hint="eastAsia" w:eastAsia="方正仿宋_GBK"/>
          <w:color w:val="000000"/>
          <w:spacing w:val="-2"/>
          <w:sz w:val="24"/>
        </w:rPr>
        <w:t>〕</w:t>
      </w:r>
      <w:r>
        <w:rPr>
          <w:rFonts w:eastAsia="方正仿宋_GBK"/>
          <w:color w:val="000000"/>
          <w:spacing w:val="-2"/>
          <w:sz w:val="24"/>
        </w:rPr>
        <w:t>86</w:t>
      </w:r>
      <w:r>
        <w:rPr>
          <w:rFonts w:hint="eastAsia" w:eastAsia="方正仿宋_GBK"/>
          <w:color w:val="000000"/>
          <w:spacing w:val="-2"/>
          <w:sz w:val="24"/>
        </w:rPr>
        <w:t>号）。</w:t>
      </w:r>
    </w:p>
    <w:p>
      <w:pPr>
        <w:spacing w:line="460" w:lineRule="exact"/>
        <w:ind w:firstLine="472" w:firstLineChars="200"/>
        <w:rPr>
          <w:rFonts w:eastAsia="方正仿宋_GBK"/>
          <w:color w:val="000000"/>
          <w:spacing w:val="-2"/>
          <w:sz w:val="24"/>
        </w:rPr>
      </w:pPr>
      <w:r>
        <w:rPr>
          <w:rFonts w:hint="eastAsia" w:eastAsia="方正仿宋_GBK"/>
          <w:color w:val="000000"/>
          <w:spacing w:val="-2"/>
          <w:kern w:val="0"/>
          <w:sz w:val="24"/>
        </w:rPr>
        <w:t>（十四）</w:t>
      </w:r>
      <w:r>
        <w:rPr>
          <w:rFonts w:hint="eastAsia" w:eastAsia="方正仿宋_GBK"/>
          <w:color w:val="000000"/>
          <w:spacing w:val="-2"/>
          <w:sz w:val="24"/>
        </w:rPr>
        <w:t>企业技术负责人（或注册建造师）主持完成的个人业绩，是指该人员担任相应工程项目的技术负责人或以注册建造师身份担任项目经理的业绩。</w:t>
      </w:r>
    </w:p>
    <w:p>
      <w:pPr>
        <w:spacing w:line="460" w:lineRule="exact"/>
        <w:ind w:firstLine="472" w:firstLineChars="200"/>
        <w:rPr>
          <w:rFonts w:ascii="Times New Roman" w:eastAsia="黑体"/>
          <w:color w:val="000000"/>
          <w:spacing w:val="-2"/>
          <w:sz w:val="24"/>
          <w:shd w:val="clear" w:color="auto" w:fill="FFFFFF"/>
        </w:rPr>
      </w:pPr>
      <w:r>
        <w:rPr>
          <w:rFonts w:hint="eastAsia" w:ascii="Times New Roman" w:eastAsia="黑体"/>
          <w:color w:val="000000"/>
          <w:spacing w:val="-2"/>
          <w:sz w:val="24"/>
          <w:shd w:val="clear" w:color="auto" w:fill="FFFFFF"/>
        </w:rPr>
        <w:t>五、换证工作</w:t>
      </w:r>
    </w:p>
    <w:p>
      <w:pPr>
        <w:spacing w:line="460" w:lineRule="exact"/>
        <w:ind w:firstLine="472" w:firstLineChars="200"/>
        <w:rPr>
          <w:rFonts w:hint="eastAsia" w:eastAsia="方正仿宋_GBK"/>
          <w:color w:val="000000"/>
          <w:spacing w:val="-2"/>
          <w:sz w:val="24"/>
          <w:shd w:val="clear" w:color="auto" w:fill="FFFFFF"/>
        </w:rPr>
      </w:pPr>
      <w:r>
        <w:rPr>
          <w:rFonts w:hint="eastAsia" w:eastAsia="方正仿宋_GBK"/>
          <w:color w:val="000000"/>
          <w:spacing w:val="-2"/>
          <w:sz w:val="24"/>
          <w:shd w:val="clear" w:color="auto" w:fill="FFFFFF"/>
        </w:rPr>
        <w:t>（十五）按原标准取得的建筑业企业资质应于</w:t>
      </w:r>
      <w:r>
        <w:rPr>
          <w:rFonts w:eastAsia="方正仿宋_GBK"/>
          <w:color w:val="000000"/>
          <w:spacing w:val="-2"/>
          <w:sz w:val="24"/>
          <w:shd w:val="clear" w:color="auto" w:fill="FFFFFF"/>
        </w:rPr>
        <w:t>2016</w:t>
      </w:r>
      <w:r>
        <w:rPr>
          <w:rFonts w:hint="eastAsia" w:eastAsia="方正仿宋_GBK"/>
          <w:color w:val="000000"/>
          <w:spacing w:val="-2"/>
          <w:sz w:val="24"/>
          <w:shd w:val="clear" w:color="auto" w:fill="FFFFFF"/>
        </w:rPr>
        <w:t>年</w:t>
      </w:r>
      <w:r>
        <w:rPr>
          <w:rFonts w:eastAsia="方正仿宋_GBK"/>
          <w:color w:val="000000"/>
          <w:spacing w:val="-2"/>
          <w:sz w:val="24"/>
          <w:shd w:val="clear" w:color="auto" w:fill="FFFFFF"/>
        </w:rPr>
        <w:t>9</w:t>
      </w:r>
      <w:r>
        <w:rPr>
          <w:rFonts w:hint="eastAsia" w:eastAsia="方正仿宋_GBK"/>
          <w:color w:val="000000"/>
          <w:spacing w:val="-2"/>
          <w:sz w:val="24"/>
          <w:shd w:val="clear" w:color="auto" w:fill="FFFFFF"/>
        </w:rPr>
        <w:t>月</w:t>
      </w:r>
      <w:r>
        <w:rPr>
          <w:rFonts w:eastAsia="方正仿宋_GBK"/>
          <w:color w:val="000000"/>
          <w:spacing w:val="-2"/>
          <w:sz w:val="24"/>
          <w:shd w:val="clear" w:color="auto" w:fill="FFFFFF"/>
        </w:rPr>
        <w:t>30</w:t>
      </w:r>
      <w:r>
        <w:rPr>
          <w:rFonts w:hint="eastAsia" w:eastAsia="方正仿宋_GBK"/>
          <w:color w:val="000000"/>
          <w:spacing w:val="-2"/>
          <w:sz w:val="24"/>
          <w:shd w:val="clear" w:color="auto" w:fill="FFFFFF"/>
        </w:rPr>
        <w:t>日之前，按照《规定》、《标准》、《实施意见》及本通知要求申请换发新版建筑业企业资质证书（以下简称换证）。企业资产、主要人员、技术装备符合《标准》要求的，资质许可机关颁发新版建筑业企业资质证书。</w:t>
      </w:r>
      <w:r>
        <w:rPr>
          <w:rFonts w:eastAsia="方正仿宋_GBK"/>
          <w:color w:val="000000"/>
          <w:spacing w:val="-2"/>
          <w:sz w:val="24"/>
          <w:shd w:val="clear" w:color="auto" w:fill="FFFFFF"/>
        </w:rPr>
        <w:t>2017</w:t>
      </w:r>
      <w:r>
        <w:rPr>
          <w:rFonts w:hint="eastAsia" w:eastAsia="方正仿宋_GBK"/>
          <w:color w:val="000000"/>
          <w:spacing w:val="-2"/>
          <w:sz w:val="24"/>
          <w:shd w:val="clear" w:color="auto" w:fill="FFFFFF"/>
        </w:rPr>
        <w:t>年</w:t>
      </w: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月</w:t>
      </w:r>
      <w:r>
        <w:rPr>
          <w:rFonts w:eastAsia="方正仿宋_GBK"/>
          <w:color w:val="000000"/>
          <w:spacing w:val="-2"/>
          <w:sz w:val="24"/>
          <w:shd w:val="clear" w:color="auto" w:fill="FFFFFF"/>
        </w:rPr>
        <w:t>1</w:t>
      </w:r>
      <w:r>
        <w:rPr>
          <w:rFonts w:hint="eastAsia" w:eastAsia="方正仿宋_GBK"/>
          <w:color w:val="000000"/>
          <w:spacing w:val="-2"/>
          <w:sz w:val="24"/>
          <w:shd w:val="clear" w:color="auto" w:fill="FFFFFF"/>
        </w:rPr>
        <w:t>日起，旧版建筑业企业资质证书自行失效。</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shd w:val="clear" w:color="auto" w:fill="FFFFFF"/>
        </w:rPr>
        <w:t>（十六）土石方、混凝土预制构件、电梯安装、金属门窗、预应力、无损检测、体育场地设施、爆破与拆除工程专业承包资质，</w:t>
      </w:r>
      <w:r>
        <w:rPr>
          <w:rFonts w:hint="eastAsia" w:eastAsia="方正仿宋_GBK"/>
          <w:color w:val="000000"/>
          <w:spacing w:val="-2"/>
          <w:kern w:val="0"/>
          <w:sz w:val="24"/>
        </w:rPr>
        <w:t>公路养护、航道养护、可再生能源、市政养护、凿井、空气净化、高空作业、建筑物非爆破拆除工程专业承包资质，特种专业工程中桥梁伸缩缝安装、非开挖管道定向穿越、防渗、外墙保温等专业承包资质不换证</w:t>
      </w:r>
      <w:r>
        <w:rPr>
          <w:rFonts w:hint="eastAsia" w:eastAsia="方正仿宋_GBK"/>
          <w:color w:val="000000"/>
          <w:spacing w:val="-2"/>
          <w:sz w:val="24"/>
          <w:shd w:val="clear" w:color="auto" w:fill="FFFFFF"/>
        </w:rPr>
        <w:t>。</w:t>
      </w:r>
    </w:p>
    <w:p>
      <w:pPr>
        <w:spacing w:line="460" w:lineRule="exact"/>
        <w:ind w:firstLine="472" w:firstLineChars="200"/>
        <w:rPr>
          <w:rFonts w:eastAsia="方正仿宋_GBK"/>
          <w:color w:val="000000"/>
          <w:spacing w:val="-2"/>
          <w:sz w:val="24"/>
        </w:rPr>
      </w:pPr>
      <w:r>
        <w:rPr>
          <w:rFonts w:hint="eastAsia" w:eastAsia="方正仿宋_GBK"/>
          <w:color w:val="000000"/>
          <w:spacing w:val="-2"/>
          <w:kern w:val="0"/>
          <w:sz w:val="24"/>
        </w:rPr>
        <w:t>（十七）按原标准取得建筑防水、防腐保温、建筑智能化、电子、建筑装修装饰工程、消防设施工程、建筑幕墙工程等三级专业承包资质的企业，可申请《标准》中相应二级专业承包资质换证；按原标准取得建筑防水工程二级专业承包资质的企业，可申请防水防腐保温工程一级专业承包资质换证。</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十八）已取得特种工程专业承包资质，但资质证书副本未载明承包内容的，企业可根据实际从事业务及拥有的专业技术人员和技术负责人个人业绩情况选择建筑物纠偏和平移、结构补强、特殊设备起重吊装、特种防雷承包内容申请换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shd w:val="clear" w:color="auto" w:fill="FFFFFF"/>
        </w:rPr>
        <w:t>（</w:t>
      </w:r>
      <w:r>
        <w:rPr>
          <w:rFonts w:hint="eastAsia" w:eastAsia="方正仿宋_GBK"/>
          <w:color w:val="000000"/>
          <w:spacing w:val="-2"/>
          <w:sz w:val="24"/>
        </w:rPr>
        <w:t>十九</w:t>
      </w:r>
      <w:r>
        <w:rPr>
          <w:rFonts w:hint="eastAsia" w:eastAsia="方正仿宋_GBK"/>
          <w:color w:val="000000"/>
          <w:spacing w:val="-2"/>
          <w:sz w:val="24"/>
          <w:shd w:val="clear" w:color="auto" w:fill="FFFFFF"/>
        </w:rPr>
        <w:t>）企业申请换证，应根据已有的资质对照本通知规定的许可权限，分别向不同的许可机关一次性全部提出换证</w:t>
      </w:r>
      <w:r>
        <w:rPr>
          <w:rFonts w:hint="eastAsia" w:eastAsia="方正仿宋_GBK"/>
          <w:color w:val="000000"/>
          <w:spacing w:val="-2"/>
          <w:sz w:val="24"/>
        </w:rPr>
        <w:t>申请</w:t>
      </w:r>
      <w:r>
        <w:rPr>
          <w:rFonts w:hint="eastAsia" w:eastAsia="方正仿宋_GBK"/>
          <w:color w:val="000000"/>
          <w:spacing w:val="-2"/>
          <w:sz w:val="24"/>
          <w:shd w:val="clear" w:color="auto" w:fill="FFFFFF"/>
        </w:rPr>
        <w:t>。企业也可根据实际情况，直接选择低于原资质等级向相应的许可机关申请换证，并按照《建筑业企业资质申报材料清单》中换证要求提交材料。如：企业同时具有部、省、市三级机关许可的资质，对同一发证机关许可的资质必须一</w:t>
      </w:r>
      <w:r>
        <w:rPr>
          <w:rFonts w:hint="eastAsia" w:eastAsia="方正仿宋_GBK"/>
          <w:color w:val="000000"/>
          <w:spacing w:val="-2"/>
          <w:sz w:val="24"/>
        </w:rPr>
        <w:t>次性提出换证申请；</w:t>
      </w:r>
      <w:r>
        <w:rPr>
          <w:rFonts w:hint="eastAsia" w:eastAsia="方正仿宋_GBK"/>
          <w:color w:val="000000"/>
          <w:spacing w:val="-2"/>
          <w:sz w:val="24"/>
          <w:shd w:val="clear" w:color="auto" w:fill="FFFFFF"/>
        </w:rPr>
        <w:t>企业有一个以上总承包类别一级资质，其中一个或若干个资质低于原资质等级申请换证，可根据实际情况向省或市建设行政主管部门提出换证申请。</w:t>
      </w:r>
    </w:p>
    <w:p>
      <w:pPr>
        <w:spacing w:line="460" w:lineRule="exact"/>
        <w:ind w:firstLine="472" w:firstLineChars="200"/>
        <w:rPr>
          <w:rFonts w:eastAsia="方正仿宋_GBK"/>
          <w:color w:val="000000"/>
          <w:spacing w:val="-2"/>
          <w:sz w:val="24"/>
          <w:shd w:val="clear" w:color="auto" w:fill="FFFFFF"/>
        </w:rPr>
      </w:pPr>
      <w:r>
        <w:rPr>
          <w:rFonts w:hint="eastAsia" w:eastAsia="方正仿宋_GBK"/>
          <w:color w:val="000000"/>
          <w:spacing w:val="-2"/>
          <w:sz w:val="24"/>
          <w:shd w:val="clear" w:color="auto" w:fill="FFFFFF"/>
        </w:rPr>
        <w:t>（二十）企业申请资质升级、增项的，原有资质必须全部按要求先换证后再提出升级、增项申请。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shd w:val="clear" w:color="auto" w:fill="FFFFFF"/>
        </w:rPr>
        <w:t>（二十一）特级资质、建筑智能化工程设计与施工等</w:t>
      </w:r>
      <w:r>
        <w:rPr>
          <w:rFonts w:eastAsia="方正仿宋_GBK"/>
          <w:color w:val="000000"/>
          <w:spacing w:val="-2"/>
          <w:sz w:val="24"/>
          <w:shd w:val="clear" w:color="auto" w:fill="FFFFFF"/>
        </w:rPr>
        <w:t>4</w:t>
      </w:r>
      <w:r>
        <w:rPr>
          <w:rFonts w:hint="eastAsia" w:eastAsia="方正仿宋_GBK"/>
          <w:color w:val="000000"/>
          <w:spacing w:val="-2"/>
          <w:sz w:val="24"/>
          <w:shd w:val="clear" w:color="auto" w:fill="FFFFFF"/>
        </w:rPr>
        <w:t>个设计与施工资质此次不换证。</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shd w:val="clear" w:color="auto" w:fill="FFFFFF"/>
        </w:rPr>
        <w:t>（二十二）过渡期内，企业换证前因企业名称、注册资本、法定代表人、技术负责人、注册地址（本省级区域内）等发生变化需变更资质证书内容的，按原标准审查，仍颁发旧版证书；</w:t>
      </w:r>
      <w:r>
        <w:rPr>
          <w:rFonts w:hint="eastAsia" w:eastAsia="方正仿宋_GBK"/>
          <w:color w:val="000000"/>
          <w:spacing w:val="-2"/>
          <w:kern w:val="0"/>
          <w:sz w:val="24"/>
        </w:rPr>
        <w:t>企业发生重组、合并、分立并符合《</w:t>
      </w:r>
      <w:r>
        <w:rPr>
          <w:rFonts w:hint="eastAsia" w:eastAsia="方正仿宋_GBK"/>
          <w:color w:val="000000"/>
          <w:spacing w:val="-2"/>
          <w:sz w:val="24"/>
          <w:shd w:val="clear" w:color="auto" w:fill="FFFFFF"/>
        </w:rPr>
        <w:t>住房城乡建设部关于建设工程企业发生重组、合并、分立等情况资质核定有关问题的通知</w:t>
      </w:r>
      <w:r>
        <w:rPr>
          <w:rFonts w:hint="eastAsia" w:eastAsia="方正仿宋_GBK"/>
          <w:bCs/>
          <w:color w:val="000000"/>
          <w:spacing w:val="-2"/>
          <w:sz w:val="24"/>
          <w:shd w:val="clear" w:color="auto" w:fill="FFFFFF"/>
        </w:rPr>
        <w:t>》（</w:t>
      </w:r>
      <w:r>
        <w:rPr>
          <w:rFonts w:hint="eastAsia" w:eastAsia="方正仿宋_GBK"/>
          <w:color w:val="000000"/>
          <w:spacing w:val="-2"/>
          <w:sz w:val="24"/>
          <w:shd w:val="clear" w:color="auto" w:fill="FFFFFF"/>
        </w:rPr>
        <w:t>建市〔</w:t>
      </w:r>
      <w:r>
        <w:rPr>
          <w:rFonts w:eastAsia="方正仿宋_GBK"/>
          <w:color w:val="000000"/>
          <w:spacing w:val="-2"/>
          <w:sz w:val="24"/>
          <w:shd w:val="clear" w:color="auto" w:fill="FFFFFF"/>
        </w:rPr>
        <w:t>2014</w:t>
      </w: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79</w:t>
      </w:r>
      <w:r>
        <w:rPr>
          <w:rFonts w:hint="eastAsia" w:eastAsia="方正仿宋_GBK"/>
          <w:color w:val="000000"/>
          <w:spacing w:val="-2"/>
          <w:sz w:val="24"/>
          <w:shd w:val="clear" w:color="auto" w:fill="FFFFFF"/>
        </w:rPr>
        <w:t>号）所列简化审批手续情形的</w:t>
      </w:r>
      <w:r>
        <w:rPr>
          <w:rFonts w:hint="eastAsia" w:eastAsia="方正仿宋_GBK"/>
          <w:color w:val="000000"/>
          <w:spacing w:val="-2"/>
          <w:kern w:val="0"/>
          <w:sz w:val="24"/>
        </w:rPr>
        <w:t>，按原标准审核并颁发旧版证书。</w:t>
      </w:r>
    </w:p>
    <w:p>
      <w:pPr>
        <w:spacing w:line="460" w:lineRule="exact"/>
        <w:ind w:firstLine="472" w:firstLineChars="200"/>
        <w:rPr>
          <w:rFonts w:ascii="Times New Roman" w:eastAsia="黑体"/>
          <w:color w:val="000000"/>
          <w:spacing w:val="-2"/>
          <w:sz w:val="24"/>
          <w:shd w:val="clear" w:color="auto" w:fill="FFFFFF"/>
        </w:rPr>
      </w:pPr>
      <w:r>
        <w:rPr>
          <w:rFonts w:hint="eastAsia" w:ascii="Times New Roman" w:eastAsia="黑体"/>
          <w:color w:val="000000"/>
          <w:spacing w:val="-2"/>
          <w:sz w:val="24"/>
          <w:shd w:val="clear" w:color="auto" w:fill="FFFFFF"/>
        </w:rPr>
        <w:t>六、其他</w:t>
      </w:r>
    </w:p>
    <w:p>
      <w:pPr>
        <w:spacing w:line="460" w:lineRule="exact"/>
        <w:ind w:firstLine="472" w:firstLineChars="200"/>
        <w:rPr>
          <w:rFonts w:hint="eastAsia" w:eastAsia="方正仿宋_GBK"/>
          <w:color w:val="000000"/>
          <w:spacing w:val="-8"/>
          <w:sz w:val="24"/>
          <w:shd w:val="clear" w:color="auto" w:fill="FFFFFF"/>
        </w:rPr>
      </w:pPr>
      <w:r>
        <w:rPr>
          <w:rFonts w:hint="eastAsia" w:eastAsia="方正仿宋_GBK"/>
          <w:color w:val="000000"/>
          <w:spacing w:val="-2"/>
          <w:sz w:val="24"/>
        </w:rPr>
        <w:t>（二十三）</w:t>
      </w:r>
      <w:r>
        <w:rPr>
          <w:rFonts w:hint="eastAsia" w:eastAsia="方正仿宋_GBK"/>
          <w:color w:val="000000"/>
          <w:spacing w:val="-8"/>
          <w:sz w:val="24"/>
          <w:shd w:val="clear" w:color="auto" w:fill="FFFFFF"/>
        </w:rPr>
        <w:t>企业净资产以企业申请资质前一年度或当期经审计的财务报表中净资产指标为准考核。其中，企业前一年度的净资产信息必须从</w:t>
      </w:r>
      <w:r>
        <w:rPr>
          <w:rFonts w:eastAsia="方正仿宋_GBK"/>
          <w:color w:val="000000"/>
          <w:spacing w:val="-8"/>
          <w:sz w:val="24"/>
          <w:shd w:val="clear" w:color="auto" w:fill="FFFFFF"/>
        </w:rPr>
        <w:t>“</w:t>
      </w:r>
      <w:r>
        <w:rPr>
          <w:rFonts w:hint="eastAsia" w:eastAsia="方正仿宋_GBK"/>
          <w:color w:val="000000"/>
          <w:spacing w:val="-8"/>
          <w:sz w:val="24"/>
          <w:shd w:val="clear" w:color="auto" w:fill="FFFFFF"/>
        </w:rPr>
        <w:t>省建筑业统计信息系统</w:t>
      </w:r>
      <w:r>
        <w:rPr>
          <w:rFonts w:eastAsia="方正仿宋_GBK"/>
          <w:color w:val="000000"/>
          <w:spacing w:val="-8"/>
          <w:sz w:val="24"/>
          <w:shd w:val="clear" w:color="auto" w:fill="FFFFFF"/>
        </w:rPr>
        <w:t>”</w:t>
      </w:r>
      <w:r>
        <w:rPr>
          <w:rFonts w:hint="eastAsia" w:eastAsia="方正仿宋_GBK"/>
          <w:color w:val="000000"/>
          <w:spacing w:val="-8"/>
          <w:sz w:val="24"/>
          <w:shd w:val="clear" w:color="auto" w:fill="FFFFFF"/>
        </w:rPr>
        <w:t>读取。</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shd w:val="clear" w:color="auto" w:fill="FFFFFF"/>
        </w:rPr>
        <w:t>（二十四）各市建设行政主管部门应依据《规定》，根据实际，制定资质许可程序并报省厅备案。同时加快各地建筑市场信用平台建设，并与省建筑市场信用平台进行数据对接，以便企业资质申报和换证工作的正常进行。</w:t>
      </w:r>
    </w:p>
    <w:p>
      <w:pPr>
        <w:spacing w:line="460" w:lineRule="exact"/>
        <w:ind w:firstLine="472" w:firstLineChars="200"/>
        <w:rPr>
          <w:rFonts w:eastAsia="方正仿宋_GBK"/>
          <w:color w:val="000000"/>
          <w:spacing w:val="-6"/>
          <w:sz w:val="24"/>
        </w:rPr>
      </w:pPr>
      <w:r>
        <w:rPr>
          <w:rFonts w:hint="eastAsia" w:eastAsia="方正仿宋_GBK"/>
          <w:color w:val="000000"/>
          <w:spacing w:val="-2"/>
          <w:sz w:val="24"/>
          <w:shd w:val="clear" w:color="auto" w:fill="FFFFFF"/>
        </w:rPr>
        <w:t>（二十五）</w:t>
      </w:r>
      <w:r>
        <w:rPr>
          <w:rFonts w:hint="eastAsia" w:eastAsia="方正仿宋_GBK"/>
          <w:color w:val="000000"/>
          <w:spacing w:val="-6"/>
          <w:sz w:val="24"/>
          <w:shd w:val="clear" w:color="auto" w:fill="FFFFFF"/>
        </w:rPr>
        <w:t>过渡期内，各级建设行政主管部门应依照有关法律、法规和《规定》，加强对企业取得建筑业企业资质后是否继续满足资质标准要求和市场行为的动态监管。</w:t>
      </w:r>
    </w:p>
    <w:p>
      <w:pPr>
        <w:spacing w:line="460" w:lineRule="exact"/>
        <w:ind w:firstLine="472" w:firstLineChars="200"/>
        <w:rPr>
          <w:rFonts w:eastAsia="方正仿宋_GBK"/>
          <w:color w:val="000000"/>
          <w:spacing w:val="-8"/>
          <w:sz w:val="24"/>
        </w:rPr>
      </w:pPr>
      <w:r>
        <w:rPr>
          <w:rFonts w:hint="eastAsia" w:eastAsia="方正仿宋_GBK"/>
          <w:color w:val="000000"/>
          <w:spacing w:val="-2"/>
          <w:sz w:val="24"/>
        </w:rPr>
        <w:t>（二十六）</w:t>
      </w:r>
      <w:r>
        <w:rPr>
          <w:rFonts w:hint="eastAsia" w:eastAsia="方正仿宋_GBK"/>
          <w:color w:val="000000"/>
          <w:spacing w:val="-8"/>
          <w:sz w:val="24"/>
        </w:rPr>
        <w:t>本通知自颁发之日起施行。</w:t>
      </w:r>
      <w:r>
        <w:rPr>
          <w:rFonts w:eastAsia="方正仿宋_GBK"/>
          <w:color w:val="000000"/>
          <w:spacing w:val="-8"/>
          <w:sz w:val="24"/>
        </w:rPr>
        <w:t>2007</w:t>
      </w:r>
      <w:r>
        <w:rPr>
          <w:rFonts w:hint="eastAsia" w:eastAsia="方正仿宋_GBK"/>
          <w:color w:val="000000"/>
          <w:spacing w:val="-8"/>
          <w:sz w:val="24"/>
        </w:rPr>
        <w:t>年</w:t>
      </w:r>
      <w:r>
        <w:rPr>
          <w:rFonts w:eastAsia="方正仿宋_GBK"/>
          <w:color w:val="000000"/>
          <w:spacing w:val="-8"/>
          <w:sz w:val="24"/>
        </w:rPr>
        <w:t>12</w:t>
      </w:r>
      <w:r>
        <w:rPr>
          <w:rFonts w:hint="eastAsia" w:eastAsia="方正仿宋_GBK"/>
          <w:color w:val="000000"/>
          <w:spacing w:val="-8"/>
          <w:sz w:val="24"/>
        </w:rPr>
        <w:t>月</w:t>
      </w:r>
      <w:r>
        <w:rPr>
          <w:rFonts w:eastAsia="方正仿宋_GBK"/>
          <w:color w:val="000000"/>
          <w:spacing w:val="-8"/>
          <w:sz w:val="24"/>
        </w:rPr>
        <w:t>27</w:t>
      </w:r>
      <w:r>
        <w:rPr>
          <w:rFonts w:hint="eastAsia" w:eastAsia="方正仿宋_GBK"/>
          <w:color w:val="000000"/>
          <w:spacing w:val="-8"/>
          <w:sz w:val="24"/>
        </w:rPr>
        <w:t>日原江苏省建筑工程管理局颁发的《江苏省建筑业企业资质管理规定实施办法》（苏建管企</w:t>
      </w:r>
      <w:r>
        <w:rPr>
          <w:rFonts w:hint="eastAsia" w:eastAsia="方正仿宋_GBK"/>
          <w:color w:val="000000"/>
          <w:spacing w:val="-8"/>
          <w:sz w:val="24"/>
          <w:shd w:val="clear" w:color="auto" w:fill="FFFFFF"/>
        </w:rPr>
        <w:t>〔</w:t>
      </w:r>
      <w:r>
        <w:rPr>
          <w:rFonts w:eastAsia="方正仿宋_GBK"/>
          <w:color w:val="000000"/>
          <w:spacing w:val="-8"/>
          <w:sz w:val="24"/>
          <w:shd w:val="clear" w:color="auto" w:fill="FFFFFF"/>
        </w:rPr>
        <w:t>2007</w:t>
      </w:r>
      <w:r>
        <w:rPr>
          <w:rFonts w:hint="eastAsia" w:eastAsia="方正仿宋_GBK"/>
          <w:color w:val="000000"/>
          <w:spacing w:val="-8"/>
          <w:sz w:val="24"/>
          <w:shd w:val="clear" w:color="auto" w:fill="FFFFFF"/>
        </w:rPr>
        <w:t>〕</w:t>
      </w:r>
      <w:r>
        <w:rPr>
          <w:rFonts w:eastAsia="方正仿宋_GBK"/>
          <w:color w:val="000000"/>
          <w:spacing w:val="-8"/>
          <w:sz w:val="24"/>
        </w:rPr>
        <w:t>45</w:t>
      </w:r>
      <w:r>
        <w:rPr>
          <w:rFonts w:hint="eastAsia" w:eastAsia="方正仿宋_GBK"/>
          <w:color w:val="000000"/>
          <w:spacing w:val="-8"/>
          <w:sz w:val="24"/>
        </w:rPr>
        <w:t>号）同时废止。</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在执行中如遇问题，及时与厅建筑市场监管处、行政审批办公室联系。</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eastAsia" w:eastAsia="方正仿宋_GBK"/>
          <w:color w:val="000000"/>
          <w:spacing w:val="-2"/>
          <w:sz w:val="24"/>
          <w:shd w:val="clear" w:color="auto" w:fill="FFFFFF"/>
        </w:rPr>
        <w:t>《建筑业企业资质管理规定》（住房城乡</w:t>
      </w:r>
      <w:r>
        <w:rPr>
          <w:rFonts w:hint="eastAsia" w:eastAsia="方正仿宋_GBK"/>
          <w:color w:val="000000"/>
          <w:spacing w:val="-2"/>
          <w:kern w:val="0"/>
          <w:sz w:val="24"/>
        </w:rPr>
        <w:t>建设部令第</w:t>
      </w:r>
      <w:r>
        <w:rPr>
          <w:rFonts w:eastAsia="方正仿宋_GBK"/>
          <w:color w:val="000000"/>
          <w:spacing w:val="-2"/>
          <w:kern w:val="0"/>
          <w:sz w:val="24"/>
        </w:rPr>
        <w:t>22</w:t>
      </w:r>
      <w:r>
        <w:rPr>
          <w:rFonts w:hint="eastAsia" w:eastAsia="方正仿宋_GBK"/>
          <w:color w:val="000000"/>
          <w:spacing w:val="-2"/>
          <w:kern w:val="0"/>
          <w:sz w:val="24"/>
        </w:rPr>
        <w:t>号）（略）</w:t>
      </w:r>
    </w:p>
    <w:p>
      <w:pPr>
        <w:spacing w:line="460" w:lineRule="exact"/>
        <w:ind w:firstLine="1210" w:firstLineChars="513"/>
        <w:rPr>
          <w:rFonts w:eastAsia="方正仿宋_GBK"/>
          <w:color w:val="000000"/>
          <w:spacing w:val="-2"/>
          <w:sz w:val="24"/>
        </w:rPr>
      </w:pPr>
      <w:r>
        <w:rPr>
          <w:rFonts w:eastAsia="方正仿宋_GBK"/>
          <w:color w:val="000000"/>
          <w:spacing w:val="-2"/>
          <w:kern w:val="0"/>
          <w:sz w:val="24"/>
        </w:rPr>
        <w:t>2</w:t>
      </w:r>
      <w:r>
        <w:rPr>
          <w:rFonts w:eastAsia="方正仿宋_GBK"/>
          <w:color w:val="000000"/>
          <w:spacing w:val="-2"/>
          <w:sz w:val="24"/>
        </w:rPr>
        <w:t>.</w:t>
      </w:r>
      <w:r>
        <w:rPr>
          <w:rFonts w:hint="eastAsia" w:eastAsia="方正仿宋_GBK"/>
          <w:color w:val="000000"/>
          <w:spacing w:val="-2"/>
          <w:sz w:val="24"/>
          <w:shd w:val="clear" w:color="auto" w:fill="FFFFFF"/>
        </w:rPr>
        <w:t>《建筑业企业资质管理规定和资质标准实施意见》（</w:t>
      </w:r>
      <w:r>
        <w:rPr>
          <w:rFonts w:hint="eastAsia" w:eastAsia="方正仿宋_GBK"/>
          <w:color w:val="000000"/>
          <w:spacing w:val="-2"/>
          <w:sz w:val="24"/>
        </w:rPr>
        <w:t>建市〔</w:t>
      </w:r>
      <w:r>
        <w:rPr>
          <w:rFonts w:eastAsia="方正仿宋_GBK"/>
          <w:color w:val="000000"/>
          <w:spacing w:val="-2"/>
          <w:sz w:val="24"/>
        </w:rPr>
        <w:t>2015</w:t>
      </w:r>
      <w:r>
        <w:rPr>
          <w:rFonts w:hint="eastAsia" w:eastAsia="方正仿宋_GBK"/>
          <w:color w:val="000000"/>
          <w:spacing w:val="-2"/>
          <w:sz w:val="24"/>
        </w:rPr>
        <w:t>〕</w:t>
      </w:r>
      <w:r>
        <w:rPr>
          <w:rFonts w:eastAsia="方正仿宋_GBK"/>
          <w:color w:val="000000"/>
          <w:spacing w:val="-2"/>
          <w:sz w:val="24"/>
        </w:rPr>
        <w:t>20</w:t>
      </w:r>
      <w:r>
        <w:rPr>
          <w:rFonts w:hint="eastAsia" w:eastAsia="方正仿宋_GBK"/>
          <w:color w:val="000000"/>
          <w:spacing w:val="-2"/>
          <w:sz w:val="24"/>
        </w:rPr>
        <w:t>号）</w:t>
      </w:r>
    </w:p>
    <w:p>
      <w:pPr>
        <w:spacing w:line="460" w:lineRule="exact"/>
        <w:ind w:firstLine="1390" w:firstLineChars="589"/>
        <w:rPr>
          <w:rFonts w:eastAsia="方正仿宋_GBK"/>
          <w:color w:val="000000"/>
          <w:spacing w:val="-2"/>
          <w:sz w:val="24"/>
        </w:rPr>
      </w:pPr>
      <w:r>
        <w:rPr>
          <w:rFonts w:hint="eastAsia" w:eastAsia="方正仿宋_GBK"/>
          <w:color w:val="000000"/>
          <w:spacing w:val="-2"/>
          <w:kern w:val="0"/>
          <w:sz w:val="24"/>
        </w:rPr>
        <w:t>（略）</w:t>
      </w:r>
    </w:p>
    <w:p>
      <w:pPr>
        <w:spacing w:line="460" w:lineRule="exact"/>
        <w:ind w:firstLine="1210" w:firstLineChars="513"/>
        <w:rPr>
          <w:rFonts w:eastAsia="方正仿宋_GBK"/>
          <w:color w:val="000000"/>
          <w:spacing w:val="-2"/>
          <w:kern w:val="0"/>
          <w:sz w:val="24"/>
        </w:rPr>
      </w:pPr>
      <w:r>
        <w:rPr>
          <w:rFonts w:eastAsia="方正仿宋_GBK"/>
          <w:color w:val="000000"/>
          <w:spacing w:val="-2"/>
          <w:kern w:val="0"/>
          <w:sz w:val="24"/>
        </w:rPr>
        <w:t>3</w:t>
      </w:r>
      <w:r>
        <w:rPr>
          <w:rFonts w:eastAsia="方正仿宋_GBK"/>
          <w:color w:val="000000"/>
          <w:spacing w:val="-2"/>
          <w:sz w:val="24"/>
        </w:rPr>
        <w:t>.</w:t>
      </w:r>
      <w:r>
        <w:rPr>
          <w:rFonts w:hint="eastAsia" w:eastAsia="方正仿宋_GBK"/>
          <w:color w:val="000000"/>
          <w:spacing w:val="-2"/>
          <w:kern w:val="0"/>
          <w:sz w:val="24"/>
        </w:rPr>
        <w:t>《建筑业企业资质标准》（建市〔</w:t>
      </w:r>
      <w:r>
        <w:rPr>
          <w:rFonts w:eastAsia="方正仿宋_GBK"/>
          <w:color w:val="000000"/>
          <w:spacing w:val="-2"/>
          <w:kern w:val="0"/>
          <w:sz w:val="24"/>
        </w:rPr>
        <w:t>2014</w:t>
      </w:r>
      <w:r>
        <w:rPr>
          <w:rFonts w:hint="eastAsia" w:eastAsia="方正仿宋_GBK"/>
          <w:color w:val="000000"/>
          <w:spacing w:val="-2"/>
          <w:kern w:val="0"/>
          <w:sz w:val="24"/>
        </w:rPr>
        <w:t>〕</w:t>
      </w:r>
      <w:r>
        <w:rPr>
          <w:rFonts w:eastAsia="方正仿宋_GBK"/>
          <w:color w:val="000000"/>
          <w:spacing w:val="-2"/>
          <w:kern w:val="0"/>
          <w:sz w:val="24"/>
        </w:rPr>
        <w:t>159</w:t>
      </w:r>
      <w:r>
        <w:rPr>
          <w:rFonts w:hint="eastAsia" w:eastAsia="方正仿宋_GBK"/>
          <w:color w:val="000000"/>
          <w:spacing w:val="-2"/>
          <w:kern w:val="0"/>
          <w:sz w:val="24"/>
        </w:rPr>
        <w:t>号）（略）</w:t>
      </w:r>
    </w:p>
    <w:p>
      <w:pPr>
        <w:spacing w:line="460" w:lineRule="exact"/>
        <w:ind w:firstLine="1210" w:firstLineChars="513"/>
        <w:rPr>
          <w:rFonts w:eastAsia="方正仿宋_GBK"/>
          <w:bCs/>
          <w:color w:val="000000"/>
          <w:spacing w:val="-2"/>
          <w:sz w:val="24"/>
        </w:rPr>
      </w:pPr>
      <w:r>
        <w:rPr>
          <w:rFonts w:eastAsia="方正仿宋_GBK"/>
          <w:bCs/>
          <w:color w:val="000000"/>
          <w:spacing w:val="-2"/>
          <w:sz w:val="24"/>
        </w:rPr>
        <w:t>4</w:t>
      </w:r>
      <w:r>
        <w:rPr>
          <w:rFonts w:eastAsia="方正仿宋_GBK"/>
          <w:color w:val="000000"/>
          <w:spacing w:val="-2"/>
          <w:sz w:val="24"/>
        </w:rPr>
        <w:t>.</w:t>
      </w:r>
      <w:r>
        <w:rPr>
          <w:rFonts w:hint="eastAsia" w:eastAsia="方正仿宋_GBK"/>
          <w:bCs/>
          <w:color w:val="000000"/>
          <w:spacing w:val="-2"/>
          <w:sz w:val="24"/>
        </w:rPr>
        <w:t>《关于推进建设省级建筑市场监管与诚信信息一体化工作平台若干意见</w:t>
      </w:r>
    </w:p>
    <w:p>
      <w:pPr>
        <w:ind w:firstLine="1510" w:firstLineChars="640"/>
      </w:pPr>
      <w:r>
        <w:rPr>
          <w:rFonts w:hint="eastAsia" w:eastAsia="方正仿宋_GBK"/>
          <w:bCs/>
          <w:color w:val="000000"/>
          <w:spacing w:val="-2"/>
          <w:sz w:val="24"/>
        </w:rPr>
        <w:t>的通知》（建办市〔</w:t>
      </w:r>
      <w:r>
        <w:rPr>
          <w:rFonts w:eastAsia="方正仿宋_GBK"/>
          <w:bCs/>
          <w:color w:val="000000"/>
          <w:spacing w:val="-2"/>
          <w:sz w:val="24"/>
        </w:rPr>
        <w:t>2014</w:t>
      </w:r>
      <w:r>
        <w:rPr>
          <w:rFonts w:hint="eastAsia" w:eastAsia="方正仿宋_GBK"/>
          <w:bCs/>
          <w:color w:val="000000"/>
          <w:spacing w:val="-2"/>
          <w:sz w:val="24"/>
        </w:rPr>
        <w:t>〕</w:t>
      </w:r>
      <w:r>
        <w:rPr>
          <w:rFonts w:eastAsia="方正仿宋_GBK"/>
          <w:bCs/>
          <w:color w:val="000000"/>
          <w:spacing w:val="-2"/>
          <w:sz w:val="24"/>
        </w:rPr>
        <w:t>55</w:t>
      </w:r>
      <w:r>
        <w:rPr>
          <w:rFonts w:hint="eastAsia" w:eastAsia="方正仿宋_GBK"/>
          <w:bCs/>
          <w:color w:val="000000"/>
          <w:spacing w:val="-2"/>
          <w:sz w:val="24"/>
        </w:rPr>
        <w:t>号）</w:t>
      </w:r>
      <w:r>
        <w:rPr>
          <w:rFonts w:hint="eastAsia" w:eastAsia="方正仿宋_GBK"/>
          <w:color w:val="000000"/>
          <w:spacing w:val="-2"/>
          <w:kern w:val="0"/>
          <w:sz w:val="24"/>
        </w:rPr>
        <w:t>（略）</w:t>
      </w:r>
    </w:p>
    <w:p>
      <w:pPr>
        <w:spacing w:line="500" w:lineRule="exact"/>
        <w:ind w:left="-10" w:leftChars="-8" w:hanging="7" w:hangingChars="3"/>
        <w:jc w:val="center"/>
        <w:rPr>
          <w:rFonts w:eastAsia="方正仿宋_GBK"/>
          <w:color w:val="000000"/>
          <w:sz w:val="24"/>
        </w:rPr>
      </w:pPr>
    </w:p>
    <w:p>
      <w:pPr>
        <w:pStyle w:val="2"/>
        <w:spacing w:before="312" w:after="312" w:line="240" w:lineRule="auto"/>
        <w:jc w:val="center"/>
      </w:pPr>
    </w:p>
    <w:p/>
    <w:p/>
    <w:p/>
    <w:p/>
    <w:p/>
    <w:p/>
    <w:p/>
    <w:p/>
    <w:p/>
    <w:p/>
    <w:p/>
    <w:p/>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471" w:name="_Toc18315694"/>
      <w:bookmarkStart w:id="472" w:name="_Toc20726424"/>
      <w:r>
        <w:rPr>
          <w:rFonts w:hint="eastAsia" w:ascii="Times New Roman" w:eastAsia="方正小标宋_GBK"/>
          <w:b w:val="0"/>
          <w:sz w:val="36"/>
          <w:szCs w:val="36"/>
        </w:rPr>
        <w:t>省住房城乡建设厅转发住房城乡建设部关于取消建筑 智能化等4个工程设计与施工资质有关事项的通知</w:t>
      </w:r>
      <w:bookmarkEnd w:id="471"/>
      <w:bookmarkEnd w:id="472"/>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73" w:name="_Toc20726425"/>
      <w:bookmarkStart w:id="474" w:name="_Toc18315695"/>
      <w:r>
        <w:rPr>
          <w:rFonts w:hint="eastAsia" w:ascii="Times New Roman" w:hAnsi="Times New Roman" w:eastAsia="方正楷体_GBK"/>
          <w:b w:val="0"/>
          <w:sz w:val="24"/>
          <w:szCs w:val="24"/>
        </w:rPr>
        <w:t>苏建建管〔</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363</w:t>
      </w:r>
      <w:r>
        <w:rPr>
          <w:rFonts w:hint="eastAsia" w:ascii="Times New Roman" w:hAnsi="Times New Roman" w:eastAsia="方正楷体_GBK"/>
          <w:b w:val="0"/>
          <w:sz w:val="24"/>
          <w:szCs w:val="24"/>
        </w:rPr>
        <w:t>号</w:t>
      </w:r>
      <w:bookmarkEnd w:id="473"/>
      <w:bookmarkEnd w:id="474"/>
    </w:p>
    <w:p>
      <w:pPr>
        <w:spacing w:line="460" w:lineRule="exact"/>
        <w:rPr>
          <w:rFonts w:eastAsia="方正仿宋_GBK"/>
          <w:color w:val="000000"/>
          <w:spacing w:val="-2"/>
          <w:sz w:val="24"/>
        </w:rPr>
      </w:pPr>
      <w:r>
        <w:rPr>
          <w:rFonts w:hint="eastAsia" w:eastAsia="方正仿宋_GBK"/>
          <w:color w:val="000000"/>
          <w:spacing w:val="-2"/>
          <w:sz w:val="24"/>
        </w:rPr>
        <w:t>各省辖市建设局（委），泰州市建工局，苏州工业园区规划建设局、张家港保税区规划建设局，昆山市、泰兴市、沭阳县建设局：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现将《住房城乡建设部关于取消建筑智能化等</w:t>
      </w:r>
      <w:r>
        <w:rPr>
          <w:rFonts w:eastAsia="方正仿宋_GBK"/>
          <w:color w:val="000000"/>
          <w:spacing w:val="-2"/>
          <w:sz w:val="24"/>
        </w:rPr>
        <w:t>4</w:t>
      </w:r>
      <w:r>
        <w:rPr>
          <w:rFonts w:hint="eastAsia" w:eastAsia="方正仿宋_GBK"/>
          <w:color w:val="000000"/>
          <w:spacing w:val="-2"/>
          <w:sz w:val="24"/>
        </w:rPr>
        <w:t>个工程设计与施工资质有关事项的通知》（建市〔</w:t>
      </w:r>
      <w:r>
        <w:rPr>
          <w:rFonts w:eastAsia="方正仿宋_GBK"/>
          <w:color w:val="000000"/>
          <w:spacing w:val="-2"/>
          <w:sz w:val="24"/>
        </w:rPr>
        <w:t>2015</w:t>
      </w:r>
      <w:r>
        <w:rPr>
          <w:rFonts w:hint="eastAsia" w:eastAsia="方正仿宋_GBK"/>
          <w:color w:val="000000"/>
          <w:spacing w:val="-2"/>
          <w:sz w:val="24"/>
        </w:rPr>
        <w:t>〕</w:t>
      </w:r>
      <w:r>
        <w:rPr>
          <w:rFonts w:eastAsia="方正仿宋_GBK"/>
          <w:color w:val="000000"/>
          <w:spacing w:val="-2"/>
          <w:sz w:val="24"/>
        </w:rPr>
        <w:t>102</w:t>
      </w:r>
      <w:r>
        <w:rPr>
          <w:rFonts w:hint="eastAsia" w:eastAsia="方正仿宋_GBK"/>
          <w:color w:val="000000"/>
          <w:spacing w:val="-2"/>
          <w:sz w:val="24"/>
        </w:rPr>
        <w:t>号）转发给你们，并就取消建筑智能化、消防设施、建筑装饰装修、建筑幕墙</w:t>
      </w:r>
      <w:r>
        <w:rPr>
          <w:rFonts w:eastAsia="方正仿宋_GBK"/>
          <w:color w:val="000000"/>
          <w:spacing w:val="-2"/>
          <w:sz w:val="24"/>
        </w:rPr>
        <w:t>4</w:t>
      </w:r>
      <w:r>
        <w:rPr>
          <w:rFonts w:hint="eastAsia" w:eastAsia="方正仿宋_GBK"/>
          <w:color w:val="000000"/>
          <w:spacing w:val="-2"/>
          <w:sz w:val="24"/>
        </w:rPr>
        <w:t>个工程设计与施工资质（以下简称</w:t>
      </w:r>
      <w:r>
        <w:rPr>
          <w:rFonts w:eastAsia="方正仿宋_GBK"/>
          <w:color w:val="000000"/>
          <w:spacing w:val="-2"/>
          <w:sz w:val="24"/>
        </w:rPr>
        <w:t>“</w:t>
      </w:r>
      <w:r>
        <w:rPr>
          <w:rFonts w:hint="eastAsia" w:eastAsia="方正仿宋_GBK"/>
          <w:color w:val="000000"/>
          <w:spacing w:val="-2"/>
          <w:sz w:val="24"/>
        </w:rPr>
        <w:t>一体化资质</w:t>
      </w:r>
      <w:r>
        <w:rPr>
          <w:rFonts w:eastAsia="方正仿宋_GBK"/>
          <w:color w:val="000000"/>
          <w:spacing w:val="-2"/>
          <w:sz w:val="24"/>
        </w:rPr>
        <w:t>”</w:t>
      </w:r>
      <w:r>
        <w:rPr>
          <w:rFonts w:hint="eastAsia" w:eastAsia="方正仿宋_GBK"/>
          <w:color w:val="000000"/>
          <w:spacing w:val="-2"/>
          <w:sz w:val="24"/>
        </w:rPr>
        <w:t>）的后续管理工作，结合我省实际提出如下意见，请一并贯彻执行。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一、自</w:t>
      </w: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31</w:t>
      </w:r>
      <w:r>
        <w:rPr>
          <w:rFonts w:hint="eastAsia" w:eastAsia="方正仿宋_GBK"/>
          <w:color w:val="000000"/>
          <w:spacing w:val="-2"/>
          <w:sz w:val="24"/>
        </w:rPr>
        <w:t>日</w:t>
      </w:r>
      <w:r>
        <w:rPr>
          <w:rFonts w:eastAsia="方正仿宋_GBK"/>
          <w:color w:val="000000"/>
          <w:spacing w:val="-2"/>
          <w:sz w:val="24"/>
        </w:rPr>
        <w:t>17</w:t>
      </w:r>
      <w:r>
        <w:rPr>
          <w:rFonts w:hint="eastAsia" w:eastAsia="方正仿宋_GBK"/>
          <w:color w:val="000000"/>
          <w:spacing w:val="-2"/>
          <w:sz w:val="24"/>
        </w:rPr>
        <w:t>时起，各级建设行政主管部门停止受理</w:t>
      </w:r>
      <w:r>
        <w:rPr>
          <w:rFonts w:eastAsia="方正仿宋_GBK"/>
          <w:color w:val="000000"/>
          <w:spacing w:val="-2"/>
          <w:sz w:val="24"/>
        </w:rPr>
        <w:t>4</w:t>
      </w:r>
      <w:r>
        <w:rPr>
          <w:rFonts w:hint="eastAsia" w:eastAsia="方正仿宋_GBK"/>
          <w:color w:val="000000"/>
          <w:spacing w:val="-2"/>
          <w:sz w:val="24"/>
        </w:rPr>
        <w:t>个一体化资质的延续申请。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已取得一体化资质的企业，在证书有效期内可按《工程设计资质标准》、《建筑业企业资质标准》，分别申请换发相应等级和类别的工程设计资质证书、建筑业企业资质证书（以下简称换证），换证不考核企业业绩。</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建筑装饰装修一体化三级资质证书可申请建筑装修装饰工程专业承包二级资质换证。</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三、企业申请换证，须在资质证书有效期届满</w:t>
      </w:r>
      <w:r>
        <w:rPr>
          <w:rFonts w:eastAsia="方正仿宋_GBK"/>
          <w:color w:val="000000"/>
          <w:spacing w:val="-2"/>
          <w:sz w:val="24"/>
        </w:rPr>
        <w:t>60</w:t>
      </w:r>
      <w:r>
        <w:rPr>
          <w:rFonts w:hint="eastAsia" w:eastAsia="方正仿宋_GBK"/>
          <w:color w:val="000000"/>
          <w:spacing w:val="-2"/>
          <w:sz w:val="24"/>
        </w:rPr>
        <w:t>日前按审批权限分别一次性提出换证申请，未申请换证的资质按自动放弃处理。</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具有其他建筑业企业资质的企业，也可与其它建筑业企业资质换证一并进行。</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四、企业申请换发建筑业企业资质证书的，需登录</w:t>
      </w:r>
      <w:r>
        <w:rPr>
          <w:rFonts w:eastAsia="方正仿宋_GBK"/>
          <w:color w:val="000000"/>
          <w:spacing w:val="-2"/>
          <w:sz w:val="24"/>
        </w:rPr>
        <w:t>“</w:t>
      </w:r>
      <w:r>
        <w:rPr>
          <w:rFonts w:hint="eastAsia" w:eastAsia="方正仿宋_GBK"/>
          <w:color w:val="000000"/>
          <w:spacing w:val="-2"/>
          <w:sz w:val="24"/>
        </w:rPr>
        <w:t>江苏省建筑业企业资质管理系统</w:t>
      </w:r>
      <w:r>
        <w:rPr>
          <w:rFonts w:eastAsia="方正仿宋_GBK"/>
          <w:color w:val="000000"/>
          <w:spacing w:val="-2"/>
          <w:sz w:val="24"/>
        </w:rPr>
        <w:t>”</w:t>
      </w:r>
      <w:r>
        <w:rPr>
          <w:rFonts w:hint="eastAsia" w:eastAsia="方正仿宋_GBK"/>
          <w:color w:val="000000"/>
          <w:spacing w:val="-2"/>
          <w:sz w:val="24"/>
        </w:rPr>
        <w:t>，根据《建筑业企业资质管理规定》，按照建筑业企业换证的要求，填报相关信息。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五、企业申请换发工程设计资质证书的，须按有关要求提交申请</w:t>
      </w:r>
      <w:r>
        <w:rPr>
          <w:rFonts w:eastAsia="方正仿宋_GBK"/>
          <w:color w:val="000000"/>
          <w:spacing w:val="-2"/>
          <w:sz w:val="24"/>
        </w:rPr>
        <w:t>(</w:t>
      </w:r>
      <w:r>
        <w:rPr>
          <w:rFonts w:hint="eastAsia" w:eastAsia="方正仿宋_GBK"/>
          <w:color w:val="000000"/>
          <w:spacing w:val="-2"/>
          <w:sz w:val="24"/>
        </w:rPr>
        <w:t>见附件</w:t>
      </w:r>
      <w:r>
        <w:rPr>
          <w:rFonts w:eastAsia="方正仿宋_GBK"/>
          <w:color w:val="000000"/>
          <w:spacing w:val="-2"/>
          <w:sz w:val="24"/>
        </w:rPr>
        <w:t>2)</w:t>
      </w:r>
      <w:r>
        <w:rPr>
          <w:rFonts w:hint="eastAsia" w:eastAsia="方正仿宋_GBK"/>
          <w:color w:val="000000"/>
          <w:spacing w:val="-2"/>
          <w:sz w:val="24"/>
        </w:rPr>
        <w:t>。换发工程设计资质证书后，企业应按照《省住房城乡建设厅关于启用江苏省勘察设计行业管理信息系统的通知》（苏建科〔</w:t>
      </w:r>
      <w:r>
        <w:rPr>
          <w:rFonts w:eastAsia="方正仿宋_GBK"/>
          <w:color w:val="000000"/>
          <w:spacing w:val="-2"/>
          <w:sz w:val="24"/>
        </w:rPr>
        <w:t>2013</w:t>
      </w:r>
      <w:r>
        <w:rPr>
          <w:rFonts w:hint="eastAsia" w:eastAsia="方正仿宋_GBK"/>
          <w:color w:val="000000"/>
          <w:spacing w:val="-2"/>
          <w:sz w:val="24"/>
        </w:rPr>
        <w:t>〕</w:t>
      </w:r>
      <w:r>
        <w:rPr>
          <w:rFonts w:eastAsia="方正仿宋_GBK"/>
          <w:color w:val="000000"/>
          <w:spacing w:val="-2"/>
          <w:sz w:val="24"/>
        </w:rPr>
        <w:t>623</w:t>
      </w:r>
      <w:r>
        <w:rPr>
          <w:rFonts w:hint="eastAsia" w:eastAsia="方正仿宋_GBK"/>
          <w:color w:val="000000"/>
          <w:spacing w:val="-2"/>
          <w:sz w:val="24"/>
        </w:rPr>
        <w:t>号）的要求，及时填报相关信息。</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六、各级建设行政主管部门应加强对换证后企业的动态监管。对不符合相关资质标准要求的，限期三个月整改，逾期未整改或整改后仍不符合要求的，由资质许可机关撤回其相关资质（甲级工程设计资质，上报住房和城乡建设部撤回）。</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七、各地在执行中如遇问题，请与厅建筑市场监管处、建筑节能与科研设计处、行政审批办公室联系。</w:t>
      </w:r>
    </w:p>
    <w:p>
      <w:pPr>
        <w:spacing w:line="460" w:lineRule="exac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联系电话：建筑市场监管处</w:t>
      </w:r>
      <w:r>
        <w:rPr>
          <w:rFonts w:eastAsia="方正仿宋_GBK"/>
          <w:color w:val="000000"/>
          <w:spacing w:val="-2"/>
          <w:sz w:val="24"/>
        </w:rPr>
        <w:t>025-51868628</w:t>
      </w:r>
      <w:r>
        <w:rPr>
          <w:rFonts w:hint="eastAsia" w:eastAsia="方正仿宋_GBK"/>
          <w:color w:val="000000"/>
          <w:spacing w:val="-2"/>
          <w:sz w:val="24"/>
        </w:rPr>
        <w:t>，建筑节能与科研设计处</w:t>
      </w:r>
      <w:r>
        <w:rPr>
          <w:rFonts w:eastAsia="方正仿宋_GBK"/>
          <w:color w:val="000000"/>
          <w:spacing w:val="-2"/>
          <w:sz w:val="24"/>
        </w:rPr>
        <w:t>025-51868833</w:t>
      </w:r>
      <w:r>
        <w:rPr>
          <w:rFonts w:hint="eastAsia" w:eastAsia="方正仿宋_GBK"/>
          <w:color w:val="000000"/>
          <w:spacing w:val="-2"/>
          <w:sz w:val="24"/>
        </w:rPr>
        <w:t>，行政审批办公室</w:t>
      </w:r>
      <w:r>
        <w:rPr>
          <w:rFonts w:eastAsia="方正仿宋_GBK"/>
          <w:color w:val="000000"/>
          <w:spacing w:val="-2"/>
          <w:sz w:val="24"/>
        </w:rPr>
        <w:t>025-51868202</w:t>
      </w:r>
      <w:r>
        <w:rPr>
          <w:rFonts w:hint="eastAsia" w:eastAsia="方正仿宋_GBK"/>
          <w:color w:val="000000"/>
          <w:spacing w:val="-2"/>
          <w:sz w:val="24"/>
        </w:rPr>
        <w:t>。</w:t>
      </w:r>
    </w:p>
    <w:p>
      <w:pPr>
        <w:spacing w:line="460" w:lineRule="exact"/>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cs" w:eastAsia="方正仿宋_GBK"/>
          <w:color w:val="000000"/>
          <w:spacing w:val="-2"/>
          <w:sz w:val="24"/>
          <w:cs/>
        </w:rPr>
        <w:t> </w:t>
      </w:r>
      <w:r>
        <w:rPr>
          <w:rFonts w:hint="eastAsia" w:eastAsia="方正仿宋_GBK"/>
          <w:color w:val="000000"/>
          <w:spacing w:val="-2"/>
          <w:sz w:val="24"/>
        </w:rPr>
        <w:t>住房城乡建设部关于取消建筑智能化等</w:t>
      </w:r>
      <w:r>
        <w:rPr>
          <w:rFonts w:eastAsia="方正仿宋_GBK"/>
          <w:color w:val="000000"/>
          <w:spacing w:val="-2"/>
          <w:sz w:val="24"/>
        </w:rPr>
        <w:t>4</w:t>
      </w:r>
      <w:r>
        <w:rPr>
          <w:rFonts w:hint="eastAsia" w:eastAsia="方正仿宋_GBK"/>
          <w:color w:val="000000"/>
          <w:spacing w:val="-2"/>
          <w:sz w:val="24"/>
        </w:rPr>
        <w:t>个工程设计与施工资质有关事</w:t>
      </w:r>
    </w:p>
    <w:p>
      <w:pPr>
        <w:spacing w:line="460" w:lineRule="exact"/>
        <w:ind w:firstLine="1411" w:firstLineChars="598"/>
        <w:rPr>
          <w:rFonts w:eastAsia="方正仿宋_GBK"/>
          <w:color w:val="000000"/>
          <w:spacing w:val="-2"/>
          <w:sz w:val="24"/>
        </w:rPr>
      </w:pPr>
      <w:r>
        <w:rPr>
          <w:rFonts w:hint="eastAsia" w:eastAsia="方正仿宋_GBK"/>
          <w:color w:val="000000"/>
          <w:spacing w:val="-2"/>
          <w:sz w:val="24"/>
        </w:rPr>
        <w:t>项的通知（建市〔</w:t>
      </w:r>
      <w:r>
        <w:rPr>
          <w:rFonts w:eastAsia="方正仿宋_GBK"/>
          <w:color w:val="000000"/>
          <w:spacing w:val="-2"/>
          <w:sz w:val="24"/>
        </w:rPr>
        <w:t>2015</w:t>
      </w:r>
      <w:r>
        <w:rPr>
          <w:rFonts w:hint="eastAsia" w:eastAsia="方正仿宋_GBK"/>
          <w:color w:val="000000"/>
          <w:spacing w:val="-2"/>
          <w:sz w:val="24"/>
        </w:rPr>
        <w:t>〕</w:t>
      </w:r>
      <w:r>
        <w:rPr>
          <w:rFonts w:eastAsia="方正仿宋_GBK"/>
          <w:color w:val="000000"/>
          <w:spacing w:val="-2"/>
          <w:sz w:val="24"/>
        </w:rPr>
        <w:t>102</w:t>
      </w:r>
      <w:r>
        <w:rPr>
          <w:rFonts w:hint="eastAsia" w:eastAsia="方正仿宋_GBK"/>
          <w:color w:val="000000"/>
          <w:spacing w:val="-2"/>
          <w:sz w:val="24"/>
        </w:rPr>
        <w:t>号）</w:t>
      </w:r>
    </w:p>
    <w:p>
      <w:pPr>
        <w:spacing w:line="460" w:lineRule="exact"/>
        <w:ind w:firstLine="1180" w:firstLineChars="500"/>
        <w:rPr>
          <w:rFonts w:eastAsia="方正仿宋_GBK"/>
          <w:color w:val="000000"/>
          <w:spacing w:val="-2"/>
          <w:sz w:val="24"/>
        </w:rPr>
      </w:pPr>
      <w:r>
        <w:rPr>
          <w:rFonts w:eastAsia="方正仿宋_GBK"/>
          <w:color w:val="000000"/>
          <w:spacing w:val="-2"/>
          <w:sz w:val="24"/>
        </w:rPr>
        <w:t>2.</w:t>
      </w:r>
      <w:r>
        <w:rPr>
          <w:rFonts w:hint="cs" w:eastAsia="方正仿宋_GBK"/>
          <w:color w:val="000000"/>
          <w:spacing w:val="-2"/>
          <w:sz w:val="24"/>
          <w:cs/>
        </w:rPr>
        <w:t> </w:t>
      </w:r>
      <w:r>
        <w:rPr>
          <w:rFonts w:hint="eastAsia" w:eastAsia="方正仿宋_GBK"/>
          <w:color w:val="000000"/>
          <w:spacing w:val="-2"/>
          <w:sz w:val="24"/>
        </w:rPr>
        <w:t>一体化资质企业申请换领工程设计资质证书的有关要求</w:t>
      </w:r>
    </w:p>
    <w:p>
      <w:pPr>
        <w:spacing w:line="460" w:lineRule="exact"/>
        <w:rPr>
          <w:rFonts w:eastAsia="方正仿宋_GBK"/>
          <w:color w:val="000000"/>
          <w:spacing w:val="-2"/>
          <w:sz w:val="24"/>
        </w:rPr>
      </w:pPr>
    </w:p>
    <w:p>
      <w:pPr>
        <w:spacing w:line="460" w:lineRule="exact"/>
        <w:ind w:right="418" w:rightChars="199"/>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472" w:firstLine="6018" w:firstLineChars="2550"/>
        <w:rPr>
          <w:rFonts w:eastAsia="方正仿宋_GBK"/>
          <w:color w:val="000000"/>
          <w:spacing w:val="-2"/>
          <w:sz w:val="24"/>
        </w:rPr>
      </w:pP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29</w:t>
      </w:r>
      <w:r>
        <w:rPr>
          <w:rFonts w:hint="eastAsia" w:eastAsia="方正仿宋_GBK"/>
          <w:color w:val="000000"/>
          <w:spacing w:val="-2"/>
          <w:sz w:val="24"/>
        </w:rPr>
        <w:t>日</w:t>
      </w:r>
    </w:p>
    <w:p>
      <w:pPr>
        <w:spacing w:line="460" w:lineRule="exact"/>
        <w:ind w:right="472"/>
        <w:rPr>
          <w:rFonts w:eastAsia="方正仿宋_GBK"/>
          <w:color w:val="000000"/>
          <w:spacing w:val="-2"/>
          <w:sz w:val="24"/>
        </w:rPr>
      </w:pPr>
    </w:p>
    <w:p>
      <w:pPr>
        <w:spacing w:line="460" w:lineRule="exact"/>
        <w:ind w:right="472"/>
        <w:rPr>
          <w:rFonts w:eastAsia="方正仿宋_GBK"/>
          <w:color w:val="000000"/>
          <w:spacing w:val="-2"/>
          <w:sz w:val="24"/>
        </w:rPr>
      </w:pPr>
    </w:p>
    <w:p>
      <w:pPr>
        <w:spacing w:line="460" w:lineRule="exact"/>
        <w:ind w:right="472"/>
        <w:rPr>
          <w:rFonts w:eastAsia="方正仿宋_GBK"/>
          <w:color w:val="000000"/>
          <w:spacing w:val="-2"/>
          <w:sz w:val="24"/>
        </w:rPr>
      </w:pPr>
    </w:p>
    <w:p>
      <w:pPr>
        <w:spacing w:line="460" w:lineRule="exact"/>
        <w:ind w:right="472"/>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附件1　　</w:t>
      </w:r>
    </w:p>
    <w:p>
      <w:pPr>
        <w:spacing w:line="460" w:lineRule="exact"/>
        <w:jc w:val="left"/>
        <w:outlineLvl w:val="1"/>
        <w:rPr>
          <w:rFonts w:hint="eastAsia" w:eastAsia="方正仿宋_GBK"/>
          <w:color w:val="000000"/>
          <w:spacing w:val="-2"/>
          <w:sz w:val="24"/>
        </w:rPr>
      </w:pPr>
    </w:p>
    <w:p>
      <w:pPr>
        <w:spacing w:line="460" w:lineRule="exact"/>
        <w:jc w:val="center"/>
        <w:outlineLvl w:val="1"/>
        <w:rPr>
          <w:rFonts w:ascii="Times New Roman" w:eastAsia="方正小标宋简体"/>
          <w:color w:val="000000"/>
          <w:spacing w:val="-2"/>
          <w:kern w:val="36"/>
          <w:sz w:val="36"/>
          <w:szCs w:val="36"/>
        </w:rPr>
      </w:pPr>
      <w:bookmarkStart w:id="475" w:name="_Toc18315696"/>
      <w:bookmarkStart w:id="476" w:name="_Toc20667898"/>
      <w:bookmarkStart w:id="477" w:name="_Toc20726426"/>
      <w:r>
        <w:rPr>
          <w:rFonts w:hint="eastAsia" w:ascii="Times New Roman" w:eastAsia="方正小标宋简体"/>
          <w:color w:val="000000"/>
          <w:spacing w:val="-2"/>
          <w:kern w:val="36"/>
          <w:sz w:val="36"/>
          <w:szCs w:val="36"/>
        </w:rPr>
        <w:t>住房城乡建设部关于取消建筑智能化等4个工程设计</w:t>
      </w:r>
      <w:bookmarkEnd w:id="475"/>
      <w:bookmarkEnd w:id="476"/>
      <w:bookmarkEnd w:id="477"/>
    </w:p>
    <w:p>
      <w:pPr>
        <w:spacing w:line="460" w:lineRule="exact"/>
        <w:jc w:val="center"/>
        <w:outlineLvl w:val="1"/>
        <w:rPr>
          <w:rFonts w:hint="eastAsia" w:ascii="Times New Roman" w:eastAsia="方正小标宋简体"/>
          <w:color w:val="000000"/>
          <w:spacing w:val="-2"/>
          <w:kern w:val="36"/>
          <w:sz w:val="36"/>
          <w:szCs w:val="36"/>
        </w:rPr>
      </w:pPr>
      <w:bookmarkStart w:id="478" w:name="_Toc20726427"/>
      <w:bookmarkStart w:id="479" w:name="_Toc18315697"/>
      <w:bookmarkStart w:id="480" w:name="_Toc20667899"/>
      <w:r>
        <w:rPr>
          <w:rFonts w:hint="eastAsia" w:ascii="Times New Roman" w:eastAsia="方正小标宋简体"/>
          <w:color w:val="000000"/>
          <w:spacing w:val="-2"/>
          <w:kern w:val="36"/>
          <w:sz w:val="36"/>
          <w:szCs w:val="36"/>
        </w:rPr>
        <w:t>与施工资质有关事项的通知</w:t>
      </w:r>
      <w:bookmarkEnd w:id="478"/>
      <w:bookmarkEnd w:id="479"/>
      <w:bookmarkEnd w:id="480"/>
    </w:p>
    <w:p>
      <w:pPr>
        <w:pStyle w:val="10"/>
        <w:widowControl w:val="0"/>
        <w:shd w:val="clear" w:color="auto" w:fill="FFFFFF"/>
        <w:spacing w:before="0" w:beforeAutospacing="0" w:after="0" w:afterAutospacing="0" w:line="460" w:lineRule="exact"/>
        <w:rPr>
          <w:rFonts w:hint="eastAsia" w:ascii="Times New Roman" w:hAnsi="Times New Roman" w:eastAsia="方正仿宋_GBK"/>
          <w:color w:val="000000"/>
          <w:spacing w:val="-2"/>
        </w:rPr>
      </w:pPr>
    </w:p>
    <w:p>
      <w:pPr>
        <w:pStyle w:val="10"/>
        <w:widowControl w:val="0"/>
        <w:shd w:val="clear" w:color="auto" w:fill="FFFFFF"/>
        <w:spacing w:before="0" w:beforeAutospacing="0" w:after="0" w:afterAutospacing="0" w:line="460" w:lineRule="exact"/>
        <w:rPr>
          <w:rFonts w:ascii="Times New Roman" w:hAnsi="Times New Roman" w:eastAsia="方正仿宋_GBK"/>
          <w:color w:val="000000"/>
          <w:spacing w:val="-2"/>
        </w:rPr>
      </w:pPr>
      <w:r>
        <w:rPr>
          <w:rFonts w:hint="eastAsia" w:ascii="Times New Roman" w:hAnsi="Times New Roman" w:eastAsia="方正仿宋_GBK"/>
          <w:color w:val="000000"/>
          <w:spacing w:val="-2"/>
        </w:rPr>
        <w:t>各省、自治区住房城乡建设厅，直辖市建委，北京市规委，新疆生产建设兵团建设局，国务院有关部门建设司，总后基建营房部工程管理局，有关中央企业：</w:t>
      </w:r>
    </w:p>
    <w:p>
      <w:pPr>
        <w:pStyle w:val="10"/>
        <w:widowControl w:val="0"/>
        <w:shd w:val="clear" w:color="auto" w:fill="FFFFFF"/>
        <w:spacing w:before="0" w:beforeAutospacing="0" w:after="0" w:afterAutospacing="0" w:line="460" w:lineRule="exact"/>
        <w:rPr>
          <w:rFonts w:ascii="Times New Roman" w:hAnsi="Times New Roman" w:eastAsia="方正仿宋_GBK"/>
          <w:color w:val="000000"/>
          <w:spacing w:val="-2"/>
        </w:rPr>
      </w:pPr>
      <w:r>
        <w:rPr>
          <w:rFonts w:hint="eastAsia" w:ascii="Times New Roman" w:hAnsi="Times New Roman" w:eastAsia="方正仿宋_GBK"/>
          <w:color w:val="000000"/>
          <w:spacing w:val="-2"/>
        </w:rPr>
        <w:t>　　为贯彻落实国务院深化行政审批制度改革工作要求，我部对行政审批事项进行了清理，现决定取消建筑智能化、消防设施、建筑装饰装修、建筑幕墙</w:t>
      </w:r>
      <w:r>
        <w:rPr>
          <w:rFonts w:ascii="Times New Roman" w:hAnsi="Times New Roman" w:eastAsia="方正仿宋_GBK"/>
          <w:color w:val="000000"/>
          <w:spacing w:val="-2"/>
        </w:rPr>
        <w:t>4</w:t>
      </w:r>
      <w:r>
        <w:rPr>
          <w:rFonts w:hint="eastAsia" w:ascii="Times New Roman" w:hAnsi="Times New Roman" w:eastAsia="方正仿宋_GBK"/>
          <w:color w:val="000000"/>
          <w:spacing w:val="-2"/>
        </w:rPr>
        <w:t>个工程设计与施工资质（以下简称一体化资质）的行政审批。为做好已取得一体化资质企业的后续管理工作，现将有关事项通知如下。</w:t>
      </w:r>
    </w:p>
    <w:p>
      <w:pPr>
        <w:pStyle w:val="10"/>
        <w:widowControl w:val="0"/>
        <w:shd w:val="clear" w:color="auto" w:fill="FFFFFF"/>
        <w:spacing w:before="0" w:beforeAutospacing="0" w:after="0" w:afterAutospacing="0" w:line="460" w:lineRule="exact"/>
        <w:rPr>
          <w:rFonts w:ascii="Times New Roman" w:hAnsi="Times New Roman" w:eastAsia="方正仿宋_GBK"/>
          <w:color w:val="000000"/>
          <w:spacing w:val="-2"/>
        </w:rPr>
      </w:pPr>
      <w:r>
        <w:rPr>
          <w:rFonts w:hint="eastAsia" w:ascii="Times New Roman" w:hAnsi="Times New Roman" w:eastAsia="方正仿宋_GBK"/>
          <w:color w:val="000000"/>
          <w:spacing w:val="-2"/>
        </w:rPr>
        <w:t>　　一、已取得一体化资质的企业，一体化资质证书在有效期届满前继续有效，企业可在资质证书许可范围内开展业务。</w:t>
      </w:r>
    </w:p>
    <w:p>
      <w:pPr>
        <w:pStyle w:val="10"/>
        <w:widowControl w:val="0"/>
        <w:shd w:val="clear" w:color="auto" w:fill="FFFFFF"/>
        <w:spacing w:before="0" w:beforeAutospacing="0" w:after="0" w:afterAutospacing="0" w:line="460" w:lineRule="exact"/>
        <w:rPr>
          <w:rFonts w:ascii="Times New Roman" w:hAnsi="Times New Roman" w:eastAsia="方正仿宋_GBK"/>
          <w:color w:val="000000"/>
          <w:spacing w:val="-2"/>
        </w:rPr>
      </w:pPr>
      <w:r>
        <w:rPr>
          <w:rFonts w:hint="eastAsia" w:ascii="Times New Roman" w:hAnsi="Times New Roman" w:eastAsia="方正仿宋_GBK"/>
          <w:color w:val="000000"/>
          <w:spacing w:val="-2"/>
        </w:rPr>
        <w:t>　　二、已取得一体化资质的企业，应在资质证书有效期届满</w:t>
      </w:r>
      <w:r>
        <w:rPr>
          <w:rFonts w:ascii="Times New Roman" w:hAnsi="Times New Roman" w:eastAsia="方正仿宋_GBK"/>
          <w:color w:val="000000"/>
          <w:spacing w:val="-2"/>
        </w:rPr>
        <w:t>60</w:t>
      </w:r>
      <w:r>
        <w:rPr>
          <w:rFonts w:hint="eastAsia" w:ascii="Times New Roman" w:hAnsi="Times New Roman" w:eastAsia="方正仿宋_GBK"/>
          <w:color w:val="000000"/>
          <w:spacing w:val="-2"/>
        </w:rPr>
        <w:t>日前申请换发资质证书（以下简称换证），按简单换证原则分别换领原一体化资质相应等级和类别的工程设计资质证书、建筑业企业资质证书，资质证书有效期</w:t>
      </w:r>
      <w:r>
        <w:rPr>
          <w:rFonts w:ascii="Times New Roman" w:hAnsi="Times New Roman" w:eastAsia="方正仿宋_GBK"/>
          <w:color w:val="000000"/>
          <w:spacing w:val="-2"/>
        </w:rPr>
        <w:t>3</w:t>
      </w:r>
      <w:r>
        <w:rPr>
          <w:rFonts w:hint="eastAsia" w:ascii="Times New Roman" w:hAnsi="Times New Roman" w:eastAsia="方正仿宋_GBK"/>
          <w:color w:val="000000"/>
          <w:spacing w:val="-2"/>
        </w:rPr>
        <w:t>年，原一体化资质证书交回原发证机关予以注销。自本通知印发之日起，企业可在资质证书有效期内提前申请换证。</w:t>
      </w:r>
    </w:p>
    <w:p>
      <w:pPr>
        <w:pStyle w:val="10"/>
        <w:widowControl w:val="0"/>
        <w:shd w:val="clear" w:color="auto" w:fill="FFFFFF"/>
        <w:spacing w:before="0" w:beforeAutospacing="0" w:after="0" w:afterAutospacing="0" w:line="460" w:lineRule="exact"/>
        <w:rPr>
          <w:rFonts w:ascii="Times New Roman" w:hAnsi="Times New Roman" w:eastAsia="方正仿宋_GBK"/>
          <w:color w:val="000000"/>
          <w:spacing w:val="-2"/>
        </w:rPr>
      </w:pPr>
      <w:r>
        <w:rPr>
          <w:rFonts w:hint="eastAsia" w:ascii="Times New Roman" w:hAnsi="Times New Roman" w:eastAsia="方正仿宋_GBK"/>
          <w:color w:val="000000"/>
          <w:spacing w:val="-2"/>
        </w:rPr>
        <w:t>　　三、已取得二级及以下一体化资质的企业，在换领工程设计资质证书、建筑业企业资质证书后，可按照工程设计资质和建筑业企业资质有关管理规定申请资质升级。</w:t>
      </w:r>
    </w:p>
    <w:p>
      <w:pPr>
        <w:pStyle w:val="10"/>
        <w:widowControl w:val="0"/>
        <w:shd w:val="clear" w:color="auto" w:fill="FFFFFF"/>
        <w:spacing w:before="0" w:beforeAutospacing="0" w:after="0" w:afterAutospacing="0" w:line="460" w:lineRule="exact"/>
        <w:rPr>
          <w:rFonts w:ascii="Times New Roman" w:hAnsi="Times New Roman" w:eastAsia="方正仿宋_GBK"/>
          <w:color w:val="000000"/>
          <w:spacing w:val="-2"/>
        </w:rPr>
      </w:pPr>
      <w:r>
        <w:rPr>
          <w:rFonts w:hint="eastAsia" w:ascii="Times New Roman" w:hAnsi="Times New Roman" w:eastAsia="方正仿宋_GBK"/>
          <w:color w:val="000000"/>
          <w:spacing w:val="-2"/>
        </w:rPr>
        <w:t>　　四、申请换证的一体化一级资质企业，应先到省级住房城乡建设主管部门换领建筑业企业资质证书，并在换领后</w:t>
      </w:r>
      <w:r>
        <w:rPr>
          <w:rFonts w:ascii="Times New Roman" w:hAnsi="Times New Roman" w:eastAsia="方正仿宋_GBK"/>
          <w:color w:val="000000"/>
          <w:spacing w:val="-2"/>
        </w:rPr>
        <w:t>15</w:t>
      </w:r>
      <w:r>
        <w:rPr>
          <w:rFonts w:hint="eastAsia" w:ascii="Times New Roman" w:hAnsi="Times New Roman" w:eastAsia="方正仿宋_GBK"/>
          <w:color w:val="000000"/>
          <w:spacing w:val="-2"/>
        </w:rPr>
        <w:t>日内持原一体化资质证书（正本及所有副本）和已换领的建筑业企业资质证书复印件到我部行政审批集中受理办公室换领工程设计资质证书。一体化二级及以下资质企业换证办法，由各省级住房城乡建设主管部门参照本通知制定。</w:t>
      </w:r>
    </w:p>
    <w:p>
      <w:pPr>
        <w:pStyle w:val="10"/>
        <w:widowControl w:val="0"/>
        <w:shd w:val="clear" w:color="auto" w:fill="FFFFFF"/>
        <w:spacing w:before="0" w:beforeAutospacing="0" w:after="0" w:afterAutospacing="0" w:line="460" w:lineRule="exact"/>
        <w:rPr>
          <w:rFonts w:ascii="Times New Roman" w:hAnsi="Times New Roman" w:eastAsia="方正仿宋_GBK"/>
          <w:color w:val="000000"/>
          <w:spacing w:val="-2"/>
        </w:rPr>
      </w:pPr>
      <w:r>
        <w:rPr>
          <w:rFonts w:hint="eastAsia" w:ascii="Times New Roman" w:hAnsi="Times New Roman" w:eastAsia="方正仿宋_GBK"/>
          <w:color w:val="000000"/>
          <w:spacing w:val="-2"/>
        </w:rPr>
        <w:t>　　五、自</w:t>
      </w:r>
      <w:r>
        <w:rPr>
          <w:rFonts w:ascii="Times New Roman" w:hAnsi="Times New Roman" w:eastAsia="方正仿宋_GBK"/>
          <w:color w:val="000000"/>
          <w:spacing w:val="-2"/>
        </w:rPr>
        <w:t>2015</w:t>
      </w:r>
      <w:r>
        <w:rPr>
          <w:rFonts w:hint="eastAsia" w:ascii="Times New Roman" w:hAnsi="Times New Roman" w:eastAsia="方正仿宋_GBK"/>
          <w:color w:val="000000"/>
          <w:spacing w:val="-2"/>
        </w:rPr>
        <w:t>年</w:t>
      </w:r>
      <w:r>
        <w:rPr>
          <w:rFonts w:ascii="Times New Roman" w:hAnsi="Times New Roman" w:eastAsia="方正仿宋_GBK"/>
          <w:color w:val="000000"/>
          <w:spacing w:val="-2"/>
        </w:rPr>
        <w:t>7</w:t>
      </w:r>
      <w:r>
        <w:rPr>
          <w:rFonts w:hint="eastAsia" w:ascii="Times New Roman" w:hAnsi="Times New Roman" w:eastAsia="方正仿宋_GBK"/>
          <w:color w:val="000000"/>
          <w:spacing w:val="-2"/>
        </w:rPr>
        <w:t>月</w:t>
      </w:r>
      <w:r>
        <w:rPr>
          <w:rFonts w:ascii="Times New Roman" w:hAnsi="Times New Roman" w:eastAsia="方正仿宋_GBK"/>
          <w:color w:val="000000"/>
          <w:spacing w:val="-2"/>
        </w:rPr>
        <w:t>31</w:t>
      </w:r>
      <w:r>
        <w:rPr>
          <w:rFonts w:hint="eastAsia" w:ascii="Times New Roman" w:hAnsi="Times New Roman" w:eastAsia="方正仿宋_GBK"/>
          <w:color w:val="000000"/>
          <w:spacing w:val="-2"/>
        </w:rPr>
        <w:t>日起，各省级及以下住房城乡建设主管部门、有关中央企业停止受理按原一体化资质标准的资质延续申请；自</w:t>
      </w:r>
      <w:r>
        <w:rPr>
          <w:rFonts w:ascii="Times New Roman" w:hAnsi="Times New Roman" w:eastAsia="方正仿宋_GBK"/>
          <w:color w:val="000000"/>
          <w:spacing w:val="-2"/>
        </w:rPr>
        <w:t>2015</w:t>
      </w:r>
      <w:r>
        <w:rPr>
          <w:rFonts w:hint="eastAsia" w:ascii="Times New Roman" w:hAnsi="Times New Roman" w:eastAsia="方正仿宋_GBK"/>
          <w:color w:val="000000"/>
          <w:spacing w:val="-2"/>
        </w:rPr>
        <w:t>年</w:t>
      </w:r>
      <w:r>
        <w:rPr>
          <w:rFonts w:ascii="Times New Roman" w:hAnsi="Times New Roman" w:eastAsia="方正仿宋_GBK"/>
          <w:color w:val="000000"/>
          <w:spacing w:val="-2"/>
        </w:rPr>
        <w:t>8</w:t>
      </w:r>
      <w:r>
        <w:rPr>
          <w:rFonts w:hint="eastAsia" w:ascii="Times New Roman" w:hAnsi="Times New Roman" w:eastAsia="方正仿宋_GBK"/>
          <w:color w:val="000000"/>
          <w:spacing w:val="-2"/>
        </w:rPr>
        <w:t>月</w:t>
      </w:r>
      <w:r>
        <w:rPr>
          <w:rFonts w:ascii="Times New Roman" w:hAnsi="Times New Roman" w:eastAsia="方正仿宋_GBK"/>
          <w:color w:val="000000"/>
          <w:spacing w:val="-2"/>
        </w:rPr>
        <w:t>15</w:t>
      </w:r>
      <w:r>
        <w:rPr>
          <w:rFonts w:hint="eastAsia" w:ascii="Times New Roman" w:hAnsi="Times New Roman" w:eastAsia="方正仿宋_GBK"/>
          <w:color w:val="000000"/>
          <w:spacing w:val="-2"/>
        </w:rPr>
        <w:t>日起，我部停止受理按原一体化资质标准的资质延续申请。</w:t>
      </w:r>
    </w:p>
    <w:p>
      <w:pPr>
        <w:pStyle w:val="10"/>
        <w:widowControl w:val="0"/>
        <w:shd w:val="clear" w:color="auto" w:fill="FFFFFF"/>
        <w:spacing w:before="0" w:beforeAutospacing="0" w:after="0" w:afterAutospacing="0" w:line="460" w:lineRule="exact"/>
        <w:rPr>
          <w:rFonts w:ascii="Times New Roman" w:hAnsi="Times New Roman" w:eastAsia="方正仿宋_GBK"/>
          <w:color w:val="000000"/>
          <w:spacing w:val="-2"/>
        </w:rPr>
      </w:pPr>
      <w:r>
        <w:rPr>
          <w:rFonts w:hint="eastAsia" w:ascii="Times New Roman" w:hAnsi="Times New Roman" w:eastAsia="方正仿宋_GBK"/>
          <w:color w:val="000000"/>
          <w:spacing w:val="-2"/>
        </w:rPr>
        <w:t>　　六、请各省、自治区、直辖市住房城乡建设主管部门尽快将本通知内容传达至本地区各级住房城乡建设主管部门和有关企业。执行中有何问题，及时与我部建筑市场监管司联系。</w:t>
      </w:r>
    </w:p>
    <w:p>
      <w:pPr>
        <w:pStyle w:val="10"/>
        <w:widowControl w:val="0"/>
        <w:shd w:val="clear" w:color="auto" w:fill="FFFFFF"/>
        <w:spacing w:before="0" w:beforeAutospacing="0" w:after="0" w:afterAutospacing="0" w:line="460" w:lineRule="exact"/>
        <w:ind w:firstLine="480"/>
        <w:rPr>
          <w:rFonts w:ascii="Times New Roman" w:hAnsi="Times New Roman" w:eastAsia="方正仿宋_GBK"/>
          <w:color w:val="000000"/>
          <w:spacing w:val="-2"/>
        </w:rPr>
      </w:pPr>
      <w:r>
        <w:rPr>
          <w:rFonts w:hint="eastAsia" w:ascii="Times New Roman" w:hAnsi="Times New Roman" w:eastAsia="方正仿宋_GBK"/>
          <w:color w:val="000000"/>
          <w:spacing w:val="-2"/>
        </w:rPr>
        <w:t>联系电话：</w:t>
      </w:r>
      <w:r>
        <w:rPr>
          <w:rFonts w:ascii="Times New Roman" w:hAnsi="Times New Roman" w:eastAsia="方正仿宋_GBK"/>
          <w:color w:val="000000"/>
          <w:spacing w:val="-2"/>
        </w:rPr>
        <w:t>010-58934626</w:t>
      </w:r>
    </w:p>
    <w:p>
      <w:pPr>
        <w:pStyle w:val="10"/>
        <w:widowControl w:val="0"/>
        <w:shd w:val="clear" w:color="auto" w:fill="FFFFFF"/>
        <w:spacing w:before="0" w:beforeAutospacing="0" w:after="0" w:afterAutospacing="0" w:line="460" w:lineRule="exact"/>
        <w:ind w:firstLine="480"/>
        <w:rPr>
          <w:rFonts w:ascii="Times New Roman" w:hAnsi="Times New Roman" w:eastAsia="方正仿宋_GBK"/>
          <w:color w:val="000000"/>
          <w:spacing w:val="-2"/>
        </w:rPr>
      </w:pPr>
    </w:p>
    <w:p>
      <w:pPr>
        <w:pStyle w:val="10"/>
        <w:widowControl w:val="0"/>
        <w:shd w:val="clear" w:color="auto" w:fill="FFFFFF"/>
        <w:spacing w:before="0" w:beforeAutospacing="0" w:after="0" w:afterAutospacing="0" w:line="460" w:lineRule="exact"/>
        <w:ind w:right="437" w:rightChars="208"/>
        <w:jc w:val="right"/>
        <w:rPr>
          <w:rFonts w:ascii="Times New Roman" w:hAnsi="Times New Roman" w:eastAsia="方正仿宋_GBK"/>
          <w:color w:val="000000"/>
          <w:spacing w:val="-2"/>
        </w:rPr>
      </w:pPr>
      <w:r>
        <w:rPr>
          <w:rFonts w:hint="eastAsia" w:ascii="Times New Roman" w:hAnsi="Times New Roman" w:eastAsia="方正仿宋_GBK"/>
          <w:color w:val="000000"/>
          <w:spacing w:val="-2"/>
        </w:rPr>
        <w:t>　　</w:t>
      </w:r>
      <w:r>
        <w:rPr>
          <w:rFonts w:ascii="Times New Roman" w:hAnsi="Times New Roman" w:eastAsia="方正仿宋_GBK"/>
          <w:color w:val="000000"/>
          <w:spacing w:val="-2"/>
        </w:rPr>
        <w:t xml:space="preserve">     </w:t>
      </w:r>
      <w:r>
        <w:rPr>
          <w:rFonts w:hint="eastAsia" w:ascii="Times New Roman" w:hAnsi="Times New Roman" w:eastAsia="方正仿宋_GBK"/>
          <w:color w:val="000000"/>
          <w:spacing w:val="-2"/>
        </w:rPr>
        <w:t>中华人民共和国住房和城乡建设部</w:t>
      </w:r>
      <w:r>
        <w:rPr>
          <w:rFonts w:ascii="Times New Roman" w:hAnsi="Times New Roman" w:eastAsia="方正仿宋_GBK"/>
          <w:color w:val="000000"/>
          <w:spacing w:val="-2"/>
        </w:rPr>
        <w:t xml:space="preserve">    </w:t>
      </w:r>
    </w:p>
    <w:p>
      <w:pPr>
        <w:pStyle w:val="10"/>
        <w:widowControl w:val="0"/>
        <w:shd w:val="clear" w:color="auto" w:fill="FFFFFF"/>
        <w:spacing w:before="0" w:beforeAutospacing="0" w:after="0" w:afterAutospacing="0" w:line="460" w:lineRule="exact"/>
        <w:ind w:right="1298" w:rightChars="618"/>
        <w:jc w:val="right"/>
        <w:rPr>
          <w:rFonts w:ascii="Times New Roman" w:hAnsi="Times New Roman" w:eastAsia="方正仿宋_GBK"/>
          <w:color w:val="000000"/>
          <w:spacing w:val="-2"/>
        </w:rPr>
      </w:pPr>
      <w:r>
        <w:rPr>
          <w:rFonts w:hint="eastAsia" w:ascii="Times New Roman" w:hAnsi="Times New Roman" w:eastAsia="方正仿宋_GBK"/>
          <w:color w:val="000000"/>
          <w:spacing w:val="-2"/>
        </w:rPr>
        <w:t>　　</w:t>
      </w:r>
      <w:r>
        <w:rPr>
          <w:rFonts w:ascii="Times New Roman" w:hAnsi="Times New Roman" w:eastAsia="方正仿宋_GBK"/>
          <w:color w:val="000000"/>
          <w:spacing w:val="-2"/>
        </w:rPr>
        <w:t xml:space="preserve">                2015</w:t>
      </w:r>
      <w:r>
        <w:rPr>
          <w:rFonts w:hint="eastAsia" w:ascii="Times New Roman" w:hAnsi="Times New Roman" w:eastAsia="方正仿宋_GBK"/>
          <w:color w:val="000000"/>
          <w:spacing w:val="-2"/>
        </w:rPr>
        <w:t>年</w:t>
      </w:r>
      <w:r>
        <w:rPr>
          <w:rFonts w:ascii="Times New Roman" w:hAnsi="Times New Roman" w:eastAsia="方正仿宋_GBK"/>
          <w:color w:val="000000"/>
          <w:spacing w:val="-2"/>
        </w:rPr>
        <w:t>7</w:t>
      </w:r>
      <w:r>
        <w:rPr>
          <w:rFonts w:hint="eastAsia" w:ascii="Times New Roman" w:hAnsi="Times New Roman" w:eastAsia="方正仿宋_GBK"/>
          <w:color w:val="000000"/>
          <w:spacing w:val="-2"/>
        </w:rPr>
        <w:t>月</w:t>
      </w:r>
      <w:r>
        <w:rPr>
          <w:rFonts w:ascii="Times New Roman" w:hAnsi="Times New Roman" w:eastAsia="方正仿宋_GBK"/>
          <w:color w:val="000000"/>
          <w:spacing w:val="-2"/>
        </w:rPr>
        <w:t>14</w:t>
      </w:r>
      <w:r>
        <w:rPr>
          <w:rFonts w:hint="eastAsia" w:ascii="Times New Roman" w:hAnsi="Times New Roman" w:eastAsia="方正仿宋_GBK"/>
          <w:color w:val="000000"/>
          <w:spacing w:val="-2"/>
        </w:rPr>
        <w:t>日</w:t>
      </w:r>
      <w:r>
        <w:rPr>
          <w:rFonts w:ascii="Times New Roman" w:hAnsi="Times New Roman" w:eastAsia="方正仿宋_GBK"/>
          <w:color w:val="000000"/>
          <w:spacing w:val="-2"/>
        </w:rPr>
        <w:t xml:space="preserve">            </w:t>
      </w:r>
    </w:p>
    <w:p>
      <w:pPr>
        <w:pStyle w:val="10"/>
        <w:widowControl w:val="0"/>
        <w:shd w:val="clear" w:color="auto" w:fill="FFFFFF"/>
        <w:spacing w:before="0" w:beforeAutospacing="0" w:after="0" w:afterAutospacing="0" w:line="460" w:lineRule="exact"/>
        <w:jc w:val="right"/>
        <w:rPr>
          <w:rFonts w:ascii="Times New Roman" w:hAnsi="Times New Roman" w:eastAsia="方正仿宋_GBK"/>
          <w:color w:val="000000"/>
          <w:spacing w:val="-2"/>
        </w:rPr>
      </w:pPr>
    </w:p>
    <w:p>
      <w:pPr>
        <w:pStyle w:val="10"/>
        <w:widowControl w:val="0"/>
        <w:shd w:val="clear" w:color="auto" w:fill="FFFFFF"/>
        <w:spacing w:before="0" w:beforeAutospacing="0" w:after="0" w:afterAutospacing="0" w:line="460" w:lineRule="exact"/>
        <w:jc w:val="right"/>
        <w:rPr>
          <w:rFonts w:ascii="Times New Roman" w:hAnsi="Times New Roman" w:eastAsia="方正仿宋_GBK"/>
          <w:color w:val="000000"/>
          <w:spacing w:val="-2"/>
        </w:rPr>
      </w:pPr>
    </w:p>
    <w:p>
      <w:pPr>
        <w:pStyle w:val="10"/>
        <w:widowControl w:val="0"/>
        <w:spacing w:before="0" w:beforeAutospacing="0" w:after="0" w:afterAutospacing="0" w:line="460" w:lineRule="exact"/>
        <w:jc w:val="both"/>
        <w:rPr>
          <w:rFonts w:ascii="Times New Roman" w:hAnsi="Times New Roman" w:eastAsia="方正黑体_GBK"/>
          <w:color w:val="000000"/>
          <w:spacing w:val="-2"/>
          <w:sz w:val="28"/>
          <w:szCs w:val="28"/>
        </w:rPr>
      </w:pPr>
      <w:r>
        <w:rPr>
          <w:rFonts w:ascii="Times New Roman" w:hAnsi="Times New Roman" w:eastAsia="方正仿宋_GBK"/>
          <w:color w:val="000000"/>
          <w:spacing w:val="-2"/>
        </w:rPr>
        <w:br w:type="column"/>
      </w:r>
      <w:r>
        <w:rPr>
          <w:rFonts w:hint="eastAsia" w:ascii="Times New Roman" w:hAnsi="Times New Roman" w:eastAsia="方正黑体_GBK"/>
          <w:color w:val="000000"/>
          <w:spacing w:val="-2"/>
          <w:sz w:val="28"/>
          <w:szCs w:val="28"/>
        </w:rPr>
        <w:t>附件2：</w:t>
      </w:r>
    </w:p>
    <w:p>
      <w:pPr>
        <w:pStyle w:val="10"/>
        <w:widowControl w:val="0"/>
        <w:spacing w:before="0" w:beforeAutospacing="0" w:after="0" w:afterAutospacing="0" w:line="460" w:lineRule="exact"/>
        <w:jc w:val="both"/>
        <w:rPr>
          <w:rFonts w:hint="eastAsia" w:ascii="Times New Roman" w:hAnsi="Times New Roman" w:eastAsia="方正仿宋_GBK"/>
          <w:color w:val="000000"/>
          <w:spacing w:val="-2"/>
        </w:rPr>
      </w:pPr>
    </w:p>
    <w:p>
      <w:pPr>
        <w:pStyle w:val="10"/>
        <w:widowControl w:val="0"/>
        <w:spacing w:before="0" w:beforeAutospacing="0" w:after="0" w:afterAutospacing="0" w:line="460" w:lineRule="exact"/>
        <w:jc w:val="center"/>
        <w:rPr>
          <w:rFonts w:ascii="Times New Roman" w:hAnsi="Times New Roman" w:eastAsia="方正黑体_GBK"/>
          <w:color w:val="000000"/>
          <w:spacing w:val="-2"/>
          <w:sz w:val="36"/>
          <w:szCs w:val="36"/>
        </w:rPr>
      </w:pPr>
      <w:r>
        <w:rPr>
          <w:rFonts w:hint="eastAsia" w:ascii="Times New Roman" w:hAnsi="Times New Roman" w:eastAsia="方正黑体_GBK"/>
          <w:color w:val="000000"/>
          <w:spacing w:val="-2"/>
          <w:sz w:val="36"/>
          <w:szCs w:val="36"/>
        </w:rPr>
        <w:t>一体化资质企业申请换领工程设计资质证书的有关要求</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一体化资质企业申请换领工程设计资质证书的，须根据《工程设计资质标准》、《建设工程勘察设计资质管理规定实施意见》的要求，认真填报相关信息，并确保信息的真实性。具体申报流程如下：</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、登录</w:t>
      </w:r>
      <w:r>
        <w:rPr>
          <w:rFonts w:eastAsia="方正仿宋_GBK"/>
          <w:color w:val="000000"/>
          <w:spacing w:val="-2"/>
          <w:sz w:val="24"/>
        </w:rPr>
        <w:t>“</w:t>
      </w:r>
      <w:r>
        <w:rPr>
          <w:rFonts w:hint="eastAsia" w:eastAsia="方正仿宋_GBK"/>
          <w:color w:val="000000"/>
          <w:spacing w:val="-2"/>
          <w:sz w:val="24"/>
        </w:rPr>
        <w:t>江苏省住房和城乡建设厅</w:t>
      </w:r>
      <w:r>
        <w:rPr>
          <w:rFonts w:eastAsia="方正仿宋_GBK"/>
          <w:color w:val="000000"/>
          <w:spacing w:val="-2"/>
          <w:sz w:val="24"/>
        </w:rPr>
        <w:t>”</w:t>
      </w:r>
      <w:r>
        <w:rPr>
          <w:rFonts w:hint="eastAsia" w:eastAsia="方正仿宋_GBK"/>
          <w:color w:val="000000"/>
          <w:spacing w:val="-2"/>
          <w:sz w:val="24"/>
        </w:rPr>
        <w:t>网站，进入</w:t>
      </w:r>
      <w:r>
        <w:rPr>
          <w:rFonts w:eastAsia="方正仿宋_GBK"/>
          <w:color w:val="000000"/>
          <w:spacing w:val="-2"/>
          <w:sz w:val="24"/>
        </w:rPr>
        <w:t>“</w:t>
      </w:r>
      <w:r>
        <w:rPr>
          <w:rFonts w:hint="eastAsia" w:eastAsia="方正仿宋_GBK"/>
          <w:color w:val="000000"/>
          <w:spacing w:val="-2"/>
          <w:sz w:val="24"/>
        </w:rPr>
        <w:t>行政权力网上公开透明运行平台</w:t>
      </w:r>
      <w:r>
        <w:rPr>
          <w:rFonts w:eastAsia="方正仿宋_GBK"/>
          <w:color w:val="000000"/>
          <w:spacing w:val="-2"/>
          <w:sz w:val="24"/>
        </w:rPr>
        <w:t>”</w:t>
      </w:r>
      <w:r>
        <w:rPr>
          <w:rFonts w:hint="eastAsia" w:eastAsia="方正仿宋_GBK"/>
          <w:color w:val="000000"/>
          <w:spacing w:val="-2"/>
          <w:sz w:val="24"/>
        </w:rPr>
        <w:t>，注册新用户（已有账户的除外）；</w:t>
      </w:r>
    </w:p>
    <w:p>
      <w:pPr>
        <w:pStyle w:val="10"/>
        <w:widowControl w:val="0"/>
        <w:spacing w:before="0" w:beforeAutospacing="0" w:after="0" w:afterAutospacing="0" w:line="460" w:lineRule="exact"/>
        <w:ind w:firstLine="472" w:firstLineChars="200"/>
        <w:rPr>
          <w:rFonts w:ascii="Times New Roman" w:hAnsi="Times New Roman" w:eastAsia="方正仿宋_GBK"/>
          <w:color w:val="000000"/>
          <w:spacing w:val="-2"/>
        </w:rPr>
      </w:pPr>
      <w:r>
        <w:rPr>
          <w:rFonts w:ascii="Times New Roman" w:hAnsi="Times New Roman" w:eastAsia="方正仿宋_GBK"/>
          <w:color w:val="000000"/>
          <w:spacing w:val="-2"/>
        </w:rPr>
        <w:t>2</w:t>
      </w:r>
      <w:r>
        <w:rPr>
          <w:rFonts w:hint="eastAsia" w:ascii="Times New Roman" w:hAnsi="Times New Roman" w:eastAsia="方正仿宋_GBK"/>
          <w:color w:val="000000"/>
          <w:spacing w:val="-2"/>
        </w:rPr>
        <w:t>、账户审核通过后，进入系统点击</w:t>
      </w:r>
      <w:r>
        <w:rPr>
          <w:rFonts w:ascii="Times New Roman" w:hAnsi="Times New Roman" w:eastAsia="方正仿宋_GBK"/>
          <w:color w:val="000000"/>
          <w:spacing w:val="-2"/>
        </w:rPr>
        <w:t>“</w:t>
      </w:r>
      <w:r>
        <w:rPr>
          <w:rFonts w:hint="eastAsia" w:ascii="Times New Roman" w:hAnsi="Times New Roman" w:eastAsia="方正仿宋_GBK"/>
          <w:color w:val="000000"/>
          <w:spacing w:val="-2"/>
        </w:rPr>
        <w:t>工程设计</w:t>
      </w:r>
      <w:r>
        <w:rPr>
          <w:rFonts w:ascii="Times New Roman" w:hAnsi="Times New Roman" w:eastAsia="方正仿宋_GBK"/>
          <w:color w:val="000000"/>
          <w:spacing w:val="-2"/>
        </w:rPr>
        <w:t>”</w:t>
      </w:r>
      <w:r>
        <w:rPr>
          <w:rFonts w:hint="eastAsia" w:ascii="Times New Roman" w:hAnsi="Times New Roman" w:eastAsia="方正仿宋_GBK"/>
          <w:color w:val="000000"/>
          <w:spacing w:val="-2"/>
        </w:rPr>
        <w:t>的</w:t>
      </w:r>
      <w:r>
        <w:rPr>
          <w:rFonts w:ascii="Times New Roman" w:hAnsi="Times New Roman" w:eastAsia="方正仿宋_GBK"/>
          <w:color w:val="000000"/>
          <w:spacing w:val="-2"/>
        </w:rPr>
        <w:t>“</w:t>
      </w:r>
      <w:r>
        <w:rPr>
          <w:rFonts w:hint="eastAsia" w:ascii="Times New Roman" w:hAnsi="Times New Roman" w:eastAsia="方正仿宋_GBK"/>
          <w:color w:val="000000"/>
          <w:spacing w:val="-2"/>
        </w:rPr>
        <w:t>换证（一体化）</w:t>
      </w:r>
      <w:r>
        <w:rPr>
          <w:rFonts w:ascii="Times New Roman" w:hAnsi="Times New Roman" w:eastAsia="方正仿宋_GBK"/>
          <w:color w:val="000000"/>
          <w:spacing w:val="-2"/>
        </w:rPr>
        <w:t>”</w:t>
      </w:r>
      <w:r>
        <w:rPr>
          <w:rFonts w:hint="eastAsia" w:ascii="Times New Roman" w:hAnsi="Times New Roman" w:eastAsia="方正仿宋_GBK"/>
          <w:color w:val="000000"/>
          <w:spacing w:val="-2"/>
        </w:rPr>
        <w:t>选项；</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、填报《工程设计资质申请表》；</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、将以下材料的原件扫描件上传至系统中：</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）企业法人营业执照正、副本；</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）原设计施工一体化资质证书正、副本；</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3</w:t>
      </w:r>
      <w:r>
        <w:rPr>
          <w:rFonts w:hint="eastAsia" w:eastAsia="方正仿宋_GBK"/>
          <w:color w:val="000000"/>
          <w:spacing w:val="-2"/>
          <w:sz w:val="24"/>
        </w:rPr>
        <w:t>）企业主要技术负责人或总工程师的身份证明、任职文件、毕业证书、职称证书及</w:t>
      </w:r>
      <w:r>
        <w:rPr>
          <w:rFonts w:eastAsia="方正仿宋_GBK"/>
          <w:color w:val="000000"/>
          <w:spacing w:val="-2"/>
          <w:sz w:val="24"/>
        </w:rPr>
        <w:t>“</w:t>
      </w:r>
      <w:r>
        <w:rPr>
          <w:rFonts w:hint="eastAsia" w:eastAsia="方正仿宋_GBK"/>
          <w:color w:val="000000"/>
          <w:spacing w:val="-2"/>
          <w:sz w:val="24"/>
        </w:rPr>
        <w:t>专业技术人员基本情况及业绩表</w:t>
      </w:r>
      <w:r>
        <w:rPr>
          <w:rFonts w:eastAsia="方正仿宋_GBK"/>
          <w:color w:val="000000"/>
          <w:spacing w:val="-2"/>
          <w:sz w:val="24"/>
        </w:rPr>
        <w:t>”</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4</w:t>
      </w:r>
      <w:r>
        <w:rPr>
          <w:rFonts w:hint="eastAsia" w:eastAsia="方正仿宋_GBK"/>
          <w:color w:val="000000"/>
          <w:spacing w:val="-2"/>
          <w:sz w:val="24"/>
        </w:rPr>
        <w:t>）工程设计资质申请表中所列注册执业人员的身份证明、加盖执业印章的注册证书复印件；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5</w:t>
      </w:r>
      <w:r>
        <w:rPr>
          <w:rFonts w:hint="eastAsia" w:eastAsia="方正仿宋_GBK"/>
          <w:color w:val="000000"/>
          <w:spacing w:val="-2"/>
          <w:sz w:val="24"/>
        </w:rPr>
        <w:t>）工程设计资质标准要求的非注册专业技术人员的身份证明、职称证书、毕业证书及</w:t>
      </w:r>
      <w:r>
        <w:rPr>
          <w:rFonts w:eastAsia="方正仿宋_GBK"/>
          <w:color w:val="000000"/>
          <w:spacing w:val="-2"/>
          <w:sz w:val="24"/>
        </w:rPr>
        <w:t>“</w:t>
      </w:r>
      <w:r>
        <w:rPr>
          <w:rFonts w:hint="eastAsia" w:eastAsia="方正仿宋_GBK"/>
          <w:color w:val="000000"/>
          <w:spacing w:val="-2"/>
          <w:sz w:val="24"/>
        </w:rPr>
        <w:t>专业技术人员基本情况及业绩表</w:t>
      </w:r>
      <w:r>
        <w:rPr>
          <w:rFonts w:eastAsia="方正仿宋_GBK"/>
          <w:color w:val="000000"/>
          <w:spacing w:val="-2"/>
          <w:sz w:val="24"/>
        </w:rPr>
        <w:t>”</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6</w:t>
      </w:r>
      <w:r>
        <w:rPr>
          <w:rFonts w:hint="eastAsia" w:eastAsia="方正仿宋_GBK"/>
          <w:color w:val="000000"/>
          <w:spacing w:val="-2"/>
          <w:sz w:val="24"/>
        </w:rPr>
        <w:t>）工程设计资质标准要求的非注册专业技术人员与企业依法签订的劳动合同主要页（包括合同双方名称、聘用起止时间、签字盖章、生效日期）及近一个月的社保证明；</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7</w:t>
      </w:r>
      <w:r>
        <w:rPr>
          <w:rFonts w:hint="eastAsia" w:eastAsia="方正仿宋_GBK"/>
          <w:color w:val="000000"/>
          <w:spacing w:val="-2"/>
          <w:sz w:val="24"/>
        </w:rPr>
        <w:t>）办公场所证明，属于自有产权的出具产权证；属于租用或借用的，出具出租（借）方产权证和双方租赁合同或借用协议。</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、提交申请</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上述上传资料的原件由各省辖市、县（市）建设局（委）审核。</w:t>
      </w:r>
    </w:p>
    <w:p>
      <w:pPr>
        <w:pStyle w:val="2"/>
        <w:spacing w:before="240" w:beforeLines="100" w:after="240" w:afterLines="100" w:line="240" w:lineRule="auto"/>
        <w:jc w:val="center"/>
        <w:rPr>
          <w:rFonts w:ascii="Times New Roman" w:eastAsia="方正小标宋_GBK"/>
          <w:b w:val="0"/>
          <w:sz w:val="36"/>
          <w:szCs w:val="36"/>
        </w:rPr>
      </w:pPr>
      <w:r>
        <w:rPr>
          <w:rFonts w:eastAsia="方正仿宋_GBK"/>
          <w:color w:val="000000"/>
          <w:spacing w:val="-2"/>
          <w:sz w:val="24"/>
        </w:rPr>
        <w:br w:type="column"/>
      </w:r>
      <w:bookmarkStart w:id="481" w:name="_Toc18315700"/>
      <w:bookmarkStart w:id="482" w:name="_Toc20726558"/>
      <w:r>
        <w:rPr>
          <w:rFonts w:hint="eastAsia" w:ascii="Times New Roman" w:eastAsia="方正小标宋_GBK"/>
          <w:b w:val="0"/>
          <w:sz w:val="36"/>
          <w:szCs w:val="36"/>
        </w:rPr>
        <w:t>省住房城乡建设厅关于建立全省工程监理企业        资质动态核查工作机制的通知</w:t>
      </w:r>
      <w:bookmarkEnd w:id="481"/>
      <w:bookmarkEnd w:id="482"/>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83" w:name="_Toc20726559"/>
      <w:bookmarkStart w:id="484" w:name="_Toc18315701"/>
      <w:r>
        <w:rPr>
          <w:rFonts w:hint="eastAsia" w:ascii="Times New Roman" w:hAnsi="Times New Roman" w:eastAsia="方正楷体_GBK"/>
          <w:b w:val="0"/>
          <w:sz w:val="24"/>
          <w:szCs w:val="24"/>
        </w:rPr>
        <w:t>苏建函建管〔</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674</w:t>
      </w:r>
      <w:r>
        <w:rPr>
          <w:rFonts w:hint="eastAsia" w:ascii="Times New Roman" w:hAnsi="Times New Roman" w:eastAsia="方正楷体_GBK"/>
          <w:b w:val="0"/>
          <w:sz w:val="24"/>
          <w:szCs w:val="24"/>
        </w:rPr>
        <w:t>号</w:t>
      </w:r>
      <w:bookmarkEnd w:id="483"/>
      <w:bookmarkEnd w:id="484"/>
    </w:p>
    <w:p>
      <w:pPr>
        <w:shd w:val="clear" w:color="auto" w:fill="FFFFFF"/>
        <w:spacing w:line="460" w:lineRule="exact"/>
        <w:rPr>
          <w:rFonts w:eastAsia="方正仿宋_GBK"/>
          <w:color w:val="000000"/>
          <w:spacing w:val="-2"/>
          <w:kern w:val="0"/>
          <w:sz w:val="24"/>
        </w:rPr>
      </w:pPr>
      <w:r>
        <w:rPr>
          <w:rFonts w:eastAsia="方正仿宋_GBK"/>
          <w:color w:val="000000"/>
          <w:spacing w:val="-2"/>
          <w:kern w:val="0"/>
          <w:sz w:val="24"/>
        </w:rPr>
        <w:t>  </w:t>
      </w:r>
      <w:r>
        <w:rPr>
          <w:rFonts w:hint="eastAsia" w:eastAsia="方正仿宋_GBK"/>
          <w:color w:val="000000"/>
          <w:spacing w:val="-2"/>
          <w:kern w:val="0"/>
          <w:sz w:val="24"/>
        </w:rPr>
        <w:t>各省辖市建设局（委），苏州工业园区规划建设局，昆山市、泰兴市、沭阳县建设局：</w:t>
      </w:r>
    </w:p>
    <w:p>
      <w:pPr>
        <w:shd w:val="clear" w:color="auto" w:fill="FFFFFF"/>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为进一步加强监理行业管理，规范建筑市场秩序，完善监理企业准入清出制度，根据《中华人民共和国建筑法》、《工程监理企业资质管理规定》（建设部第</w:t>
      </w:r>
      <w:r>
        <w:rPr>
          <w:rFonts w:eastAsia="方正仿宋_GBK"/>
          <w:color w:val="000000"/>
          <w:spacing w:val="-2"/>
          <w:kern w:val="0"/>
          <w:sz w:val="24"/>
        </w:rPr>
        <w:t>158</w:t>
      </w:r>
      <w:r>
        <w:rPr>
          <w:rFonts w:hint="eastAsia" w:eastAsia="方正仿宋_GBK"/>
          <w:color w:val="000000"/>
          <w:spacing w:val="-2"/>
          <w:kern w:val="0"/>
          <w:sz w:val="24"/>
        </w:rPr>
        <w:t>号令）等有关管理规定，经研究，决定建立全省工程监理企业资质动态核查工作机制。现将有关事项通知如下：</w:t>
      </w:r>
    </w:p>
    <w:p>
      <w:pPr>
        <w:shd w:val="clear" w:color="auto" w:fill="FFFFFF"/>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一、组织实施</w:t>
      </w:r>
    </w:p>
    <w:p>
      <w:pPr>
        <w:shd w:val="clear" w:color="auto" w:fill="FFFFFF"/>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省住房城乡建设厅负责全省工程监理企业动态核查工作及核查工作的组织实施。各省辖市建设局（委），苏州工业园区规划建设局，昆山市、泰兴市、沭阳县住房城乡建设局负责辖区内工程监理企业的资质动态核查监督管理，并负责向省住房城乡建设厅报送企业动态核查情况。</w:t>
      </w:r>
    </w:p>
    <w:p>
      <w:pPr>
        <w:shd w:val="clear" w:color="auto" w:fill="FFFFFF"/>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二、核查对象</w:t>
      </w:r>
    </w:p>
    <w:p>
      <w:pPr>
        <w:shd w:val="clear" w:color="auto" w:fill="FFFFFF"/>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我省取得住房城乡建设主管部门颁发的工程监理资质的工程监理企业。重点核查发生较大工程质量安全事故且应当依法承担责任的、在资质申报过程中（包括首次申请、升级、增项、延续）存在弄虚作假行为的、注册执业人员不符合资质标准要求的工程监理企业。</w:t>
      </w:r>
    </w:p>
    <w:p>
      <w:pPr>
        <w:shd w:val="clear" w:color="auto" w:fill="FFFFFF"/>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三、核查内容</w:t>
      </w:r>
    </w:p>
    <w:p>
      <w:pPr>
        <w:shd w:val="clear" w:color="auto" w:fill="FFFFFF"/>
        <w:spacing w:line="460" w:lineRule="exact"/>
        <w:ind w:firstLine="448" w:firstLineChars="200"/>
        <w:rPr>
          <w:rFonts w:hint="eastAsia" w:eastAsia="方正仿宋_GBK"/>
          <w:color w:val="000000"/>
          <w:spacing w:val="-8"/>
          <w:kern w:val="0"/>
          <w:sz w:val="24"/>
        </w:rPr>
      </w:pPr>
      <w:r>
        <w:rPr>
          <w:rFonts w:hint="eastAsia" w:eastAsia="方正仿宋_GBK"/>
          <w:color w:val="000000"/>
          <w:spacing w:val="-8"/>
          <w:kern w:val="0"/>
          <w:sz w:val="24"/>
        </w:rPr>
        <w:t>工程监理企业在取得资质证书后，其资质条件发生变化是否持续符合资质标准要求；是否存在《工程监理企业资质管理规定》第十六条所列的行为；是否存在法律法规规定的其他禁止性行为。</w:t>
      </w:r>
    </w:p>
    <w:p>
      <w:pPr>
        <w:shd w:val="clear" w:color="auto" w:fill="FFFFFF"/>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四、核查时间</w:t>
      </w:r>
    </w:p>
    <w:p>
      <w:pPr>
        <w:shd w:val="clear" w:color="auto" w:fill="FFFFFF"/>
        <w:spacing w:line="460" w:lineRule="exact"/>
        <w:ind w:firstLine="472" w:firstLineChars="200"/>
        <w:rPr>
          <w:rFonts w:hint="eastAsia" w:eastAsia="方正仿宋_GBK"/>
          <w:color w:val="000000"/>
          <w:spacing w:val="-2"/>
          <w:kern w:val="0"/>
          <w:sz w:val="24"/>
        </w:rPr>
      </w:pPr>
      <w:r>
        <w:rPr>
          <w:rFonts w:hint="eastAsia" w:eastAsia="方正仿宋_GBK"/>
          <w:color w:val="000000"/>
          <w:spacing w:val="-2"/>
          <w:kern w:val="0"/>
          <w:sz w:val="24"/>
        </w:rPr>
        <w:t>省住房城乡建设厅及各省辖市建设局（委），苏州工业园区规划建设局，昆山市、泰兴市、沭阳县住房城乡建设局不定期对所辖监理企业开展资质动态核查工作，建立工程监理企业资质动态核查工作机制。</w:t>
      </w:r>
    </w:p>
    <w:p>
      <w:pPr>
        <w:shd w:val="clear" w:color="auto" w:fill="FFFFFF"/>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五、核查流程</w:t>
      </w:r>
    </w:p>
    <w:p>
      <w:pPr>
        <w:shd w:val="clear" w:color="auto" w:fill="FFFFFF"/>
        <w:spacing w:line="460" w:lineRule="exact"/>
        <w:ind w:firstLine="472"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．省住房城乡建设厅将不定期核查</w:t>
      </w:r>
      <w:r>
        <w:rPr>
          <w:rFonts w:eastAsia="方正仿宋_GBK"/>
          <w:color w:val="000000"/>
          <w:spacing w:val="-2"/>
          <w:kern w:val="0"/>
          <w:sz w:val="24"/>
        </w:rPr>
        <w:t>“</w:t>
      </w:r>
      <w:r>
        <w:rPr>
          <w:rFonts w:hint="eastAsia" w:eastAsia="方正仿宋_GBK"/>
          <w:color w:val="000000"/>
          <w:spacing w:val="-2"/>
          <w:kern w:val="0"/>
          <w:sz w:val="24"/>
        </w:rPr>
        <w:t>江苏省建筑市场监理信用管理系统</w:t>
      </w:r>
      <w:r>
        <w:rPr>
          <w:rFonts w:eastAsia="方正仿宋_GBK"/>
          <w:color w:val="000000"/>
          <w:spacing w:val="-2"/>
          <w:kern w:val="0"/>
          <w:sz w:val="24"/>
        </w:rPr>
        <w:t>”</w:t>
      </w:r>
      <w:r>
        <w:rPr>
          <w:rFonts w:hint="eastAsia" w:eastAsia="方正仿宋_GBK"/>
          <w:color w:val="000000"/>
          <w:spacing w:val="-2"/>
          <w:kern w:val="0"/>
          <w:sz w:val="24"/>
        </w:rPr>
        <w:t>资质核查栏目中工程监理企业资质符合情况，日常监管中工程监理企业是否存在</w:t>
      </w:r>
      <w:r>
        <w:rPr>
          <w:rFonts w:hint="eastAsia" w:eastAsia="方正仿宋_GBK"/>
          <w:color w:val="000000"/>
          <w:spacing w:val="-8"/>
          <w:kern w:val="0"/>
          <w:sz w:val="24"/>
        </w:rPr>
        <w:t>《工程监理企业资质管理规定》</w:t>
      </w:r>
      <w:r>
        <w:rPr>
          <w:rFonts w:hint="eastAsia" w:eastAsia="方正仿宋_GBK"/>
          <w:color w:val="000000"/>
          <w:spacing w:val="-2"/>
          <w:kern w:val="0"/>
          <w:sz w:val="24"/>
        </w:rPr>
        <w:t>第十六条所列的行为，工程监理企业是否存在法律法规规定的其他禁止性行为。</w:t>
      </w:r>
    </w:p>
    <w:p>
      <w:pPr>
        <w:shd w:val="clear" w:color="auto" w:fill="FFFFFF"/>
        <w:spacing w:line="460" w:lineRule="exact"/>
        <w:ind w:firstLine="456" w:firstLineChars="200"/>
        <w:rPr>
          <w:rFonts w:eastAsia="方正仿宋_GBK"/>
          <w:color w:val="000000"/>
          <w:spacing w:val="-6"/>
          <w:kern w:val="0"/>
          <w:sz w:val="24"/>
        </w:rPr>
      </w:pPr>
      <w:r>
        <w:rPr>
          <w:rFonts w:eastAsia="方正仿宋_GBK"/>
          <w:color w:val="000000"/>
          <w:spacing w:val="-6"/>
          <w:kern w:val="0"/>
          <w:sz w:val="24"/>
        </w:rPr>
        <w:t>2</w:t>
      </w:r>
      <w:r>
        <w:rPr>
          <w:rFonts w:hint="eastAsia" w:eastAsia="方正仿宋_GBK"/>
          <w:color w:val="000000"/>
          <w:spacing w:val="-6"/>
          <w:kern w:val="0"/>
          <w:sz w:val="24"/>
        </w:rPr>
        <w:t>．省住房城乡建设厅对资质动态核查不合格的工程监理企业网上全省通报，并给予限期整改</w:t>
      </w:r>
      <w:r>
        <w:rPr>
          <w:rFonts w:hint="eastAsia" w:ascii="Times New Roman" w:hAnsi="Times New Roman" w:cs="宋体"/>
          <w:b/>
          <w:bCs/>
          <w:color w:val="000000"/>
          <w:spacing w:val="-6"/>
          <w:kern w:val="0"/>
          <w:sz w:val="18"/>
          <w:szCs w:val="18"/>
        </w:rPr>
        <w:t>，</w:t>
      </w:r>
      <w:r>
        <w:rPr>
          <w:rFonts w:hint="eastAsia" w:eastAsia="方正仿宋_GBK"/>
          <w:color w:val="000000"/>
          <w:spacing w:val="-6"/>
          <w:kern w:val="0"/>
          <w:sz w:val="24"/>
        </w:rPr>
        <w:t>对整改期满后仍不符合要求或逾期未申报整改材料的企业，撤回其资质，并由注册地住房城乡建设主管部门统一将资质证书收回后，交省住房城乡建设厅。其中工程监理综合资质、甲级资质由省住房城乡建设厅报送住房城乡建设部依法予以撤回。</w:t>
      </w:r>
    </w:p>
    <w:p>
      <w:pPr>
        <w:shd w:val="clear" w:color="auto" w:fill="FFFFFF"/>
        <w:spacing w:line="460" w:lineRule="exact"/>
        <w:ind w:firstLine="472"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六、有关要求及事项</w:t>
      </w:r>
    </w:p>
    <w:p>
      <w:pPr>
        <w:shd w:val="clear" w:color="auto" w:fill="FFFFFF"/>
        <w:spacing w:line="460" w:lineRule="exact"/>
        <w:ind w:firstLine="472"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．为充分利用信息化监管手段，简化办事流程，提高办事效率，经研究，自</w:t>
      </w:r>
      <w:r>
        <w:rPr>
          <w:rFonts w:eastAsia="方正仿宋_GBK"/>
          <w:color w:val="000000"/>
          <w:spacing w:val="-2"/>
          <w:kern w:val="0"/>
          <w:sz w:val="24"/>
        </w:rPr>
        <w:t>2015</w:t>
      </w:r>
      <w:r>
        <w:rPr>
          <w:rFonts w:hint="eastAsia" w:eastAsia="方正仿宋_GBK"/>
          <w:color w:val="000000"/>
          <w:spacing w:val="-2"/>
          <w:kern w:val="0"/>
          <w:sz w:val="24"/>
        </w:rPr>
        <w:t>年</w:t>
      </w:r>
      <w:r>
        <w:rPr>
          <w:rFonts w:eastAsia="方正仿宋_GBK"/>
          <w:color w:val="000000"/>
          <w:spacing w:val="-2"/>
          <w:kern w:val="0"/>
          <w:sz w:val="24"/>
        </w:rPr>
        <w:t>10</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日起，省住房城乡建设厅对所核查工程监理企业资质证书不再加盖</w:t>
      </w:r>
      <w:r>
        <w:rPr>
          <w:rFonts w:eastAsia="方正仿宋_GBK"/>
          <w:color w:val="000000"/>
          <w:spacing w:val="-2"/>
          <w:kern w:val="0"/>
          <w:sz w:val="24"/>
        </w:rPr>
        <w:t>“</w:t>
      </w:r>
      <w:r>
        <w:rPr>
          <w:rFonts w:hint="eastAsia" w:eastAsia="方正仿宋_GBK"/>
          <w:color w:val="000000"/>
          <w:spacing w:val="-2"/>
          <w:kern w:val="0"/>
          <w:sz w:val="24"/>
        </w:rPr>
        <w:t>江苏省住房和城乡建设厅建设监理管理专用章</w:t>
      </w:r>
      <w:r>
        <w:rPr>
          <w:rFonts w:eastAsia="方正仿宋_GBK"/>
          <w:color w:val="000000"/>
          <w:spacing w:val="-2"/>
          <w:kern w:val="0"/>
          <w:sz w:val="24"/>
        </w:rPr>
        <w:t>”</w:t>
      </w:r>
      <w:r>
        <w:rPr>
          <w:rFonts w:hint="eastAsia" w:eastAsia="方正仿宋_GBK"/>
          <w:color w:val="000000"/>
          <w:spacing w:val="-2"/>
          <w:kern w:val="0"/>
          <w:sz w:val="24"/>
        </w:rPr>
        <w:t>及</w:t>
      </w:r>
      <w:r>
        <w:rPr>
          <w:rFonts w:eastAsia="方正仿宋_GBK"/>
          <w:color w:val="000000"/>
          <w:spacing w:val="-2"/>
          <w:kern w:val="0"/>
          <w:sz w:val="24"/>
        </w:rPr>
        <w:t>“</w:t>
      </w:r>
      <w:r>
        <w:rPr>
          <w:rFonts w:hint="eastAsia" w:eastAsia="方正仿宋_GBK"/>
          <w:color w:val="000000"/>
          <w:spacing w:val="-2"/>
          <w:kern w:val="0"/>
          <w:sz w:val="24"/>
        </w:rPr>
        <w:t>核查合格</w:t>
      </w:r>
      <w:r>
        <w:rPr>
          <w:rFonts w:eastAsia="方正仿宋_GBK"/>
          <w:color w:val="000000"/>
          <w:spacing w:val="-2"/>
          <w:kern w:val="0"/>
          <w:sz w:val="24"/>
        </w:rPr>
        <w:t>”</w:t>
      </w:r>
      <w:r>
        <w:rPr>
          <w:rFonts w:hint="eastAsia" w:eastAsia="方正仿宋_GBK"/>
          <w:color w:val="000000"/>
          <w:spacing w:val="-2"/>
          <w:kern w:val="0"/>
          <w:sz w:val="24"/>
        </w:rPr>
        <w:t>章，原盖有资质核查有效期印章的工程监理企业资质证书，核查有效期满后在资质证书有效期内可正常使用，不影响其参加正常投标活动。</w:t>
      </w:r>
    </w:p>
    <w:p>
      <w:pPr>
        <w:shd w:val="clear" w:color="auto" w:fill="FFFFFF"/>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．各工程监理企业应根据有关法律法规要求及核查内容进行自查，并对自查中存在的问题积极整改落实。</w:t>
      </w:r>
    </w:p>
    <w:p>
      <w:pPr>
        <w:shd w:val="clear" w:color="auto" w:fill="FFFFFF"/>
        <w:spacing w:line="460" w:lineRule="exact"/>
        <w:ind w:firstLine="472"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．各地住房城乡建设主管部门应严格按照有关法律、法规要求，加大对本辖区内工程监理企业资质的动态监督管理力度，完善工程监理企业准入清出机制，进一步规范监理企业市场行为。</w:t>
      </w:r>
    </w:p>
    <w:p>
      <w:pPr>
        <w:shd w:val="clear" w:color="auto" w:fill="FFFFFF"/>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工作中如有问题，请及时与省住房城乡建设厅建筑市场监管处联系。</w:t>
      </w:r>
    </w:p>
    <w:p>
      <w:pPr>
        <w:shd w:val="clear" w:color="auto" w:fill="FFFFFF"/>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联系电话：</w:t>
      </w:r>
      <w:r>
        <w:rPr>
          <w:rFonts w:eastAsia="方正仿宋_GBK"/>
          <w:color w:val="000000"/>
          <w:spacing w:val="-2"/>
          <w:kern w:val="0"/>
          <w:sz w:val="24"/>
        </w:rPr>
        <w:t>025-51868738</w:t>
      </w:r>
      <w:r>
        <w:rPr>
          <w:rFonts w:hint="eastAsia" w:eastAsia="方正仿宋_GBK"/>
          <w:color w:val="000000"/>
          <w:spacing w:val="-2"/>
          <w:kern w:val="0"/>
          <w:sz w:val="24"/>
        </w:rPr>
        <w:t>、</w:t>
      </w:r>
      <w:r>
        <w:rPr>
          <w:rFonts w:eastAsia="方正仿宋_GBK"/>
          <w:color w:val="000000"/>
          <w:spacing w:val="-2"/>
          <w:kern w:val="0"/>
          <w:sz w:val="24"/>
        </w:rPr>
        <w:t>51868741</w:t>
      </w:r>
      <w:r>
        <w:rPr>
          <w:rFonts w:hint="eastAsia" w:eastAsia="方正仿宋_GBK"/>
          <w:color w:val="000000"/>
          <w:spacing w:val="-2"/>
          <w:kern w:val="0"/>
          <w:sz w:val="24"/>
        </w:rPr>
        <w:t>。</w:t>
      </w:r>
    </w:p>
    <w:p>
      <w:pPr>
        <w:spacing w:line="460" w:lineRule="exact"/>
        <w:ind w:right="437" w:rightChars="208"/>
        <w:rPr>
          <w:rFonts w:eastAsia="方正仿宋_GBK"/>
          <w:color w:val="000000"/>
          <w:spacing w:val="-2"/>
          <w:sz w:val="24"/>
        </w:rPr>
      </w:pPr>
      <w:r>
        <w:rPr>
          <w:rFonts w:eastAsia="方正仿宋_GBK"/>
          <w:color w:val="000000"/>
          <w:spacing w:val="-2"/>
          <w:kern w:val="0"/>
          <w:sz w:val="24"/>
        </w:rPr>
        <w:t> </w:t>
      </w:r>
      <w:r>
        <w:rPr>
          <w:rFonts w:eastAsia="方正仿宋_GBK"/>
          <w:color w:val="000000"/>
          <w:spacing w:val="-2"/>
          <w:sz w:val="24"/>
        </w:rPr>
        <w:t xml:space="preserve">                                                 </w:t>
      </w: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878" w:rightChars="418"/>
        <w:jc w:val="right"/>
        <w:rPr>
          <w:rFonts w:eastAsia="方正仿宋_GBK"/>
          <w:color w:val="000000"/>
          <w:spacing w:val="-2"/>
          <w:sz w:val="24"/>
        </w:rPr>
      </w:pPr>
      <w:r>
        <w:rPr>
          <w:rFonts w:eastAsia="方正仿宋_GBK"/>
          <w:color w:val="000000"/>
          <w:spacing w:val="-2"/>
          <w:sz w:val="24"/>
        </w:rPr>
        <w:t>                                                       2015</w:t>
      </w:r>
      <w:r>
        <w:rPr>
          <w:rFonts w:hint="eastAsia" w:eastAsia="方正仿宋_GBK"/>
          <w:color w:val="000000"/>
          <w:spacing w:val="-2"/>
          <w:sz w:val="24"/>
        </w:rPr>
        <w:t>年</w:t>
      </w:r>
      <w:r>
        <w:rPr>
          <w:rFonts w:eastAsia="方正仿宋_GBK"/>
          <w:color w:val="000000"/>
          <w:spacing w:val="-2"/>
          <w:sz w:val="24"/>
        </w:rPr>
        <w:t>9</w:t>
      </w:r>
      <w:r>
        <w:rPr>
          <w:rFonts w:hint="eastAsia" w:eastAsia="方正仿宋_GBK"/>
          <w:color w:val="000000"/>
          <w:spacing w:val="-2"/>
          <w:sz w:val="24"/>
        </w:rPr>
        <w:t>月</w:t>
      </w:r>
      <w:r>
        <w:rPr>
          <w:rFonts w:eastAsia="方正仿宋_GBK"/>
          <w:color w:val="000000"/>
          <w:spacing w:val="-2"/>
          <w:sz w:val="24"/>
        </w:rPr>
        <w:t>15</w:t>
      </w:r>
      <w:r>
        <w:rPr>
          <w:rFonts w:hint="eastAsia" w:eastAsia="方正仿宋_GBK"/>
          <w:color w:val="000000"/>
          <w:spacing w:val="-2"/>
          <w:sz w:val="24"/>
        </w:rPr>
        <w:t>日</w:t>
      </w:r>
      <w:r>
        <w:rPr>
          <w:rFonts w:eastAsia="方正仿宋_GBK"/>
          <w:color w:val="000000"/>
          <w:spacing w:val="-2"/>
          <w:sz w:val="24"/>
        </w:rPr>
        <w:t xml:space="preserve">    </w:t>
      </w:r>
    </w:p>
    <w:p/>
    <w:p/>
    <w:p>
      <w:pPr>
        <w:pStyle w:val="2"/>
        <w:spacing w:before="312" w:after="312" w:line="240" w:lineRule="auto"/>
        <w:jc w:val="center"/>
        <w:rPr>
          <w:rFonts w:ascii="Times New Roman" w:hAnsi="Times New Roman" w:eastAsia="方正小标宋_GBK"/>
          <w:b w:val="0"/>
          <w:bCs/>
          <w:sz w:val="36"/>
          <w:szCs w:val="36"/>
        </w:rPr>
      </w:pPr>
      <w:r>
        <w:rPr>
          <w:rStyle w:val="28"/>
          <w:rFonts w:hint="eastAsia" w:ascii="Times New Roman" w:hAnsi="Times New Roman" w:eastAsia="方正小标宋_GBK"/>
          <w:b w:val="0"/>
          <w:sz w:val="36"/>
        </w:rPr>
        <w:t>省住房和城乡建设厅关于修订印发《江苏省项目监理机构</w:t>
      </w:r>
      <w:r>
        <w:rPr>
          <w:rFonts w:hint="eastAsia" w:ascii="Times New Roman" w:hAnsi="Times New Roman" w:eastAsia="方正小标宋_GBK"/>
          <w:b w:val="0"/>
          <w:sz w:val="36"/>
          <w:szCs w:val="36"/>
        </w:rPr>
        <w:t>工作评价标准》的通知</w:t>
      </w:r>
      <w:bookmarkEnd w:id="468"/>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485" w:name="_Toc20726489"/>
      <w:r>
        <w:rPr>
          <w:rFonts w:hint="eastAsia" w:ascii="Times New Roman" w:hAnsi="Times New Roman" w:eastAsia="方正楷体_GBK"/>
          <w:b w:val="0"/>
          <w:sz w:val="24"/>
          <w:szCs w:val="24"/>
        </w:rPr>
        <w:t>苏建函建管〔</w:t>
      </w:r>
      <w:r>
        <w:rPr>
          <w:rFonts w:ascii="Times New Roman" w:hAnsi="Times New Roman" w:eastAsia="方正楷体_GBK"/>
          <w:b w:val="0"/>
          <w:sz w:val="24"/>
          <w:szCs w:val="24"/>
        </w:rPr>
        <w:t>2018</w:t>
      </w:r>
      <w:r>
        <w:rPr>
          <w:rFonts w:hint="eastAsia" w:ascii="Times New Roman" w:hAnsi="Times New Roman" w:eastAsia="方正楷体_GBK"/>
          <w:b w:val="0"/>
          <w:sz w:val="24"/>
          <w:szCs w:val="24"/>
        </w:rPr>
        <w:t>〕</w:t>
      </w:r>
      <w:r>
        <w:rPr>
          <w:rFonts w:ascii="Times New Roman" w:hAnsi="Times New Roman" w:eastAsia="方正楷体_GBK"/>
          <w:b w:val="0"/>
          <w:sz w:val="24"/>
          <w:szCs w:val="24"/>
        </w:rPr>
        <w:t>759</w:t>
      </w:r>
      <w:r>
        <w:rPr>
          <w:rFonts w:hint="eastAsia" w:ascii="Times New Roman" w:hAnsi="Times New Roman" w:eastAsia="方正楷体_GBK"/>
          <w:b w:val="0"/>
          <w:sz w:val="24"/>
          <w:szCs w:val="24"/>
        </w:rPr>
        <w:t>号</w:t>
      </w:r>
      <w:bookmarkEnd w:id="485"/>
    </w:p>
    <w:p>
      <w:pPr>
        <w:spacing w:line="480" w:lineRule="exact"/>
        <w:rPr>
          <w:rFonts w:eastAsia="方正仿宋_GBK"/>
          <w:color w:val="000000"/>
          <w:spacing w:val="-2"/>
          <w:kern w:val="0"/>
          <w:sz w:val="24"/>
          <w:szCs w:val="22"/>
        </w:rPr>
      </w:pPr>
      <w:r>
        <w:rPr>
          <w:rFonts w:hint="eastAsia" w:eastAsia="方正仿宋_GBK"/>
          <w:color w:val="000000"/>
          <w:spacing w:val="-2"/>
          <w:kern w:val="0"/>
          <w:sz w:val="24"/>
          <w:szCs w:val="22"/>
        </w:rPr>
        <w:t>各设区市建设局（委），苏州工业园区规划建设局，各监理企业：</w:t>
      </w:r>
    </w:p>
    <w:p>
      <w:pPr>
        <w:spacing w:line="480" w:lineRule="exact"/>
        <w:ind w:firstLine="472" w:firstLineChars="200"/>
        <w:rPr>
          <w:rFonts w:eastAsia="方正仿宋_GBK"/>
          <w:color w:val="000000"/>
          <w:spacing w:val="-2"/>
          <w:kern w:val="0"/>
          <w:sz w:val="24"/>
          <w:szCs w:val="22"/>
        </w:rPr>
      </w:pPr>
      <w:r>
        <w:rPr>
          <w:rFonts w:hint="eastAsia" w:eastAsia="方正仿宋_GBK"/>
          <w:color w:val="000000"/>
          <w:spacing w:val="-2"/>
          <w:kern w:val="0"/>
          <w:sz w:val="24"/>
          <w:szCs w:val="22"/>
        </w:rPr>
        <w:t>为进一步加强江苏省建设工程监理工作的规范化管理，提升项目监理机构的工作能力和水平，科学、客观、公平地评价项目监理机构的服务质量和监理单位的履约能力，促进监理行业持续健康发展，我厅组织修订了《江苏省项目监理机构工作评价标准》，现印发给你们，请遵照执行。</w:t>
      </w:r>
    </w:p>
    <w:p>
      <w:pPr>
        <w:spacing w:line="480" w:lineRule="exact"/>
        <w:ind w:firstLine="472" w:firstLineChars="200"/>
        <w:rPr>
          <w:rFonts w:eastAsia="方正仿宋_GBK"/>
          <w:color w:val="000000"/>
          <w:spacing w:val="-2"/>
          <w:kern w:val="0"/>
          <w:sz w:val="24"/>
          <w:szCs w:val="22"/>
        </w:rPr>
      </w:pPr>
      <w:r>
        <w:rPr>
          <w:rFonts w:hint="eastAsia" w:eastAsia="方正仿宋_GBK"/>
          <w:color w:val="000000"/>
          <w:spacing w:val="-2"/>
          <w:kern w:val="0"/>
          <w:sz w:val="24"/>
          <w:szCs w:val="22"/>
        </w:rPr>
        <w:t>项目监理机构应依据本评价标准，对相应各阶段的工作进行自我评价。监理企业应加强内部管理，对项目监理机构各个阶段的工作质量进行考核并作出评价。鼓励建设单位组织专家对整个项目的监理工作作出综合评价，实行优质优价。</w:t>
      </w:r>
    </w:p>
    <w:p>
      <w:pPr>
        <w:spacing w:line="480" w:lineRule="exact"/>
        <w:ind w:firstLine="472" w:firstLineChars="200"/>
        <w:rPr>
          <w:rFonts w:eastAsia="方正仿宋_GBK"/>
          <w:color w:val="000000"/>
          <w:spacing w:val="-2"/>
          <w:kern w:val="0"/>
          <w:sz w:val="24"/>
          <w:szCs w:val="22"/>
        </w:rPr>
      </w:pPr>
      <w:r>
        <w:rPr>
          <w:rFonts w:hint="eastAsia" w:eastAsia="方正仿宋_GBK"/>
          <w:color w:val="000000"/>
          <w:spacing w:val="-2"/>
          <w:kern w:val="0"/>
          <w:sz w:val="24"/>
          <w:szCs w:val="22"/>
        </w:rPr>
        <w:t>我厅于</w:t>
      </w:r>
      <w:r>
        <w:rPr>
          <w:rFonts w:eastAsia="方正仿宋_GBK"/>
          <w:color w:val="000000"/>
          <w:spacing w:val="-2"/>
          <w:kern w:val="0"/>
          <w:sz w:val="24"/>
          <w:szCs w:val="22"/>
        </w:rPr>
        <w:t>2011</w:t>
      </w:r>
      <w:r>
        <w:rPr>
          <w:rFonts w:hint="eastAsia" w:eastAsia="方正仿宋_GBK"/>
          <w:color w:val="000000"/>
          <w:spacing w:val="-2"/>
          <w:kern w:val="0"/>
          <w:sz w:val="24"/>
          <w:szCs w:val="22"/>
        </w:rPr>
        <w:t>年</w:t>
      </w:r>
      <w:r>
        <w:rPr>
          <w:rFonts w:eastAsia="方正仿宋_GBK"/>
          <w:color w:val="000000"/>
          <w:spacing w:val="-2"/>
          <w:kern w:val="0"/>
          <w:sz w:val="24"/>
          <w:szCs w:val="22"/>
        </w:rPr>
        <w:t>10</w:t>
      </w:r>
      <w:r>
        <w:rPr>
          <w:rFonts w:hint="eastAsia" w:eastAsia="方正仿宋_GBK"/>
          <w:color w:val="000000"/>
          <w:spacing w:val="-2"/>
          <w:kern w:val="0"/>
          <w:sz w:val="24"/>
          <w:szCs w:val="22"/>
        </w:rPr>
        <w:t>月</w:t>
      </w:r>
      <w:r>
        <w:rPr>
          <w:rFonts w:eastAsia="方正仿宋_GBK"/>
          <w:color w:val="000000"/>
          <w:spacing w:val="-2"/>
          <w:kern w:val="0"/>
          <w:sz w:val="24"/>
          <w:szCs w:val="22"/>
        </w:rPr>
        <w:t>27</w:t>
      </w:r>
      <w:r>
        <w:rPr>
          <w:rFonts w:hint="eastAsia" w:eastAsia="方正仿宋_GBK"/>
          <w:color w:val="000000"/>
          <w:spacing w:val="-2"/>
          <w:kern w:val="0"/>
          <w:sz w:val="24"/>
          <w:szCs w:val="22"/>
        </w:rPr>
        <w:t>日印发的《江苏省项目监理机构工作评价标准》（苏建函建管〔</w:t>
      </w:r>
      <w:r>
        <w:rPr>
          <w:rFonts w:eastAsia="方正仿宋_GBK"/>
          <w:color w:val="000000"/>
          <w:spacing w:val="-2"/>
          <w:kern w:val="0"/>
          <w:sz w:val="24"/>
          <w:szCs w:val="22"/>
        </w:rPr>
        <w:t>2011</w:t>
      </w:r>
      <w:r>
        <w:rPr>
          <w:rFonts w:hint="eastAsia" w:eastAsia="方正仿宋_GBK"/>
          <w:color w:val="000000"/>
          <w:spacing w:val="-2"/>
          <w:kern w:val="0"/>
          <w:sz w:val="24"/>
          <w:szCs w:val="22"/>
        </w:rPr>
        <w:t>〕</w:t>
      </w:r>
      <w:r>
        <w:rPr>
          <w:rFonts w:eastAsia="方正仿宋_GBK"/>
          <w:color w:val="000000"/>
          <w:spacing w:val="-2"/>
          <w:kern w:val="0"/>
          <w:sz w:val="24"/>
          <w:szCs w:val="22"/>
        </w:rPr>
        <w:t>757</w:t>
      </w:r>
      <w:r>
        <w:rPr>
          <w:rFonts w:hint="eastAsia" w:eastAsia="方正仿宋_GBK"/>
          <w:color w:val="000000"/>
          <w:spacing w:val="-2"/>
          <w:kern w:val="0"/>
          <w:sz w:val="24"/>
          <w:szCs w:val="22"/>
        </w:rPr>
        <w:t>号）同时废止。</w:t>
      </w:r>
    </w:p>
    <w:p>
      <w:pPr>
        <w:spacing w:line="480" w:lineRule="exact"/>
        <w:ind w:firstLine="472" w:firstLineChars="200"/>
        <w:rPr>
          <w:rFonts w:eastAsia="方正仿宋_GBK"/>
          <w:color w:val="000000"/>
          <w:spacing w:val="-2"/>
          <w:kern w:val="0"/>
          <w:sz w:val="24"/>
          <w:szCs w:val="22"/>
        </w:rPr>
      </w:pPr>
    </w:p>
    <w:p>
      <w:pPr>
        <w:spacing w:line="480" w:lineRule="exact"/>
        <w:ind w:firstLine="472" w:firstLineChars="200"/>
        <w:rPr>
          <w:rFonts w:eastAsia="方正仿宋_GBK"/>
          <w:color w:val="000000"/>
          <w:spacing w:val="-2"/>
          <w:kern w:val="0"/>
          <w:sz w:val="24"/>
          <w:szCs w:val="22"/>
        </w:rPr>
      </w:pPr>
      <w:r>
        <w:rPr>
          <w:rFonts w:hint="eastAsia" w:eastAsia="方正仿宋_GBK"/>
          <w:color w:val="000000"/>
          <w:spacing w:val="-2"/>
          <w:kern w:val="0"/>
          <w:sz w:val="24"/>
          <w:szCs w:val="22"/>
        </w:rPr>
        <w:t>附件：江苏省项目监理机构工作评价标准</w:t>
      </w:r>
    </w:p>
    <w:p>
      <w:pPr>
        <w:spacing w:line="480" w:lineRule="exact"/>
        <w:ind w:firstLine="472" w:firstLineChars="200"/>
        <w:rPr>
          <w:rFonts w:eastAsia="方正仿宋_GBK"/>
          <w:color w:val="000000"/>
          <w:spacing w:val="-2"/>
          <w:kern w:val="0"/>
          <w:sz w:val="24"/>
          <w:szCs w:val="22"/>
        </w:rPr>
      </w:pPr>
      <w:r>
        <w:rPr>
          <w:rFonts w:eastAsia="方正仿宋_GBK"/>
          <w:color w:val="000000"/>
          <w:spacing w:val="-2"/>
          <w:kern w:val="0"/>
          <w:sz w:val="24"/>
          <w:szCs w:val="22"/>
        </w:rPr>
        <w:t xml:space="preserve">     </w:t>
      </w:r>
    </w:p>
    <w:p>
      <w:pPr>
        <w:spacing w:line="480" w:lineRule="exact"/>
        <w:ind w:firstLine="472" w:firstLineChars="200"/>
        <w:jc w:val="right"/>
        <w:rPr>
          <w:rFonts w:eastAsia="方正仿宋_GBK"/>
          <w:color w:val="000000"/>
          <w:spacing w:val="-2"/>
          <w:kern w:val="0"/>
          <w:sz w:val="24"/>
          <w:szCs w:val="22"/>
        </w:rPr>
      </w:pPr>
      <w:r>
        <w:rPr>
          <w:rFonts w:hint="eastAsia" w:eastAsia="方正仿宋_GBK"/>
          <w:color w:val="000000"/>
          <w:spacing w:val="-2"/>
          <w:kern w:val="0"/>
          <w:sz w:val="24"/>
          <w:szCs w:val="22"/>
        </w:rPr>
        <w:t>江苏省住房和城乡建设厅</w:t>
      </w:r>
    </w:p>
    <w:p>
      <w:pPr>
        <w:spacing w:line="480" w:lineRule="exact"/>
        <w:ind w:firstLine="6844" w:firstLineChars="2900"/>
        <w:rPr>
          <w:rFonts w:eastAsia="方正仿宋_GBK"/>
          <w:color w:val="000000"/>
          <w:spacing w:val="-2"/>
          <w:kern w:val="0"/>
          <w:sz w:val="24"/>
          <w:szCs w:val="22"/>
        </w:rPr>
      </w:pPr>
      <w:r>
        <w:rPr>
          <w:rFonts w:eastAsia="方正仿宋_GBK"/>
          <w:color w:val="000000"/>
          <w:spacing w:val="-2"/>
          <w:kern w:val="0"/>
          <w:sz w:val="24"/>
          <w:szCs w:val="22"/>
        </w:rPr>
        <w:t>2018</w:t>
      </w:r>
      <w:r>
        <w:rPr>
          <w:rFonts w:hint="eastAsia" w:eastAsia="方正仿宋_GBK"/>
          <w:color w:val="000000"/>
          <w:spacing w:val="-2"/>
          <w:kern w:val="0"/>
          <w:sz w:val="24"/>
          <w:szCs w:val="22"/>
        </w:rPr>
        <w:t>年</w:t>
      </w:r>
      <w:r>
        <w:rPr>
          <w:rFonts w:eastAsia="方正仿宋_GBK"/>
          <w:color w:val="000000"/>
          <w:spacing w:val="-2"/>
          <w:kern w:val="0"/>
          <w:sz w:val="24"/>
          <w:szCs w:val="22"/>
        </w:rPr>
        <w:t>9</w:t>
      </w:r>
      <w:r>
        <w:rPr>
          <w:rFonts w:hint="eastAsia" w:eastAsia="方正仿宋_GBK"/>
          <w:color w:val="000000"/>
          <w:spacing w:val="-2"/>
          <w:kern w:val="0"/>
          <w:sz w:val="24"/>
          <w:szCs w:val="22"/>
        </w:rPr>
        <w:t>月</w:t>
      </w:r>
      <w:r>
        <w:rPr>
          <w:rFonts w:eastAsia="方正仿宋_GBK"/>
          <w:color w:val="000000"/>
          <w:spacing w:val="-2"/>
          <w:kern w:val="0"/>
          <w:sz w:val="24"/>
          <w:szCs w:val="22"/>
        </w:rPr>
        <w:t>4</w:t>
      </w:r>
      <w:r>
        <w:rPr>
          <w:rFonts w:hint="eastAsia" w:eastAsia="方正仿宋_GBK"/>
          <w:color w:val="000000"/>
          <w:spacing w:val="-2"/>
          <w:kern w:val="0"/>
          <w:sz w:val="24"/>
          <w:szCs w:val="22"/>
        </w:rPr>
        <w:t>日</w:t>
      </w:r>
    </w:p>
    <w:p>
      <w:pPr>
        <w:spacing w:line="480" w:lineRule="exact"/>
        <w:ind w:firstLine="472" w:firstLineChars="200"/>
        <w:rPr>
          <w:rFonts w:eastAsia="方正仿宋_GBK"/>
          <w:color w:val="000000"/>
          <w:spacing w:val="-2"/>
          <w:kern w:val="0"/>
          <w:sz w:val="24"/>
          <w:szCs w:val="22"/>
        </w:rPr>
      </w:pPr>
      <w:r>
        <w:rPr>
          <w:rFonts w:hint="eastAsia" w:eastAsia="方正仿宋_GBK"/>
          <w:color w:val="000000"/>
          <w:spacing w:val="-2"/>
          <w:kern w:val="0"/>
          <w:sz w:val="24"/>
          <w:szCs w:val="22"/>
        </w:rPr>
        <w:t>（此件公开发布）</w:t>
      </w:r>
    </w:p>
    <w:p>
      <w:pPr>
        <w:spacing w:line="480" w:lineRule="exact"/>
        <w:rPr>
          <w:rFonts w:eastAsia="方正仿宋_GBK"/>
          <w:sz w:val="32"/>
          <w:szCs w:val="32"/>
        </w:rPr>
      </w:pPr>
    </w:p>
    <w:p>
      <w:pPr>
        <w:spacing w:line="570" w:lineRule="atLeast"/>
        <w:rPr>
          <w:rFonts w:eastAsia="方正仿宋_GBK"/>
          <w:sz w:val="32"/>
          <w:szCs w:val="32"/>
        </w:rPr>
      </w:pPr>
    </w:p>
    <w:p>
      <w:pPr>
        <w:spacing w:before="120" w:beforeLines="50" w:line="570" w:lineRule="exact"/>
        <w:rPr>
          <w:rFonts w:eastAsia="方正黑体_GBK"/>
          <w:snapToGrid w:val="0"/>
          <w:kern w:val="0"/>
          <w:sz w:val="32"/>
        </w:rPr>
      </w:pPr>
    </w:p>
    <w:p>
      <w:pPr>
        <w:spacing w:before="120" w:beforeLines="50" w:line="570" w:lineRule="exact"/>
        <w:rPr>
          <w:rFonts w:eastAsia="方正黑体_GBK"/>
          <w:snapToGrid w:val="0"/>
          <w:kern w:val="0"/>
          <w:sz w:val="32"/>
        </w:rPr>
      </w:pPr>
      <w:r>
        <w:rPr>
          <w:rFonts w:hint="eastAsia" w:eastAsia="方正黑体_GBK"/>
          <w:snapToGrid w:val="0"/>
          <w:kern w:val="0"/>
          <w:sz w:val="32"/>
        </w:rPr>
        <w:t>附件</w:t>
      </w:r>
    </w:p>
    <w:p>
      <w:pPr>
        <w:jc w:val="center"/>
        <w:rPr>
          <w:rFonts w:eastAsia="黑体"/>
          <w:b/>
          <w:sz w:val="72"/>
          <w:szCs w:val="72"/>
        </w:rPr>
      </w:pPr>
    </w:p>
    <w:p>
      <w:pPr>
        <w:jc w:val="center"/>
        <w:rPr>
          <w:rFonts w:eastAsia="黑体"/>
          <w:b/>
          <w:sz w:val="72"/>
          <w:szCs w:val="72"/>
        </w:rPr>
      </w:pPr>
    </w:p>
    <w:p>
      <w:pPr>
        <w:jc w:val="center"/>
        <w:rPr>
          <w:rFonts w:eastAsia="黑体"/>
          <w:b/>
          <w:sz w:val="72"/>
          <w:szCs w:val="72"/>
        </w:rPr>
      </w:pPr>
    </w:p>
    <w:p>
      <w:pPr>
        <w:spacing w:line="570" w:lineRule="exact"/>
        <w:jc w:val="center"/>
        <w:rPr>
          <w:rFonts w:eastAsia="方正小标宋_GBK"/>
          <w:snapToGrid w:val="0"/>
          <w:kern w:val="0"/>
          <w:sz w:val="52"/>
          <w:szCs w:val="52"/>
        </w:rPr>
      </w:pPr>
      <w:r>
        <w:rPr>
          <w:rFonts w:hint="eastAsia" w:eastAsia="方正小标宋_GBK"/>
          <w:snapToGrid w:val="0"/>
          <w:kern w:val="0"/>
          <w:sz w:val="52"/>
          <w:szCs w:val="52"/>
        </w:rPr>
        <w:t>江苏省项目监理机构工作评价标准</w:t>
      </w:r>
    </w:p>
    <w:p>
      <w:pPr>
        <w:spacing w:line="570" w:lineRule="exact"/>
        <w:rPr>
          <w:rFonts w:eastAsia="方正黑体_GBK"/>
          <w:snapToGrid w:val="0"/>
          <w:kern w:val="0"/>
          <w:sz w:val="32"/>
        </w:rPr>
      </w:pPr>
    </w:p>
    <w:p>
      <w:pPr>
        <w:spacing w:line="600" w:lineRule="exact"/>
        <w:jc w:val="center"/>
        <w:rPr>
          <w:rFonts w:eastAsia="方正黑体_GBK"/>
          <w:snapToGrid w:val="0"/>
          <w:kern w:val="0"/>
          <w:sz w:val="32"/>
        </w:rPr>
      </w:pPr>
      <w:r>
        <w:rPr>
          <w:rFonts w:eastAsia="方正黑体_GBK"/>
          <w:snapToGrid w:val="0"/>
          <w:kern w:val="0"/>
          <w:sz w:val="32"/>
        </w:rPr>
        <w:br w:type="page"/>
      </w:r>
    </w:p>
    <w:p>
      <w:pPr>
        <w:spacing w:line="600" w:lineRule="exact"/>
        <w:jc w:val="center"/>
        <w:rPr>
          <w:rFonts w:eastAsia="仿宋_GB2312"/>
          <w:b/>
          <w:bCs/>
          <w:sz w:val="36"/>
          <w:szCs w:val="36"/>
        </w:rPr>
      </w:pPr>
      <w:r>
        <w:rPr>
          <w:rFonts w:hint="eastAsia" w:eastAsia="仿宋_GB2312"/>
          <w:b/>
          <w:bCs/>
          <w:sz w:val="36"/>
          <w:szCs w:val="36"/>
        </w:rPr>
        <w:t>《江苏省项目监理机构工作评价标准》修订说明</w:t>
      </w:r>
    </w:p>
    <w:p>
      <w:pPr>
        <w:spacing w:line="560" w:lineRule="exact"/>
        <w:ind w:firstLine="560" w:firstLineChars="200"/>
        <w:jc w:val="left"/>
        <w:rPr>
          <w:rFonts w:eastAsia="仿宋_GB2312"/>
          <w:sz w:val="28"/>
          <w:szCs w:val="28"/>
        </w:rPr>
      </w:pPr>
    </w:p>
    <w:p>
      <w:pPr>
        <w:spacing w:line="560" w:lineRule="exact"/>
        <w:ind w:firstLine="560" w:firstLineChars="200"/>
        <w:jc w:val="left"/>
        <w:rPr>
          <w:rFonts w:eastAsia="仿宋_GB2312"/>
          <w:sz w:val="28"/>
          <w:szCs w:val="28"/>
        </w:rPr>
      </w:pPr>
      <w:r>
        <w:rPr>
          <w:rFonts w:eastAsia="仿宋_GB2312"/>
          <w:sz w:val="28"/>
          <w:szCs w:val="28"/>
        </w:rPr>
        <w:t>1</w:t>
      </w:r>
      <w:r>
        <w:rPr>
          <w:rFonts w:hint="eastAsia" w:eastAsia="仿宋_GB2312"/>
          <w:sz w:val="28"/>
          <w:szCs w:val="28"/>
        </w:rPr>
        <w:t>、为加强江苏省建设工程监理工作的标准化、规范化管理，提高项目监理机构的工作水平，科学、客观、公平地评价建设工程项目监理机构的服务质量和监理单位的履约能力，依据《建筑法》、《建设工程质量管理条例》、《建设工程安全生产管理条例》、《建设工程监理规范》等法律法规和技术标准，并结合我省监理工作实际，江苏省住房和城乡建设厅对</w:t>
      </w:r>
      <w:r>
        <w:rPr>
          <w:rFonts w:eastAsia="仿宋_GB2312"/>
          <w:sz w:val="28"/>
          <w:szCs w:val="28"/>
        </w:rPr>
        <w:t>2011</w:t>
      </w:r>
      <w:r>
        <w:rPr>
          <w:rFonts w:hint="eastAsia" w:eastAsia="仿宋_GB2312"/>
          <w:sz w:val="28"/>
          <w:szCs w:val="28"/>
        </w:rPr>
        <w:t>年</w:t>
      </w:r>
      <w:r>
        <w:rPr>
          <w:rFonts w:eastAsia="仿宋_GB2312"/>
          <w:sz w:val="28"/>
          <w:szCs w:val="28"/>
        </w:rPr>
        <w:t>10</w:t>
      </w:r>
      <w:r>
        <w:rPr>
          <w:rFonts w:hint="eastAsia" w:eastAsia="仿宋_GB2312"/>
          <w:sz w:val="28"/>
          <w:szCs w:val="28"/>
        </w:rPr>
        <w:t>月颁布的《江苏省项目监理机构工作评价标准》进行了修订。</w:t>
      </w:r>
    </w:p>
    <w:p>
      <w:pPr>
        <w:spacing w:line="560" w:lineRule="exact"/>
        <w:ind w:firstLine="560" w:firstLineChars="200"/>
        <w:rPr>
          <w:rFonts w:eastAsia="仿宋_GB2312"/>
          <w:sz w:val="28"/>
          <w:szCs w:val="28"/>
        </w:rPr>
      </w:pPr>
      <w:r>
        <w:rPr>
          <w:rFonts w:eastAsia="仿宋_GB2312"/>
          <w:sz w:val="28"/>
          <w:szCs w:val="28"/>
        </w:rPr>
        <w:t>2</w:t>
      </w:r>
      <w:r>
        <w:rPr>
          <w:rFonts w:hint="eastAsia" w:eastAsia="仿宋_GB2312"/>
          <w:sz w:val="28"/>
          <w:szCs w:val="28"/>
        </w:rPr>
        <w:t>、本标准适用于江苏省建设工程项目监理机构工作的评价与考核。</w:t>
      </w:r>
    </w:p>
    <w:p>
      <w:pPr>
        <w:spacing w:line="560" w:lineRule="exact"/>
        <w:ind w:firstLine="560" w:firstLineChars="200"/>
        <w:rPr>
          <w:rFonts w:eastAsia="仿宋_GB2312"/>
          <w:sz w:val="28"/>
          <w:szCs w:val="28"/>
        </w:rPr>
      </w:pPr>
      <w:r>
        <w:rPr>
          <w:rFonts w:eastAsia="仿宋_GB2312"/>
          <w:sz w:val="28"/>
          <w:szCs w:val="28"/>
        </w:rPr>
        <w:t>3</w:t>
      </w:r>
      <w:r>
        <w:rPr>
          <w:rFonts w:hint="eastAsia" w:eastAsia="仿宋_GB2312"/>
          <w:sz w:val="28"/>
          <w:szCs w:val="28"/>
        </w:rPr>
        <w:t>、本标准对项目监理机构监理工作进行评价，包括了组织机构与人员配备、监理服务情况、工作质量、工作绩效等内容，从而形成对项目监理机构工作水平的综合评价。评价的内容分为</w:t>
      </w:r>
      <w:r>
        <w:rPr>
          <w:rFonts w:eastAsia="仿宋_GB2312"/>
          <w:sz w:val="28"/>
          <w:szCs w:val="28"/>
        </w:rPr>
        <w:t>4</w:t>
      </w:r>
      <w:r>
        <w:rPr>
          <w:rFonts w:hint="eastAsia" w:eastAsia="仿宋_GB2312"/>
          <w:sz w:val="28"/>
          <w:szCs w:val="28"/>
        </w:rPr>
        <w:t>个单项表，总分为</w:t>
      </w:r>
      <w:r>
        <w:rPr>
          <w:rFonts w:eastAsia="仿宋_GB2312"/>
          <w:sz w:val="28"/>
          <w:szCs w:val="28"/>
        </w:rPr>
        <w:t>400</w:t>
      </w:r>
      <w:r>
        <w:rPr>
          <w:rFonts w:hint="eastAsia" w:eastAsia="仿宋_GB2312"/>
          <w:sz w:val="28"/>
          <w:szCs w:val="28"/>
        </w:rPr>
        <w:t>分，分别是工程施工准备阶段监理工作评价表（满分</w:t>
      </w:r>
      <w:r>
        <w:rPr>
          <w:rFonts w:eastAsia="仿宋_GB2312"/>
          <w:sz w:val="28"/>
          <w:szCs w:val="28"/>
        </w:rPr>
        <w:t>150</w:t>
      </w:r>
      <w:r>
        <w:rPr>
          <w:rFonts w:hint="eastAsia" w:eastAsia="仿宋_GB2312"/>
          <w:sz w:val="28"/>
          <w:szCs w:val="28"/>
        </w:rPr>
        <w:t>分）、工程施工阶段监理工作评价表（满分</w:t>
      </w:r>
      <w:r>
        <w:rPr>
          <w:rFonts w:eastAsia="仿宋_GB2312"/>
          <w:sz w:val="28"/>
          <w:szCs w:val="28"/>
        </w:rPr>
        <w:t>150</w:t>
      </w:r>
      <w:r>
        <w:rPr>
          <w:rFonts w:hint="eastAsia" w:eastAsia="仿宋_GB2312"/>
          <w:sz w:val="28"/>
          <w:szCs w:val="28"/>
        </w:rPr>
        <w:t>分）、工程竣工验收阶段监理工作评价表（满分</w:t>
      </w:r>
      <w:r>
        <w:rPr>
          <w:rFonts w:eastAsia="仿宋_GB2312"/>
          <w:sz w:val="28"/>
          <w:szCs w:val="28"/>
        </w:rPr>
        <w:t>50</w:t>
      </w:r>
      <w:r>
        <w:rPr>
          <w:rFonts w:hint="eastAsia" w:eastAsia="仿宋_GB2312"/>
          <w:sz w:val="28"/>
          <w:szCs w:val="28"/>
        </w:rPr>
        <w:t>分）、</w:t>
      </w:r>
      <w:r>
        <w:rPr>
          <w:rFonts w:eastAsia="仿宋_GB2312"/>
          <w:sz w:val="28"/>
          <w:szCs w:val="28"/>
        </w:rPr>
        <w:t xml:space="preserve"> </w:t>
      </w:r>
      <w:r>
        <w:rPr>
          <w:rFonts w:hint="eastAsia" w:eastAsia="仿宋_GB2312"/>
          <w:sz w:val="28"/>
          <w:szCs w:val="28"/>
        </w:rPr>
        <w:t>施工合同管理监理工作评价表（满分</w:t>
      </w:r>
      <w:r>
        <w:rPr>
          <w:rFonts w:eastAsia="仿宋_GB2312"/>
          <w:sz w:val="28"/>
          <w:szCs w:val="28"/>
        </w:rPr>
        <w:t>50</w:t>
      </w:r>
      <w:r>
        <w:rPr>
          <w:rFonts w:hint="eastAsia" w:eastAsia="仿宋_GB2312"/>
          <w:sz w:val="28"/>
          <w:szCs w:val="28"/>
        </w:rPr>
        <w:t>分）。</w:t>
      </w:r>
    </w:p>
    <w:p>
      <w:pPr>
        <w:spacing w:line="560" w:lineRule="exact"/>
        <w:ind w:firstLine="560" w:firstLineChars="200"/>
        <w:rPr>
          <w:rFonts w:eastAsia="仿宋_GB2312"/>
          <w:sz w:val="28"/>
          <w:szCs w:val="28"/>
        </w:rPr>
      </w:pPr>
      <w:r>
        <w:rPr>
          <w:rFonts w:eastAsia="仿宋_GB2312"/>
          <w:sz w:val="28"/>
          <w:szCs w:val="28"/>
        </w:rPr>
        <w:t>4</w:t>
      </w:r>
      <w:r>
        <w:rPr>
          <w:rFonts w:hint="eastAsia" w:eastAsia="仿宋_GB2312"/>
          <w:sz w:val="28"/>
          <w:szCs w:val="28"/>
        </w:rPr>
        <w:t>、单项评分表中用“▲”标注的内容为重要评价项，属于必须遵守的国家法律、法规或可能导致工程质量、安全事故隐患的内容，此项内容检查时如不符合要求，则该单项评价表的评价项目为不合格，即该评价项目考核实得分为</w:t>
      </w:r>
      <w:r>
        <w:rPr>
          <w:rFonts w:eastAsia="仿宋_GB2312"/>
          <w:sz w:val="28"/>
          <w:szCs w:val="28"/>
        </w:rPr>
        <w:t>0</w:t>
      </w:r>
      <w:r>
        <w:rPr>
          <w:rFonts w:hint="eastAsia" w:eastAsia="仿宋_GB2312"/>
          <w:sz w:val="28"/>
          <w:szCs w:val="28"/>
        </w:rPr>
        <w:t>分；其他项检查时，如发现评分标准中监理此项工作未做，则此项分数全扣，得分为</w:t>
      </w:r>
      <w:r>
        <w:rPr>
          <w:rFonts w:eastAsia="仿宋_GB2312"/>
          <w:sz w:val="28"/>
          <w:szCs w:val="28"/>
        </w:rPr>
        <w:t>0</w:t>
      </w:r>
      <w:r>
        <w:rPr>
          <w:rFonts w:hint="eastAsia" w:eastAsia="仿宋_GB2312"/>
          <w:sz w:val="28"/>
          <w:szCs w:val="28"/>
        </w:rPr>
        <w:t>，如此项工作有缺陷，可酌情扣分。</w:t>
      </w:r>
    </w:p>
    <w:p>
      <w:pPr>
        <w:spacing w:line="560" w:lineRule="exact"/>
        <w:ind w:firstLine="560" w:firstLineChars="200"/>
        <w:rPr>
          <w:rFonts w:eastAsia="仿宋_GB2312"/>
          <w:sz w:val="28"/>
          <w:szCs w:val="28"/>
        </w:rPr>
      </w:pPr>
      <w:r>
        <w:rPr>
          <w:rFonts w:eastAsia="仿宋_GB2312"/>
          <w:sz w:val="28"/>
          <w:szCs w:val="28"/>
        </w:rPr>
        <w:t>5</w:t>
      </w:r>
      <w:r>
        <w:rPr>
          <w:rFonts w:hint="eastAsia" w:eastAsia="仿宋_GB2312"/>
          <w:sz w:val="28"/>
          <w:szCs w:val="28"/>
        </w:rPr>
        <w:t>、项目监理机构监理工作评价等级根据评价得分率分为优秀、良好、一般和差。评价得分率在</w:t>
      </w:r>
      <w:r>
        <w:rPr>
          <w:rFonts w:eastAsia="仿宋_GB2312"/>
          <w:sz w:val="28"/>
          <w:szCs w:val="28"/>
        </w:rPr>
        <w:t>90%</w:t>
      </w:r>
      <w:r>
        <w:rPr>
          <w:rFonts w:hint="eastAsia" w:eastAsia="仿宋_GB2312"/>
          <w:sz w:val="28"/>
          <w:szCs w:val="28"/>
        </w:rPr>
        <w:t>及以上且每张单项表得分率均不低于</w:t>
      </w:r>
      <w:r>
        <w:rPr>
          <w:rFonts w:eastAsia="仿宋_GB2312"/>
          <w:sz w:val="28"/>
          <w:szCs w:val="28"/>
        </w:rPr>
        <w:t>85%</w:t>
      </w:r>
      <w:r>
        <w:rPr>
          <w:rFonts w:hint="eastAsia" w:eastAsia="仿宋_GB2312"/>
          <w:sz w:val="28"/>
          <w:szCs w:val="28"/>
        </w:rPr>
        <w:t>为优秀；得分率在</w:t>
      </w:r>
      <w:r>
        <w:rPr>
          <w:rFonts w:eastAsia="仿宋_GB2312"/>
          <w:sz w:val="28"/>
          <w:szCs w:val="28"/>
        </w:rPr>
        <w:t>80%</w:t>
      </w:r>
      <w:r>
        <w:rPr>
          <w:rFonts w:hint="eastAsia" w:eastAsia="仿宋_GB2312"/>
          <w:sz w:val="28"/>
          <w:szCs w:val="28"/>
        </w:rPr>
        <w:t>及以上、</w:t>
      </w:r>
      <w:r>
        <w:rPr>
          <w:rFonts w:eastAsia="仿宋_GB2312"/>
          <w:sz w:val="28"/>
          <w:szCs w:val="28"/>
        </w:rPr>
        <w:t>90%</w:t>
      </w:r>
      <w:r>
        <w:rPr>
          <w:rFonts w:hint="eastAsia" w:eastAsia="仿宋_GB2312"/>
          <w:sz w:val="28"/>
          <w:szCs w:val="28"/>
        </w:rPr>
        <w:t>以下且每张表得分率均不低于</w:t>
      </w:r>
      <w:r>
        <w:rPr>
          <w:rFonts w:eastAsia="仿宋_GB2312"/>
          <w:sz w:val="28"/>
          <w:szCs w:val="28"/>
        </w:rPr>
        <w:t>75%</w:t>
      </w:r>
      <w:r>
        <w:rPr>
          <w:rFonts w:hint="eastAsia" w:eastAsia="仿宋_GB2312"/>
          <w:sz w:val="28"/>
          <w:szCs w:val="28"/>
        </w:rPr>
        <w:t>为良好；得分率在</w:t>
      </w:r>
      <w:r>
        <w:rPr>
          <w:rFonts w:eastAsia="仿宋_GB2312"/>
          <w:sz w:val="28"/>
          <w:szCs w:val="28"/>
        </w:rPr>
        <w:t>60%</w:t>
      </w:r>
      <w:r>
        <w:rPr>
          <w:rFonts w:hint="eastAsia" w:eastAsia="仿宋_GB2312"/>
          <w:sz w:val="28"/>
          <w:szCs w:val="28"/>
        </w:rPr>
        <w:t>及以上、</w:t>
      </w:r>
      <w:r>
        <w:rPr>
          <w:rFonts w:eastAsia="仿宋_GB2312"/>
          <w:sz w:val="28"/>
          <w:szCs w:val="28"/>
        </w:rPr>
        <w:t>80%</w:t>
      </w:r>
      <w:r>
        <w:rPr>
          <w:rFonts w:hint="eastAsia" w:eastAsia="仿宋_GB2312"/>
          <w:sz w:val="28"/>
          <w:szCs w:val="28"/>
        </w:rPr>
        <w:t>以下的为一般；得分率低于</w:t>
      </w:r>
      <w:r>
        <w:rPr>
          <w:rFonts w:eastAsia="仿宋_GB2312"/>
          <w:sz w:val="28"/>
          <w:szCs w:val="28"/>
        </w:rPr>
        <w:t>60%</w:t>
      </w:r>
      <w:r>
        <w:rPr>
          <w:rFonts w:hint="eastAsia" w:eastAsia="仿宋_GB2312"/>
          <w:sz w:val="28"/>
          <w:szCs w:val="28"/>
        </w:rPr>
        <w:t>的为差。使用时，可根据委托监理的范围、工作内容、工程进度的不同，组合部分单项表或全部单项表进行评价。</w:t>
      </w:r>
    </w:p>
    <w:p>
      <w:pPr>
        <w:spacing w:line="560" w:lineRule="exact"/>
        <w:ind w:firstLine="560" w:firstLineChars="200"/>
        <w:rPr>
          <w:rFonts w:eastAsia="仿宋_GB2312"/>
          <w:sz w:val="28"/>
          <w:szCs w:val="28"/>
        </w:rPr>
      </w:pPr>
      <w:r>
        <w:rPr>
          <w:rFonts w:eastAsia="仿宋_GB2312"/>
          <w:sz w:val="28"/>
          <w:szCs w:val="28"/>
        </w:rPr>
        <w:t>6</w:t>
      </w:r>
      <w:r>
        <w:rPr>
          <w:rFonts w:hint="eastAsia" w:eastAsia="仿宋_GB2312"/>
          <w:sz w:val="28"/>
          <w:szCs w:val="28"/>
        </w:rPr>
        <w:t>、评价项目（表）有合理缺项时，该单项表（评价）得分率按下式计算：</w:t>
      </w:r>
    </w:p>
    <w:p>
      <w:pPr>
        <w:spacing w:line="560" w:lineRule="exact"/>
        <w:ind w:firstLine="560" w:firstLineChars="200"/>
        <w:rPr>
          <w:rFonts w:eastAsia="仿宋_GB2312"/>
          <w:sz w:val="28"/>
          <w:szCs w:val="28"/>
        </w:rPr>
      </w:pPr>
    </w:p>
    <w:tbl>
      <w:tblPr>
        <w:tblStyle w:val="12"/>
        <w:tblW w:w="0" w:type="auto"/>
        <w:jc w:val="center"/>
        <w:tblBorders>
          <w:top w:val="none" w:color="auto" w:sz="0" w:space="0"/>
          <w:left w:val="none" w:color="auto" w:sz="0" w:space="0"/>
          <w:bottom w:val="none" w:color="auto" w:sz="0" w:space="0"/>
          <w:right w:val="none" w:color="auto" w:sz="0" w:space="0"/>
          <w:insideH w:val="single" w:color="000000" w:sz="4" w:space="0"/>
          <w:insideV w:val="none" w:color="auto" w:sz="0" w:space="0"/>
        </w:tblBorders>
        <w:tblLayout w:type="fixed"/>
        <w:tblCellMar>
          <w:top w:w="0" w:type="dxa"/>
          <w:left w:w="108" w:type="dxa"/>
          <w:bottom w:w="0" w:type="dxa"/>
          <w:right w:w="108" w:type="dxa"/>
        </w:tblCellMar>
      </w:tblPr>
      <w:tblGrid>
        <w:gridCol w:w="1644"/>
        <w:gridCol w:w="3918"/>
        <w:gridCol w:w="1380"/>
      </w:tblGrid>
      <w:tr>
        <w:tblPrEx>
          <w:tblBorders>
            <w:top w:val="none" w:color="auto" w:sz="0" w:space="0"/>
            <w:left w:val="none" w:color="auto" w:sz="0" w:space="0"/>
            <w:bottom w:val="none" w:color="auto" w:sz="0" w:space="0"/>
            <w:right w:val="none" w:color="auto" w:sz="0" w:space="0"/>
            <w:insideH w:val="single" w:color="000000" w:sz="4" w:space="0"/>
            <w:insideV w:val="none" w:color="auto" w:sz="0" w:space="0"/>
          </w:tblBorders>
        </w:tblPrEx>
        <w:trPr>
          <w:jc w:val="center"/>
        </w:trPr>
        <w:tc>
          <w:tcPr>
            <w:tcW w:w="1644" w:type="dxa"/>
            <w:vMerge w:val="restart"/>
            <w:noWrap w:val="0"/>
            <w:vAlign w:val="center"/>
          </w:tcPr>
          <w:p>
            <w:pPr>
              <w:spacing w:line="560" w:lineRule="exact"/>
              <w:jc w:val="center"/>
              <w:rPr>
                <w:rFonts w:eastAsia="仿宋" w:cs="仿宋"/>
                <w:sz w:val="28"/>
                <w:szCs w:val="28"/>
              </w:rPr>
            </w:pPr>
            <w:r>
              <w:rPr>
                <w:rFonts w:hint="eastAsia" w:eastAsia="仿宋" w:cs="仿宋"/>
                <w:sz w:val="28"/>
                <w:szCs w:val="28"/>
              </w:rPr>
              <w:t>得分率</w:t>
            </w:r>
            <w:r>
              <w:rPr>
                <w:rFonts w:eastAsia="仿宋" w:cs="仿宋"/>
                <w:sz w:val="28"/>
                <w:szCs w:val="28"/>
              </w:rPr>
              <w:t>=</w:t>
            </w:r>
          </w:p>
        </w:tc>
        <w:tc>
          <w:tcPr>
            <w:tcW w:w="3918" w:type="dxa"/>
            <w:tcBorders>
              <w:top w:val="nil"/>
              <w:left w:val="nil"/>
              <w:bottom w:val="single" w:color="000000" w:sz="4" w:space="0"/>
              <w:right w:val="nil"/>
            </w:tcBorders>
            <w:noWrap w:val="0"/>
            <w:vAlign w:val="top"/>
          </w:tcPr>
          <w:p>
            <w:pPr>
              <w:spacing w:line="560" w:lineRule="exact"/>
              <w:rPr>
                <w:rFonts w:eastAsia="仿宋" w:cs="仿宋"/>
                <w:sz w:val="28"/>
                <w:szCs w:val="28"/>
              </w:rPr>
            </w:pPr>
            <w:r>
              <w:rPr>
                <w:rFonts w:hint="eastAsia" w:eastAsia="仿宋" w:cs="仿宋"/>
                <w:sz w:val="28"/>
                <w:szCs w:val="28"/>
              </w:rPr>
              <w:t>可评分评价项目实得分之和</w:t>
            </w:r>
          </w:p>
        </w:tc>
        <w:tc>
          <w:tcPr>
            <w:tcW w:w="1380" w:type="dxa"/>
            <w:vMerge w:val="restart"/>
            <w:noWrap w:val="0"/>
            <w:vAlign w:val="center"/>
          </w:tcPr>
          <w:p>
            <w:pPr>
              <w:spacing w:line="560" w:lineRule="exact"/>
              <w:rPr>
                <w:sz w:val="28"/>
                <w:szCs w:val="28"/>
              </w:rPr>
            </w:pPr>
            <w:r>
              <w:rPr>
                <w:rFonts w:hint="eastAsia"/>
                <w:sz w:val="28"/>
                <w:szCs w:val="28"/>
              </w:rPr>
              <w:t>×</w:t>
            </w:r>
            <w:r>
              <w:rPr>
                <w:sz w:val="28"/>
                <w:szCs w:val="28"/>
              </w:rPr>
              <w:t>100%</w:t>
            </w:r>
          </w:p>
        </w:tc>
      </w:tr>
      <w:tr>
        <w:tblPrEx>
          <w:tblBorders>
            <w:top w:val="none" w:color="auto" w:sz="0" w:space="0"/>
            <w:left w:val="none" w:color="auto" w:sz="0" w:space="0"/>
            <w:bottom w:val="none" w:color="auto" w:sz="0" w:space="0"/>
            <w:right w:val="none" w:color="auto" w:sz="0" w:space="0"/>
            <w:insideH w:val="single" w:color="000000" w:sz="4" w:space="0"/>
            <w:insideV w:val="none" w:color="auto" w:sz="0" w:space="0"/>
          </w:tblBorders>
          <w:tblCellMar>
            <w:top w:w="0" w:type="dxa"/>
            <w:left w:w="108" w:type="dxa"/>
            <w:bottom w:w="0" w:type="dxa"/>
            <w:right w:w="108" w:type="dxa"/>
          </w:tblCellMar>
        </w:tblPrEx>
        <w:trPr>
          <w:jc w:val="center"/>
        </w:trPr>
        <w:tc>
          <w:tcPr>
            <w:tcW w:w="1644" w:type="dxa"/>
            <w:vMerge w:val="continue"/>
            <w:noWrap w:val="0"/>
            <w:vAlign w:val="center"/>
          </w:tcPr>
          <w:p>
            <w:pPr>
              <w:widowControl/>
              <w:jc w:val="left"/>
              <w:rPr>
                <w:rFonts w:eastAsia="仿宋" w:cs="仿宋"/>
                <w:sz w:val="28"/>
                <w:szCs w:val="28"/>
              </w:rPr>
            </w:pPr>
          </w:p>
        </w:tc>
        <w:tc>
          <w:tcPr>
            <w:tcW w:w="3918" w:type="dxa"/>
            <w:tcBorders>
              <w:top w:val="single" w:color="000000" w:sz="4" w:space="0"/>
              <w:left w:val="nil"/>
              <w:bottom w:val="nil"/>
              <w:right w:val="nil"/>
            </w:tcBorders>
            <w:noWrap w:val="0"/>
            <w:vAlign w:val="top"/>
          </w:tcPr>
          <w:p>
            <w:pPr>
              <w:spacing w:line="560" w:lineRule="exact"/>
              <w:rPr>
                <w:rFonts w:eastAsia="仿宋" w:cs="仿宋"/>
                <w:sz w:val="28"/>
                <w:szCs w:val="28"/>
              </w:rPr>
            </w:pPr>
            <w:r>
              <w:rPr>
                <w:rFonts w:hint="eastAsia" w:eastAsia="仿宋" w:cs="仿宋"/>
                <w:sz w:val="28"/>
                <w:szCs w:val="28"/>
              </w:rPr>
              <w:t>可评分评价项目应得分之和</w:t>
            </w:r>
          </w:p>
        </w:tc>
        <w:tc>
          <w:tcPr>
            <w:tcW w:w="1380" w:type="dxa"/>
            <w:vMerge w:val="continue"/>
            <w:noWrap w:val="0"/>
            <w:vAlign w:val="center"/>
          </w:tcPr>
          <w:p>
            <w:pPr>
              <w:widowControl/>
              <w:jc w:val="left"/>
              <w:rPr>
                <w:sz w:val="28"/>
                <w:szCs w:val="28"/>
              </w:rPr>
            </w:pPr>
          </w:p>
        </w:tc>
      </w:tr>
    </w:tbl>
    <w:p>
      <w:pPr>
        <w:spacing w:line="600" w:lineRule="exact"/>
        <w:rPr>
          <w:rFonts w:eastAsia="仿宋_GB2312"/>
          <w:sz w:val="32"/>
          <w:szCs w:val="32"/>
        </w:rPr>
      </w:pPr>
    </w:p>
    <w:p>
      <w:pPr>
        <w:adjustRightInd w:val="0"/>
        <w:ind w:firstLine="643" w:firstLineChars="200"/>
        <w:rPr>
          <w:b/>
          <w:sz w:val="32"/>
          <w:szCs w:val="32"/>
        </w:rPr>
      </w:pPr>
    </w:p>
    <w:p>
      <w:pPr>
        <w:adjustRightInd w:val="0"/>
        <w:ind w:firstLine="643" w:firstLineChars="200"/>
        <w:rPr>
          <w:b/>
          <w:sz w:val="32"/>
          <w:szCs w:val="32"/>
        </w:rPr>
      </w:pPr>
    </w:p>
    <w:p>
      <w:pPr>
        <w:adjustRightInd w:val="0"/>
        <w:ind w:firstLine="643" w:firstLineChars="200"/>
        <w:rPr>
          <w:b/>
          <w:sz w:val="32"/>
          <w:szCs w:val="32"/>
        </w:rPr>
      </w:pPr>
    </w:p>
    <w:p>
      <w:pPr>
        <w:adjustRightInd w:val="0"/>
        <w:ind w:firstLine="643" w:firstLineChars="200"/>
        <w:rPr>
          <w:b/>
          <w:sz w:val="32"/>
          <w:szCs w:val="32"/>
        </w:rPr>
      </w:pPr>
    </w:p>
    <w:p>
      <w:pPr>
        <w:adjustRightInd w:val="0"/>
        <w:ind w:firstLine="643" w:firstLineChars="200"/>
        <w:rPr>
          <w:b/>
          <w:sz w:val="32"/>
          <w:szCs w:val="32"/>
        </w:rPr>
      </w:pPr>
    </w:p>
    <w:p>
      <w:pPr>
        <w:adjustRightInd w:val="0"/>
        <w:ind w:firstLine="643" w:firstLineChars="200"/>
        <w:rPr>
          <w:b/>
          <w:sz w:val="32"/>
          <w:szCs w:val="32"/>
        </w:rPr>
      </w:pPr>
    </w:p>
    <w:p>
      <w:pPr>
        <w:adjustRightInd w:val="0"/>
        <w:ind w:firstLine="643" w:firstLineChars="200"/>
        <w:rPr>
          <w:b/>
          <w:sz w:val="32"/>
          <w:szCs w:val="32"/>
        </w:rPr>
      </w:pPr>
    </w:p>
    <w:p>
      <w:pPr>
        <w:adjustRightInd w:val="0"/>
        <w:ind w:firstLine="643" w:firstLineChars="200"/>
        <w:rPr>
          <w:b/>
          <w:sz w:val="32"/>
          <w:szCs w:val="32"/>
        </w:rPr>
      </w:pPr>
    </w:p>
    <w:p>
      <w:pPr>
        <w:adjustRightInd w:val="0"/>
        <w:rPr>
          <w:b/>
          <w:sz w:val="32"/>
          <w:szCs w:val="32"/>
        </w:rPr>
      </w:pPr>
    </w:p>
    <w:p>
      <w:pPr>
        <w:widowControl/>
        <w:jc w:val="left"/>
        <w:rPr>
          <w:rFonts w:eastAsia="方正黑体_GBK"/>
          <w:snapToGrid w:val="0"/>
          <w:kern w:val="0"/>
          <w:sz w:val="32"/>
        </w:rPr>
        <w:sectPr>
          <w:pgSz w:w="11906" w:h="16838"/>
          <w:pgMar w:top="1985" w:right="1531" w:bottom="1814" w:left="1531" w:header="720" w:footer="1474" w:gutter="0"/>
          <w:cols w:space="720" w:num="1"/>
        </w:sectPr>
      </w:pPr>
    </w:p>
    <w:p>
      <w:pPr>
        <w:adjustRightInd w:val="0"/>
        <w:spacing w:before="156" w:beforeLines="50"/>
        <w:ind w:firstLine="643" w:firstLineChars="200"/>
        <w:rPr>
          <w:b/>
          <w:sz w:val="32"/>
          <w:szCs w:val="32"/>
        </w:rPr>
      </w:pPr>
      <w:r>
        <w:rPr>
          <w:rFonts w:hint="eastAsia"/>
          <w:b/>
          <w:sz w:val="32"/>
          <w:szCs w:val="32"/>
        </w:rPr>
        <w:t>表</w:t>
      </w:r>
      <w:r>
        <w:rPr>
          <w:b/>
          <w:sz w:val="32"/>
          <w:szCs w:val="32"/>
        </w:rPr>
        <w:t xml:space="preserve">A                         </w:t>
      </w:r>
      <w:r>
        <w:rPr>
          <w:rFonts w:hint="eastAsia"/>
          <w:b/>
          <w:sz w:val="32"/>
          <w:szCs w:val="32"/>
        </w:rPr>
        <w:t>工程施工准备阶段监理工作评价表</w:t>
      </w:r>
      <w:r>
        <w:rPr>
          <w:b/>
          <w:sz w:val="32"/>
          <w:szCs w:val="32"/>
        </w:rPr>
        <w:t xml:space="preserve"> </w:t>
      </w:r>
    </w:p>
    <w:p>
      <w:pPr>
        <w:adjustRightInd w:val="0"/>
        <w:ind w:firstLine="301" w:firstLineChars="200"/>
        <w:rPr>
          <w:b/>
          <w:sz w:val="15"/>
          <w:szCs w:val="15"/>
        </w:rPr>
      </w:pPr>
    </w:p>
    <w:p>
      <w:pPr>
        <w:adjustRightInd w:val="0"/>
        <w:ind w:firstLine="480" w:firstLineChars="200"/>
        <w:rPr>
          <w:sz w:val="24"/>
        </w:rPr>
      </w:pPr>
      <w:r>
        <w:rPr>
          <w:rFonts w:hint="eastAsia"/>
          <w:sz w:val="24"/>
        </w:rPr>
        <w:t>工程项目名称：</w:t>
      </w:r>
      <w:r>
        <w:rPr>
          <w:sz w:val="24"/>
        </w:rPr>
        <w:t xml:space="preserve">                                                     </w:t>
      </w:r>
      <w:r>
        <w:rPr>
          <w:rFonts w:hint="eastAsia"/>
          <w:sz w:val="24"/>
        </w:rPr>
        <w:t>监理单位名称：</w:t>
      </w:r>
      <w:r>
        <w:rPr>
          <w:sz w:val="24"/>
        </w:rPr>
        <w:t xml:space="preserve">                                                              </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7"/>
        <w:gridCol w:w="655"/>
        <w:gridCol w:w="2565"/>
        <w:gridCol w:w="1770"/>
        <w:gridCol w:w="5775"/>
        <w:gridCol w:w="337"/>
        <w:gridCol w:w="630"/>
        <w:gridCol w:w="645"/>
        <w:gridCol w:w="8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ind w:left="105" w:leftChars="50" w:right="-105" w:rightChars="-50"/>
              <w:jc w:val="center"/>
              <w:rPr>
                <w:sz w:val="18"/>
                <w:szCs w:val="18"/>
              </w:rPr>
            </w:pPr>
            <w:r>
              <w:rPr>
                <w:rFonts w:hint="eastAsia"/>
                <w:sz w:val="18"/>
                <w:szCs w:val="18"/>
              </w:rPr>
              <w:t>序号</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ind w:left="105" w:leftChars="50" w:right="-105" w:rightChars="-50"/>
              <w:jc w:val="center"/>
              <w:rPr>
                <w:sz w:val="18"/>
                <w:szCs w:val="18"/>
              </w:rPr>
            </w:pPr>
            <w:r>
              <w:rPr>
                <w:rFonts w:hint="eastAsia"/>
                <w:sz w:val="18"/>
                <w:szCs w:val="18"/>
              </w:rPr>
              <w:t>评价项目</w:t>
            </w: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ind w:left="105" w:leftChars="50" w:right="-105" w:rightChars="-50"/>
              <w:jc w:val="center"/>
              <w:rPr>
                <w:sz w:val="18"/>
                <w:szCs w:val="18"/>
              </w:rPr>
            </w:pPr>
            <w:r>
              <w:rPr>
                <w:rFonts w:hint="eastAsia"/>
                <w:sz w:val="18"/>
                <w:szCs w:val="18"/>
              </w:rPr>
              <w:t>评价内容</w:t>
            </w:r>
          </w:p>
        </w:tc>
        <w:tc>
          <w:tcPr>
            <w:tcW w:w="7882"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ind w:left="105" w:leftChars="50" w:right="-105" w:rightChars="-50"/>
              <w:jc w:val="center"/>
              <w:rPr>
                <w:sz w:val="18"/>
                <w:szCs w:val="18"/>
              </w:rPr>
            </w:pPr>
            <w:r>
              <w:rPr>
                <w:rFonts w:hint="eastAsia"/>
                <w:sz w:val="18"/>
                <w:szCs w:val="18"/>
              </w:rPr>
              <w:t>评分标准</w:t>
            </w:r>
          </w:p>
        </w:tc>
        <w:tc>
          <w:tcPr>
            <w:tcW w:w="20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105" w:leftChars="50" w:right="-105" w:rightChars="-50"/>
              <w:jc w:val="center"/>
              <w:rPr>
                <w:sz w:val="18"/>
                <w:szCs w:val="18"/>
              </w:rPr>
            </w:pPr>
            <w:r>
              <w:rPr>
                <w:rFonts w:hint="eastAsia"/>
                <w:sz w:val="18"/>
                <w:szCs w:val="18"/>
              </w:rPr>
              <w:t>评分（分）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blHeader/>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30" w:type="dxa"/>
            <w:tcBorders>
              <w:top w:val="single" w:color="auto" w:sz="4" w:space="0"/>
              <w:left w:val="single" w:color="auto" w:sz="4" w:space="0"/>
              <w:bottom w:val="single" w:color="auto" w:sz="4" w:space="0"/>
              <w:right w:val="single" w:color="auto" w:sz="4" w:space="0"/>
            </w:tcBorders>
            <w:noWrap w:val="0"/>
            <w:vAlign w:val="center"/>
          </w:tcPr>
          <w:p>
            <w:pPr>
              <w:spacing w:line="220" w:lineRule="exact"/>
              <w:ind w:left="105" w:leftChars="50" w:right="-105" w:rightChars="-50"/>
              <w:jc w:val="center"/>
              <w:rPr>
                <w:sz w:val="18"/>
                <w:szCs w:val="18"/>
              </w:rPr>
            </w:pPr>
            <w:r>
              <w:rPr>
                <w:rFonts w:hint="eastAsia"/>
                <w:sz w:val="18"/>
                <w:szCs w:val="18"/>
              </w:rPr>
              <w:t>应得分</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ind w:left="105" w:leftChars="50" w:right="-105" w:rightChars="-50"/>
              <w:jc w:val="center"/>
              <w:rPr>
                <w:sz w:val="18"/>
                <w:szCs w:val="18"/>
              </w:rPr>
            </w:pPr>
            <w:r>
              <w:rPr>
                <w:rFonts w:hint="eastAsia"/>
                <w:sz w:val="18"/>
                <w:szCs w:val="18"/>
              </w:rPr>
              <w:t>扣减分</w:t>
            </w:r>
          </w:p>
        </w:tc>
        <w:tc>
          <w:tcPr>
            <w:tcW w:w="807" w:type="dxa"/>
            <w:tcBorders>
              <w:top w:val="single" w:color="auto" w:sz="4" w:space="0"/>
              <w:left w:val="single" w:color="auto" w:sz="4" w:space="0"/>
              <w:bottom w:val="single" w:color="auto" w:sz="4" w:space="0"/>
              <w:right w:val="single" w:color="auto" w:sz="4" w:space="0"/>
            </w:tcBorders>
            <w:noWrap w:val="0"/>
            <w:vAlign w:val="center"/>
          </w:tcPr>
          <w:p>
            <w:pPr>
              <w:spacing w:line="220" w:lineRule="exact"/>
              <w:ind w:left="105" w:leftChars="50" w:right="-105" w:rightChars="-50"/>
              <w:jc w:val="center"/>
              <w:rPr>
                <w:sz w:val="18"/>
                <w:szCs w:val="18"/>
              </w:rPr>
            </w:pPr>
            <w:r>
              <w:rPr>
                <w:rFonts w:hint="eastAsia"/>
                <w:sz w:val="18"/>
                <w:szCs w:val="18"/>
              </w:rPr>
              <w:t>实得分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1</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合同与资质</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A.1.1 </w:t>
            </w:r>
            <w:r>
              <w:rPr>
                <w:rFonts w:hint="eastAsia"/>
                <w:sz w:val="18"/>
                <w:szCs w:val="18"/>
              </w:rPr>
              <w:t>监理合同</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现场无监理合同复印件</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2</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A.1.2 </w:t>
            </w:r>
            <w:r>
              <w:rPr>
                <w:rFonts w:hint="eastAsia"/>
                <w:sz w:val="18"/>
                <w:szCs w:val="18"/>
              </w:rPr>
              <w:t>企业资质</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现场无监理单位资质证书、营业执照复印件</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r>
              <w:rPr>
                <w:sz w:val="18"/>
                <w:szCs w:val="18"/>
              </w:rPr>
              <w:t>2</w:t>
            </w:r>
          </w:p>
          <w:p>
            <w:pPr>
              <w:spacing w:line="220" w:lineRule="exact"/>
              <w:rPr>
                <w:sz w:val="18"/>
                <w:szCs w:val="18"/>
              </w:rPr>
            </w:pPr>
          </w:p>
          <w:p>
            <w:pPr>
              <w:spacing w:line="220" w:lineRule="exact"/>
              <w:jc w:val="center"/>
              <w:rPr>
                <w:sz w:val="18"/>
                <w:szCs w:val="18"/>
              </w:rPr>
            </w:pP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组织机构</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A.2.1 </w:t>
            </w:r>
            <w:r>
              <w:rPr>
                <w:rFonts w:hint="eastAsia"/>
                <w:sz w:val="18"/>
                <w:szCs w:val="18"/>
              </w:rPr>
              <w:t>人员配置</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人员配置不符合监理合同或监理规划</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4</w:t>
            </w:r>
            <w:r>
              <w:rPr>
                <w:rFonts w:hint="eastAsia"/>
                <w:sz w:val="18"/>
                <w:szCs w:val="18"/>
              </w:rPr>
              <w:t>分</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r>
              <w:rPr>
                <w:sz w:val="18"/>
                <w:szCs w:val="18"/>
              </w:rPr>
              <w:t>25</w:t>
            </w:r>
          </w:p>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A.2.2 </w:t>
            </w:r>
            <w:r>
              <w:rPr>
                <w:rFonts w:hint="eastAsia"/>
                <w:sz w:val="18"/>
                <w:szCs w:val="18"/>
              </w:rPr>
              <w:t>组织形式</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组织机构形式、职责分工不明确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A.2.3 </w:t>
            </w:r>
            <w:r>
              <w:rPr>
                <w:rFonts w:hint="eastAsia"/>
                <w:sz w:val="18"/>
                <w:szCs w:val="18"/>
              </w:rPr>
              <w:t>专业配置</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专业不对口、不配套</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A.2.4 </w:t>
            </w:r>
            <w:r>
              <w:rPr>
                <w:rFonts w:hint="eastAsia"/>
                <w:sz w:val="18"/>
                <w:szCs w:val="18"/>
              </w:rPr>
              <w:t>总监理工程师</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rFonts w:eastAsia="黑体"/>
                <w:b/>
                <w:sz w:val="18"/>
                <w:szCs w:val="18"/>
              </w:rPr>
            </w:pPr>
            <w:r>
              <w:rPr>
                <w:rFonts w:hint="eastAsia" w:eastAsia="仿宋_GB2312"/>
                <w:sz w:val="18"/>
                <w:szCs w:val="18"/>
              </w:rPr>
              <w:t>▲</w:t>
            </w:r>
            <w:r>
              <w:rPr>
                <w:rFonts w:hint="eastAsia" w:cs="宋体"/>
                <w:bCs/>
                <w:sz w:val="18"/>
                <w:szCs w:val="18"/>
              </w:rPr>
              <w:t>未取得总监理工程师执业资格</w:t>
            </w:r>
            <w:r>
              <w:rPr>
                <w:rFonts w:cs="宋体"/>
                <w:bCs/>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无监理单位法定代表人书面授权、总监理工程师质量终身责任承诺书</w:t>
            </w:r>
            <w:r>
              <w:rPr>
                <w:sz w:val="18"/>
                <w:szCs w:val="18"/>
              </w:rPr>
              <w:t xml:space="preserve">                 </w:t>
            </w:r>
            <w:r>
              <w:rPr>
                <w:rFonts w:hint="eastAsia"/>
                <w:sz w:val="18"/>
                <w:szCs w:val="18"/>
              </w:rPr>
              <w:t>扣</w:t>
            </w:r>
            <w:r>
              <w:rPr>
                <w:sz w:val="18"/>
                <w:szCs w:val="18"/>
              </w:rPr>
              <w:t>3</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变更无相关手续</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到岗明显低于监理合同约定；对监理工作不熟悉</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A.2.5 </w:t>
            </w:r>
            <w:r>
              <w:rPr>
                <w:rFonts w:hint="eastAsia"/>
                <w:sz w:val="18"/>
                <w:szCs w:val="18"/>
              </w:rPr>
              <w:t>其他监理人员</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现场监理人员不符合规定要求</w:t>
            </w:r>
            <w:r>
              <w:rPr>
                <w:sz w:val="18"/>
                <w:szCs w:val="18"/>
              </w:rPr>
              <w:t xml:space="preserve">                                    </w:t>
            </w:r>
            <w:r>
              <w:rPr>
                <w:rFonts w:hint="eastAsia"/>
                <w:sz w:val="18"/>
                <w:szCs w:val="18"/>
              </w:rPr>
              <w:t>共</w:t>
            </w:r>
            <w:r>
              <w:rPr>
                <w:sz w:val="18"/>
                <w:szCs w:val="18"/>
              </w:rPr>
              <w:t>6</w:t>
            </w:r>
            <w:r>
              <w:rPr>
                <w:rFonts w:hint="eastAsia"/>
                <w:sz w:val="18"/>
                <w:szCs w:val="18"/>
              </w:rPr>
              <w:t>分，每少一人扣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超越职责范围行使职权</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3</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监理设施</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A.3.1 </w:t>
            </w:r>
            <w:r>
              <w:rPr>
                <w:rFonts w:hint="eastAsia"/>
                <w:sz w:val="18"/>
                <w:szCs w:val="18"/>
              </w:rPr>
              <w:t>标准、规范</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现场不能提供工作需要的标准、图集等</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5</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A.3.2 </w:t>
            </w:r>
            <w:r>
              <w:rPr>
                <w:rFonts w:hint="eastAsia"/>
                <w:sz w:val="18"/>
                <w:szCs w:val="18"/>
              </w:rPr>
              <w:t>检测设备、工器具</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6660" w:hanging="6660" w:hangingChars="3700"/>
              <w:rPr>
                <w:sz w:val="18"/>
                <w:szCs w:val="18"/>
              </w:rPr>
            </w:pPr>
            <w:r>
              <w:rPr>
                <w:rFonts w:hint="eastAsia"/>
                <w:sz w:val="18"/>
                <w:szCs w:val="18"/>
              </w:rPr>
              <w:t>检测设备和工器具不能满足现场监理工作需要；设备检定证书过期</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2</w:t>
            </w:r>
            <w:r>
              <w:rPr>
                <w:rFonts w:hint="eastAsia"/>
                <w:sz w:val="18"/>
                <w:szCs w:val="18"/>
              </w:rPr>
              <w:t>分</w:t>
            </w:r>
            <w:r>
              <w:rPr>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A.3.3 </w:t>
            </w:r>
            <w:r>
              <w:rPr>
                <w:rFonts w:hint="eastAsia"/>
                <w:sz w:val="18"/>
                <w:szCs w:val="18"/>
              </w:rPr>
              <w:t>办公设施</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现场办公设施不能满足监理工作需要</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r>
              <w:rPr>
                <w:sz w:val="18"/>
                <w:szCs w:val="18"/>
              </w:rPr>
              <w:t>4</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r>
              <w:rPr>
                <w:rFonts w:hint="eastAsia"/>
                <w:sz w:val="18"/>
                <w:szCs w:val="18"/>
              </w:rPr>
              <w:t>监理规划与实施细则</w:t>
            </w: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p>
          <w:p>
            <w:pPr>
              <w:spacing w:line="220" w:lineRule="exact"/>
              <w:rPr>
                <w:sz w:val="18"/>
                <w:szCs w:val="18"/>
              </w:rPr>
            </w:pPr>
          </w:p>
          <w:p>
            <w:pPr>
              <w:spacing w:line="220" w:lineRule="exact"/>
              <w:rPr>
                <w:sz w:val="18"/>
                <w:szCs w:val="18"/>
              </w:rPr>
            </w:pPr>
            <w:r>
              <w:rPr>
                <w:sz w:val="18"/>
                <w:szCs w:val="18"/>
              </w:rPr>
              <w:t xml:space="preserve">A.4.1 </w:t>
            </w:r>
            <w:r>
              <w:rPr>
                <w:rFonts w:hint="eastAsia"/>
                <w:sz w:val="18"/>
                <w:szCs w:val="18"/>
              </w:rPr>
              <w:t>监理规划</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rFonts w:eastAsia="黑体"/>
                <w:b/>
                <w:sz w:val="18"/>
                <w:szCs w:val="18"/>
              </w:rPr>
            </w:pPr>
            <w:r>
              <w:rPr>
                <w:rFonts w:hint="eastAsia" w:eastAsia="仿宋_GB2312"/>
                <w:sz w:val="18"/>
                <w:szCs w:val="18"/>
              </w:rPr>
              <w:t>▲</w:t>
            </w:r>
            <w:r>
              <w:rPr>
                <w:rFonts w:hint="eastAsia"/>
                <w:sz w:val="18"/>
                <w:szCs w:val="18"/>
              </w:rPr>
              <w:t>未编制监理规划</w:t>
            </w:r>
            <w:r>
              <w:rPr>
                <w:sz w:val="18"/>
                <w:szCs w:val="18"/>
              </w:rPr>
              <w:t xml:space="preserve">                                                           </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r>
              <w:rPr>
                <w:sz w:val="18"/>
                <w:szCs w:val="18"/>
              </w:rPr>
              <w:t>20</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编审程序不符合要求；未在第一次工地会议前报建设单位</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内容不符合监理规范的要求，时效性、针对性、指导性差</w:t>
            </w:r>
            <w:r>
              <w:rPr>
                <w:sz w:val="18"/>
                <w:szCs w:val="18"/>
              </w:rPr>
              <w:t xml:space="preserve">                          </w:t>
            </w:r>
            <w:r>
              <w:rPr>
                <w:rFonts w:hint="eastAsia"/>
                <w:sz w:val="18"/>
                <w:szCs w:val="18"/>
              </w:rPr>
              <w:t>扣</w:t>
            </w:r>
            <w:r>
              <w:rPr>
                <w:sz w:val="18"/>
                <w:szCs w:val="18"/>
              </w:rPr>
              <w:t>1</w:t>
            </w:r>
            <w:r>
              <w:rPr>
                <w:rFonts w:hint="eastAsia" w:cs="宋体"/>
                <w:sz w:val="18"/>
                <w:szCs w:val="18"/>
              </w:rPr>
              <w:t>～</w:t>
            </w:r>
            <w:r>
              <w:rPr>
                <w:rFonts w:cs="宋体"/>
                <w:sz w:val="18"/>
                <w:szCs w:val="18"/>
              </w:rPr>
              <w:t>4</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shd w:val="clear" w:color="auto" w:fill="D9D9D9"/>
              </w:rPr>
            </w:pPr>
            <w:r>
              <w:rPr>
                <w:rFonts w:hint="eastAsia"/>
                <w:sz w:val="18"/>
                <w:szCs w:val="18"/>
              </w:rPr>
              <w:t>规划中未制定监理人员进退场计划</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A.4.2  </w:t>
            </w:r>
            <w:r>
              <w:rPr>
                <w:rFonts w:hint="eastAsia"/>
                <w:sz w:val="18"/>
                <w:szCs w:val="18"/>
              </w:rPr>
              <w:t>实施细则</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5310" w:hanging="5310" w:hangingChars="2950"/>
              <w:rPr>
                <w:sz w:val="18"/>
                <w:szCs w:val="18"/>
              </w:rPr>
            </w:pPr>
            <w:r>
              <w:rPr>
                <w:rFonts w:hint="eastAsia" w:eastAsia="仿宋_GB2312"/>
                <w:sz w:val="18"/>
                <w:szCs w:val="18"/>
              </w:rPr>
              <w:t>▲</w:t>
            </w:r>
            <w:r>
              <w:rPr>
                <w:rFonts w:hint="eastAsia"/>
                <w:sz w:val="18"/>
                <w:szCs w:val="18"/>
              </w:rPr>
              <w:t>未按规定编制危险性较大分部分项工程监理实施细则</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未按规定编制监理工作需要的其他监理实施细则</w:t>
            </w:r>
            <w:r>
              <w:rPr>
                <w:sz w:val="18"/>
                <w:szCs w:val="18"/>
              </w:rPr>
              <w:t xml:space="preserve">                     </w:t>
            </w:r>
            <w:r>
              <w:rPr>
                <w:rFonts w:hint="eastAsia"/>
                <w:sz w:val="18"/>
                <w:szCs w:val="18"/>
              </w:rPr>
              <w:t>共</w:t>
            </w:r>
            <w:r>
              <w:rPr>
                <w:sz w:val="18"/>
                <w:szCs w:val="18"/>
              </w:rPr>
              <w:t>6</w:t>
            </w:r>
            <w:r>
              <w:rPr>
                <w:rFonts w:hint="eastAsia"/>
                <w:sz w:val="18"/>
                <w:szCs w:val="18"/>
              </w:rPr>
              <w:t>分，每缺一项扣</w:t>
            </w:r>
            <w:r>
              <w:rPr>
                <w:sz w:val="18"/>
                <w:szCs w:val="18"/>
              </w:rPr>
              <w:t>2</w:t>
            </w:r>
            <w:r>
              <w:rPr>
                <w:rFonts w:hint="eastAsia"/>
                <w:sz w:val="18"/>
                <w:szCs w:val="18"/>
              </w:rPr>
              <w:t>分</w:t>
            </w:r>
            <w:r>
              <w:rPr>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5310" w:hanging="5310" w:hangingChars="2950"/>
              <w:rPr>
                <w:sz w:val="18"/>
                <w:szCs w:val="18"/>
              </w:rPr>
            </w:pPr>
            <w:r>
              <w:rPr>
                <w:rFonts w:hint="eastAsia"/>
                <w:sz w:val="18"/>
                <w:szCs w:val="18"/>
              </w:rPr>
              <w:t>编审程序不符合要求</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内容不符合监理规范要求，时效性、针对性、可操作性差</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4</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5</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图纸会审与设计交底</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A.5.1 </w:t>
            </w:r>
            <w:r>
              <w:rPr>
                <w:rFonts w:hint="eastAsia"/>
                <w:sz w:val="18"/>
                <w:szCs w:val="18"/>
              </w:rPr>
              <w:t>图纸验证</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未留存勘察设计文件审查合格证书复印件；勘察设计文件未经审查机构审查合格已施工，监理未正确处置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5</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A.5.2</w:t>
            </w:r>
            <w:r>
              <w:rPr>
                <w:rFonts w:hint="eastAsia"/>
                <w:sz w:val="18"/>
                <w:szCs w:val="18"/>
              </w:rPr>
              <w:t>熟悉设计文件</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未对设计文件中存在的问题提出书面意见</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A.5.3</w:t>
            </w:r>
            <w:r>
              <w:rPr>
                <w:rFonts w:hint="eastAsia"/>
                <w:sz w:val="18"/>
                <w:szCs w:val="18"/>
              </w:rPr>
              <w:t>会议纪要</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6840" w:hanging="6840" w:hangingChars="3800"/>
              <w:rPr>
                <w:sz w:val="18"/>
                <w:szCs w:val="18"/>
              </w:rPr>
            </w:pPr>
            <w:r>
              <w:rPr>
                <w:rFonts w:hint="eastAsia"/>
                <w:sz w:val="18"/>
                <w:szCs w:val="18"/>
              </w:rPr>
              <w:t>未参加图纸会审与设计交底会议；未及时整理并签发会议纪要；会审记录无相关单位有效签认手</w:t>
            </w:r>
          </w:p>
          <w:p>
            <w:pPr>
              <w:spacing w:line="220" w:lineRule="exact"/>
              <w:ind w:left="6840" w:hanging="6840" w:hangingChars="3800"/>
              <w:rPr>
                <w:sz w:val="18"/>
                <w:szCs w:val="18"/>
              </w:rPr>
            </w:pPr>
            <w:r>
              <w:rPr>
                <w:rFonts w:hint="eastAsia"/>
                <w:sz w:val="18"/>
                <w:szCs w:val="18"/>
              </w:rPr>
              <w:t>续，监理未正确处置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6</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第一次工地会议</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A.6.1</w:t>
            </w:r>
            <w:r>
              <w:rPr>
                <w:rFonts w:hint="eastAsia"/>
                <w:sz w:val="18"/>
                <w:szCs w:val="18"/>
              </w:rPr>
              <w:t>参加人员</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总监理工程师、专业监理工程师未参加</w:t>
            </w:r>
            <w:r>
              <w:rPr>
                <w:sz w:val="18"/>
                <w:szCs w:val="18"/>
              </w:rPr>
              <w:t xml:space="preserve">                             </w:t>
            </w:r>
            <w:r>
              <w:rPr>
                <w:rFonts w:hint="eastAsia"/>
                <w:sz w:val="18"/>
                <w:szCs w:val="18"/>
              </w:rPr>
              <w:t>共</w:t>
            </w:r>
            <w:r>
              <w:rPr>
                <w:sz w:val="18"/>
                <w:szCs w:val="18"/>
              </w:rPr>
              <w:t>2</w:t>
            </w:r>
            <w:r>
              <w:rPr>
                <w:rFonts w:hint="eastAsia"/>
                <w:sz w:val="18"/>
                <w:szCs w:val="18"/>
              </w:rPr>
              <w:t>分，每缺一人扣</w:t>
            </w:r>
            <w:r>
              <w:rPr>
                <w:sz w:val="18"/>
                <w:szCs w:val="18"/>
              </w:rPr>
              <w:t>1</w:t>
            </w:r>
            <w:r>
              <w:rPr>
                <w:rFonts w:hint="eastAsia"/>
                <w:sz w:val="18"/>
                <w:szCs w:val="18"/>
              </w:rPr>
              <w:t>分</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10</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A.6.2</w:t>
            </w:r>
            <w:r>
              <w:rPr>
                <w:rFonts w:hint="eastAsia"/>
                <w:sz w:val="18"/>
                <w:szCs w:val="18"/>
              </w:rPr>
              <w:t>监理交底</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未介绍监理规划中主要内容；监理交底不到位</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3</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A.6.3</w:t>
            </w:r>
            <w:r>
              <w:rPr>
                <w:rFonts w:hint="eastAsia"/>
                <w:sz w:val="18"/>
                <w:szCs w:val="18"/>
              </w:rPr>
              <w:t>建议与要求</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未对施工准备情况提出意见和要求</w:t>
            </w:r>
            <w:r>
              <w:rPr>
                <w:sz w:val="18"/>
                <w:szCs w:val="18"/>
              </w:rPr>
              <w:t xml:space="preserve">                                                </w:t>
            </w:r>
            <w:r>
              <w:rPr>
                <w:rFonts w:hint="eastAsia"/>
                <w:sz w:val="18"/>
                <w:szCs w:val="18"/>
              </w:rPr>
              <w:t>扣</w:t>
            </w:r>
            <w:r>
              <w:rPr>
                <w:sz w:val="18"/>
                <w:szCs w:val="18"/>
              </w:rPr>
              <w:t>3</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A.6.4</w:t>
            </w:r>
            <w:r>
              <w:rPr>
                <w:rFonts w:hint="eastAsia"/>
                <w:sz w:val="18"/>
                <w:szCs w:val="18"/>
              </w:rPr>
              <w:t>会议纪要</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未及时整理并签发会议纪要；会议纪要各方会签手续不齐全</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7</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施工单位质量、安全保证体系</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A.7.1</w:t>
            </w:r>
            <w:r>
              <w:rPr>
                <w:rFonts w:hint="eastAsia"/>
                <w:sz w:val="18"/>
                <w:szCs w:val="18"/>
              </w:rPr>
              <w:t>施工单位资质证书、安全生产许可证</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7020" w:hanging="7020" w:hangingChars="3900"/>
              <w:jc w:val="left"/>
              <w:rPr>
                <w:sz w:val="18"/>
                <w:szCs w:val="18"/>
              </w:rPr>
            </w:pPr>
            <w:r>
              <w:rPr>
                <w:rFonts w:hint="eastAsia"/>
                <w:sz w:val="18"/>
                <w:szCs w:val="18"/>
              </w:rPr>
              <w:t>未审查施工单位的资质证书、安全生产许可证；资质证书、安全生产许可证过期，监理未正确处</w:t>
            </w:r>
          </w:p>
          <w:p>
            <w:pPr>
              <w:spacing w:line="220" w:lineRule="exact"/>
              <w:ind w:left="7020" w:hanging="7020" w:hangingChars="3900"/>
              <w:jc w:val="left"/>
              <w:rPr>
                <w:sz w:val="18"/>
                <w:szCs w:val="18"/>
              </w:rPr>
            </w:pPr>
            <w:r>
              <w:rPr>
                <w:rFonts w:hint="eastAsia"/>
                <w:sz w:val="18"/>
                <w:szCs w:val="18"/>
              </w:rPr>
              <w:t>置</w:t>
            </w:r>
            <w:r>
              <w:rPr>
                <w:sz w:val="18"/>
                <w:szCs w:val="18"/>
              </w:rPr>
              <w:t xml:space="preserve">                                                                            </w:t>
            </w:r>
            <w:r>
              <w:rPr>
                <w:rFonts w:hint="eastAsia"/>
                <w:sz w:val="18"/>
                <w:szCs w:val="18"/>
              </w:rPr>
              <w:t>扣</w:t>
            </w:r>
            <w:r>
              <w:rPr>
                <w:sz w:val="18"/>
                <w:szCs w:val="18"/>
              </w:rPr>
              <w:t>2</w:t>
            </w:r>
            <w:r>
              <w:rPr>
                <w:rFonts w:hint="eastAsia"/>
                <w:sz w:val="18"/>
                <w:szCs w:val="18"/>
              </w:rPr>
              <w:t>分</w:t>
            </w:r>
            <w:r>
              <w:rPr>
                <w:sz w:val="18"/>
                <w:szCs w:val="18"/>
              </w:rPr>
              <w:t xml:space="preserve">                                   </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25</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A.7.2</w:t>
            </w:r>
            <w:r>
              <w:rPr>
                <w:rFonts w:hint="eastAsia"/>
                <w:sz w:val="18"/>
                <w:szCs w:val="18"/>
              </w:rPr>
              <w:t>质量、安全管理组织机构审查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6660" w:hanging="6660" w:hangingChars="3700"/>
              <w:jc w:val="left"/>
              <w:rPr>
                <w:sz w:val="18"/>
                <w:szCs w:val="18"/>
              </w:rPr>
            </w:pPr>
            <w:r>
              <w:rPr>
                <w:rFonts w:hint="eastAsia"/>
                <w:sz w:val="18"/>
                <w:szCs w:val="18"/>
              </w:rPr>
              <w:t>未审查项目组织机构和人员配置；组织机构、人员配置不符合要求，监理未正确处置</w:t>
            </w:r>
            <w:r>
              <w:rPr>
                <w:sz w:val="18"/>
                <w:szCs w:val="18"/>
              </w:rPr>
              <w:t xml:space="preserve">  </w:t>
            </w:r>
          </w:p>
          <w:p>
            <w:pPr>
              <w:spacing w:line="220" w:lineRule="exact"/>
              <w:ind w:firstLine="6750" w:firstLineChars="3750"/>
              <w:jc w:val="left"/>
              <w:rPr>
                <w:sz w:val="18"/>
                <w:szCs w:val="18"/>
              </w:rPr>
            </w:pPr>
            <w:r>
              <w:rPr>
                <w:rFonts w:hint="eastAsia"/>
                <w:sz w:val="18"/>
                <w:szCs w:val="18"/>
              </w:rPr>
              <w:t>扣</w:t>
            </w:r>
            <w:r>
              <w:rPr>
                <w:sz w:val="18"/>
                <w:szCs w:val="18"/>
              </w:rPr>
              <w:t>1</w:t>
            </w:r>
            <w:r>
              <w:rPr>
                <w:rFonts w:hint="eastAsia" w:cs="宋体"/>
                <w:sz w:val="18"/>
                <w:szCs w:val="18"/>
              </w:rPr>
              <w:t>～</w:t>
            </w:r>
            <w:r>
              <w:rPr>
                <w:sz w:val="18"/>
                <w:szCs w:val="18"/>
              </w:rPr>
              <w:t>4</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pacing w:val="-4"/>
                <w:sz w:val="18"/>
                <w:szCs w:val="18"/>
              </w:rPr>
              <w:t>A.7.3</w:t>
            </w:r>
            <w:r>
              <w:rPr>
                <w:rFonts w:hint="eastAsia"/>
                <w:spacing w:val="-4"/>
                <w:sz w:val="18"/>
                <w:szCs w:val="18"/>
              </w:rPr>
              <w:t>质量、安全管理制度审查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6570" w:hanging="6570" w:hangingChars="3650"/>
              <w:rPr>
                <w:sz w:val="18"/>
                <w:szCs w:val="18"/>
              </w:rPr>
            </w:pPr>
            <w:r>
              <w:rPr>
                <w:rFonts w:hint="eastAsia"/>
                <w:sz w:val="18"/>
                <w:szCs w:val="18"/>
              </w:rPr>
              <w:t>未审查施工单位质量、安全管理制度；质量、安全管理制度不全，监理未正确处置</w:t>
            </w:r>
          </w:p>
          <w:p>
            <w:pPr>
              <w:spacing w:line="220" w:lineRule="exact"/>
              <w:ind w:left="6570" w:hanging="6570" w:hangingChars="3650"/>
              <w:jc w:val="right"/>
              <w:rPr>
                <w:sz w:val="18"/>
                <w:szCs w:val="18"/>
              </w:rPr>
            </w:pP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4</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A.7.4</w:t>
            </w:r>
            <w:r>
              <w:rPr>
                <w:rFonts w:hint="eastAsia"/>
                <w:sz w:val="18"/>
                <w:szCs w:val="18"/>
              </w:rPr>
              <w:t>质量管理人员资格审查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未对项目组织机构主要管理人员（项目负责人、技术负责人、质量员、施工员等）岗位资格证书进行审核；岗位资格证书不符合要求，监理未正确处置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rFonts w:cs="宋体"/>
                <w:sz w:val="18"/>
                <w:szCs w:val="18"/>
              </w:rPr>
              <w:t>5</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A.7.5</w:t>
            </w:r>
            <w:r>
              <w:rPr>
                <w:rFonts w:hint="eastAsia"/>
                <w:sz w:val="18"/>
                <w:szCs w:val="18"/>
              </w:rPr>
              <w:t>项目负责人、专职安全员审查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6570" w:hanging="6570" w:hangingChars="3650"/>
              <w:rPr>
                <w:sz w:val="18"/>
                <w:szCs w:val="18"/>
              </w:rPr>
            </w:pPr>
            <w:r>
              <w:rPr>
                <w:rFonts w:hint="eastAsia"/>
                <w:sz w:val="18"/>
                <w:szCs w:val="18"/>
              </w:rPr>
              <w:t>未对项目负责人</w:t>
            </w:r>
            <w:r>
              <w:rPr>
                <w:sz w:val="18"/>
                <w:szCs w:val="18"/>
              </w:rPr>
              <w:t>B</w:t>
            </w:r>
            <w:r>
              <w:rPr>
                <w:rFonts w:hint="eastAsia"/>
                <w:sz w:val="18"/>
                <w:szCs w:val="18"/>
              </w:rPr>
              <w:t>证、专职安全员</w:t>
            </w:r>
            <w:r>
              <w:rPr>
                <w:sz w:val="18"/>
                <w:szCs w:val="18"/>
              </w:rPr>
              <w:t>C</w:t>
            </w:r>
            <w:r>
              <w:rPr>
                <w:rFonts w:hint="eastAsia"/>
                <w:sz w:val="18"/>
                <w:szCs w:val="18"/>
              </w:rPr>
              <w:t>证进行审核；专职安全员配备不足，或</w:t>
            </w:r>
            <w:r>
              <w:rPr>
                <w:sz w:val="18"/>
                <w:szCs w:val="18"/>
              </w:rPr>
              <w:t>B</w:t>
            </w:r>
            <w:r>
              <w:rPr>
                <w:rFonts w:hint="eastAsia"/>
                <w:sz w:val="18"/>
                <w:szCs w:val="18"/>
              </w:rPr>
              <w:t>、</w:t>
            </w:r>
            <w:r>
              <w:rPr>
                <w:sz w:val="18"/>
                <w:szCs w:val="18"/>
              </w:rPr>
              <w:t>C</w:t>
            </w:r>
            <w:r>
              <w:rPr>
                <w:rFonts w:hint="eastAsia"/>
                <w:sz w:val="18"/>
                <w:szCs w:val="18"/>
              </w:rPr>
              <w:t>类证书过期，</w:t>
            </w:r>
          </w:p>
          <w:p>
            <w:pPr>
              <w:spacing w:line="220" w:lineRule="exact"/>
              <w:ind w:left="6570" w:hanging="6570" w:hangingChars="3650"/>
              <w:rPr>
                <w:sz w:val="18"/>
                <w:szCs w:val="18"/>
              </w:rPr>
            </w:pPr>
            <w:r>
              <w:rPr>
                <w:rFonts w:hint="eastAsia"/>
                <w:sz w:val="18"/>
                <w:szCs w:val="18"/>
              </w:rPr>
              <w:t>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rFonts w:cs="宋体"/>
                <w:sz w:val="18"/>
                <w:szCs w:val="18"/>
              </w:rPr>
              <w:t>5</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A.7.6</w:t>
            </w:r>
            <w:r>
              <w:rPr>
                <w:rFonts w:hint="eastAsia"/>
                <w:sz w:val="18"/>
                <w:szCs w:val="18"/>
              </w:rPr>
              <w:t>特种作业人员操作资格证书审查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未对特种作业人员操作资格证书进行审核；操作资格证书过期，监理未正确处置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5</w:t>
            </w:r>
            <w:r>
              <w:rPr>
                <w:rFonts w:hint="eastAsia"/>
                <w:sz w:val="18"/>
                <w:szCs w:val="18"/>
              </w:rPr>
              <w:t>分</w:t>
            </w:r>
            <w:r>
              <w:rPr>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r>
              <w:rPr>
                <w:sz w:val="18"/>
                <w:szCs w:val="18"/>
              </w:rPr>
              <w:t>8</w:t>
            </w:r>
          </w:p>
          <w:p>
            <w:pPr>
              <w:spacing w:line="220" w:lineRule="exact"/>
              <w:rPr>
                <w:sz w:val="18"/>
                <w:szCs w:val="18"/>
              </w:rPr>
            </w:pP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r>
              <w:rPr>
                <w:rFonts w:hint="eastAsia"/>
                <w:sz w:val="18"/>
                <w:szCs w:val="18"/>
              </w:rPr>
              <w:t>施工组织设计与（专项）施工方案</w:t>
            </w: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A.8.1 </w:t>
            </w:r>
            <w:r>
              <w:rPr>
                <w:rFonts w:hint="eastAsia"/>
                <w:sz w:val="18"/>
                <w:szCs w:val="18"/>
              </w:rPr>
              <w:t>程序审查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eastAsia="仿宋_GB2312"/>
                <w:sz w:val="18"/>
                <w:szCs w:val="18"/>
              </w:rPr>
              <w:t>▲</w:t>
            </w:r>
            <w:r>
              <w:rPr>
                <w:rFonts w:hint="eastAsia"/>
                <w:sz w:val="18"/>
                <w:szCs w:val="18"/>
              </w:rPr>
              <w:t>未对施工组织设计或危险性较大的分部分项工程专项施工方案进行审查</w:t>
            </w:r>
            <w:r>
              <w:rPr>
                <w:sz w:val="18"/>
                <w:szCs w:val="18"/>
              </w:rPr>
              <w:t xml:space="preserve">           </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p>
          <w:p>
            <w:pPr>
              <w:spacing w:line="220" w:lineRule="exact"/>
              <w:jc w:val="center"/>
              <w:rPr>
                <w:sz w:val="18"/>
                <w:szCs w:val="18"/>
              </w:rPr>
            </w:pPr>
            <w:r>
              <w:rPr>
                <w:sz w:val="18"/>
                <w:szCs w:val="18"/>
              </w:rPr>
              <w:t>20</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rFonts w:eastAsia="仿宋_GB2312"/>
                <w:sz w:val="18"/>
                <w:szCs w:val="18"/>
              </w:rPr>
            </w:pPr>
            <w:r>
              <w:rPr>
                <w:rFonts w:hint="eastAsia" w:eastAsia="仿宋_GB2312"/>
                <w:sz w:val="18"/>
                <w:szCs w:val="18"/>
              </w:rPr>
              <w:t>▲</w:t>
            </w:r>
            <w:r>
              <w:rPr>
                <w:rFonts w:hint="eastAsia"/>
                <w:sz w:val="18"/>
                <w:szCs w:val="18"/>
              </w:rPr>
              <w:t>超过一定规模危险性较大分部分项工程专项施工方案未经专家论证，监理未正确处置</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rFonts w:eastAsia="仿宋_GB2312"/>
                <w:sz w:val="18"/>
                <w:szCs w:val="18"/>
              </w:rPr>
            </w:pPr>
            <w:r>
              <w:rPr>
                <w:rFonts w:hint="eastAsia"/>
                <w:sz w:val="18"/>
                <w:szCs w:val="18"/>
              </w:rPr>
              <w:t>未对除施工组织设计和专项施工方案外的其他施工方案进行审查</w:t>
            </w:r>
            <w:r>
              <w:rPr>
                <w:sz w:val="18"/>
                <w:szCs w:val="18"/>
              </w:rPr>
              <w:t xml:space="preserve">      </w:t>
            </w:r>
            <w:r>
              <w:rPr>
                <w:rFonts w:hint="eastAsia"/>
                <w:sz w:val="18"/>
                <w:szCs w:val="18"/>
              </w:rPr>
              <w:t>共</w:t>
            </w:r>
            <w:r>
              <w:rPr>
                <w:sz w:val="18"/>
                <w:szCs w:val="18"/>
              </w:rPr>
              <w:t>4</w:t>
            </w:r>
            <w:r>
              <w:rPr>
                <w:rFonts w:hint="eastAsia"/>
                <w:sz w:val="18"/>
                <w:szCs w:val="18"/>
              </w:rPr>
              <w:t>分，每缺一项扣</w:t>
            </w:r>
            <w:r>
              <w:rPr>
                <w:sz w:val="18"/>
                <w:szCs w:val="18"/>
              </w:rPr>
              <w:t>2</w:t>
            </w:r>
            <w:r>
              <w:rPr>
                <w:rFonts w:hint="eastAsia"/>
                <w:sz w:val="18"/>
                <w:szCs w:val="18"/>
              </w:rPr>
              <w:t>分</w:t>
            </w:r>
            <w:r>
              <w:rPr>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施工组织设计或（专项）施工方案报审、审批程序不符合要求，监理未正确处置</w:t>
            </w:r>
            <w:r>
              <w:rPr>
                <w:sz w:val="18"/>
                <w:szCs w:val="18"/>
              </w:rPr>
              <w:t xml:space="preserve">         </w:t>
            </w:r>
            <w:r>
              <w:rPr>
                <w:rFonts w:hint="eastAsia"/>
                <w:sz w:val="18"/>
                <w:szCs w:val="18"/>
              </w:rPr>
              <w:t>扣</w:t>
            </w:r>
            <w:r>
              <w:rPr>
                <w:sz w:val="18"/>
                <w:szCs w:val="18"/>
              </w:rPr>
              <w:t>2</w:t>
            </w:r>
            <w:r>
              <w:rPr>
                <w:rFonts w:hint="eastAsia"/>
                <w:sz w:val="18"/>
                <w:szCs w:val="18"/>
              </w:rPr>
              <w:t>分</w:t>
            </w:r>
            <w:r>
              <w:rPr>
                <w:color w:val="FF0000"/>
                <w:sz w:val="18"/>
                <w:szCs w:val="18"/>
              </w:rPr>
              <w:t xml:space="preserve"> </w:t>
            </w:r>
            <w:r>
              <w:rPr>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A.8.2</w:t>
            </w:r>
            <w:r>
              <w:rPr>
                <w:rFonts w:hint="eastAsia"/>
                <w:sz w:val="18"/>
                <w:szCs w:val="18"/>
              </w:rPr>
              <w:t>强制性条文审查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cs="宋体"/>
                <w:sz w:val="18"/>
                <w:szCs w:val="18"/>
              </w:rPr>
              <w:t>有违反强制性条文的内容，监理未正确处置</w:t>
            </w:r>
            <w:r>
              <w:rPr>
                <w:rFonts w:eastAsia="黑体"/>
                <w:b/>
                <w:sz w:val="18"/>
                <w:szCs w:val="18"/>
              </w:rPr>
              <w:t xml:space="preserve">                                  </w:t>
            </w:r>
            <w:r>
              <w:rPr>
                <w:rFonts w:cs="宋体"/>
                <w:sz w:val="18"/>
                <w:szCs w:val="18"/>
              </w:rPr>
              <w:t xml:space="preserve">      </w:t>
            </w:r>
            <w:r>
              <w:rPr>
                <w:rFonts w:hint="eastAsia" w:cs="宋体"/>
                <w:sz w:val="18"/>
                <w:szCs w:val="18"/>
              </w:rPr>
              <w:t>扣</w:t>
            </w:r>
            <w:r>
              <w:rPr>
                <w:rFonts w:cs="宋体"/>
                <w:sz w:val="18"/>
                <w:szCs w:val="18"/>
              </w:rPr>
              <w:t>3</w:t>
            </w:r>
            <w:r>
              <w:rPr>
                <w:rFonts w:hint="eastAsia"/>
                <w:bCs/>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A.8.3 </w:t>
            </w:r>
            <w:r>
              <w:rPr>
                <w:rFonts w:hint="eastAsia"/>
                <w:sz w:val="18"/>
                <w:szCs w:val="18"/>
              </w:rPr>
              <w:t>针对性审查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eastAsia="仿宋_GB2312"/>
                <w:sz w:val="18"/>
                <w:szCs w:val="18"/>
              </w:rPr>
              <w:t>▲</w:t>
            </w:r>
            <w:r>
              <w:rPr>
                <w:rFonts w:hint="eastAsia"/>
                <w:sz w:val="18"/>
                <w:szCs w:val="18"/>
              </w:rPr>
              <w:t>未审查施工组织设计及专项施工方案中的安全技术措施</w:t>
            </w:r>
            <w:r>
              <w:rPr>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b/>
                <w:bCs/>
                <w:sz w:val="18"/>
                <w:szCs w:val="18"/>
              </w:rPr>
              <w:t xml:space="preserve"> </w:t>
            </w:r>
            <w:r>
              <w:rPr>
                <w:rFonts w:hint="eastAsia"/>
                <w:sz w:val="18"/>
                <w:szCs w:val="18"/>
              </w:rPr>
              <w:t>缺乏针对性，监理未正确处置</w:t>
            </w:r>
            <w:r>
              <w:rPr>
                <w:sz w:val="18"/>
                <w:szCs w:val="18"/>
              </w:rPr>
              <w:t xml:space="preserve">                                                   </w:t>
            </w:r>
            <w:r>
              <w:rPr>
                <w:rFonts w:hint="eastAsia"/>
                <w:sz w:val="18"/>
                <w:szCs w:val="18"/>
              </w:rPr>
              <w:t>扣</w:t>
            </w:r>
            <w:r>
              <w:rPr>
                <w:sz w:val="18"/>
                <w:szCs w:val="18"/>
              </w:rPr>
              <w:t>2</w:t>
            </w:r>
            <w:r>
              <w:rPr>
                <w:rFonts w:hint="eastAsia"/>
                <w:sz w:val="18"/>
                <w:szCs w:val="18"/>
              </w:rPr>
              <w:t>分</w:t>
            </w:r>
            <w:r>
              <w:rPr>
                <w:b/>
                <w:bCs/>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A.8.4 </w:t>
            </w:r>
            <w:r>
              <w:rPr>
                <w:rFonts w:hint="eastAsia"/>
                <w:sz w:val="18"/>
                <w:szCs w:val="18"/>
              </w:rPr>
              <w:t>时效性审查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施工单位未及时报审施工组织设计或（专项）施工方案，监理未正确处置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未在规定时限内审核</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A.8.5</w:t>
            </w:r>
            <w:r>
              <w:rPr>
                <w:rFonts w:hint="eastAsia"/>
                <w:sz w:val="18"/>
                <w:szCs w:val="18"/>
              </w:rPr>
              <w:t>应急救援预案审核</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未审核施工单位应急救援预案、安全防护措施费用使用计划</w:t>
            </w:r>
            <w:r>
              <w:rPr>
                <w:sz w:val="18"/>
                <w:szCs w:val="18"/>
              </w:rPr>
              <w:t xml:space="preserve">                          </w:t>
            </w:r>
            <w:r>
              <w:rPr>
                <w:rFonts w:hint="eastAsia"/>
                <w:sz w:val="18"/>
                <w:szCs w:val="18"/>
              </w:rPr>
              <w:t>扣</w:t>
            </w:r>
            <w:r>
              <w:rPr>
                <w:sz w:val="18"/>
                <w:szCs w:val="18"/>
              </w:rPr>
              <w:t>3</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9</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施工测量放线</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A.9.1</w:t>
            </w:r>
            <w:r>
              <w:rPr>
                <w:rFonts w:hint="eastAsia"/>
                <w:sz w:val="18"/>
                <w:szCs w:val="18"/>
              </w:rPr>
              <w:t>测量人员及设备审核</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ind w:left="6688" w:hanging="6688" w:hangingChars="3800"/>
              <w:rPr>
                <w:spacing w:val="-2"/>
                <w:sz w:val="18"/>
                <w:szCs w:val="18"/>
              </w:rPr>
            </w:pPr>
            <w:r>
              <w:rPr>
                <w:rFonts w:hint="eastAsia"/>
                <w:spacing w:val="-2"/>
                <w:sz w:val="18"/>
                <w:szCs w:val="18"/>
              </w:rPr>
              <w:t>未对施工单位测量人员岗位资格证书和设备检定证书进行审核；测量人员无岗位资格证书，或测量</w:t>
            </w:r>
          </w:p>
          <w:p>
            <w:pPr>
              <w:spacing w:line="220" w:lineRule="exact"/>
              <w:ind w:left="6688" w:hanging="6688" w:hangingChars="3800"/>
              <w:rPr>
                <w:sz w:val="18"/>
                <w:szCs w:val="18"/>
              </w:rPr>
            </w:pPr>
            <w:r>
              <w:rPr>
                <w:rFonts w:hint="eastAsia"/>
                <w:spacing w:val="-2"/>
                <w:sz w:val="18"/>
                <w:szCs w:val="18"/>
              </w:rPr>
              <w:t>设备不全，或设备检定证书过期，监理未</w:t>
            </w:r>
            <w:r>
              <w:rPr>
                <w:rFonts w:hint="eastAsia"/>
                <w:sz w:val="18"/>
                <w:szCs w:val="18"/>
              </w:rPr>
              <w:t>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3</w:t>
            </w:r>
            <w:r>
              <w:rPr>
                <w:rFonts w:hint="eastAsia"/>
                <w:sz w:val="18"/>
                <w:szCs w:val="18"/>
              </w:rPr>
              <w:t>分</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10</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A.9.2 </w:t>
            </w:r>
            <w:r>
              <w:rPr>
                <w:rFonts w:hint="eastAsia"/>
                <w:sz w:val="18"/>
                <w:szCs w:val="18"/>
              </w:rPr>
              <w:t>测量放线成果复核</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未对施工平面控制网、高程控制网和临时水准点进行检查、复核；监理复核无数据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未对施工控制桩的保护措施进行查验；控制桩无有效保护措施，监理未正确处置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10</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工程</w:t>
            </w:r>
          </w:p>
          <w:p>
            <w:pPr>
              <w:spacing w:line="220" w:lineRule="exact"/>
              <w:jc w:val="center"/>
              <w:rPr>
                <w:sz w:val="18"/>
                <w:szCs w:val="18"/>
              </w:rPr>
            </w:pPr>
            <w:r>
              <w:rPr>
                <w:rFonts w:hint="eastAsia"/>
                <w:sz w:val="18"/>
                <w:szCs w:val="18"/>
              </w:rPr>
              <w:t>开工</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A.10.1 </w:t>
            </w:r>
            <w:r>
              <w:rPr>
                <w:rFonts w:hint="eastAsia"/>
                <w:sz w:val="18"/>
                <w:szCs w:val="18"/>
              </w:rPr>
              <w:t>开工条件审查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未对工程开工条件进行审查；开工条件不符合要求，监理未正确处置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10</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 xml:space="preserve">A.10.2 </w:t>
            </w:r>
            <w:r>
              <w:rPr>
                <w:rFonts w:hint="eastAsia"/>
                <w:sz w:val="18"/>
                <w:szCs w:val="18"/>
              </w:rPr>
              <w:t>开工令签发</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eastAsia="仿宋_GB2312"/>
                <w:sz w:val="18"/>
                <w:szCs w:val="18"/>
              </w:rPr>
              <w:t>▲</w:t>
            </w:r>
            <w:r>
              <w:rPr>
                <w:rFonts w:hint="eastAsia"/>
                <w:sz w:val="18"/>
                <w:szCs w:val="18"/>
              </w:rPr>
              <w:t>工程未取得施工许可手续，总监已批准开工</w:t>
            </w:r>
            <w:r>
              <w:rPr>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未按规定及时签发开工令；工程未取得施工许可手续现场已施工，监理未正确处置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pacing w:val="-4"/>
                <w:sz w:val="18"/>
                <w:szCs w:val="18"/>
              </w:rPr>
              <w:t>A.10.3</w:t>
            </w:r>
            <w:r>
              <w:rPr>
                <w:rFonts w:hint="eastAsia"/>
                <w:spacing w:val="-4"/>
                <w:sz w:val="18"/>
                <w:szCs w:val="18"/>
              </w:rPr>
              <w:t>分包工程开工审查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专业分包工程开工未报审，现场已开始施工，监理未正确处置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11</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分包单位资质</w:t>
            </w: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A.11.1</w:t>
            </w:r>
            <w:r>
              <w:rPr>
                <w:rFonts w:hint="eastAsia"/>
                <w:sz w:val="18"/>
                <w:szCs w:val="18"/>
              </w:rPr>
              <w:t>工程分包依据</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工程分包不符合《建设工程质量管理条例》或施工合同约定，监理未正确处置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15</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A.11.2</w:t>
            </w:r>
            <w:r>
              <w:rPr>
                <w:rFonts w:hint="eastAsia"/>
                <w:sz w:val="18"/>
                <w:szCs w:val="18"/>
              </w:rPr>
              <w:t>资质审核</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未对分包单位资质进行审核；分包单位资格报审资料不符合要求，监理未正确处置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3</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A.11.3</w:t>
            </w:r>
            <w:r>
              <w:rPr>
                <w:rFonts w:hint="eastAsia"/>
                <w:sz w:val="18"/>
                <w:szCs w:val="18"/>
              </w:rPr>
              <w:t>管理人员资格审核</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未对主要管理人员岗位资格证书进行审核；证书不符合要求，监理未正确处置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4</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sz w:val="18"/>
                <w:szCs w:val="18"/>
              </w:rPr>
              <w:t>A.11.4</w:t>
            </w:r>
            <w:r>
              <w:rPr>
                <w:rFonts w:hint="eastAsia"/>
                <w:sz w:val="18"/>
                <w:szCs w:val="18"/>
              </w:rPr>
              <w:t>特种作业人员资格审核</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未对特种作业人员操作证书进行审核；操作证书过期，监理未正确处置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4</w:t>
            </w:r>
            <w:r>
              <w:rPr>
                <w:rFonts w:hint="eastAsia"/>
                <w:sz w:val="18"/>
                <w:szCs w:val="18"/>
              </w:rPr>
              <w:t>分</w:t>
            </w:r>
            <w:r>
              <w:rPr>
                <w:sz w:val="18"/>
                <w:szCs w:val="18"/>
              </w:rPr>
              <w:t xml:space="preserve">                                                           </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12</w:t>
            </w:r>
          </w:p>
        </w:tc>
        <w:tc>
          <w:tcPr>
            <w:tcW w:w="65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rFonts w:hint="eastAsia"/>
                <w:sz w:val="18"/>
                <w:szCs w:val="18"/>
              </w:rPr>
              <w:t>现场试验室</w:t>
            </w:r>
          </w:p>
        </w:tc>
        <w:tc>
          <w:tcPr>
            <w:tcW w:w="256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rPr>
                <w:spacing w:val="-4"/>
                <w:sz w:val="18"/>
                <w:szCs w:val="18"/>
              </w:rPr>
            </w:pPr>
            <w:r>
              <w:rPr>
                <w:sz w:val="18"/>
                <w:szCs w:val="18"/>
              </w:rPr>
              <w:t>A.12.1</w:t>
            </w:r>
            <w:r>
              <w:rPr>
                <w:rFonts w:hint="eastAsia"/>
                <w:sz w:val="18"/>
                <w:szCs w:val="18"/>
              </w:rPr>
              <w:t>试验室检查</w:t>
            </w: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未对施工单位试验室资质等级及试验范围进行检查</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r>
              <w:rPr>
                <w:sz w:val="18"/>
                <w:szCs w:val="18"/>
              </w:rPr>
              <w:t>3</w:t>
            </w: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pacing w:val="-4"/>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未对试验室管理制度及试验人员岗位资格证书进行审查</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3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5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56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pacing w:val="-4"/>
                <w:sz w:val="18"/>
                <w:szCs w:val="18"/>
              </w:rPr>
            </w:pPr>
          </w:p>
        </w:tc>
        <w:tc>
          <w:tcPr>
            <w:tcW w:w="7882" w:type="dxa"/>
            <w:gridSpan w:val="3"/>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未对试验设备检定证书进行审查</w:t>
            </w:r>
            <w:r>
              <w:rPr>
                <w:sz w:val="18"/>
                <w:szCs w:val="18"/>
              </w:rPr>
              <w:t xml:space="preserve">                                                  </w:t>
            </w:r>
            <w:r>
              <w:rPr>
                <w:rFonts w:hint="eastAsia"/>
                <w:sz w:val="18"/>
                <w:szCs w:val="18"/>
              </w:rPr>
              <w:t>扣</w:t>
            </w:r>
            <w:r>
              <w:rPr>
                <w:sz w:val="18"/>
                <w:szCs w:val="18"/>
              </w:rPr>
              <w:t>1</w:t>
            </w:r>
            <w:r>
              <w:rPr>
                <w:rFonts w:hint="eastAsia"/>
                <w:sz w:val="18"/>
                <w:szCs w:val="18"/>
              </w:rPr>
              <w:t>分</w:t>
            </w:r>
          </w:p>
        </w:tc>
        <w:tc>
          <w:tcPr>
            <w:tcW w:w="63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64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jc w:val="center"/>
              <w:rPr>
                <w:sz w:val="18"/>
                <w:szCs w:val="18"/>
              </w:rPr>
            </w:pPr>
          </w:p>
        </w:tc>
        <w:tc>
          <w:tcPr>
            <w:tcW w:w="80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427" w:type="dxa"/>
            <w:gridSpan w:val="4"/>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可评分评价项目实得分之和</w:t>
            </w:r>
            <w:r>
              <w:rPr>
                <w:sz w:val="18"/>
                <w:szCs w:val="18"/>
              </w:rPr>
              <w:t>:</w:t>
            </w:r>
          </w:p>
        </w:tc>
        <w:tc>
          <w:tcPr>
            <w:tcW w:w="5775" w:type="dxa"/>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可评分评价项目应得分之和：</w:t>
            </w:r>
          </w:p>
        </w:tc>
        <w:tc>
          <w:tcPr>
            <w:tcW w:w="2419" w:type="dxa"/>
            <w:gridSpan w:val="4"/>
            <w:tcBorders>
              <w:top w:val="single" w:color="auto" w:sz="4" w:space="0"/>
              <w:left w:val="single" w:color="auto" w:sz="4" w:space="0"/>
              <w:bottom w:val="single" w:color="auto" w:sz="4" w:space="0"/>
              <w:right w:val="single" w:color="auto" w:sz="4" w:space="0"/>
            </w:tcBorders>
            <w:noWrap w:val="0"/>
            <w:vAlign w:val="center"/>
          </w:tcPr>
          <w:p>
            <w:pPr>
              <w:spacing w:line="220" w:lineRule="exact"/>
              <w:rPr>
                <w:sz w:val="18"/>
                <w:szCs w:val="18"/>
              </w:rPr>
            </w:pPr>
            <w:r>
              <w:rPr>
                <w:rFonts w:hint="eastAsia"/>
                <w:sz w:val="18"/>
                <w:szCs w:val="18"/>
              </w:rPr>
              <w:t>本表得分（率）：</w:t>
            </w:r>
          </w:p>
        </w:tc>
      </w:tr>
    </w:tbl>
    <w:p>
      <w:pPr>
        <w:jc w:val="center"/>
        <w:rPr>
          <w:szCs w:val="21"/>
        </w:rPr>
      </w:pPr>
    </w:p>
    <w:p>
      <w:pPr>
        <w:jc w:val="center"/>
        <w:rPr>
          <w:szCs w:val="21"/>
        </w:rPr>
      </w:pPr>
      <w:r>
        <w:rPr>
          <w:rFonts w:hint="eastAsia"/>
          <w:szCs w:val="21"/>
        </w:rPr>
        <w:t>评分人员：</w:t>
      </w:r>
      <w:r>
        <w:rPr>
          <w:szCs w:val="21"/>
        </w:rPr>
        <w:t xml:space="preserve">                                                                                                  </w:t>
      </w: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pPr>
        <w:adjustRightInd w:val="0"/>
        <w:ind w:firstLine="643" w:firstLineChars="200"/>
        <w:rPr>
          <w:b/>
          <w:sz w:val="32"/>
          <w:szCs w:val="32"/>
        </w:rPr>
      </w:pPr>
    </w:p>
    <w:p>
      <w:pPr>
        <w:adjustRightInd w:val="0"/>
        <w:ind w:firstLine="643" w:firstLineChars="200"/>
        <w:rPr>
          <w:b/>
          <w:sz w:val="32"/>
          <w:szCs w:val="32"/>
        </w:rPr>
      </w:pPr>
      <w:r>
        <w:rPr>
          <w:rFonts w:hint="eastAsia"/>
          <w:b/>
          <w:sz w:val="32"/>
          <w:szCs w:val="32"/>
        </w:rPr>
        <w:t>表</w:t>
      </w:r>
      <w:r>
        <w:rPr>
          <w:b/>
          <w:sz w:val="32"/>
          <w:szCs w:val="32"/>
        </w:rPr>
        <w:t xml:space="preserve">B                         </w:t>
      </w:r>
      <w:r>
        <w:rPr>
          <w:rFonts w:hint="eastAsia"/>
          <w:b/>
          <w:sz w:val="32"/>
          <w:szCs w:val="32"/>
        </w:rPr>
        <w:t>工程施工阶段监理工作评价表</w:t>
      </w:r>
      <w:r>
        <w:rPr>
          <w:b/>
          <w:sz w:val="32"/>
          <w:szCs w:val="32"/>
        </w:rPr>
        <w:t xml:space="preserve">      </w:t>
      </w:r>
    </w:p>
    <w:p>
      <w:pPr>
        <w:ind w:firstLine="480" w:firstLineChars="200"/>
        <w:jc w:val="left"/>
        <w:rPr>
          <w:b/>
          <w:sz w:val="15"/>
          <w:szCs w:val="15"/>
        </w:rPr>
      </w:pPr>
      <w:r>
        <w:rPr>
          <w:rFonts w:hint="eastAsia"/>
          <w:sz w:val="24"/>
        </w:rPr>
        <w:t>工程项目名称：</w:t>
      </w:r>
      <w:r>
        <w:rPr>
          <w:sz w:val="24"/>
        </w:rPr>
        <w:t xml:space="preserve">                                                          </w:t>
      </w:r>
      <w:r>
        <w:rPr>
          <w:rFonts w:hint="eastAsia"/>
          <w:sz w:val="24"/>
        </w:rPr>
        <w:t>监理单位名称：</w:t>
      </w:r>
      <w:r>
        <w:rPr>
          <w:sz w:val="24"/>
        </w:rPr>
        <w:t xml:space="preserve">  </w:t>
      </w:r>
      <w:r>
        <w:rPr>
          <w:sz w:val="15"/>
          <w:szCs w:val="15"/>
        </w:rPr>
        <w:t xml:space="preserve">                                                        </w:t>
      </w:r>
      <w:r>
        <w:rPr>
          <w:b/>
          <w:sz w:val="15"/>
          <w:szCs w:val="15"/>
        </w:rPr>
        <w:t xml:space="preserve">    </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3"/>
        <w:gridCol w:w="900"/>
        <w:gridCol w:w="2185"/>
        <w:gridCol w:w="8671"/>
        <w:gridCol w:w="748"/>
        <w:gridCol w:w="720"/>
        <w:gridCol w:w="7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restart"/>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序号</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评价项目</w:t>
            </w: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评价内容</w:t>
            </w:r>
          </w:p>
        </w:tc>
        <w:tc>
          <w:tcPr>
            <w:tcW w:w="8671" w:type="dxa"/>
            <w:vMerge w:val="restart"/>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评分标准</w:t>
            </w:r>
          </w:p>
        </w:tc>
        <w:tc>
          <w:tcPr>
            <w:tcW w:w="2237" w:type="dxa"/>
            <w:gridSpan w:val="3"/>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评分（分）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48" w:type="dxa"/>
            <w:tcBorders>
              <w:top w:val="single" w:color="auto" w:sz="4" w:space="0"/>
              <w:left w:val="single" w:color="auto" w:sz="4" w:space="0"/>
              <w:bottom w:val="single" w:color="auto" w:sz="4" w:space="0"/>
              <w:right w:val="single" w:color="auto" w:sz="4" w:space="0"/>
            </w:tcBorders>
            <w:noWrap w:val="0"/>
            <w:vAlign w:val="center"/>
          </w:tcPr>
          <w:p>
            <w:pPr>
              <w:ind w:left="-50" w:right="-50"/>
              <w:jc w:val="center"/>
              <w:rPr>
                <w:sz w:val="18"/>
                <w:szCs w:val="18"/>
              </w:rPr>
            </w:pPr>
            <w:r>
              <w:rPr>
                <w:rFonts w:hint="eastAsia"/>
                <w:sz w:val="18"/>
                <w:szCs w:val="18"/>
              </w:rPr>
              <w:t>应得分</w:t>
            </w:r>
          </w:p>
        </w:tc>
        <w:tc>
          <w:tcPr>
            <w:tcW w:w="720" w:type="dxa"/>
            <w:tcBorders>
              <w:top w:val="single" w:color="auto" w:sz="4" w:space="0"/>
              <w:left w:val="single" w:color="auto" w:sz="4" w:space="0"/>
              <w:bottom w:val="single" w:color="auto" w:sz="4" w:space="0"/>
              <w:right w:val="single" w:color="auto" w:sz="4" w:space="0"/>
            </w:tcBorders>
            <w:noWrap w:val="0"/>
            <w:vAlign w:val="center"/>
          </w:tcPr>
          <w:p>
            <w:pPr>
              <w:ind w:left="-50" w:right="-50"/>
              <w:jc w:val="center"/>
              <w:rPr>
                <w:sz w:val="18"/>
                <w:szCs w:val="18"/>
              </w:rPr>
            </w:pPr>
            <w:r>
              <w:rPr>
                <w:rFonts w:hint="eastAsia"/>
                <w:sz w:val="18"/>
                <w:szCs w:val="18"/>
              </w:rPr>
              <w:t>扣减分</w:t>
            </w:r>
          </w:p>
        </w:tc>
        <w:tc>
          <w:tcPr>
            <w:tcW w:w="769" w:type="dxa"/>
            <w:tcBorders>
              <w:top w:val="single" w:color="auto" w:sz="4" w:space="0"/>
              <w:left w:val="single" w:color="auto" w:sz="4" w:space="0"/>
              <w:bottom w:val="single" w:color="auto" w:sz="4" w:space="0"/>
              <w:right w:val="single" w:color="auto" w:sz="4" w:space="0"/>
            </w:tcBorders>
            <w:noWrap w:val="0"/>
            <w:vAlign w:val="center"/>
          </w:tcPr>
          <w:p>
            <w:pPr>
              <w:ind w:left="-50" w:right="-50"/>
              <w:jc w:val="center"/>
              <w:rPr>
                <w:sz w:val="18"/>
                <w:szCs w:val="18"/>
              </w:rPr>
            </w:pPr>
            <w:r>
              <w:rPr>
                <w:rFonts w:hint="eastAsia"/>
                <w:sz w:val="18"/>
                <w:szCs w:val="18"/>
              </w:rPr>
              <w:t>实得分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1</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危险性较大分部分项工程</w:t>
            </w: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B.1.1 </w:t>
            </w:r>
            <w:r>
              <w:rPr>
                <w:rFonts w:hint="eastAsia"/>
                <w:sz w:val="18"/>
                <w:szCs w:val="18"/>
              </w:rPr>
              <w:t>验收</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eastAsia="仿宋_GB2312"/>
                <w:sz w:val="18"/>
                <w:szCs w:val="18"/>
              </w:rPr>
              <w:t>▲</w:t>
            </w:r>
            <w:r>
              <w:rPr>
                <w:rFonts w:hint="eastAsia"/>
                <w:sz w:val="18"/>
                <w:szCs w:val="18"/>
              </w:rPr>
              <w:t>未按规定参与危险性较大分部分项工程验收；验收记录未签字</w:t>
            </w:r>
            <w:r>
              <w:rPr>
                <w:sz w:val="18"/>
                <w:szCs w:val="18"/>
              </w:rPr>
              <w:t xml:space="preserve">                       </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20</w:t>
            </w: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B.1.2 </w:t>
            </w:r>
            <w:r>
              <w:rPr>
                <w:rFonts w:hint="eastAsia"/>
                <w:sz w:val="18"/>
                <w:szCs w:val="18"/>
              </w:rPr>
              <w:t>巡视检查</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ind w:left="6480" w:hanging="6480" w:hangingChars="3600"/>
              <w:jc w:val="left"/>
              <w:rPr>
                <w:sz w:val="18"/>
                <w:szCs w:val="18"/>
              </w:rPr>
            </w:pPr>
            <w:r>
              <w:rPr>
                <w:rFonts w:hint="eastAsia"/>
                <w:sz w:val="18"/>
                <w:szCs w:val="18"/>
              </w:rPr>
              <w:t>未按规定对危险性较大分部分项工程进行专项巡视检查；专项巡视检查记录不全</w:t>
            </w:r>
            <w:r>
              <w:rPr>
                <w:sz w:val="18"/>
                <w:szCs w:val="18"/>
              </w:rPr>
              <w:t xml:space="preserve">         </w:t>
            </w:r>
          </w:p>
          <w:p>
            <w:pPr>
              <w:ind w:left="181" w:leftChars="86" w:firstLine="6120" w:firstLineChars="3400"/>
              <w:jc w:val="left"/>
              <w:rPr>
                <w:sz w:val="18"/>
                <w:szCs w:val="18"/>
              </w:rPr>
            </w:pPr>
            <w:r>
              <w:rPr>
                <w:rFonts w:hint="eastAsia"/>
                <w:sz w:val="18"/>
                <w:szCs w:val="18"/>
              </w:rPr>
              <w:t>扣</w:t>
            </w:r>
            <w:r>
              <w:rPr>
                <w:sz w:val="18"/>
                <w:szCs w:val="18"/>
              </w:rPr>
              <w:t>1</w:t>
            </w:r>
            <w:r>
              <w:rPr>
                <w:rFonts w:hint="eastAsia" w:cs="宋体"/>
                <w:sz w:val="18"/>
                <w:szCs w:val="18"/>
              </w:rPr>
              <w:t>～</w:t>
            </w:r>
            <w:r>
              <w:rPr>
                <w:sz w:val="18"/>
                <w:szCs w:val="18"/>
              </w:rPr>
              <w:t>10</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B.1.3 </w:t>
            </w:r>
            <w:r>
              <w:rPr>
                <w:rFonts w:hint="eastAsia"/>
                <w:sz w:val="18"/>
                <w:szCs w:val="18"/>
              </w:rPr>
              <w:t>安全档案管理</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tabs>
                <w:tab w:val="left" w:pos="342"/>
              </w:tabs>
              <w:rPr>
                <w:sz w:val="18"/>
                <w:szCs w:val="18"/>
              </w:rPr>
            </w:pPr>
            <w:r>
              <w:rPr>
                <w:rFonts w:hint="eastAsia"/>
                <w:sz w:val="18"/>
                <w:szCs w:val="18"/>
              </w:rPr>
              <w:t>未按规定建立危险性较大分部分项工程安全管理档案；安全管理档案资料不全</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10</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2</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施工起重机械设备</w:t>
            </w: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B.2.1</w:t>
            </w:r>
            <w:r>
              <w:rPr>
                <w:rFonts w:hint="eastAsia"/>
                <w:sz w:val="18"/>
                <w:szCs w:val="18"/>
              </w:rPr>
              <w:t>设备安装、拆卸核查</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未审核设备制造许可证、产品合格证、备案证明等文件；上述文件不符合要求，或设备型号、数量与施工组织设计不符，监理未正确处置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r>
              <w:rPr>
                <w:sz w:val="18"/>
                <w:szCs w:val="18"/>
              </w:rPr>
              <w:t>20</w:t>
            </w: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6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未核查设备安装、拆卸单位的资质证书、安全生产许可证和特种作业人员操作证书；上述证书过期，监理未正确处置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未审核设备安装、拆卸专项方案（含群塔方案）；方案不符合相关强制性标准，监理未正确处置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未按规定对设备安装、拆卸过程进行巡视检查；监理巡视检查记录不全</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4</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p>
          <w:p>
            <w:pPr>
              <w:rPr>
                <w:sz w:val="18"/>
                <w:szCs w:val="18"/>
              </w:rPr>
            </w:pPr>
            <w:r>
              <w:rPr>
                <w:sz w:val="18"/>
                <w:szCs w:val="18"/>
              </w:rPr>
              <w:t>B.2.2</w:t>
            </w:r>
            <w:r>
              <w:rPr>
                <w:rFonts w:hint="eastAsia"/>
                <w:sz w:val="18"/>
                <w:szCs w:val="18"/>
              </w:rPr>
              <w:t>设备使用核查</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eastAsia="仿宋_GB2312"/>
                <w:sz w:val="18"/>
                <w:szCs w:val="18"/>
              </w:rPr>
              <w:t>▲</w:t>
            </w:r>
            <w:r>
              <w:rPr>
                <w:rFonts w:hint="eastAsia"/>
                <w:sz w:val="18"/>
                <w:szCs w:val="18"/>
              </w:rPr>
              <w:t>未按规定参与设备（含设备附着）验收；设备检测不合格，或设备未经验收合格已使用，监理未正确处置</w:t>
            </w:r>
            <w:r>
              <w:rPr>
                <w:sz w:val="18"/>
                <w:szCs w:val="18"/>
              </w:rPr>
              <w:t xml:space="preserve">                                </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设备验收合格后未按规定到相关主管部门登记，监理未正确处置</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ind w:left="-61" w:leftChars="-29"/>
              <w:rPr>
                <w:sz w:val="18"/>
                <w:szCs w:val="18"/>
              </w:rPr>
            </w:pPr>
            <w:r>
              <w:rPr>
                <w:rFonts w:hint="eastAsia"/>
                <w:sz w:val="18"/>
                <w:szCs w:val="18"/>
              </w:rPr>
              <w:t>未审核设备特种作业人员操作证书；操作证书过期，监理未正确处置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未审核设备操作和维护保养制度</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B.2.3</w:t>
            </w:r>
            <w:r>
              <w:rPr>
                <w:rFonts w:hint="eastAsia"/>
                <w:sz w:val="18"/>
                <w:szCs w:val="18"/>
              </w:rPr>
              <w:t>使用监管</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未检查设备使用情况；设备超出检测周期未检测继续使用，监理未正确处置</w:t>
            </w:r>
            <w:r>
              <w:rPr>
                <w:sz w:val="18"/>
                <w:szCs w:val="18"/>
              </w:rPr>
              <w:t xml:space="preserve">         </w:t>
            </w:r>
            <w:r>
              <w:rPr>
                <w:rFonts w:hint="eastAsia"/>
                <w:sz w:val="18"/>
                <w:szCs w:val="18"/>
              </w:rPr>
              <w:t>扣</w:t>
            </w:r>
            <w:r>
              <w:rPr>
                <w:sz w:val="18"/>
                <w:szCs w:val="18"/>
              </w:rPr>
              <w:t>3</w:t>
            </w:r>
            <w:r>
              <w:rPr>
                <w:rFonts w:hint="eastAsia"/>
                <w:sz w:val="18"/>
                <w:szCs w:val="18"/>
              </w:rPr>
              <w:t>分</w:t>
            </w:r>
            <w:r>
              <w:rPr>
                <w:sz w:val="18"/>
                <w:szCs w:val="18"/>
              </w:rPr>
              <w:t xml:space="preserve">                                                  </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r>
              <w:rPr>
                <w:sz w:val="18"/>
                <w:szCs w:val="18"/>
              </w:rPr>
              <w:t>3</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p>
            <w:pPr>
              <w:jc w:val="center"/>
              <w:rPr>
                <w:sz w:val="18"/>
                <w:szCs w:val="18"/>
              </w:rPr>
            </w:pPr>
          </w:p>
          <w:p>
            <w:pPr>
              <w:jc w:val="center"/>
              <w:rPr>
                <w:sz w:val="18"/>
                <w:szCs w:val="18"/>
              </w:rPr>
            </w:pPr>
          </w:p>
          <w:p>
            <w:pPr>
              <w:jc w:val="center"/>
              <w:rPr>
                <w:sz w:val="18"/>
                <w:szCs w:val="18"/>
              </w:rPr>
            </w:pPr>
            <w:r>
              <w:rPr>
                <w:rFonts w:hint="eastAsia"/>
                <w:sz w:val="18"/>
                <w:szCs w:val="18"/>
              </w:rPr>
              <w:t>工程材料、构配件、设备</w:t>
            </w:r>
          </w:p>
          <w:p>
            <w:pPr>
              <w:jc w:val="center"/>
              <w:rPr>
                <w:sz w:val="18"/>
                <w:szCs w:val="18"/>
              </w:rPr>
            </w:pP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B.3.1 </w:t>
            </w:r>
            <w:r>
              <w:rPr>
                <w:rFonts w:hint="eastAsia"/>
                <w:sz w:val="18"/>
                <w:szCs w:val="18"/>
              </w:rPr>
              <w:t>质量证明文件审核</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eastAsia="仿宋_GB2312"/>
                <w:sz w:val="18"/>
                <w:szCs w:val="18"/>
              </w:rPr>
              <w:t>▲</w:t>
            </w:r>
            <w:r>
              <w:rPr>
                <w:rFonts w:hint="eastAsia" w:cs="宋体"/>
                <w:bCs/>
                <w:sz w:val="18"/>
                <w:szCs w:val="18"/>
              </w:rPr>
              <w:t>将不合格的材料、构配件、设备按照合格签字</w:t>
            </w:r>
            <w:r>
              <w:rPr>
                <w:rFonts w:cs="宋体"/>
                <w:bCs/>
                <w:sz w:val="18"/>
                <w:szCs w:val="18"/>
              </w:rPr>
              <w:t xml:space="preserve"> </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r>
              <w:rPr>
                <w:sz w:val="18"/>
                <w:szCs w:val="18"/>
              </w:rPr>
              <w:t>20</w:t>
            </w: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rFonts w:eastAsia="黑体"/>
                <w:b/>
                <w:sz w:val="18"/>
                <w:szCs w:val="18"/>
              </w:rPr>
            </w:pPr>
            <w:r>
              <w:rPr>
                <w:rFonts w:hint="eastAsia"/>
                <w:sz w:val="18"/>
                <w:szCs w:val="18"/>
              </w:rPr>
              <w:t>未对进场材料等质量证明文件进行审核；质量证明文件不完整，监理未正确处置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rFonts w:cs="宋体"/>
                <w:sz w:val="18"/>
                <w:szCs w:val="18"/>
              </w:rPr>
              <w:t>6</w:t>
            </w:r>
            <w:r>
              <w:rPr>
                <w:rFonts w:hint="eastAsia"/>
                <w:sz w:val="18"/>
                <w:szCs w:val="18"/>
              </w:rPr>
              <w:t>分</w:t>
            </w:r>
            <w:r>
              <w:rPr>
                <w:rFonts w:cs="宋体"/>
                <w:bCs/>
                <w:sz w:val="18"/>
                <w:szCs w:val="18"/>
              </w:rPr>
              <w:t xml:space="preserve">              </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rFonts w:eastAsia="黑体"/>
                <w:b/>
                <w:sz w:val="18"/>
                <w:szCs w:val="18"/>
              </w:rPr>
            </w:pPr>
            <w:r>
              <w:rPr>
                <w:rFonts w:hint="eastAsia"/>
                <w:sz w:val="18"/>
                <w:szCs w:val="18"/>
              </w:rPr>
              <w:t>未审查工程采用的“新材料、新工艺、新技术、新设备”的论证材料及相关验收标准</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B.3.2</w:t>
            </w:r>
            <w:r>
              <w:rPr>
                <w:rFonts w:hint="eastAsia"/>
                <w:sz w:val="18"/>
                <w:szCs w:val="18"/>
              </w:rPr>
              <w:t>平行检验、见证取样</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未按规定平行检验或见证取样</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未及时平行检验或见证取样；未按设计、标准要求委托检测，监理未正确处置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B.3.3</w:t>
            </w:r>
            <w:r>
              <w:rPr>
                <w:rFonts w:hint="eastAsia"/>
                <w:sz w:val="18"/>
                <w:szCs w:val="18"/>
              </w:rPr>
              <w:t>台账管理</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未按规定建立平行检验或见证取样台账；台账与相关资料不相符</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B.3.4 </w:t>
            </w:r>
            <w:r>
              <w:rPr>
                <w:rFonts w:hint="eastAsia"/>
                <w:sz w:val="18"/>
                <w:szCs w:val="18"/>
              </w:rPr>
              <w:t>报验管理</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ind w:left="6660" w:hanging="6660" w:hangingChars="3700"/>
              <w:jc w:val="left"/>
              <w:rPr>
                <w:sz w:val="18"/>
                <w:szCs w:val="18"/>
              </w:rPr>
            </w:pPr>
            <w:r>
              <w:rPr>
                <w:rFonts w:hint="eastAsia"/>
                <w:sz w:val="18"/>
                <w:szCs w:val="18"/>
              </w:rPr>
              <w:t>材料等报验（品种、批次、数量等）不符合要求，或未经验收合格已使用，监理未正确处置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4</w:t>
            </w:r>
          </w:p>
          <w:p>
            <w:pPr>
              <w:jc w:val="center"/>
              <w:rPr>
                <w:sz w:val="18"/>
                <w:szCs w:val="18"/>
              </w:rPr>
            </w:pPr>
            <w:r>
              <w:rPr>
                <w:sz w:val="18"/>
                <w:szCs w:val="18"/>
              </w:rPr>
              <w:t xml:space="preserve"> </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施工过程监控情况</w:t>
            </w: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B.4.1</w:t>
            </w:r>
            <w:r>
              <w:rPr>
                <w:rFonts w:hint="eastAsia"/>
                <w:sz w:val="18"/>
                <w:szCs w:val="18"/>
              </w:rPr>
              <w:t>巡视</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未按规定进行巡视检查</w:t>
            </w:r>
            <w:r>
              <w:rPr>
                <w:sz w:val="18"/>
                <w:szCs w:val="18"/>
              </w:rPr>
              <w:t xml:space="preserve">                                                      </w:t>
            </w:r>
            <w:r>
              <w:rPr>
                <w:rFonts w:hint="eastAsia"/>
                <w:sz w:val="18"/>
                <w:szCs w:val="18"/>
              </w:rPr>
              <w:t>扣</w:t>
            </w:r>
            <w:r>
              <w:rPr>
                <w:sz w:val="18"/>
                <w:szCs w:val="18"/>
              </w:rPr>
              <w:t>2</w:t>
            </w:r>
            <w:r>
              <w:rPr>
                <w:rFonts w:hint="eastAsia"/>
                <w:sz w:val="18"/>
                <w:szCs w:val="18"/>
              </w:rPr>
              <w:t>分</w:t>
            </w:r>
            <w:r>
              <w:rPr>
                <w:sz w:val="18"/>
                <w:szCs w:val="18"/>
              </w:rPr>
              <w:t xml:space="preserve">  </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25</w:t>
            </w: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B.4.2</w:t>
            </w:r>
            <w:r>
              <w:rPr>
                <w:rFonts w:hint="eastAsia"/>
                <w:sz w:val="18"/>
                <w:szCs w:val="18"/>
              </w:rPr>
              <w:t>旁站</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rFonts w:cs="宋体"/>
                <w:b/>
                <w:bCs/>
                <w:sz w:val="18"/>
                <w:szCs w:val="18"/>
              </w:rPr>
            </w:pPr>
            <w:r>
              <w:rPr>
                <w:rFonts w:hint="eastAsia"/>
                <w:sz w:val="18"/>
                <w:szCs w:val="18"/>
              </w:rPr>
              <w:t>未按规定进行旁站</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旁站记录不及时，内容不真实、不完整、不具体，整改情况不闭合</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B.4.3</w:t>
            </w:r>
            <w:r>
              <w:rPr>
                <w:rFonts w:hint="eastAsia"/>
                <w:sz w:val="18"/>
                <w:szCs w:val="18"/>
              </w:rPr>
              <w:t>施工过程检查及</w:t>
            </w:r>
          </w:p>
          <w:p>
            <w:pPr>
              <w:rPr>
                <w:sz w:val="18"/>
                <w:szCs w:val="18"/>
              </w:rPr>
            </w:pPr>
            <w:r>
              <w:rPr>
                <w:rFonts w:hint="eastAsia"/>
                <w:sz w:val="18"/>
                <w:szCs w:val="18"/>
              </w:rPr>
              <w:t>隐患处理</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施工单位未按批准的施工组织设计或（专项）施工方案及强制性标准施工，或现场材料不合格，或施工主要管理人员不到岗，或特种作业人员无证上岗，监理未正确处置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8</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ind w:left="6480" w:hanging="6480" w:hangingChars="3600"/>
              <w:rPr>
                <w:sz w:val="18"/>
                <w:szCs w:val="18"/>
              </w:rPr>
            </w:pPr>
            <w:r>
              <w:rPr>
                <w:rFonts w:hint="eastAsia"/>
                <w:sz w:val="18"/>
                <w:szCs w:val="18"/>
              </w:rPr>
              <w:t>工程质量存在严重缺陷，或施工安全存在事故隐患，监理未及时要求施工单位整改；情况严</w:t>
            </w:r>
          </w:p>
          <w:p>
            <w:pPr>
              <w:ind w:left="6480" w:hanging="6480" w:hangingChars="3600"/>
              <w:rPr>
                <w:sz w:val="18"/>
                <w:szCs w:val="18"/>
              </w:rPr>
            </w:pPr>
            <w:r>
              <w:rPr>
                <w:rFonts w:hint="eastAsia"/>
                <w:sz w:val="18"/>
                <w:szCs w:val="18"/>
              </w:rPr>
              <w:t>重，监理未要求施工单位暂停施工</w:t>
            </w:r>
            <w:r>
              <w:rPr>
                <w:sz w:val="18"/>
                <w:szCs w:val="18"/>
              </w:rPr>
              <w:t xml:space="preserve">                                            </w:t>
            </w:r>
            <w:r>
              <w:rPr>
                <w:rFonts w:hint="eastAsia"/>
                <w:sz w:val="18"/>
                <w:szCs w:val="18"/>
              </w:rPr>
              <w:t>扣</w:t>
            </w:r>
            <w:r>
              <w:rPr>
                <w:sz w:val="18"/>
                <w:szCs w:val="18"/>
              </w:rPr>
              <w:t>6</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隐患处理结束，监理未复查</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eastAsia="仿宋_GB2312"/>
                <w:sz w:val="18"/>
                <w:szCs w:val="18"/>
              </w:rPr>
              <w:t>▲</w:t>
            </w:r>
            <w:r>
              <w:rPr>
                <w:rFonts w:hint="eastAsia"/>
                <w:sz w:val="18"/>
                <w:szCs w:val="18"/>
              </w:rPr>
              <w:t>施工单位拒不整改或不停止施工，监理未及时向建设单位或当地建设行政主管部门报告</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5</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工地</w:t>
            </w:r>
          </w:p>
          <w:p>
            <w:pPr>
              <w:jc w:val="center"/>
              <w:rPr>
                <w:sz w:val="18"/>
                <w:szCs w:val="18"/>
              </w:rPr>
            </w:pPr>
            <w:r>
              <w:rPr>
                <w:rFonts w:hint="eastAsia"/>
                <w:sz w:val="18"/>
                <w:szCs w:val="18"/>
              </w:rPr>
              <w:t>会议</w:t>
            </w: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B.5.1</w:t>
            </w:r>
            <w:r>
              <w:rPr>
                <w:rFonts w:hint="eastAsia"/>
                <w:sz w:val="18"/>
                <w:szCs w:val="18"/>
              </w:rPr>
              <w:t>监理例会（专题会议）</w:t>
            </w:r>
          </w:p>
        </w:tc>
        <w:tc>
          <w:tcPr>
            <w:tcW w:w="8671" w:type="dxa"/>
            <w:tcBorders>
              <w:top w:val="single" w:color="auto" w:sz="4" w:space="0"/>
              <w:left w:val="single" w:color="auto" w:sz="4" w:space="0"/>
              <w:bottom w:val="single" w:color="auto" w:sz="4" w:space="0"/>
              <w:right w:val="single" w:color="auto" w:sz="4" w:space="0"/>
            </w:tcBorders>
            <w:noWrap w:val="0"/>
            <w:vAlign w:val="top"/>
          </w:tcPr>
          <w:p>
            <w:pPr>
              <w:rPr>
                <w:sz w:val="18"/>
                <w:szCs w:val="18"/>
              </w:rPr>
            </w:pPr>
            <w:r>
              <w:rPr>
                <w:rFonts w:hint="eastAsia"/>
                <w:sz w:val="18"/>
                <w:szCs w:val="18"/>
              </w:rPr>
              <w:t>未定期组织召开监理例会；总监较少主持监理例会</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10</w:t>
            </w: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top"/>
          </w:tcPr>
          <w:p>
            <w:pPr>
              <w:rPr>
                <w:sz w:val="18"/>
                <w:szCs w:val="18"/>
              </w:rPr>
            </w:pPr>
            <w:r>
              <w:rPr>
                <w:rFonts w:hint="eastAsia"/>
                <w:sz w:val="18"/>
                <w:szCs w:val="18"/>
              </w:rPr>
              <w:t>未按需要组织召开或参加专题会议</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top"/>
          </w:tcPr>
          <w:p>
            <w:pPr>
              <w:rPr>
                <w:sz w:val="18"/>
                <w:szCs w:val="18"/>
              </w:rPr>
            </w:pPr>
            <w:r>
              <w:rPr>
                <w:rFonts w:hint="eastAsia"/>
                <w:sz w:val="18"/>
                <w:szCs w:val="18"/>
              </w:rPr>
              <w:t>会议纪要内容不符合监理规范要求、不完整或签发不及时；会议纪要未经各方会签</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4</w:t>
            </w:r>
            <w:r>
              <w:rPr>
                <w:rFonts w:hint="eastAsia"/>
                <w:sz w:val="18"/>
                <w:szCs w:val="18"/>
              </w:rPr>
              <w:t>分</w:t>
            </w:r>
            <w:r>
              <w:rPr>
                <w:sz w:val="18"/>
                <w:szCs w:val="18"/>
              </w:rPr>
              <w:t xml:space="preserve">                                                                      </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top"/>
          </w:tcPr>
          <w:p>
            <w:pPr>
              <w:rPr>
                <w:sz w:val="18"/>
                <w:szCs w:val="18"/>
              </w:rPr>
            </w:pPr>
            <w:r>
              <w:rPr>
                <w:rFonts w:hint="eastAsia"/>
                <w:sz w:val="18"/>
                <w:szCs w:val="18"/>
              </w:rPr>
              <w:t>会议议定事项未落实，处理问题不闭合，监理未正确处置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6</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监理</w:t>
            </w:r>
          </w:p>
          <w:p>
            <w:pPr>
              <w:jc w:val="center"/>
              <w:rPr>
                <w:sz w:val="18"/>
                <w:szCs w:val="18"/>
              </w:rPr>
            </w:pPr>
            <w:r>
              <w:rPr>
                <w:rFonts w:hint="eastAsia"/>
                <w:sz w:val="18"/>
                <w:szCs w:val="18"/>
              </w:rPr>
              <w:t>日志</w:t>
            </w: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B.6.1</w:t>
            </w:r>
            <w:r>
              <w:rPr>
                <w:rFonts w:hint="eastAsia"/>
                <w:sz w:val="18"/>
                <w:szCs w:val="18"/>
              </w:rPr>
              <w:t>内容</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内容不符合监理规范要求，重要的信息漏记</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5</w:t>
            </w: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不能如实反映监理工作情况；内容与其他监理资料不一致或不能闭合</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B.6.2</w:t>
            </w:r>
            <w:r>
              <w:rPr>
                <w:rFonts w:hint="eastAsia"/>
                <w:sz w:val="18"/>
                <w:szCs w:val="18"/>
              </w:rPr>
              <w:t>签字、时效</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记录人、审核人不符合要求；记录、审核不及时</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7</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监理</w:t>
            </w:r>
          </w:p>
          <w:p>
            <w:pPr>
              <w:jc w:val="center"/>
              <w:rPr>
                <w:sz w:val="18"/>
                <w:szCs w:val="18"/>
              </w:rPr>
            </w:pPr>
            <w:r>
              <w:rPr>
                <w:rFonts w:hint="eastAsia"/>
                <w:sz w:val="18"/>
                <w:szCs w:val="18"/>
              </w:rPr>
              <w:t>月报</w:t>
            </w: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B.7.1</w:t>
            </w:r>
            <w:r>
              <w:rPr>
                <w:rFonts w:hint="eastAsia"/>
                <w:sz w:val="18"/>
                <w:szCs w:val="18"/>
              </w:rPr>
              <w:t>内容</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内容不符合监理合同、监理规范、江苏省建设工程监理现场用表要求</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3</w:t>
            </w:r>
            <w:r>
              <w:rPr>
                <w:rFonts w:hint="eastAsia"/>
                <w:sz w:val="18"/>
                <w:szCs w:val="18"/>
              </w:rPr>
              <w:t>分</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5</w:t>
            </w: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p>
            <w:pPr>
              <w:jc w:val="center"/>
              <w:rPr>
                <w:sz w:val="18"/>
                <w:szCs w:val="18"/>
              </w:rPr>
            </w:pPr>
          </w:p>
          <w:p>
            <w:pPr>
              <w:jc w:val="center"/>
              <w:rPr>
                <w:sz w:val="18"/>
                <w:szCs w:val="18"/>
              </w:rPr>
            </w:pPr>
          </w:p>
          <w:p>
            <w:pPr>
              <w:jc w:val="center"/>
              <w:rPr>
                <w:sz w:val="18"/>
                <w:szCs w:val="18"/>
              </w:rPr>
            </w:pPr>
          </w:p>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B.7.2</w:t>
            </w:r>
            <w:r>
              <w:rPr>
                <w:rFonts w:hint="eastAsia"/>
                <w:sz w:val="18"/>
                <w:szCs w:val="18"/>
              </w:rPr>
              <w:t>审核</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总监理工程师未审核签认</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68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B.7.3</w:t>
            </w:r>
            <w:r>
              <w:rPr>
                <w:rFonts w:hint="eastAsia"/>
                <w:sz w:val="18"/>
                <w:szCs w:val="18"/>
              </w:rPr>
              <w:t>报送</w:t>
            </w:r>
          </w:p>
        </w:tc>
        <w:tc>
          <w:tcPr>
            <w:tcW w:w="867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未按规定及时报送相关单位</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bl>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4"/>
        <w:gridCol w:w="900"/>
        <w:gridCol w:w="2185"/>
        <w:gridCol w:w="5092"/>
        <w:gridCol w:w="3578"/>
        <w:gridCol w:w="748"/>
        <w:gridCol w:w="720"/>
        <w:gridCol w:w="7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sz w:val="18"/>
                <w:szCs w:val="18"/>
              </w:rPr>
              <w:t>8</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rFonts w:hint="eastAsia"/>
                <w:sz w:val="18"/>
                <w:szCs w:val="18"/>
              </w:rPr>
              <w:t>分部分项工程及隐蔽工程</w:t>
            </w:r>
          </w:p>
          <w:p>
            <w:pPr>
              <w:spacing w:line="240" w:lineRule="exact"/>
              <w:jc w:val="center"/>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sz w:val="18"/>
                <w:szCs w:val="18"/>
              </w:rPr>
              <w:t>B.8.1</w:t>
            </w:r>
            <w:r>
              <w:rPr>
                <w:rFonts w:hint="eastAsia"/>
                <w:sz w:val="18"/>
                <w:szCs w:val="18"/>
              </w:rPr>
              <w:t>工程质量验收划分方案审核</w:t>
            </w: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sz w:val="18"/>
                <w:szCs w:val="18"/>
              </w:rPr>
              <w:t>未审核施工单位报审的单位（子单位）工程、分部（子分部）工程、分项工程、检验批质量验收划分方案；质量验收划分方案不符合要求，监理未正确处置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p>
            <w:pPr>
              <w:spacing w:line="240" w:lineRule="exact"/>
              <w:ind w:firstLine="90" w:firstLineChars="50"/>
              <w:rPr>
                <w:sz w:val="18"/>
                <w:szCs w:val="18"/>
              </w:rPr>
            </w:pPr>
          </w:p>
          <w:p>
            <w:pPr>
              <w:spacing w:line="240" w:lineRule="exact"/>
              <w:ind w:firstLine="90" w:firstLineChars="50"/>
              <w:rPr>
                <w:sz w:val="18"/>
                <w:szCs w:val="18"/>
              </w:rPr>
            </w:pPr>
          </w:p>
          <w:p>
            <w:pPr>
              <w:spacing w:line="240" w:lineRule="exact"/>
              <w:ind w:firstLine="90" w:firstLineChars="50"/>
              <w:rPr>
                <w:sz w:val="18"/>
                <w:szCs w:val="18"/>
              </w:rPr>
            </w:pPr>
          </w:p>
          <w:p>
            <w:pPr>
              <w:spacing w:line="240" w:lineRule="exact"/>
              <w:ind w:firstLine="90" w:firstLineChars="50"/>
              <w:rPr>
                <w:sz w:val="18"/>
                <w:szCs w:val="18"/>
              </w:rPr>
            </w:pPr>
            <w:r>
              <w:rPr>
                <w:sz w:val="18"/>
                <w:szCs w:val="18"/>
              </w:rPr>
              <w:t>25</w:t>
            </w: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sz w:val="18"/>
                <w:szCs w:val="18"/>
              </w:rPr>
              <w:t>B.8.2</w:t>
            </w:r>
            <w:r>
              <w:rPr>
                <w:rFonts w:hint="eastAsia"/>
                <w:sz w:val="18"/>
                <w:szCs w:val="18"/>
              </w:rPr>
              <w:t>验收程序和组织</w:t>
            </w: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sz w:val="18"/>
                <w:szCs w:val="18"/>
              </w:rPr>
              <w:t>未按标准要求组织验收</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sz w:val="18"/>
                <w:szCs w:val="18"/>
              </w:rPr>
              <w:t>不及时组织验收；施工单位不及时报验，监理未正确处置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sz w:val="18"/>
                <w:szCs w:val="18"/>
              </w:rPr>
              <w:t>B.8.3</w:t>
            </w:r>
            <w:r>
              <w:rPr>
                <w:rFonts w:hint="eastAsia"/>
                <w:sz w:val="18"/>
                <w:szCs w:val="18"/>
              </w:rPr>
              <w:t>检验批（分项工程）及隐蔽工程验收</w:t>
            </w: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eastAsia="仿宋_GB2312"/>
                <w:sz w:val="18"/>
                <w:szCs w:val="18"/>
              </w:rPr>
              <w:t>▲</w:t>
            </w:r>
            <w:r>
              <w:rPr>
                <w:rFonts w:hint="eastAsia"/>
                <w:sz w:val="18"/>
                <w:szCs w:val="18"/>
              </w:rPr>
              <w:t>监理单位与建设单位或施工单位串通，弄虚作假，降低工程质量</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sz w:val="18"/>
                <w:szCs w:val="18"/>
              </w:rPr>
              <w:t>未按相关标准或工程质量验收划分方案进行验收；无监理检查记录</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sz w:val="18"/>
                <w:szCs w:val="18"/>
              </w:rPr>
              <w:t>验收记录不完整、不正确，或验收依据不足，监理未正确处置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rFonts w:cs="宋体"/>
                <w:sz w:val="18"/>
                <w:szCs w:val="18"/>
              </w:rPr>
              <w:t>4</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eastAsia="仿宋_GB2312"/>
                <w:sz w:val="18"/>
                <w:szCs w:val="18"/>
              </w:rPr>
              <w:t>▲</w:t>
            </w:r>
            <w:r>
              <w:rPr>
                <w:rFonts w:hint="eastAsia"/>
                <w:sz w:val="18"/>
                <w:szCs w:val="18"/>
              </w:rPr>
              <w:t>验收不合格，施工单位已进入下道工序施工，监理未正确处置</w:t>
            </w:r>
            <w:r>
              <w:rPr>
                <w:sz w:val="18"/>
                <w:szCs w:val="18"/>
              </w:rPr>
              <w:t xml:space="preserve">                 </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sz w:val="18"/>
                <w:szCs w:val="18"/>
              </w:rPr>
              <w:t>B.8.4</w:t>
            </w:r>
            <w:r>
              <w:rPr>
                <w:rFonts w:hint="eastAsia"/>
                <w:sz w:val="18"/>
                <w:szCs w:val="18"/>
              </w:rPr>
              <w:t>分部（子分部）工程验收</w:t>
            </w: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sz w:val="18"/>
                <w:szCs w:val="18"/>
              </w:rPr>
              <w:t>未对工程质量控制资料进行审核；质量控制资料不完整，监理未正确处置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sz w:val="18"/>
                <w:szCs w:val="18"/>
              </w:rPr>
              <w:t>未对工程有关安全、节能、环境保护和主要使用功能抽样检验报告进行审核；未按规定进行抽样检验，或抽样检验结果不符合要求，监理未正确处置</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sz w:val="18"/>
                <w:szCs w:val="18"/>
              </w:rPr>
              <w:t xml:space="preserve"> </w:t>
            </w: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sz w:val="18"/>
                <w:szCs w:val="18"/>
              </w:rPr>
              <w:t>未对工程观感质量进行验收；观感质量验收不符合要求，监理未正确处置</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sz w:val="18"/>
                <w:szCs w:val="18"/>
              </w:rPr>
              <w:t xml:space="preserve"> </w:t>
            </w: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jc w:val="left"/>
              <w:rPr>
                <w:sz w:val="18"/>
                <w:szCs w:val="18"/>
              </w:rPr>
            </w:pPr>
            <w:r>
              <w:rPr>
                <w:rFonts w:hint="eastAsia"/>
                <w:sz w:val="18"/>
                <w:szCs w:val="18"/>
              </w:rPr>
              <w:t>分部工程验收责任主体签字不齐全，监理未正确处置；无质量评估报告（地基与基础、主体结构、建筑节能等分部）；评估报告内容不符合要求，或评估依据不足，或验收意见不正确</w:t>
            </w:r>
            <w:r>
              <w:rPr>
                <w:sz w:val="18"/>
                <w:szCs w:val="18"/>
              </w:rPr>
              <w:t xml:space="preserve">                 </w:t>
            </w:r>
            <w:r>
              <w:rPr>
                <w:rFonts w:hint="eastAsia"/>
                <w:sz w:val="18"/>
                <w:szCs w:val="18"/>
              </w:rPr>
              <w:t>扣</w:t>
            </w:r>
            <w:r>
              <w:rPr>
                <w:sz w:val="18"/>
                <w:szCs w:val="18"/>
              </w:rPr>
              <w:t>1</w:t>
            </w:r>
            <w:r>
              <w:rPr>
                <w:rFonts w:hint="eastAsia" w:cs="宋体"/>
                <w:sz w:val="18"/>
                <w:szCs w:val="18"/>
              </w:rPr>
              <w:t>～</w:t>
            </w:r>
            <w:r>
              <w:rPr>
                <w:rFonts w:cs="宋体"/>
                <w:sz w:val="18"/>
                <w:szCs w:val="18"/>
              </w:rPr>
              <w:t>4</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exact"/>
              <w:rPr>
                <w:sz w:val="18"/>
                <w:szCs w:val="18"/>
              </w:rPr>
            </w:pPr>
            <w:r>
              <w:rPr>
                <w:rFonts w:hint="eastAsia"/>
                <w:sz w:val="18"/>
                <w:szCs w:val="18"/>
              </w:rPr>
              <w:t>分部工程验收资料不齐全，或验收记录内容不完整，监理未正确处置</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sz w:val="18"/>
                <w:szCs w:val="18"/>
              </w:rPr>
              <w:t>9</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rFonts w:hint="eastAsia"/>
                <w:sz w:val="18"/>
                <w:szCs w:val="18"/>
              </w:rPr>
              <w:t>工程</w:t>
            </w:r>
          </w:p>
          <w:p>
            <w:pPr>
              <w:spacing w:line="240" w:lineRule="exact"/>
              <w:jc w:val="center"/>
              <w:rPr>
                <w:sz w:val="18"/>
                <w:szCs w:val="18"/>
              </w:rPr>
            </w:pPr>
            <w:r>
              <w:rPr>
                <w:rFonts w:hint="eastAsia"/>
                <w:sz w:val="18"/>
                <w:szCs w:val="18"/>
              </w:rPr>
              <w:t>进度</w:t>
            </w: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sz w:val="18"/>
                <w:szCs w:val="18"/>
              </w:rPr>
              <w:t>B.9.1</w:t>
            </w:r>
            <w:r>
              <w:rPr>
                <w:rFonts w:hint="eastAsia"/>
                <w:sz w:val="18"/>
                <w:szCs w:val="18"/>
              </w:rPr>
              <w:t>进度计划审核</w:t>
            </w: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未按要求审核进度计划；进度计划报审资料不齐全，监理未正确处置</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2</w:t>
            </w:r>
            <w:r>
              <w:rPr>
                <w:rFonts w:hint="eastAsia"/>
                <w:sz w:val="18"/>
                <w:szCs w:val="18"/>
              </w:rPr>
              <w:t>分</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sz w:val="18"/>
                <w:szCs w:val="18"/>
              </w:rPr>
              <w:t>10</w:t>
            </w: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审核程序不符合要求；未在规定时限内审核</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color w:val="0000FF"/>
                <w:sz w:val="18"/>
                <w:szCs w:val="18"/>
              </w:rPr>
            </w:pPr>
            <w:r>
              <w:rPr>
                <w:rFonts w:hint="eastAsia"/>
                <w:sz w:val="18"/>
                <w:szCs w:val="18"/>
              </w:rPr>
              <w:t>审核后的进度计划未及时报建设单位</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sz w:val="18"/>
                <w:szCs w:val="18"/>
              </w:rPr>
              <w:t>B.9.2</w:t>
            </w:r>
            <w:r>
              <w:rPr>
                <w:rFonts w:hint="eastAsia"/>
                <w:sz w:val="18"/>
                <w:szCs w:val="18"/>
              </w:rPr>
              <w:t>进度实施控制</w:t>
            </w: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建设单位任意压缩合理的合同工期，监理未正确处置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未定期检查进度计划执行情况</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工程进度严重偏离计划，监理未正确处置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sz w:val="18"/>
                <w:szCs w:val="18"/>
              </w:rPr>
              <w:t>10</w:t>
            </w:r>
          </w:p>
        </w:tc>
        <w:tc>
          <w:tcPr>
            <w:tcW w:w="90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rFonts w:hint="eastAsia"/>
                <w:sz w:val="18"/>
                <w:szCs w:val="18"/>
              </w:rPr>
              <w:t>工程</w:t>
            </w:r>
          </w:p>
          <w:p>
            <w:pPr>
              <w:spacing w:line="240" w:lineRule="exact"/>
              <w:jc w:val="center"/>
              <w:rPr>
                <w:sz w:val="18"/>
                <w:szCs w:val="18"/>
              </w:rPr>
            </w:pPr>
            <w:r>
              <w:rPr>
                <w:rFonts w:hint="eastAsia"/>
                <w:sz w:val="18"/>
                <w:szCs w:val="18"/>
              </w:rPr>
              <w:t>造价</w:t>
            </w:r>
          </w:p>
        </w:tc>
        <w:tc>
          <w:tcPr>
            <w:tcW w:w="2185"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sz w:val="18"/>
                <w:szCs w:val="18"/>
              </w:rPr>
              <w:t>B.10.1</w:t>
            </w:r>
            <w:r>
              <w:rPr>
                <w:rFonts w:hint="eastAsia"/>
                <w:sz w:val="18"/>
                <w:szCs w:val="18"/>
              </w:rPr>
              <w:t>工程量计量</w:t>
            </w: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未按合同约定进行计量；工程未验收合格，监理已计量</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r>
              <w:rPr>
                <w:sz w:val="18"/>
                <w:szCs w:val="18"/>
              </w:rPr>
              <w:t>10</w:t>
            </w: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restart"/>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签证、计量不符合施工合同约定</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审核签认后未及时报建设单位</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84"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90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5"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sz w:val="18"/>
                <w:szCs w:val="18"/>
              </w:rPr>
              <w:t>B.10.2</w:t>
            </w:r>
            <w:r>
              <w:rPr>
                <w:rFonts w:hint="eastAsia"/>
                <w:sz w:val="18"/>
                <w:szCs w:val="18"/>
              </w:rPr>
              <w:t>工程款支付审核</w:t>
            </w:r>
          </w:p>
        </w:tc>
        <w:tc>
          <w:tcPr>
            <w:tcW w:w="8670" w:type="dxa"/>
            <w:gridSpan w:val="2"/>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未审核签字，或审核程序和签署的金额不符合施工合同及有关规定</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48"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sz w:val="18"/>
                <w:szCs w:val="18"/>
              </w:rPr>
            </w:pPr>
          </w:p>
        </w:tc>
        <w:tc>
          <w:tcPr>
            <w:tcW w:w="769"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3769" w:type="dxa"/>
            <w:gridSpan w:val="3"/>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可评分评价项目实得分之和：</w:t>
            </w:r>
          </w:p>
        </w:tc>
        <w:tc>
          <w:tcPr>
            <w:tcW w:w="5092"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可评分评价项目应得分之和：</w:t>
            </w:r>
          </w:p>
        </w:tc>
        <w:tc>
          <w:tcPr>
            <w:tcW w:w="5815" w:type="dxa"/>
            <w:gridSpan w:val="4"/>
            <w:tcBorders>
              <w:top w:val="single" w:color="auto" w:sz="4" w:space="0"/>
              <w:left w:val="single" w:color="auto" w:sz="4" w:space="0"/>
              <w:bottom w:val="single" w:color="auto" w:sz="4" w:space="0"/>
              <w:right w:val="single" w:color="auto" w:sz="4" w:space="0"/>
            </w:tcBorders>
            <w:noWrap w:val="0"/>
            <w:vAlign w:val="center"/>
          </w:tcPr>
          <w:p>
            <w:pPr>
              <w:spacing w:line="240" w:lineRule="exact"/>
              <w:rPr>
                <w:sz w:val="18"/>
                <w:szCs w:val="18"/>
              </w:rPr>
            </w:pPr>
            <w:r>
              <w:rPr>
                <w:rFonts w:hint="eastAsia"/>
                <w:sz w:val="18"/>
                <w:szCs w:val="18"/>
              </w:rPr>
              <w:t>本表得分（率）：</w:t>
            </w:r>
          </w:p>
        </w:tc>
      </w:tr>
    </w:tbl>
    <w:p>
      <w:pPr>
        <w:jc w:val="center"/>
        <w:rPr>
          <w:szCs w:val="21"/>
        </w:rPr>
      </w:pPr>
      <w:r>
        <w:rPr>
          <w:szCs w:val="21"/>
        </w:rPr>
        <w:t xml:space="preserve">     </w:t>
      </w:r>
    </w:p>
    <w:p>
      <w:pPr>
        <w:spacing w:line="360" w:lineRule="auto"/>
        <w:rPr>
          <w:szCs w:val="21"/>
        </w:rPr>
      </w:pPr>
      <w:r>
        <w:rPr>
          <w:rFonts w:hint="eastAsia"/>
          <w:szCs w:val="21"/>
        </w:rPr>
        <w:t>评分人员：</w:t>
      </w:r>
      <w:r>
        <w:rPr>
          <w:szCs w:val="21"/>
        </w:rPr>
        <w:t xml:space="preserve">                                                                                               </w:t>
      </w: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pPr>
        <w:spacing w:line="240" w:lineRule="atLeast"/>
        <w:ind w:firstLine="300" w:firstLineChars="200"/>
        <w:jc w:val="left"/>
        <w:rPr>
          <w:sz w:val="15"/>
          <w:szCs w:val="15"/>
        </w:rPr>
      </w:pPr>
    </w:p>
    <w:p>
      <w:pPr>
        <w:spacing w:line="360" w:lineRule="exact"/>
        <w:jc w:val="left"/>
        <w:rPr>
          <w:b/>
          <w:sz w:val="32"/>
          <w:szCs w:val="32"/>
        </w:rPr>
      </w:pPr>
      <w:r>
        <w:rPr>
          <w:rFonts w:hint="eastAsia"/>
          <w:b/>
          <w:sz w:val="32"/>
          <w:szCs w:val="32"/>
        </w:rPr>
        <w:t>表</w:t>
      </w:r>
      <w:r>
        <w:rPr>
          <w:b/>
          <w:sz w:val="32"/>
          <w:szCs w:val="32"/>
        </w:rPr>
        <w:t xml:space="preserve">C                           </w:t>
      </w:r>
      <w:r>
        <w:rPr>
          <w:rFonts w:hint="eastAsia"/>
          <w:b/>
          <w:sz w:val="32"/>
          <w:szCs w:val="32"/>
        </w:rPr>
        <w:t>工程竣工验收阶段监理工作评价表</w:t>
      </w:r>
      <w:r>
        <w:rPr>
          <w:b/>
          <w:sz w:val="32"/>
          <w:szCs w:val="32"/>
        </w:rPr>
        <w:t xml:space="preserve"> </w:t>
      </w:r>
      <w:r>
        <w:rPr>
          <w:b/>
          <w:color w:val="0000FF"/>
          <w:szCs w:val="21"/>
        </w:rPr>
        <w:t xml:space="preserve"> </w:t>
      </w:r>
    </w:p>
    <w:p>
      <w:pPr>
        <w:spacing w:before="156" w:beforeLines="50"/>
        <w:ind w:firstLine="480" w:firstLineChars="200"/>
        <w:rPr>
          <w:b/>
          <w:sz w:val="24"/>
        </w:rPr>
      </w:pPr>
      <w:r>
        <w:rPr>
          <w:rFonts w:hint="eastAsia"/>
          <w:sz w:val="24"/>
        </w:rPr>
        <w:t>工程项目名称：</w:t>
      </w:r>
      <w:r>
        <w:rPr>
          <w:sz w:val="24"/>
        </w:rPr>
        <w:t xml:space="preserve">                                                             </w:t>
      </w:r>
      <w:r>
        <w:rPr>
          <w:rFonts w:hint="eastAsia"/>
          <w:sz w:val="24"/>
        </w:rPr>
        <w:t>监理单位名称：</w:t>
      </w:r>
      <w:r>
        <w:rPr>
          <w:sz w:val="24"/>
        </w:rPr>
        <w:t xml:space="preserve">                                                 </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2"/>
        <w:gridCol w:w="1236"/>
        <w:gridCol w:w="2181"/>
        <w:gridCol w:w="1127"/>
        <w:gridCol w:w="5214"/>
        <w:gridCol w:w="1188"/>
        <w:gridCol w:w="722"/>
        <w:gridCol w:w="722"/>
        <w:gridCol w:w="7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restart"/>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序号</w:t>
            </w:r>
          </w:p>
        </w:tc>
        <w:tc>
          <w:tcPr>
            <w:tcW w:w="1236" w:type="dxa"/>
            <w:vMerge w:val="restart"/>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评价项目</w:t>
            </w:r>
          </w:p>
        </w:tc>
        <w:tc>
          <w:tcPr>
            <w:tcW w:w="2181" w:type="dxa"/>
            <w:vMerge w:val="restart"/>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评价内容</w:t>
            </w:r>
          </w:p>
        </w:tc>
        <w:tc>
          <w:tcPr>
            <w:tcW w:w="7529"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评分标准</w:t>
            </w:r>
          </w:p>
        </w:tc>
        <w:tc>
          <w:tcPr>
            <w:tcW w:w="2166" w:type="dxa"/>
            <w:gridSpan w:val="3"/>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评分（分）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529"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应得分</w:t>
            </w:r>
          </w:p>
        </w:tc>
        <w:tc>
          <w:tcPr>
            <w:tcW w:w="722"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扣减分</w:t>
            </w:r>
          </w:p>
        </w:tc>
        <w:tc>
          <w:tcPr>
            <w:tcW w:w="722"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sz w:val="18"/>
                <w:szCs w:val="18"/>
              </w:rPr>
            </w:pPr>
            <w:r>
              <w:rPr>
                <w:rFonts w:hint="eastAsia"/>
                <w:sz w:val="18"/>
                <w:szCs w:val="18"/>
              </w:rPr>
              <w:t>实得分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1</w:t>
            </w:r>
          </w:p>
        </w:tc>
        <w:tc>
          <w:tcPr>
            <w:tcW w:w="123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竣工</w:t>
            </w:r>
          </w:p>
          <w:p>
            <w:pPr>
              <w:jc w:val="center"/>
              <w:rPr>
                <w:sz w:val="18"/>
                <w:szCs w:val="18"/>
              </w:rPr>
            </w:pPr>
            <w:r>
              <w:rPr>
                <w:rFonts w:hint="eastAsia"/>
                <w:sz w:val="18"/>
                <w:szCs w:val="18"/>
              </w:rPr>
              <w:t>预验收</w:t>
            </w:r>
          </w:p>
        </w:tc>
        <w:tc>
          <w:tcPr>
            <w:tcW w:w="2181"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C.1.1</w:t>
            </w:r>
            <w:r>
              <w:rPr>
                <w:rFonts w:hint="eastAsia"/>
                <w:sz w:val="18"/>
                <w:szCs w:val="18"/>
              </w:rPr>
              <w:t>问题处理</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未对工程竣工资料进行审查</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20</w:t>
            </w: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发现工程质量、竣工资料存在问题，监理未及时提出整改意见</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未对工程质量、竣工资料存在问题的整改结果进行复查</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C.1.2</w:t>
            </w:r>
            <w:r>
              <w:rPr>
                <w:rFonts w:hint="eastAsia"/>
                <w:sz w:val="18"/>
                <w:szCs w:val="18"/>
              </w:rPr>
              <w:t>时效</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不及时组织竣工预验收；不及时签署竣工验收报审表</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C.1.2</w:t>
            </w:r>
            <w:r>
              <w:rPr>
                <w:rFonts w:hint="eastAsia"/>
                <w:sz w:val="18"/>
                <w:szCs w:val="18"/>
              </w:rPr>
              <w:t>编写工程质量评估报告</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质量评估报告内容不完整，依据不充分，结论不正确</w:t>
            </w:r>
            <w:r>
              <w:rPr>
                <w:sz w:val="18"/>
                <w:szCs w:val="18"/>
              </w:rPr>
              <w:t xml:space="preserve">                          </w:t>
            </w:r>
            <w:r>
              <w:rPr>
                <w:rFonts w:hint="eastAsia"/>
                <w:sz w:val="18"/>
                <w:szCs w:val="18"/>
              </w:rPr>
              <w:t>扣</w:t>
            </w:r>
            <w:r>
              <w:rPr>
                <w:sz w:val="18"/>
                <w:szCs w:val="18"/>
              </w:rPr>
              <w:t>1</w:t>
            </w:r>
            <w:r>
              <w:rPr>
                <w:rFonts w:hint="eastAsia" w:cs="宋体"/>
                <w:sz w:val="18"/>
                <w:szCs w:val="18"/>
              </w:rPr>
              <w:t>～</w:t>
            </w:r>
            <w:r>
              <w:rPr>
                <w:rFonts w:cs="宋体"/>
                <w:sz w:val="18"/>
                <w:szCs w:val="18"/>
              </w:rPr>
              <w:t>5</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黑体"/>
                <w:b/>
                <w:sz w:val="18"/>
                <w:szCs w:val="18"/>
              </w:rPr>
            </w:pPr>
            <w:r>
              <w:rPr>
                <w:rFonts w:hint="eastAsia"/>
                <w:sz w:val="18"/>
                <w:szCs w:val="18"/>
              </w:rPr>
              <w:t>质量评估报告未经监理企业技术负责人审核签字</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质量评估报告未及时报送建设单位</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2</w:t>
            </w:r>
          </w:p>
        </w:tc>
        <w:tc>
          <w:tcPr>
            <w:tcW w:w="123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竣工</w:t>
            </w:r>
          </w:p>
          <w:p>
            <w:pPr>
              <w:jc w:val="center"/>
              <w:rPr>
                <w:sz w:val="18"/>
                <w:szCs w:val="18"/>
              </w:rPr>
            </w:pPr>
            <w:r>
              <w:rPr>
                <w:rFonts w:hint="eastAsia"/>
                <w:sz w:val="18"/>
                <w:szCs w:val="18"/>
              </w:rPr>
              <w:t>验收</w:t>
            </w:r>
          </w:p>
        </w:tc>
        <w:tc>
          <w:tcPr>
            <w:tcW w:w="218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C.2.1</w:t>
            </w:r>
            <w:r>
              <w:rPr>
                <w:rFonts w:hint="eastAsia"/>
                <w:sz w:val="18"/>
                <w:szCs w:val="18"/>
              </w:rPr>
              <w:t>问题处理</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ind w:left="6660" w:hanging="6660" w:hangingChars="3700"/>
              <w:rPr>
                <w:sz w:val="18"/>
                <w:szCs w:val="18"/>
              </w:rPr>
            </w:pPr>
            <w:r>
              <w:rPr>
                <w:rFonts w:hint="eastAsia"/>
                <w:sz w:val="18"/>
                <w:szCs w:val="18"/>
              </w:rPr>
              <w:t>对验收中提出的问题未及时要求施工单位整改；问题整改后监理未及时复查</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6</w:t>
            </w: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C.2.2</w:t>
            </w:r>
            <w:r>
              <w:rPr>
                <w:rFonts w:hint="eastAsia"/>
                <w:sz w:val="18"/>
                <w:szCs w:val="18"/>
              </w:rPr>
              <w:t>验收签字</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b/>
                <w:sz w:val="18"/>
                <w:szCs w:val="18"/>
              </w:rPr>
            </w:pPr>
            <w:r>
              <w:rPr>
                <w:rFonts w:hint="eastAsia"/>
                <w:sz w:val="18"/>
                <w:szCs w:val="18"/>
              </w:rPr>
              <w:t>总监理工程师未参加竣工验收；未在竣工验收证明文件上签字</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3</w:t>
            </w:r>
          </w:p>
        </w:tc>
        <w:tc>
          <w:tcPr>
            <w:tcW w:w="1236"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竣工结算</w:t>
            </w:r>
          </w:p>
        </w:tc>
        <w:tc>
          <w:tcPr>
            <w:tcW w:w="218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C.3.1</w:t>
            </w:r>
            <w:r>
              <w:rPr>
                <w:rFonts w:hint="eastAsia"/>
                <w:sz w:val="18"/>
                <w:szCs w:val="18"/>
              </w:rPr>
              <w:t>竣工结算</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rFonts w:cs="宋体"/>
                <w:b/>
                <w:bCs/>
                <w:sz w:val="18"/>
                <w:szCs w:val="18"/>
              </w:rPr>
            </w:pPr>
            <w:r>
              <w:rPr>
                <w:rFonts w:hint="eastAsia"/>
                <w:sz w:val="18"/>
                <w:szCs w:val="18"/>
              </w:rPr>
              <w:t>未按合同约定及时审查施工单位提交的竣工结算申请并报建设单位</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3</w:t>
            </w: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4</w:t>
            </w:r>
          </w:p>
        </w:tc>
        <w:tc>
          <w:tcPr>
            <w:tcW w:w="123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监理</w:t>
            </w:r>
          </w:p>
          <w:p>
            <w:pPr>
              <w:jc w:val="center"/>
              <w:rPr>
                <w:sz w:val="18"/>
                <w:szCs w:val="18"/>
              </w:rPr>
            </w:pPr>
            <w:r>
              <w:rPr>
                <w:rFonts w:hint="eastAsia"/>
                <w:sz w:val="18"/>
                <w:szCs w:val="18"/>
              </w:rPr>
              <w:t>工作总结</w:t>
            </w:r>
          </w:p>
        </w:tc>
        <w:tc>
          <w:tcPr>
            <w:tcW w:w="2181"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C.4.1</w:t>
            </w:r>
            <w:r>
              <w:rPr>
                <w:rFonts w:hint="eastAsia"/>
                <w:sz w:val="18"/>
                <w:szCs w:val="18"/>
              </w:rPr>
              <w:t>编写总结</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监理工作结束后，未及时编写监理工作总结</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5</w:t>
            </w: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监理工作总结的内容不符合监理规范等要求</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5</w:t>
            </w:r>
          </w:p>
        </w:tc>
        <w:tc>
          <w:tcPr>
            <w:tcW w:w="123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监理</w:t>
            </w:r>
          </w:p>
          <w:p>
            <w:pPr>
              <w:jc w:val="center"/>
              <w:rPr>
                <w:sz w:val="18"/>
                <w:szCs w:val="18"/>
              </w:rPr>
            </w:pPr>
            <w:r>
              <w:rPr>
                <w:rFonts w:hint="eastAsia"/>
                <w:sz w:val="18"/>
                <w:szCs w:val="18"/>
              </w:rPr>
              <w:t>文件资料</w:t>
            </w:r>
          </w:p>
        </w:tc>
        <w:tc>
          <w:tcPr>
            <w:tcW w:w="2181"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C.5.1 </w:t>
            </w:r>
            <w:r>
              <w:rPr>
                <w:rFonts w:hint="eastAsia"/>
                <w:sz w:val="18"/>
                <w:szCs w:val="18"/>
              </w:rPr>
              <w:t>时效</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未按规定完成监理文件资料的整理</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6</w:t>
            </w: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未及时将监理文件资料向建设单位移交</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未及时将监理文件资料向监理单位移交</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6</w:t>
            </w:r>
          </w:p>
        </w:tc>
        <w:tc>
          <w:tcPr>
            <w:tcW w:w="123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结束期</w:t>
            </w:r>
          </w:p>
          <w:p>
            <w:pPr>
              <w:jc w:val="center"/>
              <w:rPr>
                <w:sz w:val="18"/>
                <w:szCs w:val="18"/>
              </w:rPr>
            </w:pPr>
            <w:r>
              <w:rPr>
                <w:rFonts w:hint="eastAsia"/>
                <w:sz w:val="18"/>
                <w:szCs w:val="18"/>
              </w:rPr>
              <w:t>工作</w:t>
            </w:r>
          </w:p>
        </w:tc>
        <w:tc>
          <w:tcPr>
            <w:tcW w:w="218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C.6.1</w:t>
            </w:r>
            <w:r>
              <w:rPr>
                <w:rFonts w:hint="eastAsia"/>
                <w:sz w:val="18"/>
                <w:szCs w:val="18"/>
              </w:rPr>
              <w:t>办理业务手册</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未及时办理监理业务手册</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2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10</w:t>
            </w: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66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23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181"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C.6.2</w:t>
            </w:r>
            <w:r>
              <w:rPr>
                <w:rFonts w:hint="eastAsia"/>
                <w:sz w:val="18"/>
                <w:szCs w:val="18"/>
              </w:rPr>
              <w:t>监理工作评价</w:t>
            </w:r>
          </w:p>
        </w:tc>
        <w:tc>
          <w:tcPr>
            <w:tcW w:w="7529"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建设单位满意度评测</w:t>
            </w:r>
            <w:r>
              <w:rPr>
                <w:sz w:val="18"/>
                <w:szCs w:val="18"/>
              </w:rPr>
              <w:t xml:space="preserve">                                                      </w:t>
            </w:r>
            <w:r>
              <w:rPr>
                <w:rFonts w:hint="eastAsia"/>
                <w:sz w:val="18"/>
                <w:szCs w:val="18"/>
              </w:rPr>
              <w:t>扣</w:t>
            </w:r>
            <w:r>
              <w:rPr>
                <w:sz w:val="18"/>
                <w:szCs w:val="18"/>
              </w:rPr>
              <w:t>1</w:t>
            </w:r>
            <w:r>
              <w:rPr>
                <w:rFonts w:hint="eastAsia" w:cs="宋体"/>
                <w:sz w:val="18"/>
                <w:szCs w:val="18"/>
              </w:rPr>
              <w:t>～</w:t>
            </w:r>
            <w:r>
              <w:rPr>
                <w:sz w:val="18"/>
                <w:szCs w:val="18"/>
              </w:rPr>
              <w:t>8</w:t>
            </w:r>
            <w:r>
              <w:rPr>
                <w:rFonts w:hint="eastAsia"/>
                <w:sz w:val="18"/>
                <w:szCs w:val="18"/>
              </w:rPr>
              <w:t>分</w:t>
            </w: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22"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2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5206" w:type="dxa"/>
            <w:gridSpan w:val="4"/>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可评分评价项目实得分之和：</w:t>
            </w:r>
          </w:p>
        </w:tc>
        <w:tc>
          <w:tcPr>
            <w:tcW w:w="5214"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可评分评价项目应得分之和：</w:t>
            </w:r>
          </w:p>
        </w:tc>
        <w:tc>
          <w:tcPr>
            <w:tcW w:w="3354" w:type="dxa"/>
            <w:gridSpan w:val="4"/>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本表得分（率）：</w:t>
            </w:r>
            <w:r>
              <w:rPr>
                <w:sz w:val="18"/>
                <w:szCs w:val="18"/>
              </w:rPr>
              <w:t xml:space="preserve">  </w:t>
            </w:r>
          </w:p>
        </w:tc>
      </w:tr>
    </w:tbl>
    <w:p>
      <w:pPr>
        <w:spacing w:line="480" w:lineRule="auto"/>
        <w:jc w:val="center"/>
        <w:rPr>
          <w:szCs w:val="21"/>
        </w:rPr>
      </w:pPr>
      <w:r>
        <w:rPr>
          <w:rFonts w:hint="eastAsia"/>
          <w:szCs w:val="21"/>
        </w:rPr>
        <w:t>评分人员：</w:t>
      </w:r>
      <w:r>
        <w:rPr>
          <w:szCs w:val="21"/>
        </w:rPr>
        <w:t xml:space="preserve">                                                                                                  </w:t>
      </w: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pPr>
        <w:widowControl/>
        <w:jc w:val="left"/>
        <w:rPr>
          <w:szCs w:val="21"/>
        </w:rPr>
        <w:sectPr>
          <w:pgSz w:w="16838" w:h="11906" w:orient="landscape"/>
          <w:pgMar w:top="1531" w:right="1418" w:bottom="1134" w:left="1418" w:header="567" w:footer="567" w:gutter="0"/>
          <w:cols w:space="720" w:num="1"/>
          <w:docGrid w:type="lines" w:linePitch="312" w:charSpace="0"/>
        </w:sectPr>
      </w:pPr>
    </w:p>
    <w:p>
      <w:pPr>
        <w:ind w:firstLine="643" w:firstLineChars="200"/>
        <w:rPr>
          <w:b/>
          <w:sz w:val="32"/>
          <w:szCs w:val="32"/>
        </w:rPr>
      </w:pPr>
      <w:r>
        <w:rPr>
          <w:rFonts w:hint="eastAsia"/>
          <w:b/>
          <w:sz w:val="32"/>
          <w:szCs w:val="32"/>
        </w:rPr>
        <w:t>表</w:t>
      </w:r>
      <w:r>
        <w:rPr>
          <w:b/>
          <w:sz w:val="32"/>
          <w:szCs w:val="32"/>
        </w:rPr>
        <w:t xml:space="preserve">D                         </w:t>
      </w:r>
      <w:r>
        <w:rPr>
          <w:rFonts w:hint="eastAsia"/>
          <w:b/>
          <w:sz w:val="32"/>
          <w:szCs w:val="32"/>
        </w:rPr>
        <w:t>施工合同管理监理工作评价表</w:t>
      </w:r>
      <w:r>
        <w:rPr>
          <w:b/>
          <w:sz w:val="32"/>
          <w:szCs w:val="32"/>
        </w:rPr>
        <w:t xml:space="preserve">                            </w:t>
      </w:r>
    </w:p>
    <w:p>
      <w:pPr>
        <w:ind w:firstLine="480" w:firstLineChars="200"/>
        <w:rPr>
          <w:b/>
          <w:sz w:val="32"/>
          <w:szCs w:val="32"/>
        </w:rPr>
      </w:pPr>
      <w:r>
        <w:rPr>
          <w:rFonts w:hint="eastAsia"/>
          <w:sz w:val="24"/>
        </w:rPr>
        <w:t>工程项目名称：</w:t>
      </w:r>
      <w:r>
        <w:rPr>
          <w:sz w:val="24"/>
        </w:rPr>
        <w:t xml:space="preserve">                                                             </w:t>
      </w:r>
      <w:r>
        <w:rPr>
          <w:rFonts w:hint="eastAsia"/>
          <w:sz w:val="24"/>
        </w:rPr>
        <w:t>监理单位名称：</w:t>
      </w:r>
      <w:r>
        <w:rPr>
          <w:sz w:val="24"/>
        </w:rPr>
        <w:t xml:space="preserve">                                                      </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7"/>
        <w:gridCol w:w="1016"/>
        <w:gridCol w:w="2272"/>
        <w:gridCol w:w="1303"/>
        <w:gridCol w:w="5258"/>
        <w:gridCol w:w="1263"/>
        <w:gridCol w:w="733"/>
        <w:gridCol w:w="733"/>
        <w:gridCol w:w="7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66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序号</w:t>
            </w:r>
          </w:p>
        </w:tc>
        <w:tc>
          <w:tcPr>
            <w:tcW w:w="101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评价项目</w:t>
            </w:r>
          </w:p>
        </w:tc>
        <w:tc>
          <w:tcPr>
            <w:tcW w:w="2272"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评价内容</w:t>
            </w:r>
          </w:p>
        </w:tc>
        <w:tc>
          <w:tcPr>
            <w:tcW w:w="7824"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评分标准</w:t>
            </w:r>
          </w:p>
        </w:tc>
        <w:tc>
          <w:tcPr>
            <w:tcW w:w="2222"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评分（分）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 w:hRule="atLeas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24"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应得分</w:t>
            </w: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扣减分</w:t>
            </w:r>
          </w:p>
        </w:tc>
        <w:tc>
          <w:tcPr>
            <w:tcW w:w="756"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实得分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1</w:t>
            </w:r>
          </w:p>
        </w:tc>
        <w:tc>
          <w:tcPr>
            <w:tcW w:w="101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施工</w:t>
            </w:r>
          </w:p>
          <w:p>
            <w:pPr>
              <w:jc w:val="center"/>
              <w:rPr>
                <w:sz w:val="18"/>
                <w:szCs w:val="18"/>
              </w:rPr>
            </w:pPr>
            <w:r>
              <w:rPr>
                <w:rFonts w:hint="eastAsia"/>
                <w:sz w:val="18"/>
                <w:szCs w:val="18"/>
              </w:rPr>
              <w:t>合同</w:t>
            </w:r>
          </w:p>
        </w:tc>
        <w:tc>
          <w:tcPr>
            <w:tcW w:w="2272"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D.1.1</w:t>
            </w:r>
            <w:r>
              <w:rPr>
                <w:rFonts w:hint="eastAsia"/>
                <w:sz w:val="18"/>
                <w:szCs w:val="18"/>
              </w:rPr>
              <w:t>合同管理</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未建立施工合同管理台账</w:t>
            </w:r>
            <w:r>
              <w:rPr>
                <w:sz w:val="18"/>
                <w:szCs w:val="18"/>
              </w:rPr>
              <w:t xml:space="preserve">                                                      </w:t>
            </w:r>
            <w:r>
              <w:rPr>
                <w:rFonts w:hint="eastAsia"/>
                <w:sz w:val="18"/>
                <w:szCs w:val="18"/>
              </w:rPr>
              <w:t>扣</w:t>
            </w:r>
            <w:r>
              <w:rPr>
                <w:sz w:val="18"/>
                <w:szCs w:val="18"/>
              </w:rPr>
              <w:t>1</w:t>
            </w:r>
            <w:r>
              <w:rPr>
                <w:rFonts w:hint="eastAsia"/>
                <w:sz w:val="18"/>
                <w:szCs w:val="18"/>
              </w:rPr>
              <w:t>分</w:t>
            </w:r>
          </w:p>
        </w:tc>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5</w:t>
            </w: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施工合同及相关资料不齐全，监理未正确处置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未签订施工（分包）合同就施工，监理未正确处置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2</w:t>
            </w:r>
          </w:p>
        </w:tc>
        <w:tc>
          <w:tcPr>
            <w:tcW w:w="101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合同履约情况</w:t>
            </w:r>
          </w:p>
        </w:tc>
        <w:tc>
          <w:tcPr>
            <w:tcW w:w="2272"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D.2.1</w:t>
            </w:r>
            <w:r>
              <w:rPr>
                <w:rFonts w:hint="eastAsia"/>
                <w:sz w:val="18"/>
                <w:szCs w:val="18"/>
              </w:rPr>
              <w:t>合同履约</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施工单位未按施工合同约定配备人员、设备等，监理未正确处置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10</w:t>
            </w: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未按施工合同约定的工期完工，监理未正确处置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工程质量未达到合同约定的质量标准，监理未正确处置</w:t>
            </w:r>
            <w:r>
              <w:rPr>
                <w:sz w:val="18"/>
                <w:szCs w:val="18"/>
              </w:rPr>
              <w:t xml:space="preserve">                             </w:t>
            </w:r>
            <w:r>
              <w:rPr>
                <w:rFonts w:hint="eastAsia"/>
                <w:sz w:val="18"/>
                <w:szCs w:val="18"/>
              </w:rPr>
              <w:t>扣</w:t>
            </w:r>
            <w:r>
              <w:rPr>
                <w:sz w:val="18"/>
                <w:szCs w:val="18"/>
              </w:rPr>
              <w:t>4</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3</w:t>
            </w:r>
          </w:p>
        </w:tc>
        <w:tc>
          <w:tcPr>
            <w:tcW w:w="101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工程暂停及复工</w:t>
            </w:r>
          </w:p>
        </w:tc>
        <w:tc>
          <w:tcPr>
            <w:tcW w:w="2272"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D.3.1</w:t>
            </w:r>
            <w:r>
              <w:rPr>
                <w:rFonts w:hint="eastAsia"/>
                <w:sz w:val="18"/>
                <w:szCs w:val="18"/>
              </w:rPr>
              <w:t>签发暂停令</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工程发生必须暂停施工的情况，总监未及时签发暂停令或未正确处置</w:t>
            </w:r>
            <w:r>
              <w:rPr>
                <w:sz w:val="18"/>
                <w:szCs w:val="18"/>
              </w:rPr>
              <w:t xml:space="preserve">                 </w:t>
            </w:r>
            <w:r>
              <w:rPr>
                <w:rFonts w:hint="eastAsia"/>
                <w:sz w:val="18"/>
                <w:szCs w:val="18"/>
              </w:rPr>
              <w:t>扣</w:t>
            </w:r>
            <w:r>
              <w:rPr>
                <w:sz w:val="18"/>
                <w:szCs w:val="18"/>
              </w:rPr>
              <w:t>5</w:t>
            </w:r>
            <w:r>
              <w:rPr>
                <w:rFonts w:hint="eastAsia"/>
                <w:sz w:val="18"/>
                <w:szCs w:val="18"/>
              </w:rPr>
              <w:t>分</w:t>
            </w:r>
          </w:p>
        </w:tc>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15</w:t>
            </w: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5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工程暂停令未明确停工范围，或签发手续不符合监理规范或监理合同</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工程暂停令应用不当</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D.3.2 </w:t>
            </w:r>
            <w:r>
              <w:rPr>
                <w:rFonts w:hint="eastAsia"/>
                <w:sz w:val="18"/>
                <w:szCs w:val="18"/>
              </w:rPr>
              <w:t>签发复工令</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ind w:left="6840" w:hanging="6840" w:hangingChars="3800"/>
              <w:rPr>
                <w:sz w:val="18"/>
                <w:szCs w:val="18"/>
              </w:rPr>
            </w:pPr>
            <w:r>
              <w:rPr>
                <w:rFonts w:hint="eastAsia"/>
                <w:sz w:val="18"/>
                <w:szCs w:val="18"/>
              </w:rPr>
              <w:t>具备复工条件，监理未及时要求施工单位复工，或未及时签发复工令</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 xml:space="preserve"> </w:t>
            </w: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ind w:left="6840" w:hanging="6840" w:hangingChars="3800"/>
              <w:rPr>
                <w:sz w:val="18"/>
                <w:szCs w:val="18"/>
              </w:rPr>
            </w:pPr>
            <w:r>
              <w:rPr>
                <w:rFonts w:hint="eastAsia"/>
                <w:sz w:val="18"/>
                <w:szCs w:val="18"/>
              </w:rPr>
              <w:t>未经建设单位批准，总监已签发复工令</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D.3.3 </w:t>
            </w:r>
            <w:r>
              <w:rPr>
                <w:rFonts w:hint="eastAsia"/>
                <w:sz w:val="18"/>
                <w:szCs w:val="18"/>
              </w:rPr>
              <w:t>相关事项处理</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未及时处理因工程暂停引起的涉及工期、费用等有关问题</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4</w:t>
            </w:r>
          </w:p>
        </w:tc>
        <w:tc>
          <w:tcPr>
            <w:tcW w:w="101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工程</w:t>
            </w:r>
          </w:p>
          <w:p>
            <w:pPr>
              <w:jc w:val="center"/>
              <w:rPr>
                <w:sz w:val="18"/>
                <w:szCs w:val="18"/>
              </w:rPr>
            </w:pPr>
            <w:r>
              <w:rPr>
                <w:rFonts w:hint="eastAsia"/>
                <w:sz w:val="18"/>
                <w:szCs w:val="18"/>
              </w:rPr>
              <w:t>变更</w:t>
            </w:r>
          </w:p>
        </w:tc>
        <w:tc>
          <w:tcPr>
            <w:tcW w:w="2272" w:type="dxa"/>
            <w:vMerge w:val="restart"/>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D.4.1 </w:t>
            </w:r>
            <w:r>
              <w:rPr>
                <w:rFonts w:hint="eastAsia"/>
                <w:sz w:val="18"/>
                <w:szCs w:val="18"/>
              </w:rPr>
              <w:t>审查、评估</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未对施工单位提出的工程变更进行审查</w:t>
            </w:r>
            <w:r>
              <w:rPr>
                <w:sz w:val="18"/>
                <w:szCs w:val="18"/>
              </w:rPr>
              <w:t xml:space="preserve">                                          </w:t>
            </w:r>
            <w:r>
              <w:rPr>
                <w:rFonts w:hint="eastAsia"/>
                <w:sz w:val="18"/>
                <w:szCs w:val="18"/>
              </w:rPr>
              <w:t>扣</w:t>
            </w:r>
            <w:r>
              <w:rPr>
                <w:sz w:val="18"/>
                <w:szCs w:val="18"/>
              </w:rPr>
              <w:t>4</w:t>
            </w:r>
            <w:r>
              <w:rPr>
                <w:rFonts w:hint="eastAsia"/>
                <w:sz w:val="18"/>
                <w:szCs w:val="18"/>
              </w:rPr>
              <w:t>分</w:t>
            </w:r>
          </w:p>
        </w:tc>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10</w:t>
            </w: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未对建设单位提出的工程变更进行评估</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D.4.2 </w:t>
            </w:r>
            <w:r>
              <w:rPr>
                <w:rFonts w:hint="eastAsia"/>
                <w:sz w:val="18"/>
                <w:szCs w:val="18"/>
              </w:rPr>
              <w:t>监管</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未办妥工程变更手续已施工，监理未正确处置</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D.4.3 </w:t>
            </w:r>
            <w:r>
              <w:rPr>
                <w:rFonts w:hint="eastAsia"/>
                <w:sz w:val="18"/>
                <w:szCs w:val="18"/>
              </w:rPr>
              <w:t>相关事项处理</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未及时处理因工程变更引起的涉及工期、费用等有关问题</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5</w:t>
            </w:r>
          </w:p>
        </w:tc>
        <w:tc>
          <w:tcPr>
            <w:tcW w:w="101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rFonts w:hint="eastAsia"/>
                <w:sz w:val="18"/>
                <w:szCs w:val="18"/>
              </w:rPr>
              <w:t>费用</w:t>
            </w:r>
          </w:p>
          <w:p>
            <w:pPr>
              <w:jc w:val="center"/>
              <w:rPr>
                <w:sz w:val="18"/>
                <w:szCs w:val="18"/>
              </w:rPr>
            </w:pPr>
            <w:r>
              <w:rPr>
                <w:rFonts w:hint="eastAsia"/>
                <w:sz w:val="18"/>
                <w:szCs w:val="18"/>
              </w:rPr>
              <w:t>索赔</w:t>
            </w:r>
          </w:p>
        </w:tc>
        <w:tc>
          <w:tcPr>
            <w:tcW w:w="2272"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D.5.1 </w:t>
            </w:r>
            <w:r>
              <w:rPr>
                <w:rFonts w:hint="eastAsia"/>
                <w:sz w:val="18"/>
                <w:szCs w:val="18"/>
              </w:rPr>
              <w:t>收集资料</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未及时收集与工程索赔有关资料</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5</w:t>
            </w: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2272"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D.5.2 </w:t>
            </w:r>
            <w:r>
              <w:rPr>
                <w:rFonts w:hint="eastAsia"/>
                <w:sz w:val="18"/>
                <w:szCs w:val="18"/>
              </w:rPr>
              <w:t>索赔审查</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ind w:left="6840" w:hanging="6840" w:hangingChars="3800"/>
              <w:rPr>
                <w:sz w:val="18"/>
                <w:szCs w:val="18"/>
              </w:rPr>
            </w:pPr>
            <w:r>
              <w:rPr>
                <w:rFonts w:hint="eastAsia"/>
                <w:sz w:val="18"/>
                <w:szCs w:val="18"/>
              </w:rPr>
              <w:t>未按合同约定或相关规定处理索赔</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7"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6</w:t>
            </w:r>
          </w:p>
        </w:tc>
        <w:tc>
          <w:tcPr>
            <w:tcW w:w="101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pacing w:val="-6"/>
                <w:sz w:val="18"/>
                <w:szCs w:val="18"/>
              </w:rPr>
            </w:pPr>
            <w:r>
              <w:rPr>
                <w:rFonts w:hint="eastAsia"/>
                <w:spacing w:val="-6"/>
                <w:sz w:val="18"/>
                <w:szCs w:val="18"/>
              </w:rPr>
              <w:t>工程</w:t>
            </w:r>
          </w:p>
          <w:p>
            <w:pPr>
              <w:jc w:val="center"/>
              <w:rPr>
                <w:spacing w:val="-6"/>
                <w:sz w:val="18"/>
                <w:szCs w:val="18"/>
              </w:rPr>
            </w:pPr>
            <w:r>
              <w:rPr>
                <w:rFonts w:hint="eastAsia"/>
                <w:spacing w:val="-6"/>
                <w:sz w:val="18"/>
                <w:szCs w:val="18"/>
              </w:rPr>
              <w:t>延期</w:t>
            </w:r>
          </w:p>
        </w:tc>
        <w:tc>
          <w:tcPr>
            <w:tcW w:w="2272"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D.6.1 </w:t>
            </w:r>
            <w:r>
              <w:rPr>
                <w:rFonts w:hint="eastAsia"/>
                <w:sz w:val="18"/>
                <w:szCs w:val="18"/>
              </w:rPr>
              <w:t>收集资料</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未及时收集与工程延期有关资料</w:t>
            </w:r>
            <w:r>
              <w:rPr>
                <w:sz w:val="18"/>
                <w:szCs w:val="18"/>
              </w:rPr>
              <w:t xml:space="preserve">                                                </w:t>
            </w:r>
            <w:r>
              <w:rPr>
                <w:rFonts w:hint="eastAsia"/>
                <w:sz w:val="18"/>
                <w:szCs w:val="18"/>
              </w:rPr>
              <w:t>扣</w:t>
            </w:r>
            <w:r>
              <w:rPr>
                <w:sz w:val="18"/>
                <w:szCs w:val="18"/>
              </w:rPr>
              <w:t>2</w:t>
            </w:r>
            <w:r>
              <w:rPr>
                <w:rFonts w:hint="eastAsia"/>
                <w:sz w:val="18"/>
                <w:szCs w:val="18"/>
              </w:rPr>
              <w:t>分</w:t>
            </w:r>
          </w:p>
        </w:tc>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r>
              <w:rPr>
                <w:sz w:val="18"/>
                <w:szCs w:val="18"/>
              </w:rPr>
              <w:t>5</w:t>
            </w: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667"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101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pacing w:val="-6"/>
                <w:sz w:val="18"/>
                <w:szCs w:val="18"/>
              </w:rPr>
            </w:pPr>
          </w:p>
        </w:tc>
        <w:tc>
          <w:tcPr>
            <w:tcW w:w="2272"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sz w:val="18"/>
                <w:szCs w:val="18"/>
              </w:rPr>
              <w:t xml:space="preserve">D.6.2 </w:t>
            </w:r>
            <w:r>
              <w:rPr>
                <w:rFonts w:hint="eastAsia"/>
                <w:sz w:val="18"/>
                <w:szCs w:val="18"/>
              </w:rPr>
              <w:t>延期审查</w:t>
            </w:r>
          </w:p>
        </w:tc>
        <w:tc>
          <w:tcPr>
            <w:tcW w:w="7824"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黑体"/>
                <w:b/>
                <w:sz w:val="18"/>
                <w:szCs w:val="18"/>
              </w:rPr>
            </w:pPr>
            <w:r>
              <w:rPr>
                <w:rFonts w:hint="eastAsia"/>
                <w:sz w:val="18"/>
                <w:szCs w:val="18"/>
              </w:rPr>
              <w:t>未按合同约定或相关规定处理工程延期</w:t>
            </w:r>
            <w:r>
              <w:rPr>
                <w:sz w:val="18"/>
                <w:szCs w:val="18"/>
              </w:rPr>
              <w:t xml:space="preserve">                                          </w:t>
            </w:r>
            <w:r>
              <w:rPr>
                <w:rFonts w:hint="eastAsia"/>
                <w:sz w:val="18"/>
                <w:szCs w:val="18"/>
              </w:rPr>
              <w:t>扣</w:t>
            </w:r>
            <w:r>
              <w:rPr>
                <w:sz w:val="18"/>
                <w:szCs w:val="18"/>
              </w:rPr>
              <w:t>3</w:t>
            </w:r>
            <w:r>
              <w:rPr>
                <w:rFonts w:hint="eastAsia"/>
                <w:sz w:val="18"/>
                <w:szCs w:val="18"/>
              </w:rPr>
              <w:t>分</w:t>
            </w:r>
          </w:p>
        </w:tc>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c>
          <w:tcPr>
            <w:tcW w:w="733" w:type="dxa"/>
            <w:tcBorders>
              <w:top w:val="single" w:color="auto" w:sz="4" w:space="0"/>
              <w:left w:val="single" w:color="auto" w:sz="4" w:space="0"/>
              <w:bottom w:val="single" w:color="auto" w:sz="4" w:space="0"/>
              <w:right w:val="single" w:color="auto" w:sz="4" w:space="0"/>
            </w:tcBorders>
            <w:noWrap w:val="0"/>
            <w:vAlign w:val="center"/>
          </w:tcPr>
          <w:p>
            <w:pPr>
              <w:jc w:val="center"/>
              <w:rPr>
                <w:sz w:val="18"/>
                <w:szCs w:val="18"/>
              </w:rPr>
            </w:pPr>
          </w:p>
        </w:tc>
        <w:tc>
          <w:tcPr>
            <w:tcW w:w="756"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5258" w:type="dxa"/>
            <w:gridSpan w:val="4"/>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可评分评价项目实得分之和：</w:t>
            </w:r>
          </w:p>
        </w:tc>
        <w:tc>
          <w:tcPr>
            <w:tcW w:w="5258" w:type="dxa"/>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可评分评价项目应得分之和：</w:t>
            </w:r>
            <w:r>
              <w:rPr>
                <w:sz w:val="18"/>
                <w:szCs w:val="18"/>
              </w:rPr>
              <w:t xml:space="preserve"> </w:t>
            </w:r>
          </w:p>
        </w:tc>
        <w:tc>
          <w:tcPr>
            <w:tcW w:w="3485" w:type="dxa"/>
            <w:gridSpan w:val="4"/>
            <w:tcBorders>
              <w:top w:val="single" w:color="auto" w:sz="4" w:space="0"/>
              <w:left w:val="single" w:color="auto" w:sz="4" w:space="0"/>
              <w:bottom w:val="single" w:color="auto" w:sz="4" w:space="0"/>
              <w:right w:val="single" w:color="auto" w:sz="4" w:space="0"/>
            </w:tcBorders>
            <w:noWrap w:val="0"/>
            <w:vAlign w:val="center"/>
          </w:tcPr>
          <w:p>
            <w:pPr>
              <w:rPr>
                <w:sz w:val="18"/>
                <w:szCs w:val="18"/>
              </w:rPr>
            </w:pPr>
            <w:r>
              <w:rPr>
                <w:rFonts w:hint="eastAsia"/>
                <w:sz w:val="18"/>
                <w:szCs w:val="18"/>
              </w:rPr>
              <w:t>本表得分（率）：</w:t>
            </w:r>
          </w:p>
        </w:tc>
      </w:tr>
    </w:tbl>
    <w:p>
      <w:pPr>
        <w:jc w:val="center"/>
        <w:rPr>
          <w:szCs w:val="21"/>
        </w:rPr>
      </w:pPr>
    </w:p>
    <w:p>
      <w:pPr>
        <w:spacing w:line="360" w:lineRule="auto"/>
        <w:jc w:val="center"/>
        <w:rPr>
          <w:b/>
          <w:sz w:val="32"/>
          <w:szCs w:val="32"/>
        </w:rPr>
      </w:pPr>
      <w:r>
        <w:rPr>
          <w:rFonts w:hint="eastAsia"/>
          <w:szCs w:val="21"/>
        </w:rPr>
        <w:t>评分人员：</w:t>
      </w:r>
      <w:r>
        <w:rPr>
          <w:szCs w:val="21"/>
        </w:rPr>
        <w:t xml:space="preserve">                                                                                                  </w:t>
      </w:r>
      <w:r>
        <w:rPr>
          <w:rFonts w:hint="eastAsia"/>
          <w:szCs w:val="21"/>
        </w:rPr>
        <w:t>日期：</w:t>
      </w: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pPr>
        <w:widowControl/>
        <w:spacing w:line="360" w:lineRule="auto"/>
        <w:jc w:val="left"/>
        <w:rPr>
          <w:b/>
          <w:sz w:val="32"/>
          <w:szCs w:val="32"/>
        </w:rPr>
        <w:sectPr>
          <w:pgSz w:w="16838" w:h="11906" w:orient="landscape"/>
          <w:pgMar w:top="737" w:right="851" w:bottom="737" w:left="851" w:header="567" w:footer="567" w:gutter="0"/>
          <w:cols w:space="720" w:num="1"/>
          <w:docGrid w:type="lines" w:linePitch="312" w:charSpace="0"/>
        </w:sectPr>
      </w:pPr>
    </w:p>
    <w:p>
      <w:pPr>
        <w:spacing w:after="156" w:afterLines="50" w:line="480" w:lineRule="exact"/>
        <w:ind w:firstLine="643" w:firstLineChars="200"/>
        <w:rPr>
          <w:sz w:val="24"/>
        </w:rPr>
      </w:pPr>
      <w:r>
        <w:rPr>
          <w:rFonts w:hint="eastAsia"/>
          <w:b/>
          <w:sz w:val="32"/>
          <w:szCs w:val="32"/>
        </w:rPr>
        <w:t>表</w:t>
      </w:r>
      <w:r>
        <w:rPr>
          <w:b/>
          <w:sz w:val="32"/>
          <w:szCs w:val="32"/>
        </w:rPr>
        <w:t xml:space="preserve">E           </w:t>
      </w:r>
      <w:r>
        <w:rPr>
          <w:rFonts w:hint="eastAsia"/>
          <w:b/>
          <w:sz w:val="32"/>
          <w:szCs w:val="32"/>
        </w:rPr>
        <w:t>项目监理机构工作评价总表</w:t>
      </w:r>
    </w:p>
    <w:p>
      <w:pPr>
        <w:spacing w:line="480" w:lineRule="exact"/>
        <w:ind w:firstLine="480" w:firstLineChars="200"/>
        <w:rPr>
          <w:sz w:val="24"/>
        </w:rPr>
      </w:pPr>
      <w:r>
        <w:rPr>
          <w:rFonts w:hint="eastAsia"/>
          <w:sz w:val="24"/>
        </w:rPr>
        <w:t>工程项目名称：</w:t>
      </w:r>
    </w:p>
    <w:p>
      <w:pPr>
        <w:spacing w:line="480" w:lineRule="exact"/>
        <w:ind w:firstLine="480" w:firstLineChars="200"/>
        <w:rPr>
          <w:sz w:val="24"/>
        </w:rPr>
      </w:pPr>
      <w:r>
        <w:rPr>
          <w:rFonts w:hint="eastAsia"/>
          <w:sz w:val="24"/>
        </w:rPr>
        <w:t>工程专业类别、等级：</w:t>
      </w:r>
    </w:p>
    <w:p>
      <w:pPr>
        <w:spacing w:line="480" w:lineRule="exact"/>
        <w:ind w:firstLine="480" w:firstLineChars="200"/>
        <w:rPr>
          <w:sz w:val="24"/>
        </w:rPr>
      </w:pPr>
      <w:r>
        <w:rPr>
          <w:rFonts w:hint="eastAsia"/>
          <w:sz w:val="24"/>
        </w:rPr>
        <w:t>工程监理单位名称：</w:t>
      </w:r>
    </w:p>
    <w:p>
      <w:pPr>
        <w:spacing w:after="156" w:afterLines="50" w:line="480" w:lineRule="exact"/>
        <w:ind w:firstLine="480" w:firstLineChars="200"/>
        <w:rPr>
          <w:sz w:val="24"/>
        </w:rPr>
      </w:pPr>
      <w:r>
        <w:rPr>
          <w:rFonts w:hint="eastAsia"/>
          <w:sz w:val="24"/>
        </w:rPr>
        <w:t>总监理工程师姓名及其执业证书号：</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7"/>
        <w:gridCol w:w="36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7" w:hRule="atLeast"/>
        </w:trPr>
        <w:tc>
          <w:tcPr>
            <w:tcW w:w="8688" w:type="dxa"/>
            <w:gridSpan w:val="2"/>
            <w:tcBorders>
              <w:top w:val="single" w:color="auto" w:sz="4" w:space="0"/>
              <w:left w:val="single" w:color="auto" w:sz="4" w:space="0"/>
              <w:bottom w:val="single" w:color="auto" w:sz="4" w:space="0"/>
              <w:right w:val="single" w:color="auto" w:sz="4" w:space="0"/>
            </w:tcBorders>
            <w:noWrap w:val="0"/>
            <w:vAlign w:val="top"/>
          </w:tcPr>
          <w:p>
            <w:pPr>
              <w:spacing w:line="240" w:lineRule="atLeast"/>
              <w:rPr>
                <w:sz w:val="10"/>
                <w:szCs w:val="10"/>
              </w:rPr>
            </w:pPr>
          </w:p>
          <w:p>
            <w:pPr>
              <w:spacing w:line="240" w:lineRule="atLeast"/>
              <w:rPr>
                <w:sz w:val="24"/>
              </w:rPr>
            </w:pPr>
            <w:r>
              <w:rPr>
                <w:rFonts w:hint="eastAsia"/>
                <w:sz w:val="24"/>
              </w:rPr>
              <w:t>一、本次评价属于：</w:t>
            </w:r>
          </w:p>
          <w:p>
            <w:pPr>
              <w:spacing w:line="400" w:lineRule="exact"/>
              <w:ind w:firstLine="480"/>
              <w:rPr>
                <w:sz w:val="24"/>
              </w:rPr>
            </w:pPr>
            <w:r>
              <w:rPr>
                <w:rFonts w:hint="eastAsia"/>
                <w:sz w:val="24"/>
              </w:rPr>
              <w:t>□　</w:t>
            </w:r>
            <w:r>
              <w:rPr>
                <w:sz w:val="24"/>
              </w:rPr>
              <w:t xml:space="preserve"> </w:t>
            </w:r>
            <w:r>
              <w:rPr>
                <w:rFonts w:hint="eastAsia"/>
                <w:sz w:val="24"/>
              </w:rPr>
              <w:t>项目监理机构自我评价</w:t>
            </w:r>
          </w:p>
          <w:p>
            <w:pPr>
              <w:spacing w:line="400" w:lineRule="exact"/>
              <w:ind w:firstLine="480"/>
              <w:rPr>
                <w:sz w:val="24"/>
              </w:rPr>
            </w:pPr>
            <w:r>
              <w:rPr>
                <w:rFonts w:hint="eastAsia"/>
                <w:sz w:val="24"/>
              </w:rPr>
              <w:t>□</w:t>
            </w:r>
            <w:r>
              <w:rPr>
                <w:sz w:val="24"/>
              </w:rPr>
              <w:t xml:space="preserve"> </w:t>
            </w:r>
            <w:r>
              <w:rPr>
                <w:rFonts w:hint="eastAsia"/>
                <w:sz w:val="24"/>
              </w:rPr>
              <w:t>　监理单位对项目监理机构工作的考核评价</w:t>
            </w:r>
          </w:p>
          <w:p>
            <w:pPr>
              <w:spacing w:line="400" w:lineRule="exact"/>
              <w:ind w:firstLine="480"/>
              <w:rPr>
                <w:sz w:val="24"/>
              </w:rPr>
            </w:pPr>
            <w:r>
              <w:rPr>
                <w:rFonts w:hint="eastAsia"/>
                <w:sz w:val="24"/>
              </w:rPr>
              <w:t>□</w:t>
            </w:r>
            <w:r>
              <w:rPr>
                <w:sz w:val="24"/>
              </w:rPr>
              <w:t xml:space="preserve"> </w:t>
            </w:r>
            <w:r>
              <w:rPr>
                <w:rFonts w:hint="eastAsia"/>
                <w:sz w:val="24"/>
              </w:rPr>
              <w:t>　建设单位对项目监理机构工作的考核评价</w:t>
            </w:r>
          </w:p>
          <w:p>
            <w:pPr>
              <w:spacing w:line="400" w:lineRule="exact"/>
              <w:ind w:firstLine="480" w:firstLineChars="200"/>
              <w:rPr>
                <w:sz w:val="24"/>
              </w:rPr>
            </w:pPr>
            <w:r>
              <w:rPr>
                <w:rFonts w:hint="eastAsia"/>
                <w:sz w:val="24"/>
              </w:rPr>
              <w:t>□　</w:t>
            </w:r>
            <w:r>
              <w:rPr>
                <w:sz w:val="24"/>
              </w:rPr>
              <w:t xml:space="preserve"> __________________________  </w:t>
            </w:r>
            <w:r>
              <w:rPr>
                <w:rFonts w:hint="eastAsia"/>
                <w:sz w:val="24"/>
              </w:rPr>
              <w:t>监督检查</w:t>
            </w:r>
          </w:p>
          <w:p>
            <w:pPr>
              <w:spacing w:line="400" w:lineRule="exact"/>
              <w:rPr>
                <w:sz w:val="24"/>
              </w:rPr>
            </w:pPr>
            <w:r>
              <w:rPr>
                <w:rFonts w:hint="eastAsia"/>
                <w:sz w:val="24"/>
              </w:rPr>
              <w:t>二、工程形象进度：</w:t>
            </w:r>
            <w:r>
              <w:rPr>
                <w:sz w:val="24"/>
              </w:rPr>
              <w:t xml:space="preserve"> </w:t>
            </w:r>
          </w:p>
          <w:p>
            <w:pPr>
              <w:spacing w:line="400" w:lineRule="exact"/>
              <w:rPr>
                <w:sz w:val="24"/>
              </w:rPr>
            </w:pPr>
          </w:p>
          <w:p>
            <w:pPr>
              <w:spacing w:line="400" w:lineRule="exact"/>
              <w:rPr>
                <w:sz w:val="24"/>
              </w:rPr>
            </w:pPr>
            <w:r>
              <w:rPr>
                <w:rFonts w:hint="eastAsia"/>
                <w:sz w:val="24"/>
              </w:rPr>
              <w:t>三、项目监理机构工作评价：</w:t>
            </w:r>
          </w:p>
          <w:p>
            <w:pPr>
              <w:numPr>
                <w:ilvl w:val="0"/>
                <w:numId w:val="2"/>
              </w:numPr>
              <w:spacing w:line="400" w:lineRule="exact"/>
              <w:rPr>
                <w:sz w:val="24"/>
              </w:rPr>
            </w:pPr>
            <w:r>
              <w:rPr>
                <w:rFonts w:hint="eastAsia"/>
                <w:sz w:val="24"/>
              </w:rPr>
              <w:t>各单项表评价得分（率）及总得分（率）</w:t>
            </w:r>
          </w:p>
          <w:p>
            <w:pPr>
              <w:numPr>
                <w:ilvl w:val="0"/>
                <w:numId w:val="3"/>
              </w:numPr>
              <w:spacing w:line="400" w:lineRule="exact"/>
              <w:rPr>
                <w:sz w:val="24"/>
              </w:rPr>
            </w:pPr>
            <w:r>
              <w:rPr>
                <w:rFonts w:hint="eastAsia"/>
                <w:sz w:val="24"/>
              </w:rPr>
              <w:t>工程施工准备阶段监理工作得分（率）：</w:t>
            </w:r>
            <w:r>
              <w:rPr>
                <w:sz w:val="24"/>
                <w:u w:val="single"/>
              </w:rPr>
              <w:t xml:space="preserve">                    </w:t>
            </w:r>
          </w:p>
          <w:p>
            <w:pPr>
              <w:numPr>
                <w:ilvl w:val="0"/>
                <w:numId w:val="3"/>
              </w:numPr>
              <w:spacing w:line="400" w:lineRule="exact"/>
              <w:rPr>
                <w:sz w:val="24"/>
              </w:rPr>
            </w:pPr>
            <w:r>
              <w:rPr>
                <w:rFonts w:hint="eastAsia"/>
                <w:sz w:val="24"/>
              </w:rPr>
              <w:t>工程施工阶段监理工作得分（率）：</w:t>
            </w:r>
            <w:r>
              <w:rPr>
                <w:sz w:val="24"/>
              </w:rPr>
              <w:t xml:space="preserve">    </w:t>
            </w:r>
            <w:r>
              <w:rPr>
                <w:sz w:val="24"/>
                <w:u w:val="single"/>
              </w:rPr>
              <w:t xml:space="preserve">                    </w:t>
            </w:r>
          </w:p>
          <w:p>
            <w:pPr>
              <w:numPr>
                <w:ilvl w:val="0"/>
                <w:numId w:val="3"/>
              </w:numPr>
              <w:spacing w:line="400" w:lineRule="exact"/>
              <w:rPr>
                <w:sz w:val="24"/>
              </w:rPr>
            </w:pPr>
            <w:r>
              <w:rPr>
                <w:rFonts w:hint="eastAsia"/>
                <w:sz w:val="24"/>
              </w:rPr>
              <w:t>工程竣工验收阶段监理工作得分（率）：</w:t>
            </w:r>
            <w:r>
              <w:rPr>
                <w:sz w:val="24"/>
                <w:u w:val="single"/>
              </w:rPr>
              <w:t xml:space="preserve">                    </w:t>
            </w:r>
          </w:p>
          <w:p>
            <w:pPr>
              <w:numPr>
                <w:ilvl w:val="0"/>
                <w:numId w:val="3"/>
              </w:numPr>
              <w:spacing w:line="400" w:lineRule="exact"/>
              <w:rPr>
                <w:sz w:val="24"/>
              </w:rPr>
            </w:pPr>
            <w:r>
              <w:rPr>
                <w:rFonts w:hint="eastAsia"/>
                <w:sz w:val="24"/>
              </w:rPr>
              <w:t>施工合同管理监理工作得分（率）：</w:t>
            </w:r>
            <w:r>
              <w:rPr>
                <w:sz w:val="24"/>
              </w:rPr>
              <w:t xml:space="preserve">    </w:t>
            </w:r>
            <w:r>
              <w:rPr>
                <w:sz w:val="24"/>
                <w:u w:val="single"/>
              </w:rPr>
              <w:t xml:space="preserve">                    </w:t>
            </w:r>
          </w:p>
          <w:p>
            <w:pPr>
              <w:numPr>
                <w:ilvl w:val="0"/>
                <w:numId w:val="3"/>
              </w:numPr>
              <w:spacing w:line="400" w:lineRule="exact"/>
              <w:rPr>
                <w:sz w:val="24"/>
              </w:rPr>
            </w:pPr>
            <w:r>
              <w:rPr>
                <w:rFonts w:hint="eastAsia"/>
                <w:sz w:val="24"/>
              </w:rPr>
              <w:t>评价总得分（率）：</w:t>
            </w:r>
            <w:r>
              <w:rPr>
                <w:sz w:val="24"/>
              </w:rPr>
              <w:t xml:space="preserve">                  </w:t>
            </w:r>
            <w:r>
              <w:rPr>
                <w:sz w:val="24"/>
                <w:u w:val="single"/>
              </w:rPr>
              <w:t xml:space="preserve">                    </w:t>
            </w:r>
          </w:p>
          <w:p>
            <w:pPr>
              <w:numPr>
                <w:ilvl w:val="0"/>
                <w:numId w:val="2"/>
              </w:numPr>
              <w:spacing w:line="400" w:lineRule="exact"/>
              <w:rPr>
                <w:sz w:val="24"/>
              </w:rPr>
            </w:pPr>
            <w:r>
              <w:rPr>
                <w:rFonts w:hint="eastAsia"/>
                <w:sz w:val="24"/>
              </w:rPr>
              <w:t>项目监理机构评价等级：</w:t>
            </w:r>
          </w:p>
          <w:p>
            <w:pPr>
              <w:spacing w:line="400" w:lineRule="exact"/>
              <w:ind w:firstLine="480" w:firstLineChars="200"/>
              <w:rPr>
                <w:sz w:val="24"/>
              </w:rPr>
            </w:pPr>
            <w:r>
              <w:rPr>
                <w:rFonts w:hint="eastAsia"/>
                <w:sz w:val="24"/>
              </w:rPr>
              <w:t>□　优秀</w:t>
            </w:r>
          </w:p>
          <w:p>
            <w:pPr>
              <w:spacing w:line="400" w:lineRule="exact"/>
              <w:ind w:firstLine="480" w:firstLineChars="200"/>
              <w:rPr>
                <w:sz w:val="24"/>
              </w:rPr>
            </w:pPr>
            <w:r>
              <w:rPr>
                <w:rFonts w:hint="eastAsia"/>
                <w:sz w:val="24"/>
              </w:rPr>
              <w:t>□　良好</w:t>
            </w:r>
          </w:p>
          <w:p>
            <w:pPr>
              <w:spacing w:line="400" w:lineRule="exact"/>
              <w:ind w:firstLine="480"/>
              <w:rPr>
                <w:sz w:val="24"/>
              </w:rPr>
            </w:pPr>
            <w:r>
              <w:rPr>
                <w:rFonts w:hint="eastAsia"/>
                <w:sz w:val="24"/>
              </w:rPr>
              <w:t>□</w:t>
            </w:r>
            <w:r>
              <w:rPr>
                <w:sz w:val="24"/>
              </w:rPr>
              <w:t xml:space="preserve">  </w:t>
            </w:r>
            <w:r>
              <w:rPr>
                <w:rFonts w:hint="eastAsia"/>
                <w:sz w:val="24"/>
              </w:rPr>
              <w:t>一般</w:t>
            </w:r>
          </w:p>
          <w:p>
            <w:pPr>
              <w:tabs>
                <w:tab w:val="left" w:pos="3234"/>
              </w:tabs>
              <w:spacing w:after="156" w:afterLines="50" w:line="400" w:lineRule="exact"/>
              <w:ind w:firstLine="480" w:firstLineChars="200"/>
              <w:rPr>
                <w:sz w:val="24"/>
              </w:rPr>
            </w:pPr>
            <w:r>
              <w:rPr>
                <w:rFonts w:hint="eastAsia"/>
                <w:sz w:val="24"/>
              </w:rPr>
              <w:t>□　差</w:t>
            </w:r>
            <w:r>
              <w:rPr>
                <w:sz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5007" w:type="dxa"/>
            <w:tcBorders>
              <w:top w:val="single" w:color="auto" w:sz="4" w:space="0"/>
              <w:left w:val="single" w:color="auto" w:sz="4" w:space="0"/>
              <w:bottom w:val="single" w:color="auto" w:sz="4" w:space="0"/>
              <w:right w:val="single" w:color="auto" w:sz="4" w:space="0"/>
            </w:tcBorders>
            <w:noWrap w:val="0"/>
            <w:vAlign w:val="top"/>
          </w:tcPr>
          <w:p>
            <w:pPr>
              <w:jc w:val="left"/>
              <w:rPr>
                <w:sz w:val="24"/>
              </w:rPr>
            </w:pPr>
          </w:p>
          <w:p>
            <w:pPr>
              <w:jc w:val="left"/>
              <w:rPr>
                <w:sz w:val="24"/>
              </w:rPr>
            </w:pPr>
            <w:r>
              <w:rPr>
                <w:rFonts w:hint="eastAsia"/>
                <w:sz w:val="24"/>
              </w:rPr>
              <w:t>评分人员：</w:t>
            </w:r>
          </w:p>
          <w:p>
            <w:pPr>
              <w:rPr>
                <w:szCs w:val="21"/>
              </w:rPr>
            </w:pPr>
            <w:r>
              <w:rPr>
                <w:rFonts w:hint="eastAsia"/>
                <w:sz w:val="24"/>
              </w:rPr>
              <w:t>（签</w:t>
            </w:r>
            <w:r>
              <w:rPr>
                <w:sz w:val="24"/>
              </w:rPr>
              <w:t xml:space="preserve"> </w:t>
            </w:r>
            <w:r>
              <w:rPr>
                <w:rFonts w:hint="eastAsia"/>
                <w:sz w:val="24"/>
              </w:rPr>
              <w:t>名）</w:t>
            </w:r>
          </w:p>
          <w:p>
            <w:pPr>
              <w:jc w:val="left"/>
              <w:rPr>
                <w:szCs w:val="21"/>
              </w:rPr>
            </w:pPr>
            <w:r>
              <w:rPr>
                <w:szCs w:val="21"/>
              </w:rPr>
              <w:t xml:space="preserve">    </w:t>
            </w:r>
          </w:p>
          <w:p>
            <w:pPr>
              <w:jc w:val="left"/>
              <w:rPr>
                <w:szCs w:val="21"/>
              </w:rPr>
            </w:pPr>
          </w:p>
          <w:p>
            <w:pPr>
              <w:jc w:val="left"/>
              <w:rPr>
                <w:szCs w:val="21"/>
              </w:rPr>
            </w:pPr>
          </w:p>
          <w:p>
            <w:pPr>
              <w:spacing w:after="156" w:afterLines="50"/>
              <w:jc w:val="right"/>
              <w:rPr>
                <w:sz w:val="24"/>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c>
          <w:tcPr>
            <w:tcW w:w="3681" w:type="dxa"/>
            <w:tcBorders>
              <w:top w:val="single" w:color="auto" w:sz="4" w:space="0"/>
              <w:left w:val="single" w:color="auto" w:sz="4" w:space="0"/>
              <w:bottom w:val="single" w:color="auto" w:sz="4" w:space="0"/>
              <w:right w:val="single" w:color="auto" w:sz="4" w:space="0"/>
            </w:tcBorders>
            <w:noWrap w:val="0"/>
            <w:vAlign w:val="top"/>
          </w:tcPr>
          <w:p>
            <w:pPr>
              <w:rPr>
                <w:sz w:val="24"/>
              </w:rPr>
            </w:pPr>
          </w:p>
          <w:p>
            <w:pPr>
              <w:jc w:val="left"/>
              <w:rPr>
                <w:sz w:val="24"/>
              </w:rPr>
            </w:pPr>
            <w:r>
              <w:rPr>
                <w:szCs w:val="21"/>
              </w:rPr>
              <w:t xml:space="preserve"> </w:t>
            </w:r>
            <w:r>
              <w:rPr>
                <w:rFonts w:hint="eastAsia"/>
                <w:sz w:val="24"/>
              </w:rPr>
              <w:t>总监理工程师：</w:t>
            </w:r>
          </w:p>
          <w:p>
            <w:pPr>
              <w:rPr>
                <w:szCs w:val="21"/>
              </w:rPr>
            </w:pPr>
            <w:r>
              <w:rPr>
                <w:rFonts w:hint="eastAsia"/>
                <w:sz w:val="24"/>
              </w:rPr>
              <w:t>（签</w:t>
            </w:r>
            <w:r>
              <w:rPr>
                <w:sz w:val="24"/>
              </w:rPr>
              <w:t xml:space="preserve"> </w:t>
            </w:r>
            <w:r>
              <w:rPr>
                <w:rFonts w:hint="eastAsia"/>
                <w:sz w:val="24"/>
              </w:rPr>
              <w:t>名）</w:t>
            </w:r>
            <w:r>
              <w:rPr>
                <w:szCs w:val="21"/>
              </w:rPr>
              <w:t xml:space="preserve">                       </w:t>
            </w:r>
          </w:p>
          <w:p>
            <w:pPr>
              <w:ind w:firstLine="3465" w:firstLineChars="1650"/>
              <w:rPr>
                <w:szCs w:val="21"/>
              </w:rPr>
            </w:pPr>
            <w:r>
              <w:rPr>
                <w:szCs w:val="21"/>
              </w:rPr>
              <w:t xml:space="preserve">   </w:t>
            </w:r>
          </w:p>
          <w:p>
            <w:pPr>
              <w:rPr>
                <w:szCs w:val="21"/>
              </w:rPr>
            </w:pPr>
          </w:p>
          <w:p>
            <w:pPr>
              <w:rPr>
                <w:szCs w:val="21"/>
              </w:rPr>
            </w:pPr>
          </w:p>
          <w:p>
            <w:pPr>
              <w:rPr>
                <w:szCs w:val="21"/>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pPr>
        <w:spacing w:line="460" w:lineRule="exact"/>
        <w:jc w:val="center"/>
        <w:rPr>
          <w:rFonts w:ascii="Times New Roman" w:hAnsi="Times New Roman" w:eastAsia="方正小标宋_GBK"/>
          <w:sz w:val="36"/>
          <w:szCs w:val="36"/>
        </w:rPr>
      </w:pPr>
      <w:r>
        <w:rPr>
          <w:rFonts w:eastAsia="方正黑体_GBK"/>
          <w:snapToGrid w:val="0"/>
          <w:kern w:val="0"/>
          <w:sz w:val="32"/>
        </w:rPr>
        <w:br w:type="page"/>
      </w:r>
      <w:bookmarkStart w:id="486" w:name="_Toc20726561"/>
      <w:bookmarkStart w:id="487" w:name="_Toc18315703"/>
      <w:r>
        <w:rPr>
          <w:rFonts w:hint="eastAsia" w:eastAsia="方正小标宋_GBK"/>
          <w:snapToGrid w:val="0"/>
          <w:kern w:val="0"/>
          <w:sz w:val="36"/>
          <w:szCs w:val="36"/>
        </w:rPr>
        <w:t>江苏省住房和城乡建设厅关于</w:t>
      </w:r>
      <w:r>
        <w:rPr>
          <w:rFonts w:hint="eastAsia" w:ascii="Times New Roman" w:hAnsi="Times New Roman" w:eastAsia="方正小标宋_GBK"/>
          <w:sz w:val="36"/>
          <w:szCs w:val="36"/>
        </w:rPr>
        <w:t>试行调整部分</w:t>
      </w:r>
    </w:p>
    <w:p>
      <w:pPr>
        <w:spacing w:line="460" w:lineRule="exact"/>
        <w:jc w:val="center"/>
        <w:rPr>
          <w:rFonts w:hint="eastAsia" w:eastAsia="方正小标宋_GBK"/>
          <w:snapToGrid w:val="0"/>
          <w:kern w:val="0"/>
          <w:sz w:val="36"/>
          <w:szCs w:val="36"/>
        </w:rPr>
      </w:pPr>
      <w:r>
        <w:rPr>
          <w:rFonts w:hint="eastAsia" w:ascii="Times New Roman" w:hAnsi="Times New Roman" w:eastAsia="方正小标宋_GBK"/>
          <w:sz w:val="36"/>
          <w:szCs w:val="36"/>
        </w:rPr>
        <w:t>建筑业企业资质承包工程范围</w:t>
      </w:r>
      <w:r>
        <w:rPr>
          <w:rFonts w:hint="eastAsia" w:eastAsia="方正小标宋_GBK"/>
          <w:snapToGrid w:val="0"/>
          <w:kern w:val="0"/>
          <w:sz w:val="36"/>
          <w:szCs w:val="36"/>
        </w:rPr>
        <w:t>的</w:t>
      </w:r>
      <w:r>
        <w:rPr>
          <w:rFonts w:hint="eastAsia" w:ascii="Times New Roman" w:hAnsi="Times New Roman" w:eastAsia="方正小标宋_GBK"/>
          <w:sz w:val="36"/>
          <w:szCs w:val="36"/>
        </w:rPr>
        <w:t>通知</w:t>
      </w:r>
    </w:p>
    <w:p>
      <w:pPr>
        <w:pStyle w:val="3"/>
        <w:spacing w:before="312" w:beforeLines="100" w:after="312" w:afterLines="100" w:line="240" w:lineRule="auto"/>
        <w:jc w:val="center"/>
        <w:rPr>
          <w:rFonts w:ascii="Times New Roman" w:hAnsi="Times New Roman" w:eastAsia="方正楷体_GBK"/>
          <w:b w:val="0"/>
          <w:sz w:val="24"/>
          <w:szCs w:val="24"/>
        </w:rPr>
      </w:pPr>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2019</w:t>
      </w:r>
      <w:r>
        <w:rPr>
          <w:rFonts w:hint="eastAsia" w:ascii="Times New Roman" w:hAnsi="Times New Roman" w:eastAsia="方正楷体_GBK"/>
          <w:b w:val="0"/>
          <w:sz w:val="24"/>
          <w:szCs w:val="24"/>
        </w:rPr>
        <w:t>〕</w:t>
      </w:r>
      <w:r>
        <w:rPr>
          <w:rFonts w:ascii="Times New Roman" w:hAnsi="Times New Roman" w:eastAsia="方正楷体_GBK"/>
          <w:b w:val="0"/>
          <w:sz w:val="24"/>
          <w:szCs w:val="24"/>
        </w:rPr>
        <w:t>1</w:t>
      </w:r>
      <w:r>
        <w:rPr>
          <w:rFonts w:hint="eastAsia" w:ascii="Times New Roman" w:hAnsi="Times New Roman" w:eastAsia="方正楷体_GBK"/>
          <w:b w:val="0"/>
          <w:sz w:val="24"/>
          <w:szCs w:val="24"/>
        </w:rPr>
        <w:t>号</w:t>
      </w:r>
      <w:bookmarkEnd w:id="486"/>
      <w:bookmarkEnd w:id="487"/>
    </w:p>
    <w:p>
      <w:pPr>
        <w:spacing w:line="460" w:lineRule="exact"/>
        <w:rPr>
          <w:rFonts w:eastAsia="方正仿宋_GBK"/>
          <w:snapToGrid w:val="0"/>
          <w:kern w:val="32"/>
          <w:sz w:val="24"/>
        </w:rPr>
      </w:pPr>
      <w:r>
        <w:rPr>
          <w:rFonts w:hint="eastAsia" w:ascii="Times New Roman" w:hAnsi="Times New Roman" w:eastAsia="方正仿宋_GBK" w:cs="宋体"/>
          <w:kern w:val="0"/>
          <w:sz w:val="32"/>
          <w:szCs w:val="32"/>
        </w:rPr>
        <w:t xml:space="preserve">   </w:t>
      </w:r>
      <w:r>
        <w:rPr>
          <w:rFonts w:hint="eastAsia" w:ascii="Times New Roman" w:hAnsi="Times New Roman" w:eastAsia="方正仿宋_GBK" w:cs="宋体"/>
          <w:kern w:val="0"/>
          <w:sz w:val="24"/>
        </w:rPr>
        <w:t xml:space="preserve"> 为进一步落实建筑业“放管服”改革要求，推动建筑业快速发展，</w:t>
      </w:r>
      <w:r>
        <w:rPr>
          <w:rFonts w:hint="eastAsia" w:ascii="Times New Roman" w:hAnsi="Times New Roman" w:eastAsia="方正仿宋_GBK" w:cs="方正仿宋_GBK"/>
          <w:sz w:val="24"/>
        </w:rPr>
        <w:t>根据《国务院办公厅关于促进建筑业持续健康发展的意见》（国办发〔2017〕19号）和《省政府关于促进建筑业改革发展的意见》（苏政发〔2017〕151号）</w:t>
      </w:r>
      <w:r>
        <w:rPr>
          <w:rFonts w:hint="eastAsia" w:ascii="Times New Roman" w:hAnsi="Times New Roman" w:eastAsia="方正仿宋_GBK"/>
          <w:sz w:val="24"/>
        </w:rPr>
        <w:t>的</w:t>
      </w:r>
      <w:r>
        <w:rPr>
          <w:rFonts w:hint="eastAsia" w:ascii="Times New Roman" w:hAnsi="Times New Roman" w:eastAsia="方正仿宋_GBK" w:cs="方正仿宋_GBK"/>
          <w:sz w:val="24"/>
        </w:rPr>
        <w:t>精神，我厅制定了</w:t>
      </w:r>
      <w:r>
        <w:rPr>
          <w:rFonts w:hint="eastAsia" w:ascii="Times New Roman" w:eastAsia="方正仿宋_GBK"/>
          <w:sz w:val="24"/>
        </w:rPr>
        <w:t>《江苏省住房和城乡建设厅关于试行调整部分建筑业企业资质承包工程范围的通知》，经2018年12月厅常务会议审议通过，现予印发，自2019年3月1日起施行。</w:t>
      </w:r>
    </w:p>
    <w:p>
      <w:pPr>
        <w:autoSpaceDE w:val="0"/>
        <w:autoSpaceDN w:val="0"/>
        <w:snapToGrid w:val="0"/>
        <w:spacing w:line="460" w:lineRule="exact"/>
        <w:ind w:firstLine="624"/>
        <w:rPr>
          <w:rFonts w:ascii="Times New Roman" w:eastAsia="方正仿宋_GBK"/>
          <w:snapToGrid w:val="0"/>
          <w:kern w:val="0"/>
          <w:sz w:val="24"/>
        </w:rPr>
      </w:pPr>
    </w:p>
    <w:p>
      <w:pPr>
        <w:autoSpaceDE w:val="0"/>
        <w:autoSpaceDN w:val="0"/>
        <w:snapToGrid w:val="0"/>
        <w:spacing w:line="460" w:lineRule="exact"/>
        <w:ind w:right="660" w:firstLine="1418"/>
        <w:jc w:val="right"/>
        <w:rPr>
          <w:rFonts w:hint="eastAsia" w:ascii="Times New Roman" w:eastAsia="方正仿宋_GBK"/>
          <w:snapToGrid w:val="0"/>
          <w:kern w:val="0"/>
          <w:sz w:val="24"/>
        </w:rPr>
      </w:pPr>
      <w:r>
        <w:rPr>
          <w:rFonts w:hint="eastAsia" w:ascii="Times New Roman" w:eastAsia="方正仿宋_GBK"/>
          <w:snapToGrid w:val="0"/>
          <w:kern w:val="0"/>
          <w:sz w:val="24"/>
        </w:rPr>
        <w:t xml:space="preserve"> 江苏省住房和城乡建设厅</w:t>
      </w:r>
    </w:p>
    <w:p>
      <w:pPr>
        <w:autoSpaceDE w:val="0"/>
        <w:autoSpaceDN w:val="0"/>
        <w:snapToGrid w:val="0"/>
        <w:spacing w:line="460" w:lineRule="exact"/>
        <w:ind w:right="1260" w:firstLine="624"/>
        <w:rPr>
          <w:rFonts w:hint="eastAsia" w:ascii="Times New Roman" w:eastAsia="方正仿宋_GBK"/>
          <w:snapToGrid w:val="0"/>
          <w:kern w:val="0"/>
          <w:sz w:val="24"/>
        </w:rPr>
      </w:pPr>
      <w:r>
        <w:rPr>
          <w:rFonts w:hint="eastAsia" w:ascii="Times New Roman" w:eastAsia="方正仿宋_GBK"/>
          <w:snapToGrid w:val="0"/>
          <w:kern w:val="0"/>
          <w:sz w:val="24"/>
        </w:rPr>
        <w:t xml:space="preserve">                                           2019年  月  日</w:t>
      </w:r>
    </w:p>
    <w:p>
      <w:pPr>
        <w:spacing w:line="460" w:lineRule="exact"/>
        <w:jc w:val="center"/>
        <w:rPr>
          <w:rFonts w:hint="eastAsia" w:eastAsia="方正小标宋_GBK"/>
          <w:snapToGrid w:val="0"/>
          <w:kern w:val="0"/>
          <w:sz w:val="24"/>
        </w:rPr>
      </w:pPr>
    </w:p>
    <w:p>
      <w:pPr>
        <w:spacing w:line="460" w:lineRule="exact"/>
        <w:jc w:val="center"/>
        <w:rPr>
          <w:rFonts w:eastAsia="方正小标宋_GBK"/>
          <w:snapToGrid w:val="0"/>
          <w:kern w:val="0"/>
          <w:sz w:val="24"/>
        </w:rPr>
      </w:pPr>
    </w:p>
    <w:p>
      <w:pPr>
        <w:spacing w:line="460" w:lineRule="exact"/>
        <w:jc w:val="center"/>
        <w:rPr>
          <w:rFonts w:ascii="Times New Roman" w:hAnsi="Times New Roman" w:eastAsia="方正小标宋_GBK"/>
          <w:sz w:val="36"/>
          <w:szCs w:val="36"/>
        </w:rPr>
      </w:pPr>
      <w:r>
        <w:rPr>
          <w:rFonts w:hint="eastAsia" w:eastAsia="方正小标宋_GBK"/>
          <w:snapToGrid w:val="0"/>
          <w:kern w:val="0"/>
          <w:sz w:val="36"/>
          <w:szCs w:val="36"/>
        </w:rPr>
        <w:t>江苏省住房和城乡建设厅关于</w:t>
      </w:r>
      <w:r>
        <w:rPr>
          <w:rFonts w:hint="eastAsia" w:ascii="Times New Roman" w:hAnsi="Times New Roman" w:eastAsia="方正小标宋_GBK"/>
          <w:sz w:val="36"/>
          <w:szCs w:val="36"/>
        </w:rPr>
        <w:t>试行调整部分</w:t>
      </w:r>
    </w:p>
    <w:p>
      <w:pPr>
        <w:spacing w:line="460" w:lineRule="exact"/>
        <w:jc w:val="center"/>
        <w:rPr>
          <w:rFonts w:hint="eastAsia" w:eastAsia="方正小标宋_GBK"/>
          <w:snapToGrid w:val="0"/>
          <w:kern w:val="0"/>
          <w:sz w:val="36"/>
          <w:szCs w:val="36"/>
        </w:rPr>
      </w:pPr>
      <w:r>
        <w:rPr>
          <w:rFonts w:hint="eastAsia" w:ascii="Times New Roman" w:hAnsi="Times New Roman" w:eastAsia="方正小标宋_GBK"/>
          <w:sz w:val="36"/>
          <w:szCs w:val="36"/>
        </w:rPr>
        <w:t>建筑业企业资质承包工程范围</w:t>
      </w:r>
      <w:r>
        <w:rPr>
          <w:rFonts w:hint="eastAsia" w:eastAsia="方正小标宋_GBK"/>
          <w:snapToGrid w:val="0"/>
          <w:kern w:val="0"/>
          <w:sz w:val="36"/>
          <w:szCs w:val="36"/>
        </w:rPr>
        <w:t>的</w:t>
      </w:r>
      <w:r>
        <w:rPr>
          <w:rFonts w:hint="eastAsia" w:ascii="Times New Roman" w:hAnsi="Times New Roman" w:eastAsia="方正小标宋_GBK"/>
          <w:sz w:val="36"/>
          <w:szCs w:val="36"/>
        </w:rPr>
        <w:t>通知</w:t>
      </w:r>
    </w:p>
    <w:p>
      <w:pPr>
        <w:spacing w:line="460" w:lineRule="exact"/>
        <w:ind w:firstLine="480" w:firstLineChars="200"/>
        <w:rPr>
          <w:rFonts w:ascii="Times New Roman" w:hAnsi="Times New Roman" w:eastAsia="方正仿宋_GBK" w:cs="宋体"/>
          <w:kern w:val="0"/>
          <w:sz w:val="24"/>
        </w:rPr>
      </w:pP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宋体"/>
          <w:kern w:val="0"/>
          <w:sz w:val="24"/>
        </w:rPr>
        <w:t>为进一步落实建筑业“放管服”改革要求，推动建筑业快速发展，</w:t>
      </w:r>
      <w:r>
        <w:rPr>
          <w:rFonts w:hint="eastAsia" w:ascii="Times New Roman" w:hAnsi="Times New Roman" w:eastAsia="方正仿宋_GBK" w:cs="方正仿宋_GBK"/>
          <w:sz w:val="24"/>
        </w:rPr>
        <w:t>根据《国务院办公厅关于促进建筑业持续健康发展的意见》（国办发〔2017〕19号）“</w:t>
      </w:r>
      <w:r>
        <w:rPr>
          <w:rFonts w:hint="eastAsia" w:ascii="Times New Roman" w:hAnsi="Times New Roman" w:eastAsia="方正仿宋_GBK"/>
          <w:color w:val="000000"/>
          <w:sz w:val="24"/>
          <w:shd w:val="clear" w:color="auto" w:fill="FFFFFF"/>
        </w:rPr>
        <w:t>选择部分地区开展试点，对信用良好、具有相关专业技术能力、能够提供足额担保的企业，在其资质类别内放宽承揽业务范围限制”</w:t>
      </w:r>
      <w:r>
        <w:rPr>
          <w:rFonts w:hint="eastAsia" w:ascii="Times New Roman" w:hAnsi="Times New Roman" w:eastAsia="方正仿宋_GBK" w:cs="方正仿宋_GBK"/>
          <w:color w:val="000000"/>
          <w:sz w:val="24"/>
        </w:rPr>
        <w:t>，</w:t>
      </w:r>
      <w:r>
        <w:rPr>
          <w:rFonts w:hint="eastAsia" w:ascii="Times New Roman" w:hAnsi="Times New Roman" w:eastAsia="方正仿宋_GBK" w:cs="方正仿宋_GBK"/>
          <w:sz w:val="24"/>
        </w:rPr>
        <w:t>《省政府关于促进建筑业改革发展的意见》（苏政发〔2017〕151号）“</w:t>
      </w:r>
      <w:r>
        <w:rPr>
          <w:rFonts w:hint="eastAsia" w:ascii="Times New Roman" w:hAnsi="Times New Roman" w:eastAsia="方正仿宋_GBK"/>
          <w:sz w:val="24"/>
        </w:rPr>
        <w:t>扩大承接业务范围，对信誉良好、具有相关专业技术能力、能够提供足额担保的企业，允许其在资质类别内承接高一等级资质相应的业务”、“取得施工总承包资质的企业，可以承接总承包资质覆盖范围内的专业承包工程”的</w:t>
      </w:r>
      <w:r>
        <w:rPr>
          <w:rFonts w:hint="eastAsia" w:ascii="Times New Roman" w:hAnsi="Times New Roman" w:eastAsia="方正仿宋_GBK" w:cs="方正仿宋_GBK"/>
          <w:sz w:val="24"/>
        </w:rPr>
        <w:t>精神，按照住房城乡建设部关于在我省开展建筑业改革综合试点的要求，现就我省试行调整部分建筑业企业资质承包工程范围事宜通知如下：</w:t>
      </w:r>
    </w:p>
    <w:p>
      <w:pPr>
        <w:spacing w:line="460" w:lineRule="exact"/>
        <w:ind w:firstLine="480" w:firstLineChars="200"/>
        <w:rPr>
          <w:rFonts w:hint="eastAsia" w:ascii="Times New Roman" w:hAnsi="Times New Roman" w:eastAsia="方正黑体_GBK" w:cs="方正仿宋_GBK"/>
          <w:sz w:val="24"/>
        </w:rPr>
      </w:pPr>
      <w:r>
        <w:rPr>
          <w:rFonts w:hint="eastAsia" w:ascii="Times New Roman" w:hAnsi="Times New Roman" w:eastAsia="方正黑体_GBK" w:cs="方正仿宋_GBK"/>
          <w:sz w:val="24"/>
        </w:rPr>
        <w:t>一、调整部分专业承包资质承包工程范围</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先行在不涉及建筑主体结构的部分二级专业承包资质中调整承包工程的范围。</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符合下列条件的二级专业承包资质企业可以承接一级资质相应的业务。</w:t>
      </w:r>
    </w:p>
    <w:p>
      <w:pPr>
        <w:numPr>
          <w:ilvl w:val="0"/>
          <w:numId w:val="4"/>
        </w:numPr>
        <w:spacing w:line="460" w:lineRule="exact"/>
        <w:rPr>
          <w:rFonts w:hint="eastAsia" w:ascii="Times New Roman" w:hAnsi="Times New Roman" w:eastAsia="方正仿宋_GBK" w:cs="方正仿宋_GBK"/>
          <w:sz w:val="24"/>
        </w:rPr>
      </w:pPr>
      <w:r>
        <w:rPr>
          <w:rFonts w:hint="eastAsia" w:ascii="Times New Roman" w:hAnsi="Times New Roman" w:eastAsia="方正仿宋_GBK" w:cs="方正仿宋_GBK"/>
          <w:sz w:val="24"/>
        </w:rPr>
        <w:t>试行资质类别</w:t>
      </w:r>
    </w:p>
    <w:p>
      <w:pPr>
        <w:spacing w:line="460" w:lineRule="exact"/>
        <w:ind w:left="160"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电子与智能化工程专业承包、防水防腐保温工程专业承包、城市及道路照明工程专业承包、环保工程专业承包。</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（二）企业信誉良好</w:t>
      </w:r>
    </w:p>
    <w:p>
      <w:pPr>
        <w:widowControl/>
        <w:spacing w:line="460" w:lineRule="exact"/>
        <w:ind w:firstLine="480" w:firstLineChars="200"/>
        <w:jc w:val="left"/>
        <w:rPr>
          <w:rFonts w:hint="eastAsia" w:ascii="Times New Roman" w:hAnsi="Times New Roman" w:eastAsia="方正仿宋_GBK" w:cs="宋体"/>
          <w:kern w:val="0"/>
          <w:sz w:val="24"/>
        </w:rPr>
      </w:pPr>
      <w:r>
        <w:rPr>
          <w:rFonts w:hint="eastAsia" w:ascii="Times New Roman" w:hAnsi="Times New Roman" w:eastAsia="方正仿宋_GBK" w:cs="宋体"/>
          <w:kern w:val="0"/>
          <w:sz w:val="24"/>
        </w:rPr>
        <w:t>自2017年11月24日</w:t>
      </w:r>
      <w:r>
        <w:rPr>
          <w:rFonts w:hint="eastAsia" w:ascii="Times New Roman" w:hAnsi="Times New Roman" w:eastAsia="方正仿宋_GBK" w:cs="方正仿宋_GBK"/>
          <w:sz w:val="24"/>
        </w:rPr>
        <w:t>《省政府关于促进建筑业改革发展的意见》（苏政发〔2017〕151号）实施之日起</w:t>
      </w:r>
      <w:r>
        <w:rPr>
          <w:rFonts w:hint="eastAsia" w:ascii="Times New Roman" w:hAnsi="Times New Roman" w:eastAsia="方正仿宋_GBK" w:cs="宋体"/>
          <w:kern w:val="0"/>
          <w:sz w:val="24"/>
        </w:rPr>
        <w:t>无下列行为：</w:t>
      </w:r>
    </w:p>
    <w:p>
      <w:pPr>
        <w:widowControl/>
        <w:spacing w:line="460" w:lineRule="exact"/>
        <w:ind w:firstLine="480" w:firstLineChars="200"/>
        <w:jc w:val="left"/>
        <w:rPr>
          <w:rFonts w:hint="eastAsia" w:ascii="Times New Roman" w:hAnsi="Times New Roman" w:eastAsia="方正仿宋_GBK" w:cs="宋体"/>
          <w:kern w:val="0"/>
          <w:sz w:val="24"/>
        </w:rPr>
      </w:pPr>
      <w:r>
        <w:rPr>
          <w:rFonts w:hint="eastAsia" w:ascii="Times New Roman" w:hAnsi="Times New Roman" w:eastAsia="方正仿宋_GBK" w:cs="宋体"/>
          <w:kern w:val="0"/>
          <w:sz w:val="24"/>
        </w:rPr>
        <w:t>1．因拖欠民工工资被县级以上建设行政主管部门通报的；</w:t>
      </w:r>
    </w:p>
    <w:p>
      <w:pPr>
        <w:widowControl/>
        <w:spacing w:line="460" w:lineRule="exact"/>
        <w:ind w:firstLine="480" w:firstLineChars="200"/>
        <w:jc w:val="left"/>
        <w:rPr>
          <w:rFonts w:hint="eastAsia" w:ascii="Times New Roman" w:hAnsi="Times New Roman" w:eastAsia="方正仿宋_GBK" w:cs="宋体"/>
          <w:kern w:val="0"/>
          <w:sz w:val="24"/>
        </w:rPr>
      </w:pPr>
      <w:r>
        <w:rPr>
          <w:rFonts w:hint="eastAsia" w:ascii="Times New Roman" w:hAnsi="Times New Roman" w:eastAsia="方正仿宋_GBK" w:cs="宋体"/>
          <w:kern w:val="0"/>
          <w:sz w:val="24"/>
        </w:rPr>
        <w:t>2．因违反建筑市场相关规定被县级以上建设行政主管部门行政处罚或者限制市场准入的。</w:t>
      </w:r>
    </w:p>
    <w:p>
      <w:pPr>
        <w:widowControl/>
        <w:spacing w:line="460" w:lineRule="exact"/>
        <w:ind w:firstLine="480" w:firstLineChars="200"/>
        <w:jc w:val="left"/>
        <w:rPr>
          <w:rFonts w:hint="eastAsia" w:ascii="Times New Roman" w:hAnsi="Times New Roman" w:eastAsia="方正仿宋_GBK" w:cs="宋体"/>
          <w:kern w:val="0"/>
          <w:sz w:val="24"/>
        </w:rPr>
      </w:pPr>
      <w:r>
        <w:rPr>
          <w:rFonts w:hint="eastAsia" w:ascii="Times New Roman" w:hAnsi="Times New Roman" w:eastAsia="方正仿宋_GBK" w:cs="宋体"/>
          <w:kern w:val="0"/>
          <w:sz w:val="24"/>
        </w:rPr>
        <w:t>试行期间，企业发生上述情形的，从通报或者决定作出之日起，</w:t>
      </w:r>
      <w:r>
        <w:rPr>
          <w:rFonts w:hint="eastAsia" w:ascii="Times New Roman" w:hAnsi="Times New Roman" w:eastAsia="方正仿宋_GBK" w:cs="宋体"/>
          <w:color w:val="000000"/>
          <w:kern w:val="0"/>
          <w:sz w:val="24"/>
        </w:rPr>
        <w:t>在纠正违法行为，消除不良影响，</w:t>
      </w:r>
      <w:r>
        <w:rPr>
          <w:rFonts w:hint="eastAsia" w:ascii="Times New Roman" w:hAnsi="Times New Roman" w:eastAsia="方正仿宋_GBK" w:cs="宋体"/>
          <w:kern w:val="0"/>
          <w:sz w:val="24"/>
        </w:rPr>
        <w:t>恢复信用前，不得承接新的试点工程。</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（三）具有相关专业技术能力</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项目负责人具备拟承接工程所需的相应专业的注册建造师资格，并主持完成过本类别资质二级以上标准要求的工程业绩不少于2项；企业近5年内承担过本类别资质二级以上标准要求的工程业绩不少于2类。未发生过质量安全事故，且上述业绩已在全国建筑市场监管公共服务平台备案。</w:t>
      </w:r>
    </w:p>
    <w:p>
      <w:pPr>
        <w:spacing w:line="460" w:lineRule="exact"/>
        <w:ind w:firstLine="720"/>
        <w:rPr>
          <w:rFonts w:hint="eastAsia" w:ascii="Times New Roman" w:hAnsi="Times New Roman" w:eastAsia="方正仿宋_GBK" w:cs="方正仿宋_GBK"/>
          <w:sz w:val="24"/>
        </w:rPr>
      </w:pPr>
      <w:r>
        <w:rPr>
          <w:rFonts w:hint="eastAsia" w:ascii="Times New Roman" w:hAnsi="Times New Roman" w:eastAsia="方正仿宋_GBK" w:cs="方正仿宋_GBK"/>
          <w:sz w:val="24"/>
        </w:rPr>
        <w:t>（四）能够提供足额履约担保</w:t>
      </w:r>
    </w:p>
    <w:p>
      <w:pPr>
        <w:spacing w:line="460" w:lineRule="exact"/>
        <w:ind w:firstLine="720"/>
        <w:rPr>
          <w:rFonts w:hint="eastAsia" w:ascii="Times New Roman" w:hAnsi="Times New Roman" w:eastAsia="方正仿宋_GBK" w:cs="方正仿宋_GBK"/>
          <w:sz w:val="24"/>
        </w:rPr>
      </w:pPr>
      <w:r>
        <w:rPr>
          <w:rFonts w:hint="eastAsia" w:ascii="Times New Roman" w:hAnsi="Times New Roman" w:eastAsia="方正仿宋_GBK" w:cs="方正仿宋_GBK"/>
          <w:sz w:val="24"/>
        </w:rPr>
        <w:t>企业以银行担保、保证保险等方式提供合同总价10%的履约担保。</w:t>
      </w:r>
    </w:p>
    <w:p>
      <w:pPr>
        <w:spacing w:line="460" w:lineRule="exact"/>
        <w:ind w:firstLine="720"/>
        <w:rPr>
          <w:rFonts w:hint="eastAsia" w:ascii="Times New Roman" w:hAnsi="Times New Roman" w:eastAsia="方正仿宋_GBK" w:cs="方正仿宋_GBK"/>
          <w:sz w:val="24"/>
        </w:rPr>
      </w:pPr>
      <w:r>
        <w:rPr>
          <w:rFonts w:hint="eastAsia" w:ascii="Times New Roman" w:hAnsi="Times New Roman" w:eastAsia="方正仿宋_GBK" w:cs="方正仿宋_GBK"/>
          <w:sz w:val="24"/>
        </w:rPr>
        <w:t>发包单位在发包相应专业工程业务时，对企业是否具备上述条件进行审查，并对审查结果负责。发包单位不得拒绝符合上述条件的企业承揽相应工程业务。</w:t>
      </w:r>
    </w:p>
    <w:p>
      <w:pPr>
        <w:spacing w:line="460" w:lineRule="exact"/>
        <w:ind w:firstLine="720"/>
        <w:rPr>
          <w:rFonts w:hint="eastAsia" w:ascii="Times New Roman" w:hAnsi="Times New Roman" w:eastAsia="方正黑体_GBK" w:cs="方正仿宋_GBK"/>
          <w:sz w:val="24"/>
        </w:rPr>
      </w:pPr>
      <w:r>
        <w:rPr>
          <w:rFonts w:hint="eastAsia" w:ascii="Times New Roman" w:hAnsi="Times New Roman" w:eastAsia="方正黑体_GBK" w:cs="方正仿宋_GBK"/>
          <w:sz w:val="24"/>
        </w:rPr>
        <w:t>二、取得施工总承包资质的企业，可以承接总承包资质覆盖范围内的专业承包工程</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（一）试行资质类别</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具有建筑工程、市政公用工程、机电工程施工总承包资质的企业，可以对总承包范围内不高于总承包资质等级的专业承包工程自行施工，不再需要具备相应的专业承包工程资质；</w:t>
      </w:r>
      <w:r>
        <w:rPr>
          <w:rFonts w:hint="eastAsia" w:ascii="Times New Roman" w:hAnsi="Times New Roman" w:eastAsia="方正仿宋_GBK" w:cs="宋体"/>
          <w:sz w:val="24"/>
        </w:rPr>
        <w:t>也可以将专业承包工程依法分包给具有相应资质的专业承包企业。</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（二）总承包资质覆盖范围</w:t>
      </w:r>
    </w:p>
    <w:p>
      <w:pPr>
        <w:spacing w:line="460" w:lineRule="exact"/>
        <w:ind w:firstLine="480" w:firstLineChars="200"/>
        <w:rPr>
          <w:rFonts w:hint="eastAsia" w:ascii="Times New Roman" w:hAnsi="Times New Roman" w:eastAsia="方正仿宋_GBK" w:cs="宋体"/>
          <w:sz w:val="24"/>
        </w:rPr>
      </w:pPr>
      <w:r>
        <w:rPr>
          <w:rFonts w:hint="eastAsia" w:ascii="Times New Roman" w:hAnsi="Times New Roman" w:eastAsia="方正仿宋_GBK" w:cs="方正仿宋_GBK"/>
          <w:sz w:val="24"/>
        </w:rPr>
        <w:t>1．建筑工程施工总承包资质：覆盖地基基础工程、起重设备安装工程、电子与智能化工程、消防设施工程、建筑装修装饰工程、建筑机电安装工程、建筑幕墙工程专业承包资质的工程范围；</w:t>
      </w:r>
      <w:r>
        <w:rPr>
          <w:rFonts w:hint="eastAsia" w:ascii="Times New Roman" w:hAnsi="Times New Roman" w:eastAsia="方正仿宋_GBK" w:cs="宋体"/>
          <w:sz w:val="24"/>
        </w:rPr>
        <w:t xml:space="preserve"> </w:t>
      </w:r>
    </w:p>
    <w:p>
      <w:pPr>
        <w:spacing w:line="460" w:lineRule="exact"/>
        <w:ind w:firstLine="480" w:firstLineChars="200"/>
        <w:rPr>
          <w:rFonts w:hint="eastAsia" w:ascii="Times New Roman" w:hAnsi="Times New Roman" w:eastAsia="方正仿宋_GBK" w:cs="宋体"/>
          <w:color w:val="000000"/>
          <w:kern w:val="0"/>
          <w:sz w:val="24"/>
        </w:rPr>
      </w:pPr>
      <w:r>
        <w:rPr>
          <w:rFonts w:hint="eastAsia" w:ascii="Times New Roman" w:hAnsi="Times New Roman" w:eastAsia="方正仿宋_GBK" w:cs="方正仿宋_GBK"/>
          <w:sz w:val="24"/>
        </w:rPr>
        <w:t>2．市政公用工程施工总承包资质：覆盖</w:t>
      </w:r>
      <w:r>
        <w:rPr>
          <w:rFonts w:hint="eastAsia" w:ascii="Times New Roman" w:hAnsi="Times New Roman" w:eastAsia="方正仿宋_GBK" w:cs="宋体"/>
          <w:color w:val="000000"/>
          <w:kern w:val="0"/>
          <w:sz w:val="24"/>
        </w:rPr>
        <w:t>城市及道路照明工程、桥梁工程、隧道工程、环保工程、机场场道工程</w:t>
      </w:r>
      <w:r>
        <w:rPr>
          <w:rFonts w:hint="eastAsia" w:ascii="Times New Roman" w:hAnsi="Times New Roman" w:eastAsia="方正仿宋_GBK" w:cs="方正仿宋_GBK"/>
          <w:sz w:val="24"/>
        </w:rPr>
        <w:t>专业承包资质的工程范围</w:t>
      </w:r>
      <w:r>
        <w:rPr>
          <w:rFonts w:hint="eastAsia" w:ascii="Times New Roman" w:hAnsi="Times New Roman" w:eastAsia="方正仿宋_GBK" w:cs="方正仿宋_GBK"/>
          <w:b/>
          <w:sz w:val="24"/>
        </w:rPr>
        <w:t>；</w:t>
      </w:r>
      <w:r>
        <w:rPr>
          <w:rFonts w:hint="eastAsia" w:ascii="Times New Roman" w:hAnsi="Times New Roman" w:eastAsia="方正仿宋_GBK" w:cs="方正仿宋_GBK"/>
          <w:sz w:val="24"/>
        </w:rPr>
        <w:t xml:space="preserve"> </w:t>
      </w:r>
    </w:p>
    <w:p>
      <w:pPr>
        <w:spacing w:line="460" w:lineRule="exact"/>
        <w:ind w:firstLine="480" w:firstLineChars="200"/>
        <w:rPr>
          <w:rFonts w:hint="eastAsia" w:ascii="Times New Roman" w:hAnsi="Times New Roman" w:eastAsia="方正仿宋_GBK" w:cs="宋体"/>
          <w:color w:val="000000"/>
          <w:kern w:val="0"/>
          <w:sz w:val="24"/>
        </w:rPr>
      </w:pPr>
      <w:r>
        <w:rPr>
          <w:rFonts w:hint="eastAsia" w:ascii="Times New Roman" w:hAnsi="Times New Roman" w:eastAsia="方正仿宋_GBK" w:cs="方正仿宋_GBK"/>
          <w:sz w:val="24"/>
        </w:rPr>
        <w:t>3．机电工程施工总承包资质：覆盖起重设备安装工程、建筑机电安装工程专业承包资质的工程范围</w:t>
      </w:r>
      <w:r>
        <w:rPr>
          <w:rFonts w:hint="eastAsia" w:ascii="Times New Roman" w:hAnsi="Times New Roman" w:eastAsia="方正仿宋_GBK" w:cs="方正仿宋_GBK"/>
          <w:b/>
          <w:sz w:val="24"/>
        </w:rPr>
        <w:t>。</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上述三类施工总承包资质均覆盖总承包范围内的防水防腐保温工程、特种工程、模板脚手架专业承包工程。</w:t>
      </w:r>
    </w:p>
    <w:p>
      <w:pPr>
        <w:spacing w:line="460" w:lineRule="exact"/>
        <w:ind w:firstLine="480" w:firstLineChars="200"/>
        <w:rPr>
          <w:rFonts w:hint="eastAsia" w:ascii="Times New Roman" w:hAnsi="Times New Roman" w:eastAsia="方正仿宋_GBK" w:cs="宋体"/>
          <w:sz w:val="24"/>
        </w:rPr>
      </w:pPr>
      <w:r>
        <w:rPr>
          <w:rFonts w:hint="eastAsia" w:ascii="Times New Roman" w:hAnsi="Times New Roman" w:eastAsia="方正仿宋_GBK" w:cs="宋体"/>
          <w:sz w:val="24"/>
        </w:rPr>
        <w:t>（三）具有施工总承包资质的企业，未取得覆盖范围内的专业承包资质，不得承接其他施工总承包企业依法分包的专业工程或者建设单位依法发包的专业工程。</w:t>
      </w:r>
    </w:p>
    <w:p>
      <w:pPr>
        <w:spacing w:line="460" w:lineRule="exact"/>
        <w:ind w:firstLine="480" w:firstLineChars="200"/>
        <w:rPr>
          <w:rFonts w:hint="eastAsia" w:ascii="Times New Roman" w:hAnsi="Times New Roman" w:eastAsia="方正黑体_GBK" w:cs="方正仿宋_GBK"/>
          <w:sz w:val="24"/>
        </w:rPr>
      </w:pPr>
      <w:r>
        <w:rPr>
          <w:rFonts w:hint="eastAsia" w:ascii="Times New Roman" w:hAnsi="Times New Roman" w:eastAsia="方正黑体_GBK" w:cs="方正仿宋_GBK"/>
          <w:sz w:val="24"/>
        </w:rPr>
        <w:t>三、其他事宜</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 xml:space="preserve">（一）各地建设主管部门要对本通知试行的情况进行重点跟踪，强化对试点工程项目的工程质量和安全监督管理，督促工程建设各方主体责任落实到位。 </w:t>
      </w:r>
    </w:p>
    <w:p>
      <w:pPr>
        <w:spacing w:line="460" w:lineRule="exact"/>
        <w:ind w:firstLine="480" w:firstLineChars="200"/>
        <w:rPr>
          <w:rFonts w:hint="eastAsia" w:ascii="Times New Roman" w:hAnsi="Times New Roman" w:eastAsia="方正仿宋_GBK" w:cs="方正仿宋_GBK"/>
          <w:sz w:val="24"/>
        </w:rPr>
      </w:pPr>
      <w:r>
        <w:rPr>
          <w:rFonts w:hint="eastAsia" w:ascii="Times New Roman" w:hAnsi="Times New Roman" w:eastAsia="方正仿宋_GBK" w:cs="方正仿宋_GBK"/>
          <w:sz w:val="24"/>
        </w:rPr>
        <w:t>（二）本试行办法自</w:t>
      </w:r>
      <w:r>
        <w:rPr>
          <w:rFonts w:hint="eastAsia" w:ascii="Times New Roman" w:hAnsi="Times New Roman" w:eastAsia="方正仿宋_GBK" w:cs="方正仿宋_GBK"/>
          <w:color w:val="000000"/>
          <w:sz w:val="24"/>
        </w:rPr>
        <w:t>2019年3月1日</w:t>
      </w:r>
      <w:r>
        <w:rPr>
          <w:rFonts w:hint="eastAsia" w:ascii="Times New Roman" w:hAnsi="Times New Roman" w:eastAsia="方正仿宋_GBK" w:cs="方正仿宋_GBK"/>
          <w:sz w:val="24"/>
        </w:rPr>
        <w:t>起试行。试行过程中，省</w:t>
      </w:r>
      <w:r>
        <w:rPr>
          <w:rFonts w:hint="eastAsia" w:ascii="Times New Roman" w:eastAsia="方正仿宋_GBK"/>
          <w:snapToGrid w:val="0"/>
          <w:kern w:val="0"/>
          <w:sz w:val="24"/>
        </w:rPr>
        <w:t>住房和城乡建设</w:t>
      </w:r>
      <w:r>
        <w:rPr>
          <w:rFonts w:hint="eastAsia" w:ascii="Times New Roman" w:hAnsi="Times New Roman" w:eastAsia="方正仿宋_GBK" w:cs="方正仿宋_GBK"/>
          <w:sz w:val="24"/>
        </w:rPr>
        <w:t>厅将根据试行情况和国家工程审批制度改革以及资质管理制度改革的要求，对本试行办法进行调整或者终止试行。</w:t>
      </w:r>
    </w:p>
    <w:p>
      <w:pPr>
        <w:spacing w:line="460" w:lineRule="exact"/>
        <w:rPr>
          <w:rFonts w:hint="eastAsia" w:ascii="Times New Roman" w:hAnsi="Times New Roman" w:eastAsia="方正仿宋_GBK" w:cs="方正仿宋_GBK"/>
          <w:b/>
          <w:sz w:val="24"/>
        </w:rPr>
      </w:pPr>
    </w:p>
    <w:p>
      <w:pPr>
        <w:spacing w:line="460" w:lineRule="exact"/>
        <w:jc w:val="center"/>
        <w:rPr>
          <w:rFonts w:hint="eastAsia" w:ascii="Times New Roman" w:hAnsi="Times New Roman" w:eastAsia="方正仿宋_GBK" w:cs="方正仿宋_GBK"/>
          <w:sz w:val="24"/>
        </w:rPr>
      </w:pPr>
      <w:r>
        <w:rPr>
          <w:rFonts w:hint="eastAsia" w:ascii="Times New Roman" w:hAnsi="Times New Roman" w:eastAsia="方正仿宋_GBK" w:cs="方正仿宋_GBK"/>
          <w:sz w:val="24"/>
        </w:rPr>
        <w:t xml:space="preserve">              </w:t>
      </w:r>
    </w:p>
    <w:p>
      <w:pPr>
        <w:spacing w:line="460" w:lineRule="exact"/>
        <w:jc w:val="center"/>
        <w:rPr>
          <w:rFonts w:hint="eastAsia" w:ascii="Times New Roman" w:hAnsi="Times New Roman" w:eastAsia="方正仿宋_GBK" w:cs="方正仿宋_GBK"/>
          <w:sz w:val="24"/>
        </w:rPr>
      </w:pPr>
      <w:r>
        <w:rPr>
          <w:rFonts w:hint="eastAsia" w:ascii="Times New Roman" w:hAnsi="Times New Roman" w:eastAsia="方正仿宋_GBK" w:cs="方正仿宋_GBK"/>
          <w:sz w:val="24"/>
        </w:rPr>
        <w:t xml:space="preserve">           </w:t>
      </w:r>
    </w:p>
    <w:p>
      <w:pPr>
        <w:spacing w:line="460" w:lineRule="exact"/>
        <w:jc w:val="center"/>
        <w:rPr>
          <w:rFonts w:hint="eastAsia" w:ascii="Times New Roman" w:hAnsi="Times New Roman" w:eastAsia="方正仿宋_GBK" w:cs="方正仿宋_GBK"/>
          <w:sz w:val="24"/>
        </w:rPr>
      </w:pPr>
      <w:r>
        <w:rPr>
          <w:rFonts w:hint="eastAsia" w:ascii="Times New Roman" w:hAnsi="Times New Roman" w:eastAsia="方正仿宋_GBK" w:cs="方正仿宋_GBK"/>
          <w:sz w:val="24"/>
        </w:rPr>
        <w:t xml:space="preserve"> </w:t>
      </w:r>
    </w:p>
    <w:p>
      <w:pPr>
        <w:spacing w:line="460" w:lineRule="exact"/>
        <w:jc w:val="center"/>
        <w:rPr>
          <w:rFonts w:hint="eastAsia" w:eastAsia="方正仿宋_GBK"/>
          <w:sz w:val="24"/>
        </w:rPr>
      </w:pPr>
    </w:p>
    <w:p>
      <w:pPr>
        <w:spacing w:line="460" w:lineRule="exact"/>
        <w:rPr>
          <w:rFonts w:eastAsia="方正仿宋_GBK"/>
          <w:snapToGrid w:val="0"/>
          <w:kern w:val="0"/>
          <w:sz w:val="24"/>
          <w:highlight w:val="yellow"/>
        </w:rPr>
      </w:pPr>
    </w:p>
    <w:p>
      <w:pPr>
        <w:spacing w:line="460" w:lineRule="exact"/>
        <w:rPr>
          <w:rFonts w:ascii="Times New Roman" w:eastAsia="方正仿宋_GBK"/>
          <w:sz w:val="24"/>
        </w:rPr>
      </w:pPr>
    </w:p>
    <w:p>
      <w:pPr>
        <w:tabs>
          <w:tab w:val="left" w:pos="1442"/>
        </w:tabs>
        <w:autoSpaceDE w:val="0"/>
        <w:autoSpaceDN w:val="0"/>
        <w:adjustRightInd w:val="0"/>
        <w:snapToGrid w:val="0"/>
        <w:spacing w:line="460" w:lineRule="exact"/>
        <w:ind w:left="3045" w:leftChars="1450" w:right="105" w:rightChars="50"/>
        <w:jc w:val="center"/>
        <w:rPr>
          <w:rFonts w:hint="eastAsia"/>
          <w:sz w:val="24"/>
        </w:rPr>
      </w:pPr>
    </w:p>
    <w:p>
      <w:pPr>
        <w:autoSpaceDE w:val="0"/>
        <w:autoSpaceDN w:val="0"/>
        <w:snapToGrid w:val="0"/>
        <w:spacing w:line="460" w:lineRule="exact"/>
        <w:rPr>
          <w:rFonts w:eastAsia="方正仿宋_GBK"/>
          <w:snapToGrid w:val="0"/>
          <w:kern w:val="0"/>
          <w:sz w:val="24"/>
        </w:rPr>
      </w:pPr>
    </w:p>
    <w:p>
      <w:pPr>
        <w:tabs>
          <w:tab w:val="left" w:pos="9193"/>
          <w:tab w:val="left" w:pos="9827"/>
        </w:tabs>
        <w:autoSpaceDE w:val="0"/>
        <w:autoSpaceDN w:val="0"/>
        <w:snapToGrid w:val="0"/>
        <w:spacing w:line="460" w:lineRule="exact"/>
        <w:jc w:val="center"/>
        <w:rPr>
          <w:rFonts w:ascii="Times New Roman" w:eastAsia="方正仿宋_GBK"/>
          <w:sz w:val="24"/>
        </w:rPr>
      </w:pPr>
    </w:p>
    <w:p>
      <w:pPr>
        <w:tabs>
          <w:tab w:val="left" w:pos="9193"/>
          <w:tab w:val="left" w:pos="9827"/>
        </w:tabs>
        <w:autoSpaceDE w:val="0"/>
        <w:autoSpaceDN w:val="0"/>
        <w:snapToGrid w:val="0"/>
        <w:spacing w:line="460" w:lineRule="exact"/>
        <w:jc w:val="center"/>
        <w:rPr>
          <w:rFonts w:hint="eastAsia" w:ascii="Times New Roman" w:eastAsia="方正仿宋_GBK"/>
          <w:sz w:val="24"/>
        </w:rPr>
      </w:pPr>
    </w:p>
    <w:p>
      <w:pPr>
        <w:spacing w:line="460" w:lineRule="exact"/>
        <w:rPr>
          <w:rFonts w:hint="eastAsia" w:eastAsia="方正仿宋_GBK" w:cs="宋体"/>
          <w:kern w:val="0"/>
          <w:sz w:val="24"/>
        </w:rPr>
      </w:pPr>
    </w:p>
    <w:p>
      <w:pPr>
        <w:spacing w:line="460" w:lineRule="exact"/>
        <w:rPr>
          <w:rFonts w:eastAsia="方正仿宋_GBK" w:cs="宋体"/>
          <w:kern w:val="0"/>
          <w:sz w:val="24"/>
        </w:rPr>
      </w:pPr>
    </w:p>
    <w:p>
      <w:pPr>
        <w:spacing w:line="460" w:lineRule="exact"/>
        <w:rPr>
          <w:rFonts w:eastAsia="方正仿宋_GBK" w:cs="宋体"/>
          <w:kern w:val="0"/>
          <w:sz w:val="24"/>
        </w:rPr>
      </w:pPr>
    </w:p>
    <w:p>
      <w:pPr>
        <w:pStyle w:val="2"/>
        <w:spacing w:before="312" w:beforeLines="100" w:after="312" w:afterLines="100" w:line="240" w:lineRule="auto"/>
        <w:jc w:val="center"/>
        <w:rPr>
          <w:rFonts w:ascii="Times New Roman" w:eastAsia="方正小标宋_GBK"/>
          <w:b w:val="0"/>
          <w:sz w:val="36"/>
          <w:szCs w:val="36"/>
        </w:rPr>
      </w:pPr>
      <w:bookmarkStart w:id="488" w:name="_Toc18315704"/>
      <w:bookmarkStart w:id="489" w:name="_Toc20726562"/>
      <w:r>
        <w:rPr>
          <w:rFonts w:hint="eastAsia" w:ascii="Times New Roman" w:eastAsia="方正小标宋_GBK"/>
          <w:b w:val="0"/>
          <w:sz w:val="36"/>
          <w:szCs w:val="36"/>
        </w:rPr>
        <w:t>省住房城乡建设厅 省交通厅 省水利厅关于试行部分 类别的施工总承包资质企业跨专业承接工程的通知</w:t>
      </w:r>
      <w:bookmarkEnd w:id="488"/>
      <w:bookmarkEnd w:id="489"/>
    </w:p>
    <w:p>
      <w:pPr>
        <w:pStyle w:val="3"/>
        <w:spacing w:before="312" w:beforeLines="100" w:after="312" w:afterLines="100" w:line="240" w:lineRule="auto"/>
        <w:jc w:val="center"/>
        <w:rPr>
          <w:rFonts w:hint="eastAsia" w:ascii="Times New Roman" w:hAnsi="Times New Roman" w:eastAsia="方正楷体_GBK"/>
          <w:b w:val="0"/>
          <w:sz w:val="24"/>
          <w:szCs w:val="24"/>
        </w:rPr>
      </w:pPr>
      <w:bookmarkStart w:id="490" w:name="_Toc20726563"/>
      <w:bookmarkStart w:id="491" w:name="_Toc18315705"/>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2019</w:t>
      </w:r>
      <w:r>
        <w:rPr>
          <w:rFonts w:hint="eastAsia" w:ascii="Times New Roman" w:hAnsi="Times New Roman" w:eastAsia="方正楷体_GBK"/>
          <w:b w:val="0"/>
          <w:sz w:val="24"/>
          <w:szCs w:val="24"/>
        </w:rPr>
        <w:t>〕</w:t>
      </w:r>
      <w:r>
        <w:rPr>
          <w:rFonts w:ascii="Times New Roman" w:hAnsi="Times New Roman" w:eastAsia="方正楷体_GBK"/>
          <w:b w:val="0"/>
          <w:sz w:val="24"/>
          <w:szCs w:val="24"/>
        </w:rPr>
        <w:t>2</w:t>
      </w:r>
      <w:r>
        <w:rPr>
          <w:rFonts w:hint="eastAsia" w:ascii="Times New Roman" w:hAnsi="Times New Roman" w:eastAsia="方正楷体_GBK"/>
          <w:b w:val="0"/>
          <w:sz w:val="24"/>
          <w:szCs w:val="24"/>
        </w:rPr>
        <w:t>号</w:t>
      </w:r>
      <w:bookmarkEnd w:id="490"/>
      <w:bookmarkEnd w:id="491"/>
    </w:p>
    <w:p>
      <w:pPr>
        <w:spacing w:line="460" w:lineRule="exact"/>
        <w:ind w:firstLine="480" w:firstLineChars="200"/>
        <w:rPr>
          <w:rFonts w:eastAsia="方正仿宋_GBK" w:cs="方正仿宋_GBK"/>
          <w:sz w:val="24"/>
        </w:rPr>
      </w:pPr>
      <w:r>
        <w:rPr>
          <w:rFonts w:hint="eastAsia" w:eastAsia="方正仿宋_GBK" w:cs="宋体"/>
          <w:kern w:val="0"/>
          <w:sz w:val="24"/>
        </w:rPr>
        <w:t>为进一步落实建筑业“放管服”改革要求，推动建筑业快速发展，</w:t>
      </w:r>
      <w:r>
        <w:rPr>
          <w:rFonts w:hint="eastAsia" w:eastAsia="方正仿宋_GBK" w:cs="方正仿宋_GBK"/>
          <w:sz w:val="24"/>
        </w:rPr>
        <w:t>根据《国务院办公厅关于促进建筑业持续健康发展的意见》（国办发〔</w:t>
      </w:r>
      <w:r>
        <w:rPr>
          <w:rFonts w:eastAsia="方正仿宋_GBK" w:cs="方正仿宋_GBK"/>
          <w:sz w:val="24"/>
        </w:rPr>
        <w:t>2017</w:t>
      </w:r>
      <w:r>
        <w:rPr>
          <w:rFonts w:hint="eastAsia" w:eastAsia="方正仿宋_GBK" w:cs="方正仿宋_GBK"/>
          <w:sz w:val="24"/>
        </w:rPr>
        <w:t>〕</w:t>
      </w:r>
      <w:r>
        <w:rPr>
          <w:rFonts w:eastAsia="方正仿宋_GBK" w:cs="方正仿宋_GBK"/>
          <w:sz w:val="24"/>
        </w:rPr>
        <w:t>19</w:t>
      </w:r>
      <w:r>
        <w:rPr>
          <w:rFonts w:hint="eastAsia" w:eastAsia="方正仿宋_GBK" w:cs="方正仿宋_GBK"/>
          <w:sz w:val="24"/>
        </w:rPr>
        <w:t>号）、《省政府关于促进建筑业改革发展的意见》（苏政发〔</w:t>
      </w:r>
      <w:r>
        <w:rPr>
          <w:rFonts w:eastAsia="方正仿宋_GBK" w:cs="方正仿宋_GBK"/>
          <w:sz w:val="24"/>
        </w:rPr>
        <w:t>2017</w:t>
      </w:r>
      <w:r>
        <w:rPr>
          <w:rFonts w:hint="eastAsia" w:eastAsia="方正仿宋_GBK" w:cs="方正仿宋_GBK"/>
          <w:sz w:val="24"/>
        </w:rPr>
        <w:t>〕</w:t>
      </w:r>
      <w:r>
        <w:rPr>
          <w:rFonts w:eastAsia="方正仿宋_GBK" w:cs="方正仿宋_GBK"/>
          <w:sz w:val="24"/>
        </w:rPr>
        <w:t>151</w:t>
      </w:r>
      <w:r>
        <w:rPr>
          <w:rFonts w:hint="eastAsia" w:eastAsia="方正仿宋_GBK" w:cs="方正仿宋_GBK"/>
          <w:sz w:val="24"/>
        </w:rPr>
        <w:t>号）等文件精神，按照住房城乡建设部关于在我省开展建筑业改革综合试点的要求，现就我省试行部分类别的施工总承包资质企业跨专业承接工程有关事宜通知如下：</w:t>
      </w:r>
    </w:p>
    <w:p>
      <w:pPr>
        <w:spacing w:line="460" w:lineRule="exact"/>
        <w:ind w:firstLine="480" w:firstLineChars="200"/>
        <w:rPr>
          <w:rFonts w:eastAsia="方正仿宋_GBK" w:cs="方正仿宋_GBK"/>
          <w:sz w:val="24"/>
        </w:rPr>
      </w:pPr>
      <w:r>
        <w:rPr>
          <w:rFonts w:hint="eastAsia" w:eastAsia="方正仿宋_GBK" w:cs="方正仿宋_GBK"/>
          <w:sz w:val="24"/>
        </w:rPr>
        <w:t>一、具有市政公用工程、公路工程、水利水电工程、港口与航道工程任意一项一级及以上施工总承包资质，信誉良好且符合下列条件的企业，可以跨专业承接其他三个类别同等级资质相应的工程。</w:t>
      </w:r>
    </w:p>
    <w:p>
      <w:pPr>
        <w:spacing w:line="460" w:lineRule="exact"/>
        <w:ind w:firstLine="480" w:firstLineChars="200"/>
        <w:rPr>
          <w:rFonts w:eastAsia="方正仿宋_GBK" w:cs="方正仿宋_GBK"/>
          <w:sz w:val="24"/>
        </w:rPr>
      </w:pPr>
      <w:r>
        <w:rPr>
          <w:rFonts w:hint="eastAsia" w:eastAsia="方正仿宋_GBK" w:cs="方正仿宋_GBK"/>
          <w:sz w:val="24"/>
        </w:rPr>
        <w:t>（一）企业须提供合同总价</w:t>
      </w:r>
      <w:r>
        <w:rPr>
          <w:rFonts w:eastAsia="方正仿宋_GBK" w:cs="方正仿宋_GBK"/>
          <w:sz w:val="24"/>
        </w:rPr>
        <w:t>10%</w:t>
      </w:r>
      <w:r>
        <w:rPr>
          <w:rFonts w:hint="eastAsia" w:eastAsia="方正仿宋_GBK" w:cs="方正仿宋_GBK"/>
          <w:sz w:val="24"/>
        </w:rPr>
        <w:t>的履约担保，担保方式由发包人结合企业信用等因素自行确定，优先采用银行担保、保证保险等方式。</w:t>
      </w:r>
    </w:p>
    <w:p>
      <w:pPr>
        <w:spacing w:line="460" w:lineRule="exact"/>
        <w:ind w:firstLine="480" w:firstLineChars="200"/>
        <w:rPr>
          <w:rFonts w:eastAsia="方正仿宋_GBK" w:cs="方正仿宋_GBK"/>
          <w:sz w:val="24"/>
        </w:rPr>
      </w:pPr>
      <w:r>
        <w:rPr>
          <w:rFonts w:hint="eastAsia" w:eastAsia="方正仿宋_GBK" w:cs="方正仿宋_GBK"/>
          <w:sz w:val="24"/>
        </w:rPr>
        <w:t>（二）拟承接工程的项目负责人和技术负责人作为项目经理或者项目技术负责人主持完成过拟承接类别一级资质以上标准要求的工程业绩，且未发生过质量安全事故，该工程业绩已在国家或者我省相应的工程项目监管平台备案。</w:t>
      </w:r>
    </w:p>
    <w:p>
      <w:pPr>
        <w:spacing w:line="460" w:lineRule="exact"/>
        <w:ind w:firstLine="720"/>
        <w:rPr>
          <w:rFonts w:eastAsia="方正仿宋_GBK" w:cs="方正仿宋_GBK"/>
          <w:sz w:val="24"/>
        </w:rPr>
      </w:pPr>
      <w:r>
        <w:rPr>
          <w:rFonts w:hint="eastAsia" w:eastAsia="方正仿宋_GBK" w:cs="方正仿宋_GBK"/>
          <w:sz w:val="24"/>
        </w:rPr>
        <w:t>（三）现场施工管理机构和项目部关键岗位人员配备须符合相关行业的管理要求。</w:t>
      </w:r>
    </w:p>
    <w:p>
      <w:pPr>
        <w:spacing w:line="460" w:lineRule="exact"/>
        <w:ind w:firstLine="480" w:firstLineChars="200"/>
        <w:rPr>
          <w:rFonts w:eastAsia="方正仿宋_GBK" w:cs="方正仿宋_GBK"/>
          <w:sz w:val="24"/>
        </w:rPr>
      </w:pPr>
      <w:r>
        <w:rPr>
          <w:rFonts w:hint="eastAsia" w:eastAsia="方正仿宋_GBK" w:cs="方正仿宋_GBK"/>
          <w:sz w:val="24"/>
        </w:rPr>
        <w:t>二、跨专业承接的市政公用工程不包括燃气工程、热力工程、轨道交通工程、环境卫生工程、照明工程；公路工程不包括高速公路、单跨</w:t>
      </w:r>
      <w:r>
        <w:rPr>
          <w:rFonts w:eastAsia="方正仿宋_GBK" w:cs="方正仿宋_GBK"/>
          <w:sz w:val="24"/>
        </w:rPr>
        <w:t>&gt;500</w:t>
      </w:r>
      <w:r>
        <w:rPr>
          <w:rFonts w:hint="eastAsia" w:eastAsia="方正仿宋_GBK" w:cs="方正仿宋_GBK"/>
          <w:sz w:val="24"/>
        </w:rPr>
        <w:t>米或者总长</w:t>
      </w:r>
      <w:r>
        <w:rPr>
          <w:rFonts w:eastAsia="方正仿宋_GBK" w:cs="方正仿宋_GBK"/>
          <w:sz w:val="24"/>
        </w:rPr>
        <w:t>&gt;1000</w:t>
      </w:r>
      <w:r>
        <w:rPr>
          <w:rFonts w:hint="eastAsia" w:eastAsia="方正仿宋_GBK" w:cs="方正仿宋_GBK"/>
          <w:sz w:val="24"/>
        </w:rPr>
        <w:t>米的独立大桥工程，港口与航道工程不包括沿海港口与航道工程；水利水电工程不包括Ⅰ级堤防、水库、工程规模中型及以上的泵站和水闸。</w:t>
      </w:r>
    </w:p>
    <w:p>
      <w:pPr>
        <w:widowControl/>
        <w:spacing w:line="460" w:lineRule="exact"/>
        <w:ind w:firstLine="480" w:firstLineChars="200"/>
        <w:jc w:val="left"/>
        <w:rPr>
          <w:rFonts w:eastAsia="方正仿宋_GBK" w:cs="宋体"/>
          <w:kern w:val="0"/>
          <w:sz w:val="24"/>
        </w:rPr>
      </w:pPr>
      <w:r>
        <w:rPr>
          <w:rFonts w:hint="eastAsia" w:eastAsia="方正仿宋_GBK" w:cs="宋体"/>
          <w:kern w:val="0"/>
          <w:sz w:val="24"/>
        </w:rPr>
        <w:t>三、试行期间，企业发生违法行为的，自通报或者决定作出之日起，在纠正违法行为、消除不良影响、修复信用前，不得跨专业承接新的相应的工程业务。</w:t>
      </w:r>
    </w:p>
    <w:p>
      <w:pPr>
        <w:spacing w:line="460" w:lineRule="exact"/>
        <w:ind w:firstLine="480" w:firstLineChars="200"/>
        <w:rPr>
          <w:rFonts w:eastAsia="方正仿宋_GBK" w:cs="方正仿宋_GBK"/>
          <w:b/>
          <w:sz w:val="24"/>
        </w:rPr>
      </w:pPr>
      <w:r>
        <w:rPr>
          <w:rFonts w:hint="eastAsia" w:eastAsia="方正仿宋_GBK" w:cs="方正仿宋_GBK"/>
          <w:sz w:val="24"/>
        </w:rPr>
        <w:t>四、各级行业主管部门要对跨专业承包工程项目进行重点跟踪，强化工程质量安全监督管理，确保工程建设各方主体责任落实到位。</w:t>
      </w:r>
    </w:p>
    <w:p>
      <w:pPr>
        <w:spacing w:line="460" w:lineRule="exact"/>
        <w:outlineLvl w:val="0"/>
        <w:rPr>
          <w:rFonts w:eastAsia="方正仿宋_GBK"/>
          <w:color w:val="000000"/>
          <w:spacing w:val="-2"/>
          <w:kern w:val="0"/>
          <w:sz w:val="24"/>
        </w:rPr>
      </w:pPr>
      <w:bookmarkStart w:id="492" w:name="_Toc20668035"/>
      <w:bookmarkStart w:id="493" w:name="_Toc20726564"/>
      <w:r>
        <w:rPr>
          <w:rFonts w:hint="eastAsia" w:eastAsia="方正仿宋_GBK" w:cs="方正仿宋_GBK"/>
          <w:sz w:val="24"/>
        </w:rPr>
        <w:t>五、本通知自</w:t>
      </w:r>
      <w:r>
        <w:rPr>
          <w:rFonts w:eastAsia="方正仿宋_GBK" w:cs="方正仿宋_GBK"/>
          <w:sz w:val="24"/>
        </w:rPr>
        <w:t>2019</w:t>
      </w:r>
      <w:r>
        <w:rPr>
          <w:rFonts w:hint="eastAsia" w:eastAsia="方正仿宋_GBK" w:cs="方正仿宋_GBK"/>
          <w:sz w:val="24"/>
        </w:rPr>
        <w:t>年</w:t>
      </w:r>
      <w:r>
        <w:rPr>
          <w:rFonts w:eastAsia="方正仿宋_GBK" w:cs="方正仿宋_GBK"/>
          <w:sz w:val="24"/>
        </w:rPr>
        <w:t>3</w:t>
      </w:r>
      <w:r>
        <w:rPr>
          <w:rFonts w:hint="eastAsia" w:eastAsia="方正仿宋_GBK" w:cs="方正仿宋_GBK"/>
          <w:sz w:val="24"/>
        </w:rPr>
        <w:t>月</w:t>
      </w:r>
      <w:r>
        <w:rPr>
          <w:rFonts w:eastAsia="方正仿宋_GBK" w:cs="方正仿宋_GBK"/>
          <w:sz w:val="24"/>
        </w:rPr>
        <w:t>1</w:t>
      </w:r>
      <w:r>
        <w:rPr>
          <w:rFonts w:hint="eastAsia" w:eastAsia="方正仿宋_GBK" w:cs="方正仿宋_GBK"/>
          <w:sz w:val="24"/>
        </w:rPr>
        <w:t>日起试行，试行过程中，省住房和城乡建设厅将根据试行情况和国家工程审批制度改革及资质管理制度改革的要求，对本试行办法进行调整或终止试行。</w:t>
      </w:r>
      <w:bookmarkEnd w:id="492"/>
      <w:bookmarkEnd w:id="493"/>
    </w:p>
    <w:p>
      <w:pPr>
        <w:spacing w:line="460" w:lineRule="exact"/>
        <w:ind w:firstLine="472" w:firstLineChars="200"/>
        <w:outlineLvl w:val="0"/>
        <w:rPr>
          <w:rFonts w:eastAsia="方正仿宋_GBK"/>
          <w:color w:val="000000"/>
          <w:spacing w:val="-2"/>
          <w:kern w:val="0"/>
          <w:sz w:val="24"/>
        </w:rPr>
      </w:pPr>
    </w:p>
    <w:p>
      <w:pPr>
        <w:spacing w:line="460" w:lineRule="exact"/>
        <w:ind w:firstLine="472" w:firstLineChars="200"/>
        <w:outlineLvl w:val="0"/>
        <w:rPr>
          <w:rFonts w:eastAsia="方正仿宋_GBK"/>
          <w:color w:val="000000"/>
          <w:spacing w:val="-2"/>
          <w:kern w:val="0"/>
          <w:sz w:val="24"/>
        </w:rPr>
      </w:pPr>
    </w:p>
    <w:p>
      <w:pPr>
        <w:snapToGrid w:val="0"/>
        <w:spacing w:line="600" w:lineRule="exact"/>
        <w:rPr>
          <w:rFonts w:eastAsia="方正仿宋_GBK"/>
          <w:color w:val="000000"/>
          <w:spacing w:val="-2"/>
          <w:kern w:val="0"/>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snapToGrid w:val="0"/>
        <w:spacing w:line="600" w:lineRule="exact"/>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rPr>
          <w:rFonts w:eastAsia="方正仿宋_GBK"/>
          <w:sz w:val="24"/>
        </w:rPr>
      </w:pPr>
    </w:p>
    <w:p>
      <w:pPr>
        <w:pStyle w:val="2"/>
        <w:spacing w:before="312" w:after="312" w:line="240" w:lineRule="auto"/>
        <w:jc w:val="center"/>
        <w:rPr>
          <w:rFonts w:ascii="Times New Roman" w:hAnsi="Times New Roman" w:eastAsia="方正小标宋_GBK"/>
          <w:b w:val="0"/>
          <w:bCs/>
          <w:sz w:val="36"/>
          <w:szCs w:val="36"/>
        </w:rPr>
      </w:pPr>
      <w:bookmarkStart w:id="494" w:name="_Toc20726515"/>
      <w:r>
        <w:rPr>
          <w:rFonts w:hint="eastAsia" w:ascii="Times New Roman" w:hAnsi="Times New Roman" w:eastAsia="方正小标宋_GBK"/>
          <w:b w:val="0"/>
          <w:sz w:val="36"/>
          <w:szCs w:val="36"/>
        </w:rPr>
        <w:t>省住房城乡建设厅关于统一使用《江苏省建设工程监理现场用表（第六版）》的通知</w:t>
      </w:r>
      <w:bookmarkEnd w:id="494"/>
      <w:r>
        <w:rPr>
          <w:rFonts w:hint="eastAsia" w:ascii="Times New Roman" w:hAnsi="Times New Roman" w:eastAsia="方正小标宋_GBK"/>
          <w:b w:val="0"/>
          <w:sz w:val="36"/>
          <w:szCs w:val="36"/>
        </w:rPr>
        <w:t xml:space="preserve"> </w:t>
      </w:r>
    </w:p>
    <w:p>
      <w:pPr>
        <w:pStyle w:val="3"/>
        <w:spacing w:before="312" w:after="312" w:line="240" w:lineRule="auto"/>
        <w:jc w:val="center"/>
        <w:rPr>
          <w:rFonts w:hint="eastAsia" w:ascii="Times New Roman" w:hAnsi="Times New Roman" w:eastAsia="方正楷体_GBK"/>
          <w:b w:val="0"/>
          <w:bCs w:val="0"/>
          <w:sz w:val="24"/>
          <w:szCs w:val="24"/>
        </w:rPr>
      </w:pPr>
      <w:bookmarkStart w:id="495" w:name="_Toc20726516"/>
      <w:r>
        <w:rPr>
          <w:rFonts w:hint="eastAsia" w:ascii="Times New Roman" w:hAnsi="Times New Roman" w:eastAsia="方正楷体_GBK"/>
          <w:b w:val="0"/>
          <w:bCs w:val="0"/>
          <w:sz w:val="24"/>
          <w:szCs w:val="24"/>
        </w:rPr>
        <w:t>苏建建管〔</w:t>
      </w:r>
      <w:r>
        <w:rPr>
          <w:rFonts w:ascii="Times New Roman" w:hAnsi="Times New Roman" w:eastAsia="方正楷体_GBK"/>
          <w:b w:val="0"/>
          <w:bCs w:val="0"/>
          <w:sz w:val="24"/>
          <w:szCs w:val="24"/>
        </w:rPr>
        <w:t>2019</w:t>
      </w:r>
      <w:r>
        <w:rPr>
          <w:rFonts w:hint="eastAsia" w:ascii="Times New Roman" w:hAnsi="Times New Roman" w:eastAsia="方正楷体_GBK"/>
          <w:b w:val="0"/>
          <w:bCs w:val="0"/>
          <w:sz w:val="24"/>
          <w:szCs w:val="24"/>
        </w:rPr>
        <w:t>〕</w:t>
      </w:r>
      <w:r>
        <w:rPr>
          <w:rFonts w:ascii="Times New Roman" w:hAnsi="Times New Roman" w:eastAsia="方正楷体_GBK"/>
          <w:b w:val="0"/>
          <w:bCs w:val="0"/>
          <w:sz w:val="24"/>
          <w:szCs w:val="24"/>
        </w:rPr>
        <w:t>204</w:t>
      </w:r>
      <w:r>
        <w:rPr>
          <w:rFonts w:hint="eastAsia" w:ascii="Times New Roman" w:hAnsi="Times New Roman" w:eastAsia="方正楷体_GBK"/>
          <w:b w:val="0"/>
          <w:bCs w:val="0"/>
          <w:sz w:val="24"/>
          <w:szCs w:val="24"/>
        </w:rPr>
        <w:t>号</w:t>
      </w:r>
      <w:bookmarkEnd w:id="495"/>
    </w:p>
    <w:p>
      <w:pPr>
        <w:spacing w:line="500" w:lineRule="exact"/>
        <w:ind w:left="-10" w:leftChars="-8" w:hanging="7" w:hangingChars="3"/>
        <w:rPr>
          <w:rFonts w:eastAsia="方正仿宋_GBK"/>
          <w:color w:val="000000"/>
          <w:spacing w:val="-2"/>
          <w:kern w:val="0"/>
          <w:sz w:val="24"/>
        </w:rPr>
      </w:pPr>
      <w:r>
        <w:rPr>
          <w:rFonts w:hint="eastAsia" w:eastAsia="方正仿宋_GBK"/>
          <w:color w:val="000000"/>
          <w:spacing w:val="-2"/>
          <w:kern w:val="0"/>
          <w:sz w:val="24"/>
        </w:rPr>
        <w:t>各设区市住房城乡建设局（建委）：</w:t>
      </w:r>
    </w:p>
    <w:p>
      <w:pPr>
        <w:spacing w:line="500" w:lineRule="exact"/>
        <w:ind w:left="-10" w:leftChars="-8" w:hanging="7" w:hangingChars="3"/>
        <w:jc w:val="lef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为进一步规范现场监理工作，提高全省建设工程监理工作的科学化、规范化水平，根据《中华人民共和国建筑法》《建设工程质量管理条例》《建设工程安全生产管理条例》《危险性较大的分部分项工程安全管理规定》《建设工程监理规范》（</w:t>
      </w:r>
      <w:r>
        <w:rPr>
          <w:rFonts w:eastAsia="方正仿宋_GBK"/>
          <w:color w:val="000000"/>
          <w:spacing w:val="-2"/>
          <w:kern w:val="0"/>
          <w:sz w:val="24"/>
        </w:rPr>
        <w:t>GB/T50319-2013</w:t>
      </w:r>
      <w:r>
        <w:rPr>
          <w:rFonts w:hint="eastAsia" w:eastAsia="方正仿宋_GBK"/>
          <w:color w:val="000000"/>
          <w:spacing w:val="-2"/>
          <w:kern w:val="0"/>
          <w:sz w:val="24"/>
        </w:rPr>
        <w:t>）等法律法规和相关标准规范规定，结合我省实际，我厅对《江苏省建设工程施工阶段监理现场用表（第五版）》进行了补充和修订。修订后的《江苏省建设工程监理现场用表（第六版）》（以下简称《监理现场用表》）分为</w:t>
      </w:r>
      <w:r>
        <w:rPr>
          <w:rFonts w:eastAsia="方正仿宋_GBK"/>
          <w:color w:val="000000"/>
          <w:spacing w:val="-2"/>
          <w:kern w:val="0"/>
          <w:sz w:val="24"/>
        </w:rPr>
        <w:t>A</w:t>
      </w:r>
      <w:r>
        <w:rPr>
          <w:rFonts w:hint="eastAsia" w:eastAsia="方正仿宋_GBK"/>
          <w:color w:val="000000"/>
          <w:spacing w:val="-2"/>
          <w:kern w:val="0"/>
          <w:sz w:val="24"/>
        </w:rPr>
        <w:t>（工程监理单位用表，</w:t>
      </w:r>
      <w:r>
        <w:rPr>
          <w:rFonts w:eastAsia="方正仿宋_GBK"/>
          <w:color w:val="000000"/>
          <w:spacing w:val="-2"/>
          <w:kern w:val="0"/>
          <w:sz w:val="24"/>
        </w:rPr>
        <w:t>19</w:t>
      </w:r>
      <w:r>
        <w:rPr>
          <w:rFonts w:hint="eastAsia" w:eastAsia="方正仿宋_GBK"/>
          <w:color w:val="000000"/>
          <w:spacing w:val="-2"/>
          <w:kern w:val="0"/>
          <w:sz w:val="24"/>
        </w:rPr>
        <w:t>种）、</w:t>
      </w:r>
      <w:r>
        <w:rPr>
          <w:rFonts w:eastAsia="方正仿宋_GBK"/>
          <w:color w:val="000000"/>
          <w:spacing w:val="-2"/>
          <w:kern w:val="0"/>
          <w:sz w:val="24"/>
        </w:rPr>
        <w:t>B</w:t>
      </w:r>
      <w:r>
        <w:rPr>
          <w:rFonts w:hint="eastAsia" w:eastAsia="方正仿宋_GBK"/>
          <w:color w:val="000000"/>
          <w:spacing w:val="-2"/>
          <w:kern w:val="0"/>
          <w:sz w:val="24"/>
        </w:rPr>
        <w:t>（施工单位报审、报验等用表，</w:t>
      </w:r>
      <w:r>
        <w:rPr>
          <w:rFonts w:eastAsia="方正仿宋_GBK"/>
          <w:color w:val="000000"/>
          <w:spacing w:val="-2"/>
          <w:kern w:val="0"/>
          <w:sz w:val="24"/>
        </w:rPr>
        <w:t>24</w:t>
      </w:r>
      <w:r>
        <w:rPr>
          <w:rFonts w:hint="eastAsia" w:eastAsia="方正仿宋_GBK"/>
          <w:color w:val="000000"/>
          <w:spacing w:val="-2"/>
          <w:kern w:val="0"/>
          <w:sz w:val="24"/>
        </w:rPr>
        <w:t>种）、</w:t>
      </w:r>
      <w:r>
        <w:rPr>
          <w:rFonts w:eastAsia="方正仿宋_GBK"/>
          <w:color w:val="000000"/>
          <w:spacing w:val="-2"/>
          <w:kern w:val="0"/>
          <w:sz w:val="24"/>
        </w:rPr>
        <w:t>C</w:t>
      </w:r>
      <w:r>
        <w:rPr>
          <w:rFonts w:hint="eastAsia" w:eastAsia="方正仿宋_GBK"/>
          <w:color w:val="000000"/>
          <w:spacing w:val="-2"/>
          <w:kern w:val="0"/>
          <w:sz w:val="24"/>
        </w:rPr>
        <w:t>（通用表，</w:t>
      </w:r>
      <w:r>
        <w:rPr>
          <w:rFonts w:eastAsia="方正仿宋_GBK"/>
          <w:color w:val="000000"/>
          <w:spacing w:val="-2"/>
          <w:kern w:val="0"/>
          <w:sz w:val="24"/>
        </w:rPr>
        <w:t xml:space="preserve"> 2</w:t>
      </w:r>
      <w:r>
        <w:rPr>
          <w:rFonts w:hint="eastAsia" w:eastAsia="方正仿宋_GBK"/>
          <w:color w:val="000000"/>
          <w:spacing w:val="-2"/>
          <w:kern w:val="0"/>
          <w:sz w:val="24"/>
        </w:rPr>
        <w:t>种）三大类，共计</w:t>
      </w:r>
      <w:r>
        <w:rPr>
          <w:rFonts w:eastAsia="方正仿宋_GBK"/>
          <w:color w:val="000000"/>
          <w:spacing w:val="-2"/>
          <w:kern w:val="0"/>
          <w:sz w:val="24"/>
        </w:rPr>
        <w:t>45</w:t>
      </w:r>
      <w:r>
        <w:rPr>
          <w:rFonts w:hint="eastAsia" w:eastAsia="方正仿宋_GBK"/>
          <w:color w:val="000000"/>
          <w:spacing w:val="-2"/>
          <w:kern w:val="0"/>
          <w:sz w:val="24"/>
        </w:rPr>
        <w:t>种用表。现印发给你们，请各地认真贯彻执行。</w:t>
      </w:r>
    </w:p>
    <w:p>
      <w:pPr>
        <w:spacing w:line="500" w:lineRule="exact"/>
        <w:ind w:left="-10" w:leftChars="-8" w:hanging="7" w:hangingChars="3"/>
        <w:jc w:val="lef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自</w:t>
      </w:r>
      <w:r>
        <w:rPr>
          <w:rFonts w:eastAsia="方正仿宋_GBK"/>
          <w:color w:val="000000"/>
          <w:spacing w:val="-2"/>
          <w:kern w:val="0"/>
          <w:sz w:val="24"/>
        </w:rPr>
        <w:t>2019</w:t>
      </w:r>
      <w:r>
        <w:rPr>
          <w:rFonts w:hint="eastAsia" w:eastAsia="方正仿宋_GBK"/>
          <w:color w:val="000000"/>
          <w:spacing w:val="-2"/>
          <w:kern w:val="0"/>
          <w:sz w:val="24"/>
        </w:rPr>
        <w:t>年</w:t>
      </w:r>
      <w:r>
        <w:rPr>
          <w:rFonts w:eastAsia="方正仿宋_GBK"/>
          <w:color w:val="000000"/>
          <w:spacing w:val="-2"/>
          <w:kern w:val="0"/>
          <w:sz w:val="24"/>
        </w:rPr>
        <w:t>5</w:t>
      </w:r>
      <w:r>
        <w:rPr>
          <w:rFonts w:hint="eastAsia" w:eastAsia="方正仿宋_GBK"/>
          <w:color w:val="000000"/>
          <w:spacing w:val="-2"/>
          <w:kern w:val="0"/>
          <w:sz w:val="24"/>
        </w:rPr>
        <w:t>月</w:t>
      </w:r>
      <w:r>
        <w:rPr>
          <w:rFonts w:eastAsia="方正仿宋_GBK"/>
          <w:color w:val="000000"/>
          <w:spacing w:val="-2"/>
          <w:kern w:val="0"/>
          <w:sz w:val="24"/>
        </w:rPr>
        <w:t>20</w:t>
      </w:r>
      <w:r>
        <w:rPr>
          <w:rFonts w:hint="eastAsia" w:eastAsia="方正仿宋_GBK"/>
          <w:color w:val="000000"/>
          <w:spacing w:val="-2"/>
          <w:kern w:val="0"/>
          <w:sz w:val="24"/>
        </w:rPr>
        <w:t>日起，凡在我省境内新开工依法必须实行监理的建设工程均须统一使用本《监理现场用表》（</w:t>
      </w:r>
      <w:r>
        <w:rPr>
          <w:rFonts w:eastAsia="方正仿宋_GBK"/>
          <w:color w:val="000000"/>
          <w:spacing w:val="-2"/>
          <w:kern w:val="0"/>
          <w:sz w:val="24"/>
        </w:rPr>
        <w:t>2019</w:t>
      </w:r>
      <w:r>
        <w:rPr>
          <w:rFonts w:hint="eastAsia" w:eastAsia="方正仿宋_GBK"/>
          <w:color w:val="000000"/>
          <w:spacing w:val="-2"/>
          <w:kern w:val="0"/>
          <w:sz w:val="24"/>
        </w:rPr>
        <w:t>年</w:t>
      </w:r>
      <w:r>
        <w:rPr>
          <w:rFonts w:eastAsia="方正仿宋_GBK"/>
          <w:color w:val="000000"/>
          <w:spacing w:val="-2"/>
          <w:kern w:val="0"/>
          <w:sz w:val="24"/>
        </w:rPr>
        <w:t>5</w:t>
      </w:r>
      <w:r>
        <w:rPr>
          <w:rFonts w:hint="eastAsia" w:eastAsia="方正仿宋_GBK"/>
          <w:color w:val="000000"/>
          <w:spacing w:val="-2"/>
          <w:kern w:val="0"/>
          <w:sz w:val="24"/>
        </w:rPr>
        <w:t>月</w:t>
      </w:r>
      <w:r>
        <w:rPr>
          <w:rFonts w:eastAsia="方正仿宋_GBK"/>
          <w:color w:val="000000"/>
          <w:spacing w:val="-2"/>
          <w:kern w:val="0"/>
          <w:sz w:val="24"/>
        </w:rPr>
        <w:t>20</w:t>
      </w:r>
      <w:r>
        <w:rPr>
          <w:rFonts w:hint="eastAsia" w:eastAsia="方正仿宋_GBK"/>
          <w:color w:val="000000"/>
          <w:spacing w:val="-2"/>
          <w:kern w:val="0"/>
          <w:sz w:val="24"/>
        </w:rPr>
        <w:t>日前未竣工工程仍可延续使用原第五版监理现场用表），其他建设工程可根据建设单位委托监理的范围和工作内容选用本《监理现场用表》。本《监理现场用表》作为建设工程竣工验收的依据和工程档案资料归档。</w:t>
      </w:r>
    </w:p>
    <w:p>
      <w:pPr>
        <w:spacing w:line="500" w:lineRule="exact"/>
        <w:ind w:left="-10" w:leftChars="-8" w:hanging="7" w:hangingChars="3"/>
        <w:jc w:val="lef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本《监理现场用表》由江苏省住房和城乡建设厅统一监制，供各单位免费下载使用。各地在执行中有何问题和建议，请及时与我厅建筑市场监管处联系。</w:t>
      </w:r>
    </w:p>
    <w:p>
      <w:pPr>
        <w:spacing w:line="500" w:lineRule="exact"/>
        <w:ind w:left="-10" w:leftChars="-8" w:hanging="7" w:hangingChars="3"/>
        <w:jc w:val="center"/>
        <w:rPr>
          <w:rFonts w:eastAsia="方正仿宋_GBK"/>
          <w:color w:val="000000"/>
          <w:spacing w:val="-2"/>
          <w:kern w:val="0"/>
          <w:sz w:val="24"/>
        </w:rPr>
      </w:pPr>
    </w:p>
    <w:p>
      <w:pPr>
        <w:spacing w:line="500" w:lineRule="exact"/>
        <w:ind w:firstLine="472" w:firstLineChars="200"/>
        <w:rPr>
          <w:rFonts w:eastAsia="方正仿宋_GBK"/>
          <w:color w:val="000000"/>
          <w:spacing w:val="-2"/>
          <w:kern w:val="0"/>
          <w:sz w:val="24"/>
        </w:rPr>
      </w:pPr>
      <w:r>
        <w:rPr>
          <w:rFonts w:hint="eastAsia" w:eastAsia="方正仿宋_GBK"/>
          <w:color w:val="000000"/>
          <w:spacing w:val="-2"/>
          <w:kern w:val="0"/>
          <w:sz w:val="24"/>
        </w:rPr>
        <w:t>附件：江苏省建设工程监理现场用表</w:t>
      </w:r>
      <w:r>
        <w:rPr>
          <w:rFonts w:eastAsia="方正仿宋_GBK"/>
          <w:color w:val="000000"/>
          <w:spacing w:val="-2"/>
          <w:kern w:val="0"/>
          <w:sz w:val="24"/>
        </w:rPr>
        <w:t>(</w:t>
      </w:r>
      <w:r>
        <w:rPr>
          <w:rFonts w:hint="eastAsia" w:eastAsia="方正仿宋_GBK"/>
          <w:color w:val="000000"/>
          <w:spacing w:val="-2"/>
          <w:kern w:val="0"/>
          <w:sz w:val="24"/>
        </w:rPr>
        <w:t>第六版</w:t>
      </w:r>
      <w:r>
        <w:rPr>
          <w:rFonts w:eastAsia="方正仿宋_GBK"/>
          <w:color w:val="000000"/>
          <w:spacing w:val="-2"/>
          <w:kern w:val="0"/>
          <w:sz w:val="24"/>
        </w:rPr>
        <w:t>).doc</w:t>
      </w:r>
    </w:p>
    <w:p>
      <w:pPr>
        <w:spacing w:line="500" w:lineRule="exact"/>
        <w:jc w:val="right"/>
        <w:rPr>
          <w:rFonts w:eastAsia="方正仿宋_GBK"/>
          <w:color w:val="000000"/>
          <w:spacing w:val="-2"/>
          <w:kern w:val="0"/>
          <w:sz w:val="24"/>
        </w:rPr>
      </w:pPr>
      <w:r>
        <w:rPr>
          <w:rFonts w:hint="eastAsia" w:eastAsia="方正仿宋_GBK"/>
          <w:color w:val="000000"/>
          <w:spacing w:val="-2"/>
          <w:kern w:val="0"/>
          <w:sz w:val="24"/>
        </w:rPr>
        <w:t>江苏省住房和城乡建设厅</w:t>
      </w:r>
    </w:p>
    <w:p>
      <w:pPr>
        <w:spacing w:line="500" w:lineRule="exact"/>
        <w:ind w:firstLine="6372" w:firstLineChars="2700"/>
        <w:rPr>
          <w:rFonts w:eastAsia="方正仿宋_GBK"/>
          <w:color w:val="000000"/>
          <w:spacing w:val="-2"/>
          <w:kern w:val="0"/>
          <w:sz w:val="24"/>
        </w:rPr>
      </w:pPr>
      <w:r>
        <w:rPr>
          <w:rFonts w:eastAsia="方正仿宋_GBK"/>
          <w:color w:val="000000"/>
          <w:spacing w:val="-2"/>
          <w:kern w:val="0"/>
          <w:sz w:val="24"/>
        </w:rPr>
        <w:t>2019</w:t>
      </w:r>
      <w:r>
        <w:rPr>
          <w:rFonts w:hint="eastAsia" w:eastAsia="方正仿宋_GBK"/>
          <w:color w:val="000000"/>
          <w:spacing w:val="-2"/>
          <w:kern w:val="0"/>
          <w:sz w:val="24"/>
        </w:rPr>
        <w:t>年</w:t>
      </w:r>
      <w:r>
        <w:rPr>
          <w:rFonts w:eastAsia="方正仿宋_GBK"/>
          <w:color w:val="000000"/>
          <w:spacing w:val="-2"/>
          <w:kern w:val="0"/>
          <w:sz w:val="24"/>
        </w:rPr>
        <w:t>5</w:t>
      </w:r>
      <w:r>
        <w:rPr>
          <w:rFonts w:hint="eastAsia" w:eastAsia="方正仿宋_GBK"/>
          <w:color w:val="000000"/>
          <w:spacing w:val="-2"/>
          <w:kern w:val="0"/>
          <w:sz w:val="24"/>
        </w:rPr>
        <w:t>月</w:t>
      </w:r>
      <w:r>
        <w:rPr>
          <w:rFonts w:eastAsia="方正仿宋_GBK"/>
          <w:color w:val="000000"/>
          <w:spacing w:val="-2"/>
          <w:kern w:val="0"/>
          <w:sz w:val="24"/>
        </w:rPr>
        <w:t>12</w:t>
      </w:r>
      <w:r>
        <w:rPr>
          <w:rFonts w:hint="eastAsia" w:eastAsia="方正仿宋_GBK"/>
          <w:color w:val="000000"/>
          <w:spacing w:val="-2"/>
          <w:kern w:val="0"/>
          <w:sz w:val="24"/>
        </w:rPr>
        <w:t>日</w:t>
      </w:r>
    </w:p>
    <w:p>
      <w:pPr>
        <w:jc w:val="center"/>
        <w:rPr>
          <w:rFonts w:ascii="Times New Roman" w:hAnsi="Times New Roman" w:eastAsia="黑体"/>
          <w:spacing w:val="195"/>
          <w:w w:val="150"/>
          <w:kern w:val="0"/>
          <w:sz w:val="52"/>
          <w:szCs w:val="52"/>
        </w:rPr>
      </w:pPr>
    </w:p>
    <w:p>
      <w:pPr>
        <w:jc w:val="center"/>
        <w:rPr>
          <w:rFonts w:hint="eastAsia" w:ascii="Times New Roman" w:hAnsi="Times New Roman" w:eastAsia="黑体"/>
          <w:spacing w:val="195"/>
          <w:w w:val="150"/>
          <w:kern w:val="0"/>
          <w:sz w:val="52"/>
          <w:szCs w:val="52"/>
        </w:rPr>
      </w:pPr>
    </w:p>
    <w:p>
      <w:pPr>
        <w:jc w:val="center"/>
        <w:rPr>
          <w:rFonts w:hint="eastAsia" w:ascii="Times New Roman" w:hAnsi="Times New Roman" w:eastAsia="黑体"/>
          <w:w w:val="150"/>
          <w:sz w:val="52"/>
          <w:szCs w:val="52"/>
        </w:rPr>
      </w:pPr>
      <w:r>
        <w:rPr>
          <w:rFonts w:hint="eastAsia" w:ascii="Times New Roman" w:hAnsi="Times New Roman" w:eastAsia="黑体"/>
          <w:spacing w:val="195"/>
          <w:w w:val="150"/>
          <w:kern w:val="0"/>
          <w:sz w:val="52"/>
          <w:szCs w:val="52"/>
        </w:rPr>
        <w:t>江苏省建设工</w:t>
      </w:r>
      <w:r>
        <w:rPr>
          <w:rFonts w:hint="eastAsia" w:ascii="Times New Roman" w:hAnsi="Times New Roman" w:eastAsia="黑体"/>
          <w:w w:val="150"/>
          <w:kern w:val="0"/>
          <w:sz w:val="52"/>
          <w:szCs w:val="52"/>
        </w:rPr>
        <w:t>程</w:t>
      </w:r>
    </w:p>
    <w:p>
      <w:pPr>
        <w:jc w:val="center"/>
        <w:rPr>
          <w:rFonts w:hint="eastAsia" w:ascii="Times New Roman" w:hAnsi="Times New Roman" w:eastAsia="隶书"/>
          <w:sz w:val="52"/>
          <w:szCs w:val="52"/>
        </w:rPr>
      </w:pPr>
      <w:r>
        <w:rPr>
          <w:rFonts w:hint="eastAsia" w:ascii="Times New Roman" w:hAnsi="Times New Roman" w:eastAsia="隶书"/>
          <w:sz w:val="52"/>
          <w:szCs w:val="52"/>
        </w:rPr>
        <w:t xml:space="preserve">监 理 现 场 用 表 </w:t>
      </w:r>
    </w:p>
    <w:p>
      <w:pPr>
        <w:spacing w:line="240" w:lineRule="exact"/>
        <w:jc w:val="center"/>
        <w:rPr>
          <w:rFonts w:hint="eastAsia" w:eastAsia="黑体"/>
          <w:sz w:val="52"/>
          <w:szCs w:val="52"/>
        </w:rPr>
      </w:pPr>
    </w:p>
    <w:p>
      <w:pPr>
        <w:jc w:val="center"/>
        <w:rPr>
          <w:rFonts w:eastAsia="黑体"/>
          <w:sz w:val="44"/>
          <w:szCs w:val="44"/>
        </w:rPr>
      </w:pPr>
      <w:r>
        <w:rPr>
          <w:rFonts w:eastAsia="黑体"/>
          <w:sz w:val="44"/>
          <w:szCs w:val="44"/>
        </w:rPr>
        <w:t>(</w:t>
      </w:r>
      <w:r>
        <w:rPr>
          <w:rFonts w:hint="eastAsia" w:eastAsia="黑体"/>
          <w:sz w:val="44"/>
          <w:szCs w:val="44"/>
        </w:rPr>
        <w:t>第六版</w:t>
      </w:r>
      <w:r>
        <w:rPr>
          <w:rFonts w:eastAsia="黑体"/>
          <w:sz w:val="44"/>
          <w:szCs w:val="44"/>
        </w:rPr>
        <w:t>)</w:t>
      </w:r>
    </w:p>
    <w:p>
      <w:pPr>
        <w:jc w:val="center"/>
        <w:rPr>
          <w:rFonts w:eastAsia="黑体"/>
          <w:sz w:val="44"/>
        </w:rPr>
      </w:pPr>
      <w:r>
        <w:rPr>
          <w:rFonts w:eastAsia="黑体"/>
          <w:sz w:val="44"/>
        </w:rPr>
        <w:drawing>
          <wp:inline distT="0" distB="0" distL="114300" distR="114300">
            <wp:extent cx="5379720" cy="3862705"/>
            <wp:effectExtent l="0" t="0" r="11430" b="4445"/>
            <wp:docPr id="56" name="图片 1" descr="第五版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 descr="第五版封"/>
                    <pic:cNvPicPr>
                      <a:picLocks noChangeAspect="1"/>
                    </pic:cNvPicPr>
                  </pic:nvPicPr>
                  <pic:blipFill>
                    <a:blip r:embed="rId8"/>
                    <a:stretch>
                      <a:fillRect/>
                    </a:stretch>
                  </pic:blipFill>
                  <pic:spPr>
                    <a:xfrm>
                      <a:off x="0" y="0"/>
                      <a:ext cx="5379720" cy="3862705"/>
                    </a:xfrm>
                    <a:prstGeom prst="rect">
                      <a:avLst/>
                    </a:prstGeom>
                    <a:noFill/>
                    <a:ln>
                      <a:noFill/>
                    </a:ln>
                  </pic:spPr>
                </pic:pic>
              </a:graphicData>
            </a:graphic>
          </wp:inline>
        </w:drawing>
      </w:r>
    </w:p>
    <w:p>
      <w:pPr>
        <w:rPr>
          <w:rFonts w:eastAsia="黑体"/>
          <w:sz w:val="44"/>
        </w:rPr>
      </w:pPr>
    </w:p>
    <w:p>
      <w:pPr>
        <w:spacing w:line="240" w:lineRule="exact"/>
        <w:jc w:val="center"/>
        <w:rPr>
          <w:rFonts w:eastAsia="黑体"/>
          <w:sz w:val="36"/>
          <w:szCs w:val="36"/>
        </w:rPr>
      </w:pPr>
    </w:p>
    <w:p>
      <w:pPr>
        <w:jc w:val="center"/>
        <w:rPr>
          <w:rFonts w:eastAsia="黑体"/>
          <w:sz w:val="36"/>
          <w:szCs w:val="36"/>
        </w:rPr>
      </w:pPr>
      <w:r>
        <w:rPr>
          <w:rFonts w:hint="eastAsia" w:eastAsia="黑体"/>
          <w:sz w:val="36"/>
          <w:szCs w:val="36"/>
        </w:rPr>
        <w:t>江苏省住房和城乡建设厅监制</w:t>
      </w:r>
    </w:p>
    <w:p>
      <w:pPr>
        <w:jc w:val="center"/>
        <w:rPr>
          <w:rFonts w:eastAsia="黑体"/>
          <w:sz w:val="36"/>
          <w:szCs w:val="36"/>
        </w:rPr>
      </w:pPr>
      <w:r>
        <w:rPr>
          <w:rFonts w:eastAsia="黑体"/>
          <w:sz w:val="36"/>
          <w:szCs w:val="36"/>
        </w:rPr>
        <w:t>2019</w:t>
      </w:r>
      <w:r>
        <w:rPr>
          <w:rFonts w:hint="eastAsia" w:eastAsia="黑体"/>
          <w:sz w:val="36"/>
          <w:szCs w:val="36"/>
        </w:rPr>
        <w:t>年</w:t>
      </w:r>
      <w:r>
        <w:rPr>
          <w:rFonts w:eastAsia="黑体"/>
          <w:sz w:val="36"/>
          <w:szCs w:val="36"/>
        </w:rPr>
        <w:t>5</w:t>
      </w:r>
      <w:r>
        <w:rPr>
          <w:rFonts w:hint="eastAsia" w:eastAsia="黑体"/>
          <w:sz w:val="36"/>
          <w:szCs w:val="36"/>
        </w:rPr>
        <w:t>月</w:t>
      </w:r>
    </w:p>
    <w:p>
      <w:pPr>
        <w:widowControl/>
        <w:jc w:val="left"/>
        <w:rPr>
          <w:rFonts w:eastAsia="黑体"/>
          <w:sz w:val="36"/>
          <w:szCs w:val="36"/>
        </w:rPr>
        <w:sectPr>
          <w:pgSz w:w="11906" w:h="16838"/>
          <w:pgMar w:top="1701" w:right="1701" w:bottom="1701" w:left="1701" w:header="851" w:footer="992" w:gutter="0"/>
          <w:cols w:space="720" w:num="1"/>
          <w:docGrid w:type="lines" w:linePitch="312" w:charSpace="0"/>
        </w:sectPr>
      </w:pPr>
    </w:p>
    <w:p>
      <w:pPr>
        <w:jc w:val="center"/>
        <w:rPr>
          <w:rFonts w:eastAsia="黑体"/>
          <w:sz w:val="44"/>
        </w:rPr>
      </w:pPr>
    </w:p>
    <w:p>
      <w:pPr>
        <w:spacing w:line="700" w:lineRule="exact"/>
        <w:jc w:val="center"/>
        <w:rPr>
          <w:b/>
          <w:sz w:val="48"/>
          <w:szCs w:val="48"/>
        </w:rPr>
      </w:pPr>
      <w:r>
        <w:rPr>
          <w:rFonts w:hint="eastAsia" w:hAnsi="Times New Roman"/>
          <w:b/>
          <w:spacing w:val="22"/>
          <w:w w:val="97"/>
          <w:kern w:val="0"/>
          <w:sz w:val="48"/>
          <w:szCs w:val="48"/>
        </w:rPr>
        <w:t>江苏省建设工程监理现场用</w:t>
      </w:r>
      <w:r>
        <w:rPr>
          <w:rFonts w:hint="eastAsia" w:hAnsi="Times New Roman"/>
          <w:b/>
          <w:spacing w:val="6"/>
          <w:w w:val="97"/>
          <w:kern w:val="0"/>
          <w:sz w:val="48"/>
          <w:szCs w:val="48"/>
        </w:rPr>
        <w:t>表</w:t>
      </w:r>
    </w:p>
    <w:p>
      <w:pPr>
        <w:spacing w:line="700" w:lineRule="exact"/>
        <w:jc w:val="center"/>
        <w:rPr>
          <w:rFonts w:hAnsi="Times New Roman"/>
          <w:b/>
          <w:spacing w:val="22"/>
          <w:w w:val="97"/>
          <w:kern w:val="0"/>
          <w:sz w:val="36"/>
          <w:szCs w:val="36"/>
        </w:rPr>
      </w:pPr>
      <w:r>
        <w:rPr>
          <w:rFonts w:hint="eastAsia" w:hAnsi="Times New Roman"/>
          <w:b/>
          <w:spacing w:val="22"/>
          <w:w w:val="97"/>
          <w:kern w:val="0"/>
          <w:sz w:val="36"/>
          <w:szCs w:val="36"/>
        </w:rPr>
        <w:t>（第六版）</w:t>
      </w:r>
    </w:p>
    <w:p>
      <w:pPr>
        <w:spacing w:line="400" w:lineRule="exact"/>
        <w:jc w:val="center"/>
        <w:rPr>
          <w:rFonts w:eastAsia="黑体"/>
          <w:sz w:val="32"/>
          <w:szCs w:val="32"/>
        </w:rPr>
      </w:pPr>
    </w:p>
    <w:p>
      <w:pPr>
        <w:pStyle w:val="6"/>
        <w:tabs>
          <w:tab w:val="left" w:pos="1680"/>
        </w:tabs>
        <w:rPr>
          <w:rFonts w:hAnsi="Times New Roman"/>
          <w:b/>
          <w:bCs/>
          <w:sz w:val="32"/>
          <w:szCs w:val="32"/>
        </w:rPr>
      </w:pPr>
      <w:r>
        <w:rPr>
          <w:rFonts w:hint="eastAsia" w:hAnsi="Times New Roman"/>
          <w:b/>
          <w:bCs/>
          <w:sz w:val="32"/>
          <w:szCs w:val="32"/>
        </w:rPr>
        <w:t>一、使用须知</w:t>
      </w:r>
    </w:p>
    <w:p>
      <w:pPr>
        <w:pStyle w:val="6"/>
        <w:tabs>
          <w:tab w:val="left" w:pos="1680"/>
        </w:tabs>
        <w:ind w:firstLine="420" w:firstLineChars="200"/>
        <w:rPr>
          <w:szCs w:val="28"/>
        </w:rPr>
      </w:pPr>
      <w:r>
        <w:rPr>
          <w:szCs w:val="28"/>
        </w:rPr>
        <w:t>1</w:t>
      </w:r>
      <w:r>
        <w:rPr>
          <w:rFonts w:hint="eastAsia" w:hAnsi="Times New Roman"/>
          <w:szCs w:val="28"/>
        </w:rPr>
        <w:t>、《江苏省建设工程监理现场用表（第六版）》（以下简称《监理现场用表》）是江苏省住房和城乡建设厅根据《中华人民共和国建筑法》、《建设工程质量管理条例》、《建设工程安全生产管理条例》、《危险性较大的分部分项工程安全管理规定》、《建设工程监理规范》（</w:t>
      </w:r>
      <w:r>
        <w:rPr>
          <w:szCs w:val="28"/>
        </w:rPr>
        <w:t>GB/T 50319-2013</w:t>
      </w:r>
      <w:r>
        <w:rPr>
          <w:rFonts w:hint="eastAsia" w:hAnsi="Times New Roman"/>
          <w:szCs w:val="28"/>
        </w:rPr>
        <w:t>）等法律法规和相关标准规范，结合工程实际，在《江苏省建设工程施工阶段监理现场用表（第五版）》的基础上制定的。凡在江苏省境内依法必须实行监理的建设工程（房屋建筑和市政基础设施项目），均应使用本《监理现场用表》，并作为工程竣工验收的依据；其他建设工程，可依据建设单位委托监理的范围和工作内容选用本《监理现场用表》。</w:t>
      </w:r>
    </w:p>
    <w:p>
      <w:pPr>
        <w:pStyle w:val="6"/>
        <w:tabs>
          <w:tab w:val="left" w:pos="1680"/>
        </w:tabs>
        <w:ind w:firstLine="420"/>
        <w:rPr>
          <w:szCs w:val="28"/>
        </w:rPr>
      </w:pPr>
      <w:r>
        <w:rPr>
          <w:szCs w:val="28"/>
        </w:rPr>
        <w:t>2</w:t>
      </w:r>
      <w:r>
        <w:rPr>
          <w:rFonts w:hint="eastAsia" w:hAnsi="Times New Roman"/>
          <w:szCs w:val="28"/>
        </w:rPr>
        <w:t>、《监理现场用表》用表分为</w:t>
      </w:r>
      <w:r>
        <w:rPr>
          <w:szCs w:val="28"/>
        </w:rPr>
        <w:t>A</w:t>
      </w:r>
      <w:r>
        <w:rPr>
          <w:rFonts w:hint="eastAsia" w:hAnsi="Times New Roman"/>
          <w:szCs w:val="28"/>
        </w:rPr>
        <w:t>、</w:t>
      </w:r>
      <w:r>
        <w:rPr>
          <w:szCs w:val="28"/>
        </w:rPr>
        <w:t>B</w:t>
      </w:r>
      <w:r>
        <w:rPr>
          <w:rFonts w:hint="eastAsia" w:hAnsi="Times New Roman"/>
          <w:szCs w:val="28"/>
        </w:rPr>
        <w:t>、</w:t>
      </w:r>
      <w:r>
        <w:rPr>
          <w:szCs w:val="28"/>
        </w:rPr>
        <w:t>C</w:t>
      </w:r>
      <w:r>
        <w:rPr>
          <w:rFonts w:hint="eastAsia" w:hAnsi="Times New Roman"/>
          <w:szCs w:val="28"/>
        </w:rPr>
        <w:t>三类。</w:t>
      </w:r>
      <w:r>
        <w:rPr>
          <w:szCs w:val="28"/>
        </w:rPr>
        <w:t>A</w:t>
      </w:r>
      <w:r>
        <w:rPr>
          <w:rFonts w:hint="eastAsia" w:hAnsi="Times New Roman"/>
          <w:szCs w:val="28"/>
        </w:rPr>
        <w:t>类表为工程监理单位用表，由工程监理单位或项目监理机构签发；</w:t>
      </w:r>
      <w:r>
        <w:rPr>
          <w:szCs w:val="28"/>
        </w:rPr>
        <w:t>B</w:t>
      </w:r>
      <w:r>
        <w:rPr>
          <w:rFonts w:hint="eastAsia" w:hAnsi="Times New Roman"/>
          <w:szCs w:val="28"/>
        </w:rPr>
        <w:t>类表为施工单位报审、报验等用表，由施工单位项目经理部填写后报送项目监理机构、工程建设相关方；</w:t>
      </w:r>
      <w:r>
        <w:rPr>
          <w:szCs w:val="28"/>
        </w:rPr>
        <w:t>C</w:t>
      </w:r>
      <w:r>
        <w:rPr>
          <w:rFonts w:hint="eastAsia" w:hAnsi="Times New Roman"/>
          <w:szCs w:val="28"/>
        </w:rPr>
        <w:t>类表为通用表，是工程建设相关方工作联系的通用表。</w:t>
      </w:r>
    </w:p>
    <w:p>
      <w:pPr>
        <w:pStyle w:val="6"/>
        <w:tabs>
          <w:tab w:val="left" w:pos="1680"/>
        </w:tabs>
        <w:ind w:firstLine="420"/>
        <w:rPr>
          <w:rFonts w:hAnsi="Times New Roman"/>
          <w:szCs w:val="28"/>
        </w:rPr>
      </w:pPr>
      <w:r>
        <w:rPr>
          <w:szCs w:val="28"/>
        </w:rPr>
        <w:t>3</w:t>
      </w:r>
      <w:r>
        <w:rPr>
          <w:rFonts w:hint="eastAsia" w:hAnsi="Times New Roman"/>
          <w:szCs w:val="28"/>
        </w:rPr>
        <w:t>、各类表的签发、报送、回复应依照法律法规、合同文件、标准规范等规定的程序和时限进行。工程项目任一参建方不得拒绝收、签其他参建方报、送的文件，有不同意见的可用相关用表、文件回复本单位的观点。各方处理报、审的时限应在规定时间内完成。</w:t>
      </w:r>
    </w:p>
    <w:p>
      <w:pPr>
        <w:pStyle w:val="6"/>
        <w:tabs>
          <w:tab w:val="left" w:pos="1680"/>
        </w:tabs>
        <w:ind w:firstLine="420"/>
        <w:rPr>
          <w:szCs w:val="28"/>
        </w:rPr>
      </w:pPr>
      <w:r>
        <w:rPr>
          <w:rFonts w:hint="eastAsia" w:hAnsi="Times New Roman"/>
          <w:szCs w:val="28"/>
        </w:rPr>
        <w:t>未纳入施工总承包管理的施工单位的报审事宜直接向项目监理机构报审，专业分包单位的报审、报验事宜通过施工总承包单位向项目监理机构报审、报验。</w:t>
      </w:r>
    </w:p>
    <w:p>
      <w:pPr>
        <w:pStyle w:val="6"/>
        <w:tabs>
          <w:tab w:val="left" w:pos="1680"/>
        </w:tabs>
        <w:ind w:firstLine="420"/>
        <w:rPr>
          <w:szCs w:val="28"/>
        </w:rPr>
      </w:pPr>
      <w:r>
        <w:rPr>
          <w:szCs w:val="28"/>
        </w:rPr>
        <w:t>4</w:t>
      </w:r>
      <w:r>
        <w:rPr>
          <w:rFonts w:hint="eastAsia" w:hAnsi="Times New Roman"/>
          <w:szCs w:val="28"/>
        </w:rPr>
        <w:t>、各类用表应按有关规定，不得使用易褪色的书写材料填写、打印。</w:t>
      </w:r>
    </w:p>
    <w:p>
      <w:pPr>
        <w:pStyle w:val="6"/>
        <w:tabs>
          <w:tab w:val="left" w:pos="1680"/>
        </w:tabs>
        <w:ind w:firstLine="420"/>
        <w:rPr>
          <w:rFonts w:hAnsi="Times New Roman"/>
          <w:szCs w:val="28"/>
        </w:rPr>
      </w:pPr>
      <w:r>
        <w:rPr>
          <w:szCs w:val="28"/>
        </w:rPr>
        <w:t>5</w:t>
      </w:r>
      <w:r>
        <w:rPr>
          <w:rFonts w:hint="eastAsia" w:hAnsi="Times New Roman"/>
          <w:szCs w:val="28"/>
        </w:rPr>
        <w:t>、</w:t>
      </w:r>
      <w:r>
        <w:rPr>
          <w:rFonts w:hint="eastAsia"/>
          <w:szCs w:val="28"/>
        </w:rPr>
        <w:t>各类用表中</w:t>
      </w:r>
      <w:r>
        <w:rPr>
          <w:szCs w:val="28"/>
        </w:rPr>
        <w:t>“</w:t>
      </w:r>
      <w:r>
        <w:rPr>
          <w:rFonts w:hint="eastAsia" w:hAnsi="Times New Roman"/>
          <w:szCs w:val="28"/>
        </w:rPr>
        <w:t>□</w:t>
      </w:r>
      <w:r>
        <w:rPr>
          <w:szCs w:val="28"/>
        </w:rPr>
        <w:t>”</w:t>
      </w:r>
      <w:r>
        <w:rPr>
          <w:rFonts w:hint="eastAsia" w:hAnsi="Times New Roman"/>
          <w:szCs w:val="28"/>
        </w:rPr>
        <w:t>表示可选择项，不是“必须”项，以</w:t>
      </w:r>
      <w:r>
        <w:rPr>
          <w:szCs w:val="28"/>
        </w:rPr>
        <w:t>“√”</w:t>
      </w:r>
      <w:r>
        <w:rPr>
          <w:rFonts w:hint="eastAsia" w:hAnsi="Times New Roman"/>
          <w:szCs w:val="28"/>
        </w:rPr>
        <w:t>表示被选中项。</w:t>
      </w:r>
    </w:p>
    <w:p>
      <w:pPr>
        <w:pStyle w:val="6"/>
        <w:tabs>
          <w:tab w:val="left" w:pos="1680"/>
        </w:tabs>
        <w:ind w:firstLine="420"/>
        <w:rPr>
          <w:szCs w:val="28"/>
        </w:rPr>
      </w:pPr>
      <w:r>
        <w:rPr>
          <w:szCs w:val="28"/>
        </w:rPr>
        <w:t>6</w:t>
      </w:r>
      <w:r>
        <w:rPr>
          <w:rFonts w:hint="eastAsia"/>
          <w:szCs w:val="28"/>
        </w:rPr>
        <w:t>、填写各类现场用表应使用规范语言，法定计量单位，公历年、月、日。各类表中相关人员的签字栏均须由本人签署，不得代签。由施工单位提供附件的，施工单位项目经理部相关人员应签字或盖章，并宜在附件上加盖骑缝章。</w:t>
      </w:r>
    </w:p>
    <w:p>
      <w:pPr>
        <w:pStyle w:val="6"/>
        <w:tabs>
          <w:tab w:val="left" w:pos="1680"/>
        </w:tabs>
        <w:ind w:firstLine="420"/>
        <w:rPr>
          <w:szCs w:val="28"/>
        </w:rPr>
      </w:pPr>
      <w:r>
        <w:rPr>
          <w:szCs w:val="28"/>
        </w:rPr>
        <w:t>7</w:t>
      </w:r>
      <w:r>
        <w:rPr>
          <w:rFonts w:hint="eastAsia"/>
          <w:szCs w:val="28"/>
        </w:rPr>
        <w:t>、各类表在实际使用中，应分类建立统一编码体系，各类用表的编号应连续，不得重号、跳号。</w:t>
      </w:r>
    </w:p>
    <w:p>
      <w:pPr>
        <w:pStyle w:val="6"/>
        <w:tabs>
          <w:tab w:val="left" w:pos="1680"/>
        </w:tabs>
        <w:ind w:firstLine="420"/>
        <w:rPr>
          <w:szCs w:val="28"/>
        </w:rPr>
      </w:pPr>
      <w:r>
        <w:rPr>
          <w:rFonts w:hint="eastAsia"/>
          <w:szCs w:val="28"/>
        </w:rPr>
        <w:t>编码可分为：顺序编码、文字数字码、日期码等。一般可采用日期加文字加数字（自然序号）的编码方法：日期采用用表形成的年、月、日；文字采用汉语拼音字头，表示用表的类、项；数字码可视工程规模形成用表总份数的多少，确定采用</w:t>
      </w:r>
      <w:r>
        <w:rPr>
          <w:szCs w:val="28"/>
        </w:rPr>
        <w:t>2</w:t>
      </w:r>
      <w:r>
        <w:rPr>
          <w:rFonts w:hint="eastAsia"/>
          <w:szCs w:val="28"/>
        </w:rPr>
        <w:t>位码或</w:t>
      </w:r>
      <w:r>
        <w:rPr>
          <w:szCs w:val="28"/>
        </w:rPr>
        <w:t>3</w:t>
      </w:r>
      <w:r>
        <w:rPr>
          <w:rFonts w:hint="eastAsia"/>
          <w:szCs w:val="28"/>
        </w:rPr>
        <w:t>位码（</w:t>
      </w:r>
      <w:r>
        <w:rPr>
          <w:szCs w:val="28"/>
        </w:rPr>
        <w:t>01</w:t>
      </w:r>
      <w:r>
        <w:rPr>
          <w:rFonts w:hint="eastAsia"/>
          <w:szCs w:val="28"/>
        </w:rPr>
        <w:t>、</w:t>
      </w:r>
      <w:r>
        <w:rPr>
          <w:szCs w:val="28"/>
        </w:rPr>
        <w:t>02</w:t>
      </w:r>
      <w:r>
        <w:rPr>
          <w:rFonts w:hint="eastAsia"/>
          <w:szCs w:val="28"/>
        </w:rPr>
        <w:t>或</w:t>
      </w:r>
      <w:r>
        <w:rPr>
          <w:szCs w:val="28"/>
        </w:rPr>
        <w:t>001</w:t>
      </w:r>
      <w:r>
        <w:rPr>
          <w:rFonts w:hint="eastAsia"/>
          <w:szCs w:val="28"/>
        </w:rPr>
        <w:t>、</w:t>
      </w:r>
      <w:r>
        <w:rPr>
          <w:szCs w:val="28"/>
        </w:rPr>
        <w:t>002</w:t>
      </w:r>
      <w:r>
        <w:rPr>
          <w:rFonts w:hint="eastAsia" w:hAnsi="Times New Roman"/>
          <w:szCs w:val="28"/>
        </w:rPr>
        <w:t>…</w:t>
      </w:r>
      <w:r>
        <w:rPr>
          <w:rFonts w:hint="eastAsia"/>
          <w:szCs w:val="28"/>
        </w:rPr>
        <w:t>）。编码要有利于资料的归档整理、查找和检索及信息化管理。</w:t>
      </w:r>
    </w:p>
    <w:p>
      <w:pPr>
        <w:pStyle w:val="6"/>
        <w:tabs>
          <w:tab w:val="left" w:pos="1680"/>
        </w:tabs>
        <w:ind w:firstLine="420"/>
        <w:rPr>
          <w:szCs w:val="28"/>
        </w:rPr>
      </w:pPr>
      <w:r>
        <w:rPr>
          <w:szCs w:val="28"/>
        </w:rPr>
        <w:t>8</w:t>
      </w:r>
      <w:r>
        <w:rPr>
          <w:rFonts w:hint="eastAsia" w:hAnsi="Times New Roman"/>
          <w:szCs w:val="28"/>
        </w:rPr>
        <w:t>、《监理现</w:t>
      </w:r>
      <w:r>
        <w:rPr>
          <w:rFonts w:hint="eastAsia"/>
          <w:szCs w:val="28"/>
        </w:rPr>
        <w:t>场用表》各用表的编号中，凡</w:t>
      </w:r>
      <w:r>
        <w:rPr>
          <w:szCs w:val="28"/>
        </w:rPr>
        <w:t>“—”</w:t>
      </w:r>
      <w:r>
        <w:rPr>
          <w:rFonts w:hint="eastAsia"/>
          <w:szCs w:val="28"/>
        </w:rPr>
        <w:t>前有空白格，应填写所报审（验）选项的数码代号，当报审（验）的内容不在列出的选项中时，可在预留的</w:t>
      </w:r>
      <w:r>
        <w:rPr>
          <w:szCs w:val="28"/>
        </w:rPr>
        <w:t>“</w:t>
      </w:r>
      <w:r>
        <w:rPr>
          <w:rFonts w:hint="eastAsia" w:hAnsi="Times New Roman"/>
          <w:szCs w:val="28"/>
        </w:rPr>
        <w:t>□</w:t>
      </w:r>
      <w:r>
        <w:rPr>
          <w:szCs w:val="28"/>
        </w:rPr>
        <w:t>”</w:t>
      </w:r>
      <w:r>
        <w:rPr>
          <w:rFonts w:hint="eastAsia"/>
          <w:szCs w:val="28"/>
        </w:rPr>
        <w:t>后自行填加，数码代号顺延。</w:t>
      </w:r>
      <w:r>
        <w:rPr>
          <w:szCs w:val="28"/>
        </w:rPr>
        <w:t>“—”</w:t>
      </w:r>
      <w:r>
        <w:rPr>
          <w:rFonts w:hint="eastAsia"/>
          <w:szCs w:val="28"/>
        </w:rPr>
        <w:t>号后的编码可按本须知第</w:t>
      </w:r>
      <w:r>
        <w:rPr>
          <w:szCs w:val="28"/>
        </w:rPr>
        <w:t>7</w:t>
      </w:r>
      <w:r>
        <w:rPr>
          <w:rFonts w:hint="eastAsia"/>
          <w:szCs w:val="28"/>
        </w:rPr>
        <w:t>条提供的方法选用。</w:t>
      </w:r>
    </w:p>
    <w:p>
      <w:pPr>
        <w:pStyle w:val="6"/>
        <w:tabs>
          <w:tab w:val="left" w:pos="1680"/>
        </w:tabs>
        <w:ind w:firstLine="420"/>
        <w:rPr>
          <w:szCs w:val="28"/>
        </w:rPr>
      </w:pPr>
      <w:r>
        <w:rPr>
          <w:szCs w:val="28"/>
        </w:rPr>
        <w:t>9</w:t>
      </w:r>
      <w:r>
        <w:rPr>
          <w:rFonts w:hint="eastAsia" w:hAnsi="Times New Roman"/>
          <w:szCs w:val="28"/>
        </w:rPr>
        <w:t>、各类用表中施工项目经理部用章和项目经理执业印章的样章应在项目监理机构和建设单位备案；项目监理机构用章和总监理工程师执业印章的样章应在建设单位和施工单位备案。</w:t>
      </w:r>
    </w:p>
    <w:p>
      <w:pPr>
        <w:pStyle w:val="6"/>
        <w:tabs>
          <w:tab w:val="left" w:pos="1134"/>
        </w:tabs>
        <w:ind w:firstLine="420"/>
        <w:rPr>
          <w:rFonts w:hAnsi="Times New Roman"/>
          <w:szCs w:val="28"/>
        </w:rPr>
      </w:pPr>
      <w:r>
        <w:rPr>
          <w:rFonts w:hAnsi="Times New Roman"/>
          <w:szCs w:val="28"/>
        </w:rPr>
        <w:t>10</w:t>
      </w:r>
      <w:r>
        <w:rPr>
          <w:rFonts w:hint="eastAsia" w:hAnsi="Times New Roman"/>
          <w:szCs w:val="28"/>
        </w:rPr>
        <w:t>、对于各类表中所涉及的有关工程质量方面的附表，由于各行业、各部门的专业要求不同，各类工程的质量验收应按相关专业验收规范及相关用表的要求办理。如果没有相应的用表或有需要对用表内容进行补充的，工程开工前，项目监理机构与建设单位、施工单位根据工程特点、质量要求、竣工及归档组卷要求进行协商，定制工程质量验收相应用表。</w:t>
      </w:r>
    </w:p>
    <w:p>
      <w:pPr>
        <w:pStyle w:val="6"/>
        <w:tabs>
          <w:tab w:val="left" w:pos="1134"/>
        </w:tabs>
        <w:spacing w:line="400" w:lineRule="exact"/>
        <w:ind w:firstLine="420"/>
        <w:rPr>
          <w:rFonts w:hAnsi="Times New Roman"/>
          <w:szCs w:val="21"/>
        </w:rPr>
      </w:pPr>
    </w:p>
    <w:p>
      <w:pPr>
        <w:pStyle w:val="6"/>
        <w:tabs>
          <w:tab w:val="left" w:pos="1134"/>
        </w:tabs>
        <w:spacing w:line="400" w:lineRule="exact"/>
        <w:ind w:firstLine="420"/>
        <w:rPr>
          <w:rFonts w:hAnsi="Times New Roman"/>
          <w:szCs w:val="21"/>
        </w:rPr>
      </w:pPr>
    </w:p>
    <w:p>
      <w:pPr>
        <w:pStyle w:val="6"/>
        <w:tabs>
          <w:tab w:val="left" w:pos="1680"/>
        </w:tabs>
        <w:rPr>
          <w:rFonts w:hAnsi="Times New Roman"/>
          <w:b/>
          <w:bCs/>
          <w:sz w:val="32"/>
          <w:szCs w:val="32"/>
        </w:rPr>
      </w:pPr>
      <w:r>
        <w:rPr>
          <w:rFonts w:hint="eastAsia" w:hAnsi="Times New Roman"/>
          <w:b/>
          <w:bCs/>
          <w:sz w:val="32"/>
          <w:szCs w:val="32"/>
        </w:rPr>
        <w:t>二、各类用表</w:t>
      </w:r>
    </w:p>
    <w:p>
      <w:pPr>
        <w:pStyle w:val="6"/>
        <w:tabs>
          <w:tab w:val="left" w:pos="1134"/>
        </w:tabs>
        <w:ind w:firstLine="420"/>
        <w:rPr>
          <w:rFonts w:hAnsi="Times New Roman"/>
          <w:szCs w:val="28"/>
        </w:rPr>
      </w:pPr>
      <w:r>
        <w:rPr>
          <w:rFonts w:hAnsi="Times New Roman"/>
          <w:szCs w:val="28"/>
        </w:rPr>
        <w:t>1</w:t>
      </w:r>
      <w:r>
        <w:rPr>
          <w:rFonts w:hint="eastAsia" w:hAnsi="Times New Roman"/>
          <w:szCs w:val="28"/>
        </w:rPr>
        <w:t>、</w:t>
      </w:r>
      <w:r>
        <w:rPr>
          <w:rFonts w:hAnsi="Times New Roman"/>
          <w:szCs w:val="28"/>
        </w:rPr>
        <w:t>A</w:t>
      </w:r>
      <w:r>
        <w:rPr>
          <w:rFonts w:hint="eastAsia" w:hAnsi="Times New Roman"/>
          <w:szCs w:val="28"/>
        </w:rPr>
        <w:t>类表清单</w:t>
      </w:r>
    </w:p>
    <w:p>
      <w:pPr>
        <w:spacing w:line="400" w:lineRule="exact"/>
        <w:ind w:left="902" w:firstLine="480"/>
        <w:rPr>
          <w:szCs w:val="21"/>
        </w:rPr>
      </w:pPr>
      <w:r>
        <w:rPr>
          <w:szCs w:val="21"/>
        </w:rPr>
        <w:t xml:space="preserve">A.0.1     </w:t>
      </w:r>
      <w:r>
        <w:rPr>
          <w:rFonts w:hint="eastAsia" w:hAnsi="Times New Roman"/>
          <w:szCs w:val="21"/>
        </w:rPr>
        <w:t>总监理工程师任命书</w:t>
      </w:r>
    </w:p>
    <w:p>
      <w:pPr>
        <w:spacing w:line="400" w:lineRule="exact"/>
        <w:ind w:left="902" w:firstLine="480"/>
        <w:rPr>
          <w:szCs w:val="21"/>
        </w:rPr>
      </w:pPr>
      <w:r>
        <w:rPr>
          <w:szCs w:val="21"/>
        </w:rPr>
        <w:t xml:space="preserve">A.0.2     </w:t>
      </w:r>
      <w:r>
        <w:rPr>
          <w:rFonts w:hint="eastAsia" w:hAnsi="Times New Roman"/>
          <w:szCs w:val="21"/>
        </w:rPr>
        <w:t>监理日志</w:t>
      </w:r>
    </w:p>
    <w:p>
      <w:pPr>
        <w:spacing w:line="400" w:lineRule="exact"/>
        <w:ind w:left="902" w:firstLine="480"/>
        <w:rPr>
          <w:szCs w:val="21"/>
        </w:rPr>
      </w:pPr>
      <w:r>
        <w:rPr>
          <w:szCs w:val="21"/>
        </w:rPr>
        <w:t xml:space="preserve">A.0.3     </w:t>
      </w:r>
      <w:r>
        <w:rPr>
          <w:rFonts w:hint="eastAsia" w:hAnsi="Times New Roman"/>
          <w:szCs w:val="21"/>
        </w:rPr>
        <w:t>监理规划</w:t>
      </w:r>
    </w:p>
    <w:p>
      <w:pPr>
        <w:spacing w:line="400" w:lineRule="exact"/>
        <w:ind w:left="902" w:firstLine="480"/>
        <w:rPr>
          <w:szCs w:val="21"/>
        </w:rPr>
      </w:pPr>
      <w:r>
        <w:rPr>
          <w:szCs w:val="21"/>
        </w:rPr>
        <w:t xml:space="preserve">A.0.4     </w:t>
      </w:r>
      <w:r>
        <w:rPr>
          <w:rFonts w:hint="eastAsia" w:hAnsi="Times New Roman"/>
          <w:szCs w:val="21"/>
        </w:rPr>
        <w:t>监理实施细则</w:t>
      </w:r>
    </w:p>
    <w:p>
      <w:pPr>
        <w:spacing w:line="400" w:lineRule="exact"/>
        <w:ind w:left="902" w:firstLine="480"/>
        <w:rPr>
          <w:szCs w:val="21"/>
        </w:rPr>
      </w:pPr>
      <w:r>
        <w:rPr>
          <w:szCs w:val="21"/>
        </w:rPr>
        <w:t xml:space="preserve">A.0.5     </w:t>
      </w:r>
      <w:r>
        <w:rPr>
          <w:rFonts w:hint="eastAsia" w:hAnsi="Times New Roman"/>
          <w:szCs w:val="21"/>
        </w:rPr>
        <w:t>工程开工令</w:t>
      </w:r>
    </w:p>
    <w:p>
      <w:pPr>
        <w:spacing w:line="400" w:lineRule="exact"/>
        <w:ind w:left="902" w:firstLine="480"/>
        <w:rPr>
          <w:szCs w:val="21"/>
        </w:rPr>
      </w:pPr>
      <w:r>
        <w:rPr>
          <w:szCs w:val="21"/>
        </w:rPr>
        <w:t xml:space="preserve">A.0.6     </w:t>
      </w:r>
      <w:r>
        <w:rPr>
          <w:rFonts w:hint="eastAsia" w:hAnsi="Times New Roman"/>
          <w:szCs w:val="21"/>
        </w:rPr>
        <w:t>旁站记录表（通用）</w:t>
      </w:r>
    </w:p>
    <w:p>
      <w:pPr>
        <w:spacing w:line="400" w:lineRule="exact"/>
        <w:ind w:left="902" w:firstLine="480"/>
        <w:rPr>
          <w:szCs w:val="21"/>
        </w:rPr>
      </w:pPr>
      <w:r>
        <w:rPr>
          <w:szCs w:val="21"/>
        </w:rPr>
        <w:t xml:space="preserve">A.0.7     </w:t>
      </w:r>
      <w:r>
        <w:rPr>
          <w:szCs w:val="21"/>
          <w:u w:val="single"/>
        </w:rPr>
        <w:t xml:space="preserve">          </w:t>
      </w:r>
      <w:r>
        <w:rPr>
          <w:rFonts w:hint="eastAsia" w:hAnsi="Times New Roman"/>
          <w:szCs w:val="21"/>
        </w:rPr>
        <w:t>会议纪要</w:t>
      </w:r>
    </w:p>
    <w:p>
      <w:pPr>
        <w:spacing w:line="400" w:lineRule="exact"/>
        <w:ind w:left="902" w:firstLine="480"/>
        <w:rPr>
          <w:szCs w:val="21"/>
        </w:rPr>
      </w:pPr>
      <w:r>
        <w:rPr>
          <w:szCs w:val="21"/>
        </w:rPr>
        <w:t xml:space="preserve">A.0.8     </w:t>
      </w:r>
      <w:r>
        <w:rPr>
          <w:rFonts w:hint="eastAsia" w:hAnsi="Times New Roman"/>
          <w:szCs w:val="21"/>
        </w:rPr>
        <w:t>监理月报</w:t>
      </w:r>
    </w:p>
    <w:p>
      <w:pPr>
        <w:spacing w:line="400" w:lineRule="exact"/>
        <w:ind w:left="902" w:firstLine="480"/>
        <w:rPr>
          <w:szCs w:val="21"/>
        </w:rPr>
      </w:pPr>
      <w:r>
        <w:rPr>
          <w:szCs w:val="21"/>
        </w:rPr>
        <w:t xml:space="preserve">A.0.9     </w:t>
      </w:r>
      <w:r>
        <w:rPr>
          <w:rFonts w:hint="eastAsia" w:hAnsi="Times New Roman"/>
          <w:szCs w:val="21"/>
        </w:rPr>
        <w:t>工程款支付证书</w:t>
      </w:r>
    </w:p>
    <w:p>
      <w:pPr>
        <w:spacing w:line="400" w:lineRule="exact"/>
        <w:ind w:left="902" w:firstLine="480"/>
        <w:rPr>
          <w:szCs w:val="21"/>
        </w:rPr>
      </w:pPr>
      <w:r>
        <w:rPr>
          <w:szCs w:val="21"/>
        </w:rPr>
        <w:t xml:space="preserve">A.0.10    </w:t>
      </w:r>
      <w:r>
        <w:rPr>
          <w:rFonts w:hint="eastAsia" w:hAnsi="Times New Roman"/>
          <w:szCs w:val="21"/>
        </w:rPr>
        <w:t>监理通知单（</w:t>
      </w:r>
      <w:r>
        <w:rPr>
          <w:szCs w:val="21"/>
        </w:rPr>
        <w:t xml:space="preserve">          </w:t>
      </w:r>
      <w:r>
        <w:rPr>
          <w:rFonts w:hint="eastAsia" w:hAnsi="Times New Roman"/>
          <w:szCs w:val="21"/>
        </w:rPr>
        <w:t>类）</w:t>
      </w:r>
    </w:p>
    <w:p>
      <w:pPr>
        <w:spacing w:line="400" w:lineRule="exact"/>
        <w:ind w:left="902" w:firstLine="480"/>
        <w:rPr>
          <w:szCs w:val="21"/>
        </w:rPr>
      </w:pPr>
      <w:r>
        <w:rPr>
          <w:szCs w:val="21"/>
        </w:rPr>
        <w:t xml:space="preserve">A.0.11    </w:t>
      </w:r>
      <w:r>
        <w:rPr>
          <w:rFonts w:hint="eastAsia" w:hAnsi="Times New Roman"/>
          <w:szCs w:val="21"/>
        </w:rPr>
        <w:t>工程暂停令</w:t>
      </w:r>
    </w:p>
    <w:p>
      <w:pPr>
        <w:spacing w:line="400" w:lineRule="exact"/>
        <w:ind w:left="902" w:firstLine="480"/>
        <w:rPr>
          <w:szCs w:val="21"/>
        </w:rPr>
      </w:pPr>
      <w:r>
        <w:rPr>
          <w:szCs w:val="21"/>
        </w:rPr>
        <w:t xml:space="preserve">A.0.12    </w:t>
      </w:r>
      <w:r>
        <w:rPr>
          <w:rFonts w:hint="eastAsia" w:hAnsi="Times New Roman"/>
          <w:szCs w:val="21"/>
        </w:rPr>
        <w:t>工程复工令</w:t>
      </w:r>
      <w:r>
        <w:rPr>
          <w:szCs w:val="21"/>
        </w:rPr>
        <w:t xml:space="preserve"> </w:t>
      </w:r>
    </w:p>
    <w:p>
      <w:pPr>
        <w:spacing w:line="400" w:lineRule="exact"/>
        <w:ind w:left="902" w:firstLine="480"/>
        <w:rPr>
          <w:szCs w:val="21"/>
        </w:rPr>
      </w:pPr>
      <w:r>
        <w:rPr>
          <w:szCs w:val="21"/>
        </w:rPr>
        <w:t xml:space="preserve">A.0.13    </w:t>
      </w:r>
      <w:r>
        <w:rPr>
          <w:rFonts w:hint="eastAsia" w:hAnsi="Times New Roman"/>
          <w:szCs w:val="21"/>
        </w:rPr>
        <w:t>监理备忘录</w:t>
      </w:r>
    </w:p>
    <w:p>
      <w:pPr>
        <w:spacing w:line="400" w:lineRule="exact"/>
        <w:ind w:left="902" w:firstLine="480"/>
        <w:rPr>
          <w:szCs w:val="21"/>
        </w:rPr>
      </w:pPr>
      <w:r>
        <w:rPr>
          <w:szCs w:val="21"/>
        </w:rPr>
        <w:t xml:space="preserve">A.0.14    </w:t>
      </w:r>
      <w:r>
        <w:rPr>
          <w:rFonts w:hint="eastAsia" w:hAnsi="Times New Roman"/>
          <w:szCs w:val="21"/>
        </w:rPr>
        <w:t>监理报告</w:t>
      </w:r>
    </w:p>
    <w:p>
      <w:pPr>
        <w:spacing w:line="400" w:lineRule="exact"/>
        <w:ind w:left="902" w:firstLine="480"/>
        <w:rPr>
          <w:szCs w:val="21"/>
        </w:rPr>
      </w:pPr>
      <w:r>
        <w:rPr>
          <w:szCs w:val="21"/>
        </w:rPr>
        <w:t xml:space="preserve">A.0.15    </w:t>
      </w:r>
      <w:r>
        <w:rPr>
          <w:rFonts w:hint="eastAsia" w:hAnsi="Times New Roman"/>
          <w:szCs w:val="21"/>
        </w:rPr>
        <w:t>工程质量评估报告</w:t>
      </w:r>
    </w:p>
    <w:p>
      <w:pPr>
        <w:spacing w:line="400" w:lineRule="exact"/>
        <w:ind w:left="902" w:firstLine="480"/>
        <w:rPr>
          <w:szCs w:val="21"/>
        </w:rPr>
      </w:pPr>
      <w:r>
        <w:rPr>
          <w:szCs w:val="21"/>
        </w:rPr>
        <w:t xml:space="preserve">A.0.16    </w:t>
      </w:r>
      <w:r>
        <w:rPr>
          <w:rFonts w:hint="eastAsia" w:hAnsi="Times New Roman"/>
          <w:szCs w:val="21"/>
        </w:rPr>
        <w:t>监理工作总结</w:t>
      </w:r>
    </w:p>
    <w:p>
      <w:pPr>
        <w:spacing w:line="400" w:lineRule="exact"/>
        <w:ind w:left="902" w:firstLine="480"/>
        <w:rPr>
          <w:rFonts w:hAnsi="Times New Roman"/>
          <w:szCs w:val="21"/>
        </w:rPr>
      </w:pPr>
      <w:r>
        <w:rPr>
          <w:szCs w:val="21"/>
        </w:rPr>
        <w:t xml:space="preserve">A.0.17    </w:t>
      </w:r>
      <w:r>
        <w:rPr>
          <w:rFonts w:hint="eastAsia" w:hAnsi="Times New Roman"/>
          <w:szCs w:val="21"/>
        </w:rPr>
        <w:t>工程监理资料移交单</w:t>
      </w:r>
    </w:p>
    <w:p>
      <w:pPr>
        <w:spacing w:line="400" w:lineRule="exact"/>
        <w:ind w:left="902" w:firstLine="480"/>
        <w:rPr>
          <w:rFonts w:hAnsi="Times New Roman"/>
          <w:szCs w:val="21"/>
        </w:rPr>
      </w:pPr>
      <w:r>
        <w:rPr>
          <w:rFonts w:hAnsi="Times New Roman"/>
          <w:szCs w:val="21"/>
        </w:rPr>
        <w:t xml:space="preserve">A.0.18   </w:t>
      </w:r>
      <w:r>
        <w:rPr>
          <w:rFonts w:hint="eastAsia" w:hAnsi="Times New Roman"/>
          <w:szCs w:val="21"/>
        </w:rPr>
        <w:t>危大工程巡视检查记录表</w:t>
      </w:r>
    </w:p>
    <w:p>
      <w:pPr>
        <w:spacing w:line="400" w:lineRule="exact"/>
        <w:ind w:left="902" w:firstLine="480"/>
        <w:rPr>
          <w:rFonts w:hAnsi="Times New Roman"/>
          <w:szCs w:val="21"/>
        </w:rPr>
      </w:pPr>
      <w:r>
        <w:rPr>
          <w:rFonts w:hAnsi="Times New Roman"/>
          <w:szCs w:val="21"/>
        </w:rPr>
        <w:t xml:space="preserve">A.0.19   </w:t>
      </w:r>
      <w:r>
        <w:rPr>
          <w:rFonts w:hint="eastAsia" w:hAnsi="Times New Roman"/>
          <w:szCs w:val="21"/>
        </w:rPr>
        <w:t>危大工程安全管理档案</w:t>
      </w:r>
      <w:r>
        <w:rPr>
          <w:rFonts w:hAnsi="Times New Roman"/>
          <w:szCs w:val="21"/>
        </w:rPr>
        <w:t xml:space="preserve"> </w:t>
      </w:r>
    </w:p>
    <w:p>
      <w:pPr>
        <w:spacing w:line="400" w:lineRule="exact"/>
        <w:ind w:left="902" w:firstLine="480"/>
        <w:rPr>
          <w:szCs w:val="21"/>
        </w:rPr>
      </w:pPr>
    </w:p>
    <w:p>
      <w:pPr>
        <w:pStyle w:val="6"/>
        <w:tabs>
          <w:tab w:val="left" w:pos="1134"/>
        </w:tabs>
        <w:ind w:firstLine="420"/>
        <w:rPr>
          <w:rFonts w:hAnsi="Times New Roman"/>
          <w:szCs w:val="28"/>
        </w:rPr>
      </w:pPr>
      <w:r>
        <w:rPr>
          <w:rFonts w:hAnsi="Times New Roman"/>
          <w:szCs w:val="28"/>
        </w:rPr>
        <w:t>2</w:t>
      </w:r>
      <w:r>
        <w:rPr>
          <w:rFonts w:hint="eastAsia" w:hAnsi="Times New Roman"/>
          <w:szCs w:val="28"/>
        </w:rPr>
        <w:t>、</w:t>
      </w:r>
      <w:r>
        <w:rPr>
          <w:rFonts w:hAnsi="Times New Roman"/>
          <w:szCs w:val="28"/>
        </w:rPr>
        <w:t>B</w:t>
      </w:r>
      <w:r>
        <w:rPr>
          <w:rFonts w:hint="eastAsia" w:hAnsi="Times New Roman"/>
          <w:szCs w:val="28"/>
        </w:rPr>
        <w:t>类表清单</w:t>
      </w:r>
    </w:p>
    <w:p>
      <w:pPr>
        <w:spacing w:line="400" w:lineRule="exact"/>
        <w:ind w:left="902" w:firstLine="465"/>
        <w:rPr>
          <w:szCs w:val="21"/>
        </w:rPr>
      </w:pPr>
      <w:r>
        <w:rPr>
          <w:szCs w:val="21"/>
        </w:rPr>
        <w:t xml:space="preserve">B.0.1     </w:t>
      </w:r>
      <w:r>
        <w:rPr>
          <w:rFonts w:hint="eastAsia" w:hAnsi="Times New Roman"/>
          <w:szCs w:val="21"/>
        </w:rPr>
        <w:t>施工组织设计</w:t>
      </w:r>
      <w:r>
        <w:rPr>
          <w:szCs w:val="21"/>
        </w:rPr>
        <w:t>/</w:t>
      </w:r>
      <w:r>
        <w:rPr>
          <w:rFonts w:hint="eastAsia" w:hAnsi="Times New Roman"/>
          <w:szCs w:val="21"/>
        </w:rPr>
        <w:t>施工方案报审表</w:t>
      </w:r>
    </w:p>
    <w:p>
      <w:pPr>
        <w:spacing w:line="400" w:lineRule="exact"/>
        <w:ind w:left="902" w:firstLine="465"/>
        <w:rPr>
          <w:szCs w:val="21"/>
        </w:rPr>
      </w:pPr>
      <w:r>
        <w:rPr>
          <w:szCs w:val="21"/>
        </w:rPr>
        <w:t xml:space="preserve">B.0.2     </w:t>
      </w:r>
      <w:r>
        <w:rPr>
          <w:rFonts w:hint="eastAsia" w:hAnsi="Times New Roman"/>
          <w:szCs w:val="21"/>
        </w:rPr>
        <w:t>施工现场质量、安全生产管理体系报审表</w:t>
      </w:r>
    </w:p>
    <w:p>
      <w:pPr>
        <w:spacing w:line="400" w:lineRule="exact"/>
        <w:ind w:left="902" w:firstLine="465"/>
        <w:rPr>
          <w:rFonts w:hAnsi="Times New Roman"/>
          <w:szCs w:val="21"/>
        </w:rPr>
      </w:pPr>
      <w:r>
        <w:rPr>
          <w:szCs w:val="21"/>
        </w:rPr>
        <w:t xml:space="preserve">B.0.3     </w:t>
      </w:r>
      <w:r>
        <w:rPr>
          <w:rFonts w:hint="eastAsia" w:hAnsi="Times New Roman"/>
          <w:szCs w:val="21"/>
        </w:rPr>
        <w:t>工程开工报审表</w:t>
      </w:r>
    </w:p>
    <w:p>
      <w:pPr>
        <w:spacing w:line="400" w:lineRule="exact"/>
        <w:ind w:left="902" w:firstLine="465"/>
        <w:rPr>
          <w:szCs w:val="21"/>
        </w:rPr>
      </w:pPr>
      <w:r>
        <w:rPr>
          <w:szCs w:val="21"/>
        </w:rPr>
        <w:t xml:space="preserve">B.0.4     </w:t>
      </w:r>
      <w:r>
        <w:rPr>
          <w:rFonts w:hint="eastAsia" w:hAnsi="Times New Roman"/>
          <w:szCs w:val="21"/>
        </w:rPr>
        <w:t>分包单位资质报审表</w:t>
      </w:r>
    </w:p>
    <w:p>
      <w:pPr>
        <w:spacing w:line="400" w:lineRule="exact"/>
        <w:ind w:left="902" w:firstLine="465"/>
        <w:rPr>
          <w:szCs w:val="21"/>
        </w:rPr>
      </w:pPr>
      <w:r>
        <w:rPr>
          <w:szCs w:val="21"/>
        </w:rPr>
        <w:t xml:space="preserve">B.1.1     </w:t>
      </w:r>
      <w:r>
        <w:rPr>
          <w:rFonts w:hint="eastAsia" w:hAnsi="Times New Roman"/>
          <w:szCs w:val="21"/>
        </w:rPr>
        <w:t>施工试验室报审表</w:t>
      </w:r>
    </w:p>
    <w:p>
      <w:pPr>
        <w:spacing w:line="400" w:lineRule="exact"/>
        <w:ind w:left="902" w:firstLine="465"/>
        <w:rPr>
          <w:szCs w:val="21"/>
        </w:rPr>
      </w:pPr>
      <w:r>
        <w:rPr>
          <w:szCs w:val="21"/>
        </w:rPr>
        <w:t xml:space="preserve">B.1.2     </w:t>
      </w:r>
      <w:r>
        <w:rPr>
          <w:rFonts w:hint="eastAsia" w:hAnsi="Times New Roman"/>
          <w:szCs w:val="21"/>
        </w:rPr>
        <w:t>施工控制测量成果报验表</w:t>
      </w:r>
    </w:p>
    <w:p>
      <w:pPr>
        <w:spacing w:line="400" w:lineRule="exact"/>
        <w:ind w:left="902" w:firstLine="465"/>
        <w:rPr>
          <w:szCs w:val="21"/>
        </w:rPr>
      </w:pPr>
      <w:r>
        <w:rPr>
          <w:szCs w:val="21"/>
        </w:rPr>
        <w:t xml:space="preserve">B.1.3     </w:t>
      </w:r>
      <w:r>
        <w:rPr>
          <w:rFonts w:hint="eastAsia" w:hAnsi="Times New Roman"/>
          <w:szCs w:val="21"/>
        </w:rPr>
        <w:t>工程材料、构配件、设备进场</w:t>
      </w:r>
      <w:r>
        <w:rPr>
          <w:rFonts w:hAnsi="Times New Roman"/>
          <w:szCs w:val="21"/>
        </w:rPr>
        <w:t>/</w:t>
      </w:r>
      <w:r>
        <w:rPr>
          <w:rFonts w:hint="eastAsia" w:hAnsi="Times New Roman"/>
          <w:szCs w:val="21"/>
        </w:rPr>
        <w:t>使用报审表</w:t>
      </w:r>
    </w:p>
    <w:p>
      <w:pPr>
        <w:spacing w:line="400" w:lineRule="exact"/>
        <w:ind w:left="902" w:firstLine="465"/>
        <w:rPr>
          <w:szCs w:val="21"/>
        </w:rPr>
      </w:pPr>
      <w:r>
        <w:rPr>
          <w:szCs w:val="21"/>
        </w:rPr>
        <w:t xml:space="preserve">B.1.4     </w:t>
      </w:r>
      <w:r>
        <w:rPr>
          <w:rFonts w:hint="eastAsia" w:hAnsi="Times New Roman"/>
          <w:szCs w:val="21"/>
        </w:rPr>
        <w:t>工程质量报验表</w:t>
      </w:r>
    </w:p>
    <w:p>
      <w:pPr>
        <w:spacing w:line="400" w:lineRule="exact"/>
        <w:ind w:left="902" w:firstLine="465"/>
        <w:rPr>
          <w:szCs w:val="21"/>
        </w:rPr>
      </w:pPr>
      <w:r>
        <w:rPr>
          <w:szCs w:val="21"/>
        </w:rPr>
        <w:t xml:space="preserve">B.1.5     </w:t>
      </w:r>
      <w:r>
        <w:rPr>
          <w:rFonts w:hint="eastAsia" w:hAnsi="Times New Roman"/>
          <w:szCs w:val="21"/>
        </w:rPr>
        <w:t>混凝土浇筑报审表</w:t>
      </w:r>
    </w:p>
    <w:p>
      <w:pPr>
        <w:spacing w:line="400" w:lineRule="exact"/>
        <w:ind w:left="902" w:firstLine="465"/>
        <w:rPr>
          <w:rFonts w:hAnsi="Times New Roman"/>
          <w:szCs w:val="21"/>
        </w:rPr>
      </w:pPr>
      <w:r>
        <w:rPr>
          <w:szCs w:val="21"/>
        </w:rPr>
        <w:t xml:space="preserve">B.1.6     </w:t>
      </w:r>
      <w:r>
        <w:rPr>
          <w:rFonts w:hint="eastAsia" w:hAnsi="Times New Roman"/>
          <w:szCs w:val="21"/>
        </w:rPr>
        <w:t>分部（子分部）工程报验表</w:t>
      </w:r>
    </w:p>
    <w:p>
      <w:pPr>
        <w:spacing w:line="400" w:lineRule="exact"/>
        <w:ind w:left="902" w:firstLine="465"/>
        <w:rPr>
          <w:rFonts w:hAnsi="Times New Roman"/>
          <w:szCs w:val="21"/>
        </w:rPr>
      </w:pPr>
      <w:r>
        <w:rPr>
          <w:rFonts w:hAnsi="Times New Roman"/>
          <w:szCs w:val="21"/>
        </w:rPr>
        <w:t xml:space="preserve">B.1.7     </w:t>
      </w:r>
      <w:r>
        <w:rPr>
          <w:rFonts w:hint="eastAsia" w:hAnsi="Times New Roman"/>
          <w:szCs w:val="21"/>
        </w:rPr>
        <w:t>部品部件进场报审表</w:t>
      </w:r>
    </w:p>
    <w:p>
      <w:pPr>
        <w:spacing w:line="400" w:lineRule="exact"/>
        <w:ind w:left="902" w:firstLine="465"/>
        <w:rPr>
          <w:rFonts w:hAnsi="Times New Roman"/>
          <w:szCs w:val="21"/>
        </w:rPr>
      </w:pPr>
      <w:r>
        <w:rPr>
          <w:rFonts w:hAnsi="Times New Roman"/>
          <w:szCs w:val="21"/>
        </w:rPr>
        <w:t xml:space="preserve">B.1.8     </w:t>
      </w:r>
      <w:r>
        <w:rPr>
          <w:rFonts w:hint="eastAsia" w:hAnsi="Times New Roman"/>
          <w:szCs w:val="21"/>
        </w:rPr>
        <w:t>部品部件安装质量报验表</w:t>
      </w:r>
    </w:p>
    <w:p>
      <w:pPr>
        <w:spacing w:line="400" w:lineRule="exact"/>
        <w:ind w:left="902" w:firstLine="465"/>
        <w:rPr>
          <w:szCs w:val="21"/>
        </w:rPr>
      </w:pPr>
      <w:r>
        <w:rPr>
          <w:szCs w:val="21"/>
        </w:rPr>
        <w:t>B.2.1      </w:t>
      </w:r>
      <w:r>
        <w:rPr>
          <w:rFonts w:hint="eastAsia" w:hAnsi="Times New Roman"/>
          <w:szCs w:val="21"/>
        </w:rPr>
        <w:t>工程计量报审表</w:t>
      </w:r>
    </w:p>
    <w:p>
      <w:pPr>
        <w:tabs>
          <w:tab w:val="left" w:pos="2380"/>
        </w:tabs>
        <w:spacing w:line="400" w:lineRule="exact"/>
        <w:ind w:left="902" w:firstLine="480"/>
        <w:rPr>
          <w:szCs w:val="21"/>
        </w:rPr>
      </w:pPr>
      <w:r>
        <w:rPr>
          <w:szCs w:val="21"/>
        </w:rPr>
        <w:t xml:space="preserve">B.2.2     </w:t>
      </w:r>
      <w:r>
        <w:rPr>
          <w:rFonts w:hint="eastAsia" w:hAnsi="Times New Roman"/>
          <w:szCs w:val="21"/>
        </w:rPr>
        <w:t>费用索赔报审表</w:t>
      </w:r>
    </w:p>
    <w:p>
      <w:pPr>
        <w:tabs>
          <w:tab w:val="left" w:pos="2454"/>
        </w:tabs>
        <w:spacing w:line="400" w:lineRule="exact"/>
        <w:ind w:left="902" w:firstLine="480"/>
        <w:rPr>
          <w:szCs w:val="21"/>
        </w:rPr>
      </w:pPr>
      <w:r>
        <w:rPr>
          <w:szCs w:val="21"/>
        </w:rPr>
        <w:t xml:space="preserve">B.2.3     </w:t>
      </w:r>
      <w:r>
        <w:rPr>
          <w:rFonts w:hint="eastAsia" w:hAnsi="Times New Roman"/>
          <w:szCs w:val="21"/>
        </w:rPr>
        <w:t>工程款支付报审表</w:t>
      </w:r>
    </w:p>
    <w:p>
      <w:pPr>
        <w:spacing w:line="400" w:lineRule="exact"/>
        <w:ind w:left="902" w:firstLine="480"/>
        <w:rPr>
          <w:szCs w:val="21"/>
        </w:rPr>
      </w:pPr>
      <w:r>
        <w:rPr>
          <w:szCs w:val="21"/>
        </w:rPr>
        <w:t xml:space="preserve">B.3.1     </w:t>
      </w:r>
      <w:r>
        <w:rPr>
          <w:rFonts w:hint="eastAsia" w:hAnsi="Times New Roman"/>
          <w:szCs w:val="21"/>
        </w:rPr>
        <w:t>施工进度计划报审表</w:t>
      </w:r>
    </w:p>
    <w:p>
      <w:pPr>
        <w:spacing w:line="400" w:lineRule="exact"/>
        <w:ind w:left="902" w:firstLine="480"/>
        <w:rPr>
          <w:szCs w:val="21"/>
        </w:rPr>
      </w:pPr>
      <w:r>
        <w:rPr>
          <w:szCs w:val="21"/>
        </w:rPr>
        <w:t xml:space="preserve">B.3.2     </w:t>
      </w:r>
      <w:r>
        <w:rPr>
          <w:rFonts w:hint="eastAsia" w:hAnsi="Times New Roman"/>
          <w:szCs w:val="21"/>
        </w:rPr>
        <w:t>工程临时</w:t>
      </w:r>
      <w:r>
        <w:rPr>
          <w:szCs w:val="21"/>
        </w:rPr>
        <w:t>/</w:t>
      </w:r>
      <w:r>
        <w:rPr>
          <w:rFonts w:hint="eastAsia" w:hAnsi="Times New Roman"/>
          <w:szCs w:val="21"/>
        </w:rPr>
        <w:t>最终延期报审表</w:t>
      </w:r>
    </w:p>
    <w:p>
      <w:pPr>
        <w:spacing w:line="400" w:lineRule="exact"/>
        <w:ind w:left="902" w:firstLine="480"/>
        <w:rPr>
          <w:rFonts w:hAnsi="Times New Roman"/>
          <w:szCs w:val="21"/>
        </w:rPr>
      </w:pPr>
      <w:r>
        <w:rPr>
          <w:szCs w:val="21"/>
        </w:rPr>
        <w:t xml:space="preserve">B.4.1     </w:t>
      </w:r>
      <w:r>
        <w:rPr>
          <w:rFonts w:hint="eastAsia" w:hAnsi="Times New Roman"/>
          <w:szCs w:val="21"/>
        </w:rPr>
        <w:t>施工起重机械设备安装</w:t>
      </w:r>
      <w:r>
        <w:rPr>
          <w:szCs w:val="21"/>
        </w:rPr>
        <w:t>/</w:t>
      </w:r>
      <w:r>
        <w:rPr>
          <w:rFonts w:hint="eastAsia" w:hAnsi="Times New Roman"/>
          <w:szCs w:val="21"/>
        </w:rPr>
        <w:t>使用</w:t>
      </w:r>
      <w:r>
        <w:rPr>
          <w:szCs w:val="21"/>
        </w:rPr>
        <w:t>/</w:t>
      </w:r>
      <w:r>
        <w:rPr>
          <w:rFonts w:hint="eastAsia" w:hAnsi="Times New Roman"/>
          <w:szCs w:val="21"/>
        </w:rPr>
        <w:t>拆卸报审表</w:t>
      </w:r>
    </w:p>
    <w:p>
      <w:pPr>
        <w:spacing w:line="400" w:lineRule="exact"/>
        <w:ind w:left="902" w:firstLine="480"/>
        <w:rPr>
          <w:rFonts w:hAnsi="Times New Roman"/>
          <w:szCs w:val="21"/>
        </w:rPr>
      </w:pPr>
      <w:r>
        <w:rPr>
          <w:rFonts w:hAnsi="Times New Roman"/>
          <w:szCs w:val="21"/>
        </w:rPr>
        <w:t xml:space="preserve">B.4.2     </w:t>
      </w:r>
      <w:r>
        <w:rPr>
          <w:rFonts w:hint="eastAsia" w:hAnsi="Times New Roman"/>
          <w:szCs w:val="21"/>
        </w:rPr>
        <w:t>危大工程验收告知单</w:t>
      </w:r>
    </w:p>
    <w:p>
      <w:pPr>
        <w:spacing w:line="400" w:lineRule="exact"/>
        <w:ind w:left="902" w:firstLine="480"/>
        <w:rPr>
          <w:szCs w:val="21"/>
        </w:rPr>
      </w:pPr>
      <w:r>
        <w:rPr>
          <w:szCs w:val="21"/>
        </w:rPr>
        <w:t xml:space="preserve">B.5.1     </w:t>
      </w:r>
      <w:r>
        <w:rPr>
          <w:rFonts w:hint="eastAsia" w:hAnsi="Times New Roman"/>
          <w:szCs w:val="21"/>
        </w:rPr>
        <w:t>监理通知回复单（</w:t>
      </w:r>
      <w:r>
        <w:rPr>
          <w:szCs w:val="21"/>
        </w:rPr>
        <w:t xml:space="preserve">         </w:t>
      </w:r>
      <w:r>
        <w:rPr>
          <w:rFonts w:hint="eastAsia" w:hAnsi="Times New Roman"/>
          <w:szCs w:val="21"/>
        </w:rPr>
        <w:t>类）</w:t>
      </w:r>
    </w:p>
    <w:p>
      <w:pPr>
        <w:spacing w:line="400" w:lineRule="exact"/>
        <w:ind w:left="902" w:firstLine="480"/>
        <w:rPr>
          <w:szCs w:val="21"/>
        </w:rPr>
      </w:pPr>
      <w:r>
        <w:rPr>
          <w:szCs w:val="21"/>
        </w:rPr>
        <w:t xml:space="preserve">B.5.2     </w:t>
      </w:r>
      <w:r>
        <w:rPr>
          <w:rFonts w:hint="eastAsia" w:hAnsi="Times New Roman"/>
          <w:szCs w:val="21"/>
        </w:rPr>
        <w:t>工程复工报审表</w:t>
      </w:r>
    </w:p>
    <w:p>
      <w:pPr>
        <w:spacing w:line="400" w:lineRule="exact"/>
        <w:ind w:left="902" w:firstLine="480"/>
        <w:rPr>
          <w:szCs w:val="21"/>
        </w:rPr>
      </w:pPr>
      <w:r>
        <w:rPr>
          <w:szCs w:val="21"/>
        </w:rPr>
        <w:t xml:space="preserve">B.5.3     </w:t>
      </w:r>
      <w:r>
        <w:rPr>
          <w:rFonts w:hint="eastAsia" w:hAnsi="Times New Roman"/>
          <w:szCs w:val="21"/>
        </w:rPr>
        <w:t>单位工程竣工验收报审表</w:t>
      </w:r>
    </w:p>
    <w:p>
      <w:pPr>
        <w:spacing w:line="400" w:lineRule="exact"/>
        <w:ind w:left="902" w:firstLine="480"/>
        <w:rPr>
          <w:rFonts w:hAnsi="Times New Roman"/>
          <w:szCs w:val="21"/>
        </w:rPr>
      </w:pPr>
      <w:r>
        <w:rPr>
          <w:szCs w:val="21"/>
        </w:rPr>
        <w:t xml:space="preserve">B.5.4     </w:t>
      </w:r>
      <w:r>
        <w:rPr>
          <w:rFonts w:hint="eastAsia" w:hAnsi="Times New Roman"/>
          <w:szCs w:val="21"/>
        </w:rPr>
        <w:t>施工单位通用报审表</w:t>
      </w:r>
    </w:p>
    <w:p>
      <w:pPr>
        <w:spacing w:line="400" w:lineRule="exact"/>
        <w:ind w:left="902" w:firstLine="480"/>
        <w:rPr>
          <w:rFonts w:hAnsi="Times New Roman"/>
          <w:szCs w:val="21"/>
        </w:rPr>
      </w:pPr>
      <w:r>
        <w:rPr>
          <w:rFonts w:hAnsi="Times New Roman"/>
          <w:szCs w:val="21"/>
        </w:rPr>
        <w:t xml:space="preserve">B.5.5     </w:t>
      </w:r>
      <w:r>
        <w:rPr>
          <w:rFonts w:hint="eastAsia" w:hAnsi="Times New Roman"/>
          <w:szCs w:val="21"/>
        </w:rPr>
        <w:t>工程变更申请表</w:t>
      </w:r>
    </w:p>
    <w:p>
      <w:pPr>
        <w:spacing w:line="400" w:lineRule="exact"/>
        <w:ind w:left="902"/>
        <w:rPr>
          <w:rFonts w:eastAsia="黑体"/>
          <w:bCs/>
          <w:szCs w:val="21"/>
        </w:rPr>
      </w:pPr>
      <w:r>
        <w:rPr>
          <w:szCs w:val="21"/>
        </w:rPr>
        <w:t xml:space="preserve">    </w:t>
      </w:r>
    </w:p>
    <w:p>
      <w:pPr>
        <w:pStyle w:val="6"/>
        <w:tabs>
          <w:tab w:val="left" w:pos="1134"/>
        </w:tabs>
        <w:ind w:firstLine="420"/>
        <w:rPr>
          <w:rFonts w:hAnsi="Times New Roman"/>
          <w:szCs w:val="28"/>
        </w:rPr>
      </w:pPr>
      <w:r>
        <w:rPr>
          <w:rFonts w:hAnsi="Times New Roman"/>
          <w:szCs w:val="28"/>
        </w:rPr>
        <w:t>3</w:t>
      </w:r>
      <w:r>
        <w:rPr>
          <w:rFonts w:hint="eastAsia" w:hAnsi="Times New Roman"/>
          <w:szCs w:val="28"/>
        </w:rPr>
        <w:t>、</w:t>
      </w:r>
      <w:r>
        <w:rPr>
          <w:rFonts w:hAnsi="Times New Roman"/>
          <w:szCs w:val="28"/>
        </w:rPr>
        <w:t>C</w:t>
      </w:r>
      <w:r>
        <w:rPr>
          <w:rFonts w:hint="eastAsia" w:hAnsi="Times New Roman"/>
          <w:szCs w:val="28"/>
        </w:rPr>
        <w:t>类表清单</w:t>
      </w:r>
    </w:p>
    <w:p>
      <w:pPr>
        <w:spacing w:line="400" w:lineRule="exact"/>
        <w:ind w:left="902" w:firstLine="405"/>
        <w:rPr>
          <w:szCs w:val="21"/>
        </w:rPr>
      </w:pPr>
      <w:r>
        <w:rPr>
          <w:szCs w:val="21"/>
        </w:rPr>
        <w:t xml:space="preserve">C.0.1     </w:t>
      </w:r>
      <w:r>
        <w:rPr>
          <w:rFonts w:hint="eastAsia" w:hAnsi="Times New Roman"/>
          <w:szCs w:val="21"/>
        </w:rPr>
        <w:t>工程联系单</w:t>
      </w:r>
    </w:p>
    <w:p>
      <w:pPr>
        <w:spacing w:line="400" w:lineRule="exact"/>
        <w:ind w:left="902" w:firstLine="405"/>
        <w:rPr>
          <w:szCs w:val="21"/>
        </w:rPr>
      </w:pPr>
      <w:r>
        <w:rPr>
          <w:szCs w:val="21"/>
        </w:rPr>
        <w:t xml:space="preserve">C.0.2     </w:t>
      </w:r>
      <w:r>
        <w:rPr>
          <w:rFonts w:hint="eastAsia" w:hAnsi="Times New Roman"/>
          <w:szCs w:val="21"/>
        </w:rPr>
        <w:t>索赔意向通知书</w:t>
      </w:r>
    </w:p>
    <w:p>
      <w:pPr>
        <w:pStyle w:val="6"/>
        <w:tabs>
          <w:tab w:val="left" w:pos="1680"/>
        </w:tabs>
        <w:spacing w:line="400" w:lineRule="exact"/>
        <w:ind w:firstLine="420"/>
        <w:rPr>
          <w:b/>
          <w:szCs w:val="21"/>
        </w:rPr>
      </w:pPr>
    </w:p>
    <w:p>
      <w:pPr>
        <w:pStyle w:val="6"/>
        <w:tabs>
          <w:tab w:val="left" w:pos="1680"/>
        </w:tabs>
        <w:rPr>
          <w:rFonts w:hAnsi="Times New Roman"/>
          <w:b/>
          <w:bCs/>
          <w:sz w:val="32"/>
          <w:szCs w:val="32"/>
        </w:rPr>
      </w:pPr>
      <w:r>
        <w:rPr>
          <w:rFonts w:hint="eastAsia" w:hAnsi="Times New Roman"/>
          <w:b/>
          <w:bCs/>
          <w:sz w:val="32"/>
          <w:szCs w:val="32"/>
        </w:rPr>
        <w:t>三、各类用表使用说明</w:t>
      </w:r>
    </w:p>
    <w:p>
      <w:pPr>
        <w:pStyle w:val="6"/>
        <w:tabs>
          <w:tab w:val="left" w:pos="1680"/>
        </w:tabs>
        <w:spacing w:line="400" w:lineRule="exact"/>
        <w:rPr>
          <w:rFonts w:eastAsia="黑体"/>
          <w:szCs w:val="28"/>
        </w:rPr>
      </w:pPr>
      <w:r>
        <w:rPr>
          <w:rFonts w:eastAsia="黑体"/>
          <w:szCs w:val="28"/>
        </w:rPr>
        <w:t>1</w:t>
      </w:r>
      <w:r>
        <w:rPr>
          <w:rFonts w:hint="eastAsia" w:eastAsia="黑体"/>
          <w:szCs w:val="28"/>
        </w:rPr>
        <w:t>、</w:t>
      </w:r>
      <w:r>
        <w:rPr>
          <w:rFonts w:eastAsia="黑体"/>
          <w:szCs w:val="28"/>
        </w:rPr>
        <w:t>A</w:t>
      </w:r>
      <w:r>
        <w:rPr>
          <w:rFonts w:hint="eastAsia" w:eastAsia="黑体"/>
          <w:szCs w:val="28"/>
        </w:rPr>
        <w:t>类表</w:t>
      </w:r>
    </w:p>
    <w:p>
      <w:pPr>
        <w:pStyle w:val="6"/>
        <w:tabs>
          <w:tab w:val="left" w:pos="1680"/>
        </w:tabs>
        <w:spacing w:line="400" w:lineRule="exact"/>
        <w:rPr>
          <w:rFonts w:eastAsia="黑体"/>
          <w:sz w:val="24"/>
        </w:rPr>
      </w:pPr>
      <w:r>
        <w:rPr>
          <w:rFonts w:eastAsia="黑体"/>
          <w:sz w:val="24"/>
        </w:rPr>
        <w:t xml:space="preserve">A.0.1  </w:t>
      </w:r>
      <w:r>
        <w:rPr>
          <w:rFonts w:hint="eastAsia" w:eastAsia="黑体"/>
          <w:sz w:val="24"/>
        </w:rPr>
        <w:t>总监理工程师任命书</w:t>
      </w:r>
    </w:p>
    <w:p>
      <w:pPr>
        <w:pStyle w:val="6"/>
        <w:tabs>
          <w:tab w:val="left" w:pos="1680"/>
        </w:tabs>
        <w:spacing w:line="400" w:lineRule="exact"/>
        <w:ind w:firstLine="420"/>
        <w:rPr>
          <w:szCs w:val="21"/>
        </w:rPr>
      </w:pPr>
      <w:r>
        <w:rPr>
          <w:rFonts w:hint="eastAsia"/>
          <w:szCs w:val="21"/>
        </w:rPr>
        <w:t>《建设工程监理合同》签订后，工程监理单位法定代表人根据监理合同的约定，任命项目总监理工程师，负责履行《建设工程监理合同》、主持项目监理机构工作。工程监理单位应将对总监理工程师的任命以及相应的授权范围书面通知建设单位，并抄送施工单位。本表应附总监理工程师执业证书复印件及印章和项目监理机构用章的样章。</w:t>
      </w:r>
    </w:p>
    <w:p>
      <w:pPr>
        <w:pStyle w:val="6"/>
        <w:tabs>
          <w:tab w:val="left" w:pos="1680"/>
        </w:tabs>
        <w:spacing w:line="400" w:lineRule="exact"/>
        <w:rPr>
          <w:rFonts w:eastAsia="黑体"/>
          <w:sz w:val="24"/>
        </w:rPr>
      </w:pPr>
      <w:r>
        <w:rPr>
          <w:rFonts w:eastAsia="黑体"/>
          <w:sz w:val="24"/>
        </w:rPr>
        <w:t xml:space="preserve">A.0.2  </w:t>
      </w:r>
      <w:r>
        <w:rPr>
          <w:rFonts w:hint="eastAsia" w:eastAsia="黑体"/>
          <w:sz w:val="24"/>
        </w:rPr>
        <w:t>监理日志</w:t>
      </w:r>
    </w:p>
    <w:p>
      <w:pPr>
        <w:pStyle w:val="6"/>
        <w:tabs>
          <w:tab w:val="left" w:pos="1680"/>
        </w:tabs>
        <w:spacing w:line="400" w:lineRule="exact"/>
        <w:ind w:firstLine="420"/>
        <w:rPr>
          <w:szCs w:val="21"/>
        </w:rPr>
      </w:pPr>
      <w:r>
        <w:rPr>
          <w:rFonts w:hint="eastAsia"/>
          <w:szCs w:val="21"/>
        </w:rPr>
        <w:t>监理日志是项目监理机构对当天气候及现场情况、监理工作及施工进展情况所做的记录。</w:t>
      </w:r>
    </w:p>
    <w:p>
      <w:pPr>
        <w:pStyle w:val="6"/>
        <w:tabs>
          <w:tab w:val="left" w:pos="1680"/>
        </w:tabs>
        <w:spacing w:line="400" w:lineRule="exact"/>
        <w:ind w:firstLine="420"/>
        <w:rPr>
          <w:szCs w:val="21"/>
        </w:rPr>
      </w:pPr>
      <w:r>
        <w:rPr>
          <w:szCs w:val="21"/>
        </w:rPr>
        <w:t>1</w:t>
      </w:r>
      <w:r>
        <w:rPr>
          <w:rFonts w:hint="eastAsia"/>
          <w:szCs w:val="21"/>
        </w:rPr>
        <w:t>、记录当日监理的主要工作内容及有关事项：</w:t>
      </w:r>
    </w:p>
    <w:p>
      <w:pPr>
        <w:pStyle w:val="6"/>
        <w:numPr>
          <w:ilvl w:val="0"/>
          <w:numId w:val="5"/>
        </w:numPr>
        <w:tabs>
          <w:tab w:val="left" w:pos="993"/>
        </w:tabs>
        <w:spacing w:line="400" w:lineRule="exact"/>
        <w:ind w:left="989" w:leftChars="269" w:hanging="424" w:hangingChars="202"/>
        <w:rPr>
          <w:szCs w:val="21"/>
        </w:rPr>
      </w:pPr>
      <w:r>
        <w:rPr>
          <w:rFonts w:hint="eastAsia"/>
          <w:szCs w:val="21"/>
        </w:rPr>
        <w:t>施工现场巡查、旁站、见证取样或平行检验监理情况（包括口头通知、协调等）。</w:t>
      </w:r>
    </w:p>
    <w:p>
      <w:pPr>
        <w:pStyle w:val="6"/>
        <w:numPr>
          <w:ilvl w:val="0"/>
          <w:numId w:val="5"/>
        </w:numPr>
        <w:tabs>
          <w:tab w:val="left" w:pos="993"/>
        </w:tabs>
        <w:spacing w:line="400" w:lineRule="exact"/>
        <w:ind w:left="991" w:leftChars="270" w:hanging="424" w:hangingChars="202"/>
        <w:rPr>
          <w:szCs w:val="21"/>
        </w:rPr>
      </w:pPr>
      <w:r>
        <w:rPr>
          <w:rFonts w:hint="eastAsia"/>
          <w:szCs w:val="21"/>
        </w:rPr>
        <w:t>检验批验收情况（包括测量放线等）。</w:t>
      </w:r>
    </w:p>
    <w:p>
      <w:pPr>
        <w:pStyle w:val="6"/>
        <w:numPr>
          <w:ilvl w:val="0"/>
          <w:numId w:val="5"/>
        </w:numPr>
        <w:tabs>
          <w:tab w:val="left" w:pos="993"/>
        </w:tabs>
        <w:spacing w:line="400" w:lineRule="exact"/>
        <w:ind w:left="991" w:leftChars="270" w:hanging="424" w:hangingChars="202"/>
        <w:rPr>
          <w:szCs w:val="21"/>
        </w:rPr>
      </w:pPr>
      <w:r>
        <w:rPr>
          <w:rFonts w:hint="eastAsia"/>
          <w:szCs w:val="21"/>
        </w:rPr>
        <w:t>除检验批以外的施工单位各种报验、报审情况（如混凝土浇筑报审、工程材料</w:t>
      </w:r>
      <w:r>
        <w:rPr>
          <w:szCs w:val="21"/>
        </w:rPr>
        <w:t>/</w:t>
      </w:r>
      <w:r>
        <w:rPr>
          <w:rFonts w:hint="eastAsia"/>
          <w:szCs w:val="21"/>
        </w:rPr>
        <w:t>构配件</w:t>
      </w:r>
      <w:r>
        <w:rPr>
          <w:szCs w:val="21"/>
        </w:rPr>
        <w:t>/</w:t>
      </w:r>
      <w:r>
        <w:rPr>
          <w:rFonts w:hint="eastAsia"/>
          <w:szCs w:val="21"/>
        </w:rPr>
        <w:t>设备报审、施工起重机械安装</w:t>
      </w:r>
      <w:r>
        <w:rPr>
          <w:szCs w:val="21"/>
        </w:rPr>
        <w:t>/</w:t>
      </w:r>
      <w:r>
        <w:rPr>
          <w:rFonts w:hint="eastAsia"/>
          <w:szCs w:val="21"/>
        </w:rPr>
        <w:t>使用</w:t>
      </w:r>
      <w:r>
        <w:rPr>
          <w:szCs w:val="21"/>
        </w:rPr>
        <w:t>/</w:t>
      </w:r>
      <w:r>
        <w:rPr>
          <w:rFonts w:hint="eastAsia"/>
          <w:szCs w:val="21"/>
        </w:rPr>
        <w:t>拆卸报审、施工方案报审、分包单位资质报审、进度报审、工程费用报审等）。</w:t>
      </w:r>
    </w:p>
    <w:p>
      <w:pPr>
        <w:pStyle w:val="6"/>
        <w:numPr>
          <w:ilvl w:val="0"/>
          <w:numId w:val="5"/>
        </w:numPr>
        <w:tabs>
          <w:tab w:val="left" w:pos="993"/>
        </w:tabs>
        <w:spacing w:line="400" w:lineRule="exact"/>
        <w:ind w:left="991" w:leftChars="270" w:hanging="424" w:hangingChars="202"/>
        <w:rPr>
          <w:szCs w:val="21"/>
        </w:rPr>
      </w:pPr>
      <w:r>
        <w:rPr>
          <w:rFonts w:hint="eastAsia"/>
          <w:szCs w:val="21"/>
        </w:rPr>
        <w:t>安全生产管理的监理工作（专项施工方案与安全技术措施审核、危大工程专项巡视情况、现场安全事故隐患处置情况等）。</w:t>
      </w:r>
    </w:p>
    <w:p>
      <w:pPr>
        <w:pStyle w:val="6"/>
        <w:numPr>
          <w:ilvl w:val="0"/>
          <w:numId w:val="5"/>
        </w:numPr>
        <w:tabs>
          <w:tab w:val="left" w:pos="993"/>
        </w:tabs>
        <w:spacing w:line="400" w:lineRule="exact"/>
        <w:ind w:left="991" w:leftChars="270" w:hanging="424" w:hangingChars="202"/>
        <w:rPr>
          <w:szCs w:val="21"/>
        </w:rPr>
      </w:pPr>
      <w:r>
        <w:rPr>
          <w:rFonts w:hint="eastAsia"/>
          <w:szCs w:val="21"/>
        </w:rPr>
        <w:t>召开的各种会议（注明详情见会议纪要）。</w:t>
      </w:r>
    </w:p>
    <w:p>
      <w:pPr>
        <w:pStyle w:val="6"/>
        <w:numPr>
          <w:ilvl w:val="0"/>
          <w:numId w:val="5"/>
        </w:numPr>
        <w:tabs>
          <w:tab w:val="left" w:pos="993"/>
        </w:tabs>
        <w:spacing w:line="400" w:lineRule="exact"/>
        <w:ind w:left="991" w:leftChars="270" w:hanging="424" w:hangingChars="202"/>
        <w:rPr>
          <w:szCs w:val="21"/>
        </w:rPr>
      </w:pPr>
      <w:r>
        <w:rPr>
          <w:rFonts w:hint="eastAsia"/>
          <w:szCs w:val="21"/>
        </w:rPr>
        <w:t>异常事件的发生及处理情况（如质量安全事故、停复工、索赔等）。</w:t>
      </w:r>
    </w:p>
    <w:p>
      <w:pPr>
        <w:pStyle w:val="6"/>
        <w:numPr>
          <w:ilvl w:val="0"/>
          <w:numId w:val="5"/>
        </w:numPr>
        <w:tabs>
          <w:tab w:val="left" w:pos="993"/>
        </w:tabs>
        <w:spacing w:line="400" w:lineRule="exact"/>
        <w:ind w:left="991" w:leftChars="270" w:hanging="424" w:hangingChars="202"/>
        <w:rPr>
          <w:szCs w:val="21"/>
        </w:rPr>
      </w:pPr>
      <w:r>
        <w:rPr>
          <w:rFonts w:hint="eastAsia"/>
          <w:szCs w:val="21"/>
        </w:rPr>
        <w:t>其他应记录的主要工作事项。</w:t>
      </w:r>
    </w:p>
    <w:p>
      <w:pPr>
        <w:pStyle w:val="6"/>
        <w:tabs>
          <w:tab w:val="left" w:pos="993"/>
        </w:tabs>
        <w:spacing w:line="400" w:lineRule="exact"/>
        <w:ind w:firstLine="424" w:firstLineChars="202"/>
        <w:rPr>
          <w:szCs w:val="21"/>
        </w:rPr>
      </w:pPr>
      <w:r>
        <w:rPr>
          <w:szCs w:val="21"/>
        </w:rPr>
        <w:t>2</w:t>
      </w:r>
      <w:r>
        <w:rPr>
          <w:rFonts w:hint="eastAsia"/>
          <w:szCs w:val="21"/>
        </w:rPr>
        <w:t>、日志记录的各事项的处理须闭合。记录内容较多可添置附页（可在表格的背面）。</w:t>
      </w:r>
    </w:p>
    <w:p>
      <w:pPr>
        <w:pStyle w:val="6"/>
        <w:tabs>
          <w:tab w:val="left" w:pos="993"/>
        </w:tabs>
        <w:spacing w:line="400" w:lineRule="exact"/>
        <w:ind w:firstLine="405"/>
        <w:rPr>
          <w:szCs w:val="21"/>
        </w:rPr>
      </w:pPr>
      <w:r>
        <w:rPr>
          <w:szCs w:val="21"/>
        </w:rPr>
        <w:t>3</w:t>
      </w:r>
      <w:r>
        <w:rPr>
          <w:rFonts w:hint="eastAsia"/>
          <w:szCs w:val="21"/>
        </w:rPr>
        <w:t>、大中型项目宜分标段（或片区）、分专业填写，具体划分范围由总监理工程师确定。</w:t>
      </w:r>
    </w:p>
    <w:p>
      <w:pPr>
        <w:pStyle w:val="6"/>
        <w:tabs>
          <w:tab w:val="left" w:pos="993"/>
        </w:tabs>
        <w:spacing w:line="400" w:lineRule="exact"/>
        <w:ind w:firstLine="405"/>
        <w:rPr>
          <w:szCs w:val="21"/>
        </w:rPr>
      </w:pPr>
      <w:r>
        <w:rPr>
          <w:szCs w:val="21"/>
        </w:rPr>
        <w:t>4</w:t>
      </w:r>
      <w:r>
        <w:rPr>
          <w:rFonts w:hint="eastAsia"/>
          <w:szCs w:val="21"/>
        </w:rPr>
        <w:t>、监理日志由总监理工程师根据岗位分工，指定专业监理工程师组织编写，审核人由总监理工程师确定。</w:t>
      </w:r>
    </w:p>
    <w:p>
      <w:pPr>
        <w:pStyle w:val="6"/>
        <w:tabs>
          <w:tab w:val="left" w:pos="993"/>
        </w:tabs>
        <w:spacing w:line="400" w:lineRule="exact"/>
        <w:ind w:firstLine="405"/>
        <w:rPr>
          <w:szCs w:val="21"/>
        </w:rPr>
      </w:pPr>
      <w:r>
        <w:rPr>
          <w:szCs w:val="21"/>
        </w:rPr>
        <w:t>5</w:t>
      </w:r>
      <w:r>
        <w:rPr>
          <w:rFonts w:hint="eastAsia"/>
          <w:szCs w:val="21"/>
        </w:rPr>
        <w:t>、监理日志应及时填写，可手写，也可电脑打印，并保持原始记录的真实性。</w:t>
      </w:r>
    </w:p>
    <w:p>
      <w:pPr>
        <w:pStyle w:val="6"/>
        <w:tabs>
          <w:tab w:val="left" w:pos="1680"/>
        </w:tabs>
        <w:spacing w:line="400" w:lineRule="exact"/>
        <w:rPr>
          <w:rFonts w:eastAsia="黑体"/>
          <w:sz w:val="24"/>
        </w:rPr>
      </w:pPr>
      <w:r>
        <w:rPr>
          <w:rFonts w:eastAsia="黑体"/>
          <w:sz w:val="24"/>
        </w:rPr>
        <w:t xml:space="preserve"> A.0.3  </w:t>
      </w:r>
      <w:r>
        <w:rPr>
          <w:rFonts w:hint="eastAsia" w:eastAsia="黑体"/>
          <w:sz w:val="24"/>
        </w:rPr>
        <w:t>监理规划</w:t>
      </w:r>
    </w:p>
    <w:p>
      <w:pPr>
        <w:pStyle w:val="6"/>
        <w:tabs>
          <w:tab w:val="left" w:pos="993"/>
        </w:tabs>
        <w:spacing w:line="400" w:lineRule="exact"/>
        <w:ind w:firstLine="405"/>
        <w:rPr>
          <w:szCs w:val="21"/>
        </w:rPr>
      </w:pPr>
      <w:r>
        <w:rPr>
          <w:rFonts w:hint="eastAsia"/>
          <w:szCs w:val="21"/>
        </w:rPr>
        <w:t>监理规划是项目监理机构全面开展建设工程监理工作的指导性</w:t>
      </w:r>
      <w:r>
        <w:rPr>
          <w:rFonts w:hint="eastAsia" w:hAnsi="Times New Roman"/>
          <w:szCs w:val="21"/>
        </w:rPr>
        <w:t>文件，可在签订监理合同及收到设计文件后，由总监理工程师根据已掌握的工程信息，组织各专业监理工程师编制，报监理单位技术负责人审批后，在第一次工地会议前报送建设单位。监理规划的内容、审核等应符合相关规定，并应具有针对性</w:t>
      </w:r>
      <w:r>
        <w:rPr>
          <w:rFonts w:hint="eastAsia"/>
          <w:szCs w:val="21"/>
        </w:rPr>
        <w:t>和时效性。</w:t>
      </w:r>
    </w:p>
    <w:p>
      <w:pPr>
        <w:pStyle w:val="6"/>
        <w:tabs>
          <w:tab w:val="left" w:pos="1680"/>
        </w:tabs>
        <w:spacing w:line="400" w:lineRule="exact"/>
        <w:rPr>
          <w:rFonts w:eastAsia="黑体"/>
          <w:sz w:val="24"/>
        </w:rPr>
      </w:pPr>
      <w:r>
        <w:rPr>
          <w:rFonts w:eastAsia="黑体"/>
          <w:sz w:val="24"/>
        </w:rPr>
        <w:t xml:space="preserve"> A.0.4  </w:t>
      </w:r>
      <w:r>
        <w:rPr>
          <w:rFonts w:hint="eastAsia" w:eastAsia="黑体"/>
          <w:sz w:val="24"/>
        </w:rPr>
        <w:t>监理实施细则</w:t>
      </w:r>
    </w:p>
    <w:p>
      <w:pPr>
        <w:pStyle w:val="6"/>
        <w:tabs>
          <w:tab w:val="left" w:pos="993"/>
        </w:tabs>
        <w:spacing w:line="400" w:lineRule="exact"/>
        <w:ind w:firstLine="420" w:firstLineChars="200"/>
        <w:rPr>
          <w:szCs w:val="21"/>
        </w:rPr>
      </w:pPr>
      <w:r>
        <w:rPr>
          <w:rFonts w:hint="eastAsia"/>
          <w:szCs w:val="21"/>
        </w:rPr>
        <w:t>对于专业性较强、具有一定难</w:t>
      </w:r>
      <w:r>
        <w:rPr>
          <w:rFonts w:hint="eastAsia" w:hAnsi="Times New Roman"/>
          <w:szCs w:val="21"/>
        </w:rPr>
        <w:t>度或危险性较大的分部分项工程，项目监理机构应编制监理实施细则。监理实施细则的内容、编制、审核等应符合相关规定。监理实施细则编制的时间应在施工方案审批通过后，相应的分部、分项工程施工开始前审批</w:t>
      </w:r>
      <w:r>
        <w:rPr>
          <w:rFonts w:hint="eastAsia"/>
          <w:szCs w:val="21"/>
        </w:rPr>
        <w:t>完成。</w:t>
      </w:r>
    </w:p>
    <w:p>
      <w:pPr>
        <w:pStyle w:val="6"/>
        <w:tabs>
          <w:tab w:val="left" w:pos="1680"/>
        </w:tabs>
        <w:spacing w:line="400" w:lineRule="exact"/>
        <w:rPr>
          <w:rFonts w:eastAsia="黑体"/>
          <w:sz w:val="24"/>
        </w:rPr>
      </w:pPr>
      <w:r>
        <w:rPr>
          <w:rFonts w:eastAsia="黑体"/>
          <w:sz w:val="24"/>
        </w:rPr>
        <w:t xml:space="preserve"> A.0.5  </w:t>
      </w:r>
      <w:r>
        <w:rPr>
          <w:rFonts w:hint="eastAsia" w:eastAsia="黑体"/>
          <w:sz w:val="24"/>
        </w:rPr>
        <w:t>工程开工令</w:t>
      </w:r>
    </w:p>
    <w:p>
      <w:pPr>
        <w:pStyle w:val="6"/>
        <w:tabs>
          <w:tab w:val="left" w:pos="1680"/>
        </w:tabs>
        <w:spacing w:line="400" w:lineRule="exact"/>
        <w:ind w:firstLine="450"/>
        <w:rPr>
          <w:szCs w:val="21"/>
        </w:rPr>
      </w:pPr>
      <w:r>
        <w:rPr>
          <w:rFonts w:hint="eastAsia" w:hAnsi="Times New Roman"/>
          <w:szCs w:val="21"/>
        </w:rPr>
        <w:t>建设单位对《工程开工报审表》签署同意开工意见、且工程施工许可手续均已办妥后，总监理工程师可签发《工程开工令》。工期自《工程开工令》中载明的开工日期起算。</w:t>
      </w:r>
    </w:p>
    <w:p>
      <w:pPr>
        <w:pStyle w:val="6"/>
        <w:tabs>
          <w:tab w:val="left" w:pos="1680"/>
        </w:tabs>
        <w:spacing w:line="400" w:lineRule="exact"/>
        <w:ind w:firstLine="450"/>
        <w:rPr>
          <w:szCs w:val="21"/>
        </w:rPr>
      </w:pPr>
      <w:r>
        <w:rPr>
          <w:rFonts w:hint="eastAsia" w:hAnsi="Times New Roman"/>
          <w:szCs w:val="21"/>
        </w:rPr>
        <w:t>工程建设中，任何一方发生了违法开工的行为，项目监理机构应视具体情况，采用监理通知单、工程联系单、工程暂停令、监理备忘录、监理报告予以提醒或制止。</w:t>
      </w:r>
    </w:p>
    <w:p>
      <w:pPr>
        <w:pStyle w:val="6"/>
        <w:tabs>
          <w:tab w:val="left" w:pos="1680"/>
        </w:tabs>
        <w:spacing w:line="400" w:lineRule="exact"/>
        <w:rPr>
          <w:rFonts w:eastAsia="黑体"/>
          <w:sz w:val="24"/>
        </w:rPr>
      </w:pPr>
      <w:r>
        <w:rPr>
          <w:rFonts w:eastAsia="黑体"/>
          <w:sz w:val="24"/>
        </w:rPr>
        <w:t xml:space="preserve"> A.0.6  </w:t>
      </w:r>
      <w:r>
        <w:rPr>
          <w:rFonts w:hint="eastAsia" w:eastAsia="黑体"/>
          <w:sz w:val="24"/>
        </w:rPr>
        <w:t>旁站记录表（通用）</w:t>
      </w:r>
    </w:p>
    <w:p>
      <w:pPr>
        <w:pStyle w:val="6"/>
        <w:tabs>
          <w:tab w:val="left" w:pos="1680"/>
        </w:tabs>
        <w:spacing w:line="400" w:lineRule="exact"/>
        <w:ind w:firstLine="420"/>
        <w:rPr>
          <w:szCs w:val="21"/>
        </w:rPr>
      </w:pPr>
      <w:r>
        <w:rPr>
          <w:rFonts w:hint="eastAsia"/>
          <w:szCs w:val="21"/>
        </w:rPr>
        <w:t>本表适用于监理人员对工程的关键部位、关键工序的施工质量进行监督。本表为旁站记录的通用用表，在工程实施过程中，项目监理机构可根据不同的旁站对象，设计有针对性、可操作的旁站记录用表。旁站人员应将旁站部位的施工和监理工作情况、发现问题及处理情况作详细记录，并对存在问题及时处置。施工情况包括施工单位质检人员到岗情况、特殊工种人员持证情况以及施工机械、材料准备及关键部位、关键工序的施工是否按施工方案及工程建设强制性标准执行等情况。</w:t>
      </w:r>
    </w:p>
    <w:p>
      <w:pPr>
        <w:pStyle w:val="6"/>
        <w:tabs>
          <w:tab w:val="left" w:pos="1680"/>
        </w:tabs>
        <w:spacing w:line="400" w:lineRule="exact"/>
        <w:rPr>
          <w:rFonts w:eastAsia="黑体"/>
          <w:sz w:val="24"/>
        </w:rPr>
      </w:pPr>
      <w:r>
        <w:rPr>
          <w:rFonts w:eastAsia="黑体"/>
          <w:sz w:val="24"/>
        </w:rPr>
        <w:t xml:space="preserve">A.0.7 </w:t>
      </w:r>
      <w:r>
        <w:rPr>
          <w:rFonts w:eastAsia="黑体"/>
          <w:sz w:val="24"/>
          <w:u w:val="single"/>
        </w:rPr>
        <w:t xml:space="preserve">      </w:t>
      </w:r>
      <w:r>
        <w:rPr>
          <w:rFonts w:hint="eastAsia" w:hAnsi="Times New Roman" w:eastAsia="黑体"/>
          <w:sz w:val="24"/>
        </w:rPr>
        <w:t>会议纪要</w:t>
      </w:r>
    </w:p>
    <w:p>
      <w:pPr>
        <w:pStyle w:val="6"/>
        <w:tabs>
          <w:tab w:val="left" w:pos="1680"/>
        </w:tabs>
        <w:spacing w:line="400" w:lineRule="exact"/>
        <w:ind w:firstLine="420" w:firstLineChars="200"/>
        <w:rPr>
          <w:rFonts w:eastAsia="黑体"/>
          <w:sz w:val="24"/>
        </w:rPr>
      </w:pPr>
      <w:r>
        <w:rPr>
          <w:rFonts w:hint="eastAsia" w:hAnsi="Times New Roman"/>
          <w:szCs w:val="21"/>
        </w:rPr>
        <w:t>本表适用于第一次工地会议（</w:t>
      </w:r>
      <w:r>
        <w:rPr>
          <w:szCs w:val="21"/>
        </w:rPr>
        <w:t>A.0.7</w:t>
      </w:r>
      <w:r>
        <w:rPr>
          <w:szCs w:val="21"/>
          <w:u w:val="single"/>
        </w:rPr>
        <w:t>0</w:t>
      </w:r>
      <w:r>
        <w:rPr>
          <w:rFonts w:hint="eastAsia" w:hAnsi="Times New Roman"/>
          <w:szCs w:val="21"/>
        </w:rPr>
        <w:t>）、工地监理例会（</w:t>
      </w:r>
      <w:r>
        <w:rPr>
          <w:szCs w:val="21"/>
        </w:rPr>
        <w:t>A.0.7</w:t>
      </w:r>
      <w:r>
        <w:rPr>
          <w:szCs w:val="21"/>
          <w:u w:val="single"/>
        </w:rPr>
        <w:t>1</w:t>
      </w:r>
      <w:r>
        <w:rPr>
          <w:rFonts w:hint="eastAsia" w:hAnsi="Times New Roman"/>
          <w:szCs w:val="21"/>
        </w:rPr>
        <w:t>）、专题会议（</w:t>
      </w:r>
      <w:r>
        <w:rPr>
          <w:szCs w:val="21"/>
        </w:rPr>
        <w:t>A.0.7</w:t>
      </w:r>
      <w:r>
        <w:rPr>
          <w:szCs w:val="21"/>
          <w:u w:val="single"/>
        </w:rPr>
        <w:t>2</w:t>
      </w:r>
      <w:r>
        <w:rPr>
          <w:rFonts w:hint="eastAsia" w:hAnsi="Times New Roman"/>
          <w:szCs w:val="21"/>
        </w:rPr>
        <w:t>）和项目监理机构内部会议（</w:t>
      </w:r>
      <w:r>
        <w:rPr>
          <w:szCs w:val="21"/>
        </w:rPr>
        <w:t>A.0.7</w:t>
      </w:r>
      <w:r>
        <w:rPr>
          <w:szCs w:val="21"/>
          <w:u w:val="single"/>
        </w:rPr>
        <w:t>3</w:t>
      </w:r>
      <w:r>
        <w:rPr>
          <w:rFonts w:hint="eastAsia" w:hAnsi="Times New Roman"/>
          <w:szCs w:val="21"/>
        </w:rPr>
        <w:t>）的参加单位、人员与会时签到用。会议主要内容及结论写在附页上。</w:t>
      </w:r>
    </w:p>
    <w:p>
      <w:pPr>
        <w:pStyle w:val="6"/>
        <w:tabs>
          <w:tab w:val="left" w:pos="1680"/>
        </w:tabs>
        <w:spacing w:line="400" w:lineRule="exact"/>
        <w:rPr>
          <w:szCs w:val="21"/>
        </w:rPr>
      </w:pPr>
      <w:r>
        <w:rPr>
          <w:rFonts w:eastAsia="黑体"/>
          <w:sz w:val="24"/>
        </w:rPr>
        <w:t xml:space="preserve">A.0.8  </w:t>
      </w:r>
      <w:r>
        <w:rPr>
          <w:rFonts w:hint="eastAsia" w:hAnsi="Times New Roman" w:eastAsia="黑体"/>
          <w:sz w:val="24"/>
        </w:rPr>
        <w:t>监理月</w:t>
      </w:r>
      <w:r>
        <w:rPr>
          <w:rFonts w:hint="eastAsia" w:eastAsia="黑体"/>
          <w:sz w:val="24"/>
        </w:rPr>
        <w:t>报</w:t>
      </w:r>
    </w:p>
    <w:p>
      <w:pPr>
        <w:pStyle w:val="6"/>
        <w:tabs>
          <w:tab w:val="left" w:pos="1680"/>
        </w:tabs>
        <w:spacing w:line="400" w:lineRule="exact"/>
        <w:ind w:firstLine="420" w:firstLineChars="200"/>
        <w:rPr>
          <w:szCs w:val="21"/>
        </w:rPr>
      </w:pPr>
      <w:r>
        <w:rPr>
          <w:rFonts w:hint="eastAsia" w:hAnsi="Times New Roman"/>
          <w:szCs w:val="21"/>
        </w:rPr>
        <w:t>监理月报是项目监理机构按月向建设单位和监理单位提交的，反映在本报告期内工程实施情况、监理工作情况、施工中存在问题及处理情况、下月监理工作重点等的书面报告。监理月报每月月底提交，报告期宜为上月</w:t>
      </w:r>
      <w:r>
        <w:rPr>
          <w:szCs w:val="21"/>
        </w:rPr>
        <w:t>26</w:t>
      </w:r>
      <w:r>
        <w:rPr>
          <w:rFonts w:hint="eastAsia" w:hAnsi="Times New Roman"/>
          <w:szCs w:val="21"/>
        </w:rPr>
        <w:t>日至本月</w:t>
      </w:r>
      <w:r>
        <w:rPr>
          <w:szCs w:val="21"/>
        </w:rPr>
        <w:t>25</w:t>
      </w:r>
      <w:r>
        <w:rPr>
          <w:rFonts w:hint="eastAsia" w:hAnsi="Times New Roman"/>
          <w:szCs w:val="21"/>
        </w:rPr>
        <w:t>日。项目监理机构可根据工程规模与特点增加图表、图片等内容，如表格各栏不够填写，可增加附页。</w:t>
      </w:r>
    </w:p>
    <w:p>
      <w:pPr>
        <w:pStyle w:val="6"/>
        <w:tabs>
          <w:tab w:val="left" w:pos="1680"/>
        </w:tabs>
        <w:spacing w:line="400" w:lineRule="exact"/>
        <w:rPr>
          <w:rFonts w:eastAsia="黑体"/>
          <w:sz w:val="24"/>
        </w:rPr>
      </w:pPr>
      <w:r>
        <w:rPr>
          <w:rFonts w:eastAsia="黑体"/>
          <w:sz w:val="24"/>
        </w:rPr>
        <w:t xml:space="preserve">A.0.9  </w:t>
      </w:r>
      <w:r>
        <w:rPr>
          <w:rFonts w:hint="eastAsia" w:eastAsia="黑体"/>
          <w:sz w:val="24"/>
        </w:rPr>
        <w:t>工程款支付证书</w:t>
      </w:r>
    </w:p>
    <w:p>
      <w:pPr>
        <w:pStyle w:val="6"/>
        <w:tabs>
          <w:tab w:val="left" w:pos="1680"/>
        </w:tabs>
        <w:spacing w:line="400" w:lineRule="exact"/>
        <w:ind w:firstLine="420" w:firstLineChars="200"/>
        <w:rPr>
          <w:szCs w:val="21"/>
        </w:rPr>
      </w:pPr>
      <w:r>
        <w:rPr>
          <w:rFonts w:hint="eastAsia"/>
          <w:szCs w:val="21"/>
        </w:rPr>
        <w:t>本表适用于项目监理机构收到经建设单位签署审批的《工程款支付报审表》后，根据建设单位审批意见签发本表作为工程款支付的证明文件。支付证书应明确施工单位申报款、经审批的应得款、本期应扣款、本期应付款等数额。签发《工程款支付证书》应符合《建设工程施工合同》约定。</w:t>
      </w:r>
    </w:p>
    <w:p>
      <w:pPr>
        <w:pStyle w:val="6"/>
        <w:tabs>
          <w:tab w:val="left" w:pos="1680"/>
        </w:tabs>
        <w:spacing w:line="400" w:lineRule="exact"/>
        <w:rPr>
          <w:rFonts w:eastAsia="黑体"/>
          <w:sz w:val="24"/>
        </w:rPr>
      </w:pPr>
      <w:r>
        <w:rPr>
          <w:rFonts w:eastAsia="黑体"/>
          <w:sz w:val="24"/>
        </w:rPr>
        <w:t xml:space="preserve">A.0.10  </w:t>
      </w:r>
      <w:r>
        <w:rPr>
          <w:rFonts w:hint="eastAsia" w:eastAsia="黑体"/>
          <w:sz w:val="24"/>
        </w:rPr>
        <w:t>监理通知单（</w:t>
      </w:r>
      <w:r>
        <w:rPr>
          <w:rFonts w:eastAsia="黑体"/>
          <w:sz w:val="24"/>
        </w:rPr>
        <w:t xml:space="preserve">      </w:t>
      </w:r>
      <w:r>
        <w:rPr>
          <w:rFonts w:hint="eastAsia" w:eastAsia="黑体"/>
          <w:sz w:val="24"/>
        </w:rPr>
        <w:t>类）</w:t>
      </w:r>
    </w:p>
    <w:p>
      <w:pPr>
        <w:pStyle w:val="6"/>
        <w:tabs>
          <w:tab w:val="left" w:pos="1680"/>
        </w:tabs>
        <w:spacing w:line="400" w:lineRule="exact"/>
        <w:ind w:firstLine="420" w:firstLineChars="200"/>
        <w:rPr>
          <w:szCs w:val="21"/>
        </w:rPr>
      </w:pPr>
      <w:r>
        <w:rPr>
          <w:rFonts w:hint="eastAsia"/>
          <w:szCs w:val="21"/>
        </w:rPr>
        <w:t>本表是项目监理机构通知施工单位应执行的、除工程暂停以外的涉及质量、造价、进度、安全文明、工程变更和其他有关事项的用表。</w:t>
      </w:r>
      <w:bookmarkStart w:id="496" w:name="_Hlk531353585"/>
      <w:r>
        <w:rPr>
          <w:rFonts w:hint="eastAsia"/>
          <w:szCs w:val="21"/>
        </w:rPr>
        <w:t>通知单中文字表达不清楚的，应匹配相应图片作为附件。</w:t>
      </w:r>
      <w:bookmarkEnd w:id="496"/>
      <w:r>
        <w:rPr>
          <w:rFonts w:hint="eastAsia"/>
          <w:szCs w:val="21"/>
        </w:rPr>
        <w:t>监理通知单中应明确施工单位应执行事项的内容和完成的时限以及要求施工单位书面回复的时限。</w:t>
      </w:r>
    </w:p>
    <w:p>
      <w:pPr>
        <w:pStyle w:val="6"/>
        <w:tabs>
          <w:tab w:val="left" w:pos="1680"/>
        </w:tabs>
        <w:spacing w:line="400" w:lineRule="exact"/>
        <w:ind w:firstLine="420" w:firstLineChars="200"/>
        <w:rPr>
          <w:szCs w:val="21"/>
        </w:rPr>
      </w:pPr>
      <w:r>
        <w:rPr>
          <w:rFonts w:hint="eastAsia"/>
          <w:szCs w:val="21"/>
        </w:rPr>
        <w:t>该表使用频率高，应注意用词准确明晰，逻辑严密，资料闭合。</w:t>
      </w:r>
    </w:p>
    <w:p>
      <w:pPr>
        <w:pStyle w:val="6"/>
        <w:tabs>
          <w:tab w:val="left" w:pos="1680"/>
        </w:tabs>
        <w:spacing w:line="400" w:lineRule="exact"/>
        <w:rPr>
          <w:rFonts w:eastAsia="黑体"/>
          <w:sz w:val="24"/>
        </w:rPr>
      </w:pPr>
      <w:r>
        <w:rPr>
          <w:rFonts w:eastAsia="黑体"/>
          <w:sz w:val="24"/>
        </w:rPr>
        <w:t xml:space="preserve">A.0.11  </w:t>
      </w:r>
      <w:r>
        <w:rPr>
          <w:rFonts w:hint="eastAsia" w:eastAsia="黑体"/>
          <w:sz w:val="24"/>
        </w:rPr>
        <w:t>工程暂停令</w:t>
      </w:r>
    </w:p>
    <w:p>
      <w:pPr>
        <w:pStyle w:val="6"/>
        <w:tabs>
          <w:tab w:val="left" w:pos="1680"/>
        </w:tabs>
        <w:spacing w:line="400" w:lineRule="exact"/>
        <w:ind w:firstLine="420" w:firstLineChars="200"/>
        <w:rPr>
          <w:szCs w:val="21"/>
        </w:rPr>
      </w:pPr>
      <w:r>
        <w:rPr>
          <w:rFonts w:hint="eastAsia"/>
          <w:szCs w:val="21"/>
        </w:rPr>
        <w:t>本表是总监理工程师对施工单位下达工程暂停指令的用表。项目监理机构发现下列情况之一时，总监理工程师应及时签发工程暂停令：</w:t>
      </w:r>
    </w:p>
    <w:p>
      <w:pPr>
        <w:pStyle w:val="6"/>
        <w:tabs>
          <w:tab w:val="left" w:pos="851"/>
        </w:tabs>
        <w:spacing w:line="400" w:lineRule="exact"/>
        <w:rPr>
          <w:szCs w:val="21"/>
        </w:rPr>
      </w:pPr>
      <w:r>
        <w:rPr>
          <w:rFonts w:hAnsi="Times New Roman"/>
          <w:szCs w:val="21"/>
        </w:rPr>
        <w:t>1</w:t>
      </w:r>
      <w:r>
        <w:rPr>
          <w:rFonts w:hint="eastAsia" w:hAnsi="Times New Roman"/>
          <w:szCs w:val="21"/>
        </w:rPr>
        <w:t>、建设单位要求暂停施工且工程需要暂停施工的。</w:t>
      </w:r>
    </w:p>
    <w:p>
      <w:pPr>
        <w:pStyle w:val="6"/>
        <w:tabs>
          <w:tab w:val="left" w:pos="851"/>
        </w:tabs>
        <w:spacing w:line="400" w:lineRule="exact"/>
        <w:rPr>
          <w:szCs w:val="21"/>
        </w:rPr>
      </w:pPr>
      <w:r>
        <w:rPr>
          <w:rFonts w:hAnsi="Times New Roman"/>
          <w:szCs w:val="21"/>
        </w:rPr>
        <w:t>2</w:t>
      </w:r>
      <w:r>
        <w:rPr>
          <w:rFonts w:hint="eastAsia" w:hAnsi="Times New Roman"/>
          <w:szCs w:val="21"/>
        </w:rPr>
        <w:t>、施工单位未经批准擅自施工或拒绝项目监理机构管理的。</w:t>
      </w:r>
    </w:p>
    <w:p>
      <w:pPr>
        <w:pStyle w:val="6"/>
        <w:tabs>
          <w:tab w:val="left" w:pos="851"/>
        </w:tabs>
        <w:spacing w:line="400" w:lineRule="exact"/>
        <w:rPr>
          <w:szCs w:val="21"/>
        </w:rPr>
      </w:pPr>
      <w:r>
        <w:rPr>
          <w:rFonts w:hAnsi="Times New Roman"/>
          <w:szCs w:val="21"/>
        </w:rPr>
        <w:t>3</w:t>
      </w:r>
      <w:r>
        <w:rPr>
          <w:rFonts w:hint="eastAsia" w:hAnsi="Times New Roman"/>
          <w:szCs w:val="21"/>
        </w:rPr>
        <w:t>、施工单位未按审查通过的工程设计文件施工的。</w:t>
      </w:r>
    </w:p>
    <w:p>
      <w:pPr>
        <w:pStyle w:val="6"/>
        <w:tabs>
          <w:tab w:val="left" w:pos="851"/>
        </w:tabs>
        <w:spacing w:line="400" w:lineRule="exact"/>
        <w:rPr>
          <w:szCs w:val="21"/>
        </w:rPr>
      </w:pPr>
      <w:r>
        <w:rPr>
          <w:rFonts w:hAnsi="Times New Roman"/>
          <w:szCs w:val="21"/>
        </w:rPr>
        <w:t>4</w:t>
      </w:r>
      <w:r>
        <w:rPr>
          <w:rFonts w:hint="eastAsia" w:hAnsi="Times New Roman"/>
          <w:szCs w:val="21"/>
        </w:rPr>
        <w:t>、施工单位违反工程建设强制性标准的。</w:t>
      </w:r>
    </w:p>
    <w:p>
      <w:pPr>
        <w:pStyle w:val="6"/>
        <w:tabs>
          <w:tab w:val="left" w:pos="851"/>
        </w:tabs>
        <w:spacing w:line="400" w:lineRule="exact"/>
        <w:rPr>
          <w:szCs w:val="21"/>
        </w:rPr>
      </w:pPr>
      <w:r>
        <w:rPr>
          <w:rFonts w:hAnsi="Times New Roman"/>
          <w:szCs w:val="21"/>
        </w:rPr>
        <w:t>5</w:t>
      </w:r>
      <w:r>
        <w:rPr>
          <w:rFonts w:hint="eastAsia" w:hAnsi="Times New Roman"/>
          <w:szCs w:val="21"/>
        </w:rPr>
        <w:t>、施工存在重大质量、安全事故隐患或发生质量、安全事故的。</w:t>
      </w:r>
    </w:p>
    <w:p>
      <w:pPr>
        <w:pStyle w:val="6"/>
        <w:tabs>
          <w:tab w:val="left" w:pos="851"/>
        </w:tabs>
        <w:spacing w:line="400" w:lineRule="exact"/>
        <w:rPr>
          <w:szCs w:val="21"/>
        </w:rPr>
      </w:pPr>
      <w:r>
        <w:rPr>
          <w:rFonts w:hAnsi="Times New Roman"/>
          <w:szCs w:val="21"/>
        </w:rPr>
        <w:t>6</w:t>
      </w:r>
      <w:r>
        <w:rPr>
          <w:rFonts w:hint="eastAsia" w:hAnsi="Times New Roman"/>
          <w:szCs w:val="21"/>
        </w:rPr>
        <w:t>、发生必须暂停施工的紧急事件时。</w:t>
      </w:r>
    </w:p>
    <w:p>
      <w:pPr>
        <w:pStyle w:val="6"/>
        <w:tabs>
          <w:tab w:val="left" w:pos="0"/>
        </w:tabs>
        <w:spacing w:line="400" w:lineRule="exact"/>
        <w:ind w:firstLine="420" w:firstLineChars="200"/>
        <w:rPr>
          <w:szCs w:val="21"/>
        </w:rPr>
      </w:pPr>
      <w:r>
        <w:rPr>
          <w:rFonts w:hint="eastAsia" w:hAnsi="Times New Roman"/>
          <w:szCs w:val="21"/>
        </w:rPr>
        <w:t>签发工程暂停令应注明暂停部位及范围。一般情况下，签发工程暂停令应事先与建设单位沟通，征得建设单位同意。在紧急情况下未能事先报告时，应在事后及时向建设单位作出书面报告</w:t>
      </w:r>
      <w:r>
        <w:rPr>
          <w:rFonts w:hint="eastAsia"/>
          <w:szCs w:val="21"/>
        </w:rPr>
        <w:t>。如项目监理机构与建设单位沟通工程暂停事宜时，建设单位不同意停工，项目监理机构认为必须停工的，仍应签发《工程暂停令》；如工程仍未停工，项目监理机构应向建设单位发工程联系单或监理备忘录，必要时向监理单位和主管部门报告。</w:t>
      </w:r>
    </w:p>
    <w:p>
      <w:pPr>
        <w:pStyle w:val="6"/>
        <w:tabs>
          <w:tab w:val="left" w:pos="0"/>
        </w:tabs>
        <w:spacing w:line="400" w:lineRule="exact"/>
        <w:ind w:firstLine="420" w:firstLineChars="200"/>
        <w:rPr>
          <w:szCs w:val="21"/>
        </w:rPr>
      </w:pPr>
      <w:r>
        <w:rPr>
          <w:rFonts w:hint="eastAsia"/>
          <w:szCs w:val="21"/>
        </w:rPr>
        <w:t>施工单位自行要求停工的，如节假日放假，可通过《施工单位通用报审表》向监理机构报审，项目监理机构应根据《建设工程施工合同》约定，征得建设单位同意后，签署同意暂停施工意见。</w:t>
      </w:r>
    </w:p>
    <w:p>
      <w:pPr>
        <w:pStyle w:val="6"/>
        <w:tabs>
          <w:tab w:val="left" w:pos="0"/>
        </w:tabs>
        <w:spacing w:line="400" w:lineRule="exact"/>
        <w:ind w:firstLine="420" w:firstLineChars="200"/>
        <w:rPr>
          <w:szCs w:val="21"/>
        </w:rPr>
      </w:pPr>
      <w:r>
        <w:rPr>
          <w:rFonts w:hint="eastAsia"/>
          <w:szCs w:val="21"/>
        </w:rPr>
        <w:t>工程暂停期间，项目监理机构应按相关规定和《建设工程施工合同》约定，会同建设单位、施工单位处理好因工程暂停引起的各类问题，确定工程复工条件。</w:t>
      </w:r>
    </w:p>
    <w:p>
      <w:pPr>
        <w:pStyle w:val="6"/>
        <w:tabs>
          <w:tab w:val="left" w:pos="0"/>
        </w:tabs>
        <w:spacing w:line="400" w:lineRule="exact"/>
        <w:rPr>
          <w:rFonts w:eastAsia="黑体"/>
          <w:sz w:val="24"/>
        </w:rPr>
      </w:pPr>
      <w:r>
        <w:rPr>
          <w:rFonts w:eastAsia="黑体"/>
          <w:sz w:val="24"/>
        </w:rPr>
        <w:t xml:space="preserve">A.0.12  </w:t>
      </w:r>
      <w:r>
        <w:rPr>
          <w:rFonts w:hint="eastAsia" w:eastAsia="黑体"/>
          <w:sz w:val="24"/>
        </w:rPr>
        <w:t>工程复工令</w:t>
      </w:r>
    </w:p>
    <w:p>
      <w:pPr>
        <w:pStyle w:val="6"/>
        <w:tabs>
          <w:tab w:val="left" w:pos="0"/>
        </w:tabs>
        <w:spacing w:line="400" w:lineRule="exact"/>
        <w:ind w:firstLine="420" w:firstLineChars="200"/>
        <w:rPr>
          <w:szCs w:val="21"/>
        </w:rPr>
      </w:pPr>
      <w:r>
        <w:rPr>
          <w:rFonts w:hint="eastAsia"/>
          <w:szCs w:val="21"/>
        </w:rPr>
        <w:t>本表是暂停施工原因消失、具备复工条件，项目监理机构通知施工单位恢复施工的用表。工程复工令签发前，应征得建设单位同意。如因施工单位原因引起工程暂停的，施工单位在复工前应使用《工程复工报审表》申请复工；项目监理机构应对施工单位的整改过程、结果进行检查、验收，符合要求的，对施工单位的《工程复工报审表》予以签认，并报建设单位；建设单位审批同意后，项目监理机构应及时签发本表指令施工单位复工。</w:t>
      </w:r>
    </w:p>
    <w:p>
      <w:pPr>
        <w:pStyle w:val="6"/>
        <w:tabs>
          <w:tab w:val="left" w:pos="1680"/>
        </w:tabs>
        <w:spacing w:line="400" w:lineRule="exact"/>
        <w:rPr>
          <w:rFonts w:eastAsia="黑体"/>
          <w:sz w:val="24"/>
        </w:rPr>
      </w:pPr>
      <w:r>
        <w:rPr>
          <w:rFonts w:eastAsia="黑体"/>
          <w:sz w:val="24"/>
        </w:rPr>
        <w:t xml:space="preserve">A.0.13  </w:t>
      </w:r>
      <w:r>
        <w:rPr>
          <w:rFonts w:hint="eastAsia" w:eastAsia="黑体"/>
          <w:sz w:val="24"/>
        </w:rPr>
        <w:t>监理备忘录</w:t>
      </w:r>
    </w:p>
    <w:p>
      <w:pPr>
        <w:pStyle w:val="6"/>
        <w:tabs>
          <w:tab w:val="left" w:pos="1680"/>
        </w:tabs>
        <w:spacing w:line="400" w:lineRule="exact"/>
        <w:ind w:firstLine="420" w:firstLineChars="200"/>
        <w:rPr>
          <w:szCs w:val="21"/>
        </w:rPr>
      </w:pPr>
      <w:r>
        <w:rPr>
          <w:rFonts w:hint="eastAsia"/>
          <w:szCs w:val="21"/>
        </w:rPr>
        <w:t>本表为项目监理机构就有关建议未被建设单位采纳或监理通知单的应执行事项施工单位未予执行、已成事实且造成一定的或可预见的后果时的最终书面说明。备忘录应及时向监理单位报告，也可抄报有关上级主管部门。</w:t>
      </w:r>
    </w:p>
    <w:p>
      <w:pPr>
        <w:pStyle w:val="6"/>
        <w:tabs>
          <w:tab w:val="left" w:pos="1680"/>
        </w:tabs>
        <w:spacing w:line="400" w:lineRule="exact"/>
        <w:rPr>
          <w:rFonts w:eastAsia="黑体"/>
          <w:sz w:val="24"/>
        </w:rPr>
      </w:pPr>
      <w:r>
        <w:rPr>
          <w:rFonts w:eastAsia="黑体"/>
          <w:sz w:val="24"/>
        </w:rPr>
        <w:t xml:space="preserve">A.0.14  </w:t>
      </w:r>
      <w:r>
        <w:rPr>
          <w:rFonts w:hint="eastAsia" w:eastAsia="黑体"/>
          <w:sz w:val="24"/>
        </w:rPr>
        <w:t>监理报告</w:t>
      </w:r>
    </w:p>
    <w:p>
      <w:pPr>
        <w:pStyle w:val="6"/>
        <w:tabs>
          <w:tab w:val="left" w:pos="1680"/>
        </w:tabs>
        <w:spacing w:line="400" w:lineRule="exact"/>
        <w:rPr>
          <w:szCs w:val="21"/>
        </w:rPr>
      </w:pPr>
      <w:r>
        <w:rPr>
          <w:szCs w:val="21"/>
        </w:rPr>
        <w:t xml:space="preserve">    </w:t>
      </w:r>
      <w:r>
        <w:rPr>
          <w:rFonts w:hint="eastAsia"/>
          <w:szCs w:val="21"/>
        </w:rPr>
        <w:t>当项目监理机构发现工程施工中存在安全事故隐患，已要求施工单位整改或停工，而施工单位拒不执行时，项目监理机构可使用该表向有关主管部门报告，主管部门不得拒绝接收。情况紧急时，项目监理机构可在第一时间通过电信手段向有关主管部门报告，随后报送书面报告。</w:t>
      </w:r>
      <w:r>
        <w:rPr>
          <w:szCs w:val="21"/>
        </w:rPr>
        <w:t>“</w:t>
      </w:r>
      <w:r>
        <w:rPr>
          <w:rFonts w:hint="eastAsia"/>
          <w:szCs w:val="21"/>
        </w:rPr>
        <w:t>监理报告</w:t>
      </w:r>
      <w:r>
        <w:rPr>
          <w:szCs w:val="21"/>
        </w:rPr>
        <w:t>”</w:t>
      </w:r>
      <w:r>
        <w:rPr>
          <w:rFonts w:hint="eastAsia"/>
          <w:szCs w:val="21"/>
        </w:rPr>
        <w:t>应附相关监理通知单、工程暂停令等文件资料。</w:t>
      </w:r>
    </w:p>
    <w:p>
      <w:pPr>
        <w:pStyle w:val="6"/>
        <w:tabs>
          <w:tab w:val="left" w:pos="1680"/>
        </w:tabs>
        <w:spacing w:line="400" w:lineRule="exact"/>
        <w:rPr>
          <w:rFonts w:eastAsia="黑体"/>
          <w:sz w:val="24"/>
        </w:rPr>
      </w:pPr>
      <w:r>
        <w:rPr>
          <w:rFonts w:eastAsia="黑体"/>
          <w:sz w:val="24"/>
        </w:rPr>
        <w:t xml:space="preserve">A.0.15  </w:t>
      </w:r>
      <w:r>
        <w:rPr>
          <w:rFonts w:hint="eastAsia" w:eastAsia="黑体"/>
          <w:sz w:val="24"/>
        </w:rPr>
        <w:t>工程质量评估报告</w:t>
      </w:r>
    </w:p>
    <w:p>
      <w:pPr>
        <w:pStyle w:val="6"/>
        <w:tabs>
          <w:tab w:val="left" w:pos="1680"/>
        </w:tabs>
        <w:spacing w:line="400" w:lineRule="exact"/>
        <w:ind w:firstLine="420" w:firstLineChars="200"/>
        <w:rPr>
          <w:szCs w:val="21"/>
        </w:rPr>
      </w:pPr>
      <w:r>
        <w:rPr>
          <w:rFonts w:hint="eastAsia"/>
          <w:szCs w:val="21"/>
        </w:rPr>
        <w:t>本表是由项目监理机构依据有关法律法规、工程建设标准、勘察设计文件及施工合同对单位（子单位）工程质量进行评估时用表。</w:t>
      </w:r>
    </w:p>
    <w:p>
      <w:pPr>
        <w:pStyle w:val="6"/>
        <w:tabs>
          <w:tab w:val="left" w:pos="1680"/>
        </w:tabs>
        <w:spacing w:line="400" w:lineRule="exact"/>
        <w:ind w:firstLine="420" w:firstLineChars="200"/>
        <w:rPr>
          <w:szCs w:val="21"/>
        </w:rPr>
      </w:pPr>
      <w:r>
        <w:rPr>
          <w:rFonts w:hint="eastAsia"/>
          <w:szCs w:val="21"/>
        </w:rPr>
        <w:t>项目监理机构应审查施工单位报送的竣工资料，并组织有关单位对工程质量进行预验收，对预验收存在的质量问题，项目监理机构应及时发通知单要求施工单位整改，施工单位整改完成并经监理验收合格后，项目监理机构编制工程质量评估报告。报告应包括以下主要内容：</w:t>
      </w:r>
    </w:p>
    <w:p>
      <w:pPr>
        <w:pStyle w:val="6"/>
        <w:tabs>
          <w:tab w:val="left" w:pos="851"/>
        </w:tabs>
        <w:spacing w:line="400" w:lineRule="exact"/>
        <w:ind w:firstLine="420" w:firstLineChars="200"/>
        <w:rPr>
          <w:szCs w:val="21"/>
        </w:rPr>
      </w:pPr>
      <w:r>
        <w:rPr>
          <w:szCs w:val="21"/>
        </w:rPr>
        <w:t>1</w:t>
      </w:r>
      <w:r>
        <w:rPr>
          <w:rFonts w:hint="eastAsia"/>
          <w:szCs w:val="21"/>
        </w:rPr>
        <w:t>、工程概况</w:t>
      </w:r>
      <w:r>
        <w:rPr>
          <w:rFonts w:hint="eastAsia" w:hAnsi="Times New Roman"/>
          <w:szCs w:val="21"/>
        </w:rPr>
        <w:t>。</w:t>
      </w:r>
    </w:p>
    <w:p>
      <w:pPr>
        <w:pStyle w:val="6"/>
        <w:tabs>
          <w:tab w:val="left" w:pos="851"/>
        </w:tabs>
        <w:spacing w:line="400" w:lineRule="exact"/>
        <w:ind w:firstLine="420" w:firstLineChars="200"/>
        <w:rPr>
          <w:szCs w:val="21"/>
        </w:rPr>
      </w:pPr>
      <w:r>
        <w:rPr>
          <w:szCs w:val="21"/>
        </w:rPr>
        <w:t>2</w:t>
      </w:r>
      <w:r>
        <w:rPr>
          <w:rFonts w:hint="eastAsia"/>
          <w:szCs w:val="21"/>
        </w:rPr>
        <w:t>、工程各参建单位。</w:t>
      </w:r>
    </w:p>
    <w:p>
      <w:pPr>
        <w:pStyle w:val="6"/>
        <w:tabs>
          <w:tab w:val="left" w:pos="851"/>
        </w:tabs>
        <w:spacing w:line="400" w:lineRule="exact"/>
        <w:ind w:firstLine="420" w:firstLineChars="200"/>
        <w:rPr>
          <w:rFonts w:hAnsi="Times New Roman"/>
          <w:szCs w:val="21"/>
        </w:rPr>
      </w:pPr>
      <w:r>
        <w:rPr>
          <w:rFonts w:hAnsi="Times New Roman"/>
          <w:szCs w:val="21"/>
        </w:rPr>
        <w:t>3</w:t>
      </w:r>
      <w:r>
        <w:rPr>
          <w:rFonts w:hint="eastAsia" w:hAnsi="Times New Roman"/>
          <w:szCs w:val="21"/>
        </w:rPr>
        <w:t>、工程质量验收情况。</w:t>
      </w:r>
    </w:p>
    <w:p>
      <w:pPr>
        <w:pStyle w:val="6"/>
        <w:tabs>
          <w:tab w:val="left" w:pos="851"/>
        </w:tabs>
        <w:spacing w:line="400" w:lineRule="exact"/>
        <w:ind w:firstLine="420" w:firstLineChars="200"/>
        <w:rPr>
          <w:szCs w:val="21"/>
        </w:rPr>
      </w:pPr>
      <w:r>
        <w:rPr>
          <w:szCs w:val="21"/>
        </w:rPr>
        <w:t>4</w:t>
      </w:r>
      <w:r>
        <w:rPr>
          <w:rFonts w:hint="eastAsia"/>
          <w:szCs w:val="21"/>
        </w:rPr>
        <w:t>、工程质量事故及处理情况。</w:t>
      </w:r>
    </w:p>
    <w:p>
      <w:pPr>
        <w:pStyle w:val="6"/>
        <w:tabs>
          <w:tab w:val="left" w:pos="851"/>
        </w:tabs>
        <w:spacing w:line="400" w:lineRule="exact"/>
        <w:ind w:firstLine="420" w:firstLineChars="200"/>
        <w:rPr>
          <w:szCs w:val="21"/>
        </w:rPr>
      </w:pPr>
      <w:r>
        <w:rPr>
          <w:szCs w:val="21"/>
        </w:rPr>
        <w:t>5</w:t>
      </w:r>
      <w:r>
        <w:rPr>
          <w:rFonts w:hint="eastAsia"/>
          <w:szCs w:val="21"/>
        </w:rPr>
        <w:t>、竣工资料审查情况。</w:t>
      </w:r>
    </w:p>
    <w:p>
      <w:pPr>
        <w:pStyle w:val="6"/>
        <w:tabs>
          <w:tab w:val="left" w:pos="851"/>
        </w:tabs>
        <w:spacing w:line="400" w:lineRule="exact"/>
        <w:ind w:firstLine="420" w:firstLineChars="200"/>
        <w:rPr>
          <w:szCs w:val="21"/>
        </w:rPr>
      </w:pPr>
      <w:r>
        <w:rPr>
          <w:szCs w:val="21"/>
        </w:rPr>
        <w:t>6</w:t>
      </w:r>
      <w:r>
        <w:rPr>
          <w:rFonts w:hint="eastAsia"/>
          <w:szCs w:val="21"/>
        </w:rPr>
        <w:t>、工程质量评估结论。</w:t>
      </w:r>
    </w:p>
    <w:p>
      <w:pPr>
        <w:pStyle w:val="6"/>
        <w:tabs>
          <w:tab w:val="left" w:pos="851"/>
        </w:tabs>
        <w:spacing w:line="400" w:lineRule="exact"/>
        <w:ind w:firstLine="420" w:firstLineChars="200"/>
        <w:rPr>
          <w:szCs w:val="21"/>
        </w:rPr>
      </w:pPr>
      <w:r>
        <w:rPr>
          <w:rFonts w:hint="eastAsia"/>
          <w:szCs w:val="21"/>
        </w:rPr>
        <w:t>一般还应有以下附件：</w:t>
      </w:r>
    </w:p>
    <w:p>
      <w:pPr>
        <w:pStyle w:val="6"/>
        <w:tabs>
          <w:tab w:val="left" w:pos="851"/>
        </w:tabs>
        <w:spacing w:line="400" w:lineRule="exact"/>
        <w:ind w:firstLine="420" w:firstLineChars="200"/>
        <w:rPr>
          <w:szCs w:val="21"/>
        </w:rPr>
      </w:pPr>
      <w:r>
        <w:rPr>
          <w:rFonts w:hint="eastAsia"/>
          <w:szCs w:val="21"/>
        </w:rPr>
        <w:t>附件（一）：单位（子单位）工程质量控制资料监理核查记录表</w:t>
      </w:r>
      <w:r>
        <w:rPr>
          <w:rFonts w:hint="eastAsia" w:hAnsi="Times New Roman"/>
          <w:szCs w:val="21"/>
        </w:rPr>
        <w:t>。</w:t>
      </w:r>
    </w:p>
    <w:p>
      <w:pPr>
        <w:pStyle w:val="6"/>
        <w:tabs>
          <w:tab w:val="left" w:pos="851"/>
        </w:tabs>
        <w:spacing w:line="400" w:lineRule="exact"/>
        <w:ind w:firstLine="420" w:firstLineChars="200"/>
        <w:rPr>
          <w:spacing w:val="-6"/>
          <w:szCs w:val="21"/>
        </w:rPr>
      </w:pPr>
      <w:r>
        <w:rPr>
          <w:rFonts w:hint="eastAsia"/>
          <w:szCs w:val="21"/>
        </w:rPr>
        <w:t>附件（二）：</w:t>
      </w:r>
      <w:r>
        <w:rPr>
          <w:rFonts w:hint="eastAsia"/>
          <w:spacing w:val="-6"/>
          <w:szCs w:val="21"/>
        </w:rPr>
        <w:t>单位（子单位）工程有关安全和功能检验资料、主要功能项目的抽查结果及监理检查记录汇总表</w:t>
      </w:r>
      <w:r>
        <w:rPr>
          <w:rFonts w:hint="eastAsia" w:hAnsi="Times New Roman"/>
          <w:szCs w:val="21"/>
        </w:rPr>
        <w:t>。</w:t>
      </w:r>
    </w:p>
    <w:p>
      <w:pPr>
        <w:pStyle w:val="6"/>
        <w:tabs>
          <w:tab w:val="left" w:pos="851"/>
        </w:tabs>
        <w:spacing w:line="400" w:lineRule="exact"/>
        <w:ind w:firstLine="420" w:firstLineChars="200"/>
        <w:rPr>
          <w:szCs w:val="21"/>
        </w:rPr>
      </w:pPr>
      <w:r>
        <w:rPr>
          <w:rFonts w:hint="eastAsia"/>
          <w:szCs w:val="21"/>
        </w:rPr>
        <w:t>附件（三）：单位（子单位）工程观感质量监理检查记录</w:t>
      </w:r>
      <w:r>
        <w:rPr>
          <w:rFonts w:hint="eastAsia" w:hAnsi="Times New Roman"/>
          <w:szCs w:val="21"/>
        </w:rPr>
        <w:t>。</w:t>
      </w:r>
    </w:p>
    <w:p>
      <w:pPr>
        <w:pStyle w:val="6"/>
        <w:tabs>
          <w:tab w:val="left" w:pos="851"/>
        </w:tabs>
        <w:spacing w:line="400" w:lineRule="exact"/>
        <w:ind w:firstLine="420" w:firstLineChars="200"/>
        <w:rPr>
          <w:szCs w:val="21"/>
        </w:rPr>
      </w:pPr>
      <w:r>
        <w:rPr>
          <w:rFonts w:hint="eastAsia"/>
          <w:szCs w:val="21"/>
        </w:rPr>
        <w:t>附件（四）：监理抽检</w:t>
      </w:r>
      <w:r>
        <w:rPr>
          <w:szCs w:val="21"/>
        </w:rPr>
        <w:t>/</w:t>
      </w:r>
      <w:r>
        <w:rPr>
          <w:rFonts w:hint="eastAsia"/>
          <w:szCs w:val="21"/>
        </w:rPr>
        <w:t>见证试验情况汇总及说明</w:t>
      </w:r>
      <w:r>
        <w:rPr>
          <w:rFonts w:hint="eastAsia" w:hAnsi="Times New Roman"/>
          <w:szCs w:val="21"/>
        </w:rPr>
        <w:t>。</w:t>
      </w:r>
    </w:p>
    <w:p>
      <w:pPr>
        <w:pStyle w:val="6"/>
        <w:tabs>
          <w:tab w:val="left" w:pos="851"/>
        </w:tabs>
        <w:spacing w:line="400" w:lineRule="exact"/>
        <w:ind w:firstLine="420" w:firstLineChars="200"/>
        <w:rPr>
          <w:szCs w:val="21"/>
        </w:rPr>
      </w:pPr>
      <w:r>
        <w:rPr>
          <w:rFonts w:hint="eastAsia"/>
          <w:szCs w:val="21"/>
        </w:rPr>
        <w:t>附件（五）：竣工预验收小组成员名单及分工表。</w:t>
      </w:r>
    </w:p>
    <w:p>
      <w:pPr>
        <w:pStyle w:val="6"/>
        <w:tabs>
          <w:tab w:val="left" w:pos="851"/>
        </w:tabs>
        <w:spacing w:line="400" w:lineRule="exact"/>
        <w:ind w:firstLine="420" w:firstLineChars="200"/>
        <w:rPr>
          <w:szCs w:val="21"/>
        </w:rPr>
      </w:pPr>
      <w:r>
        <w:rPr>
          <w:rFonts w:hint="eastAsia"/>
          <w:szCs w:val="21"/>
        </w:rPr>
        <w:t>单位工程质量评估报告应经监理单位技术负责人审批同意。</w:t>
      </w:r>
    </w:p>
    <w:p>
      <w:pPr>
        <w:pStyle w:val="6"/>
        <w:tabs>
          <w:tab w:val="left" w:pos="851"/>
        </w:tabs>
        <w:spacing w:line="400" w:lineRule="exact"/>
        <w:ind w:firstLine="420" w:firstLineChars="200"/>
        <w:rPr>
          <w:szCs w:val="21"/>
        </w:rPr>
      </w:pPr>
      <w:r>
        <w:rPr>
          <w:rFonts w:hint="eastAsia"/>
          <w:szCs w:val="21"/>
        </w:rPr>
        <w:t>对于重要的分部（子分部）工程，如：地基与基础分部、主体结构分部、建筑节能分部等，项目监理机构应编制相应工程的质量评估报告。工程质量评估报告的内容可参照《建筑工程施工质量验收统一标准》（</w:t>
      </w:r>
      <w:r>
        <w:rPr>
          <w:szCs w:val="21"/>
        </w:rPr>
        <w:t>GB50300</w:t>
      </w:r>
      <w:r>
        <w:rPr>
          <w:rFonts w:hint="eastAsia"/>
          <w:szCs w:val="21"/>
        </w:rPr>
        <w:t>）中相关条款编写。</w:t>
      </w:r>
    </w:p>
    <w:p>
      <w:pPr>
        <w:pStyle w:val="6"/>
        <w:tabs>
          <w:tab w:val="left" w:pos="0"/>
        </w:tabs>
        <w:spacing w:line="400" w:lineRule="exact"/>
        <w:rPr>
          <w:rFonts w:eastAsia="黑体"/>
          <w:sz w:val="24"/>
        </w:rPr>
      </w:pPr>
      <w:r>
        <w:rPr>
          <w:rFonts w:eastAsia="黑体"/>
          <w:sz w:val="24"/>
        </w:rPr>
        <w:t xml:space="preserve">A.0.16  </w:t>
      </w:r>
      <w:r>
        <w:rPr>
          <w:rFonts w:hint="eastAsia" w:eastAsia="黑体"/>
          <w:sz w:val="24"/>
        </w:rPr>
        <w:t>监理工作总结</w:t>
      </w:r>
    </w:p>
    <w:p>
      <w:pPr>
        <w:pStyle w:val="6"/>
        <w:tabs>
          <w:tab w:val="left" w:pos="0"/>
        </w:tabs>
        <w:spacing w:line="400" w:lineRule="exact"/>
        <w:ind w:firstLine="420" w:firstLineChars="200"/>
        <w:rPr>
          <w:szCs w:val="21"/>
        </w:rPr>
      </w:pPr>
      <w:r>
        <w:rPr>
          <w:rFonts w:hint="eastAsia"/>
          <w:szCs w:val="21"/>
        </w:rPr>
        <w:t>监理工作总结是项目监理机构完成监理合同约定的全部工作后，向监理单位提交的工作总结。其主要内容包括：工程概况、项目监理机构、监理合同履行情况、监理工作成效、监理工作中发现的问题及其处理情况、说明和建议等。</w:t>
      </w:r>
    </w:p>
    <w:p>
      <w:pPr>
        <w:pStyle w:val="6"/>
        <w:tabs>
          <w:tab w:val="left" w:pos="0"/>
        </w:tabs>
        <w:spacing w:line="400" w:lineRule="exact"/>
        <w:rPr>
          <w:rFonts w:eastAsia="黑体"/>
          <w:sz w:val="24"/>
        </w:rPr>
      </w:pPr>
      <w:r>
        <w:rPr>
          <w:rFonts w:eastAsia="黑体"/>
          <w:sz w:val="24"/>
        </w:rPr>
        <w:t xml:space="preserve">A.0.17  </w:t>
      </w:r>
      <w:r>
        <w:rPr>
          <w:rFonts w:hint="eastAsia" w:eastAsia="黑体"/>
          <w:sz w:val="24"/>
        </w:rPr>
        <w:t>工程监理资料移交单</w:t>
      </w:r>
    </w:p>
    <w:p>
      <w:pPr>
        <w:pStyle w:val="6"/>
        <w:tabs>
          <w:tab w:val="left" w:pos="0"/>
        </w:tabs>
        <w:spacing w:line="400" w:lineRule="exact"/>
        <w:ind w:firstLine="420" w:firstLineChars="200"/>
        <w:rPr>
          <w:szCs w:val="21"/>
        </w:rPr>
      </w:pPr>
      <w:r>
        <w:rPr>
          <w:rFonts w:hint="eastAsia"/>
          <w:szCs w:val="21"/>
        </w:rPr>
        <w:t>工程竣工验收后，监理单位应及时将工程监理资料整理后向建设单位移交，并办理工程监理移交手续，本表是工程监理资料移交专用表格。</w:t>
      </w:r>
    </w:p>
    <w:p>
      <w:pPr>
        <w:pStyle w:val="6"/>
        <w:tabs>
          <w:tab w:val="left" w:pos="0"/>
        </w:tabs>
        <w:spacing w:line="400" w:lineRule="exact"/>
        <w:rPr>
          <w:rFonts w:eastAsia="黑体"/>
          <w:sz w:val="24"/>
        </w:rPr>
      </w:pPr>
      <w:r>
        <w:rPr>
          <w:rFonts w:eastAsia="黑体"/>
          <w:sz w:val="24"/>
        </w:rPr>
        <w:t xml:space="preserve">A.0.18  </w:t>
      </w:r>
      <w:r>
        <w:rPr>
          <w:rFonts w:hint="eastAsia" w:eastAsia="黑体"/>
          <w:sz w:val="24"/>
        </w:rPr>
        <w:t>危大工程巡视检查记录表</w:t>
      </w:r>
    </w:p>
    <w:p>
      <w:pPr>
        <w:pStyle w:val="6"/>
        <w:tabs>
          <w:tab w:val="left" w:pos="0"/>
        </w:tabs>
        <w:spacing w:line="400" w:lineRule="exact"/>
        <w:rPr>
          <w:rFonts w:eastAsia="黑体"/>
          <w:sz w:val="24"/>
        </w:rPr>
      </w:pPr>
      <w:r>
        <w:rPr>
          <w:rFonts w:eastAsia="黑体"/>
          <w:sz w:val="24"/>
        </w:rPr>
        <w:tab/>
      </w:r>
      <w:r>
        <w:rPr>
          <w:rFonts w:hint="eastAsia"/>
          <w:szCs w:val="21"/>
        </w:rPr>
        <w:t>根据《危险性较大的分部分项工程安全管理规定》，项目监理机构应对危险性较大分部分项工程（简称“危大工程”）进行专项巡视检查。工程开工前，项目监理机构应根据施工组织设计等相关文件，明确本工程危大工程清单，并在监理实施细则中明确危大工程专项巡视检查的要求。</w:t>
      </w:r>
    </w:p>
    <w:p>
      <w:pPr>
        <w:pStyle w:val="6"/>
        <w:tabs>
          <w:tab w:val="left" w:pos="0"/>
        </w:tabs>
        <w:spacing w:line="400" w:lineRule="exact"/>
        <w:rPr>
          <w:rFonts w:eastAsia="黑体"/>
          <w:sz w:val="24"/>
        </w:rPr>
      </w:pPr>
      <w:r>
        <w:rPr>
          <w:rFonts w:eastAsia="黑体"/>
          <w:sz w:val="24"/>
        </w:rPr>
        <w:t xml:space="preserve">A.0.19  </w:t>
      </w:r>
      <w:r>
        <w:rPr>
          <w:rFonts w:hint="eastAsia" w:eastAsia="黑体"/>
          <w:sz w:val="24"/>
        </w:rPr>
        <w:t>危大工程安全管理档案</w:t>
      </w:r>
      <w:r>
        <w:rPr>
          <w:rFonts w:eastAsia="黑体"/>
          <w:sz w:val="24"/>
        </w:rPr>
        <w:t xml:space="preserve"> </w:t>
      </w:r>
    </w:p>
    <w:p>
      <w:pPr>
        <w:pStyle w:val="6"/>
        <w:tabs>
          <w:tab w:val="left" w:pos="0"/>
        </w:tabs>
        <w:spacing w:line="400" w:lineRule="exact"/>
        <w:rPr>
          <w:szCs w:val="21"/>
        </w:rPr>
      </w:pPr>
      <w:r>
        <w:rPr>
          <w:rFonts w:eastAsia="黑体"/>
          <w:sz w:val="24"/>
        </w:rPr>
        <w:tab/>
      </w:r>
      <w:r>
        <w:rPr>
          <w:rFonts w:hint="eastAsia"/>
          <w:szCs w:val="21"/>
        </w:rPr>
        <w:t>根据《危险性较大的分部分项工程安全管理规定》，项目监理机构应建立危大工程安全管理档案。安全管理档案主要内容有：危大工程清单、危大工程专项施工方案审查、危大工程监理实施细则、危大工程专项巡视检查、危大工程验收、危大工程事故隐患处置和其它等相关资料。</w:t>
      </w:r>
    </w:p>
    <w:p>
      <w:pPr>
        <w:pStyle w:val="6"/>
        <w:tabs>
          <w:tab w:val="left" w:pos="0"/>
        </w:tabs>
        <w:spacing w:line="400" w:lineRule="exact"/>
        <w:rPr>
          <w:szCs w:val="21"/>
        </w:rPr>
      </w:pPr>
    </w:p>
    <w:p>
      <w:pPr>
        <w:pStyle w:val="6"/>
        <w:tabs>
          <w:tab w:val="left" w:pos="1680"/>
        </w:tabs>
        <w:spacing w:line="400" w:lineRule="exact"/>
        <w:rPr>
          <w:rFonts w:eastAsia="黑体"/>
          <w:szCs w:val="28"/>
        </w:rPr>
      </w:pPr>
      <w:r>
        <w:rPr>
          <w:rFonts w:eastAsia="黑体"/>
          <w:szCs w:val="28"/>
        </w:rPr>
        <w:t>2</w:t>
      </w:r>
      <w:r>
        <w:rPr>
          <w:rFonts w:hint="eastAsia" w:eastAsia="黑体"/>
          <w:szCs w:val="28"/>
        </w:rPr>
        <w:t>、</w:t>
      </w:r>
      <w:r>
        <w:rPr>
          <w:rFonts w:eastAsia="黑体"/>
          <w:szCs w:val="28"/>
        </w:rPr>
        <w:t>B</w:t>
      </w:r>
      <w:r>
        <w:rPr>
          <w:rFonts w:hint="eastAsia" w:eastAsia="黑体"/>
          <w:szCs w:val="28"/>
        </w:rPr>
        <w:t>类表</w:t>
      </w:r>
    </w:p>
    <w:p>
      <w:pPr>
        <w:pStyle w:val="6"/>
        <w:tabs>
          <w:tab w:val="left" w:pos="1680"/>
        </w:tabs>
        <w:spacing w:line="400" w:lineRule="exact"/>
        <w:rPr>
          <w:szCs w:val="21"/>
        </w:rPr>
      </w:pPr>
      <w:r>
        <w:rPr>
          <w:rFonts w:eastAsia="黑体"/>
          <w:sz w:val="24"/>
        </w:rPr>
        <w:t xml:space="preserve">B.0.1  </w:t>
      </w:r>
      <w:r>
        <w:rPr>
          <w:rFonts w:hint="eastAsia" w:eastAsia="黑体"/>
          <w:sz w:val="24"/>
        </w:rPr>
        <w:t>施工组织设计／施工方案报审表</w:t>
      </w:r>
    </w:p>
    <w:p>
      <w:pPr>
        <w:pStyle w:val="6"/>
        <w:tabs>
          <w:tab w:val="left" w:pos="1680"/>
        </w:tabs>
        <w:spacing w:line="400" w:lineRule="exact"/>
        <w:ind w:firstLine="412" w:firstLineChars="200"/>
        <w:rPr>
          <w:spacing w:val="-2"/>
          <w:szCs w:val="21"/>
        </w:rPr>
      </w:pPr>
      <w:r>
        <w:rPr>
          <w:rFonts w:hint="eastAsia"/>
          <w:spacing w:val="-2"/>
          <w:szCs w:val="21"/>
        </w:rPr>
        <w:t>本表是施工单位项目经理部向项目监理机构报审施工组织设计或施工方案的用表。施工组织设计包括总包单位和分包单位编制的施工组织设计；施工方案包括两种情况，一是一般的施工方案，二是危大工程安全专项施工方案。</w:t>
      </w:r>
    </w:p>
    <w:p>
      <w:pPr>
        <w:pStyle w:val="6"/>
        <w:tabs>
          <w:tab w:val="left" w:pos="1680"/>
        </w:tabs>
        <w:spacing w:line="400" w:lineRule="exact"/>
        <w:ind w:firstLine="412" w:firstLineChars="200"/>
        <w:rPr>
          <w:spacing w:val="-2"/>
          <w:szCs w:val="21"/>
        </w:rPr>
      </w:pPr>
      <w:r>
        <w:rPr>
          <w:rFonts w:hint="eastAsia"/>
          <w:spacing w:val="-2"/>
          <w:szCs w:val="21"/>
        </w:rPr>
        <w:t>施工组织设计和危大工程的安全专项施工方案应由本单位的技术、质量、安全等相关职能部门审查会签，并经施工单位的技术负责人审批，且签字盖章齐全。</w:t>
      </w:r>
    </w:p>
    <w:p>
      <w:pPr>
        <w:pStyle w:val="6"/>
        <w:tabs>
          <w:tab w:val="left" w:pos="1680"/>
        </w:tabs>
        <w:spacing w:line="400" w:lineRule="exact"/>
        <w:ind w:firstLine="412" w:firstLineChars="200"/>
        <w:rPr>
          <w:spacing w:val="-2"/>
          <w:szCs w:val="21"/>
        </w:rPr>
      </w:pPr>
      <w:r>
        <w:rPr>
          <w:rFonts w:hint="eastAsia"/>
          <w:spacing w:val="-2"/>
          <w:szCs w:val="21"/>
        </w:rPr>
        <w:t>对超过一定规模的危大工程的安全专项施工方案，应当由</w:t>
      </w:r>
      <w:r>
        <w:rPr>
          <w:rFonts w:hint="eastAsia"/>
          <w:szCs w:val="21"/>
        </w:rPr>
        <w:t>施工（总承包）单位</w:t>
      </w:r>
      <w:r>
        <w:rPr>
          <w:rFonts w:hint="eastAsia"/>
          <w:spacing w:val="-2"/>
          <w:szCs w:val="21"/>
        </w:rPr>
        <w:t>组织召开专家论证会。分包单位编制的分包工程施工组织设计或（专项）施工方案，均应由施工总承包单位按规定完成相关审批手续后报项目监理机构审核。对于施工组织设计和专项施工方案，专业监理工程师应提出具体的审查意见，重点审查质量、安全技术措施是否符合工程建设强制性标准，然后由总监理工程师签署审核意见。</w:t>
      </w:r>
    </w:p>
    <w:p>
      <w:pPr>
        <w:pStyle w:val="6"/>
        <w:tabs>
          <w:tab w:val="left" w:pos="1680"/>
        </w:tabs>
        <w:spacing w:line="400" w:lineRule="exact"/>
        <w:rPr>
          <w:rFonts w:eastAsia="黑体"/>
          <w:sz w:val="24"/>
        </w:rPr>
      </w:pPr>
      <w:r>
        <w:rPr>
          <w:rFonts w:eastAsia="黑体"/>
          <w:sz w:val="24"/>
        </w:rPr>
        <w:t xml:space="preserve">B.0.2  </w:t>
      </w:r>
      <w:r>
        <w:rPr>
          <w:rFonts w:hint="eastAsia" w:eastAsia="黑体"/>
          <w:sz w:val="24"/>
        </w:rPr>
        <w:t>施工现场质量、安全生产管理体系报审表</w:t>
      </w:r>
    </w:p>
    <w:p>
      <w:pPr>
        <w:pStyle w:val="6"/>
        <w:tabs>
          <w:tab w:val="left" w:pos="1680"/>
        </w:tabs>
        <w:spacing w:line="400" w:lineRule="exact"/>
        <w:ind w:firstLine="420" w:firstLineChars="200"/>
        <w:rPr>
          <w:spacing w:val="-2"/>
          <w:szCs w:val="21"/>
        </w:rPr>
      </w:pPr>
      <w:r>
        <w:rPr>
          <w:rFonts w:hint="eastAsia"/>
          <w:szCs w:val="21"/>
        </w:rPr>
        <w:t>本表是施工单位向项目监理机构报审施工现场质量、安全生产管理体系资料的专项用表。项目监理机构应认真审核施工单位的质量、安全生产管理体系，重点审查：施工单位的资质证书、安全生产许可证、项目经理部质量和安全生产管理组织机构、岗位职责分工、质量安全管理制度（如质量检查制度、质量教育培训制度、安全生产责任制度、治安保卫制度、安生生产教育培训制度、质量安全事故处理制度、工程起重机械设备管理制度、重大危险源管理制度、安全事故应急救援预案等）、安全文明措施费使用计划、质量安全人员证书（项目经理、项目技术负责人、质量员、施工员、专职安全员、特种作业人员等）等。项目监理机构宜提出并留存具体的审查记录。特种作业人员特种作业操作资格证的审核应动态管理。安全文明措施费使用计划可用《施工单位通用报审表》报审。</w:t>
      </w:r>
    </w:p>
    <w:p>
      <w:pPr>
        <w:pStyle w:val="6"/>
        <w:tabs>
          <w:tab w:val="left" w:pos="1680"/>
        </w:tabs>
        <w:spacing w:line="400" w:lineRule="exact"/>
        <w:rPr>
          <w:rFonts w:eastAsia="黑体"/>
          <w:sz w:val="24"/>
        </w:rPr>
      </w:pPr>
      <w:r>
        <w:rPr>
          <w:rFonts w:eastAsia="黑体"/>
          <w:sz w:val="24"/>
        </w:rPr>
        <w:t xml:space="preserve">B.0.3  </w:t>
      </w:r>
      <w:r>
        <w:rPr>
          <w:rFonts w:hint="eastAsia" w:eastAsia="黑体"/>
          <w:sz w:val="24"/>
        </w:rPr>
        <w:t>工程开工报审表</w:t>
      </w:r>
    </w:p>
    <w:p>
      <w:pPr>
        <w:pStyle w:val="6"/>
        <w:tabs>
          <w:tab w:val="left" w:pos="1680"/>
        </w:tabs>
        <w:spacing w:line="400" w:lineRule="exact"/>
        <w:ind w:firstLine="420" w:firstLineChars="200"/>
        <w:rPr>
          <w:szCs w:val="21"/>
        </w:rPr>
      </w:pPr>
      <w:r>
        <w:rPr>
          <w:rFonts w:hint="eastAsia"/>
          <w:szCs w:val="21"/>
        </w:rPr>
        <w:t>本表是施工单位按工程施工合同约定完成工程开工准备工作，工程现场符合开工条件后，向项目监理机构申请工程开工的用表。分包工程的开工申请手续也由施工总承包单位使用本表办理报审手续。如整个项目为一家施工单位承担，只填报一次；如项目涉及多个单位工程，建设单位分别发包给多家施工单位，则每家施工单位都应申报。</w:t>
      </w:r>
    </w:p>
    <w:p>
      <w:pPr>
        <w:pStyle w:val="6"/>
        <w:tabs>
          <w:tab w:val="left" w:pos="1680"/>
        </w:tabs>
        <w:spacing w:line="400" w:lineRule="exact"/>
        <w:ind w:firstLine="420" w:firstLineChars="200"/>
        <w:rPr>
          <w:szCs w:val="21"/>
        </w:rPr>
      </w:pPr>
      <w:r>
        <w:rPr>
          <w:rFonts w:hint="eastAsia"/>
          <w:szCs w:val="21"/>
        </w:rPr>
        <w:t>项目监理机构应根据工程施工合同的约定和相关开工条件，按照表中的内容检查各项准备工作是否满足开工条件。工程开工日期一般应为工程施工合同中约定的开工日期，如施工单位申报的开工日期与工程施工合同中约定的日期不一致，总监理工程师应与建设单位协商取得一致意见后签署监理审核意见。</w:t>
      </w:r>
    </w:p>
    <w:p>
      <w:pPr>
        <w:pStyle w:val="6"/>
        <w:tabs>
          <w:tab w:val="left" w:pos="1680"/>
        </w:tabs>
        <w:spacing w:line="400" w:lineRule="exact"/>
        <w:rPr>
          <w:rFonts w:eastAsia="黑体"/>
          <w:sz w:val="24"/>
        </w:rPr>
      </w:pPr>
      <w:r>
        <w:rPr>
          <w:rFonts w:eastAsia="黑体"/>
          <w:sz w:val="24"/>
        </w:rPr>
        <w:t xml:space="preserve">B.0.4  </w:t>
      </w:r>
      <w:r>
        <w:rPr>
          <w:rFonts w:hint="eastAsia" w:eastAsia="黑体"/>
          <w:sz w:val="24"/>
        </w:rPr>
        <w:t>分包单位资质报审表</w:t>
      </w:r>
    </w:p>
    <w:p>
      <w:pPr>
        <w:pStyle w:val="6"/>
        <w:tabs>
          <w:tab w:val="left" w:pos="1680"/>
        </w:tabs>
        <w:spacing w:line="400" w:lineRule="exact"/>
        <w:ind w:firstLine="420" w:firstLineChars="200"/>
        <w:rPr>
          <w:szCs w:val="21"/>
        </w:rPr>
      </w:pPr>
      <w:r>
        <w:rPr>
          <w:rFonts w:hint="eastAsia"/>
          <w:szCs w:val="21"/>
        </w:rPr>
        <w:t>本表是施工单位报请项目监理机构对分包单位的资质进行审查的用表。施工单位应提供的报审资料包括：分包单位的营业执照、资质等级证书、安全生产许可文件、专职管理人员（项目经理、质量员、专职安全员等）和特种作业人员的资格证书、类似工程业绩和总承包单位对分包单位的管理制度等。</w:t>
      </w:r>
    </w:p>
    <w:p>
      <w:pPr>
        <w:pStyle w:val="6"/>
        <w:tabs>
          <w:tab w:val="left" w:pos="1680"/>
        </w:tabs>
        <w:spacing w:line="400" w:lineRule="exact"/>
        <w:ind w:firstLine="420" w:firstLineChars="200"/>
        <w:rPr>
          <w:szCs w:val="21"/>
        </w:rPr>
      </w:pPr>
      <w:r>
        <w:rPr>
          <w:rFonts w:hint="eastAsia"/>
          <w:szCs w:val="21"/>
        </w:rPr>
        <w:t>项目监理机构应根据《建设工程质量管理条例》和施工合同约定，对专业分包单位进行审核，专业分包单位应经建设单位审批同意。</w:t>
      </w:r>
    </w:p>
    <w:p>
      <w:pPr>
        <w:pStyle w:val="6"/>
        <w:tabs>
          <w:tab w:val="left" w:pos="1680"/>
        </w:tabs>
        <w:spacing w:line="400" w:lineRule="exact"/>
        <w:rPr>
          <w:rFonts w:eastAsia="黑体"/>
          <w:sz w:val="24"/>
        </w:rPr>
      </w:pPr>
      <w:r>
        <w:rPr>
          <w:rFonts w:eastAsia="黑体"/>
          <w:sz w:val="24"/>
        </w:rPr>
        <w:t xml:space="preserve">B.1.1  </w:t>
      </w:r>
      <w:r>
        <w:rPr>
          <w:rFonts w:hint="eastAsia" w:eastAsia="黑体"/>
          <w:sz w:val="24"/>
        </w:rPr>
        <w:t>施工试验室报审表</w:t>
      </w:r>
    </w:p>
    <w:p>
      <w:pPr>
        <w:pStyle w:val="6"/>
        <w:tabs>
          <w:tab w:val="left" w:pos="1680"/>
        </w:tabs>
        <w:spacing w:line="400" w:lineRule="exact"/>
        <w:ind w:firstLine="420"/>
        <w:rPr>
          <w:szCs w:val="21"/>
        </w:rPr>
      </w:pPr>
      <w:r>
        <w:rPr>
          <w:rFonts w:hint="eastAsia"/>
          <w:szCs w:val="21"/>
        </w:rPr>
        <w:t>本表是施工单位报请项目监理机构对施工单位在现场设立试验室的情况进行审查的用表。某些专业工程（如交通工程）要求施工单位必须在施工现场设立试验室的，施工单位应该报审的资料为：企业试验室的资质证书、试验室管理制度、计划在工地现场做试验的项目清单、现场配备的试验人员（附试验人员岗位证书），工地现场配备的试验设备清单和法定计量部门对试验计量设备、器具出具的计量检定证明或校准的证明文件等。</w:t>
      </w:r>
    </w:p>
    <w:p>
      <w:pPr>
        <w:pStyle w:val="6"/>
        <w:tabs>
          <w:tab w:val="left" w:pos="1680"/>
        </w:tabs>
        <w:spacing w:line="400" w:lineRule="exact"/>
        <w:rPr>
          <w:rFonts w:eastAsia="黑体"/>
          <w:sz w:val="24"/>
        </w:rPr>
      </w:pPr>
      <w:r>
        <w:rPr>
          <w:rFonts w:eastAsia="黑体"/>
          <w:sz w:val="24"/>
        </w:rPr>
        <w:t xml:space="preserve">B.1.2  </w:t>
      </w:r>
      <w:r>
        <w:rPr>
          <w:rFonts w:hint="eastAsia" w:eastAsia="黑体"/>
          <w:sz w:val="24"/>
        </w:rPr>
        <w:t>施工控制测量成果报审表</w:t>
      </w:r>
    </w:p>
    <w:p>
      <w:pPr>
        <w:pStyle w:val="6"/>
        <w:tabs>
          <w:tab w:val="left" w:pos="1680"/>
        </w:tabs>
        <w:spacing w:line="400" w:lineRule="exact"/>
        <w:ind w:firstLine="420" w:firstLineChars="200"/>
        <w:rPr>
          <w:szCs w:val="21"/>
        </w:rPr>
      </w:pPr>
      <w:r>
        <w:rPr>
          <w:rFonts w:hint="eastAsia"/>
          <w:szCs w:val="21"/>
        </w:rPr>
        <w:t>本表是施工单位报请项目监理机构对施工控制测量成果及保护措施进行审查的用表。报审的资料应包括：施工单位测量人员的资格证书、测量设备的清单及检定或校准的证明文件；施工平面控制网、高程控制网、临时水准点、规划红线、基点等测量控制依据资料、控制测量成果表及附图，对现场加密的应提供桩位布置图，以及相应的保护措施等。</w:t>
      </w:r>
    </w:p>
    <w:p>
      <w:pPr>
        <w:pStyle w:val="6"/>
        <w:tabs>
          <w:tab w:val="left" w:pos="1680"/>
        </w:tabs>
        <w:spacing w:line="400" w:lineRule="exact"/>
        <w:ind w:firstLine="420" w:firstLineChars="200"/>
        <w:rPr>
          <w:szCs w:val="21"/>
        </w:rPr>
      </w:pPr>
      <w:r>
        <w:rPr>
          <w:rFonts w:hint="eastAsia"/>
          <w:szCs w:val="21"/>
        </w:rPr>
        <w:t>专业监理工程师应按标准有关要求，对控制网布设、测点保护、仪器精度、观测规范、记录清晰等方面进行检查、审核，意见栏应填写是否符合技术规范、设计等的具体要求，重点应进行必要的内业及外业复核，检查、复核记录作为附件留档。</w:t>
      </w:r>
    </w:p>
    <w:p>
      <w:pPr>
        <w:pStyle w:val="6"/>
        <w:tabs>
          <w:tab w:val="left" w:pos="1680"/>
        </w:tabs>
        <w:spacing w:line="400" w:lineRule="exact"/>
        <w:rPr>
          <w:rFonts w:eastAsia="黑体"/>
          <w:sz w:val="24"/>
        </w:rPr>
      </w:pPr>
      <w:r>
        <w:rPr>
          <w:rFonts w:eastAsia="黑体"/>
          <w:sz w:val="24"/>
        </w:rPr>
        <w:t xml:space="preserve">B.1.3  </w:t>
      </w:r>
      <w:r>
        <w:rPr>
          <w:rFonts w:hint="eastAsia" w:eastAsia="黑体"/>
          <w:sz w:val="24"/>
        </w:rPr>
        <w:t>工程材料、构配件、设备进场</w:t>
      </w:r>
      <w:r>
        <w:rPr>
          <w:rFonts w:eastAsia="黑体"/>
          <w:sz w:val="24"/>
        </w:rPr>
        <w:t>/</w:t>
      </w:r>
      <w:r>
        <w:rPr>
          <w:rFonts w:hint="eastAsia" w:eastAsia="黑体"/>
          <w:sz w:val="24"/>
        </w:rPr>
        <w:t>使用报审表</w:t>
      </w:r>
    </w:p>
    <w:p>
      <w:pPr>
        <w:pStyle w:val="6"/>
        <w:tabs>
          <w:tab w:val="left" w:pos="1680"/>
        </w:tabs>
        <w:spacing w:line="400" w:lineRule="exact"/>
        <w:ind w:firstLine="420" w:firstLineChars="200"/>
        <w:rPr>
          <w:szCs w:val="21"/>
        </w:rPr>
      </w:pPr>
      <w:r>
        <w:rPr>
          <w:rFonts w:hint="eastAsia"/>
          <w:szCs w:val="21"/>
        </w:rPr>
        <w:t>本表为施工单位向项目监理机构报审工程用的材料、构配件、设备进场</w:t>
      </w:r>
      <w:r>
        <w:rPr>
          <w:szCs w:val="21"/>
        </w:rPr>
        <w:t>/</w:t>
      </w:r>
      <w:r>
        <w:rPr>
          <w:rFonts w:hint="eastAsia"/>
          <w:szCs w:val="21"/>
        </w:rPr>
        <w:t>使用的用表。</w:t>
      </w:r>
    </w:p>
    <w:p>
      <w:pPr>
        <w:pStyle w:val="6"/>
        <w:tabs>
          <w:tab w:val="left" w:pos="1680"/>
        </w:tabs>
        <w:spacing w:line="400" w:lineRule="exact"/>
        <w:ind w:firstLine="420" w:firstLineChars="200"/>
        <w:rPr>
          <w:szCs w:val="21"/>
        </w:rPr>
      </w:pPr>
      <w:r>
        <w:rPr>
          <w:rFonts w:hint="eastAsia"/>
          <w:szCs w:val="21"/>
        </w:rPr>
        <w:t>材料</w:t>
      </w:r>
      <w:r>
        <w:rPr>
          <w:szCs w:val="21"/>
        </w:rPr>
        <w:t>/</w:t>
      </w:r>
      <w:r>
        <w:rPr>
          <w:rFonts w:hint="eastAsia"/>
          <w:szCs w:val="21"/>
        </w:rPr>
        <w:t>构配件</w:t>
      </w:r>
      <w:r>
        <w:rPr>
          <w:szCs w:val="21"/>
        </w:rPr>
        <w:t>/</w:t>
      </w:r>
      <w:r>
        <w:rPr>
          <w:rFonts w:hint="eastAsia"/>
          <w:szCs w:val="21"/>
        </w:rPr>
        <w:t>设备的清单是指：材料</w:t>
      </w:r>
      <w:r>
        <w:rPr>
          <w:szCs w:val="21"/>
        </w:rPr>
        <w:t>/</w:t>
      </w:r>
      <w:r>
        <w:rPr>
          <w:rFonts w:hint="eastAsia"/>
          <w:szCs w:val="21"/>
        </w:rPr>
        <w:t>构配件</w:t>
      </w:r>
      <w:r>
        <w:rPr>
          <w:szCs w:val="21"/>
        </w:rPr>
        <w:t>/</w:t>
      </w:r>
      <w:r>
        <w:rPr>
          <w:rFonts w:hint="eastAsia"/>
          <w:szCs w:val="21"/>
        </w:rPr>
        <w:t>设备的名称、型号、规格、数量等。</w:t>
      </w:r>
    </w:p>
    <w:p>
      <w:pPr>
        <w:pStyle w:val="6"/>
        <w:tabs>
          <w:tab w:val="left" w:pos="1680"/>
        </w:tabs>
        <w:spacing w:line="400" w:lineRule="exact"/>
        <w:ind w:firstLine="420" w:firstLineChars="200"/>
        <w:rPr>
          <w:szCs w:val="21"/>
        </w:rPr>
      </w:pPr>
      <w:r>
        <w:rPr>
          <w:rFonts w:hint="eastAsia"/>
          <w:szCs w:val="21"/>
        </w:rPr>
        <w:t>出厂质量证明文件是指：生产单位提供的出厂合格证、（出厂）质量检验报告、（型式）检验报告等证明资料。进口材料</w:t>
      </w:r>
      <w:r>
        <w:rPr>
          <w:szCs w:val="21"/>
        </w:rPr>
        <w:t>/</w:t>
      </w:r>
      <w:r>
        <w:rPr>
          <w:rFonts w:hint="eastAsia"/>
          <w:szCs w:val="21"/>
        </w:rPr>
        <w:t>构配件</w:t>
      </w:r>
      <w:r>
        <w:rPr>
          <w:szCs w:val="21"/>
        </w:rPr>
        <w:t>/</w:t>
      </w:r>
      <w:r>
        <w:rPr>
          <w:rFonts w:hint="eastAsia"/>
          <w:szCs w:val="21"/>
        </w:rPr>
        <w:t>设备应按规定提供商检的证明文件；新材料、新设备应有相关单位的技术鉴定文件（鉴定书中注明的产品应用范围、产品质量的企业标准等）及专家论证报告等。如无证明文件原件，需提供复印件并加盖证明文件提供单位的公章。</w:t>
      </w:r>
    </w:p>
    <w:p>
      <w:pPr>
        <w:pStyle w:val="6"/>
        <w:tabs>
          <w:tab w:val="left" w:pos="1680"/>
        </w:tabs>
        <w:spacing w:line="400" w:lineRule="exact"/>
        <w:ind w:firstLine="420" w:firstLineChars="200"/>
        <w:rPr>
          <w:szCs w:val="21"/>
        </w:rPr>
      </w:pPr>
      <w:r>
        <w:rPr>
          <w:rFonts w:hint="eastAsia"/>
          <w:szCs w:val="21"/>
        </w:rPr>
        <w:t>自检结果是指：施工单位对所购材料</w:t>
      </w:r>
      <w:r>
        <w:rPr>
          <w:szCs w:val="21"/>
        </w:rPr>
        <w:t>/</w:t>
      </w:r>
      <w:r>
        <w:rPr>
          <w:rFonts w:hint="eastAsia"/>
          <w:szCs w:val="21"/>
        </w:rPr>
        <w:t>构配件</w:t>
      </w:r>
      <w:r>
        <w:rPr>
          <w:szCs w:val="21"/>
        </w:rPr>
        <w:t>/</w:t>
      </w:r>
      <w:r>
        <w:rPr>
          <w:rFonts w:hint="eastAsia"/>
          <w:szCs w:val="21"/>
        </w:rPr>
        <w:t>设备清单、出厂质量证明文件核对后，对材料</w:t>
      </w:r>
      <w:r>
        <w:rPr>
          <w:szCs w:val="21"/>
        </w:rPr>
        <w:t>/</w:t>
      </w:r>
      <w:r>
        <w:rPr>
          <w:rFonts w:hint="eastAsia"/>
          <w:szCs w:val="21"/>
        </w:rPr>
        <w:t>构配件</w:t>
      </w:r>
      <w:r>
        <w:rPr>
          <w:szCs w:val="21"/>
        </w:rPr>
        <w:t>/</w:t>
      </w:r>
      <w:r>
        <w:rPr>
          <w:rFonts w:hint="eastAsia"/>
          <w:szCs w:val="21"/>
        </w:rPr>
        <w:t>设备实物及外观、质量进行验收核实的自检结果。</w:t>
      </w:r>
    </w:p>
    <w:p>
      <w:pPr>
        <w:pStyle w:val="6"/>
        <w:tabs>
          <w:tab w:val="left" w:pos="1680"/>
        </w:tabs>
        <w:spacing w:line="400" w:lineRule="exact"/>
        <w:ind w:firstLine="420" w:firstLineChars="200"/>
        <w:rPr>
          <w:szCs w:val="21"/>
        </w:rPr>
      </w:pPr>
      <w:r>
        <w:rPr>
          <w:rFonts w:hint="eastAsia"/>
          <w:szCs w:val="21"/>
        </w:rPr>
        <w:t>建设单位供应的材料</w:t>
      </w:r>
      <w:r>
        <w:rPr>
          <w:szCs w:val="21"/>
        </w:rPr>
        <w:t>/</w:t>
      </w:r>
      <w:r>
        <w:rPr>
          <w:rFonts w:hint="eastAsia"/>
          <w:szCs w:val="21"/>
        </w:rPr>
        <w:t>构配件</w:t>
      </w:r>
      <w:r>
        <w:rPr>
          <w:szCs w:val="21"/>
        </w:rPr>
        <w:t>/</w:t>
      </w:r>
      <w:r>
        <w:rPr>
          <w:rFonts w:hint="eastAsia"/>
          <w:szCs w:val="21"/>
        </w:rPr>
        <w:t>设备，按施工合同的约定，由施工单位清点、接收和报验。</w:t>
      </w:r>
    </w:p>
    <w:p>
      <w:pPr>
        <w:pStyle w:val="6"/>
        <w:tabs>
          <w:tab w:val="left" w:pos="1680"/>
        </w:tabs>
        <w:spacing w:line="400" w:lineRule="exact"/>
        <w:ind w:firstLine="420" w:firstLineChars="200"/>
        <w:rPr>
          <w:szCs w:val="21"/>
        </w:rPr>
      </w:pPr>
      <w:r>
        <w:rPr>
          <w:rFonts w:hint="eastAsia"/>
          <w:szCs w:val="21"/>
        </w:rPr>
        <w:t>进口材料</w:t>
      </w:r>
      <w:r>
        <w:rPr>
          <w:szCs w:val="21"/>
        </w:rPr>
        <w:t>/</w:t>
      </w:r>
      <w:r>
        <w:rPr>
          <w:rFonts w:hint="eastAsia"/>
          <w:szCs w:val="21"/>
        </w:rPr>
        <w:t>构配件</w:t>
      </w:r>
      <w:r>
        <w:rPr>
          <w:szCs w:val="21"/>
        </w:rPr>
        <w:t>/</w:t>
      </w:r>
      <w:r>
        <w:rPr>
          <w:rFonts w:hint="eastAsia"/>
          <w:szCs w:val="21"/>
        </w:rPr>
        <w:t>设备按合同约定，由建设单位、施工单位、供货单位、项目监理机构及其他有关单位进行联合检查，检查情况及结果应形成记录，并由各方代表签字认可。</w:t>
      </w:r>
    </w:p>
    <w:p>
      <w:pPr>
        <w:pStyle w:val="6"/>
        <w:tabs>
          <w:tab w:val="left" w:pos="1680"/>
        </w:tabs>
        <w:spacing w:line="400" w:lineRule="exact"/>
        <w:ind w:firstLine="420" w:firstLineChars="200"/>
        <w:rPr>
          <w:szCs w:val="21"/>
        </w:rPr>
      </w:pPr>
      <w:r>
        <w:rPr>
          <w:rFonts w:hint="eastAsia"/>
          <w:szCs w:val="21"/>
        </w:rPr>
        <w:t>专业监理工程师应审查施工单位报审资料的有效性和符合情况，并按规定对进场的材料</w:t>
      </w:r>
      <w:r>
        <w:rPr>
          <w:szCs w:val="21"/>
        </w:rPr>
        <w:t>/</w:t>
      </w:r>
      <w:r>
        <w:rPr>
          <w:rFonts w:hint="eastAsia"/>
          <w:szCs w:val="21"/>
        </w:rPr>
        <w:t>构配件</w:t>
      </w:r>
      <w:r>
        <w:rPr>
          <w:szCs w:val="21"/>
        </w:rPr>
        <w:t>/</w:t>
      </w:r>
      <w:r>
        <w:rPr>
          <w:rFonts w:hint="eastAsia"/>
          <w:szCs w:val="21"/>
        </w:rPr>
        <w:t>设备进行检查，留存检查记录。对符合要求的材料</w:t>
      </w:r>
      <w:r>
        <w:rPr>
          <w:szCs w:val="21"/>
        </w:rPr>
        <w:t>/</w:t>
      </w:r>
      <w:r>
        <w:rPr>
          <w:rFonts w:hint="eastAsia"/>
          <w:szCs w:val="21"/>
        </w:rPr>
        <w:t>构配件</w:t>
      </w:r>
      <w:r>
        <w:rPr>
          <w:szCs w:val="21"/>
        </w:rPr>
        <w:t>/</w:t>
      </w:r>
      <w:r>
        <w:rPr>
          <w:rFonts w:hint="eastAsia"/>
          <w:szCs w:val="21"/>
        </w:rPr>
        <w:t>设备，如不需要复试的，直接签署同意使用；对按规定需要复试的材料</w:t>
      </w:r>
      <w:r>
        <w:rPr>
          <w:szCs w:val="21"/>
        </w:rPr>
        <w:t>/</w:t>
      </w:r>
      <w:r>
        <w:rPr>
          <w:rFonts w:hint="eastAsia"/>
          <w:szCs w:val="21"/>
        </w:rPr>
        <w:t>构配件，专业监理工程师签署同意进场，并按规定进行见证取样，复试合格后施工单位应再次进行使用报审。</w:t>
      </w:r>
    </w:p>
    <w:p>
      <w:pPr>
        <w:pStyle w:val="6"/>
        <w:tabs>
          <w:tab w:val="left" w:pos="1680"/>
        </w:tabs>
        <w:spacing w:line="400" w:lineRule="exact"/>
        <w:rPr>
          <w:rFonts w:eastAsia="黑体"/>
          <w:sz w:val="24"/>
        </w:rPr>
      </w:pPr>
      <w:r>
        <w:rPr>
          <w:rFonts w:eastAsia="黑体"/>
          <w:sz w:val="24"/>
        </w:rPr>
        <w:t xml:space="preserve">B.1.4  </w:t>
      </w:r>
      <w:r>
        <w:rPr>
          <w:rFonts w:hint="eastAsia" w:eastAsia="黑体"/>
          <w:sz w:val="24"/>
        </w:rPr>
        <w:t>工程质量报验表</w:t>
      </w:r>
    </w:p>
    <w:p>
      <w:pPr>
        <w:pStyle w:val="6"/>
        <w:tabs>
          <w:tab w:val="left" w:pos="1680"/>
        </w:tabs>
        <w:spacing w:line="400" w:lineRule="exact"/>
        <w:ind w:firstLine="405"/>
        <w:rPr>
          <w:szCs w:val="21"/>
        </w:rPr>
      </w:pPr>
      <w:r>
        <w:rPr>
          <w:rFonts w:hint="eastAsia"/>
          <w:szCs w:val="21"/>
        </w:rPr>
        <w:t>本表一般为施工单位报请项目监理机构对隐蔽工程、检验批、分项工程和测量放线的质量进行验收的用表。施工单位需经自检合格并附相应工序和部位的质量检查记录表后，向项目监理机构报验。项目监理机构应审核报验资料的有效性，并通过现场检查进行验证，并将相关抽查记录保留存档。当工程质量不符合要求时，应参照《建筑工程施工质量验收统一标准》（</w:t>
      </w:r>
      <w:r>
        <w:rPr>
          <w:szCs w:val="21"/>
        </w:rPr>
        <w:t>GB50300</w:t>
      </w:r>
      <w:r>
        <w:rPr>
          <w:rFonts w:hint="eastAsia"/>
          <w:szCs w:val="21"/>
        </w:rPr>
        <w:t>）</w:t>
      </w:r>
      <w:r>
        <w:rPr>
          <w:szCs w:val="21"/>
        </w:rPr>
        <w:t>5.0.6</w:t>
      </w:r>
      <w:r>
        <w:rPr>
          <w:rFonts w:hint="eastAsia"/>
          <w:szCs w:val="21"/>
        </w:rPr>
        <w:t>条和</w:t>
      </w:r>
      <w:r>
        <w:rPr>
          <w:szCs w:val="21"/>
        </w:rPr>
        <w:t>5.0.7</w:t>
      </w:r>
      <w:r>
        <w:rPr>
          <w:rFonts w:hint="eastAsia"/>
          <w:szCs w:val="21"/>
        </w:rPr>
        <w:t>条执行。凡验收不合格的，不得进入下道工序施工。</w:t>
      </w:r>
    </w:p>
    <w:p>
      <w:pPr>
        <w:pStyle w:val="6"/>
        <w:tabs>
          <w:tab w:val="left" w:pos="1680"/>
        </w:tabs>
        <w:spacing w:line="400" w:lineRule="exact"/>
        <w:ind w:firstLine="405"/>
        <w:rPr>
          <w:szCs w:val="21"/>
        </w:rPr>
      </w:pPr>
      <w:r>
        <w:rPr>
          <w:rFonts w:hint="eastAsia"/>
          <w:szCs w:val="21"/>
        </w:rPr>
        <w:t>分包单位的报验资料应由施工总承包单位验收合格后向项目监理机构报验。</w:t>
      </w:r>
    </w:p>
    <w:p>
      <w:pPr>
        <w:spacing w:line="400" w:lineRule="exact"/>
        <w:rPr>
          <w:rFonts w:eastAsia="黑体"/>
          <w:sz w:val="24"/>
        </w:rPr>
      </w:pPr>
      <w:r>
        <w:rPr>
          <w:rFonts w:eastAsia="黑体"/>
          <w:sz w:val="24"/>
        </w:rPr>
        <w:t xml:space="preserve">B.1.5  </w:t>
      </w:r>
      <w:r>
        <w:rPr>
          <w:rFonts w:hint="eastAsia" w:eastAsia="黑体"/>
          <w:sz w:val="24"/>
        </w:rPr>
        <w:t>混凝土浇筑报审表</w:t>
      </w:r>
    </w:p>
    <w:p>
      <w:pPr>
        <w:spacing w:line="400" w:lineRule="exact"/>
        <w:rPr>
          <w:szCs w:val="21"/>
        </w:rPr>
      </w:pPr>
      <w:r>
        <w:rPr>
          <w:szCs w:val="21"/>
        </w:rPr>
        <w:t xml:space="preserve">    </w:t>
      </w:r>
      <w:r>
        <w:rPr>
          <w:rFonts w:hint="eastAsia"/>
          <w:szCs w:val="21"/>
        </w:rPr>
        <w:t>本表是某部位混凝土浇筑前的准备工作已就绪，相关的土建、安装工序均已验收合格，在计划浇筑混凝土前向项目监理机构报审用表。项目监理机构应检查将要隐蔽的所有检验批是否均已报验并验收合格；模板支撑是否验收合格；特殊混凝土的施工方案是否审核通过；使用预拌（商品）混凝土的，混凝土生产单位的相关资料是否报项目监理机构审核通过。</w:t>
      </w:r>
    </w:p>
    <w:p>
      <w:pPr>
        <w:spacing w:line="400" w:lineRule="exact"/>
        <w:rPr>
          <w:rFonts w:eastAsia="黑体"/>
          <w:sz w:val="24"/>
        </w:rPr>
      </w:pPr>
      <w:r>
        <w:rPr>
          <w:rFonts w:eastAsia="黑体"/>
          <w:sz w:val="24"/>
        </w:rPr>
        <w:t xml:space="preserve">B.1.6  </w:t>
      </w:r>
      <w:r>
        <w:rPr>
          <w:rFonts w:hint="eastAsia" w:eastAsia="黑体"/>
          <w:sz w:val="24"/>
        </w:rPr>
        <w:t>分部（子分部）工程报验表</w:t>
      </w:r>
    </w:p>
    <w:p>
      <w:pPr>
        <w:spacing w:line="400" w:lineRule="exact"/>
        <w:rPr>
          <w:szCs w:val="21"/>
        </w:rPr>
      </w:pPr>
      <w:r>
        <w:rPr>
          <w:szCs w:val="21"/>
        </w:rPr>
        <w:t xml:space="preserve">    </w:t>
      </w:r>
      <w:r>
        <w:rPr>
          <w:rFonts w:hint="eastAsia"/>
          <w:szCs w:val="21"/>
        </w:rPr>
        <w:t>本表是施工单位在完成分部（子分部）工程的施工，自检合格并整理完成相应质量控制资料后报送项目监理机构进行分部（子分部）验收的用表。施工单位应提前</w:t>
      </w:r>
      <w:r>
        <w:rPr>
          <w:szCs w:val="21"/>
        </w:rPr>
        <w:t>48</w:t>
      </w:r>
      <w:r>
        <w:rPr>
          <w:rFonts w:hint="eastAsia"/>
          <w:szCs w:val="21"/>
        </w:rPr>
        <w:t>小时通知项目监理机构验收。分部（子分部）工程质量验收合格应符合下列条件：</w:t>
      </w:r>
    </w:p>
    <w:p>
      <w:pPr>
        <w:spacing w:line="400" w:lineRule="exact"/>
        <w:ind w:firstLine="424" w:firstLineChars="202"/>
        <w:rPr>
          <w:szCs w:val="21"/>
        </w:rPr>
      </w:pPr>
      <w:r>
        <w:rPr>
          <w:szCs w:val="21"/>
        </w:rPr>
        <w:t>1</w:t>
      </w:r>
      <w:r>
        <w:rPr>
          <w:rFonts w:hint="eastAsia"/>
          <w:szCs w:val="21"/>
        </w:rPr>
        <w:t>、分部（子分部）工程所含分项工程的质量均应验收合格。</w:t>
      </w:r>
    </w:p>
    <w:p>
      <w:pPr>
        <w:spacing w:line="400" w:lineRule="exact"/>
        <w:ind w:firstLine="424" w:firstLineChars="202"/>
        <w:rPr>
          <w:szCs w:val="21"/>
        </w:rPr>
      </w:pPr>
      <w:r>
        <w:rPr>
          <w:szCs w:val="21"/>
        </w:rPr>
        <w:t>2</w:t>
      </w:r>
      <w:r>
        <w:rPr>
          <w:rFonts w:hint="eastAsia"/>
          <w:szCs w:val="21"/>
        </w:rPr>
        <w:t>、质量控制资料应完整。</w:t>
      </w:r>
    </w:p>
    <w:p>
      <w:pPr>
        <w:spacing w:line="400" w:lineRule="exact"/>
        <w:ind w:firstLine="424" w:firstLineChars="202"/>
        <w:rPr>
          <w:szCs w:val="21"/>
        </w:rPr>
      </w:pPr>
      <w:r>
        <w:rPr>
          <w:szCs w:val="21"/>
        </w:rPr>
        <w:t>3</w:t>
      </w:r>
      <w:r>
        <w:rPr>
          <w:rFonts w:hint="eastAsia"/>
          <w:szCs w:val="21"/>
        </w:rPr>
        <w:t>、有关安全、节能、环境保护和主要使用功能的抽样检测结果应符合相应规定。</w:t>
      </w:r>
    </w:p>
    <w:p>
      <w:pPr>
        <w:spacing w:line="400" w:lineRule="exact"/>
        <w:ind w:firstLine="424" w:firstLineChars="202"/>
        <w:rPr>
          <w:szCs w:val="21"/>
        </w:rPr>
      </w:pPr>
      <w:r>
        <w:rPr>
          <w:szCs w:val="21"/>
        </w:rPr>
        <w:t>4</w:t>
      </w:r>
      <w:r>
        <w:rPr>
          <w:rFonts w:hint="eastAsia"/>
          <w:szCs w:val="21"/>
        </w:rPr>
        <w:t>、观感质量验收应符合要求。</w:t>
      </w:r>
    </w:p>
    <w:p>
      <w:pPr>
        <w:spacing w:line="400" w:lineRule="exact"/>
        <w:ind w:firstLine="424" w:firstLineChars="202"/>
        <w:rPr>
          <w:szCs w:val="21"/>
        </w:rPr>
      </w:pPr>
      <w:r>
        <w:rPr>
          <w:rFonts w:hint="eastAsia"/>
          <w:szCs w:val="21"/>
        </w:rPr>
        <w:t>项目监理机构应对分部（子分部）工程质量控制资料、有关抽样检验报告等进行审查，并留存审查记录。</w:t>
      </w:r>
    </w:p>
    <w:p>
      <w:pPr>
        <w:pStyle w:val="6"/>
        <w:tabs>
          <w:tab w:val="left" w:pos="1680"/>
        </w:tabs>
        <w:spacing w:line="400" w:lineRule="exact"/>
        <w:rPr>
          <w:rFonts w:eastAsia="黑体"/>
          <w:sz w:val="24"/>
        </w:rPr>
      </w:pPr>
      <w:r>
        <w:rPr>
          <w:rFonts w:eastAsia="黑体"/>
          <w:sz w:val="24"/>
        </w:rPr>
        <w:t xml:space="preserve">B.1.7  </w:t>
      </w:r>
      <w:r>
        <w:rPr>
          <w:rFonts w:hint="eastAsia" w:eastAsia="黑体"/>
          <w:sz w:val="24"/>
        </w:rPr>
        <w:t>部品部件进场报审表</w:t>
      </w:r>
    </w:p>
    <w:p>
      <w:pPr>
        <w:pStyle w:val="6"/>
        <w:tabs>
          <w:tab w:val="left" w:pos="1680"/>
        </w:tabs>
        <w:spacing w:line="400" w:lineRule="exact"/>
        <w:ind w:firstLine="420" w:firstLineChars="200"/>
        <w:rPr>
          <w:szCs w:val="21"/>
        </w:rPr>
      </w:pPr>
      <w:r>
        <w:rPr>
          <w:rFonts w:hint="eastAsia"/>
          <w:szCs w:val="21"/>
        </w:rPr>
        <w:t>本表为装配式结构工程施工单位向项目监理机构报审部品部件（预制构件）进场的用表。</w:t>
      </w:r>
    </w:p>
    <w:p>
      <w:pPr>
        <w:pStyle w:val="6"/>
        <w:tabs>
          <w:tab w:val="left" w:pos="1680"/>
        </w:tabs>
        <w:spacing w:line="400" w:lineRule="exact"/>
        <w:ind w:firstLine="420" w:firstLineChars="200"/>
        <w:rPr>
          <w:szCs w:val="21"/>
        </w:rPr>
      </w:pPr>
      <w:r>
        <w:rPr>
          <w:rFonts w:hint="eastAsia"/>
          <w:szCs w:val="21"/>
        </w:rPr>
        <w:t>部品部件（预制构件）进场清单是指：本次进场的部品部件（预制构件）的名称、型号、规格、数量等。</w:t>
      </w:r>
    </w:p>
    <w:p>
      <w:pPr>
        <w:pStyle w:val="6"/>
        <w:tabs>
          <w:tab w:val="left" w:pos="1680"/>
        </w:tabs>
        <w:spacing w:line="400" w:lineRule="exact"/>
        <w:ind w:firstLine="420" w:firstLineChars="200"/>
        <w:rPr>
          <w:szCs w:val="21"/>
        </w:rPr>
      </w:pPr>
      <w:r>
        <w:rPr>
          <w:rFonts w:hint="eastAsia"/>
          <w:szCs w:val="21"/>
        </w:rPr>
        <w:t>出厂质量证明文件是指：生产单位提供的出厂合格证、（出厂）质量检验报告等证明资料。</w:t>
      </w:r>
    </w:p>
    <w:p>
      <w:pPr>
        <w:pStyle w:val="6"/>
        <w:tabs>
          <w:tab w:val="left" w:pos="1680"/>
        </w:tabs>
        <w:spacing w:line="400" w:lineRule="exact"/>
        <w:ind w:firstLine="420" w:firstLineChars="200"/>
        <w:rPr>
          <w:szCs w:val="21"/>
        </w:rPr>
      </w:pPr>
      <w:r>
        <w:rPr>
          <w:rFonts w:hint="eastAsia"/>
          <w:szCs w:val="21"/>
        </w:rPr>
        <w:t>专业监理工程师应审查施工单位报审资料的有效性和符合情况，并按规定对进场的预制构件进行检查，留存检查记录；对符合要求的预制构件，签署同意进场使用。</w:t>
      </w:r>
    </w:p>
    <w:p>
      <w:pPr>
        <w:pStyle w:val="6"/>
        <w:tabs>
          <w:tab w:val="left" w:pos="1680"/>
        </w:tabs>
        <w:spacing w:line="400" w:lineRule="exact"/>
        <w:rPr>
          <w:rFonts w:eastAsia="黑体"/>
          <w:sz w:val="24"/>
        </w:rPr>
      </w:pPr>
      <w:r>
        <w:rPr>
          <w:rFonts w:eastAsia="黑体"/>
          <w:sz w:val="24"/>
        </w:rPr>
        <w:t xml:space="preserve">B.1.8   </w:t>
      </w:r>
      <w:r>
        <w:rPr>
          <w:rFonts w:hint="eastAsia" w:eastAsia="黑体"/>
          <w:sz w:val="24"/>
        </w:rPr>
        <w:t>部品部件安装质量报验表</w:t>
      </w:r>
    </w:p>
    <w:p>
      <w:pPr>
        <w:pStyle w:val="6"/>
        <w:tabs>
          <w:tab w:val="left" w:pos="1680"/>
        </w:tabs>
        <w:spacing w:line="400" w:lineRule="exact"/>
        <w:ind w:firstLine="405"/>
        <w:rPr>
          <w:szCs w:val="21"/>
        </w:rPr>
      </w:pPr>
      <w:r>
        <w:rPr>
          <w:rFonts w:hint="eastAsia"/>
          <w:szCs w:val="21"/>
        </w:rPr>
        <w:t>本表为施工单位报请项目监理机构对部品部件（预制构件）安装质量进行验收的用表。</w:t>
      </w:r>
    </w:p>
    <w:p>
      <w:pPr>
        <w:pStyle w:val="6"/>
        <w:tabs>
          <w:tab w:val="left" w:pos="1680"/>
        </w:tabs>
        <w:spacing w:line="400" w:lineRule="exact"/>
        <w:ind w:firstLine="405"/>
        <w:rPr>
          <w:szCs w:val="21"/>
        </w:rPr>
      </w:pPr>
      <w:r>
        <w:rPr>
          <w:rFonts w:hint="eastAsia"/>
          <w:szCs w:val="21"/>
        </w:rPr>
        <w:t>部品部件（预制构件）安装完成后，施工单位需经自检合格并附相应工序和部位的质量检查记录表后，向项目监理机构报验。项目监理机构应审核报验资料的有效性，符合要求后签署同意验收意见，相关资料保留存档。</w:t>
      </w:r>
    </w:p>
    <w:p>
      <w:pPr>
        <w:pStyle w:val="6"/>
        <w:tabs>
          <w:tab w:val="left" w:pos="1680"/>
        </w:tabs>
        <w:spacing w:line="400" w:lineRule="exact"/>
        <w:ind w:firstLine="405"/>
        <w:rPr>
          <w:szCs w:val="21"/>
        </w:rPr>
      </w:pPr>
      <w:r>
        <w:rPr>
          <w:rFonts w:hint="eastAsia"/>
          <w:szCs w:val="21"/>
        </w:rPr>
        <w:t>当工程质量不符合要求时，应参照《建筑工程施工质量验收统一标准》（</w:t>
      </w:r>
      <w:r>
        <w:rPr>
          <w:szCs w:val="21"/>
        </w:rPr>
        <w:t>GB50300</w:t>
      </w:r>
      <w:r>
        <w:rPr>
          <w:rFonts w:hint="eastAsia"/>
          <w:szCs w:val="21"/>
        </w:rPr>
        <w:t>）</w:t>
      </w:r>
      <w:r>
        <w:rPr>
          <w:szCs w:val="21"/>
        </w:rPr>
        <w:t>5.0.6</w:t>
      </w:r>
      <w:r>
        <w:rPr>
          <w:rFonts w:hint="eastAsia"/>
          <w:szCs w:val="21"/>
        </w:rPr>
        <w:t>条和</w:t>
      </w:r>
      <w:r>
        <w:rPr>
          <w:szCs w:val="21"/>
        </w:rPr>
        <w:t>5.0.7</w:t>
      </w:r>
      <w:r>
        <w:rPr>
          <w:rFonts w:hint="eastAsia"/>
          <w:szCs w:val="21"/>
        </w:rPr>
        <w:t>条执行。凡验收不合格的，不得进入下道工序施工。</w:t>
      </w:r>
    </w:p>
    <w:p>
      <w:pPr>
        <w:spacing w:line="400" w:lineRule="exact"/>
        <w:rPr>
          <w:rFonts w:eastAsia="黑体"/>
          <w:sz w:val="24"/>
        </w:rPr>
      </w:pPr>
      <w:r>
        <w:rPr>
          <w:rFonts w:eastAsia="黑体"/>
          <w:sz w:val="24"/>
        </w:rPr>
        <w:t xml:space="preserve">B.2.1  </w:t>
      </w:r>
      <w:r>
        <w:rPr>
          <w:rFonts w:hint="eastAsia" w:eastAsia="黑体"/>
          <w:sz w:val="24"/>
        </w:rPr>
        <w:t>工程计量报审表</w:t>
      </w:r>
    </w:p>
    <w:p>
      <w:pPr>
        <w:spacing w:line="400" w:lineRule="exact"/>
        <w:rPr>
          <w:szCs w:val="21"/>
        </w:rPr>
      </w:pPr>
      <w:r>
        <w:rPr>
          <w:szCs w:val="21"/>
        </w:rPr>
        <w:t xml:space="preserve">    </w:t>
      </w:r>
      <w:r>
        <w:rPr>
          <w:rFonts w:hint="eastAsia"/>
          <w:szCs w:val="21"/>
        </w:rPr>
        <w:t>本表是施工单位报请项目监理机构对已完成的合格工程进行计量审核的用表。除施工合同专用合同条款另有约定外，工程量的计量按月进行，施工单位宜每月</w:t>
      </w:r>
      <w:r>
        <w:rPr>
          <w:szCs w:val="21"/>
        </w:rPr>
        <w:t>25</w:t>
      </w:r>
      <w:r>
        <w:rPr>
          <w:rFonts w:hint="eastAsia"/>
          <w:szCs w:val="21"/>
        </w:rPr>
        <w:t>日向项目监理机构报送上月</w:t>
      </w:r>
      <w:r>
        <w:rPr>
          <w:szCs w:val="21"/>
        </w:rPr>
        <w:t>20</w:t>
      </w:r>
      <w:r>
        <w:rPr>
          <w:rFonts w:hint="eastAsia"/>
          <w:szCs w:val="21"/>
        </w:rPr>
        <w:t>日至本月</w:t>
      </w:r>
      <w:r>
        <w:rPr>
          <w:szCs w:val="21"/>
        </w:rPr>
        <w:t>19</w:t>
      </w:r>
      <w:r>
        <w:rPr>
          <w:rFonts w:hint="eastAsia"/>
          <w:szCs w:val="21"/>
        </w:rPr>
        <w:t>日已完成的工程量报审表，并附相关工程变更通知、计算书等证明资料。项目监理机构按照合同约定的工程量计算规则、图纸及变更指示等进行计量，并留存相关审查记录，不合格工程不予计量。对工程量有异议的，有权要求施工单位提供补充计量资料和共同复核或抽样复测。项目监理机构应在收到《工程计量报审表》的</w:t>
      </w:r>
      <w:r>
        <w:rPr>
          <w:szCs w:val="21"/>
        </w:rPr>
        <w:t>7</w:t>
      </w:r>
      <w:r>
        <w:rPr>
          <w:rFonts w:hint="eastAsia"/>
          <w:szCs w:val="21"/>
        </w:rPr>
        <w:t>天内完成审核工作予以回复。</w:t>
      </w:r>
    </w:p>
    <w:p>
      <w:pPr>
        <w:spacing w:line="400" w:lineRule="exact"/>
        <w:rPr>
          <w:szCs w:val="21"/>
        </w:rPr>
      </w:pPr>
      <w:r>
        <w:rPr>
          <w:rFonts w:eastAsia="黑体"/>
          <w:sz w:val="24"/>
        </w:rPr>
        <w:t xml:space="preserve">B.2.2  </w:t>
      </w:r>
      <w:r>
        <w:rPr>
          <w:rFonts w:hint="eastAsia" w:eastAsia="黑体"/>
          <w:sz w:val="24"/>
        </w:rPr>
        <w:t>费用索赔报审表</w:t>
      </w:r>
    </w:p>
    <w:p>
      <w:pPr>
        <w:spacing w:line="400" w:lineRule="exact"/>
        <w:rPr>
          <w:szCs w:val="21"/>
        </w:rPr>
      </w:pPr>
      <w:r>
        <w:rPr>
          <w:b/>
          <w:bCs/>
          <w:szCs w:val="21"/>
        </w:rPr>
        <w:t xml:space="preserve">   </w:t>
      </w:r>
      <w:r>
        <w:rPr>
          <w:rFonts w:hint="eastAsia"/>
          <w:szCs w:val="21"/>
        </w:rPr>
        <w:t>本表是施工单位报请项目监理机构审核工程费用索赔事项的用表。项目监理机构应根据施工合同的约定，在与建设单位协商后，签署监理审核意见，并留存相关审核记录。证明材料包括：索赔意向书、索赔事项的相关证明材料等。项目监理机构应在收到索赔报审表后</w:t>
      </w:r>
      <w:r>
        <w:rPr>
          <w:szCs w:val="21"/>
        </w:rPr>
        <w:t>14</w:t>
      </w:r>
      <w:r>
        <w:rPr>
          <w:rFonts w:hint="eastAsia"/>
          <w:szCs w:val="21"/>
        </w:rPr>
        <w:t>天内完成审核并报建设单位。建设单位应在项目监理机构收到索赔报审表或有关索赔的进一步证明材料后的</w:t>
      </w:r>
      <w:r>
        <w:rPr>
          <w:szCs w:val="21"/>
        </w:rPr>
        <w:t>28</w:t>
      </w:r>
      <w:r>
        <w:rPr>
          <w:rFonts w:hint="eastAsia"/>
          <w:szCs w:val="21"/>
        </w:rPr>
        <w:t>天内，由项目监理机构向施工单位出具经建设单位签认的索赔处理结果。</w:t>
      </w:r>
    </w:p>
    <w:p>
      <w:pPr>
        <w:spacing w:line="400" w:lineRule="exact"/>
        <w:rPr>
          <w:szCs w:val="21"/>
        </w:rPr>
      </w:pPr>
      <w:r>
        <w:rPr>
          <w:rFonts w:eastAsia="黑体"/>
          <w:sz w:val="24"/>
        </w:rPr>
        <w:t xml:space="preserve">B.2.3  </w:t>
      </w:r>
      <w:r>
        <w:rPr>
          <w:rFonts w:hint="eastAsia" w:eastAsia="黑体"/>
          <w:sz w:val="24"/>
        </w:rPr>
        <w:t>工程款支付报审表</w:t>
      </w:r>
    </w:p>
    <w:p>
      <w:pPr>
        <w:spacing w:line="400" w:lineRule="exact"/>
        <w:ind w:firstLine="420"/>
        <w:rPr>
          <w:szCs w:val="21"/>
        </w:rPr>
      </w:pPr>
      <w:r>
        <w:rPr>
          <w:rFonts w:hint="eastAsia"/>
          <w:szCs w:val="21"/>
        </w:rPr>
        <w:t>本表是施工单位工程预付款、工程进度款、竣工结算款、工程变更费用、索赔费用的支付申请。</w:t>
      </w:r>
    </w:p>
    <w:p>
      <w:pPr>
        <w:spacing w:line="400" w:lineRule="exact"/>
        <w:ind w:firstLine="420"/>
        <w:rPr>
          <w:szCs w:val="21"/>
        </w:rPr>
      </w:pPr>
      <w:r>
        <w:rPr>
          <w:rFonts w:hint="eastAsia"/>
          <w:szCs w:val="21"/>
        </w:rPr>
        <w:t>施工单位应按施工合同约定提出工程款支付报审表，并附工程款支付证明材料。</w:t>
      </w:r>
    </w:p>
    <w:p>
      <w:pPr>
        <w:spacing w:line="400" w:lineRule="exact"/>
        <w:ind w:firstLine="420"/>
        <w:rPr>
          <w:szCs w:val="21"/>
        </w:rPr>
      </w:pPr>
      <w:r>
        <w:rPr>
          <w:rFonts w:hint="eastAsia"/>
          <w:szCs w:val="21"/>
        </w:rPr>
        <w:t>项目监理机构应按施工合同约定对施工单位报审的相关材料进行审查，并留存相关审查记录。</w:t>
      </w:r>
    </w:p>
    <w:p>
      <w:pPr>
        <w:spacing w:line="400" w:lineRule="exact"/>
        <w:ind w:firstLine="420"/>
        <w:rPr>
          <w:szCs w:val="21"/>
        </w:rPr>
      </w:pPr>
      <w:r>
        <w:rPr>
          <w:rFonts w:hint="eastAsia"/>
          <w:szCs w:val="21"/>
        </w:rPr>
        <w:t>项目监理机构应在收到进度款支付报审表及相关资料后的</w:t>
      </w:r>
      <w:r>
        <w:rPr>
          <w:szCs w:val="21"/>
        </w:rPr>
        <w:t>7</w:t>
      </w:r>
      <w:r>
        <w:rPr>
          <w:rFonts w:hint="eastAsia"/>
          <w:szCs w:val="21"/>
        </w:rPr>
        <w:t>天内完成审核工作并报建设单位。建设单位应在监理机构收到进度付款报审表或有关付款申请的进一步证明材料后的</w:t>
      </w:r>
      <w:r>
        <w:rPr>
          <w:szCs w:val="21"/>
        </w:rPr>
        <w:t>14</w:t>
      </w:r>
      <w:r>
        <w:rPr>
          <w:rFonts w:hint="eastAsia"/>
          <w:szCs w:val="21"/>
        </w:rPr>
        <w:t>天内，完成审批工作并由项目监理机构签发进度款支付证书。</w:t>
      </w:r>
    </w:p>
    <w:p>
      <w:pPr>
        <w:spacing w:line="400" w:lineRule="exact"/>
        <w:rPr>
          <w:rFonts w:eastAsia="黑体"/>
          <w:sz w:val="24"/>
        </w:rPr>
      </w:pPr>
      <w:r>
        <w:rPr>
          <w:rFonts w:eastAsia="黑体"/>
          <w:sz w:val="24"/>
        </w:rPr>
        <w:t xml:space="preserve">B.3.1  </w:t>
      </w:r>
      <w:r>
        <w:rPr>
          <w:rFonts w:hint="eastAsia" w:eastAsia="黑体"/>
          <w:sz w:val="24"/>
        </w:rPr>
        <w:t>施工进度报审表</w:t>
      </w:r>
      <w:r>
        <w:rPr>
          <w:rFonts w:eastAsia="黑体"/>
          <w:sz w:val="24"/>
        </w:rPr>
        <w:t xml:space="preserve"> </w:t>
      </w:r>
    </w:p>
    <w:p>
      <w:pPr>
        <w:spacing w:line="400" w:lineRule="exact"/>
        <w:rPr>
          <w:szCs w:val="21"/>
        </w:rPr>
      </w:pPr>
      <w:r>
        <w:rPr>
          <w:b/>
          <w:bCs/>
          <w:szCs w:val="21"/>
        </w:rPr>
        <w:t xml:space="preserve">    </w:t>
      </w:r>
      <w:r>
        <w:rPr>
          <w:rFonts w:hint="eastAsia"/>
          <w:szCs w:val="21"/>
        </w:rPr>
        <w:t>本表是施工单位向项目监理机构报审工程总进度计划、月进度计划和其他阶段性进度计划及相关措施的用表。项目监理机构应要求施工单位提交与进度计划有关的相关措施，如材料设备供应计划、劳动力使用计划、施工机械使用计划等。项目监理机构应审查下列基本内容：</w:t>
      </w:r>
    </w:p>
    <w:p>
      <w:pPr>
        <w:numPr>
          <w:ilvl w:val="0"/>
          <w:numId w:val="6"/>
        </w:numPr>
        <w:spacing w:line="400" w:lineRule="exact"/>
        <w:ind w:firstLine="424" w:firstLineChars="202"/>
        <w:rPr>
          <w:szCs w:val="21"/>
        </w:rPr>
      </w:pPr>
      <w:r>
        <w:rPr>
          <w:rFonts w:hint="eastAsia"/>
          <w:szCs w:val="21"/>
        </w:rPr>
        <w:t>施工进度计划应符合施工合同中约定的工期。</w:t>
      </w:r>
    </w:p>
    <w:p>
      <w:pPr>
        <w:numPr>
          <w:ilvl w:val="0"/>
          <w:numId w:val="6"/>
        </w:numPr>
        <w:spacing w:line="400" w:lineRule="exact"/>
        <w:ind w:firstLine="424" w:firstLineChars="202"/>
        <w:rPr>
          <w:szCs w:val="21"/>
        </w:rPr>
      </w:pPr>
      <w:r>
        <w:rPr>
          <w:rFonts w:hint="eastAsia"/>
          <w:szCs w:val="21"/>
        </w:rPr>
        <w:t>施工进度计划中主要施工项目无遗漏，应满足分批投入试运、分批动用的需要，阶段性施工进度计划应满足总进度控制目标的要求。</w:t>
      </w:r>
    </w:p>
    <w:p>
      <w:pPr>
        <w:numPr>
          <w:ilvl w:val="0"/>
          <w:numId w:val="6"/>
        </w:numPr>
        <w:spacing w:line="400" w:lineRule="exact"/>
        <w:ind w:firstLine="424" w:firstLineChars="202"/>
        <w:rPr>
          <w:szCs w:val="21"/>
        </w:rPr>
      </w:pPr>
      <w:r>
        <w:rPr>
          <w:rFonts w:hint="eastAsia"/>
          <w:szCs w:val="21"/>
        </w:rPr>
        <w:t>施工顺序的安排符合施工工艺要求。</w:t>
      </w:r>
    </w:p>
    <w:p>
      <w:pPr>
        <w:numPr>
          <w:ilvl w:val="0"/>
          <w:numId w:val="6"/>
        </w:numPr>
        <w:spacing w:line="400" w:lineRule="exact"/>
        <w:ind w:firstLine="424" w:firstLineChars="202"/>
        <w:rPr>
          <w:szCs w:val="21"/>
        </w:rPr>
      </w:pPr>
      <w:r>
        <w:rPr>
          <w:rFonts w:hint="eastAsia"/>
          <w:szCs w:val="21"/>
        </w:rPr>
        <w:t>施工人员、工程材料、施工机械等资源供应计划应满足施工进度计划的需要。</w:t>
      </w:r>
    </w:p>
    <w:p>
      <w:pPr>
        <w:numPr>
          <w:ilvl w:val="0"/>
          <w:numId w:val="6"/>
        </w:numPr>
        <w:spacing w:line="400" w:lineRule="exact"/>
        <w:ind w:firstLine="424" w:firstLineChars="202"/>
        <w:rPr>
          <w:szCs w:val="21"/>
        </w:rPr>
      </w:pPr>
      <w:r>
        <w:rPr>
          <w:rFonts w:hint="eastAsia"/>
          <w:szCs w:val="21"/>
        </w:rPr>
        <w:t>施工进度计划应符合建设单位提供的资金、施工图纸、施工场地、物资等施工条件。</w:t>
      </w:r>
    </w:p>
    <w:p>
      <w:pPr>
        <w:spacing w:line="400" w:lineRule="exact"/>
        <w:rPr>
          <w:b/>
          <w:bCs/>
          <w:szCs w:val="21"/>
        </w:rPr>
      </w:pPr>
      <w:r>
        <w:rPr>
          <w:rFonts w:eastAsia="黑体"/>
          <w:sz w:val="24"/>
        </w:rPr>
        <w:t xml:space="preserve">B.3.2  </w:t>
      </w:r>
      <w:r>
        <w:rPr>
          <w:rFonts w:hint="eastAsia" w:eastAsia="黑体"/>
          <w:sz w:val="24"/>
        </w:rPr>
        <w:t>工程临时</w:t>
      </w:r>
      <w:r>
        <w:rPr>
          <w:rFonts w:eastAsia="黑体"/>
          <w:sz w:val="24"/>
        </w:rPr>
        <w:t>/</w:t>
      </w:r>
      <w:r>
        <w:rPr>
          <w:rFonts w:hint="eastAsia" w:eastAsia="黑体"/>
          <w:sz w:val="24"/>
        </w:rPr>
        <w:t>最终延期报审表</w:t>
      </w:r>
    </w:p>
    <w:p>
      <w:pPr>
        <w:spacing w:line="400" w:lineRule="exact"/>
        <w:rPr>
          <w:szCs w:val="21"/>
        </w:rPr>
      </w:pPr>
      <w:r>
        <w:rPr>
          <w:szCs w:val="21"/>
        </w:rPr>
        <w:t xml:space="preserve">    </w:t>
      </w:r>
      <w:r>
        <w:rPr>
          <w:rFonts w:hint="eastAsia"/>
          <w:szCs w:val="21"/>
        </w:rPr>
        <w:t>本表是施工单位依据施工合同约定，发生非施工单位原因造成的持续性影响工期事件时向项目监理机构就临时延长合同工期、最终延长合同工期提出申请的用表。造成工程延期的非施工单位原因有：</w:t>
      </w:r>
    </w:p>
    <w:p>
      <w:pPr>
        <w:numPr>
          <w:ilvl w:val="0"/>
          <w:numId w:val="7"/>
        </w:numPr>
        <w:spacing w:line="400" w:lineRule="exact"/>
        <w:ind w:firstLine="424" w:firstLineChars="202"/>
        <w:rPr>
          <w:szCs w:val="21"/>
        </w:rPr>
      </w:pPr>
      <w:r>
        <w:rPr>
          <w:rFonts w:hint="eastAsia"/>
          <w:szCs w:val="21"/>
        </w:rPr>
        <w:t>建设单位未能按施工合同约定提供图纸或提供的图纸不符合合同约定。</w:t>
      </w:r>
    </w:p>
    <w:p>
      <w:pPr>
        <w:numPr>
          <w:ilvl w:val="0"/>
          <w:numId w:val="7"/>
        </w:numPr>
        <w:spacing w:line="400" w:lineRule="exact"/>
        <w:ind w:firstLine="424" w:firstLineChars="202"/>
        <w:rPr>
          <w:szCs w:val="21"/>
        </w:rPr>
      </w:pPr>
      <w:r>
        <w:rPr>
          <w:rFonts w:hint="eastAsia"/>
          <w:szCs w:val="21"/>
        </w:rPr>
        <w:t>建设单位提供的测量基准点、基准线和水准点及其书面资料存在错误或疏漏。</w:t>
      </w:r>
    </w:p>
    <w:p>
      <w:pPr>
        <w:numPr>
          <w:ilvl w:val="0"/>
          <w:numId w:val="7"/>
        </w:numPr>
        <w:spacing w:line="400" w:lineRule="exact"/>
        <w:ind w:firstLine="424" w:firstLineChars="202"/>
        <w:rPr>
          <w:szCs w:val="21"/>
        </w:rPr>
      </w:pPr>
      <w:r>
        <w:rPr>
          <w:rFonts w:hint="eastAsia"/>
          <w:szCs w:val="21"/>
        </w:rPr>
        <w:t>建设单位未能按施工合同规定提供施工场地、施工条件、基础资料、许可、批准等开工条件。</w:t>
      </w:r>
    </w:p>
    <w:p>
      <w:pPr>
        <w:numPr>
          <w:ilvl w:val="0"/>
          <w:numId w:val="7"/>
        </w:numPr>
        <w:spacing w:line="400" w:lineRule="exact"/>
        <w:ind w:firstLine="424" w:firstLineChars="202"/>
        <w:rPr>
          <w:szCs w:val="21"/>
        </w:rPr>
      </w:pPr>
      <w:r>
        <w:rPr>
          <w:rFonts w:hint="eastAsia"/>
          <w:szCs w:val="21"/>
        </w:rPr>
        <w:t>建设单位未能在计划开工日期之日起</w:t>
      </w:r>
      <w:r>
        <w:rPr>
          <w:szCs w:val="21"/>
        </w:rPr>
        <w:t>7</w:t>
      </w:r>
      <w:r>
        <w:rPr>
          <w:rFonts w:hint="eastAsia"/>
          <w:szCs w:val="21"/>
        </w:rPr>
        <w:t>天内批复开工报审或下达开工通知。</w:t>
      </w:r>
    </w:p>
    <w:p>
      <w:pPr>
        <w:numPr>
          <w:ilvl w:val="0"/>
          <w:numId w:val="7"/>
        </w:numPr>
        <w:spacing w:line="400" w:lineRule="exact"/>
        <w:ind w:firstLine="424" w:firstLineChars="202"/>
        <w:rPr>
          <w:szCs w:val="21"/>
        </w:rPr>
      </w:pPr>
      <w:r>
        <w:rPr>
          <w:rFonts w:hint="eastAsia"/>
          <w:szCs w:val="21"/>
        </w:rPr>
        <w:t>建设单位未能按施工合同约定日期支付工程预付款、进度款或竣工结算款。</w:t>
      </w:r>
    </w:p>
    <w:p>
      <w:pPr>
        <w:numPr>
          <w:ilvl w:val="0"/>
          <w:numId w:val="7"/>
        </w:numPr>
        <w:spacing w:line="400" w:lineRule="exact"/>
        <w:ind w:firstLine="424" w:firstLineChars="202"/>
        <w:rPr>
          <w:szCs w:val="21"/>
        </w:rPr>
      </w:pPr>
      <w:r>
        <w:rPr>
          <w:rFonts w:hint="eastAsia"/>
          <w:szCs w:val="21"/>
        </w:rPr>
        <w:t>项目监理机构未按合同约定发出指示、核准等文件。</w:t>
      </w:r>
    </w:p>
    <w:p>
      <w:pPr>
        <w:numPr>
          <w:ilvl w:val="0"/>
          <w:numId w:val="7"/>
        </w:numPr>
        <w:spacing w:line="400" w:lineRule="exact"/>
        <w:ind w:firstLine="424" w:firstLineChars="202"/>
        <w:rPr>
          <w:szCs w:val="21"/>
        </w:rPr>
      </w:pPr>
      <w:r>
        <w:rPr>
          <w:rFonts w:hint="eastAsia"/>
          <w:szCs w:val="21"/>
        </w:rPr>
        <w:t>发生不可抗力事件。</w:t>
      </w:r>
    </w:p>
    <w:p>
      <w:pPr>
        <w:numPr>
          <w:ilvl w:val="0"/>
          <w:numId w:val="7"/>
        </w:numPr>
        <w:spacing w:line="400" w:lineRule="exact"/>
        <w:ind w:firstLine="424" w:firstLineChars="202"/>
        <w:rPr>
          <w:szCs w:val="21"/>
        </w:rPr>
      </w:pPr>
      <w:r>
        <w:rPr>
          <w:rFonts w:hint="eastAsia"/>
          <w:szCs w:val="21"/>
        </w:rPr>
        <w:t>施工合同专用合同条款中约定的其他情形。</w:t>
      </w:r>
    </w:p>
    <w:p>
      <w:pPr>
        <w:spacing w:line="400" w:lineRule="exact"/>
        <w:ind w:firstLine="420" w:firstLineChars="200"/>
        <w:rPr>
          <w:szCs w:val="21"/>
        </w:rPr>
      </w:pPr>
      <w:r>
        <w:rPr>
          <w:rFonts w:hint="eastAsia"/>
          <w:szCs w:val="21"/>
        </w:rPr>
        <w:t>施工单位在报审时应附工程延期的依据、工期计算、申请延长竣工日期等证明资料。项目监理机构应根据相关规定和施工合同的约定，对工程延期证明材料等进行审查，留存相关审查记录，并与建设单位、施工单位协商后提出工程延长工期天数的审核意见，报建设单位审批。如不同意延期的，应说明理由。施工单位须在施工合同约定的期限内提出工程延期的申请，项目监理机构、建设单位亦应在施工合同约定的期限内予以回复审核、提出审批意见。</w:t>
      </w:r>
    </w:p>
    <w:p>
      <w:pPr>
        <w:spacing w:line="400" w:lineRule="exact"/>
        <w:rPr>
          <w:rFonts w:eastAsia="黑体"/>
          <w:sz w:val="24"/>
        </w:rPr>
      </w:pPr>
      <w:r>
        <w:rPr>
          <w:rFonts w:eastAsia="黑体"/>
          <w:sz w:val="24"/>
        </w:rPr>
        <w:t xml:space="preserve">B.4.1  </w:t>
      </w:r>
      <w:r>
        <w:rPr>
          <w:rFonts w:hint="eastAsia" w:eastAsia="黑体"/>
          <w:sz w:val="24"/>
        </w:rPr>
        <w:t>施工起重机械设备安装</w:t>
      </w:r>
      <w:r>
        <w:rPr>
          <w:rFonts w:eastAsia="黑体"/>
          <w:sz w:val="24"/>
        </w:rPr>
        <w:t>/</w:t>
      </w:r>
      <w:r>
        <w:rPr>
          <w:rFonts w:hint="eastAsia" w:eastAsia="黑体"/>
          <w:sz w:val="24"/>
        </w:rPr>
        <w:t>使用</w:t>
      </w:r>
      <w:r>
        <w:rPr>
          <w:rFonts w:eastAsia="黑体"/>
          <w:sz w:val="24"/>
        </w:rPr>
        <w:t>/</w:t>
      </w:r>
      <w:r>
        <w:rPr>
          <w:rFonts w:hint="eastAsia" w:eastAsia="黑体"/>
          <w:sz w:val="24"/>
        </w:rPr>
        <w:t>拆卸报审表</w:t>
      </w:r>
    </w:p>
    <w:p>
      <w:pPr>
        <w:spacing w:line="400" w:lineRule="exact"/>
        <w:ind w:firstLine="420"/>
        <w:rPr>
          <w:szCs w:val="21"/>
        </w:rPr>
      </w:pPr>
      <w:r>
        <w:rPr>
          <w:rFonts w:hint="eastAsia"/>
          <w:szCs w:val="21"/>
        </w:rPr>
        <w:t>本表是施工单位向项目监理机构报审用于本工程施工起重机械设备（塔吊、附墙电梯、整体提升式脚手架、滑模等自升式架设设施等）安装</w:t>
      </w:r>
      <w:r>
        <w:rPr>
          <w:szCs w:val="21"/>
        </w:rPr>
        <w:t>/</w:t>
      </w:r>
      <w:r>
        <w:rPr>
          <w:rFonts w:hint="eastAsia"/>
          <w:szCs w:val="21"/>
        </w:rPr>
        <w:t>使用</w:t>
      </w:r>
      <w:r>
        <w:rPr>
          <w:szCs w:val="21"/>
        </w:rPr>
        <w:t>/</w:t>
      </w:r>
      <w:r>
        <w:rPr>
          <w:rFonts w:hint="eastAsia"/>
          <w:szCs w:val="21"/>
        </w:rPr>
        <w:t>拆卸的专项用表。</w:t>
      </w:r>
    </w:p>
    <w:p>
      <w:pPr>
        <w:spacing w:line="400" w:lineRule="exact"/>
        <w:ind w:firstLine="420"/>
        <w:rPr>
          <w:szCs w:val="21"/>
        </w:rPr>
      </w:pPr>
      <w:r>
        <w:rPr>
          <w:rFonts w:hint="eastAsia"/>
          <w:szCs w:val="21"/>
        </w:rPr>
        <w:t>按原建设部《建筑起重机械安全监督管理规定》（建设部</w:t>
      </w:r>
      <w:r>
        <w:rPr>
          <w:szCs w:val="21"/>
        </w:rPr>
        <w:t>166</w:t>
      </w:r>
      <w:r>
        <w:rPr>
          <w:rFonts w:hint="eastAsia"/>
          <w:szCs w:val="21"/>
        </w:rPr>
        <w:t>号令）中的有关规定，要求监理单位核查设备的合格证，核查专业安装、拆卸单位的资质和人员的资格，审核设备安装、拆卸方案，核查第三方专业检测单位的资质、检测人员的资格和检测报告，核查由施工单位、安装单位、设备租赁单位、检测单位参加并签字盖章的验收合格证明，核查政府有关部门同意登记备案的证明，审查工程起重机械设备操作和维护保养制度，核查设备操作人员的上岗资格等。施工单位在施工起重机械设备安装前、安装完毕使用前、使用结束拆卸前三个时段应分别进行报审。施工单位每次报审应附本表中所列的附件资料，项目监理机构应对所附资料进行核实、审查和备案。</w:t>
      </w:r>
    </w:p>
    <w:p>
      <w:pPr>
        <w:spacing w:line="400" w:lineRule="exact"/>
        <w:ind w:firstLine="420"/>
        <w:rPr>
          <w:szCs w:val="21"/>
        </w:rPr>
      </w:pPr>
      <w:r>
        <w:rPr>
          <w:rFonts w:hint="eastAsia"/>
          <w:szCs w:val="21"/>
        </w:rPr>
        <w:t>施工起重机械设备的顶升、附着，施工单位应参照本报审表报审。</w:t>
      </w:r>
    </w:p>
    <w:p>
      <w:pPr>
        <w:spacing w:line="400" w:lineRule="exact"/>
        <w:rPr>
          <w:rFonts w:eastAsia="黑体"/>
          <w:sz w:val="24"/>
        </w:rPr>
      </w:pPr>
      <w:r>
        <w:rPr>
          <w:rFonts w:eastAsia="黑体"/>
          <w:sz w:val="24"/>
        </w:rPr>
        <w:t xml:space="preserve">B.4.2  </w:t>
      </w:r>
      <w:r>
        <w:rPr>
          <w:rFonts w:hint="eastAsia" w:eastAsia="黑体"/>
          <w:sz w:val="24"/>
        </w:rPr>
        <w:t>危大工程验收告知单</w:t>
      </w:r>
    </w:p>
    <w:p>
      <w:pPr>
        <w:spacing w:line="400" w:lineRule="exact"/>
        <w:ind w:firstLine="420"/>
        <w:rPr>
          <w:szCs w:val="21"/>
        </w:rPr>
      </w:pPr>
      <w:r>
        <w:rPr>
          <w:rFonts w:hint="eastAsia"/>
          <w:szCs w:val="21"/>
        </w:rPr>
        <w:t>根据《危险性较大的分部分项工程安全管理规定》，项目监理机构应参与危大工程验收。对于需要验收的危大工程，验收前，施工单位应使用本告知单提前通知项目监理机构，项目监理机构收到本告知单后，在约定时间内参与验收。</w:t>
      </w:r>
    </w:p>
    <w:p>
      <w:pPr>
        <w:spacing w:line="400" w:lineRule="exact"/>
        <w:rPr>
          <w:rFonts w:eastAsia="黑体"/>
          <w:sz w:val="24"/>
        </w:rPr>
      </w:pPr>
      <w:r>
        <w:rPr>
          <w:rFonts w:eastAsia="黑体"/>
          <w:bCs/>
          <w:sz w:val="24"/>
        </w:rPr>
        <w:t xml:space="preserve">B.5.1  </w:t>
      </w:r>
      <w:r>
        <w:rPr>
          <w:rFonts w:hint="eastAsia" w:eastAsia="黑体"/>
          <w:bCs/>
          <w:sz w:val="24"/>
        </w:rPr>
        <w:t>监理通知回复单</w:t>
      </w:r>
      <w:r>
        <w:rPr>
          <w:rFonts w:hint="eastAsia" w:eastAsia="黑体"/>
          <w:sz w:val="24"/>
        </w:rPr>
        <w:t>（</w:t>
      </w:r>
      <w:r>
        <w:rPr>
          <w:rFonts w:eastAsia="黑体"/>
          <w:sz w:val="24"/>
        </w:rPr>
        <w:t xml:space="preserve">      </w:t>
      </w:r>
      <w:r>
        <w:rPr>
          <w:rFonts w:hint="eastAsia" w:eastAsia="黑体"/>
          <w:sz w:val="24"/>
        </w:rPr>
        <w:t>类）</w:t>
      </w:r>
    </w:p>
    <w:p>
      <w:pPr>
        <w:spacing w:line="400" w:lineRule="exact"/>
        <w:rPr>
          <w:szCs w:val="21"/>
        </w:rPr>
      </w:pPr>
      <w:r>
        <w:rPr>
          <w:b/>
          <w:bCs/>
          <w:szCs w:val="21"/>
        </w:rPr>
        <w:t xml:space="preserve">    </w:t>
      </w:r>
      <w:r>
        <w:rPr>
          <w:rFonts w:hint="eastAsia"/>
          <w:szCs w:val="21"/>
        </w:rPr>
        <w:t>本表是施工单位在收到</w:t>
      </w:r>
      <w:r>
        <w:rPr>
          <w:szCs w:val="21"/>
        </w:rPr>
        <w:t>“A.0.10</w:t>
      </w:r>
      <w:r>
        <w:rPr>
          <w:rFonts w:hint="eastAsia"/>
          <w:szCs w:val="21"/>
        </w:rPr>
        <w:t>监理通知单</w:t>
      </w:r>
      <w:r>
        <w:rPr>
          <w:szCs w:val="21"/>
        </w:rPr>
        <w:t>”</w:t>
      </w:r>
      <w:r>
        <w:rPr>
          <w:rFonts w:hint="eastAsia"/>
          <w:szCs w:val="21"/>
        </w:rPr>
        <w:t>后，根据通知要求在规定时间内完成相关工作，自查符合要求后报请项目监理机构进行复查的用表，通知回复单中应附整改完成后的相关资料（如：图片）作为附件。项目监理机构应及时核查、记录并签署复查意见。</w:t>
      </w:r>
    </w:p>
    <w:p>
      <w:pPr>
        <w:spacing w:line="400" w:lineRule="exact"/>
        <w:rPr>
          <w:rFonts w:eastAsia="黑体"/>
          <w:bCs/>
          <w:sz w:val="24"/>
        </w:rPr>
      </w:pPr>
      <w:r>
        <w:rPr>
          <w:rFonts w:eastAsia="黑体"/>
          <w:bCs/>
          <w:sz w:val="24"/>
        </w:rPr>
        <w:t xml:space="preserve">B.5.2  </w:t>
      </w:r>
      <w:r>
        <w:rPr>
          <w:rFonts w:hint="eastAsia" w:eastAsia="黑体"/>
          <w:bCs/>
          <w:sz w:val="24"/>
        </w:rPr>
        <w:t>工程复工报审表</w:t>
      </w:r>
    </w:p>
    <w:p>
      <w:pPr>
        <w:spacing w:line="400" w:lineRule="exact"/>
        <w:rPr>
          <w:szCs w:val="21"/>
        </w:rPr>
      </w:pPr>
      <w:r>
        <w:rPr>
          <w:b/>
          <w:bCs/>
          <w:szCs w:val="21"/>
        </w:rPr>
        <w:t xml:space="preserve">   </w:t>
      </w:r>
      <w:r>
        <w:rPr>
          <w:rFonts w:hint="eastAsia"/>
          <w:szCs w:val="21"/>
        </w:rPr>
        <w:t>本表是工程暂停后，当停工原因消失，施工单位准备恢复施工，向项目监理机构申请复工的用表。工程复工报审需提供相关证明材料，必要时，还需提供工程恢复施工的安全措施。项目监理机构应及时予以核查、评估，提出审核意见报建设单位审批。</w:t>
      </w:r>
    </w:p>
    <w:p>
      <w:pPr>
        <w:spacing w:line="400" w:lineRule="exact"/>
        <w:rPr>
          <w:szCs w:val="21"/>
        </w:rPr>
      </w:pPr>
      <w:r>
        <w:rPr>
          <w:rFonts w:eastAsia="黑体"/>
          <w:bCs/>
          <w:sz w:val="24"/>
        </w:rPr>
        <w:t xml:space="preserve">B.5.3  </w:t>
      </w:r>
      <w:r>
        <w:rPr>
          <w:rFonts w:hint="eastAsia" w:eastAsia="黑体"/>
          <w:bCs/>
          <w:sz w:val="24"/>
        </w:rPr>
        <w:t>单位工程竣工验收报审表</w:t>
      </w:r>
    </w:p>
    <w:p>
      <w:pPr>
        <w:spacing w:line="400" w:lineRule="exact"/>
        <w:rPr>
          <w:szCs w:val="21"/>
        </w:rPr>
      </w:pPr>
      <w:r>
        <w:rPr>
          <w:b/>
          <w:bCs/>
          <w:szCs w:val="21"/>
        </w:rPr>
        <w:t xml:space="preserve">    </w:t>
      </w:r>
      <w:r>
        <w:rPr>
          <w:rFonts w:hint="eastAsia"/>
          <w:szCs w:val="21"/>
        </w:rPr>
        <w:t>本表是施工单位已按施工合同约定，完成设计文件所要求的施工内容，自检符合竣工验收条件后，向项目监理机构和建设单位提出竣工验收申请的用表。工程具备以下条件的，施工单位可以申请竣工验收：</w:t>
      </w:r>
    </w:p>
    <w:p>
      <w:pPr>
        <w:numPr>
          <w:ilvl w:val="0"/>
          <w:numId w:val="8"/>
        </w:numPr>
        <w:spacing w:line="400" w:lineRule="exact"/>
        <w:ind w:firstLine="424" w:firstLineChars="202"/>
        <w:rPr>
          <w:szCs w:val="21"/>
        </w:rPr>
      </w:pPr>
      <w:r>
        <w:rPr>
          <w:rFonts w:hint="eastAsia"/>
          <w:szCs w:val="21"/>
        </w:rPr>
        <w:t>除建设单位同意的甩项工作和缺陷修补工作外，施工合同范围内的全部工程以及有关工作，包括合同要求的试验，试运行以及检验均已完成，并符合施工合同要求。</w:t>
      </w:r>
    </w:p>
    <w:p>
      <w:pPr>
        <w:numPr>
          <w:ilvl w:val="0"/>
          <w:numId w:val="8"/>
        </w:numPr>
        <w:spacing w:line="400" w:lineRule="exact"/>
        <w:ind w:firstLine="424" w:firstLineChars="202"/>
        <w:rPr>
          <w:szCs w:val="21"/>
        </w:rPr>
      </w:pPr>
      <w:r>
        <w:rPr>
          <w:rFonts w:hint="eastAsia"/>
          <w:szCs w:val="21"/>
        </w:rPr>
        <w:t>已按施工合同约定编制了甩项工作和缺陷修补工作清单以及相应的施工计划。</w:t>
      </w:r>
    </w:p>
    <w:p>
      <w:pPr>
        <w:numPr>
          <w:ilvl w:val="0"/>
          <w:numId w:val="8"/>
        </w:numPr>
        <w:spacing w:line="400" w:lineRule="exact"/>
        <w:ind w:firstLine="424" w:firstLineChars="202"/>
        <w:rPr>
          <w:szCs w:val="21"/>
        </w:rPr>
      </w:pPr>
      <w:r>
        <w:rPr>
          <w:rFonts w:hint="eastAsia"/>
          <w:szCs w:val="21"/>
        </w:rPr>
        <w:t>已按合同约定的内容和份数备齐竣工资料。</w:t>
      </w:r>
    </w:p>
    <w:p>
      <w:pPr>
        <w:spacing w:line="400" w:lineRule="exact"/>
        <w:ind w:firstLine="422" w:firstLineChars="201"/>
        <w:rPr>
          <w:szCs w:val="21"/>
        </w:rPr>
      </w:pPr>
      <w:r>
        <w:rPr>
          <w:rFonts w:hint="eastAsia"/>
          <w:szCs w:val="21"/>
        </w:rPr>
        <w:t>项目监理机构收到单位工程竣工验收报审表后，应及时组织相关参建单位进行工程竣工预验收。存在问题的，应要求施工单位及时整改；合格的，总监理工程师应在收到本报审表后</w:t>
      </w:r>
      <w:r>
        <w:rPr>
          <w:szCs w:val="21"/>
        </w:rPr>
        <w:t>14</w:t>
      </w:r>
      <w:r>
        <w:rPr>
          <w:rFonts w:hint="eastAsia"/>
          <w:szCs w:val="21"/>
        </w:rPr>
        <w:t>天内签认单位工程竣工验收报审表，报请建设单位组织竣工验收，或要求施工单位整改后重新报审。</w:t>
      </w:r>
    </w:p>
    <w:p>
      <w:pPr>
        <w:spacing w:line="400" w:lineRule="exact"/>
        <w:rPr>
          <w:rFonts w:eastAsia="黑体"/>
          <w:sz w:val="24"/>
        </w:rPr>
      </w:pPr>
      <w:r>
        <w:rPr>
          <w:rFonts w:eastAsia="黑体"/>
          <w:bCs/>
          <w:sz w:val="24"/>
        </w:rPr>
        <w:t xml:space="preserve">B.5.4  </w:t>
      </w:r>
      <w:r>
        <w:rPr>
          <w:rFonts w:hint="eastAsia" w:eastAsia="黑体"/>
          <w:bCs/>
          <w:sz w:val="24"/>
        </w:rPr>
        <w:t>施工单位通用报审表</w:t>
      </w:r>
    </w:p>
    <w:p>
      <w:pPr>
        <w:spacing w:line="400" w:lineRule="exact"/>
        <w:ind w:firstLine="420"/>
        <w:rPr>
          <w:szCs w:val="21"/>
        </w:rPr>
      </w:pPr>
      <w:r>
        <w:rPr>
          <w:rFonts w:hint="eastAsia"/>
          <w:szCs w:val="21"/>
        </w:rPr>
        <w:t>本表是施工单位向项目监理机构报审</w:t>
      </w:r>
      <w:r>
        <w:rPr>
          <w:szCs w:val="21"/>
        </w:rPr>
        <w:t>B</w:t>
      </w:r>
      <w:r>
        <w:rPr>
          <w:rFonts w:hint="eastAsia"/>
          <w:szCs w:val="21"/>
        </w:rPr>
        <w:t>类表中其他用表所未能包括的事项的用表。</w:t>
      </w:r>
    </w:p>
    <w:p>
      <w:pPr>
        <w:spacing w:line="400" w:lineRule="exact"/>
        <w:rPr>
          <w:rFonts w:eastAsia="黑体"/>
          <w:bCs/>
          <w:sz w:val="24"/>
        </w:rPr>
      </w:pPr>
      <w:r>
        <w:rPr>
          <w:rFonts w:eastAsia="黑体"/>
          <w:bCs/>
          <w:sz w:val="24"/>
        </w:rPr>
        <w:t xml:space="preserve">B.5.5  </w:t>
      </w:r>
      <w:r>
        <w:rPr>
          <w:rFonts w:hint="eastAsia" w:eastAsia="黑体"/>
          <w:bCs/>
          <w:sz w:val="24"/>
        </w:rPr>
        <w:t>工程变更申请表</w:t>
      </w:r>
    </w:p>
    <w:p>
      <w:pPr>
        <w:spacing w:line="400" w:lineRule="exact"/>
        <w:ind w:firstLine="420" w:firstLineChars="200"/>
        <w:rPr>
          <w:szCs w:val="21"/>
        </w:rPr>
      </w:pPr>
      <w:r>
        <w:rPr>
          <w:rFonts w:hint="eastAsia"/>
          <w:szCs w:val="21"/>
        </w:rPr>
        <w:t>本表是施工单位就工程变更事宜向项目监理机构提出工程变更申请的用表。该表应写明工程变更原因、工程变更内容等，项目监理机构应根据相关规定及施工合同约定对施工单位提出的工程变更进行审查，提出审查意见，并经建设单位审批。对涉及工程设计文件修改的工程变更，应由建设单位转交原设计单位修改工程设计文件；如涉及工程规模变化、结构重大修改、建筑节能变更等，必须经原审图机构审查同意。</w:t>
      </w:r>
    </w:p>
    <w:p>
      <w:pPr>
        <w:spacing w:line="400" w:lineRule="exact"/>
        <w:rPr>
          <w:szCs w:val="21"/>
        </w:rPr>
      </w:pPr>
    </w:p>
    <w:p>
      <w:pPr>
        <w:spacing w:line="400" w:lineRule="exact"/>
        <w:rPr>
          <w:rFonts w:eastAsia="黑体"/>
          <w:sz w:val="28"/>
          <w:szCs w:val="28"/>
        </w:rPr>
      </w:pPr>
      <w:r>
        <w:rPr>
          <w:rFonts w:eastAsia="黑体"/>
          <w:sz w:val="28"/>
          <w:szCs w:val="28"/>
        </w:rPr>
        <w:t>C</w:t>
      </w:r>
      <w:r>
        <w:rPr>
          <w:rFonts w:hint="eastAsia" w:eastAsia="黑体"/>
          <w:sz w:val="28"/>
          <w:szCs w:val="28"/>
        </w:rPr>
        <w:t>类表</w:t>
      </w:r>
    </w:p>
    <w:p>
      <w:pPr>
        <w:spacing w:line="400" w:lineRule="exact"/>
        <w:rPr>
          <w:rFonts w:eastAsia="黑体"/>
          <w:bCs/>
          <w:sz w:val="24"/>
        </w:rPr>
      </w:pPr>
      <w:r>
        <w:rPr>
          <w:rFonts w:eastAsia="黑体"/>
          <w:bCs/>
          <w:sz w:val="24"/>
        </w:rPr>
        <w:t xml:space="preserve">C.0.1  </w:t>
      </w:r>
      <w:r>
        <w:rPr>
          <w:rFonts w:hint="eastAsia" w:eastAsia="黑体"/>
          <w:bCs/>
          <w:sz w:val="24"/>
        </w:rPr>
        <w:t>工程联系单</w:t>
      </w:r>
      <w:r>
        <w:rPr>
          <w:rFonts w:eastAsia="黑体"/>
          <w:bCs/>
          <w:sz w:val="24"/>
        </w:rPr>
        <w:t xml:space="preserve"> </w:t>
      </w:r>
    </w:p>
    <w:p>
      <w:pPr>
        <w:spacing w:line="400" w:lineRule="exact"/>
        <w:rPr>
          <w:bCs/>
          <w:szCs w:val="21"/>
        </w:rPr>
      </w:pPr>
      <w:r>
        <w:rPr>
          <w:szCs w:val="21"/>
        </w:rPr>
        <w:t xml:space="preserve">    </w:t>
      </w:r>
      <w:r>
        <w:rPr>
          <w:rFonts w:hint="eastAsia"/>
          <w:szCs w:val="21"/>
        </w:rPr>
        <w:t>本表是项目监理机构与工程参建各方（包括建设、施工、监理、勘察设计等）相互之间的日常书面工作联系用表。发文单位有权签发的人员应为：建设单位的现场代表，施工单位的项目经理，监理单位的项目总监理工程师</w:t>
      </w:r>
      <w:r>
        <w:rPr>
          <w:szCs w:val="21"/>
        </w:rPr>
        <w:t>/</w:t>
      </w:r>
      <w:r>
        <w:rPr>
          <w:rFonts w:hint="eastAsia"/>
          <w:szCs w:val="21"/>
        </w:rPr>
        <w:t>总监</w:t>
      </w:r>
      <w:r>
        <w:rPr>
          <w:rFonts w:hint="eastAsia"/>
          <w:bCs/>
          <w:szCs w:val="21"/>
        </w:rPr>
        <w:t>理工程师代表，勘察设计单位的项目负责人及项目其他参建单位的相关负责人。</w:t>
      </w:r>
    </w:p>
    <w:p>
      <w:pPr>
        <w:spacing w:line="400" w:lineRule="exact"/>
        <w:rPr>
          <w:szCs w:val="21"/>
        </w:rPr>
      </w:pPr>
      <w:r>
        <w:rPr>
          <w:rFonts w:eastAsia="黑体"/>
          <w:bCs/>
          <w:sz w:val="24"/>
        </w:rPr>
        <w:t>C.0.2</w:t>
      </w:r>
      <w:r>
        <w:rPr>
          <w:rFonts w:eastAsia="黑体"/>
          <w:b/>
          <w:bCs/>
          <w:sz w:val="24"/>
        </w:rPr>
        <w:t xml:space="preserve"> </w:t>
      </w:r>
      <w:r>
        <w:rPr>
          <w:rFonts w:eastAsia="黑体"/>
          <w:bCs/>
          <w:sz w:val="24"/>
        </w:rPr>
        <w:t xml:space="preserve"> </w:t>
      </w:r>
      <w:r>
        <w:rPr>
          <w:rFonts w:hint="eastAsia" w:eastAsia="黑体"/>
          <w:bCs/>
          <w:sz w:val="24"/>
        </w:rPr>
        <w:t>索赔意向通知书</w:t>
      </w:r>
      <w:r>
        <w:rPr>
          <w:bCs/>
          <w:szCs w:val="21"/>
        </w:rPr>
        <w:t xml:space="preserve"> </w:t>
      </w:r>
    </w:p>
    <w:p>
      <w:pPr>
        <w:spacing w:line="400" w:lineRule="exact"/>
        <w:rPr>
          <w:szCs w:val="21"/>
        </w:rPr>
      </w:pPr>
      <w:r>
        <w:rPr>
          <w:szCs w:val="21"/>
        </w:rPr>
        <w:t xml:space="preserve">    </w:t>
      </w:r>
      <w:r>
        <w:rPr>
          <w:rFonts w:hint="eastAsia"/>
          <w:szCs w:val="21"/>
        </w:rPr>
        <w:t>本表是具有索赔意向的单位依据法律法规和合同向项目监理机构、相关索赔对象提出索赔意向的用表。有索赔意向的单位应该根据合同的约定在索赔事件发生的</w:t>
      </w:r>
      <w:r>
        <w:rPr>
          <w:szCs w:val="21"/>
        </w:rPr>
        <w:t>28</w:t>
      </w:r>
      <w:r>
        <w:rPr>
          <w:rFonts w:hint="eastAsia"/>
          <w:szCs w:val="21"/>
        </w:rPr>
        <w:t>天内提交索赔意向书，并附索赔事件的相关证据；在索赔事件影响结束后</w:t>
      </w:r>
      <w:r>
        <w:rPr>
          <w:szCs w:val="21"/>
        </w:rPr>
        <w:t>28</w:t>
      </w:r>
      <w:r>
        <w:rPr>
          <w:rFonts w:hint="eastAsia"/>
          <w:szCs w:val="21"/>
        </w:rPr>
        <w:t>天内提交最终索赔报告。索赔意向通知书宜明确以下内容：</w:t>
      </w:r>
    </w:p>
    <w:p>
      <w:pPr>
        <w:numPr>
          <w:ilvl w:val="0"/>
          <w:numId w:val="9"/>
        </w:numPr>
        <w:spacing w:line="400" w:lineRule="exact"/>
        <w:ind w:firstLine="424" w:firstLineChars="202"/>
        <w:rPr>
          <w:szCs w:val="21"/>
        </w:rPr>
      </w:pPr>
      <w:r>
        <w:rPr>
          <w:rFonts w:hint="eastAsia"/>
          <w:szCs w:val="21"/>
        </w:rPr>
        <w:t>事件发生的时间和情况的简单描述</w:t>
      </w:r>
      <w:r>
        <w:rPr>
          <w:rFonts w:hint="eastAsia" w:hAnsi="Times New Roman"/>
          <w:szCs w:val="21"/>
        </w:rPr>
        <w:t>。</w:t>
      </w:r>
    </w:p>
    <w:p>
      <w:pPr>
        <w:numPr>
          <w:ilvl w:val="0"/>
          <w:numId w:val="9"/>
        </w:numPr>
        <w:spacing w:line="400" w:lineRule="exact"/>
        <w:ind w:firstLine="424" w:firstLineChars="202"/>
        <w:rPr>
          <w:szCs w:val="21"/>
        </w:rPr>
      </w:pPr>
      <w:r>
        <w:rPr>
          <w:rFonts w:hint="eastAsia"/>
          <w:szCs w:val="21"/>
        </w:rPr>
        <w:t>合同依据的条款和理由</w:t>
      </w:r>
      <w:r>
        <w:rPr>
          <w:rFonts w:hint="eastAsia" w:hAnsi="Times New Roman"/>
          <w:szCs w:val="21"/>
        </w:rPr>
        <w:t>。</w:t>
      </w:r>
    </w:p>
    <w:p>
      <w:pPr>
        <w:numPr>
          <w:ilvl w:val="0"/>
          <w:numId w:val="9"/>
        </w:numPr>
        <w:spacing w:line="400" w:lineRule="exact"/>
        <w:ind w:firstLine="424" w:firstLineChars="202"/>
        <w:rPr>
          <w:szCs w:val="21"/>
        </w:rPr>
      </w:pPr>
      <w:r>
        <w:rPr>
          <w:rFonts w:hint="eastAsia"/>
          <w:szCs w:val="21"/>
        </w:rPr>
        <w:t>有关后续资料的提供，包括及时记录和提供事件发展的动态</w:t>
      </w:r>
      <w:r>
        <w:rPr>
          <w:rFonts w:hint="eastAsia" w:hAnsi="Times New Roman"/>
          <w:szCs w:val="21"/>
        </w:rPr>
        <w:t>。</w:t>
      </w:r>
    </w:p>
    <w:p>
      <w:pPr>
        <w:numPr>
          <w:ilvl w:val="0"/>
          <w:numId w:val="9"/>
        </w:numPr>
        <w:spacing w:line="400" w:lineRule="exact"/>
        <w:ind w:firstLine="424" w:firstLineChars="202"/>
        <w:rPr>
          <w:szCs w:val="21"/>
        </w:rPr>
      </w:pPr>
      <w:r>
        <w:rPr>
          <w:rFonts w:hint="eastAsia"/>
          <w:szCs w:val="21"/>
        </w:rPr>
        <w:t>对工程成本和工期产生的不利影响及其严重程度的初步评估</w:t>
      </w:r>
      <w:r>
        <w:rPr>
          <w:rFonts w:hint="eastAsia" w:hAnsi="Times New Roman"/>
          <w:szCs w:val="21"/>
        </w:rPr>
        <w:t>。</w:t>
      </w:r>
    </w:p>
    <w:p>
      <w:pPr>
        <w:numPr>
          <w:ilvl w:val="0"/>
          <w:numId w:val="9"/>
        </w:numPr>
        <w:spacing w:line="400" w:lineRule="exact"/>
        <w:ind w:firstLine="424" w:firstLineChars="202"/>
        <w:rPr>
          <w:szCs w:val="21"/>
        </w:rPr>
      </w:pPr>
      <w:r>
        <w:rPr>
          <w:rFonts w:hint="eastAsia"/>
          <w:szCs w:val="21"/>
        </w:rPr>
        <w:t>声明</w:t>
      </w:r>
      <w:r>
        <w:rPr>
          <w:szCs w:val="21"/>
        </w:rPr>
        <w:t>/</w:t>
      </w:r>
      <w:r>
        <w:rPr>
          <w:rFonts w:hint="eastAsia"/>
          <w:szCs w:val="21"/>
        </w:rPr>
        <w:t>告知拟进行相关索赔的意向。</w:t>
      </w:r>
    </w:p>
    <w:p>
      <w:pPr>
        <w:spacing w:line="400" w:lineRule="exact"/>
        <w:rPr>
          <w:szCs w:val="21"/>
        </w:rPr>
      </w:pPr>
    </w:p>
    <w:p>
      <w:pPr>
        <w:widowControl/>
        <w:spacing w:beforeAutospacing="1" w:afterAutospacing="1"/>
        <w:jc w:val="left"/>
        <w:rPr>
          <w:szCs w:val="21"/>
        </w:rPr>
        <w:sectPr>
          <w:pgSz w:w="11906" w:h="16838"/>
          <w:pgMar w:top="1701" w:right="1701" w:bottom="1701" w:left="1701" w:header="851" w:footer="1191" w:gutter="0"/>
          <w:cols w:space="720" w:num="1"/>
          <w:docGrid w:type="lines" w:linePitch="312" w:charSpace="0"/>
        </w:sectPr>
      </w:pPr>
    </w:p>
    <w:p>
      <w:pPr>
        <w:spacing w:line="380" w:lineRule="exact"/>
        <w:jc w:val="right"/>
        <w:rPr>
          <w:rFonts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A.0.1</w:t>
      </w:r>
    </w:p>
    <w:p>
      <w:pPr>
        <w:spacing w:before="312" w:beforeLines="100" w:after="312" w:afterLines="100"/>
        <w:jc w:val="center"/>
        <w:rPr>
          <w:rFonts w:ascii="Times New Roman" w:eastAsia="黑体"/>
          <w:sz w:val="44"/>
          <w:szCs w:val="44"/>
          <w:u w:val="single" w:color="FF0000"/>
          <w14:shadow w14:blurRad="50800" w14:dist="38100" w14:dir="2700000" w14:sx="100000" w14:sy="100000" w14:kx="0" w14:ky="0" w14:algn="tl">
            <w14:srgbClr w14:val="000000">
              <w14:alpha w14:val="60000"/>
            </w14:srgbClr>
          </w14:shadow>
        </w:rPr>
      </w:pPr>
      <w:r>
        <w:rPr>
          <w:rFonts w:hint="eastAsia" w:ascii="Times New Roman" w:eastAsia="黑体"/>
          <w:sz w:val="44"/>
          <w:szCs w:val="44"/>
          <w14:shadow w14:blurRad="50800" w14:dist="38100" w14:dir="2700000" w14:sx="100000" w14:sy="100000" w14:kx="0" w14:ky="0" w14:algn="tl">
            <w14:srgbClr w14:val="000000">
              <w14:alpha w14:val="60000"/>
            </w14:srgbClr>
          </w14:shadow>
        </w:rPr>
        <w:t>总监理工程师任命书</w:t>
      </w:r>
    </w:p>
    <w:p>
      <w:pPr>
        <w:spacing w:after="156" w:afterLines="50"/>
        <w:rPr>
          <w:rFonts w:hint="eastAsia"/>
          <w:szCs w:val="21"/>
          <w:u w:val="single"/>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A.0.1</w:t>
      </w:r>
      <w:r>
        <w:rPr>
          <w:rFonts w:hint="eastAsia"/>
          <w:szCs w:val="21"/>
        </w:rPr>
        <w:t>－</w:t>
      </w:r>
      <w:r>
        <w:rPr>
          <w:szCs w:val="21"/>
          <w:u w:val="single"/>
        </w:rPr>
        <w:t xml:space="preserve">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47"/>
        <w:gridCol w:w="691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813" w:hRule="atLeast"/>
          <w:jc w:val="center"/>
        </w:trPr>
        <w:tc>
          <w:tcPr>
            <w:tcW w:w="1747" w:type="dxa"/>
            <w:tcBorders>
              <w:top w:val="single" w:color="auto" w:sz="8" w:space="0"/>
              <w:left w:val="single" w:color="auto" w:sz="8" w:space="0"/>
              <w:bottom w:val="single" w:color="auto" w:sz="4" w:space="0"/>
              <w:right w:val="single" w:color="auto" w:sz="4" w:space="0"/>
            </w:tcBorders>
            <w:noWrap w:val="0"/>
            <w:vAlign w:val="center"/>
          </w:tcPr>
          <w:p>
            <w:pPr>
              <w:spacing w:line="420" w:lineRule="exact"/>
              <w:jc w:val="center"/>
              <w:rPr>
                <w:szCs w:val="21"/>
              </w:rPr>
            </w:pPr>
            <w:r>
              <w:rPr>
                <w:rFonts w:hint="eastAsia"/>
                <w:szCs w:val="21"/>
              </w:rPr>
              <w:t>建设单位签收人</w:t>
            </w:r>
          </w:p>
          <w:p>
            <w:pPr>
              <w:spacing w:line="420" w:lineRule="exact"/>
              <w:jc w:val="center"/>
              <w:rPr>
                <w:szCs w:val="21"/>
              </w:rPr>
            </w:pPr>
            <w:r>
              <w:rPr>
                <w:rFonts w:hint="eastAsia"/>
                <w:szCs w:val="21"/>
              </w:rPr>
              <w:t>姓名及时间</w:t>
            </w:r>
          </w:p>
        </w:tc>
        <w:tc>
          <w:tcPr>
            <w:tcW w:w="6918" w:type="dxa"/>
            <w:tcBorders>
              <w:top w:val="single" w:color="auto" w:sz="8" w:space="0"/>
              <w:left w:val="single" w:color="auto" w:sz="4" w:space="0"/>
              <w:bottom w:val="single" w:color="auto" w:sz="4" w:space="0"/>
              <w:right w:val="single" w:color="auto" w:sz="8" w:space="0"/>
            </w:tcBorders>
            <w:noWrap w:val="0"/>
            <w:vAlign w:val="center"/>
          </w:tcPr>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cantSplit/>
          <w:trHeight w:val="10079" w:hRule="atLeast"/>
          <w:jc w:val="center"/>
        </w:trPr>
        <w:tc>
          <w:tcPr>
            <w:tcW w:w="8665" w:type="dxa"/>
            <w:gridSpan w:val="2"/>
            <w:tcBorders>
              <w:top w:val="single" w:color="auto" w:sz="4" w:space="0"/>
              <w:left w:val="single" w:color="auto" w:sz="8" w:space="0"/>
              <w:bottom w:val="single" w:color="auto" w:sz="4" w:space="0"/>
              <w:right w:val="single" w:color="auto" w:sz="8" w:space="0"/>
            </w:tcBorders>
            <w:noWrap w:val="0"/>
            <w:vAlign w:val="top"/>
          </w:tcPr>
          <w:p>
            <w:pPr>
              <w:spacing w:before="156" w:beforeLines="50" w:line="420" w:lineRule="exact"/>
              <w:rPr>
                <w:szCs w:val="21"/>
              </w:rPr>
            </w:pPr>
            <w:r>
              <w:rPr>
                <w:rFonts w:hint="eastAsia" w:ascii="Times New Roman"/>
                <w:szCs w:val="21"/>
              </w:rPr>
              <w:t>致 ：</w:t>
            </w:r>
            <w:r>
              <w:rPr>
                <w:rFonts w:hint="eastAsia" w:ascii="Times New Roman"/>
                <w:szCs w:val="21"/>
                <w:u w:val="single"/>
              </w:rPr>
              <w:t xml:space="preserve">                                </w:t>
            </w:r>
            <w:r>
              <w:rPr>
                <w:rFonts w:hint="eastAsia" w:ascii="Times New Roman"/>
                <w:szCs w:val="21"/>
              </w:rPr>
              <w:t xml:space="preserve"> （建设单位） </w:t>
            </w:r>
          </w:p>
          <w:p>
            <w:pPr>
              <w:spacing w:before="156" w:beforeLines="50" w:line="420" w:lineRule="exact"/>
              <w:ind w:firstLine="420" w:firstLineChars="200"/>
              <w:rPr>
                <w:szCs w:val="21"/>
              </w:rPr>
            </w:pPr>
            <w:r>
              <w:rPr>
                <w:rFonts w:hint="eastAsia"/>
                <w:szCs w:val="21"/>
              </w:rPr>
              <w:t>兹任命</w:t>
            </w:r>
            <w:r>
              <w:rPr>
                <w:rFonts w:hint="eastAsia" w:ascii="Times New Roman"/>
                <w:szCs w:val="21"/>
                <w:u w:val="single"/>
              </w:rPr>
              <w:t xml:space="preserve">              </w:t>
            </w:r>
            <w:r>
              <w:rPr>
                <w:rFonts w:hint="eastAsia"/>
                <w:szCs w:val="21"/>
              </w:rPr>
              <w:t>为我单位</w:t>
            </w:r>
            <w:r>
              <w:rPr>
                <w:rFonts w:hint="eastAsia" w:ascii="Times New Roman"/>
                <w:szCs w:val="21"/>
                <w:u w:val="single"/>
              </w:rPr>
              <w:t xml:space="preserve">                   </w:t>
            </w:r>
            <w:r>
              <w:rPr>
                <w:rFonts w:hint="eastAsia"/>
                <w:szCs w:val="21"/>
              </w:rPr>
              <w:t>项目总监理工程师，负责履行</w:t>
            </w:r>
            <w:r>
              <w:rPr>
                <w:rFonts w:hint="eastAsia" w:ascii="Times New Roman" w:hAnsi="Times New Roman"/>
                <w:szCs w:val="21"/>
              </w:rPr>
              <w:t>《建设工程监理合同》，主持项目监理机构工作。</w:t>
            </w:r>
          </w:p>
          <w:p>
            <w:pPr>
              <w:spacing w:line="420" w:lineRule="exact"/>
              <w:rPr>
                <w:szCs w:val="21"/>
              </w:rPr>
            </w:pPr>
            <w:r>
              <w:rPr>
                <w:szCs w:val="21"/>
              </w:rPr>
              <w:t xml:space="preserve">      </w:t>
            </w:r>
          </w:p>
          <w:p>
            <w:pPr>
              <w:spacing w:line="420" w:lineRule="exact"/>
              <w:rPr>
                <w:szCs w:val="21"/>
              </w:rPr>
            </w:pPr>
          </w:p>
          <w:p>
            <w:pPr>
              <w:spacing w:line="420" w:lineRule="exact"/>
              <w:rPr>
                <w:szCs w:val="21"/>
              </w:rPr>
            </w:pPr>
            <w:r>
              <w:rPr>
                <w:szCs w:val="21"/>
              </w:rPr>
              <w:t xml:space="preserve">      </w:t>
            </w:r>
            <w:r>
              <w:rPr>
                <w:szCs w:val="21"/>
                <w:u w:val="single"/>
              </w:rPr>
              <w:t xml:space="preserve">               </w:t>
            </w:r>
            <w:r>
              <w:rPr>
                <w:rFonts w:hint="eastAsia"/>
                <w:szCs w:val="21"/>
              </w:rPr>
              <w:t>总监理工程师的执业印章和项目监理机构用章的样章为：</w:t>
            </w:r>
          </w:p>
          <w:p>
            <w:pPr>
              <w:spacing w:line="420" w:lineRule="exact"/>
              <w:rPr>
                <w:szCs w:val="21"/>
              </w:rPr>
            </w:pPr>
          </w:p>
          <w:p>
            <w:pPr>
              <w:spacing w:line="420" w:lineRule="exact"/>
              <w:rPr>
                <w:szCs w:val="21"/>
              </w:rPr>
            </w:pPr>
          </w:p>
          <w:p>
            <w:pPr>
              <w:spacing w:line="420" w:lineRule="exact"/>
              <w:rPr>
                <w:szCs w:val="21"/>
              </w:rPr>
            </w:pPr>
          </w:p>
          <w:p>
            <w:pPr>
              <w:spacing w:line="420" w:lineRule="exact"/>
              <w:ind w:firstLine="420" w:firstLineChars="200"/>
              <w:rPr>
                <w:szCs w:val="21"/>
              </w:rPr>
            </w:pPr>
            <w:r>
              <w:rPr>
                <w:rFonts w:hint="eastAsia"/>
                <w:szCs w:val="21"/>
              </w:rPr>
              <w:t>附件：总监理工程师的执业证书。</w:t>
            </w:r>
          </w:p>
          <w:p>
            <w:pPr>
              <w:spacing w:line="420" w:lineRule="exact"/>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r>
              <w:rPr>
                <w:szCs w:val="21"/>
              </w:rPr>
              <w:t xml:space="preserve">    </w:t>
            </w:r>
            <w:r>
              <w:rPr>
                <w:rFonts w:hint="eastAsia"/>
                <w:szCs w:val="21"/>
              </w:rPr>
              <w:t>抄送：施工单位</w:t>
            </w:r>
          </w:p>
          <w:p>
            <w:pPr>
              <w:rPr>
                <w:szCs w:val="21"/>
              </w:rPr>
            </w:pPr>
          </w:p>
          <w:p>
            <w:pPr>
              <w:rPr>
                <w:szCs w:val="21"/>
              </w:rPr>
            </w:pPr>
          </w:p>
          <w:p>
            <w:pPr>
              <w:rPr>
                <w:szCs w:val="21"/>
              </w:rPr>
            </w:pPr>
          </w:p>
          <w:p>
            <w:pPr>
              <w:rPr>
                <w:rFonts w:ascii="Times New Roman" w:hAnsi="Times New Roman"/>
                <w:bCs/>
                <w:szCs w:val="21"/>
                <w:u w:val="single"/>
              </w:rPr>
            </w:pPr>
            <w:r>
              <w:rPr>
                <w:rFonts w:hint="eastAsia"/>
                <w:szCs w:val="21"/>
              </w:rPr>
              <w:t>　　　　　　　　　　　</w:t>
            </w:r>
            <w:r>
              <w:rPr>
                <w:szCs w:val="21"/>
              </w:rPr>
              <w:t xml:space="preserve">              </w:t>
            </w:r>
            <w:r>
              <w:rPr>
                <w:rFonts w:hint="eastAsia"/>
                <w:szCs w:val="21"/>
              </w:rPr>
              <w:t>　</w:t>
            </w:r>
            <w:r>
              <w:rPr>
                <w:rFonts w:hint="eastAsia" w:ascii="Times New Roman" w:hAnsi="Times New Roman"/>
                <w:bCs/>
                <w:szCs w:val="21"/>
              </w:rPr>
              <w:t>监理单位（章）：</w:t>
            </w:r>
            <w:r>
              <w:rPr>
                <w:rFonts w:hint="eastAsia" w:ascii="Times New Roman" w:hAnsi="Times New Roman"/>
                <w:bCs/>
                <w:szCs w:val="21"/>
                <w:u w:val="single"/>
              </w:rPr>
              <w:t xml:space="preserve">                      </w:t>
            </w:r>
          </w:p>
          <w:p>
            <w:pPr>
              <w:rPr>
                <w:rFonts w:hint="eastAsia"/>
                <w:szCs w:val="21"/>
              </w:rPr>
            </w:pPr>
          </w:p>
          <w:p>
            <w:pPr>
              <w:ind w:firstLine="4002" w:firstLineChars="1906"/>
              <w:rPr>
                <w:szCs w:val="21"/>
              </w:rPr>
            </w:pPr>
            <w:r>
              <w:rPr>
                <w:rFonts w:hint="eastAsia"/>
                <w:szCs w:val="21"/>
              </w:rPr>
              <w:t>法定代表人（签字）：</w:t>
            </w:r>
            <w:r>
              <w:rPr>
                <w:rFonts w:hint="eastAsia"/>
                <w:szCs w:val="21"/>
                <w:u w:val="single"/>
              </w:rPr>
              <w:t>　　　　</w:t>
            </w:r>
            <w:r>
              <w:rPr>
                <w:szCs w:val="21"/>
                <w:u w:val="single"/>
              </w:rPr>
              <w:t xml:space="preserve">          </w:t>
            </w:r>
            <w:r>
              <w:rPr>
                <w:szCs w:val="21"/>
              </w:rPr>
              <w:t xml:space="preserve">  </w:t>
            </w:r>
          </w:p>
          <w:p>
            <w:pPr>
              <w:ind w:firstLine="3057" w:firstLineChars="1456"/>
              <w:rPr>
                <w:szCs w:val="21"/>
              </w:rPr>
            </w:pPr>
          </w:p>
          <w:p>
            <w:pPr>
              <w:ind w:firstLine="5355" w:firstLineChars="2550"/>
              <w:rPr>
                <w:szCs w:val="21"/>
                <w:u w:val="single"/>
              </w:rPr>
            </w:pP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96" w:hRule="atLeast"/>
          <w:jc w:val="center"/>
        </w:trPr>
        <w:tc>
          <w:tcPr>
            <w:tcW w:w="8665" w:type="dxa"/>
            <w:gridSpan w:val="2"/>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szCs w:val="21"/>
              </w:rPr>
              <w:t>注：本表一式三份，项目监理机构、建设单位、施工单位各一份。</w:t>
            </w:r>
          </w:p>
        </w:tc>
      </w:tr>
    </w:tbl>
    <w:p>
      <w:pPr>
        <w:rPr>
          <w:rFonts w:ascii="Times New Roman" w:eastAsia="隶书"/>
        </w:rPr>
      </w:pPr>
      <w:r>
        <w:rPr>
          <w:rFonts w:hint="eastAsia" w:ascii="Times New Roman" w:eastAsia="隶书"/>
        </w:rPr>
        <w:t>第六版表                                              江苏省住房和城乡建设厅监制</w:t>
      </w:r>
    </w:p>
    <w:p>
      <w:pPr>
        <w:widowControl/>
        <w:jc w:val="left"/>
        <w:rPr>
          <w:rFonts w:eastAsia="黑体"/>
          <w:w w:val="90"/>
          <w:sz w:val="28"/>
          <w:szCs w:val="28"/>
          <w14:shadow w14:blurRad="50800" w14:dist="38100" w14:dir="2700000" w14:sx="100000" w14:sy="100000" w14:kx="0" w14:ky="0" w14:algn="tl">
            <w14:srgbClr w14:val="000000">
              <w14:alpha w14:val="60000"/>
            </w14:srgbClr>
          </w14:shadow>
        </w:rPr>
        <w:sectPr>
          <w:pgSz w:w="11906" w:h="16838"/>
          <w:pgMar w:top="1021" w:right="1701" w:bottom="1701" w:left="1701" w:header="851" w:footer="1191" w:gutter="0"/>
          <w:cols w:space="720" w:num="1"/>
          <w:docGrid w:type="lines" w:linePitch="312" w:charSpace="0"/>
        </w:sectPr>
      </w:pPr>
    </w:p>
    <w:p>
      <w:pPr>
        <w:spacing w:line="380" w:lineRule="exact"/>
        <w:jc w:val="right"/>
        <w:rPr>
          <w:rFonts w:hint="eastAsia"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A.0.2</w:t>
      </w:r>
    </w:p>
    <w:p>
      <w:pPr>
        <w:spacing w:before="312" w:beforeLines="100" w:after="312" w:afterLines="100"/>
        <w:jc w:val="center"/>
        <w:rPr>
          <w:rFonts w:ascii="Times New Roman" w:eastAsia="黑体"/>
          <w:sz w:val="44"/>
          <w:szCs w:val="44"/>
          <w14:shadow w14:blurRad="50800" w14:dist="38100" w14:dir="2700000" w14:sx="100000" w14:sy="100000" w14:kx="0" w14:ky="0" w14:algn="tl">
            <w14:srgbClr w14:val="000000">
              <w14:alpha w14:val="60000"/>
            </w14:srgbClr>
          </w14:shadow>
        </w:rPr>
      </w:pPr>
      <w:r>
        <w:rPr>
          <w:rFonts w:hint="eastAsia" w:ascii="Times New Roman" w:eastAsia="黑体"/>
          <w:sz w:val="44"/>
          <w:szCs w:val="44"/>
          <w14:shadow w14:blurRad="50800" w14:dist="38100" w14:dir="2700000" w14:sx="100000" w14:sy="100000" w14:kx="0" w14:ky="0" w14:algn="tl">
            <w14:srgbClr w14:val="000000">
              <w14:alpha w14:val="60000"/>
            </w14:srgbClr>
          </w14:shadow>
        </w:rPr>
        <w:t>监　理　日　志（       ）</w:t>
      </w:r>
    </w:p>
    <w:p>
      <w:pPr>
        <w:spacing w:line="420" w:lineRule="exact"/>
        <w:rPr>
          <w:rFonts w:hint="eastAsia"/>
          <w:szCs w:val="21"/>
          <w:u w:val="single"/>
        </w:rPr>
      </w:pPr>
      <w:r>
        <w:rPr>
          <w:rFonts w:hint="eastAsia"/>
          <w:szCs w:val="21"/>
        </w:rPr>
        <w:t>日期：</w:t>
      </w:r>
      <w:r>
        <w:rPr>
          <w:rFonts w:hint="eastAsia"/>
          <w:szCs w:val="21"/>
          <w:u w:val="single"/>
        </w:rPr>
        <w:t>　　　</w:t>
      </w:r>
      <w:r>
        <w:rPr>
          <w:rFonts w:hint="eastAsia"/>
          <w:szCs w:val="21"/>
        </w:rPr>
        <w:t>年</w:t>
      </w:r>
      <w:r>
        <w:rPr>
          <w:rFonts w:hint="eastAsia"/>
          <w:szCs w:val="21"/>
          <w:u w:val="single"/>
        </w:rPr>
        <w:t>　　</w:t>
      </w:r>
      <w:r>
        <w:rPr>
          <w:rFonts w:hint="eastAsia"/>
          <w:szCs w:val="21"/>
        </w:rPr>
        <w:t>月</w:t>
      </w:r>
      <w:r>
        <w:rPr>
          <w:rFonts w:hint="eastAsia"/>
          <w:szCs w:val="21"/>
          <w:u w:val="single"/>
        </w:rPr>
        <w:t>　　</w:t>
      </w:r>
      <w:r>
        <w:rPr>
          <w:rFonts w:hint="eastAsia"/>
          <w:szCs w:val="21"/>
        </w:rPr>
        <w:t>日　　　　　　　　</w:t>
      </w:r>
      <w:r>
        <w:rPr>
          <w:szCs w:val="21"/>
        </w:rPr>
        <w:t xml:space="preserve">          </w:t>
      </w:r>
      <w:r>
        <w:rPr>
          <w:rFonts w:hint="eastAsia"/>
          <w:szCs w:val="21"/>
        </w:rPr>
        <w:t>　　　　</w:t>
      </w:r>
      <w:r>
        <w:rPr>
          <w:szCs w:val="21"/>
        </w:rPr>
        <w:t xml:space="preserve">     </w:t>
      </w:r>
      <w:r>
        <w:rPr>
          <w:rFonts w:hint="eastAsia"/>
          <w:szCs w:val="21"/>
        </w:rPr>
        <w:t>　天气：</w:t>
      </w:r>
      <w:r>
        <w:rPr>
          <w:rFonts w:hint="eastAsia"/>
          <w:szCs w:val="21"/>
          <w:u w:val="single"/>
        </w:rPr>
        <w:t>　　　　　</w:t>
      </w:r>
    </w:p>
    <w:p>
      <w:pPr>
        <w:spacing w:line="420" w:lineRule="exact"/>
        <w:rPr>
          <w:szCs w:val="21"/>
          <w:u w:val="single"/>
        </w:rPr>
      </w:pPr>
      <w:r>
        <w:rPr>
          <w:rFonts w:hint="eastAsia"/>
          <w:szCs w:val="21"/>
        </w:rPr>
        <w:t>星期：</w:t>
      </w:r>
      <w:r>
        <w:rPr>
          <w:rFonts w:hint="eastAsia"/>
          <w:szCs w:val="21"/>
          <w:u w:val="single"/>
        </w:rPr>
        <w:t>　</w:t>
      </w:r>
      <w:r>
        <w:rPr>
          <w:szCs w:val="21"/>
          <w:u w:val="single"/>
        </w:rPr>
        <w:t xml:space="preserve">  </w:t>
      </w:r>
      <w:r>
        <w:rPr>
          <w:rFonts w:hint="eastAsia"/>
          <w:szCs w:val="21"/>
          <w:u w:val="single"/>
        </w:rPr>
        <w:t>　</w:t>
      </w:r>
      <w:r>
        <w:rPr>
          <w:rFonts w:hint="eastAsia"/>
          <w:szCs w:val="21"/>
        </w:rPr>
        <w:t>　　　　　　　　　　　　　　</w:t>
      </w:r>
      <w:r>
        <w:rPr>
          <w:szCs w:val="21"/>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气温：</w:t>
      </w:r>
      <w:r>
        <w:rPr>
          <w:rFonts w:hint="eastAsia"/>
          <w:szCs w:val="21"/>
          <w:u w:val="single"/>
        </w:rPr>
        <w:t>　　</w:t>
      </w:r>
      <w:r>
        <w:rPr>
          <w:szCs w:val="21"/>
          <w:u w:val="single"/>
        </w:rPr>
        <w:t xml:space="preserve">  </w:t>
      </w:r>
      <w:r>
        <w:rPr>
          <w:rFonts w:hint="eastAsia"/>
          <w:szCs w:val="21"/>
          <w:u w:val="single"/>
        </w:rPr>
        <w:t>　　</w:t>
      </w:r>
    </w:p>
    <w:p>
      <w:pPr>
        <w:spacing w:after="156" w:afterLines="50" w:line="420" w:lineRule="exact"/>
        <w:ind w:left="21" w:hanging="21" w:hangingChars="10"/>
        <w:rPr>
          <w:szCs w:val="21"/>
        </w:rPr>
      </w:pPr>
      <w:r>
        <w:rPr>
          <w:rFonts w:hint="eastAsia"/>
          <w:szCs w:val="21"/>
        </w:rPr>
        <w:t>工程名称</w:t>
      </w:r>
      <w:r>
        <w:rPr>
          <w:szCs w:val="21"/>
        </w:rPr>
        <w:t xml:space="preserve">: </w:t>
      </w:r>
      <w:r>
        <w:rPr>
          <w:szCs w:val="21"/>
          <w:u w:val="single"/>
        </w:rPr>
        <w:t xml:space="preserve">                         </w:t>
      </w:r>
      <w:r>
        <w:rPr>
          <w:szCs w:val="21"/>
        </w:rPr>
        <w:t xml:space="preserve">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28"/>
        <w:gridCol w:w="1260"/>
        <w:gridCol w:w="2508"/>
        <w:gridCol w:w="414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45" w:hRule="atLeast"/>
          <w:jc w:val="center"/>
        </w:trPr>
        <w:tc>
          <w:tcPr>
            <w:tcW w:w="528" w:type="dxa"/>
            <w:tcBorders>
              <w:top w:val="single" w:color="auto" w:sz="8" w:space="0"/>
              <w:left w:val="single" w:color="auto" w:sz="8" w:space="0"/>
              <w:bottom w:val="single" w:color="auto" w:sz="4" w:space="0"/>
              <w:right w:val="single" w:color="auto" w:sz="4" w:space="0"/>
            </w:tcBorders>
            <w:noWrap w:val="0"/>
            <w:vAlign w:val="center"/>
          </w:tcPr>
          <w:p>
            <w:pPr>
              <w:spacing w:line="420" w:lineRule="exact"/>
              <w:jc w:val="center"/>
              <w:rPr>
                <w:rFonts w:ascii="Times New Roman"/>
                <w:szCs w:val="21"/>
              </w:rPr>
            </w:pPr>
            <w:r>
              <w:rPr>
                <w:rFonts w:hint="eastAsia" w:ascii="Times New Roman"/>
                <w:szCs w:val="21"/>
              </w:rPr>
              <w:t>监</w:t>
            </w:r>
          </w:p>
          <w:p>
            <w:pPr>
              <w:spacing w:line="420" w:lineRule="exact"/>
              <w:jc w:val="center"/>
              <w:rPr>
                <w:rFonts w:hint="eastAsia" w:ascii="Times New Roman"/>
                <w:szCs w:val="21"/>
              </w:rPr>
            </w:pPr>
            <w:r>
              <w:rPr>
                <w:rFonts w:hint="eastAsia" w:ascii="Times New Roman"/>
                <w:szCs w:val="21"/>
              </w:rPr>
              <w:t>理</w:t>
            </w:r>
          </w:p>
          <w:p>
            <w:pPr>
              <w:spacing w:line="420" w:lineRule="exact"/>
              <w:jc w:val="center"/>
              <w:rPr>
                <w:rFonts w:hint="eastAsia" w:ascii="Times New Roman"/>
                <w:szCs w:val="21"/>
              </w:rPr>
            </w:pPr>
            <w:r>
              <w:rPr>
                <w:rFonts w:hint="eastAsia" w:ascii="Times New Roman"/>
                <w:szCs w:val="21"/>
              </w:rPr>
              <w:t>工</w:t>
            </w:r>
          </w:p>
          <w:p>
            <w:pPr>
              <w:spacing w:line="420" w:lineRule="exact"/>
              <w:jc w:val="center"/>
              <w:rPr>
                <w:rFonts w:hint="eastAsia" w:ascii="Times New Roman"/>
                <w:szCs w:val="21"/>
              </w:rPr>
            </w:pPr>
            <w:r>
              <w:rPr>
                <w:rFonts w:hint="eastAsia" w:ascii="Times New Roman"/>
                <w:szCs w:val="21"/>
              </w:rPr>
              <w:t>作</w:t>
            </w:r>
          </w:p>
          <w:p>
            <w:pPr>
              <w:spacing w:line="420" w:lineRule="exact"/>
              <w:jc w:val="center"/>
              <w:rPr>
                <w:rFonts w:hint="eastAsia" w:ascii="Times New Roman"/>
                <w:szCs w:val="21"/>
              </w:rPr>
            </w:pPr>
            <w:r>
              <w:rPr>
                <w:rFonts w:hint="eastAsia" w:ascii="Times New Roman"/>
                <w:szCs w:val="21"/>
              </w:rPr>
              <w:t>情</w:t>
            </w:r>
          </w:p>
          <w:p>
            <w:pPr>
              <w:keepLines/>
              <w:spacing w:line="420" w:lineRule="exact"/>
              <w:jc w:val="center"/>
              <w:rPr>
                <w:rFonts w:ascii="Times New Roman"/>
                <w:szCs w:val="21"/>
              </w:rPr>
            </w:pPr>
            <w:r>
              <w:rPr>
                <w:rFonts w:hint="eastAsia" w:ascii="Times New Roman"/>
                <w:szCs w:val="21"/>
              </w:rPr>
              <w:t>况</w:t>
            </w:r>
          </w:p>
        </w:tc>
        <w:tc>
          <w:tcPr>
            <w:tcW w:w="7913" w:type="dxa"/>
            <w:gridSpan w:val="3"/>
            <w:tcBorders>
              <w:top w:val="single" w:color="auto" w:sz="8" w:space="0"/>
              <w:left w:val="single" w:color="auto" w:sz="4" w:space="0"/>
              <w:bottom w:val="single" w:color="auto" w:sz="4" w:space="0"/>
              <w:right w:val="single" w:color="auto" w:sz="8" w:space="0"/>
            </w:tcBorders>
            <w:noWrap w:val="0"/>
            <w:vAlign w:val="top"/>
          </w:tcPr>
          <w:p>
            <w:pPr>
              <w:spacing w:line="420" w:lineRule="exact"/>
              <w:rPr>
                <w:rFonts w:ascii="Times New Roman"/>
                <w:szCs w:val="21"/>
              </w:rPr>
            </w:pPr>
          </w:p>
          <w:p>
            <w:pPr>
              <w:spacing w:line="420" w:lineRule="exact"/>
              <w:rPr>
                <w:rFonts w:hint="eastAsia" w:ascii="Times New Roman"/>
                <w:szCs w:val="21"/>
              </w:rPr>
            </w:pPr>
          </w:p>
          <w:p>
            <w:pPr>
              <w:spacing w:line="420" w:lineRule="exact"/>
              <w:rPr>
                <w:rFonts w:hint="eastAsia" w:ascii="Times New Roman"/>
                <w:szCs w:val="21"/>
              </w:rPr>
            </w:pPr>
          </w:p>
          <w:p>
            <w:pPr>
              <w:spacing w:line="420" w:lineRule="exact"/>
              <w:rPr>
                <w:rFonts w:hint="eastAsia" w:ascii="Times New Roman"/>
                <w:szCs w:val="21"/>
              </w:rPr>
            </w:pPr>
          </w:p>
          <w:p>
            <w:pPr>
              <w:spacing w:line="420" w:lineRule="exact"/>
              <w:rPr>
                <w:rFonts w:hint="eastAsia" w:ascii="Times New Roman"/>
                <w:szCs w:val="21"/>
              </w:rPr>
            </w:pPr>
          </w:p>
          <w:p>
            <w:pPr>
              <w:spacing w:line="420" w:lineRule="exact"/>
              <w:rPr>
                <w:rFonts w:hint="eastAsia" w:ascii="Times New Roman"/>
                <w:szCs w:val="21"/>
              </w:rPr>
            </w:pPr>
          </w:p>
          <w:p>
            <w:pPr>
              <w:spacing w:line="420" w:lineRule="exact"/>
              <w:rPr>
                <w:rFonts w:hint="eastAsia" w:ascii="Times New Roman"/>
                <w:szCs w:val="21"/>
              </w:rPr>
            </w:pPr>
          </w:p>
          <w:p>
            <w:pPr>
              <w:spacing w:line="420" w:lineRule="exact"/>
              <w:rPr>
                <w:rFonts w:hint="eastAsia" w:ascii="Times New Roman"/>
                <w:szCs w:val="21"/>
              </w:rPr>
            </w:pPr>
          </w:p>
          <w:p>
            <w:pPr>
              <w:spacing w:line="420" w:lineRule="exact"/>
              <w:rPr>
                <w:rFonts w:hint="eastAsia" w:ascii="Times New Roman"/>
                <w:szCs w:val="21"/>
              </w:rPr>
            </w:pPr>
          </w:p>
          <w:p>
            <w:pPr>
              <w:spacing w:line="420" w:lineRule="exact"/>
              <w:rPr>
                <w:rFonts w:hint="eastAsia" w:ascii="Times New Roman"/>
                <w:szCs w:val="21"/>
              </w:rPr>
            </w:pPr>
          </w:p>
          <w:p>
            <w:pPr>
              <w:spacing w:line="420" w:lineRule="exact"/>
              <w:rPr>
                <w:rFonts w:hint="eastAsia" w:ascii="Times New Roman"/>
                <w:szCs w:val="21"/>
              </w:rPr>
            </w:pPr>
          </w:p>
          <w:p>
            <w:pPr>
              <w:spacing w:line="420" w:lineRule="exact"/>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62" w:hRule="atLeast"/>
          <w:jc w:val="center"/>
        </w:trPr>
        <w:tc>
          <w:tcPr>
            <w:tcW w:w="528" w:type="dxa"/>
            <w:vMerge w:val="restart"/>
            <w:tcBorders>
              <w:top w:val="single" w:color="auto" w:sz="4" w:space="0"/>
              <w:left w:val="single" w:color="auto" w:sz="8" w:space="0"/>
              <w:bottom w:val="single" w:color="auto" w:sz="4" w:space="0"/>
              <w:right w:val="single" w:color="auto" w:sz="4" w:space="0"/>
            </w:tcBorders>
            <w:noWrap w:val="0"/>
            <w:vAlign w:val="center"/>
          </w:tcPr>
          <w:p>
            <w:pPr>
              <w:spacing w:line="420" w:lineRule="exact"/>
              <w:jc w:val="center"/>
              <w:rPr>
                <w:rFonts w:ascii="Times New Roman"/>
                <w:szCs w:val="21"/>
              </w:rPr>
            </w:pPr>
            <w:r>
              <w:rPr>
                <w:rFonts w:hint="eastAsia" w:ascii="Times New Roman"/>
                <w:szCs w:val="21"/>
              </w:rPr>
              <w:t>施</w:t>
            </w:r>
          </w:p>
          <w:p>
            <w:pPr>
              <w:spacing w:line="420" w:lineRule="exact"/>
              <w:jc w:val="center"/>
              <w:rPr>
                <w:rFonts w:hint="eastAsia" w:ascii="Times New Roman"/>
                <w:szCs w:val="21"/>
              </w:rPr>
            </w:pPr>
            <w:r>
              <w:rPr>
                <w:rFonts w:hint="eastAsia" w:ascii="Times New Roman"/>
                <w:szCs w:val="21"/>
              </w:rPr>
              <w:t>工</w:t>
            </w:r>
          </w:p>
          <w:p>
            <w:pPr>
              <w:spacing w:line="420" w:lineRule="exact"/>
              <w:jc w:val="center"/>
              <w:rPr>
                <w:rFonts w:hint="eastAsia" w:ascii="Times New Roman"/>
                <w:szCs w:val="21"/>
              </w:rPr>
            </w:pPr>
            <w:r>
              <w:rPr>
                <w:rFonts w:hint="eastAsia" w:ascii="Times New Roman"/>
                <w:szCs w:val="21"/>
              </w:rPr>
              <w:t>情</w:t>
            </w:r>
          </w:p>
          <w:p>
            <w:pPr>
              <w:spacing w:line="420" w:lineRule="exact"/>
              <w:jc w:val="center"/>
              <w:rPr>
                <w:rFonts w:ascii="Times New Roman"/>
                <w:szCs w:val="21"/>
              </w:rPr>
            </w:pPr>
            <w:r>
              <w:rPr>
                <w:rFonts w:hint="eastAsia" w:ascii="Times New Roman"/>
                <w:szCs w:val="21"/>
              </w:rPr>
              <w:t>况</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szCs w:val="21"/>
              </w:rPr>
            </w:pPr>
            <w:r>
              <w:rPr>
                <w:rFonts w:hint="eastAsia" w:ascii="Times New Roman"/>
                <w:szCs w:val="21"/>
              </w:rPr>
              <w:t>施工单位</w:t>
            </w:r>
          </w:p>
        </w:tc>
        <w:tc>
          <w:tcPr>
            <w:tcW w:w="6653"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szCs w:val="21"/>
              </w:rPr>
            </w:pPr>
            <w:r>
              <w:rPr>
                <w:rFonts w:hint="eastAsia" w:ascii="Times New Roman"/>
                <w:szCs w:val="21"/>
              </w:rPr>
              <w:t>施工内容及进度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48" w:hRule="atLeast"/>
          <w:jc w:val="center"/>
        </w:trPr>
        <w:tc>
          <w:tcPr>
            <w:tcW w:w="52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126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6653"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698" w:hRule="atLeast"/>
          <w:jc w:val="center"/>
        </w:trPr>
        <w:tc>
          <w:tcPr>
            <w:tcW w:w="528" w:type="dxa"/>
            <w:tcBorders>
              <w:top w:val="single" w:color="auto" w:sz="4" w:space="0"/>
              <w:left w:val="single" w:color="auto" w:sz="8" w:space="0"/>
              <w:bottom w:val="single" w:color="auto" w:sz="4" w:space="0"/>
              <w:right w:val="single" w:color="auto" w:sz="4" w:space="0"/>
            </w:tcBorders>
            <w:noWrap w:val="0"/>
            <w:vAlign w:val="center"/>
          </w:tcPr>
          <w:p>
            <w:pPr>
              <w:spacing w:line="420" w:lineRule="exact"/>
              <w:jc w:val="distribute"/>
              <w:rPr>
                <w:rFonts w:ascii="Times New Roman"/>
                <w:szCs w:val="21"/>
              </w:rPr>
            </w:pPr>
            <w:r>
              <w:rPr>
                <w:rFonts w:hint="eastAsia" w:ascii="Times New Roman"/>
                <w:szCs w:val="21"/>
              </w:rPr>
              <w:t>其</w:t>
            </w:r>
          </w:p>
          <w:p>
            <w:pPr>
              <w:spacing w:line="420" w:lineRule="exact"/>
              <w:jc w:val="distribute"/>
              <w:rPr>
                <w:rFonts w:hint="eastAsia" w:ascii="Times New Roman"/>
                <w:szCs w:val="21"/>
              </w:rPr>
            </w:pPr>
            <w:r>
              <w:rPr>
                <w:rFonts w:hint="eastAsia" w:ascii="Times New Roman"/>
                <w:szCs w:val="21"/>
              </w:rPr>
              <w:t>它</w:t>
            </w:r>
          </w:p>
          <w:p>
            <w:pPr>
              <w:spacing w:line="420" w:lineRule="exact"/>
              <w:jc w:val="distribute"/>
              <w:rPr>
                <w:rFonts w:hint="eastAsia" w:ascii="Times New Roman"/>
                <w:szCs w:val="21"/>
              </w:rPr>
            </w:pPr>
            <w:r>
              <w:rPr>
                <w:rFonts w:hint="eastAsia" w:ascii="Times New Roman"/>
                <w:szCs w:val="21"/>
              </w:rPr>
              <w:t>事</w:t>
            </w:r>
          </w:p>
          <w:p>
            <w:pPr>
              <w:spacing w:line="420" w:lineRule="exact"/>
              <w:jc w:val="distribute"/>
              <w:rPr>
                <w:rFonts w:ascii="Times New Roman"/>
                <w:szCs w:val="21"/>
              </w:rPr>
            </w:pPr>
            <w:r>
              <w:rPr>
                <w:rFonts w:hint="eastAsia" w:ascii="Times New Roman"/>
                <w:szCs w:val="21"/>
              </w:rPr>
              <w:t>项</w:t>
            </w:r>
          </w:p>
        </w:tc>
        <w:tc>
          <w:tcPr>
            <w:tcW w:w="7913" w:type="dxa"/>
            <w:gridSpan w:val="3"/>
            <w:tcBorders>
              <w:top w:val="single" w:color="auto" w:sz="4" w:space="0"/>
              <w:left w:val="single" w:color="auto" w:sz="4" w:space="0"/>
              <w:bottom w:val="single" w:color="auto" w:sz="4" w:space="0"/>
              <w:right w:val="single" w:color="auto" w:sz="8" w:space="0"/>
            </w:tcBorders>
            <w:noWrap w:val="0"/>
            <w:vAlign w:val="center"/>
          </w:tcPr>
          <w:p>
            <w:pPr>
              <w:spacing w:line="360" w:lineRule="auto"/>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9" w:hRule="exact"/>
          <w:jc w:val="center"/>
        </w:trPr>
        <w:tc>
          <w:tcPr>
            <w:tcW w:w="4296" w:type="dxa"/>
            <w:gridSpan w:val="3"/>
            <w:tcBorders>
              <w:top w:val="single" w:color="auto" w:sz="4" w:space="0"/>
              <w:left w:val="single" w:color="auto" w:sz="8" w:space="0"/>
              <w:bottom w:val="single" w:color="auto" w:sz="8" w:space="0"/>
              <w:right w:val="single" w:color="auto" w:sz="4" w:space="0"/>
            </w:tcBorders>
            <w:noWrap w:val="0"/>
            <w:vAlign w:val="center"/>
          </w:tcPr>
          <w:p>
            <w:pPr>
              <w:spacing w:before="156" w:beforeLines="50"/>
              <w:rPr>
                <w:rFonts w:ascii="Times New Roman"/>
                <w:szCs w:val="21"/>
              </w:rPr>
            </w:pPr>
            <w:r>
              <w:rPr>
                <w:rFonts w:hint="eastAsia" w:ascii="Times New Roman"/>
                <w:szCs w:val="21"/>
              </w:rPr>
              <w:t>记录人（签字）:</w:t>
            </w:r>
          </w:p>
        </w:tc>
        <w:tc>
          <w:tcPr>
            <w:tcW w:w="4145" w:type="dxa"/>
            <w:tcBorders>
              <w:top w:val="single" w:color="auto" w:sz="4" w:space="0"/>
              <w:left w:val="single" w:color="auto" w:sz="4" w:space="0"/>
              <w:bottom w:val="single" w:color="auto" w:sz="8" w:space="0"/>
              <w:right w:val="single" w:color="auto" w:sz="8" w:space="0"/>
            </w:tcBorders>
            <w:noWrap w:val="0"/>
            <w:vAlign w:val="center"/>
          </w:tcPr>
          <w:p>
            <w:pPr>
              <w:spacing w:before="156" w:beforeLines="50"/>
              <w:rPr>
                <w:rFonts w:ascii="Times New Roman"/>
                <w:szCs w:val="21"/>
              </w:rPr>
            </w:pPr>
            <w:r>
              <w:rPr>
                <w:rFonts w:hint="eastAsia" w:ascii="Times New Roman"/>
                <w:szCs w:val="21"/>
              </w:rPr>
              <w:t>审核人（签字）：</w:t>
            </w:r>
          </w:p>
        </w:tc>
      </w:tr>
    </w:tbl>
    <w:p>
      <w:pPr>
        <w:jc w:val="right"/>
        <w:rPr>
          <w:rFonts w:ascii="Times New Roman" w:eastAsia="隶书"/>
        </w:rPr>
      </w:pPr>
      <w:r>
        <w:rPr>
          <w:rFonts w:hint="eastAsia" w:ascii="Times New Roman" w:eastAsia="隶书"/>
        </w:rPr>
        <w:t>第六版表                                              江苏省住房和城乡建设厅监制</w:t>
      </w:r>
    </w:p>
    <w:p>
      <w:pPr>
        <w:widowControl/>
        <w:jc w:val="left"/>
        <w:rPr>
          <w:rFonts w:eastAsia="黑体"/>
          <w:b/>
          <w:w w:val="90"/>
          <w:sz w:val="28"/>
          <w:szCs w:val="28"/>
          <w14:shadow w14:blurRad="50800" w14:dist="38100" w14:dir="2700000" w14:sx="100000" w14:sy="100000" w14:kx="0" w14:ky="0" w14:algn="tl">
            <w14:srgbClr w14:val="000000">
              <w14:alpha w14:val="60000"/>
            </w14:srgbClr>
          </w14:shadow>
        </w:rPr>
        <w:sectPr>
          <w:pgSz w:w="11906" w:h="16838"/>
          <w:pgMar w:top="1021" w:right="1701" w:bottom="1701" w:left="1701" w:header="851" w:footer="992" w:gutter="0"/>
          <w:cols w:space="720" w:num="1"/>
          <w:docGrid w:type="lines" w:linePitch="312" w:charSpace="0"/>
        </w:sectPr>
      </w:pPr>
    </w:p>
    <w:p>
      <w:pPr>
        <w:spacing w:line="380" w:lineRule="exact"/>
        <w:jc w:val="right"/>
        <w:rPr>
          <w:rFonts w:hint="eastAsia"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 .0.3</w:t>
      </w:r>
    </w:p>
    <w:p>
      <w:pPr>
        <w:spacing w:before="468" w:beforeLines="150" w:after="156" w:afterLines="50"/>
        <w:jc w:val="center"/>
        <w:rPr>
          <w:rFonts w:ascii="Times New Roman" w:hAnsi="Times New Roman"/>
          <w:sz w:val="32"/>
          <w:szCs w:val="32"/>
        </w:rPr>
      </w:pPr>
      <w:r>
        <w:rPr>
          <w:rFonts w:hint="eastAsia" w:eastAsia="微软简标宋"/>
          <w:sz w:val="36"/>
          <w:u w:val="single"/>
        </w:rPr>
        <w:t>　　　　　　　　　　　　　　　　　　　</w:t>
      </w:r>
      <w:r>
        <w:rPr>
          <w:rFonts w:hint="eastAsia" w:ascii="Times New Roman" w:hAnsi="Times New Roman" w:eastAsia="黑体"/>
          <w:sz w:val="44"/>
          <w14:shadow w14:blurRad="50800" w14:dist="38100" w14:dir="2700000" w14:sx="100000" w14:sy="100000" w14:kx="0" w14:ky="0" w14:algn="tl">
            <w14:srgbClr w14:val="000000">
              <w14:alpha w14:val="60000"/>
            </w14:srgbClr>
          </w14:shadow>
        </w:rPr>
        <w:t>工程</w:t>
      </w:r>
    </w:p>
    <w:p>
      <w:pPr>
        <w:spacing w:before="240" w:after="240"/>
        <w:jc w:val="center"/>
        <w:rPr>
          <w:rFonts w:hint="eastAsia" w:ascii="Times New Roman" w:eastAsia="黑体"/>
          <w:spacing w:val="40"/>
          <w:w w:val="200"/>
          <w:sz w:val="52"/>
          <w:szCs w:val="52"/>
          <w14:shadow w14:blurRad="50800" w14:dist="38100" w14:dir="2700000" w14:sx="100000" w14:sy="100000" w14:kx="0" w14:ky="0" w14:algn="tl">
            <w14:srgbClr w14:val="000000">
              <w14:alpha w14:val="60000"/>
            </w14:srgbClr>
          </w14:shadow>
        </w:rPr>
      </w:pPr>
      <w:r>
        <w:rPr>
          <w:rFonts w:hint="eastAsia" w:ascii="Times New Roman" w:eastAsia="黑体"/>
          <w:spacing w:val="40"/>
          <w:w w:val="200"/>
          <w:sz w:val="52"/>
          <w:szCs w:val="52"/>
          <w14:shadow w14:blurRad="50800" w14:dist="38100" w14:dir="2700000" w14:sx="100000" w14:sy="100000" w14:kx="0" w14:ky="0" w14:algn="tl">
            <w14:srgbClr w14:val="000000">
              <w14:alpha w14:val="60000"/>
            </w14:srgbClr>
          </w14:shadow>
        </w:rPr>
        <w:t>监理规划</w:t>
      </w:r>
    </w:p>
    <w:p>
      <w:pPr>
        <w:spacing w:before="120"/>
        <w:jc w:val="center"/>
        <w:rPr>
          <w:rFonts w:hint="eastAsia" w:ascii="Times New Roman" w:hAnsi="Times New Roman"/>
          <w:szCs w:val="21"/>
        </w:rPr>
      </w:pPr>
      <w:r>
        <w:rPr>
          <w:rFonts w:hint="eastAsia" w:ascii="Times New Roman" w:eastAsia="微软简标宋"/>
          <w:szCs w:val="21"/>
          <w:u w:val="single"/>
        </w:rPr>
        <w:t xml:space="preserve">         </w:t>
      </w:r>
      <w:r>
        <w:rPr>
          <w:rFonts w:hint="eastAsia" w:ascii="Times New Roman" w:hAnsi="Times New Roman"/>
          <w:szCs w:val="21"/>
        </w:rPr>
        <w:t>年</w:t>
      </w:r>
      <w:r>
        <w:rPr>
          <w:rFonts w:hint="eastAsia" w:ascii="Times New Roman" w:hAnsi="Times New Roman"/>
          <w:szCs w:val="21"/>
          <w:u w:val="single"/>
        </w:rPr>
        <w:t>　　　</w:t>
      </w:r>
      <w:r>
        <w:rPr>
          <w:rFonts w:hint="eastAsia" w:ascii="Times New Roman" w:hAnsi="Times New Roman"/>
          <w:szCs w:val="21"/>
        </w:rPr>
        <w:t>月</w:t>
      </w:r>
      <w:r>
        <w:rPr>
          <w:rFonts w:hint="eastAsia" w:ascii="Times New Roman" w:hAnsi="Times New Roman"/>
          <w:szCs w:val="21"/>
          <w:u w:val="single"/>
        </w:rPr>
        <w:t>　　　</w:t>
      </w:r>
      <w:r>
        <w:rPr>
          <w:rFonts w:hint="eastAsia" w:ascii="Times New Roman" w:hAnsi="Times New Roman"/>
          <w:szCs w:val="21"/>
        </w:rPr>
        <w:t>日　至　</w:t>
      </w:r>
      <w:r>
        <w:rPr>
          <w:rFonts w:hint="eastAsia" w:ascii="Times New Roman" w:hAnsi="Times New Roman"/>
          <w:szCs w:val="21"/>
          <w:u w:val="single"/>
        </w:rPr>
        <w:t>　　 　</w:t>
      </w:r>
      <w:r>
        <w:rPr>
          <w:rFonts w:hint="eastAsia" w:ascii="Times New Roman" w:hAnsi="Times New Roman"/>
          <w:szCs w:val="21"/>
        </w:rPr>
        <w:t>年</w:t>
      </w:r>
      <w:r>
        <w:rPr>
          <w:rFonts w:hint="eastAsia" w:ascii="Times New Roman" w:hAnsi="Times New Roman"/>
          <w:szCs w:val="21"/>
          <w:u w:val="single"/>
        </w:rPr>
        <w:t>　　　</w:t>
      </w:r>
      <w:r>
        <w:rPr>
          <w:rFonts w:hint="eastAsia" w:ascii="Times New Roman" w:hAnsi="Times New Roman"/>
          <w:szCs w:val="21"/>
        </w:rPr>
        <w:t>月</w:t>
      </w:r>
      <w:r>
        <w:rPr>
          <w:rFonts w:hint="eastAsia" w:ascii="Times New Roman" w:hAnsi="Times New Roman"/>
          <w:szCs w:val="21"/>
          <w:u w:val="single"/>
        </w:rPr>
        <w:t>　　　</w:t>
      </w:r>
      <w:r>
        <w:rPr>
          <w:rFonts w:hint="eastAsia" w:ascii="Times New Roman" w:hAnsi="Times New Roman"/>
          <w:szCs w:val="21"/>
        </w:rPr>
        <w:t>日</w:t>
      </w:r>
    </w:p>
    <w:p>
      <w:pPr>
        <w:spacing w:before="120"/>
        <w:jc w:val="center"/>
        <w:rPr>
          <w:rFonts w:hint="eastAsia" w:ascii="Times New Roman" w:eastAsia="微软简标宋"/>
          <w:sz w:val="28"/>
        </w:rPr>
      </w:pPr>
    </w:p>
    <w:p>
      <w:pPr>
        <w:spacing w:line="360" w:lineRule="exact"/>
        <w:ind w:firstLine="1937" w:firstLineChars="804"/>
        <w:rPr>
          <w:rFonts w:hint="eastAsia"/>
          <w:b/>
          <w:sz w:val="24"/>
        </w:rPr>
      </w:pPr>
      <w:r>
        <w:rPr>
          <w:rFonts w:hint="eastAsia"/>
          <w:b/>
          <w:sz w:val="24"/>
        </w:rPr>
        <w:t>内容提要：</w:t>
      </w:r>
      <w:r>
        <w:rPr>
          <w:b/>
          <w:sz w:val="24"/>
        </w:rPr>
        <w:t xml:space="preserve"> </w:t>
      </w:r>
    </w:p>
    <w:p>
      <w:pPr>
        <w:spacing w:line="360" w:lineRule="exact"/>
        <w:rPr>
          <w:sz w:val="24"/>
        </w:rPr>
      </w:pPr>
      <w:r>
        <w:rPr>
          <w:sz w:val="24"/>
        </w:rPr>
        <w:t xml:space="preserve">                </w:t>
      </w:r>
      <w:r>
        <w:rPr>
          <w:rFonts w:hint="eastAsia"/>
          <w:sz w:val="24"/>
        </w:rPr>
        <w:t>工程概况</w:t>
      </w:r>
    </w:p>
    <w:p>
      <w:pPr>
        <w:spacing w:line="360" w:lineRule="exact"/>
        <w:rPr>
          <w:sz w:val="24"/>
        </w:rPr>
      </w:pPr>
      <w:r>
        <w:rPr>
          <w:sz w:val="24"/>
        </w:rPr>
        <w:t xml:space="preserve">                </w:t>
      </w:r>
      <w:r>
        <w:rPr>
          <w:rFonts w:hint="eastAsia"/>
          <w:sz w:val="24"/>
        </w:rPr>
        <w:t>监理工作范围、内容、目标</w:t>
      </w:r>
    </w:p>
    <w:p>
      <w:pPr>
        <w:spacing w:line="360" w:lineRule="exact"/>
        <w:ind w:firstLine="1920" w:firstLineChars="800"/>
        <w:rPr>
          <w:sz w:val="24"/>
        </w:rPr>
      </w:pPr>
      <w:r>
        <w:rPr>
          <w:rFonts w:hint="eastAsia"/>
          <w:sz w:val="24"/>
        </w:rPr>
        <w:t>监理工作依据</w:t>
      </w:r>
    </w:p>
    <w:p>
      <w:pPr>
        <w:tabs>
          <w:tab w:val="left" w:pos="2260"/>
        </w:tabs>
        <w:spacing w:line="360" w:lineRule="exact"/>
        <w:rPr>
          <w:sz w:val="24"/>
        </w:rPr>
      </w:pPr>
      <w:r>
        <w:rPr>
          <w:sz w:val="24"/>
        </w:rPr>
        <w:t xml:space="preserve">                </w:t>
      </w:r>
      <w:r>
        <w:rPr>
          <w:rFonts w:hint="eastAsia"/>
          <w:sz w:val="24"/>
        </w:rPr>
        <w:t>监理组织形式、人员配备及进退场计划、岗位职责</w:t>
      </w:r>
    </w:p>
    <w:p>
      <w:pPr>
        <w:spacing w:line="360" w:lineRule="exact"/>
        <w:rPr>
          <w:sz w:val="24"/>
        </w:rPr>
      </w:pPr>
      <w:r>
        <w:rPr>
          <w:sz w:val="24"/>
        </w:rPr>
        <w:t xml:space="preserve">                </w:t>
      </w:r>
      <w:r>
        <w:rPr>
          <w:rFonts w:hint="eastAsia"/>
          <w:sz w:val="24"/>
        </w:rPr>
        <w:t>监理工作制度</w:t>
      </w:r>
    </w:p>
    <w:p>
      <w:pPr>
        <w:spacing w:line="360" w:lineRule="exact"/>
        <w:rPr>
          <w:sz w:val="24"/>
        </w:rPr>
      </w:pPr>
      <w:r>
        <w:rPr>
          <w:sz w:val="24"/>
        </w:rPr>
        <w:t xml:space="preserve">                </w:t>
      </w:r>
      <w:r>
        <w:rPr>
          <w:rFonts w:hint="eastAsia"/>
          <w:sz w:val="24"/>
        </w:rPr>
        <w:t>工程质量控制</w:t>
      </w:r>
    </w:p>
    <w:p>
      <w:pPr>
        <w:spacing w:line="360" w:lineRule="exact"/>
        <w:rPr>
          <w:sz w:val="24"/>
        </w:rPr>
      </w:pPr>
      <w:r>
        <w:rPr>
          <w:sz w:val="24"/>
        </w:rPr>
        <w:t xml:space="preserve">                </w:t>
      </w:r>
      <w:r>
        <w:rPr>
          <w:rFonts w:hint="eastAsia"/>
          <w:sz w:val="24"/>
        </w:rPr>
        <w:t>工程造价控制</w:t>
      </w:r>
    </w:p>
    <w:p>
      <w:pPr>
        <w:spacing w:line="360" w:lineRule="exact"/>
        <w:rPr>
          <w:sz w:val="24"/>
        </w:rPr>
      </w:pPr>
      <w:r>
        <w:rPr>
          <w:sz w:val="24"/>
        </w:rPr>
        <w:t xml:space="preserve">                </w:t>
      </w:r>
      <w:r>
        <w:rPr>
          <w:rFonts w:hint="eastAsia"/>
          <w:sz w:val="24"/>
        </w:rPr>
        <w:t>工程进度控制</w:t>
      </w:r>
    </w:p>
    <w:p>
      <w:pPr>
        <w:spacing w:line="360" w:lineRule="exact"/>
        <w:rPr>
          <w:sz w:val="24"/>
        </w:rPr>
      </w:pPr>
      <w:r>
        <w:rPr>
          <w:sz w:val="24"/>
        </w:rPr>
        <w:t xml:space="preserve">                </w:t>
      </w:r>
      <w:r>
        <w:rPr>
          <w:rFonts w:hint="eastAsia"/>
          <w:sz w:val="24"/>
        </w:rPr>
        <w:t>安全生产管理的监理工作</w:t>
      </w:r>
    </w:p>
    <w:p>
      <w:pPr>
        <w:spacing w:line="360" w:lineRule="exact"/>
        <w:rPr>
          <w:sz w:val="24"/>
        </w:rPr>
      </w:pPr>
      <w:r>
        <w:rPr>
          <w:sz w:val="24"/>
        </w:rPr>
        <w:t xml:space="preserve">                </w:t>
      </w:r>
      <w:r>
        <w:rPr>
          <w:rFonts w:hint="eastAsia"/>
          <w:sz w:val="24"/>
        </w:rPr>
        <w:t>合同与信息管理</w:t>
      </w:r>
    </w:p>
    <w:p>
      <w:pPr>
        <w:spacing w:line="360" w:lineRule="exact"/>
        <w:rPr>
          <w:sz w:val="24"/>
        </w:rPr>
      </w:pPr>
      <w:r>
        <w:rPr>
          <w:sz w:val="24"/>
        </w:rPr>
        <w:t xml:space="preserve">                </w:t>
      </w:r>
      <w:r>
        <w:rPr>
          <w:rFonts w:hint="eastAsia"/>
          <w:sz w:val="24"/>
        </w:rPr>
        <w:t>组织协调</w:t>
      </w:r>
    </w:p>
    <w:p>
      <w:pPr>
        <w:spacing w:line="360" w:lineRule="exact"/>
        <w:rPr>
          <w:sz w:val="24"/>
        </w:rPr>
      </w:pPr>
      <w:r>
        <w:rPr>
          <w:sz w:val="24"/>
        </w:rPr>
        <w:t xml:space="preserve">                </w:t>
      </w:r>
      <w:r>
        <w:rPr>
          <w:rFonts w:hint="eastAsia"/>
          <w:sz w:val="24"/>
        </w:rPr>
        <w:t>监理工作设施</w:t>
      </w:r>
    </w:p>
    <w:p>
      <w:pPr>
        <w:rPr>
          <w:sz w:val="28"/>
        </w:rPr>
      </w:pPr>
    </w:p>
    <w:p>
      <w:pPr>
        <w:rPr>
          <w:rFonts w:ascii="Times New Roman"/>
          <w:bCs/>
          <w:sz w:val="30"/>
          <w:u w:val="single"/>
        </w:rPr>
      </w:pPr>
      <w:r>
        <w:rPr>
          <w:sz w:val="28"/>
        </w:rPr>
        <w:t xml:space="preserve">           </w:t>
      </w:r>
      <w:r>
        <w:rPr>
          <w:rFonts w:hint="eastAsia" w:ascii="Times New Roman"/>
          <w:bCs/>
          <w:sz w:val="30"/>
        </w:rPr>
        <w:t>监理单位（章）：</w:t>
      </w:r>
      <w:r>
        <w:rPr>
          <w:rFonts w:hint="eastAsia" w:ascii="Times New Roman"/>
          <w:bCs/>
          <w:sz w:val="30"/>
          <w:u w:val="single"/>
        </w:rPr>
        <w:t xml:space="preserve">　　　      　　                </w:t>
      </w:r>
    </w:p>
    <w:p>
      <w:pPr>
        <w:rPr>
          <w:rFonts w:hint="eastAsia" w:ascii="Times New Roman"/>
          <w:bCs/>
          <w:sz w:val="30"/>
          <w:u w:val="single"/>
        </w:rPr>
      </w:pPr>
      <w:r>
        <w:rPr>
          <w:rFonts w:hint="eastAsia" w:ascii="Times New Roman"/>
          <w:bCs/>
          <w:sz w:val="30"/>
        </w:rPr>
        <w:t>　　　　　总监理工程师（签字）：</w:t>
      </w:r>
      <w:r>
        <w:rPr>
          <w:rFonts w:hint="eastAsia" w:ascii="Times New Roman"/>
          <w:bCs/>
          <w:sz w:val="30"/>
          <w:u w:val="single"/>
        </w:rPr>
        <w:t>　　　　 　　        　　</w:t>
      </w:r>
    </w:p>
    <w:p>
      <w:pPr>
        <w:rPr>
          <w:rFonts w:hint="eastAsia" w:ascii="Times New Roman" w:eastAsia="微软简标宋"/>
          <w:bCs/>
          <w:sz w:val="30"/>
          <w:u w:val="single"/>
        </w:rPr>
      </w:pPr>
      <w:r>
        <w:rPr>
          <w:rFonts w:hint="eastAsia" w:ascii="Times New Roman"/>
          <w:bCs/>
          <w:sz w:val="30"/>
        </w:rPr>
        <w:t xml:space="preserve">          监理单位技术负责人（签字）：</w:t>
      </w:r>
      <w:r>
        <w:rPr>
          <w:rFonts w:hint="eastAsia" w:ascii="Times New Roman"/>
          <w:bCs/>
          <w:sz w:val="30"/>
          <w:u w:val="single"/>
        </w:rPr>
        <w:t xml:space="preserve">                    </w:t>
      </w:r>
    </w:p>
    <w:p>
      <w:pPr>
        <w:spacing w:after="480"/>
        <w:rPr>
          <w:rFonts w:hint="eastAsia"/>
          <w:bCs/>
          <w:sz w:val="32"/>
          <w:u w:val="single"/>
        </w:rPr>
      </w:pPr>
      <w:r>
        <w:rPr>
          <w:rFonts w:hint="eastAsia"/>
          <w:bCs/>
          <w:sz w:val="30"/>
        </w:rPr>
        <w:t>　　　　　日</w:t>
      </w:r>
      <w:r>
        <w:rPr>
          <w:bCs/>
          <w:sz w:val="30"/>
        </w:rPr>
        <w:t xml:space="preserve">          </w:t>
      </w:r>
      <w:r>
        <w:rPr>
          <w:rFonts w:hint="eastAsia"/>
          <w:bCs/>
          <w:sz w:val="30"/>
        </w:rPr>
        <w:t>期：</w:t>
      </w:r>
      <w:r>
        <w:rPr>
          <w:rFonts w:hint="eastAsia"/>
          <w:bCs/>
          <w:sz w:val="30"/>
          <w:u w:val="single"/>
        </w:rPr>
        <w:t>　　　　</w:t>
      </w:r>
      <w:r>
        <w:rPr>
          <w:bCs/>
          <w:sz w:val="30"/>
          <w:u w:val="single"/>
        </w:rPr>
        <w:t xml:space="preserve"> </w:t>
      </w:r>
      <w:r>
        <w:rPr>
          <w:rFonts w:hint="eastAsia"/>
          <w:bCs/>
          <w:sz w:val="30"/>
          <w:u w:val="single"/>
        </w:rPr>
        <w:t>　　　</w:t>
      </w:r>
      <w:r>
        <w:rPr>
          <w:bCs/>
          <w:sz w:val="30"/>
          <w:u w:val="single"/>
        </w:rPr>
        <w:t xml:space="preserve">              </w:t>
      </w:r>
      <w:r>
        <w:rPr>
          <w:rFonts w:hint="eastAsia"/>
          <w:bCs/>
          <w:sz w:val="30"/>
          <w:u w:val="single"/>
        </w:rPr>
        <w:t>　</w:t>
      </w:r>
    </w:p>
    <w:p>
      <w:pPr>
        <w:jc w:val="center"/>
        <w:rPr>
          <w:rFonts w:ascii="Times New Roman" w:eastAsia="隶书"/>
        </w:rPr>
      </w:pPr>
    </w:p>
    <w:p>
      <w:pPr>
        <w:jc w:val="center"/>
        <w:rPr>
          <w:rFonts w:hint="eastAsia" w:ascii="Times New Roman" w:eastAsia="隶书"/>
        </w:rPr>
      </w:pPr>
    </w:p>
    <w:p>
      <w:pPr>
        <w:jc w:val="center"/>
        <w:rPr>
          <w:rFonts w:hint="eastAsia" w:ascii="Times New Roman" w:eastAsia="隶书"/>
        </w:rPr>
      </w:pPr>
      <w:r>
        <w:rPr>
          <w:rFonts w:hint="eastAsia" w:ascii="Times New Roman" w:eastAsia="隶书"/>
        </w:rPr>
        <w:t>第六版表                                              江苏省住房和城乡建设厅监制</w:t>
      </w:r>
    </w:p>
    <w:p>
      <w:pPr>
        <w:spacing w:line="380" w:lineRule="exact"/>
        <w:jc w:val="right"/>
        <w:rPr>
          <w:rFonts w:hint="eastAsia" w:ascii="Times New Roman" w:eastAsia="黑体"/>
          <w:b/>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A.0.4</w:t>
      </w:r>
    </w:p>
    <w:p>
      <w:pPr>
        <w:spacing w:before="468" w:beforeLines="150" w:after="156" w:afterLines="50"/>
        <w:jc w:val="center"/>
        <w:rPr>
          <w:rFonts w:hint="eastAsia" w:ascii="Times New Roman" w:hAnsi="Times New Roman"/>
          <w:sz w:val="36"/>
        </w:rPr>
      </w:pPr>
      <w:r>
        <w:rPr>
          <w:rFonts w:hint="eastAsia" w:eastAsia="微软简标宋"/>
          <w:sz w:val="36"/>
          <w:u w:val="single"/>
        </w:rPr>
        <w:t>　　　　　　　　　　　　　　　　　　　</w:t>
      </w:r>
      <w:r>
        <w:rPr>
          <w:rFonts w:hint="eastAsia" w:ascii="Times New Roman" w:hAnsi="Times New Roman" w:eastAsia="黑体"/>
          <w:sz w:val="44"/>
          <w14:shadow w14:blurRad="50800" w14:dist="38100" w14:dir="2700000" w14:sx="100000" w14:sy="100000" w14:kx="0" w14:ky="0" w14:algn="tl">
            <w14:srgbClr w14:val="000000">
              <w14:alpha w14:val="60000"/>
            </w14:srgbClr>
          </w14:shadow>
        </w:rPr>
        <w:t>工程</w:t>
      </w:r>
    </w:p>
    <w:p>
      <w:pPr>
        <w:spacing w:before="240" w:after="240"/>
        <w:jc w:val="center"/>
        <w:rPr>
          <w:rFonts w:hint="eastAsia" w:ascii="Times New Roman" w:eastAsia="黑体"/>
          <w:spacing w:val="40"/>
          <w:w w:val="200"/>
          <w:sz w:val="52"/>
          <w:szCs w:val="52"/>
          <w14:shadow w14:blurRad="50800" w14:dist="38100" w14:dir="2700000" w14:sx="100000" w14:sy="100000" w14:kx="0" w14:ky="0" w14:algn="tl">
            <w14:srgbClr w14:val="000000">
              <w14:alpha w14:val="60000"/>
            </w14:srgbClr>
          </w14:shadow>
        </w:rPr>
      </w:pPr>
      <w:r>
        <w:rPr>
          <w:rFonts w:hint="eastAsia" w:ascii="Times New Roman" w:eastAsia="黑体"/>
          <w:spacing w:val="40"/>
          <w:w w:val="200"/>
          <w:sz w:val="52"/>
          <w:szCs w:val="52"/>
          <w14:shadow w14:blurRad="50800" w14:dist="38100" w14:dir="2700000" w14:sx="100000" w14:sy="100000" w14:kx="0" w14:ky="0" w14:algn="tl">
            <w14:srgbClr w14:val="000000">
              <w14:alpha w14:val="60000"/>
            </w14:srgbClr>
          </w14:shadow>
        </w:rPr>
        <w:t>监理实施细则</w:t>
      </w:r>
    </w:p>
    <w:p>
      <w:pPr>
        <w:rPr>
          <w:rFonts w:hint="eastAsia" w:eastAsia="微软简标宋"/>
          <w:sz w:val="48"/>
        </w:rPr>
      </w:pPr>
      <w:r>
        <w:rPr>
          <w:rFonts w:eastAsia="微软简标宋"/>
          <w:sz w:val="48"/>
        </w:rPr>
        <w:t xml:space="preserve">           </w:t>
      </w:r>
      <w:r>
        <w:rPr>
          <w:rFonts w:hint="eastAsia" w:eastAsia="微软简标宋"/>
          <w:sz w:val="48"/>
        </w:rPr>
        <w:t>（</w:t>
      </w:r>
      <w:r>
        <w:rPr>
          <w:rFonts w:eastAsia="微软简标宋"/>
          <w:sz w:val="48"/>
        </w:rPr>
        <w:t xml:space="preserve">          </w:t>
      </w:r>
      <w:r>
        <w:rPr>
          <w:rFonts w:hint="eastAsia" w:eastAsia="微软简标宋"/>
          <w:sz w:val="48"/>
        </w:rPr>
        <w:t>）</w:t>
      </w:r>
    </w:p>
    <w:p>
      <w:pPr>
        <w:rPr>
          <w:sz w:val="28"/>
        </w:rPr>
      </w:pPr>
    </w:p>
    <w:p>
      <w:pPr>
        <w:spacing w:line="600" w:lineRule="exact"/>
        <w:ind w:firstLine="2535" w:firstLineChars="1052"/>
        <w:rPr>
          <w:b/>
          <w:sz w:val="24"/>
        </w:rPr>
      </w:pPr>
      <w:r>
        <w:rPr>
          <w:rFonts w:hint="eastAsia"/>
          <w:b/>
          <w:sz w:val="24"/>
        </w:rPr>
        <w:t>内容提要：</w:t>
      </w:r>
    </w:p>
    <w:p>
      <w:pPr>
        <w:spacing w:line="600" w:lineRule="exact"/>
        <w:ind w:firstLine="2520" w:firstLineChars="1050"/>
        <w:rPr>
          <w:sz w:val="24"/>
        </w:rPr>
      </w:pPr>
      <w:r>
        <w:rPr>
          <w:rFonts w:hint="eastAsia"/>
          <w:sz w:val="24"/>
        </w:rPr>
        <w:t>专业工程特点</w:t>
      </w:r>
    </w:p>
    <w:p>
      <w:pPr>
        <w:spacing w:line="600" w:lineRule="exact"/>
        <w:ind w:firstLine="2520" w:firstLineChars="1050"/>
        <w:rPr>
          <w:sz w:val="24"/>
        </w:rPr>
      </w:pPr>
      <w:r>
        <w:rPr>
          <w:rFonts w:hint="eastAsia"/>
          <w:sz w:val="24"/>
        </w:rPr>
        <w:t>监理工作流程</w:t>
      </w:r>
    </w:p>
    <w:p>
      <w:pPr>
        <w:spacing w:line="600" w:lineRule="exact"/>
        <w:ind w:firstLine="2520" w:firstLineChars="1050"/>
        <w:rPr>
          <w:sz w:val="24"/>
        </w:rPr>
      </w:pPr>
      <w:r>
        <w:rPr>
          <w:rFonts w:hint="eastAsia"/>
          <w:sz w:val="24"/>
        </w:rPr>
        <w:t>监理工作要点</w:t>
      </w:r>
    </w:p>
    <w:p>
      <w:pPr>
        <w:spacing w:line="600" w:lineRule="exact"/>
        <w:ind w:firstLine="2544" w:firstLineChars="1060"/>
        <w:rPr>
          <w:sz w:val="24"/>
        </w:rPr>
      </w:pPr>
      <w:r>
        <w:rPr>
          <w:rFonts w:hint="eastAsia"/>
          <w:sz w:val="24"/>
        </w:rPr>
        <w:t>监理工作方法及措施</w:t>
      </w:r>
    </w:p>
    <w:p>
      <w:pPr>
        <w:rPr>
          <w:sz w:val="28"/>
        </w:rPr>
      </w:pPr>
    </w:p>
    <w:p>
      <w:pPr>
        <w:rPr>
          <w:sz w:val="28"/>
        </w:rPr>
      </w:pPr>
    </w:p>
    <w:p>
      <w:pPr>
        <w:rPr>
          <w:sz w:val="28"/>
        </w:rPr>
      </w:pPr>
    </w:p>
    <w:p>
      <w:pPr>
        <w:ind w:firstLine="1344" w:firstLineChars="448"/>
        <w:rPr>
          <w:rFonts w:ascii="Times New Roman"/>
          <w:bCs/>
          <w:sz w:val="30"/>
          <w:szCs w:val="30"/>
          <w:u w:val="single"/>
        </w:rPr>
      </w:pPr>
      <w:bookmarkStart w:id="497" w:name="_Hlk531354896"/>
      <w:r>
        <w:rPr>
          <w:rFonts w:hint="eastAsia" w:ascii="Times New Roman"/>
          <w:bCs/>
          <w:sz w:val="30"/>
          <w:szCs w:val="30"/>
        </w:rPr>
        <w:t>项目监理机构（章）：</w:t>
      </w:r>
      <w:r>
        <w:rPr>
          <w:rFonts w:hint="eastAsia" w:ascii="Times New Roman"/>
          <w:bCs/>
          <w:sz w:val="30"/>
          <w:szCs w:val="30"/>
          <w:u w:val="single"/>
        </w:rPr>
        <w:t>　　　　      　 　　　</w:t>
      </w:r>
    </w:p>
    <w:p>
      <w:pPr>
        <w:ind w:firstLine="1344" w:firstLineChars="448"/>
        <w:rPr>
          <w:rFonts w:hint="eastAsia" w:ascii="Times New Roman"/>
          <w:bCs/>
          <w:sz w:val="30"/>
          <w:szCs w:val="30"/>
        </w:rPr>
      </w:pPr>
      <w:r>
        <w:rPr>
          <w:rFonts w:hint="eastAsia" w:ascii="Times New Roman"/>
          <w:bCs/>
          <w:sz w:val="30"/>
          <w:szCs w:val="30"/>
        </w:rPr>
        <w:t>专业监理工程师（签字）</w:t>
      </w:r>
      <w:r>
        <w:rPr>
          <w:rFonts w:hint="eastAsia" w:ascii="Times New Roman"/>
          <w:bCs/>
          <w:sz w:val="28"/>
        </w:rPr>
        <w:t>：</w:t>
      </w:r>
      <w:r>
        <w:rPr>
          <w:rFonts w:hint="eastAsia" w:ascii="Times New Roman"/>
          <w:bCs/>
          <w:sz w:val="30"/>
          <w:szCs w:val="30"/>
          <w:u w:val="single"/>
        </w:rPr>
        <w:t xml:space="preserve">                   </w:t>
      </w:r>
    </w:p>
    <w:p>
      <w:pPr>
        <w:ind w:firstLine="1344" w:firstLineChars="448"/>
        <w:rPr>
          <w:rFonts w:hint="eastAsia" w:ascii="Times New Roman" w:eastAsia="微软简标宋"/>
          <w:bCs/>
          <w:sz w:val="30"/>
          <w:szCs w:val="30"/>
          <w:u w:val="single"/>
        </w:rPr>
      </w:pPr>
      <w:r>
        <w:rPr>
          <w:rFonts w:hint="eastAsia" w:ascii="Times New Roman"/>
          <w:bCs/>
          <w:sz w:val="30"/>
          <w:szCs w:val="30"/>
        </w:rPr>
        <w:t>总监理工程师（签字、执业印章）：</w:t>
      </w:r>
      <w:r>
        <w:rPr>
          <w:rFonts w:hint="eastAsia" w:ascii="Times New Roman"/>
          <w:bCs/>
          <w:sz w:val="30"/>
          <w:szCs w:val="30"/>
          <w:u w:val="single"/>
        </w:rPr>
        <w:t>　 　 　 　</w:t>
      </w:r>
    </w:p>
    <w:bookmarkEnd w:id="497"/>
    <w:p>
      <w:pPr>
        <w:spacing w:after="480"/>
        <w:ind w:firstLine="1344" w:firstLineChars="448"/>
        <w:rPr>
          <w:rFonts w:hint="eastAsia" w:ascii="Times New Roman" w:eastAsia="隶书"/>
        </w:rPr>
      </w:pPr>
      <w:r>
        <w:rPr>
          <w:rFonts w:hint="eastAsia"/>
          <w:bCs/>
          <w:sz w:val="30"/>
          <w:szCs w:val="30"/>
        </w:rPr>
        <w:t>日</w:t>
      </w:r>
      <w:r>
        <w:rPr>
          <w:bCs/>
          <w:sz w:val="30"/>
          <w:szCs w:val="30"/>
        </w:rPr>
        <w:t xml:space="preserve">        </w:t>
      </w:r>
      <w:r>
        <w:rPr>
          <w:rFonts w:hint="eastAsia"/>
          <w:bCs/>
          <w:sz w:val="30"/>
          <w:szCs w:val="30"/>
        </w:rPr>
        <w:t>期：</w:t>
      </w:r>
      <w:r>
        <w:rPr>
          <w:rFonts w:hint="eastAsia" w:ascii="Times New Roman"/>
          <w:bCs/>
          <w:sz w:val="30"/>
          <w:szCs w:val="30"/>
          <w:u w:val="single"/>
        </w:rPr>
        <w:t xml:space="preserve">　　　　　　  　 　      　 </w:t>
      </w:r>
    </w:p>
    <w:p>
      <w:pPr>
        <w:jc w:val="center"/>
        <w:rPr>
          <w:rFonts w:hint="eastAsia" w:ascii="Times New Roman" w:eastAsia="隶书"/>
        </w:rPr>
      </w:pPr>
    </w:p>
    <w:p>
      <w:pPr>
        <w:jc w:val="center"/>
        <w:rPr>
          <w:rFonts w:hint="eastAsia" w:ascii="Times New Roman" w:eastAsia="隶书"/>
        </w:rPr>
      </w:pPr>
    </w:p>
    <w:p>
      <w:pPr>
        <w:jc w:val="center"/>
        <w:rPr>
          <w:rFonts w:hint="eastAsia" w:ascii="Times New Roman" w:eastAsia="隶书"/>
        </w:rPr>
      </w:pPr>
      <w:r>
        <w:rPr>
          <w:rFonts w:hint="eastAsia" w:ascii="Times New Roman" w:eastAsia="隶书"/>
        </w:rPr>
        <w:t>第六版表                                             江苏省住房和城乡建设厅监制</w:t>
      </w:r>
    </w:p>
    <w:p>
      <w:pPr>
        <w:jc w:val="right"/>
        <w:rPr>
          <w:rFonts w:hint="eastAsia" w:ascii="Times New Roman" w:eastAsia="黑体"/>
          <w:b/>
        </w:rPr>
      </w:pPr>
      <w:r>
        <w:rPr>
          <w:b/>
          <w:szCs w:val="21"/>
        </w:rPr>
        <w:br w:type="column"/>
      </w:r>
      <w:r>
        <w:rPr>
          <w:rFonts w:eastAsia="黑体"/>
          <w:b/>
          <w:w w:val="90"/>
          <w:sz w:val="28"/>
          <w:szCs w:val="28"/>
          <w14:shadow w14:blurRad="50800" w14:dist="38100" w14:dir="2700000" w14:sx="100000" w14:sy="100000" w14:kx="0" w14:ky="0" w14:algn="tl">
            <w14:srgbClr w14:val="000000">
              <w14:alpha w14:val="60000"/>
            </w14:srgbClr>
          </w14:shadow>
        </w:rPr>
        <w:t>A.0.5</w:t>
      </w:r>
    </w:p>
    <w:p>
      <w:pPr>
        <w:spacing w:before="312" w:beforeLines="100" w:after="312" w:afterLines="100"/>
        <w:jc w:val="center"/>
        <w:rPr>
          <w:rFonts w:hint="eastAsia" w:ascii="Times New Roman" w:eastAsia="黑体"/>
          <w:sz w:val="44"/>
          <w:szCs w:val="44"/>
          <w14:shadow w14:blurRad="50800" w14:dist="38100" w14:dir="2700000" w14:sx="100000" w14:sy="100000" w14:kx="0" w14:ky="0" w14:algn="tl">
            <w14:srgbClr w14:val="000000">
              <w14:alpha w14:val="60000"/>
            </w14:srgbClr>
          </w14:shadow>
        </w:rPr>
      </w:pPr>
      <w:r>
        <w:rPr>
          <w:rFonts w:hint="eastAsia" w:ascii="Times New Roman" w:eastAsia="黑体"/>
          <w:sz w:val="44"/>
          <w:szCs w:val="44"/>
          <w14:shadow w14:blurRad="50800" w14:dist="38100" w14:dir="2700000" w14:sx="100000" w14:sy="100000" w14:kx="0" w14:ky="0" w14:algn="tl">
            <w14:srgbClr w14:val="000000">
              <w14:alpha w14:val="60000"/>
            </w14:srgbClr>
          </w14:shadow>
        </w:rPr>
        <w:t>工 程 开 工 令</w:t>
      </w:r>
    </w:p>
    <w:p>
      <w:pPr>
        <w:spacing w:after="156" w:afterLines="50" w:line="420" w:lineRule="exact"/>
        <w:ind w:left="21" w:hanging="21" w:hangingChars="10"/>
        <w:rPr>
          <w:rFonts w:hint="eastAsia"/>
          <w:szCs w:val="21"/>
        </w:rPr>
      </w:pPr>
      <w:r>
        <w:rPr>
          <w:rFonts w:hint="eastAsia"/>
          <w:szCs w:val="21"/>
        </w:rPr>
        <w:t>工程名称：</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szCs w:val="21"/>
        </w:rPr>
        <w:t xml:space="preserve">                 </w:t>
      </w:r>
      <w:r>
        <w:rPr>
          <w:rFonts w:hint="eastAsia"/>
          <w:szCs w:val="21"/>
        </w:rPr>
        <w:t>编号：</w:t>
      </w:r>
      <w:r>
        <w:rPr>
          <w:szCs w:val="21"/>
        </w:rPr>
        <w:t>A.0.5</w:t>
      </w:r>
      <w:r>
        <w:rPr>
          <w:szCs w:val="21"/>
          <w:u w:val="single"/>
        </w:rPr>
        <w:t xml:space="preserve">  </w:t>
      </w:r>
      <w:r>
        <w:rPr>
          <w:rFonts w:hint="eastAsia"/>
          <w:szCs w:val="21"/>
        </w:rPr>
        <w:t>—</w:t>
      </w:r>
      <w:r>
        <w:rPr>
          <w:szCs w:val="21"/>
          <w:u w:val="single"/>
        </w:rPr>
        <w:t xml:space="preserve">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977"/>
        <w:gridCol w:w="1660"/>
        <w:gridCol w:w="199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98" w:hRule="atLeast"/>
        </w:trPr>
        <w:tc>
          <w:tcPr>
            <w:tcW w:w="1951" w:type="dxa"/>
            <w:tcBorders>
              <w:top w:val="single" w:color="auto" w:sz="8" w:space="0"/>
              <w:left w:val="single" w:color="auto" w:sz="8" w:space="0"/>
              <w:bottom w:val="single" w:color="auto" w:sz="4" w:space="0"/>
              <w:right w:val="single" w:color="auto" w:sz="4" w:space="0"/>
            </w:tcBorders>
            <w:noWrap w:val="0"/>
            <w:vAlign w:val="center"/>
          </w:tcPr>
          <w:p>
            <w:pPr>
              <w:spacing w:line="320" w:lineRule="exact"/>
              <w:jc w:val="center"/>
              <w:rPr>
                <w:szCs w:val="21"/>
              </w:rPr>
            </w:pPr>
            <w:r>
              <w:rPr>
                <w:rFonts w:hint="eastAsia"/>
                <w:szCs w:val="21"/>
              </w:rPr>
              <w:t>施工项目经理部</w:t>
            </w:r>
          </w:p>
          <w:p>
            <w:pPr>
              <w:spacing w:line="320" w:lineRule="exact"/>
              <w:jc w:val="center"/>
              <w:rPr>
                <w:szCs w:val="21"/>
              </w:rPr>
            </w:pPr>
            <w:r>
              <w:rPr>
                <w:rFonts w:hint="eastAsia"/>
                <w:szCs w:val="21"/>
              </w:rPr>
              <w:t>签收人姓名及时间</w:t>
            </w:r>
          </w:p>
        </w:tc>
        <w:tc>
          <w:tcPr>
            <w:tcW w:w="2977" w:type="dxa"/>
            <w:tcBorders>
              <w:top w:val="single" w:color="auto" w:sz="8" w:space="0"/>
              <w:left w:val="single" w:color="auto" w:sz="4" w:space="0"/>
              <w:bottom w:val="single" w:color="auto" w:sz="4" w:space="0"/>
              <w:right w:val="single" w:color="auto" w:sz="4" w:space="0"/>
            </w:tcBorders>
            <w:noWrap w:val="0"/>
            <w:vAlign w:val="center"/>
          </w:tcPr>
          <w:p>
            <w:pPr>
              <w:spacing w:line="320" w:lineRule="exact"/>
              <w:jc w:val="center"/>
              <w:rPr>
                <w:szCs w:val="21"/>
              </w:rPr>
            </w:pPr>
          </w:p>
        </w:tc>
        <w:tc>
          <w:tcPr>
            <w:tcW w:w="1660" w:type="dxa"/>
            <w:tcBorders>
              <w:top w:val="single" w:color="auto" w:sz="8" w:space="0"/>
              <w:left w:val="single" w:color="auto" w:sz="4" w:space="0"/>
              <w:bottom w:val="single" w:color="auto" w:sz="4" w:space="0"/>
              <w:right w:val="single" w:color="auto" w:sz="4" w:space="0"/>
            </w:tcBorders>
            <w:noWrap w:val="0"/>
            <w:vAlign w:val="center"/>
          </w:tcPr>
          <w:p>
            <w:pPr>
              <w:spacing w:line="320" w:lineRule="exact"/>
              <w:jc w:val="center"/>
              <w:rPr>
                <w:szCs w:val="21"/>
              </w:rPr>
            </w:pPr>
            <w:r>
              <w:rPr>
                <w:rFonts w:hint="eastAsia"/>
                <w:szCs w:val="21"/>
              </w:rPr>
              <w:t>建设单位签收人姓名及时间</w:t>
            </w:r>
          </w:p>
        </w:tc>
        <w:tc>
          <w:tcPr>
            <w:tcW w:w="1996" w:type="dxa"/>
            <w:tcBorders>
              <w:top w:val="single" w:color="auto" w:sz="8" w:space="0"/>
              <w:left w:val="single" w:color="auto" w:sz="4" w:space="0"/>
              <w:bottom w:val="single" w:color="auto" w:sz="4" w:space="0"/>
              <w:right w:val="single" w:color="auto" w:sz="8" w:space="0"/>
            </w:tcBorders>
            <w:noWrap w:val="0"/>
            <w:vAlign w:val="center"/>
          </w:tcPr>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883" w:hRule="atLeast"/>
        </w:trPr>
        <w:tc>
          <w:tcPr>
            <w:tcW w:w="8584"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line="420" w:lineRule="exact"/>
              <w:rPr>
                <w:rFonts w:ascii="Times New Roman"/>
                <w:szCs w:val="21"/>
                <w:u w:val="single"/>
              </w:rPr>
            </w:pPr>
            <w:r>
              <w:rPr>
                <w:rFonts w:hint="eastAsia" w:ascii="Times New Roman"/>
                <w:szCs w:val="21"/>
              </w:rPr>
              <w:t>致：</w:t>
            </w:r>
            <w:r>
              <w:rPr>
                <w:rFonts w:hint="eastAsia" w:ascii="Times New Roman"/>
                <w:szCs w:val="21"/>
                <w:u w:val="single"/>
              </w:rPr>
              <w:t>　　　　　　   　</w:t>
            </w:r>
            <w:r>
              <w:rPr>
                <w:rFonts w:hint="eastAsia"/>
                <w:szCs w:val="21"/>
              </w:rPr>
              <w:t>（施工项目经理部）</w:t>
            </w:r>
          </w:p>
          <w:p>
            <w:pPr>
              <w:spacing w:before="156" w:beforeLines="50" w:line="420" w:lineRule="exact"/>
              <w:ind w:firstLine="420" w:firstLineChars="200"/>
              <w:rPr>
                <w:rFonts w:hint="eastAsia"/>
                <w:szCs w:val="21"/>
              </w:rPr>
            </w:pPr>
            <w:r>
              <w:rPr>
                <w:rFonts w:hint="eastAsia"/>
                <w:szCs w:val="21"/>
              </w:rPr>
              <w:t>经审查，本工程已具备施工合同约定的开工条件，经建设单位批准，现同意你方开始施工，开工日期为</w:t>
            </w:r>
            <w:r>
              <w:rPr>
                <w:rFonts w:hint="eastAsia" w:ascii="Times New Roman"/>
                <w:szCs w:val="21"/>
                <w:u w:val="single"/>
              </w:rPr>
              <w:t>　　   　</w:t>
            </w:r>
            <w:r>
              <w:rPr>
                <w:rFonts w:hint="eastAsia"/>
                <w:szCs w:val="21"/>
              </w:rPr>
              <w:t>年</w:t>
            </w:r>
            <w:r>
              <w:rPr>
                <w:rFonts w:hint="eastAsia" w:ascii="Times New Roman"/>
                <w:szCs w:val="21"/>
                <w:u w:val="single"/>
              </w:rPr>
              <w:t>　　   　</w:t>
            </w:r>
            <w:r>
              <w:rPr>
                <w:rFonts w:hint="eastAsia"/>
                <w:szCs w:val="21"/>
              </w:rPr>
              <w:t>月</w:t>
            </w:r>
            <w:r>
              <w:rPr>
                <w:rFonts w:hint="eastAsia" w:ascii="Times New Roman"/>
                <w:szCs w:val="21"/>
                <w:u w:val="single"/>
              </w:rPr>
              <w:t xml:space="preserve">　　   </w:t>
            </w:r>
            <w:r>
              <w:rPr>
                <w:rFonts w:hint="eastAsia"/>
                <w:szCs w:val="21"/>
              </w:rPr>
              <w:t>日。</w:t>
            </w:r>
          </w:p>
          <w:p>
            <w:pPr>
              <w:spacing w:line="420" w:lineRule="exact"/>
              <w:rPr>
                <w:szCs w:val="21"/>
              </w:rPr>
            </w:pPr>
          </w:p>
          <w:p>
            <w:pPr>
              <w:spacing w:line="420" w:lineRule="exact"/>
              <w:rPr>
                <w:szCs w:val="21"/>
              </w:rPr>
            </w:pPr>
            <w:r>
              <w:rPr>
                <w:szCs w:val="21"/>
              </w:rPr>
              <w:t xml:space="preserve">    </w:t>
            </w:r>
            <w:r>
              <w:rPr>
                <w:rFonts w:hint="eastAsia"/>
                <w:szCs w:val="21"/>
              </w:rPr>
              <w:t>附件：工程开工报审表</w:t>
            </w: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360" w:lineRule="auto"/>
              <w:jc w:val="center"/>
              <w:rPr>
                <w:rFonts w:ascii="Times New Roman" w:hAnsi="Times New Roman"/>
                <w:bCs/>
                <w:szCs w:val="21"/>
                <w:u w:val="single"/>
              </w:rPr>
            </w:pPr>
            <w:r>
              <w:rPr>
                <w:rFonts w:hint="eastAsia" w:ascii="Times New Roman" w:hAnsi="Times New Roman"/>
                <w:bCs/>
                <w:szCs w:val="21"/>
              </w:rPr>
              <w:t xml:space="preserve">           项目监理机构(章): </w:t>
            </w:r>
            <w:r>
              <w:rPr>
                <w:rFonts w:hint="eastAsia" w:ascii="Times New Roman" w:hAnsi="Times New Roman"/>
                <w:bCs/>
                <w:szCs w:val="21"/>
                <w:u w:val="single"/>
              </w:rPr>
              <w:t xml:space="preserve">                       </w:t>
            </w:r>
            <w:r>
              <w:rPr>
                <w:rFonts w:hint="eastAsia" w:ascii="Times New Roman" w:hAnsi="Times New Roman"/>
                <w:bCs/>
                <w:szCs w:val="21"/>
              </w:rPr>
              <w:t xml:space="preserve">          </w:t>
            </w:r>
          </w:p>
          <w:p>
            <w:pPr>
              <w:spacing w:line="360" w:lineRule="auto"/>
              <w:ind w:firstLine="2730" w:firstLineChars="1300"/>
              <w:jc w:val="center"/>
              <w:rPr>
                <w:rFonts w:hint="eastAsia" w:ascii="Times New Roman" w:hAnsi="Times New Roman"/>
                <w:bCs/>
                <w:szCs w:val="21"/>
              </w:rPr>
            </w:pPr>
            <w:r>
              <w:rPr>
                <w:rFonts w:hint="eastAsia"/>
                <w:szCs w:val="21"/>
              </w:rPr>
              <w:t>总监理工程师（签字、执业印章）</w:t>
            </w:r>
            <w:r>
              <w:rPr>
                <w:szCs w:val="21"/>
              </w:rPr>
              <w:t xml:space="preserve"> </w:t>
            </w:r>
            <w:r>
              <w:rPr>
                <w:rFonts w:hint="eastAsia"/>
                <w:szCs w:val="21"/>
              </w:rPr>
              <w:t>：</w:t>
            </w:r>
            <w:r>
              <w:rPr>
                <w:szCs w:val="21"/>
                <w:u w:val="single"/>
              </w:rPr>
              <w:t xml:space="preserve">         </w:t>
            </w:r>
            <w:r>
              <w:rPr>
                <w:szCs w:val="21"/>
              </w:rPr>
              <w:t xml:space="preserve">          </w:t>
            </w:r>
          </w:p>
          <w:p>
            <w:pPr>
              <w:spacing w:line="360" w:lineRule="auto"/>
              <w:jc w:val="right"/>
              <w:rPr>
                <w:szCs w:val="21"/>
                <w:u w:val="single"/>
              </w:rPr>
            </w:pP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01" w:hRule="atLeast"/>
        </w:trPr>
        <w:tc>
          <w:tcPr>
            <w:tcW w:w="8584" w:type="dxa"/>
            <w:gridSpan w:val="4"/>
            <w:tcBorders>
              <w:top w:val="single" w:color="auto" w:sz="4" w:space="0"/>
              <w:left w:val="single" w:color="auto" w:sz="8" w:space="0"/>
              <w:bottom w:val="single" w:color="auto" w:sz="8" w:space="0"/>
              <w:right w:val="single" w:color="auto" w:sz="8" w:space="0"/>
            </w:tcBorders>
            <w:noWrap w:val="0"/>
            <w:vAlign w:val="top"/>
          </w:tcPr>
          <w:p>
            <w:pPr>
              <w:spacing w:line="320" w:lineRule="exact"/>
              <w:rPr>
                <w:szCs w:val="21"/>
              </w:rPr>
            </w:pPr>
            <w:r>
              <w:rPr>
                <w:rFonts w:hint="eastAsia"/>
                <w:szCs w:val="21"/>
              </w:rPr>
              <w:t>注：</w:t>
            </w:r>
            <w:r>
              <w:rPr>
                <w:szCs w:val="21"/>
              </w:rPr>
              <w:t>1</w:t>
            </w:r>
            <w:r>
              <w:rPr>
                <w:rFonts w:hint="eastAsia"/>
                <w:szCs w:val="21"/>
              </w:rPr>
              <w:t>、总监理工程师发出的工程开工令应符合法律规定，工程必须取得施工许可文件。</w:t>
            </w:r>
          </w:p>
          <w:p>
            <w:pPr>
              <w:spacing w:line="320" w:lineRule="exact"/>
              <w:rPr>
                <w:szCs w:val="21"/>
              </w:rPr>
            </w:pPr>
            <w:r>
              <w:rPr>
                <w:szCs w:val="21"/>
              </w:rPr>
              <w:t xml:space="preserve">    2</w:t>
            </w:r>
            <w:r>
              <w:rPr>
                <w:rFonts w:hint="eastAsia"/>
                <w:szCs w:val="21"/>
              </w:rPr>
              <w:t>、本表一式三份，项目监理机构、建设单位、施工单位各一份。</w:t>
            </w:r>
          </w:p>
        </w:tc>
      </w:tr>
    </w:tbl>
    <w:p>
      <w:pPr>
        <w:ind w:right="4"/>
        <w:jc w:val="center"/>
        <w:rPr>
          <w:rFonts w:ascii="Times New Roman" w:eastAsia="隶书"/>
        </w:rPr>
      </w:pPr>
      <w:r>
        <w:rPr>
          <w:rFonts w:hint="eastAsia" w:ascii="Times New Roman" w:eastAsia="隶书"/>
        </w:rPr>
        <w:t>第六版表                                              江苏省住房和城乡建设厅监制</w:t>
      </w:r>
    </w:p>
    <w:p>
      <w:pPr>
        <w:spacing w:line="380" w:lineRule="exact"/>
        <w:jc w:val="right"/>
        <w:rPr>
          <w:rFonts w:hint="eastAsia" w:ascii="Times New Roman" w:eastAsia="黑体"/>
          <w:sz w:val="28"/>
          <w:szCs w:val="28"/>
        </w:rPr>
      </w:pPr>
      <w:r>
        <w:rPr>
          <w:rFonts w:eastAsia="黑体"/>
          <w:b/>
          <w:w w:val="90"/>
          <w:sz w:val="28"/>
          <w:szCs w:val="28"/>
          <w14:shadow w14:blurRad="50800" w14:dist="38100" w14:dir="2700000" w14:sx="100000" w14:sy="100000" w14:kx="0" w14:ky="0" w14:algn="tl">
            <w14:srgbClr w14:val="000000">
              <w14:alpha w14:val="60000"/>
            </w14:srgbClr>
          </w14:shadow>
        </w:rPr>
        <w:t>A.0.6</w:t>
      </w:r>
    </w:p>
    <w:p>
      <w:pPr>
        <w:spacing w:before="312" w:beforeLines="100" w:after="312" w:afterLines="100"/>
        <w:jc w:val="center"/>
        <w:rPr>
          <w:rFonts w:hint="eastAsia" w:eastAsia="黑体"/>
          <w:bCs/>
          <w:sz w:val="40"/>
          <w14:shadow w14:blurRad="50800" w14:dist="38100" w14:dir="2700000" w14:sx="100000" w14:sy="100000" w14:kx="0" w14:ky="0" w14:algn="tl">
            <w14:srgbClr w14:val="000000">
              <w14:alpha w14:val="60000"/>
            </w14:srgbClr>
          </w14:shadow>
        </w:rPr>
      </w:pPr>
      <w:r>
        <w:rPr>
          <w:rFonts w:hint="eastAsia" w:eastAsia="黑体"/>
          <w:bCs/>
          <w:sz w:val="44"/>
          <w14:shadow w14:blurRad="50800" w14:dist="38100" w14:dir="2700000" w14:sx="100000" w14:sy="100000" w14:kx="0" w14:ky="0" w14:algn="tl">
            <w14:srgbClr w14:val="000000">
              <w14:alpha w14:val="60000"/>
            </w14:srgbClr>
          </w14:shadow>
        </w:rPr>
        <w:t>旁站记录表（通用）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编号：</w:t>
      </w:r>
      <w:r>
        <w:rPr>
          <w:szCs w:val="21"/>
        </w:rPr>
        <w:t>A.0.6</w:t>
      </w:r>
      <w:r>
        <w:rPr>
          <w:rFonts w:hint="eastAsia"/>
          <w:szCs w:val="21"/>
        </w:rPr>
        <w:t>－</w:t>
      </w:r>
      <w:r>
        <w:rPr>
          <w:szCs w:val="21"/>
          <w:u w:val="single"/>
        </w:rPr>
        <w:t xml:space="preserve">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5"/>
        <w:gridCol w:w="2746"/>
        <w:gridCol w:w="1484"/>
        <w:gridCol w:w="28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2" w:hRule="exact"/>
        </w:trPr>
        <w:tc>
          <w:tcPr>
            <w:tcW w:w="1515" w:type="dxa"/>
            <w:tcBorders>
              <w:top w:val="single" w:color="auto" w:sz="8" w:space="0"/>
              <w:left w:val="single" w:color="auto" w:sz="8" w:space="0"/>
              <w:bottom w:val="single" w:color="auto" w:sz="4" w:space="0"/>
              <w:right w:val="single" w:color="auto" w:sz="4" w:space="0"/>
            </w:tcBorders>
            <w:noWrap w:val="0"/>
            <w:vAlign w:val="center"/>
          </w:tcPr>
          <w:p>
            <w:pPr>
              <w:jc w:val="center"/>
              <w:rPr>
                <w:szCs w:val="21"/>
              </w:rPr>
            </w:pPr>
            <w:r>
              <w:rPr>
                <w:rFonts w:hint="eastAsia"/>
                <w:szCs w:val="21"/>
              </w:rPr>
              <w:t>旁站的关键部位、关键工序</w:t>
            </w:r>
          </w:p>
        </w:tc>
        <w:tc>
          <w:tcPr>
            <w:tcW w:w="2746" w:type="dxa"/>
            <w:tcBorders>
              <w:top w:val="single" w:color="auto" w:sz="8" w:space="0"/>
              <w:left w:val="single" w:color="auto" w:sz="4" w:space="0"/>
              <w:bottom w:val="single" w:color="auto" w:sz="4" w:space="0"/>
              <w:right w:val="single" w:color="auto" w:sz="4" w:space="0"/>
            </w:tcBorders>
            <w:noWrap w:val="0"/>
            <w:vAlign w:val="center"/>
          </w:tcPr>
          <w:p>
            <w:pPr>
              <w:jc w:val="center"/>
              <w:rPr>
                <w:szCs w:val="21"/>
              </w:rPr>
            </w:pPr>
          </w:p>
        </w:tc>
        <w:tc>
          <w:tcPr>
            <w:tcW w:w="1484" w:type="dxa"/>
            <w:tcBorders>
              <w:top w:val="single" w:color="auto" w:sz="8" w:space="0"/>
              <w:left w:val="single" w:color="auto" w:sz="4" w:space="0"/>
              <w:bottom w:val="single" w:color="auto" w:sz="4" w:space="0"/>
              <w:right w:val="single" w:color="auto" w:sz="4" w:space="0"/>
            </w:tcBorders>
            <w:noWrap w:val="0"/>
            <w:vAlign w:val="center"/>
          </w:tcPr>
          <w:p>
            <w:pPr>
              <w:jc w:val="center"/>
              <w:rPr>
                <w:szCs w:val="21"/>
              </w:rPr>
            </w:pPr>
            <w:r>
              <w:rPr>
                <w:rFonts w:hint="eastAsia"/>
                <w:szCs w:val="21"/>
              </w:rPr>
              <w:t>施工单位</w:t>
            </w:r>
          </w:p>
        </w:tc>
        <w:tc>
          <w:tcPr>
            <w:tcW w:w="2883" w:type="dxa"/>
            <w:tcBorders>
              <w:top w:val="single" w:color="auto" w:sz="8" w:space="0"/>
              <w:left w:val="single" w:color="auto" w:sz="4" w:space="0"/>
              <w:bottom w:val="single" w:color="auto" w:sz="4" w:space="0"/>
              <w:right w:val="single" w:color="auto" w:sz="8" w:space="0"/>
            </w:tcBorders>
            <w:noWrap w:val="0"/>
            <w:vAlign w:val="center"/>
          </w:tcPr>
          <w:p>
            <w:pPr>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515" w:type="dxa"/>
            <w:tcBorders>
              <w:top w:val="single" w:color="auto" w:sz="4" w:space="0"/>
              <w:left w:val="single" w:color="auto" w:sz="8" w:space="0"/>
              <w:bottom w:val="single" w:color="auto" w:sz="4" w:space="0"/>
              <w:right w:val="single" w:color="auto" w:sz="4" w:space="0"/>
            </w:tcBorders>
            <w:noWrap w:val="0"/>
            <w:vAlign w:val="center"/>
          </w:tcPr>
          <w:p>
            <w:pPr>
              <w:jc w:val="center"/>
              <w:rPr>
                <w:szCs w:val="21"/>
              </w:rPr>
            </w:pPr>
            <w:r>
              <w:rPr>
                <w:rFonts w:hint="eastAsia"/>
                <w:szCs w:val="21"/>
              </w:rPr>
              <w:t>旁站开始时间</w:t>
            </w:r>
          </w:p>
        </w:tc>
        <w:tc>
          <w:tcPr>
            <w:tcW w:w="2746" w:type="dxa"/>
            <w:tcBorders>
              <w:top w:val="single" w:color="auto" w:sz="4" w:space="0"/>
              <w:left w:val="single" w:color="auto" w:sz="4" w:space="0"/>
              <w:bottom w:val="single" w:color="auto" w:sz="4" w:space="0"/>
              <w:right w:val="single" w:color="auto" w:sz="4" w:space="0"/>
            </w:tcBorders>
            <w:noWrap w:val="0"/>
            <w:vAlign w:val="center"/>
          </w:tcPr>
          <w:p>
            <w:pPr>
              <w:jc w:val="center"/>
              <w:rPr>
                <w:szCs w:val="21"/>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r>
              <w:rPr>
                <w:szCs w:val="21"/>
              </w:rPr>
              <w:t xml:space="preserve">   </w:t>
            </w:r>
            <w:r>
              <w:rPr>
                <w:rFonts w:hint="eastAsia"/>
                <w:szCs w:val="21"/>
              </w:rPr>
              <w:t>时</w:t>
            </w:r>
            <w:r>
              <w:rPr>
                <w:szCs w:val="21"/>
              </w:rPr>
              <w:t xml:space="preserve">   </w:t>
            </w:r>
            <w:r>
              <w:rPr>
                <w:rFonts w:hint="eastAsia"/>
                <w:szCs w:val="21"/>
              </w:rPr>
              <w:t>分</w:t>
            </w:r>
          </w:p>
        </w:tc>
        <w:tc>
          <w:tcPr>
            <w:tcW w:w="1484" w:type="dxa"/>
            <w:tcBorders>
              <w:top w:val="single" w:color="auto" w:sz="4" w:space="0"/>
              <w:left w:val="single" w:color="auto" w:sz="4" w:space="0"/>
              <w:bottom w:val="single" w:color="auto" w:sz="4" w:space="0"/>
              <w:right w:val="single" w:color="auto" w:sz="4" w:space="0"/>
            </w:tcBorders>
            <w:noWrap w:val="0"/>
            <w:vAlign w:val="center"/>
          </w:tcPr>
          <w:p>
            <w:pPr>
              <w:jc w:val="center"/>
              <w:rPr>
                <w:szCs w:val="21"/>
              </w:rPr>
            </w:pPr>
            <w:r>
              <w:rPr>
                <w:rFonts w:hint="eastAsia"/>
                <w:szCs w:val="21"/>
              </w:rPr>
              <w:t>旁站结束时间</w:t>
            </w:r>
            <w:r>
              <w:rPr>
                <w:szCs w:val="21"/>
              </w:rPr>
              <w:t xml:space="preserve">    </w:t>
            </w:r>
          </w:p>
        </w:tc>
        <w:tc>
          <w:tcPr>
            <w:tcW w:w="2883" w:type="dxa"/>
            <w:tcBorders>
              <w:top w:val="single" w:color="auto" w:sz="4" w:space="0"/>
              <w:left w:val="single" w:color="auto" w:sz="4" w:space="0"/>
              <w:bottom w:val="single" w:color="auto" w:sz="4" w:space="0"/>
              <w:right w:val="single" w:color="auto" w:sz="8" w:space="0"/>
            </w:tcBorders>
            <w:noWrap w:val="0"/>
            <w:vAlign w:val="center"/>
          </w:tcPr>
          <w:p>
            <w:pPr>
              <w:jc w:val="center"/>
              <w:rPr>
                <w:szCs w:val="21"/>
              </w:rPr>
            </w:pPr>
            <w:r>
              <w:rPr>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r>
              <w:rPr>
                <w:szCs w:val="21"/>
              </w:rPr>
              <w:t xml:space="preserve">   </w:t>
            </w:r>
            <w:r>
              <w:rPr>
                <w:rFonts w:hint="eastAsia"/>
                <w:szCs w:val="21"/>
              </w:rPr>
              <w:t>时</w:t>
            </w:r>
            <w:r>
              <w:rPr>
                <w:szCs w:val="21"/>
              </w:rPr>
              <w:t xml:space="preserve">   </w:t>
            </w:r>
            <w:r>
              <w:rPr>
                <w:rFonts w:hint="eastAsia"/>
                <w:szCs w:val="21"/>
              </w:rPr>
              <w:t>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890" w:hRule="atLeast"/>
        </w:trPr>
        <w:tc>
          <w:tcPr>
            <w:tcW w:w="8628"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rPr>
                <w:szCs w:val="21"/>
              </w:rPr>
            </w:pPr>
            <w:r>
              <w:rPr>
                <w:rFonts w:hint="eastAsia"/>
                <w:szCs w:val="21"/>
              </w:rPr>
              <w:t>旁站的关键部位、关键工序施工情况：</w:t>
            </w:r>
          </w:p>
          <w:p>
            <w:pPr>
              <w:rPr>
                <w:szCs w:val="21"/>
              </w:rPr>
            </w:pPr>
          </w:p>
          <w:p>
            <w:pPr>
              <w:rPr>
                <w:szCs w:val="21"/>
              </w:rPr>
            </w:pPr>
          </w:p>
          <w:p>
            <w:pPr>
              <w:rPr>
                <w:szCs w:val="21"/>
              </w:rPr>
            </w:pPr>
          </w:p>
          <w:p>
            <w:pPr>
              <w:rPr>
                <w:szCs w:val="21"/>
              </w:rPr>
            </w:pPr>
          </w:p>
          <w:p>
            <w:pPr>
              <w:rPr>
                <w:szCs w:val="21"/>
              </w:rPr>
            </w:pPr>
          </w:p>
          <w:p>
            <w:pPr>
              <w:rPr>
                <w:szCs w:val="21"/>
              </w:rPr>
            </w:pPr>
          </w:p>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160" w:hRule="atLeast"/>
        </w:trPr>
        <w:tc>
          <w:tcPr>
            <w:tcW w:w="8628"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rPr>
                <w:szCs w:val="21"/>
              </w:rPr>
            </w:pPr>
            <w:r>
              <w:rPr>
                <w:rFonts w:hint="eastAsia"/>
                <w:szCs w:val="21"/>
              </w:rPr>
              <w:t>发现问题及处理情况：</w:t>
            </w:r>
          </w:p>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7" w:hRule="atLeast"/>
        </w:trPr>
        <w:tc>
          <w:tcPr>
            <w:tcW w:w="8628" w:type="dxa"/>
            <w:gridSpan w:val="4"/>
            <w:tcBorders>
              <w:top w:val="single" w:color="auto" w:sz="4" w:space="0"/>
              <w:left w:val="single" w:color="auto" w:sz="8" w:space="0"/>
              <w:bottom w:val="single" w:color="auto" w:sz="4" w:space="0"/>
              <w:right w:val="single" w:color="auto" w:sz="8" w:space="0"/>
            </w:tcBorders>
            <w:noWrap w:val="0"/>
            <w:vAlign w:val="top"/>
          </w:tcPr>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420" w:lineRule="exact"/>
              <w:ind w:firstLine="4410" w:firstLineChars="2100"/>
              <w:rPr>
                <w:szCs w:val="21"/>
                <w:u w:val="single"/>
              </w:rPr>
            </w:pPr>
            <w:r>
              <w:rPr>
                <w:rFonts w:hint="eastAsia"/>
                <w:szCs w:val="21"/>
              </w:rPr>
              <w:t>旁站人员（签字）：</w:t>
            </w:r>
            <w:r>
              <w:rPr>
                <w:rFonts w:hint="eastAsia"/>
                <w:szCs w:val="21"/>
                <w:u w:val="single"/>
              </w:rPr>
              <w:t>　　　　</w:t>
            </w:r>
            <w:r>
              <w:rPr>
                <w:szCs w:val="21"/>
                <w:u w:val="single"/>
              </w:rPr>
              <w:t xml:space="preserve">     </w:t>
            </w:r>
            <w:r>
              <w:rPr>
                <w:rFonts w:hint="eastAsia"/>
                <w:szCs w:val="21"/>
                <w:u w:val="single"/>
              </w:rPr>
              <w:t>　　</w:t>
            </w:r>
          </w:p>
          <w:p>
            <w:pPr>
              <w:spacing w:line="420" w:lineRule="exact"/>
              <w:ind w:right="480"/>
              <w:jc w:val="right"/>
              <w:rPr>
                <w:szCs w:val="21"/>
              </w:rPr>
            </w:pPr>
            <w:r>
              <w:rPr>
                <w:rFonts w:hint="eastAsia"/>
                <w:szCs w:val="21"/>
              </w:rPr>
              <w:t>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628" w:type="dxa"/>
            <w:gridSpan w:val="4"/>
            <w:tcBorders>
              <w:top w:val="single" w:color="auto" w:sz="4" w:space="0"/>
              <w:left w:val="single" w:color="auto" w:sz="8" w:space="0"/>
              <w:bottom w:val="single" w:color="auto" w:sz="8" w:space="0"/>
              <w:right w:val="single" w:color="auto" w:sz="8" w:space="0"/>
            </w:tcBorders>
            <w:noWrap w:val="0"/>
            <w:vAlign w:val="top"/>
          </w:tcPr>
          <w:p>
            <w:pPr>
              <w:spacing w:line="420" w:lineRule="exact"/>
              <w:ind w:right="480"/>
              <w:jc w:val="left"/>
              <w:rPr>
                <w:szCs w:val="21"/>
              </w:rPr>
            </w:pPr>
            <w:r>
              <w:rPr>
                <w:rFonts w:hint="eastAsia"/>
                <w:szCs w:val="21"/>
              </w:rPr>
              <w:t>注：本表一式一份，项目监理机构留存。</w:t>
            </w:r>
          </w:p>
        </w:tc>
      </w:tr>
    </w:tbl>
    <w:p>
      <w:pPr>
        <w:jc w:val="center"/>
        <w:rPr>
          <w:rFonts w:ascii="Times New Roman" w:eastAsia="隶书"/>
        </w:rPr>
      </w:pPr>
      <w:r>
        <w:rPr>
          <w:rFonts w:hint="eastAsia" w:ascii="Times New Roman" w:eastAsia="隶书"/>
        </w:rPr>
        <w:t>第六版表                                              江苏省住房和城乡建设厅监制</w:t>
      </w:r>
    </w:p>
    <w:p>
      <w:pPr>
        <w:spacing w:line="380" w:lineRule="exact"/>
        <w:jc w:val="right"/>
        <w:rPr>
          <w:rFonts w:hint="eastAsia" w:ascii="Times New Roman" w:eastAsia="黑体"/>
          <w:sz w:val="24"/>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br w:type="column"/>
      </w:r>
      <w:r>
        <w:rPr>
          <w:rFonts w:eastAsia="黑体"/>
          <w:b/>
          <w:w w:val="90"/>
          <w:sz w:val="28"/>
          <w:szCs w:val="28"/>
          <w14:shadow w14:blurRad="50800" w14:dist="38100" w14:dir="2700000" w14:sx="100000" w14:sy="100000" w14:kx="0" w14:ky="0" w14:algn="tl">
            <w14:srgbClr w14:val="000000">
              <w14:alpha w14:val="60000"/>
            </w14:srgbClr>
          </w14:shadow>
        </w:rPr>
        <w:t>A.0.7</w:t>
      </w:r>
    </w:p>
    <w:p>
      <w:pPr>
        <w:spacing w:before="312" w:beforeLines="100" w:after="312" w:afterLines="100"/>
        <w:jc w:val="center"/>
        <w:rPr>
          <w:rFonts w:hint="eastAsia"/>
          <w:sz w:val="44"/>
          <w14:shadow w14:blurRad="50800" w14:dist="38100" w14:dir="2700000" w14:sx="100000" w14:sy="100000" w14:kx="0" w14:ky="0" w14:algn="tl">
            <w14:srgbClr w14:val="000000">
              <w14:alpha w14:val="60000"/>
            </w14:srgbClr>
          </w14:shadow>
        </w:rPr>
      </w:pPr>
      <w:r>
        <w:rPr>
          <w:rFonts w:hint="eastAsia" w:ascii="Times New Roman" w:eastAsia="黑体"/>
          <w:sz w:val="44"/>
          <w:u w:val="single"/>
          <w14:shadow w14:blurRad="50800" w14:dist="38100" w14:dir="2700000" w14:sx="100000" w14:sy="100000" w14:kx="0" w14:ky="0" w14:algn="tl">
            <w14:srgbClr w14:val="000000">
              <w14:alpha w14:val="60000"/>
            </w14:srgbClr>
          </w14:shadow>
        </w:rPr>
        <w:t xml:space="preserve">            </w:t>
      </w:r>
      <w:r>
        <w:rPr>
          <w:rFonts w:hint="eastAsia" w:ascii="Times New Roman" w:eastAsia="黑体"/>
          <w:sz w:val="44"/>
          <w14:shadow w14:blurRad="50800" w14:dist="38100" w14:dir="2700000" w14:sx="100000" w14:sy="100000" w14:kx="0" w14:ky="0" w14:algn="tl">
            <w14:srgbClr w14:val="000000">
              <w14:alpha w14:val="60000"/>
            </w14:srgbClr>
          </w14:shadow>
        </w:rPr>
        <w:t>会议纪要</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w:t>
      </w:r>
      <w:r>
        <w:rPr>
          <w:szCs w:val="21"/>
        </w:rPr>
        <w:t>A.0.7</w:t>
      </w:r>
      <w:r>
        <w:rPr>
          <w:rFonts w:hint="eastAsia"/>
          <w:szCs w:val="21"/>
          <w:u w:val="single"/>
        </w:rPr>
        <w:t>　</w:t>
      </w:r>
      <w:r>
        <w:rPr>
          <w:rFonts w:hint="eastAsia"/>
          <w:szCs w:val="21"/>
        </w:rPr>
        <w:t>—</w:t>
      </w:r>
      <w:r>
        <w:rPr>
          <w:szCs w:val="21"/>
          <w:u w:val="single"/>
        </w:rPr>
        <w:t xml:space="preserve">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3600"/>
        <w:gridCol w:w="1260"/>
        <w:gridCol w:w="262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3" w:hRule="atLeast"/>
          <w:jc w:val="center"/>
        </w:trPr>
        <w:tc>
          <w:tcPr>
            <w:tcW w:w="8668"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line="420" w:lineRule="exact"/>
            </w:pPr>
            <w:r>
              <w:rPr>
                <w:rFonts w:hint="eastAsia"/>
              </w:rPr>
              <w:t>各与会单位</w:t>
            </w:r>
            <w:r>
              <w:t>:</w:t>
            </w:r>
          </w:p>
          <w:p>
            <w:pPr>
              <w:keepLines/>
              <w:spacing w:before="156" w:beforeLines="50" w:line="420" w:lineRule="exact"/>
              <w:rPr>
                <w:rFonts w:ascii="Times New Roman"/>
                <w:szCs w:val="21"/>
              </w:rPr>
            </w:pPr>
            <w:r>
              <w:rPr>
                <w:rFonts w:hint="eastAsia" w:ascii="Times New Roman"/>
                <w:szCs w:val="21"/>
              </w:rPr>
              <w:t xml:space="preserve">    现将</w:t>
            </w:r>
            <w:r>
              <w:rPr>
                <w:rFonts w:hint="eastAsia" w:ascii="Times New Roman"/>
                <w:szCs w:val="21"/>
                <w:u w:val="single"/>
              </w:rPr>
              <w:t xml:space="preserve">                                </w:t>
            </w:r>
            <w:r>
              <w:rPr>
                <w:rFonts w:hint="eastAsia" w:ascii="Times New Roman"/>
                <w:szCs w:val="21"/>
              </w:rPr>
              <w:t>会议纪要印发给你们，请查收。</w:t>
            </w:r>
          </w:p>
          <w:p>
            <w:pPr>
              <w:keepLines/>
              <w:spacing w:line="420" w:lineRule="exact"/>
              <w:rPr>
                <w:rFonts w:hint="eastAsia" w:ascii="Times New Roman"/>
                <w:szCs w:val="21"/>
              </w:rPr>
            </w:pPr>
          </w:p>
          <w:p>
            <w:pPr>
              <w:keepLines/>
              <w:spacing w:line="420" w:lineRule="exact"/>
              <w:ind w:firstLine="420" w:firstLineChars="200"/>
              <w:rPr>
                <w:rFonts w:hint="eastAsia" w:ascii="Times New Roman"/>
                <w:szCs w:val="21"/>
              </w:rPr>
            </w:pPr>
            <w:r>
              <w:rPr>
                <w:rFonts w:hint="eastAsia" w:ascii="Times New Roman"/>
                <w:szCs w:val="21"/>
              </w:rPr>
              <w:t>附：会议纪要正文共</w:t>
            </w:r>
            <w:r>
              <w:rPr>
                <w:rFonts w:hint="eastAsia" w:ascii="Times New Roman"/>
                <w:szCs w:val="21"/>
                <w:u w:val="single"/>
              </w:rPr>
              <w:t xml:space="preserve">      </w:t>
            </w:r>
            <w:r>
              <w:rPr>
                <w:rFonts w:hint="eastAsia" w:ascii="Times New Roman"/>
                <w:szCs w:val="21"/>
              </w:rPr>
              <w:t>页。</w:t>
            </w:r>
          </w:p>
          <w:p>
            <w:pPr>
              <w:keepLines/>
              <w:tabs>
                <w:tab w:val="left" w:pos="7790"/>
              </w:tabs>
              <w:spacing w:line="420" w:lineRule="exact"/>
              <w:rPr>
                <w:rFonts w:hint="eastAsia" w:ascii="Times New Roman"/>
                <w:szCs w:val="21"/>
              </w:rPr>
            </w:pPr>
          </w:p>
          <w:p>
            <w:pPr>
              <w:keepLines/>
              <w:tabs>
                <w:tab w:val="left" w:pos="7790"/>
              </w:tabs>
              <w:spacing w:line="420" w:lineRule="exact"/>
              <w:rPr>
                <w:rFonts w:hint="eastAsia" w:ascii="Times New Roman"/>
                <w:szCs w:val="21"/>
                <w:u w:val="single"/>
              </w:rPr>
            </w:pPr>
            <w:r>
              <w:rPr>
                <w:rFonts w:hint="eastAsia" w:ascii="Times New Roman"/>
                <w:szCs w:val="21"/>
              </w:rPr>
              <w:t xml:space="preserve">　　　　　　                 项目监理机构(章): </w:t>
            </w:r>
            <w:r>
              <w:rPr>
                <w:rFonts w:hint="eastAsia" w:ascii="Times New Roman"/>
                <w:szCs w:val="21"/>
                <w:u w:val="single"/>
              </w:rPr>
              <w:t xml:space="preserve">                                 </w:t>
            </w:r>
          </w:p>
          <w:p>
            <w:pPr>
              <w:keepLines/>
              <w:spacing w:line="420" w:lineRule="exact"/>
              <w:rPr>
                <w:rFonts w:hint="eastAsia" w:ascii="Times New Roman"/>
                <w:szCs w:val="21"/>
                <w:u w:val="single"/>
              </w:rPr>
            </w:pPr>
            <w:r>
              <w:rPr>
                <w:rFonts w:hint="eastAsia" w:ascii="Times New Roman"/>
                <w:szCs w:val="21"/>
              </w:rPr>
              <w:t>　　　　　　                 总监理工程师/总监理工程师代表（签字）：</w:t>
            </w:r>
            <w:r>
              <w:rPr>
                <w:rFonts w:hint="eastAsia" w:ascii="Times New Roman"/>
                <w:szCs w:val="21"/>
                <w:u w:val="single"/>
              </w:rPr>
              <w:t>　　　   　</w:t>
            </w:r>
            <w:r>
              <w:rPr>
                <w:szCs w:val="21"/>
              </w:rPr>
              <w:t xml:space="preserve">                           </w:t>
            </w:r>
          </w:p>
          <w:p>
            <w:pPr>
              <w:keepLines/>
              <w:spacing w:line="420" w:lineRule="exact"/>
              <w:ind w:firstLine="5502" w:firstLineChars="2620"/>
              <w:rPr>
                <w:rFonts w:ascii="Times New Roman"/>
                <w:szCs w:val="21"/>
                <w:u w:val="single"/>
              </w:rPr>
            </w:pP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188" w:type="dxa"/>
            <w:tcBorders>
              <w:top w:val="single" w:color="auto" w:sz="4" w:space="0"/>
              <w:left w:val="single" w:color="auto" w:sz="8" w:space="0"/>
              <w:bottom w:val="single" w:color="auto" w:sz="4" w:space="0"/>
              <w:right w:val="single" w:color="auto" w:sz="4" w:space="0"/>
            </w:tcBorders>
            <w:noWrap w:val="0"/>
            <w:vAlign w:val="center"/>
          </w:tcPr>
          <w:p>
            <w:pPr>
              <w:jc w:val="center"/>
              <w:rPr>
                <w:rFonts w:ascii="Times New Roman"/>
                <w:szCs w:val="21"/>
              </w:rPr>
            </w:pPr>
            <w:r>
              <w:rPr>
                <w:rFonts w:hint="eastAsia" w:ascii="Times New Roman"/>
                <w:szCs w:val="21"/>
              </w:rPr>
              <w:t>会议地点</w:t>
            </w:r>
          </w:p>
        </w:tc>
        <w:tc>
          <w:tcPr>
            <w:tcW w:w="360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szCs w:val="21"/>
              </w:rPr>
            </w:pPr>
            <w:r>
              <w:rPr>
                <w:rFonts w:hint="eastAsia" w:ascii="Times New Roman"/>
                <w:szCs w:val="21"/>
              </w:rPr>
              <w:t>会议时间</w:t>
            </w:r>
          </w:p>
        </w:tc>
        <w:tc>
          <w:tcPr>
            <w:tcW w:w="2620" w:type="dxa"/>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jc w:val="center"/>
        </w:trPr>
        <w:tc>
          <w:tcPr>
            <w:tcW w:w="1188" w:type="dxa"/>
            <w:tcBorders>
              <w:top w:val="single" w:color="auto" w:sz="4" w:space="0"/>
              <w:left w:val="single" w:color="auto" w:sz="8" w:space="0"/>
              <w:bottom w:val="single" w:color="auto" w:sz="4" w:space="0"/>
              <w:right w:val="single" w:color="auto" w:sz="4" w:space="0"/>
            </w:tcBorders>
            <w:noWrap w:val="0"/>
            <w:vAlign w:val="center"/>
          </w:tcPr>
          <w:p>
            <w:pPr>
              <w:jc w:val="center"/>
              <w:rPr>
                <w:rFonts w:ascii="Times New Roman"/>
                <w:szCs w:val="21"/>
              </w:rPr>
            </w:pPr>
            <w:r>
              <w:rPr>
                <w:rFonts w:hint="eastAsia" w:ascii="Times New Roman"/>
                <w:szCs w:val="21"/>
              </w:rPr>
              <w:t>组织单位</w:t>
            </w:r>
          </w:p>
        </w:tc>
        <w:tc>
          <w:tcPr>
            <w:tcW w:w="360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szCs w:val="21"/>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szCs w:val="21"/>
              </w:rPr>
            </w:pPr>
            <w:r>
              <w:rPr>
                <w:rFonts w:hint="eastAsia" w:ascii="Times New Roman"/>
                <w:szCs w:val="21"/>
              </w:rPr>
              <w:t>主持人</w:t>
            </w:r>
          </w:p>
        </w:tc>
        <w:tc>
          <w:tcPr>
            <w:tcW w:w="2620" w:type="dxa"/>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10" w:hRule="exact"/>
          <w:jc w:val="center"/>
        </w:trPr>
        <w:tc>
          <w:tcPr>
            <w:tcW w:w="1188"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会议议题</w:t>
            </w:r>
          </w:p>
        </w:tc>
        <w:tc>
          <w:tcPr>
            <w:tcW w:w="7480" w:type="dxa"/>
            <w:gridSpan w:val="3"/>
            <w:tcBorders>
              <w:top w:val="single" w:color="auto" w:sz="4" w:space="0"/>
              <w:left w:val="single" w:color="auto" w:sz="4" w:space="0"/>
              <w:bottom w:val="single" w:color="auto" w:sz="4" w:space="0"/>
              <w:right w:val="single" w:color="auto" w:sz="8" w:space="0"/>
            </w:tcBorders>
            <w:noWrap w:val="0"/>
            <w:vAlign w:val="center"/>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ascii="Times New Roman"/>
                <w:szCs w:val="21"/>
              </w:rPr>
            </w:pPr>
            <w:r>
              <w:rPr>
                <w:rFonts w:hint="eastAsia" w:ascii="Times New Roman"/>
                <w:szCs w:val="21"/>
              </w:rPr>
              <w:t>各与会单位及人员</w:t>
            </w:r>
          </w:p>
          <w:p>
            <w:pPr>
              <w:jc w:val="center"/>
              <w:rPr>
                <w:rFonts w:ascii="Times New Roman"/>
                <w:szCs w:val="21"/>
              </w:rPr>
            </w:pPr>
            <w:r>
              <w:rPr>
                <w:rFonts w:hint="eastAsia" w:ascii="Times New Roman"/>
                <w:szCs w:val="21"/>
              </w:rPr>
              <w:t>签到栏</w:t>
            </w:r>
          </w:p>
        </w:tc>
        <w:tc>
          <w:tcPr>
            <w:tcW w:w="3600" w:type="dxa"/>
            <w:tcBorders>
              <w:top w:val="single" w:color="auto" w:sz="4" w:space="0"/>
              <w:left w:val="single" w:color="auto" w:sz="4" w:space="0"/>
              <w:bottom w:val="single" w:color="auto" w:sz="4" w:space="0"/>
              <w:right w:val="single" w:color="auto" w:sz="4" w:space="0"/>
            </w:tcBorders>
            <w:noWrap w:val="0"/>
            <w:vAlign w:val="center"/>
          </w:tcPr>
          <w:p>
            <w:pPr>
              <w:jc w:val="center"/>
              <w:rPr>
                <w:rFonts w:ascii="Times New Roman"/>
                <w:szCs w:val="21"/>
              </w:rPr>
            </w:pPr>
            <w:r>
              <w:rPr>
                <w:rFonts w:hint="eastAsia" w:ascii="Times New Roman"/>
                <w:szCs w:val="21"/>
              </w:rPr>
              <w:t>与会单位</w:t>
            </w:r>
          </w:p>
        </w:tc>
        <w:tc>
          <w:tcPr>
            <w:tcW w:w="3880"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ascii="Times New Roman"/>
                <w:szCs w:val="21"/>
              </w:rPr>
            </w:pPr>
            <w:r>
              <w:rPr>
                <w:rFonts w:hint="eastAsia" w:ascii="Times New Roman"/>
                <w:szCs w:val="21"/>
              </w:rPr>
              <w:t>与会人员</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360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3880"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360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3880"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360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3880"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360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3880"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360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3880"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360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3880"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360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3880"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360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3880"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118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ascii="Times New Roman"/>
                <w:szCs w:val="21"/>
              </w:rPr>
            </w:pPr>
          </w:p>
        </w:tc>
        <w:tc>
          <w:tcPr>
            <w:tcW w:w="3600" w:type="dxa"/>
            <w:tcBorders>
              <w:top w:val="single" w:color="auto" w:sz="4" w:space="0"/>
              <w:left w:val="single" w:color="auto" w:sz="4" w:space="0"/>
              <w:bottom w:val="single" w:color="auto" w:sz="4" w:space="0"/>
              <w:right w:val="single" w:color="auto" w:sz="4" w:space="0"/>
            </w:tcBorders>
            <w:noWrap w:val="0"/>
            <w:vAlign w:val="top"/>
          </w:tcPr>
          <w:p>
            <w:pPr>
              <w:rPr>
                <w:rFonts w:ascii="Times New Roman"/>
                <w:szCs w:val="21"/>
              </w:rPr>
            </w:pPr>
          </w:p>
        </w:tc>
        <w:tc>
          <w:tcPr>
            <w:tcW w:w="3880" w:type="dxa"/>
            <w:gridSpan w:val="2"/>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0" w:hRule="atLeast"/>
          <w:jc w:val="center"/>
        </w:trPr>
        <w:tc>
          <w:tcPr>
            <w:tcW w:w="8668" w:type="dxa"/>
            <w:gridSpan w:val="4"/>
            <w:tcBorders>
              <w:top w:val="single" w:color="auto" w:sz="4" w:space="0"/>
              <w:left w:val="single" w:color="auto" w:sz="8" w:space="0"/>
              <w:bottom w:val="single" w:color="auto" w:sz="8" w:space="0"/>
              <w:right w:val="single" w:color="auto" w:sz="8" w:space="0"/>
            </w:tcBorders>
            <w:noWrap w:val="0"/>
            <w:vAlign w:val="top"/>
          </w:tcPr>
          <w:p>
            <w:pPr>
              <w:spacing w:line="320" w:lineRule="exact"/>
              <w:rPr>
                <w:rFonts w:ascii="Times New Roman"/>
                <w:szCs w:val="21"/>
              </w:rPr>
            </w:pPr>
            <w:r>
              <w:rPr>
                <w:rFonts w:hint="eastAsia" w:ascii="Times New Roman"/>
                <w:szCs w:val="21"/>
              </w:rPr>
              <w:t>注：1、本会议纪要分为第一次工地会议纪要</w:t>
            </w:r>
            <w:r>
              <w:rPr>
                <w:rFonts w:hint="eastAsia"/>
                <w:szCs w:val="21"/>
              </w:rPr>
              <w:t>（</w:t>
            </w:r>
            <w:r>
              <w:rPr>
                <w:szCs w:val="21"/>
              </w:rPr>
              <w:t>A.0.7</w:t>
            </w:r>
            <w:r>
              <w:rPr>
                <w:szCs w:val="21"/>
                <w:u w:val="single"/>
              </w:rPr>
              <w:t>0</w:t>
            </w:r>
            <w:r>
              <w:rPr>
                <w:rFonts w:hint="eastAsia"/>
                <w:szCs w:val="21"/>
              </w:rPr>
              <w:t>）、监理例会纪要（</w:t>
            </w:r>
            <w:r>
              <w:rPr>
                <w:szCs w:val="21"/>
              </w:rPr>
              <w:t>A.0.7</w:t>
            </w:r>
            <w:r>
              <w:rPr>
                <w:szCs w:val="21"/>
                <w:u w:val="single"/>
              </w:rPr>
              <w:t>1</w:t>
            </w:r>
            <w:r>
              <w:rPr>
                <w:rFonts w:hint="eastAsia"/>
                <w:szCs w:val="21"/>
              </w:rPr>
              <w:t>）、专题会议纪要（</w:t>
            </w:r>
            <w:r>
              <w:rPr>
                <w:szCs w:val="21"/>
              </w:rPr>
              <w:t>A.0.7</w:t>
            </w:r>
            <w:r>
              <w:rPr>
                <w:szCs w:val="21"/>
                <w:u w:val="single"/>
              </w:rPr>
              <w:t>2</w:t>
            </w:r>
            <w:r>
              <w:rPr>
                <w:rFonts w:hint="eastAsia"/>
                <w:szCs w:val="21"/>
              </w:rPr>
              <w:t>）、项目监理机构内部会议纪要（</w:t>
            </w:r>
            <w:r>
              <w:rPr>
                <w:szCs w:val="21"/>
              </w:rPr>
              <w:t>A.0.7</w:t>
            </w:r>
            <w:r>
              <w:rPr>
                <w:szCs w:val="21"/>
                <w:u w:val="single"/>
              </w:rPr>
              <w:t>3</w:t>
            </w:r>
            <w:r>
              <w:rPr>
                <w:rFonts w:hint="eastAsia"/>
                <w:szCs w:val="21"/>
              </w:rPr>
              <w:t>）</w:t>
            </w:r>
            <w:r>
              <w:rPr>
                <w:rFonts w:hint="eastAsia" w:ascii="Times New Roman"/>
                <w:szCs w:val="21"/>
              </w:rPr>
              <w:t>。</w:t>
            </w:r>
          </w:p>
          <w:p>
            <w:pPr>
              <w:spacing w:line="320" w:lineRule="exact"/>
              <w:rPr>
                <w:rFonts w:ascii="Times New Roman"/>
                <w:szCs w:val="21"/>
              </w:rPr>
            </w:pPr>
            <w:r>
              <w:rPr>
                <w:rFonts w:hint="eastAsia" w:ascii="Times New Roman"/>
                <w:szCs w:val="21"/>
              </w:rPr>
              <w:t xml:space="preserve">    2、本表与会议纪要正文参会单位各一份。</w:t>
            </w:r>
          </w:p>
        </w:tc>
      </w:tr>
    </w:tbl>
    <w:p>
      <w:pPr>
        <w:jc w:val="right"/>
        <w:rPr>
          <w:rFonts w:ascii="Times New Roman" w:eastAsia="隶书"/>
        </w:rPr>
      </w:pPr>
      <w:r>
        <w:rPr>
          <w:rFonts w:hint="eastAsia" w:ascii="Times New Roman" w:eastAsia="隶书"/>
        </w:rPr>
        <w:t>第六版表                                              江苏省住房和城乡建设厅监制</w:t>
      </w:r>
    </w:p>
    <w:p>
      <w:pPr>
        <w:spacing w:line="380" w:lineRule="exact"/>
        <w:jc w:val="right"/>
        <w:rPr>
          <w:rFonts w:hint="eastAsia" w:ascii="Times New Roman"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w w:val="90"/>
          <w:sz w:val="28"/>
          <w:szCs w:val="28"/>
          <w14:shadow w14:blurRad="50800" w14:dist="38100" w14:dir="2700000" w14:sx="100000" w14:sy="100000" w14:kx="0" w14:ky="0" w14:algn="tl">
            <w14:srgbClr w14:val="000000">
              <w14:alpha w14:val="60000"/>
            </w14:srgbClr>
          </w14:shadow>
        </w:rPr>
        <w:t>A.0.8</w:t>
      </w:r>
    </w:p>
    <w:p>
      <w:pPr>
        <w:spacing w:before="468" w:beforeLines="150"/>
        <w:jc w:val="center"/>
        <w:rPr>
          <w:rFonts w:hint="eastAsia" w:eastAsia="微软简标宋"/>
          <w:sz w:val="32"/>
        </w:rPr>
      </w:pPr>
      <w:r>
        <w:rPr>
          <w:sz w:val="28"/>
          <w:u w:val="single"/>
        </w:rPr>
        <w:t xml:space="preserve">                                               </w:t>
      </w:r>
      <w:r>
        <w:rPr>
          <w:rFonts w:hint="eastAsia" w:ascii="Times New Roman" w:hAnsi="Times New Roman" w:eastAsia="黑体"/>
          <w:sz w:val="44"/>
          <w14:shadow w14:blurRad="50800" w14:dist="38100" w14:dir="2700000" w14:sx="100000" w14:sy="100000" w14:kx="0" w14:ky="0" w14:algn="tl">
            <w14:srgbClr w14:val="000000">
              <w14:alpha w14:val="60000"/>
            </w14:srgbClr>
          </w14:shadow>
        </w:rPr>
        <w:t>工程</w:t>
      </w:r>
    </w:p>
    <w:p>
      <w:pPr>
        <w:spacing w:before="312" w:beforeLines="100" w:after="312" w:afterLines="100"/>
        <w:jc w:val="center"/>
        <w:rPr>
          <w:rFonts w:eastAsia="黑体"/>
          <w:sz w:val="72"/>
          <w14:shadow w14:blurRad="50800" w14:dist="38100" w14:dir="2700000" w14:sx="100000" w14:sy="100000" w14:kx="0" w14:ky="0" w14:algn="tl">
            <w14:srgbClr w14:val="000000">
              <w14:alpha w14:val="60000"/>
            </w14:srgbClr>
          </w14:shadow>
        </w:rPr>
      </w:pPr>
      <w:r>
        <w:rPr>
          <w:rFonts w:hint="eastAsia" w:eastAsia="黑体"/>
          <w:sz w:val="72"/>
          <w14:shadow w14:blurRad="50800" w14:dist="38100" w14:dir="2700000" w14:sx="100000" w14:sy="100000" w14:kx="0" w14:ky="0" w14:algn="tl">
            <w14:srgbClr w14:val="000000">
              <w14:alpha w14:val="60000"/>
            </w14:srgbClr>
          </w14:shadow>
        </w:rPr>
        <w:t>监</w:t>
      </w:r>
      <w:r>
        <w:rPr>
          <w:rFonts w:eastAsia="黑体"/>
          <w:sz w:val="72"/>
          <w14:shadow w14:blurRad="50800" w14:dist="38100" w14:dir="2700000" w14:sx="100000" w14:sy="100000" w14:kx="0" w14:ky="0" w14:algn="tl">
            <w14:srgbClr w14:val="000000">
              <w14:alpha w14:val="60000"/>
            </w14:srgbClr>
          </w14:shadow>
        </w:rPr>
        <w:t xml:space="preserve"> </w:t>
      </w:r>
      <w:r>
        <w:rPr>
          <w:rFonts w:hint="eastAsia" w:eastAsia="黑体"/>
          <w:sz w:val="72"/>
          <w14:shadow w14:blurRad="50800" w14:dist="38100" w14:dir="2700000" w14:sx="100000" w14:sy="100000" w14:kx="0" w14:ky="0" w14:algn="tl">
            <w14:srgbClr w14:val="000000">
              <w14:alpha w14:val="60000"/>
            </w14:srgbClr>
          </w14:shadow>
        </w:rPr>
        <w:t>理</w:t>
      </w:r>
      <w:r>
        <w:rPr>
          <w:rFonts w:eastAsia="黑体"/>
          <w:sz w:val="72"/>
          <w14:shadow w14:blurRad="50800" w14:dist="38100" w14:dir="2700000" w14:sx="100000" w14:sy="100000" w14:kx="0" w14:ky="0" w14:algn="tl">
            <w14:srgbClr w14:val="000000">
              <w14:alpha w14:val="60000"/>
            </w14:srgbClr>
          </w14:shadow>
        </w:rPr>
        <w:t xml:space="preserve"> </w:t>
      </w:r>
      <w:r>
        <w:rPr>
          <w:rFonts w:hint="eastAsia" w:eastAsia="黑体"/>
          <w:sz w:val="72"/>
          <w14:shadow w14:blurRad="50800" w14:dist="38100" w14:dir="2700000" w14:sx="100000" w14:sy="100000" w14:kx="0" w14:ky="0" w14:algn="tl">
            <w14:srgbClr w14:val="000000">
              <w14:alpha w14:val="60000"/>
            </w14:srgbClr>
          </w14:shadow>
        </w:rPr>
        <w:t>月</w:t>
      </w:r>
      <w:r>
        <w:rPr>
          <w:rFonts w:eastAsia="黑体"/>
          <w:sz w:val="72"/>
          <w14:shadow w14:blurRad="50800" w14:dist="38100" w14:dir="2700000" w14:sx="100000" w14:sy="100000" w14:kx="0" w14:ky="0" w14:algn="tl">
            <w14:srgbClr w14:val="000000">
              <w14:alpha w14:val="60000"/>
            </w14:srgbClr>
          </w14:shadow>
        </w:rPr>
        <w:t xml:space="preserve"> </w:t>
      </w:r>
      <w:r>
        <w:rPr>
          <w:rFonts w:hint="eastAsia" w:eastAsia="黑体"/>
          <w:sz w:val="72"/>
          <w14:shadow w14:blurRad="50800" w14:dist="38100" w14:dir="2700000" w14:sx="100000" w14:sy="100000" w14:kx="0" w14:ky="0" w14:algn="tl">
            <w14:srgbClr w14:val="000000">
              <w14:alpha w14:val="60000"/>
            </w14:srgbClr>
          </w14:shadow>
        </w:rPr>
        <w:t>报</w:t>
      </w:r>
    </w:p>
    <w:p>
      <w:pPr>
        <w:spacing w:line="420" w:lineRule="exact"/>
        <w:jc w:val="center"/>
        <w:rPr>
          <w:rFonts w:ascii="Times New Roman" w:eastAsia="微软简标宋"/>
          <w:sz w:val="24"/>
        </w:rPr>
      </w:pPr>
      <w:r>
        <w:rPr>
          <w:rFonts w:hint="eastAsia"/>
          <w:sz w:val="24"/>
        </w:rPr>
        <w:t>第</w:t>
      </w:r>
      <w:r>
        <w:rPr>
          <w:rFonts w:hint="eastAsia"/>
          <w:sz w:val="24"/>
          <w:u w:val="single"/>
        </w:rPr>
        <w:t>　　　　</w:t>
      </w:r>
      <w:r>
        <w:rPr>
          <w:rFonts w:hint="eastAsia"/>
          <w:sz w:val="24"/>
        </w:rPr>
        <w:t>期</w:t>
      </w:r>
    </w:p>
    <w:p>
      <w:pPr>
        <w:spacing w:line="420" w:lineRule="exact"/>
        <w:jc w:val="center"/>
        <w:rPr>
          <w:rFonts w:hint="eastAsia"/>
          <w:sz w:val="24"/>
        </w:rPr>
      </w:pPr>
      <w:r>
        <w:rPr>
          <w:rFonts w:hint="eastAsia"/>
          <w:sz w:val="24"/>
          <w:u w:val="single"/>
        </w:rPr>
        <w:t>　　　　</w:t>
      </w:r>
      <w:r>
        <w:rPr>
          <w:rFonts w:hint="eastAsia"/>
          <w:sz w:val="24"/>
        </w:rPr>
        <w:t>年</w:t>
      </w:r>
      <w:r>
        <w:rPr>
          <w:rFonts w:hint="eastAsia"/>
          <w:sz w:val="24"/>
          <w:u w:val="single"/>
        </w:rPr>
        <w:t>　　　</w:t>
      </w:r>
      <w:r>
        <w:rPr>
          <w:rFonts w:hint="eastAsia"/>
          <w:sz w:val="24"/>
        </w:rPr>
        <w:t>月</w:t>
      </w:r>
      <w:r>
        <w:rPr>
          <w:rFonts w:hint="eastAsia"/>
          <w:sz w:val="24"/>
          <w:u w:val="single"/>
        </w:rPr>
        <w:t>　　　</w:t>
      </w:r>
      <w:r>
        <w:rPr>
          <w:rFonts w:hint="eastAsia"/>
          <w:sz w:val="24"/>
        </w:rPr>
        <w:t>日　至　</w:t>
      </w:r>
      <w:r>
        <w:rPr>
          <w:rFonts w:hint="eastAsia"/>
          <w:sz w:val="24"/>
          <w:u w:val="single"/>
        </w:rPr>
        <w:t>　　　　</w:t>
      </w:r>
      <w:r>
        <w:rPr>
          <w:rFonts w:hint="eastAsia"/>
          <w:sz w:val="24"/>
        </w:rPr>
        <w:t>年</w:t>
      </w:r>
      <w:r>
        <w:rPr>
          <w:rFonts w:hint="eastAsia"/>
          <w:sz w:val="24"/>
          <w:u w:val="single"/>
        </w:rPr>
        <w:t>　　　</w:t>
      </w:r>
      <w:r>
        <w:rPr>
          <w:rFonts w:hint="eastAsia"/>
          <w:sz w:val="24"/>
        </w:rPr>
        <w:t>月</w:t>
      </w:r>
      <w:r>
        <w:rPr>
          <w:rFonts w:hint="eastAsia"/>
          <w:sz w:val="24"/>
          <w:u w:val="single"/>
        </w:rPr>
        <w:t>　　　</w:t>
      </w:r>
      <w:r>
        <w:rPr>
          <w:rFonts w:hint="eastAsia"/>
          <w:sz w:val="24"/>
        </w:rPr>
        <w:t>日</w:t>
      </w:r>
    </w:p>
    <w:p>
      <w:pPr>
        <w:spacing w:line="420" w:lineRule="exact"/>
        <w:ind w:left="3079"/>
        <w:rPr>
          <w:b/>
          <w:sz w:val="24"/>
        </w:rPr>
      </w:pPr>
    </w:p>
    <w:p>
      <w:pPr>
        <w:spacing w:line="420" w:lineRule="exact"/>
        <w:ind w:left="3079"/>
        <w:rPr>
          <w:b/>
          <w:sz w:val="24"/>
        </w:rPr>
      </w:pPr>
    </w:p>
    <w:p>
      <w:pPr>
        <w:spacing w:line="420" w:lineRule="exact"/>
        <w:ind w:left="3079"/>
        <w:rPr>
          <w:b/>
          <w:sz w:val="24"/>
        </w:rPr>
      </w:pPr>
      <w:r>
        <w:rPr>
          <w:rFonts w:hint="eastAsia"/>
          <w:b/>
          <w:sz w:val="24"/>
        </w:rPr>
        <w:t>内容提要：</w:t>
      </w:r>
    </w:p>
    <w:p>
      <w:pPr>
        <w:spacing w:line="420" w:lineRule="exact"/>
        <w:ind w:left="3079"/>
        <w:rPr>
          <w:sz w:val="24"/>
        </w:rPr>
      </w:pPr>
      <w:r>
        <w:rPr>
          <w:rFonts w:hint="eastAsia"/>
          <w:sz w:val="24"/>
        </w:rPr>
        <w:t>工程实施概况</w:t>
      </w:r>
    </w:p>
    <w:p>
      <w:pPr>
        <w:spacing w:line="420" w:lineRule="exact"/>
        <w:ind w:left="3079"/>
        <w:rPr>
          <w:sz w:val="24"/>
        </w:rPr>
      </w:pPr>
      <w:r>
        <w:rPr>
          <w:rFonts w:hint="eastAsia"/>
          <w:sz w:val="24"/>
        </w:rPr>
        <w:t>质量控制情况</w:t>
      </w:r>
    </w:p>
    <w:p>
      <w:pPr>
        <w:spacing w:line="420" w:lineRule="exact"/>
        <w:ind w:left="3079"/>
        <w:rPr>
          <w:sz w:val="24"/>
        </w:rPr>
      </w:pPr>
      <w:r>
        <w:rPr>
          <w:rFonts w:hint="eastAsia"/>
          <w:sz w:val="24"/>
        </w:rPr>
        <w:t>费用控制情况</w:t>
      </w:r>
    </w:p>
    <w:p>
      <w:pPr>
        <w:spacing w:line="420" w:lineRule="exact"/>
        <w:ind w:left="3079"/>
        <w:rPr>
          <w:sz w:val="24"/>
        </w:rPr>
      </w:pPr>
      <w:r>
        <w:rPr>
          <w:rFonts w:hint="eastAsia"/>
          <w:sz w:val="24"/>
        </w:rPr>
        <w:t>进度控制情况</w:t>
      </w:r>
    </w:p>
    <w:p>
      <w:pPr>
        <w:spacing w:line="420" w:lineRule="exact"/>
        <w:ind w:left="3079"/>
        <w:rPr>
          <w:sz w:val="24"/>
        </w:rPr>
      </w:pPr>
      <w:r>
        <w:rPr>
          <w:rFonts w:hint="eastAsia"/>
          <w:sz w:val="24"/>
        </w:rPr>
        <w:t>安全生产管理的监理工作</w:t>
      </w:r>
    </w:p>
    <w:p>
      <w:pPr>
        <w:spacing w:line="420" w:lineRule="exact"/>
        <w:ind w:left="3079"/>
        <w:rPr>
          <w:sz w:val="24"/>
        </w:rPr>
      </w:pPr>
      <w:r>
        <w:rPr>
          <w:rFonts w:hint="eastAsia"/>
          <w:sz w:val="24"/>
        </w:rPr>
        <w:t>其它事项</w:t>
      </w:r>
    </w:p>
    <w:p>
      <w:pPr>
        <w:rPr>
          <w:sz w:val="28"/>
        </w:rPr>
      </w:pPr>
    </w:p>
    <w:p>
      <w:pPr>
        <w:rPr>
          <w:sz w:val="28"/>
        </w:rPr>
      </w:pPr>
    </w:p>
    <w:p>
      <w:pPr>
        <w:rPr>
          <w:sz w:val="28"/>
        </w:rPr>
      </w:pPr>
    </w:p>
    <w:p>
      <w:pPr>
        <w:rPr>
          <w:sz w:val="28"/>
        </w:rPr>
      </w:pPr>
    </w:p>
    <w:p>
      <w:pPr>
        <w:tabs>
          <w:tab w:val="left" w:pos="7520"/>
        </w:tabs>
        <w:ind w:firstLine="1506" w:firstLineChars="500"/>
        <w:rPr>
          <w:sz w:val="30"/>
          <w:szCs w:val="30"/>
          <w:u w:val="single"/>
        </w:rPr>
      </w:pPr>
      <w:r>
        <w:rPr>
          <w:rFonts w:hint="eastAsia"/>
          <w:b/>
          <w:sz w:val="30"/>
          <w:szCs w:val="30"/>
        </w:rPr>
        <w:t>项目监理机构（章）</w:t>
      </w:r>
      <w:r>
        <w:rPr>
          <w:rFonts w:hint="eastAsia"/>
          <w:sz w:val="30"/>
          <w:szCs w:val="30"/>
        </w:rPr>
        <w:t>：</w:t>
      </w:r>
      <w:r>
        <w:rPr>
          <w:rFonts w:hint="eastAsia"/>
          <w:sz w:val="28"/>
          <w:szCs w:val="28"/>
          <w:u w:val="single"/>
        </w:rPr>
        <w:t>　　　　　　</w:t>
      </w:r>
      <w:r>
        <w:rPr>
          <w:spacing w:val="-16"/>
          <w:sz w:val="28"/>
          <w:szCs w:val="28"/>
          <w:u w:val="single"/>
        </w:rPr>
        <w:t>  </w:t>
      </w:r>
      <w:r>
        <w:rPr>
          <w:rFonts w:hint="eastAsia"/>
          <w:sz w:val="28"/>
          <w:szCs w:val="28"/>
          <w:u w:val="single"/>
        </w:rPr>
        <w:t>　</w:t>
      </w:r>
      <w:r>
        <w:rPr>
          <w:sz w:val="28"/>
          <w:szCs w:val="28"/>
          <w:u w:val="single"/>
        </w:rPr>
        <w:t xml:space="preserve">       </w:t>
      </w:r>
      <w:r>
        <w:rPr>
          <w:sz w:val="30"/>
          <w:szCs w:val="30"/>
          <w:u w:val="single"/>
        </w:rPr>
        <w:t xml:space="preserve"> </w:t>
      </w:r>
      <w:r>
        <w:rPr>
          <w:rFonts w:hint="eastAsia"/>
          <w:sz w:val="30"/>
          <w:szCs w:val="30"/>
          <w:u w:val="single"/>
        </w:rPr>
        <w:t>　　</w:t>
      </w:r>
      <w:r>
        <w:rPr>
          <w:sz w:val="30"/>
          <w:szCs w:val="30"/>
          <w:u w:val="single"/>
        </w:rPr>
        <w:t xml:space="preserve">  </w:t>
      </w:r>
    </w:p>
    <w:p>
      <w:pPr>
        <w:tabs>
          <w:tab w:val="left" w:pos="7490"/>
        </w:tabs>
        <w:ind w:firstLine="1446" w:firstLineChars="500"/>
        <w:rPr>
          <w:spacing w:val="-6"/>
          <w:sz w:val="28"/>
          <w:u w:val="single"/>
        </w:rPr>
      </w:pPr>
      <w:r>
        <w:rPr>
          <w:rFonts w:hint="eastAsia"/>
          <w:b/>
          <w:spacing w:val="-6"/>
          <w:sz w:val="30"/>
          <w:szCs w:val="30"/>
        </w:rPr>
        <w:t>总监理工程师</w:t>
      </w:r>
      <w:r>
        <w:rPr>
          <w:b/>
          <w:spacing w:val="-6"/>
          <w:sz w:val="30"/>
          <w:szCs w:val="30"/>
        </w:rPr>
        <w:t>/</w:t>
      </w:r>
      <w:r>
        <w:rPr>
          <w:rFonts w:hint="eastAsia"/>
          <w:b/>
          <w:spacing w:val="-6"/>
          <w:sz w:val="30"/>
          <w:szCs w:val="30"/>
        </w:rPr>
        <w:t>总监理工程师代表</w:t>
      </w:r>
      <w:r>
        <w:rPr>
          <w:rFonts w:hint="eastAsia"/>
          <w:b/>
          <w:spacing w:val="-6"/>
          <w:sz w:val="24"/>
        </w:rPr>
        <w:t>（签字）</w:t>
      </w:r>
      <w:r>
        <w:rPr>
          <w:rFonts w:hint="eastAsia"/>
          <w:spacing w:val="-6"/>
          <w:sz w:val="28"/>
        </w:rPr>
        <w:t>：</w:t>
      </w:r>
      <w:r>
        <w:rPr>
          <w:rFonts w:hint="eastAsia"/>
          <w:spacing w:val="-6"/>
          <w:sz w:val="28"/>
          <w:u w:val="single"/>
        </w:rPr>
        <w:t>　</w:t>
      </w:r>
      <w:r>
        <w:rPr>
          <w:spacing w:val="-6"/>
          <w:sz w:val="28"/>
          <w:u w:val="single"/>
        </w:rPr>
        <w:t xml:space="preserve">    </w:t>
      </w:r>
      <w:r>
        <w:rPr>
          <w:rFonts w:hint="eastAsia"/>
          <w:spacing w:val="-6"/>
          <w:sz w:val="28"/>
          <w:u w:val="single"/>
        </w:rPr>
        <w:t>　</w:t>
      </w:r>
      <w:r>
        <w:rPr>
          <w:spacing w:val="-6"/>
          <w:sz w:val="28"/>
          <w:u w:val="single"/>
        </w:rPr>
        <w:t xml:space="preserve"> </w:t>
      </w:r>
      <w:r>
        <w:rPr>
          <w:rFonts w:hint="eastAsia"/>
          <w:spacing w:val="-6"/>
          <w:sz w:val="28"/>
          <w:u w:val="single"/>
        </w:rPr>
        <w:t>　　</w:t>
      </w:r>
    </w:p>
    <w:p>
      <w:pPr>
        <w:ind w:firstLine="1506" w:firstLineChars="500"/>
        <w:rPr>
          <w:sz w:val="28"/>
          <w:u w:val="single"/>
        </w:rPr>
      </w:pPr>
      <w:r>
        <w:rPr>
          <w:rFonts w:hint="eastAsia"/>
          <w:b/>
          <w:sz w:val="30"/>
          <w:szCs w:val="30"/>
        </w:rPr>
        <w:t>日</w:t>
      </w:r>
      <w:r>
        <w:rPr>
          <w:b/>
          <w:sz w:val="30"/>
          <w:szCs w:val="30"/>
        </w:rPr>
        <w:t xml:space="preserve">        </w:t>
      </w:r>
      <w:r>
        <w:rPr>
          <w:rFonts w:hint="eastAsia"/>
          <w:b/>
          <w:sz w:val="30"/>
          <w:szCs w:val="30"/>
        </w:rPr>
        <w:t>期</w:t>
      </w:r>
      <w:r>
        <w:rPr>
          <w:rFonts w:hint="eastAsia"/>
          <w:sz w:val="28"/>
        </w:rPr>
        <w:t>：</w:t>
      </w:r>
      <w:r>
        <w:rPr>
          <w:rFonts w:hint="eastAsia"/>
          <w:sz w:val="28"/>
          <w:u w:val="single"/>
        </w:rPr>
        <w:t>　　　　　　　　　　</w:t>
      </w:r>
      <w:r>
        <w:rPr>
          <w:sz w:val="28"/>
          <w:u w:val="single"/>
        </w:rPr>
        <w:t xml:space="preserve">          </w:t>
      </w:r>
      <w:r>
        <w:rPr>
          <w:rFonts w:hint="eastAsia"/>
          <w:sz w:val="28"/>
          <w:u w:val="single"/>
        </w:rPr>
        <w:t>　　</w:t>
      </w:r>
      <w:r>
        <w:rPr>
          <w:sz w:val="28"/>
          <w:u w:val="single"/>
        </w:rPr>
        <w:t xml:space="preserve"> </w:t>
      </w:r>
    </w:p>
    <w:p>
      <w:pPr>
        <w:spacing w:line="360" w:lineRule="exact"/>
        <w:ind w:firstLine="1980"/>
        <w:rPr>
          <w:sz w:val="28"/>
          <w:u w:val="single"/>
        </w:rPr>
      </w:pPr>
    </w:p>
    <w:p>
      <w:pPr>
        <w:spacing w:line="360" w:lineRule="exact"/>
        <w:ind w:firstLine="1980"/>
        <w:rPr>
          <w:sz w:val="28"/>
          <w:u w:val="single"/>
        </w:rPr>
      </w:pPr>
    </w:p>
    <w:p>
      <w:pPr>
        <w:spacing w:line="360" w:lineRule="exact"/>
        <w:ind w:firstLine="1980"/>
        <w:rPr>
          <w:sz w:val="28"/>
          <w:u w:val="single"/>
        </w:rPr>
      </w:pPr>
    </w:p>
    <w:p>
      <w:pPr>
        <w:spacing w:line="360" w:lineRule="exact"/>
        <w:ind w:firstLine="1980"/>
        <w:rPr>
          <w:sz w:val="28"/>
          <w:u w:val="single"/>
        </w:rPr>
      </w:pPr>
    </w:p>
    <w:p>
      <w:pPr>
        <w:jc w:val="center"/>
        <w:rPr>
          <w:sz w:val="24"/>
        </w:rPr>
      </w:pPr>
      <w:r>
        <w:rPr>
          <w:rFonts w:hint="eastAsia" w:ascii="Times New Roman" w:eastAsia="隶书"/>
        </w:rPr>
        <w:t xml:space="preserve">第六版表                                              </w:t>
      </w:r>
      <w:r>
        <w:rPr>
          <w:rFonts w:hint="eastAsia" w:ascii="Times New Roman" w:eastAsia="隶书"/>
          <w:szCs w:val="21"/>
        </w:rPr>
        <w:t>江苏省住房和城乡建设厅监制</w:t>
      </w:r>
    </w:p>
    <w:p>
      <w:pPr>
        <w:widowControl/>
        <w:jc w:val="left"/>
        <w:rPr>
          <w:rFonts w:eastAsia="黑体"/>
          <w:b/>
          <w:w w:val="90"/>
          <w:sz w:val="28"/>
          <w:szCs w:val="28"/>
          <w14:shadow w14:blurRad="50800" w14:dist="38100" w14:dir="2700000" w14:sx="100000" w14:sy="100000" w14:kx="0" w14:ky="0" w14:algn="tl">
            <w14:srgbClr w14:val="000000">
              <w14:alpha w14:val="60000"/>
            </w14:srgbClr>
          </w14:shadow>
        </w:rPr>
        <w:sectPr>
          <w:pgSz w:w="11906" w:h="16838"/>
          <w:pgMar w:top="1021" w:right="1701" w:bottom="1701" w:left="1701" w:header="851" w:footer="1191" w:gutter="0"/>
          <w:cols w:space="720" w:num="1"/>
          <w:docGrid w:type="lines" w:linePitch="312" w:charSpace="0"/>
        </w:sectPr>
      </w:pPr>
    </w:p>
    <w:p>
      <w:pPr>
        <w:spacing w:line="380" w:lineRule="exact"/>
        <w:jc w:val="right"/>
        <w:rPr>
          <w:rFonts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A.0.8-1</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本月工程实施概要</w:t>
      </w:r>
    </w:p>
    <w:tbl>
      <w:tblPr>
        <w:tblStyle w:val="12"/>
        <w:tblW w:w="0" w:type="auto"/>
        <w:tblInd w:w="-72"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2340"/>
        <w:gridCol w:w="2343"/>
        <w:gridCol w:w="183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80" w:type="dxa"/>
            <w:gridSpan w:val="4"/>
            <w:tcBorders>
              <w:top w:val="single" w:color="auto" w:sz="8" w:space="0"/>
              <w:left w:val="single" w:color="auto" w:sz="8" w:space="0"/>
              <w:bottom w:val="single" w:color="auto" w:sz="4" w:space="0"/>
              <w:right w:val="single" w:color="auto" w:sz="8" w:space="0"/>
            </w:tcBorders>
            <w:noWrap w:val="0"/>
            <w:vAlign w:val="center"/>
          </w:tcPr>
          <w:p>
            <w:pPr>
              <w:spacing w:line="240" w:lineRule="exact"/>
              <w:jc w:val="center"/>
              <w:rPr>
                <w:szCs w:val="21"/>
              </w:rPr>
            </w:pPr>
            <w:r>
              <w:rPr>
                <w:rFonts w:hint="eastAsia"/>
                <w:szCs w:val="21"/>
              </w:rPr>
              <w:t>相关情况登记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16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szCs w:val="21"/>
              </w:rPr>
            </w:pPr>
            <w:r>
              <w:rPr>
                <w:rFonts w:hint="eastAsia"/>
                <w:szCs w:val="21"/>
              </w:rPr>
              <w:t>本月日历天</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right"/>
              <w:rPr>
                <w:szCs w:val="21"/>
              </w:rPr>
            </w:pPr>
            <w:r>
              <w:rPr>
                <w:rFonts w:hint="eastAsia"/>
                <w:szCs w:val="21"/>
              </w:rPr>
              <w:t>天</w:t>
            </w:r>
          </w:p>
        </w:tc>
        <w:tc>
          <w:tcPr>
            <w:tcW w:w="234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szCs w:val="21"/>
              </w:rPr>
            </w:pPr>
            <w:r>
              <w:rPr>
                <w:rFonts w:hint="eastAsia"/>
                <w:szCs w:val="21"/>
              </w:rPr>
              <w:t>实际工作日</w:t>
            </w:r>
          </w:p>
        </w:tc>
        <w:tc>
          <w:tcPr>
            <w:tcW w:w="183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right"/>
              <w:rPr>
                <w:szCs w:val="21"/>
              </w:rPr>
            </w:pPr>
            <w:r>
              <w:rPr>
                <w:rFonts w:hint="eastAsia"/>
                <w:szCs w:val="21"/>
              </w:rPr>
              <w:t>天</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16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szCs w:val="21"/>
              </w:rPr>
            </w:pPr>
            <w:r>
              <w:rPr>
                <w:rFonts w:hint="eastAsia"/>
                <w:szCs w:val="21"/>
              </w:rPr>
              <w:t>工程暂停令</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right"/>
              <w:rPr>
                <w:szCs w:val="21"/>
              </w:rPr>
            </w:pPr>
            <w:r>
              <w:rPr>
                <w:rFonts w:hint="eastAsia"/>
                <w:szCs w:val="21"/>
              </w:rPr>
              <w:t>份</w:t>
            </w:r>
          </w:p>
        </w:tc>
        <w:tc>
          <w:tcPr>
            <w:tcW w:w="234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szCs w:val="21"/>
              </w:rPr>
            </w:pPr>
            <w:r>
              <w:rPr>
                <w:rFonts w:hint="eastAsia"/>
                <w:szCs w:val="21"/>
              </w:rPr>
              <w:t>联系单</w:t>
            </w:r>
          </w:p>
        </w:tc>
        <w:tc>
          <w:tcPr>
            <w:tcW w:w="183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right"/>
              <w:rPr>
                <w:szCs w:val="21"/>
              </w:rPr>
            </w:pPr>
            <w:r>
              <w:rPr>
                <w:rFonts w:hint="eastAsia"/>
                <w:szCs w:val="21"/>
              </w:rPr>
              <w:t>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16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szCs w:val="21"/>
              </w:rPr>
            </w:pPr>
            <w:r>
              <w:rPr>
                <w:rFonts w:hint="eastAsia"/>
                <w:szCs w:val="21"/>
              </w:rPr>
              <w:t>监理备忘录</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right"/>
              <w:rPr>
                <w:szCs w:val="21"/>
              </w:rPr>
            </w:pPr>
            <w:r>
              <w:rPr>
                <w:rFonts w:hint="eastAsia"/>
                <w:szCs w:val="21"/>
              </w:rPr>
              <w:t>份</w:t>
            </w:r>
          </w:p>
        </w:tc>
        <w:tc>
          <w:tcPr>
            <w:tcW w:w="234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szCs w:val="21"/>
              </w:rPr>
            </w:pPr>
            <w:r>
              <w:rPr>
                <w:rFonts w:hint="eastAsia"/>
                <w:szCs w:val="21"/>
              </w:rPr>
              <w:t>监理通知单</w:t>
            </w:r>
          </w:p>
        </w:tc>
        <w:tc>
          <w:tcPr>
            <w:tcW w:w="183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right"/>
              <w:rPr>
                <w:szCs w:val="21"/>
              </w:rPr>
            </w:pPr>
            <w:r>
              <w:rPr>
                <w:rFonts w:hint="eastAsia"/>
                <w:szCs w:val="21"/>
              </w:rPr>
              <w:t>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160" w:type="dxa"/>
            <w:tcBorders>
              <w:top w:val="single" w:color="auto" w:sz="4" w:space="0"/>
              <w:left w:val="single" w:color="auto" w:sz="8" w:space="0"/>
              <w:bottom w:val="single" w:color="auto" w:sz="4" w:space="0"/>
              <w:right w:val="single" w:color="auto" w:sz="4" w:space="0"/>
            </w:tcBorders>
            <w:noWrap w:val="0"/>
            <w:vAlign w:val="center"/>
          </w:tcPr>
          <w:p>
            <w:pPr>
              <w:spacing w:line="240" w:lineRule="exact"/>
              <w:rPr>
                <w:szCs w:val="21"/>
              </w:rPr>
            </w:pPr>
            <w:r>
              <w:rPr>
                <w:rFonts w:hint="eastAsia"/>
                <w:szCs w:val="21"/>
              </w:rPr>
              <w:t>例会会议纪要</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right"/>
              <w:rPr>
                <w:szCs w:val="21"/>
              </w:rPr>
            </w:pPr>
            <w:r>
              <w:rPr>
                <w:szCs w:val="21"/>
              </w:rPr>
              <w:t xml:space="preserve">      </w:t>
            </w:r>
            <w:r>
              <w:rPr>
                <w:rFonts w:hint="eastAsia"/>
                <w:szCs w:val="21"/>
              </w:rPr>
              <w:t>份</w:t>
            </w:r>
          </w:p>
        </w:tc>
        <w:tc>
          <w:tcPr>
            <w:tcW w:w="234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rPr>
                <w:szCs w:val="21"/>
              </w:rPr>
            </w:pPr>
            <w:r>
              <w:rPr>
                <w:rFonts w:hint="eastAsia"/>
                <w:szCs w:val="21"/>
              </w:rPr>
              <w:t>其它发文</w:t>
            </w:r>
          </w:p>
        </w:tc>
        <w:tc>
          <w:tcPr>
            <w:tcW w:w="1837" w:type="dxa"/>
            <w:tcBorders>
              <w:top w:val="single" w:color="auto" w:sz="4" w:space="0"/>
              <w:left w:val="single" w:color="auto" w:sz="4" w:space="0"/>
              <w:bottom w:val="single" w:color="auto" w:sz="4" w:space="0"/>
              <w:right w:val="single" w:color="auto" w:sz="8" w:space="0"/>
            </w:tcBorders>
            <w:noWrap w:val="0"/>
            <w:vAlign w:val="center"/>
          </w:tcPr>
          <w:p>
            <w:pPr>
              <w:spacing w:line="240" w:lineRule="exact"/>
              <w:jc w:val="right"/>
              <w:rPr>
                <w:szCs w:val="21"/>
              </w:rPr>
            </w:pPr>
            <w:r>
              <w:rPr>
                <w:rFonts w:hint="eastAsia"/>
                <w:szCs w:val="21"/>
              </w:rPr>
              <w:t>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80" w:type="dxa"/>
            <w:gridSpan w:val="4"/>
            <w:tcBorders>
              <w:top w:val="single" w:color="auto" w:sz="4" w:space="0"/>
              <w:left w:val="single" w:color="auto" w:sz="8" w:space="0"/>
              <w:bottom w:val="single" w:color="auto" w:sz="4" w:space="0"/>
              <w:right w:val="single" w:color="auto" w:sz="8" w:space="0"/>
            </w:tcBorders>
            <w:noWrap w:val="0"/>
            <w:vAlign w:val="center"/>
          </w:tcPr>
          <w:p>
            <w:pPr>
              <w:spacing w:line="240" w:lineRule="exact"/>
              <w:jc w:val="center"/>
              <w:rPr>
                <w:szCs w:val="21"/>
              </w:rPr>
            </w:pPr>
            <w:r>
              <w:rPr>
                <w:rFonts w:hint="eastAsia"/>
                <w:szCs w:val="21"/>
              </w:rPr>
              <w:t>本月工程实施概要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724" w:hRule="atLeast"/>
        </w:trPr>
        <w:tc>
          <w:tcPr>
            <w:tcW w:w="8680" w:type="dxa"/>
            <w:gridSpan w:val="4"/>
            <w:tcBorders>
              <w:top w:val="single" w:color="auto" w:sz="4" w:space="0"/>
              <w:left w:val="single" w:color="auto" w:sz="8" w:space="0"/>
              <w:bottom w:val="single" w:color="auto" w:sz="8" w:space="0"/>
              <w:right w:val="single" w:color="auto" w:sz="8" w:space="0"/>
            </w:tcBorders>
            <w:noWrap w:val="0"/>
            <w:vAlign w:val="top"/>
          </w:tcPr>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p>
            <w:pPr>
              <w:jc w:val="center"/>
              <w:rPr>
                <w:sz w:val="24"/>
              </w:rPr>
            </w:pPr>
          </w:p>
        </w:tc>
      </w:tr>
    </w:tbl>
    <w:p>
      <w:pPr>
        <w:jc w:val="right"/>
        <w:rPr>
          <w:rFonts w:ascii="Times New Roman" w:eastAsia="隶书"/>
          <w:szCs w:val="21"/>
        </w:rPr>
      </w:pPr>
      <w:r>
        <w:rPr>
          <w:rFonts w:hint="eastAsia" w:ascii="Times New Roman" w:eastAsia="隶书"/>
        </w:rPr>
        <w:t>第六版表                                              江苏省住房和城乡建设厅监制</w:t>
      </w:r>
    </w:p>
    <w:p>
      <w:pPr>
        <w:pStyle w:val="2"/>
        <w:spacing w:before="0" w:after="0" w:line="380" w:lineRule="exact"/>
        <w:ind w:firstLine="510"/>
        <w:jc w:val="right"/>
        <w:rPr>
          <w:rFonts w:hint="eastAsia" w:eastAsia="黑体"/>
          <w:bCs/>
          <w:w w:val="90"/>
          <w:kern w:val="2"/>
          <w:szCs w:val="28"/>
          <w14:shadow w14:blurRad="50800" w14:dist="38100" w14:dir="2700000" w14:sx="100000" w14:sy="100000" w14:kx="0" w14:ky="0" w14:algn="tl">
            <w14:srgbClr w14:val="000000">
              <w14:alpha w14:val="60000"/>
            </w14:srgbClr>
          </w14:shadow>
        </w:rPr>
      </w:pPr>
      <w:r>
        <w:rPr>
          <w:rFonts w:eastAsia="黑体"/>
          <w:b w:val="0"/>
          <w:w w:val="90"/>
          <w:szCs w:val="28"/>
          <w14:shadow w14:blurRad="50800" w14:dist="38100" w14:dir="2700000" w14:sx="100000" w14:sy="100000" w14:kx="0" w14:ky="0" w14:algn="tl">
            <w14:srgbClr w14:val="000000">
              <w14:alpha w14:val="60000"/>
            </w14:srgbClr>
          </w14:shadow>
        </w:rPr>
        <w:br w:type="column"/>
      </w:r>
      <w:bookmarkStart w:id="498" w:name="_Toc20726517"/>
      <w:bookmarkStart w:id="499" w:name="_Toc20667988"/>
      <w:r>
        <w:rPr>
          <w:rFonts w:eastAsia="黑体"/>
          <w:w w:val="90"/>
          <w:kern w:val="2"/>
          <w:szCs w:val="28"/>
          <w14:shadow w14:blurRad="50800" w14:dist="38100" w14:dir="2700000" w14:sx="100000" w14:sy="100000" w14:kx="0" w14:ky="0" w14:algn="tl">
            <w14:srgbClr w14:val="000000">
              <w14:alpha w14:val="60000"/>
            </w14:srgbClr>
          </w14:shadow>
        </w:rPr>
        <w:t>A.0.8-2</w:t>
      </w:r>
      <w:bookmarkEnd w:id="498"/>
      <w:bookmarkEnd w:id="499"/>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本月工程质量控制情况评析</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988"/>
        <w:gridCol w:w="1260"/>
        <w:gridCol w:w="3060"/>
        <w:gridCol w:w="13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8" w:hRule="atLeast"/>
        </w:trPr>
        <w:tc>
          <w:tcPr>
            <w:tcW w:w="8648" w:type="dxa"/>
            <w:gridSpan w:val="4"/>
            <w:tcBorders>
              <w:top w:val="single" w:color="auto" w:sz="8"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szCs w:val="21"/>
              </w:rPr>
              <w:t>本月质量控制情况登记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94" w:hRule="exact"/>
        </w:trPr>
        <w:tc>
          <w:tcPr>
            <w:tcW w:w="2988"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本月材料、构配件、设备验收次数</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right"/>
              <w:rPr>
                <w:rFonts w:ascii="Times New Roman"/>
                <w:szCs w:val="21"/>
              </w:rPr>
            </w:pPr>
            <w:r>
              <w:rPr>
                <w:rFonts w:hint="eastAsia" w:ascii="Times New Roman"/>
                <w:szCs w:val="21"/>
              </w:rPr>
              <w:t>次</w:t>
            </w:r>
          </w:p>
        </w:tc>
        <w:tc>
          <w:tcPr>
            <w:tcW w:w="3060" w:type="dxa"/>
            <w:tcBorders>
              <w:top w:val="single" w:color="auto" w:sz="4" w:space="0"/>
              <w:left w:val="single" w:color="auto" w:sz="4"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检查不符合要求次数</w:t>
            </w:r>
          </w:p>
        </w:tc>
        <w:tc>
          <w:tcPr>
            <w:tcW w:w="1340" w:type="dxa"/>
            <w:tcBorders>
              <w:top w:val="single" w:color="auto" w:sz="4" w:space="0"/>
              <w:left w:val="single" w:color="auto" w:sz="4" w:space="0"/>
              <w:bottom w:val="single" w:color="auto" w:sz="4" w:space="0"/>
              <w:right w:val="single" w:color="auto" w:sz="8" w:space="0"/>
            </w:tcBorders>
            <w:noWrap w:val="0"/>
            <w:vAlign w:val="center"/>
          </w:tcPr>
          <w:p>
            <w:pPr>
              <w:jc w:val="right"/>
              <w:rPr>
                <w:rFonts w:ascii="Times New Roman"/>
                <w:szCs w:val="21"/>
              </w:rPr>
            </w:pPr>
            <w:r>
              <w:rPr>
                <w:rFonts w:hint="eastAsia" w:ascii="Times New Roman"/>
                <w:szCs w:val="21"/>
              </w:rPr>
              <w:t>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988"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本月工程质量验收次数</w:t>
            </w:r>
          </w:p>
        </w:tc>
        <w:tc>
          <w:tcPr>
            <w:tcW w:w="1260" w:type="dxa"/>
            <w:tcBorders>
              <w:top w:val="single" w:color="auto" w:sz="4" w:space="0"/>
              <w:left w:val="single" w:color="auto" w:sz="4" w:space="0"/>
              <w:bottom w:val="single" w:color="auto" w:sz="4" w:space="0"/>
              <w:right w:val="single" w:color="auto" w:sz="4" w:space="0"/>
            </w:tcBorders>
            <w:noWrap w:val="0"/>
            <w:vAlign w:val="center"/>
          </w:tcPr>
          <w:p>
            <w:pPr>
              <w:jc w:val="right"/>
              <w:rPr>
                <w:rFonts w:ascii="Times New Roman"/>
                <w:szCs w:val="21"/>
              </w:rPr>
            </w:pPr>
            <w:r>
              <w:rPr>
                <w:rFonts w:hint="eastAsia" w:ascii="Times New Roman"/>
                <w:szCs w:val="21"/>
              </w:rPr>
              <w:t>次</w:t>
            </w:r>
          </w:p>
        </w:tc>
        <w:tc>
          <w:tcPr>
            <w:tcW w:w="3060" w:type="dxa"/>
            <w:tcBorders>
              <w:top w:val="single" w:color="auto" w:sz="4" w:space="0"/>
              <w:left w:val="single" w:color="auto" w:sz="4" w:space="0"/>
              <w:bottom w:val="single" w:color="auto" w:sz="4" w:space="0"/>
              <w:right w:val="single" w:color="auto" w:sz="4" w:space="0"/>
            </w:tcBorders>
            <w:noWrap w:val="0"/>
            <w:vAlign w:val="center"/>
          </w:tcPr>
          <w:p>
            <w:pPr>
              <w:ind w:right="480"/>
              <w:rPr>
                <w:rFonts w:ascii="Times New Roman"/>
                <w:szCs w:val="21"/>
              </w:rPr>
            </w:pPr>
            <w:r>
              <w:rPr>
                <w:rFonts w:hint="eastAsia" w:ascii="Times New Roman"/>
                <w:szCs w:val="21"/>
              </w:rPr>
              <w:t>其中一次验收合格计</w:t>
            </w:r>
          </w:p>
        </w:tc>
        <w:tc>
          <w:tcPr>
            <w:tcW w:w="1340" w:type="dxa"/>
            <w:tcBorders>
              <w:top w:val="single" w:color="auto" w:sz="4" w:space="0"/>
              <w:left w:val="single" w:color="auto" w:sz="4" w:space="0"/>
              <w:bottom w:val="single" w:color="auto" w:sz="4" w:space="0"/>
              <w:right w:val="single" w:color="auto" w:sz="8" w:space="0"/>
            </w:tcBorders>
            <w:noWrap w:val="0"/>
            <w:vAlign w:val="center"/>
          </w:tcPr>
          <w:p>
            <w:pPr>
              <w:ind w:left="752"/>
              <w:jc w:val="right"/>
              <w:rPr>
                <w:rFonts w:ascii="Times New Roman"/>
                <w:szCs w:val="21"/>
              </w:rPr>
            </w:pPr>
            <w:r>
              <w:rPr>
                <w:rFonts w:hint="eastAsia" w:ascii="Times New Roman"/>
                <w:szCs w:val="21"/>
              </w:rPr>
              <w:t>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48" w:type="dxa"/>
            <w:gridSpan w:val="2"/>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发出监理通知单（质量控制类）</w:t>
            </w:r>
          </w:p>
        </w:tc>
        <w:tc>
          <w:tcPr>
            <w:tcW w:w="4400" w:type="dxa"/>
            <w:gridSpan w:val="2"/>
            <w:tcBorders>
              <w:top w:val="single" w:color="auto" w:sz="4" w:space="0"/>
              <w:left w:val="single" w:color="auto" w:sz="4" w:space="0"/>
              <w:bottom w:val="single" w:color="auto" w:sz="4" w:space="0"/>
              <w:right w:val="single" w:color="auto" w:sz="8" w:space="0"/>
            </w:tcBorders>
            <w:noWrap w:val="0"/>
            <w:vAlign w:val="center"/>
          </w:tcPr>
          <w:p>
            <w:pPr>
              <w:jc w:val="right"/>
              <w:rPr>
                <w:rFonts w:ascii="Times New Roman"/>
                <w:szCs w:val="21"/>
              </w:rPr>
            </w:pPr>
            <w:r>
              <w:rPr>
                <w:rFonts w:hint="eastAsia" w:ascii="Times New Roman"/>
                <w:szCs w:val="21"/>
              </w:rPr>
              <w:t xml:space="preserve">                               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48" w:type="dxa"/>
            <w:gridSpan w:val="4"/>
            <w:tcBorders>
              <w:top w:val="single" w:color="auto" w:sz="4"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szCs w:val="21"/>
              </w:rPr>
              <w:t>工程质量控制情况简析（文字或图表）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78" w:hRule="atLeast"/>
        </w:trPr>
        <w:tc>
          <w:tcPr>
            <w:tcW w:w="8648" w:type="dxa"/>
            <w:gridSpan w:val="4"/>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8648" w:type="dxa"/>
            <w:gridSpan w:val="4"/>
            <w:tcBorders>
              <w:top w:val="single" w:color="auto" w:sz="4"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bCs/>
                <w:sz w:val="24"/>
              </w:rPr>
              <w:t>下月质量控制监理工作重点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08" w:hRule="atLeast"/>
        </w:trPr>
        <w:tc>
          <w:tcPr>
            <w:tcW w:w="8648" w:type="dxa"/>
            <w:gridSpan w:val="4"/>
            <w:tcBorders>
              <w:top w:val="single" w:color="auto" w:sz="4" w:space="0"/>
              <w:left w:val="single" w:color="auto" w:sz="8" w:space="0"/>
              <w:bottom w:val="single" w:color="auto" w:sz="8" w:space="0"/>
              <w:right w:val="single" w:color="auto" w:sz="8" w:space="0"/>
            </w:tcBorders>
            <w:noWrap w:val="0"/>
            <w:vAlign w:val="top"/>
          </w:tcPr>
          <w:p>
            <w:pPr>
              <w:rPr>
                <w:rFonts w:ascii="Times New Roman"/>
                <w:sz w:val="24"/>
              </w:rPr>
            </w:pPr>
          </w:p>
          <w:p>
            <w:pPr>
              <w:rPr>
                <w:rFonts w:hint="eastAsia" w:ascii="Times New Roman"/>
                <w:sz w:val="24"/>
              </w:rPr>
            </w:pPr>
          </w:p>
          <w:p>
            <w:pPr>
              <w:rPr>
                <w:rFonts w:hint="eastAsia" w:ascii="Times New Roman"/>
                <w:sz w:val="24"/>
              </w:rPr>
            </w:pPr>
          </w:p>
          <w:p>
            <w:pPr>
              <w:rPr>
                <w:rFonts w:ascii="Times New Roman"/>
                <w:sz w:val="24"/>
              </w:rPr>
            </w:pPr>
          </w:p>
        </w:tc>
      </w:tr>
    </w:tbl>
    <w:p>
      <w:pPr>
        <w:jc w:val="right"/>
        <w:rPr>
          <w:rFonts w:ascii="Times New Roman" w:eastAsia="隶书"/>
          <w:szCs w:val="21"/>
        </w:rPr>
      </w:pPr>
      <w:r>
        <w:rPr>
          <w:rFonts w:hint="eastAsia" w:ascii="Times New Roman" w:eastAsia="隶书"/>
        </w:rPr>
        <w:t>第六版表                                              江苏省住房和城乡建设厅监制</w:t>
      </w:r>
    </w:p>
    <w:p>
      <w:pPr>
        <w:pageBreakBefore/>
        <w:spacing w:line="380" w:lineRule="exact"/>
        <w:jc w:val="right"/>
        <w:rPr>
          <w:rFonts w:hint="eastAsia"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A.0.8-3</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本月造价控制情况评析</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661"/>
        <w:gridCol w:w="1935"/>
        <w:gridCol w:w="2325"/>
        <w:gridCol w:w="168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596" w:type="dxa"/>
            <w:gridSpan w:val="2"/>
            <w:tcBorders>
              <w:top w:val="single" w:color="auto" w:sz="8"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工程合同总额</w:t>
            </w:r>
          </w:p>
        </w:tc>
        <w:tc>
          <w:tcPr>
            <w:tcW w:w="4012" w:type="dxa"/>
            <w:gridSpan w:val="2"/>
            <w:tcBorders>
              <w:top w:val="single" w:color="auto" w:sz="8" w:space="0"/>
              <w:left w:val="single" w:color="auto" w:sz="4" w:space="0"/>
              <w:bottom w:val="single" w:color="auto" w:sz="4" w:space="0"/>
              <w:right w:val="single" w:color="auto" w:sz="8" w:space="0"/>
            </w:tcBorders>
            <w:noWrap w:val="0"/>
            <w:vAlign w:val="center"/>
          </w:tcPr>
          <w:p>
            <w:pPr>
              <w:ind w:left="52"/>
              <w:jc w:val="right"/>
              <w:rPr>
                <w:rFonts w:ascii="Times New Roman"/>
                <w:szCs w:val="21"/>
              </w:rPr>
            </w:pPr>
            <w:r>
              <w:rPr>
                <w:rFonts w:hint="eastAsia" w:ascii="Times New Roman"/>
                <w:szCs w:val="21"/>
              </w:rPr>
              <w:t xml:space="preserve">        　万元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4" w:hRule="exact"/>
        </w:trPr>
        <w:tc>
          <w:tcPr>
            <w:tcW w:w="4596" w:type="dxa"/>
            <w:gridSpan w:val="2"/>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截止本月25日累计完成金额占工程合同总额百分比</w:t>
            </w:r>
          </w:p>
        </w:tc>
        <w:tc>
          <w:tcPr>
            <w:tcW w:w="4012" w:type="dxa"/>
            <w:gridSpan w:val="2"/>
            <w:tcBorders>
              <w:top w:val="single" w:color="auto" w:sz="4" w:space="0"/>
              <w:left w:val="single" w:color="auto" w:sz="4" w:space="0"/>
              <w:bottom w:val="single" w:color="auto" w:sz="4" w:space="0"/>
              <w:right w:val="single" w:color="auto" w:sz="8" w:space="0"/>
            </w:tcBorders>
            <w:noWrap w:val="0"/>
            <w:vAlign w:val="center"/>
          </w:tcPr>
          <w:p>
            <w:pPr>
              <w:ind w:left="592"/>
              <w:jc w:val="right"/>
              <w:rPr>
                <w:rFonts w:ascii="Times New Roman"/>
                <w:szCs w:val="21"/>
              </w:rPr>
            </w:pPr>
            <w:r>
              <w:rPr>
                <w:rFonts w:hint="eastAsia" w:ascii="Times New Roman"/>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661"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本月施工单位申报工作量</w:t>
            </w:r>
          </w:p>
        </w:tc>
        <w:tc>
          <w:tcPr>
            <w:tcW w:w="1935" w:type="dxa"/>
            <w:tcBorders>
              <w:top w:val="single" w:color="auto" w:sz="4" w:space="0"/>
              <w:left w:val="single" w:color="auto" w:sz="4" w:space="0"/>
              <w:bottom w:val="single" w:color="auto" w:sz="4" w:space="0"/>
              <w:right w:val="single" w:color="auto" w:sz="4" w:space="0"/>
            </w:tcBorders>
            <w:noWrap w:val="0"/>
            <w:vAlign w:val="center"/>
          </w:tcPr>
          <w:p>
            <w:pPr>
              <w:jc w:val="right"/>
              <w:rPr>
                <w:rFonts w:ascii="Times New Roman"/>
                <w:szCs w:val="21"/>
              </w:rPr>
            </w:pPr>
            <w:r>
              <w:rPr>
                <w:rFonts w:hint="eastAsia" w:ascii="Times New Roman"/>
                <w:szCs w:val="21"/>
              </w:rPr>
              <w:t>万元</w:t>
            </w:r>
          </w:p>
        </w:tc>
        <w:tc>
          <w:tcPr>
            <w:tcW w:w="2325" w:type="dxa"/>
            <w:tcBorders>
              <w:top w:val="single" w:color="auto" w:sz="4" w:space="0"/>
              <w:left w:val="single" w:color="auto" w:sz="4" w:space="0"/>
              <w:bottom w:val="single" w:color="auto" w:sz="4" w:space="0"/>
              <w:right w:val="single" w:color="auto" w:sz="4" w:space="0"/>
            </w:tcBorders>
            <w:noWrap w:val="0"/>
            <w:vAlign w:val="center"/>
          </w:tcPr>
          <w:p>
            <w:pPr>
              <w:jc w:val="left"/>
              <w:rPr>
                <w:rFonts w:ascii="Times New Roman"/>
                <w:szCs w:val="21"/>
              </w:rPr>
            </w:pPr>
            <w:r>
              <w:rPr>
                <w:rFonts w:hint="eastAsia" w:ascii="Times New Roman"/>
                <w:szCs w:val="21"/>
              </w:rPr>
              <w:t>监理审核工作量</w:t>
            </w:r>
          </w:p>
        </w:tc>
        <w:tc>
          <w:tcPr>
            <w:tcW w:w="1687" w:type="dxa"/>
            <w:tcBorders>
              <w:top w:val="single" w:color="auto" w:sz="4" w:space="0"/>
              <w:left w:val="single" w:color="auto" w:sz="4" w:space="0"/>
              <w:bottom w:val="single" w:color="auto" w:sz="4" w:space="0"/>
              <w:right w:val="single" w:color="auto" w:sz="8" w:space="0"/>
            </w:tcBorders>
            <w:noWrap w:val="0"/>
            <w:vAlign w:val="center"/>
          </w:tcPr>
          <w:p>
            <w:pPr>
              <w:jc w:val="right"/>
              <w:rPr>
                <w:rFonts w:ascii="Times New Roman"/>
                <w:szCs w:val="21"/>
              </w:rPr>
            </w:pPr>
            <w:r>
              <w:rPr>
                <w:rFonts w:hint="eastAsia" w:ascii="Times New Roman"/>
                <w:szCs w:val="21"/>
              </w:rPr>
              <w:t>万元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661"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本月批准付款</w:t>
            </w:r>
          </w:p>
        </w:tc>
        <w:tc>
          <w:tcPr>
            <w:tcW w:w="1935" w:type="dxa"/>
            <w:tcBorders>
              <w:top w:val="single" w:color="auto" w:sz="4" w:space="0"/>
              <w:left w:val="single" w:color="auto" w:sz="4" w:space="0"/>
              <w:bottom w:val="single" w:color="auto" w:sz="4" w:space="0"/>
              <w:right w:val="single" w:color="auto" w:sz="4" w:space="0"/>
            </w:tcBorders>
            <w:noWrap w:val="0"/>
            <w:vAlign w:val="center"/>
          </w:tcPr>
          <w:p>
            <w:pPr>
              <w:ind w:left="352"/>
              <w:jc w:val="right"/>
              <w:rPr>
                <w:rFonts w:ascii="Times New Roman"/>
                <w:szCs w:val="21"/>
              </w:rPr>
            </w:pPr>
            <w:r>
              <w:rPr>
                <w:rFonts w:hint="eastAsia" w:ascii="Times New Roman"/>
                <w:szCs w:val="21"/>
              </w:rPr>
              <w:t>　   万元</w:t>
            </w:r>
          </w:p>
        </w:tc>
        <w:tc>
          <w:tcPr>
            <w:tcW w:w="2325" w:type="dxa"/>
            <w:tcBorders>
              <w:top w:val="single" w:color="auto" w:sz="4" w:space="0"/>
              <w:left w:val="single" w:color="auto" w:sz="4" w:space="0"/>
              <w:bottom w:val="single" w:color="auto" w:sz="4" w:space="0"/>
              <w:right w:val="single" w:color="auto" w:sz="4" w:space="0"/>
            </w:tcBorders>
            <w:noWrap w:val="0"/>
            <w:vAlign w:val="center"/>
          </w:tcPr>
          <w:p>
            <w:pPr>
              <w:ind w:left="52"/>
              <w:rPr>
                <w:rFonts w:ascii="Times New Roman"/>
                <w:szCs w:val="21"/>
              </w:rPr>
            </w:pPr>
            <w:r>
              <w:rPr>
                <w:rFonts w:hint="eastAsia" w:ascii="Times New Roman"/>
                <w:szCs w:val="21"/>
              </w:rPr>
              <w:t>累计批准付款额</w:t>
            </w:r>
          </w:p>
        </w:tc>
        <w:tc>
          <w:tcPr>
            <w:tcW w:w="1687" w:type="dxa"/>
            <w:tcBorders>
              <w:top w:val="single" w:color="auto" w:sz="4" w:space="0"/>
              <w:left w:val="single" w:color="auto" w:sz="4" w:space="0"/>
              <w:bottom w:val="single" w:color="auto" w:sz="4" w:space="0"/>
              <w:right w:val="single" w:color="auto" w:sz="8" w:space="0"/>
            </w:tcBorders>
            <w:noWrap w:val="0"/>
            <w:vAlign w:val="center"/>
          </w:tcPr>
          <w:p>
            <w:pPr>
              <w:ind w:left="592" w:leftChars="282"/>
              <w:jc w:val="right"/>
              <w:rPr>
                <w:rFonts w:ascii="Times New Roman"/>
                <w:szCs w:val="21"/>
              </w:rPr>
            </w:pPr>
            <w:r>
              <w:rPr>
                <w:rFonts w:hint="eastAsia" w:ascii="Times New Roman"/>
                <w:szCs w:val="21"/>
              </w:rPr>
              <w:t>　 万元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661"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本月发生批准索赔</w:t>
            </w:r>
          </w:p>
        </w:tc>
        <w:tc>
          <w:tcPr>
            <w:tcW w:w="1935" w:type="dxa"/>
            <w:tcBorders>
              <w:top w:val="single" w:color="auto" w:sz="4" w:space="0"/>
              <w:left w:val="single" w:color="auto" w:sz="4" w:space="0"/>
              <w:bottom w:val="single" w:color="auto" w:sz="4" w:space="0"/>
              <w:right w:val="single" w:color="auto" w:sz="4" w:space="0"/>
            </w:tcBorders>
            <w:noWrap w:val="0"/>
            <w:vAlign w:val="center"/>
          </w:tcPr>
          <w:p>
            <w:pPr>
              <w:ind w:left="352"/>
              <w:jc w:val="right"/>
              <w:rPr>
                <w:rFonts w:ascii="Times New Roman"/>
                <w:szCs w:val="21"/>
              </w:rPr>
            </w:pPr>
            <w:r>
              <w:rPr>
                <w:rFonts w:hint="eastAsia" w:ascii="Times New Roman"/>
                <w:szCs w:val="21"/>
              </w:rPr>
              <w:t>　　 万元</w:t>
            </w:r>
          </w:p>
        </w:tc>
        <w:tc>
          <w:tcPr>
            <w:tcW w:w="2325" w:type="dxa"/>
            <w:tcBorders>
              <w:top w:val="single" w:color="auto" w:sz="4" w:space="0"/>
              <w:left w:val="single" w:color="auto" w:sz="4" w:space="0"/>
              <w:bottom w:val="single" w:color="auto" w:sz="4" w:space="0"/>
              <w:right w:val="single" w:color="auto" w:sz="4" w:space="0"/>
            </w:tcBorders>
            <w:noWrap w:val="0"/>
            <w:vAlign w:val="center"/>
          </w:tcPr>
          <w:p>
            <w:pPr>
              <w:ind w:left="52"/>
              <w:rPr>
                <w:rFonts w:ascii="Times New Roman"/>
                <w:szCs w:val="21"/>
              </w:rPr>
            </w:pPr>
            <w:r>
              <w:rPr>
                <w:rFonts w:hint="eastAsia" w:ascii="Times New Roman"/>
                <w:szCs w:val="21"/>
              </w:rPr>
              <w:t>累计发生索赔额</w:t>
            </w:r>
          </w:p>
        </w:tc>
        <w:tc>
          <w:tcPr>
            <w:tcW w:w="1687" w:type="dxa"/>
            <w:tcBorders>
              <w:top w:val="single" w:color="auto" w:sz="4" w:space="0"/>
              <w:left w:val="single" w:color="auto" w:sz="4" w:space="0"/>
              <w:bottom w:val="single" w:color="auto" w:sz="4" w:space="0"/>
              <w:right w:val="single" w:color="auto" w:sz="8" w:space="0"/>
            </w:tcBorders>
            <w:noWrap w:val="0"/>
            <w:vAlign w:val="center"/>
          </w:tcPr>
          <w:p>
            <w:pPr>
              <w:ind w:left="872"/>
              <w:jc w:val="right"/>
              <w:rPr>
                <w:rFonts w:ascii="Times New Roman"/>
                <w:szCs w:val="21"/>
              </w:rPr>
            </w:pPr>
            <w:r>
              <w:rPr>
                <w:rFonts w:hint="eastAsia" w:ascii="Times New Roman"/>
                <w:szCs w:val="21"/>
              </w:rPr>
              <w:t xml:space="preserve"> 万元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596" w:type="dxa"/>
            <w:gridSpan w:val="2"/>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发出监理通知单（造价控制类）</w:t>
            </w:r>
          </w:p>
        </w:tc>
        <w:tc>
          <w:tcPr>
            <w:tcW w:w="4012" w:type="dxa"/>
            <w:gridSpan w:val="2"/>
            <w:tcBorders>
              <w:top w:val="single" w:color="auto" w:sz="4" w:space="0"/>
              <w:left w:val="single" w:color="auto" w:sz="4" w:space="0"/>
              <w:bottom w:val="single" w:color="auto" w:sz="4" w:space="0"/>
              <w:right w:val="single" w:color="auto" w:sz="8" w:space="0"/>
            </w:tcBorders>
            <w:noWrap w:val="0"/>
            <w:vAlign w:val="center"/>
          </w:tcPr>
          <w:p>
            <w:pPr>
              <w:jc w:val="right"/>
              <w:rPr>
                <w:rFonts w:ascii="Times New Roman"/>
                <w:szCs w:val="21"/>
              </w:rPr>
            </w:pPr>
            <w:r>
              <w:rPr>
                <w:rFonts w:hint="eastAsia" w:ascii="Times New Roman"/>
                <w:szCs w:val="21"/>
              </w:rPr>
              <w:t>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08" w:type="dxa"/>
            <w:gridSpan w:val="4"/>
            <w:tcBorders>
              <w:top w:val="single" w:color="auto" w:sz="4"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szCs w:val="21"/>
              </w:rPr>
              <w:t>工程造价控制情况简析（文字或图表）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83" w:hRule="atLeast"/>
        </w:trPr>
        <w:tc>
          <w:tcPr>
            <w:tcW w:w="8608" w:type="dxa"/>
            <w:gridSpan w:val="4"/>
            <w:tcBorders>
              <w:top w:val="single" w:color="auto" w:sz="4" w:space="0"/>
              <w:left w:val="single" w:color="auto" w:sz="8" w:space="0"/>
              <w:bottom w:val="single" w:color="auto" w:sz="4" w:space="0"/>
              <w:right w:val="single" w:color="auto" w:sz="8" w:space="0"/>
            </w:tcBorders>
            <w:noWrap w:val="0"/>
            <w:vAlign w:val="center"/>
          </w:tcPr>
          <w:p>
            <w:pPr>
              <w:jc w:val="center"/>
              <w:rPr>
                <w:rFonts w:ascii="Times New Roman"/>
                <w:szCs w:val="21"/>
              </w:rPr>
            </w:pPr>
          </w:p>
          <w:p>
            <w:pPr>
              <w:jc w:val="center"/>
              <w:rPr>
                <w:rFonts w:hint="eastAsia" w:ascii="Times New Roman"/>
                <w:szCs w:val="21"/>
              </w:rPr>
            </w:pPr>
          </w:p>
          <w:p>
            <w:pPr>
              <w:jc w:val="center"/>
              <w:rPr>
                <w:rFonts w:hint="eastAsia" w:ascii="Times New Roman"/>
                <w:szCs w:val="21"/>
              </w:rPr>
            </w:pPr>
          </w:p>
          <w:p>
            <w:pPr>
              <w:jc w:val="center"/>
              <w:rPr>
                <w:rFonts w:hint="eastAsia" w:ascii="Times New Roman"/>
                <w:szCs w:val="21"/>
              </w:rPr>
            </w:pPr>
          </w:p>
          <w:p>
            <w:pPr>
              <w:jc w:val="center"/>
              <w:rPr>
                <w:rFonts w:hint="eastAsia" w:ascii="Times New Roman"/>
                <w:szCs w:val="21"/>
              </w:rPr>
            </w:pPr>
          </w:p>
          <w:p>
            <w:pPr>
              <w:jc w:val="center"/>
              <w:rPr>
                <w:rFonts w:hint="eastAsia" w:ascii="Times New Roman"/>
                <w:szCs w:val="21"/>
              </w:rPr>
            </w:pPr>
          </w:p>
          <w:p>
            <w:pPr>
              <w:jc w:val="center"/>
              <w:rPr>
                <w:rFonts w:hint="eastAsia" w:ascii="Times New Roman"/>
                <w:szCs w:val="21"/>
              </w:rPr>
            </w:pPr>
          </w:p>
          <w:p>
            <w:pPr>
              <w:jc w:val="center"/>
              <w:rPr>
                <w:rFonts w:hint="eastAsia" w:ascii="Times New Roman"/>
                <w:szCs w:val="21"/>
              </w:rPr>
            </w:pPr>
          </w:p>
          <w:p>
            <w:pPr>
              <w:jc w:val="center"/>
              <w:rPr>
                <w:rFonts w:hint="eastAsia" w:ascii="Times New Roman"/>
                <w:szCs w:val="21"/>
              </w:rPr>
            </w:pPr>
          </w:p>
          <w:p>
            <w:pPr>
              <w:jc w:val="center"/>
              <w:rPr>
                <w:rFonts w:hint="eastAsia" w:ascii="Times New Roman"/>
                <w:szCs w:val="21"/>
              </w:rPr>
            </w:pPr>
          </w:p>
          <w:p>
            <w:pPr>
              <w:jc w:val="center"/>
              <w:rPr>
                <w:rFonts w:hint="eastAsia" w:ascii="Times New Roman"/>
                <w:szCs w:val="21"/>
              </w:rPr>
            </w:pPr>
          </w:p>
          <w:p>
            <w:pPr>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8608" w:type="dxa"/>
            <w:gridSpan w:val="4"/>
            <w:tcBorders>
              <w:top w:val="single" w:color="auto" w:sz="4"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bCs/>
                <w:sz w:val="24"/>
              </w:rPr>
              <w:t>下月造价控制监理工作重点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1" w:hRule="atLeast"/>
        </w:trPr>
        <w:tc>
          <w:tcPr>
            <w:tcW w:w="8608" w:type="dxa"/>
            <w:gridSpan w:val="4"/>
            <w:tcBorders>
              <w:top w:val="single" w:color="auto" w:sz="4" w:space="0"/>
              <w:left w:val="single" w:color="auto" w:sz="8" w:space="0"/>
              <w:bottom w:val="single" w:color="auto" w:sz="8" w:space="0"/>
              <w:right w:val="single" w:color="auto" w:sz="8" w:space="0"/>
            </w:tcBorders>
            <w:noWrap w:val="0"/>
            <w:vAlign w:val="top"/>
          </w:tcPr>
          <w:p>
            <w:pPr>
              <w:rPr>
                <w:rFonts w:ascii="Times New Roman"/>
                <w:sz w:val="24"/>
              </w:rPr>
            </w:pPr>
          </w:p>
          <w:p>
            <w:pPr>
              <w:rPr>
                <w:rFonts w:hint="eastAsia" w:ascii="Times New Roman"/>
                <w:sz w:val="24"/>
              </w:rPr>
            </w:pPr>
          </w:p>
          <w:p>
            <w:pPr>
              <w:rPr>
                <w:rFonts w:hint="eastAsia" w:ascii="Times New Roman"/>
                <w:sz w:val="24"/>
              </w:rPr>
            </w:pPr>
          </w:p>
          <w:p>
            <w:pPr>
              <w:rPr>
                <w:rFonts w:hint="eastAsia" w:ascii="Times New Roman"/>
                <w:sz w:val="24"/>
              </w:rPr>
            </w:pPr>
          </w:p>
          <w:p>
            <w:pPr>
              <w:rPr>
                <w:rFonts w:ascii="Times New Roman"/>
                <w:sz w:val="24"/>
              </w:rPr>
            </w:pPr>
          </w:p>
        </w:tc>
      </w:tr>
    </w:tbl>
    <w:p>
      <w:pPr>
        <w:jc w:val="right"/>
        <w:rPr>
          <w:rFonts w:ascii="Times New Roman" w:eastAsia="隶书"/>
          <w:szCs w:val="21"/>
        </w:rPr>
      </w:pPr>
      <w:r>
        <w:rPr>
          <w:rFonts w:hint="eastAsia" w:ascii="Times New Roman" w:eastAsia="隶书"/>
        </w:rPr>
        <w:t>第六版表                                              江苏省住房和城乡建设厅监制</w:t>
      </w:r>
    </w:p>
    <w:p>
      <w:pPr>
        <w:pageBreakBefore/>
        <w:wordWrap w:val="0"/>
        <w:spacing w:line="380" w:lineRule="exact"/>
        <w:jc w:val="right"/>
        <w:rPr>
          <w:rFonts w:hint="eastAsia" w:eastAsia="黑体"/>
          <w:b/>
          <w:w w:val="90"/>
          <w:sz w:val="28"/>
          <w:szCs w:val="28"/>
          <w14:shadow w14:blurRad="50800" w14:dist="38100" w14:dir="2700000" w14:sx="100000" w14:sy="100000" w14:kx="0" w14:ky="0" w14:algn="tl">
            <w14:srgbClr w14:val="000000">
              <w14:alpha w14:val="60000"/>
            </w14:srgbClr>
          </w14:shadow>
        </w:rPr>
      </w:pPr>
      <w:r>
        <w:rPr>
          <w:rFonts w:eastAsia="黑体"/>
          <w:b/>
          <w:w w:val="90"/>
          <w:sz w:val="28"/>
          <w:szCs w:val="28"/>
          <w14:shadow w14:blurRad="50800" w14:dist="38100" w14:dir="2700000" w14:sx="100000" w14:sy="100000" w14:kx="0" w14:ky="0" w14:algn="tl">
            <w14:srgbClr w14:val="000000">
              <w14:alpha w14:val="60000"/>
            </w14:srgbClr>
          </w14:shadow>
        </w:rPr>
        <w:t>A.0.8-4</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本月工程进度控制情况评析</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268"/>
        <w:gridCol w:w="1980"/>
        <w:gridCol w:w="2142"/>
        <w:gridCol w:w="18"/>
        <w:gridCol w:w="22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268" w:type="dxa"/>
            <w:tcBorders>
              <w:top w:val="single" w:color="auto" w:sz="8"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工程开工日期</w:t>
            </w:r>
          </w:p>
        </w:tc>
        <w:tc>
          <w:tcPr>
            <w:tcW w:w="1980" w:type="dxa"/>
            <w:tcBorders>
              <w:top w:val="single" w:color="auto" w:sz="8" w:space="0"/>
              <w:left w:val="single" w:color="auto" w:sz="4" w:space="0"/>
              <w:bottom w:val="single" w:color="auto" w:sz="4" w:space="0"/>
              <w:right w:val="single" w:color="auto" w:sz="4" w:space="0"/>
            </w:tcBorders>
            <w:noWrap w:val="0"/>
            <w:vAlign w:val="top"/>
          </w:tcPr>
          <w:p>
            <w:pPr>
              <w:rPr>
                <w:rFonts w:ascii="Times New Roman"/>
                <w:szCs w:val="21"/>
              </w:rPr>
            </w:pPr>
          </w:p>
        </w:tc>
        <w:tc>
          <w:tcPr>
            <w:tcW w:w="2142" w:type="dxa"/>
            <w:tcBorders>
              <w:top w:val="single" w:color="auto" w:sz="8" w:space="0"/>
              <w:left w:val="single" w:color="auto" w:sz="4"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工程竣工日期</w:t>
            </w:r>
          </w:p>
        </w:tc>
        <w:tc>
          <w:tcPr>
            <w:tcW w:w="2258" w:type="dxa"/>
            <w:gridSpan w:val="2"/>
            <w:tcBorders>
              <w:top w:val="single" w:color="auto" w:sz="8"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268"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本月计划完成至</w:t>
            </w:r>
          </w:p>
        </w:tc>
        <w:tc>
          <w:tcPr>
            <w:tcW w:w="6380" w:type="dxa"/>
            <w:gridSpan w:val="4"/>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268"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本月实际完成至</w:t>
            </w:r>
          </w:p>
        </w:tc>
        <w:tc>
          <w:tcPr>
            <w:tcW w:w="6380" w:type="dxa"/>
            <w:gridSpan w:val="4"/>
            <w:tcBorders>
              <w:top w:val="single" w:color="auto" w:sz="4" w:space="0"/>
              <w:left w:val="single" w:color="auto" w:sz="4" w:space="0"/>
              <w:bottom w:val="single" w:color="auto" w:sz="4" w:space="0"/>
              <w:right w:val="single" w:color="auto" w:sz="8" w:space="0"/>
            </w:tcBorders>
            <w:noWrap w:val="0"/>
            <w:vAlign w:val="top"/>
          </w:tcPr>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268"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本月批准延长工期</w:t>
            </w:r>
          </w:p>
        </w:tc>
        <w:tc>
          <w:tcPr>
            <w:tcW w:w="1980" w:type="dxa"/>
            <w:tcBorders>
              <w:top w:val="single" w:color="auto" w:sz="4" w:space="0"/>
              <w:left w:val="single" w:color="auto" w:sz="4" w:space="0"/>
              <w:bottom w:val="single" w:color="auto" w:sz="4" w:space="0"/>
              <w:right w:val="single" w:color="auto" w:sz="4" w:space="0"/>
            </w:tcBorders>
            <w:noWrap w:val="0"/>
            <w:vAlign w:val="center"/>
          </w:tcPr>
          <w:p>
            <w:pPr>
              <w:jc w:val="right"/>
              <w:rPr>
                <w:rFonts w:ascii="Times New Roman"/>
                <w:szCs w:val="21"/>
              </w:rPr>
            </w:pPr>
            <w:r>
              <w:rPr>
                <w:rFonts w:hint="eastAsia" w:ascii="Times New Roman"/>
                <w:szCs w:val="21"/>
              </w:rPr>
              <w:t>天</w:t>
            </w:r>
          </w:p>
        </w:tc>
        <w:tc>
          <w:tcPr>
            <w:tcW w:w="2160" w:type="dxa"/>
            <w:gridSpan w:val="2"/>
            <w:tcBorders>
              <w:top w:val="single" w:color="auto" w:sz="4" w:space="0"/>
              <w:left w:val="single" w:color="auto" w:sz="4"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累计延长工期</w:t>
            </w:r>
          </w:p>
        </w:tc>
        <w:tc>
          <w:tcPr>
            <w:tcW w:w="2240" w:type="dxa"/>
            <w:tcBorders>
              <w:top w:val="single" w:color="auto" w:sz="4" w:space="0"/>
              <w:left w:val="single" w:color="auto" w:sz="4" w:space="0"/>
              <w:bottom w:val="single" w:color="auto" w:sz="4" w:space="0"/>
              <w:right w:val="single" w:color="auto" w:sz="8" w:space="0"/>
            </w:tcBorders>
            <w:noWrap w:val="0"/>
            <w:vAlign w:val="center"/>
          </w:tcPr>
          <w:p>
            <w:pPr>
              <w:jc w:val="right"/>
              <w:rPr>
                <w:rFonts w:ascii="Times New Roman"/>
                <w:szCs w:val="21"/>
              </w:rPr>
            </w:pPr>
            <w:r>
              <w:rPr>
                <w:rFonts w:hint="eastAsia" w:ascii="Times New Roman"/>
                <w:szCs w:val="21"/>
              </w:rPr>
              <w:t>天</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48" w:type="dxa"/>
            <w:gridSpan w:val="2"/>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发出监理通知单（进度控制类）</w:t>
            </w:r>
          </w:p>
        </w:tc>
        <w:tc>
          <w:tcPr>
            <w:tcW w:w="4400" w:type="dxa"/>
            <w:gridSpan w:val="3"/>
            <w:tcBorders>
              <w:top w:val="single" w:color="auto" w:sz="4" w:space="0"/>
              <w:left w:val="single" w:color="auto" w:sz="4" w:space="0"/>
              <w:bottom w:val="single" w:color="auto" w:sz="4" w:space="0"/>
              <w:right w:val="single" w:color="auto" w:sz="8" w:space="0"/>
            </w:tcBorders>
            <w:noWrap w:val="0"/>
            <w:vAlign w:val="center"/>
          </w:tcPr>
          <w:p>
            <w:pPr>
              <w:jc w:val="right"/>
              <w:rPr>
                <w:rFonts w:ascii="Times New Roman"/>
                <w:szCs w:val="21"/>
              </w:rPr>
            </w:pPr>
            <w:r>
              <w:rPr>
                <w:rFonts w:hint="eastAsia" w:ascii="Times New Roman"/>
                <w:szCs w:val="21"/>
              </w:rPr>
              <w:t>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48" w:type="dxa"/>
            <w:gridSpan w:val="5"/>
            <w:tcBorders>
              <w:top w:val="single" w:color="auto" w:sz="4"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szCs w:val="21"/>
              </w:rPr>
              <w:t>本月工程进度控制情况简析（文字或图表）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46" w:hRule="atLeast"/>
        </w:trPr>
        <w:tc>
          <w:tcPr>
            <w:tcW w:w="8648" w:type="dxa"/>
            <w:gridSpan w:val="5"/>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48" w:type="dxa"/>
            <w:gridSpan w:val="5"/>
            <w:tcBorders>
              <w:top w:val="single" w:color="auto" w:sz="4"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bCs/>
                <w:sz w:val="24"/>
              </w:rPr>
              <w:t>下月进度控制监理工作重点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12" w:hRule="atLeast"/>
        </w:trPr>
        <w:tc>
          <w:tcPr>
            <w:tcW w:w="8648" w:type="dxa"/>
            <w:gridSpan w:val="5"/>
            <w:tcBorders>
              <w:top w:val="single" w:color="auto" w:sz="4" w:space="0"/>
              <w:left w:val="single" w:color="auto" w:sz="8" w:space="0"/>
              <w:bottom w:val="single" w:color="auto" w:sz="8" w:space="0"/>
              <w:right w:val="single" w:color="auto" w:sz="8" w:space="0"/>
            </w:tcBorders>
            <w:noWrap w:val="0"/>
            <w:vAlign w:val="top"/>
          </w:tcPr>
          <w:p>
            <w:pPr>
              <w:rPr>
                <w:rFonts w:ascii="Times New Roman"/>
                <w:sz w:val="24"/>
              </w:rPr>
            </w:pPr>
          </w:p>
          <w:p>
            <w:pPr>
              <w:rPr>
                <w:rFonts w:hint="eastAsia" w:ascii="Times New Roman"/>
                <w:sz w:val="24"/>
              </w:rPr>
            </w:pPr>
          </w:p>
          <w:p>
            <w:pPr>
              <w:spacing w:before="156" w:beforeLines="50"/>
              <w:rPr>
                <w:rFonts w:hint="eastAsia" w:ascii="Times New Roman"/>
                <w:sz w:val="24"/>
              </w:rPr>
            </w:pPr>
          </w:p>
          <w:p>
            <w:pPr>
              <w:rPr>
                <w:rFonts w:ascii="Times New Roman"/>
                <w:sz w:val="24"/>
              </w:rPr>
            </w:pPr>
          </w:p>
        </w:tc>
      </w:tr>
    </w:tbl>
    <w:p>
      <w:pPr>
        <w:jc w:val="right"/>
        <w:rPr>
          <w:rFonts w:ascii="Times New Roman" w:eastAsia="隶书"/>
          <w:szCs w:val="21"/>
        </w:rPr>
      </w:pPr>
      <w:r>
        <w:rPr>
          <w:rFonts w:hint="eastAsia" w:ascii="Times New Roman" w:eastAsia="隶书"/>
        </w:rPr>
        <w:t>第六版表                                              江苏省住房和城乡建设厅监制</w:t>
      </w:r>
    </w:p>
    <w:p>
      <w:pPr>
        <w:pStyle w:val="2"/>
        <w:spacing w:before="0" w:after="0" w:line="380" w:lineRule="exact"/>
        <w:ind w:firstLine="510"/>
        <w:jc w:val="right"/>
        <w:rPr>
          <w:rFonts w:hint="eastAsia" w:ascii="Times New Roman" w:eastAsia="黑体"/>
          <w:b w:val="0"/>
          <w:szCs w:val="28"/>
          <w14:shadow w14:blurRad="50800" w14:dist="38100" w14:dir="2700000" w14:sx="100000" w14:sy="100000" w14:kx="0" w14:ky="0" w14:algn="tl">
            <w14:srgbClr w14:val="000000">
              <w14:alpha w14:val="60000"/>
            </w14:srgbClr>
          </w14:shadow>
        </w:rPr>
      </w:pPr>
      <w:bookmarkStart w:id="500" w:name="_Toc20667989"/>
      <w:bookmarkStart w:id="501" w:name="_Toc20726518"/>
      <w:r>
        <w:rPr>
          <w:rFonts w:eastAsia="黑体"/>
          <w:w w:val="90"/>
          <w:kern w:val="2"/>
          <w:szCs w:val="28"/>
          <w14:shadow w14:blurRad="50800" w14:dist="38100" w14:dir="2700000" w14:sx="100000" w14:sy="100000" w14:kx="0" w14:ky="0" w14:algn="tl">
            <w14:srgbClr w14:val="000000">
              <w14:alpha w14:val="60000"/>
            </w14:srgbClr>
          </w14:shadow>
        </w:rPr>
        <w:t>A.0.8-5</w:t>
      </w:r>
      <w:bookmarkEnd w:id="500"/>
      <w:bookmarkEnd w:id="501"/>
    </w:p>
    <w:p>
      <w:pPr>
        <w:spacing w:before="312" w:beforeLines="100" w:after="312" w:afterLines="100"/>
        <w:jc w:val="center"/>
        <w:rPr>
          <w:rFonts w:hint="eastAsia"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本月施工安全生产管理工作评析</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240"/>
        <w:gridCol w:w="441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58" w:type="dxa"/>
            <w:gridSpan w:val="2"/>
            <w:tcBorders>
              <w:top w:val="single" w:color="auto" w:sz="8"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szCs w:val="21"/>
              </w:rPr>
              <w:t>本月施工安全生产管理工作情况登记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40"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参与安全检查次数</w:t>
            </w:r>
          </w:p>
        </w:tc>
        <w:tc>
          <w:tcPr>
            <w:tcW w:w="4418" w:type="dxa"/>
            <w:tcBorders>
              <w:top w:val="single" w:color="auto" w:sz="4" w:space="0"/>
              <w:left w:val="single" w:color="auto" w:sz="4" w:space="0"/>
              <w:bottom w:val="single" w:color="auto" w:sz="4" w:space="0"/>
              <w:right w:val="single" w:color="auto" w:sz="8" w:space="0"/>
            </w:tcBorders>
            <w:noWrap w:val="0"/>
            <w:vAlign w:val="center"/>
          </w:tcPr>
          <w:p>
            <w:pPr>
              <w:ind w:left="3792"/>
              <w:jc w:val="right"/>
              <w:rPr>
                <w:rFonts w:ascii="Times New Roman"/>
                <w:szCs w:val="21"/>
              </w:rPr>
            </w:pPr>
            <w:r>
              <w:rPr>
                <w:rFonts w:hint="eastAsia" w:ascii="Times New Roman"/>
                <w:szCs w:val="21"/>
              </w:rPr>
              <w:t>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40"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危大工程专项巡视检查次数</w:t>
            </w:r>
          </w:p>
        </w:tc>
        <w:tc>
          <w:tcPr>
            <w:tcW w:w="4418" w:type="dxa"/>
            <w:tcBorders>
              <w:top w:val="single" w:color="auto" w:sz="4" w:space="0"/>
              <w:left w:val="single" w:color="auto" w:sz="4" w:space="0"/>
              <w:bottom w:val="single" w:color="auto" w:sz="4" w:space="0"/>
              <w:right w:val="single" w:color="auto" w:sz="8" w:space="0"/>
            </w:tcBorders>
            <w:noWrap w:val="0"/>
            <w:vAlign w:val="center"/>
          </w:tcPr>
          <w:p>
            <w:pPr>
              <w:ind w:left="3792"/>
              <w:jc w:val="right"/>
              <w:rPr>
                <w:rFonts w:ascii="Times New Roman"/>
                <w:szCs w:val="21"/>
              </w:rPr>
            </w:pPr>
            <w:r>
              <w:rPr>
                <w:rFonts w:hint="eastAsia" w:ascii="Times New Roman"/>
                <w:szCs w:val="21"/>
              </w:rPr>
              <w:t>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40"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危大工程验收次数</w:t>
            </w:r>
          </w:p>
        </w:tc>
        <w:tc>
          <w:tcPr>
            <w:tcW w:w="4418" w:type="dxa"/>
            <w:tcBorders>
              <w:top w:val="single" w:color="auto" w:sz="4" w:space="0"/>
              <w:left w:val="single" w:color="auto" w:sz="4" w:space="0"/>
              <w:bottom w:val="single" w:color="auto" w:sz="4" w:space="0"/>
              <w:right w:val="single" w:color="auto" w:sz="8" w:space="0"/>
            </w:tcBorders>
            <w:noWrap w:val="0"/>
            <w:vAlign w:val="center"/>
          </w:tcPr>
          <w:p>
            <w:pPr>
              <w:ind w:left="3792"/>
              <w:jc w:val="right"/>
              <w:rPr>
                <w:rFonts w:ascii="Times New Roman"/>
                <w:szCs w:val="21"/>
              </w:rPr>
            </w:pPr>
            <w:r>
              <w:rPr>
                <w:rFonts w:hint="eastAsia" w:ascii="Times New Roman"/>
                <w:szCs w:val="21"/>
              </w:rPr>
              <w:t>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240" w:type="dxa"/>
            <w:tcBorders>
              <w:top w:val="single" w:color="auto" w:sz="4" w:space="0"/>
              <w:left w:val="single" w:color="auto" w:sz="8" w:space="0"/>
              <w:bottom w:val="single" w:color="auto" w:sz="4" w:space="0"/>
              <w:right w:val="single" w:color="auto" w:sz="4" w:space="0"/>
            </w:tcBorders>
            <w:noWrap w:val="0"/>
            <w:vAlign w:val="center"/>
          </w:tcPr>
          <w:p>
            <w:pPr>
              <w:rPr>
                <w:rFonts w:ascii="Times New Roman"/>
                <w:szCs w:val="21"/>
              </w:rPr>
            </w:pPr>
            <w:r>
              <w:rPr>
                <w:rFonts w:hint="eastAsia" w:ascii="Times New Roman"/>
                <w:szCs w:val="21"/>
              </w:rPr>
              <w:t>发出监理通知单（安全文明类）</w:t>
            </w:r>
          </w:p>
        </w:tc>
        <w:tc>
          <w:tcPr>
            <w:tcW w:w="4418" w:type="dxa"/>
            <w:tcBorders>
              <w:top w:val="single" w:color="auto" w:sz="4" w:space="0"/>
              <w:left w:val="single" w:color="auto" w:sz="4" w:space="0"/>
              <w:bottom w:val="single" w:color="auto" w:sz="4" w:space="0"/>
              <w:right w:val="single" w:color="auto" w:sz="8" w:space="0"/>
            </w:tcBorders>
            <w:noWrap w:val="0"/>
            <w:vAlign w:val="center"/>
          </w:tcPr>
          <w:p>
            <w:pPr>
              <w:ind w:left="1472"/>
              <w:jc w:val="right"/>
              <w:rPr>
                <w:rFonts w:ascii="Times New Roman"/>
                <w:szCs w:val="21"/>
              </w:rPr>
            </w:pPr>
            <w:r>
              <w:rPr>
                <w:rFonts w:hint="eastAsia" w:ascii="Times New Roman"/>
                <w:szCs w:val="21"/>
              </w:rPr>
              <w:t xml:space="preserve">  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58" w:type="dxa"/>
            <w:gridSpan w:val="2"/>
            <w:tcBorders>
              <w:top w:val="single" w:color="auto" w:sz="4"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szCs w:val="21"/>
              </w:rPr>
              <w:t>工程施工安全生产管理工作简析（文字或图表）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8658" w:type="dxa"/>
            <w:gridSpan w:val="2"/>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r>
              <w:rPr>
                <w:rFonts w:hint="eastAsia" w:ascii="Times New Roman"/>
                <w:szCs w:val="21"/>
              </w:rPr>
              <w:t>施工单位安全生产管理状况：</w:t>
            </w: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r>
              <w:rPr>
                <w:rFonts w:hint="eastAsia" w:ascii="Times New Roman"/>
                <w:szCs w:val="21"/>
              </w:rPr>
              <w:t>履行建设工程安全生产管理法定职责情况：</w:t>
            </w: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658" w:type="dxa"/>
            <w:gridSpan w:val="2"/>
            <w:tcBorders>
              <w:top w:val="single" w:color="auto" w:sz="4" w:space="0"/>
              <w:left w:val="single" w:color="auto" w:sz="8" w:space="0"/>
              <w:bottom w:val="single" w:color="auto" w:sz="4" w:space="0"/>
              <w:right w:val="single" w:color="auto" w:sz="8" w:space="0"/>
            </w:tcBorders>
            <w:noWrap w:val="0"/>
            <w:vAlign w:val="center"/>
          </w:tcPr>
          <w:p>
            <w:pPr>
              <w:jc w:val="center"/>
              <w:rPr>
                <w:rFonts w:ascii="Times New Roman"/>
                <w:szCs w:val="21"/>
              </w:rPr>
            </w:pPr>
            <w:r>
              <w:rPr>
                <w:rFonts w:hint="eastAsia" w:ascii="Times New Roman"/>
                <w:szCs w:val="21"/>
              </w:rPr>
              <w:t>下月安全生产管理的监理工作重点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90" w:hRule="atLeast"/>
        </w:trPr>
        <w:tc>
          <w:tcPr>
            <w:tcW w:w="8658" w:type="dxa"/>
            <w:gridSpan w:val="2"/>
            <w:tcBorders>
              <w:top w:val="single" w:color="auto" w:sz="4" w:space="0"/>
              <w:left w:val="single" w:color="auto" w:sz="8" w:space="0"/>
              <w:bottom w:val="single" w:color="auto" w:sz="8" w:space="0"/>
              <w:right w:val="single" w:color="auto" w:sz="8" w:space="0"/>
            </w:tcBorders>
            <w:noWrap w:val="0"/>
            <w:vAlign w:val="top"/>
          </w:tcPr>
          <w:p>
            <w:pPr>
              <w:rPr>
                <w:rFonts w:ascii="Times New Roman"/>
                <w:sz w:val="24"/>
              </w:rPr>
            </w:pPr>
          </w:p>
          <w:p>
            <w:pPr>
              <w:rPr>
                <w:rFonts w:hint="eastAsia" w:ascii="Times New Roman"/>
                <w:sz w:val="24"/>
              </w:rPr>
            </w:pPr>
          </w:p>
          <w:p>
            <w:pPr>
              <w:spacing w:line="240" w:lineRule="exact"/>
              <w:rPr>
                <w:rFonts w:ascii="Times New Roman"/>
                <w:sz w:val="24"/>
              </w:rPr>
            </w:pPr>
          </w:p>
        </w:tc>
      </w:tr>
    </w:tbl>
    <w:p>
      <w:pPr>
        <w:jc w:val="right"/>
        <w:rPr>
          <w:rFonts w:ascii="Times New Roman" w:eastAsia="隶书"/>
          <w:szCs w:val="21"/>
        </w:rPr>
      </w:pPr>
      <w:r>
        <w:rPr>
          <w:rFonts w:hint="eastAsia" w:ascii="Times New Roman" w:eastAsia="隶书"/>
        </w:rPr>
        <w:t>第六版表                                              江苏省住房和城乡建设厅监制</w:t>
      </w:r>
    </w:p>
    <w:p>
      <w:pPr>
        <w:spacing w:line="380" w:lineRule="exact"/>
        <w:jc w:val="right"/>
        <w:rPr>
          <w:rFonts w:hint="eastAsia" w:ascii="Times New Roman" w:eastAsia="黑体"/>
          <w:sz w:val="28"/>
          <w:szCs w:val="28"/>
        </w:rPr>
      </w:pPr>
      <w:r>
        <w:rPr>
          <w:rFonts w:eastAsia="黑体"/>
          <w:b/>
          <w:w w:val="90"/>
          <w:sz w:val="28"/>
          <w:szCs w:val="28"/>
          <w14:shadow w14:blurRad="50800" w14:dist="38100" w14:dir="2700000" w14:sx="100000" w14:sy="100000" w14:kx="0" w14:ky="0" w14:algn="tl">
            <w14:srgbClr w14:val="000000">
              <w14:alpha w14:val="60000"/>
            </w14:srgbClr>
          </w14:shadow>
        </w:rPr>
        <w:t>A.0.8-6</w:t>
      </w:r>
    </w:p>
    <w:p>
      <w:pPr>
        <w:spacing w:before="312" w:beforeLines="100" w:after="312" w:afterLines="100"/>
        <w:jc w:val="center"/>
        <w:rPr>
          <w:rFonts w:hint="eastAsia"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本月工程其它事项</w:t>
      </w:r>
    </w:p>
    <w:tbl>
      <w:tblPr>
        <w:tblStyle w:val="12"/>
        <w:tblW w:w="0" w:type="auto"/>
        <w:tblInd w:w="0" w:type="dxa"/>
        <w:tblBorders>
          <w:top w:val="single" w:color="auto" w:sz="8" w:space="0"/>
          <w:left w:val="single" w:color="auto" w:sz="8" w:space="0"/>
          <w:bottom w:val="single" w:color="auto" w:sz="8" w:space="0"/>
          <w:right w:val="single" w:color="auto" w:sz="8" w:space="0"/>
          <w:insideH w:val="none" w:color="auto" w:sz="0" w:space="0"/>
          <w:insideV w:val="none" w:color="auto" w:sz="0" w:space="0"/>
        </w:tblBorders>
        <w:tblLayout w:type="fixed"/>
        <w:tblCellMar>
          <w:top w:w="0" w:type="dxa"/>
          <w:left w:w="108" w:type="dxa"/>
          <w:bottom w:w="0" w:type="dxa"/>
          <w:right w:w="108" w:type="dxa"/>
        </w:tblCellMar>
      </w:tblPr>
      <w:tblGrid>
        <w:gridCol w:w="8708"/>
      </w:tblGrid>
      <w:tr>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c>
          <w:tcPr>
            <w:tcW w:w="8708" w:type="dxa"/>
            <w:tcBorders>
              <w:top w:val="single" w:color="auto" w:sz="8" w:space="0"/>
              <w:left w:val="single" w:color="auto" w:sz="8" w:space="0"/>
              <w:bottom w:val="single" w:color="auto" w:sz="8" w:space="0"/>
              <w:right w:val="single" w:color="auto" w:sz="8" w:space="0"/>
            </w:tcBorders>
            <w:noWrap w:val="0"/>
            <w:vAlign w:val="top"/>
          </w:tcPr>
          <w:p>
            <w:pPr>
              <w:jc w:val="center"/>
              <w:rPr>
                <w:rFonts w:eastAsia="黑体"/>
                <w:sz w:val="36"/>
              </w:rPr>
            </w:pPr>
          </w:p>
          <w:p>
            <w:pP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jc w:val="center"/>
              <w:rPr>
                <w:rFonts w:eastAsia="黑体"/>
                <w:sz w:val="36"/>
              </w:rPr>
            </w:pPr>
          </w:p>
          <w:p>
            <w:pPr>
              <w:spacing w:line="220" w:lineRule="exact"/>
              <w:jc w:val="center"/>
              <w:rPr>
                <w:rFonts w:eastAsia="黑体"/>
                <w:sz w:val="36"/>
              </w:rPr>
            </w:pPr>
          </w:p>
          <w:p>
            <w:pPr>
              <w:spacing w:line="220" w:lineRule="exact"/>
              <w:jc w:val="center"/>
              <w:rPr>
                <w:rFonts w:eastAsia="黑体"/>
                <w:sz w:val="36"/>
              </w:rPr>
            </w:pPr>
          </w:p>
        </w:tc>
      </w:tr>
    </w:tbl>
    <w:p>
      <w:pPr>
        <w:jc w:val="left"/>
        <w:rPr>
          <w:rFonts w:ascii="Times New Roman" w:eastAsia="隶书"/>
          <w:szCs w:val="21"/>
        </w:rPr>
      </w:pPr>
      <w:r>
        <w:rPr>
          <w:rFonts w:hint="eastAsia" w:ascii="Times New Roman" w:eastAsia="隶书"/>
        </w:rPr>
        <w:t>第六版表                                              江苏省住房和城乡建设厅监制</w:t>
      </w:r>
    </w:p>
    <w:p>
      <w:pPr>
        <w:jc w:val="right"/>
        <w:rPr>
          <w:rFonts w:hint="eastAsia" w:eastAsia="黑体"/>
          <w:b/>
          <w:w w:val="90"/>
          <w:sz w:val="28"/>
          <w:szCs w:val="28"/>
          <w14:shadow w14:blurRad="50800" w14:dist="38100" w14:dir="2700000" w14:sx="100000" w14:sy="100000" w14:kx="0" w14:ky="0" w14:algn="tl">
            <w14:srgbClr w14:val="000000">
              <w14:alpha w14:val="60000"/>
            </w14:srgbClr>
          </w14:shadow>
        </w:rPr>
      </w:pPr>
      <w:r>
        <w:rPr>
          <w:szCs w:val="21"/>
        </w:rPr>
        <w:br w:type="column"/>
      </w:r>
      <w:r>
        <w:rPr>
          <w:rFonts w:eastAsia="黑体"/>
          <w:b/>
          <w:w w:val="90"/>
          <w:sz w:val="28"/>
          <w:szCs w:val="28"/>
          <w14:shadow w14:blurRad="50800" w14:dist="38100" w14:dir="2700000" w14:sx="100000" w14:sy="100000" w14:kx="0" w14:ky="0" w14:algn="tl">
            <w14:srgbClr w14:val="000000">
              <w14:alpha w14:val="60000"/>
            </w14:srgbClr>
          </w14:shadow>
        </w:rPr>
        <w:t>A.0.9</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工程款支付证书</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szCs w:val="21"/>
        </w:rPr>
        <w:t xml:space="preserve">    </w:t>
      </w:r>
      <w:r>
        <w:rPr>
          <w:rFonts w:hint="eastAsia"/>
          <w:szCs w:val="21"/>
        </w:rPr>
        <w:t>　　　　　　</w:t>
      </w:r>
      <w:r>
        <w:rPr>
          <w:szCs w:val="21"/>
        </w:rPr>
        <w:t xml:space="preserve">       </w:t>
      </w:r>
      <w:r>
        <w:rPr>
          <w:rFonts w:hint="eastAsia"/>
          <w:szCs w:val="21"/>
        </w:rPr>
        <w:t>编号：</w:t>
      </w:r>
      <w:r>
        <w:rPr>
          <w:szCs w:val="21"/>
        </w:rPr>
        <w:t>A.0.9</w:t>
      </w:r>
      <w:r>
        <w:rPr>
          <w:rFonts w:hint="eastAsia"/>
          <w:szCs w:val="21"/>
        </w:rPr>
        <w:t>—</w:t>
      </w:r>
      <w:r>
        <w:rPr>
          <w:szCs w:val="21"/>
          <w:u w:val="single"/>
        </w:rPr>
        <w:t xml:space="preserve">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09"/>
        <w:gridCol w:w="2977"/>
        <w:gridCol w:w="1802"/>
        <w:gridCol w:w="202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0" w:hRule="atLeast"/>
        </w:trPr>
        <w:tc>
          <w:tcPr>
            <w:tcW w:w="1809" w:type="dxa"/>
            <w:tcBorders>
              <w:top w:val="single" w:color="auto" w:sz="8" w:space="0"/>
              <w:left w:val="single" w:color="auto" w:sz="8" w:space="0"/>
              <w:bottom w:val="single" w:color="auto" w:sz="4" w:space="0"/>
              <w:right w:val="single" w:color="auto" w:sz="4" w:space="0"/>
            </w:tcBorders>
            <w:noWrap w:val="0"/>
            <w:vAlign w:val="center"/>
          </w:tcPr>
          <w:p>
            <w:pPr>
              <w:jc w:val="center"/>
              <w:rPr>
                <w:szCs w:val="21"/>
              </w:rPr>
            </w:pPr>
            <w:r>
              <w:rPr>
                <w:rFonts w:hint="eastAsia"/>
                <w:szCs w:val="21"/>
              </w:rPr>
              <w:t>施工单位签收人</w:t>
            </w:r>
          </w:p>
          <w:p>
            <w:pPr>
              <w:jc w:val="center"/>
              <w:rPr>
                <w:szCs w:val="21"/>
              </w:rPr>
            </w:pPr>
            <w:r>
              <w:rPr>
                <w:rFonts w:hint="eastAsia"/>
                <w:szCs w:val="21"/>
              </w:rPr>
              <w:t>姓名及时间</w:t>
            </w:r>
          </w:p>
        </w:tc>
        <w:tc>
          <w:tcPr>
            <w:tcW w:w="2977" w:type="dxa"/>
            <w:tcBorders>
              <w:top w:val="single" w:color="auto" w:sz="8" w:space="0"/>
              <w:left w:val="single" w:color="auto" w:sz="4" w:space="0"/>
              <w:bottom w:val="single" w:color="auto" w:sz="4" w:space="0"/>
              <w:right w:val="single" w:color="auto" w:sz="4" w:space="0"/>
            </w:tcBorders>
            <w:noWrap w:val="0"/>
            <w:vAlign w:val="center"/>
          </w:tcPr>
          <w:p>
            <w:pPr>
              <w:jc w:val="center"/>
              <w:rPr>
                <w:szCs w:val="21"/>
              </w:rPr>
            </w:pPr>
          </w:p>
        </w:tc>
        <w:tc>
          <w:tcPr>
            <w:tcW w:w="1802" w:type="dxa"/>
            <w:tcBorders>
              <w:top w:val="single" w:color="auto" w:sz="8" w:space="0"/>
              <w:left w:val="single" w:color="auto" w:sz="4" w:space="0"/>
              <w:bottom w:val="single" w:color="auto" w:sz="4" w:space="0"/>
              <w:right w:val="single" w:color="auto" w:sz="4" w:space="0"/>
            </w:tcBorders>
            <w:noWrap w:val="0"/>
            <w:vAlign w:val="center"/>
          </w:tcPr>
          <w:p>
            <w:pPr>
              <w:jc w:val="center"/>
              <w:rPr>
                <w:szCs w:val="21"/>
              </w:rPr>
            </w:pPr>
            <w:r>
              <w:rPr>
                <w:rFonts w:hint="eastAsia"/>
                <w:szCs w:val="21"/>
              </w:rPr>
              <w:t>建设单位签收人</w:t>
            </w:r>
          </w:p>
          <w:p>
            <w:pPr>
              <w:jc w:val="center"/>
              <w:rPr>
                <w:szCs w:val="21"/>
              </w:rPr>
            </w:pPr>
            <w:r>
              <w:rPr>
                <w:rFonts w:hint="eastAsia"/>
                <w:szCs w:val="21"/>
              </w:rPr>
              <w:t>姓名及时间</w:t>
            </w:r>
          </w:p>
        </w:tc>
        <w:tc>
          <w:tcPr>
            <w:tcW w:w="2020" w:type="dxa"/>
            <w:tcBorders>
              <w:top w:val="single" w:color="auto" w:sz="8" w:space="0"/>
              <w:left w:val="single" w:color="auto" w:sz="4" w:space="0"/>
              <w:bottom w:val="single" w:color="auto" w:sz="4" w:space="0"/>
              <w:right w:val="single" w:color="auto" w:sz="8" w:space="0"/>
            </w:tcBorders>
            <w:noWrap w:val="0"/>
            <w:vAlign w:val="center"/>
          </w:tcPr>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372" w:hRule="atLeast"/>
        </w:trPr>
        <w:tc>
          <w:tcPr>
            <w:tcW w:w="8608" w:type="dxa"/>
            <w:gridSpan w:val="4"/>
            <w:tcBorders>
              <w:top w:val="single" w:color="auto" w:sz="4" w:space="0"/>
              <w:left w:val="single" w:color="auto" w:sz="8" w:space="0"/>
              <w:bottom w:val="single" w:color="auto" w:sz="4" w:space="0"/>
              <w:right w:val="single" w:color="auto" w:sz="8" w:space="0"/>
            </w:tcBorders>
            <w:noWrap w:val="0"/>
            <w:vAlign w:val="top"/>
          </w:tcPr>
          <w:p>
            <w:pPr>
              <w:spacing w:after="156" w:afterLines="50" w:line="42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(施工单位)</w:t>
            </w:r>
          </w:p>
          <w:p>
            <w:pPr>
              <w:spacing w:line="420" w:lineRule="exact"/>
              <w:ind w:firstLine="420" w:firstLineChars="200"/>
              <w:rPr>
                <w:rFonts w:hint="eastAsia" w:ascii="Times New Roman" w:hAnsi="Times New Roman"/>
                <w:szCs w:val="21"/>
              </w:rPr>
            </w:pPr>
            <w:r>
              <w:rPr>
                <w:rFonts w:hint="eastAsia" w:ascii="Times New Roman" w:hAnsi="Times New Roman"/>
                <w:szCs w:val="21"/>
              </w:rPr>
              <w:t>根据工程施工合同的规定，经审核，扣除有关款项后，同意支付工程款共计：</w:t>
            </w:r>
          </w:p>
          <w:p>
            <w:pPr>
              <w:spacing w:line="420" w:lineRule="exact"/>
              <w:rPr>
                <w:rFonts w:hint="eastAsia" w:ascii="Times New Roman" w:hAnsi="Times New Roman"/>
                <w:szCs w:val="21"/>
              </w:rPr>
            </w:pPr>
            <w:r>
              <w:rPr>
                <w:rFonts w:hint="eastAsia" w:ascii="Times New Roman" w:hAnsi="Times New Roman"/>
                <w:szCs w:val="21"/>
              </w:rPr>
              <w:t xml:space="preserve">(大写： </w:t>
            </w:r>
            <w:r>
              <w:rPr>
                <w:rFonts w:hint="eastAsia" w:ascii="Times New Roman" w:hAnsi="Times New Roman"/>
                <w:szCs w:val="21"/>
                <w:u w:val="single"/>
              </w:rPr>
              <w:t xml:space="preserve">                                   </w:t>
            </w:r>
            <w:r>
              <w:rPr>
                <w:rFonts w:hint="eastAsia" w:ascii="Times New Roman" w:hAnsi="Times New Roman"/>
                <w:szCs w:val="21"/>
              </w:rPr>
              <w:t>，小写：</w:t>
            </w:r>
            <w:r>
              <w:rPr>
                <w:rFonts w:hint="eastAsia" w:ascii="Times New Roman" w:hAnsi="Times New Roman"/>
                <w:szCs w:val="21"/>
                <w:u w:val="single"/>
              </w:rPr>
              <w:t xml:space="preserve">                        </w:t>
            </w:r>
            <w:r>
              <w:rPr>
                <w:rFonts w:hint="eastAsia" w:ascii="Times New Roman" w:hAnsi="Times New Roman"/>
                <w:szCs w:val="21"/>
              </w:rPr>
              <w:t xml:space="preserve"> )。</w:t>
            </w:r>
          </w:p>
          <w:p>
            <w:pPr>
              <w:spacing w:line="420" w:lineRule="exact"/>
              <w:rPr>
                <w:rFonts w:hint="eastAsia" w:ascii="Times New Roman" w:hAnsi="Times New Roman"/>
                <w:szCs w:val="21"/>
              </w:rPr>
            </w:pPr>
          </w:p>
          <w:p>
            <w:pPr>
              <w:spacing w:line="420" w:lineRule="exact"/>
              <w:ind w:firstLine="420" w:firstLineChars="200"/>
              <w:rPr>
                <w:rFonts w:hint="eastAsia" w:ascii="Times New Roman" w:hAnsi="Times New Roman"/>
                <w:szCs w:val="21"/>
              </w:rPr>
            </w:pPr>
            <w:r>
              <w:rPr>
                <w:rFonts w:hint="eastAsia" w:ascii="Times New Roman" w:hAnsi="Times New Roman"/>
                <w:szCs w:val="21"/>
              </w:rPr>
              <w:t>其中：</w:t>
            </w:r>
          </w:p>
          <w:p>
            <w:pPr>
              <w:spacing w:line="420" w:lineRule="exact"/>
              <w:ind w:firstLine="420" w:firstLineChars="200"/>
              <w:rPr>
                <w:rFonts w:hint="eastAsia" w:ascii="Times New Roman" w:hAnsi="Times New Roman"/>
                <w:szCs w:val="21"/>
              </w:rPr>
            </w:pPr>
            <w:r>
              <w:rPr>
                <w:szCs w:val="21"/>
              </w:rPr>
              <w:t>1</w:t>
            </w:r>
            <w:r>
              <w:rPr>
                <w:rFonts w:hint="eastAsia" w:ascii="Times New Roman" w:hAnsi="Times New Roman"/>
                <w:szCs w:val="21"/>
              </w:rPr>
              <w:t>、施工单位申报款为：</w:t>
            </w:r>
            <w:r>
              <w:rPr>
                <w:rFonts w:hint="eastAsia" w:ascii="Times New Roman" w:hAnsi="Times New Roman"/>
                <w:szCs w:val="21"/>
                <w:u w:val="single"/>
              </w:rPr>
              <w:t xml:space="preserve">                         　                           </w:t>
            </w:r>
          </w:p>
          <w:p>
            <w:pPr>
              <w:spacing w:line="420" w:lineRule="exact"/>
              <w:ind w:firstLine="420" w:firstLineChars="200"/>
              <w:rPr>
                <w:rFonts w:hint="eastAsia" w:ascii="Times New Roman" w:hAnsi="Times New Roman"/>
                <w:szCs w:val="21"/>
              </w:rPr>
            </w:pPr>
            <w:r>
              <w:rPr>
                <w:szCs w:val="21"/>
              </w:rPr>
              <w:t>2</w:t>
            </w:r>
            <w:r>
              <w:rPr>
                <w:rFonts w:hint="eastAsia" w:ascii="Times New Roman" w:hAnsi="Times New Roman"/>
                <w:szCs w:val="21"/>
              </w:rPr>
              <w:t>、经审核施工单位应得款为：</w:t>
            </w:r>
            <w:r>
              <w:rPr>
                <w:rFonts w:hint="eastAsia" w:ascii="Times New Roman" w:hAnsi="Times New Roman"/>
                <w:szCs w:val="21"/>
                <w:u w:val="single"/>
              </w:rPr>
              <w:t xml:space="preserve">                              　                </w:t>
            </w:r>
          </w:p>
          <w:p>
            <w:pPr>
              <w:spacing w:line="420" w:lineRule="exact"/>
              <w:ind w:firstLine="420" w:firstLineChars="200"/>
              <w:rPr>
                <w:rFonts w:hint="eastAsia" w:ascii="Times New Roman" w:hAnsi="Times New Roman"/>
                <w:szCs w:val="21"/>
              </w:rPr>
            </w:pPr>
            <w:r>
              <w:rPr>
                <w:szCs w:val="21"/>
              </w:rPr>
              <w:t>3</w:t>
            </w:r>
            <w:r>
              <w:rPr>
                <w:rFonts w:hint="eastAsia" w:ascii="Times New Roman" w:hAnsi="Times New Roman"/>
                <w:szCs w:val="21"/>
              </w:rPr>
              <w:t>、本期应扣款为：</w:t>
            </w:r>
            <w:r>
              <w:rPr>
                <w:rFonts w:hint="eastAsia" w:ascii="Times New Roman" w:hAnsi="Times New Roman"/>
                <w:szCs w:val="21"/>
                <w:u w:val="single"/>
              </w:rPr>
              <w:t xml:space="preserve">                                         　               </w:t>
            </w:r>
          </w:p>
          <w:p>
            <w:pPr>
              <w:tabs>
                <w:tab w:val="left" w:pos="7876"/>
              </w:tabs>
              <w:spacing w:line="420" w:lineRule="exact"/>
              <w:ind w:firstLine="420" w:firstLineChars="200"/>
              <w:rPr>
                <w:rFonts w:hint="eastAsia" w:ascii="Times New Roman" w:hAnsi="Times New Roman"/>
                <w:szCs w:val="21"/>
              </w:rPr>
            </w:pPr>
            <w:r>
              <w:rPr>
                <w:szCs w:val="21"/>
              </w:rPr>
              <w:t>4</w:t>
            </w:r>
            <w:r>
              <w:rPr>
                <w:rFonts w:hint="eastAsia" w:ascii="Times New Roman" w:hAnsi="Times New Roman"/>
                <w:szCs w:val="21"/>
              </w:rPr>
              <w:t>、本期应付款为：</w:t>
            </w:r>
            <w:r>
              <w:rPr>
                <w:rFonts w:hint="eastAsia" w:ascii="Times New Roman" w:hAnsi="Times New Roman"/>
                <w:szCs w:val="21"/>
                <w:u w:val="single"/>
              </w:rPr>
              <w:t xml:space="preserve">                                          　              </w:t>
            </w:r>
          </w:p>
          <w:p>
            <w:pPr>
              <w:spacing w:line="420" w:lineRule="exact"/>
              <w:rPr>
                <w:rFonts w:hint="eastAsia" w:ascii="Times New Roman" w:hAnsi="Times New Roman"/>
                <w:szCs w:val="21"/>
              </w:rPr>
            </w:pPr>
          </w:p>
          <w:p>
            <w:pPr>
              <w:spacing w:line="420" w:lineRule="exact"/>
              <w:ind w:firstLine="420" w:firstLineChars="200"/>
              <w:rPr>
                <w:rFonts w:hint="eastAsia" w:ascii="Times New Roman" w:hAnsi="Times New Roman"/>
                <w:szCs w:val="21"/>
              </w:rPr>
            </w:pPr>
            <w:r>
              <w:rPr>
                <w:rFonts w:hint="eastAsia" w:ascii="Times New Roman" w:hAnsi="Times New Roman"/>
                <w:szCs w:val="21"/>
              </w:rPr>
              <w:t>附件：工程款支付报审表及附件。</w:t>
            </w:r>
          </w:p>
          <w:p>
            <w:pPr>
              <w:spacing w:line="420" w:lineRule="exact"/>
              <w:rPr>
                <w:rFonts w:hint="eastAsia"/>
                <w:szCs w:val="21"/>
              </w:rPr>
            </w:pPr>
          </w:p>
          <w:p>
            <w:pPr>
              <w:spacing w:line="420" w:lineRule="exact"/>
              <w:rPr>
                <w:szCs w:val="21"/>
              </w:rPr>
            </w:pPr>
          </w:p>
          <w:p>
            <w:pPr>
              <w:spacing w:line="420" w:lineRule="exact"/>
              <w:rPr>
                <w:szCs w:val="21"/>
              </w:rPr>
            </w:pPr>
          </w:p>
          <w:p>
            <w:pPr>
              <w:tabs>
                <w:tab w:val="left" w:pos="4020"/>
              </w:tabs>
              <w:spacing w:line="420" w:lineRule="exact"/>
              <w:rPr>
                <w:szCs w:val="21"/>
              </w:rPr>
            </w:pPr>
            <w:r>
              <w:rPr>
                <w:szCs w:val="21"/>
              </w:rPr>
              <w:t xml:space="preserve">                               </w:t>
            </w:r>
            <w:r>
              <w:rPr>
                <w:rFonts w:hint="eastAsia"/>
                <w:szCs w:val="21"/>
              </w:rPr>
              <w:t>项目监理机构</w:t>
            </w:r>
            <w:r>
              <w:rPr>
                <w:szCs w:val="21"/>
              </w:rPr>
              <w:t>(</w:t>
            </w:r>
            <w:r>
              <w:rPr>
                <w:rFonts w:hint="eastAsia"/>
                <w:szCs w:val="21"/>
              </w:rPr>
              <w:t>章</w:t>
            </w:r>
            <w:r>
              <w:rPr>
                <w:szCs w:val="21"/>
              </w:rPr>
              <w:t>)</w:t>
            </w:r>
            <w:r>
              <w:rPr>
                <w:rFonts w:hint="eastAsia"/>
                <w:szCs w:val="21"/>
              </w:rPr>
              <w:t>：</w:t>
            </w:r>
            <w:r>
              <w:rPr>
                <w:szCs w:val="21"/>
                <w:u w:val="single"/>
              </w:rPr>
              <w:t xml:space="preserve">                          </w:t>
            </w:r>
          </w:p>
          <w:p>
            <w:pPr>
              <w:spacing w:before="312" w:beforeLines="100" w:line="420" w:lineRule="exact"/>
              <w:ind w:firstLine="420" w:firstLineChars="200"/>
              <w:rPr>
                <w:szCs w:val="21"/>
                <w:u w:val="single"/>
              </w:rPr>
            </w:pPr>
            <w:r>
              <w:rPr>
                <w:szCs w:val="21"/>
              </w:rPr>
              <w:t xml:space="preserve">                           </w:t>
            </w:r>
            <w:r>
              <w:rPr>
                <w:rFonts w:hint="eastAsia"/>
                <w:szCs w:val="21"/>
              </w:rPr>
              <w:t>总监理工程师（签字、执业印章）：</w:t>
            </w:r>
            <w:r>
              <w:rPr>
                <w:rFonts w:hint="eastAsia"/>
                <w:szCs w:val="21"/>
                <w:u w:val="single"/>
              </w:rPr>
              <w:t>　　　　　　</w:t>
            </w:r>
          </w:p>
          <w:p>
            <w:pPr>
              <w:spacing w:before="156" w:beforeLines="50" w:line="420" w:lineRule="exact"/>
              <w:ind w:firstLine="420" w:firstLineChars="200"/>
              <w:rPr>
                <w:szCs w:val="21"/>
                <w:u w:val="single"/>
              </w:rPr>
            </w:pPr>
            <w:r>
              <w:rPr>
                <w:szCs w:val="21"/>
              </w:rPr>
              <w:t xml:space="preserve">                                              </w:t>
            </w:r>
            <w:r>
              <w:rPr>
                <w:bCs/>
                <w:szCs w:val="21"/>
              </w:rPr>
              <w:t xml:space="preserve"> </w:t>
            </w:r>
            <w:r>
              <w:rPr>
                <w:bCs/>
                <w:szCs w:val="21"/>
                <w:u w:val="single"/>
              </w:rPr>
              <w:t xml:space="preserve">        </w:t>
            </w:r>
            <w:r>
              <w:rPr>
                <w:rFonts w:hint="eastAsia"/>
                <w:szCs w:val="21"/>
              </w:rPr>
              <w:t>年</w:t>
            </w:r>
            <w:r>
              <w:rPr>
                <w:bCs/>
                <w:szCs w:val="21"/>
                <w:u w:val="single"/>
              </w:rPr>
              <w:t xml:space="preserve">    </w:t>
            </w:r>
            <w:r>
              <w:rPr>
                <w:rFonts w:hint="eastAsia"/>
                <w:szCs w:val="21"/>
              </w:rPr>
              <w:t>月</w:t>
            </w:r>
            <w:r>
              <w:rPr>
                <w:bCs/>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85" w:hRule="atLeast"/>
        </w:trPr>
        <w:tc>
          <w:tcPr>
            <w:tcW w:w="8608" w:type="dxa"/>
            <w:gridSpan w:val="4"/>
            <w:tcBorders>
              <w:top w:val="single" w:color="auto" w:sz="4" w:space="0"/>
              <w:left w:val="single" w:color="auto" w:sz="8" w:space="0"/>
              <w:bottom w:val="single" w:color="auto" w:sz="8" w:space="0"/>
              <w:right w:val="single" w:color="auto" w:sz="8" w:space="0"/>
            </w:tcBorders>
            <w:noWrap w:val="0"/>
            <w:vAlign w:val="top"/>
          </w:tcPr>
          <w:p>
            <w:pPr>
              <w:spacing w:before="120"/>
              <w:rPr>
                <w:rFonts w:ascii="Times New Roman"/>
                <w:szCs w:val="21"/>
              </w:rPr>
            </w:pPr>
            <w:r>
              <w:rPr>
                <w:rFonts w:hint="eastAsia" w:ascii="Times New Roman" w:hAnsi="Times New Roman"/>
                <w:szCs w:val="21"/>
              </w:rPr>
              <w:t>注：本表一式三份，项目监理机构、建设单位、施工单位各一份。</w:t>
            </w:r>
          </w:p>
        </w:tc>
      </w:tr>
    </w:tbl>
    <w:p>
      <w:pPr>
        <w:rPr>
          <w:rFonts w:ascii="Times New Roman" w:eastAsia="隶书"/>
        </w:rPr>
      </w:pPr>
      <w:r>
        <w:rPr>
          <w:rFonts w:hint="eastAsia" w:ascii="Times New Roman" w:eastAsia="隶书"/>
        </w:rPr>
        <w:t>第六版表                                              江苏省住房和城乡建设厅监制</w:t>
      </w:r>
    </w:p>
    <w:p>
      <w:pPr>
        <w:ind w:right="-40"/>
        <w:jc w:val="right"/>
        <w:rPr>
          <w:rFonts w:hint="eastAsia" w:eastAsia="黑体"/>
          <w:b/>
          <w:sz w:val="28"/>
          <w:szCs w:val="28"/>
          <w14:shadow w14:blurRad="50800" w14:dist="38100" w14:dir="2700000" w14:sx="100000" w14:sy="100000" w14:kx="0" w14:ky="0" w14:algn="tl">
            <w14:srgbClr w14:val="000000">
              <w14:alpha w14:val="60000"/>
            </w14:srgbClr>
          </w14:shadow>
        </w:rPr>
      </w:pPr>
      <w:r>
        <w:rPr>
          <w:szCs w:val="21"/>
        </w:rPr>
        <w:br w:type="column"/>
      </w:r>
      <w:r>
        <w:rPr>
          <w:rFonts w:eastAsia="黑体"/>
          <w:b/>
          <w:sz w:val="28"/>
          <w:szCs w:val="28"/>
          <w14:shadow w14:blurRad="50800" w14:dist="38100" w14:dir="2700000" w14:sx="100000" w14:sy="100000" w14:kx="0" w14:ky="0" w14:algn="tl">
            <w14:srgbClr w14:val="000000">
              <w14:alpha w14:val="60000"/>
            </w14:srgbClr>
          </w14:shadow>
        </w:rPr>
        <w:t>A.0.10</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监理通知单（</w:t>
      </w:r>
      <w:r>
        <w:rPr>
          <w:rFonts w:eastAsia="黑体"/>
          <w:sz w:val="44"/>
          <w14:shadow w14:blurRad="50800" w14:dist="38100" w14:dir="2700000" w14:sx="100000" w14:sy="100000" w14:kx="0" w14:ky="0" w14:algn="tl">
            <w14:srgbClr w14:val="000000">
              <w14:alpha w14:val="60000"/>
            </w14:srgbClr>
          </w14:shadow>
        </w:rPr>
        <w:t xml:space="preserve">      </w:t>
      </w:r>
      <w:r>
        <w:rPr>
          <w:rFonts w:hint="eastAsia" w:eastAsia="黑体"/>
          <w:sz w:val="44"/>
          <w14:shadow w14:blurRad="50800" w14:dist="38100" w14:dir="2700000" w14:sx="100000" w14:sy="100000" w14:kx="0" w14:ky="0" w14:algn="tl">
            <w14:srgbClr w14:val="000000">
              <w14:alpha w14:val="60000"/>
            </w14:srgbClr>
          </w14:shadow>
        </w:rPr>
        <w:t>类）</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szCs w:val="21"/>
        </w:rPr>
        <w:t xml:space="preserve">                        </w:t>
      </w:r>
      <w:r>
        <w:rPr>
          <w:rFonts w:hint="eastAsia"/>
          <w:szCs w:val="21"/>
        </w:rPr>
        <w:t>　</w:t>
      </w:r>
      <w:r>
        <w:rPr>
          <w:szCs w:val="21"/>
        </w:rPr>
        <w:t xml:space="preserve">   </w:t>
      </w:r>
      <w:r>
        <w:rPr>
          <w:rFonts w:hint="eastAsia"/>
          <w:szCs w:val="21"/>
        </w:rPr>
        <w:t>编号：</w:t>
      </w:r>
      <w:r>
        <w:rPr>
          <w:szCs w:val="21"/>
        </w:rPr>
        <w:t>A.0.10</w:t>
      </w:r>
      <w:r>
        <w:rPr>
          <w:szCs w:val="21"/>
          <w:u w:val="single"/>
        </w:rPr>
        <w:t xml:space="preserve">  </w:t>
      </w:r>
      <w:r>
        <w:rPr>
          <w:rFonts w:hint="eastAsia"/>
          <w:szCs w:val="21"/>
        </w:rPr>
        <w:t>－</w:t>
      </w:r>
      <w:r>
        <w:rPr>
          <w:szCs w:val="21"/>
          <w:u w:val="single"/>
        </w:rPr>
        <w:t xml:space="preserve">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2977"/>
        <w:gridCol w:w="1660"/>
        <w:gridCol w:w="213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0" w:hRule="atLeast"/>
          <w:jc w:val="center"/>
        </w:trPr>
        <w:tc>
          <w:tcPr>
            <w:tcW w:w="1951" w:type="dxa"/>
            <w:tcBorders>
              <w:top w:val="single" w:color="auto" w:sz="8" w:space="0"/>
              <w:left w:val="single" w:color="auto" w:sz="8" w:space="0"/>
              <w:bottom w:val="single" w:color="auto" w:sz="4" w:space="0"/>
              <w:right w:val="single" w:color="auto" w:sz="4" w:space="0"/>
            </w:tcBorders>
            <w:noWrap w:val="0"/>
            <w:vAlign w:val="center"/>
          </w:tcPr>
          <w:p>
            <w:pPr>
              <w:spacing w:line="320" w:lineRule="exact"/>
              <w:jc w:val="center"/>
              <w:rPr>
                <w:szCs w:val="21"/>
              </w:rPr>
            </w:pPr>
            <w:r>
              <w:rPr>
                <w:rFonts w:hint="eastAsia"/>
                <w:szCs w:val="21"/>
              </w:rPr>
              <w:t>施工项目经理部签收人姓名及时间</w:t>
            </w:r>
          </w:p>
        </w:tc>
        <w:tc>
          <w:tcPr>
            <w:tcW w:w="2977" w:type="dxa"/>
            <w:tcBorders>
              <w:top w:val="single" w:color="auto" w:sz="8" w:space="0"/>
              <w:left w:val="single" w:color="auto" w:sz="4" w:space="0"/>
              <w:bottom w:val="single" w:color="auto" w:sz="4" w:space="0"/>
              <w:right w:val="single" w:color="auto" w:sz="4" w:space="0"/>
            </w:tcBorders>
            <w:noWrap w:val="0"/>
            <w:vAlign w:val="center"/>
          </w:tcPr>
          <w:p>
            <w:pPr>
              <w:spacing w:line="320" w:lineRule="exact"/>
              <w:jc w:val="center"/>
              <w:rPr>
                <w:szCs w:val="21"/>
              </w:rPr>
            </w:pPr>
          </w:p>
        </w:tc>
        <w:tc>
          <w:tcPr>
            <w:tcW w:w="1660" w:type="dxa"/>
            <w:tcBorders>
              <w:top w:val="single" w:color="auto" w:sz="8" w:space="0"/>
              <w:left w:val="single" w:color="auto" w:sz="4" w:space="0"/>
              <w:bottom w:val="single" w:color="auto" w:sz="4" w:space="0"/>
              <w:right w:val="single" w:color="auto" w:sz="4" w:space="0"/>
            </w:tcBorders>
            <w:noWrap w:val="0"/>
            <w:vAlign w:val="center"/>
          </w:tcPr>
          <w:p>
            <w:pPr>
              <w:spacing w:line="320" w:lineRule="exact"/>
              <w:jc w:val="center"/>
              <w:rPr>
                <w:szCs w:val="21"/>
              </w:rPr>
            </w:pPr>
            <w:r>
              <w:rPr>
                <w:rFonts w:hint="eastAsia"/>
                <w:szCs w:val="21"/>
              </w:rPr>
              <w:t>建设单位签收人姓名及时间</w:t>
            </w:r>
          </w:p>
        </w:tc>
        <w:tc>
          <w:tcPr>
            <w:tcW w:w="2132" w:type="dxa"/>
            <w:tcBorders>
              <w:top w:val="single" w:color="auto" w:sz="8" w:space="0"/>
              <w:left w:val="single" w:color="auto" w:sz="4" w:space="0"/>
              <w:bottom w:val="single" w:color="auto" w:sz="4" w:space="0"/>
              <w:right w:val="single" w:color="auto" w:sz="8" w:space="0"/>
            </w:tcBorders>
            <w:noWrap w:val="0"/>
            <w:vAlign w:val="center"/>
          </w:tcPr>
          <w:p>
            <w:pPr>
              <w:spacing w:line="320" w:lineRule="exact"/>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720"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after="156" w:afterLines="50" w:line="420" w:lineRule="exact"/>
              <w:rPr>
                <w:szCs w:val="21"/>
              </w:rPr>
            </w:pPr>
            <w:r>
              <w:rPr>
                <w:rFonts w:hint="eastAsia"/>
                <w:szCs w:val="21"/>
              </w:rPr>
              <w:t>致：</w:t>
            </w:r>
            <w:r>
              <w:rPr>
                <w:szCs w:val="21"/>
              </w:rPr>
              <w:t xml:space="preserve"> </w:t>
            </w:r>
            <w:r>
              <w:rPr>
                <w:szCs w:val="21"/>
                <w:u w:val="single"/>
              </w:rPr>
              <w:t xml:space="preserve">                    </w:t>
            </w:r>
            <w:r>
              <w:rPr>
                <w:rFonts w:hint="eastAsia"/>
                <w:szCs w:val="21"/>
              </w:rPr>
              <w:t>（施工项目经理部）</w:t>
            </w:r>
            <w:r>
              <w:rPr>
                <w:szCs w:val="21"/>
              </w:rPr>
              <w:t xml:space="preserve"> </w:t>
            </w:r>
          </w:p>
          <w:p>
            <w:pPr>
              <w:spacing w:line="420" w:lineRule="exact"/>
              <w:ind w:firstLine="420" w:firstLineChars="200"/>
              <w:rPr>
                <w:szCs w:val="21"/>
              </w:rPr>
            </w:pPr>
            <w:r>
              <w:rPr>
                <w:rFonts w:hint="eastAsia"/>
                <w:szCs w:val="21"/>
              </w:rPr>
              <w:t>事由：</w:t>
            </w:r>
          </w:p>
          <w:p>
            <w:pPr>
              <w:spacing w:line="420" w:lineRule="exact"/>
              <w:ind w:firstLine="420" w:firstLineChars="200"/>
              <w:rPr>
                <w:szCs w:val="21"/>
              </w:rPr>
            </w:pPr>
          </w:p>
          <w:p>
            <w:pPr>
              <w:spacing w:line="420" w:lineRule="exact"/>
              <w:ind w:firstLine="420" w:firstLineChars="200"/>
              <w:rPr>
                <w:szCs w:val="21"/>
              </w:rPr>
            </w:pPr>
          </w:p>
          <w:p>
            <w:pPr>
              <w:spacing w:line="420" w:lineRule="exact"/>
              <w:ind w:firstLine="420" w:firstLineChars="200"/>
              <w:rPr>
                <w:szCs w:val="21"/>
              </w:rPr>
            </w:pPr>
            <w:r>
              <w:rPr>
                <w:rFonts w:hint="eastAsia"/>
                <w:szCs w:val="21"/>
              </w:rPr>
              <w:t>内容：</w:t>
            </w:r>
          </w:p>
          <w:p>
            <w:pPr>
              <w:spacing w:line="420" w:lineRule="exact"/>
              <w:ind w:firstLine="420" w:firstLineChars="200"/>
              <w:rPr>
                <w:szCs w:val="21"/>
              </w:rPr>
            </w:pPr>
          </w:p>
          <w:p>
            <w:pPr>
              <w:spacing w:line="420" w:lineRule="exact"/>
              <w:ind w:firstLine="420" w:firstLineChars="200"/>
              <w:rPr>
                <w:szCs w:val="21"/>
              </w:rPr>
            </w:pPr>
          </w:p>
          <w:p>
            <w:pPr>
              <w:spacing w:line="420" w:lineRule="exact"/>
              <w:ind w:firstLine="420" w:firstLineChars="200"/>
              <w:rPr>
                <w:szCs w:val="21"/>
              </w:rPr>
            </w:pPr>
          </w:p>
          <w:p>
            <w:pPr>
              <w:spacing w:line="420" w:lineRule="exact"/>
              <w:ind w:firstLine="420" w:firstLineChars="200"/>
              <w:rPr>
                <w:szCs w:val="21"/>
              </w:rPr>
            </w:pPr>
          </w:p>
          <w:p>
            <w:pPr>
              <w:spacing w:line="420" w:lineRule="exact"/>
              <w:ind w:firstLine="420" w:firstLineChars="200"/>
              <w:rPr>
                <w:szCs w:val="21"/>
              </w:rPr>
            </w:pPr>
            <w:r>
              <w:rPr>
                <w:rFonts w:hint="eastAsia"/>
                <w:szCs w:val="21"/>
              </w:rPr>
              <w:t>如对本监理通知单内容有异议，请在</w:t>
            </w:r>
            <w:r>
              <w:rPr>
                <w:szCs w:val="21"/>
              </w:rPr>
              <w:t>24</w:t>
            </w:r>
            <w:r>
              <w:rPr>
                <w:rFonts w:hint="eastAsia"/>
                <w:szCs w:val="21"/>
              </w:rPr>
              <w:t>小时内向监理提出书面报告。</w:t>
            </w:r>
          </w:p>
          <w:p>
            <w:pPr>
              <w:spacing w:line="420" w:lineRule="exact"/>
              <w:ind w:firstLine="420" w:firstLineChars="200"/>
              <w:rPr>
                <w:szCs w:val="21"/>
              </w:rPr>
            </w:pPr>
          </w:p>
          <w:p>
            <w:pPr>
              <w:spacing w:line="420" w:lineRule="exact"/>
              <w:ind w:firstLine="420" w:firstLineChars="200"/>
              <w:rPr>
                <w:szCs w:val="21"/>
              </w:rPr>
            </w:pPr>
            <w:r>
              <w:rPr>
                <w:rFonts w:hint="eastAsia"/>
                <w:szCs w:val="21"/>
              </w:rPr>
              <w:t>附件共</w:t>
            </w:r>
            <w:r>
              <w:rPr>
                <w:szCs w:val="21"/>
              </w:rPr>
              <w:t xml:space="preserve"> </w:t>
            </w:r>
            <w:r>
              <w:rPr>
                <w:szCs w:val="21"/>
                <w:u w:val="single"/>
              </w:rPr>
              <w:t xml:space="preserve">      </w:t>
            </w:r>
            <w:r>
              <w:rPr>
                <w:rFonts w:hint="eastAsia"/>
                <w:szCs w:val="21"/>
              </w:rPr>
              <w:t>页，请于</w:t>
            </w:r>
            <w:r>
              <w:rPr>
                <w:rFonts w:hint="eastAsia"/>
                <w:szCs w:val="21"/>
                <w:u w:val="single"/>
              </w:rPr>
              <w:t>　</w:t>
            </w:r>
            <w:r>
              <w:rPr>
                <w:szCs w:val="21"/>
                <w:u w:val="single"/>
              </w:rPr>
              <w:t xml:space="preserve"> </w:t>
            </w:r>
            <w:r>
              <w:rPr>
                <w:rFonts w:hint="eastAsia"/>
                <w:szCs w:val="21"/>
              </w:rPr>
              <w:t>年</w:t>
            </w:r>
            <w:r>
              <w:rPr>
                <w:rFonts w:hint="eastAsia"/>
                <w:szCs w:val="21"/>
                <w:u w:val="single"/>
              </w:rPr>
              <w:t>　</w:t>
            </w:r>
            <w:r>
              <w:rPr>
                <w:szCs w:val="21"/>
                <w:u w:val="single"/>
              </w:rPr>
              <w:t xml:space="preserve">  </w:t>
            </w:r>
            <w:r>
              <w:rPr>
                <w:rFonts w:hint="eastAsia"/>
                <w:szCs w:val="21"/>
              </w:rPr>
              <w:t>月</w:t>
            </w:r>
            <w:r>
              <w:rPr>
                <w:szCs w:val="21"/>
                <w:u w:val="single"/>
              </w:rPr>
              <w:t xml:space="preserve">    </w:t>
            </w:r>
            <w:r>
              <w:rPr>
                <w:rFonts w:hint="eastAsia"/>
                <w:szCs w:val="21"/>
              </w:rPr>
              <w:t>日前填报回复单（</w:t>
            </w:r>
            <w:r>
              <w:rPr>
                <w:szCs w:val="21"/>
              </w:rPr>
              <w:t>B.5</w:t>
            </w:r>
            <w:r>
              <w:rPr>
                <w:szCs w:val="21"/>
                <w:u w:val="single"/>
              </w:rPr>
              <w:t>1</w:t>
            </w:r>
            <w:r>
              <w:rPr>
                <w:rFonts w:hint="eastAsia"/>
                <w:szCs w:val="21"/>
              </w:rPr>
              <w:t>）。</w:t>
            </w:r>
          </w:p>
          <w:p>
            <w:pPr>
              <w:spacing w:line="420" w:lineRule="exact"/>
              <w:rPr>
                <w:szCs w:val="21"/>
              </w:rPr>
            </w:pPr>
          </w:p>
          <w:p>
            <w:pPr>
              <w:spacing w:line="420" w:lineRule="exact"/>
              <w:rPr>
                <w:szCs w:val="21"/>
              </w:rPr>
            </w:pPr>
            <w:r>
              <w:rPr>
                <w:rFonts w:hint="eastAsia"/>
                <w:szCs w:val="21"/>
              </w:rPr>
              <w:t>　　　　　　　　　　　</w:t>
            </w:r>
            <w:r>
              <w:rPr>
                <w:szCs w:val="21"/>
              </w:rPr>
              <w:t xml:space="preserve">                     </w:t>
            </w:r>
          </w:p>
          <w:p>
            <w:pPr>
              <w:spacing w:line="240" w:lineRule="exact"/>
              <w:rPr>
                <w:szCs w:val="21"/>
              </w:rPr>
            </w:pPr>
          </w:p>
          <w:p>
            <w:pPr>
              <w:rPr>
                <w:szCs w:val="21"/>
                <w:u w:val="single"/>
              </w:rPr>
            </w:pPr>
            <w:r>
              <w:rPr>
                <w:rFonts w:hint="eastAsia"/>
                <w:szCs w:val="21"/>
              </w:rPr>
              <w:t>　</w:t>
            </w:r>
            <w:r>
              <w:rPr>
                <w:szCs w:val="21"/>
              </w:rPr>
              <w:t xml:space="preserve">                    </w:t>
            </w:r>
            <w:r>
              <w:rPr>
                <w:rFonts w:hint="eastAsia"/>
                <w:szCs w:val="21"/>
              </w:rPr>
              <w:t>　　　　</w:t>
            </w:r>
            <w:r>
              <w:rPr>
                <w:szCs w:val="21"/>
              </w:rPr>
              <w:t xml:space="preserve">  </w:t>
            </w:r>
            <w:r>
              <w:rPr>
                <w:rFonts w:hint="eastAsia"/>
                <w:szCs w:val="21"/>
              </w:rPr>
              <w:t>项目监理机构</w:t>
            </w:r>
            <w:r>
              <w:rPr>
                <w:szCs w:val="21"/>
              </w:rPr>
              <w:t>(</w:t>
            </w:r>
            <w:r>
              <w:rPr>
                <w:rFonts w:hint="eastAsia"/>
                <w:szCs w:val="21"/>
              </w:rPr>
              <w:t>章</w:t>
            </w:r>
            <w:r>
              <w:rPr>
                <w:szCs w:val="21"/>
              </w:rPr>
              <w:t>)</w:t>
            </w:r>
            <w:r>
              <w:rPr>
                <w:rFonts w:hint="eastAsia"/>
                <w:szCs w:val="21"/>
              </w:rPr>
              <w:t>：</w:t>
            </w:r>
            <w:r>
              <w:rPr>
                <w:szCs w:val="21"/>
                <w:u w:val="single"/>
              </w:rPr>
              <w:t xml:space="preserve">                                </w:t>
            </w:r>
          </w:p>
          <w:p>
            <w:pPr>
              <w:tabs>
                <w:tab w:val="left" w:pos="8170"/>
              </w:tabs>
              <w:spacing w:before="312" w:beforeLines="100"/>
              <w:ind w:firstLine="3360" w:firstLineChars="1600"/>
              <w:rPr>
                <w:szCs w:val="21"/>
              </w:rPr>
            </w:pPr>
            <w:r>
              <w:rPr>
                <w:rFonts w:hint="eastAsia"/>
                <w:szCs w:val="21"/>
              </w:rPr>
              <w:t>总监理工程师</w:t>
            </w:r>
            <w:r>
              <w:rPr>
                <w:szCs w:val="21"/>
              </w:rPr>
              <w:t>/</w:t>
            </w:r>
            <w:r>
              <w:rPr>
                <w:rFonts w:hint="eastAsia"/>
                <w:szCs w:val="21"/>
              </w:rPr>
              <w:t>专业监理工程师（签字）：</w:t>
            </w:r>
            <w:r>
              <w:rPr>
                <w:szCs w:val="21"/>
                <w:u w:val="single"/>
              </w:rPr>
              <w:t xml:space="preserve">          </w:t>
            </w:r>
            <w:r>
              <w:rPr>
                <w:rFonts w:hint="eastAsia"/>
                <w:szCs w:val="21"/>
                <w:u w:val="single"/>
              </w:rPr>
              <w:t>　</w:t>
            </w:r>
            <w:r>
              <w:rPr>
                <w:szCs w:val="21"/>
                <w:u w:val="single"/>
              </w:rPr>
              <w:t xml:space="preserve">  </w:t>
            </w:r>
            <w:r>
              <w:rPr>
                <w:szCs w:val="21"/>
              </w:rPr>
              <w:t xml:space="preserve"> </w:t>
            </w:r>
          </w:p>
          <w:p>
            <w:pPr>
              <w:spacing w:before="156" w:beforeLines="50"/>
              <w:ind w:firstLine="5581" w:firstLineChars="2658"/>
              <w:rPr>
                <w:szCs w:val="21"/>
              </w:rPr>
            </w:pP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97" w:hRule="atLeast"/>
          <w:jc w:val="center"/>
        </w:trPr>
        <w:tc>
          <w:tcPr>
            <w:tcW w:w="8720" w:type="dxa"/>
            <w:gridSpan w:val="4"/>
            <w:tcBorders>
              <w:top w:val="single" w:color="auto" w:sz="4" w:space="0"/>
              <w:left w:val="single" w:color="auto" w:sz="8" w:space="0"/>
              <w:bottom w:val="single" w:color="auto" w:sz="8" w:space="0"/>
              <w:right w:val="single" w:color="auto" w:sz="8" w:space="0"/>
            </w:tcBorders>
            <w:noWrap w:val="0"/>
            <w:vAlign w:val="center"/>
          </w:tcPr>
          <w:p>
            <w:pPr>
              <w:spacing w:line="320" w:lineRule="exact"/>
              <w:rPr>
                <w:szCs w:val="21"/>
              </w:rPr>
            </w:pPr>
            <w:r>
              <w:rPr>
                <w:rFonts w:hint="eastAsia"/>
                <w:szCs w:val="21"/>
              </w:rPr>
              <w:t>注：</w:t>
            </w:r>
            <w:r>
              <w:rPr>
                <w:szCs w:val="21"/>
              </w:rPr>
              <w:t>1</w:t>
            </w:r>
            <w:r>
              <w:rPr>
                <w:rFonts w:hint="eastAsia"/>
                <w:szCs w:val="21"/>
              </w:rPr>
              <w:t>、本通知单分为质量控制类（</w:t>
            </w:r>
            <w:r>
              <w:rPr>
                <w:szCs w:val="21"/>
              </w:rPr>
              <w:t>A.0.10</w:t>
            </w:r>
            <w:r>
              <w:rPr>
                <w:szCs w:val="21"/>
                <w:u w:val="single"/>
              </w:rPr>
              <w:t>1</w:t>
            </w:r>
            <w:r>
              <w:rPr>
                <w:rFonts w:hint="eastAsia"/>
                <w:szCs w:val="21"/>
              </w:rPr>
              <w:t>）、造价控制类（</w:t>
            </w:r>
            <w:r>
              <w:rPr>
                <w:szCs w:val="21"/>
              </w:rPr>
              <w:t>A.0.10</w:t>
            </w:r>
            <w:r>
              <w:rPr>
                <w:szCs w:val="21"/>
                <w:u w:val="single"/>
              </w:rPr>
              <w:t>2</w:t>
            </w:r>
            <w:r>
              <w:rPr>
                <w:rFonts w:hint="eastAsia"/>
                <w:szCs w:val="21"/>
              </w:rPr>
              <w:t>）、进度控制类（</w:t>
            </w:r>
            <w:r>
              <w:rPr>
                <w:szCs w:val="21"/>
              </w:rPr>
              <w:t>A.0.10</w:t>
            </w:r>
            <w:r>
              <w:rPr>
                <w:szCs w:val="21"/>
                <w:u w:val="single"/>
              </w:rPr>
              <w:t>3</w:t>
            </w:r>
            <w:r>
              <w:rPr>
                <w:rFonts w:hint="eastAsia"/>
                <w:szCs w:val="21"/>
              </w:rPr>
              <w:t>）、安全文明类（</w:t>
            </w:r>
            <w:r>
              <w:rPr>
                <w:szCs w:val="21"/>
              </w:rPr>
              <w:t>A .0.10</w:t>
            </w:r>
            <w:r>
              <w:rPr>
                <w:szCs w:val="21"/>
                <w:u w:val="single"/>
              </w:rPr>
              <w:t>4</w:t>
            </w:r>
            <w:r>
              <w:rPr>
                <w:rFonts w:hint="eastAsia"/>
                <w:szCs w:val="21"/>
              </w:rPr>
              <w:t>）、工程变更类（</w:t>
            </w:r>
            <w:r>
              <w:rPr>
                <w:szCs w:val="21"/>
              </w:rPr>
              <w:t>A.0.10</w:t>
            </w:r>
            <w:r>
              <w:rPr>
                <w:szCs w:val="21"/>
                <w:u w:val="single"/>
              </w:rPr>
              <w:t>5</w:t>
            </w:r>
            <w:r>
              <w:rPr>
                <w:rFonts w:hint="eastAsia"/>
                <w:szCs w:val="21"/>
              </w:rPr>
              <w:t>）、其它类（</w:t>
            </w:r>
            <w:r>
              <w:rPr>
                <w:szCs w:val="21"/>
              </w:rPr>
              <w:t>A.0.10</w:t>
            </w:r>
            <w:r>
              <w:rPr>
                <w:szCs w:val="21"/>
                <w:u w:val="single"/>
              </w:rPr>
              <w:t>6</w:t>
            </w:r>
            <w:r>
              <w:rPr>
                <w:rFonts w:hint="eastAsia"/>
                <w:szCs w:val="21"/>
              </w:rPr>
              <w:t>）。</w:t>
            </w:r>
          </w:p>
          <w:p>
            <w:pPr>
              <w:spacing w:line="320" w:lineRule="exact"/>
              <w:ind w:firstLine="420" w:firstLineChars="200"/>
              <w:rPr>
                <w:szCs w:val="21"/>
              </w:rPr>
            </w:pPr>
            <w:r>
              <w:rPr>
                <w:szCs w:val="21"/>
              </w:rPr>
              <w:t>2</w:t>
            </w:r>
            <w:r>
              <w:rPr>
                <w:rFonts w:hint="eastAsia"/>
                <w:szCs w:val="21"/>
              </w:rPr>
              <w:t>、本表一式三份，项目监理机构、施工项目经理部、建设单位各一份。</w:t>
            </w:r>
          </w:p>
        </w:tc>
      </w:tr>
    </w:tbl>
    <w:p>
      <w:pPr>
        <w:ind w:right="-40"/>
        <w:rPr>
          <w:rFonts w:ascii="Times New Roman" w:eastAsia="隶书"/>
        </w:rPr>
      </w:pPr>
      <w:r>
        <w:rPr>
          <w:rFonts w:hint="eastAsia" w:ascii="Times New Roman" w:eastAsia="隶书"/>
        </w:rPr>
        <w:t>第六版表                                              江苏省住房和城乡建设厅监制</w:t>
      </w:r>
    </w:p>
    <w:p>
      <w:pPr>
        <w:ind w:right="4"/>
        <w:jc w:val="right"/>
        <w:rPr>
          <w:rFonts w:hint="eastAsia" w:eastAsia="黑体"/>
          <w:b/>
          <w:sz w:val="28"/>
          <w:szCs w:val="28"/>
          <w14:shadow w14:blurRad="50800" w14:dist="38100" w14:dir="2700000" w14:sx="100000" w14:sy="100000" w14:kx="0" w14:ky="0" w14:algn="tl">
            <w14:srgbClr w14:val="000000">
              <w14:alpha w14:val="60000"/>
            </w14:srgbClr>
          </w14:shadow>
        </w:rPr>
      </w:pPr>
      <w:r>
        <w:rPr>
          <w:szCs w:val="21"/>
        </w:rPr>
        <w:br w:type="column"/>
      </w:r>
      <w:r>
        <w:rPr>
          <w:rFonts w:eastAsia="黑体"/>
          <w:b/>
          <w:sz w:val="28"/>
          <w:szCs w:val="28"/>
          <w14:shadow w14:blurRad="50800" w14:dist="38100" w14:dir="2700000" w14:sx="100000" w14:sy="100000" w14:kx="0" w14:ky="0" w14:algn="tl">
            <w14:srgbClr w14:val="000000">
              <w14:alpha w14:val="60000"/>
            </w14:srgbClr>
          </w14:shadow>
        </w:rPr>
        <w:t>A.0.11</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工程暂停令</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szCs w:val="21"/>
        </w:rPr>
        <w:t xml:space="preserve">         </w:t>
      </w:r>
      <w:r>
        <w:rPr>
          <w:rFonts w:hint="eastAsia"/>
          <w:szCs w:val="21"/>
        </w:rPr>
        <w:t>　　</w:t>
      </w:r>
      <w:r>
        <w:rPr>
          <w:szCs w:val="21"/>
        </w:rPr>
        <w:t xml:space="preserve">        </w:t>
      </w:r>
      <w:r>
        <w:rPr>
          <w:rFonts w:hint="eastAsia"/>
          <w:szCs w:val="21"/>
        </w:rPr>
        <w:t>　编号：</w:t>
      </w:r>
      <w:r>
        <w:rPr>
          <w:szCs w:val="21"/>
        </w:rPr>
        <w:t>A.0.11</w:t>
      </w:r>
      <w:r>
        <w:rPr>
          <w:rFonts w:hint="eastAsia"/>
          <w:szCs w:val="21"/>
        </w:rPr>
        <w:t>－</w:t>
      </w:r>
      <w:r>
        <w:rPr>
          <w:rFonts w:hint="eastAsia"/>
          <w:szCs w:val="21"/>
          <w:u w:val="single"/>
        </w:rPr>
        <w:t>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093"/>
        <w:gridCol w:w="2835"/>
        <w:gridCol w:w="1660"/>
        <w:gridCol w:w="206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0" w:hRule="atLeast"/>
          <w:jc w:val="center"/>
        </w:trPr>
        <w:tc>
          <w:tcPr>
            <w:tcW w:w="2093" w:type="dxa"/>
            <w:tcBorders>
              <w:top w:val="single" w:color="auto" w:sz="8" w:space="0"/>
              <w:left w:val="single" w:color="auto" w:sz="8" w:space="0"/>
              <w:bottom w:val="single" w:color="auto" w:sz="4" w:space="0"/>
              <w:right w:val="single" w:color="auto" w:sz="4" w:space="0"/>
            </w:tcBorders>
            <w:noWrap w:val="0"/>
            <w:vAlign w:val="center"/>
          </w:tcPr>
          <w:p>
            <w:pPr>
              <w:spacing w:line="320" w:lineRule="exact"/>
              <w:rPr>
                <w:szCs w:val="21"/>
              </w:rPr>
            </w:pPr>
            <w:r>
              <w:rPr>
                <w:rFonts w:hint="eastAsia"/>
                <w:szCs w:val="21"/>
              </w:rPr>
              <w:t>施工项目经理部签收人姓名及时间</w:t>
            </w:r>
          </w:p>
        </w:tc>
        <w:tc>
          <w:tcPr>
            <w:tcW w:w="2835" w:type="dxa"/>
            <w:tcBorders>
              <w:top w:val="single" w:color="auto" w:sz="8" w:space="0"/>
              <w:left w:val="single" w:color="auto" w:sz="4" w:space="0"/>
              <w:bottom w:val="single" w:color="auto" w:sz="4" w:space="0"/>
              <w:right w:val="single" w:color="auto" w:sz="4" w:space="0"/>
            </w:tcBorders>
            <w:noWrap w:val="0"/>
            <w:vAlign w:val="center"/>
          </w:tcPr>
          <w:p>
            <w:pPr>
              <w:rPr>
                <w:szCs w:val="21"/>
              </w:rPr>
            </w:pPr>
          </w:p>
        </w:tc>
        <w:tc>
          <w:tcPr>
            <w:tcW w:w="1660" w:type="dxa"/>
            <w:tcBorders>
              <w:top w:val="single" w:color="auto" w:sz="8" w:space="0"/>
              <w:left w:val="single" w:color="auto" w:sz="4" w:space="0"/>
              <w:bottom w:val="single" w:color="auto" w:sz="4" w:space="0"/>
              <w:right w:val="single" w:color="auto" w:sz="4" w:space="0"/>
            </w:tcBorders>
            <w:noWrap w:val="0"/>
            <w:vAlign w:val="center"/>
          </w:tcPr>
          <w:p>
            <w:pPr>
              <w:jc w:val="center"/>
              <w:rPr>
                <w:szCs w:val="21"/>
              </w:rPr>
            </w:pPr>
            <w:r>
              <w:rPr>
                <w:rFonts w:hint="eastAsia"/>
                <w:szCs w:val="21"/>
              </w:rPr>
              <w:t>建设单位签收人姓名及时间</w:t>
            </w:r>
          </w:p>
        </w:tc>
        <w:tc>
          <w:tcPr>
            <w:tcW w:w="2060" w:type="dxa"/>
            <w:tcBorders>
              <w:top w:val="single" w:color="auto" w:sz="8" w:space="0"/>
              <w:left w:val="single" w:color="auto" w:sz="4" w:space="0"/>
              <w:bottom w:val="single" w:color="auto" w:sz="4" w:space="0"/>
              <w:right w:val="single" w:color="auto" w:sz="8" w:space="0"/>
            </w:tcBorders>
            <w:noWrap w:val="0"/>
            <w:vAlign w:val="center"/>
          </w:tcPr>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025" w:hRule="atLeast"/>
          <w:jc w:val="center"/>
        </w:trPr>
        <w:tc>
          <w:tcPr>
            <w:tcW w:w="8648"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hAnsi="Times New Roman"/>
                <w:szCs w:val="21"/>
              </w:rPr>
            </w:pPr>
            <w:r>
              <w:rPr>
                <w:rFonts w:hint="eastAsia" w:ascii="Times New Roman" w:hAnsi="Times New Roman"/>
                <w:szCs w:val="21"/>
              </w:rPr>
              <w:t>致：</w:t>
            </w:r>
            <w:r>
              <w:rPr>
                <w:rFonts w:hint="eastAsia" w:ascii="Times New Roman" w:hAnsi="Times New Roman"/>
                <w:szCs w:val="21"/>
                <w:u w:val="single"/>
              </w:rPr>
              <w:t>　　　　　     　</w:t>
            </w:r>
            <w:r>
              <w:rPr>
                <w:rFonts w:hint="eastAsia" w:ascii="Times New Roman" w:hAnsi="Times New Roman"/>
                <w:szCs w:val="21"/>
              </w:rPr>
              <w:t>(施工项目经理部)</w:t>
            </w:r>
          </w:p>
          <w:p>
            <w:pPr>
              <w:spacing w:line="420" w:lineRule="exact"/>
              <w:rPr>
                <w:rFonts w:hint="eastAsia"/>
                <w:bCs/>
                <w:szCs w:val="21"/>
                <w:u w:val="single"/>
              </w:rPr>
            </w:pPr>
            <w:r>
              <w:rPr>
                <w:szCs w:val="21"/>
              </w:rPr>
              <w:t xml:space="preserve">  </w:t>
            </w:r>
            <w:r>
              <w:rPr>
                <w:bCs/>
                <w:szCs w:val="21"/>
              </w:rPr>
              <w:t xml:space="preserve">  </w:t>
            </w:r>
            <w:r>
              <w:rPr>
                <w:rFonts w:hint="eastAsia"/>
                <w:bCs/>
                <w:szCs w:val="21"/>
              </w:rPr>
              <w:t>由于</w:t>
            </w:r>
            <w:r>
              <w:rPr>
                <w:bCs/>
                <w:szCs w:val="21"/>
              </w:rPr>
              <w:t xml:space="preserve"> </w:t>
            </w:r>
            <w:r>
              <w:rPr>
                <w:bCs/>
                <w:szCs w:val="21"/>
                <w:u w:val="single"/>
              </w:rPr>
              <w:t xml:space="preserve">                                                                        </w:t>
            </w:r>
          </w:p>
          <w:p>
            <w:pPr>
              <w:spacing w:line="420" w:lineRule="exact"/>
              <w:rPr>
                <w:szCs w:val="21"/>
              </w:rPr>
            </w:pPr>
            <w:r>
              <w:rPr>
                <w:szCs w:val="21"/>
                <w:u w:val="single"/>
              </w:rPr>
              <w:t xml:space="preserve">                                                                                </w:t>
            </w:r>
          </w:p>
          <w:p>
            <w:pPr>
              <w:spacing w:line="420" w:lineRule="exact"/>
              <w:rPr>
                <w:szCs w:val="21"/>
              </w:rPr>
            </w:pPr>
            <w:r>
              <w:rPr>
                <w:rFonts w:hint="eastAsia"/>
                <w:szCs w:val="21"/>
              </w:rPr>
              <w:t>原因，现通知你方于</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r>
              <w:rPr>
                <w:szCs w:val="21"/>
                <w:u w:val="single"/>
              </w:rPr>
              <w:t xml:space="preserve">      </w:t>
            </w:r>
            <w:r>
              <w:rPr>
                <w:rFonts w:hint="eastAsia"/>
                <w:szCs w:val="21"/>
              </w:rPr>
              <w:t>时起，暂停</w:t>
            </w:r>
            <w:r>
              <w:rPr>
                <w:szCs w:val="21"/>
                <w:u w:val="single"/>
              </w:rPr>
              <w:t xml:space="preserve">                </w:t>
            </w:r>
            <w:r>
              <w:rPr>
                <w:rFonts w:hint="eastAsia"/>
                <w:szCs w:val="21"/>
              </w:rPr>
              <w:t>部位（工序）施工，并按下述要求做好后续工作。</w:t>
            </w:r>
          </w:p>
          <w:p>
            <w:pPr>
              <w:spacing w:line="420" w:lineRule="exact"/>
              <w:rPr>
                <w:szCs w:val="21"/>
              </w:rPr>
            </w:pPr>
          </w:p>
          <w:p>
            <w:pPr>
              <w:spacing w:line="420" w:lineRule="exact"/>
              <w:ind w:firstLine="420" w:firstLineChars="200"/>
              <w:rPr>
                <w:szCs w:val="21"/>
              </w:rPr>
            </w:pPr>
            <w:r>
              <w:rPr>
                <w:rFonts w:hint="eastAsia"/>
                <w:szCs w:val="21"/>
              </w:rPr>
              <w:t>要求：</w:t>
            </w: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r>
              <w:rPr>
                <w:rFonts w:hint="eastAsia"/>
                <w:szCs w:val="21"/>
              </w:rPr>
              <w:t>附件：</w:t>
            </w:r>
            <w:r>
              <w:rPr>
                <w:szCs w:val="21"/>
                <w:u w:val="single"/>
              </w:rPr>
              <w:t xml:space="preserve">            </w:t>
            </w:r>
            <w:r>
              <w:rPr>
                <w:rFonts w:hint="eastAsia"/>
                <w:szCs w:val="21"/>
              </w:rPr>
              <w:t>。</w:t>
            </w:r>
          </w:p>
          <w:p>
            <w:pPr>
              <w:rPr>
                <w:szCs w:val="21"/>
              </w:rPr>
            </w:pPr>
          </w:p>
          <w:p>
            <w:pPr>
              <w:rPr>
                <w:szCs w:val="21"/>
              </w:rPr>
            </w:pPr>
          </w:p>
          <w:p>
            <w:pPr>
              <w:spacing w:line="420" w:lineRule="exact"/>
              <w:rPr>
                <w:bCs/>
                <w:szCs w:val="21"/>
                <w:u w:val="single"/>
              </w:rPr>
            </w:pPr>
            <w:r>
              <w:rPr>
                <w:szCs w:val="21"/>
              </w:rPr>
              <w:t xml:space="preserve">                              </w:t>
            </w:r>
            <w:r>
              <w:rPr>
                <w:rFonts w:hint="eastAsia"/>
                <w:bCs/>
                <w:szCs w:val="21"/>
              </w:rPr>
              <w:t>项目监理机构</w:t>
            </w:r>
            <w:r>
              <w:rPr>
                <w:bCs/>
                <w:szCs w:val="21"/>
              </w:rPr>
              <w:t>(</w:t>
            </w:r>
            <w:r>
              <w:rPr>
                <w:rFonts w:hint="eastAsia"/>
                <w:bCs/>
                <w:szCs w:val="21"/>
              </w:rPr>
              <w:t>章</w:t>
            </w:r>
            <w:r>
              <w:rPr>
                <w:bCs/>
                <w:szCs w:val="21"/>
              </w:rPr>
              <w:t xml:space="preserve">):  </w:t>
            </w:r>
            <w:r>
              <w:rPr>
                <w:bCs/>
                <w:szCs w:val="21"/>
                <w:u w:val="single"/>
              </w:rPr>
              <w:t xml:space="preserve">                           </w:t>
            </w:r>
          </w:p>
          <w:p>
            <w:pPr>
              <w:spacing w:before="312" w:beforeLines="100" w:line="420" w:lineRule="exact"/>
              <w:rPr>
                <w:szCs w:val="21"/>
                <w:u w:val="single"/>
              </w:rPr>
            </w:pPr>
            <w:r>
              <w:rPr>
                <w:rFonts w:hint="eastAsia"/>
                <w:szCs w:val="21"/>
              </w:rPr>
              <w:t>　　　</w:t>
            </w:r>
            <w:r>
              <w:rPr>
                <w:szCs w:val="21"/>
              </w:rPr>
              <w:t xml:space="preserve">                        </w:t>
            </w:r>
            <w:r>
              <w:rPr>
                <w:rFonts w:hint="eastAsia"/>
                <w:szCs w:val="21"/>
              </w:rPr>
              <w:t>总监理工程师（签字、执业印章）：</w:t>
            </w:r>
            <w:r>
              <w:rPr>
                <w:rFonts w:hint="eastAsia"/>
                <w:bCs/>
                <w:szCs w:val="21"/>
                <w:u w:val="single"/>
              </w:rPr>
              <w:t>　</w:t>
            </w:r>
            <w:r>
              <w:rPr>
                <w:bCs/>
                <w:szCs w:val="21"/>
                <w:u w:val="single"/>
              </w:rPr>
              <w:t xml:space="preserve">  </w:t>
            </w:r>
            <w:r>
              <w:rPr>
                <w:rFonts w:hint="eastAsia"/>
                <w:bCs/>
                <w:szCs w:val="21"/>
                <w:u w:val="single"/>
              </w:rPr>
              <w:t>　　　　　</w:t>
            </w:r>
          </w:p>
          <w:p>
            <w:pPr>
              <w:spacing w:before="156" w:beforeLines="50" w:line="420" w:lineRule="exact"/>
              <w:rPr>
                <w:szCs w:val="21"/>
                <w:u w:val="single"/>
              </w:rPr>
            </w:pPr>
            <w:r>
              <w:rPr>
                <w:szCs w:val="21"/>
              </w:rPr>
              <w:t xml:space="preserve">                                       </w:t>
            </w:r>
            <w:r>
              <w:rPr>
                <w:bCs/>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2" w:hRule="atLeast"/>
          <w:jc w:val="center"/>
        </w:trPr>
        <w:tc>
          <w:tcPr>
            <w:tcW w:w="8648" w:type="dxa"/>
            <w:gridSpan w:val="4"/>
            <w:tcBorders>
              <w:top w:val="single" w:color="auto" w:sz="4" w:space="0"/>
              <w:left w:val="single" w:color="auto" w:sz="8" w:space="0"/>
              <w:bottom w:val="single" w:color="auto" w:sz="8" w:space="0"/>
              <w:right w:val="single" w:color="auto" w:sz="8" w:space="0"/>
            </w:tcBorders>
            <w:noWrap w:val="0"/>
            <w:vAlign w:val="center"/>
          </w:tcPr>
          <w:p>
            <w:pPr>
              <w:spacing w:before="120"/>
              <w:rPr>
                <w:rFonts w:ascii="Times New Roman" w:hAnsi="Times New Roman"/>
                <w:szCs w:val="21"/>
              </w:rPr>
            </w:pPr>
            <w:r>
              <w:rPr>
                <w:rFonts w:hint="eastAsia"/>
                <w:szCs w:val="21"/>
              </w:rPr>
              <w:t>注：本表一式三份，项目监理机构、施工项目经理部、建设单位各一份。</w:t>
            </w:r>
          </w:p>
        </w:tc>
      </w:tr>
    </w:tbl>
    <w:p>
      <w:pPr>
        <w:ind w:right="4"/>
        <w:rPr>
          <w:rFonts w:ascii="Times New Roman" w:eastAsia="隶书"/>
        </w:rPr>
      </w:pPr>
      <w:r>
        <w:rPr>
          <w:rFonts w:hint="eastAsia" w:ascii="Times New Roman" w:eastAsia="隶书"/>
        </w:rPr>
        <w:t>第六版表                                              江苏省住房和城乡建设厅监制</w:t>
      </w: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rFonts w:hint="eastAsia" w:ascii="Times New Roman" w:eastAsia="黑体"/>
          <w:b/>
          <w:sz w:val="28"/>
          <w:szCs w:val="28"/>
        </w:rPr>
        <w:br w:type="column"/>
      </w:r>
      <w:r>
        <w:rPr>
          <w:rFonts w:eastAsia="黑体"/>
          <w:b/>
          <w:sz w:val="28"/>
          <w:szCs w:val="28"/>
          <w14:shadow w14:blurRad="50800" w14:dist="38100" w14:dir="2700000" w14:sx="100000" w14:sy="100000" w14:kx="0" w14:ky="0" w14:algn="tl">
            <w14:srgbClr w14:val="000000">
              <w14:alpha w14:val="60000"/>
            </w14:srgbClr>
          </w14:shadow>
        </w:rPr>
        <w:t>A.0.12</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工程复工令</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A.0.12</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951"/>
        <w:gridCol w:w="3119"/>
        <w:gridCol w:w="1518"/>
        <w:gridCol w:w="213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0" w:hRule="atLeast"/>
        </w:trPr>
        <w:tc>
          <w:tcPr>
            <w:tcW w:w="1951" w:type="dxa"/>
            <w:tcBorders>
              <w:top w:val="single" w:color="auto" w:sz="8" w:space="0"/>
              <w:left w:val="single" w:color="auto" w:sz="8" w:space="0"/>
              <w:bottom w:val="single" w:color="auto" w:sz="4" w:space="0"/>
              <w:right w:val="single" w:color="auto" w:sz="4" w:space="0"/>
            </w:tcBorders>
            <w:noWrap w:val="0"/>
            <w:vAlign w:val="center"/>
          </w:tcPr>
          <w:p>
            <w:pPr>
              <w:spacing w:line="320" w:lineRule="exact"/>
              <w:ind w:left="-105" w:leftChars="-50" w:right="-105" w:rightChars="-50"/>
              <w:jc w:val="center"/>
              <w:rPr>
                <w:szCs w:val="21"/>
              </w:rPr>
            </w:pPr>
            <w:r>
              <w:rPr>
                <w:rFonts w:hint="eastAsia"/>
                <w:szCs w:val="21"/>
              </w:rPr>
              <w:t>施工项目经理部</w:t>
            </w:r>
          </w:p>
          <w:p>
            <w:pPr>
              <w:spacing w:line="320" w:lineRule="exact"/>
              <w:ind w:left="-105" w:leftChars="-50" w:right="-105" w:rightChars="-50"/>
              <w:jc w:val="center"/>
              <w:rPr>
                <w:szCs w:val="21"/>
              </w:rPr>
            </w:pPr>
            <w:r>
              <w:rPr>
                <w:rFonts w:hint="eastAsia"/>
                <w:szCs w:val="21"/>
              </w:rPr>
              <w:t>签收人姓名及时间</w:t>
            </w:r>
          </w:p>
        </w:tc>
        <w:tc>
          <w:tcPr>
            <w:tcW w:w="3119" w:type="dxa"/>
            <w:tcBorders>
              <w:top w:val="single" w:color="auto" w:sz="8" w:space="0"/>
              <w:left w:val="single" w:color="auto" w:sz="4" w:space="0"/>
              <w:bottom w:val="single" w:color="auto" w:sz="4" w:space="0"/>
              <w:right w:val="single" w:color="auto" w:sz="4" w:space="0"/>
            </w:tcBorders>
            <w:noWrap w:val="0"/>
            <w:vAlign w:val="center"/>
          </w:tcPr>
          <w:p>
            <w:pPr>
              <w:spacing w:line="320" w:lineRule="exact"/>
              <w:ind w:left="-105" w:leftChars="-50" w:right="-105" w:rightChars="-50"/>
              <w:rPr>
                <w:szCs w:val="21"/>
              </w:rPr>
            </w:pPr>
          </w:p>
        </w:tc>
        <w:tc>
          <w:tcPr>
            <w:tcW w:w="1518" w:type="dxa"/>
            <w:tcBorders>
              <w:top w:val="single" w:color="auto" w:sz="8"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szCs w:val="21"/>
              </w:rPr>
            </w:pPr>
            <w:r>
              <w:rPr>
                <w:rFonts w:hint="eastAsia"/>
                <w:szCs w:val="21"/>
              </w:rPr>
              <w:t>建设单位签收人</w:t>
            </w:r>
          </w:p>
          <w:p>
            <w:pPr>
              <w:spacing w:line="320" w:lineRule="exact"/>
              <w:ind w:left="-105" w:leftChars="-50" w:right="-105" w:rightChars="-50"/>
              <w:jc w:val="center"/>
              <w:rPr>
                <w:szCs w:val="21"/>
              </w:rPr>
            </w:pPr>
            <w:r>
              <w:rPr>
                <w:rFonts w:hint="eastAsia"/>
                <w:szCs w:val="21"/>
              </w:rPr>
              <w:t>姓名及时间</w:t>
            </w:r>
          </w:p>
        </w:tc>
        <w:tc>
          <w:tcPr>
            <w:tcW w:w="2132" w:type="dxa"/>
            <w:tcBorders>
              <w:top w:val="single" w:color="auto" w:sz="8" w:space="0"/>
              <w:left w:val="single" w:color="auto" w:sz="4" w:space="0"/>
              <w:bottom w:val="single" w:color="auto" w:sz="4" w:space="0"/>
              <w:right w:val="single" w:color="auto" w:sz="8" w:space="0"/>
            </w:tcBorders>
            <w:noWrap w:val="0"/>
            <w:vAlign w:val="center"/>
          </w:tcPr>
          <w:p>
            <w:pPr>
              <w:spacing w:line="320" w:lineRule="exact"/>
              <w:ind w:left="-105" w:leftChars="-50" w:right="-105" w:rightChars="-50"/>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437" w:hRule="atLeast"/>
        </w:trPr>
        <w:tc>
          <w:tcPr>
            <w:tcW w:w="8720"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u w:val="single"/>
              </w:rPr>
            </w:pPr>
            <w:r>
              <w:rPr>
                <w:rFonts w:hint="eastAsia" w:ascii="Times New Roman"/>
                <w:szCs w:val="21"/>
              </w:rPr>
              <w:t>致：</w:t>
            </w:r>
            <w:r>
              <w:rPr>
                <w:rFonts w:hint="eastAsia" w:ascii="Times New Roman"/>
                <w:szCs w:val="21"/>
                <w:u w:val="single"/>
              </w:rPr>
              <w:t>　　　　　　   　</w:t>
            </w:r>
            <w:r>
              <w:rPr>
                <w:rFonts w:hint="eastAsia"/>
                <w:szCs w:val="21"/>
              </w:rPr>
              <w:t>（施工项目经理部）</w:t>
            </w:r>
          </w:p>
          <w:p>
            <w:pPr>
              <w:spacing w:line="420" w:lineRule="exact"/>
              <w:ind w:firstLine="420" w:firstLineChars="200"/>
              <w:rPr>
                <w:rFonts w:hint="eastAsia"/>
                <w:szCs w:val="21"/>
              </w:rPr>
            </w:pPr>
            <w:r>
              <w:rPr>
                <w:rFonts w:hint="eastAsia"/>
                <w:szCs w:val="21"/>
              </w:rPr>
              <w:t>我方发出的编号为</w:t>
            </w:r>
            <w:r>
              <w:rPr>
                <w:rFonts w:hint="eastAsia" w:ascii="Times New Roman"/>
                <w:szCs w:val="21"/>
                <w:u w:val="single"/>
              </w:rPr>
              <w:t>　　     　</w:t>
            </w:r>
            <w:r>
              <w:rPr>
                <w:rFonts w:hint="eastAsia" w:ascii="Times New Roman" w:hAnsi="Times New Roman"/>
                <w:szCs w:val="21"/>
              </w:rPr>
              <w:t>《工程暂停令》，要求暂停施工的</w:t>
            </w:r>
            <w:r>
              <w:rPr>
                <w:rFonts w:hint="eastAsia" w:ascii="Times New Roman"/>
                <w:szCs w:val="21"/>
                <w:u w:val="single"/>
              </w:rPr>
              <w:t xml:space="preserve">               　</w:t>
            </w:r>
            <w:r>
              <w:rPr>
                <w:rFonts w:hint="eastAsia" w:ascii="Times New Roman" w:hAnsi="Times New Roman"/>
                <w:szCs w:val="21"/>
              </w:rPr>
              <w:t>部位（工序），</w:t>
            </w:r>
            <w:r>
              <w:rPr>
                <w:rFonts w:hint="eastAsia"/>
                <w:szCs w:val="21"/>
              </w:rPr>
              <w:t>现已具备复工条件。经建设单位同意，通知你方于</w:t>
            </w:r>
            <w:r>
              <w:rPr>
                <w:rFonts w:hint="eastAsia" w:ascii="Times New Roman"/>
                <w:szCs w:val="21"/>
                <w:u w:val="single"/>
              </w:rPr>
              <w:t>　　   　</w:t>
            </w:r>
            <w:r>
              <w:rPr>
                <w:rFonts w:hint="eastAsia"/>
                <w:szCs w:val="21"/>
              </w:rPr>
              <w:t>年</w:t>
            </w:r>
            <w:r>
              <w:rPr>
                <w:rFonts w:hint="eastAsia" w:ascii="Times New Roman"/>
                <w:szCs w:val="21"/>
                <w:u w:val="single"/>
              </w:rPr>
              <w:t>　 　</w:t>
            </w:r>
            <w:r>
              <w:rPr>
                <w:rFonts w:hint="eastAsia"/>
                <w:szCs w:val="21"/>
              </w:rPr>
              <w:t>月</w:t>
            </w:r>
            <w:r>
              <w:rPr>
                <w:rFonts w:hint="eastAsia" w:ascii="Times New Roman"/>
                <w:szCs w:val="21"/>
                <w:u w:val="single"/>
              </w:rPr>
              <w:t>　　</w:t>
            </w:r>
            <w:r>
              <w:rPr>
                <w:rFonts w:hint="eastAsia"/>
                <w:szCs w:val="21"/>
              </w:rPr>
              <w:t>日</w:t>
            </w:r>
            <w:r>
              <w:rPr>
                <w:rFonts w:hint="eastAsia" w:ascii="Times New Roman"/>
                <w:szCs w:val="21"/>
                <w:u w:val="single"/>
              </w:rPr>
              <w:t>　　  　</w:t>
            </w:r>
            <w:r>
              <w:rPr>
                <w:rFonts w:hint="eastAsia"/>
                <w:szCs w:val="21"/>
              </w:rPr>
              <w:t>时起恢复施工。</w:t>
            </w:r>
          </w:p>
          <w:p>
            <w:pPr>
              <w:spacing w:line="420" w:lineRule="exact"/>
              <w:rPr>
                <w:szCs w:val="21"/>
              </w:rPr>
            </w:pPr>
          </w:p>
          <w:p>
            <w:pPr>
              <w:spacing w:line="420" w:lineRule="exact"/>
              <w:ind w:firstLine="420" w:firstLineChars="200"/>
              <w:rPr>
                <w:szCs w:val="21"/>
              </w:rPr>
            </w:pPr>
            <w:r>
              <w:rPr>
                <w:rFonts w:hint="eastAsia"/>
                <w:szCs w:val="21"/>
              </w:rPr>
              <w:t>附件：</w:t>
            </w:r>
          </w:p>
          <w:p>
            <w:pPr>
              <w:spacing w:line="420" w:lineRule="exact"/>
              <w:ind w:firstLine="420" w:firstLineChars="200"/>
              <w:rPr>
                <w:szCs w:val="21"/>
              </w:rPr>
            </w:pPr>
            <w:r>
              <w:rPr>
                <w:rFonts w:hint="eastAsia" w:ascii="Times New Roman" w:hAnsi="Times New Roman"/>
                <w:szCs w:val="21"/>
              </w:rPr>
              <w:t>□</w:t>
            </w:r>
            <w:r>
              <w:rPr>
                <w:szCs w:val="21"/>
              </w:rPr>
              <w:t xml:space="preserve"> </w:t>
            </w:r>
            <w:r>
              <w:rPr>
                <w:rFonts w:hint="eastAsia"/>
                <w:szCs w:val="21"/>
              </w:rPr>
              <w:t>工程复工报审表</w:t>
            </w:r>
          </w:p>
          <w:p>
            <w:pPr>
              <w:spacing w:line="420" w:lineRule="exact"/>
              <w:ind w:firstLine="420" w:firstLineChars="200"/>
              <w:rPr>
                <w:szCs w:val="21"/>
              </w:rPr>
            </w:pPr>
            <w:r>
              <w:rPr>
                <w:rFonts w:hint="eastAsia" w:ascii="Times New Roman" w:hAnsi="Times New Roman"/>
                <w:szCs w:val="21"/>
              </w:rPr>
              <w:t>□ 建设单位工程联系单</w:t>
            </w: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tabs>
                <w:tab w:val="left" w:pos="4020"/>
                <w:tab w:val="left" w:pos="7850"/>
              </w:tabs>
              <w:spacing w:line="420" w:lineRule="exact"/>
              <w:rPr>
                <w:szCs w:val="21"/>
              </w:rPr>
            </w:pPr>
            <w:r>
              <w:rPr>
                <w:szCs w:val="21"/>
              </w:rPr>
              <w:t xml:space="preserve">                                </w:t>
            </w:r>
            <w:r>
              <w:rPr>
                <w:rFonts w:hint="eastAsia"/>
                <w:szCs w:val="21"/>
              </w:rPr>
              <w:t>项目监理机构</w:t>
            </w:r>
            <w:r>
              <w:rPr>
                <w:szCs w:val="21"/>
              </w:rPr>
              <w:t>(</w:t>
            </w:r>
            <w:r>
              <w:rPr>
                <w:rFonts w:hint="eastAsia"/>
                <w:szCs w:val="21"/>
              </w:rPr>
              <w:t>章</w:t>
            </w:r>
            <w:r>
              <w:rPr>
                <w:szCs w:val="21"/>
              </w:rPr>
              <w:t>)</w:t>
            </w:r>
            <w:r>
              <w:rPr>
                <w:rFonts w:hint="eastAsia"/>
                <w:szCs w:val="21"/>
              </w:rPr>
              <w:t>：</w:t>
            </w:r>
            <w:r>
              <w:rPr>
                <w:szCs w:val="21"/>
                <w:u w:val="single"/>
              </w:rPr>
              <w:t xml:space="preserve">                          </w:t>
            </w:r>
          </w:p>
          <w:p>
            <w:pPr>
              <w:spacing w:before="312" w:beforeLines="100" w:line="420" w:lineRule="exact"/>
              <w:ind w:firstLine="420" w:firstLineChars="200"/>
              <w:rPr>
                <w:szCs w:val="21"/>
                <w:u w:val="single"/>
              </w:rPr>
            </w:pPr>
            <w:r>
              <w:rPr>
                <w:szCs w:val="21"/>
              </w:rPr>
              <w:t xml:space="preserve">                           </w:t>
            </w:r>
            <w:r>
              <w:rPr>
                <w:rFonts w:hint="eastAsia"/>
                <w:szCs w:val="21"/>
              </w:rPr>
              <w:t>总监理工程师（签字、执业印章）：</w:t>
            </w:r>
            <w:r>
              <w:rPr>
                <w:rFonts w:hint="eastAsia"/>
                <w:szCs w:val="21"/>
                <w:u w:val="single"/>
              </w:rPr>
              <w:t>　　</w:t>
            </w:r>
            <w:r>
              <w:rPr>
                <w:szCs w:val="21"/>
                <w:u w:val="single"/>
              </w:rPr>
              <w:t> </w:t>
            </w:r>
            <w:r>
              <w:rPr>
                <w:rFonts w:hint="eastAsia"/>
                <w:szCs w:val="21"/>
                <w:u w:val="single"/>
              </w:rPr>
              <w:t>　　　　</w:t>
            </w:r>
          </w:p>
          <w:p>
            <w:pPr>
              <w:spacing w:before="156" w:beforeLines="50" w:line="420" w:lineRule="exact"/>
              <w:ind w:firstLine="735" w:firstLineChars="350"/>
              <w:rPr>
                <w:szCs w:val="21"/>
              </w:rPr>
            </w:pP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p>
            <w:pPr>
              <w:spacing w:before="120"/>
              <w:ind w:firstLine="735" w:firstLineChars="350"/>
              <w:rPr>
                <w:szCs w:val="21"/>
                <w:u w:val="single"/>
              </w:rPr>
            </w:pPr>
            <w:r>
              <w:rPr>
                <w:rFonts w:hint="eastAsia"/>
                <w:szCs w:val="21"/>
              </w:rPr>
              <w:t>　　　　　　　　　　　</w:t>
            </w:r>
            <w:r>
              <w:rPr>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720" w:type="dxa"/>
            <w:gridSpan w:val="4"/>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szCs w:val="21"/>
              </w:rPr>
              <w:t>注：本表一式三份，项目监理机构、建设单位、施工单位各一份。</w:t>
            </w:r>
          </w:p>
        </w:tc>
      </w:tr>
    </w:tbl>
    <w:p>
      <w:pPr>
        <w:rPr>
          <w:rFonts w:ascii="Times New Roman" w:eastAsia="隶书"/>
        </w:rPr>
      </w:pPr>
      <w:r>
        <w:rPr>
          <w:rFonts w:hint="eastAsia" w:ascii="Times New Roman" w:eastAsia="隶书"/>
        </w:rPr>
        <w:t>第六版表                                              江苏省住房和城乡建设厅监制</w:t>
      </w: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szCs w:val="21"/>
        </w:rPr>
        <w:br w:type="column"/>
      </w:r>
      <w:r>
        <w:rPr>
          <w:rFonts w:eastAsia="黑体"/>
          <w:b/>
          <w:sz w:val="28"/>
          <w:szCs w:val="28"/>
          <w14:shadow w14:blurRad="50800" w14:dist="38100" w14:dir="2700000" w14:sx="100000" w14:sy="100000" w14:kx="0" w14:ky="0" w14:algn="tl">
            <w14:srgbClr w14:val="000000">
              <w14:alpha w14:val="60000"/>
            </w14:srgbClr>
          </w14:shadow>
        </w:rPr>
        <w:t>A.0.13</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监理备忘录</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szCs w:val="21"/>
        </w:rPr>
        <w:t xml:space="preserve">      </w:t>
      </w:r>
      <w:r>
        <w:rPr>
          <w:rFonts w:hint="eastAsia"/>
          <w:szCs w:val="21"/>
        </w:rPr>
        <w:t>　　　　</w:t>
      </w:r>
      <w:r>
        <w:rPr>
          <w:szCs w:val="21"/>
        </w:rPr>
        <w:t xml:space="preserve">      </w:t>
      </w:r>
      <w:r>
        <w:rPr>
          <w:rFonts w:hint="eastAsia"/>
          <w:szCs w:val="21"/>
        </w:rPr>
        <w:t>　编号：</w:t>
      </w:r>
      <w:r>
        <w:rPr>
          <w:szCs w:val="21"/>
        </w:rPr>
        <w:t>A.0.13</w:t>
      </w:r>
      <w:r>
        <w:rPr>
          <w:szCs w:val="21"/>
          <w:u w:val="single"/>
        </w:rPr>
        <w:t xml:space="preserve">   </w:t>
      </w:r>
      <w:r>
        <w:rPr>
          <w:rFonts w:hint="eastAsia"/>
          <w:szCs w:val="21"/>
        </w:rPr>
        <w:t>—</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8"/>
        <w:gridCol w:w="4500"/>
        <w:gridCol w:w="1260"/>
        <w:gridCol w:w="202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0" w:hRule="atLeast"/>
        </w:trPr>
        <w:tc>
          <w:tcPr>
            <w:tcW w:w="828" w:type="dxa"/>
            <w:tcBorders>
              <w:top w:val="single" w:color="auto" w:sz="8" w:space="0"/>
              <w:left w:val="single" w:color="auto" w:sz="8" w:space="0"/>
              <w:bottom w:val="single" w:color="auto" w:sz="4" w:space="0"/>
              <w:right w:val="single" w:color="auto" w:sz="4" w:space="0"/>
            </w:tcBorders>
            <w:noWrap w:val="0"/>
            <w:vAlign w:val="center"/>
          </w:tcPr>
          <w:p>
            <w:pPr>
              <w:rPr>
                <w:szCs w:val="21"/>
              </w:rPr>
            </w:pPr>
            <w:r>
              <w:rPr>
                <w:rFonts w:hint="eastAsia"/>
                <w:szCs w:val="21"/>
              </w:rPr>
              <w:t>事由</w:t>
            </w:r>
          </w:p>
        </w:tc>
        <w:tc>
          <w:tcPr>
            <w:tcW w:w="4500" w:type="dxa"/>
            <w:tcBorders>
              <w:top w:val="single" w:color="auto" w:sz="8" w:space="0"/>
              <w:left w:val="single" w:color="auto" w:sz="4" w:space="0"/>
              <w:bottom w:val="single" w:color="auto" w:sz="4" w:space="0"/>
              <w:right w:val="single" w:color="auto" w:sz="4" w:space="0"/>
            </w:tcBorders>
            <w:noWrap w:val="0"/>
            <w:vAlign w:val="center"/>
          </w:tcPr>
          <w:p>
            <w:pPr>
              <w:rPr>
                <w:szCs w:val="21"/>
              </w:rPr>
            </w:pPr>
          </w:p>
        </w:tc>
        <w:tc>
          <w:tcPr>
            <w:tcW w:w="1260" w:type="dxa"/>
            <w:tcBorders>
              <w:top w:val="single" w:color="auto" w:sz="8" w:space="0"/>
              <w:left w:val="single" w:color="auto" w:sz="4" w:space="0"/>
              <w:bottom w:val="single" w:color="auto" w:sz="4" w:space="0"/>
              <w:right w:val="single" w:color="auto" w:sz="4" w:space="0"/>
            </w:tcBorders>
            <w:noWrap w:val="0"/>
            <w:vAlign w:val="center"/>
          </w:tcPr>
          <w:p>
            <w:pPr>
              <w:ind w:left="-105" w:leftChars="-50" w:right="-105" w:rightChars="-50"/>
              <w:jc w:val="center"/>
              <w:rPr>
                <w:szCs w:val="21"/>
              </w:rPr>
            </w:pPr>
            <w:r>
              <w:rPr>
                <w:rFonts w:hint="eastAsia"/>
                <w:szCs w:val="21"/>
              </w:rPr>
              <w:t>签收人</w:t>
            </w:r>
          </w:p>
          <w:p>
            <w:pPr>
              <w:ind w:left="-105" w:leftChars="-50" w:right="-105" w:rightChars="-50"/>
              <w:jc w:val="center"/>
              <w:rPr>
                <w:szCs w:val="21"/>
              </w:rPr>
            </w:pPr>
            <w:r>
              <w:rPr>
                <w:rFonts w:hint="eastAsia"/>
                <w:szCs w:val="21"/>
              </w:rPr>
              <w:t>姓名及时间</w:t>
            </w:r>
          </w:p>
        </w:tc>
        <w:tc>
          <w:tcPr>
            <w:tcW w:w="2028" w:type="dxa"/>
            <w:tcBorders>
              <w:top w:val="single" w:color="auto" w:sz="8" w:space="0"/>
              <w:left w:val="single" w:color="auto" w:sz="4" w:space="0"/>
              <w:bottom w:val="single" w:color="auto" w:sz="4" w:space="0"/>
              <w:right w:val="single" w:color="auto" w:sz="8" w:space="0"/>
            </w:tcBorders>
            <w:noWrap w:val="0"/>
            <w:vAlign w:val="center"/>
          </w:tcPr>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8616"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line="420" w:lineRule="exact"/>
              <w:rPr>
                <w:rFonts w:ascii="Times New Roman"/>
                <w:szCs w:val="21"/>
                <w:u w:val="single"/>
              </w:rPr>
            </w:pPr>
            <w:r>
              <w:rPr>
                <w:rFonts w:hint="eastAsia" w:ascii="Times New Roman"/>
                <w:szCs w:val="21"/>
              </w:rPr>
              <w:t>致：</w:t>
            </w:r>
            <w:r>
              <w:rPr>
                <w:rFonts w:hint="eastAsia" w:ascii="Times New Roman"/>
                <w:szCs w:val="21"/>
                <w:u w:val="single"/>
              </w:rPr>
              <w:t>　　　　　   　　</w:t>
            </w: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szCs w:val="21"/>
              </w:rPr>
            </w:pPr>
          </w:p>
          <w:p>
            <w:pPr>
              <w:rPr>
                <w:szCs w:val="21"/>
              </w:rPr>
            </w:pPr>
          </w:p>
          <w:p>
            <w:pPr>
              <w:spacing w:line="420" w:lineRule="exact"/>
              <w:ind w:firstLine="2849" w:firstLineChars="1357"/>
              <w:rPr>
                <w:bCs/>
                <w:szCs w:val="21"/>
                <w:u w:val="single"/>
              </w:rPr>
            </w:pPr>
            <w:r>
              <w:rPr>
                <w:szCs w:val="21"/>
              </w:rPr>
              <w:t> </w:t>
            </w:r>
            <w:r>
              <w:rPr>
                <w:rFonts w:hint="eastAsia"/>
                <w:bCs/>
                <w:szCs w:val="21"/>
              </w:rPr>
              <w:t>项目监理机构</w:t>
            </w:r>
            <w:r>
              <w:rPr>
                <w:bCs/>
                <w:szCs w:val="21"/>
              </w:rPr>
              <w:t>(</w:t>
            </w:r>
            <w:r>
              <w:rPr>
                <w:rFonts w:hint="eastAsia"/>
                <w:bCs/>
                <w:szCs w:val="21"/>
              </w:rPr>
              <w:t>章</w:t>
            </w:r>
            <w:r>
              <w:rPr>
                <w:bCs/>
                <w:szCs w:val="21"/>
              </w:rPr>
              <w:t xml:space="preserve">): </w:t>
            </w:r>
            <w:r>
              <w:rPr>
                <w:bCs/>
                <w:szCs w:val="21"/>
                <w:u w:val="single"/>
              </w:rPr>
              <w:t xml:space="preserve">                               </w:t>
            </w:r>
          </w:p>
          <w:p>
            <w:pPr>
              <w:spacing w:before="312" w:beforeLines="100" w:line="420" w:lineRule="exact"/>
              <w:rPr>
                <w:szCs w:val="21"/>
                <w:u w:val="single"/>
              </w:rPr>
            </w:pPr>
            <w:r>
              <w:rPr>
                <w:szCs w:val="21"/>
              </w:rPr>
              <w:t xml:space="preserve">                           </w:t>
            </w:r>
            <w:r>
              <w:rPr>
                <w:rFonts w:hint="eastAsia"/>
                <w:szCs w:val="21"/>
              </w:rPr>
              <w:t>总监理工程师</w:t>
            </w:r>
            <w:r>
              <w:rPr>
                <w:szCs w:val="21"/>
              </w:rPr>
              <w:t>/</w:t>
            </w:r>
            <w:r>
              <w:rPr>
                <w:rFonts w:hint="eastAsia"/>
                <w:szCs w:val="21"/>
              </w:rPr>
              <w:t>总监理工程师代表（签字）：</w:t>
            </w:r>
            <w:r>
              <w:rPr>
                <w:rFonts w:hint="eastAsia"/>
                <w:szCs w:val="21"/>
                <w:u w:val="single"/>
              </w:rPr>
              <w:t>　　　　　</w:t>
            </w:r>
            <w:r>
              <w:rPr>
                <w:szCs w:val="21"/>
                <w:u w:val="single"/>
              </w:rPr>
              <w:t xml:space="preserve"> </w:t>
            </w:r>
          </w:p>
          <w:p>
            <w:pPr>
              <w:spacing w:before="156" w:beforeLines="50" w:line="420" w:lineRule="exact"/>
              <w:rPr>
                <w:szCs w:val="21"/>
              </w:rPr>
            </w:pP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p>
            <w:pPr>
              <w:spacing w:before="312" w:beforeLines="100"/>
              <w:ind w:firstLine="420" w:firstLineChars="200"/>
              <w:rPr>
                <w:szCs w:val="21"/>
                <w:u w:val="single"/>
              </w:rPr>
            </w:pPr>
            <w:r>
              <w:rPr>
                <w:rFonts w:hint="eastAsia"/>
                <w:szCs w:val="21"/>
              </w:rPr>
              <w:t>抄送：</w:t>
            </w:r>
            <w:r>
              <w:rPr>
                <w:szCs w:val="21"/>
                <w:u w:val="single"/>
              </w:rPr>
              <w:t xml:space="preserve">                </w:t>
            </w:r>
            <w:r>
              <w:rPr>
                <w:szCs w:val="21"/>
              </w:rPr>
              <w:t xml:space="preserve">          </w:t>
            </w:r>
            <w:r>
              <w:rPr>
                <w:rFonts w:hint="eastAsia"/>
                <w:szCs w:val="21"/>
              </w:rPr>
              <w:t>签收人姓名及时间：</w:t>
            </w:r>
            <w:r>
              <w:rPr>
                <w:szCs w:val="21"/>
                <w:u w:val="single"/>
              </w:rPr>
              <w:t xml:space="preserve">                      </w:t>
            </w:r>
          </w:p>
          <w:p>
            <w:pPr>
              <w:tabs>
                <w:tab w:val="left" w:pos="7950"/>
              </w:tabs>
              <w:spacing w:before="312" w:beforeLines="100"/>
              <w:ind w:firstLine="420" w:firstLineChars="200"/>
              <w:rPr>
                <w:szCs w:val="21"/>
                <w:u w:val="single"/>
              </w:rPr>
            </w:pPr>
            <w:r>
              <w:rPr>
                <w:rFonts w:hint="eastAsia"/>
                <w:szCs w:val="21"/>
              </w:rPr>
              <w:t>抄报：</w:t>
            </w:r>
            <w:r>
              <w:rPr>
                <w:szCs w:val="21"/>
                <w:u w:val="single"/>
              </w:rPr>
              <w:t xml:space="preserve">                 </w:t>
            </w:r>
            <w:r>
              <w:rPr>
                <w:szCs w:val="21"/>
              </w:rPr>
              <w:t xml:space="preserve">         </w:t>
            </w:r>
            <w:r>
              <w:rPr>
                <w:rFonts w:hint="eastAsia"/>
                <w:szCs w:val="21"/>
              </w:rPr>
              <w:t>签收人姓名及时间：</w:t>
            </w:r>
            <w:r>
              <w:rPr>
                <w:szCs w:val="21"/>
                <w:u w:val="single"/>
              </w:rPr>
              <w:t xml:space="preserve">                      </w:t>
            </w:r>
          </w:p>
          <w:p>
            <w:pPr>
              <w:tabs>
                <w:tab w:val="left" w:pos="7950"/>
              </w:tabs>
              <w:spacing w:before="312" w:beforeLines="100"/>
              <w:ind w:firstLine="420" w:firstLineChars="200"/>
              <w:rPr>
                <w:szCs w:val="21"/>
                <w:u w:val="singl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14" w:hRule="atLeast"/>
        </w:trPr>
        <w:tc>
          <w:tcPr>
            <w:tcW w:w="8616" w:type="dxa"/>
            <w:gridSpan w:val="4"/>
            <w:tcBorders>
              <w:top w:val="single" w:color="auto" w:sz="4" w:space="0"/>
              <w:left w:val="single" w:color="auto" w:sz="8" w:space="0"/>
              <w:bottom w:val="single" w:color="auto" w:sz="8" w:space="0"/>
              <w:right w:val="single" w:color="auto" w:sz="8" w:space="0"/>
            </w:tcBorders>
            <w:noWrap w:val="0"/>
            <w:vAlign w:val="center"/>
          </w:tcPr>
          <w:p>
            <w:pPr>
              <w:spacing w:line="320" w:lineRule="exact"/>
              <w:rPr>
                <w:szCs w:val="21"/>
              </w:rPr>
            </w:pPr>
            <w:r>
              <w:rPr>
                <w:rFonts w:hint="eastAsia" w:ascii="Times New Roman" w:hAnsi="Times New Roman"/>
                <w:szCs w:val="21"/>
              </w:rPr>
              <w:t>注：</w:t>
            </w:r>
            <w:r>
              <w:rPr>
                <w:rFonts w:hAnsi="Times New Roman"/>
                <w:szCs w:val="21"/>
              </w:rPr>
              <w:t>1</w:t>
            </w:r>
            <w:r>
              <w:rPr>
                <w:rFonts w:hint="eastAsia" w:hAnsi="Times New Roman"/>
                <w:szCs w:val="21"/>
              </w:rPr>
              <w:t>、本备忘录用于项目监理机构就有关重要建议未被建设单位采纳或监理通知单中的应执行事项施工单位未予执行的最终书面说明，可抄报有关上级主管部门。</w:t>
            </w:r>
          </w:p>
          <w:p>
            <w:pPr>
              <w:numPr>
                <w:ilvl w:val="0"/>
                <w:numId w:val="10"/>
              </w:numPr>
              <w:spacing w:line="320" w:lineRule="exact"/>
              <w:ind w:firstLine="315" w:firstLineChars="150"/>
              <w:rPr>
                <w:rFonts w:hAnsi="Times New Roman"/>
                <w:szCs w:val="21"/>
              </w:rPr>
            </w:pPr>
            <w:r>
              <w:rPr>
                <w:rFonts w:hint="eastAsia" w:hAnsi="Times New Roman"/>
                <w:szCs w:val="21"/>
              </w:rPr>
              <w:t>本备忘录分为建设单位备忘录（</w:t>
            </w:r>
            <w:r>
              <w:rPr>
                <w:szCs w:val="21"/>
              </w:rPr>
              <w:t>A.0.13</w:t>
            </w:r>
            <w:r>
              <w:rPr>
                <w:szCs w:val="21"/>
                <w:u w:val="single"/>
              </w:rPr>
              <w:t>1</w:t>
            </w:r>
            <w:r>
              <w:rPr>
                <w:rFonts w:hint="eastAsia" w:hAnsi="Times New Roman"/>
                <w:szCs w:val="21"/>
              </w:rPr>
              <w:t>）和施工单位备忘录（</w:t>
            </w:r>
            <w:r>
              <w:rPr>
                <w:szCs w:val="21"/>
              </w:rPr>
              <w:t>A.0.13</w:t>
            </w:r>
            <w:r>
              <w:rPr>
                <w:szCs w:val="21"/>
                <w:u w:val="single"/>
              </w:rPr>
              <w:t>2</w:t>
            </w:r>
            <w:r>
              <w:rPr>
                <w:rFonts w:hint="eastAsia" w:hAnsi="Times New Roman"/>
                <w:szCs w:val="21"/>
              </w:rPr>
              <w:t>）。</w:t>
            </w:r>
          </w:p>
        </w:tc>
      </w:tr>
    </w:tbl>
    <w:p>
      <w:pPr>
        <w:jc w:val="right"/>
        <w:rPr>
          <w:rFonts w:ascii="Times New Roman" w:eastAsia="隶书"/>
        </w:rPr>
      </w:pPr>
      <w:r>
        <w:rPr>
          <w:rFonts w:hint="eastAsia" w:ascii="Times New Roman" w:eastAsia="隶书"/>
        </w:rPr>
        <w:t>第六版表                                              江苏省住房和城乡建设厅监制</w:t>
      </w:r>
    </w:p>
    <w:p>
      <w:pPr>
        <w:spacing w:line="380" w:lineRule="exact"/>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br w:type="column"/>
      </w:r>
      <w:r>
        <w:rPr>
          <w:rFonts w:eastAsia="黑体"/>
          <w:b/>
          <w:sz w:val="28"/>
          <w:szCs w:val="28"/>
          <w14:shadow w14:blurRad="50800" w14:dist="38100" w14:dir="2700000" w14:sx="100000" w14:sy="100000" w14:kx="0" w14:ky="0" w14:algn="tl">
            <w14:srgbClr w14:val="000000">
              <w14:alpha w14:val="60000"/>
            </w14:srgbClr>
          </w14:shadow>
        </w:rPr>
        <w:t>A.0.14</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监</w:t>
      </w:r>
      <w:r>
        <w:rPr>
          <w:rFonts w:eastAsia="黑体"/>
          <w:sz w:val="44"/>
          <w14:shadow w14:blurRad="50800" w14:dist="38100" w14:dir="2700000" w14:sx="100000" w14:sy="100000" w14:kx="0" w14:ky="0" w14:algn="tl">
            <w14:srgbClr w14:val="000000">
              <w14:alpha w14:val="60000"/>
            </w14:srgbClr>
          </w14:shadow>
        </w:rPr>
        <w:t xml:space="preserve"> </w:t>
      </w:r>
      <w:r>
        <w:rPr>
          <w:rFonts w:hint="eastAsia" w:eastAsia="黑体"/>
          <w:sz w:val="44"/>
          <w14:shadow w14:blurRad="50800" w14:dist="38100" w14:dir="2700000" w14:sx="100000" w14:sy="100000" w14:kx="0" w14:ky="0" w14:algn="tl">
            <w14:srgbClr w14:val="000000">
              <w14:alpha w14:val="60000"/>
            </w14:srgbClr>
          </w14:shadow>
        </w:rPr>
        <w:t>理</w:t>
      </w:r>
      <w:r>
        <w:rPr>
          <w:rFonts w:eastAsia="黑体"/>
          <w:sz w:val="44"/>
          <w14:shadow w14:blurRad="50800" w14:dist="38100" w14:dir="2700000" w14:sx="100000" w14:sy="100000" w14:kx="0" w14:ky="0" w14:algn="tl">
            <w14:srgbClr w14:val="000000">
              <w14:alpha w14:val="60000"/>
            </w14:srgbClr>
          </w14:shadow>
        </w:rPr>
        <w:t xml:space="preserve"> </w:t>
      </w:r>
      <w:r>
        <w:rPr>
          <w:rFonts w:hint="eastAsia" w:eastAsia="黑体"/>
          <w:sz w:val="44"/>
          <w14:shadow w14:blurRad="50800" w14:dist="38100" w14:dir="2700000" w14:sx="100000" w14:sy="100000" w14:kx="0" w14:ky="0" w14:algn="tl">
            <w14:srgbClr w14:val="000000">
              <w14:alpha w14:val="60000"/>
            </w14:srgbClr>
          </w14:shadow>
        </w:rPr>
        <w:t>报</w:t>
      </w:r>
      <w:r>
        <w:rPr>
          <w:rFonts w:eastAsia="黑体"/>
          <w:sz w:val="44"/>
          <w14:shadow w14:blurRad="50800" w14:dist="38100" w14:dir="2700000" w14:sx="100000" w14:sy="100000" w14:kx="0" w14:ky="0" w14:algn="tl">
            <w14:srgbClr w14:val="000000">
              <w14:alpha w14:val="60000"/>
            </w14:srgbClr>
          </w14:shadow>
        </w:rPr>
        <w:t xml:space="preserve"> </w:t>
      </w:r>
      <w:r>
        <w:rPr>
          <w:rFonts w:hint="eastAsia" w:eastAsia="黑体"/>
          <w:sz w:val="44"/>
          <w14:shadow w14:blurRad="50800" w14:dist="38100" w14:dir="2700000" w14:sx="100000" w14:sy="100000" w14:kx="0" w14:ky="0" w14:algn="tl">
            <w14:srgbClr w14:val="000000">
              <w14:alpha w14:val="60000"/>
            </w14:srgbClr>
          </w14:shadow>
        </w:rPr>
        <w:t>告</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szCs w:val="21"/>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A.0.14</w:t>
      </w:r>
      <w:r>
        <w:rPr>
          <w:rFonts w:hint="eastAsia"/>
          <w:szCs w:val="21"/>
        </w:rPr>
        <w:t>－</w:t>
      </w:r>
      <w:r>
        <w:rPr>
          <w:szCs w:val="21"/>
          <w:u w:val="single"/>
        </w:rPr>
        <w:t xml:space="preserve">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68"/>
        <w:gridCol w:w="4860"/>
        <w:gridCol w:w="1584"/>
        <w:gridCol w:w="175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0" w:hRule="atLeast"/>
        </w:trPr>
        <w:tc>
          <w:tcPr>
            <w:tcW w:w="468" w:type="dxa"/>
            <w:tcBorders>
              <w:top w:val="single" w:color="auto" w:sz="8" w:space="0"/>
              <w:left w:val="single" w:color="auto" w:sz="8" w:space="0"/>
              <w:bottom w:val="single" w:color="auto" w:sz="4" w:space="0"/>
              <w:right w:val="single" w:color="auto" w:sz="4" w:space="0"/>
            </w:tcBorders>
            <w:noWrap w:val="0"/>
            <w:vAlign w:val="center"/>
          </w:tcPr>
          <w:p>
            <w:pPr>
              <w:spacing w:line="320" w:lineRule="exact"/>
              <w:rPr>
                <w:szCs w:val="21"/>
              </w:rPr>
            </w:pPr>
            <w:r>
              <w:rPr>
                <w:rFonts w:hint="eastAsia"/>
                <w:szCs w:val="21"/>
              </w:rPr>
              <w:t>事</w:t>
            </w:r>
          </w:p>
          <w:p>
            <w:pPr>
              <w:spacing w:line="320" w:lineRule="exact"/>
              <w:rPr>
                <w:szCs w:val="21"/>
              </w:rPr>
            </w:pPr>
            <w:r>
              <w:rPr>
                <w:rFonts w:hint="eastAsia"/>
                <w:szCs w:val="21"/>
              </w:rPr>
              <w:t>由</w:t>
            </w:r>
          </w:p>
        </w:tc>
        <w:tc>
          <w:tcPr>
            <w:tcW w:w="4860" w:type="dxa"/>
            <w:tcBorders>
              <w:top w:val="single" w:color="auto" w:sz="8" w:space="0"/>
              <w:left w:val="single" w:color="auto" w:sz="4" w:space="0"/>
              <w:bottom w:val="single" w:color="auto" w:sz="4" w:space="0"/>
              <w:right w:val="single" w:color="auto" w:sz="4" w:space="0"/>
            </w:tcBorders>
            <w:noWrap w:val="0"/>
            <w:vAlign w:val="center"/>
          </w:tcPr>
          <w:p>
            <w:pPr>
              <w:spacing w:line="320" w:lineRule="exact"/>
              <w:rPr>
                <w:szCs w:val="21"/>
              </w:rPr>
            </w:pPr>
          </w:p>
        </w:tc>
        <w:tc>
          <w:tcPr>
            <w:tcW w:w="1584" w:type="dxa"/>
            <w:tcBorders>
              <w:top w:val="single" w:color="auto" w:sz="8" w:space="0"/>
              <w:left w:val="single" w:color="auto" w:sz="4" w:space="0"/>
              <w:bottom w:val="single" w:color="auto" w:sz="4" w:space="0"/>
              <w:right w:val="single" w:color="auto" w:sz="4" w:space="0"/>
            </w:tcBorders>
            <w:noWrap w:val="0"/>
            <w:vAlign w:val="center"/>
          </w:tcPr>
          <w:p>
            <w:pPr>
              <w:spacing w:line="320" w:lineRule="exact"/>
              <w:jc w:val="center"/>
              <w:rPr>
                <w:szCs w:val="21"/>
              </w:rPr>
            </w:pPr>
            <w:r>
              <w:rPr>
                <w:rFonts w:hint="eastAsia"/>
                <w:szCs w:val="21"/>
              </w:rPr>
              <w:t>主管部门签收</w:t>
            </w:r>
          </w:p>
          <w:p>
            <w:pPr>
              <w:spacing w:line="320" w:lineRule="exact"/>
              <w:jc w:val="center"/>
              <w:rPr>
                <w:szCs w:val="21"/>
              </w:rPr>
            </w:pPr>
            <w:r>
              <w:rPr>
                <w:rFonts w:hint="eastAsia"/>
                <w:szCs w:val="21"/>
              </w:rPr>
              <w:t>人姓名及时间</w:t>
            </w:r>
          </w:p>
        </w:tc>
        <w:tc>
          <w:tcPr>
            <w:tcW w:w="1756" w:type="dxa"/>
            <w:tcBorders>
              <w:top w:val="single" w:color="auto" w:sz="8" w:space="0"/>
              <w:left w:val="single" w:color="auto" w:sz="4" w:space="0"/>
              <w:bottom w:val="single" w:color="auto" w:sz="4" w:space="0"/>
              <w:right w:val="single" w:color="auto" w:sz="8" w:space="0"/>
            </w:tcBorders>
            <w:noWrap w:val="0"/>
            <w:vAlign w:val="center"/>
          </w:tcPr>
          <w:p>
            <w:pPr>
              <w:spacing w:line="320" w:lineRule="exact"/>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8668"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after="156" w:afterLines="50" w:line="420" w:lineRule="exact"/>
              <w:rPr>
                <w:szCs w:val="21"/>
              </w:rPr>
            </w:pPr>
            <w:r>
              <w:rPr>
                <w:rFonts w:hint="eastAsia" w:ascii="Times New Roman"/>
                <w:szCs w:val="21"/>
              </w:rPr>
              <w:t>致 ：</w:t>
            </w:r>
            <w:r>
              <w:rPr>
                <w:rFonts w:hint="eastAsia" w:ascii="Times New Roman"/>
                <w:szCs w:val="21"/>
                <w:u w:val="single"/>
              </w:rPr>
              <w:t xml:space="preserve">                       </w:t>
            </w:r>
            <w:r>
              <w:rPr>
                <w:rFonts w:hint="eastAsia" w:ascii="Times New Roman"/>
                <w:szCs w:val="21"/>
              </w:rPr>
              <w:t xml:space="preserve"> （主管部门） </w:t>
            </w:r>
          </w:p>
          <w:p>
            <w:pPr>
              <w:spacing w:line="420" w:lineRule="exact"/>
              <w:ind w:firstLine="420" w:firstLineChars="200"/>
              <w:rPr>
                <w:rFonts w:ascii="Times New Roman" w:hAnsi="Times New Roman"/>
                <w:szCs w:val="21"/>
              </w:rPr>
            </w:pPr>
            <w:r>
              <w:rPr>
                <w:rFonts w:hint="eastAsia"/>
                <w:szCs w:val="21"/>
              </w:rPr>
              <w:t>由</w:t>
            </w:r>
            <w:r>
              <w:rPr>
                <w:rFonts w:hint="eastAsia" w:ascii="Times New Roman"/>
                <w:szCs w:val="21"/>
                <w:u w:val="single"/>
              </w:rPr>
              <w:t xml:space="preserve">                </w:t>
            </w:r>
            <w:r>
              <w:rPr>
                <w:rFonts w:hint="eastAsia"/>
                <w:szCs w:val="21"/>
              </w:rPr>
              <w:t>（施工单位）施工的</w:t>
            </w:r>
            <w:r>
              <w:rPr>
                <w:rFonts w:hint="eastAsia" w:ascii="Times New Roman"/>
                <w:szCs w:val="21"/>
                <w:u w:val="single"/>
              </w:rPr>
              <w:t xml:space="preserve">                </w:t>
            </w:r>
            <w:r>
              <w:rPr>
                <w:rFonts w:hint="eastAsia"/>
                <w:szCs w:val="21"/>
              </w:rPr>
              <w:t>（工程部位），存在安全事故隐患。我方已于</w:t>
            </w:r>
            <w:r>
              <w:rPr>
                <w:rFonts w:hint="eastAsia" w:ascii="Times New Roman"/>
                <w:szCs w:val="21"/>
                <w:u w:val="single"/>
              </w:rPr>
              <w:t xml:space="preserve">     </w:t>
            </w:r>
            <w:r>
              <w:rPr>
                <w:rFonts w:hint="eastAsia"/>
                <w:szCs w:val="21"/>
              </w:rPr>
              <w:t>年</w:t>
            </w:r>
            <w:r>
              <w:rPr>
                <w:rFonts w:hint="eastAsia" w:ascii="Times New Roman"/>
                <w:szCs w:val="21"/>
                <w:u w:val="single"/>
              </w:rPr>
              <w:t xml:space="preserve">     </w:t>
            </w:r>
            <w:r>
              <w:rPr>
                <w:rFonts w:hint="eastAsia"/>
                <w:szCs w:val="21"/>
              </w:rPr>
              <w:t>月</w:t>
            </w:r>
            <w:r>
              <w:rPr>
                <w:rFonts w:hint="eastAsia" w:ascii="Times New Roman"/>
                <w:szCs w:val="21"/>
                <w:u w:val="single"/>
              </w:rPr>
              <w:t xml:space="preserve">     </w:t>
            </w:r>
            <w:r>
              <w:rPr>
                <w:rFonts w:hint="eastAsia"/>
                <w:szCs w:val="21"/>
              </w:rPr>
              <w:t>日发出编号为</w:t>
            </w:r>
            <w:r>
              <w:rPr>
                <w:szCs w:val="21"/>
                <w:u w:val="single"/>
              </w:rPr>
              <w:t xml:space="preserve">                 </w:t>
            </w:r>
            <w:r>
              <w:rPr>
                <w:rFonts w:hint="eastAsia"/>
                <w:szCs w:val="21"/>
              </w:rPr>
              <w:t>的</w:t>
            </w:r>
            <w:r>
              <w:rPr>
                <w:rFonts w:hint="eastAsia" w:ascii="Times New Roman" w:hAnsi="Times New Roman"/>
                <w:szCs w:val="21"/>
              </w:rPr>
              <w:t>《监理通知单》</w:t>
            </w:r>
          </w:p>
          <w:p>
            <w:pPr>
              <w:spacing w:line="420" w:lineRule="exact"/>
              <w:rPr>
                <w:rFonts w:hint="eastAsia"/>
                <w:szCs w:val="21"/>
              </w:rPr>
            </w:pPr>
            <w:r>
              <w:rPr>
                <w:rFonts w:hint="eastAsia" w:ascii="Times New Roman" w:hAnsi="Times New Roman"/>
                <w:szCs w:val="21"/>
              </w:rPr>
              <w:t>和</w:t>
            </w:r>
            <w:r>
              <w:rPr>
                <w:rFonts w:hint="eastAsia" w:ascii="Times New Roman"/>
                <w:szCs w:val="21"/>
                <w:u w:val="single"/>
              </w:rPr>
              <w:t xml:space="preserve">     </w:t>
            </w:r>
            <w:r>
              <w:rPr>
                <w:rFonts w:hint="eastAsia"/>
                <w:szCs w:val="21"/>
              </w:rPr>
              <w:t>年</w:t>
            </w:r>
            <w:r>
              <w:rPr>
                <w:rFonts w:hint="eastAsia" w:ascii="Times New Roman"/>
                <w:szCs w:val="21"/>
                <w:u w:val="single"/>
              </w:rPr>
              <w:t xml:space="preserve">     </w:t>
            </w:r>
            <w:r>
              <w:rPr>
                <w:rFonts w:hint="eastAsia"/>
                <w:szCs w:val="21"/>
              </w:rPr>
              <w:t>月</w:t>
            </w:r>
            <w:r>
              <w:rPr>
                <w:rFonts w:hint="eastAsia" w:ascii="Times New Roman"/>
                <w:szCs w:val="21"/>
                <w:u w:val="single"/>
              </w:rPr>
              <w:t xml:space="preserve">     </w:t>
            </w:r>
            <w:r>
              <w:rPr>
                <w:rFonts w:hint="eastAsia"/>
                <w:szCs w:val="21"/>
              </w:rPr>
              <w:t>日发出</w:t>
            </w:r>
            <w:r>
              <w:rPr>
                <w:rFonts w:hint="eastAsia" w:ascii="Times New Roman" w:hAnsi="Times New Roman"/>
                <w:szCs w:val="21"/>
              </w:rPr>
              <w:t>编号为</w:t>
            </w:r>
            <w:r>
              <w:rPr>
                <w:szCs w:val="21"/>
                <w:u w:val="single"/>
              </w:rPr>
              <w:t xml:space="preserve">                </w:t>
            </w:r>
            <w:r>
              <w:rPr>
                <w:szCs w:val="21"/>
              </w:rPr>
              <w:t xml:space="preserve"> </w:t>
            </w:r>
            <w:r>
              <w:rPr>
                <w:rFonts w:hint="eastAsia"/>
                <w:szCs w:val="21"/>
              </w:rPr>
              <w:t>的</w:t>
            </w:r>
            <w:r>
              <w:rPr>
                <w:rFonts w:hint="eastAsia" w:ascii="Times New Roman" w:hAnsi="Times New Roman"/>
                <w:szCs w:val="21"/>
              </w:rPr>
              <w:t>《工程暂停令》，但施</w:t>
            </w:r>
            <w:r>
              <w:rPr>
                <w:rFonts w:hint="eastAsia"/>
                <w:szCs w:val="21"/>
              </w:rPr>
              <w:t>工单位未整改，也未暂停施工。</w:t>
            </w:r>
          </w:p>
          <w:p>
            <w:pPr>
              <w:spacing w:line="420" w:lineRule="exact"/>
              <w:rPr>
                <w:szCs w:val="21"/>
              </w:rPr>
            </w:pPr>
            <w:r>
              <w:rPr>
                <w:szCs w:val="21"/>
              </w:rPr>
              <w:t xml:space="preserve">    </w:t>
            </w:r>
            <w:r>
              <w:rPr>
                <w:rFonts w:hint="eastAsia"/>
                <w:szCs w:val="21"/>
              </w:rPr>
              <w:t>特此报告。</w:t>
            </w:r>
          </w:p>
          <w:p>
            <w:pPr>
              <w:spacing w:line="420" w:lineRule="exact"/>
              <w:rPr>
                <w:szCs w:val="21"/>
              </w:rPr>
            </w:pPr>
          </w:p>
          <w:p>
            <w:pPr>
              <w:spacing w:line="420" w:lineRule="exact"/>
              <w:rPr>
                <w:szCs w:val="21"/>
              </w:rPr>
            </w:pPr>
            <w:r>
              <w:rPr>
                <w:szCs w:val="21"/>
              </w:rPr>
              <w:t xml:space="preserve">    </w:t>
            </w:r>
            <w:r>
              <w:rPr>
                <w:rFonts w:hint="eastAsia"/>
                <w:szCs w:val="21"/>
              </w:rPr>
              <w:t>附件：</w:t>
            </w:r>
          </w:p>
          <w:p>
            <w:pPr>
              <w:spacing w:line="420" w:lineRule="exact"/>
              <w:rPr>
                <w:szCs w:val="21"/>
              </w:rPr>
            </w:pPr>
            <w:r>
              <w:rPr>
                <w:szCs w:val="21"/>
              </w:rPr>
              <w:t xml:space="preserve">    </w:t>
            </w:r>
            <w:r>
              <w:rPr>
                <w:rFonts w:hint="eastAsia"/>
                <w:szCs w:val="21"/>
              </w:rPr>
              <w:t>□</w:t>
            </w:r>
            <w:r>
              <w:rPr>
                <w:szCs w:val="21"/>
              </w:rPr>
              <w:t xml:space="preserve"> </w:t>
            </w:r>
            <w:r>
              <w:rPr>
                <w:rFonts w:hint="eastAsia"/>
                <w:szCs w:val="21"/>
              </w:rPr>
              <w:t>监理通知单</w:t>
            </w:r>
          </w:p>
          <w:p>
            <w:pPr>
              <w:spacing w:line="420" w:lineRule="exact"/>
              <w:rPr>
                <w:szCs w:val="21"/>
              </w:rPr>
            </w:pPr>
            <w:r>
              <w:rPr>
                <w:szCs w:val="21"/>
              </w:rPr>
              <w:t xml:space="preserve">    </w:t>
            </w:r>
            <w:r>
              <w:rPr>
                <w:rFonts w:hint="eastAsia"/>
                <w:szCs w:val="21"/>
              </w:rPr>
              <w:t>□</w:t>
            </w:r>
            <w:r>
              <w:rPr>
                <w:szCs w:val="21"/>
              </w:rPr>
              <w:t xml:space="preserve"> </w:t>
            </w:r>
            <w:r>
              <w:rPr>
                <w:rFonts w:hint="eastAsia"/>
                <w:szCs w:val="21"/>
              </w:rPr>
              <w:t>工程暂停令</w:t>
            </w:r>
          </w:p>
          <w:p>
            <w:pPr>
              <w:spacing w:line="420" w:lineRule="exact"/>
              <w:rPr>
                <w:szCs w:val="21"/>
              </w:rPr>
            </w:pPr>
            <w:r>
              <w:rPr>
                <w:szCs w:val="21"/>
              </w:rPr>
              <w:t xml:space="preserve">    </w:t>
            </w:r>
            <w:r>
              <w:rPr>
                <w:rFonts w:hint="eastAsia"/>
                <w:szCs w:val="21"/>
              </w:rPr>
              <w:t>□</w:t>
            </w:r>
            <w:r>
              <w:rPr>
                <w:szCs w:val="21"/>
              </w:rPr>
              <w:t xml:space="preserve"> </w:t>
            </w:r>
            <w:r>
              <w:rPr>
                <w:rFonts w:hint="eastAsia"/>
                <w:szCs w:val="21"/>
              </w:rPr>
              <w:t>其它</w:t>
            </w:r>
            <w:r>
              <w:rPr>
                <w:szCs w:val="21"/>
              </w:rPr>
              <w:t xml:space="preserve">  </w:t>
            </w:r>
          </w:p>
          <w:p>
            <w:pPr>
              <w:spacing w:line="420" w:lineRule="exact"/>
              <w:rPr>
                <w:szCs w:val="21"/>
              </w:rPr>
            </w:pPr>
          </w:p>
          <w:p>
            <w:pPr>
              <w:spacing w:line="420" w:lineRule="exact"/>
              <w:rPr>
                <w:szCs w:val="21"/>
              </w:rPr>
            </w:pPr>
          </w:p>
          <w:p>
            <w:pPr>
              <w:spacing w:line="420" w:lineRule="exact"/>
              <w:rPr>
                <w:szCs w:val="21"/>
              </w:rPr>
            </w:pPr>
          </w:p>
          <w:p>
            <w:pPr>
              <w:spacing w:line="240" w:lineRule="exact"/>
              <w:rPr>
                <w:szCs w:val="21"/>
              </w:rPr>
            </w:pPr>
          </w:p>
          <w:p>
            <w:pPr>
              <w:ind w:firstLine="2940" w:firstLineChars="1400"/>
              <w:rPr>
                <w:rFonts w:ascii="Times New Roman" w:hAnsi="Times New Roman"/>
                <w:bCs/>
                <w:szCs w:val="21"/>
                <w:u w:val="single"/>
              </w:rPr>
            </w:pPr>
            <w:r>
              <w:rPr>
                <w:rFonts w:hint="eastAsia" w:ascii="Times New Roman" w:hAnsi="Times New Roman"/>
                <w:bCs/>
                <w:szCs w:val="21"/>
              </w:rPr>
              <w:t xml:space="preserve">项目监理机构(章)： </w:t>
            </w:r>
            <w:r>
              <w:rPr>
                <w:rFonts w:hint="eastAsia" w:ascii="Times New Roman" w:hAnsi="Times New Roman"/>
                <w:bCs/>
                <w:szCs w:val="21"/>
                <w:u w:val="single"/>
              </w:rPr>
              <w:t xml:space="preserve">                                </w:t>
            </w:r>
          </w:p>
          <w:p>
            <w:pPr>
              <w:spacing w:before="312" w:beforeLines="100"/>
              <w:ind w:firstLine="525" w:firstLineChars="250"/>
              <w:rPr>
                <w:rFonts w:hint="eastAsia"/>
                <w:szCs w:val="21"/>
                <w:u w:val="single"/>
              </w:rPr>
            </w:pPr>
            <w:r>
              <w:rPr>
                <w:szCs w:val="21"/>
              </w:rPr>
              <w:t xml:space="preserve">                       </w:t>
            </w:r>
            <w:r>
              <w:rPr>
                <w:rFonts w:hint="eastAsia"/>
                <w:szCs w:val="21"/>
              </w:rPr>
              <w:t>总监理工程师</w:t>
            </w:r>
            <w:r>
              <w:rPr>
                <w:szCs w:val="21"/>
              </w:rPr>
              <w:t>/</w:t>
            </w:r>
            <w:r>
              <w:rPr>
                <w:rFonts w:hint="eastAsia"/>
                <w:szCs w:val="21"/>
              </w:rPr>
              <w:t>总监理工程师代表（签字）：</w:t>
            </w:r>
            <w:r>
              <w:rPr>
                <w:rFonts w:hint="eastAsia"/>
                <w:szCs w:val="21"/>
                <w:u w:val="single"/>
              </w:rPr>
              <w:t>　　</w:t>
            </w:r>
            <w:r>
              <w:rPr>
                <w:szCs w:val="21"/>
                <w:u w:val="single"/>
              </w:rPr>
              <w:t> </w:t>
            </w:r>
            <w:r>
              <w:rPr>
                <w:rFonts w:hint="eastAsia"/>
                <w:szCs w:val="21"/>
                <w:u w:val="single"/>
              </w:rPr>
              <w:t>　　　</w:t>
            </w:r>
            <w:r>
              <w:rPr>
                <w:szCs w:val="21"/>
                <w:u w:val="single"/>
              </w:rPr>
              <w:t xml:space="preserve"> </w:t>
            </w:r>
            <w:r>
              <w:rPr>
                <w:rFonts w:hint="eastAsia"/>
                <w:szCs w:val="21"/>
                <w:u w:val="single"/>
              </w:rPr>
              <w:t>　</w:t>
            </w:r>
          </w:p>
          <w:p>
            <w:pPr>
              <w:spacing w:before="156" w:beforeLines="50"/>
              <w:ind w:firstLine="525" w:firstLineChars="250"/>
              <w:rPr>
                <w:szCs w:val="21"/>
                <w:u w:val="single"/>
              </w:rPr>
            </w:pPr>
            <w:r>
              <w:rPr>
                <w:bCs/>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74" w:hRule="atLeast"/>
        </w:trPr>
        <w:tc>
          <w:tcPr>
            <w:tcW w:w="8668" w:type="dxa"/>
            <w:gridSpan w:val="4"/>
            <w:tcBorders>
              <w:top w:val="single" w:color="auto" w:sz="4" w:space="0"/>
              <w:left w:val="single" w:color="auto" w:sz="8" w:space="0"/>
              <w:bottom w:val="single" w:color="auto" w:sz="8" w:space="0"/>
              <w:right w:val="single" w:color="auto" w:sz="8" w:space="0"/>
            </w:tcBorders>
            <w:noWrap w:val="0"/>
            <w:vAlign w:val="center"/>
          </w:tcPr>
          <w:p>
            <w:pPr>
              <w:spacing w:line="320" w:lineRule="exact"/>
              <w:rPr>
                <w:szCs w:val="21"/>
              </w:rPr>
            </w:pPr>
            <w:r>
              <w:rPr>
                <w:rFonts w:hint="eastAsia"/>
                <w:szCs w:val="21"/>
              </w:rPr>
              <w:t>注：当发现存在安全事故隐患并已要求施工单位整改，但施工单位拒不整改或不停止施工时，项目监理机构采用本报告及时向有关主管部门报告。</w:t>
            </w:r>
          </w:p>
        </w:tc>
      </w:tr>
    </w:tbl>
    <w:p>
      <w:pPr>
        <w:rPr>
          <w:rFonts w:ascii="Times New Roman" w:eastAsia="隶书"/>
        </w:rPr>
      </w:pPr>
      <w:r>
        <w:rPr>
          <w:rFonts w:hint="eastAsia" w:ascii="Times New Roman" w:eastAsia="隶书"/>
        </w:rPr>
        <w:t>第六版表                                              江苏省住房和城乡建设厅监制</w:t>
      </w:r>
    </w:p>
    <w:p>
      <w:pPr>
        <w:widowControl/>
        <w:jc w:val="left"/>
        <w:rPr>
          <w:rFonts w:ascii="Times New Roman" w:eastAsia="黑体"/>
          <w:bCs/>
          <w:sz w:val="44"/>
          <w:szCs w:val="28"/>
        </w:rPr>
        <w:sectPr>
          <w:pgSz w:w="11906" w:h="16838"/>
          <w:pgMar w:top="1021" w:right="1701" w:bottom="3115" w:left="1701" w:header="851" w:footer="1191" w:gutter="0"/>
          <w:cols w:space="720" w:num="1"/>
          <w:docGrid w:type="lines" w:linePitch="312" w:charSpace="0"/>
        </w:sectPr>
      </w:pPr>
    </w:p>
    <w:p>
      <w:pPr>
        <w:spacing w:line="380" w:lineRule="exact"/>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A.0.15</w:t>
      </w:r>
    </w:p>
    <w:p>
      <w:pPr>
        <w:spacing w:before="312" w:beforeLines="100" w:after="156" w:afterLines="50"/>
        <w:jc w:val="center"/>
        <w:rPr>
          <w:rFonts w:ascii="Times New Roman" w:hAnsi="Times New Roman" w:eastAsia="黑体"/>
          <w:sz w:val="44"/>
          <w:szCs w:val="44"/>
        </w:rPr>
      </w:pPr>
      <w:r>
        <w:rPr>
          <w:rFonts w:hint="eastAsia" w:eastAsia="微软简标宋"/>
          <w:sz w:val="32"/>
          <w:u w:val="single"/>
        </w:rPr>
        <w:t>　　　　　　　　</w:t>
      </w:r>
      <w:r>
        <w:rPr>
          <w:rFonts w:eastAsia="微软简标宋"/>
          <w:sz w:val="32"/>
          <w:u w:val="single"/>
        </w:rPr>
        <w:t xml:space="preserve">     </w:t>
      </w:r>
      <w:r>
        <w:rPr>
          <w:rFonts w:hint="eastAsia" w:eastAsia="微软简标宋"/>
          <w:sz w:val="32"/>
          <w:u w:val="single"/>
        </w:rPr>
        <w:t>　　　</w:t>
      </w:r>
      <w:r>
        <w:rPr>
          <w:rFonts w:eastAsia="微软简标宋"/>
          <w:sz w:val="32"/>
          <w:u w:val="single"/>
        </w:rPr>
        <w:t xml:space="preserve">  </w:t>
      </w:r>
      <w:r>
        <w:rPr>
          <w:rFonts w:hint="eastAsia" w:eastAsia="微软简标宋"/>
          <w:sz w:val="32"/>
          <w:u w:val="single"/>
        </w:rPr>
        <w:t>　　　　　</w:t>
      </w:r>
      <w:r>
        <w:rPr>
          <w:rFonts w:hint="eastAsia" w:ascii="Times New Roman" w:hAnsi="Times New Roman" w:eastAsia="黑体"/>
          <w:sz w:val="44"/>
          <w:szCs w:val="44"/>
        </w:rPr>
        <w:t>工程</w:t>
      </w:r>
    </w:p>
    <w:p>
      <w:pPr>
        <w:spacing w:before="312" w:beforeLines="100" w:after="312" w:afterLines="100"/>
        <w:jc w:val="center"/>
        <w:rPr>
          <w:rFonts w:hint="eastAsia" w:eastAsia="黑体"/>
          <w:snapToGrid w:val="0"/>
          <w:w w:val="150"/>
          <w:kern w:val="0"/>
          <w:sz w:val="52"/>
          <w:szCs w:val="52"/>
        </w:rPr>
      </w:pPr>
      <w:r>
        <w:rPr>
          <w:rFonts w:hint="eastAsia" w:eastAsia="黑体"/>
          <w:snapToGrid w:val="0"/>
          <w:w w:val="150"/>
          <w:kern w:val="0"/>
          <w:sz w:val="52"/>
          <w:szCs w:val="52"/>
        </w:rPr>
        <w:t>工程质量评估报告</w:t>
      </w:r>
    </w:p>
    <w:p>
      <w:pPr>
        <w:spacing w:line="0" w:lineRule="atLeast"/>
        <w:jc w:val="center"/>
        <w:rPr>
          <w:rFonts w:eastAsia="黑体"/>
          <w:snapToGrid w:val="0"/>
          <w:kern w:val="0"/>
          <w:sz w:val="52"/>
        </w:rPr>
      </w:pPr>
    </w:p>
    <w:p>
      <w:pPr>
        <w:spacing w:line="480" w:lineRule="exact"/>
        <w:ind w:firstLine="3161" w:firstLineChars="1312"/>
        <w:rPr>
          <w:b/>
          <w:sz w:val="24"/>
        </w:rPr>
      </w:pPr>
      <w:r>
        <w:rPr>
          <w:rFonts w:hint="eastAsia"/>
          <w:b/>
          <w:sz w:val="24"/>
        </w:rPr>
        <w:t>内容提要：</w:t>
      </w:r>
      <w:r>
        <w:rPr>
          <w:b/>
          <w:sz w:val="24"/>
        </w:rPr>
        <w:t xml:space="preserve"> </w:t>
      </w:r>
    </w:p>
    <w:p>
      <w:pPr>
        <w:spacing w:line="480" w:lineRule="exact"/>
        <w:ind w:firstLine="3148" w:firstLineChars="1312"/>
        <w:rPr>
          <w:sz w:val="24"/>
        </w:rPr>
      </w:pPr>
      <w:r>
        <w:rPr>
          <w:rFonts w:hint="eastAsia"/>
          <w:sz w:val="24"/>
        </w:rPr>
        <w:t>工程概况</w:t>
      </w:r>
    </w:p>
    <w:p>
      <w:pPr>
        <w:spacing w:line="480" w:lineRule="exact"/>
        <w:ind w:firstLine="3148" w:firstLineChars="1312"/>
        <w:rPr>
          <w:sz w:val="24"/>
        </w:rPr>
      </w:pPr>
      <w:r>
        <w:rPr>
          <w:rFonts w:hint="eastAsia"/>
          <w:sz w:val="24"/>
        </w:rPr>
        <w:t>工程各参建单位</w:t>
      </w:r>
    </w:p>
    <w:p>
      <w:pPr>
        <w:spacing w:line="480" w:lineRule="exact"/>
        <w:ind w:firstLine="3148" w:firstLineChars="1312"/>
        <w:rPr>
          <w:sz w:val="24"/>
        </w:rPr>
      </w:pPr>
      <w:r>
        <w:rPr>
          <w:rFonts w:hint="eastAsia"/>
          <w:sz w:val="24"/>
        </w:rPr>
        <w:t>工程质量验收情况</w:t>
      </w:r>
    </w:p>
    <w:p>
      <w:pPr>
        <w:spacing w:line="480" w:lineRule="exact"/>
        <w:ind w:firstLine="3148" w:firstLineChars="1312"/>
        <w:rPr>
          <w:sz w:val="24"/>
        </w:rPr>
      </w:pPr>
      <w:r>
        <w:rPr>
          <w:rFonts w:hint="eastAsia"/>
          <w:sz w:val="24"/>
        </w:rPr>
        <w:t>工程质量事故及其处理情况</w:t>
      </w:r>
    </w:p>
    <w:p>
      <w:pPr>
        <w:spacing w:line="480" w:lineRule="exact"/>
        <w:ind w:firstLine="3148" w:firstLineChars="1312"/>
        <w:rPr>
          <w:sz w:val="24"/>
        </w:rPr>
      </w:pPr>
      <w:r>
        <w:rPr>
          <w:rFonts w:hint="eastAsia"/>
          <w:sz w:val="24"/>
        </w:rPr>
        <w:t>竣工资料审查情况</w:t>
      </w:r>
    </w:p>
    <w:p>
      <w:pPr>
        <w:spacing w:line="480" w:lineRule="exact"/>
        <w:ind w:firstLine="3148" w:firstLineChars="1312"/>
        <w:rPr>
          <w:sz w:val="24"/>
        </w:rPr>
      </w:pPr>
      <w:r>
        <w:rPr>
          <w:rFonts w:hint="eastAsia"/>
          <w:sz w:val="24"/>
        </w:rPr>
        <w:t>工程质量评估结论</w:t>
      </w:r>
    </w:p>
    <w:p>
      <w:pPr>
        <w:ind w:firstLine="2520" w:firstLineChars="1200"/>
        <w:rPr>
          <w:bCs/>
          <w:snapToGrid w:val="0"/>
          <w:kern w:val="0"/>
          <w:szCs w:val="28"/>
        </w:rPr>
      </w:pPr>
    </w:p>
    <w:p>
      <w:pPr>
        <w:ind w:firstLine="2520" w:firstLineChars="1200"/>
        <w:rPr>
          <w:bCs/>
          <w:snapToGrid w:val="0"/>
          <w:kern w:val="0"/>
          <w:szCs w:val="28"/>
        </w:rPr>
      </w:pPr>
    </w:p>
    <w:p>
      <w:pPr>
        <w:tabs>
          <w:tab w:val="left" w:pos="7030"/>
        </w:tabs>
        <w:spacing w:line="560" w:lineRule="exact"/>
        <w:ind w:firstLine="2072" w:firstLineChars="688"/>
        <w:rPr>
          <w:b/>
          <w:sz w:val="30"/>
          <w:szCs w:val="30"/>
          <w:u w:val="single"/>
        </w:rPr>
      </w:pPr>
      <w:r>
        <w:rPr>
          <w:rFonts w:hint="eastAsia"/>
          <w:b/>
          <w:sz w:val="30"/>
          <w:szCs w:val="30"/>
        </w:rPr>
        <w:t>建设单位：</w:t>
      </w:r>
      <w:r>
        <w:rPr>
          <w:sz w:val="30"/>
          <w:szCs w:val="30"/>
          <w:u w:val="single"/>
        </w:rPr>
        <w:t xml:space="preserve">                        </w:t>
      </w:r>
    </w:p>
    <w:p>
      <w:pPr>
        <w:spacing w:line="560" w:lineRule="exact"/>
        <w:ind w:firstLine="2042" w:firstLineChars="678"/>
        <w:jc w:val="left"/>
        <w:rPr>
          <w:sz w:val="30"/>
          <w:szCs w:val="30"/>
          <w:u w:val="single"/>
        </w:rPr>
      </w:pPr>
      <w:r>
        <w:rPr>
          <w:rFonts w:hint="eastAsia"/>
          <w:b/>
          <w:sz w:val="30"/>
          <w:szCs w:val="30"/>
        </w:rPr>
        <w:t>设计单位：</w:t>
      </w:r>
      <w:r>
        <w:rPr>
          <w:sz w:val="30"/>
          <w:szCs w:val="30"/>
          <w:u w:val="single"/>
        </w:rPr>
        <w:t xml:space="preserve">                       </w:t>
      </w:r>
    </w:p>
    <w:p>
      <w:pPr>
        <w:spacing w:line="560" w:lineRule="exact"/>
        <w:ind w:firstLine="2042" w:firstLineChars="678"/>
        <w:jc w:val="left"/>
        <w:rPr>
          <w:sz w:val="30"/>
          <w:szCs w:val="30"/>
        </w:rPr>
      </w:pPr>
      <w:r>
        <w:rPr>
          <w:rFonts w:hint="eastAsia"/>
          <w:b/>
          <w:sz w:val="30"/>
          <w:szCs w:val="30"/>
        </w:rPr>
        <w:t>施工单位：</w:t>
      </w:r>
      <w:r>
        <w:rPr>
          <w:sz w:val="30"/>
          <w:szCs w:val="30"/>
          <w:u w:val="single"/>
        </w:rPr>
        <w:t xml:space="preserve">                        </w:t>
      </w:r>
    </w:p>
    <w:p>
      <w:pPr>
        <w:spacing w:line="560" w:lineRule="exact"/>
        <w:ind w:firstLine="2042" w:firstLineChars="678"/>
        <w:jc w:val="left"/>
        <w:rPr>
          <w:sz w:val="30"/>
          <w:szCs w:val="30"/>
        </w:rPr>
      </w:pPr>
      <w:r>
        <w:rPr>
          <w:rFonts w:hint="eastAsia"/>
          <w:b/>
          <w:sz w:val="30"/>
          <w:szCs w:val="30"/>
        </w:rPr>
        <w:t>监理单位</w:t>
      </w:r>
      <w:r>
        <w:rPr>
          <w:b/>
          <w:sz w:val="30"/>
          <w:szCs w:val="30"/>
        </w:rPr>
        <w:t>(</w:t>
      </w:r>
      <w:r>
        <w:rPr>
          <w:rFonts w:hint="eastAsia"/>
          <w:b/>
          <w:sz w:val="30"/>
          <w:szCs w:val="30"/>
        </w:rPr>
        <w:t>章</w:t>
      </w:r>
      <w:r>
        <w:rPr>
          <w:b/>
          <w:sz w:val="30"/>
          <w:szCs w:val="30"/>
        </w:rPr>
        <w:t>)</w:t>
      </w:r>
      <w:r>
        <w:rPr>
          <w:rFonts w:hint="eastAsia"/>
          <w:b/>
          <w:sz w:val="30"/>
          <w:szCs w:val="30"/>
        </w:rPr>
        <w:t>：</w:t>
      </w:r>
      <w:r>
        <w:rPr>
          <w:sz w:val="30"/>
          <w:szCs w:val="30"/>
          <w:u w:val="single"/>
        </w:rPr>
        <w:t xml:space="preserve">                     </w:t>
      </w:r>
    </w:p>
    <w:p>
      <w:pPr>
        <w:spacing w:line="560" w:lineRule="exact"/>
        <w:ind w:firstLine="2042" w:firstLineChars="678"/>
        <w:jc w:val="left"/>
        <w:rPr>
          <w:sz w:val="30"/>
          <w:szCs w:val="30"/>
        </w:rPr>
      </w:pPr>
      <w:r>
        <w:rPr>
          <w:rFonts w:hint="eastAsia"/>
          <w:b/>
          <w:sz w:val="30"/>
          <w:szCs w:val="30"/>
        </w:rPr>
        <w:t>总监理工程师（签字）：</w:t>
      </w:r>
      <w:r>
        <w:rPr>
          <w:sz w:val="30"/>
          <w:szCs w:val="30"/>
          <w:u w:val="single"/>
        </w:rPr>
        <w:t xml:space="preserve">           </w:t>
      </w:r>
    </w:p>
    <w:p>
      <w:pPr>
        <w:spacing w:line="560" w:lineRule="exact"/>
        <w:ind w:firstLine="2042" w:firstLineChars="678"/>
        <w:jc w:val="left"/>
        <w:rPr>
          <w:sz w:val="30"/>
          <w:szCs w:val="30"/>
        </w:rPr>
      </w:pPr>
      <w:r>
        <w:rPr>
          <w:rFonts w:hint="eastAsia"/>
          <w:b/>
          <w:sz w:val="30"/>
          <w:szCs w:val="30"/>
        </w:rPr>
        <w:t>监理单位技术负责人（签字）：</w:t>
      </w:r>
      <w:r>
        <w:rPr>
          <w:sz w:val="30"/>
          <w:szCs w:val="30"/>
          <w:u w:val="single"/>
        </w:rPr>
        <w:t xml:space="preserve">     </w:t>
      </w:r>
    </w:p>
    <w:p>
      <w:pPr>
        <w:spacing w:line="560" w:lineRule="exact"/>
        <w:ind w:firstLine="2042" w:firstLineChars="678"/>
        <w:jc w:val="left"/>
        <w:rPr>
          <w:bCs/>
          <w:snapToGrid w:val="0"/>
          <w:kern w:val="0"/>
          <w:szCs w:val="28"/>
        </w:rPr>
      </w:pPr>
      <w:r>
        <w:rPr>
          <w:rFonts w:hint="eastAsia"/>
          <w:b/>
          <w:sz w:val="30"/>
          <w:szCs w:val="30"/>
        </w:rPr>
        <w:t>日</w:t>
      </w:r>
      <w:r>
        <w:rPr>
          <w:b/>
          <w:sz w:val="30"/>
          <w:szCs w:val="30"/>
        </w:rPr>
        <w:t xml:space="preserve">    </w:t>
      </w:r>
      <w:r>
        <w:rPr>
          <w:rFonts w:hint="eastAsia"/>
          <w:b/>
          <w:sz w:val="30"/>
          <w:szCs w:val="30"/>
        </w:rPr>
        <w:t>期：</w:t>
      </w:r>
      <w:r>
        <w:rPr>
          <w:sz w:val="30"/>
          <w:szCs w:val="30"/>
          <w:u w:val="single"/>
        </w:rPr>
        <w:t xml:space="preserve">                        </w:t>
      </w:r>
    </w:p>
    <w:p>
      <w:pPr>
        <w:rPr>
          <w:bCs/>
          <w:snapToGrid w:val="0"/>
          <w:kern w:val="0"/>
        </w:rPr>
      </w:pPr>
    </w:p>
    <w:p/>
    <w:p>
      <w:pPr>
        <w:jc w:val="center"/>
        <w:rPr>
          <w:rFonts w:eastAsia="隶书"/>
        </w:rPr>
      </w:pPr>
    </w:p>
    <w:p>
      <w:pPr>
        <w:jc w:val="center"/>
        <w:rPr>
          <w:rFonts w:eastAsia="隶书"/>
        </w:rPr>
      </w:pPr>
    </w:p>
    <w:p>
      <w:pPr>
        <w:jc w:val="center"/>
        <w:rPr>
          <w:rFonts w:eastAsia="隶书"/>
        </w:rPr>
      </w:pPr>
    </w:p>
    <w:p>
      <w:pPr>
        <w:jc w:val="center"/>
        <w:rPr>
          <w:rFonts w:eastAsia="隶书"/>
        </w:rPr>
      </w:pPr>
    </w:p>
    <w:p>
      <w:pPr>
        <w:jc w:val="center"/>
        <w:rPr>
          <w:rFonts w:eastAsia="隶书"/>
        </w:rPr>
      </w:pPr>
    </w:p>
    <w:p>
      <w:pPr>
        <w:jc w:val="center"/>
        <w:rPr>
          <w:rFonts w:eastAsia="隶书"/>
        </w:rPr>
      </w:pPr>
      <w:r>
        <w:rPr>
          <w:rFonts w:hint="eastAsia" w:ascii="Times New Roman" w:eastAsia="隶书"/>
        </w:rPr>
        <w:t xml:space="preserve">第六版表                                              </w:t>
      </w:r>
      <w:r>
        <w:rPr>
          <w:rFonts w:hint="eastAsia" w:eastAsia="隶书"/>
        </w:rPr>
        <w:t>江苏省住房和城乡建设厅监制</w:t>
      </w:r>
    </w:p>
    <w:p>
      <w:pPr>
        <w:jc w:val="center"/>
      </w:pPr>
    </w:p>
    <w:p>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A.0.16</w:t>
      </w:r>
    </w:p>
    <w:p>
      <w:pPr>
        <w:pStyle w:val="11"/>
        <w:spacing w:before="312" w:beforeLines="100" w:after="156" w:afterLines="50"/>
        <w:rPr>
          <w:rFonts w:ascii="Times New Roman" w:hAnsi="Times New Roman" w:eastAsia="黑体"/>
          <w:sz w:val="44"/>
          <w:szCs w:val="44"/>
          <w14:shadow w14:blurRad="50800" w14:dist="38100" w14:dir="2700000" w14:sx="100000" w14:sy="100000" w14:kx="0" w14:ky="0" w14:algn="tl">
            <w14:srgbClr w14:val="000000">
              <w14:alpha w14:val="60000"/>
            </w14:srgbClr>
          </w14:shadow>
        </w:rPr>
      </w:pPr>
      <w:r>
        <w:rPr>
          <w:rFonts w:ascii="Times New Roman" w:hAnsi="Times New Roman"/>
          <w:u w:val="single"/>
        </w:rPr>
        <w:t xml:space="preserve">                                           </w:t>
      </w:r>
      <w:r>
        <w:rPr>
          <w:rFonts w:hint="eastAsia" w:ascii="Times New Roman" w:hAnsi="Times New Roman"/>
          <w:u w:val="single"/>
        </w:rPr>
        <w:t>　　</w:t>
      </w:r>
      <w:bookmarkStart w:id="502" w:name="_Toc20726519"/>
      <w:bookmarkStart w:id="503" w:name="_Toc20667990"/>
      <w:r>
        <w:rPr>
          <w:rFonts w:hint="eastAsia" w:ascii="Times New Roman" w:hAnsi="Times New Roman" w:eastAsia="黑体"/>
          <w:sz w:val="44"/>
          <w:szCs w:val="44"/>
        </w:rPr>
        <w:t>工程</w:t>
      </w:r>
      <w:bookmarkEnd w:id="502"/>
      <w:bookmarkEnd w:id="503"/>
    </w:p>
    <w:p>
      <w:pPr>
        <w:spacing w:before="312" w:beforeLines="100" w:after="312" w:afterLines="100"/>
        <w:jc w:val="center"/>
        <w:rPr>
          <w:rFonts w:hint="eastAsia" w:ascii="Times New Roman" w:hAnsi="Times New Roman" w:eastAsia="微软雅黑"/>
          <w:w w:val="200"/>
          <w:sz w:val="48"/>
          <w:szCs w:val="48"/>
          <w14:shadow w14:blurRad="50800" w14:dist="38100" w14:dir="2700000" w14:sx="100000" w14:sy="100000" w14:kx="0" w14:ky="0" w14:algn="tl">
            <w14:srgbClr w14:val="000000">
              <w14:alpha w14:val="60000"/>
            </w14:srgbClr>
          </w14:shadow>
        </w:rPr>
      </w:pPr>
      <w:r>
        <w:rPr>
          <w:rFonts w:hint="eastAsia" w:ascii="Times New Roman" w:hAnsi="Times New Roman" w:eastAsia="微软雅黑"/>
          <w:w w:val="200"/>
          <w:sz w:val="48"/>
          <w:szCs w:val="48"/>
          <w14:shadow w14:blurRad="50800" w14:dist="38100" w14:dir="2700000" w14:sx="100000" w14:sy="100000" w14:kx="0" w14:ky="0" w14:algn="tl">
            <w14:srgbClr w14:val="000000">
              <w14:alpha w14:val="60000"/>
            </w14:srgbClr>
          </w14:shadow>
        </w:rPr>
        <w:t>监理工作总结</w:t>
      </w:r>
    </w:p>
    <w:p>
      <w:pPr>
        <w:spacing w:after="800"/>
        <w:jc w:val="center"/>
        <w:rPr>
          <w:rFonts w:hint="eastAsia"/>
          <w:sz w:val="24"/>
        </w:rPr>
      </w:pPr>
      <w:r>
        <w:rPr>
          <w:sz w:val="30"/>
        </w:rPr>
        <w:t xml:space="preserve"> </w:t>
      </w:r>
      <w:r>
        <w:rPr>
          <w:sz w:val="24"/>
          <w:u w:val="single"/>
        </w:rPr>
        <w:t xml:space="preserve">       </w:t>
      </w:r>
      <w:r>
        <w:rPr>
          <w:rFonts w:hint="eastAsia"/>
          <w:sz w:val="24"/>
        </w:rPr>
        <w:t>年</w:t>
      </w:r>
      <w:r>
        <w:rPr>
          <w:sz w:val="24"/>
          <w:u w:val="single"/>
        </w:rPr>
        <w:t xml:space="preserve">      </w:t>
      </w:r>
      <w:r>
        <w:rPr>
          <w:rFonts w:hint="eastAsia"/>
          <w:sz w:val="24"/>
        </w:rPr>
        <w:t>月</w:t>
      </w:r>
      <w:r>
        <w:rPr>
          <w:rFonts w:hint="eastAsia"/>
          <w:sz w:val="24"/>
          <w:u w:val="single"/>
        </w:rPr>
        <w:t>　</w:t>
      </w:r>
      <w:r>
        <w:rPr>
          <w:sz w:val="24"/>
          <w:u w:val="single"/>
        </w:rPr>
        <w:t xml:space="preserve">    </w:t>
      </w:r>
      <w:r>
        <w:rPr>
          <w:rFonts w:hint="eastAsia"/>
          <w:sz w:val="24"/>
        </w:rPr>
        <w:t>日　至</w:t>
      </w:r>
      <w:r>
        <w:rPr>
          <w:sz w:val="24"/>
          <w:u w:val="single"/>
        </w:rPr>
        <w:t xml:space="preserve">       </w:t>
      </w:r>
      <w:r>
        <w:rPr>
          <w:rFonts w:hint="eastAsia"/>
          <w:sz w:val="24"/>
        </w:rPr>
        <w:t>年</w:t>
      </w:r>
      <w:r>
        <w:rPr>
          <w:rFonts w:hint="eastAsia"/>
          <w:sz w:val="24"/>
          <w:u w:val="single"/>
        </w:rPr>
        <w:t>　</w:t>
      </w:r>
      <w:r>
        <w:rPr>
          <w:sz w:val="24"/>
          <w:u w:val="single"/>
        </w:rPr>
        <w:t xml:space="preserve">  </w:t>
      </w:r>
      <w:r>
        <w:rPr>
          <w:rFonts w:hint="eastAsia"/>
          <w:sz w:val="24"/>
          <w:u w:val="single"/>
        </w:rPr>
        <w:t>　</w:t>
      </w:r>
      <w:r>
        <w:rPr>
          <w:rFonts w:hint="eastAsia"/>
          <w:sz w:val="24"/>
        </w:rPr>
        <w:t>月</w:t>
      </w:r>
      <w:r>
        <w:rPr>
          <w:sz w:val="24"/>
        </w:rPr>
        <w:t xml:space="preserve"> </w:t>
      </w:r>
      <w:r>
        <w:rPr>
          <w:sz w:val="24"/>
          <w:u w:val="single"/>
        </w:rPr>
        <w:t xml:space="preserve">     </w:t>
      </w:r>
      <w:r>
        <w:rPr>
          <w:rFonts w:hint="eastAsia"/>
          <w:sz w:val="24"/>
        </w:rPr>
        <w:t>日</w:t>
      </w:r>
    </w:p>
    <w:p>
      <w:pPr>
        <w:spacing w:line="480" w:lineRule="exact"/>
        <w:ind w:firstLine="2643" w:firstLineChars="1097"/>
        <w:rPr>
          <w:sz w:val="24"/>
        </w:rPr>
      </w:pPr>
      <w:r>
        <w:rPr>
          <w:rFonts w:hint="eastAsia"/>
          <w:b/>
          <w:sz w:val="24"/>
        </w:rPr>
        <w:t>内容提要</w:t>
      </w:r>
      <w:r>
        <w:rPr>
          <w:rFonts w:hint="eastAsia"/>
          <w:sz w:val="24"/>
        </w:rPr>
        <w:t>：</w:t>
      </w:r>
      <w:r>
        <w:rPr>
          <w:sz w:val="24"/>
        </w:rPr>
        <w:t xml:space="preserve"> </w:t>
      </w:r>
    </w:p>
    <w:p>
      <w:pPr>
        <w:spacing w:line="480" w:lineRule="exact"/>
        <w:ind w:firstLine="2632" w:firstLineChars="1097"/>
        <w:rPr>
          <w:sz w:val="24"/>
        </w:rPr>
      </w:pPr>
      <w:r>
        <w:rPr>
          <w:rFonts w:hint="eastAsia"/>
          <w:sz w:val="24"/>
        </w:rPr>
        <w:t>工程概况</w:t>
      </w:r>
    </w:p>
    <w:p>
      <w:pPr>
        <w:spacing w:line="480" w:lineRule="exact"/>
        <w:ind w:firstLine="2632" w:firstLineChars="1097"/>
        <w:rPr>
          <w:sz w:val="24"/>
        </w:rPr>
      </w:pPr>
      <w:r>
        <w:rPr>
          <w:rFonts w:hint="eastAsia"/>
          <w:sz w:val="24"/>
        </w:rPr>
        <w:t>项目监理机构</w:t>
      </w:r>
    </w:p>
    <w:p>
      <w:pPr>
        <w:spacing w:line="480" w:lineRule="exact"/>
        <w:ind w:firstLine="2632" w:firstLineChars="1097"/>
        <w:rPr>
          <w:sz w:val="24"/>
        </w:rPr>
      </w:pPr>
      <w:r>
        <w:rPr>
          <w:rFonts w:hint="eastAsia"/>
          <w:sz w:val="24"/>
        </w:rPr>
        <w:t>建设工程监理合同履行情况</w:t>
      </w:r>
    </w:p>
    <w:p>
      <w:pPr>
        <w:spacing w:line="480" w:lineRule="exact"/>
        <w:ind w:firstLine="2632" w:firstLineChars="1097"/>
        <w:rPr>
          <w:sz w:val="24"/>
        </w:rPr>
      </w:pPr>
      <w:r>
        <w:rPr>
          <w:rFonts w:hint="eastAsia"/>
          <w:sz w:val="24"/>
        </w:rPr>
        <w:t>监理工作成效</w:t>
      </w:r>
    </w:p>
    <w:p>
      <w:pPr>
        <w:spacing w:line="480" w:lineRule="exact"/>
        <w:ind w:firstLine="2632" w:firstLineChars="1097"/>
        <w:rPr>
          <w:sz w:val="24"/>
        </w:rPr>
      </w:pPr>
      <w:r>
        <w:rPr>
          <w:rFonts w:hint="eastAsia"/>
          <w:sz w:val="24"/>
        </w:rPr>
        <w:t>监理工作中发现的问题及其处理情况</w:t>
      </w:r>
    </w:p>
    <w:p>
      <w:pPr>
        <w:spacing w:line="480" w:lineRule="exact"/>
        <w:ind w:firstLine="2632" w:firstLineChars="1097"/>
        <w:rPr>
          <w:sz w:val="24"/>
        </w:rPr>
      </w:pPr>
      <w:r>
        <w:rPr>
          <w:rFonts w:hint="eastAsia"/>
          <w:sz w:val="24"/>
        </w:rPr>
        <w:t>说明和建议</w:t>
      </w:r>
    </w:p>
    <w:p>
      <w:pPr>
        <w:spacing w:line="480" w:lineRule="exact"/>
        <w:ind w:firstLine="2798" w:firstLineChars="1166"/>
        <w:rPr>
          <w:sz w:val="24"/>
        </w:rPr>
      </w:pPr>
    </w:p>
    <w:p>
      <w:pPr>
        <w:spacing w:line="480" w:lineRule="exact"/>
        <w:ind w:firstLine="2798" w:firstLineChars="1166"/>
        <w:rPr>
          <w:sz w:val="24"/>
        </w:rPr>
      </w:pPr>
    </w:p>
    <w:p>
      <w:pPr>
        <w:spacing w:line="480" w:lineRule="exact"/>
        <w:ind w:firstLine="2798" w:firstLineChars="1166"/>
        <w:rPr>
          <w:sz w:val="24"/>
        </w:rPr>
      </w:pPr>
    </w:p>
    <w:p>
      <w:pPr>
        <w:tabs>
          <w:tab w:val="left" w:pos="6750"/>
        </w:tabs>
        <w:spacing w:line="600" w:lineRule="exact"/>
        <w:ind w:firstLine="2087" w:firstLineChars="693"/>
        <w:rPr>
          <w:sz w:val="30"/>
          <w:szCs w:val="30"/>
        </w:rPr>
      </w:pPr>
      <w:r>
        <w:rPr>
          <w:rFonts w:hint="eastAsia"/>
          <w:b/>
          <w:sz w:val="30"/>
          <w:szCs w:val="30"/>
        </w:rPr>
        <w:t>项目监理机构（章）：</w:t>
      </w:r>
      <w:r>
        <w:rPr>
          <w:sz w:val="30"/>
          <w:szCs w:val="30"/>
          <w:u w:val="single"/>
        </w:rPr>
        <w:t xml:space="preserve">                    </w:t>
      </w:r>
      <w:r>
        <w:rPr>
          <w:sz w:val="30"/>
          <w:szCs w:val="30"/>
        </w:rPr>
        <w:t xml:space="preserve">    </w:t>
      </w:r>
    </w:p>
    <w:p>
      <w:pPr>
        <w:spacing w:line="600" w:lineRule="exact"/>
        <w:ind w:firstLine="2087" w:firstLineChars="693"/>
        <w:rPr>
          <w:sz w:val="30"/>
          <w:szCs w:val="30"/>
        </w:rPr>
      </w:pPr>
      <w:r>
        <w:rPr>
          <w:rFonts w:hint="eastAsia"/>
          <w:b/>
          <w:sz w:val="30"/>
          <w:szCs w:val="30"/>
        </w:rPr>
        <w:t>总监理工程师（签字）：</w:t>
      </w:r>
      <w:r>
        <w:rPr>
          <w:sz w:val="30"/>
          <w:szCs w:val="30"/>
          <w:u w:val="single"/>
        </w:rPr>
        <w:t xml:space="preserve">                  </w:t>
      </w:r>
    </w:p>
    <w:p>
      <w:pPr>
        <w:spacing w:line="600" w:lineRule="exact"/>
        <w:ind w:firstLine="2087" w:firstLineChars="693"/>
        <w:rPr>
          <w:sz w:val="30"/>
          <w:szCs w:val="30"/>
        </w:rPr>
      </w:pPr>
      <w:r>
        <w:rPr>
          <w:rFonts w:hint="eastAsia"/>
          <w:b/>
          <w:sz w:val="30"/>
          <w:szCs w:val="30"/>
        </w:rPr>
        <w:t>日</w:t>
      </w:r>
      <w:r>
        <w:rPr>
          <w:b/>
          <w:sz w:val="30"/>
          <w:szCs w:val="30"/>
        </w:rPr>
        <w:t xml:space="preserve">      </w:t>
      </w:r>
      <w:r>
        <w:rPr>
          <w:rFonts w:hint="eastAsia"/>
          <w:b/>
          <w:sz w:val="30"/>
          <w:szCs w:val="30"/>
        </w:rPr>
        <w:t>期：</w:t>
      </w:r>
      <w:r>
        <w:rPr>
          <w:sz w:val="30"/>
          <w:szCs w:val="30"/>
          <w:u w:val="single"/>
        </w:rPr>
        <w:t xml:space="preserve">                            </w:t>
      </w:r>
    </w:p>
    <w:p>
      <w:pPr>
        <w:rPr>
          <w:rFonts w:ascii="Times New Roman"/>
          <w:sz w:val="28"/>
          <w:szCs w:val="28"/>
          <w:u w:val="single"/>
        </w:rPr>
      </w:pPr>
    </w:p>
    <w:p>
      <w:pPr>
        <w:jc w:val="center"/>
        <w:rPr>
          <w:rFonts w:hint="eastAsia" w:ascii="Times New Roman" w:eastAsia="隶书"/>
        </w:rPr>
      </w:pPr>
    </w:p>
    <w:p>
      <w:pPr>
        <w:jc w:val="center"/>
        <w:rPr>
          <w:rFonts w:hint="eastAsia" w:ascii="Times New Roman" w:eastAsia="隶书"/>
        </w:rPr>
      </w:pPr>
    </w:p>
    <w:p>
      <w:pPr>
        <w:jc w:val="center"/>
        <w:rPr>
          <w:rFonts w:hint="eastAsia" w:ascii="Times New Roman" w:eastAsia="隶书"/>
          <w:sz w:val="28"/>
        </w:rPr>
      </w:pPr>
      <w:r>
        <w:rPr>
          <w:rFonts w:hint="eastAsia" w:ascii="Times New Roman" w:eastAsia="隶书"/>
        </w:rPr>
        <w:t>第六版表                                              江苏省住房和城乡建设厅监制</w:t>
      </w:r>
    </w:p>
    <w:p>
      <w:pPr>
        <w:rPr>
          <w:rFonts w:hint="eastAsia"/>
          <w:sz w:val="24"/>
          <w:u w:val="single"/>
        </w:rPr>
      </w:pPr>
      <w:r>
        <w:rPr>
          <w:szCs w:val="21"/>
        </w:rPr>
        <w:br w:type="column"/>
      </w:r>
    </w:p>
    <w:p>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A.0.17</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工程监理资料移交单</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A.0.17</w:t>
      </w:r>
      <w:r>
        <w:rPr>
          <w:rFonts w:hint="eastAsia"/>
          <w:szCs w:val="21"/>
        </w:rPr>
        <w:t>－</w:t>
      </w:r>
      <w:r>
        <w:rPr>
          <w:szCs w:val="21"/>
          <w:u w:val="single"/>
        </w:rPr>
        <w:t xml:space="preserve">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93"/>
        <w:gridCol w:w="2175"/>
        <w:gridCol w:w="1980"/>
        <w:gridCol w:w="267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725" w:hRule="atLeast"/>
        </w:trPr>
        <w:tc>
          <w:tcPr>
            <w:tcW w:w="8718"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（建设单位）</w:t>
            </w:r>
          </w:p>
          <w:p>
            <w:pPr>
              <w:spacing w:line="420" w:lineRule="exact"/>
              <w:ind w:firstLine="420" w:firstLineChars="200"/>
              <w:jc w:val="left"/>
              <w:rPr>
                <w:rFonts w:hint="eastAsia" w:ascii="Times New Roman"/>
                <w:spacing w:val="-6"/>
                <w:szCs w:val="21"/>
              </w:rPr>
            </w:pPr>
            <w:r>
              <w:rPr>
                <w:rFonts w:hint="eastAsia" w:ascii="Times New Roman"/>
                <w:szCs w:val="21"/>
              </w:rPr>
              <w:t>我方现将</w:t>
            </w:r>
            <w:r>
              <w:rPr>
                <w:rFonts w:hint="eastAsia" w:ascii="Times New Roman"/>
                <w:szCs w:val="21"/>
                <w:u w:val="single"/>
              </w:rPr>
              <w:t xml:space="preserve">                                </w:t>
            </w:r>
            <w:r>
              <w:rPr>
                <w:rFonts w:hint="eastAsia" w:ascii="Times New Roman"/>
                <w:spacing w:val="-6"/>
                <w:szCs w:val="21"/>
              </w:rPr>
              <w:t>工程监理资料移交给贵方,请予以审查、接收。</w:t>
            </w:r>
          </w:p>
          <w:p>
            <w:pPr>
              <w:spacing w:line="420" w:lineRule="exact"/>
              <w:ind w:firstLine="480"/>
              <w:jc w:val="left"/>
              <w:rPr>
                <w:rFonts w:hint="eastAsia" w:ascii="Times New Roman"/>
                <w:szCs w:val="21"/>
              </w:rPr>
            </w:pPr>
          </w:p>
          <w:p>
            <w:pPr>
              <w:spacing w:line="420" w:lineRule="exact"/>
              <w:ind w:firstLine="480"/>
              <w:jc w:val="left"/>
              <w:rPr>
                <w:rFonts w:hint="eastAsia" w:ascii="Times New Roman"/>
                <w:szCs w:val="21"/>
              </w:rPr>
            </w:pPr>
            <w:r>
              <w:rPr>
                <w:rFonts w:hint="eastAsia" w:ascii="Times New Roman"/>
                <w:szCs w:val="21"/>
              </w:rPr>
              <w:t>附件：</w:t>
            </w:r>
          </w:p>
          <w:p>
            <w:pPr>
              <w:spacing w:line="420" w:lineRule="exact"/>
              <w:ind w:left="480"/>
              <w:jc w:val="left"/>
              <w:rPr>
                <w:rFonts w:hint="eastAsia" w:ascii="Times New Roman"/>
                <w:szCs w:val="21"/>
              </w:rPr>
            </w:pPr>
            <w:r>
              <w:rPr>
                <w:szCs w:val="21"/>
              </w:rPr>
              <w:t>1</w:t>
            </w:r>
            <w:r>
              <w:rPr>
                <w:rFonts w:hint="eastAsia" w:ascii="Times New Roman"/>
                <w:szCs w:val="21"/>
              </w:rPr>
              <w:t xml:space="preserve">、工程监理资料清单                        </w:t>
            </w:r>
          </w:p>
          <w:p>
            <w:pPr>
              <w:spacing w:line="420" w:lineRule="exact"/>
              <w:ind w:left="480"/>
              <w:jc w:val="left"/>
              <w:rPr>
                <w:rFonts w:hint="eastAsia" w:ascii="Times New Roman"/>
                <w:szCs w:val="21"/>
              </w:rPr>
            </w:pPr>
            <w:r>
              <w:rPr>
                <w:szCs w:val="21"/>
              </w:rPr>
              <w:t>2</w:t>
            </w:r>
            <w:r>
              <w:rPr>
                <w:rFonts w:hint="eastAsia" w:ascii="Times New Roman"/>
                <w:szCs w:val="21"/>
              </w:rPr>
              <w:t>、工程监理资料整理归档文件</w:t>
            </w:r>
          </w:p>
          <w:p>
            <w:pPr>
              <w:spacing w:line="420" w:lineRule="exact"/>
              <w:ind w:firstLine="3158" w:firstLineChars="1504"/>
              <w:rPr>
                <w:rFonts w:hint="eastAsia" w:ascii="Times New Roman"/>
                <w:szCs w:val="21"/>
              </w:rPr>
            </w:pPr>
          </w:p>
          <w:p>
            <w:pPr>
              <w:spacing w:line="420" w:lineRule="exact"/>
              <w:ind w:firstLine="3158" w:firstLineChars="1504"/>
              <w:rPr>
                <w:rFonts w:hint="eastAsia" w:ascii="Times New Roman"/>
                <w:szCs w:val="21"/>
              </w:rPr>
            </w:pPr>
          </w:p>
          <w:p>
            <w:pPr>
              <w:spacing w:line="420" w:lineRule="exact"/>
              <w:ind w:firstLine="3158" w:firstLineChars="1504"/>
              <w:rPr>
                <w:rFonts w:hint="eastAsia" w:ascii="Times New Roman"/>
                <w:szCs w:val="21"/>
              </w:rPr>
            </w:pPr>
          </w:p>
          <w:p>
            <w:pPr>
              <w:spacing w:line="420" w:lineRule="exact"/>
              <w:ind w:firstLine="3158" w:firstLineChars="1504"/>
              <w:rPr>
                <w:rFonts w:hint="eastAsia" w:ascii="Times New Roman"/>
                <w:szCs w:val="21"/>
              </w:rPr>
            </w:pPr>
          </w:p>
          <w:p>
            <w:pPr>
              <w:spacing w:line="420" w:lineRule="exact"/>
              <w:ind w:firstLine="3158" w:firstLineChars="1504"/>
              <w:rPr>
                <w:rFonts w:hint="eastAsia" w:ascii="Times New Roman"/>
                <w:szCs w:val="21"/>
              </w:rPr>
            </w:pPr>
          </w:p>
          <w:p>
            <w:pPr>
              <w:spacing w:line="420" w:lineRule="exact"/>
              <w:rPr>
                <w:rFonts w:hint="eastAsia" w:ascii="Times New Roman"/>
                <w:szCs w:val="21"/>
                <w:u w:val="single"/>
              </w:rPr>
            </w:pPr>
            <w:r>
              <w:rPr>
                <w:rFonts w:hint="eastAsia" w:ascii="Times New Roman"/>
                <w:szCs w:val="21"/>
              </w:rPr>
              <w:t xml:space="preserve">                          项目监理机构（章）：</w:t>
            </w:r>
            <w:r>
              <w:rPr>
                <w:rFonts w:hint="eastAsia" w:ascii="Times New Roman"/>
                <w:szCs w:val="21"/>
                <w:u w:val="single"/>
              </w:rPr>
              <w:t>　　         　　    　  　　　</w:t>
            </w:r>
          </w:p>
          <w:p>
            <w:pPr>
              <w:spacing w:before="312" w:beforeLines="100" w:line="420" w:lineRule="exact"/>
              <w:ind w:firstLine="105" w:firstLineChars="50"/>
              <w:jc w:val="left"/>
              <w:rPr>
                <w:rFonts w:hint="eastAsia" w:ascii="Times New Roman"/>
                <w:szCs w:val="21"/>
                <w:u w:val="single"/>
              </w:rPr>
            </w:pPr>
            <w:r>
              <w:rPr>
                <w:rFonts w:hint="eastAsia" w:ascii="Times New Roman"/>
                <w:szCs w:val="21"/>
              </w:rPr>
              <w:t xml:space="preserve">                        总监理工程师/总监理工程师代表（签字）：</w:t>
            </w:r>
            <w:r>
              <w:rPr>
                <w:rFonts w:hint="eastAsia" w:ascii="Times New Roman"/>
                <w:szCs w:val="21"/>
                <w:u w:val="single"/>
              </w:rPr>
              <w:t>　　　　　　</w:t>
            </w:r>
          </w:p>
          <w:p>
            <w:pPr>
              <w:tabs>
                <w:tab w:val="left" w:pos="7890"/>
              </w:tabs>
              <w:spacing w:before="156" w:beforeLines="50" w:line="420" w:lineRule="exact"/>
              <w:ind w:firstLine="105" w:firstLineChars="50"/>
              <w:jc w:val="left"/>
              <w:rPr>
                <w:rFonts w:ascii="Times New Roman"/>
                <w:szCs w:val="21"/>
                <w:u w:val="single"/>
              </w:rPr>
            </w:pPr>
            <w:r>
              <w:rPr>
                <w:bCs/>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27" w:hRule="atLeast"/>
        </w:trPr>
        <w:tc>
          <w:tcPr>
            <w:tcW w:w="1893"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ascii="Times New Roman"/>
                <w:szCs w:val="21"/>
              </w:rPr>
            </w:pPr>
            <w:r>
              <w:rPr>
                <w:rFonts w:hint="eastAsia" w:ascii="Times New Roman"/>
                <w:szCs w:val="21"/>
              </w:rPr>
              <w:t>建设单位签收</w:t>
            </w:r>
          </w:p>
          <w:p>
            <w:pPr>
              <w:spacing w:line="320" w:lineRule="exact"/>
              <w:jc w:val="center"/>
              <w:rPr>
                <w:rFonts w:ascii="Times New Roman"/>
                <w:szCs w:val="21"/>
              </w:rPr>
            </w:pPr>
            <w:r>
              <w:rPr>
                <w:rFonts w:hint="eastAsia" w:ascii="Times New Roman"/>
                <w:szCs w:val="21"/>
              </w:rPr>
              <w:t>人姓名及时间</w:t>
            </w:r>
          </w:p>
        </w:tc>
        <w:tc>
          <w:tcPr>
            <w:tcW w:w="2175"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Times New Roman"/>
                <w:szCs w:val="21"/>
              </w:rPr>
            </w:pPr>
          </w:p>
        </w:tc>
        <w:tc>
          <w:tcPr>
            <w:tcW w:w="198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Times New Roman"/>
                <w:szCs w:val="21"/>
              </w:rPr>
            </w:pPr>
            <w:r>
              <w:rPr>
                <w:rFonts w:hint="eastAsia" w:ascii="Times New Roman"/>
                <w:szCs w:val="21"/>
              </w:rPr>
              <w:t>项目监理机构签</w:t>
            </w:r>
          </w:p>
          <w:p>
            <w:pPr>
              <w:spacing w:line="320" w:lineRule="exact"/>
              <w:jc w:val="center"/>
              <w:rPr>
                <w:rFonts w:ascii="Times New Roman"/>
                <w:szCs w:val="21"/>
              </w:rPr>
            </w:pPr>
            <w:r>
              <w:rPr>
                <w:rFonts w:hint="eastAsia" w:ascii="Times New Roman"/>
                <w:szCs w:val="21"/>
              </w:rPr>
              <w:t>收人姓名及时间</w:t>
            </w:r>
          </w:p>
        </w:tc>
        <w:tc>
          <w:tcPr>
            <w:tcW w:w="2670" w:type="dxa"/>
            <w:tcBorders>
              <w:top w:val="single" w:color="auto" w:sz="4" w:space="0"/>
              <w:left w:val="single" w:color="auto" w:sz="4" w:space="0"/>
              <w:bottom w:val="single" w:color="auto" w:sz="4" w:space="0"/>
              <w:right w:val="single" w:color="auto" w:sz="8" w:space="0"/>
            </w:tcBorders>
            <w:noWrap w:val="0"/>
            <w:vAlign w:val="center"/>
          </w:tcPr>
          <w:p>
            <w:pPr>
              <w:spacing w:line="320" w:lineRule="exact"/>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995" w:hRule="atLeast"/>
        </w:trPr>
        <w:tc>
          <w:tcPr>
            <w:tcW w:w="8718"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line="420" w:lineRule="exact"/>
              <w:rPr>
                <w:rFonts w:ascii="Times New Roman"/>
                <w:szCs w:val="21"/>
              </w:rPr>
            </w:pPr>
            <w:r>
              <w:rPr>
                <w:rFonts w:hint="eastAsia" w:ascii="Times New Roman"/>
                <w:szCs w:val="21"/>
              </w:rPr>
              <w:t>建设单位意见：</w:t>
            </w:r>
          </w:p>
          <w:p>
            <w:pPr>
              <w:spacing w:line="420" w:lineRule="exact"/>
              <w:rPr>
                <w:rFonts w:hint="eastAsia" w:ascii="Times New Roman"/>
                <w:szCs w:val="21"/>
              </w:rPr>
            </w:pPr>
          </w:p>
          <w:p>
            <w:pPr>
              <w:spacing w:line="420" w:lineRule="exact"/>
              <w:rPr>
                <w:rFonts w:hint="eastAsia" w:ascii="Times New Roman"/>
                <w:szCs w:val="21"/>
              </w:rPr>
            </w:pPr>
          </w:p>
          <w:p>
            <w:pPr>
              <w:ind w:firstLine="3194" w:firstLineChars="1521"/>
              <w:rPr>
                <w:rFonts w:hint="eastAsia" w:ascii="Times New Roman"/>
                <w:szCs w:val="21"/>
                <w:u w:val="single"/>
              </w:rPr>
            </w:pPr>
            <w:r>
              <w:rPr>
                <w:rFonts w:hint="eastAsia" w:ascii="Times New Roman"/>
                <w:szCs w:val="21"/>
              </w:rPr>
              <w:t>建设单位（章）：</w:t>
            </w:r>
            <w:r>
              <w:rPr>
                <w:rFonts w:hint="eastAsia" w:ascii="Times New Roman"/>
                <w:szCs w:val="21"/>
                <w:u w:val="single"/>
              </w:rPr>
              <w:t xml:space="preserve">                              </w:t>
            </w:r>
          </w:p>
          <w:p>
            <w:pPr>
              <w:tabs>
                <w:tab w:val="left" w:pos="7936"/>
              </w:tabs>
              <w:spacing w:before="312" w:beforeLines="100"/>
              <w:rPr>
                <w:rFonts w:hint="eastAsia" w:ascii="Times New Roman"/>
                <w:szCs w:val="21"/>
              </w:rPr>
            </w:pPr>
            <w:r>
              <w:rPr>
                <w:rFonts w:hint="eastAsia" w:ascii="Times New Roman"/>
                <w:szCs w:val="21"/>
              </w:rPr>
              <w:t xml:space="preserve">                              项目负责人（签字）：</w:t>
            </w:r>
            <w:r>
              <w:rPr>
                <w:rFonts w:hint="eastAsia" w:ascii="Times New Roman"/>
                <w:szCs w:val="21"/>
                <w:u w:val="single"/>
              </w:rPr>
              <w:t xml:space="preserve">                       </w:t>
            </w:r>
            <w:r>
              <w:rPr>
                <w:rFonts w:ascii="Times New Roman"/>
                <w:szCs w:val="21"/>
                <w:u w:val="single"/>
              </w:rPr>
              <w:t> </w:t>
            </w:r>
            <w:r>
              <w:rPr>
                <w:rFonts w:hint="eastAsia" w:ascii="Times New Roman"/>
                <w:szCs w:val="21"/>
                <w:u w:val="single"/>
              </w:rPr>
              <w:t xml:space="preserve">   </w:t>
            </w:r>
            <w:r>
              <w:rPr>
                <w:rFonts w:hint="eastAsia" w:ascii="Times New Roman"/>
                <w:szCs w:val="21"/>
              </w:rPr>
              <w:t xml:space="preserve">  </w:t>
            </w:r>
          </w:p>
          <w:p>
            <w:pPr>
              <w:tabs>
                <w:tab w:val="left" w:pos="8100"/>
              </w:tabs>
              <w:spacing w:before="156" w:beforeLines="50"/>
              <w:rPr>
                <w:rFonts w:ascii="Times New Roman"/>
                <w:szCs w:val="21"/>
                <w:u w:val="single"/>
              </w:rPr>
            </w:pPr>
            <w:r>
              <w:rPr>
                <w:bCs/>
                <w:szCs w:val="21"/>
              </w:rPr>
              <w:t xml:space="preserve">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8718" w:type="dxa"/>
            <w:gridSpan w:val="4"/>
            <w:tcBorders>
              <w:top w:val="single" w:color="auto" w:sz="4" w:space="0"/>
              <w:left w:val="single" w:color="auto" w:sz="8" w:space="0"/>
              <w:bottom w:val="single" w:color="auto" w:sz="8" w:space="0"/>
              <w:right w:val="single" w:color="auto" w:sz="8" w:space="0"/>
            </w:tcBorders>
            <w:noWrap w:val="0"/>
            <w:vAlign w:val="center"/>
          </w:tcPr>
          <w:p>
            <w:pPr>
              <w:tabs>
                <w:tab w:val="left" w:pos="8100"/>
              </w:tabs>
              <w:spacing w:line="420" w:lineRule="exact"/>
              <w:rPr>
                <w:rFonts w:ascii="Times New Roman"/>
                <w:szCs w:val="21"/>
                <w:u w:val="single"/>
              </w:rPr>
            </w:pPr>
            <w:r>
              <w:rPr>
                <w:rFonts w:hint="eastAsia"/>
                <w:szCs w:val="21"/>
              </w:rPr>
              <w:t>注：本表一式二份，项目监理机构、建设单位各一份。</w:t>
            </w:r>
          </w:p>
        </w:tc>
      </w:tr>
    </w:tbl>
    <w:p>
      <w:pPr>
        <w:rPr>
          <w:rFonts w:ascii="Times New Roman" w:eastAsia="隶书"/>
        </w:rPr>
      </w:pPr>
      <w:r>
        <w:rPr>
          <w:rFonts w:hint="eastAsia" w:ascii="Times New Roman" w:eastAsia="隶书"/>
        </w:rPr>
        <w:t>第六版表                                              江苏省住房和城乡建设厅监制</w:t>
      </w:r>
    </w:p>
    <w:p>
      <w:pPr>
        <w:spacing w:line="380" w:lineRule="exact"/>
        <w:jc w:val="right"/>
        <w:rPr>
          <w:rFonts w:hint="eastAsia" w:ascii="Times New Roman" w:eastAsia="黑体"/>
          <w:sz w:val="28"/>
          <w:szCs w:val="28"/>
        </w:rPr>
      </w:pPr>
      <w:r>
        <w:rPr>
          <w:rFonts w:eastAsia="黑体"/>
          <w:b/>
          <w:w w:val="90"/>
          <w:sz w:val="28"/>
          <w:szCs w:val="28"/>
          <w14:shadow w14:blurRad="50800" w14:dist="38100" w14:dir="2700000" w14:sx="100000" w14:sy="100000" w14:kx="0" w14:ky="0" w14:algn="tl">
            <w14:srgbClr w14:val="000000">
              <w14:alpha w14:val="60000"/>
            </w14:srgbClr>
          </w14:shadow>
        </w:rPr>
        <w:t>A.0.18</w:t>
      </w:r>
    </w:p>
    <w:p>
      <w:pPr>
        <w:spacing w:before="312" w:beforeLines="100" w:after="312" w:afterLines="100"/>
        <w:jc w:val="center"/>
        <w:rPr>
          <w:rFonts w:hint="eastAsia" w:eastAsia="黑体"/>
          <w:bCs/>
          <w:sz w:val="44"/>
          <w14:shadow w14:blurRad="50800" w14:dist="38100" w14:dir="2700000" w14:sx="100000" w14:sy="100000" w14:kx="0" w14:ky="0" w14:algn="tl">
            <w14:srgbClr w14:val="000000">
              <w14:alpha w14:val="60000"/>
            </w14:srgbClr>
          </w14:shadow>
        </w:rPr>
      </w:pPr>
      <w:r>
        <w:rPr>
          <w:rFonts w:hint="eastAsia" w:eastAsia="黑体"/>
          <w:bCs/>
          <w:sz w:val="44"/>
          <w14:shadow w14:blurRad="50800" w14:dist="38100" w14:dir="2700000" w14:sx="100000" w14:sy="100000" w14:kx="0" w14:ky="0" w14:algn="tl">
            <w14:srgbClr w14:val="000000">
              <w14:alpha w14:val="60000"/>
            </w14:srgbClr>
          </w14:shadow>
        </w:rPr>
        <w:t>危大工程巡视检查记录表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编号：</w:t>
      </w:r>
      <w:r>
        <w:rPr>
          <w:szCs w:val="21"/>
        </w:rPr>
        <w:t>A.0.18</w:t>
      </w:r>
      <w:r>
        <w:rPr>
          <w:rFonts w:hint="eastAsia"/>
          <w:szCs w:val="21"/>
        </w:rPr>
        <w:t>－</w:t>
      </w:r>
      <w:r>
        <w:rPr>
          <w:szCs w:val="21"/>
          <w:u w:val="single"/>
        </w:rPr>
        <w:t xml:space="preserve">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15"/>
        <w:gridCol w:w="2746"/>
        <w:gridCol w:w="1484"/>
        <w:gridCol w:w="28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2" w:hRule="exact"/>
        </w:trPr>
        <w:tc>
          <w:tcPr>
            <w:tcW w:w="1515" w:type="dxa"/>
            <w:tcBorders>
              <w:top w:val="single" w:color="auto" w:sz="8" w:space="0"/>
              <w:left w:val="single" w:color="auto" w:sz="8" w:space="0"/>
              <w:bottom w:val="single" w:color="auto" w:sz="4" w:space="0"/>
              <w:right w:val="single" w:color="auto" w:sz="4" w:space="0"/>
            </w:tcBorders>
            <w:noWrap w:val="0"/>
            <w:vAlign w:val="center"/>
          </w:tcPr>
          <w:p>
            <w:pPr>
              <w:rPr>
                <w:szCs w:val="21"/>
              </w:rPr>
            </w:pPr>
            <w:r>
              <w:rPr>
                <w:rFonts w:hint="eastAsia"/>
                <w:szCs w:val="21"/>
              </w:rPr>
              <w:t>危大工程名称</w:t>
            </w:r>
          </w:p>
        </w:tc>
        <w:tc>
          <w:tcPr>
            <w:tcW w:w="2746" w:type="dxa"/>
            <w:tcBorders>
              <w:top w:val="single" w:color="auto" w:sz="8" w:space="0"/>
              <w:left w:val="single" w:color="auto" w:sz="4" w:space="0"/>
              <w:bottom w:val="single" w:color="auto" w:sz="4" w:space="0"/>
              <w:right w:val="single" w:color="auto" w:sz="4" w:space="0"/>
            </w:tcBorders>
            <w:noWrap w:val="0"/>
            <w:vAlign w:val="center"/>
          </w:tcPr>
          <w:p>
            <w:pPr>
              <w:jc w:val="center"/>
              <w:rPr>
                <w:szCs w:val="21"/>
              </w:rPr>
            </w:pPr>
          </w:p>
        </w:tc>
        <w:tc>
          <w:tcPr>
            <w:tcW w:w="1484" w:type="dxa"/>
            <w:tcBorders>
              <w:top w:val="single" w:color="auto" w:sz="8" w:space="0"/>
              <w:left w:val="single" w:color="auto" w:sz="4" w:space="0"/>
              <w:bottom w:val="single" w:color="auto" w:sz="4" w:space="0"/>
              <w:right w:val="single" w:color="auto" w:sz="4" w:space="0"/>
            </w:tcBorders>
            <w:noWrap w:val="0"/>
            <w:vAlign w:val="center"/>
          </w:tcPr>
          <w:p>
            <w:pPr>
              <w:jc w:val="center"/>
              <w:rPr>
                <w:szCs w:val="21"/>
              </w:rPr>
            </w:pPr>
            <w:r>
              <w:rPr>
                <w:rFonts w:hint="eastAsia"/>
                <w:szCs w:val="21"/>
              </w:rPr>
              <w:t>施工单位</w:t>
            </w:r>
          </w:p>
        </w:tc>
        <w:tc>
          <w:tcPr>
            <w:tcW w:w="2883" w:type="dxa"/>
            <w:tcBorders>
              <w:top w:val="single" w:color="auto" w:sz="8" w:space="0"/>
              <w:left w:val="single" w:color="auto" w:sz="4" w:space="0"/>
              <w:bottom w:val="single" w:color="auto" w:sz="4" w:space="0"/>
              <w:right w:val="single" w:color="auto" w:sz="8" w:space="0"/>
            </w:tcBorders>
            <w:noWrap w:val="0"/>
            <w:vAlign w:val="center"/>
          </w:tcPr>
          <w:p>
            <w:pPr>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11" w:hRule="atLeast"/>
        </w:trPr>
        <w:tc>
          <w:tcPr>
            <w:tcW w:w="8628"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rPr>
                <w:szCs w:val="21"/>
              </w:rPr>
            </w:pPr>
            <w:r>
              <w:rPr>
                <w:rFonts w:hint="eastAsia"/>
                <w:szCs w:val="21"/>
              </w:rPr>
              <w:t>巡视检查情况：</w:t>
            </w: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23" w:hRule="atLeast"/>
        </w:trPr>
        <w:tc>
          <w:tcPr>
            <w:tcW w:w="8628"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rPr>
                <w:szCs w:val="21"/>
              </w:rPr>
            </w:pPr>
            <w:r>
              <w:rPr>
                <w:rFonts w:hint="eastAsia"/>
                <w:szCs w:val="21"/>
              </w:rPr>
              <w:t>发现问题及处理情况：</w:t>
            </w: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67" w:hRule="atLeast"/>
        </w:trPr>
        <w:tc>
          <w:tcPr>
            <w:tcW w:w="8628" w:type="dxa"/>
            <w:gridSpan w:val="4"/>
            <w:tcBorders>
              <w:top w:val="single" w:color="auto" w:sz="4" w:space="0"/>
              <w:left w:val="single" w:color="auto" w:sz="8" w:space="0"/>
              <w:bottom w:val="single" w:color="auto" w:sz="4" w:space="0"/>
              <w:right w:val="single" w:color="auto" w:sz="8" w:space="0"/>
            </w:tcBorders>
            <w:noWrap w:val="0"/>
            <w:vAlign w:val="top"/>
          </w:tcPr>
          <w:p>
            <w:pPr>
              <w:spacing w:line="360" w:lineRule="auto"/>
              <w:rPr>
                <w:szCs w:val="21"/>
              </w:rPr>
            </w:pPr>
          </w:p>
          <w:p>
            <w:pPr>
              <w:spacing w:line="420" w:lineRule="exact"/>
              <w:ind w:firstLine="4872" w:firstLineChars="2320"/>
              <w:rPr>
                <w:szCs w:val="21"/>
                <w:u w:val="single"/>
              </w:rPr>
            </w:pPr>
            <w:r>
              <w:rPr>
                <w:rFonts w:hint="eastAsia"/>
                <w:szCs w:val="21"/>
              </w:rPr>
              <w:t>巡查人员（签字）：</w:t>
            </w:r>
            <w:r>
              <w:rPr>
                <w:rFonts w:hint="eastAsia"/>
                <w:szCs w:val="21"/>
                <w:u w:val="single"/>
              </w:rPr>
              <w:t>　　　　</w:t>
            </w:r>
            <w:r>
              <w:rPr>
                <w:szCs w:val="21"/>
                <w:u w:val="single"/>
              </w:rPr>
              <w:t xml:space="preserve">  </w:t>
            </w:r>
            <w:r>
              <w:rPr>
                <w:rFonts w:hint="eastAsia"/>
                <w:szCs w:val="21"/>
                <w:u w:val="single"/>
              </w:rPr>
              <w:t>　　</w:t>
            </w:r>
          </w:p>
          <w:p>
            <w:pPr>
              <w:spacing w:line="420" w:lineRule="exact"/>
              <w:ind w:right="480"/>
              <w:jc w:val="right"/>
              <w:rPr>
                <w:szCs w:val="21"/>
              </w:rPr>
            </w:pPr>
            <w:r>
              <w:rPr>
                <w:rFonts w:hint="eastAsia"/>
                <w:szCs w:val="21"/>
              </w:rPr>
              <w:t>　</w:t>
            </w:r>
            <w:r>
              <w:rPr>
                <w:szCs w:val="21"/>
              </w:rPr>
              <w:t xml:space="preserve">        </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628" w:type="dxa"/>
            <w:gridSpan w:val="4"/>
            <w:tcBorders>
              <w:top w:val="single" w:color="auto" w:sz="4" w:space="0"/>
              <w:left w:val="single" w:color="auto" w:sz="8" w:space="0"/>
              <w:bottom w:val="single" w:color="auto" w:sz="8" w:space="0"/>
              <w:right w:val="single" w:color="auto" w:sz="8" w:space="0"/>
            </w:tcBorders>
            <w:noWrap w:val="0"/>
            <w:vAlign w:val="top"/>
          </w:tcPr>
          <w:p>
            <w:pPr>
              <w:spacing w:line="420" w:lineRule="exact"/>
              <w:ind w:right="480"/>
              <w:jc w:val="left"/>
              <w:rPr>
                <w:szCs w:val="21"/>
              </w:rPr>
            </w:pPr>
            <w:r>
              <w:rPr>
                <w:rFonts w:hint="eastAsia"/>
                <w:szCs w:val="21"/>
              </w:rPr>
              <w:t>注：</w:t>
            </w:r>
            <w:r>
              <w:rPr>
                <w:szCs w:val="21"/>
              </w:rPr>
              <w:t>1</w:t>
            </w:r>
            <w:r>
              <w:rPr>
                <w:rFonts w:hint="eastAsia"/>
                <w:szCs w:val="21"/>
              </w:rPr>
              <w:t>、本表用于现场监理人员对危险性较大分部分项的专项巡视检查。</w:t>
            </w:r>
          </w:p>
          <w:p>
            <w:pPr>
              <w:spacing w:line="420" w:lineRule="exact"/>
              <w:ind w:right="480" w:firstLine="420" w:firstLineChars="200"/>
              <w:jc w:val="left"/>
              <w:rPr>
                <w:szCs w:val="21"/>
              </w:rPr>
            </w:pPr>
            <w:r>
              <w:rPr>
                <w:szCs w:val="21"/>
              </w:rPr>
              <w:t>2</w:t>
            </w:r>
            <w:r>
              <w:rPr>
                <w:rFonts w:hint="eastAsia"/>
                <w:szCs w:val="21"/>
              </w:rPr>
              <w:t>、本表一式一份，项目监理机构留存。</w:t>
            </w:r>
          </w:p>
        </w:tc>
      </w:tr>
    </w:tbl>
    <w:p>
      <w:pPr>
        <w:jc w:val="center"/>
        <w:rPr>
          <w:rFonts w:eastAsia="隶书"/>
        </w:rPr>
      </w:pPr>
      <w:r>
        <w:rPr>
          <w:rFonts w:hint="eastAsia" w:ascii="Times New Roman" w:eastAsia="隶书"/>
        </w:rPr>
        <w:t>第六版表                                              江苏省住房和城乡建设厅监制</w:t>
      </w:r>
    </w:p>
    <w:p>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A.0.19</w:t>
      </w:r>
    </w:p>
    <w:p>
      <w:pPr>
        <w:spacing w:before="312" w:beforeLines="100" w:after="312" w:afterLines="100" w:line="600" w:lineRule="exact"/>
        <w:jc w:val="center"/>
        <w:rPr>
          <w:rFonts w:eastAsia="黑体"/>
          <w:snapToGrid w:val="0"/>
          <w:w w:val="150"/>
          <w:kern w:val="0"/>
          <w:sz w:val="52"/>
          <w:szCs w:val="52"/>
        </w:rPr>
      </w:pPr>
      <w:r>
        <w:rPr>
          <w:rFonts w:hint="eastAsia" w:eastAsia="黑体"/>
          <w:snapToGrid w:val="0"/>
          <w:kern w:val="0"/>
          <w:sz w:val="52"/>
          <w:szCs w:val="52"/>
        </w:rPr>
        <w:t>危大工程安全管理档案　</w:t>
      </w:r>
      <w:r>
        <w:rPr>
          <w:rFonts w:hint="eastAsia" w:eastAsia="黑体"/>
          <w:snapToGrid w:val="0"/>
          <w:w w:val="150"/>
          <w:kern w:val="0"/>
          <w:sz w:val="52"/>
          <w:szCs w:val="52"/>
        </w:rPr>
        <w:t>　　　　　　　</w:t>
      </w:r>
      <w:r>
        <w:rPr>
          <w:rFonts w:eastAsia="黑体"/>
          <w:snapToGrid w:val="0"/>
          <w:w w:val="150"/>
          <w:kern w:val="0"/>
          <w:sz w:val="52"/>
          <w:szCs w:val="52"/>
        </w:rPr>
        <w:t xml:space="preserve">     </w:t>
      </w:r>
      <w:r>
        <w:rPr>
          <w:rFonts w:hint="eastAsia" w:eastAsia="黑体"/>
          <w:snapToGrid w:val="0"/>
          <w:w w:val="150"/>
          <w:kern w:val="0"/>
          <w:sz w:val="52"/>
          <w:szCs w:val="52"/>
        </w:rPr>
        <w:t>　</w:t>
      </w:r>
      <w:r>
        <w:rPr>
          <w:rFonts w:hint="eastAsia" w:eastAsia="微软简标宋"/>
          <w:sz w:val="32"/>
          <w:u w:val="single"/>
        </w:rPr>
        <w:t>　　</w:t>
      </w:r>
      <w:r>
        <w:rPr>
          <w:rFonts w:eastAsia="微软简标宋"/>
          <w:sz w:val="32"/>
          <w:u w:val="single"/>
        </w:rPr>
        <w:t xml:space="preserve">  </w:t>
      </w:r>
      <w:r>
        <w:rPr>
          <w:rFonts w:hint="eastAsia" w:eastAsia="微软简标宋"/>
          <w:sz w:val="32"/>
          <w:u w:val="single"/>
        </w:rPr>
        <w:t>　　　　　</w:t>
      </w:r>
    </w:p>
    <w:p>
      <w:pPr>
        <w:spacing w:line="0" w:lineRule="atLeast"/>
        <w:jc w:val="center"/>
        <w:rPr>
          <w:rFonts w:eastAsia="黑体"/>
          <w:snapToGrid w:val="0"/>
          <w:kern w:val="0"/>
          <w:sz w:val="52"/>
        </w:rPr>
      </w:pPr>
    </w:p>
    <w:p>
      <w:pPr>
        <w:spacing w:line="480" w:lineRule="exact"/>
        <w:ind w:left="1680" w:firstLine="420"/>
        <w:rPr>
          <w:b/>
          <w:sz w:val="24"/>
        </w:rPr>
      </w:pPr>
      <w:r>
        <w:rPr>
          <w:rFonts w:hint="eastAsia"/>
          <w:b/>
          <w:sz w:val="24"/>
        </w:rPr>
        <w:t>内容提要：</w:t>
      </w:r>
      <w:r>
        <w:rPr>
          <w:b/>
          <w:sz w:val="24"/>
        </w:rPr>
        <w:t xml:space="preserve"> </w:t>
      </w:r>
    </w:p>
    <w:p>
      <w:pPr>
        <w:spacing w:line="480" w:lineRule="exact"/>
        <w:ind w:left="1680" w:firstLine="420"/>
        <w:rPr>
          <w:sz w:val="24"/>
        </w:rPr>
      </w:pPr>
      <w:r>
        <w:rPr>
          <w:rFonts w:hint="eastAsia"/>
          <w:sz w:val="24"/>
        </w:rPr>
        <w:t>危大工程清单</w:t>
      </w:r>
    </w:p>
    <w:p>
      <w:pPr>
        <w:spacing w:line="480" w:lineRule="exact"/>
        <w:ind w:left="1680" w:firstLine="420"/>
        <w:rPr>
          <w:sz w:val="24"/>
        </w:rPr>
      </w:pPr>
      <w:r>
        <w:rPr>
          <w:rFonts w:hint="eastAsia"/>
          <w:sz w:val="24"/>
        </w:rPr>
        <w:t>危大工程专项施工方案审查</w:t>
      </w:r>
    </w:p>
    <w:p>
      <w:pPr>
        <w:spacing w:line="480" w:lineRule="exact"/>
        <w:ind w:left="1680" w:firstLine="420"/>
        <w:rPr>
          <w:sz w:val="24"/>
        </w:rPr>
      </w:pPr>
      <w:r>
        <w:rPr>
          <w:rFonts w:hint="eastAsia"/>
          <w:sz w:val="24"/>
        </w:rPr>
        <w:t>危大工程监理实施细则</w:t>
      </w:r>
    </w:p>
    <w:p>
      <w:pPr>
        <w:spacing w:line="480" w:lineRule="exact"/>
        <w:ind w:left="1680" w:firstLine="420"/>
        <w:rPr>
          <w:sz w:val="24"/>
        </w:rPr>
      </w:pPr>
      <w:r>
        <w:rPr>
          <w:rFonts w:hint="eastAsia"/>
          <w:sz w:val="24"/>
        </w:rPr>
        <w:t>危大工程专项巡视检查</w:t>
      </w:r>
    </w:p>
    <w:p>
      <w:pPr>
        <w:spacing w:line="480" w:lineRule="exact"/>
        <w:ind w:left="1680" w:firstLine="420"/>
        <w:rPr>
          <w:sz w:val="24"/>
        </w:rPr>
      </w:pPr>
      <w:r>
        <w:rPr>
          <w:rFonts w:hint="eastAsia"/>
          <w:sz w:val="24"/>
        </w:rPr>
        <w:t>危大工程验收</w:t>
      </w:r>
    </w:p>
    <w:p>
      <w:pPr>
        <w:spacing w:line="480" w:lineRule="exact"/>
        <w:ind w:left="1680" w:firstLine="420"/>
        <w:rPr>
          <w:sz w:val="24"/>
        </w:rPr>
      </w:pPr>
      <w:r>
        <w:rPr>
          <w:rFonts w:hint="eastAsia"/>
          <w:sz w:val="24"/>
        </w:rPr>
        <w:t>危大工程事故隐患处置</w:t>
      </w:r>
    </w:p>
    <w:p>
      <w:pPr>
        <w:spacing w:line="480" w:lineRule="exact"/>
        <w:ind w:left="1680" w:firstLine="420"/>
        <w:rPr>
          <w:sz w:val="24"/>
        </w:rPr>
      </w:pPr>
      <w:r>
        <w:rPr>
          <w:rFonts w:hint="eastAsia"/>
          <w:sz w:val="24"/>
        </w:rPr>
        <w:t>其它</w:t>
      </w:r>
    </w:p>
    <w:p>
      <w:pPr>
        <w:spacing w:line="480" w:lineRule="exact"/>
        <w:ind w:firstLine="3148" w:firstLineChars="1312"/>
        <w:rPr>
          <w:sz w:val="24"/>
        </w:rPr>
      </w:pPr>
    </w:p>
    <w:p>
      <w:pPr>
        <w:ind w:firstLine="2520" w:firstLineChars="1200"/>
        <w:rPr>
          <w:bCs/>
          <w:snapToGrid w:val="0"/>
          <w:kern w:val="0"/>
          <w:szCs w:val="28"/>
        </w:rPr>
      </w:pPr>
    </w:p>
    <w:p>
      <w:pPr>
        <w:ind w:firstLine="2520" w:firstLineChars="1200"/>
        <w:rPr>
          <w:bCs/>
          <w:snapToGrid w:val="0"/>
          <w:kern w:val="0"/>
          <w:szCs w:val="28"/>
        </w:rPr>
      </w:pPr>
    </w:p>
    <w:p>
      <w:pPr>
        <w:ind w:firstLine="2520" w:firstLineChars="1200"/>
        <w:rPr>
          <w:bCs/>
          <w:snapToGrid w:val="0"/>
          <w:kern w:val="0"/>
          <w:szCs w:val="28"/>
        </w:rPr>
      </w:pPr>
    </w:p>
    <w:p>
      <w:pPr>
        <w:tabs>
          <w:tab w:val="left" w:pos="7030"/>
        </w:tabs>
        <w:spacing w:line="560" w:lineRule="exact"/>
        <w:ind w:firstLine="2108" w:firstLineChars="700"/>
        <w:rPr>
          <w:b/>
          <w:sz w:val="30"/>
          <w:szCs w:val="30"/>
          <w:u w:val="single"/>
        </w:rPr>
      </w:pPr>
      <w:r>
        <w:rPr>
          <w:rFonts w:hint="eastAsia"/>
          <w:b/>
          <w:sz w:val="30"/>
          <w:szCs w:val="30"/>
        </w:rPr>
        <w:t>工程名称：</w:t>
      </w:r>
      <w:r>
        <w:rPr>
          <w:sz w:val="30"/>
          <w:szCs w:val="30"/>
          <w:u w:val="single"/>
        </w:rPr>
        <w:t xml:space="preserve">                        </w:t>
      </w:r>
    </w:p>
    <w:p>
      <w:pPr>
        <w:spacing w:line="560" w:lineRule="exact"/>
        <w:ind w:firstLine="2108" w:firstLineChars="700"/>
        <w:jc w:val="left"/>
        <w:rPr>
          <w:sz w:val="30"/>
          <w:szCs w:val="30"/>
          <w:u w:val="single"/>
        </w:rPr>
      </w:pPr>
      <w:r>
        <w:rPr>
          <w:rFonts w:hint="eastAsia"/>
          <w:b/>
          <w:sz w:val="30"/>
          <w:szCs w:val="30"/>
        </w:rPr>
        <w:t>建设单位：</w:t>
      </w:r>
      <w:bookmarkStart w:id="504" w:name="_Hlk531354992"/>
      <w:r>
        <w:rPr>
          <w:sz w:val="30"/>
          <w:szCs w:val="30"/>
          <w:u w:val="single"/>
        </w:rPr>
        <w:t xml:space="preserve">                       </w:t>
      </w:r>
    </w:p>
    <w:bookmarkEnd w:id="504"/>
    <w:p>
      <w:pPr>
        <w:spacing w:line="560" w:lineRule="exact"/>
        <w:ind w:firstLine="2108" w:firstLineChars="700"/>
        <w:jc w:val="left"/>
        <w:rPr>
          <w:b/>
          <w:sz w:val="30"/>
          <w:szCs w:val="30"/>
        </w:rPr>
      </w:pPr>
      <w:r>
        <w:rPr>
          <w:rFonts w:hint="eastAsia"/>
          <w:b/>
          <w:sz w:val="30"/>
          <w:szCs w:val="30"/>
        </w:rPr>
        <w:t>施工单位：</w:t>
      </w:r>
      <w:r>
        <w:rPr>
          <w:sz w:val="30"/>
          <w:szCs w:val="30"/>
          <w:u w:val="single"/>
        </w:rPr>
        <w:t xml:space="preserve">                       </w:t>
      </w:r>
      <w:r>
        <w:rPr>
          <w:b/>
          <w:sz w:val="30"/>
          <w:szCs w:val="30"/>
        </w:rPr>
        <w:t xml:space="preserve">                       </w:t>
      </w:r>
    </w:p>
    <w:p>
      <w:pPr>
        <w:spacing w:line="560" w:lineRule="exact"/>
        <w:ind w:firstLine="2108" w:firstLineChars="700"/>
        <w:jc w:val="left"/>
        <w:rPr>
          <w:b/>
          <w:sz w:val="30"/>
          <w:szCs w:val="30"/>
        </w:rPr>
      </w:pPr>
      <w:r>
        <w:rPr>
          <w:rFonts w:hint="eastAsia"/>
          <w:b/>
          <w:sz w:val="30"/>
          <w:szCs w:val="30"/>
        </w:rPr>
        <w:t>项目监理机构（章）：</w:t>
      </w:r>
      <w:r>
        <w:rPr>
          <w:sz w:val="30"/>
          <w:szCs w:val="30"/>
          <w:u w:val="single"/>
        </w:rPr>
        <w:t xml:space="preserve">             </w:t>
      </w:r>
      <w:r>
        <w:rPr>
          <w:rFonts w:hint="eastAsia"/>
          <w:b/>
          <w:sz w:val="30"/>
          <w:szCs w:val="30"/>
        </w:rPr>
        <w:t>　　　　</w:t>
      </w:r>
      <w:r>
        <w:rPr>
          <w:b/>
          <w:sz w:val="30"/>
          <w:szCs w:val="30"/>
        </w:rPr>
        <w:t xml:space="preserve">     </w:t>
      </w:r>
    </w:p>
    <w:p>
      <w:pPr>
        <w:spacing w:line="560" w:lineRule="exact"/>
        <w:ind w:firstLine="2108" w:firstLineChars="700"/>
        <w:jc w:val="left"/>
        <w:rPr>
          <w:bCs/>
          <w:snapToGrid w:val="0"/>
          <w:kern w:val="0"/>
        </w:rPr>
      </w:pPr>
      <w:r>
        <w:rPr>
          <w:rFonts w:hint="eastAsia"/>
          <w:b/>
          <w:sz w:val="30"/>
          <w:szCs w:val="30"/>
        </w:rPr>
        <w:t>总监理工程师（签字）：</w:t>
      </w:r>
      <w:r>
        <w:rPr>
          <w:sz w:val="30"/>
          <w:szCs w:val="30"/>
          <w:u w:val="single"/>
        </w:rPr>
        <w:t xml:space="preserve">           </w:t>
      </w:r>
      <w:r>
        <w:rPr>
          <w:rFonts w:hint="eastAsia"/>
          <w:b/>
          <w:sz w:val="30"/>
          <w:szCs w:val="30"/>
        </w:rPr>
        <w:t>　</w:t>
      </w:r>
      <w:r>
        <w:rPr>
          <w:b/>
          <w:sz w:val="30"/>
          <w:szCs w:val="30"/>
        </w:rPr>
        <w:t xml:space="preserve"> </w:t>
      </w:r>
    </w:p>
    <w:p/>
    <w:p/>
    <w:p/>
    <w:p>
      <w:pPr>
        <w:jc w:val="center"/>
        <w:rPr>
          <w:rFonts w:eastAsia="隶书"/>
        </w:rPr>
      </w:pPr>
    </w:p>
    <w:p>
      <w:pPr>
        <w:jc w:val="center"/>
        <w:rPr>
          <w:rFonts w:eastAsia="隶书"/>
        </w:rPr>
      </w:pPr>
    </w:p>
    <w:p>
      <w:pPr>
        <w:jc w:val="center"/>
        <w:rPr>
          <w:rFonts w:eastAsia="隶书"/>
        </w:rPr>
      </w:pPr>
    </w:p>
    <w:p>
      <w:pPr>
        <w:jc w:val="center"/>
        <w:rPr>
          <w:rFonts w:eastAsia="隶书"/>
        </w:rPr>
      </w:pPr>
    </w:p>
    <w:p>
      <w:pPr>
        <w:jc w:val="center"/>
        <w:rPr>
          <w:rFonts w:eastAsia="隶书"/>
        </w:rPr>
      </w:pPr>
    </w:p>
    <w:p>
      <w:pPr>
        <w:jc w:val="center"/>
        <w:rPr>
          <w:rFonts w:eastAsia="隶书"/>
        </w:rPr>
      </w:pPr>
    </w:p>
    <w:p>
      <w:pPr>
        <w:jc w:val="center"/>
        <w:rPr>
          <w:rFonts w:eastAsia="隶书"/>
        </w:rPr>
      </w:pPr>
    </w:p>
    <w:p>
      <w:pPr>
        <w:jc w:val="center"/>
        <w:rPr>
          <w:rFonts w:eastAsia="黑体"/>
          <w:sz w:val="28"/>
          <w:szCs w:val="28"/>
          <w14:shadow w14:blurRad="50800" w14:dist="38100" w14:dir="2700000" w14:sx="100000" w14:sy="100000" w14:kx="0" w14:ky="0" w14:algn="tl">
            <w14:srgbClr w14:val="000000">
              <w14:alpha w14:val="60000"/>
            </w14:srgbClr>
          </w14:shadow>
        </w:rPr>
      </w:pPr>
      <w:r>
        <w:rPr>
          <w:rFonts w:hint="eastAsia" w:ascii="Times New Roman" w:eastAsia="隶书"/>
        </w:rPr>
        <w:t xml:space="preserve">第六版表                                              </w:t>
      </w:r>
      <w:r>
        <w:rPr>
          <w:rFonts w:hint="eastAsia" w:eastAsia="隶书"/>
        </w:rPr>
        <w:t>江苏省住房和城乡建设厅监制</w:t>
      </w:r>
    </w:p>
    <w:p>
      <w:pPr>
        <w:jc w:val="right"/>
        <w:rPr>
          <w:rFonts w:eastAsia="黑体"/>
          <w:b/>
          <w:sz w:val="28"/>
          <w:szCs w:val="28"/>
          <w14:shadow w14:blurRad="50800" w14:dist="38100" w14:dir="2700000" w14:sx="100000" w14:sy="100000" w14:kx="0" w14:ky="0" w14:algn="tl">
            <w14:srgbClr w14:val="000000">
              <w14:alpha w14:val="60000"/>
            </w14:srgbClr>
          </w14:shadow>
        </w:rPr>
      </w:pPr>
      <w:r>
        <w:rPr>
          <w:rFonts w:hint="eastAsia" w:eastAsia="黑体"/>
          <w:sz w:val="28"/>
          <w:szCs w:val="28"/>
          <w14:shadow w14:blurRad="50800" w14:dist="38100" w14:dir="2700000" w14:sx="100000" w14:sy="100000" w14:kx="0" w14:ky="0" w14:algn="tl">
            <w14:srgbClr w14:val="000000">
              <w14:alpha w14:val="60000"/>
            </w14:srgbClr>
          </w14:shadow>
        </w:rPr>
        <w:t>　　　　　　　　　　　　　　　　　　　　　　　　　　</w:t>
      </w:r>
      <w:r>
        <w:rPr>
          <w:rFonts w:eastAsia="黑体"/>
          <w:b/>
          <w:sz w:val="28"/>
          <w:szCs w:val="28"/>
          <w14:shadow w14:blurRad="50800" w14:dist="38100" w14:dir="2700000" w14:sx="100000" w14:sy="100000" w14:kx="0" w14:ky="0" w14:algn="tl">
            <w14:srgbClr w14:val="000000">
              <w14:alpha w14:val="60000"/>
            </w14:srgbClr>
          </w14:shadow>
        </w:rPr>
        <w:t>B.0.1</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施工组织设计／施工方案报审表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B.0.1</w:t>
      </w:r>
      <w:r>
        <w:rPr>
          <w:rFonts w:hint="eastAsia"/>
          <w:szCs w:val="21"/>
          <w:u w:val="single"/>
        </w:rPr>
        <w:t>　</w:t>
      </w:r>
      <w:r>
        <w:rPr>
          <w:szCs w:val="21"/>
          <w:u w:val="single"/>
        </w:rPr>
        <w:t xml:space="preserve"> </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796"/>
        <w:gridCol w:w="248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688"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360" w:lineRule="exact"/>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exact"/>
              <w:ind w:firstLine="420" w:firstLineChars="200"/>
              <w:rPr>
                <w:rFonts w:hint="eastAsia" w:ascii="Times New Roman"/>
                <w:szCs w:val="21"/>
              </w:rPr>
            </w:pPr>
            <w:r>
              <w:rPr>
                <w:rFonts w:hint="eastAsia" w:ascii="Times New Roman"/>
                <w:szCs w:val="21"/>
              </w:rPr>
              <w:t>我方已完成</w:t>
            </w:r>
            <w:r>
              <w:rPr>
                <w:rFonts w:hint="eastAsia" w:ascii="Times New Roman" w:hAnsi="Times New Roman"/>
                <w:szCs w:val="21"/>
                <w:u w:val="single"/>
              </w:rPr>
              <w:t>　　　　　　　　　　　　　</w:t>
            </w:r>
            <w:r>
              <w:rPr>
                <w:rFonts w:hint="eastAsia" w:ascii="Times New Roman"/>
                <w:szCs w:val="21"/>
              </w:rPr>
              <w:t>工程施工组织设计／（专项）施工方案的编制和审批，请予以审查。附件：</w:t>
            </w:r>
          </w:p>
          <w:p>
            <w:pPr>
              <w:spacing w:line="360" w:lineRule="exact"/>
              <w:ind w:firstLine="420" w:firstLineChars="200"/>
              <w:rPr>
                <w:rFonts w:hint="eastAsia" w:ascii="Times New Roman" w:hAnsi="Times New Roman"/>
                <w:szCs w:val="21"/>
              </w:rPr>
            </w:pPr>
            <w:r>
              <w:rPr>
                <w:rFonts w:hint="eastAsia" w:ascii="Times New Roman"/>
                <w:szCs w:val="21"/>
              </w:rPr>
              <w:t xml:space="preserve">□ </w:t>
            </w:r>
            <w:r>
              <w:rPr>
                <w:szCs w:val="21"/>
              </w:rPr>
              <w:t>1</w:t>
            </w:r>
            <w:r>
              <w:rPr>
                <w:rFonts w:hint="eastAsia" w:ascii="Times New Roman"/>
                <w:szCs w:val="21"/>
              </w:rPr>
              <w:t xml:space="preserve"> </w:t>
            </w:r>
            <w:r>
              <w:rPr>
                <w:rFonts w:hint="eastAsia" w:ascii="Times New Roman" w:hAnsi="Times New Roman"/>
                <w:szCs w:val="21"/>
              </w:rPr>
              <w:t>施工组织设计</w:t>
            </w:r>
          </w:p>
          <w:p>
            <w:pPr>
              <w:spacing w:line="360" w:lineRule="exact"/>
              <w:ind w:firstLine="420" w:firstLineChars="200"/>
              <w:rPr>
                <w:rFonts w:hint="eastAsia" w:ascii="Times New Roman" w:hAnsi="Times New Roman"/>
                <w:szCs w:val="21"/>
              </w:rPr>
            </w:pPr>
            <w:r>
              <w:rPr>
                <w:rFonts w:hint="eastAsia" w:ascii="Times New Roman" w:hAnsi="Times New Roman"/>
                <w:szCs w:val="21"/>
              </w:rPr>
              <w:t xml:space="preserve">□ </w:t>
            </w:r>
            <w:r>
              <w:rPr>
                <w:szCs w:val="21"/>
              </w:rPr>
              <w:t>2</w:t>
            </w:r>
            <w:r>
              <w:rPr>
                <w:rFonts w:hint="eastAsia" w:ascii="Times New Roman" w:hAnsi="Times New Roman"/>
                <w:szCs w:val="21"/>
              </w:rPr>
              <w:t xml:space="preserve"> </w:t>
            </w:r>
            <w:r>
              <w:rPr>
                <w:rFonts w:hint="eastAsia" w:ascii="Times New Roman" w:hAnsi="Times New Roman"/>
                <w:szCs w:val="21"/>
                <w:u w:val="single"/>
              </w:rPr>
              <w:t>　　　　　　 　　　</w:t>
            </w:r>
            <w:r>
              <w:rPr>
                <w:rFonts w:hint="eastAsia" w:ascii="Times New Roman" w:hAnsi="Times New Roman"/>
                <w:szCs w:val="21"/>
              </w:rPr>
              <w:t>工程</w:t>
            </w:r>
            <w:r>
              <w:rPr>
                <w:rFonts w:hint="eastAsia" w:ascii="Times New Roman"/>
                <w:szCs w:val="21"/>
              </w:rPr>
              <w:t>安全专项</w:t>
            </w:r>
            <w:r>
              <w:rPr>
                <w:rFonts w:hint="eastAsia" w:ascii="Times New Roman" w:hAnsi="Times New Roman"/>
                <w:szCs w:val="21"/>
              </w:rPr>
              <w:t>施工方案</w:t>
            </w:r>
          </w:p>
          <w:p>
            <w:pPr>
              <w:spacing w:line="360" w:lineRule="exact"/>
              <w:ind w:firstLine="420" w:firstLineChars="200"/>
              <w:rPr>
                <w:rFonts w:hint="eastAsia" w:ascii="Times New Roman" w:hAnsi="Times New Roman"/>
                <w:szCs w:val="21"/>
              </w:rPr>
            </w:pPr>
            <w:r>
              <w:rPr>
                <w:rFonts w:hint="eastAsia" w:ascii="Times New Roman" w:hAnsi="Times New Roman"/>
                <w:szCs w:val="21"/>
              </w:rPr>
              <w:t xml:space="preserve">□ </w:t>
            </w:r>
            <w:r>
              <w:rPr>
                <w:szCs w:val="21"/>
              </w:rPr>
              <w:t>3</w:t>
            </w:r>
            <w:r>
              <w:rPr>
                <w:rFonts w:hint="eastAsia" w:ascii="Times New Roman" w:hAnsi="Times New Roman"/>
                <w:szCs w:val="21"/>
              </w:rPr>
              <w:t xml:space="preserve"> </w:t>
            </w:r>
            <w:r>
              <w:rPr>
                <w:rFonts w:hint="eastAsia" w:ascii="Times New Roman" w:hAnsi="Times New Roman"/>
                <w:szCs w:val="21"/>
                <w:u w:val="single"/>
              </w:rPr>
              <w:t xml:space="preserve">                   </w:t>
            </w:r>
            <w:r>
              <w:rPr>
                <w:rFonts w:hint="eastAsia" w:ascii="Times New Roman" w:hAnsi="Times New Roman"/>
                <w:szCs w:val="21"/>
              </w:rPr>
              <w:t>工程施工方案</w:t>
            </w:r>
          </w:p>
          <w:p>
            <w:pPr>
              <w:spacing w:line="360" w:lineRule="exact"/>
              <w:ind w:firstLine="420" w:firstLineChars="200"/>
              <w:rPr>
                <w:rFonts w:hint="eastAsia" w:ascii="Times New Roman" w:hAnsi="Times New Roman"/>
                <w:szCs w:val="21"/>
              </w:rPr>
            </w:pPr>
            <w:r>
              <w:rPr>
                <w:rFonts w:hint="eastAsia" w:ascii="Times New Roman" w:hAnsi="Times New Roman"/>
                <w:szCs w:val="21"/>
              </w:rPr>
              <w:t xml:space="preserve">□ </w:t>
            </w:r>
            <w:r>
              <w:rPr>
                <w:szCs w:val="21"/>
              </w:rPr>
              <w:t>4</w:t>
            </w:r>
            <w:r>
              <w:rPr>
                <w:rFonts w:hint="eastAsia" w:ascii="Times New Roman" w:hAnsi="Times New Roman"/>
                <w:szCs w:val="21"/>
              </w:rPr>
              <w:t xml:space="preserve"> </w:t>
            </w:r>
          </w:p>
          <w:p>
            <w:pPr>
              <w:spacing w:line="360" w:lineRule="exact"/>
              <w:rPr>
                <w:rFonts w:hint="eastAsia" w:ascii="Times New Roman"/>
                <w:szCs w:val="21"/>
              </w:rPr>
            </w:pPr>
            <w:r>
              <w:rPr>
                <w:rFonts w:hint="eastAsia" w:ascii="Times New Roman"/>
                <w:szCs w:val="21"/>
              </w:rPr>
              <w:t>　　本次申报内容系第</w:t>
            </w:r>
            <w:r>
              <w:rPr>
                <w:rFonts w:hint="eastAsia" w:ascii="Times New Roman"/>
                <w:szCs w:val="21"/>
                <w:u w:val="single"/>
              </w:rPr>
              <w:t xml:space="preserve">    </w:t>
            </w:r>
            <w:r>
              <w:rPr>
                <w:rFonts w:hint="eastAsia" w:ascii="Times New Roman"/>
                <w:szCs w:val="21"/>
              </w:rPr>
              <w:t>次申报。</w:t>
            </w:r>
          </w:p>
          <w:p>
            <w:pPr>
              <w:spacing w:line="360" w:lineRule="exact"/>
              <w:rPr>
                <w:rFonts w:hint="eastAsia" w:ascii="Times New Roman"/>
                <w:szCs w:val="21"/>
                <w:u w:val="single"/>
              </w:rPr>
            </w:pPr>
          </w:p>
          <w:p>
            <w:pPr>
              <w:spacing w:line="360" w:lineRule="exact"/>
              <w:rPr>
                <w:rFonts w:hint="eastAsia" w:ascii="Times New Roman"/>
                <w:szCs w:val="21"/>
                <w:u w:val="single"/>
              </w:rPr>
            </w:pPr>
            <w:r>
              <w:rPr>
                <w:rFonts w:hint="eastAsia" w:ascii="Times New Roman"/>
                <w:szCs w:val="21"/>
              </w:rPr>
              <w:t>　　　　　　　　　                         施工项目经理部（章）：</w:t>
            </w:r>
            <w:r>
              <w:rPr>
                <w:rFonts w:hint="eastAsia" w:ascii="Times New Roman"/>
                <w:szCs w:val="21"/>
                <w:u w:val="single"/>
              </w:rPr>
              <w:t xml:space="preserve">　　          </w:t>
            </w:r>
            <w:r>
              <w:rPr>
                <w:rFonts w:hint="eastAsia" w:ascii="Times New Roman"/>
                <w:szCs w:val="21"/>
              </w:rPr>
              <w:t xml:space="preserve">   　　　　　　</w:t>
            </w:r>
          </w:p>
          <w:p>
            <w:pPr>
              <w:tabs>
                <w:tab w:val="left" w:pos="6496"/>
              </w:tabs>
              <w:spacing w:line="360" w:lineRule="exact"/>
              <w:jc w:val="left"/>
              <w:rPr>
                <w:rFonts w:hint="eastAsia" w:ascii="Times New Roman"/>
                <w:szCs w:val="21"/>
              </w:rPr>
            </w:pPr>
            <w:r>
              <w:rPr>
                <w:rFonts w:hint="eastAsia" w:ascii="Times New Roman"/>
                <w:szCs w:val="21"/>
              </w:rPr>
              <w:t xml:space="preserve">　　　　　　　　 </w:t>
            </w:r>
            <w:r>
              <w:rPr>
                <w:rFonts w:ascii="Times New Roman"/>
                <w:szCs w:val="21"/>
              </w:rPr>
              <w:t> </w:t>
            </w:r>
            <w:r>
              <w:rPr>
                <w:rFonts w:hint="eastAsia" w:ascii="Times New Roman"/>
                <w:szCs w:val="21"/>
              </w:rPr>
              <w:t xml:space="preserve">  </w:t>
            </w:r>
            <w:r>
              <w:rPr>
                <w:rFonts w:ascii="Times New Roman"/>
                <w:szCs w:val="21"/>
              </w:rPr>
              <w:t> </w:t>
            </w:r>
            <w:r>
              <w:rPr>
                <w:rFonts w:hint="eastAsia" w:ascii="Times New Roman"/>
                <w:szCs w:val="21"/>
              </w:rPr>
              <w:t xml:space="preserve">                       项目经理（签字、执业印章）：</w:t>
            </w:r>
            <w:r>
              <w:rPr>
                <w:rFonts w:hint="eastAsia" w:ascii="Times New Roman"/>
                <w:szCs w:val="21"/>
                <w:u w:val="single"/>
              </w:rPr>
              <w:t xml:space="preserve">　　　　  </w:t>
            </w:r>
            <w:r>
              <w:rPr>
                <w:rFonts w:hint="eastAsia" w:ascii="Times New Roman"/>
                <w:szCs w:val="21"/>
              </w:rPr>
              <w:t xml:space="preserve">  </w:t>
            </w:r>
          </w:p>
          <w:p>
            <w:pPr>
              <w:tabs>
                <w:tab w:val="left" w:pos="6496"/>
              </w:tabs>
              <w:spacing w:line="360" w:lineRule="exact"/>
              <w:jc w:val="right"/>
              <w:rPr>
                <w:rFonts w:ascii="Times New Roman"/>
                <w:szCs w:val="21"/>
                <w:u w:val="single"/>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1614" w:type="dxa"/>
            <w:tcBorders>
              <w:top w:val="single" w:color="auto" w:sz="4" w:space="0"/>
              <w:left w:val="single" w:color="auto" w:sz="8"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r>
              <w:rPr>
                <w:rFonts w:hint="eastAsia" w:ascii="Times New Roman"/>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p>
        </w:tc>
        <w:tc>
          <w:tcPr>
            <w:tcW w:w="1796"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r>
              <w:rPr>
                <w:rFonts w:hint="eastAsia" w:ascii="Times New Roman"/>
                <w:szCs w:val="21"/>
              </w:rPr>
              <w:t>施工项目经理部签收人姓名及时间</w:t>
            </w:r>
          </w:p>
        </w:tc>
        <w:tc>
          <w:tcPr>
            <w:tcW w:w="2484" w:type="dxa"/>
            <w:tcBorders>
              <w:top w:val="single" w:color="auto" w:sz="4" w:space="0"/>
              <w:left w:val="single" w:color="auto" w:sz="4" w:space="0"/>
              <w:bottom w:val="single" w:color="auto" w:sz="4" w:space="0"/>
              <w:right w:val="single" w:color="auto" w:sz="8" w:space="0"/>
            </w:tcBorders>
            <w:noWrap w:val="0"/>
            <w:vAlign w:val="center"/>
          </w:tcPr>
          <w:p>
            <w:pPr>
              <w:ind w:left="-105" w:leftChars="-50" w:right="-105" w:rightChars="-5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688" w:type="dxa"/>
            <w:gridSpan w:val="4"/>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r>
              <w:rPr>
                <w:rFonts w:hint="eastAsia" w:ascii="Times New Roman"/>
                <w:szCs w:val="21"/>
              </w:rPr>
              <w:t>审查意见:</w:t>
            </w:r>
          </w:p>
          <w:p>
            <w:pPr>
              <w:rPr>
                <w:rFonts w:hint="eastAsia" w:ascii="Times New Roman"/>
                <w:szCs w:val="21"/>
              </w:rPr>
            </w:pPr>
          </w:p>
          <w:p>
            <w:pPr>
              <w:rPr>
                <w:rFonts w:hint="eastAsia" w:ascii="Times New Roman"/>
                <w:szCs w:val="21"/>
              </w:rPr>
            </w:pPr>
          </w:p>
          <w:p>
            <w:pPr>
              <w:spacing w:line="360" w:lineRule="exact"/>
              <w:rPr>
                <w:rFonts w:hint="eastAsia" w:ascii="Times New Roman" w:hAnsi="Times New Roman"/>
                <w:szCs w:val="21"/>
              </w:rPr>
            </w:pPr>
            <w:r>
              <w:rPr>
                <w:rFonts w:hint="eastAsia" w:ascii="Times New Roman"/>
                <w:szCs w:val="21"/>
              </w:rPr>
              <w:t>附件：□  审查记录</w:t>
            </w:r>
          </w:p>
          <w:p>
            <w:pPr>
              <w:rPr>
                <w:rFonts w:hint="eastAsia" w:ascii="Times New Roman"/>
                <w:szCs w:val="21"/>
              </w:rPr>
            </w:pPr>
          </w:p>
          <w:p>
            <w:pPr>
              <w:spacing w:line="360" w:lineRule="auto"/>
              <w:ind w:firstLine="4599" w:firstLineChars="2190"/>
              <w:rPr>
                <w:rFonts w:hint="eastAsia" w:ascii="Times New Roman"/>
                <w:szCs w:val="21"/>
              </w:rPr>
            </w:pPr>
            <w:r>
              <w:rPr>
                <w:rFonts w:hint="eastAsia" w:ascii="Times New Roman"/>
                <w:szCs w:val="21"/>
              </w:rPr>
              <w:t>专业监理工程师（签字）：</w:t>
            </w:r>
            <w:r>
              <w:rPr>
                <w:rFonts w:hint="eastAsia" w:ascii="Times New Roman"/>
                <w:szCs w:val="21"/>
                <w:u w:val="single"/>
              </w:rPr>
              <w:t xml:space="preserve">          </w:t>
            </w:r>
            <w:r>
              <w:rPr>
                <w:rFonts w:hint="eastAsia" w:ascii="Times New Roman"/>
                <w:szCs w:val="21"/>
              </w:rPr>
              <w:t xml:space="preserve">   </w:t>
            </w:r>
          </w:p>
          <w:p>
            <w:pPr>
              <w:spacing w:line="360" w:lineRule="auto"/>
              <w:ind w:firstLine="6069" w:firstLineChars="2890"/>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5" w:hRule="atLeast"/>
        </w:trPr>
        <w:tc>
          <w:tcPr>
            <w:tcW w:w="8688" w:type="dxa"/>
            <w:gridSpan w:val="4"/>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r>
              <w:rPr>
                <w:rFonts w:hint="eastAsia" w:ascii="Times New Roman"/>
                <w:szCs w:val="21"/>
              </w:rPr>
              <w:t>审核意见：</w:t>
            </w:r>
          </w:p>
          <w:p>
            <w:pPr>
              <w:rPr>
                <w:rFonts w:hint="eastAsia" w:ascii="Times New Roman"/>
                <w:szCs w:val="21"/>
              </w:rPr>
            </w:pPr>
          </w:p>
          <w:p>
            <w:pPr>
              <w:rPr>
                <w:rFonts w:hint="eastAsia" w:ascii="Times New Roman"/>
                <w:szCs w:val="21"/>
              </w:rPr>
            </w:pPr>
          </w:p>
          <w:p>
            <w:pPr>
              <w:spacing w:line="360" w:lineRule="auto"/>
              <w:rPr>
                <w:rFonts w:hint="eastAsia" w:ascii="Times New Roman"/>
                <w:bCs/>
                <w:szCs w:val="21"/>
                <w:u w:val="single"/>
              </w:rPr>
            </w:pPr>
            <w:r>
              <w:rPr>
                <w:rFonts w:hint="eastAsia" w:ascii="Times New Roman"/>
                <w:szCs w:val="21"/>
              </w:rPr>
              <w:t xml:space="preserve">　　　                               </w:t>
            </w:r>
            <w:r>
              <w:rPr>
                <w:rFonts w:hint="eastAsia" w:ascii="Times New Roman"/>
                <w:bCs/>
                <w:szCs w:val="21"/>
              </w:rPr>
              <w:t>项目监理机构(章):</w:t>
            </w:r>
            <w:r>
              <w:rPr>
                <w:rFonts w:hint="eastAsia" w:ascii="Times New Roman"/>
                <w:bCs/>
                <w:szCs w:val="21"/>
                <w:u w:val="single"/>
              </w:rPr>
              <w:t xml:space="preserve">                          </w:t>
            </w:r>
            <w:r>
              <w:rPr>
                <w:rFonts w:hint="eastAsia" w:ascii="Times New Roman"/>
                <w:bCs/>
                <w:szCs w:val="21"/>
              </w:rPr>
              <w:t xml:space="preserve">                </w:t>
            </w:r>
          </w:p>
          <w:p>
            <w:pPr>
              <w:spacing w:line="360" w:lineRule="auto"/>
              <w:rPr>
                <w:rFonts w:hint="eastAsia" w:ascii="Times New Roman"/>
                <w:szCs w:val="21"/>
              </w:rPr>
            </w:pPr>
            <w:r>
              <w:rPr>
                <w:rFonts w:hint="eastAsia" w:ascii="Times New Roman"/>
                <w:szCs w:val="21"/>
              </w:rPr>
              <w:t>　　                                 总监理工程师（签字、执业印章）：</w:t>
            </w:r>
            <w:r>
              <w:rPr>
                <w:rFonts w:hint="eastAsia" w:ascii="Times New Roman"/>
                <w:szCs w:val="21"/>
                <w:u w:val="single"/>
              </w:rPr>
              <w:t>　　　　　　</w:t>
            </w:r>
            <w:r>
              <w:rPr>
                <w:rFonts w:hint="eastAsia" w:ascii="Times New Roman"/>
                <w:szCs w:val="21"/>
              </w:rPr>
              <w:t xml:space="preserve">  </w:t>
            </w:r>
          </w:p>
          <w:p>
            <w:pPr>
              <w:spacing w:line="360" w:lineRule="auto"/>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8688" w:type="dxa"/>
            <w:gridSpan w:val="4"/>
            <w:tcBorders>
              <w:top w:val="single" w:color="auto" w:sz="4" w:space="0"/>
              <w:left w:val="single" w:color="auto" w:sz="8" w:space="0"/>
              <w:bottom w:val="single" w:color="auto" w:sz="8" w:space="0"/>
              <w:right w:val="single" w:color="auto" w:sz="8" w:space="0"/>
            </w:tcBorders>
            <w:noWrap w:val="0"/>
            <w:vAlign w:val="center"/>
          </w:tcPr>
          <w:p>
            <w:pPr>
              <w:rPr>
                <w:rFonts w:ascii="Times New Roman"/>
                <w:szCs w:val="21"/>
              </w:rPr>
            </w:pPr>
            <w:r>
              <w:rPr>
                <w:rFonts w:hint="eastAsia" w:ascii="Times New Roman"/>
                <w:szCs w:val="21"/>
              </w:rPr>
              <w:t>注：本表一式三份，项目监理机构、建设单位、施工单位各一份。</w:t>
            </w:r>
          </w:p>
        </w:tc>
      </w:tr>
    </w:tbl>
    <w:p>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hint="eastAsia" w:ascii="Times New Roman" w:eastAsia="隶书"/>
        </w:rPr>
        <w:t>第六版表                                              江苏省住房和城乡建设厅监制</w:t>
      </w:r>
      <w:r>
        <w:rPr>
          <w:szCs w:val="21"/>
        </w:rPr>
        <w:br w:type="column"/>
      </w:r>
      <w:r>
        <w:rPr>
          <w:rFonts w:eastAsia="黑体"/>
          <w:b/>
          <w:sz w:val="28"/>
          <w:szCs w:val="28"/>
          <w14:shadow w14:blurRad="50800" w14:dist="38100" w14:dir="2700000" w14:sx="100000" w14:sy="100000" w14:kx="0" w14:ky="0" w14:algn="tl">
            <w14:srgbClr w14:val="000000">
              <w14:alpha w14:val="60000"/>
            </w14:srgbClr>
          </w14:shadow>
        </w:rPr>
        <w:t>B.0.2</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施工现场质量、安全生产管理体系报审表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编号：</w:t>
      </w:r>
      <w:r>
        <w:rPr>
          <w:szCs w:val="21"/>
        </w:rPr>
        <w:t>B.0.2</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473"/>
        <w:gridCol w:w="264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130" w:hRule="atLeast"/>
          <w:jc w:val="center"/>
        </w:trPr>
        <w:tc>
          <w:tcPr>
            <w:tcW w:w="8522"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exact"/>
              <w:ind w:firstLine="420" w:firstLineChars="200"/>
              <w:rPr>
                <w:rFonts w:hint="eastAsia" w:ascii="Times New Roman"/>
                <w:szCs w:val="21"/>
              </w:rPr>
            </w:pPr>
            <w:r>
              <w:rPr>
                <w:rFonts w:hint="eastAsia" w:ascii="Times New Roman"/>
                <w:szCs w:val="21"/>
              </w:rPr>
              <w:t>我方施工现场质量、安全生产管理体系已建立，请予审查。</w:t>
            </w:r>
          </w:p>
          <w:p>
            <w:pPr>
              <w:spacing w:line="360" w:lineRule="exact"/>
              <w:ind w:firstLine="420" w:firstLineChars="200"/>
              <w:rPr>
                <w:rFonts w:hint="eastAsia" w:ascii="Times New Roman"/>
                <w:szCs w:val="21"/>
              </w:rPr>
            </w:pPr>
            <w:r>
              <w:rPr>
                <w:rFonts w:hint="eastAsia" w:ascii="Times New Roman"/>
                <w:szCs w:val="21"/>
              </w:rPr>
              <w:t>本次申报内容系第</w:t>
            </w:r>
            <w:r>
              <w:rPr>
                <w:rFonts w:hint="eastAsia" w:ascii="Times New Roman"/>
                <w:szCs w:val="21"/>
                <w:u w:val="single"/>
              </w:rPr>
              <w:t xml:space="preserve">          </w:t>
            </w:r>
            <w:r>
              <w:rPr>
                <w:rFonts w:hint="eastAsia" w:ascii="Times New Roman"/>
                <w:szCs w:val="21"/>
              </w:rPr>
              <w:t>次申报。</w:t>
            </w:r>
          </w:p>
          <w:p>
            <w:pPr>
              <w:spacing w:line="360" w:lineRule="exact"/>
              <w:rPr>
                <w:rFonts w:hint="eastAsia" w:ascii="Times New Roman"/>
                <w:szCs w:val="21"/>
              </w:rPr>
            </w:pPr>
            <w:r>
              <w:rPr>
                <w:rFonts w:hint="eastAsia" w:ascii="Times New Roman"/>
                <w:szCs w:val="21"/>
              </w:rPr>
              <w:t>附件：</w:t>
            </w:r>
          </w:p>
          <w:p>
            <w:pPr>
              <w:spacing w:line="360" w:lineRule="exact"/>
              <w:ind w:firstLine="420" w:firstLineChars="200"/>
              <w:rPr>
                <w:rFonts w:hint="eastAsia" w:ascii="Times New Roman" w:hAnsi="Times New Roman"/>
                <w:szCs w:val="21"/>
              </w:rPr>
            </w:pPr>
            <w:r>
              <w:rPr>
                <w:rFonts w:hint="eastAsia" w:ascii="Times New Roman" w:hAnsi="Times New Roman"/>
                <w:szCs w:val="21"/>
              </w:rPr>
              <w:t>□ 项目部组织机构，现场管理人员一览表、项目经理、质检员、安全员等专职管理</w:t>
            </w:r>
          </w:p>
          <w:p>
            <w:pPr>
              <w:spacing w:line="360" w:lineRule="exact"/>
              <w:ind w:left="628" w:leftChars="299" w:firstLine="79" w:firstLineChars="38"/>
              <w:rPr>
                <w:rFonts w:hint="eastAsia" w:ascii="Times New Roman" w:hAnsi="Times New Roman"/>
                <w:szCs w:val="21"/>
              </w:rPr>
            </w:pPr>
            <w:r>
              <w:rPr>
                <w:rFonts w:hint="eastAsia" w:ascii="Times New Roman" w:hAnsi="Times New Roman"/>
                <w:szCs w:val="21"/>
              </w:rPr>
              <w:t>人员的岗位证书。</w:t>
            </w:r>
          </w:p>
          <w:p>
            <w:pPr>
              <w:spacing w:line="360" w:lineRule="exact"/>
              <w:ind w:firstLine="420" w:firstLineChars="200"/>
              <w:rPr>
                <w:rFonts w:hint="eastAsia" w:ascii="Times New Roman" w:hAnsi="Times New Roman"/>
                <w:szCs w:val="21"/>
              </w:rPr>
            </w:pPr>
            <w:r>
              <w:rPr>
                <w:rFonts w:hint="eastAsia" w:ascii="Times New Roman" w:hAnsi="Times New Roman"/>
                <w:szCs w:val="21"/>
              </w:rPr>
              <w:t>□ 施工单位资质证书、安全生产许可证</w:t>
            </w:r>
          </w:p>
          <w:p>
            <w:pPr>
              <w:spacing w:line="360" w:lineRule="exact"/>
              <w:ind w:firstLine="420" w:firstLineChars="200"/>
              <w:rPr>
                <w:rFonts w:hint="eastAsia" w:ascii="Times New Roman" w:hAnsi="Times New Roman"/>
                <w:szCs w:val="21"/>
              </w:rPr>
            </w:pPr>
            <w:r>
              <w:rPr>
                <w:rFonts w:hint="eastAsia" w:ascii="Times New Roman" w:hAnsi="Times New Roman"/>
                <w:szCs w:val="21"/>
              </w:rPr>
              <w:t>□ 质量、安全生产管理制度</w:t>
            </w:r>
          </w:p>
          <w:p>
            <w:pPr>
              <w:spacing w:line="360" w:lineRule="exact"/>
              <w:ind w:firstLine="420" w:firstLineChars="200"/>
              <w:rPr>
                <w:rFonts w:hint="eastAsia" w:ascii="Times New Roman" w:hAnsi="Times New Roman"/>
                <w:szCs w:val="21"/>
              </w:rPr>
            </w:pPr>
            <w:r>
              <w:rPr>
                <w:rFonts w:hint="eastAsia" w:ascii="Times New Roman" w:hAnsi="Times New Roman"/>
                <w:szCs w:val="21"/>
              </w:rPr>
              <w:t>□ 特种作业人员操作资格证书</w:t>
            </w:r>
          </w:p>
          <w:p>
            <w:pPr>
              <w:spacing w:line="360" w:lineRule="exact"/>
              <w:ind w:firstLine="420" w:firstLineChars="200"/>
              <w:rPr>
                <w:rFonts w:hint="eastAsia" w:ascii="Times New Roman" w:hAnsi="Times New Roman"/>
                <w:szCs w:val="21"/>
              </w:rPr>
            </w:pPr>
            <w:r>
              <w:rPr>
                <w:rFonts w:hint="eastAsia" w:ascii="Times New Roman" w:hAnsi="Times New Roman"/>
                <w:szCs w:val="21"/>
              </w:rPr>
              <w:t>□</w:t>
            </w:r>
          </w:p>
          <w:p>
            <w:pPr>
              <w:spacing w:line="420" w:lineRule="exact"/>
              <w:rPr>
                <w:rFonts w:hint="eastAsia" w:ascii="Times New Roman"/>
                <w:szCs w:val="21"/>
                <w:u w:val="single"/>
              </w:rPr>
            </w:pPr>
            <w:r>
              <w:rPr>
                <w:rFonts w:hint="eastAsia" w:ascii="Times New Roman"/>
                <w:szCs w:val="21"/>
              </w:rPr>
              <w:t>　　　　　　　 　                             施工项目经理部（章）：</w:t>
            </w:r>
            <w:r>
              <w:rPr>
                <w:rFonts w:hint="eastAsia" w:ascii="Times New Roman"/>
                <w:szCs w:val="21"/>
                <w:u w:val="single"/>
              </w:rPr>
              <w:t>　　   　　</w:t>
            </w:r>
          </w:p>
          <w:p>
            <w:pPr>
              <w:tabs>
                <w:tab w:val="left" w:pos="6630"/>
              </w:tabs>
              <w:spacing w:line="420" w:lineRule="exact"/>
              <w:rPr>
                <w:rFonts w:hint="eastAsia" w:ascii="Times New Roman"/>
                <w:szCs w:val="21"/>
              </w:rPr>
            </w:pPr>
            <w:r>
              <w:rPr>
                <w:rFonts w:hint="eastAsia" w:ascii="Times New Roman"/>
                <w:szCs w:val="21"/>
              </w:rPr>
              <w:t>　　　　　　　 　                         项目经理（签字、执业印章）：</w:t>
            </w:r>
            <w:r>
              <w:rPr>
                <w:rFonts w:hint="eastAsia" w:ascii="Times New Roman"/>
                <w:szCs w:val="21"/>
                <w:u w:val="single"/>
              </w:rPr>
              <w:t>　　　　　 　　</w:t>
            </w:r>
            <w:r>
              <w:rPr>
                <w:rFonts w:hint="eastAsia" w:ascii="Times New Roman"/>
                <w:szCs w:val="21"/>
              </w:rPr>
              <w:t xml:space="preserve">   </w:t>
            </w:r>
          </w:p>
          <w:p>
            <w:pPr>
              <w:tabs>
                <w:tab w:val="left" w:pos="6630"/>
              </w:tabs>
              <w:spacing w:line="420" w:lineRule="exact"/>
              <w:jc w:val="right"/>
              <w:rPr>
                <w:rFonts w:ascii="Times New Roman"/>
                <w:szCs w:val="21"/>
                <w:u w:val="single"/>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3" w:hRule="atLeast"/>
          <w:jc w:val="center"/>
        </w:trPr>
        <w:tc>
          <w:tcPr>
            <w:tcW w:w="1614" w:type="dxa"/>
            <w:tcBorders>
              <w:top w:val="single" w:color="auto" w:sz="4" w:space="0"/>
              <w:left w:val="single" w:color="auto" w:sz="8" w:space="0"/>
              <w:bottom w:val="single" w:color="auto" w:sz="4" w:space="0"/>
              <w:right w:val="single" w:color="auto" w:sz="4" w:space="0"/>
            </w:tcBorders>
            <w:noWrap w:val="0"/>
            <w:vAlign w:val="center"/>
          </w:tcPr>
          <w:p>
            <w:pPr>
              <w:spacing w:before="120" w:after="120"/>
              <w:jc w:val="center"/>
              <w:rPr>
                <w:rFonts w:ascii="Times New Roman"/>
                <w:szCs w:val="21"/>
              </w:rPr>
            </w:pPr>
            <w:r>
              <w:rPr>
                <w:rFonts w:hint="eastAsia" w:ascii="Times New Roman"/>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spacing w:before="120" w:after="120"/>
              <w:jc w:val="center"/>
              <w:rPr>
                <w:rFonts w:ascii="Times New Roman"/>
                <w:szCs w:val="21"/>
              </w:rPr>
            </w:pPr>
          </w:p>
        </w:tc>
        <w:tc>
          <w:tcPr>
            <w:tcW w:w="1473" w:type="dxa"/>
            <w:tcBorders>
              <w:top w:val="single" w:color="auto" w:sz="4" w:space="0"/>
              <w:left w:val="single" w:color="auto" w:sz="4" w:space="0"/>
              <w:bottom w:val="single" w:color="auto" w:sz="4" w:space="0"/>
              <w:right w:val="single" w:color="auto" w:sz="4" w:space="0"/>
            </w:tcBorders>
            <w:noWrap w:val="0"/>
            <w:vAlign w:val="center"/>
          </w:tcPr>
          <w:p>
            <w:pPr>
              <w:spacing w:before="120" w:after="120"/>
              <w:jc w:val="center"/>
              <w:rPr>
                <w:rFonts w:ascii="Times New Roman"/>
                <w:szCs w:val="21"/>
              </w:rPr>
            </w:pPr>
            <w:r>
              <w:rPr>
                <w:rFonts w:hint="eastAsia" w:ascii="Times New Roman"/>
                <w:szCs w:val="21"/>
              </w:rPr>
              <w:t>施工项目经理部签收人姓名及时间</w:t>
            </w:r>
          </w:p>
        </w:tc>
        <w:tc>
          <w:tcPr>
            <w:tcW w:w="2641" w:type="dxa"/>
            <w:tcBorders>
              <w:top w:val="single" w:color="auto" w:sz="4" w:space="0"/>
              <w:left w:val="single" w:color="auto" w:sz="4" w:space="0"/>
              <w:bottom w:val="single" w:color="auto" w:sz="4" w:space="0"/>
              <w:right w:val="single" w:color="auto" w:sz="8" w:space="0"/>
            </w:tcBorders>
            <w:noWrap w:val="0"/>
            <w:vAlign w:val="center"/>
          </w:tcPr>
          <w:p>
            <w:pPr>
              <w:spacing w:before="120" w:after="12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r>
              <w:rPr>
                <w:rFonts w:hint="eastAsia" w:ascii="Times New Roman"/>
                <w:szCs w:val="21"/>
              </w:rPr>
              <w:t>审查意见:</w:t>
            </w:r>
          </w:p>
          <w:p>
            <w:pPr>
              <w:rPr>
                <w:rFonts w:hint="eastAsia" w:ascii="Times New Roman"/>
                <w:szCs w:val="21"/>
              </w:rPr>
            </w:pPr>
          </w:p>
          <w:p>
            <w:pPr>
              <w:spacing w:line="360" w:lineRule="exact"/>
              <w:rPr>
                <w:rFonts w:hint="eastAsia" w:ascii="Times New Roman"/>
                <w:szCs w:val="21"/>
              </w:rPr>
            </w:pPr>
            <w:r>
              <w:rPr>
                <w:rFonts w:hint="eastAsia" w:ascii="Times New Roman"/>
                <w:szCs w:val="21"/>
              </w:rPr>
              <w:t>附件：□  审查记录</w:t>
            </w:r>
          </w:p>
          <w:p>
            <w:pPr>
              <w:rPr>
                <w:rFonts w:hint="eastAsia" w:ascii="Times New Roman"/>
                <w:szCs w:val="21"/>
              </w:rPr>
            </w:pPr>
          </w:p>
          <w:p>
            <w:pPr>
              <w:rPr>
                <w:rFonts w:hint="eastAsia" w:ascii="Times New Roman"/>
                <w:szCs w:val="21"/>
              </w:rPr>
            </w:pPr>
          </w:p>
          <w:p>
            <w:pPr>
              <w:tabs>
                <w:tab w:val="left" w:pos="6637"/>
              </w:tabs>
              <w:spacing w:line="360" w:lineRule="auto"/>
              <w:ind w:firstLine="315" w:firstLineChars="150"/>
              <w:rPr>
                <w:rFonts w:hint="eastAsia" w:ascii="Times New Roman"/>
                <w:szCs w:val="21"/>
              </w:rPr>
            </w:pPr>
            <w:r>
              <w:rPr>
                <w:rFonts w:hint="eastAsia" w:ascii="Times New Roman"/>
                <w:szCs w:val="21"/>
              </w:rPr>
              <w:t xml:space="preserve">                                          专业监理工程师（签字）：</w:t>
            </w:r>
            <w:r>
              <w:rPr>
                <w:rFonts w:hint="eastAsia" w:ascii="Times New Roman"/>
                <w:szCs w:val="21"/>
                <w:u w:val="single"/>
              </w:rPr>
              <w:t xml:space="preserve">          </w:t>
            </w:r>
            <w:r>
              <w:rPr>
                <w:rFonts w:hint="eastAsia" w:ascii="Times New Roman"/>
                <w:szCs w:val="21"/>
              </w:rPr>
              <w:t xml:space="preserve">   </w:t>
            </w:r>
          </w:p>
          <w:p>
            <w:pPr>
              <w:tabs>
                <w:tab w:val="left" w:pos="6637"/>
              </w:tabs>
              <w:spacing w:line="360" w:lineRule="auto"/>
              <w:ind w:firstLine="315" w:firstLineChars="150"/>
              <w:jc w:val="right"/>
              <w:rPr>
                <w:rFonts w:ascii="Times New Roman"/>
                <w:szCs w:val="21"/>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28" w:hRule="atLeast"/>
          <w:jc w:val="center"/>
        </w:trPr>
        <w:tc>
          <w:tcPr>
            <w:tcW w:w="8522" w:type="dxa"/>
            <w:gridSpan w:val="4"/>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r>
              <w:rPr>
                <w:rFonts w:hint="eastAsia" w:ascii="Times New Roman"/>
                <w:szCs w:val="21"/>
              </w:rPr>
              <w:t>审核意见：</w:t>
            </w:r>
          </w:p>
          <w:p>
            <w:pPr>
              <w:rPr>
                <w:rFonts w:hint="eastAsia" w:ascii="Times New Roman"/>
                <w:szCs w:val="21"/>
              </w:rPr>
            </w:pPr>
          </w:p>
          <w:p>
            <w:pPr>
              <w:rPr>
                <w:rFonts w:hint="eastAsia" w:ascii="Times New Roman"/>
                <w:szCs w:val="21"/>
              </w:rPr>
            </w:pPr>
          </w:p>
          <w:p>
            <w:pPr>
              <w:rPr>
                <w:rFonts w:hint="eastAsia" w:ascii="Times New Roman"/>
                <w:szCs w:val="21"/>
              </w:rPr>
            </w:pPr>
          </w:p>
          <w:p>
            <w:pPr>
              <w:spacing w:line="320" w:lineRule="exact"/>
              <w:ind w:firstLine="2940" w:firstLineChars="1400"/>
              <w:rPr>
                <w:rFonts w:hint="eastAsia" w:ascii="Times New Roman"/>
                <w:bCs/>
                <w:szCs w:val="21"/>
                <w:u w:val="single"/>
              </w:rPr>
            </w:pPr>
            <w:r>
              <w:rPr>
                <w:rFonts w:hint="eastAsia" w:ascii="Times New Roman"/>
                <w:bCs/>
                <w:szCs w:val="21"/>
              </w:rPr>
              <w:t>项目监理机构(章):</w:t>
            </w:r>
            <w:r>
              <w:rPr>
                <w:rFonts w:hint="eastAsia" w:ascii="Times New Roman"/>
                <w:bCs/>
                <w:szCs w:val="21"/>
                <w:u w:val="single"/>
              </w:rPr>
              <w:t xml:space="preserve">                                </w:t>
            </w:r>
          </w:p>
          <w:p>
            <w:pPr>
              <w:tabs>
                <w:tab w:val="left" w:pos="6540"/>
              </w:tabs>
              <w:spacing w:line="320" w:lineRule="exact"/>
              <w:ind w:firstLine="2940" w:firstLineChars="1400"/>
              <w:rPr>
                <w:rFonts w:hint="eastAsia" w:ascii="Times New Roman"/>
                <w:szCs w:val="21"/>
              </w:rPr>
            </w:pPr>
            <w:r>
              <w:rPr>
                <w:rFonts w:hint="eastAsia" w:ascii="Times New Roman"/>
                <w:szCs w:val="21"/>
              </w:rPr>
              <w:t>总监理工程师/总监理工程师代表（签字）：</w:t>
            </w:r>
            <w:r>
              <w:rPr>
                <w:rFonts w:hint="eastAsia" w:ascii="Times New Roman"/>
                <w:szCs w:val="21"/>
                <w:u w:val="single"/>
              </w:rPr>
              <w:t xml:space="preserve">　　　　　 </w:t>
            </w:r>
            <w:r>
              <w:rPr>
                <w:rFonts w:hint="eastAsia" w:ascii="Times New Roman"/>
                <w:szCs w:val="21"/>
              </w:rPr>
              <w:t xml:space="preserve">    </w:t>
            </w:r>
          </w:p>
          <w:p>
            <w:pPr>
              <w:tabs>
                <w:tab w:val="left" w:pos="6540"/>
              </w:tabs>
              <w:spacing w:line="320" w:lineRule="exact"/>
              <w:ind w:firstLine="630" w:firstLineChars="300"/>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8522" w:type="dxa"/>
            <w:gridSpan w:val="4"/>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ascii="Times New Roman"/>
                <w:szCs w:val="21"/>
              </w:rPr>
              <w:t>注：</w:t>
            </w:r>
            <w:r>
              <w:rPr>
                <w:szCs w:val="21"/>
              </w:rPr>
              <w:t>1</w:t>
            </w:r>
            <w:r>
              <w:rPr>
                <w:rFonts w:hint="eastAsia"/>
                <w:szCs w:val="21"/>
              </w:rPr>
              <w:t>、施工单位项目经理部应在计划开工</w:t>
            </w:r>
            <w:r>
              <w:rPr>
                <w:szCs w:val="21"/>
              </w:rPr>
              <w:t>7</w:t>
            </w:r>
            <w:r>
              <w:rPr>
                <w:rFonts w:hint="eastAsia"/>
                <w:szCs w:val="21"/>
              </w:rPr>
              <w:t>日前提出本报审表。</w:t>
            </w:r>
          </w:p>
          <w:p>
            <w:pPr>
              <w:rPr>
                <w:rFonts w:ascii="Times New Roman"/>
                <w:szCs w:val="21"/>
              </w:rPr>
            </w:pPr>
            <w:r>
              <w:rPr>
                <w:szCs w:val="21"/>
              </w:rPr>
              <w:t xml:space="preserve">    2</w:t>
            </w:r>
            <w:r>
              <w:rPr>
                <w:rFonts w:hint="eastAsia" w:ascii="Times New Roman"/>
                <w:szCs w:val="21"/>
              </w:rPr>
              <w:t>、本表一式三份，项目监理机构、建设单位、施工单位各一份。</w:t>
            </w:r>
          </w:p>
        </w:tc>
      </w:tr>
    </w:tbl>
    <w:p>
      <w:pPr>
        <w:jc w:val="right"/>
        <w:rPr>
          <w:szCs w:val="21"/>
        </w:rPr>
      </w:pPr>
      <w:r>
        <w:rPr>
          <w:rFonts w:hint="eastAsia" w:ascii="Times New Roman" w:eastAsia="隶书"/>
        </w:rPr>
        <w:t>第六版表                                              江苏省住房和城乡建设厅监制</w:t>
      </w:r>
    </w:p>
    <w:p>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B.0.3</w:t>
      </w:r>
    </w:p>
    <w:p>
      <w:pPr>
        <w:spacing w:before="312" w:beforeLines="100" w:after="312" w:afterLines="100" w:line="28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工程开工报审表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编号：</w:t>
      </w:r>
      <w:r>
        <w:rPr>
          <w:szCs w:val="21"/>
        </w:rPr>
        <w:t>B.0.3</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3"/>
        <w:gridCol w:w="7"/>
        <w:gridCol w:w="2788"/>
        <w:gridCol w:w="347"/>
        <w:gridCol w:w="1158"/>
        <w:gridCol w:w="402"/>
        <w:gridCol w:w="23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1" w:hRule="atLeast"/>
        </w:trPr>
        <w:tc>
          <w:tcPr>
            <w:tcW w:w="8628" w:type="dxa"/>
            <w:gridSpan w:val="7"/>
            <w:tcBorders>
              <w:top w:val="single" w:color="auto" w:sz="8" w:space="0"/>
              <w:left w:val="single" w:color="auto" w:sz="8" w:space="0"/>
              <w:bottom w:val="nil"/>
              <w:right w:val="single" w:color="auto" w:sz="8" w:space="0"/>
            </w:tcBorders>
            <w:noWrap w:val="0"/>
            <w:vAlign w:val="top"/>
          </w:tcPr>
          <w:p>
            <w:pPr>
              <w:spacing w:before="156" w:beforeLines="50" w:after="156" w:afterLines="50"/>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（建设单位）</w:t>
            </w:r>
          </w:p>
          <w:p>
            <w:pPr>
              <w:spacing w:line="360" w:lineRule="auto"/>
              <w:rPr>
                <w:rFonts w:hint="eastAsia" w:ascii="Times New Roman"/>
                <w:szCs w:val="21"/>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（项目监理机构）</w:t>
            </w:r>
          </w:p>
          <w:p>
            <w:pPr>
              <w:spacing w:line="320" w:lineRule="exact"/>
              <w:rPr>
                <w:rFonts w:hint="eastAsia" w:ascii="Times New Roman"/>
                <w:szCs w:val="21"/>
              </w:rPr>
            </w:pPr>
            <w:r>
              <w:rPr>
                <w:rFonts w:hint="eastAsia" w:ascii="Times New Roman"/>
                <w:szCs w:val="21"/>
              </w:rPr>
              <w:t>　  我方承担的</w:t>
            </w:r>
            <w:r>
              <w:rPr>
                <w:rFonts w:hint="eastAsia" w:ascii="Times New Roman"/>
                <w:szCs w:val="21"/>
                <w:u w:val="single"/>
              </w:rPr>
              <w:t>　　　　　　　　　　　　　　　　　</w:t>
            </w:r>
            <w:r>
              <w:rPr>
                <w:rFonts w:hint="eastAsia" w:ascii="Times New Roman"/>
                <w:szCs w:val="21"/>
              </w:rPr>
              <w:t>工程，已完成相关准备工作，具备开工条件，申请于</w:t>
            </w:r>
            <w:r>
              <w:rPr>
                <w:rFonts w:hint="eastAsia" w:ascii="Times New Roman"/>
                <w:szCs w:val="21"/>
                <w:u w:val="single"/>
              </w:rPr>
              <w:t>　　　</w:t>
            </w:r>
            <w:r>
              <w:rPr>
                <w:rFonts w:hint="eastAsia" w:ascii="Times New Roman"/>
                <w:szCs w:val="21"/>
              </w:rPr>
              <w:t>年</w:t>
            </w:r>
            <w:r>
              <w:rPr>
                <w:rFonts w:hint="eastAsia" w:ascii="Times New Roman"/>
                <w:szCs w:val="21"/>
                <w:u w:val="single"/>
              </w:rPr>
              <w:t>　 　</w:t>
            </w:r>
            <w:r>
              <w:rPr>
                <w:rFonts w:hint="eastAsia" w:ascii="Times New Roman"/>
                <w:szCs w:val="21"/>
              </w:rPr>
              <w:t>月</w:t>
            </w:r>
            <w:r>
              <w:rPr>
                <w:rFonts w:hint="eastAsia" w:ascii="Times New Roman"/>
                <w:szCs w:val="21"/>
                <w:u w:val="single"/>
              </w:rPr>
              <w:t>　　　</w:t>
            </w:r>
            <w:r>
              <w:rPr>
                <w:rFonts w:hint="eastAsia" w:ascii="Times New Roman"/>
                <w:szCs w:val="21"/>
              </w:rPr>
              <w:t>日开工，请予以审核，批准。</w:t>
            </w:r>
          </w:p>
          <w:p>
            <w:pPr>
              <w:spacing w:line="320" w:lineRule="exact"/>
              <w:ind w:firstLine="420" w:firstLineChars="200"/>
              <w:rPr>
                <w:rFonts w:hint="eastAsia" w:ascii="Times New Roman"/>
                <w:szCs w:val="21"/>
              </w:rPr>
            </w:pPr>
            <w:r>
              <w:rPr>
                <w:rFonts w:hint="eastAsia" w:ascii="Times New Roman"/>
                <w:szCs w:val="21"/>
              </w:rPr>
              <w:t>□　设计交底和图纸会审</w:t>
            </w:r>
          </w:p>
          <w:p>
            <w:pPr>
              <w:spacing w:line="320" w:lineRule="exact"/>
              <w:ind w:firstLine="420" w:firstLineChars="200"/>
              <w:rPr>
                <w:rFonts w:hint="eastAsia" w:ascii="Times New Roman"/>
                <w:szCs w:val="21"/>
              </w:rPr>
            </w:pPr>
            <w:r>
              <w:rPr>
                <w:rFonts w:hint="eastAsia" w:ascii="Times New Roman"/>
                <w:szCs w:val="21"/>
              </w:rPr>
              <w:t>□  施工组织设计/施工方案（</w:t>
            </w:r>
            <w:r>
              <w:rPr>
                <w:szCs w:val="21"/>
              </w:rPr>
              <w:t>B.0.1</w:t>
            </w:r>
            <w:r>
              <w:rPr>
                <w:rFonts w:hint="eastAsia" w:ascii="Times New Roman"/>
                <w:szCs w:val="21"/>
                <w:u w:val="single"/>
              </w:rPr>
              <w:t xml:space="preserve">   </w:t>
            </w:r>
            <w:r>
              <w:rPr>
                <w:rFonts w:hint="eastAsia" w:ascii="Times New Roman"/>
                <w:szCs w:val="21"/>
              </w:rPr>
              <w:t>—</w:t>
            </w:r>
            <w:r>
              <w:rPr>
                <w:rFonts w:hint="eastAsia" w:ascii="Times New Roman"/>
                <w:szCs w:val="21"/>
                <w:u w:val="single"/>
              </w:rPr>
              <w:t xml:space="preserve">            </w:t>
            </w:r>
            <w:r>
              <w:rPr>
                <w:rFonts w:hint="eastAsia" w:ascii="Times New Roman"/>
                <w:szCs w:val="21"/>
              </w:rPr>
              <w:t>）</w:t>
            </w:r>
          </w:p>
          <w:p>
            <w:pPr>
              <w:spacing w:line="320" w:lineRule="exact"/>
              <w:ind w:firstLine="420" w:firstLineChars="200"/>
              <w:rPr>
                <w:rFonts w:hint="eastAsia" w:ascii="Times New Roman"/>
                <w:szCs w:val="21"/>
              </w:rPr>
            </w:pPr>
            <w:r>
              <w:rPr>
                <w:rFonts w:hint="eastAsia" w:ascii="Times New Roman"/>
                <w:szCs w:val="21"/>
              </w:rPr>
              <w:t>□  施工进度计划（</w:t>
            </w:r>
            <w:r>
              <w:rPr>
                <w:szCs w:val="21"/>
              </w:rPr>
              <w:t>B.3.1</w:t>
            </w:r>
            <w:r>
              <w:rPr>
                <w:rFonts w:hint="eastAsia" w:ascii="Times New Roman"/>
                <w:szCs w:val="21"/>
                <w:u w:val="single"/>
              </w:rPr>
              <w:t xml:space="preserve">   </w:t>
            </w:r>
            <w:r>
              <w:rPr>
                <w:rFonts w:hint="eastAsia" w:ascii="Times New Roman"/>
                <w:szCs w:val="21"/>
              </w:rPr>
              <w:t>—</w:t>
            </w:r>
            <w:r>
              <w:rPr>
                <w:rFonts w:hint="eastAsia" w:ascii="Times New Roman"/>
                <w:szCs w:val="21"/>
                <w:u w:val="single"/>
              </w:rPr>
              <w:t xml:space="preserve">            </w:t>
            </w:r>
            <w:r>
              <w:rPr>
                <w:rFonts w:hint="eastAsia" w:ascii="Times New Roman"/>
                <w:szCs w:val="21"/>
              </w:rPr>
              <w:t>）</w:t>
            </w:r>
          </w:p>
          <w:p>
            <w:pPr>
              <w:spacing w:line="320" w:lineRule="exact"/>
              <w:ind w:firstLine="420" w:firstLineChars="200"/>
              <w:rPr>
                <w:rFonts w:hint="eastAsia" w:ascii="Times New Roman"/>
                <w:szCs w:val="21"/>
              </w:rPr>
            </w:pPr>
            <w:r>
              <w:rPr>
                <w:rFonts w:hint="eastAsia" w:ascii="Times New Roman"/>
                <w:szCs w:val="21"/>
              </w:rPr>
              <w:t>□  施工质量、安全生产管理体系（</w:t>
            </w:r>
            <w:r>
              <w:rPr>
                <w:szCs w:val="21"/>
              </w:rPr>
              <w:t>B.0.2</w:t>
            </w:r>
            <w:r>
              <w:rPr>
                <w:rFonts w:hint="eastAsia" w:ascii="Times New Roman"/>
                <w:szCs w:val="21"/>
              </w:rPr>
              <w:t>—</w:t>
            </w:r>
            <w:r>
              <w:rPr>
                <w:rFonts w:hint="eastAsia" w:ascii="Times New Roman"/>
                <w:szCs w:val="21"/>
                <w:u w:val="single"/>
              </w:rPr>
              <w:t xml:space="preserve">            </w:t>
            </w:r>
            <w:r>
              <w:rPr>
                <w:rFonts w:hint="eastAsia" w:ascii="Times New Roman"/>
                <w:szCs w:val="21"/>
              </w:rPr>
              <w:t>）</w:t>
            </w:r>
          </w:p>
          <w:p>
            <w:pPr>
              <w:spacing w:line="320" w:lineRule="exact"/>
              <w:ind w:firstLine="420" w:firstLineChars="200"/>
              <w:rPr>
                <w:rFonts w:hint="eastAsia" w:ascii="Times New Roman"/>
                <w:szCs w:val="21"/>
              </w:rPr>
            </w:pPr>
            <w:r>
              <w:rPr>
                <w:rFonts w:hint="eastAsia" w:ascii="Times New Roman"/>
                <w:szCs w:val="21"/>
              </w:rPr>
              <w:t>□  进场道路及水、电、通信、临设等</w:t>
            </w:r>
          </w:p>
          <w:p>
            <w:pPr>
              <w:ind w:firstLine="480"/>
              <w:rPr>
                <w:rFonts w:hint="eastAsia" w:ascii="Times New Roman"/>
                <w:szCs w:val="21"/>
              </w:rPr>
            </w:pPr>
          </w:p>
          <w:p>
            <w:pPr>
              <w:keepLines/>
              <w:rPr>
                <w:rFonts w:hint="eastAsia" w:ascii="Times New Roman"/>
                <w:szCs w:val="21"/>
              </w:rPr>
            </w:pPr>
            <w:r>
              <w:rPr>
                <w:rFonts w:hint="eastAsia" w:ascii="Times New Roman"/>
                <w:szCs w:val="21"/>
              </w:rPr>
              <w:t>　　　　　　         施工单位（章）：</w:t>
            </w:r>
            <w:r>
              <w:rPr>
                <w:rFonts w:hint="eastAsia" w:ascii="Times New Roman"/>
                <w:szCs w:val="21"/>
                <w:u w:val="single"/>
              </w:rPr>
              <w:t>　　 　 　    　　　　</w:t>
            </w:r>
          </w:p>
          <w:p>
            <w:pPr>
              <w:spacing w:before="120" w:after="120"/>
              <w:rPr>
                <w:rFonts w:ascii="Times New Roman"/>
                <w:szCs w:val="21"/>
              </w:rPr>
            </w:pPr>
            <w:r>
              <w:rPr>
                <w:rFonts w:hint="eastAsia" w:ascii="Times New Roman"/>
                <w:szCs w:val="21"/>
              </w:rPr>
              <w:t>　　　　　　         项目经理（签字、执业印章）：</w:t>
            </w:r>
            <w:r>
              <w:rPr>
                <w:rFonts w:hint="eastAsia" w:ascii="Times New Roman"/>
                <w:szCs w:val="21"/>
                <w:u w:val="single"/>
              </w:rPr>
              <w:t>　　　　　</w:t>
            </w: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exact"/>
        </w:trPr>
        <w:tc>
          <w:tcPr>
            <w:tcW w:w="1613" w:type="dxa"/>
            <w:tcBorders>
              <w:top w:val="single" w:color="auto" w:sz="4" w:space="0"/>
              <w:left w:val="single" w:color="auto" w:sz="8"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r>
              <w:rPr>
                <w:rFonts w:hint="eastAsia" w:ascii="Times New Roman"/>
                <w:szCs w:val="21"/>
              </w:rPr>
              <w:t>项目监理机构签收人姓名及时间</w:t>
            </w:r>
          </w:p>
        </w:tc>
        <w:tc>
          <w:tcPr>
            <w:tcW w:w="2795"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p>
        </w:tc>
        <w:tc>
          <w:tcPr>
            <w:tcW w:w="1505"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r>
              <w:rPr>
                <w:rFonts w:hint="eastAsia" w:ascii="Times New Roman"/>
                <w:szCs w:val="21"/>
              </w:rPr>
              <w:t>施工单位签收 人姓名及时间</w:t>
            </w:r>
          </w:p>
        </w:tc>
        <w:tc>
          <w:tcPr>
            <w:tcW w:w="2715" w:type="dxa"/>
            <w:gridSpan w:val="2"/>
            <w:tcBorders>
              <w:top w:val="single" w:color="auto" w:sz="4" w:space="0"/>
              <w:left w:val="single" w:color="auto" w:sz="4" w:space="0"/>
              <w:bottom w:val="single" w:color="auto" w:sz="4" w:space="0"/>
              <w:right w:val="single" w:color="auto" w:sz="8" w:space="0"/>
            </w:tcBorders>
            <w:noWrap w:val="0"/>
            <w:vAlign w:val="top"/>
          </w:tcPr>
          <w:p>
            <w:pPr>
              <w:spacing w:line="320" w:lineRule="exact"/>
              <w:ind w:left="-105" w:leftChars="-50" w:right="-105" w:rightChars="-50"/>
              <w:rPr>
                <w:rFonts w:asci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85" w:hRule="atLeast"/>
        </w:trPr>
        <w:tc>
          <w:tcPr>
            <w:tcW w:w="8628" w:type="dxa"/>
            <w:gridSpan w:val="7"/>
            <w:tcBorders>
              <w:top w:val="single" w:color="auto" w:sz="4" w:space="0"/>
              <w:left w:val="single" w:color="auto" w:sz="8" w:space="0"/>
              <w:bottom w:val="single" w:color="auto" w:sz="4" w:space="0"/>
              <w:right w:val="single" w:color="auto" w:sz="8" w:space="0"/>
            </w:tcBorders>
            <w:noWrap w:val="0"/>
            <w:vAlign w:val="top"/>
          </w:tcPr>
          <w:p>
            <w:pPr>
              <w:spacing w:before="120" w:after="120"/>
              <w:rPr>
                <w:rFonts w:ascii="Times New Roman"/>
                <w:szCs w:val="21"/>
              </w:rPr>
            </w:pPr>
            <w:r>
              <w:rPr>
                <w:rFonts w:hint="eastAsia" w:ascii="Times New Roman"/>
                <w:szCs w:val="21"/>
              </w:rPr>
              <w:t>审核意见：</w:t>
            </w:r>
          </w:p>
          <w:p>
            <w:pPr>
              <w:rPr>
                <w:rFonts w:hint="eastAsia" w:ascii="Times New Roman"/>
                <w:szCs w:val="21"/>
              </w:rPr>
            </w:pPr>
            <w:r>
              <w:rPr>
                <w:rFonts w:hint="eastAsia" w:ascii="Times New Roman"/>
                <w:szCs w:val="21"/>
              </w:rPr>
              <w:t xml:space="preserve">   　</w:t>
            </w:r>
          </w:p>
          <w:p>
            <w:pPr>
              <w:rPr>
                <w:rFonts w:hint="eastAsia" w:ascii="Times New Roman"/>
                <w:szCs w:val="21"/>
              </w:rPr>
            </w:pPr>
          </w:p>
          <w:p>
            <w:pPr>
              <w:rPr>
                <w:rFonts w:hint="eastAsia" w:ascii="Times New Roman"/>
                <w:szCs w:val="21"/>
              </w:rPr>
            </w:pPr>
          </w:p>
          <w:p>
            <w:pPr>
              <w:ind w:firstLine="2114" w:firstLineChars="1007"/>
              <w:rPr>
                <w:rFonts w:hint="eastAsia" w:ascii="Times New Roman"/>
                <w:bCs/>
                <w:szCs w:val="21"/>
                <w:u w:val="single"/>
              </w:rPr>
            </w:pPr>
            <w:r>
              <w:rPr>
                <w:rFonts w:hint="eastAsia" w:ascii="Times New Roman"/>
                <w:bCs/>
                <w:szCs w:val="21"/>
              </w:rPr>
              <w:t xml:space="preserve">项目监理机构(章): </w:t>
            </w:r>
            <w:r>
              <w:rPr>
                <w:rFonts w:hint="eastAsia" w:ascii="Times New Roman"/>
                <w:bCs/>
                <w:szCs w:val="21"/>
                <w:u w:val="single"/>
              </w:rPr>
              <w:t xml:space="preserve">                    </w:t>
            </w:r>
          </w:p>
          <w:p>
            <w:pPr>
              <w:spacing w:before="120" w:after="120"/>
              <w:ind w:firstLine="2100" w:firstLineChars="1000"/>
              <w:rPr>
                <w:rFonts w:ascii="Times New Roman"/>
                <w:szCs w:val="21"/>
              </w:rPr>
            </w:pPr>
            <w:r>
              <w:rPr>
                <w:rFonts w:hint="eastAsia" w:ascii="Times New Roman"/>
                <w:szCs w:val="21"/>
              </w:rPr>
              <w:t>总监理工程师（签字、执业印章）：</w:t>
            </w:r>
            <w:r>
              <w:rPr>
                <w:rFonts w:hint="eastAsia" w:ascii="Times New Roman"/>
                <w:szCs w:val="21"/>
                <w:u w:val="single"/>
              </w:rPr>
              <w:t>　　  　</w:t>
            </w: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trPr>
        <w:tc>
          <w:tcPr>
            <w:tcW w:w="1620" w:type="dxa"/>
            <w:gridSpan w:val="2"/>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建设单位签收人姓名及时间</w:t>
            </w:r>
          </w:p>
        </w:tc>
        <w:tc>
          <w:tcPr>
            <w:tcW w:w="3135" w:type="dxa"/>
            <w:gridSpan w:val="2"/>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560" w:type="dxa"/>
            <w:gridSpan w:val="2"/>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项目监理机构签收人姓名及时间</w:t>
            </w:r>
          </w:p>
        </w:tc>
        <w:tc>
          <w:tcPr>
            <w:tcW w:w="2313" w:type="dxa"/>
            <w:tcBorders>
              <w:top w:val="single" w:color="auto" w:sz="4" w:space="0"/>
              <w:left w:val="single" w:color="auto" w:sz="4" w:space="0"/>
              <w:bottom w:val="single" w:color="auto" w:sz="4" w:space="0"/>
              <w:right w:val="single" w:color="auto" w:sz="8" w:space="0"/>
            </w:tcBorders>
            <w:noWrap w:val="0"/>
            <w:vAlign w:val="center"/>
          </w:tcPr>
          <w:p>
            <w:pPr>
              <w:ind w:left="-105" w:leftChars="-50" w:right="-105" w:rightChars="-50"/>
              <w:jc w:val="center"/>
              <w:rPr>
                <w:rFonts w:asci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4" w:hRule="atLeast"/>
        </w:trPr>
        <w:tc>
          <w:tcPr>
            <w:tcW w:w="8628" w:type="dxa"/>
            <w:gridSpan w:val="7"/>
            <w:tcBorders>
              <w:top w:val="single" w:color="auto" w:sz="4" w:space="0"/>
              <w:left w:val="single" w:color="auto" w:sz="8" w:space="0"/>
              <w:bottom w:val="single" w:color="auto" w:sz="4" w:space="0"/>
              <w:right w:val="single" w:color="auto" w:sz="8" w:space="0"/>
            </w:tcBorders>
            <w:noWrap w:val="0"/>
            <w:vAlign w:val="top"/>
          </w:tcPr>
          <w:p>
            <w:pPr>
              <w:spacing w:before="120" w:after="120"/>
              <w:rPr>
                <w:rFonts w:ascii="Times New Roman"/>
                <w:szCs w:val="21"/>
              </w:rPr>
            </w:pPr>
            <w:r>
              <w:rPr>
                <w:rFonts w:hint="eastAsia" w:ascii="Times New Roman"/>
                <w:szCs w:val="21"/>
              </w:rPr>
              <w:t>建设单位审批意见：</w:t>
            </w:r>
          </w:p>
          <w:p>
            <w:pPr>
              <w:rPr>
                <w:rFonts w:hint="eastAsia" w:ascii="Times New Roman"/>
                <w:szCs w:val="21"/>
              </w:rPr>
            </w:pPr>
          </w:p>
          <w:p>
            <w:pPr>
              <w:rPr>
                <w:rFonts w:hint="eastAsia" w:ascii="Times New Roman"/>
                <w:bCs/>
                <w:szCs w:val="21"/>
                <w:u w:val="single"/>
              </w:rPr>
            </w:pPr>
            <w:r>
              <w:rPr>
                <w:rFonts w:hint="eastAsia" w:ascii="Times New Roman"/>
                <w:szCs w:val="21"/>
              </w:rPr>
              <w:t xml:space="preserve">                             </w:t>
            </w:r>
            <w:r>
              <w:rPr>
                <w:rFonts w:hint="eastAsia" w:ascii="Times New Roman"/>
                <w:bCs/>
                <w:szCs w:val="21"/>
              </w:rPr>
              <w:t xml:space="preserve">建设单位(章): </w:t>
            </w:r>
            <w:r>
              <w:rPr>
                <w:rFonts w:hint="eastAsia" w:ascii="Times New Roman"/>
                <w:bCs/>
                <w:szCs w:val="21"/>
                <w:u w:val="single"/>
              </w:rPr>
              <w:t xml:space="preserve">               </w:t>
            </w:r>
          </w:p>
          <w:p>
            <w:pPr>
              <w:tabs>
                <w:tab w:val="left" w:pos="6840"/>
                <w:tab w:val="left" w:pos="8160"/>
              </w:tabs>
              <w:spacing w:line="420" w:lineRule="exact"/>
              <w:ind w:firstLine="3057" w:firstLineChars="1456"/>
              <w:rPr>
                <w:rFonts w:ascii="Times New Roman"/>
                <w:szCs w:val="21"/>
              </w:rPr>
            </w:pPr>
            <w:r>
              <w:rPr>
                <w:rFonts w:hint="eastAsia" w:ascii="Times New Roman"/>
                <w:szCs w:val="21"/>
              </w:rPr>
              <w:t>建设单位代表（签字）：</w:t>
            </w:r>
            <w:r>
              <w:rPr>
                <w:rFonts w:hint="eastAsia" w:ascii="Times New Roman"/>
                <w:szCs w:val="21"/>
                <w:u w:val="single"/>
              </w:rPr>
              <w:t>　　  　</w:t>
            </w: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 w:hRule="atLeast"/>
        </w:trPr>
        <w:tc>
          <w:tcPr>
            <w:tcW w:w="8628" w:type="dxa"/>
            <w:gridSpan w:val="7"/>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ascii="Times New Roman"/>
                <w:szCs w:val="21"/>
              </w:rPr>
              <w:t>注：</w:t>
            </w:r>
            <w:r>
              <w:rPr>
                <w:szCs w:val="21"/>
              </w:rPr>
              <w:t>1</w:t>
            </w:r>
            <w:r>
              <w:rPr>
                <w:rFonts w:hint="eastAsia"/>
                <w:szCs w:val="21"/>
              </w:rPr>
              <w:t>、施工单位应在计划开工日期</w:t>
            </w:r>
            <w:r>
              <w:rPr>
                <w:szCs w:val="21"/>
              </w:rPr>
              <w:t>7</w:t>
            </w:r>
            <w:r>
              <w:rPr>
                <w:rFonts w:hint="eastAsia"/>
                <w:szCs w:val="21"/>
              </w:rPr>
              <w:t>天前提出本报审表。</w:t>
            </w:r>
          </w:p>
          <w:p>
            <w:pPr>
              <w:ind w:firstLine="420" w:firstLineChars="200"/>
              <w:rPr>
                <w:szCs w:val="21"/>
              </w:rPr>
            </w:pPr>
            <w:r>
              <w:rPr>
                <w:szCs w:val="21"/>
              </w:rPr>
              <w:t>2</w:t>
            </w:r>
            <w:r>
              <w:rPr>
                <w:rFonts w:hint="eastAsia"/>
                <w:szCs w:val="21"/>
              </w:rPr>
              <w:t>、施工单位未取得《工程开工令》不得擅自开工。</w:t>
            </w:r>
          </w:p>
          <w:p>
            <w:pPr>
              <w:rPr>
                <w:rFonts w:ascii="Times New Roman"/>
                <w:szCs w:val="21"/>
              </w:rPr>
            </w:pPr>
            <w:r>
              <w:rPr>
                <w:szCs w:val="21"/>
              </w:rPr>
              <w:t xml:space="preserve">    3</w:t>
            </w:r>
            <w:r>
              <w:rPr>
                <w:rFonts w:hint="eastAsia" w:ascii="Times New Roman"/>
                <w:szCs w:val="21"/>
              </w:rPr>
              <w:t>、本表一式三份，项目监理机构、建设单位、施工单位各一份。</w:t>
            </w:r>
          </w:p>
        </w:tc>
      </w:tr>
    </w:tbl>
    <w:p>
      <w:pPr>
        <w:rPr>
          <w:rFonts w:ascii="Times New Roman" w:eastAsia="隶书"/>
        </w:rPr>
      </w:pPr>
      <w:r>
        <w:rPr>
          <w:rFonts w:hint="eastAsia" w:ascii="Times New Roman" w:eastAsia="隶书"/>
        </w:rPr>
        <w:t>第六版表                                              江苏省住房和城乡建设厅监制</w:t>
      </w:r>
      <w:r>
        <w:rPr>
          <w:rFonts w:hint="eastAsia" w:eastAsia="黑体"/>
          <w:sz w:val="28"/>
          <w:szCs w:val="28"/>
          <w14:shadow w14:blurRad="50800" w14:dist="38100" w14:dir="2700000" w14:sx="100000" w14:sy="100000" w14:kx="0" w14:ky="0" w14:algn="tl">
            <w14:srgbClr w14:val="000000">
              <w14:alpha w14:val="60000"/>
            </w14:srgbClr>
          </w14:shadow>
        </w:rPr>
        <w:t>　　　　　　　　　　　　　　　　　　　　　　　　　　　　　　　　</w:t>
      </w:r>
    </w:p>
    <w:p>
      <w:pPr>
        <w:spacing w:line="380" w:lineRule="exact"/>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B.0.4</w:t>
      </w:r>
    </w:p>
    <w:p>
      <w:pPr>
        <w:spacing w:before="312" w:beforeLines="100" w:after="312" w:afterLines="100" w:line="36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分包单位资质报审表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编号：</w:t>
      </w:r>
      <w:r>
        <w:rPr>
          <w:szCs w:val="21"/>
        </w:rPr>
        <w:t>B.0.4</w:t>
      </w:r>
      <w:r>
        <w:rPr>
          <w:rFonts w:hint="eastAsia"/>
          <w:szCs w:val="21"/>
        </w:rPr>
        <w:t>—</w:t>
      </w:r>
      <w:r>
        <w:rPr>
          <w:rFonts w:hint="eastAsia"/>
          <w:szCs w:val="21"/>
          <w:u w:val="single"/>
        </w:rPr>
        <w:t>　　　</w:t>
      </w:r>
      <w:r>
        <w:rPr>
          <w:szCs w:val="21"/>
          <w:u w:val="single"/>
        </w:rPr>
        <w:t xml:space="preserve">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473"/>
        <w:gridCol w:w="2641"/>
        <w:gridCol w:w="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59" w:hRule="atLeast"/>
          <w:jc w:val="center"/>
        </w:trPr>
        <w:tc>
          <w:tcPr>
            <w:tcW w:w="8528" w:type="dxa"/>
            <w:gridSpan w:val="5"/>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exact"/>
              <w:ind w:left="991" w:leftChars="300" w:hanging="361" w:hangingChars="172"/>
              <w:rPr>
                <w:rFonts w:hint="eastAsia" w:ascii="Times New Roman"/>
                <w:szCs w:val="21"/>
              </w:rPr>
            </w:pPr>
            <w:r>
              <w:rPr>
                <w:rFonts w:hint="eastAsia" w:ascii="Times New Roman"/>
                <w:szCs w:val="21"/>
              </w:rPr>
              <w:t>经考察，我方认为拟选择的</w:t>
            </w:r>
            <w:r>
              <w:rPr>
                <w:rFonts w:hint="eastAsia" w:ascii="Times New Roman"/>
                <w:szCs w:val="21"/>
                <w:u w:val="single"/>
              </w:rPr>
              <w:t>　　　　　　　　               　</w:t>
            </w:r>
            <w:r>
              <w:rPr>
                <w:rFonts w:hint="eastAsia" w:ascii="Times New Roman"/>
                <w:szCs w:val="21"/>
              </w:rPr>
              <w:t>（分包单位）具有</w:t>
            </w:r>
          </w:p>
          <w:p>
            <w:pPr>
              <w:spacing w:line="360" w:lineRule="exact"/>
              <w:rPr>
                <w:rFonts w:hint="eastAsia" w:ascii="Times New Roman"/>
                <w:szCs w:val="21"/>
              </w:rPr>
            </w:pPr>
            <w:r>
              <w:rPr>
                <w:rFonts w:hint="eastAsia" w:ascii="Times New Roman"/>
                <w:szCs w:val="21"/>
                <w:u w:val="single"/>
              </w:rPr>
              <w:t xml:space="preserve">                              </w:t>
            </w:r>
            <w:r>
              <w:rPr>
                <w:rFonts w:hint="eastAsia" w:ascii="Times New Roman"/>
                <w:szCs w:val="21"/>
              </w:rPr>
              <w:t>工程的施工资质和能力，可以保证本工程按施工合同</w:t>
            </w:r>
          </w:p>
          <w:p>
            <w:pPr>
              <w:spacing w:line="360" w:lineRule="exact"/>
              <w:rPr>
                <w:rFonts w:hint="eastAsia" w:ascii="Times New Roman"/>
                <w:szCs w:val="21"/>
              </w:rPr>
            </w:pPr>
            <w:r>
              <w:rPr>
                <w:rFonts w:hint="eastAsia" w:ascii="Times New Roman"/>
                <w:szCs w:val="21"/>
              </w:rPr>
              <w:t>第</w:t>
            </w:r>
            <w:r>
              <w:rPr>
                <w:rFonts w:hint="eastAsia" w:ascii="Times New Roman"/>
                <w:szCs w:val="21"/>
                <w:u w:val="single"/>
              </w:rPr>
              <w:t>　　　　　　　</w:t>
            </w:r>
            <w:r>
              <w:rPr>
                <w:rFonts w:hint="eastAsia" w:ascii="Times New Roman"/>
                <w:szCs w:val="21"/>
              </w:rPr>
              <w:t>条款的约定进行施工。请予以审查。附件：</w:t>
            </w:r>
          </w:p>
          <w:p>
            <w:pPr>
              <w:spacing w:line="360" w:lineRule="exact"/>
              <w:ind w:firstLine="420" w:firstLineChars="200"/>
              <w:rPr>
                <w:rFonts w:hint="eastAsia" w:ascii="Times New Roman"/>
                <w:szCs w:val="21"/>
              </w:rPr>
            </w:pPr>
            <w:r>
              <w:rPr>
                <w:rFonts w:hint="eastAsia" w:ascii="Times New Roman"/>
                <w:szCs w:val="21"/>
              </w:rPr>
              <w:t>□   分包单位资质材料：营业执照、资质证书、安全生产许可证等</w:t>
            </w:r>
          </w:p>
          <w:p>
            <w:pPr>
              <w:spacing w:line="360" w:lineRule="exact"/>
              <w:ind w:firstLine="420" w:firstLineChars="200"/>
              <w:rPr>
                <w:rFonts w:hint="eastAsia" w:ascii="Times New Roman"/>
                <w:szCs w:val="21"/>
              </w:rPr>
            </w:pPr>
            <w:r>
              <w:rPr>
                <w:rFonts w:hint="eastAsia" w:ascii="Times New Roman"/>
                <w:szCs w:val="21"/>
              </w:rPr>
              <w:t>□   分包单位类似工程业绩</w:t>
            </w:r>
          </w:p>
          <w:p>
            <w:pPr>
              <w:spacing w:line="360" w:lineRule="exact"/>
              <w:ind w:firstLine="420" w:firstLineChars="200"/>
              <w:rPr>
                <w:rFonts w:hint="eastAsia" w:ascii="Times New Roman"/>
                <w:szCs w:val="21"/>
              </w:rPr>
            </w:pPr>
            <w:r>
              <w:rPr>
                <w:rFonts w:hint="eastAsia" w:ascii="Times New Roman"/>
                <w:szCs w:val="21"/>
              </w:rPr>
              <w:t>□   分包单位专职管理人员和特种作业员的资格证</w:t>
            </w:r>
          </w:p>
          <w:p>
            <w:pPr>
              <w:spacing w:line="360" w:lineRule="exact"/>
              <w:ind w:firstLine="420" w:firstLineChars="200"/>
              <w:rPr>
                <w:rFonts w:hint="eastAsia" w:ascii="Times New Roman"/>
                <w:szCs w:val="21"/>
              </w:rPr>
            </w:pPr>
            <w:r>
              <w:rPr>
                <w:rFonts w:hint="eastAsia" w:ascii="Times New Roman"/>
                <w:szCs w:val="21"/>
              </w:rPr>
              <w:t>□   施工总承包单位对分包单位的管理制度</w:t>
            </w:r>
          </w:p>
          <w:p>
            <w:pPr>
              <w:spacing w:line="420" w:lineRule="exact"/>
              <w:rPr>
                <w:rFonts w:hint="eastAsia" w:ascii="Times New Roman"/>
                <w:szCs w:val="21"/>
              </w:rPr>
            </w:pPr>
            <w:r>
              <w:rPr>
                <w:rFonts w:hint="eastAsia" w:ascii="Times New Roman"/>
                <w:szCs w:val="21"/>
              </w:rPr>
              <w:t>　　　　　　　　　　　　　                 施工项目经理部（章）：</w:t>
            </w:r>
            <w:r>
              <w:rPr>
                <w:rFonts w:hint="eastAsia" w:ascii="Times New Roman"/>
                <w:szCs w:val="21"/>
                <w:u w:val="single"/>
              </w:rPr>
              <w:t xml:space="preserve">　　　　     </w:t>
            </w:r>
          </w:p>
          <w:p>
            <w:pPr>
              <w:spacing w:line="420" w:lineRule="exact"/>
              <w:rPr>
                <w:rFonts w:hint="eastAsia" w:ascii="Times New Roman"/>
                <w:szCs w:val="21"/>
              </w:rPr>
            </w:pPr>
            <w:r>
              <w:rPr>
                <w:rFonts w:hint="eastAsia" w:ascii="Times New Roman"/>
                <w:szCs w:val="21"/>
              </w:rPr>
              <w:t>　　　　　　　　　                         项目经理（签字）：</w:t>
            </w:r>
            <w:r>
              <w:rPr>
                <w:rFonts w:hint="eastAsia" w:ascii="Times New Roman"/>
                <w:szCs w:val="21"/>
                <w:u w:val="single"/>
              </w:rPr>
              <w:t>　　　    　　　　</w:t>
            </w:r>
            <w:r>
              <w:rPr>
                <w:rFonts w:hint="eastAsia" w:ascii="Times New Roman"/>
                <w:szCs w:val="21"/>
              </w:rPr>
              <w:t xml:space="preserve"> </w:t>
            </w:r>
          </w:p>
          <w:p>
            <w:pPr>
              <w:spacing w:line="420" w:lineRule="exact"/>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0" w:hRule="atLeast"/>
          <w:jc w:val="center"/>
        </w:trPr>
        <w:tc>
          <w:tcPr>
            <w:tcW w:w="1614" w:type="dxa"/>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473"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施工单位签收人姓名及时间</w:t>
            </w:r>
          </w:p>
        </w:tc>
        <w:tc>
          <w:tcPr>
            <w:tcW w:w="2641" w:type="dxa"/>
            <w:tcBorders>
              <w:top w:val="single" w:color="auto" w:sz="4" w:space="0"/>
              <w:left w:val="single" w:color="auto" w:sz="4" w:space="0"/>
              <w:bottom w:val="single" w:color="auto" w:sz="4" w:space="0"/>
              <w:right w:val="single" w:color="auto" w:sz="8" w:space="0"/>
            </w:tcBorders>
            <w:noWrap w:val="0"/>
            <w:vAlign w:val="top"/>
          </w:tcPr>
          <w:p>
            <w:pPr>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1388" w:hRule="atLeast"/>
          <w:jc w:val="center"/>
        </w:trPr>
        <w:tc>
          <w:tcPr>
            <w:tcW w:w="8522" w:type="dxa"/>
            <w:gridSpan w:val="4"/>
            <w:tcBorders>
              <w:top w:val="single" w:color="auto" w:sz="4" w:space="0"/>
              <w:left w:val="single" w:color="auto" w:sz="8" w:space="0"/>
              <w:bottom w:val="single" w:color="auto" w:sz="4" w:space="0"/>
              <w:right w:val="single" w:color="auto" w:sz="8" w:space="0"/>
            </w:tcBorders>
            <w:noWrap w:val="0"/>
            <w:vAlign w:val="center"/>
          </w:tcPr>
          <w:p>
            <w:pPr>
              <w:spacing w:before="120" w:after="120" w:line="240" w:lineRule="exact"/>
              <w:rPr>
                <w:rFonts w:ascii="Times New Roman"/>
                <w:szCs w:val="21"/>
              </w:rPr>
            </w:pPr>
            <w:r>
              <w:rPr>
                <w:rFonts w:hint="eastAsia" w:ascii="Times New Roman"/>
                <w:szCs w:val="21"/>
              </w:rPr>
              <w:t>审查意见：</w:t>
            </w:r>
          </w:p>
          <w:p>
            <w:pPr>
              <w:spacing w:before="120" w:after="120" w:line="240" w:lineRule="exact"/>
              <w:rPr>
                <w:rFonts w:hint="eastAsia" w:ascii="Times New Roman"/>
                <w:szCs w:val="21"/>
              </w:rPr>
            </w:pPr>
          </w:p>
          <w:p>
            <w:pPr>
              <w:spacing w:line="360" w:lineRule="auto"/>
              <w:ind w:right="-105" w:rightChars="-50"/>
              <w:jc w:val="right"/>
              <w:rPr>
                <w:rFonts w:ascii="Times New Roman"/>
                <w:szCs w:val="21"/>
              </w:rPr>
            </w:pPr>
            <w:r>
              <w:rPr>
                <w:rFonts w:hint="eastAsia" w:ascii="Times New Roman" w:hAnsi="Times New Roman"/>
                <w:szCs w:val="21"/>
              </w:rPr>
              <w:t xml:space="preserve">专业监理工程师(签字): </w:t>
            </w:r>
            <w:r>
              <w:rPr>
                <w:rFonts w:hint="eastAsia" w:ascii="Times New Roman" w:hAnsi="Times New Roman"/>
                <w:szCs w:val="21"/>
                <w:u w:val="single"/>
              </w:rPr>
              <w:t xml:space="preserve">            </w:t>
            </w: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00" w:hRule="atLeast"/>
          <w:jc w:val="center"/>
        </w:trPr>
        <w:tc>
          <w:tcPr>
            <w:tcW w:w="8528" w:type="dxa"/>
            <w:gridSpan w:val="5"/>
            <w:tcBorders>
              <w:top w:val="single" w:color="auto" w:sz="4" w:space="0"/>
              <w:left w:val="single" w:color="auto" w:sz="8" w:space="0"/>
              <w:bottom w:val="single" w:color="auto" w:sz="4" w:space="0"/>
              <w:right w:val="single" w:color="auto" w:sz="8" w:space="0"/>
            </w:tcBorders>
            <w:noWrap w:val="0"/>
            <w:vAlign w:val="top"/>
          </w:tcPr>
          <w:p>
            <w:pPr>
              <w:spacing w:before="120" w:after="120" w:line="240" w:lineRule="exact"/>
              <w:rPr>
                <w:rFonts w:ascii="Times New Roman"/>
                <w:szCs w:val="21"/>
              </w:rPr>
            </w:pPr>
            <w:r>
              <w:rPr>
                <w:rFonts w:hint="eastAsia" w:ascii="Times New Roman"/>
                <w:szCs w:val="21"/>
              </w:rPr>
              <w:t>审核意见：</w:t>
            </w:r>
          </w:p>
          <w:p>
            <w:pPr>
              <w:spacing w:before="120" w:after="120" w:line="240" w:lineRule="exact"/>
              <w:ind w:left="3228" w:leftChars="387" w:hanging="2415" w:hangingChars="1150"/>
              <w:rPr>
                <w:rFonts w:hint="eastAsia" w:ascii="Times New Roman"/>
                <w:bCs/>
                <w:szCs w:val="21"/>
              </w:rPr>
            </w:pPr>
            <w:r>
              <w:rPr>
                <w:rFonts w:hint="eastAsia" w:ascii="Times New Roman"/>
                <w:bCs/>
                <w:szCs w:val="21"/>
              </w:rPr>
              <w:t xml:space="preserve">                     </w:t>
            </w:r>
          </w:p>
          <w:p>
            <w:pPr>
              <w:spacing w:line="360" w:lineRule="auto"/>
              <w:ind w:firstLine="2940" w:firstLineChars="1400"/>
              <w:rPr>
                <w:rFonts w:hint="eastAsia" w:ascii="Times New Roman" w:hAnsi="Times New Roman"/>
                <w:szCs w:val="21"/>
              </w:rPr>
            </w:pPr>
            <w:r>
              <w:rPr>
                <w:rFonts w:hint="eastAsia" w:ascii="Times New Roman" w:hAnsi="Times New Roman"/>
                <w:szCs w:val="21"/>
              </w:rPr>
              <w:t xml:space="preserve">项目监理机构(章): </w:t>
            </w:r>
            <w:r>
              <w:rPr>
                <w:rFonts w:hint="eastAsia" w:ascii="Times New Roman" w:hAnsi="Times New Roman"/>
                <w:szCs w:val="21"/>
                <w:u w:val="single"/>
              </w:rPr>
              <w:t xml:space="preserve">                                </w:t>
            </w:r>
          </w:p>
          <w:p>
            <w:pPr>
              <w:tabs>
                <w:tab w:val="left" w:pos="6720"/>
              </w:tabs>
              <w:spacing w:line="360" w:lineRule="auto"/>
              <w:rPr>
                <w:rFonts w:hint="eastAsia" w:ascii="Times New Roman"/>
                <w:szCs w:val="21"/>
              </w:rPr>
            </w:pPr>
            <w:r>
              <w:rPr>
                <w:rFonts w:hint="eastAsia" w:ascii="Times New Roman"/>
                <w:szCs w:val="21"/>
              </w:rPr>
              <w:t xml:space="preserve">                            总监理工程师/总监理工程师代表（签字）：</w:t>
            </w:r>
            <w:r>
              <w:rPr>
                <w:rFonts w:hint="eastAsia" w:ascii="Times New Roman"/>
                <w:szCs w:val="21"/>
                <w:u w:val="single"/>
              </w:rPr>
              <w:t>　　　 　　</w:t>
            </w:r>
            <w:r>
              <w:rPr>
                <w:rFonts w:hint="eastAsia" w:ascii="Times New Roman"/>
                <w:szCs w:val="21"/>
              </w:rPr>
              <w:t xml:space="preserve"> </w:t>
            </w:r>
          </w:p>
          <w:p>
            <w:pPr>
              <w:tabs>
                <w:tab w:val="left" w:pos="6720"/>
              </w:tabs>
              <w:spacing w:line="360" w:lineRule="auto"/>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9" w:hRule="atLeast"/>
          <w:jc w:val="center"/>
        </w:trPr>
        <w:tc>
          <w:tcPr>
            <w:tcW w:w="8528" w:type="dxa"/>
            <w:gridSpan w:val="5"/>
            <w:tcBorders>
              <w:top w:val="single" w:color="auto" w:sz="4" w:space="0"/>
              <w:left w:val="single" w:color="auto" w:sz="8" w:space="0"/>
              <w:bottom w:val="single" w:color="auto" w:sz="4" w:space="0"/>
              <w:right w:val="single" w:color="auto" w:sz="8" w:space="0"/>
            </w:tcBorders>
            <w:noWrap w:val="0"/>
            <w:vAlign w:val="top"/>
          </w:tcPr>
          <w:p>
            <w:pPr>
              <w:tabs>
                <w:tab w:val="left" w:pos="6720"/>
              </w:tabs>
              <w:spacing w:line="320" w:lineRule="exact"/>
              <w:jc w:val="left"/>
              <w:rPr>
                <w:rFonts w:ascii="Times New Roman"/>
                <w:szCs w:val="21"/>
              </w:rPr>
            </w:pPr>
            <w:r>
              <w:rPr>
                <w:rFonts w:hint="eastAsia" w:ascii="Times New Roman"/>
                <w:szCs w:val="21"/>
              </w:rPr>
              <w:t>审批意见：</w:t>
            </w:r>
          </w:p>
          <w:p>
            <w:pPr>
              <w:tabs>
                <w:tab w:val="left" w:pos="6720"/>
              </w:tabs>
              <w:spacing w:line="320" w:lineRule="exact"/>
              <w:jc w:val="left"/>
              <w:rPr>
                <w:rFonts w:hint="eastAsia" w:ascii="Times New Roman"/>
                <w:szCs w:val="21"/>
              </w:rPr>
            </w:pPr>
          </w:p>
          <w:p>
            <w:pPr>
              <w:tabs>
                <w:tab w:val="left" w:pos="6720"/>
              </w:tabs>
              <w:spacing w:line="320" w:lineRule="exact"/>
              <w:jc w:val="left"/>
              <w:rPr>
                <w:rFonts w:hint="eastAsia" w:ascii="Times New Roman"/>
                <w:szCs w:val="21"/>
              </w:rPr>
            </w:pPr>
          </w:p>
          <w:p>
            <w:pPr>
              <w:spacing w:line="360" w:lineRule="auto"/>
              <w:ind w:firstLine="2730" w:firstLineChars="1300"/>
              <w:rPr>
                <w:rFonts w:hint="eastAsia" w:ascii="Times New Roman"/>
                <w:bCs/>
                <w:szCs w:val="21"/>
                <w:u w:val="single"/>
              </w:rPr>
            </w:pPr>
            <w:r>
              <w:rPr>
                <w:rFonts w:hint="eastAsia" w:ascii="Times New Roman"/>
                <w:bCs/>
                <w:szCs w:val="21"/>
              </w:rPr>
              <w:t xml:space="preserve">建设单位(章): </w:t>
            </w:r>
            <w:r>
              <w:rPr>
                <w:rFonts w:hint="eastAsia" w:ascii="Times New Roman"/>
                <w:bCs/>
                <w:szCs w:val="21"/>
                <w:u w:val="single"/>
              </w:rPr>
              <w:t xml:space="preserve">                 </w:t>
            </w:r>
          </w:p>
          <w:p>
            <w:pPr>
              <w:tabs>
                <w:tab w:val="left" w:pos="6720"/>
              </w:tabs>
              <w:spacing w:line="360" w:lineRule="auto"/>
              <w:jc w:val="right"/>
              <w:rPr>
                <w:rFonts w:ascii="Times New Roman"/>
                <w:szCs w:val="21"/>
              </w:rPr>
            </w:pPr>
            <w:r>
              <w:rPr>
                <w:rFonts w:hint="eastAsia" w:ascii="Times New Roman"/>
                <w:szCs w:val="21"/>
              </w:rPr>
              <w:t xml:space="preserve">     建设单位代表（签字）：</w:t>
            </w:r>
            <w:r>
              <w:rPr>
                <w:rFonts w:hint="eastAsia" w:ascii="Times New Roman"/>
                <w:szCs w:val="21"/>
                <w:u w:val="single"/>
              </w:rPr>
              <w:t>　　    　</w:t>
            </w: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32" w:hRule="atLeast"/>
          <w:jc w:val="center"/>
        </w:trPr>
        <w:tc>
          <w:tcPr>
            <w:tcW w:w="8528" w:type="dxa"/>
            <w:gridSpan w:val="5"/>
            <w:tcBorders>
              <w:top w:val="single" w:color="auto" w:sz="4" w:space="0"/>
              <w:left w:val="single" w:color="auto" w:sz="8" w:space="0"/>
              <w:bottom w:val="single" w:color="auto" w:sz="8" w:space="0"/>
              <w:right w:val="single" w:color="auto" w:sz="8" w:space="0"/>
            </w:tcBorders>
            <w:noWrap w:val="0"/>
            <w:vAlign w:val="center"/>
          </w:tcPr>
          <w:p>
            <w:pPr>
              <w:spacing w:line="360" w:lineRule="exact"/>
              <w:rPr>
                <w:rFonts w:ascii="Times New Roman"/>
                <w:szCs w:val="21"/>
              </w:rPr>
            </w:pPr>
            <w:r>
              <w:rPr>
                <w:rFonts w:hint="eastAsia" w:ascii="Times New Roman"/>
                <w:szCs w:val="21"/>
              </w:rPr>
              <w:t>注：1、施工单位项目经理部一般应在分包工程开工提7日前提出本报审表。</w:t>
            </w:r>
          </w:p>
          <w:p>
            <w:pPr>
              <w:spacing w:line="360" w:lineRule="exact"/>
              <w:rPr>
                <w:rFonts w:hint="eastAsia" w:ascii="Times New Roman"/>
                <w:szCs w:val="21"/>
              </w:rPr>
            </w:pPr>
            <w:r>
              <w:rPr>
                <w:rFonts w:hint="eastAsia" w:ascii="Times New Roman"/>
                <w:szCs w:val="21"/>
              </w:rPr>
              <w:t xml:space="preserve">    2、施工总承包单位应在分包工程开工前向建设单位和监理单位提交分包合同副本。</w:t>
            </w:r>
          </w:p>
          <w:p>
            <w:pPr>
              <w:spacing w:line="360" w:lineRule="exact"/>
              <w:rPr>
                <w:rFonts w:ascii="Times New Roman"/>
                <w:szCs w:val="21"/>
              </w:rPr>
            </w:pPr>
            <w:r>
              <w:rPr>
                <w:rFonts w:hint="eastAsia" w:ascii="Times New Roman"/>
                <w:szCs w:val="21"/>
              </w:rPr>
              <w:t xml:space="preserve">    3、本表一式三份，项目监理机构、建设单位、施工单位各一份。</w:t>
            </w:r>
          </w:p>
        </w:tc>
      </w:tr>
    </w:tbl>
    <w:p>
      <w:pPr>
        <w:jc w:val="right"/>
        <w:rPr>
          <w:rFonts w:eastAsia="黑体"/>
          <w:b/>
          <w:sz w:val="28"/>
          <w:szCs w:val="28"/>
          <w14:shadow w14:blurRad="50800" w14:dist="38100" w14:dir="2700000" w14:sx="100000" w14:sy="100000" w14:kx="0" w14:ky="0" w14:algn="tl">
            <w14:srgbClr w14:val="000000">
              <w14:alpha w14:val="60000"/>
            </w14:srgbClr>
          </w14:shadow>
        </w:rPr>
      </w:pPr>
      <w:r>
        <w:rPr>
          <w:rFonts w:hint="eastAsia" w:ascii="Times New Roman" w:eastAsia="隶书"/>
        </w:rPr>
        <w:t>第六版表                                              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B.1.1</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施工试验室报审表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编号：</w:t>
      </w:r>
      <w:r>
        <w:rPr>
          <w:szCs w:val="21"/>
        </w:rPr>
        <w:t>B.1.1</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93"/>
        <w:gridCol w:w="2369"/>
        <w:gridCol w:w="1942"/>
        <w:gridCol w:w="232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525"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420" w:lineRule="exact"/>
              <w:ind w:firstLine="420" w:firstLineChars="200"/>
              <w:jc w:val="left"/>
              <w:rPr>
                <w:rFonts w:hint="eastAsia" w:ascii="Times New Roman"/>
                <w:szCs w:val="21"/>
              </w:rPr>
            </w:pPr>
            <w:r>
              <w:rPr>
                <w:rFonts w:hint="eastAsia" w:ascii="Times New Roman"/>
                <w:szCs w:val="21"/>
              </w:rPr>
              <w:t>我方已建成为工程提供服务的试验室，请予以审查。</w:t>
            </w:r>
          </w:p>
          <w:p>
            <w:pPr>
              <w:spacing w:line="420" w:lineRule="exact"/>
              <w:ind w:firstLine="480"/>
              <w:jc w:val="left"/>
              <w:rPr>
                <w:rFonts w:hint="eastAsia" w:ascii="Times New Roman"/>
                <w:szCs w:val="21"/>
              </w:rPr>
            </w:pPr>
            <w:r>
              <w:rPr>
                <w:rFonts w:hint="eastAsia" w:ascii="Times New Roman"/>
                <w:szCs w:val="21"/>
              </w:rPr>
              <w:t>附件：</w:t>
            </w:r>
          </w:p>
          <w:p>
            <w:pPr>
              <w:numPr>
                <w:ilvl w:val="0"/>
                <w:numId w:val="11"/>
              </w:numPr>
              <w:spacing w:line="420" w:lineRule="exact"/>
              <w:jc w:val="left"/>
              <w:rPr>
                <w:rFonts w:hint="eastAsia" w:ascii="Times New Roman"/>
                <w:szCs w:val="21"/>
              </w:rPr>
            </w:pPr>
            <w:r>
              <w:rPr>
                <w:rFonts w:hint="eastAsia" w:ascii="Times New Roman"/>
                <w:szCs w:val="21"/>
              </w:rPr>
              <w:t xml:space="preserve"> 试验室的资质等级及试验范围</w:t>
            </w:r>
          </w:p>
          <w:p>
            <w:pPr>
              <w:numPr>
                <w:ilvl w:val="0"/>
                <w:numId w:val="11"/>
              </w:numPr>
              <w:spacing w:line="420" w:lineRule="exact"/>
              <w:jc w:val="left"/>
              <w:rPr>
                <w:rFonts w:hint="eastAsia" w:ascii="Times New Roman"/>
                <w:szCs w:val="21"/>
              </w:rPr>
            </w:pPr>
            <w:r>
              <w:rPr>
                <w:rFonts w:hint="eastAsia" w:ascii="Times New Roman"/>
                <w:szCs w:val="21"/>
              </w:rPr>
              <w:t xml:space="preserve"> 法定计量部门对计量设备、器具出具的计量检定证明</w:t>
            </w:r>
          </w:p>
          <w:p>
            <w:pPr>
              <w:numPr>
                <w:ilvl w:val="0"/>
                <w:numId w:val="11"/>
              </w:numPr>
              <w:spacing w:line="420" w:lineRule="exact"/>
              <w:jc w:val="left"/>
              <w:rPr>
                <w:rFonts w:hint="eastAsia" w:ascii="Times New Roman"/>
                <w:szCs w:val="21"/>
              </w:rPr>
            </w:pPr>
            <w:r>
              <w:rPr>
                <w:rFonts w:hint="eastAsia" w:ascii="Times New Roman"/>
                <w:szCs w:val="21"/>
              </w:rPr>
              <w:t xml:space="preserve"> 试验室管理制度</w:t>
            </w:r>
          </w:p>
          <w:p>
            <w:pPr>
              <w:numPr>
                <w:ilvl w:val="0"/>
                <w:numId w:val="11"/>
              </w:numPr>
              <w:spacing w:line="420" w:lineRule="exact"/>
              <w:jc w:val="left"/>
              <w:rPr>
                <w:rFonts w:hint="eastAsia" w:ascii="Times New Roman"/>
                <w:szCs w:val="21"/>
              </w:rPr>
            </w:pPr>
            <w:r>
              <w:rPr>
                <w:rFonts w:hint="eastAsia" w:ascii="Times New Roman"/>
                <w:szCs w:val="21"/>
              </w:rPr>
              <w:t xml:space="preserve"> 试验人员资格证书</w:t>
            </w:r>
          </w:p>
          <w:p>
            <w:pPr>
              <w:ind w:firstLine="3158" w:firstLineChars="1504"/>
              <w:rPr>
                <w:rFonts w:hint="eastAsia" w:ascii="Times New Roman"/>
                <w:szCs w:val="21"/>
              </w:rPr>
            </w:pPr>
          </w:p>
          <w:p>
            <w:pPr>
              <w:ind w:firstLine="3158" w:firstLineChars="1504"/>
              <w:rPr>
                <w:rFonts w:hint="eastAsia" w:ascii="Times New Roman"/>
                <w:szCs w:val="21"/>
              </w:rPr>
            </w:pPr>
          </w:p>
          <w:p>
            <w:pPr>
              <w:tabs>
                <w:tab w:val="left" w:pos="7959"/>
              </w:tabs>
              <w:ind w:firstLine="3465" w:firstLineChars="1650"/>
              <w:rPr>
                <w:rFonts w:hint="eastAsia" w:ascii="Times New Roman"/>
                <w:szCs w:val="21"/>
                <w:u w:val="single"/>
              </w:rPr>
            </w:pPr>
            <w:r>
              <w:rPr>
                <w:rFonts w:hint="eastAsia" w:ascii="Times New Roman"/>
                <w:szCs w:val="21"/>
              </w:rPr>
              <w:t>施工项目经理部（章）：</w:t>
            </w:r>
            <w:r>
              <w:rPr>
                <w:rFonts w:hint="eastAsia" w:ascii="Times New Roman"/>
                <w:szCs w:val="21"/>
                <w:u w:val="single"/>
              </w:rPr>
              <w:t>　　　　 　     　　　</w:t>
            </w:r>
          </w:p>
          <w:p>
            <w:pPr>
              <w:spacing w:before="312" w:beforeLines="100"/>
              <w:jc w:val="left"/>
              <w:rPr>
                <w:rFonts w:hint="eastAsia" w:ascii="Times New Roman"/>
                <w:szCs w:val="21"/>
              </w:rPr>
            </w:pPr>
            <w:r>
              <w:rPr>
                <w:rFonts w:hint="eastAsia" w:ascii="Times New Roman"/>
                <w:szCs w:val="21"/>
              </w:rPr>
              <w:t xml:space="preserve">                                 项目经理（签字）：</w:t>
            </w:r>
            <w:r>
              <w:rPr>
                <w:rFonts w:hint="eastAsia" w:ascii="Times New Roman"/>
                <w:szCs w:val="21"/>
                <w:u w:val="single"/>
              </w:rPr>
              <w:t>　　　                　　</w:t>
            </w:r>
            <w:r>
              <w:rPr>
                <w:rFonts w:hint="eastAsia" w:ascii="Times New Roman"/>
                <w:szCs w:val="21"/>
              </w:rPr>
              <w:t xml:space="preserve">  </w:t>
            </w:r>
          </w:p>
          <w:p>
            <w:pPr>
              <w:tabs>
                <w:tab w:val="left" w:pos="4389"/>
              </w:tabs>
              <w:spacing w:before="156" w:beforeLines="50"/>
              <w:jc w:val="left"/>
              <w:rPr>
                <w:rFonts w:ascii="Times New Roman"/>
                <w:szCs w:val="21"/>
                <w:u w:val="single"/>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54" w:hRule="atLeast"/>
          <w:jc w:val="center"/>
        </w:trPr>
        <w:tc>
          <w:tcPr>
            <w:tcW w:w="1893" w:type="dxa"/>
            <w:tcBorders>
              <w:top w:val="single" w:color="auto" w:sz="4" w:space="0"/>
              <w:left w:val="single" w:color="auto" w:sz="8" w:space="0"/>
              <w:bottom w:val="single" w:color="auto" w:sz="4" w:space="0"/>
              <w:right w:val="single" w:color="auto" w:sz="4" w:space="0"/>
            </w:tcBorders>
            <w:noWrap w:val="0"/>
            <w:vAlign w:val="center"/>
          </w:tcPr>
          <w:p>
            <w:pPr>
              <w:spacing w:line="320" w:lineRule="exact"/>
              <w:jc w:val="center"/>
              <w:rPr>
                <w:rFonts w:ascii="Times New Roman"/>
                <w:szCs w:val="21"/>
              </w:rPr>
            </w:pPr>
            <w:r>
              <w:rPr>
                <w:rFonts w:hint="eastAsia" w:ascii="Times New Roman"/>
                <w:szCs w:val="21"/>
              </w:rPr>
              <w:t>项目监理机构签</w:t>
            </w:r>
          </w:p>
          <w:p>
            <w:pPr>
              <w:spacing w:line="320" w:lineRule="exact"/>
              <w:jc w:val="center"/>
              <w:rPr>
                <w:rFonts w:ascii="Times New Roman"/>
                <w:szCs w:val="21"/>
              </w:rPr>
            </w:pPr>
            <w:r>
              <w:rPr>
                <w:rFonts w:hint="eastAsia" w:ascii="Times New Roman"/>
                <w:szCs w:val="21"/>
              </w:rPr>
              <w:t>收人姓名及时间</w:t>
            </w:r>
          </w:p>
        </w:tc>
        <w:tc>
          <w:tcPr>
            <w:tcW w:w="2369"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Times New Roman"/>
                <w:szCs w:val="21"/>
              </w:rPr>
            </w:pPr>
          </w:p>
        </w:tc>
        <w:tc>
          <w:tcPr>
            <w:tcW w:w="1942"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ascii="Times New Roman"/>
                <w:szCs w:val="21"/>
              </w:rPr>
            </w:pPr>
            <w:r>
              <w:rPr>
                <w:rFonts w:hint="eastAsia" w:ascii="Times New Roman"/>
                <w:szCs w:val="21"/>
              </w:rPr>
              <w:t>施工项目经理部签收人姓名及时间</w:t>
            </w:r>
          </w:p>
        </w:tc>
        <w:tc>
          <w:tcPr>
            <w:tcW w:w="2321" w:type="dxa"/>
            <w:tcBorders>
              <w:top w:val="single" w:color="auto" w:sz="4" w:space="0"/>
              <w:left w:val="single" w:color="auto" w:sz="4" w:space="0"/>
              <w:bottom w:val="single" w:color="auto" w:sz="4" w:space="0"/>
              <w:right w:val="single" w:color="auto" w:sz="8" w:space="0"/>
            </w:tcBorders>
            <w:noWrap w:val="0"/>
            <w:vAlign w:val="center"/>
          </w:tcPr>
          <w:p>
            <w:pPr>
              <w:spacing w:line="320" w:lineRule="exact"/>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681" w:hRule="atLeast"/>
          <w:jc w:val="center"/>
        </w:trPr>
        <w:tc>
          <w:tcPr>
            <w:tcW w:w="8525"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rPr>
            </w:pPr>
            <w:r>
              <w:rPr>
                <w:rFonts w:hint="eastAsia" w:ascii="Times New Roman"/>
                <w:szCs w:val="21"/>
              </w:rPr>
              <w:t>审查意见：</w:t>
            </w: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r>
              <w:rPr>
                <w:rFonts w:hint="eastAsia" w:ascii="Times New Roman"/>
                <w:szCs w:val="21"/>
              </w:rPr>
              <w:t xml:space="preserve">                                  项目监理机构（章）：</w:t>
            </w:r>
            <w:r>
              <w:rPr>
                <w:rFonts w:hint="eastAsia" w:ascii="Times New Roman"/>
                <w:szCs w:val="21"/>
                <w:u w:val="single"/>
              </w:rPr>
              <w:t xml:space="preserve">                       </w:t>
            </w:r>
            <w:r>
              <w:rPr>
                <w:rFonts w:hint="eastAsia" w:ascii="Times New Roman"/>
                <w:szCs w:val="21"/>
              </w:rPr>
              <w:t xml:space="preserve">       </w:t>
            </w:r>
          </w:p>
          <w:p>
            <w:pPr>
              <w:spacing w:before="312" w:beforeLines="100"/>
              <w:rPr>
                <w:rFonts w:hint="eastAsia" w:ascii="Times New Roman"/>
                <w:szCs w:val="21"/>
              </w:rPr>
            </w:pPr>
            <w:r>
              <w:rPr>
                <w:rFonts w:hint="eastAsia" w:ascii="Times New Roman"/>
                <w:szCs w:val="21"/>
              </w:rPr>
              <w:t xml:space="preserve">                                  专业监理工程师（签字）：</w:t>
            </w:r>
            <w:r>
              <w:rPr>
                <w:rFonts w:hint="eastAsia" w:ascii="Times New Roman"/>
                <w:szCs w:val="21"/>
                <w:u w:val="single"/>
              </w:rPr>
              <w:t xml:space="preserve">                    </w:t>
            </w:r>
          </w:p>
          <w:p>
            <w:pPr>
              <w:spacing w:before="156" w:beforeLines="50"/>
              <w:ind w:firstLine="5544" w:firstLineChars="2640"/>
              <w:rPr>
                <w:rFonts w:ascii="Times New Roman"/>
                <w:szCs w:val="21"/>
              </w:rPr>
            </w:pPr>
            <w:r>
              <w:rPr>
                <w:rFonts w:ascii="Times New Roman"/>
                <w:szCs w:val="21"/>
                <w:u w:val="single"/>
              </w:rPr>
              <w:t>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8525" w:type="dxa"/>
            <w:gridSpan w:val="4"/>
            <w:tcBorders>
              <w:top w:val="single" w:color="auto" w:sz="4" w:space="0"/>
              <w:left w:val="single" w:color="auto" w:sz="8" w:space="0"/>
              <w:bottom w:val="single" w:color="auto" w:sz="8" w:space="0"/>
              <w:right w:val="single" w:color="auto" w:sz="8" w:space="0"/>
            </w:tcBorders>
            <w:noWrap w:val="0"/>
            <w:vAlign w:val="top"/>
          </w:tcPr>
          <w:p>
            <w:pPr>
              <w:spacing w:before="156" w:beforeLines="50"/>
              <w:jc w:val="left"/>
              <w:rPr>
                <w:rFonts w:ascii="Times New Roman"/>
                <w:szCs w:val="21"/>
                <w:u w:val="single"/>
              </w:rPr>
            </w:pPr>
            <w:r>
              <w:rPr>
                <w:rFonts w:hint="eastAsia"/>
                <w:szCs w:val="21"/>
              </w:rPr>
              <w:t>注：本表一式二份，项目监理机构、施工单位各一份。</w:t>
            </w:r>
          </w:p>
        </w:tc>
      </w:tr>
    </w:tbl>
    <w:p>
      <w:pPr>
        <w:rPr>
          <w:rFonts w:ascii="Times New Roman" w:eastAsia="隶书"/>
        </w:rPr>
      </w:pPr>
      <w:r>
        <w:rPr>
          <w:rFonts w:hint="eastAsia" w:ascii="Times New Roman" w:eastAsia="隶书"/>
        </w:rPr>
        <w:t>第六版表                                              江苏省住房和城乡建设厅监制</w:t>
      </w:r>
      <w:r>
        <w:rPr>
          <w:rFonts w:hint="eastAsia" w:eastAsia="黑体"/>
          <w:sz w:val="28"/>
          <w:szCs w:val="28"/>
          <w14:shadow w14:blurRad="50800" w14:dist="38100" w14:dir="2700000" w14:sx="100000" w14:sy="100000" w14:kx="0" w14:ky="0" w14:algn="tl">
            <w14:srgbClr w14:val="000000">
              <w14:alpha w14:val="60000"/>
            </w14:srgbClr>
          </w14:shadow>
        </w:rPr>
        <w:t>　　　　　　　　　　　　　　　　　　　　　　　　　　　　　</w:t>
      </w:r>
    </w:p>
    <w:p>
      <w:pPr>
        <w:spacing w:line="380" w:lineRule="exact"/>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B.1.2</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施工控制测量成果报验表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B.1.2</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724"/>
        <w:gridCol w:w="23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79" w:hRule="atLeast"/>
          <w:jc w:val="center"/>
        </w:trPr>
        <w:tc>
          <w:tcPr>
            <w:tcW w:w="8522"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420" w:lineRule="exact"/>
              <w:ind w:firstLine="420" w:firstLineChars="200"/>
              <w:jc w:val="left"/>
              <w:rPr>
                <w:rFonts w:hint="eastAsia" w:ascii="Times New Roman"/>
                <w:szCs w:val="21"/>
              </w:rPr>
            </w:pPr>
            <w:r>
              <w:rPr>
                <w:rFonts w:hint="eastAsia" w:ascii="Times New Roman"/>
                <w:szCs w:val="21"/>
              </w:rPr>
              <w:t>我方已完成</w:t>
            </w:r>
            <w:r>
              <w:rPr>
                <w:rFonts w:hint="eastAsia" w:ascii="Times New Roman"/>
                <w:szCs w:val="21"/>
                <w:u w:val="single"/>
              </w:rPr>
              <w:t xml:space="preserve">                          </w:t>
            </w:r>
            <w:r>
              <w:rPr>
                <w:rFonts w:hint="eastAsia" w:ascii="Times New Roman"/>
                <w:szCs w:val="21"/>
              </w:rPr>
              <w:t>的施工控制测量, 经自检合格，请予以查验。</w:t>
            </w:r>
          </w:p>
          <w:p>
            <w:pPr>
              <w:spacing w:line="420" w:lineRule="exact"/>
              <w:ind w:firstLine="420" w:firstLineChars="200"/>
              <w:jc w:val="left"/>
              <w:rPr>
                <w:rFonts w:hint="eastAsia" w:ascii="Times New Roman"/>
                <w:szCs w:val="21"/>
              </w:rPr>
            </w:pPr>
            <w:r>
              <w:rPr>
                <w:rFonts w:hint="eastAsia" w:ascii="Times New Roman"/>
                <w:szCs w:val="21"/>
              </w:rPr>
              <w:t>附件：</w:t>
            </w:r>
          </w:p>
          <w:p>
            <w:pPr>
              <w:numPr>
                <w:ilvl w:val="0"/>
                <w:numId w:val="12"/>
              </w:numPr>
              <w:spacing w:line="420" w:lineRule="exact"/>
              <w:ind w:left="993" w:hanging="566"/>
              <w:jc w:val="left"/>
              <w:rPr>
                <w:rFonts w:hint="eastAsia" w:ascii="Times New Roman"/>
                <w:szCs w:val="21"/>
              </w:rPr>
            </w:pPr>
            <w:r>
              <w:rPr>
                <w:rFonts w:hint="eastAsia" w:ascii="Times New Roman"/>
                <w:szCs w:val="21"/>
              </w:rPr>
              <w:t xml:space="preserve"> 施工控制测量依据资料：测绘基点、规划红线</w:t>
            </w:r>
          </w:p>
          <w:p>
            <w:pPr>
              <w:numPr>
                <w:ilvl w:val="0"/>
                <w:numId w:val="12"/>
              </w:numPr>
              <w:spacing w:line="420" w:lineRule="exact"/>
              <w:ind w:hanging="516"/>
              <w:jc w:val="left"/>
              <w:rPr>
                <w:rFonts w:hint="eastAsia" w:ascii="Times New Roman"/>
                <w:szCs w:val="21"/>
              </w:rPr>
            </w:pPr>
            <w:r>
              <w:rPr>
                <w:rFonts w:hint="eastAsia" w:ascii="Times New Roman"/>
                <w:szCs w:val="21"/>
              </w:rPr>
              <w:t xml:space="preserve"> 施工控制测量成果表</w:t>
            </w:r>
          </w:p>
          <w:p>
            <w:pPr>
              <w:spacing w:line="420" w:lineRule="exact"/>
              <w:ind w:left="397"/>
              <w:jc w:val="left"/>
              <w:rPr>
                <w:rFonts w:hint="eastAsia" w:ascii="Times New Roman"/>
                <w:szCs w:val="21"/>
              </w:rPr>
            </w:pPr>
            <w:r>
              <w:rPr>
                <w:rFonts w:hint="eastAsia" w:ascii="Times New Roman"/>
                <w:szCs w:val="21"/>
              </w:rPr>
              <w:t xml:space="preserve"> </w:t>
            </w:r>
          </w:p>
          <w:p>
            <w:pPr>
              <w:spacing w:line="240" w:lineRule="exact"/>
              <w:ind w:left="1321"/>
              <w:jc w:val="left"/>
              <w:rPr>
                <w:rFonts w:hint="eastAsia" w:ascii="Times New Roman"/>
                <w:szCs w:val="21"/>
              </w:rPr>
            </w:pPr>
          </w:p>
          <w:p>
            <w:pPr>
              <w:spacing w:line="420" w:lineRule="exact"/>
              <w:ind w:firstLine="420" w:firstLineChars="200"/>
              <w:jc w:val="left"/>
              <w:rPr>
                <w:rFonts w:hint="eastAsia" w:ascii="Times New Roman"/>
                <w:szCs w:val="21"/>
              </w:rPr>
            </w:pPr>
            <w:r>
              <w:rPr>
                <w:rFonts w:hint="eastAsia" w:ascii="Times New Roman"/>
                <w:szCs w:val="21"/>
              </w:rPr>
              <w:t>本次报验内容系第</w:t>
            </w:r>
            <w:r>
              <w:rPr>
                <w:rFonts w:hint="eastAsia" w:ascii="Times New Roman"/>
                <w:szCs w:val="21"/>
                <w:u w:val="single"/>
              </w:rPr>
              <w:t xml:space="preserve">        </w:t>
            </w:r>
            <w:r>
              <w:rPr>
                <w:rFonts w:hint="eastAsia" w:ascii="Times New Roman"/>
                <w:szCs w:val="21"/>
              </w:rPr>
              <w:t>次报验。</w:t>
            </w:r>
          </w:p>
          <w:p>
            <w:pPr>
              <w:spacing w:line="420" w:lineRule="exact"/>
              <w:jc w:val="left"/>
              <w:rPr>
                <w:rFonts w:hint="eastAsia" w:ascii="Times New Roman"/>
                <w:szCs w:val="21"/>
              </w:rPr>
            </w:pPr>
          </w:p>
          <w:p>
            <w:pPr>
              <w:spacing w:line="420" w:lineRule="exact"/>
              <w:jc w:val="left"/>
              <w:rPr>
                <w:rFonts w:hint="eastAsia" w:ascii="Times New Roman"/>
                <w:szCs w:val="21"/>
              </w:rPr>
            </w:pPr>
          </w:p>
          <w:p>
            <w:pPr>
              <w:jc w:val="left"/>
              <w:rPr>
                <w:rFonts w:hint="eastAsia" w:ascii="Times New Roman"/>
                <w:szCs w:val="21"/>
                <w:u w:val="single"/>
              </w:rPr>
            </w:pPr>
            <w:r>
              <w:rPr>
                <w:rFonts w:hint="eastAsia" w:ascii="Times New Roman"/>
                <w:szCs w:val="21"/>
              </w:rPr>
              <w:t>　　　　　　　　　　　　                 施工项目经理部（章）：</w:t>
            </w:r>
            <w:r>
              <w:rPr>
                <w:rFonts w:hint="eastAsia" w:ascii="Times New Roman"/>
                <w:szCs w:val="21"/>
                <w:u w:val="single"/>
              </w:rPr>
              <w:t>　　　　　  　</w:t>
            </w:r>
          </w:p>
          <w:p>
            <w:pPr>
              <w:spacing w:before="312" w:beforeLines="100"/>
              <w:jc w:val="left"/>
              <w:rPr>
                <w:rFonts w:hint="eastAsia" w:ascii="Times New Roman"/>
                <w:szCs w:val="21"/>
                <w:u w:val="single"/>
              </w:rPr>
            </w:pPr>
            <w:r>
              <w:rPr>
                <w:rFonts w:hint="eastAsia" w:ascii="Times New Roman"/>
                <w:szCs w:val="21"/>
              </w:rPr>
              <w:t>　　　　　　　　　　                     项目经理（签字）：</w:t>
            </w:r>
            <w:r>
              <w:rPr>
                <w:rFonts w:hint="eastAsia" w:ascii="Times New Roman"/>
                <w:szCs w:val="21"/>
                <w:u w:val="single"/>
              </w:rPr>
              <w:t>　　     　     　</w:t>
            </w:r>
          </w:p>
          <w:p>
            <w:pPr>
              <w:spacing w:before="156" w:beforeLines="50"/>
              <w:ind w:firstLine="5586" w:firstLineChars="2660"/>
              <w:jc w:val="left"/>
              <w:rPr>
                <w:rFonts w:ascii="Times New Roman"/>
                <w:szCs w:val="21"/>
                <w:u w:val="single"/>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614" w:type="dxa"/>
            <w:tcBorders>
              <w:top w:val="single" w:color="auto" w:sz="4" w:space="0"/>
              <w:left w:val="single" w:color="auto" w:sz="8" w:space="0"/>
              <w:bottom w:val="single" w:color="auto" w:sz="4" w:space="0"/>
              <w:right w:val="single" w:color="auto" w:sz="4" w:space="0"/>
            </w:tcBorders>
            <w:noWrap w:val="0"/>
            <w:vAlign w:val="center"/>
          </w:tcPr>
          <w:p>
            <w:pPr>
              <w:spacing w:before="120" w:after="120"/>
              <w:ind w:left="-105" w:leftChars="-50" w:right="-105" w:rightChars="-50"/>
              <w:jc w:val="center"/>
              <w:rPr>
                <w:rFonts w:ascii="Times New Roman"/>
                <w:szCs w:val="21"/>
              </w:rPr>
            </w:pPr>
            <w:r>
              <w:rPr>
                <w:rFonts w:hint="eastAsia" w:ascii="Times New Roman"/>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spacing w:before="120" w:after="120"/>
              <w:ind w:left="-105" w:leftChars="-50" w:right="-105" w:rightChars="-50"/>
              <w:jc w:val="center"/>
              <w:rPr>
                <w:rFonts w:ascii="Times New Roman"/>
                <w:szCs w:val="21"/>
              </w:rPr>
            </w:pPr>
          </w:p>
        </w:tc>
        <w:tc>
          <w:tcPr>
            <w:tcW w:w="1724"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施工项目经理部签收人姓名及时间</w:t>
            </w:r>
          </w:p>
        </w:tc>
        <w:tc>
          <w:tcPr>
            <w:tcW w:w="2390" w:type="dxa"/>
            <w:tcBorders>
              <w:top w:val="single" w:color="auto" w:sz="4" w:space="0"/>
              <w:left w:val="single" w:color="auto" w:sz="4" w:space="0"/>
              <w:bottom w:val="single" w:color="auto" w:sz="4" w:space="0"/>
              <w:right w:val="single" w:color="auto" w:sz="8" w:space="0"/>
            </w:tcBorders>
            <w:noWrap w:val="0"/>
            <w:vAlign w:val="center"/>
          </w:tcPr>
          <w:p>
            <w:pPr>
              <w:spacing w:before="120" w:after="120"/>
              <w:ind w:left="-105" w:leftChars="-50" w:right="-105" w:rightChars="-5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054" w:hRule="atLeast"/>
          <w:jc w:val="center"/>
        </w:trPr>
        <w:tc>
          <w:tcPr>
            <w:tcW w:w="8522"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rPr>
                <w:rFonts w:ascii="Times New Roman"/>
                <w:szCs w:val="21"/>
              </w:rPr>
            </w:pPr>
            <w:r>
              <w:rPr>
                <w:rFonts w:hint="eastAsia" w:ascii="Times New Roman"/>
                <w:szCs w:val="21"/>
              </w:rPr>
              <w:t>复核意见：</w:t>
            </w:r>
          </w:p>
          <w:p>
            <w:pPr>
              <w:rPr>
                <w:rFonts w:hint="eastAsia" w:ascii="Times New Roman"/>
                <w:szCs w:val="21"/>
              </w:rPr>
            </w:pPr>
          </w:p>
          <w:p>
            <w:pPr>
              <w:rPr>
                <w:rFonts w:hint="eastAsia" w:ascii="Times New Roman"/>
                <w:szCs w:val="21"/>
              </w:rPr>
            </w:pPr>
          </w:p>
          <w:p>
            <w:pPr>
              <w:rPr>
                <w:rFonts w:hint="eastAsia" w:ascii="Times New Roman"/>
                <w:szCs w:val="21"/>
              </w:rPr>
            </w:pPr>
          </w:p>
          <w:p>
            <w:pPr>
              <w:spacing w:line="360" w:lineRule="exact"/>
              <w:rPr>
                <w:rFonts w:hint="eastAsia" w:ascii="Times New Roman"/>
                <w:szCs w:val="21"/>
              </w:rPr>
            </w:pPr>
            <w:r>
              <w:rPr>
                <w:rFonts w:hint="eastAsia" w:ascii="Times New Roman"/>
                <w:szCs w:val="21"/>
              </w:rPr>
              <w:t>附件：□  复核记录</w:t>
            </w:r>
          </w:p>
          <w:p>
            <w:pPr>
              <w:rPr>
                <w:rFonts w:hint="eastAsia" w:ascii="Times New Roman"/>
                <w:szCs w:val="21"/>
              </w:rPr>
            </w:pPr>
          </w:p>
          <w:p>
            <w:pPr>
              <w:tabs>
                <w:tab w:val="left" w:pos="3756"/>
              </w:tabs>
              <w:spacing w:line="360" w:lineRule="auto"/>
              <w:rPr>
                <w:rFonts w:hint="eastAsia" w:ascii="Times New Roman"/>
                <w:bCs/>
                <w:szCs w:val="21"/>
                <w:u w:val="single"/>
              </w:rPr>
            </w:pPr>
            <w:r>
              <w:rPr>
                <w:rFonts w:hint="eastAsia" w:ascii="Times New Roman"/>
                <w:szCs w:val="21"/>
              </w:rPr>
              <w:t xml:space="preserve">                        </w:t>
            </w:r>
            <w:r>
              <w:rPr>
                <w:rFonts w:hint="eastAsia" w:ascii="Times New Roman"/>
                <w:bCs/>
                <w:szCs w:val="21"/>
              </w:rPr>
              <w:t xml:space="preserve">            </w:t>
            </w:r>
            <w:r>
              <w:rPr>
                <w:rFonts w:ascii="Times New Roman"/>
                <w:bCs/>
                <w:szCs w:val="21"/>
              </w:rPr>
              <w:t> </w:t>
            </w:r>
            <w:r>
              <w:rPr>
                <w:rFonts w:hint="eastAsia" w:ascii="Times New Roman"/>
                <w:bCs/>
                <w:szCs w:val="21"/>
              </w:rPr>
              <w:t xml:space="preserve">        项目监理机构(章): </w:t>
            </w:r>
            <w:r>
              <w:rPr>
                <w:rFonts w:hint="eastAsia" w:ascii="Times New Roman"/>
                <w:bCs/>
                <w:szCs w:val="21"/>
                <w:u w:val="single"/>
              </w:rPr>
              <w:t xml:space="preserve">                  </w:t>
            </w:r>
          </w:p>
          <w:p>
            <w:pPr>
              <w:tabs>
                <w:tab w:val="left" w:pos="3756"/>
              </w:tabs>
              <w:spacing w:line="360" w:lineRule="auto"/>
              <w:ind w:firstLine="4620" w:firstLineChars="2200"/>
              <w:rPr>
                <w:rFonts w:hint="eastAsia" w:ascii="Times New Roman"/>
                <w:szCs w:val="21"/>
              </w:rPr>
            </w:pPr>
            <w:r>
              <w:rPr>
                <w:rFonts w:hint="eastAsia" w:ascii="Times New Roman"/>
                <w:szCs w:val="21"/>
              </w:rPr>
              <w:t>专业监理工程师（签字）：</w:t>
            </w:r>
            <w:r>
              <w:rPr>
                <w:rFonts w:hint="eastAsia" w:ascii="Times New Roman"/>
                <w:szCs w:val="21"/>
                <w:u w:val="single"/>
              </w:rPr>
              <w:t xml:space="preserve">　　        </w:t>
            </w:r>
          </w:p>
          <w:p>
            <w:pPr>
              <w:spacing w:after="156" w:afterLines="50" w:line="360" w:lineRule="auto"/>
              <w:ind w:firstLine="5724" w:firstLineChars="2726"/>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22" w:type="dxa"/>
            <w:gridSpan w:val="4"/>
            <w:tcBorders>
              <w:top w:val="single" w:color="auto" w:sz="4" w:space="0"/>
              <w:left w:val="single" w:color="auto" w:sz="8" w:space="0"/>
              <w:bottom w:val="single" w:color="auto" w:sz="8" w:space="0"/>
              <w:right w:val="single" w:color="auto" w:sz="8" w:space="0"/>
            </w:tcBorders>
            <w:noWrap w:val="0"/>
            <w:vAlign w:val="center"/>
          </w:tcPr>
          <w:p>
            <w:pPr>
              <w:rPr>
                <w:rFonts w:ascii="Times New Roman"/>
                <w:szCs w:val="21"/>
              </w:rPr>
            </w:pPr>
            <w:r>
              <w:rPr>
                <w:rFonts w:hint="eastAsia" w:ascii="Times New Roman"/>
                <w:szCs w:val="21"/>
              </w:rPr>
              <w:t>注：本表一式三份，项目监理机构、建设单位、施工单位各一份。</w:t>
            </w:r>
          </w:p>
        </w:tc>
      </w:tr>
    </w:tbl>
    <w:p>
      <w:pPr>
        <w:rPr>
          <w:rFonts w:ascii="Times New Roman" w:eastAsia="隶书"/>
        </w:rPr>
      </w:pPr>
      <w:r>
        <w:rPr>
          <w:rFonts w:hint="eastAsia" w:ascii="Times New Roman" w:eastAsia="隶书"/>
        </w:rPr>
        <w:t>第六版表                                              江苏省住房和城乡建设厅监制</w:t>
      </w: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B.1.3</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w w:val="80"/>
          <w:sz w:val="44"/>
          <w14:shadow w14:blurRad="50800" w14:dist="38100" w14:dir="2700000" w14:sx="100000" w14:sy="100000" w14:kx="0" w14:ky="0" w14:algn="tl">
            <w14:srgbClr w14:val="000000">
              <w14:alpha w14:val="60000"/>
            </w14:srgbClr>
          </w14:shadow>
        </w:rPr>
        <w:t>工程材料、构配件、设备</w:t>
      </w:r>
      <w:r>
        <w:rPr>
          <w:rFonts w:hint="eastAsia" w:eastAsia="黑体"/>
          <w:sz w:val="44"/>
          <w14:shadow w14:blurRad="50800" w14:dist="38100" w14:dir="2700000" w14:sx="100000" w14:sy="100000" w14:kx="0" w14:ky="0" w14:algn="tl">
            <w14:srgbClr w14:val="000000">
              <w14:alpha w14:val="60000"/>
            </w14:srgbClr>
          </w14:shadow>
        </w:rPr>
        <w:t>进场</w:t>
      </w:r>
      <w:r>
        <w:rPr>
          <w:rFonts w:eastAsia="黑体"/>
          <w:sz w:val="44"/>
          <w14:shadow w14:blurRad="50800" w14:dist="38100" w14:dir="2700000" w14:sx="100000" w14:sy="100000" w14:kx="0" w14:ky="0" w14:algn="tl">
            <w14:srgbClr w14:val="000000">
              <w14:alpha w14:val="60000"/>
            </w14:srgbClr>
          </w14:shadow>
        </w:rPr>
        <w:t>/</w:t>
      </w:r>
      <w:r>
        <w:rPr>
          <w:rFonts w:hint="eastAsia" w:eastAsia="黑体"/>
          <w:sz w:val="44"/>
          <w14:shadow w14:blurRad="50800" w14:dist="38100" w14:dir="2700000" w14:sx="100000" w14:sy="100000" w14:kx="0" w14:ky="0" w14:algn="tl">
            <w14:srgbClr w14:val="000000">
              <w14:alpha w14:val="60000"/>
            </w14:srgbClr>
          </w14:shadow>
        </w:rPr>
        <w:t>使用报审表</w:t>
      </w:r>
    </w:p>
    <w:p>
      <w:pPr>
        <w:jc w:val="center"/>
        <w:rPr>
          <w:sz w:val="24"/>
        </w:rPr>
      </w:pP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编号：</w:t>
      </w:r>
      <w:r>
        <w:rPr>
          <w:szCs w:val="21"/>
        </w:rPr>
        <w:t>B.1.3</w:t>
      </w:r>
      <w:r>
        <w:rPr>
          <w:rFonts w:hint="eastAsia"/>
          <w:szCs w:val="21"/>
          <w:u w:val="single"/>
        </w:rPr>
        <w:t>　</w:t>
      </w:r>
      <w:r>
        <w:rPr>
          <w:rFonts w:hint="eastAsia"/>
          <w:szCs w:val="21"/>
        </w:rPr>
        <w:t>—</w:t>
      </w:r>
      <w:r>
        <w:rPr>
          <w:rFonts w:hint="eastAsia"/>
          <w:szCs w:val="21"/>
          <w:u w:val="single"/>
        </w:rPr>
        <w:t>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796"/>
        <w:gridCol w:w="231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20" w:lineRule="exact"/>
              <w:ind w:firstLine="420" w:firstLineChars="200"/>
              <w:rPr>
                <w:rFonts w:hint="eastAsia" w:ascii="Times New Roman"/>
                <w:szCs w:val="21"/>
              </w:rPr>
            </w:pPr>
            <w:r>
              <w:rPr>
                <w:rFonts w:hint="eastAsia" w:ascii="Times New Roman"/>
                <w:szCs w:val="21"/>
              </w:rPr>
              <w:t>于</w:t>
            </w:r>
            <w:r>
              <w:rPr>
                <w:rFonts w:hint="eastAsia"/>
                <w:szCs w:val="21"/>
                <w:u w:val="single"/>
              </w:rPr>
              <w:t>　　　</w:t>
            </w:r>
            <w:r>
              <w:rPr>
                <w:rFonts w:hint="eastAsia" w:ascii="Times New Roman"/>
                <w:szCs w:val="21"/>
              </w:rPr>
              <w:t>年</w:t>
            </w:r>
            <w:r>
              <w:rPr>
                <w:rFonts w:hint="eastAsia"/>
                <w:szCs w:val="21"/>
                <w:u w:val="single"/>
              </w:rPr>
              <w:t>　　　</w:t>
            </w:r>
            <w:r>
              <w:rPr>
                <w:rFonts w:hint="eastAsia" w:ascii="Times New Roman"/>
                <w:szCs w:val="21"/>
              </w:rPr>
              <w:t>月</w:t>
            </w:r>
            <w:r>
              <w:rPr>
                <w:rFonts w:hint="eastAsia"/>
                <w:szCs w:val="21"/>
                <w:u w:val="single"/>
              </w:rPr>
              <w:t>　　　</w:t>
            </w:r>
            <w:r>
              <w:rPr>
                <w:rFonts w:hint="eastAsia" w:ascii="Times New Roman"/>
                <w:szCs w:val="21"/>
              </w:rPr>
              <w:t>日进场的拟用于工程</w:t>
            </w:r>
            <w:r>
              <w:rPr>
                <w:rFonts w:hint="eastAsia"/>
                <w:szCs w:val="21"/>
                <w:u w:val="single"/>
              </w:rPr>
              <w:t>　　　</w:t>
            </w:r>
            <w:r>
              <w:rPr>
                <w:szCs w:val="21"/>
                <w:u w:val="single"/>
              </w:rPr>
              <w:t xml:space="preserve">   </w:t>
            </w:r>
            <w:r>
              <w:rPr>
                <w:rFonts w:hint="eastAsia"/>
                <w:szCs w:val="21"/>
                <w:u w:val="single"/>
              </w:rPr>
              <w:t>　　　</w:t>
            </w:r>
            <w:r>
              <w:rPr>
                <w:rFonts w:hint="eastAsia" w:ascii="Times New Roman"/>
                <w:szCs w:val="21"/>
              </w:rPr>
              <w:t>部位的</w:t>
            </w:r>
            <w:r>
              <w:rPr>
                <w:rFonts w:hint="eastAsia"/>
                <w:szCs w:val="21"/>
                <w:u w:val="single"/>
              </w:rPr>
              <w:t>　　　　</w:t>
            </w:r>
            <w:r>
              <w:rPr>
                <w:szCs w:val="21"/>
                <w:u w:val="single"/>
              </w:rPr>
              <w:t xml:space="preserve">                </w:t>
            </w:r>
            <w:r>
              <w:rPr>
                <w:rFonts w:hint="eastAsia"/>
                <w:szCs w:val="21"/>
                <w:u w:val="single"/>
              </w:rPr>
              <w:t>　</w:t>
            </w:r>
            <w:r>
              <w:rPr>
                <w:rFonts w:hint="eastAsia" w:ascii="Times New Roman"/>
                <w:szCs w:val="21"/>
              </w:rPr>
              <w:t xml:space="preserve">，现将相关资料报上，请予以审查。 </w:t>
            </w:r>
          </w:p>
          <w:p>
            <w:pPr>
              <w:spacing w:line="320" w:lineRule="exact"/>
              <w:ind w:firstLine="420" w:firstLineChars="200"/>
              <w:rPr>
                <w:rFonts w:hint="eastAsia" w:ascii="Times New Roman"/>
                <w:szCs w:val="21"/>
              </w:rPr>
            </w:pPr>
            <w:r>
              <w:rPr>
                <w:rFonts w:hint="eastAsia" w:ascii="Times New Roman"/>
                <w:szCs w:val="21"/>
              </w:rPr>
              <w:t>附件：</w:t>
            </w:r>
          </w:p>
          <w:p>
            <w:pPr>
              <w:spacing w:line="320" w:lineRule="exact"/>
              <w:ind w:firstLine="420" w:firstLineChars="200"/>
              <w:rPr>
                <w:rFonts w:hint="eastAsia" w:ascii="Times New Roman"/>
                <w:b/>
                <w:bCs/>
                <w:szCs w:val="21"/>
              </w:rPr>
            </w:pPr>
            <w:r>
              <w:rPr>
                <w:rFonts w:hint="eastAsia" w:ascii="Times New Roman"/>
                <w:szCs w:val="21"/>
              </w:rPr>
              <w:t xml:space="preserve">□ </w:t>
            </w:r>
            <w:r>
              <w:rPr>
                <w:rFonts w:hint="eastAsia" w:ascii="Times New Roman"/>
                <w:b/>
                <w:bCs/>
                <w:szCs w:val="21"/>
              </w:rPr>
              <w:t>进场材料、构配件、设备进场：</w:t>
            </w:r>
          </w:p>
          <w:p>
            <w:pPr>
              <w:spacing w:line="320" w:lineRule="exact"/>
              <w:rPr>
                <w:rFonts w:hint="eastAsia" w:ascii="Times New Roman"/>
                <w:szCs w:val="21"/>
              </w:rPr>
            </w:pPr>
            <w:r>
              <w:rPr>
                <w:rFonts w:hint="eastAsia" w:ascii="Times New Roman"/>
                <w:szCs w:val="21"/>
              </w:rPr>
              <w:t xml:space="preserve">        □   工程材料/构配件/设备清单</w:t>
            </w:r>
          </w:p>
          <w:p>
            <w:pPr>
              <w:spacing w:line="320" w:lineRule="exact"/>
              <w:ind w:firstLine="840" w:firstLineChars="400"/>
              <w:rPr>
                <w:rFonts w:hint="eastAsia" w:ascii="Times New Roman"/>
                <w:szCs w:val="21"/>
              </w:rPr>
            </w:pPr>
            <w:r>
              <w:rPr>
                <w:rFonts w:hint="eastAsia" w:ascii="Times New Roman"/>
                <w:szCs w:val="21"/>
              </w:rPr>
              <w:t>□   出厂合格证、质量检验报告等</w:t>
            </w:r>
          </w:p>
          <w:p>
            <w:pPr>
              <w:spacing w:line="320" w:lineRule="exact"/>
              <w:ind w:firstLine="840" w:firstLineChars="400"/>
              <w:rPr>
                <w:rFonts w:hint="eastAsia" w:ascii="Times New Roman"/>
                <w:szCs w:val="21"/>
              </w:rPr>
            </w:pPr>
            <w:r>
              <w:rPr>
                <w:rFonts w:hint="eastAsia" w:ascii="Times New Roman"/>
                <w:szCs w:val="21"/>
              </w:rPr>
              <w:t>□   施工单位自检记录</w:t>
            </w:r>
          </w:p>
          <w:p>
            <w:pPr>
              <w:spacing w:line="320" w:lineRule="exact"/>
              <w:ind w:firstLine="840" w:firstLineChars="400"/>
              <w:rPr>
                <w:rFonts w:hint="eastAsia" w:ascii="Times New Roman"/>
                <w:szCs w:val="21"/>
              </w:rPr>
            </w:pPr>
            <w:r>
              <w:rPr>
                <w:rFonts w:hint="eastAsia" w:ascii="Times New Roman"/>
                <w:szCs w:val="21"/>
              </w:rPr>
              <w:t xml:space="preserve">□　 </w:t>
            </w:r>
          </w:p>
          <w:p>
            <w:pPr>
              <w:spacing w:line="320" w:lineRule="exact"/>
              <w:ind w:firstLine="420" w:firstLineChars="200"/>
              <w:rPr>
                <w:rFonts w:hint="eastAsia" w:ascii="Times New Roman"/>
                <w:b/>
                <w:bCs/>
                <w:szCs w:val="21"/>
              </w:rPr>
            </w:pPr>
            <w:r>
              <w:rPr>
                <w:rFonts w:hint="eastAsia" w:ascii="Times New Roman"/>
                <w:szCs w:val="21"/>
              </w:rPr>
              <w:t xml:space="preserve">□ </w:t>
            </w:r>
            <w:r>
              <w:rPr>
                <w:rFonts w:hint="eastAsia" w:ascii="Times New Roman"/>
                <w:b/>
                <w:bCs/>
                <w:szCs w:val="21"/>
              </w:rPr>
              <w:t>进场材料、构配件、设备使用：</w:t>
            </w:r>
          </w:p>
          <w:p>
            <w:pPr>
              <w:spacing w:line="320" w:lineRule="exact"/>
              <w:ind w:firstLine="840" w:firstLineChars="400"/>
              <w:rPr>
                <w:rFonts w:hint="eastAsia" w:ascii="Times New Roman"/>
                <w:szCs w:val="21"/>
              </w:rPr>
            </w:pPr>
            <w:r>
              <w:rPr>
                <w:rFonts w:hint="eastAsia" w:ascii="Times New Roman"/>
                <w:szCs w:val="21"/>
              </w:rPr>
              <w:t>□   进场复试报告</w:t>
            </w:r>
          </w:p>
          <w:p>
            <w:pPr>
              <w:spacing w:line="320" w:lineRule="exact"/>
              <w:ind w:firstLine="420"/>
              <w:rPr>
                <w:rFonts w:hint="eastAsia" w:ascii="Times New Roman"/>
                <w:szCs w:val="21"/>
              </w:rPr>
            </w:pPr>
            <w:r>
              <w:rPr>
                <w:rFonts w:hint="eastAsia" w:ascii="Times New Roman"/>
                <w:szCs w:val="21"/>
              </w:rPr>
              <w:t xml:space="preserve">    □</w:t>
            </w:r>
          </w:p>
          <w:p>
            <w:pPr>
              <w:spacing w:line="320" w:lineRule="exact"/>
              <w:ind w:firstLine="420" w:firstLineChars="200"/>
              <w:jc w:val="left"/>
              <w:rPr>
                <w:rFonts w:hint="eastAsia" w:ascii="Times New Roman"/>
                <w:szCs w:val="21"/>
              </w:rPr>
            </w:pPr>
            <w:r>
              <w:rPr>
                <w:rFonts w:hint="eastAsia" w:ascii="Times New Roman"/>
                <w:szCs w:val="21"/>
              </w:rPr>
              <w:t>本次报审内容系第</w:t>
            </w:r>
            <w:r>
              <w:rPr>
                <w:rFonts w:hint="eastAsia" w:ascii="Times New Roman"/>
                <w:szCs w:val="21"/>
                <w:u w:val="single"/>
              </w:rPr>
              <w:t xml:space="preserve">      </w:t>
            </w:r>
            <w:r>
              <w:rPr>
                <w:rFonts w:hint="eastAsia" w:ascii="Times New Roman"/>
                <w:szCs w:val="21"/>
              </w:rPr>
              <w:t>次报审。</w:t>
            </w:r>
          </w:p>
          <w:p>
            <w:pPr>
              <w:spacing w:line="320" w:lineRule="exact"/>
              <w:rPr>
                <w:rFonts w:hint="eastAsia" w:ascii="Times New Roman"/>
                <w:szCs w:val="21"/>
              </w:rPr>
            </w:pPr>
          </w:p>
          <w:p>
            <w:pPr>
              <w:spacing w:line="360" w:lineRule="auto"/>
              <w:rPr>
                <w:rFonts w:hint="eastAsia" w:ascii="Times New Roman"/>
                <w:szCs w:val="21"/>
                <w:u w:val="single"/>
              </w:rPr>
            </w:pPr>
            <w:r>
              <w:rPr>
                <w:rFonts w:hint="eastAsia" w:ascii="Times New Roman"/>
                <w:szCs w:val="21"/>
              </w:rPr>
              <w:t>　　　　　　　　　　　　                  施工项目经理部（章）：</w:t>
            </w:r>
            <w:r>
              <w:rPr>
                <w:rFonts w:hint="eastAsia" w:ascii="Times New Roman"/>
                <w:szCs w:val="21"/>
                <w:u w:val="single"/>
              </w:rPr>
              <w:t xml:space="preserve">　　　　      </w:t>
            </w:r>
          </w:p>
          <w:p>
            <w:pPr>
              <w:spacing w:line="360" w:lineRule="auto"/>
              <w:rPr>
                <w:rFonts w:hint="eastAsia" w:ascii="Times New Roman"/>
                <w:szCs w:val="21"/>
              </w:rPr>
            </w:pPr>
            <w:r>
              <w:rPr>
                <w:rFonts w:hint="eastAsia" w:ascii="Times New Roman"/>
                <w:szCs w:val="21"/>
              </w:rPr>
              <w:t>　　　　　　　　　　　                    项目经理（签字）：</w:t>
            </w:r>
            <w:r>
              <w:rPr>
                <w:rFonts w:hint="eastAsia" w:ascii="Times New Roman"/>
                <w:szCs w:val="21"/>
                <w:u w:val="single"/>
              </w:rPr>
              <w:t xml:space="preserve">　　              </w:t>
            </w:r>
          </w:p>
          <w:p>
            <w:pPr>
              <w:tabs>
                <w:tab w:val="left" w:pos="8211"/>
                <w:tab w:val="left" w:pos="8306"/>
              </w:tabs>
              <w:spacing w:line="360" w:lineRule="auto"/>
              <w:ind w:firstLine="5917" w:firstLineChars="2818"/>
              <w:rPr>
                <w:rFonts w:ascii="Times New Roman"/>
                <w:szCs w:val="21"/>
              </w:rPr>
            </w:pPr>
            <w:r>
              <w:rPr>
                <w:rFonts w:ascii="Times New Roman"/>
                <w:szCs w:val="21"/>
                <w:u w:val="single"/>
              </w:rPr>
              <w:t>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614" w:type="dxa"/>
            <w:tcBorders>
              <w:top w:val="single" w:color="auto" w:sz="4" w:space="0"/>
              <w:left w:val="single" w:color="auto" w:sz="8" w:space="0"/>
              <w:bottom w:val="single" w:color="auto" w:sz="4" w:space="0"/>
              <w:right w:val="single" w:color="auto" w:sz="4" w:space="0"/>
            </w:tcBorders>
            <w:noWrap w:val="0"/>
            <w:vAlign w:val="center"/>
          </w:tcPr>
          <w:p>
            <w:pPr>
              <w:spacing w:before="120" w:after="120"/>
              <w:ind w:left="-105" w:leftChars="-50" w:right="-105" w:rightChars="-50"/>
              <w:jc w:val="center"/>
              <w:rPr>
                <w:rFonts w:ascii="Times New Roman"/>
                <w:szCs w:val="21"/>
              </w:rPr>
            </w:pPr>
            <w:r>
              <w:rPr>
                <w:rFonts w:hint="eastAsia" w:ascii="Times New Roman"/>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spacing w:before="120" w:after="120"/>
              <w:ind w:left="-105" w:leftChars="-50" w:right="-105" w:rightChars="-50"/>
              <w:jc w:val="center"/>
              <w:rPr>
                <w:rFonts w:ascii="Times New Roman"/>
                <w:szCs w:val="21"/>
              </w:rPr>
            </w:pPr>
          </w:p>
        </w:tc>
        <w:tc>
          <w:tcPr>
            <w:tcW w:w="1796" w:type="dxa"/>
            <w:tcBorders>
              <w:top w:val="single" w:color="auto" w:sz="4" w:space="0"/>
              <w:left w:val="single" w:color="auto" w:sz="4" w:space="0"/>
              <w:bottom w:val="single" w:color="auto" w:sz="4" w:space="0"/>
              <w:right w:val="single" w:color="auto" w:sz="4" w:space="0"/>
            </w:tcBorders>
            <w:noWrap w:val="0"/>
            <w:vAlign w:val="center"/>
          </w:tcPr>
          <w:p>
            <w:pPr>
              <w:spacing w:before="120" w:after="120"/>
              <w:ind w:left="-105" w:leftChars="-50" w:right="-105" w:rightChars="-50"/>
              <w:jc w:val="center"/>
              <w:rPr>
                <w:rFonts w:ascii="Times New Roman"/>
                <w:szCs w:val="21"/>
              </w:rPr>
            </w:pPr>
            <w:r>
              <w:rPr>
                <w:rFonts w:hint="eastAsia" w:ascii="Times New Roman"/>
                <w:szCs w:val="21"/>
              </w:rPr>
              <w:t>施工项目经理部签收人姓名及时间</w:t>
            </w:r>
          </w:p>
        </w:tc>
        <w:tc>
          <w:tcPr>
            <w:tcW w:w="2318" w:type="dxa"/>
            <w:tcBorders>
              <w:top w:val="single" w:color="auto" w:sz="4" w:space="0"/>
              <w:left w:val="single" w:color="auto" w:sz="4" w:space="0"/>
              <w:bottom w:val="single" w:color="auto" w:sz="4" w:space="0"/>
              <w:right w:val="single" w:color="auto" w:sz="8" w:space="0"/>
            </w:tcBorders>
            <w:noWrap w:val="0"/>
            <w:vAlign w:val="top"/>
          </w:tcPr>
          <w:p>
            <w:pPr>
              <w:spacing w:before="120" w:after="120"/>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22" w:type="dxa"/>
            <w:gridSpan w:val="4"/>
            <w:tcBorders>
              <w:top w:val="single" w:color="auto" w:sz="4" w:space="0"/>
              <w:left w:val="single" w:color="auto" w:sz="8" w:space="0"/>
              <w:bottom w:val="single" w:color="auto" w:sz="4" w:space="0"/>
              <w:right w:val="single" w:color="auto" w:sz="8" w:space="0"/>
            </w:tcBorders>
            <w:noWrap w:val="0"/>
            <w:vAlign w:val="top"/>
          </w:tcPr>
          <w:p>
            <w:pPr>
              <w:spacing w:before="120" w:after="120"/>
              <w:rPr>
                <w:rFonts w:ascii="Times New Roman"/>
                <w:szCs w:val="21"/>
              </w:rPr>
            </w:pPr>
            <w:r>
              <w:rPr>
                <w:rFonts w:hint="eastAsia" w:ascii="Times New Roman"/>
                <w:szCs w:val="21"/>
              </w:rPr>
              <w:t>审查意见：</w:t>
            </w:r>
          </w:p>
          <w:p>
            <w:pPr>
              <w:spacing w:line="420" w:lineRule="exact"/>
              <w:rPr>
                <w:rFonts w:hint="eastAsia" w:ascii="Times New Roman"/>
                <w:szCs w:val="21"/>
                <w:u w:val="single"/>
              </w:rPr>
            </w:pPr>
          </w:p>
          <w:p>
            <w:pPr>
              <w:spacing w:line="360" w:lineRule="exact"/>
              <w:rPr>
                <w:rFonts w:hint="eastAsia" w:ascii="Times New Roman"/>
                <w:szCs w:val="21"/>
              </w:rPr>
            </w:pPr>
            <w:r>
              <w:rPr>
                <w:rFonts w:hint="eastAsia" w:ascii="Times New Roman"/>
                <w:szCs w:val="21"/>
              </w:rPr>
              <w:t>附件：□  检查记录</w:t>
            </w:r>
          </w:p>
          <w:p>
            <w:pPr>
              <w:spacing w:before="156" w:beforeLines="50"/>
              <w:rPr>
                <w:rFonts w:hint="eastAsia" w:ascii="Times New Roman"/>
                <w:bCs/>
                <w:szCs w:val="21"/>
                <w:u w:val="single"/>
              </w:rPr>
            </w:pPr>
            <w:r>
              <w:rPr>
                <w:rFonts w:hint="eastAsia" w:ascii="Times New Roman"/>
                <w:szCs w:val="21"/>
              </w:rPr>
              <w:t xml:space="preserve">　　　　　　　　　　　   　    </w:t>
            </w:r>
            <w:r>
              <w:rPr>
                <w:rFonts w:hint="eastAsia" w:ascii="Times New Roman"/>
                <w:bCs/>
                <w:szCs w:val="21"/>
              </w:rPr>
              <w:t xml:space="preserve">           项目监理机构(章): </w:t>
            </w:r>
            <w:r>
              <w:rPr>
                <w:rFonts w:hint="eastAsia" w:ascii="Times New Roman"/>
                <w:bCs/>
                <w:szCs w:val="21"/>
                <w:u w:val="single"/>
              </w:rPr>
              <w:t xml:space="preserve">                   </w:t>
            </w:r>
            <w:r>
              <w:rPr>
                <w:rFonts w:hint="eastAsia" w:ascii="Times New Roman"/>
                <w:bCs/>
                <w:szCs w:val="21"/>
              </w:rPr>
              <w:t xml:space="preserve"> </w:t>
            </w:r>
          </w:p>
          <w:p>
            <w:pPr>
              <w:spacing w:before="156" w:beforeLines="50"/>
              <w:rPr>
                <w:rFonts w:hint="eastAsia" w:ascii="Times New Roman"/>
                <w:szCs w:val="21"/>
              </w:rPr>
            </w:pPr>
            <w:r>
              <w:rPr>
                <w:rFonts w:hint="eastAsia" w:ascii="Times New Roman"/>
                <w:szCs w:val="21"/>
              </w:rPr>
              <w:t xml:space="preserve">                                          专业监理工程师（签字）：</w:t>
            </w:r>
            <w:r>
              <w:rPr>
                <w:rFonts w:hint="eastAsia" w:ascii="Times New Roman"/>
                <w:szCs w:val="21"/>
                <w:u w:val="single"/>
              </w:rPr>
              <w:t xml:space="preserve">　　        </w:t>
            </w:r>
          </w:p>
          <w:p>
            <w:pPr>
              <w:spacing w:before="156" w:beforeLines="50"/>
              <w:ind w:firstLine="5917" w:firstLineChars="2818"/>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8522" w:type="dxa"/>
            <w:gridSpan w:val="4"/>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ascii="Times New Roman"/>
                <w:szCs w:val="21"/>
              </w:rPr>
              <w:t>注</w:t>
            </w:r>
            <w:r>
              <w:rPr>
                <w:rFonts w:hint="eastAsia"/>
                <w:szCs w:val="21"/>
              </w:rPr>
              <w:t>：</w:t>
            </w:r>
            <w:r>
              <w:rPr>
                <w:szCs w:val="21"/>
              </w:rPr>
              <w:t>1</w:t>
            </w:r>
            <w:r>
              <w:rPr>
                <w:rFonts w:hint="eastAsia"/>
                <w:szCs w:val="21"/>
              </w:rPr>
              <w:t>、本报审表分为工程材料报审（</w:t>
            </w:r>
            <w:r>
              <w:rPr>
                <w:szCs w:val="21"/>
              </w:rPr>
              <w:t>B.1.31</w:t>
            </w:r>
            <w:r>
              <w:rPr>
                <w:rFonts w:hint="eastAsia"/>
                <w:szCs w:val="21"/>
              </w:rPr>
              <w:t>）、工程构配件报审（</w:t>
            </w:r>
            <w:r>
              <w:rPr>
                <w:szCs w:val="21"/>
              </w:rPr>
              <w:t>B.1.32</w:t>
            </w:r>
            <w:r>
              <w:rPr>
                <w:rFonts w:hint="eastAsia"/>
                <w:szCs w:val="21"/>
              </w:rPr>
              <w:t>）、工程设备报审（</w:t>
            </w:r>
            <w:r>
              <w:rPr>
                <w:szCs w:val="21"/>
              </w:rPr>
              <w:t>B.1.33</w:t>
            </w:r>
            <w:r>
              <w:rPr>
                <w:rFonts w:hint="eastAsia"/>
                <w:szCs w:val="21"/>
              </w:rPr>
              <w:t>），需要进场复试的分进场</w:t>
            </w:r>
            <w:r>
              <w:rPr>
                <w:szCs w:val="21"/>
              </w:rPr>
              <w:t>/</w:t>
            </w:r>
            <w:r>
              <w:rPr>
                <w:rFonts w:hint="eastAsia"/>
                <w:szCs w:val="21"/>
              </w:rPr>
              <w:t>使用两次报审。</w:t>
            </w:r>
          </w:p>
          <w:p>
            <w:pPr>
              <w:numPr>
                <w:ilvl w:val="0"/>
                <w:numId w:val="13"/>
              </w:numPr>
              <w:ind w:firstLine="340" w:firstLineChars="162"/>
              <w:rPr>
                <w:szCs w:val="21"/>
              </w:rPr>
            </w:pPr>
            <w:r>
              <w:rPr>
                <w:rFonts w:hint="eastAsia"/>
                <w:szCs w:val="21"/>
              </w:rPr>
              <w:t>大型设备开箱检查建设单位、设计单位代表应参加。</w:t>
            </w:r>
          </w:p>
          <w:p>
            <w:pPr>
              <w:numPr>
                <w:ilvl w:val="0"/>
                <w:numId w:val="13"/>
              </w:numPr>
              <w:ind w:firstLine="340" w:firstLineChars="162"/>
              <w:rPr>
                <w:rFonts w:ascii="Times New Roman"/>
                <w:spacing w:val="-6"/>
                <w:szCs w:val="21"/>
              </w:rPr>
            </w:pPr>
            <w:r>
              <w:rPr>
                <w:rFonts w:hint="eastAsia"/>
                <w:szCs w:val="21"/>
              </w:rPr>
              <w:t>本表一式二份，项目监理机构、施工单位各一份。</w:t>
            </w:r>
          </w:p>
        </w:tc>
      </w:tr>
    </w:tbl>
    <w:p>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hint="eastAsia" w:ascii="Times New Roman" w:eastAsia="隶书"/>
        </w:rPr>
        <w:t>第六版表                                              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B.1.4</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工程质量报验表</w:t>
      </w:r>
    </w:p>
    <w:p>
      <w:pPr>
        <w:spacing w:after="156" w:afterLines="50" w:line="420" w:lineRule="exact"/>
        <w:ind w:left="21" w:right="-115" w:rightChars="-55"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编号：</w:t>
      </w:r>
      <w:r>
        <w:rPr>
          <w:szCs w:val="21"/>
        </w:rPr>
        <w:t>B.1.4</w:t>
      </w:r>
      <w:r>
        <w:rPr>
          <w:szCs w:val="21"/>
          <w:u w:val="single"/>
        </w:rPr>
        <w:t xml:space="preserve">  </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93"/>
        <w:gridCol w:w="2184"/>
        <w:gridCol w:w="1985"/>
        <w:gridCol w:w="265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40" w:hRule="atLeast"/>
        </w:trPr>
        <w:tc>
          <w:tcPr>
            <w:tcW w:w="8718"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36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exact"/>
              <w:ind w:firstLine="420" w:firstLineChars="200"/>
              <w:jc w:val="left"/>
              <w:rPr>
                <w:rFonts w:hint="eastAsia" w:ascii="Times New Roman"/>
                <w:szCs w:val="21"/>
              </w:rPr>
            </w:pPr>
            <w:r>
              <w:rPr>
                <w:rFonts w:hint="eastAsia" w:ascii="Times New Roman"/>
                <w:szCs w:val="21"/>
              </w:rPr>
              <w:t>我方已完成</w:t>
            </w:r>
            <w:r>
              <w:rPr>
                <w:rFonts w:hint="eastAsia" w:ascii="Times New Roman"/>
                <w:szCs w:val="21"/>
                <w:u w:val="single"/>
              </w:rPr>
              <w:t xml:space="preserve">                                   </w:t>
            </w:r>
            <w:r>
              <w:rPr>
                <w:rFonts w:hint="eastAsia" w:ascii="Times New Roman"/>
                <w:szCs w:val="21"/>
              </w:rPr>
              <w:t>工作，经自检合格，请予以验收。</w:t>
            </w:r>
          </w:p>
          <w:p>
            <w:pPr>
              <w:spacing w:line="360" w:lineRule="exact"/>
              <w:ind w:firstLine="420" w:firstLineChars="200"/>
              <w:jc w:val="left"/>
              <w:rPr>
                <w:rFonts w:hint="eastAsia" w:ascii="Times New Roman"/>
                <w:szCs w:val="21"/>
              </w:rPr>
            </w:pPr>
            <w:r>
              <w:rPr>
                <w:rFonts w:hint="eastAsia" w:ascii="Times New Roman"/>
                <w:szCs w:val="21"/>
              </w:rPr>
              <w:t>附件：</w:t>
            </w:r>
          </w:p>
          <w:p>
            <w:pPr>
              <w:numPr>
                <w:ilvl w:val="0"/>
                <w:numId w:val="14"/>
              </w:numPr>
              <w:spacing w:line="360" w:lineRule="exact"/>
              <w:ind w:hanging="420"/>
              <w:jc w:val="left"/>
              <w:rPr>
                <w:rFonts w:hint="eastAsia" w:ascii="Times New Roman"/>
                <w:szCs w:val="21"/>
              </w:rPr>
            </w:pPr>
            <w:r>
              <w:rPr>
                <w:rFonts w:hint="eastAsia" w:ascii="Times New Roman"/>
                <w:szCs w:val="21"/>
              </w:rPr>
              <w:t xml:space="preserve"> 隐蔽工程质量检验资料</w:t>
            </w:r>
          </w:p>
          <w:p>
            <w:pPr>
              <w:numPr>
                <w:ilvl w:val="0"/>
                <w:numId w:val="14"/>
              </w:numPr>
              <w:spacing w:line="360" w:lineRule="exact"/>
              <w:ind w:hanging="420"/>
              <w:jc w:val="left"/>
              <w:rPr>
                <w:rFonts w:hint="eastAsia" w:ascii="Times New Roman"/>
                <w:szCs w:val="21"/>
              </w:rPr>
            </w:pPr>
            <w:r>
              <w:rPr>
                <w:rFonts w:hint="eastAsia" w:ascii="Times New Roman"/>
                <w:szCs w:val="21"/>
              </w:rPr>
              <w:t xml:space="preserve"> 检验批质量检验资料</w:t>
            </w:r>
          </w:p>
          <w:p>
            <w:pPr>
              <w:numPr>
                <w:ilvl w:val="0"/>
                <w:numId w:val="14"/>
              </w:numPr>
              <w:spacing w:line="360" w:lineRule="exact"/>
              <w:ind w:hanging="420"/>
              <w:jc w:val="left"/>
              <w:rPr>
                <w:rFonts w:hint="eastAsia" w:ascii="Times New Roman"/>
                <w:szCs w:val="21"/>
              </w:rPr>
            </w:pPr>
            <w:r>
              <w:rPr>
                <w:rFonts w:hint="eastAsia" w:ascii="Times New Roman"/>
                <w:szCs w:val="21"/>
              </w:rPr>
              <w:t xml:space="preserve"> 分项工程质量检验资料</w:t>
            </w:r>
          </w:p>
          <w:p>
            <w:pPr>
              <w:numPr>
                <w:ilvl w:val="0"/>
                <w:numId w:val="14"/>
              </w:numPr>
              <w:spacing w:line="360" w:lineRule="exact"/>
              <w:ind w:hanging="420"/>
              <w:jc w:val="left"/>
              <w:rPr>
                <w:rFonts w:hint="eastAsia" w:ascii="Times New Roman"/>
                <w:szCs w:val="21"/>
              </w:rPr>
            </w:pPr>
            <w:r>
              <w:rPr>
                <w:rFonts w:hint="eastAsia" w:ascii="Times New Roman"/>
                <w:szCs w:val="21"/>
              </w:rPr>
              <w:t xml:space="preserve"> 测量放线资料</w:t>
            </w:r>
          </w:p>
          <w:p>
            <w:pPr>
              <w:spacing w:line="420" w:lineRule="exact"/>
              <w:rPr>
                <w:rFonts w:hint="eastAsia" w:ascii="Times New Roman"/>
                <w:szCs w:val="21"/>
                <w:u w:val="single"/>
              </w:rPr>
            </w:pPr>
            <w:r>
              <w:rPr>
                <w:rFonts w:hint="eastAsia" w:ascii="Times New Roman"/>
                <w:szCs w:val="21"/>
              </w:rPr>
              <w:t xml:space="preserve">                            </w:t>
            </w:r>
            <w:r>
              <w:rPr>
                <w:rFonts w:ascii="Times New Roman"/>
                <w:szCs w:val="21"/>
              </w:rPr>
              <w:t> </w:t>
            </w:r>
            <w:r>
              <w:rPr>
                <w:rFonts w:hint="eastAsia" w:ascii="Times New Roman"/>
                <w:szCs w:val="21"/>
              </w:rPr>
              <w:t xml:space="preserve">              施工项目经理部（章）：</w:t>
            </w:r>
            <w:r>
              <w:rPr>
                <w:rFonts w:hint="eastAsia" w:ascii="Times New Roman"/>
                <w:szCs w:val="21"/>
                <w:u w:val="single"/>
              </w:rPr>
              <w:t xml:space="preserve">　　　　       </w:t>
            </w:r>
          </w:p>
          <w:p>
            <w:pPr>
              <w:spacing w:line="420" w:lineRule="exact"/>
              <w:ind w:firstLine="482"/>
              <w:jc w:val="left"/>
              <w:rPr>
                <w:rFonts w:hint="eastAsia" w:ascii="Times New Roman"/>
                <w:szCs w:val="21"/>
                <w:u w:val="single"/>
              </w:rPr>
            </w:pPr>
            <w:r>
              <w:rPr>
                <w:rFonts w:hint="eastAsia" w:ascii="Times New Roman"/>
                <w:szCs w:val="21"/>
              </w:rPr>
              <w:t>　                                    项目经理（签字）：</w:t>
            </w:r>
            <w:r>
              <w:rPr>
                <w:rFonts w:hint="eastAsia" w:ascii="Times New Roman"/>
                <w:szCs w:val="21"/>
                <w:u w:val="single"/>
              </w:rPr>
              <w:t>　　　　　       　</w:t>
            </w:r>
          </w:p>
          <w:p>
            <w:pPr>
              <w:spacing w:line="420" w:lineRule="exact"/>
              <w:ind w:right="-124" w:firstLine="482"/>
              <w:rPr>
                <w:rFonts w:ascii="Times New Roman"/>
                <w:szCs w:val="21"/>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6" w:hRule="atLeast"/>
        </w:trPr>
        <w:tc>
          <w:tcPr>
            <w:tcW w:w="1893" w:type="dxa"/>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pacing w:val="-8"/>
                <w:szCs w:val="21"/>
              </w:rPr>
            </w:pPr>
            <w:r>
              <w:rPr>
                <w:rFonts w:hint="eastAsia" w:ascii="Times New Roman"/>
                <w:spacing w:val="-8"/>
                <w:szCs w:val="21"/>
              </w:rPr>
              <w:t>项目监理机构</w:t>
            </w:r>
          </w:p>
          <w:p>
            <w:pPr>
              <w:ind w:left="-105" w:leftChars="-50" w:right="-105" w:rightChars="-50"/>
              <w:jc w:val="center"/>
              <w:rPr>
                <w:rFonts w:ascii="Times New Roman"/>
                <w:szCs w:val="21"/>
              </w:rPr>
            </w:pPr>
            <w:r>
              <w:rPr>
                <w:rFonts w:hint="eastAsia" w:ascii="Times New Roman"/>
                <w:spacing w:val="-8"/>
                <w:szCs w:val="21"/>
              </w:rPr>
              <w:t>签收人姓名及时间</w:t>
            </w:r>
          </w:p>
        </w:tc>
        <w:tc>
          <w:tcPr>
            <w:tcW w:w="2184"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施工项目经理部</w:t>
            </w:r>
          </w:p>
          <w:p>
            <w:pPr>
              <w:ind w:left="-105" w:leftChars="-50" w:right="-105" w:rightChars="-50"/>
              <w:jc w:val="center"/>
              <w:rPr>
                <w:rFonts w:ascii="Times New Roman"/>
                <w:szCs w:val="21"/>
              </w:rPr>
            </w:pPr>
            <w:r>
              <w:rPr>
                <w:rFonts w:hint="eastAsia" w:ascii="Times New Roman"/>
                <w:szCs w:val="21"/>
              </w:rPr>
              <w:t>签收人姓名及时间</w:t>
            </w:r>
          </w:p>
        </w:tc>
        <w:tc>
          <w:tcPr>
            <w:tcW w:w="2656" w:type="dxa"/>
            <w:tcBorders>
              <w:top w:val="single" w:color="auto" w:sz="4" w:space="0"/>
              <w:left w:val="single" w:color="auto" w:sz="4" w:space="0"/>
              <w:bottom w:val="single" w:color="auto" w:sz="4" w:space="0"/>
              <w:right w:val="single" w:color="auto" w:sz="8" w:space="0"/>
            </w:tcBorders>
            <w:noWrap w:val="0"/>
            <w:vAlign w:val="center"/>
          </w:tcPr>
          <w:p>
            <w:pPr>
              <w:ind w:left="-105" w:leftChars="-50" w:right="-105" w:rightChars="-5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28" w:hRule="atLeast"/>
        </w:trPr>
        <w:tc>
          <w:tcPr>
            <w:tcW w:w="8718" w:type="dxa"/>
            <w:gridSpan w:val="4"/>
            <w:tcBorders>
              <w:top w:val="single" w:color="auto" w:sz="4" w:space="0"/>
              <w:left w:val="single" w:color="auto" w:sz="8" w:space="0"/>
              <w:bottom w:val="single" w:color="auto" w:sz="4" w:space="0"/>
              <w:right w:val="single" w:color="auto" w:sz="8" w:space="0"/>
            </w:tcBorders>
            <w:noWrap w:val="0"/>
            <w:vAlign w:val="center"/>
          </w:tcPr>
          <w:p>
            <w:pPr>
              <w:spacing w:line="360" w:lineRule="auto"/>
              <w:rPr>
                <w:rFonts w:ascii="Times New Roman"/>
                <w:szCs w:val="21"/>
              </w:rPr>
            </w:pPr>
            <w:r>
              <w:rPr>
                <w:rFonts w:hint="eastAsia" w:ascii="Times New Roman"/>
                <w:szCs w:val="21"/>
              </w:rPr>
              <w:t>验收情况：</w:t>
            </w:r>
          </w:p>
          <w:p>
            <w:pPr>
              <w:spacing w:line="360" w:lineRule="auto"/>
              <w:ind w:firstLine="420" w:firstLineChars="200"/>
              <w:rPr>
                <w:rFonts w:hint="eastAsia" w:ascii="Times New Roman"/>
                <w:szCs w:val="21"/>
              </w:rPr>
            </w:pPr>
            <w:r>
              <w:rPr>
                <w:rFonts w:hint="eastAsia" w:ascii="Times New Roman"/>
                <w:szCs w:val="21"/>
              </w:rPr>
              <w:t>收到施工单位报验资料共</w:t>
            </w:r>
            <w:r>
              <w:rPr>
                <w:rFonts w:hint="eastAsia" w:ascii="Times New Roman"/>
                <w:szCs w:val="21"/>
                <w:u w:val="single"/>
              </w:rPr>
              <w:t xml:space="preserve">     </w:t>
            </w:r>
            <w:r>
              <w:rPr>
                <w:rFonts w:hint="eastAsia" w:ascii="Times New Roman"/>
                <w:szCs w:val="21"/>
              </w:rPr>
              <w:t>页，该项报验内容系第</w:t>
            </w:r>
            <w:r>
              <w:rPr>
                <w:rFonts w:hint="eastAsia" w:ascii="Times New Roman"/>
                <w:szCs w:val="21"/>
                <w:u w:val="single"/>
              </w:rPr>
              <w:t xml:space="preserve">    </w:t>
            </w:r>
            <w:r>
              <w:rPr>
                <w:rFonts w:hint="eastAsia" w:ascii="Times New Roman"/>
                <w:szCs w:val="21"/>
              </w:rPr>
              <w:t>次报验。</w:t>
            </w:r>
          </w:p>
          <w:p>
            <w:pPr>
              <w:rPr>
                <w:rFonts w:hint="eastAsia" w:ascii="Times New Roman"/>
                <w:szCs w:val="21"/>
              </w:rPr>
            </w:pPr>
          </w:p>
          <w:p>
            <w:pPr>
              <w:rPr>
                <w:rFonts w:hint="eastAsia" w:ascii="Times New Roman"/>
                <w:szCs w:val="21"/>
              </w:rPr>
            </w:pPr>
          </w:p>
          <w:p>
            <w:pPr>
              <w:rPr>
                <w:rFonts w:hint="eastAsia" w:ascii="Times New Roman"/>
                <w:szCs w:val="21"/>
              </w:rPr>
            </w:pPr>
            <w:r>
              <w:rPr>
                <w:rFonts w:hint="eastAsia" w:ascii="Times New Roman"/>
                <w:szCs w:val="21"/>
              </w:rPr>
              <w:t xml:space="preserve">附件：□ 抽查记录  </w:t>
            </w:r>
          </w:p>
          <w:p>
            <w:pPr>
              <w:rPr>
                <w:rFonts w:hint="eastAsia" w:ascii="Times New Roman"/>
                <w:szCs w:val="21"/>
              </w:rPr>
            </w:pPr>
          </w:p>
          <w:p>
            <w:pPr>
              <w:rPr>
                <w:rFonts w:hint="eastAsia" w:ascii="Times New Roman"/>
                <w:szCs w:val="21"/>
                <w:u w:val="single"/>
              </w:rPr>
            </w:pPr>
            <w:r>
              <w:rPr>
                <w:rFonts w:hint="eastAsia" w:ascii="Times New Roman"/>
                <w:szCs w:val="21"/>
              </w:rPr>
              <w:t xml:space="preserve">                          </w:t>
            </w:r>
          </w:p>
          <w:p>
            <w:pPr>
              <w:spacing w:line="360" w:lineRule="auto"/>
              <w:ind w:right="-124"/>
              <w:rPr>
                <w:rFonts w:hint="eastAsia" w:ascii="Times New Roman"/>
                <w:szCs w:val="21"/>
              </w:rPr>
            </w:pPr>
            <w:r>
              <w:rPr>
                <w:rFonts w:ascii="Times New Roman"/>
                <w:szCs w:val="21"/>
              </w:rPr>
              <w:t> </w:t>
            </w:r>
            <w:r>
              <w:rPr>
                <w:rFonts w:hint="eastAsia" w:ascii="Times New Roman"/>
                <w:szCs w:val="21"/>
              </w:rPr>
              <w:t xml:space="preserve">                                                       检查人（签字）：</w:t>
            </w:r>
            <w:r>
              <w:rPr>
                <w:rFonts w:hint="eastAsia" w:ascii="Times New Roman"/>
                <w:szCs w:val="21"/>
                <w:u w:val="single"/>
              </w:rPr>
              <w:t xml:space="preserve">          </w:t>
            </w:r>
            <w:r>
              <w:rPr>
                <w:rFonts w:hint="eastAsia" w:ascii="Times New Roman"/>
                <w:szCs w:val="21"/>
              </w:rPr>
              <w:t xml:space="preserve">  </w:t>
            </w:r>
          </w:p>
          <w:p>
            <w:pPr>
              <w:spacing w:line="360" w:lineRule="auto"/>
              <w:ind w:right="-124" w:firstLine="3360" w:firstLineChars="1600"/>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 xml:space="preserve">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12" w:hRule="atLeast"/>
        </w:trPr>
        <w:tc>
          <w:tcPr>
            <w:tcW w:w="8718" w:type="dxa"/>
            <w:gridSpan w:val="4"/>
            <w:tcBorders>
              <w:top w:val="single" w:color="auto" w:sz="4" w:space="0"/>
              <w:left w:val="single" w:color="auto" w:sz="8" w:space="0"/>
              <w:bottom w:val="single" w:color="auto" w:sz="4" w:space="0"/>
              <w:right w:val="single" w:color="auto" w:sz="8" w:space="0"/>
            </w:tcBorders>
            <w:noWrap w:val="0"/>
            <w:vAlign w:val="top"/>
          </w:tcPr>
          <w:p>
            <w:pPr>
              <w:spacing w:line="360" w:lineRule="exact"/>
              <w:rPr>
                <w:rFonts w:ascii="Times New Roman"/>
                <w:szCs w:val="21"/>
              </w:rPr>
            </w:pPr>
            <w:r>
              <w:rPr>
                <w:rFonts w:hint="eastAsia" w:ascii="Times New Roman"/>
                <w:szCs w:val="21"/>
              </w:rPr>
              <w:t>验收意见：</w:t>
            </w:r>
          </w:p>
          <w:p>
            <w:pPr>
              <w:ind w:left="840"/>
              <w:rPr>
                <w:rFonts w:hint="eastAsia" w:ascii="Times New Roman"/>
                <w:szCs w:val="21"/>
              </w:rPr>
            </w:pPr>
          </w:p>
          <w:p>
            <w:pPr>
              <w:spacing w:line="360" w:lineRule="exact"/>
              <w:rPr>
                <w:rFonts w:hint="eastAsia" w:ascii="Times New Roman"/>
                <w:szCs w:val="21"/>
              </w:rPr>
            </w:pPr>
            <w:r>
              <w:rPr>
                <w:rFonts w:hint="eastAsia" w:ascii="Times New Roman"/>
                <w:szCs w:val="21"/>
              </w:rPr>
              <w:t xml:space="preserve">                   </w:t>
            </w:r>
          </w:p>
          <w:p>
            <w:pPr>
              <w:spacing w:line="420" w:lineRule="exact"/>
              <w:ind w:firstLine="3570" w:firstLineChars="1700"/>
              <w:rPr>
                <w:rFonts w:hint="eastAsia" w:ascii="Times New Roman"/>
                <w:szCs w:val="21"/>
              </w:rPr>
            </w:pPr>
            <w:r>
              <w:rPr>
                <w:rFonts w:hint="eastAsia" w:ascii="Times New Roman"/>
                <w:szCs w:val="21"/>
              </w:rPr>
              <w:t xml:space="preserve">        项目监理机构（章）：</w:t>
            </w:r>
            <w:r>
              <w:rPr>
                <w:rFonts w:hint="eastAsia" w:ascii="Times New Roman"/>
                <w:szCs w:val="21"/>
                <w:u w:val="single"/>
              </w:rPr>
              <w:t xml:space="preserve">                   </w:t>
            </w:r>
          </w:p>
          <w:p>
            <w:pPr>
              <w:spacing w:line="420" w:lineRule="exact"/>
              <w:rPr>
                <w:rFonts w:hint="eastAsia" w:ascii="Times New Roman"/>
                <w:szCs w:val="21"/>
              </w:rPr>
            </w:pPr>
            <w:r>
              <w:rPr>
                <w:rFonts w:hint="eastAsia" w:ascii="Times New Roman"/>
                <w:szCs w:val="21"/>
              </w:rPr>
              <w:t xml:space="preserve">                                          专业监理工程师（签字）：</w:t>
            </w:r>
            <w:r>
              <w:rPr>
                <w:rFonts w:hint="eastAsia" w:ascii="Times New Roman"/>
                <w:szCs w:val="21"/>
                <w:u w:val="single"/>
              </w:rPr>
              <w:t xml:space="preserve">               </w:t>
            </w:r>
          </w:p>
          <w:p>
            <w:pPr>
              <w:spacing w:line="420" w:lineRule="exact"/>
              <w:rPr>
                <w:rFonts w:ascii="Times New Roman"/>
                <w:szCs w:val="21"/>
                <w:u w:val="single"/>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6" w:hRule="atLeast"/>
        </w:trPr>
        <w:tc>
          <w:tcPr>
            <w:tcW w:w="8718" w:type="dxa"/>
            <w:gridSpan w:val="4"/>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ascii="Times New Roman"/>
                <w:szCs w:val="21"/>
              </w:rPr>
              <w:t>注：</w:t>
            </w:r>
            <w:r>
              <w:rPr>
                <w:szCs w:val="21"/>
              </w:rPr>
              <w:t>1</w:t>
            </w:r>
            <w:r>
              <w:rPr>
                <w:rFonts w:hint="eastAsia"/>
                <w:szCs w:val="21"/>
              </w:rPr>
              <w:t>、本报验表分为隐蔽工程质量报验（</w:t>
            </w:r>
            <w:r>
              <w:rPr>
                <w:szCs w:val="21"/>
              </w:rPr>
              <w:t>B.1.41</w:t>
            </w:r>
            <w:r>
              <w:rPr>
                <w:rFonts w:hint="eastAsia"/>
                <w:szCs w:val="21"/>
              </w:rPr>
              <w:t>）、检验批质量报验（</w:t>
            </w:r>
            <w:r>
              <w:rPr>
                <w:szCs w:val="21"/>
              </w:rPr>
              <w:t>B.1.42</w:t>
            </w:r>
            <w:r>
              <w:rPr>
                <w:rFonts w:hint="eastAsia"/>
                <w:szCs w:val="21"/>
              </w:rPr>
              <w:t>）、分项工程质量报验（</w:t>
            </w:r>
            <w:r>
              <w:rPr>
                <w:szCs w:val="21"/>
              </w:rPr>
              <w:t>B.1.43</w:t>
            </w:r>
            <w:r>
              <w:rPr>
                <w:rFonts w:hint="eastAsia"/>
                <w:szCs w:val="21"/>
              </w:rPr>
              <w:t>）、测量放线报验（</w:t>
            </w:r>
            <w:r>
              <w:rPr>
                <w:szCs w:val="21"/>
              </w:rPr>
              <w:t>B.1.44</w:t>
            </w:r>
            <w:r>
              <w:rPr>
                <w:rFonts w:hint="eastAsia"/>
                <w:szCs w:val="21"/>
              </w:rPr>
              <w:t>）及其他报验（</w:t>
            </w:r>
            <w:r>
              <w:rPr>
                <w:szCs w:val="21"/>
              </w:rPr>
              <w:t xml:space="preserve">B.1.4 </w:t>
            </w:r>
            <w:r>
              <w:rPr>
                <w:rFonts w:hint="eastAsia"/>
                <w:szCs w:val="21"/>
              </w:rPr>
              <w:t>）。</w:t>
            </w:r>
          </w:p>
          <w:p>
            <w:pPr>
              <w:ind w:firstLine="420" w:firstLineChars="200"/>
              <w:rPr>
                <w:szCs w:val="21"/>
              </w:rPr>
            </w:pPr>
            <w:r>
              <w:rPr>
                <w:szCs w:val="21"/>
              </w:rPr>
              <w:t>2</w:t>
            </w:r>
            <w:r>
              <w:rPr>
                <w:rFonts w:hint="eastAsia"/>
                <w:szCs w:val="21"/>
              </w:rPr>
              <w:t>、本表一式二份，项目监理机构、施工单位各一份。</w:t>
            </w:r>
          </w:p>
        </w:tc>
      </w:tr>
    </w:tbl>
    <w:p>
      <w:pPr>
        <w:rPr>
          <w:rFonts w:ascii="Times New Roman" w:eastAsia="隶书"/>
        </w:rPr>
      </w:pPr>
      <w:r>
        <w:rPr>
          <w:rFonts w:hint="eastAsia" w:ascii="Times New Roman" w:eastAsia="隶书"/>
        </w:rPr>
        <w:t>第六版表                                              江苏省住房和城乡建设厅监制</w:t>
      </w:r>
    </w:p>
    <w:p>
      <w:pPr>
        <w:widowControl/>
        <w:jc w:val="left"/>
        <w:rPr>
          <w:rFonts w:ascii="Times New Roman" w:eastAsia="黑体"/>
          <w:kern w:val="44"/>
          <w:sz w:val="44"/>
          <w:szCs w:val="28"/>
          <w14:shadow w14:blurRad="50800" w14:dist="38100" w14:dir="2700000" w14:sx="100000" w14:sy="100000" w14:kx="0" w14:ky="0" w14:algn="tl">
            <w14:srgbClr w14:val="000000">
              <w14:alpha w14:val="60000"/>
            </w14:srgbClr>
          </w14:shadow>
        </w:rPr>
        <w:sectPr>
          <w:pgSz w:w="11906" w:h="16838"/>
          <w:pgMar w:top="1021" w:right="1701" w:bottom="1701" w:left="1701" w:header="851" w:footer="992" w:gutter="0"/>
          <w:cols w:space="720" w:num="1"/>
          <w:docGrid w:type="lines" w:linePitch="312" w:charSpace="0"/>
        </w:sectPr>
      </w:pPr>
    </w:p>
    <w:p>
      <w:pPr>
        <w:spacing w:line="380" w:lineRule="exact"/>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B.1.5</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混凝土浇筑报审表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编号：</w:t>
      </w:r>
      <w:r>
        <w:rPr>
          <w:szCs w:val="21"/>
        </w:rPr>
        <w:t>B.1.5</w:t>
      </w:r>
      <w:r>
        <w:rPr>
          <w:rFonts w:hint="eastAsia"/>
          <w:szCs w:val="21"/>
        </w:rPr>
        <w:t>－</w:t>
      </w:r>
      <w:r>
        <w:rPr>
          <w:rFonts w:hint="eastAsia"/>
          <w:szCs w:val="21"/>
          <w:u w:val="single"/>
        </w:rPr>
        <w:t>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47"/>
        <w:gridCol w:w="2859"/>
        <w:gridCol w:w="1798"/>
        <w:gridCol w:w="254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63" w:hRule="atLeast"/>
          <w:jc w:val="center"/>
        </w:trPr>
        <w:tc>
          <w:tcPr>
            <w:tcW w:w="8748"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auto"/>
              <w:ind w:firstLine="420" w:firstLineChars="200"/>
              <w:rPr>
                <w:rFonts w:hint="eastAsia" w:ascii="Times New Roman"/>
                <w:szCs w:val="21"/>
              </w:rPr>
            </w:pPr>
            <w:r>
              <w:rPr>
                <w:rFonts w:hint="eastAsia" w:ascii="Times New Roman"/>
                <w:szCs w:val="21"/>
              </w:rPr>
              <w:t>我方已完成</w:t>
            </w:r>
            <w:r>
              <w:rPr>
                <w:rFonts w:hint="eastAsia" w:ascii="Times New Roman"/>
                <w:szCs w:val="21"/>
                <w:u w:val="single"/>
              </w:rPr>
              <w:t>　　　　　　　　　　　　　　　　　</w:t>
            </w:r>
            <w:r>
              <w:rPr>
                <w:rFonts w:hint="eastAsia" w:ascii="Times New Roman"/>
                <w:szCs w:val="21"/>
              </w:rPr>
              <w:t>部位的钢筋、模板、水电安装和预埋件等工作，并已经项目监理机构验收合格。混凝土浇筑准备工作已就绪，申请于</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p>
            <w:pPr>
              <w:spacing w:line="360" w:lineRule="auto"/>
              <w:rPr>
                <w:rFonts w:hint="eastAsia" w:ascii="Times New Roman"/>
                <w:szCs w:val="21"/>
              </w:rPr>
            </w:pPr>
            <w:r>
              <w:rPr>
                <w:rFonts w:hint="eastAsia" w:ascii="Times New Roman"/>
                <w:szCs w:val="21"/>
                <w:u w:val="single"/>
              </w:rPr>
              <w:t xml:space="preserve">　   </w:t>
            </w:r>
            <w:r>
              <w:rPr>
                <w:rFonts w:hint="eastAsia" w:ascii="Times New Roman"/>
                <w:szCs w:val="21"/>
              </w:rPr>
              <w:t>时至</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r>
              <w:rPr>
                <w:rFonts w:hint="eastAsia" w:ascii="Times New Roman"/>
                <w:szCs w:val="21"/>
                <w:u w:val="single"/>
              </w:rPr>
              <w:t xml:space="preserve">　  </w:t>
            </w:r>
            <w:r>
              <w:rPr>
                <w:rFonts w:hint="eastAsia" w:ascii="Times New Roman"/>
                <w:szCs w:val="21"/>
              </w:rPr>
              <w:t>时浇筑混凝土，商品混凝土供应商为</w:t>
            </w:r>
            <w:r>
              <w:rPr>
                <w:rFonts w:hint="eastAsia" w:ascii="Times New Roman"/>
                <w:szCs w:val="21"/>
                <w:u w:val="single"/>
              </w:rPr>
              <w:t xml:space="preserve">            </w:t>
            </w:r>
            <w:r>
              <w:rPr>
                <w:rFonts w:hint="eastAsia" w:ascii="Times New Roman"/>
                <w:szCs w:val="21"/>
              </w:rPr>
              <w:t>，混凝土强度等级为</w:t>
            </w:r>
            <w:r>
              <w:rPr>
                <w:rFonts w:hint="eastAsia" w:ascii="Times New Roman"/>
                <w:szCs w:val="21"/>
                <w:u w:val="single"/>
              </w:rPr>
              <w:t xml:space="preserve">        </w:t>
            </w:r>
            <w:r>
              <w:rPr>
                <w:rFonts w:hint="eastAsia" w:ascii="Times New Roman"/>
                <w:szCs w:val="21"/>
              </w:rPr>
              <w:t>，预计浇筑量为</w:t>
            </w:r>
            <w:r>
              <w:rPr>
                <w:rFonts w:hint="eastAsia" w:ascii="Times New Roman"/>
                <w:szCs w:val="21"/>
                <w:u w:val="single"/>
              </w:rPr>
              <w:t xml:space="preserve">            </w:t>
            </w:r>
            <w:r>
              <w:rPr>
                <w:rFonts w:hint="eastAsia" w:ascii="Times New Roman"/>
                <w:szCs w:val="21"/>
              </w:rPr>
              <w:t>，施工值班负责人为</w:t>
            </w:r>
            <w:r>
              <w:rPr>
                <w:rFonts w:hint="eastAsia" w:ascii="Times New Roman"/>
                <w:szCs w:val="21"/>
                <w:u w:val="single"/>
              </w:rPr>
              <w:t xml:space="preserve">            </w:t>
            </w:r>
            <w:r>
              <w:rPr>
                <w:rFonts w:hint="eastAsia" w:ascii="Times New Roman"/>
                <w:szCs w:val="21"/>
              </w:rPr>
              <w:t>，请予以批准。</w:t>
            </w:r>
          </w:p>
          <w:p>
            <w:pPr>
              <w:rPr>
                <w:rFonts w:hint="eastAsia" w:ascii="Times New Roman"/>
                <w:szCs w:val="21"/>
              </w:rPr>
            </w:pPr>
          </w:p>
          <w:p>
            <w:pPr>
              <w:rPr>
                <w:rFonts w:hint="eastAsia" w:ascii="Times New Roman"/>
                <w:szCs w:val="21"/>
              </w:rPr>
            </w:pPr>
          </w:p>
          <w:p>
            <w:pPr>
              <w:spacing w:line="260" w:lineRule="exact"/>
              <w:rPr>
                <w:rFonts w:hint="eastAsia" w:ascii="Times New Roman"/>
                <w:szCs w:val="21"/>
                <w:u w:val="single"/>
              </w:rPr>
            </w:pPr>
            <w:r>
              <w:rPr>
                <w:rFonts w:hint="eastAsia" w:ascii="Times New Roman"/>
                <w:szCs w:val="21"/>
              </w:rPr>
              <w:t>　　　　　　　　　　　                    施工项目经理部（章）：</w:t>
            </w:r>
            <w:r>
              <w:rPr>
                <w:rFonts w:hint="eastAsia" w:ascii="Times New Roman"/>
                <w:szCs w:val="21"/>
                <w:u w:val="single"/>
              </w:rPr>
              <w:t>　　       　　</w:t>
            </w:r>
          </w:p>
          <w:p>
            <w:pPr>
              <w:spacing w:before="120" w:after="120" w:line="260" w:lineRule="exact"/>
              <w:rPr>
                <w:rFonts w:hint="eastAsia" w:ascii="Times New Roman"/>
                <w:szCs w:val="21"/>
              </w:rPr>
            </w:pPr>
            <w:r>
              <w:rPr>
                <w:rFonts w:hint="eastAsia" w:ascii="Times New Roman"/>
                <w:szCs w:val="21"/>
              </w:rPr>
              <w:t>　　　　　　　　　                        项 目 经 理（签字）</w:t>
            </w:r>
            <w:r>
              <w:rPr>
                <w:rFonts w:hint="eastAsia" w:ascii="Times New Roman"/>
                <w:szCs w:val="21"/>
                <w:u w:val="single"/>
              </w:rPr>
              <w:t>　　　　    　　</w:t>
            </w:r>
            <w:r>
              <w:rPr>
                <w:rFonts w:hint="eastAsia" w:ascii="Times New Roman"/>
                <w:szCs w:val="21"/>
              </w:rPr>
              <w:t xml:space="preserve"> </w:t>
            </w:r>
          </w:p>
          <w:p>
            <w:pPr>
              <w:wordWrap w:val="0"/>
              <w:spacing w:before="120" w:after="120"/>
              <w:ind w:firstLine="5728" w:firstLineChars="2728"/>
              <w:jc w:val="right"/>
              <w:rPr>
                <w:rFonts w:ascii="Times New Roman"/>
                <w:szCs w:val="21"/>
                <w:u w:val="single"/>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2" w:hRule="exact"/>
          <w:jc w:val="center"/>
        </w:trPr>
        <w:tc>
          <w:tcPr>
            <w:tcW w:w="1547" w:type="dxa"/>
            <w:tcBorders>
              <w:top w:val="single" w:color="auto" w:sz="4" w:space="0"/>
              <w:left w:val="single" w:color="auto" w:sz="8" w:space="0"/>
              <w:bottom w:val="single" w:color="auto" w:sz="4" w:space="0"/>
              <w:right w:val="single" w:color="auto" w:sz="4" w:space="0"/>
            </w:tcBorders>
            <w:noWrap w:val="0"/>
            <w:vAlign w:val="center"/>
          </w:tcPr>
          <w:p>
            <w:pPr>
              <w:spacing w:line="240" w:lineRule="exact"/>
              <w:ind w:left="-105" w:leftChars="-50" w:right="-105" w:rightChars="-50"/>
              <w:jc w:val="center"/>
              <w:rPr>
                <w:rFonts w:ascii="Times New Roman"/>
                <w:szCs w:val="21"/>
              </w:rPr>
            </w:pPr>
            <w:r>
              <w:rPr>
                <w:rFonts w:hint="eastAsia" w:ascii="Times New Roman"/>
                <w:szCs w:val="21"/>
              </w:rPr>
              <w:t>项目监理机构签收人姓名及时间</w:t>
            </w:r>
          </w:p>
        </w:tc>
        <w:tc>
          <w:tcPr>
            <w:tcW w:w="2859"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left="-105" w:leftChars="-50" w:right="-105" w:rightChars="-50"/>
              <w:jc w:val="center"/>
              <w:rPr>
                <w:rFonts w:ascii="Times New Roman"/>
                <w:szCs w:val="21"/>
              </w:rPr>
            </w:pPr>
          </w:p>
        </w:tc>
        <w:tc>
          <w:tcPr>
            <w:tcW w:w="1798" w:type="dxa"/>
            <w:tcBorders>
              <w:top w:val="single" w:color="auto" w:sz="4" w:space="0"/>
              <w:left w:val="single" w:color="auto" w:sz="4" w:space="0"/>
              <w:bottom w:val="single" w:color="auto" w:sz="4" w:space="0"/>
              <w:right w:val="single" w:color="auto" w:sz="4" w:space="0"/>
            </w:tcBorders>
            <w:noWrap w:val="0"/>
            <w:vAlign w:val="center"/>
          </w:tcPr>
          <w:p>
            <w:pPr>
              <w:spacing w:line="240" w:lineRule="exact"/>
              <w:ind w:left="-105" w:leftChars="-50" w:right="-105" w:rightChars="-50"/>
              <w:jc w:val="center"/>
              <w:rPr>
                <w:rFonts w:ascii="Times New Roman"/>
                <w:szCs w:val="21"/>
              </w:rPr>
            </w:pPr>
            <w:r>
              <w:rPr>
                <w:rFonts w:hint="eastAsia" w:ascii="Times New Roman"/>
                <w:szCs w:val="21"/>
              </w:rPr>
              <w:t>施工项目经理部签收人姓名及时间</w:t>
            </w:r>
          </w:p>
        </w:tc>
        <w:tc>
          <w:tcPr>
            <w:tcW w:w="2544" w:type="dxa"/>
            <w:tcBorders>
              <w:top w:val="single" w:color="auto" w:sz="4" w:space="0"/>
              <w:left w:val="single" w:color="auto" w:sz="4" w:space="0"/>
              <w:bottom w:val="single" w:color="auto" w:sz="4" w:space="0"/>
              <w:right w:val="single" w:color="auto" w:sz="8" w:space="0"/>
            </w:tcBorders>
            <w:noWrap w:val="0"/>
            <w:vAlign w:val="top"/>
          </w:tcPr>
          <w:p>
            <w:pPr>
              <w:spacing w:line="240" w:lineRule="exact"/>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170" w:hRule="atLeast"/>
          <w:jc w:val="center"/>
        </w:trPr>
        <w:tc>
          <w:tcPr>
            <w:tcW w:w="8748" w:type="dxa"/>
            <w:gridSpan w:val="4"/>
            <w:tcBorders>
              <w:top w:val="single" w:color="auto" w:sz="4" w:space="0"/>
              <w:left w:val="single" w:color="auto" w:sz="8" w:space="0"/>
              <w:bottom w:val="single" w:color="auto" w:sz="4" w:space="0"/>
              <w:right w:val="single" w:color="auto" w:sz="8" w:space="0"/>
            </w:tcBorders>
            <w:noWrap w:val="0"/>
            <w:vAlign w:val="top"/>
          </w:tcPr>
          <w:p>
            <w:pPr>
              <w:spacing w:after="120"/>
              <w:rPr>
                <w:rFonts w:ascii="Times New Roman"/>
                <w:szCs w:val="21"/>
              </w:rPr>
            </w:pPr>
            <w:r>
              <w:rPr>
                <w:rFonts w:hint="eastAsia" w:ascii="Times New Roman"/>
                <w:szCs w:val="21"/>
              </w:rPr>
              <w:t>审查意见：</w:t>
            </w:r>
          </w:p>
          <w:p>
            <w:pPr>
              <w:spacing w:line="160" w:lineRule="exact"/>
              <w:rPr>
                <w:rFonts w:hint="eastAsia" w:ascii="Times New Roman"/>
                <w:szCs w:val="21"/>
                <w:u w:val="single"/>
              </w:rPr>
            </w:pPr>
          </w:p>
          <w:p>
            <w:pPr>
              <w:rPr>
                <w:rFonts w:hint="eastAsia" w:ascii="Times New Roman"/>
                <w:szCs w:val="21"/>
                <w:u w:val="single"/>
              </w:rPr>
            </w:pPr>
          </w:p>
          <w:p>
            <w:pPr>
              <w:spacing w:before="156" w:beforeLines="50"/>
              <w:rPr>
                <w:rFonts w:hint="eastAsia" w:ascii="Times New Roman"/>
                <w:szCs w:val="21"/>
              </w:rPr>
            </w:pPr>
            <w:r>
              <w:rPr>
                <w:rFonts w:hint="eastAsia" w:ascii="Times New Roman"/>
                <w:szCs w:val="21"/>
              </w:rPr>
              <w:t>　                              专业监理工程师（土建）（签字）：</w:t>
            </w:r>
            <w:r>
              <w:rPr>
                <w:rFonts w:hint="eastAsia" w:ascii="Times New Roman"/>
                <w:szCs w:val="21"/>
                <w:u w:val="single"/>
              </w:rPr>
              <w:t>　　 　　　　　　</w:t>
            </w:r>
            <w:r>
              <w:rPr>
                <w:rFonts w:hint="eastAsia" w:ascii="Times New Roman"/>
                <w:szCs w:val="21"/>
              </w:rPr>
              <w:t xml:space="preserve"> </w:t>
            </w:r>
          </w:p>
          <w:p>
            <w:pPr>
              <w:spacing w:before="156" w:beforeLines="50"/>
              <w:jc w:val="right"/>
              <w:rPr>
                <w:rFonts w:hint="eastAsia" w:ascii="Times New Roman"/>
                <w:bCs/>
                <w:szCs w:val="21"/>
                <w:u w:val="single"/>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p>
            <w:pPr>
              <w:spacing w:before="156" w:beforeLines="50"/>
              <w:ind w:firstLine="420" w:firstLineChars="200"/>
              <w:rPr>
                <w:rFonts w:hint="eastAsia" w:ascii="Times New Roman"/>
                <w:szCs w:val="21"/>
              </w:rPr>
            </w:pPr>
            <w:r>
              <w:rPr>
                <w:rFonts w:hint="eastAsia" w:ascii="Times New Roman"/>
                <w:szCs w:val="21"/>
              </w:rPr>
              <w:t xml:space="preserve">                            专业监理工程师（安装）（签字）：</w:t>
            </w:r>
            <w:r>
              <w:rPr>
                <w:rFonts w:hint="eastAsia" w:ascii="Times New Roman"/>
                <w:szCs w:val="21"/>
                <w:u w:val="single"/>
              </w:rPr>
              <w:t>　　　　　 　　　</w:t>
            </w:r>
            <w:r>
              <w:rPr>
                <w:rFonts w:hint="eastAsia" w:ascii="Times New Roman"/>
                <w:szCs w:val="21"/>
              </w:rPr>
              <w:t xml:space="preserve"> </w:t>
            </w:r>
          </w:p>
          <w:p>
            <w:pPr>
              <w:spacing w:before="156" w:beforeLines="50"/>
              <w:ind w:firstLine="420" w:firstLineChars="200"/>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04" w:hRule="atLeast"/>
          <w:jc w:val="center"/>
        </w:trPr>
        <w:tc>
          <w:tcPr>
            <w:tcW w:w="8748" w:type="dxa"/>
            <w:gridSpan w:val="4"/>
            <w:tcBorders>
              <w:top w:val="single" w:color="auto" w:sz="4" w:space="0"/>
              <w:left w:val="single" w:color="auto" w:sz="8" w:space="0"/>
              <w:bottom w:val="single" w:color="auto" w:sz="4" w:space="0"/>
              <w:right w:val="single" w:color="auto" w:sz="8" w:space="0"/>
            </w:tcBorders>
            <w:noWrap w:val="0"/>
            <w:vAlign w:val="top"/>
          </w:tcPr>
          <w:p>
            <w:pPr>
              <w:spacing w:after="120"/>
              <w:rPr>
                <w:rFonts w:ascii="Times New Roman"/>
                <w:szCs w:val="21"/>
              </w:rPr>
            </w:pPr>
            <w:r>
              <w:rPr>
                <w:rFonts w:hint="eastAsia" w:ascii="Times New Roman"/>
                <w:szCs w:val="21"/>
              </w:rPr>
              <w:t>审核意见：</w:t>
            </w:r>
          </w:p>
          <w:p>
            <w:pPr>
              <w:rPr>
                <w:rFonts w:hint="eastAsia" w:ascii="Times New Roman"/>
                <w:szCs w:val="21"/>
              </w:rPr>
            </w:pPr>
            <w:r>
              <w:rPr>
                <w:rFonts w:hint="eastAsia" w:ascii="Times New Roman"/>
                <w:szCs w:val="21"/>
              </w:rPr>
              <w:t>　</w:t>
            </w:r>
          </w:p>
          <w:p>
            <w:pPr>
              <w:rPr>
                <w:rFonts w:hint="eastAsia" w:ascii="Times New Roman"/>
                <w:szCs w:val="21"/>
              </w:rPr>
            </w:pPr>
          </w:p>
          <w:p>
            <w:pPr>
              <w:spacing w:before="156" w:beforeLines="50" w:line="360" w:lineRule="auto"/>
              <w:rPr>
                <w:rFonts w:hint="eastAsia" w:ascii="Times New Roman"/>
                <w:bCs/>
                <w:szCs w:val="21"/>
                <w:u w:val="single"/>
              </w:rPr>
            </w:pPr>
            <w:r>
              <w:rPr>
                <w:rFonts w:hint="eastAsia" w:ascii="Times New Roman"/>
                <w:szCs w:val="21"/>
              </w:rPr>
              <w:t>　                          项目监理机构（章）：</w:t>
            </w:r>
            <w:r>
              <w:rPr>
                <w:rFonts w:hint="eastAsia" w:ascii="Times New Roman"/>
                <w:szCs w:val="21"/>
                <w:u w:val="single"/>
              </w:rPr>
              <w:t>　　                  　　　　　</w:t>
            </w:r>
          </w:p>
          <w:p>
            <w:pPr>
              <w:spacing w:after="120"/>
              <w:rPr>
                <w:rFonts w:hint="eastAsia" w:ascii="Times New Roman"/>
                <w:szCs w:val="21"/>
              </w:rPr>
            </w:pPr>
            <w:r>
              <w:rPr>
                <w:rFonts w:hint="eastAsia" w:ascii="Times New Roman"/>
                <w:szCs w:val="21"/>
              </w:rPr>
              <w:t xml:space="preserve">                            总监理工程师/总监理工程师代表（签字）：</w:t>
            </w:r>
            <w:r>
              <w:rPr>
                <w:rFonts w:hint="eastAsia" w:ascii="Times New Roman"/>
                <w:szCs w:val="21"/>
                <w:u w:val="single"/>
              </w:rPr>
              <w:t>　　　   　　</w:t>
            </w:r>
            <w:r>
              <w:rPr>
                <w:rFonts w:hint="eastAsia" w:ascii="Times New Roman"/>
                <w:szCs w:val="21"/>
              </w:rPr>
              <w:t xml:space="preserve"> </w:t>
            </w:r>
          </w:p>
          <w:p>
            <w:pPr>
              <w:wordWrap w:val="0"/>
              <w:spacing w:after="120"/>
              <w:ind w:firstLine="5720" w:firstLineChars="2724"/>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748" w:type="dxa"/>
            <w:gridSpan w:val="4"/>
            <w:tcBorders>
              <w:top w:val="single" w:color="auto" w:sz="4" w:space="0"/>
              <w:left w:val="single" w:color="auto" w:sz="8" w:space="0"/>
              <w:bottom w:val="single" w:color="auto" w:sz="8" w:space="0"/>
              <w:right w:val="single" w:color="auto" w:sz="8" w:space="0"/>
            </w:tcBorders>
            <w:noWrap w:val="0"/>
            <w:vAlign w:val="top"/>
          </w:tcPr>
          <w:p>
            <w:pPr>
              <w:rPr>
                <w:szCs w:val="21"/>
              </w:rPr>
            </w:pPr>
            <w:r>
              <w:rPr>
                <w:rFonts w:hint="eastAsia" w:ascii="Times New Roman"/>
                <w:szCs w:val="21"/>
              </w:rPr>
              <w:t>注：</w:t>
            </w:r>
            <w:r>
              <w:rPr>
                <w:szCs w:val="21"/>
              </w:rPr>
              <w:t>1</w:t>
            </w:r>
            <w:r>
              <w:rPr>
                <w:rFonts w:hint="eastAsia"/>
                <w:szCs w:val="21"/>
              </w:rPr>
              <w:t>、施工单位项目经理部应在混凝土浇筑前提出本报审表，未获批准不得擅自浇筑混凝土。</w:t>
            </w:r>
          </w:p>
          <w:p>
            <w:pPr>
              <w:ind w:firstLine="382" w:firstLineChars="182"/>
              <w:rPr>
                <w:rFonts w:ascii="Times New Roman"/>
                <w:szCs w:val="21"/>
              </w:rPr>
            </w:pPr>
            <w:r>
              <w:rPr>
                <w:szCs w:val="21"/>
              </w:rPr>
              <w:t>2</w:t>
            </w:r>
            <w:r>
              <w:rPr>
                <w:rFonts w:hint="eastAsia"/>
                <w:szCs w:val="21"/>
              </w:rPr>
              <w:t>、</w:t>
            </w:r>
            <w:r>
              <w:rPr>
                <w:rFonts w:hint="eastAsia" w:ascii="Times New Roman"/>
                <w:szCs w:val="21"/>
              </w:rPr>
              <w:t>如现场自拌混凝土，还应提供原材料报审表及人、料、机准备情况。</w:t>
            </w:r>
          </w:p>
          <w:p>
            <w:pPr>
              <w:ind w:firstLine="382" w:firstLineChars="182"/>
              <w:rPr>
                <w:rFonts w:ascii="Times New Roman"/>
                <w:szCs w:val="21"/>
              </w:rPr>
            </w:pPr>
            <w:r>
              <w:rPr>
                <w:rFonts w:hint="eastAsia" w:ascii="Times New Roman"/>
                <w:szCs w:val="21"/>
              </w:rPr>
              <w:t>3、本表一式二份，项目监理机构、施工单位各一份。</w:t>
            </w:r>
          </w:p>
        </w:tc>
      </w:tr>
    </w:tbl>
    <w:p>
      <w:pPr>
        <w:ind w:right="-10"/>
        <w:rPr>
          <w:rFonts w:ascii="Times New Roman" w:eastAsia="隶书"/>
        </w:rPr>
      </w:pPr>
      <w:r>
        <w:rPr>
          <w:rFonts w:hint="eastAsia" w:ascii="Times New Roman" w:eastAsia="隶书"/>
        </w:rPr>
        <w:t>第六版表                                               江苏省住房和城乡建设厅监制</w:t>
      </w: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B.1.6</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分部（子分部）工程报验表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szCs w:val="21"/>
        </w:rPr>
        <w:t xml:space="preserve">            </w:t>
      </w:r>
      <w:r>
        <w:rPr>
          <w:rFonts w:hint="eastAsia"/>
          <w:szCs w:val="21"/>
        </w:rPr>
        <w:t>　　　</w:t>
      </w:r>
      <w:r>
        <w:rPr>
          <w:szCs w:val="21"/>
        </w:rPr>
        <w:t xml:space="preserve">       </w:t>
      </w:r>
      <w:r>
        <w:rPr>
          <w:rFonts w:hint="eastAsia"/>
          <w:szCs w:val="21"/>
        </w:rPr>
        <w:t>编号：</w:t>
      </w:r>
      <w:r>
        <w:rPr>
          <w:szCs w:val="21"/>
        </w:rPr>
        <w:t>B.1.6</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796"/>
        <w:gridCol w:w="24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4" w:hRule="atLeast"/>
        </w:trPr>
        <w:tc>
          <w:tcPr>
            <w:tcW w:w="8614"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360" w:lineRule="exact"/>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exact"/>
              <w:ind w:firstLine="420" w:firstLineChars="200"/>
              <w:jc w:val="left"/>
              <w:rPr>
                <w:rFonts w:hint="eastAsia" w:ascii="Times New Roman"/>
                <w:szCs w:val="21"/>
              </w:rPr>
            </w:pPr>
            <w:r>
              <w:rPr>
                <w:rFonts w:hint="eastAsia" w:ascii="Times New Roman"/>
                <w:szCs w:val="21"/>
              </w:rPr>
              <w:t xml:space="preserve">我方已完成 </w:t>
            </w:r>
            <w:r>
              <w:rPr>
                <w:rFonts w:hint="eastAsia" w:ascii="Times New Roman"/>
                <w:szCs w:val="21"/>
                <w:u w:val="single"/>
              </w:rPr>
              <w:t xml:space="preserve">                             </w:t>
            </w:r>
            <w:r>
              <w:rPr>
                <w:rFonts w:hint="eastAsia" w:ascii="Times New Roman"/>
                <w:szCs w:val="21"/>
              </w:rPr>
              <w:t>分部（子分部）工程,经自检合格,请予以验收。</w:t>
            </w:r>
          </w:p>
          <w:p>
            <w:pPr>
              <w:spacing w:line="360" w:lineRule="exact"/>
              <w:ind w:firstLine="420" w:firstLineChars="200"/>
              <w:rPr>
                <w:rFonts w:hint="eastAsia" w:ascii="Times New Roman"/>
                <w:szCs w:val="21"/>
              </w:rPr>
            </w:pPr>
            <w:r>
              <w:rPr>
                <w:rFonts w:hint="eastAsia" w:ascii="Times New Roman"/>
                <w:szCs w:val="21"/>
              </w:rPr>
              <w:t>附件：</w:t>
            </w:r>
          </w:p>
          <w:p>
            <w:pPr>
              <w:spacing w:line="360" w:lineRule="exact"/>
              <w:ind w:firstLine="420" w:firstLineChars="200"/>
              <w:rPr>
                <w:rFonts w:hint="eastAsia" w:ascii="Times New Roman"/>
                <w:szCs w:val="21"/>
              </w:rPr>
            </w:pPr>
            <w:r>
              <w:rPr>
                <w:rFonts w:hint="eastAsia" w:ascii="Times New Roman"/>
                <w:szCs w:val="21"/>
              </w:rPr>
              <w:t>□ 施工单位验收报告</w:t>
            </w:r>
          </w:p>
          <w:p>
            <w:pPr>
              <w:spacing w:line="360" w:lineRule="exact"/>
              <w:ind w:firstLine="420" w:firstLineChars="200"/>
              <w:rPr>
                <w:rFonts w:hint="eastAsia" w:ascii="Times New Roman"/>
                <w:szCs w:val="21"/>
              </w:rPr>
            </w:pPr>
            <w:r>
              <w:rPr>
                <w:rFonts w:hint="eastAsia" w:ascii="Times New Roman"/>
                <w:szCs w:val="21"/>
              </w:rPr>
              <w:t>□ 分部（子分部）工程所含分项工程的质量验收资料</w:t>
            </w:r>
          </w:p>
          <w:p>
            <w:pPr>
              <w:spacing w:line="360" w:lineRule="exact"/>
              <w:ind w:firstLine="420" w:firstLineChars="200"/>
              <w:rPr>
                <w:rFonts w:hint="eastAsia" w:ascii="Times New Roman"/>
                <w:szCs w:val="21"/>
              </w:rPr>
            </w:pPr>
            <w:r>
              <w:rPr>
                <w:rFonts w:hint="eastAsia" w:ascii="Times New Roman"/>
                <w:szCs w:val="21"/>
              </w:rPr>
              <w:t>□ 质量控制资料</w:t>
            </w:r>
          </w:p>
          <w:p>
            <w:pPr>
              <w:spacing w:line="360" w:lineRule="exact"/>
              <w:ind w:firstLine="420" w:firstLineChars="200"/>
              <w:rPr>
                <w:rFonts w:hint="eastAsia" w:ascii="Times New Roman"/>
                <w:szCs w:val="21"/>
              </w:rPr>
            </w:pPr>
            <w:r>
              <w:rPr>
                <w:rFonts w:hint="eastAsia" w:ascii="Times New Roman"/>
                <w:szCs w:val="21"/>
              </w:rPr>
              <w:t>□ 相关安全和功能检测资料</w:t>
            </w:r>
          </w:p>
          <w:p>
            <w:pPr>
              <w:spacing w:line="360" w:lineRule="exact"/>
              <w:ind w:firstLine="420" w:firstLineChars="200"/>
              <w:rPr>
                <w:rFonts w:hint="eastAsia" w:ascii="Times New Roman"/>
                <w:szCs w:val="21"/>
              </w:rPr>
            </w:pPr>
            <w:r>
              <w:rPr>
                <w:rFonts w:hint="eastAsia" w:ascii="Times New Roman"/>
                <w:szCs w:val="21"/>
              </w:rPr>
              <w:t>□ 观感质量验收资料</w:t>
            </w:r>
          </w:p>
          <w:p>
            <w:pPr>
              <w:spacing w:line="360" w:lineRule="exact"/>
              <w:ind w:firstLine="420" w:firstLineChars="200"/>
              <w:rPr>
                <w:rFonts w:hint="eastAsia" w:ascii="Times New Roman"/>
                <w:szCs w:val="21"/>
              </w:rPr>
            </w:pPr>
            <w:r>
              <w:rPr>
                <w:rFonts w:hint="eastAsia" w:ascii="Times New Roman"/>
                <w:szCs w:val="21"/>
              </w:rPr>
              <w:t xml:space="preserve">□ </w:t>
            </w:r>
          </w:p>
          <w:p>
            <w:pPr>
              <w:spacing w:line="240" w:lineRule="exact"/>
              <w:ind w:left="839"/>
              <w:rPr>
                <w:rFonts w:hint="eastAsia" w:ascii="Times New Roman"/>
                <w:szCs w:val="21"/>
              </w:rPr>
            </w:pPr>
          </w:p>
          <w:p>
            <w:pPr>
              <w:spacing w:line="420" w:lineRule="exact"/>
              <w:rPr>
                <w:rFonts w:hint="eastAsia" w:ascii="Times New Roman"/>
                <w:szCs w:val="21"/>
                <w:u w:val="single"/>
              </w:rPr>
            </w:pPr>
            <w:r>
              <w:rPr>
                <w:rFonts w:hint="eastAsia" w:ascii="Times New Roman"/>
                <w:szCs w:val="21"/>
              </w:rPr>
              <w:t>　　　　　　　　　　　　            　     施工项目经理部（章）：</w:t>
            </w:r>
            <w:r>
              <w:rPr>
                <w:rFonts w:hint="eastAsia" w:ascii="Times New Roman"/>
                <w:szCs w:val="21"/>
                <w:u w:val="single"/>
              </w:rPr>
              <w:t>　　　　    　</w:t>
            </w:r>
          </w:p>
          <w:p>
            <w:pPr>
              <w:spacing w:line="420" w:lineRule="exact"/>
              <w:rPr>
                <w:rFonts w:hint="eastAsia" w:ascii="Times New Roman"/>
                <w:szCs w:val="21"/>
              </w:rPr>
            </w:pPr>
            <w:r>
              <w:rPr>
                <w:rFonts w:hint="eastAsia" w:ascii="Times New Roman"/>
                <w:szCs w:val="21"/>
              </w:rPr>
              <w:t>　　　　　　　　　　                       项目经理（签字）：</w:t>
            </w:r>
            <w:r>
              <w:rPr>
                <w:rFonts w:hint="eastAsia" w:ascii="Times New Roman"/>
                <w:szCs w:val="21"/>
                <w:u w:val="single"/>
              </w:rPr>
              <w:t>　　　     　 　　</w:t>
            </w:r>
          </w:p>
          <w:p>
            <w:pPr>
              <w:spacing w:line="420" w:lineRule="exact"/>
              <w:rPr>
                <w:rFonts w:hint="eastAsia" w:ascii="Times New Roman"/>
                <w:szCs w:val="21"/>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p>
            <w:pPr>
              <w:spacing w:line="240" w:lineRule="exact"/>
              <w:rPr>
                <w:rFonts w:ascii="Times New Roman"/>
                <w:szCs w:val="21"/>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1614" w:type="dxa"/>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796"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施工项目经理部签收人姓名及时间</w:t>
            </w:r>
          </w:p>
        </w:tc>
        <w:tc>
          <w:tcPr>
            <w:tcW w:w="2410" w:type="dxa"/>
            <w:tcBorders>
              <w:top w:val="single" w:color="auto" w:sz="4" w:space="0"/>
              <w:left w:val="single" w:color="auto" w:sz="4" w:space="0"/>
              <w:bottom w:val="single" w:color="auto" w:sz="4" w:space="0"/>
              <w:right w:val="single" w:color="auto" w:sz="8" w:space="0"/>
            </w:tcBorders>
            <w:noWrap w:val="0"/>
            <w:vAlign w:val="top"/>
          </w:tcPr>
          <w:p>
            <w:pPr>
              <w:ind w:left="-105" w:leftChars="-50" w:right="-105" w:rightChars="-50"/>
              <w:rPr>
                <w:rFonts w:ascii="Times New Roman"/>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00" w:hRule="atLeast"/>
        </w:trPr>
        <w:tc>
          <w:tcPr>
            <w:tcW w:w="8614" w:type="dxa"/>
            <w:gridSpan w:val="4"/>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r>
              <w:rPr>
                <w:rFonts w:hint="eastAsia" w:ascii="Times New Roman"/>
                <w:szCs w:val="21"/>
              </w:rPr>
              <w:t>验收意见：</w:t>
            </w:r>
          </w:p>
          <w:p>
            <w:pPr>
              <w:keepLines/>
              <w:spacing w:line="360" w:lineRule="auto"/>
              <w:ind w:firstLine="480"/>
              <w:rPr>
                <w:rFonts w:hint="eastAsia" w:ascii="Times New Roman"/>
                <w:szCs w:val="21"/>
              </w:rPr>
            </w:pPr>
          </w:p>
          <w:p>
            <w:pPr>
              <w:keepLines/>
              <w:spacing w:line="240" w:lineRule="exact"/>
              <w:rPr>
                <w:rFonts w:hint="eastAsia" w:ascii="Times New Roman"/>
                <w:szCs w:val="21"/>
              </w:rPr>
            </w:pPr>
          </w:p>
          <w:p>
            <w:pPr>
              <w:keepLines/>
              <w:spacing w:line="240" w:lineRule="exact"/>
              <w:rPr>
                <w:rFonts w:hint="eastAsia" w:ascii="Times New Roman"/>
                <w:szCs w:val="21"/>
              </w:rPr>
            </w:pPr>
            <w:r>
              <w:rPr>
                <w:rFonts w:hint="eastAsia" w:ascii="Times New Roman"/>
                <w:szCs w:val="21"/>
              </w:rPr>
              <w:t xml:space="preserve">附件：□ 审查记录 </w:t>
            </w:r>
          </w:p>
          <w:p>
            <w:pPr>
              <w:spacing w:line="420" w:lineRule="exact"/>
              <w:ind w:firstLine="4013" w:firstLineChars="1911"/>
              <w:rPr>
                <w:rFonts w:hint="eastAsia" w:ascii="Times New Roman"/>
                <w:szCs w:val="21"/>
              </w:rPr>
            </w:pPr>
            <w:r>
              <w:rPr>
                <w:rFonts w:hint="eastAsia" w:ascii="Times New Roman"/>
                <w:szCs w:val="21"/>
              </w:rPr>
              <w:t>专业监理工程师（签字）：</w:t>
            </w:r>
            <w:r>
              <w:rPr>
                <w:rFonts w:hint="eastAsia" w:ascii="Times New Roman"/>
                <w:szCs w:val="21"/>
                <w:u w:val="single"/>
              </w:rPr>
              <w:t xml:space="preserve">　　          　 </w:t>
            </w:r>
            <w:r>
              <w:rPr>
                <w:rFonts w:hint="eastAsia" w:ascii="Times New Roman"/>
                <w:szCs w:val="21"/>
              </w:rPr>
              <w:t xml:space="preserve"> </w:t>
            </w:r>
          </w:p>
          <w:p>
            <w:pPr>
              <w:spacing w:line="420" w:lineRule="exact"/>
              <w:ind w:right="-115" w:firstLine="5928" w:firstLineChars="2823"/>
              <w:rPr>
                <w:rFonts w:ascii="Times New Roman"/>
                <w:szCs w:val="21"/>
                <w:u w:val="single"/>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55" w:hRule="atLeast"/>
        </w:trPr>
        <w:tc>
          <w:tcPr>
            <w:tcW w:w="8614" w:type="dxa"/>
            <w:gridSpan w:val="4"/>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r>
              <w:rPr>
                <w:rFonts w:hint="eastAsia" w:ascii="Times New Roman"/>
                <w:szCs w:val="21"/>
              </w:rPr>
              <w:t>审核意见：</w:t>
            </w:r>
          </w:p>
          <w:p>
            <w:pPr>
              <w:keepLines/>
              <w:spacing w:line="240" w:lineRule="exact"/>
              <w:ind w:left="482"/>
              <w:rPr>
                <w:rFonts w:hint="eastAsia" w:ascii="Times New Roman"/>
                <w:szCs w:val="21"/>
              </w:rPr>
            </w:pPr>
          </w:p>
          <w:p>
            <w:pPr>
              <w:keepLines/>
              <w:spacing w:line="240" w:lineRule="exact"/>
              <w:ind w:left="482"/>
              <w:rPr>
                <w:rFonts w:hint="eastAsia" w:ascii="Times New Roman"/>
                <w:szCs w:val="21"/>
              </w:rPr>
            </w:pPr>
          </w:p>
          <w:p>
            <w:pPr>
              <w:keepLines/>
              <w:spacing w:line="420" w:lineRule="exact"/>
              <w:ind w:firstLine="2940" w:firstLineChars="1400"/>
              <w:rPr>
                <w:rFonts w:hint="eastAsia" w:ascii="Times New Roman"/>
                <w:szCs w:val="21"/>
                <w:u w:val="single"/>
              </w:rPr>
            </w:pPr>
            <w:r>
              <w:rPr>
                <w:rFonts w:hint="eastAsia" w:ascii="Times New Roman"/>
                <w:szCs w:val="21"/>
              </w:rPr>
              <w:t>项目监理机构(章)：</w:t>
            </w:r>
            <w:r>
              <w:rPr>
                <w:rFonts w:hint="eastAsia" w:ascii="Times New Roman"/>
                <w:szCs w:val="21"/>
                <w:u w:val="single"/>
              </w:rPr>
              <w:t xml:space="preserve">　　　　                          </w:t>
            </w:r>
          </w:p>
          <w:p>
            <w:pPr>
              <w:keepLines/>
              <w:spacing w:line="420" w:lineRule="exact"/>
              <w:ind w:firstLine="2940" w:firstLineChars="1400"/>
              <w:rPr>
                <w:rFonts w:hint="eastAsia" w:ascii="Times New Roman"/>
                <w:szCs w:val="21"/>
              </w:rPr>
            </w:pPr>
            <w:r>
              <w:rPr>
                <w:rFonts w:hint="eastAsia" w:ascii="Times New Roman"/>
                <w:szCs w:val="21"/>
              </w:rPr>
              <w:t>总监理工程师/总监理工程师代表（签字）：</w:t>
            </w:r>
            <w:r>
              <w:rPr>
                <w:rFonts w:hint="eastAsia" w:ascii="Times New Roman"/>
                <w:szCs w:val="21"/>
                <w:u w:val="single"/>
              </w:rPr>
              <w:t>　　　   　　</w:t>
            </w:r>
            <w:r>
              <w:rPr>
                <w:rFonts w:hint="eastAsia" w:ascii="Times New Roman"/>
                <w:szCs w:val="21"/>
              </w:rPr>
              <w:t xml:space="preserve">  </w:t>
            </w:r>
          </w:p>
          <w:p>
            <w:pPr>
              <w:spacing w:line="420" w:lineRule="exact"/>
              <w:ind w:firstLine="210" w:firstLineChars="100"/>
              <w:jc w:val="right"/>
              <w:rPr>
                <w:rFonts w:ascii="Times New Roman"/>
                <w:szCs w:val="21"/>
                <w:u w:val="single"/>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7" w:hRule="atLeast"/>
        </w:trPr>
        <w:tc>
          <w:tcPr>
            <w:tcW w:w="8614" w:type="dxa"/>
            <w:gridSpan w:val="4"/>
            <w:tcBorders>
              <w:top w:val="single" w:color="auto" w:sz="4" w:space="0"/>
              <w:left w:val="single" w:color="auto" w:sz="8" w:space="0"/>
              <w:bottom w:val="single" w:color="auto" w:sz="8" w:space="0"/>
              <w:right w:val="single" w:color="auto" w:sz="8" w:space="0"/>
            </w:tcBorders>
            <w:noWrap w:val="0"/>
            <w:vAlign w:val="center"/>
          </w:tcPr>
          <w:p>
            <w:pPr>
              <w:rPr>
                <w:rFonts w:ascii="Times New Roman"/>
                <w:szCs w:val="21"/>
              </w:rPr>
            </w:pPr>
            <w:r>
              <w:rPr>
                <w:rFonts w:hint="eastAsia" w:ascii="Times New Roman"/>
                <w:szCs w:val="21"/>
              </w:rPr>
              <w:t>注：本表一式三份，项目监理机构、建设单位、施工单位各一份。</w:t>
            </w:r>
          </w:p>
        </w:tc>
      </w:tr>
    </w:tbl>
    <w:p>
      <w:pPr>
        <w:jc w:val="right"/>
        <w:rPr>
          <w:rFonts w:eastAsia="黑体"/>
          <w:b/>
          <w:sz w:val="28"/>
          <w:szCs w:val="28"/>
          <w14:shadow w14:blurRad="50800" w14:dist="38100" w14:dir="2700000" w14:sx="100000" w14:sy="100000" w14:kx="0" w14:ky="0" w14:algn="tl">
            <w14:srgbClr w14:val="000000">
              <w14:alpha w14:val="60000"/>
            </w14:srgbClr>
          </w14:shadow>
        </w:rPr>
      </w:pPr>
      <w:r>
        <w:rPr>
          <w:rFonts w:hint="eastAsia" w:ascii="Times New Roman" w:eastAsia="隶书"/>
        </w:rPr>
        <w:t>第六版表                                              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B.1.7</w:t>
      </w:r>
    </w:p>
    <w:p>
      <w:pPr>
        <w:spacing w:before="312" w:beforeLines="100" w:after="312" w:afterLines="100"/>
        <w:jc w:val="center"/>
        <w:rPr>
          <w:sz w:val="24"/>
        </w:rPr>
      </w:pPr>
      <w:r>
        <w:rPr>
          <w:rFonts w:hint="eastAsia" w:eastAsia="黑体"/>
          <w:sz w:val="44"/>
          <w:szCs w:val="22"/>
          <w14:shadow w14:blurRad="50800" w14:dist="38100" w14:dir="2700000" w14:sx="100000" w14:sy="100000" w14:kx="0" w14:ky="0" w14:algn="tl">
            <w14:srgbClr w14:val="000000">
              <w14:alpha w14:val="60000"/>
            </w14:srgbClr>
          </w14:shadow>
        </w:rPr>
        <w:t>部品部件进场报审表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编号：</w:t>
      </w:r>
      <w:r>
        <w:rPr>
          <w:szCs w:val="21"/>
        </w:rPr>
        <w:t>B.1.7</w:t>
      </w:r>
      <w:r>
        <w:rPr>
          <w:rFonts w:hint="eastAsia"/>
          <w:szCs w:val="21"/>
        </w:rPr>
        <w:t>—</w:t>
      </w:r>
      <w:r>
        <w:rPr>
          <w:rFonts w:hint="eastAsia"/>
          <w:szCs w:val="21"/>
          <w:u w:val="single"/>
        </w:rPr>
        <w:t>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796"/>
        <w:gridCol w:w="231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20" w:lineRule="exact"/>
              <w:ind w:firstLine="420" w:firstLineChars="200"/>
              <w:rPr>
                <w:rFonts w:hint="eastAsia" w:ascii="Times New Roman"/>
                <w:szCs w:val="21"/>
              </w:rPr>
            </w:pPr>
            <w:r>
              <w:rPr>
                <w:rFonts w:hint="eastAsia" w:ascii="Times New Roman"/>
                <w:szCs w:val="21"/>
              </w:rPr>
              <w:t>于</w:t>
            </w:r>
            <w:r>
              <w:rPr>
                <w:rFonts w:hint="eastAsia"/>
                <w:szCs w:val="21"/>
                <w:u w:val="single"/>
              </w:rPr>
              <w:t>　　　</w:t>
            </w:r>
            <w:r>
              <w:rPr>
                <w:rFonts w:hint="eastAsia" w:ascii="Times New Roman"/>
                <w:szCs w:val="21"/>
              </w:rPr>
              <w:t>年</w:t>
            </w:r>
            <w:r>
              <w:rPr>
                <w:rFonts w:hint="eastAsia"/>
                <w:szCs w:val="21"/>
                <w:u w:val="single"/>
              </w:rPr>
              <w:t>　　　</w:t>
            </w:r>
            <w:r>
              <w:rPr>
                <w:rFonts w:hint="eastAsia" w:ascii="Times New Roman"/>
                <w:szCs w:val="21"/>
              </w:rPr>
              <w:t>月</w:t>
            </w:r>
            <w:r>
              <w:rPr>
                <w:rFonts w:hint="eastAsia"/>
                <w:szCs w:val="21"/>
                <w:u w:val="single"/>
              </w:rPr>
              <w:t>　　　</w:t>
            </w:r>
            <w:r>
              <w:rPr>
                <w:rFonts w:hint="eastAsia" w:ascii="Times New Roman"/>
                <w:szCs w:val="21"/>
              </w:rPr>
              <w:t>日进场的拟用于工程</w:t>
            </w:r>
            <w:r>
              <w:rPr>
                <w:rFonts w:hint="eastAsia"/>
                <w:szCs w:val="21"/>
                <w:u w:val="single"/>
              </w:rPr>
              <w:t>　　　</w:t>
            </w:r>
            <w:r>
              <w:rPr>
                <w:szCs w:val="21"/>
                <w:u w:val="single"/>
              </w:rPr>
              <w:t xml:space="preserve">   </w:t>
            </w:r>
            <w:r>
              <w:rPr>
                <w:rFonts w:hint="eastAsia"/>
                <w:szCs w:val="21"/>
                <w:u w:val="single"/>
              </w:rPr>
              <w:t>　　　</w:t>
            </w:r>
            <w:r>
              <w:rPr>
                <w:rFonts w:hint="eastAsia" w:ascii="Times New Roman"/>
                <w:szCs w:val="21"/>
              </w:rPr>
              <w:t>部位的</w:t>
            </w:r>
            <w:r>
              <w:rPr>
                <w:rFonts w:hint="eastAsia"/>
                <w:szCs w:val="21"/>
                <w:u w:val="single"/>
              </w:rPr>
              <w:t>　　　　</w:t>
            </w:r>
            <w:r>
              <w:rPr>
                <w:szCs w:val="21"/>
                <w:u w:val="single"/>
              </w:rPr>
              <w:t xml:space="preserve">                </w:t>
            </w:r>
            <w:r>
              <w:rPr>
                <w:rFonts w:hint="eastAsia"/>
                <w:szCs w:val="21"/>
                <w:u w:val="single"/>
              </w:rPr>
              <w:t>　</w:t>
            </w:r>
            <w:r>
              <w:rPr>
                <w:rFonts w:hint="eastAsia" w:ascii="Times New Roman"/>
                <w:szCs w:val="21"/>
              </w:rPr>
              <w:t xml:space="preserve">，现将相关资料报上，请予以审查。 </w:t>
            </w:r>
          </w:p>
          <w:p>
            <w:pPr>
              <w:spacing w:line="320" w:lineRule="exact"/>
              <w:ind w:firstLine="420" w:firstLineChars="200"/>
              <w:rPr>
                <w:rFonts w:hint="eastAsia" w:ascii="Times New Roman"/>
                <w:szCs w:val="21"/>
              </w:rPr>
            </w:pPr>
            <w:r>
              <w:rPr>
                <w:rFonts w:hint="eastAsia" w:ascii="Times New Roman"/>
                <w:szCs w:val="21"/>
              </w:rPr>
              <w:t>附件：</w:t>
            </w:r>
          </w:p>
          <w:p>
            <w:pPr>
              <w:spacing w:line="320" w:lineRule="exact"/>
              <w:rPr>
                <w:rFonts w:hint="eastAsia" w:ascii="Times New Roman"/>
                <w:szCs w:val="21"/>
              </w:rPr>
            </w:pPr>
            <w:r>
              <w:rPr>
                <w:rFonts w:hint="eastAsia" w:ascii="Times New Roman"/>
                <w:szCs w:val="21"/>
              </w:rPr>
              <w:t xml:space="preserve">        □   部品部件进场清单</w:t>
            </w:r>
          </w:p>
          <w:p>
            <w:pPr>
              <w:spacing w:line="320" w:lineRule="exact"/>
              <w:ind w:firstLine="840" w:firstLineChars="400"/>
              <w:rPr>
                <w:rFonts w:hint="eastAsia" w:ascii="Times New Roman"/>
                <w:szCs w:val="21"/>
              </w:rPr>
            </w:pPr>
            <w:r>
              <w:rPr>
                <w:rFonts w:hint="eastAsia" w:ascii="Times New Roman"/>
                <w:szCs w:val="21"/>
              </w:rPr>
              <w:t>□   出厂质量证明文件</w:t>
            </w:r>
          </w:p>
          <w:p>
            <w:pPr>
              <w:spacing w:line="320" w:lineRule="exact"/>
              <w:ind w:firstLine="840" w:firstLineChars="400"/>
              <w:rPr>
                <w:rFonts w:hint="eastAsia" w:ascii="Times New Roman"/>
                <w:szCs w:val="21"/>
              </w:rPr>
            </w:pPr>
            <w:r>
              <w:rPr>
                <w:rFonts w:hint="eastAsia" w:ascii="Times New Roman"/>
                <w:szCs w:val="21"/>
              </w:rPr>
              <w:t>□   性能检验报告</w:t>
            </w:r>
          </w:p>
          <w:p>
            <w:pPr>
              <w:spacing w:line="320" w:lineRule="exact"/>
              <w:ind w:firstLine="840" w:firstLineChars="400"/>
              <w:rPr>
                <w:rFonts w:hint="eastAsia" w:ascii="Times New Roman"/>
                <w:szCs w:val="21"/>
              </w:rPr>
            </w:pPr>
            <w:r>
              <w:rPr>
                <w:rFonts w:hint="eastAsia" w:ascii="Times New Roman"/>
                <w:szCs w:val="21"/>
              </w:rPr>
              <w:t>□   施工单位自检记录</w:t>
            </w:r>
          </w:p>
          <w:p>
            <w:pPr>
              <w:spacing w:line="320" w:lineRule="exact"/>
              <w:ind w:firstLine="840" w:firstLineChars="400"/>
              <w:rPr>
                <w:rFonts w:hint="eastAsia" w:ascii="Times New Roman"/>
                <w:szCs w:val="21"/>
              </w:rPr>
            </w:pPr>
            <w:r>
              <w:rPr>
                <w:rFonts w:hint="eastAsia" w:ascii="Times New Roman"/>
                <w:szCs w:val="21"/>
              </w:rPr>
              <w:t xml:space="preserve">□　 </w:t>
            </w:r>
          </w:p>
          <w:p>
            <w:pPr>
              <w:spacing w:line="320" w:lineRule="exact"/>
              <w:ind w:firstLine="420" w:firstLineChars="200"/>
              <w:jc w:val="left"/>
              <w:rPr>
                <w:rFonts w:hint="eastAsia" w:ascii="Times New Roman"/>
                <w:szCs w:val="21"/>
              </w:rPr>
            </w:pPr>
            <w:r>
              <w:rPr>
                <w:rFonts w:hint="eastAsia" w:ascii="Times New Roman"/>
                <w:szCs w:val="21"/>
              </w:rPr>
              <w:t>本次报审内容系第</w:t>
            </w:r>
            <w:r>
              <w:rPr>
                <w:rFonts w:hint="eastAsia" w:ascii="Times New Roman"/>
                <w:szCs w:val="21"/>
                <w:u w:val="single"/>
              </w:rPr>
              <w:t xml:space="preserve">      </w:t>
            </w:r>
            <w:r>
              <w:rPr>
                <w:rFonts w:hint="eastAsia" w:ascii="Times New Roman"/>
                <w:szCs w:val="21"/>
              </w:rPr>
              <w:t>次报审。</w:t>
            </w:r>
          </w:p>
          <w:p>
            <w:pPr>
              <w:spacing w:line="320" w:lineRule="exact"/>
              <w:ind w:firstLine="420" w:firstLineChars="200"/>
              <w:jc w:val="left"/>
              <w:rPr>
                <w:rFonts w:hint="eastAsia" w:ascii="Times New Roman"/>
                <w:szCs w:val="21"/>
              </w:rPr>
            </w:pPr>
          </w:p>
          <w:p>
            <w:pPr>
              <w:spacing w:line="320" w:lineRule="exact"/>
              <w:rPr>
                <w:rFonts w:hint="eastAsia" w:ascii="Times New Roman"/>
                <w:szCs w:val="21"/>
              </w:rPr>
            </w:pPr>
          </w:p>
          <w:p>
            <w:pPr>
              <w:spacing w:line="360" w:lineRule="auto"/>
              <w:rPr>
                <w:rFonts w:hint="eastAsia" w:ascii="Times New Roman"/>
                <w:szCs w:val="21"/>
                <w:u w:val="single"/>
              </w:rPr>
            </w:pPr>
            <w:r>
              <w:rPr>
                <w:rFonts w:hint="eastAsia" w:ascii="Times New Roman"/>
                <w:szCs w:val="21"/>
              </w:rPr>
              <w:t>　　　　　　　　　　　　                  施工项目经理部（章）：</w:t>
            </w:r>
            <w:r>
              <w:rPr>
                <w:rFonts w:hint="eastAsia" w:ascii="Times New Roman"/>
                <w:szCs w:val="21"/>
                <w:u w:val="single"/>
              </w:rPr>
              <w:t xml:space="preserve">　　　　      </w:t>
            </w:r>
          </w:p>
          <w:p>
            <w:pPr>
              <w:spacing w:line="360" w:lineRule="auto"/>
              <w:rPr>
                <w:rFonts w:hint="eastAsia" w:ascii="Times New Roman"/>
                <w:szCs w:val="21"/>
              </w:rPr>
            </w:pPr>
            <w:r>
              <w:rPr>
                <w:rFonts w:hint="eastAsia" w:ascii="Times New Roman"/>
                <w:szCs w:val="21"/>
              </w:rPr>
              <w:t>　　　　　　　　　　　                    项目经理（签字）：</w:t>
            </w:r>
            <w:r>
              <w:rPr>
                <w:rFonts w:hint="eastAsia" w:ascii="Times New Roman"/>
                <w:szCs w:val="21"/>
                <w:u w:val="single"/>
              </w:rPr>
              <w:t xml:space="preserve">　　              </w:t>
            </w:r>
          </w:p>
          <w:p>
            <w:pPr>
              <w:tabs>
                <w:tab w:val="left" w:pos="8211"/>
                <w:tab w:val="left" w:pos="8306"/>
              </w:tabs>
              <w:spacing w:line="360" w:lineRule="auto"/>
              <w:ind w:firstLine="5917" w:firstLineChars="2818"/>
              <w:rPr>
                <w:rFonts w:ascii="Times New Roman"/>
                <w:szCs w:val="21"/>
              </w:rPr>
            </w:pPr>
            <w:r>
              <w:rPr>
                <w:rFonts w:ascii="Times New Roman"/>
                <w:szCs w:val="21"/>
                <w:u w:val="single"/>
              </w:rPr>
              <w:t>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614" w:type="dxa"/>
            <w:tcBorders>
              <w:top w:val="single" w:color="auto" w:sz="4" w:space="0"/>
              <w:left w:val="single" w:color="auto" w:sz="8" w:space="0"/>
              <w:bottom w:val="single" w:color="auto" w:sz="4" w:space="0"/>
              <w:right w:val="single" w:color="auto" w:sz="4" w:space="0"/>
            </w:tcBorders>
            <w:noWrap w:val="0"/>
            <w:vAlign w:val="center"/>
          </w:tcPr>
          <w:p>
            <w:pPr>
              <w:spacing w:before="120" w:after="120"/>
              <w:ind w:left="-105" w:leftChars="-50" w:right="-105" w:rightChars="-50"/>
              <w:jc w:val="center"/>
              <w:rPr>
                <w:rFonts w:ascii="Times New Roman"/>
                <w:szCs w:val="21"/>
              </w:rPr>
            </w:pPr>
            <w:r>
              <w:rPr>
                <w:rFonts w:hint="eastAsia" w:ascii="Times New Roman"/>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spacing w:before="120" w:after="120"/>
              <w:ind w:left="-105" w:leftChars="-50" w:right="-105" w:rightChars="-50"/>
              <w:jc w:val="center"/>
              <w:rPr>
                <w:rFonts w:ascii="Times New Roman"/>
                <w:szCs w:val="21"/>
              </w:rPr>
            </w:pPr>
          </w:p>
        </w:tc>
        <w:tc>
          <w:tcPr>
            <w:tcW w:w="1796" w:type="dxa"/>
            <w:tcBorders>
              <w:top w:val="single" w:color="auto" w:sz="4" w:space="0"/>
              <w:left w:val="single" w:color="auto" w:sz="4" w:space="0"/>
              <w:bottom w:val="single" w:color="auto" w:sz="4" w:space="0"/>
              <w:right w:val="single" w:color="auto" w:sz="4" w:space="0"/>
            </w:tcBorders>
            <w:noWrap w:val="0"/>
            <w:vAlign w:val="center"/>
          </w:tcPr>
          <w:p>
            <w:pPr>
              <w:spacing w:before="120" w:after="120"/>
              <w:ind w:left="-105" w:leftChars="-50" w:right="-105" w:rightChars="-50"/>
              <w:jc w:val="center"/>
              <w:rPr>
                <w:rFonts w:ascii="Times New Roman"/>
                <w:szCs w:val="21"/>
              </w:rPr>
            </w:pPr>
            <w:r>
              <w:rPr>
                <w:rFonts w:hint="eastAsia" w:ascii="Times New Roman"/>
                <w:szCs w:val="21"/>
              </w:rPr>
              <w:t>施工项目经理部签收人姓名及时间</w:t>
            </w:r>
          </w:p>
        </w:tc>
        <w:tc>
          <w:tcPr>
            <w:tcW w:w="2318" w:type="dxa"/>
            <w:tcBorders>
              <w:top w:val="single" w:color="auto" w:sz="4" w:space="0"/>
              <w:left w:val="single" w:color="auto" w:sz="4" w:space="0"/>
              <w:bottom w:val="single" w:color="auto" w:sz="4" w:space="0"/>
              <w:right w:val="single" w:color="auto" w:sz="8" w:space="0"/>
            </w:tcBorders>
            <w:noWrap w:val="0"/>
            <w:vAlign w:val="top"/>
          </w:tcPr>
          <w:p>
            <w:pPr>
              <w:spacing w:before="120" w:after="120"/>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272" w:hRule="atLeast"/>
          <w:jc w:val="center"/>
        </w:trPr>
        <w:tc>
          <w:tcPr>
            <w:tcW w:w="8522" w:type="dxa"/>
            <w:gridSpan w:val="4"/>
            <w:tcBorders>
              <w:top w:val="single" w:color="auto" w:sz="4" w:space="0"/>
              <w:left w:val="single" w:color="auto" w:sz="8" w:space="0"/>
              <w:bottom w:val="single" w:color="auto" w:sz="4" w:space="0"/>
              <w:right w:val="single" w:color="auto" w:sz="8" w:space="0"/>
            </w:tcBorders>
            <w:noWrap w:val="0"/>
            <w:vAlign w:val="top"/>
          </w:tcPr>
          <w:p>
            <w:pPr>
              <w:spacing w:before="120" w:after="120"/>
              <w:rPr>
                <w:rFonts w:ascii="Times New Roman"/>
                <w:szCs w:val="21"/>
              </w:rPr>
            </w:pPr>
            <w:r>
              <w:rPr>
                <w:rFonts w:hint="eastAsia" w:ascii="Times New Roman"/>
                <w:szCs w:val="21"/>
              </w:rPr>
              <w:t>审查意见：</w:t>
            </w:r>
          </w:p>
          <w:p>
            <w:pPr>
              <w:spacing w:line="420" w:lineRule="exact"/>
              <w:rPr>
                <w:rFonts w:hint="eastAsia" w:ascii="Times New Roman"/>
                <w:szCs w:val="21"/>
                <w:u w:val="single"/>
              </w:rPr>
            </w:pPr>
          </w:p>
          <w:p>
            <w:pPr>
              <w:spacing w:line="420" w:lineRule="exact"/>
              <w:rPr>
                <w:rFonts w:hint="eastAsia" w:ascii="Times New Roman"/>
                <w:szCs w:val="21"/>
                <w:u w:val="single"/>
              </w:rPr>
            </w:pPr>
          </w:p>
          <w:p>
            <w:pPr>
              <w:spacing w:line="420" w:lineRule="exact"/>
              <w:rPr>
                <w:rFonts w:hint="eastAsia" w:ascii="Times New Roman"/>
                <w:szCs w:val="21"/>
                <w:u w:val="single"/>
              </w:rPr>
            </w:pPr>
          </w:p>
          <w:p>
            <w:pPr>
              <w:spacing w:line="360" w:lineRule="exact"/>
              <w:rPr>
                <w:rFonts w:hint="eastAsia" w:ascii="Times New Roman"/>
                <w:szCs w:val="21"/>
              </w:rPr>
            </w:pPr>
            <w:r>
              <w:rPr>
                <w:rFonts w:hint="eastAsia" w:ascii="Times New Roman"/>
                <w:szCs w:val="21"/>
              </w:rPr>
              <w:t>附件：□  检查记录</w:t>
            </w:r>
          </w:p>
          <w:p>
            <w:pPr>
              <w:spacing w:before="156" w:beforeLines="50"/>
              <w:rPr>
                <w:rFonts w:hint="eastAsia" w:ascii="Times New Roman"/>
                <w:bCs/>
                <w:szCs w:val="21"/>
                <w:u w:val="single"/>
              </w:rPr>
            </w:pPr>
            <w:r>
              <w:rPr>
                <w:rFonts w:hint="eastAsia" w:ascii="Times New Roman"/>
                <w:szCs w:val="21"/>
              </w:rPr>
              <w:t xml:space="preserve">　　　　　　　　　　　   　    </w:t>
            </w:r>
            <w:r>
              <w:rPr>
                <w:rFonts w:hint="eastAsia" w:ascii="Times New Roman"/>
                <w:bCs/>
                <w:szCs w:val="21"/>
              </w:rPr>
              <w:t xml:space="preserve">           项目监理机构(章): </w:t>
            </w:r>
            <w:r>
              <w:rPr>
                <w:rFonts w:hint="eastAsia" w:ascii="Times New Roman"/>
                <w:bCs/>
                <w:szCs w:val="21"/>
                <w:u w:val="single"/>
              </w:rPr>
              <w:t xml:space="preserve">                   </w:t>
            </w:r>
            <w:r>
              <w:rPr>
                <w:rFonts w:hint="eastAsia" w:ascii="Times New Roman"/>
                <w:bCs/>
                <w:szCs w:val="21"/>
              </w:rPr>
              <w:t xml:space="preserve"> </w:t>
            </w:r>
          </w:p>
          <w:p>
            <w:pPr>
              <w:spacing w:before="156" w:beforeLines="50"/>
              <w:rPr>
                <w:rFonts w:hint="eastAsia" w:ascii="Times New Roman"/>
                <w:szCs w:val="21"/>
              </w:rPr>
            </w:pPr>
            <w:r>
              <w:rPr>
                <w:rFonts w:hint="eastAsia" w:ascii="Times New Roman"/>
                <w:szCs w:val="21"/>
              </w:rPr>
              <w:t xml:space="preserve">                                          专业监理工程师（签字）：</w:t>
            </w:r>
            <w:r>
              <w:rPr>
                <w:rFonts w:hint="eastAsia" w:ascii="Times New Roman"/>
                <w:szCs w:val="21"/>
                <w:u w:val="single"/>
              </w:rPr>
              <w:t xml:space="preserve">　　        </w:t>
            </w:r>
          </w:p>
          <w:p>
            <w:pPr>
              <w:spacing w:before="156" w:beforeLines="50"/>
              <w:ind w:firstLine="5917" w:firstLineChars="2818"/>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8522" w:type="dxa"/>
            <w:gridSpan w:val="4"/>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ascii="Times New Roman"/>
                <w:szCs w:val="21"/>
              </w:rPr>
              <w:t>注</w:t>
            </w:r>
            <w:r>
              <w:rPr>
                <w:rFonts w:hint="eastAsia"/>
                <w:szCs w:val="21"/>
              </w:rPr>
              <w:t>：</w:t>
            </w:r>
            <w:r>
              <w:rPr>
                <w:szCs w:val="21"/>
              </w:rPr>
              <w:t>1</w:t>
            </w:r>
            <w:r>
              <w:rPr>
                <w:rFonts w:hint="eastAsia"/>
                <w:szCs w:val="21"/>
              </w:rPr>
              <w:t>、本报审表主要用于装配式结构中部品部件进场的报审。</w:t>
            </w:r>
          </w:p>
          <w:p>
            <w:pPr>
              <w:ind w:firstLine="420" w:firstLineChars="200"/>
              <w:rPr>
                <w:rFonts w:ascii="Times New Roman"/>
                <w:spacing w:val="-6"/>
                <w:szCs w:val="21"/>
              </w:rPr>
            </w:pPr>
            <w:r>
              <w:rPr>
                <w:szCs w:val="21"/>
              </w:rPr>
              <w:t>2</w:t>
            </w:r>
            <w:r>
              <w:rPr>
                <w:rFonts w:hint="eastAsia"/>
                <w:szCs w:val="21"/>
              </w:rPr>
              <w:t>、本表一式二份，项目监理机构、施工单位各一份。</w:t>
            </w:r>
          </w:p>
        </w:tc>
      </w:tr>
    </w:tbl>
    <w:p>
      <w:pPr>
        <w:spacing w:line="380" w:lineRule="exact"/>
        <w:jc w:val="right"/>
        <w:rPr>
          <w:rFonts w:eastAsia="黑体"/>
          <w:b/>
          <w:sz w:val="28"/>
          <w:szCs w:val="28"/>
          <w14:shadow w14:blurRad="50800" w14:dist="38100" w14:dir="2700000" w14:sx="100000" w14:sy="100000" w14:kx="0" w14:ky="0" w14:algn="tl">
            <w14:srgbClr w14:val="000000">
              <w14:alpha w14:val="60000"/>
            </w14:srgbClr>
          </w14:shadow>
        </w:rPr>
      </w:pPr>
      <w:r>
        <w:rPr>
          <w:rFonts w:hint="eastAsia" w:ascii="Times New Roman" w:eastAsia="隶书"/>
        </w:rPr>
        <w:t>第六版表                                              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B.1.8</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部品部件安装质量报验表</w:t>
      </w:r>
    </w:p>
    <w:p>
      <w:pPr>
        <w:spacing w:after="156" w:afterLines="50" w:line="420" w:lineRule="exact"/>
        <w:ind w:left="21" w:right="-115" w:rightChars="-55"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编号：</w:t>
      </w:r>
      <w:r>
        <w:rPr>
          <w:szCs w:val="21"/>
        </w:rPr>
        <w:t>B.1.8</w:t>
      </w:r>
      <w:r>
        <w:rPr>
          <w:szCs w:val="21"/>
          <w:u w:val="single"/>
        </w:rPr>
        <w:t xml:space="preserve">  </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93"/>
        <w:gridCol w:w="2184"/>
        <w:gridCol w:w="1985"/>
        <w:gridCol w:w="265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440" w:hRule="atLeast"/>
        </w:trPr>
        <w:tc>
          <w:tcPr>
            <w:tcW w:w="8718"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36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exact"/>
              <w:ind w:firstLine="420" w:firstLineChars="200"/>
              <w:jc w:val="left"/>
              <w:rPr>
                <w:rFonts w:hint="eastAsia" w:ascii="Times New Roman"/>
                <w:szCs w:val="21"/>
              </w:rPr>
            </w:pPr>
            <w:r>
              <w:rPr>
                <w:rFonts w:hint="eastAsia" w:ascii="Times New Roman"/>
                <w:szCs w:val="21"/>
              </w:rPr>
              <w:t>我方已完成</w:t>
            </w:r>
            <w:r>
              <w:rPr>
                <w:rFonts w:hint="eastAsia" w:ascii="Times New Roman"/>
                <w:szCs w:val="21"/>
                <w:u w:val="single"/>
              </w:rPr>
              <w:t xml:space="preserve">                                   </w:t>
            </w:r>
            <w:r>
              <w:rPr>
                <w:rFonts w:hint="eastAsia" w:ascii="Times New Roman"/>
                <w:szCs w:val="21"/>
              </w:rPr>
              <w:t>工作，经自检合格，请予以验收。</w:t>
            </w:r>
          </w:p>
          <w:p>
            <w:pPr>
              <w:spacing w:line="360" w:lineRule="exact"/>
              <w:ind w:firstLine="420" w:firstLineChars="200"/>
              <w:jc w:val="left"/>
              <w:rPr>
                <w:rFonts w:hint="eastAsia" w:ascii="Times New Roman"/>
                <w:szCs w:val="21"/>
              </w:rPr>
            </w:pPr>
            <w:r>
              <w:rPr>
                <w:rFonts w:hint="eastAsia" w:ascii="Times New Roman"/>
                <w:szCs w:val="21"/>
              </w:rPr>
              <w:t>附件：</w:t>
            </w:r>
          </w:p>
          <w:p>
            <w:pPr>
              <w:numPr>
                <w:ilvl w:val="0"/>
                <w:numId w:val="14"/>
              </w:numPr>
              <w:spacing w:line="360" w:lineRule="exact"/>
              <w:ind w:hanging="420"/>
              <w:jc w:val="left"/>
              <w:rPr>
                <w:rFonts w:hint="eastAsia" w:ascii="Times New Roman"/>
                <w:szCs w:val="21"/>
              </w:rPr>
            </w:pPr>
            <w:r>
              <w:rPr>
                <w:rFonts w:hint="eastAsia" w:ascii="Times New Roman"/>
                <w:szCs w:val="21"/>
              </w:rPr>
              <w:t>隐蔽工程质量检验资料</w:t>
            </w:r>
          </w:p>
          <w:p>
            <w:pPr>
              <w:numPr>
                <w:ilvl w:val="0"/>
                <w:numId w:val="14"/>
              </w:numPr>
              <w:spacing w:line="360" w:lineRule="exact"/>
              <w:ind w:hanging="420"/>
              <w:jc w:val="left"/>
              <w:rPr>
                <w:rFonts w:hint="eastAsia" w:ascii="Times New Roman"/>
                <w:szCs w:val="21"/>
              </w:rPr>
            </w:pPr>
            <w:r>
              <w:rPr>
                <w:rFonts w:hint="eastAsia" w:ascii="Times New Roman"/>
                <w:szCs w:val="21"/>
              </w:rPr>
              <w:t>检验批质量检验资料</w:t>
            </w:r>
          </w:p>
          <w:p>
            <w:pPr>
              <w:numPr>
                <w:ilvl w:val="0"/>
                <w:numId w:val="14"/>
              </w:numPr>
              <w:spacing w:line="360" w:lineRule="exact"/>
              <w:ind w:hanging="420"/>
              <w:jc w:val="left"/>
              <w:rPr>
                <w:rFonts w:hint="eastAsia" w:ascii="Times New Roman"/>
                <w:szCs w:val="21"/>
              </w:rPr>
            </w:pPr>
            <w:r>
              <w:rPr>
                <w:rFonts w:hint="eastAsia" w:ascii="Times New Roman"/>
                <w:szCs w:val="21"/>
              </w:rPr>
              <w:t>分项工程质量检验资料</w:t>
            </w:r>
          </w:p>
          <w:p>
            <w:pPr>
              <w:numPr>
                <w:ilvl w:val="0"/>
                <w:numId w:val="14"/>
              </w:numPr>
              <w:spacing w:line="360" w:lineRule="exact"/>
              <w:ind w:hanging="420"/>
              <w:jc w:val="left"/>
              <w:rPr>
                <w:rFonts w:hint="eastAsia" w:ascii="Times New Roman"/>
                <w:szCs w:val="21"/>
              </w:rPr>
            </w:pPr>
          </w:p>
          <w:p>
            <w:pPr>
              <w:spacing w:line="420" w:lineRule="exact"/>
              <w:ind w:left="420"/>
              <w:jc w:val="left"/>
              <w:rPr>
                <w:rFonts w:hint="eastAsia" w:ascii="Times New Roman"/>
                <w:szCs w:val="21"/>
              </w:rPr>
            </w:pPr>
            <w:r>
              <w:rPr>
                <w:rFonts w:hint="eastAsia" w:ascii="Times New Roman"/>
                <w:szCs w:val="21"/>
              </w:rPr>
              <w:t xml:space="preserve">                    </w:t>
            </w:r>
          </w:p>
          <w:p>
            <w:pPr>
              <w:spacing w:line="420" w:lineRule="exact"/>
              <w:rPr>
                <w:rFonts w:hint="eastAsia" w:ascii="Times New Roman"/>
                <w:szCs w:val="21"/>
                <w:u w:val="single"/>
              </w:rPr>
            </w:pPr>
            <w:r>
              <w:rPr>
                <w:rFonts w:hint="eastAsia" w:ascii="Times New Roman"/>
                <w:szCs w:val="21"/>
              </w:rPr>
              <w:t xml:space="preserve">                            </w:t>
            </w:r>
            <w:r>
              <w:rPr>
                <w:rFonts w:ascii="Times New Roman"/>
                <w:szCs w:val="21"/>
              </w:rPr>
              <w:t> </w:t>
            </w:r>
            <w:r>
              <w:rPr>
                <w:rFonts w:hint="eastAsia" w:ascii="Times New Roman"/>
                <w:szCs w:val="21"/>
              </w:rPr>
              <w:t xml:space="preserve">              施工项目经理部（章）：</w:t>
            </w:r>
            <w:r>
              <w:rPr>
                <w:rFonts w:hint="eastAsia" w:ascii="Times New Roman"/>
                <w:szCs w:val="21"/>
                <w:u w:val="single"/>
              </w:rPr>
              <w:t xml:space="preserve">　　　　       </w:t>
            </w:r>
          </w:p>
          <w:p>
            <w:pPr>
              <w:spacing w:line="420" w:lineRule="exact"/>
              <w:ind w:firstLine="482"/>
              <w:jc w:val="left"/>
              <w:rPr>
                <w:rFonts w:hint="eastAsia" w:ascii="Times New Roman"/>
                <w:szCs w:val="21"/>
                <w:u w:val="single"/>
              </w:rPr>
            </w:pPr>
            <w:r>
              <w:rPr>
                <w:rFonts w:hint="eastAsia" w:ascii="Times New Roman"/>
                <w:szCs w:val="21"/>
              </w:rPr>
              <w:t>　                                    项目经理（签字）：</w:t>
            </w:r>
            <w:r>
              <w:rPr>
                <w:rFonts w:hint="eastAsia" w:ascii="Times New Roman"/>
                <w:szCs w:val="21"/>
                <w:u w:val="single"/>
              </w:rPr>
              <w:t>　　　　　       　</w:t>
            </w:r>
          </w:p>
          <w:p>
            <w:pPr>
              <w:spacing w:line="420" w:lineRule="exact"/>
              <w:ind w:right="-124" w:firstLine="482"/>
              <w:rPr>
                <w:rFonts w:ascii="Times New Roman"/>
                <w:szCs w:val="21"/>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6" w:hRule="atLeast"/>
        </w:trPr>
        <w:tc>
          <w:tcPr>
            <w:tcW w:w="1893" w:type="dxa"/>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pacing w:val="-8"/>
                <w:szCs w:val="21"/>
              </w:rPr>
            </w:pPr>
            <w:r>
              <w:rPr>
                <w:rFonts w:hint="eastAsia" w:ascii="Times New Roman"/>
                <w:spacing w:val="-8"/>
                <w:szCs w:val="21"/>
              </w:rPr>
              <w:t>项目监理机构</w:t>
            </w:r>
          </w:p>
          <w:p>
            <w:pPr>
              <w:ind w:left="-105" w:leftChars="-50" w:right="-105" w:rightChars="-50"/>
              <w:jc w:val="center"/>
              <w:rPr>
                <w:rFonts w:ascii="Times New Roman"/>
                <w:szCs w:val="21"/>
              </w:rPr>
            </w:pPr>
            <w:r>
              <w:rPr>
                <w:rFonts w:hint="eastAsia" w:ascii="Times New Roman"/>
                <w:spacing w:val="-8"/>
                <w:szCs w:val="21"/>
              </w:rPr>
              <w:t>签收人姓名及时间</w:t>
            </w:r>
          </w:p>
        </w:tc>
        <w:tc>
          <w:tcPr>
            <w:tcW w:w="2184"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985"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施工项目经理部</w:t>
            </w:r>
          </w:p>
          <w:p>
            <w:pPr>
              <w:ind w:left="-105" w:leftChars="-50" w:right="-105" w:rightChars="-50"/>
              <w:jc w:val="center"/>
              <w:rPr>
                <w:rFonts w:ascii="Times New Roman"/>
                <w:szCs w:val="21"/>
              </w:rPr>
            </w:pPr>
            <w:r>
              <w:rPr>
                <w:rFonts w:hint="eastAsia" w:ascii="Times New Roman"/>
                <w:szCs w:val="21"/>
              </w:rPr>
              <w:t>签收人姓名及时间</w:t>
            </w:r>
          </w:p>
        </w:tc>
        <w:tc>
          <w:tcPr>
            <w:tcW w:w="2656" w:type="dxa"/>
            <w:tcBorders>
              <w:top w:val="single" w:color="auto" w:sz="4" w:space="0"/>
              <w:left w:val="single" w:color="auto" w:sz="4" w:space="0"/>
              <w:bottom w:val="single" w:color="auto" w:sz="4" w:space="0"/>
              <w:right w:val="single" w:color="auto" w:sz="8" w:space="0"/>
            </w:tcBorders>
            <w:noWrap w:val="0"/>
            <w:vAlign w:val="center"/>
          </w:tcPr>
          <w:p>
            <w:pPr>
              <w:ind w:left="-105" w:leftChars="-50" w:right="-105" w:rightChars="-5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28" w:hRule="atLeast"/>
        </w:trPr>
        <w:tc>
          <w:tcPr>
            <w:tcW w:w="8718" w:type="dxa"/>
            <w:gridSpan w:val="4"/>
            <w:tcBorders>
              <w:top w:val="single" w:color="auto" w:sz="4" w:space="0"/>
              <w:left w:val="single" w:color="auto" w:sz="8" w:space="0"/>
              <w:bottom w:val="single" w:color="auto" w:sz="4" w:space="0"/>
              <w:right w:val="single" w:color="auto" w:sz="8" w:space="0"/>
            </w:tcBorders>
            <w:noWrap w:val="0"/>
            <w:vAlign w:val="center"/>
          </w:tcPr>
          <w:p>
            <w:pPr>
              <w:spacing w:line="360" w:lineRule="auto"/>
              <w:rPr>
                <w:rFonts w:ascii="Times New Roman"/>
                <w:szCs w:val="21"/>
              </w:rPr>
            </w:pPr>
            <w:r>
              <w:rPr>
                <w:rFonts w:hint="eastAsia" w:ascii="Times New Roman"/>
                <w:szCs w:val="21"/>
              </w:rPr>
              <w:t>验收情况：</w:t>
            </w:r>
          </w:p>
          <w:p>
            <w:pPr>
              <w:spacing w:line="360" w:lineRule="auto"/>
              <w:ind w:firstLine="420" w:firstLineChars="200"/>
              <w:rPr>
                <w:rFonts w:hint="eastAsia" w:ascii="Times New Roman"/>
                <w:szCs w:val="21"/>
              </w:rPr>
            </w:pPr>
            <w:r>
              <w:rPr>
                <w:rFonts w:hint="eastAsia" w:ascii="Times New Roman"/>
                <w:szCs w:val="21"/>
              </w:rPr>
              <w:t>收到施工单位报验资料共</w:t>
            </w:r>
            <w:r>
              <w:rPr>
                <w:rFonts w:hint="eastAsia" w:ascii="Times New Roman"/>
                <w:szCs w:val="21"/>
                <w:u w:val="single"/>
              </w:rPr>
              <w:t xml:space="preserve">     </w:t>
            </w:r>
            <w:r>
              <w:rPr>
                <w:rFonts w:hint="eastAsia" w:ascii="Times New Roman"/>
                <w:szCs w:val="21"/>
              </w:rPr>
              <w:t>页，该项报验内容系第</w:t>
            </w:r>
            <w:r>
              <w:rPr>
                <w:rFonts w:hint="eastAsia" w:ascii="Times New Roman"/>
                <w:szCs w:val="21"/>
                <w:u w:val="single"/>
              </w:rPr>
              <w:t xml:space="preserve">    </w:t>
            </w:r>
            <w:r>
              <w:rPr>
                <w:rFonts w:hint="eastAsia" w:ascii="Times New Roman"/>
                <w:szCs w:val="21"/>
              </w:rPr>
              <w:t>次报验。</w:t>
            </w:r>
          </w:p>
          <w:p>
            <w:pPr>
              <w:rPr>
                <w:rFonts w:hint="eastAsia" w:ascii="Times New Roman"/>
                <w:szCs w:val="21"/>
              </w:rPr>
            </w:pPr>
          </w:p>
          <w:p>
            <w:pPr>
              <w:rPr>
                <w:rFonts w:hint="eastAsia" w:ascii="Times New Roman"/>
                <w:szCs w:val="21"/>
                <w:u w:val="single"/>
              </w:rPr>
            </w:pPr>
            <w:r>
              <w:rPr>
                <w:rFonts w:hint="eastAsia" w:ascii="Times New Roman"/>
                <w:szCs w:val="21"/>
              </w:rPr>
              <w:t xml:space="preserve">                            </w:t>
            </w:r>
          </w:p>
          <w:p>
            <w:pPr>
              <w:spacing w:line="360" w:lineRule="auto"/>
              <w:ind w:right="-124"/>
              <w:rPr>
                <w:rFonts w:hint="eastAsia" w:ascii="Times New Roman"/>
                <w:szCs w:val="21"/>
              </w:rPr>
            </w:pPr>
            <w:r>
              <w:rPr>
                <w:rFonts w:ascii="Times New Roman"/>
                <w:szCs w:val="21"/>
              </w:rPr>
              <w:t> </w:t>
            </w:r>
            <w:r>
              <w:rPr>
                <w:rFonts w:hint="eastAsia" w:ascii="Times New Roman"/>
                <w:szCs w:val="21"/>
              </w:rPr>
              <w:t xml:space="preserve">                                                  检查人（签字）：</w:t>
            </w:r>
            <w:r>
              <w:rPr>
                <w:rFonts w:hint="eastAsia" w:ascii="Times New Roman"/>
                <w:szCs w:val="21"/>
                <w:u w:val="single"/>
              </w:rPr>
              <w:t xml:space="preserve">              </w:t>
            </w:r>
            <w:r>
              <w:rPr>
                <w:rFonts w:hint="eastAsia" w:ascii="Times New Roman"/>
                <w:szCs w:val="21"/>
              </w:rPr>
              <w:t xml:space="preserve">  </w:t>
            </w:r>
          </w:p>
          <w:p>
            <w:pPr>
              <w:spacing w:line="360" w:lineRule="auto"/>
              <w:ind w:right="-124" w:firstLine="3360" w:firstLineChars="1600"/>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 xml:space="preserve">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12" w:hRule="atLeast"/>
        </w:trPr>
        <w:tc>
          <w:tcPr>
            <w:tcW w:w="8718" w:type="dxa"/>
            <w:gridSpan w:val="4"/>
            <w:tcBorders>
              <w:top w:val="single" w:color="auto" w:sz="4" w:space="0"/>
              <w:left w:val="single" w:color="auto" w:sz="8" w:space="0"/>
              <w:bottom w:val="single" w:color="auto" w:sz="4" w:space="0"/>
              <w:right w:val="single" w:color="auto" w:sz="8" w:space="0"/>
            </w:tcBorders>
            <w:noWrap w:val="0"/>
            <w:vAlign w:val="top"/>
          </w:tcPr>
          <w:p>
            <w:pPr>
              <w:spacing w:line="360" w:lineRule="exact"/>
              <w:rPr>
                <w:rFonts w:ascii="Times New Roman"/>
                <w:szCs w:val="21"/>
              </w:rPr>
            </w:pPr>
            <w:r>
              <w:rPr>
                <w:rFonts w:hint="eastAsia" w:ascii="Times New Roman"/>
                <w:szCs w:val="21"/>
              </w:rPr>
              <w:t>验收意见：</w:t>
            </w:r>
          </w:p>
          <w:p>
            <w:pPr>
              <w:ind w:left="840"/>
              <w:rPr>
                <w:rFonts w:hint="eastAsia" w:ascii="Times New Roman"/>
                <w:szCs w:val="21"/>
              </w:rPr>
            </w:pPr>
          </w:p>
          <w:p>
            <w:pPr>
              <w:spacing w:line="360" w:lineRule="exact"/>
              <w:rPr>
                <w:rFonts w:hint="eastAsia" w:ascii="Times New Roman"/>
                <w:szCs w:val="21"/>
              </w:rPr>
            </w:pPr>
            <w:r>
              <w:rPr>
                <w:rFonts w:hint="eastAsia" w:ascii="Times New Roman"/>
                <w:szCs w:val="21"/>
              </w:rPr>
              <w:t xml:space="preserve">                   </w:t>
            </w:r>
          </w:p>
          <w:p>
            <w:pPr>
              <w:spacing w:line="420" w:lineRule="exact"/>
              <w:ind w:firstLine="3570" w:firstLineChars="1700"/>
              <w:rPr>
                <w:rFonts w:hint="eastAsia" w:ascii="Times New Roman"/>
                <w:szCs w:val="21"/>
              </w:rPr>
            </w:pPr>
            <w:r>
              <w:rPr>
                <w:rFonts w:hint="eastAsia" w:ascii="Times New Roman"/>
                <w:szCs w:val="21"/>
              </w:rPr>
              <w:t xml:space="preserve">        项目监理机构（章）：</w:t>
            </w:r>
            <w:r>
              <w:rPr>
                <w:rFonts w:hint="eastAsia" w:ascii="Times New Roman"/>
                <w:szCs w:val="21"/>
                <w:u w:val="single"/>
              </w:rPr>
              <w:t xml:space="preserve">                   </w:t>
            </w:r>
          </w:p>
          <w:p>
            <w:pPr>
              <w:spacing w:line="420" w:lineRule="exact"/>
              <w:rPr>
                <w:rFonts w:hint="eastAsia" w:ascii="Times New Roman"/>
                <w:szCs w:val="21"/>
              </w:rPr>
            </w:pPr>
            <w:r>
              <w:rPr>
                <w:rFonts w:hint="eastAsia" w:ascii="Times New Roman"/>
                <w:szCs w:val="21"/>
              </w:rPr>
              <w:t xml:space="preserve">                                          专业监理工程师（签字）：</w:t>
            </w:r>
            <w:r>
              <w:rPr>
                <w:rFonts w:hint="eastAsia" w:ascii="Times New Roman"/>
                <w:szCs w:val="21"/>
                <w:u w:val="single"/>
              </w:rPr>
              <w:t xml:space="preserve">               </w:t>
            </w:r>
          </w:p>
          <w:p>
            <w:pPr>
              <w:spacing w:line="420" w:lineRule="exact"/>
              <w:rPr>
                <w:rFonts w:ascii="Times New Roman"/>
                <w:szCs w:val="21"/>
                <w:u w:val="single"/>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66" w:hRule="atLeast"/>
        </w:trPr>
        <w:tc>
          <w:tcPr>
            <w:tcW w:w="8718" w:type="dxa"/>
            <w:gridSpan w:val="4"/>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ascii="Times New Roman"/>
                <w:szCs w:val="21"/>
              </w:rPr>
              <w:t>注：</w:t>
            </w:r>
            <w:r>
              <w:rPr>
                <w:szCs w:val="21"/>
              </w:rPr>
              <w:t>1</w:t>
            </w:r>
            <w:r>
              <w:rPr>
                <w:rFonts w:hint="eastAsia"/>
                <w:szCs w:val="21"/>
              </w:rPr>
              <w:t>、本报验表分为隐蔽工程质量报验（</w:t>
            </w:r>
            <w:r>
              <w:rPr>
                <w:szCs w:val="21"/>
              </w:rPr>
              <w:t>B.1.81</w:t>
            </w:r>
            <w:r>
              <w:rPr>
                <w:rFonts w:hint="eastAsia"/>
                <w:szCs w:val="21"/>
              </w:rPr>
              <w:t>）、检验批质量报验（</w:t>
            </w:r>
            <w:r>
              <w:rPr>
                <w:szCs w:val="21"/>
              </w:rPr>
              <w:t>B.1.82</w:t>
            </w:r>
            <w:r>
              <w:rPr>
                <w:rFonts w:hint="eastAsia"/>
                <w:szCs w:val="21"/>
              </w:rPr>
              <w:t>）和分项工程质量报验（</w:t>
            </w:r>
            <w:r>
              <w:rPr>
                <w:szCs w:val="21"/>
              </w:rPr>
              <w:t>B.1.83</w:t>
            </w:r>
            <w:r>
              <w:rPr>
                <w:rFonts w:hint="eastAsia"/>
                <w:szCs w:val="21"/>
              </w:rPr>
              <w:t>）。</w:t>
            </w:r>
          </w:p>
          <w:p>
            <w:pPr>
              <w:ind w:firstLine="420" w:firstLineChars="200"/>
              <w:rPr>
                <w:szCs w:val="21"/>
              </w:rPr>
            </w:pPr>
            <w:r>
              <w:rPr>
                <w:szCs w:val="21"/>
              </w:rPr>
              <w:t>2</w:t>
            </w:r>
            <w:r>
              <w:rPr>
                <w:rFonts w:hint="eastAsia"/>
                <w:szCs w:val="21"/>
              </w:rPr>
              <w:t>、本表一式二份，项目监理机构、施工单位各一份。</w:t>
            </w:r>
          </w:p>
        </w:tc>
      </w:tr>
    </w:tbl>
    <w:p>
      <w:pPr>
        <w:rPr>
          <w:rFonts w:ascii="Times New Roman" w:eastAsia="隶书"/>
        </w:rPr>
      </w:pPr>
      <w:r>
        <w:rPr>
          <w:rFonts w:hint="eastAsia" w:ascii="Times New Roman" w:eastAsia="隶书"/>
        </w:rPr>
        <w:t>第六版表                                              江苏省住房和城乡建设厅监制</w:t>
      </w:r>
    </w:p>
    <w:p>
      <w:pPr>
        <w:widowControl/>
        <w:jc w:val="left"/>
        <w:rPr>
          <w:rFonts w:ascii="Times New Roman" w:eastAsia="黑体"/>
          <w:kern w:val="44"/>
          <w:sz w:val="44"/>
          <w:szCs w:val="28"/>
          <w14:shadow w14:blurRad="50800" w14:dist="38100" w14:dir="2700000" w14:sx="100000" w14:sy="100000" w14:kx="0" w14:ky="0" w14:algn="tl">
            <w14:srgbClr w14:val="000000">
              <w14:alpha w14:val="60000"/>
            </w14:srgbClr>
          </w14:shadow>
        </w:rPr>
        <w:sectPr>
          <w:pgSz w:w="11906" w:h="16838"/>
          <w:pgMar w:top="1021" w:right="1701" w:bottom="1701" w:left="1701" w:header="851" w:footer="992" w:gutter="0"/>
          <w:cols w:space="720" w:num="1"/>
          <w:docGrid w:type="lines" w:linePitch="312" w:charSpace="0"/>
        </w:sectPr>
      </w:pP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B.2.1</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工程计量报审表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编号：</w:t>
      </w:r>
      <w:r>
        <w:rPr>
          <w:szCs w:val="21"/>
        </w:rPr>
        <w:t>B.2.1</w:t>
      </w:r>
      <w:r>
        <w:rPr>
          <w:rFonts w:hint="eastAsia"/>
          <w:szCs w:val="21"/>
        </w:rPr>
        <w:t>—</w:t>
      </w:r>
      <w:r>
        <w:rPr>
          <w:rFonts w:hint="eastAsia"/>
          <w:szCs w:val="21"/>
          <w:u w:val="single"/>
        </w:rPr>
        <w:t>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796"/>
        <w:gridCol w:w="231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jc w:val="center"/>
        </w:trPr>
        <w:tc>
          <w:tcPr>
            <w:tcW w:w="8522" w:type="dxa"/>
            <w:gridSpan w:val="4"/>
            <w:tcBorders>
              <w:top w:val="single" w:color="auto" w:sz="8" w:space="0"/>
              <w:left w:val="single" w:color="auto" w:sz="8" w:space="0"/>
              <w:bottom w:val="single" w:color="auto" w:sz="4" w:space="0"/>
              <w:right w:val="single" w:color="auto" w:sz="8" w:space="0"/>
            </w:tcBorders>
            <w:noWrap w:val="0"/>
            <w:vAlign w:val="top"/>
          </w:tcPr>
          <w:p>
            <w:pPr>
              <w:spacing w:line="36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before="156" w:beforeLines="50" w:line="340" w:lineRule="exact"/>
              <w:ind w:left="1050" w:leftChars="200" w:hanging="630" w:hangingChars="300"/>
              <w:rPr>
                <w:rFonts w:hint="eastAsia" w:ascii="Times New Roman"/>
                <w:szCs w:val="21"/>
                <w:u w:val="single"/>
              </w:rPr>
            </w:pPr>
            <w:r>
              <w:rPr>
                <w:rFonts w:hint="eastAsia" w:ascii="Times New Roman"/>
                <w:szCs w:val="21"/>
              </w:rPr>
              <w:t>兹申报</w:t>
            </w:r>
            <w:r>
              <w:rPr>
                <w:rFonts w:hint="eastAsia" w:ascii="Times New Roman"/>
                <w:szCs w:val="21"/>
                <w:u w:val="single"/>
              </w:rPr>
              <w:t>　　　　</w:t>
            </w:r>
            <w:r>
              <w:rPr>
                <w:rFonts w:hint="eastAsia" w:ascii="Times New Roman"/>
                <w:szCs w:val="21"/>
              </w:rPr>
              <w:t>年</w:t>
            </w:r>
            <w:r>
              <w:rPr>
                <w:rFonts w:hint="eastAsia" w:ascii="Times New Roman"/>
                <w:szCs w:val="21"/>
                <w:u w:val="single"/>
              </w:rPr>
              <w:t>　　</w:t>
            </w:r>
            <w:r>
              <w:rPr>
                <w:rFonts w:hint="eastAsia" w:ascii="Times New Roman"/>
                <w:szCs w:val="21"/>
              </w:rPr>
              <w:t>月</w:t>
            </w:r>
            <w:r>
              <w:rPr>
                <w:rFonts w:hint="eastAsia" w:ascii="Times New Roman"/>
                <w:szCs w:val="21"/>
                <w:u w:val="single"/>
              </w:rPr>
              <w:t>　　</w:t>
            </w:r>
            <w:r>
              <w:rPr>
                <w:rFonts w:hint="eastAsia" w:ascii="Times New Roman"/>
                <w:szCs w:val="21"/>
              </w:rPr>
              <w:t>日至</w:t>
            </w:r>
            <w:r>
              <w:rPr>
                <w:rFonts w:hint="eastAsia" w:ascii="Times New Roman"/>
                <w:szCs w:val="21"/>
                <w:u w:val="single"/>
              </w:rPr>
              <w:t>　　　　</w:t>
            </w:r>
            <w:r>
              <w:rPr>
                <w:rFonts w:hint="eastAsia" w:ascii="Times New Roman"/>
                <w:szCs w:val="21"/>
              </w:rPr>
              <w:t>年</w:t>
            </w:r>
            <w:r>
              <w:rPr>
                <w:rFonts w:hint="eastAsia" w:ascii="Times New Roman"/>
                <w:szCs w:val="21"/>
                <w:u w:val="single"/>
              </w:rPr>
              <w:t>　　</w:t>
            </w:r>
            <w:r>
              <w:rPr>
                <w:rFonts w:hint="eastAsia" w:ascii="Times New Roman"/>
                <w:szCs w:val="21"/>
              </w:rPr>
              <w:t>月</w:t>
            </w:r>
            <w:r>
              <w:rPr>
                <w:rFonts w:hint="eastAsia" w:ascii="Times New Roman"/>
                <w:szCs w:val="21"/>
                <w:u w:val="single"/>
              </w:rPr>
              <w:t>　　</w:t>
            </w:r>
            <w:r>
              <w:rPr>
                <w:rFonts w:hint="eastAsia" w:ascii="Times New Roman"/>
                <w:szCs w:val="21"/>
              </w:rPr>
              <w:t>日完成的</w:t>
            </w:r>
            <w:r>
              <w:rPr>
                <w:rFonts w:hint="eastAsia" w:ascii="Times New Roman"/>
                <w:szCs w:val="21"/>
                <w:u w:val="single"/>
              </w:rPr>
              <w:t xml:space="preserve">                 </w:t>
            </w:r>
          </w:p>
          <w:p>
            <w:pPr>
              <w:spacing w:line="340" w:lineRule="exact"/>
              <w:rPr>
                <w:rFonts w:hint="eastAsia" w:ascii="Times New Roman"/>
                <w:szCs w:val="21"/>
              </w:rPr>
            </w:pPr>
            <w:r>
              <w:rPr>
                <w:rFonts w:hint="eastAsia" w:ascii="Times New Roman"/>
                <w:szCs w:val="21"/>
                <w:u w:val="single"/>
              </w:rPr>
              <w:t xml:space="preserve">                                    </w:t>
            </w:r>
            <w:r>
              <w:rPr>
                <w:rFonts w:hint="eastAsia" w:ascii="Times New Roman"/>
                <w:szCs w:val="21"/>
              </w:rPr>
              <w:t>合格工程量，请予以审核。</w:t>
            </w:r>
          </w:p>
          <w:p>
            <w:pPr>
              <w:spacing w:line="340" w:lineRule="exact"/>
              <w:ind w:firstLine="420" w:firstLineChars="200"/>
              <w:rPr>
                <w:rFonts w:hint="eastAsia" w:ascii="Times New Roman"/>
                <w:szCs w:val="21"/>
              </w:rPr>
            </w:pPr>
            <w:r>
              <w:rPr>
                <w:rFonts w:hint="eastAsia" w:ascii="Times New Roman"/>
                <w:szCs w:val="21"/>
              </w:rPr>
              <w:t xml:space="preserve">附件：  □  合同内工程量及证明材料 </w:t>
            </w:r>
          </w:p>
          <w:p>
            <w:pPr>
              <w:spacing w:line="340" w:lineRule="exact"/>
              <w:ind w:firstLine="1260" w:firstLineChars="600"/>
              <w:rPr>
                <w:rFonts w:hint="eastAsia" w:ascii="Times New Roman"/>
                <w:szCs w:val="21"/>
              </w:rPr>
            </w:pPr>
            <w:r>
              <w:rPr>
                <w:rFonts w:hint="eastAsia" w:ascii="Times New Roman"/>
                <w:szCs w:val="21"/>
              </w:rPr>
              <w:t>□  变更工程量及证明材料</w:t>
            </w:r>
          </w:p>
          <w:p>
            <w:pPr>
              <w:spacing w:line="340" w:lineRule="exact"/>
              <w:ind w:firstLine="482"/>
              <w:rPr>
                <w:rFonts w:hint="eastAsia" w:ascii="Times New Roman"/>
                <w:szCs w:val="21"/>
              </w:rPr>
            </w:pPr>
          </w:p>
          <w:p>
            <w:pPr>
              <w:spacing w:line="360" w:lineRule="exact"/>
              <w:jc w:val="left"/>
              <w:rPr>
                <w:rFonts w:hint="eastAsia" w:ascii="Times New Roman"/>
                <w:szCs w:val="21"/>
              </w:rPr>
            </w:pPr>
          </w:p>
          <w:p>
            <w:pPr>
              <w:spacing w:line="420" w:lineRule="exact"/>
              <w:rPr>
                <w:rFonts w:hint="eastAsia" w:ascii="Times New Roman"/>
                <w:szCs w:val="21"/>
                <w:u w:val="single"/>
              </w:rPr>
            </w:pPr>
            <w:r>
              <w:rPr>
                <w:rFonts w:hint="eastAsia" w:ascii="Times New Roman"/>
                <w:szCs w:val="21"/>
              </w:rPr>
              <w:t>　　　　　　　　　　　                         施工项目经理部（章）：</w:t>
            </w:r>
            <w:r>
              <w:rPr>
                <w:rFonts w:hint="eastAsia" w:ascii="Times New Roman"/>
                <w:szCs w:val="21"/>
                <w:u w:val="single"/>
              </w:rPr>
              <w:t xml:space="preserve">　　　　  </w:t>
            </w:r>
          </w:p>
          <w:p>
            <w:pPr>
              <w:spacing w:line="420" w:lineRule="exact"/>
              <w:rPr>
                <w:rFonts w:hint="eastAsia" w:ascii="Times New Roman"/>
                <w:szCs w:val="21"/>
              </w:rPr>
            </w:pPr>
            <w:r>
              <w:rPr>
                <w:rFonts w:hint="eastAsia" w:ascii="Times New Roman"/>
                <w:szCs w:val="21"/>
              </w:rPr>
              <w:t>　　　　　　　　                               项目经理（签字）：</w:t>
            </w:r>
            <w:r>
              <w:rPr>
                <w:rFonts w:hint="eastAsia" w:ascii="Times New Roman"/>
                <w:szCs w:val="21"/>
                <w:u w:val="single"/>
              </w:rPr>
              <w:t xml:space="preserve">　　　　     </w:t>
            </w:r>
          </w:p>
          <w:p>
            <w:pPr>
              <w:tabs>
                <w:tab w:val="left" w:pos="6210"/>
                <w:tab w:val="left" w:pos="8055"/>
              </w:tabs>
              <w:spacing w:after="156" w:afterLines="50" w:line="420" w:lineRule="exact"/>
              <w:rPr>
                <w:rFonts w:ascii="Times New Roman"/>
                <w:szCs w:val="21"/>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614" w:type="dxa"/>
            <w:tcBorders>
              <w:top w:val="single" w:color="auto" w:sz="4" w:space="0"/>
              <w:left w:val="single" w:color="auto" w:sz="8"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r>
              <w:rPr>
                <w:rFonts w:hint="eastAsia" w:ascii="Times New Roman"/>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p>
        </w:tc>
        <w:tc>
          <w:tcPr>
            <w:tcW w:w="1796"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r>
              <w:rPr>
                <w:rFonts w:hint="eastAsia" w:ascii="Times New Roman"/>
                <w:szCs w:val="21"/>
              </w:rPr>
              <w:t>施工项目经理部签收人姓名及时间</w:t>
            </w:r>
          </w:p>
        </w:tc>
        <w:tc>
          <w:tcPr>
            <w:tcW w:w="2318" w:type="dxa"/>
            <w:tcBorders>
              <w:top w:val="single" w:color="auto" w:sz="4" w:space="0"/>
              <w:left w:val="single" w:color="auto" w:sz="4" w:space="0"/>
              <w:bottom w:val="single" w:color="auto" w:sz="4" w:space="0"/>
              <w:right w:val="single" w:color="auto" w:sz="8" w:space="0"/>
            </w:tcBorders>
            <w:noWrap w:val="0"/>
            <w:vAlign w:val="top"/>
          </w:tcPr>
          <w:p>
            <w:pPr>
              <w:spacing w:line="320" w:lineRule="exact"/>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53" w:hRule="atLeast"/>
          <w:jc w:val="center"/>
        </w:trPr>
        <w:tc>
          <w:tcPr>
            <w:tcW w:w="8522" w:type="dxa"/>
            <w:gridSpan w:val="4"/>
            <w:tcBorders>
              <w:top w:val="single" w:color="auto" w:sz="4" w:space="0"/>
              <w:left w:val="single" w:color="auto" w:sz="8" w:space="0"/>
              <w:bottom w:val="single" w:color="auto" w:sz="4" w:space="0"/>
              <w:right w:val="single" w:color="auto" w:sz="8" w:space="0"/>
            </w:tcBorders>
            <w:noWrap w:val="0"/>
            <w:vAlign w:val="center"/>
          </w:tcPr>
          <w:p>
            <w:pPr>
              <w:rPr>
                <w:rFonts w:ascii="Times New Roman"/>
                <w:bCs/>
                <w:szCs w:val="21"/>
              </w:rPr>
            </w:pPr>
            <w:r>
              <w:rPr>
                <w:rFonts w:hint="eastAsia" w:ascii="Times New Roman"/>
                <w:bCs/>
                <w:szCs w:val="21"/>
              </w:rPr>
              <w:t>审查意见：</w:t>
            </w: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p>
          <w:p>
            <w:pPr>
              <w:rPr>
                <w:rFonts w:hint="eastAsia" w:ascii="Times New Roman"/>
                <w:szCs w:val="21"/>
              </w:rPr>
            </w:pPr>
            <w:r>
              <w:rPr>
                <w:rFonts w:hint="eastAsia" w:ascii="Times New Roman"/>
                <w:szCs w:val="21"/>
              </w:rPr>
              <w:t>附件：□ 审查记录</w:t>
            </w:r>
          </w:p>
          <w:p>
            <w:pPr>
              <w:rPr>
                <w:rFonts w:hint="eastAsia" w:ascii="Times New Roman"/>
                <w:szCs w:val="21"/>
              </w:rPr>
            </w:pPr>
          </w:p>
          <w:p>
            <w:pPr>
              <w:spacing w:after="156" w:afterLines="50"/>
              <w:rPr>
                <w:rFonts w:hint="eastAsia" w:ascii="Times New Roman"/>
                <w:szCs w:val="21"/>
              </w:rPr>
            </w:pPr>
            <w:r>
              <w:rPr>
                <w:rFonts w:hint="eastAsia" w:ascii="Times New Roman"/>
                <w:szCs w:val="21"/>
              </w:rPr>
              <w:t xml:space="preserve">                                         专业监理工程师（签字）：</w:t>
            </w:r>
            <w:r>
              <w:rPr>
                <w:rFonts w:hint="eastAsia" w:ascii="Times New Roman"/>
                <w:szCs w:val="21"/>
                <w:u w:val="single"/>
              </w:rPr>
              <w:t>　　     　　</w:t>
            </w:r>
            <w:r>
              <w:rPr>
                <w:rFonts w:hint="eastAsia" w:ascii="Times New Roman"/>
                <w:szCs w:val="21"/>
              </w:rPr>
              <w:t xml:space="preserve">  </w:t>
            </w:r>
          </w:p>
          <w:p>
            <w:pPr>
              <w:spacing w:after="156" w:afterLines="50"/>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Borders>
              <w:top w:val="single" w:color="auto" w:sz="4" w:space="0"/>
              <w:left w:val="single" w:color="auto" w:sz="8" w:space="0"/>
              <w:bottom w:val="single" w:color="auto" w:sz="4" w:space="0"/>
              <w:right w:val="single" w:color="auto" w:sz="8" w:space="0"/>
            </w:tcBorders>
            <w:noWrap w:val="0"/>
            <w:vAlign w:val="top"/>
          </w:tcPr>
          <w:p>
            <w:pPr>
              <w:spacing w:before="120" w:after="120"/>
              <w:rPr>
                <w:rFonts w:ascii="Times New Roman"/>
                <w:szCs w:val="21"/>
              </w:rPr>
            </w:pPr>
            <w:r>
              <w:rPr>
                <w:rFonts w:hint="eastAsia" w:ascii="Times New Roman"/>
                <w:szCs w:val="21"/>
              </w:rPr>
              <w:t>审核意见：</w:t>
            </w:r>
          </w:p>
          <w:p>
            <w:pPr>
              <w:rPr>
                <w:rFonts w:hint="eastAsia" w:ascii="Times New Roman"/>
                <w:szCs w:val="21"/>
              </w:rPr>
            </w:pPr>
          </w:p>
          <w:p>
            <w:pPr>
              <w:rPr>
                <w:rFonts w:hint="eastAsia" w:ascii="Times New Roman"/>
                <w:szCs w:val="21"/>
              </w:rPr>
            </w:pPr>
          </w:p>
          <w:p>
            <w:pPr>
              <w:spacing w:line="420" w:lineRule="exact"/>
              <w:rPr>
                <w:rFonts w:hint="eastAsia" w:ascii="Times New Roman"/>
                <w:szCs w:val="21"/>
                <w:u w:val="single"/>
              </w:rPr>
            </w:pPr>
            <w:r>
              <w:rPr>
                <w:rFonts w:hint="eastAsia" w:ascii="Times New Roman"/>
                <w:szCs w:val="21"/>
              </w:rPr>
              <w:t xml:space="preserve">　　　　　　             </w:t>
            </w:r>
            <w:r>
              <w:rPr>
                <w:rFonts w:hint="eastAsia" w:ascii="Times New Roman"/>
                <w:bCs/>
                <w:szCs w:val="21"/>
              </w:rPr>
              <w:t>项目监理机构(章)</w:t>
            </w:r>
            <w:r>
              <w:rPr>
                <w:rFonts w:hint="eastAsia" w:ascii="Times New Roman"/>
                <w:szCs w:val="21"/>
              </w:rPr>
              <w:t>：</w:t>
            </w:r>
            <w:r>
              <w:rPr>
                <w:rFonts w:hint="eastAsia" w:ascii="Times New Roman"/>
                <w:szCs w:val="21"/>
                <w:u w:val="single"/>
              </w:rPr>
              <w:t xml:space="preserve">　　　　　            　   </w:t>
            </w:r>
            <w:r>
              <w:rPr>
                <w:rFonts w:ascii="Times New Roman"/>
                <w:szCs w:val="21"/>
                <w:u w:val="single"/>
              </w:rPr>
              <w:t> </w:t>
            </w:r>
            <w:r>
              <w:rPr>
                <w:rFonts w:hint="eastAsia" w:ascii="Times New Roman"/>
                <w:szCs w:val="21"/>
                <w:u w:val="single"/>
              </w:rPr>
              <w:t xml:space="preserve">  　 　</w:t>
            </w:r>
            <w:r>
              <w:rPr>
                <w:rFonts w:hint="eastAsia" w:ascii="Times New Roman"/>
                <w:szCs w:val="21"/>
              </w:rPr>
              <w:t xml:space="preserve"> </w:t>
            </w:r>
          </w:p>
          <w:p>
            <w:pPr>
              <w:tabs>
                <w:tab w:val="left" w:pos="8040"/>
              </w:tabs>
              <w:spacing w:line="420" w:lineRule="exact"/>
              <w:ind w:firstLine="420" w:firstLineChars="200"/>
              <w:rPr>
                <w:rFonts w:hint="eastAsia" w:ascii="Times New Roman"/>
                <w:szCs w:val="21"/>
              </w:rPr>
            </w:pPr>
            <w:r>
              <w:rPr>
                <w:rFonts w:hint="eastAsia" w:ascii="Times New Roman"/>
                <w:szCs w:val="21"/>
              </w:rPr>
              <w:t xml:space="preserve">                     总监理工程师/总监理工程师代表（签字）：</w:t>
            </w:r>
            <w:r>
              <w:rPr>
                <w:rFonts w:hint="eastAsia" w:ascii="Times New Roman"/>
                <w:szCs w:val="21"/>
                <w:u w:val="single"/>
              </w:rPr>
              <w:t xml:space="preserve">　　　 </w:t>
            </w:r>
            <w:r>
              <w:rPr>
                <w:rFonts w:ascii="Times New Roman"/>
                <w:szCs w:val="21"/>
                <w:u w:val="single"/>
              </w:rPr>
              <w:t> </w:t>
            </w:r>
            <w:r>
              <w:rPr>
                <w:rFonts w:hint="eastAsia" w:ascii="Times New Roman"/>
                <w:szCs w:val="21"/>
                <w:u w:val="single"/>
              </w:rPr>
              <w:t xml:space="preserve"> 　　　</w:t>
            </w:r>
          </w:p>
          <w:p>
            <w:pPr>
              <w:tabs>
                <w:tab w:val="left" w:pos="6240"/>
              </w:tabs>
              <w:spacing w:after="156" w:afterLines="50" w:line="420" w:lineRule="exact"/>
              <w:ind w:firstLine="420" w:firstLineChars="200"/>
              <w:rPr>
                <w:rFonts w:ascii="Times New Roman"/>
                <w:szCs w:val="21"/>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8522" w:type="dxa"/>
            <w:gridSpan w:val="4"/>
            <w:tcBorders>
              <w:top w:val="single" w:color="auto" w:sz="4" w:space="0"/>
              <w:left w:val="single" w:color="auto" w:sz="8" w:space="0"/>
              <w:bottom w:val="single" w:color="auto" w:sz="8" w:space="0"/>
              <w:right w:val="single" w:color="auto" w:sz="8" w:space="0"/>
            </w:tcBorders>
            <w:noWrap w:val="0"/>
            <w:vAlign w:val="top"/>
          </w:tcPr>
          <w:p>
            <w:pPr>
              <w:rPr>
                <w:szCs w:val="21"/>
              </w:rPr>
            </w:pPr>
            <w:r>
              <w:rPr>
                <w:rFonts w:hint="eastAsia" w:ascii="Times New Roman"/>
                <w:szCs w:val="21"/>
              </w:rPr>
              <w:t>注：</w:t>
            </w:r>
            <w:r>
              <w:rPr>
                <w:szCs w:val="21"/>
              </w:rPr>
              <w:t>1</w:t>
            </w:r>
            <w:r>
              <w:rPr>
                <w:rFonts w:hint="eastAsia"/>
                <w:szCs w:val="21"/>
              </w:rPr>
              <w:t>、项目监理机构一般应在自收到本报审表之日起</w:t>
            </w:r>
            <w:r>
              <w:rPr>
                <w:szCs w:val="21"/>
              </w:rPr>
              <w:t>7</w:t>
            </w:r>
            <w:r>
              <w:rPr>
                <w:rFonts w:hint="eastAsia"/>
                <w:szCs w:val="21"/>
              </w:rPr>
              <w:t>日内完成计量审核工作，予以回复。</w:t>
            </w:r>
          </w:p>
          <w:p>
            <w:pPr>
              <w:ind w:firstLine="315" w:firstLineChars="150"/>
              <w:rPr>
                <w:rFonts w:ascii="Times New Roman"/>
                <w:szCs w:val="21"/>
              </w:rPr>
            </w:pPr>
            <w:r>
              <w:rPr>
                <w:szCs w:val="21"/>
              </w:rPr>
              <w:t> 2</w:t>
            </w:r>
            <w:r>
              <w:rPr>
                <w:rFonts w:hint="eastAsia"/>
                <w:szCs w:val="21"/>
              </w:rPr>
              <w:t>、本表一式二份，</w:t>
            </w:r>
            <w:r>
              <w:rPr>
                <w:rFonts w:hint="eastAsia" w:ascii="Times New Roman"/>
                <w:szCs w:val="21"/>
              </w:rPr>
              <w:t>项目监理机构、施工单位各一份。</w:t>
            </w:r>
          </w:p>
        </w:tc>
      </w:tr>
    </w:tbl>
    <w:p>
      <w:pPr>
        <w:rPr>
          <w:rFonts w:ascii="Times New Roman" w:eastAsia="隶书"/>
        </w:rPr>
      </w:pPr>
      <w:r>
        <w:rPr>
          <w:rFonts w:hint="eastAsia" w:ascii="Times New Roman" w:eastAsia="隶书"/>
        </w:rPr>
        <w:t>第六版表                                              江苏省住房和城乡建设厅监制</w:t>
      </w: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B.2.2</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费用索赔报审表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编号：</w:t>
      </w:r>
      <w:r>
        <w:rPr>
          <w:szCs w:val="21"/>
        </w:rPr>
        <w:t>B.2.2</w:t>
      </w:r>
      <w:r>
        <w:rPr>
          <w:rFonts w:hint="eastAsia"/>
          <w:szCs w:val="21"/>
        </w:rPr>
        <w:t>—</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141"/>
        <w:gridCol w:w="2653"/>
        <w:gridCol w:w="257"/>
        <w:gridCol w:w="1539"/>
        <w:gridCol w:w="336"/>
        <w:gridCol w:w="202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381" w:hRule="atLeast"/>
        </w:trPr>
        <w:tc>
          <w:tcPr>
            <w:tcW w:w="8568" w:type="dxa"/>
            <w:gridSpan w:val="7"/>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exact"/>
              <w:ind w:firstLine="420" w:firstLineChars="200"/>
              <w:jc w:val="left"/>
              <w:rPr>
                <w:rFonts w:hint="eastAsia" w:ascii="Times New Roman"/>
                <w:szCs w:val="21"/>
              </w:rPr>
            </w:pPr>
            <w:r>
              <w:rPr>
                <w:rFonts w:hint="eastAsia" w:ascii="Times New Roman"/>
                <w:szCs w:val="21"/>
              </w:rPr>
              <w:t>根据施工合同</w:t>
            </w:r>
            <w:r>
              <w:rPr>
                <w:rFonts w:hint="eastAsia" w:ascii="Times New Roman"/>
                <w:szCs w:val="21"/>
                <w:u w:val="single"/>
              </w:rPr>
              <w:t>　　　   　　</w:t>
            </w:r>
            <w:r>
              <w:rPr>
                <w:rFonts w:hint="eastAsia" w:ascii="Times New Roman"/>
                <w:szCs w:val="21"/>
              </w:rPr>
              <w:t>条款，由于</w:t>
            </w:r>
            <w:r>
              <w:rPr>
                <w:rFonts w:hint="eastAsia" w:ascii="Times New Roman"/>
                <w:szCs w:val="21"/>
                <w:u w:val="single"/>
              </w:rPr>
              <w:t>　　　　　        　　　　　　</w:t>
            </w:r>
            <w:r>
              <w:rPr>
                <w:rFonts w:hint="eastAsia" w:ascii="Times New Roman"/>
                <w:szCs w:val="21"/>
              </w:rPr>
              <w:t>的原因，我方申请索赔金额（大写）</w:t>
            </w:r>
            <w:r>
              <w:rPr>
                <w:rFonts w:hint="eastAsia" w:ascii="Times New Roman"/>
                <w:szCs w:val="21"/>
                <w:u w:val="single"/>
              </w:rPr>
              <w:t>　           　    　</w:t>
            </w:r>
            <w:r>
              <w:rPr>
                <w:rFonts w:hint="eastAsia" w:ascii="Times New Roman"/>
                <w:szCs w:val="21"/>
              </w:rPr>
              <w:t>，请予以批准。</w:t>
            </w:r>
          </w:p>
          <w:p>
            <w:pPr>
              <w:spacing w:line="360" w:lineRule="exact"/>
              <w:ind w:firstLine="420" w:firstLineChars="200"/>
              <w:rPr>
                <w:rFonts w:hint="eastAsia" w:ascii="Times New Roman"/>
                <w:szCs w:val="21"/>
              </w:rPr>
            </w:pPr>
            <w:r>
              <w:rPr>
                <w:rFonts w:hint="eastAsia" w:ascii="Times New Roman"/>
                <w:szCs w:val="21"/>
              </w:rPr>
              <w:t>索赔理由：</w:t>
            </w:r>
            <w:r>
              <w:rPr>
                <w:rFonts w:hint="eastAsia" w:ascii="Times New Roman"/>
                <w:szCs w:val="21"/>
                <w:u w:val="single"/>
              </w:rPr>
              <w:t>　　　　　        　　　　　　　　　　　             　　　　　　</w:t>
            </w:r>
          </w:p>
          <w:p>
            <w:pPr>
              <w:spacing w:line="360" w:lineRule="exact"/>
              <w:rPr>
                <w:rFonts w:hint="eastAsia" w:ascii="Times New Roman"/>
                <w:szCs w:val="21"/>
              </w:rPr>
            </w:pPr>
            <w:r>
              <w:rPr>
                <w:rFonts w:hint="eastAsia" w:ascii="Times New Roman"/>
                <w:szCs w:val="21"/>
                <w:u w:val="single"/>
              </w:rPr>
              <w:t>　　　　　        　                      　　　                          　　</w:t>
            </w:r>
            <w:r>
              <w:rPr>
                <w:rFonts w:hint="eastAsia" w:ascii="Times New Roman"/>
                <w:szCs w:val="21"/>
              </w:rPr>
              <w:t>。</w:t>
            </w:r>
          </w:p>
          <w:p>
            <w:pPr>
              <w:spacing w:line="360" w:lineRule="exact"/>
              <w:ind w:firstLine="420" w:firstLineChars="200"/>
              <w:rPr>
                <w:rFonts w:hint="eastAsia" w:ascii="Times New Roman"/>
                <w:szCs w:val="21"/>
              </w:rPr>
            </w:pPr>
            <w:r>
              <w:rPr>
                <w:rFonts w:hint="eastAsia" w:ascii="Times New Roman"/>
                <w:szCs w:val="21"/>
              </w:rPr>
              <w:t>附件：</w:t>
            </w:r>
          </w:p>
          <w:p>
            <w:pPr>
              <w:numPr>
                <w:ilvl w:val="0"/>
                <w:numId w:val="15"/>
              </w:numPr>
              <w:spacing w:line="360" w:lineRule="exact"/>
              <w:ind w:left="0" w:firstLine="405" w:firstLineChars="193"/>
              <w:rPr>
                <w:rFonts w:hint="eastAsia" w:ascii="Times New Roman"/>
                <w:szCs w:val="21"/>
              </w:rPr>
            </w:pPr>
            <w:r>
              <w:rPr>
                <w:rFonts w:hint="eastAsia" w:ascii="Times New Roman"/>
                <w:szCs w:val="21"/>
              </w:rPr>
              <w:t>索赔金额的计算</w:t>
            </w:r>
          </w:p>
          <w:p>
            <w:pPr>
              <w:numPr>
                <w:ilvl w:val="0"/>
                <w:numId w:val="15"/>
              </w:numPr>
              <w:spacing w:line="360" w:lineRule="exact"/>
              <w:ind w:left="0" w:firstLine="405" w:firstLineChars="193"/>
              <w:rPr>
                <w:rFonts w:hint="eastAsia" w:ascii="Times New Roman"/>
                <w:szCs w:val="21"/>
              </w:rPr>
            </w:pPr>
            <w:r>
              <w:rPr>
                <w:rFonts w:hint="eastAsia" w:ascii="Times New Roman"/>
                <w:szCs w:val="21"/>
              </w:rPr>
              <w:t>证明材料</w:t>
            </w:r>
          </w:p>
          <w:p>
            <w:pPr>
              <w:spacing w:line="240" w:lineRule="exact"/>
              <w:rPr>
                <w:rFonts w:hint="eastAsia" w:ascii="Times New Roman"/>
                <w:szCs w:val="21"/>
              </w:rPr>
            </w:pPr>
            <w:r>
              <w:rPr>
                <w:rFonts w:hint="eastAsia" w:ascii="Times New Roman"/>
                <w:szCs w:val="21"/>
              </w:rPr>
              <w:t xml:space="preserve">　　　　　　　　　　　　　　 </w:t>
            </w:r>
          </w:p>
          <w:p>
            <w:pPr>
              <w:spacing w:line="360" w:lineRule="exact"/>
              <w:rPr>
                <w:rFonts w:hint="eastAsia" w:ascii="Times New Roman"/>
                <w:szCs w:val="21"/>
                <w:u w:val="single"/>
              </w:rPr>
            </w:pPr>
            <w:r>
              <w:rPr>
                <w:rFonts w:hint="eastAsia" w:ascii="Times New Roman"/>
                <w:szCs w:val="21"/>
              </w:rPr>
              <w:t xml:space="preserve">                  </w:t>
            </w:r>
            <w:r>
              <w:rPr>
                <w:rFonts w:ascii="Times New Roman"/>
                <w:szCs w:val="21"/>
              </w:rPr>
              <w:t>   </w:t>
            </w:r>
            <w:r>
              <w:rPr>
                <w:rFonts w:hint="eastAsia" w:ascii="Times New Roman"/>
                <w:szCs w:val="21"/>
              </w:rPr>
              <w:t xml:space="preserve">                       施工项目经理部（章）：</w:t>
            </w:r>
            <w:r>
              <w:rPr>
                <w:rFonts w:hint="eastAsia" w:ascii="Times New Roman"/>
                <w:szCs w:val="21"/>
                <w:u w:val="single"/>
              </w:rPr>
              <w:t>　　　　　　　　</w:t>
            </w:r>
          </w:p>
          <w:p>
            <w:pPr>
              <w:spacing w:line="360" w:lineRule="exact"/>
              <w:ind w:firstLine="4410" w:firstLineChars="2100"/>
              <w:rPr>
                <w:rFonts w:hint="eastAsia" w:ascii="Times New Roman"/>
                <w:szCs w:val="21"/>
              </w:rPr>
            </w:pPr>
            <w:r>
              <w:rPr>
                <w:rFonts w:hint="eastAsia" w:ascii="Times New Roman"/>
                <w:szCs w:val="21"/>
              </w:rPr>
              <w:t>项目经理（签字、执业印章）：</w:t>
            </w:r>
            <w:r>
              <w:rPr>
                <w:rFonts w:hint="eastAsia" w:ascii="Times New Roman"/>
                <w:szCs w:val="21"/>
                <w:u w:val="single"/>
              </w:rPr>
              <w:t>　  　　　</w:t>
            </w:r>
            <w:r>
              <w:rPr>
                <w:rFonts w:hint="eastAsia" w:ascii="Times New Roman"/>
                <w:szCs w:val="21"/>
              </w:rPr>
              <w:t>　</w:t>
            </w:r>
          </w:p>
          <w:p>
            <w:pPr>
              <w:spacing w:line="360" w:lineRule="exact"/>
              <w:jc w:val="right"/>
              <w:rPr>
                <w:rFonts w:ascii="Times New Roman"/>
                <w:szCs w:val="21"/>
                <w:u w:val="single"/>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1614" w:type="dxa"/>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项目监理机构签收人姓名及时间</w:t>
            </w:r>
          </w:p>
        </w:tc>
        <w:tc>
          <w:tcPr>
            <w:tcW w:w="2794" w:type="dxa"/>
            <w:gridSpan w:val="2"/>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796" w:type="dxa"/>
            <w:gridSpan w:val="2"/>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施工项目经理部签收人姓名及时间</w:t>
            </w:r>
          </w:p>
        </w:tc>
        <w:tc>
          <w:tcPr>
            <w:tcW w:w="2364" w:type="dxa"/>
            <w:gridSpan w:val="2"/>
            <w:tcBorders>
              <w:top w:val="single" w:color="auto" w:sz="4" w:space="0"/>
              <w:left w:val="single" w:color="auto" w:sz="4" w:space="0"/>
              <w:bottom w:val="single" w:color="auto" w:sz="4" w:space="0"/>
              <w:right w:val="single" w:color="auto" w:sz="8" w:space="0"/>
            </w:tcBorders>
            <w:noWrap w:val="0"/>
            <w:vAlign w:val="top"/>
          </w:tcPr>
          <w:p>
            <w:pPr>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53" w:hRule="atLeast"/>
        </w:trPr>
        <w:tc>
          <w:tcPr>
            <w:tcW w:w="8568" w:type="dxa"/>
            <w:gridSpan w:val="7"/>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r>
              <w:rPr>
                <w:rFonts w:hint="eastAsia" w:ascii="Times New Roman"/>
                <w:szCs w:val="21"/>
              </w:rPr>
              <w:t>审核意见：</w:t>
            </w:r>
          </w:p>
          <w:p>
            <w:pPr>
              <w:spacing w:line="280" w:lineRule="exact"/>
              <w:rPr>
                <w:rFonts w:hint="eastAsia" w:ascii="Times New Roman"/>
                <w:szCs w:val="21"/>
              </w:rPr>
            </w:pPr>
          </w:p>
          <w:p>
            <w:pPr>
              <w:spacing w:line="280" w:lineRule="exact"/>
              <w:rPr>
                <w:rFonts w:hint="eastAsia" w:ascii="Times New Roman"/>
                <w:szCs w:val="21"/>
              </w:rPr>
            </w:pPr>
            <w:r>
              <w:rPr>
                <w:rFonts w:hint="eastAsia" w:ascii="Times New Roman"/>
                <w:szCs w:val="21"/>
              </w:rPr>
              <w:t>附件：□ 审核记录</w:t>
            </w:r>
          </w:p>
          <w:p>
            <w:pPr>
              <w:spacing w:after="120"/>
              <w:rPr>
                <w:rFonts w:hint="eastAsia" w:ascii="Times New Roman"/>
                <w:szCs w:val="21"/>
                <w:u w:val="single"/>
              </w:rPr>
            </w:pPr>
            <w:r>
              <w:rPr>
                <w:rFonts w:hint="eastAsia" w:ascii="Times New Roman"/>
                <w:szCs w:val="21"/>
              </w:rPr>
              <w:t>　　　　　                            项目监理机构(章)：</w:t>
            </w:r>
            <w:r>
              <w:rPr>
                <w:rFonts w:hint="eastAsia" w:ascii="Times New Roman"/>
                <w:szCs w:val="21"/>
                <w:u w:val="single"/>
              </w:rPr>
              <w:t>　　　　           　　</w:t>
            </w:r>
          </w:p>
          <w:p>
            <w:pPr>
              <w:spacing w:after="120"/>
              <w:ind w:firstLine="3990" w:firstLineChars="1900"/>
              <w:rPr>
                <w:rFonts w:hint="eastAsia" w:ascii="Times New Roman"/>
                <w:szCs w:val="21"/>
              </w:rPr>
            </w:pPr>
            <w:r>
              <w:rPr>
                <w:rFonts w:hint="eastAsia" w:ascii="Times New Roman"/>
                <w:szCs w:val="21"/>
              </w:rPr>
              <w:t>总监理工程师（签字、执业印章）：</w:t>
            </w:r>
            <w:r>
              <w:rPr>
                <w:rFonts w:hint="eastAsia" w:ascii="Times New Roman"/>
                <w:szCs w:val="21"/>
                <w:u w:val="single"/>
              </w:rPr>
              <w:t xml:space="preserve">　　  　  </w:t>
            </w:r>
            <w:r>
              <w:rPr>
                <w:rFonts w:hint="eastAsia" w:ascii="Times New Roman"/>
                <w:szCs w:val="21"/>
              </w:rPr>
              <w:t xml:space="preserve"> </w:t>
            </w:r>
          </w:p>
          <w:p>
            <w:pPr>
              <w:spacing w:after="120"/>
              <w:ind w:firstLine="420" w:firstLineChars="200"/>
              <w:jc w:val="right"/>
              <w:rPr>
                <w:rFonts w:ascii="Times New Roman"/>
                <w:szCs w:val="21"/>
                <w:u w:val="single"/>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trPr>
        <w:tc>
          <w:tcPr>
            <w:tcW w:w="1755" w:type="dxa"/>
            <w:gridSpan w:val="2"/>
            <w:tcBorders>
              <w:top w:val="single" w:color="auto" w:sz="4" w:space="0"/>
              <w:left w:val="single" w:color="auto" w:sz="8" w:space="0"/>
              <w:bottom w:val="single" w:color="auto" w:sz="4" w:space="0"/>
              <w:right w:val="single" w:color="auto" w:sz="4" w:space="0"/>
            </w:tcBorders>
            <w:noWrap w:val="0"/>
            <w:vAlign w:val="top"/>
          </w:tcPr>
          <w:p>
            <w:pPr>
              <w:spacing w:before="120" w:after="120"/>
              <w:jc w:val="center"/>
              <w:rPr>
                <w:rFonts w:ascii="Times New Roman"/>
                <w:szCs w:val="21"/>
              </w:rPr>
            </w:pPr>
            <w:r>
              <w:rPr>
                <w:rFonts w:hint="eastAsia" w:ascii="Times New Roman"/>
                <w:szCs w:val="21"/>
              </w:rPr>
              <w:t>建设单位签收人姓名及时间</w:t>
            </w:r>
          </w:p>
        </w:tc>
        <w:tc>
          <w:tcPr>
            <w:tcW w:w="2910" w:type="dxa"/>
            <w:gridSpan w:val="2"/>
            <w:tcBorders>
              <w:top w:val="single" w:color="auto" w:sz="4" w:space="0"/>
              <w:left w:val="single" w:color="auto" w:sz="4" w:space="0"/>
              <w:bottom w:val="single" w:color="auto" w:sz="4" w:space="0"/>
              <w:right w:val="single" w:color="auto" w:sz="4" w:space="0"/>
            </w:tcBorders>
            <w:noWrap w:val="0"/>
            <w:vAlign w:val="top"/>
          </w:tcPr>
          <w:p>
            <w:pPr>
              <w:spacing w:before="120" w:after="120"/>
              <w:ind w:firstLine="420" w:firstLineChars="200"/>
              <w:jc w:val="center"/>
              <w:rPr>
                <w:rFonts w:ascii="Times New Roman"/>
                <w:szCs w:val="21"/>
              </w:rPr>
            </w:pPr>
          </w:p>
        </w:tc>
        <w:tc>
          <w:tcPr>
            <w:tcW w:w="1875" w:type="dxa"/>
            <w:gridSpan w:val="2"/>
            <w:tcBorders>
              <w:top w:val="single" w:color="auto" w:sz="4" w:space="0"/>
              <w:left w:val="single" w:color="auto" w:sz="4" w:space="0"/>
              <w:bottom w:val="single" w:color="auto" w:sz="4" w:space="0"/>
              <w:right w:val="single" w:color="auto" w:sz="4" w:space="0"/>
            </w:tcBorders>
            <w:noWrap w:val="0"/>
            <w:vAlign w:val="top"/>
          </w:tcPr>
          <w:p>
            <w:pPr>
              <w:spacing w:before="120" w:after="120"/>
              <w:jc w:val="center"/>
              <w:rPr>
                <w:rFonts w:ascii="Times New Roman"/>
                <w:szCs w:val="21"/>
              </w:rPr>
            </w:pPr>
            <w:r>
              <w:rPr>
                <w:rFonts w:hint="eastAsia" w:ascii="Times New Roman"/>
                <w:szCs w:val="21"/>
              </w:rPr>
              <w:t>项目监理机构签收人姓名及时间</w:t>
            </w:r>
          </w:p>
        </w:tc>
        <w:tc>
          <w:tcPr>
            <w:tcW w:w="2028" w:type="dxa"/>
            <w:tcBorders>
              <w:top w:val="single" w:color="auto" w:sz="4" w:space="0"/>
              <w:left w:val="single" w:color="auto" w:sz="4" w:space="0"/>
              <w:bottom w:val="single" w:color="auto" w:sz="4" w:space="0"/>
              <w:right w:val="single" w:color="auto" w:sz="8" w:space="0"/>
            </w:tcBorders>
            <w:noWrap w:val="0"/>
            <w:vAlign w:val="top"/>
          </w:tcPr>
          <w:p>
            <w:pPr>
              <w:spacing w:before="120" w:after="120"/>
              <w:ind w:firstLine="420" w:firstLineChars="20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04" w:hRule="atLeast"/>
        </w:trPr>
        <w:tc>
          <w:tcPr>
            <w:tcW w:w="8568" w:type="dxa"/>
            <w:gridSpan w:val="7"/>
            <w:tcBorders>
              <w:top w:val="single" w:color="auto" w:sz="4" w:space="0"/>
              <w:left w:val="single" w:color="auto" w:sz="8" w:space="0"/>
              <w:bottom w:val="single" w:color="auto" w:sz="4" w:space="0"/>
              <w:right w:val="single" w:color="auto" w:sz="8" w:space="0"/>
            </w:tcBorders>
            <w:noWrap w:val="0"/>
            <w:vAlign w:val="top"/>
          </w:tcPr>
          <w:p>
            <w:pPr>
              <w:rPr>
                <w:rFonts w:ascii="Times New Roman"/>
                <w:szCs w:val="21"/>
              </w:rPr>
            </w:pPr>
            <w:r>
              <w:rPr>
                <w:rFonts w:hint="eastAsia" w:ascii="Times New Roman"/>
                <w:szCs w:val="21"/>
              </w:rPr>
              <w:t>审批意见：</w:t>
            </w:r>
          </w:p>
          <w:p>
            <w:pPr>
              <w:keepLines/>
              <w:rPr>
                <w:rFonts w:hint="eastAsia" w:ascii="Times New Roman"/>
                <w:szCs w:val="21"/>
              </w:rPr>
            </w:pPr>
          </w:p>
          <w:p>
            <w:pPr>
              <w:spacing w:after="120"/>
              <w:ind w:firstLine="4410" w:firstLineChars="2100"/>
              <w:rPr>
                <w:rFonts w:hint="eastAsia" w:ascii="Times New Roman"/>
                <w:szCs w:val="21"/>
                <w:u w:val="single"/>
              </w:rPr>
            </w:pPr>
            <w:r>
              <w:rPr>
                <w:rFonts w:hint="eastAsia" w:ascii="Times New Roman"/>
                <w:szCs w:val="21"/>
              </w:rPr>
              <w:t>建设单位(章)：</w:t>
            </w:r>
            <w:r>
              <w:rPr>
                <w:rFonts w:hint="eastAsia" w:ascii="Times New Roman"/>
                <w:szCs w:val="21"/>
                <w:u w:val="single"/>
              </w:rPr>
              <w:t xml:space="preserve">　　　            　   </w:t>
            </w:r>
          </w:p>
          <w:p>
            <w:pPr>
              <w:spacing w:after="120"/>
              <w:ind w:firstLine="4410" w:firstLineChars="2100"/>
              <w:rPr>
                <w:rFonts w:hint="eastAsia" w:ascii="Times New Roman"/>
                <w:szCs w:val="21"/>
              </w:rPr>
            </w:pPr>
            <w:r>
              <w:rPr>
                <w:rFonts w:hint="eastAsia" w:ascii="Times New Roman"/>
                <w:szCs w:val="21"/>
              </w:rPr>
              <w:t>项目负责人（签字）：</w:t>
            </w:r>
            <w:r>
              <w:rPr>
                <w:rFonts w:hint="eastAsia" w:ascii="Times New Roman"/>
                <w:szCs w:val="21"/>
                <w:u w:val="single"/>
              </w:rPr>
              <w:t xml:space="preserve">　　          　  </w:t>
            </w:r>
            <w:r>
              <w:rPr>
                <w:rFonts w:hint="eastAsia" w:ascii="Times New Roman"/>
                <w:szCs w:val="21"/>
              </w:rPr>
              <w:t xml:space="preserve"> </w:t>
            </w:r>
          </w:p>
          <w:p>
            <w:pPr>
              <w:spacing w:after="120"/>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70" w:hRule="atLeast"/>
        </w:trPr>
        <w:tc>
          <w:tcPr>
            <w:tcW w:w="8568" w:type="dxa"/>
            <w:gridSpan w:val="7"/>
            <w:tcBorders>
              <w:top w:val="single" w:color="auto" w:sz="4" w:space="0"/>
              <w:left w:val="single" w:color="auto" w:sz="8" w:space="0"/>
              <w:bottom w:val="single" w:color="auto" w:sz="8" w:space="0"/>
              <w:right w:val="single" w:color="auto" w:sz="8" w:space="0"/>
            </w:tcBorders>
            <w:noWrap w:val="0"/>
            <w:vAlign w:val="top"/>
          </w:tcPr>
          <w:p>
            <w:pPr>
              <w:rPr>
                <w:szCs w:val="21"/>
              </w:rPr>
            </w:pPr>
            <w:r>
              <w:rPr>
                <w:rFonts w:hint="eastAsia" w:ascii="Times New Roman"/>
                <w:szCs w:val="21"/>
              </w:rPr>
              <w:t>注：</w:t>
            </w:r>
            <w:r>
              <w:rPr>
                <w:szCs w:val="21"/>
              </w:rPr>
              <w:t>1</w:t>
            </w:r>
            <w:r>
              <w:rPr>
                <w:rFonts w:hint="eastAsia"/>
                <w:szCs w:val="21"/>
              </w:rPr>
              <w:t>、项目监理机构应在收到索赔报审表后</w:t>
            </w:r>
            <w:r>
              <w:rPr>
                <w:szCs w:val="21"/>
              </w:rPr>
              <w:t>14</w:t>
            </w:r>
            <w:r>
              <w:rPr>
                <w:rFonts w:hint="eastAsia"/>
                <w:szCs w:val="21"/>
              </w:rPr>
              <w:t>天内完成审核并报建设单位。</w:t>
            </w:r>
          </w:p>
          <w:p>
            <w:pPr>
              <w:ind w:firstLine="420"/>
              <w:rPr>
                <w:szCs w:val="21"/>
              </w:rPr>
            </w:pPr>
            <w:r>
              <w:rPr>
                <w:szCs w:val="21"/>
              </w:rPr>
              <w:t>2</w:t>
            </w:r>
            <w:r>
              <w:rPr>
                <w:rFonts w:hint="eastAsia"/>
                <w:szCs w:val="21"/>
              </w:rPr>
              <w:t>、建设单位应在监理机构收到索赔报审表或有关索赔的进一步证明材料后的</w:t>
            </w:r>
            <w:r>
              <w:rPr>
                <w:szCs w:val="21"/>
              </w:rPr>
              <w:t>28</w:t>
            </w:r>
            <w:r>
              <w:rPr>
                <w:rFonts w:hint="eastAsia"/>
                <w:szCs w:val="21"/>
              </w:rPr>
              <w:t>天内，由监理机构向施工单位出具经建设单位签认的索赔处理结果。</w:t>
            </w:r>
          </w:p>
          <w:p>
            <w:pPr>
              <w:ind w:firstLine="420"/>
              <w:rPr>
                <w:rFonts w:ascii="Times New Roman"/>
                <w:szCs w:val="21"/>
              </w:rPr>
            </w:pPr>
            <w:r>
              <w:rPr>
                <w:szCs w:val="21"/>
              </w:rPr>
              <w:t>3</w:t>
            </w:r>
            <w:r>
              <w:rPr>
                <w:rFonts w:hint="eastAsia"/>
                <w:szCs w:val="21"/>
              </w:rPr>
              <w:t>、本表一式</w:t>
            </w:r>
            <w:r>
              <w:rPr>
                <w:rFonts w:hint="eastAsia" w:ascii="Times New Roman"/>
                <w:szCs w:val="21"/>
              </w:rPr>
              <w:t>三份，项目监理机构、建设单位、施工单位各一份。</w:t>
            </w:r>
          </w:p>
        </w:tc>
      </w:tr>
    </w:tbl>
    <w:p>
      <w:pPr>
        <w:jc w:val="left"/>
        <w:rPr>
          <w:rFonts w:ascii="Times New Roman" w:eastAsia="隶书"/>
        </w:rPr>
      </w:pPr>
      <w:r>
        <w:rPr>
          <w:rFonts w:hint="eastAsia" w:ascii="Times New Roman" w:eastAsia="隶书"/>
        </w:rPr>
        <w:t>第六版表                                              江苏省住房和城乡建设厅监制</w:t>
      </w:r>
    </w:p>
    <w:p>
      <w:pPr>
        <w:widowControl/>
        <w:jc w:val="left"/>
        <w:rPr>
          <w:rFonts w:ascii="Times New Roman" w:eastAsia="隶书"/>
        </w:rPr>
        <w:sectPr>
          <w:pgSz w:w="11906" w:h="16838"/>
          <w:pgMar w:top="1021" w:right="1701" w:bottom="1701" w:left="1701" w:header="851" w:footer="992" w:gutter="0"/>
          <w:cols w:space="720" w:num="1"/>
          <w:docGrid w:type="lines" w:linePitch="312" w:charSpace="0"/>
        </w:sectPr>
      </w:pPr>
    </w:p>
    <w:p>
      <w:pPr>
        <w:jc w:val="right"/>
        <w:rPr>
          <w:rFonts w:hint="eastAsia" w:eastAsia="黑体"/>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B.2.3</w:t>
      </w:r>
    </w:p>
    <w:p>
      <w:pPr>
        <w:spacing w:before="312" w:beforeLines="100" w:after="312" w:afterLines="100" w:line="24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工程款支付报审表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编号：</w:t>
      </w:r>
      <w:r>
        <w:rPr>
          <w:szCs w:val="21"/>
        </w:rPr>
        <w:t>B.2.3</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40"/>
        <w:gridCol w:w="135"/>
        <w:gridCol w:w="2769"/>
        <w:gridCol w:w="284"/>
        <w:gridCol w:w="1417"/>
        <w:gridCol w:w="142"/>
        <w:gridCol w:w="203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062" w:hRule="atLeast"/>
          <w:jc w:val="center"/>
        </w:trPr>
        <w:tc>
          <w:tcPr>
            <w:tcW w:w="8525" w:type="dxa"/>
            <w:gridSpan w:val="7"/>
            <w:tcBorders>
              <w:top w:val="single" w:color="auto" w:sz="8" w:space="0"/>
              <w:left w:val="single" w:color="auto" w:sz="8" w:space="0"/>
              <w:bottom w:val="single" w:color="auto" w:sz="4" w:space="0"/>
              <w:right w:val="single" w:color="auto" w:sz="8" w:space="0"/>
            </w:tcBorders>
            <w:noWrap w:val="0"/>
            <w:vAlign w:val="top"/>
          </w:tcPr>
          <w:p>
            <w:pPr>
              <w:spacing w:before="120" w:after="120" w:line="30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00" w:lineRule="exact"/>
              <w:ind w:firstLine="420" w:firstLineChars="200"/>
              <w:jc w:val="left"/>
              <w:rPr>
                <w:rFonts w:hint="eastAsia" w:ascii="Times New Roman"/>
                <w:szCs w:val="21"/>
              </w:rPr>
            </w:pPr>
            <w:r>
              <w:rPr>
                <w:rFonts w:hint="eastAsia" w:ascii="Times New Roman"/>
                <w:szCs w:val="21"/>
              </w:rPr>
              <w:t>根据施工合同约定，我方已完成</w:t>
            </w:r>
            <w:r>
              <w:rPr>
                <w:rFonts w:hint="eastAsia" w:ascii="Times New Roman"/>
                <w:szCs w:val="21"/>
                <w:u w:val="single"/>
              </w:rPr>
              <w:t xml:space="preserve">                                 </w:t>
            </w:r>
            <w:r>
              <w:rPr>
                <w:rFonts w:hint="eastAsia" w:ascii="Times New Roman"/>
                <w:szCs w:val="21"/>
              </w:rPr>
              <w:t>工作,建设单位应在</w:t>
            </w:r>
            <w:r>
              <w:rPr>
                <w:rFonts w:hint="eastAsia" w:ascii="Times New Roman"/>
                <w:szCs w:val="21"/>
                <w:u w:val="single"/>
              </w:rPr>
              <w:t>　 　</w:t>
            </w:r>
            <w:r>
              <w:rPr>
                <w:rFonts w:hint="eastAsia" w:ascii="Times New Roman"/>
                <w:szCs w:val="21"/>
              </w:rPr>
              <w:t>年</w:t>
            </w:r>
            <w:r>
              <w:rPr>
                <w:rFonts w:hint="eastAsia" w:ascii="Times New Roman"/>
                <w:szCs w:val="21"/>
                <w:u w:val="single"/>
              </w:rPr>
              <w:t>　　</w:t>
            </w:r>
            <w:r>
              <w:rPr>
                <w:rFonts w:hint="eastAsia" w:ascii="Times New Roman"/>
                <w:szCs w:val="21"/>
              </w:rPr>
              <w:t>月</w:t>
            </w:r>
            <w:r>
              <w:rPr>
                <w:rFonts w:hint="eastAsia" w:ascii="Times New Roman"/>
                <w:szCs w:val="21"/>
                <w:u w:val="single"/>
              </w:rPr>
              <w:t>　　</w:t>
            </w:r>
            <w:r>
              <w:rPr>
                <w:rFonts w:hint="eastAsia" w:ascii="Times New Roman"/>
                <w:szCs w:val="21"/>
              </w:rPr>
              <w:t>日前支付该项工程款共计（大写）</w:t>
            </w:r>
            <w:r>
              <w:rPr>
                <w:rFonts w:hint="eastAsia" w:ascii="Times New Roman"/>
                <w:szCs w:val="21"/>
                <w:u w:val="single"/>
              </w:rPr>
              <w:t xml:space="preserve">                           </w:t>
            </w:r>
            <w:r>
              <w:rPr>
                <w:rFonts w:hint="eastAsia" w:ascii="Times New Roman"/>
                <w:szCs w:val="21"/>
              </w:rPr>
              <w:t xml:space="preserve">(小写: </w:t>
            </w:r>
            <w:r>
              <w:rPr>
                <w:rFonts w:hint="eastAsia" w:ascii="Times New Roman"/>
                <w:szCs w:val="21"/>
                <w:u w:val="single"/>
              </w:rPr>
              <w:t xml:space="preserve">              </w:t>
            </w:r>
            <w:r>
              <w:rPr>
                <w:rFonts w:hint="eastAsia" w:ascii="Times New Roman"/>
                <w:szCs w:val="21"/>
              </w:rPr>
              <w:t>)，现将有关资料报上，请予以审核。</w:t>
            </w:r>
          </w:p>
          <w:p>
            <w:pPr>
              <w:spacing w:line="300" w:lineRule="exact"/>
              <w:ind w:firstLine="420" w:firstLineChars="200"/>
              <w:jc w:val="left"/>
              <w:rPr>
                <w:rFonts w:hint="eastAsia" w:ascii="Times New Roman"/>
                <w:szCs w:val="21"/>
              </w:rPr>
            </w:pPr>
            <w:r>
              <w:rPr>
                <w:rFonts w:hint="eastAsia" w:ascii="Times New Roman"/>
                <w:szCs w:val="21"/>
              </w:rPr>
              <w:t>附件：工程款支付证明材料</w:t>
            </w:r>
          </w:p>
          <w:p>
            <w:pPr>
              <w:spacing w:line="360" w:lineRule="auto"/>
              <w:ind w:firstLine="4273" w:firstLineChars="2035"/>
              <w:rPr>
                <w:rFonts w:hint="eastAsia" w:ascii="Times New Roman"/>
                <w:szCs w:val="21"/>
                <w:u w:val="single"/>
              </w:rPr>
            </w:pPr>
            <w:r>
              <w:rPr>
                <w:rFonts w:hint="eastAsia" w:ascii="Times New Roman"/>
                <w:szCs w:val="21"/>
              </w:rPr>
              <w:t>施工项目经理部（章）：</w:t>
            </w:r>
            <w:r>
              <w:rPr>
                <w:rFonts w:hint="eastAsia" w:ascii="Times New Roman"/>
                <w:szCs w:val="21"/>
                <w:u w:val="single"/>
              </w:rPr>
              <w:t>　　　　　　　　</w:t>
            </w:r>
          </w:p>
          <w:p>
            <w:pPr>
              <w:spacing w:line="360" w:lineRule="auto"/>
              <w:ind w:firstLine="480"/>
              <w:jc w:val="left"/>
              <w:rPr>
                <w:rFonts w:hint="eastAsia" w:ascii="Times New Roman"/>
                <w:szCs w:val="21"/>
              </w:rPr>
            </w:pPr>
            <w:r>
              <w:rPr>
                <w:rFonts w:hint="eastAsia" w:ascii="Times New Roman"/>
                <w:szCs w:val="21"/>
              </w:rPr>
              <w:t>　　　　      　                    项目经理（签字、执业印章）：</w:t>
            </w:r>
            <w:r>
              <w:rPr>
                <w:rFonts w:hint="eastAsia" w:ascii="Times New Roman"/>
                <w:szCs w:val="21"/>
                <w:u w:val="single"/>
              </w:rPr>
              <w:t>　　  　　</w:t>
            </w:r>
            <w:r>
              <w:rPr>
                <w:rFonts w:hint="eastAsia" w:ascii="Times New Roman"/>
                <w:szCs w:val="21"/>
              </w:rPr>
              <w:t>　</w:t>
            </w:r>
          </w:p>
          <w:p>
            <w:pPr>
              <w:spacing w:line="360" w:lineRule="auto"/>
              <w:ind w:firstLine="5934" w:firstLineChars="2826"/>
              <w:jc w:val="left"/>
              <w:rPr>
                <w:rFonts w:ascii="Times New Roman"/>
                <w:szCs w:val="21"/>
                <w:u w:val="single"/>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58" w:hRule="exact"/>
          <w:jc w:val="center"/>
        </w:trPr>
        <w:tc>
          <w:tcPr>
            <w:tcW w:w="1740" w:type="dxa"/>
            <w:tcBorders>
              <w:top w:val="single" w:color="auto" w:sz="4" w:space="0"/>
              <w:left w:val="single" w:color="auto" w:sz="8" w:space="0"/>
              <w:bottom w:val="single" w:color="auto" w:sz="4" w:space="0"/>
              <w:right w:val="single" w:color="auto" w:sz="4" w:space="0"/>
            </w:tcBorders>
            <w:noWrap w:val="0"/>
            <w:vAlign w:val="top"/>
          </w:tcPr>
          <w:p>
            <w:pPr>
              <w:spacing w:line="320" w:lineRule="exact"/>
              <w:ind w:left="-105" w:leftChars="-50" w:right="-105" w:rightChars="-50"/>
              <w:jc w:val="center"/>
              <w:rPr>
                <w:rFonts w:ascii="Times New Roman"/>
                <w:szCs w:val="21"/>
              </w:rPr>
            </w:pPr>
            <w:r>
              <w:rPr>
                <w:rFonts w:hint="eastAsia" w:ascii="Times New Roman"/>
                <w:szCs w:val="21"/>
              </w:rPr>
              <w:t>项目监理机构签收人姓名及时间</w:t>
            </w:r>
          </w:p>
        </w:tc>
        <w:tc>
          <w:tcPr>
            <w:tcW w:w="2904" w:type="dxa"/>
            <w:gridSpan w:val="2"/>
            <w:tcBorders>
              <w:top w:val="single" w:color="auto" w:sz="4" w:space="0"/>
              <w:left w:val="single" w:color="auto" w:sz="4" w:space="0"/>
              <w:bottom w:val="single" w:color="auto" w:sz="4" w:space="0"/>
              <w:right w:val="single" w:color="auto" w:sz="4" w:space="0"/>
            </w:tcBorders>
            <w:noWrap w:val="0"/>
            <w:vAlign w:val="top"/>
          </w:tcPr>
          <w:p>
            <w:pPr>
              <w:spacing w:line="320" w:lineRule="exact"/>
              <w:ind w:left="-105" w:leftChars="-50" w:right="-105" w:rightChars="-50"/>
              <w:jc w:val="center"/>
              <w:rPr>
                <w:rFonts w:ascii="Times New Roman"/>
                <w:szCs w:val="21"/>
              </w:rPr>
            </w:pPr>
          </w:p>
        </w:tc>
        <w:tc>
          <w:tcPr>
            <w:tcW w:w="1701" w:type="dxa"/>
            <w:gridSpan w:val="2"/>
            <w:tcBorders>
              <w:top w:val="single" w:color="auto" w:sz="4" w:space="0"/>
              <w:left w:val="single" w:color="auto" w:sz="4" w:space="0"/>
              <w:bottom w:val="single" w:color="auto" w:sz="4" w:space="0"/>
              <w:right w:val="single" w:color="auto" w:sz="4" w:space="0"/>
            </w:tcBorders>
            <w:noWrap w:val="0"/>
            <w:vAlign w:val="top"/>
          </w:tcPr>
          <w:p>
            <w:pPr>
              <w:spacing w:line="320" w:lineRule="exact"/>
              <w:ind w:left="-105" w:leftChars="-50" w:right="-105" w:rightChars="-50"/>
              <w:jc w:val="center"/>
              <w:rPr>
                <w:rFonts w:ascii="Times New Roman"/>
                <w:szCs w:val="21"/>
              </w:rPr>
            </w:pPr>
            <w:r>
              <w:rPr>
                <w:rFonts w:hint="eastAsia" w:ascii="Times New Roman"/>
                <w:szCs w:val="21"/>
              </w:rPr>
              <w:t>施工项目经理部签收人姓名及时间</w:t>
            </w:r>
          </w:p>
        </w:tc>
        <w:tc>
          <w:tcPr>
            <w:tcW w:w="2180" w:type="dxa"/>
            <w:gridSpan w:val="2"/>
            <w:tcBorders>
              <w:top w:val="single" w:color="auto" w:sz="4" w:space="0"/>
              <w:left w:val="single" w:color="auto" w:sz="4" w:space="0"/>
              <w:bottom w:val="single" w:color="auto" w:sz="4" w:space="0"/>
              <w:right w:val="single" w:color="auto" w:sz="8" w:space="0"/>
            </w:tcBorders>
            <w:noWrap w:val="0"/>
            <w:vAlign w:val="top"/>
          </w:tcPr>
          <w:p>
            <w:pPr>
              <w:spacing w:line="320" w:lineRule="exact"/>
              <w:ind w:left="-105" w:leftChars="-50" w:right="-105" w:rightChars="-5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981" w:hRule="atLeast"/>
          <w:jc w:val="center"/>
        </w:trPr>
        <w:tc>
          <w:tcPr>
            <w:tcW w:w="8525" w:type="dxa"/>
            <w:gridSpan w:val="7"/>
            <w:tcBorders>
              <w:top w:val="single" w:color="auto" w:sz="4" w:space="0"/>
              <w:left w:val="single" w:color="auto" w:sz="8" w:space="0"/>
              <w:bottom w:val="single" w:color="auto" w:sz="4" w:space="0"/>
              <w:right w:val="single" w:color="auto" w:sz="8" w:space="0"/>
            </w:tcBorders>
            <w:noWrap w:val="0"/>
            <w:vAlign w:val="top"/>
          </w:tcPr>
          <w:p>
            <w:pPr>
              <w:spacing w:before="120" w:after="120"/>
              <w:rPr>
                <w:rFonts w:ascii="Times New Roman"/>
                <w:szCs w:val="21"/>
              </w:rPr>
            </w:pPr>
            <w:r>
              <w:rPr>
                <w:rFonts w:hint="eastAsia" w:ascii="Times New Roman"/>
                <w:szCs w:val="21"/>
              </w:rPr>
              <w:t>审查意见：</w:t>
            </w:r>
          </w:p>
          <w:p>
            <w:pPr>
              <w:spacing w:before="120" w:after="120"/>
              <w:rPr>
                <w:rFonts w:hint="eastAsia" w:ascii="Times New Roman"/>
                <w:szCs w:val="21"/>
              </w:rPr>
            </w:pPr>
          </w:p>
          <w:p>
            <w:pPr>
              <w:rPr>
                <w:rFonts w:hint="eastAsia" w:ascii="Times New Roman"/>
                <w:szCs w:val="21"/>
              </w:rPr>
            </w:pPr>
            <w:r>
              <w:rPr>
                <w:rFonts w:hint="eastAsia" w:ascii="Times New Roman"/>
                <w:szCs w:val="21"/>
              </w:rPr>
              <w:t>附件：□ 审查记录</w:t>
            </w:r>
          </w:p>
          <w:p>
            <w:pPr>
              <w:spacing w:before="120" w:after="120"/>
              <w:rPr>
                <w:rFonts w:hint="eastAsia" w:ascii="Times New Roman"/>
                <w:szCs w:val="21"/>
              </w:rPr>
            </w:pPr>
            <w:r>
              <w:rPr>
                <w:rFonts w:hint="eastAsia" w:ascii="Times New Roman"/>
                <w:szCs w:val="21"/>
              </w:rPr>
              <w:t>　　　　                                   专业监理工程师（签字）：</w:t>
            </w:r>
            <w:r>
              <w:rPr>
                <w:rFonts w:hint="eastAsia" w:ascii="Times New Roman"/>
                <w:szCs w:val="21"/>
                <w:u w:val="single"/>
              </w:rPr>
              <w:t>　　　 　　</w:t>
            </w:r>
            <w:r>
              <w:rPr>
                <w:rFonts w:hint="eastAsia" w:ascii="Times New Roman"/>
                <w:szCs w:val="21"/>
              </w:rPr>
              <w:t>　</w:t>
            </w:r>
          </w:p>
          <w:p>
            <w:pPr>
              <w:spacing w:before="120" w:after="120"/>
              <w:ind w:firstLine="5880" w:firstLineChars="2800"/>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77" w:hRule="atLeast"/>
          <w:jc w:val="center"/>
        </w:trPr>
        <w:tc>
          <w:tcPr>
            <w:tcW w:w="8525" w:type="dxa"/>
            <w:gridSpan w:val="7"/>
            <w:tcBorders>
              <w:top w:val="single" w:color="auto" w:sz="4" w:space="0"/>
              <w:left w:val="single" w:color="auto" w:sz="8" w:space="0"/>
              <w:bottom w:val="single" w:color="auto" w:sz="4" w:space="0"/>
              <w:right w:val="single" w:color="auto" w:sz="8" w:space="0"/>
            </w:tcBorders>
            <w:noWrap w:val="0"/>
            <w:vAlign w:val="top"/>
          </w:tcPr>
          <w:p>
            <w:pPr>
              <w:spacing w:before="120" w:after="120"/>
              <w:rPr>
                <w:rFonts w:ascii="Times New Roman"/>
                <w:szCs w:val="21"/>
              </w:rPr>
            </w:pPr>
            <w:r>
              <w:rPr>
                <w:rFonts w:hint="eastAsia" w:ascii="Times New Roman"/>
                <w:szCs w:val="21"/>
              </w:rPr>
              <w:t>审核意见：</w:t>
            </w:r>
          </w:p>
          <w:p>
            <w:pPr>
              <w:spacing w:line="140" w:lineRule="exact"/>
              <w:ind w:firstLine="3479" w:firstLineChars="1657"/>
              <w:rPr>
                <w:rFonts w:hint="eastAsia" w:ascii="Times New Roman"/>
                <w:szCs w:val="21"/>
              </w:rPr>
            </w:pPr>
          </w:p>
          <w:p>
            <w:pPr>
              <w:spacing w:line="360" w:lineRule="auto"/>
              <w:ind w:firstLine="3805" w:firstLineChars="1812"/>
              <w:rPr>
                <w:rFonts w:hint="eastAsia" w:ascii="Times New Roman"/>
                <w:szCs w:val="21"/>
                <w:u w:val="single"/>
              </w:rPr>
            </w:pPr>
            <w:r>
              <w:rPr>
                <w:rFonts w:hint="eastAsia" w:ascii="Times New Roman"/>
                <w:szCs w:val="21"/>
              </w:rPr>
              <w:t>项目监理机构（章）：</w:t>
            </w:r>
            <w:r>
              <w:rPr>
                <w:rFonts w:hint="eastAsia" w:ascii="Times New Roman"/>
                <w:szCs w:val="21"/>
                <w:u w:val="single"/>
              </w:rPr>
              <w:t>　　　　　　        　　</w:t>
            </w:r>
          </w:p>
          <w:p>
            <w:pPr>
              <w:spacing w:line="360" w:lineRule="auto"/>
              <w:rPr>
                <w:rFonts w:hint="eastAsia" w:ascii="Times New Roman"/>
                <w:szCs w:val="21"/>
              </w:rPr>
            </w:pPr>
            <w:r>
              <w:rPr>
                <w:rFonts w:hint="eastAsia" w:ascii="Times New Roman"/>
                <w:szCs w:val="21"/>
              </w:rPr>
              <w:t>　　                                总监理工程师（签字、执业印章）：</w:t>
            </w:r>
            <w:r>
              <w:rPr>
                <w:rFonts w:hint="eastAsia" w:ascii="Times New Roman"/>
                <w:szCs w:val="21"/>
                <w:u w:val="single"/>
              </w:rPr>
              <w:t>　　　　  　</w:t>
            </w:r>
            <w:r>
              <w:rPr>
                <w:rFonts w:hint="eastAsia" w:ascii="Times New Roman"/>
                <w:szCs w:val="21"/>
              </w:rPr>
              <w:t>　</w:t>
            </w:r>
          </w:p>
          <w:p>
            <w:pPr>
              <w:spacing w:line="360" w:lineRule="auto"/>
              <w:ind w:firstLine="6090" w:firstLineChars="2900"/>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60" w:hRule="exact"/>
          <w:jc w:val="center"/>
        </w:trPr>
        <w:tc>
          <w:tcPr>
            <w:tcW w:w="1875" w:type="dxa"/>
            <w:gridSpan w:val="2"/>
            <w:tcBorders>
              <w:top w:val="single" w:color="auto" w:sz="4" w:space="0"/>
              <w:left w:val="single" w:color="auto" w:sz="8" w:space="0"/>
              <w:bottom w:val="single" w:color="auto" w:sz="4" w:space="0"/>
              <w:right w:val="single" w:color="auto" w:sz="4" w:space="0"/>
            </w:tcBorders>
            <w:noWrap w:val="0"/>
            <w:vAlign w:val="top"/>
          </w:tcPr>
          <w:p>
            <w:pPr>
              <w:spacing w:line="320" w:lineRule="exact"/>
              <w:ind w:left="-105" w:leftChars="-50" w:right="-105" w:rightChars="-50"/>
              <w:jc w:val="center"/>
              <w:rPr>
                <w:rFonts w:ascii="Times New Roman"/>
                <w:szCs w:val="21"/>
              </w:rPr>
            </w:pPr>
            <w:r>
              <w:rPr>
                <w:rFonts w:hint="eastAsia" w:ascii="Times New Roman"/>
                <w:szCs w:val="21"/>
              </w:rPr>
              <w:t>建设单位签收人</w:t>
            </w:r>
          </w:p>
          <w:p>
            <w:pPr>
              <w:spacing w:line="320" w:lineRule="exact"/>
              <w:ind w:left="-105" w:leftChars="-50" w:right="-105" w:rightChars="-50"/>
              <w:jc w:val="center"/>
              <w:rPr>
                <w:rFonts w:ascii="Times New Roman"/>
                <w:szCs w:val="21"/>
              </w:rPr>
            </w:pPr>
            <w:r>
              <w:rPr>
                <w:rFonts w:hint="eastAsia" w:ascii="Times New Roman"/>
                <w:szCs w:val="21"/>
              </w:rPr>
              <w:t>姓名及时间</w:t>
            </w:r>
          </w:p>
        </w:tc>
        <w:tc>
          <w:tcPr>
            <w:tcW w:w="3053" w:type="dxa"/>
            <w:gridSpan w:val="2"/>
            <w:tcBorders>
              <w:top w:val="single" w:color="auto" w:sz="4" w:space="0"/>
              <w:left w:val="single" w:color="auto" w:sz="4" w:space="0"/>
              <w:bottom w:val="single" w:color="auto" w:sz="4" w:space="0"/>
              <w:right w:val="single" w:color="auto" w:sz="4" w:space="0"/>
            </w:tcBorders>
            <w:noWrap w:val="0"/>
            <w:vAlign w:val="top"/>
          </w:tcPr>
          <w:p>
            <w:pPr>
              <w:spacing w:line="320" w:lineRule="exact"/>
              <w:ind w:left="-105" w:leftChars="-50" w:right="-105" w:rightChars="-50"/>
              <w:jc w:val="center"/>
              <w:rPr>
                <w:rFonts w:ascii="Times New Roman"/>
                <w:szCs w:val="21"/>
              </w:rPr>
            </w:pPr>
          </w:p>
        </w:tc>
        <w:tc>
          <w:tcPr>
            <w:tcW w:w="1559" w:type="dxa"/>
            <w:gridSpan w:val="2"/>
            <w:tcBorders>
              <w:top w:val="single" w:color="auto" w:sz="4" w:space="0"/>
              <w:left w:val="single" w:color="auto" w:sz="4" w:space="0"/>
              <w:bottom w:val="single" w:color="auto" w:sz="4" w:space="0"/>
              <w:right w:val="single" w:color="auto" w:sz="4" w:space="0"/>
            </w:tcBorders>
            <w:noWrap w:val="0"/>
            <w:vAlign w:val="top"/>
          </w:tcPr>
          <w:p>
            <w:pPr>
              <w:spacing w:line="320" w:lineRule="exact"/>
              <w:ind w:left="-105" w:leftChars="-50" w:right="-105" w:rightChars="-50"/>
              <w:jc w:val="center"/>
              <w:rPr>
                <w:rFonts w:ascii="Times New Roman"/>
                <w:szCs w:val="21"/>
              </w:rPr>
            </w:pPr>
            <w:r>
              <w:rPr>
                <w:rFonts w:hint="eastAsia" w:ascii="Times New Roman"/>
                <w:szCs w:val="21"/>
              </w:rPr>
              <w:t>项目监理机构签收人姓名及时间</w:t>
            </w:r>
          </w:p>
        </w:tc>
        <w:tc>
          <w:tcPr>
            <w:tcW w:w="2038" w:type="dxa"/>
            <w:tcBorders>
              <w:top w:val="single" w:color="auto" w:sz="4" w:space="0"/>
              <w:left w:val="single" w:color="auto" w:sz="4" w:space="0"/>
              <w:bottom w:val="single" w:color="auto" w:sz="4" w:space="0"/>
              <w:right w:val="single" w:color="auto" w:sz="8" w:space="0"/>
            </w:tcBorders>
            <w:noWrap w:val="0"/>
            <w:vAlign w:val="top"/>
          </w:tcPr>
          <w:p>
            <w:pPr>
              <w:spacing w:line="320" w:lineRule="exact"/>
              <w:ind w:left="-105" w:leftChars="-50" w:right="-105" w:rightChars="-5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80" w:hRule="atLeast"/>
          <w:jc w:val="center"/>
        </w:trPr>
        <w:tc>
          <w:tcPr>
            <w:tcW w:w="8525" w:type="dxa"/>
            <w:gridSpan w:val="7"/>
            <w:tcBorders>
              <w:top w:val="single" w:color="auto" w:sz="4" w:space="0"/>
              <w:left w:val="single" w:color="auto" w:sz="8" w:space="0"/>
              <w:bottom w:val="single" w:color="auto" w:sz="4" w:space="0"/>
              <w:right w:val="single" w:color="auto" w:sz="8" w:space="0"/>
            </w:tcBorders>
            <w:noWrap w:val="0"/>
            <w:vAlign w:val="top"/>
          </w:tcPr>
          <w:p>
            <w:pPr>
              <w:spacing w:before="120" w:after="120" w:line="300" w:lineRule="exact"/>
              <w:rPr>
                <w:rFonts w:ascii="Times New Roman"/>
                <w:szCs w:val="21"/>
              </w:rPr>
            </w:pPr>
            <w:r>
              <w:rPr>
                <w:rFonts w:hint="eastAsia" w:ascii="Times New Roman"/>
                <w:szCs w:val="21"/>
              </w:rPr>
              <w:t>审批意见：</w:t>
            </w:r>
          </w:p>
          <w:p>
            <w:pPr>
              <w:spacing w:before="120" w:after="120" w:line="300" w:lineRule="exact"/>
              <w:rPr>
                <w:rFonts w:hint="eastAsia" w:ascii="Times New Roman"/>
                <w:szCs w:val="21"/>
              </w:rPr>
            </w:pPr>
          </w:p>
          <w:p>
            <w:pPr>
              <w:spacing w:line="300" w:lineRule="exact"/>
              <w:ind w:firstLine="3780" w:firstLineChars="1800"/>
              <w:rPr>
                <w:rFonts w:hint="eastAsia" w:ascii="Times New Roman"/>
                <w:szCs w:val="21"/>
                <w:u w:val="single"/>
              </w:rPr>
            </w:pPr>
            <w:r>
              <w:rPr>
                <w:rFonts w:hint="eastAsia" w:ascii="Times New Roman"/>
                <w:szCs w:val="21"/>
              </w:rPr>
              <w:t>建设单位（章）：</w:t>
            </w:r>
            <w:r>
              <w:rPr>
                <w:rFonts w:hint="eastAsia" w:ascii="Times New Roman"/>
                <w:szCs w:val="21"/>
                <w:u w:val="single"/>
              </w:rPr>
              <w:t>　　　            　　　</w:t>
            </w:r>
          </w:p>
          <w:p>
            <w:pPr>
              <w:spacing w:line="300" w:lineRule="exact"/>
              <w:rPr>
                <w:rFonts w:hint="eastAsia" w:ascii="Times New Roman"/>
                <w:szCs w:val="21"/>
              </w:rPr>
            </w:pPr>
            <w:r>
              <w:rPr>
                <w:rFonts w:hint="eastAsia" w:ascii="Times New Roman"/>
                <w:szCs w:val="21"/>
              </w:rPr>
              <w:t>　　　                              项目负责人（签字）：</w:t>
            </w:r>
            <w:r>
              <w:rPr>
                <w:rFonts w:hint="eastAsia" w:ascii="Times New Roman"/>
                <w:szCs w:val="21"/>
                <w:u w:val="single"/>
              </w:rPr>
              <w:t>　　　          　　</w:t>
            </w:r>
            <w:r>
              <w:rPr>
                <w:rFonts w:hint="eastAsia" w:ascii="Times New Roman"/>
                <w:szCs w:val="21"/>
              </w:rPr>
              <w:t>　</w:t>
            </w:r>
          </w:p>
          <w:p>
            <w:pPr>
              <w:spacing w:line="300" w:lineRule="exact"/>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3" w:hRule="atLeast"/>
          <w:jc w:val="center"/>
        </w:trPr>
        <w:tc>
          <w:tcPr>
            <w:tcW w:w="8525" w:type="dxa"/>
            <w:gridSpan w:val="7"/>
            <w:tcBorders>
              <w:top w:val="single" w:color="auto" w:sz="4" w:space="0"/>
              <w:left w:val="single" w:color="auto" w:sz="8" w:space="0"/>
              <w:bottom w:val="single" w:color="auto" w:sz="8" w:space="0"/>
              <w:right w:val="single" w:color="auto" w:sz="8" w:space="0"/>
            </w:tcBorders>
            <w:noWrap w:val="0"/>
            <w:vAlign w:val="center"/>
          </w:tcPr>
          <w:p>
            <w:pPr>
              <w:ind w:left="735" w:hanging="735" w:hangingChars="350"/>
              <w:jc w:val="left"/>
              <w:rPr>
                <w:szCs w:val="21"/>
              </w:rPr>
            </w:pPr>
            <w:r>
              <w:rPr>
                <w:rFonts w:hint="eastAsia" w:ascii="Times New Roman"/>
                <w:szCs w:val="21"/>
              </w:rPr>
              <w:t>注：</w:t>
            </w:r>
            <w:r>
              <w:rPr>
                <w:szCs w:val="21"/>
              </w:rPr>
              <w:t>1</w:t>
            </w:r>
            <w:r>
              <w:rPr>
                <w:rFonts w:hint="eastAsia"/>
                <w:szCs w:val="21"/>
              </w:rPr>
              <w:t>、项目监理机构应在收到施工单位进度付款报审报表以及相关资料后</w:t>
            </w:r>
            <w:r>
              <w:rPr>
                <w:szCs w:val="21"/>
              </w:rPr>
              <w:t>7</w:t>
            </w:r>
            <w:r>
              <w:rPr>
                <w:rFonts w:hint="eastAsia"/>
                <w:szCs w:val="21"/>
              </w:rPr>
              <w:t>天内完成审核并报建设单位。</w:t>
            </w:r>
          </w:p>
          <w:p>
            <w:pPr>
              <w:ind w:left="735" w:hanging="735" w:hangingChars="350"/>
              <w:jc w:val="left"/>
              <w:rPr>
                <w:rFonts w:ascii="Times New Roman"/>
                <w:szCs w:val="21"/>
              </w:rPr>
            </w:pPr>
            <w:r>
              <w:rPr>
                <w:szCs w:val="21"/>
              </w:rPr>
              <w:t xml:space="preserve">    2</w:t>
            </w:r>
            <w:r>
              <w:rPr>
                <w:rFonts w:hint="eastAsia" w:ascii="Times New Roman"/>
                <w:szCs w:val="21"/>
              </w:rPr>
              <w:t>、本表一式四份，项目监理机构、建设单位各一份，施工单位二份。</w:t>
            </w:r>
          </w:p>
        </w:tc>
      </w:tr>
    </w:tbl>
    <w:p>
      <w:pPr>
        <w:jc w:val="left"/>
        <w:rPr>
          <w:rFonts w:ascii="Times New Roman" w:eastAsia="隶书"/>
        </w:rPr>
      </w:pPr>
      <w:r>
        <w:rPr>
          <w:rFonts w:hint="eastAsia" w:ascii="Times New Roman" w:eastAsia="隶书"/>
        </w:rPr>
        <w:t>第六版表                                              江苏省住房和城乡建设厅监制</w:t>
      </w:r>
    </w:p>
    <w:p>
      <w:pPr>
        <w:widowControl/>
        <w:jc w:val="left"/>
        <w:rPr>
          <w:rFonts w:ascii="Times New Roman" w:eastAsia="隶书"/>
        </w:rPr>
        <w:sectPr>
          <w:pgSz w:w="11906" w:h="16838"/>
          <w:pgMar w:top="1021" w:right="1701" w:bottom="1701" w:left="1701" w:header="851" w:footer="992" w:gutter="0"/>
          <w:cols w:space="720" w:num="1"/>
          <w:docGrid w:type="lines" w:linePitch="312" w:charSpace="0"/>
        </w:sectPr>
      </w:pPr>
    </w:p>
    <w:p>
      <w:pPr>
        <w:jc w:val="right"/>
        <w:rPr>
          <w:rFonts w:hint="eastAsia" w:eastAsia="黑体"/>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B.3.1</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施工进度计划报审表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szCs w:val="21"/>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B.3.1</w:t>
      </w:r>
      <w:r>
        <w:rPr>
          <w:szCs w:val="21"/>
          <w:u w:val="single"/>
        </w:rPr>
        <w:t xml:space="preserve">   </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2860"/>
        <w:gridCol w:w="1937"/>
        <w:gridCol w:w="241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52" w:hRule="atLeast"/>
        </w:trPr>
        <w:tc>
          <w:tcPr>
            <w:tcW w:w="8755"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420" w:lineRule="exact"/>
              <w:rPr>
                <w:rFonts w:hint="eastAsia" w:ascii="Times New Roman"/>
                <w:szCs w:val="21"/>
              </w:rPr>
            </w:pPr>
            <w:r>
              <w:rPr>
                <w:rFonts w:hint="eastAsia" w:ascii="Times New Roman"/>
                <w:szCs w:val="21"/>
              </w:rPr>
              <w:t xml:space="preserve">     根据施工合同约定，我方已完成</w:t>
            </w:r>
            <w:r>
              <w:rPr>
                <w:rFonts w:hint="eastAsia" w:ascii="Times New Roman"/>
                <w:szCs w:val="21"/>
                <w:u w:val="single"/>
              </w:rPr>
              <w:t>　　　　        　　　</w:t>
            </w:r>
            <w:r>
              <w:rPr>
                <w:rFonts w:hint="eastAsia" w:ascii="Times New Roman"/>
                <w:szCs w:val="21"/>
              </w:rPr>
              <w:t>工程</w:t>
            </w:r>
            <w:r>
              <w:rPr>
                <w:rFonts w:hint="eastAsia" w:ascii="Times New Roman"/>
                <w:szCs w:val="21"/>
                <w:u w:val="single"/>
              </w:rPr>
              <w:t>　　　　</w:t>
            </w:r>
            <w:r>
              <w:rPr>
                <w:rFonts w:hint="eastAsia" w:ascii="Times New Roman"/>
                <w:szCs w:val="21"/>
              </w:rPr>
              <w:t>年</w:t>
            </w:r>
            <w:r>
              <w:rPr>
                <w:rFonts w:hint="eastAsia" w:ascii="Times New Roman"/>
                <w:szCs w:val="21"/>
                <w:u w:val="single"/>
              </w:rPr>
              <w:t>　　</w:t>
            </w:r>
            <w:r>
              <w:rPr>
                <w:rFonts w:hint="eastAsia" w:ascii="Times New Roman"/>
                <w:szCs w:val="21"/>
              </w:rPr>
              <w:t>月</w:t>
            </w:r>
            <w:r>
              <w:rPr>
                <w:rFonts w:hint="eastAsia" w:ascii="Times New Roman"/>
                <w:szCs w:val="21"/>
                <w:u w:val="single"/>
              </w:rPr>
              <w:t xml:space="preserve">    </w:t>
            </w:r>
            <w:r>
              <w:rPr>
                <w:rFonts w:hint="eastAsia" w:ascii="Times New Roman"/>
                <w:szCs w:val="21"/>
              </w:rPr>
              <w:t>日至</w:t>
            </w:r>
            <w:r>
              <w:rPr>
                <w:rFonts w:hint="eastAsia" w:ascii="Times New Roman"/>
                <w:szCs w:val="21"/>
                <w:u w:val="single"/>
              </w:rPr>
              <w:t>　　　　</w:t>
            </w:r>
            <w:r>
              <w:rPr>
                <w:rFonts w:hint="eastAsia" w:ascii="Times New Roman"/>
                <w:szCs w:val="21"/>
              </w:rPr>
              <w:t>年</w:t>
            </w:r>
            <w:r>
              <w:rPr>
                <w:rFonts w:hint="eastAsia" w:ascii="Times New Roman"/>
                <w:szCs w:val="21"/>
                <w:u w:val="single"/>
              </w:rPr>
              <w:t>　　</w:t>
            </w:r>
            <w:r>
              <w:rPr>
                <w:rFonts w:hint="eastAsia" w:ascii="Times New Roman"/>
                <w:szCs w:val="21"/>
              </w:rPr>
              <w:t>月</w:t>
            </w:r>
            <w:r>
              <w:rPr>
                <w:rFonts w:hint="eastAsia" w:ascii="Times New Roman"/>
                <w:szCs w:val="21"/>
                <w:u w:val="single"/>
              </w:rPr>
              <w:t>　　</w:t>
            </w:r>
            <w:r>
              <w:rPr>
                <w:rFonts w:hint="eastAsia" w:ascii="Times New Roman"/>
                <w:szCs w:val="21"/>
              </w:rPr>
              <w:t>日的进度计划的编制和审批，请予以审查。</w:t>
            </w:r>
          </w:p>
          <w:p>
            <w:pPr>
              <w:spacing w:line="420" w:lineRule="exact"/>
              <w:rPr>
                <w:rFonts w:hint="eastAsia" w:ascii="Times New Roman"/>
                <w:szCs w:val="21"/>
              </w:rPr>
            </w:pPr>
            <w:r>
              <w:rPr>
                <w:rFonts w:hint="eastAsia" w:ascii="Times New Roman"/>
                <w:szCs w:val="21"/>
              </w:rPr>
              <w:t>　　附件：</w:t>
            </w:r>
          </w:p>
          <w:p>
            <w:pPr>
              <w:spacing w:line="420" w:lineRule="exact"/>
              <w:ind w:firstLine="420" w:firstLineChars="200"/>
              <w:rPr>
                <w:rFonts w:hint="eastAsia" w:ascii="Times New Roman"/>
                <w:szCs w:val="21"/>
              </w:rPr>
            </w:pPr>
            <w:r>
              <w:rPr>
                <w:rFonts w:hint="eastAsia" w:ascii="Times New Roman"/>
                <w:szCs w:val="21"/>
              </w:rPr>
              <w:t>□ 工程总进度计划及相关资料</w:t>
            </w:r>
          </w:p>
          <w:p>
            <w:pPr>
              <w:spacing w:line="420" w:lineRule="exact"/>
              <w:ind w:firstLine="420" w:firstLineChars="200"/>
              <w:rPr>
                <w:rFonts w:hint="eastAsia" w:ascii="Times New Roman"/>
                <w:szCs w:val="21"/>
              </w:rPr>
            </w:pPr>
            <w:r>
              <w:rPr>
                <w:rFonts w:hint="eastAsia" w:ascii="Times New Roman"/>
                <w:szCs w:val="21"/>
              </w:rPr>
              <w:t>□ 工程月进度计划及相关资料</w:t>
            </w:r>
          </w:p>
          <w:p>
            <w:pPr>
              <w:spacing w:line="420" w:lineRule="exact"/>
              <w:ind w:firstLine="420" w:firstLineChars="200"/>
              <w:rPr>
                <w:rFonts w:hint="eastAsia" w:ascii="Times New Roman"/>
                <w:szCs w:val="21"/>
              </w:rPr>
            </w:pPr>
            <w:r>
              <w:rPr>
                <w:rFonts w:hint="eastAsia" w:ascii="Times New Roman"/>
                <w:szCs w:val="21"/>
              </w:rPr>
              <w:t>□</w:t>
            </w:r>
            <w:r>
              <w:rPr>
                <w:szCs w:val="21"/>
              </w:rPr>
              <w:t xml:space="preserve"> </w:t>
            </w:r>
            <w:r>
              <w:rPr>
                <w:rFonts w:hint="eastAsia" w:ascii="Times New Roman"/>
                <w:szCs w:val="21"/>
              </w:rPr>
              <w:t>其他阶段计划及相关资料</w:t>
            </w:r>
          </w:p>
          <w:p>
            <w:pPr>
              <w:spacing w:line="420" w:lineRule="exact"/>
              <w:ind w:firstLine="420" w:firstLineChars="200"/>
              <w:rPr>
                <w:rFonts w:hint="eastAsia" w:ascii="Times New Roman"/>
                <w:szCs w:val="21"/>
              </w:rPr>
            </w:pPr>
          </w:p>
          <w:p>
            <w:pPr>
              <w:spacing w:line="420" w:lineRule="exact"/>
              <w:rPr>
                <w:rFonts w:hint="eastAsia" w:ascii="Times New Roman"/>
                <w:szCs w:val="21"/>
              </w:rPr>
            </w:pPr>
          </w:p>
          <w:p>
            <w:pPr>
              <w:tabs>
                <w:tab w:val="left" w:pos="3780"/>
              </w:tabs>
              <w:spacing w:line="420" w:lineRule="exact"/>
              <w:ind w:firstLine="5040" w:firstLineChars="2400"/>
              <w:rPr>
                <w:rFonts w:hint="eastAsia" w:ascii="Times New Roman"/>
                <w:szCs w:val="21"/>
              </w:rPr>
            </w:pPr>
            <w:r>
              <w:rPr>
                <w:rFonts w:hint="eastAsia" w:ascii="Times New Roman"/>
                <w:szCs w:val="21"/>
              </w:rPr>
              <w:t>施工项目经理部（章）：</w:t>
            </w:r>
            <w:r>
              <w:rPr>
                <w:rFonts w:hint="eastAsia" w:ascii="Times New Roman"/>
                <w:szCs w:val="21"/>
                <w:u w:val="single"/>
              </w:rPr>
              <w:t xml:space="preserve">　　 </w:t>
            </w:r>
            <w:r>
              <w:rPr>
                <w:rFonts w:ascii="Times New Roman"/>
                <w:szCs w:val="21"/>
                <w:u w:val="single"/>
              </w:rPr>
              <w:t> </w:t>
            </w:r>
            <w:r>
              <w:rPr>
                <w:rFonts w:hint="eastAsia" w:ascii="Times New Roman"/>
                <w:szCs w:val="21"/>
                <w:u w:val="single"/>
              </w:rPr>
              <w:t xml:space="preserve">     　</w:t>
            </w:r>
          </w:p>
          <w:p>
            <w:pPr>
              <w:spacing w:line="420" w:lineRule="exact"/>
              <w:ind w:firstLine="5040" w:firstLineChars="2400"/>
              <w:rPr>
                <w:rFonts w:hint="eastAsia" w:ascii="Times New Roman"/>
                <w:szCs w:val="21"/>
              </w:rPr>
            </w:pPr>
            <w:r>
              <w:rPr>
                <w:rFonts w:hint="eastAsia" w:ascii="Times New Roman"/>
                <w:szCs w:val="21"/>
              </w:rPr>
              <w:t>项目经理（签字）：</w:t>
            </w:r>
            <w:r>
              <w:rPr>
                <w:rFonts w:hint="eastAsia" w:ascii="Times New Roman"/>
                <w:szCs w:val="21"/>
                <w:u w:val="single"/>
              </w:rPr>
              <w:t>　　　　　　　</w:t>
            </w:r>
            <w:r>
              <w:rPr>
                <w:rFonts w:hint="eastAsia" w:ascii="Times New Roman"/>
                <w:szCs w:val="21"/>
              </w:rPr>
              <w:t xml:space="preserve">   </w:t>
            </w:r>
          </w:p>
          <w:p>
            <w:pPr>
              <w:spacing w:line="420" w:lineRule="exact"/>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1548" w:type="dxa"/>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项目监理机构签收人姓名及时间</w:t>
            </w:r>
          </w:p>
        </w:tc>
        <w:tc>
          <w:tcPr>
            <w:tcW w:w="2860"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937"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施工项目经理部签收人姓名及时间</w:t>
            </w:r>
          </w:p>
        </w:tc>
        <w:tc>
          <w:tcPr>
            <w:tcW w:w="2410" w:type="dxa"/>
            <w:tcBorders>
              <w:top w:val="single" w:color="auto" w:sz="4" w:space="0"/>
              <w:left w:val="single" w:color="auto" w:sz="4" w:space="0"/>
              <w:bottom w:val="single" w:color="auto" w:sz="4" w:space="0"/>
              <w:right w:val="single" w:color="auto" w:sz="8" w:space="0"/>
            </w:tcBorders>
            <w:noWrap w:val="0"/>
            <w:vAlign w:val="top"/>
          </w:tcPr>
          <w:p>
            <w:pPr>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73" w:hRule="atLeast"/>
        </w:trPr>
        <w:tc>
          <w:tcPr>
            <w:tcW w:w="8755" w:type="dxa"/>
            <w:gridSpan w:val="4"/>
            <w:tcBorders>
              <w:top w:val="single" w:color="auto" w:sz="4" w:space="0"/>
              <w:left w:val="single" w:color="auto" w:sz="8" w:space="0"/>
              <w:bottom w:val="single" w:color="auto" w:sz="4" w:space="0"/>
              <w:right w:val="single" w:color="auto" w:sz="8" w:space="0"/>
            </w:tcBorders>
            <w:noWrap w:val="0"/>
            <w:vAlign w:val="top"/>
          </w:tcPr>
          <w:p>
            <w:pPr>
              <w:spacing w:before="120"/>
              <w:rPr>
                <w:rFonts w:ascii="Times New Roman"/>
                <w:szCs w:val="21"/>
              </w:rPr>
            </w:pPr>
            <w:r>
              <w:rPr>
                <w:rFonts w:hint="eastAsia" w:ascii="Times New Roman"/>
                <w:szCs w:val="21"/>
              </w:rPr>
              <w:t>审查意见：</w:t>
            </w:r>
          </w:p>
          <w:p>
            <w:pPr>
              <w:spacing w:before="120"/>
              <w:rPr>
                <w:rFonts w:hint="eastAsia" w:ascii="Times New Roman" w:hAnsi="Times New Roman"/>
                <w:szCs w:val="21"/>
              </w:rPr>
            </w:pPr>
          </w:p>
          <w:p>
            <w:pPr>
              <w:spacing w:line="420" w:lineRule="exact"/>
              <w:ind w:firstLine="4767" w:firstLineChars="2270"/>
              <w:rPr>
                <w:rFonts w:hint="eastAsia" w:ascii="Times New Roman" w:hAnsi="Times New Roman"/>
                <w:bCs/>
                <w:szCs w:val="21"/>
                <w:u w:val="single"/>
              </w:rPr>
            </w:pPr>
            <w:r>
              <w:rPr>
                <w:rFonts w:hint="eastAsia" w:ascii="Times New Roman" w:hAnsi="Times New Roman"/>
                <w:bCs/>
                <w:szCs w:val="21"/>
              </w:rPr>
              <w:t xml:space="preserve">项目监理机构(章):  </w:t>
            </w:r>
            <w:r>
              <w:rPr>
                <w:rFonts w:hint="eastAsia" w:ascii="Times New Roman" w:hAnsi="Times New Roman"/>
                <w:bCs/>
                <w:szCs w:val="21"/>
                <w:u w:val="single"/>
              </w:rPr>
              <w:t xml:space="preserve">                 </w:t>
            </w:r>
          </w:p>
          <w:p>
            <w:pPr>
              <w:spacing w:line="420" w:lineRule="exact"/>
              <w:ind w:firstLine="630" w:firstLineChars="300"/>
              <w:jc w:val="center"/>
              <w:rPr>
                <w:rFonts w:hint="eastAsia" w:ascii="Times New Roman"/>
                <w:szCs w:val="21"/>
              </w:rPr>
            </w:pPr>
            <w:r>
              <w:rPr>
                <w:rFonts w:hint="eastAsia" w:ascii="Times New Roman" w:hAnsi="Times New Roman"/>
                <w:szCs w:val="21"/>
              </w:rPr>
              <w:t xml:space="preserve">                          专业监理工程师</w:t>
            </w:r>
            <w:r>
              <w:rPr>
                <w:rFonts w:hint="eastAsia" w:ascii="Times New Roman"/>
                <w:szCs w:val="21"/>
              </w:rPr>
              <w:t>（签字）</w:t>
            </w:r>
            <w:r>
              <w:rPr>
                <w:rFonts w:hint="eastAsia" w:ascii="Times New Roman" w:hAnsi="Times New Roman"/>
                <w:szCs w:val="21"/>
              </w:rPr>
              <w:t xml:space="preserve">： </w:t>
            </w:r>
            <w:r>
              <w:rPr>
                <w:rFonts w:hint="eastAsia" w:ascii="Times New Roman" w:hAnsi="Times New Roman"/>
                <w:szCs w:val="21"/>
                <w:u w:val="single"/>
              </w:rPr>
              <w:t xml:space="preserve">            </w:t>
            </w:r>
            <w:r>
              <w:rPr>
                <w:rFonts w:hint="eastAsia" w:ascii="Times New Roman"/>
                <w:szCs w:val="21"/>
              </w:rPr>
              <w:t xml:space="preserve">  </w:t>
            </w:r>
          </w:p>
          <w:p>
            <w:pPr>
              <w:spacing w:line="420" w:lineRule="exact"/>
              <w:ind w:firstLine="630" w:firstLineChars="300"/>
              <w:jc w:val="right"/>
              <w:rPr>
                <w:rFonts w:ascii="Times New Roman"/>
                <w:szCs w:val="21"/>
                <w:u w:val="single"/>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8755" w:type="dxa"/>
            <w:gridSpan w:val="4"/>
            <w:tcBorders>
              <w:top w:val="single" w:color="auto" w:sz="4" w:space="0"/>
              <w:left w:val="single" w:color="auto" w:sz="8" w:space="0"/>
              <w:bottom w:val="single" w:color="auto" w:sz="4" w:space="0"/>
              <w:right w:val="single" w:color="auto" w:sz="8" w:space="0"/>
            </w:tcBorders>
            <w:noWrap w:val="0"/>
            <w:vAlign w:val="top"/>
          </w:tcPr>
          <w:p>
            <w:pPr>
              <w:spacing w:before="120"/>
              <w:rPr>
                <w:rFonts w:ascii="Times New Roman"/>
                <w:szCs w:val="21"/>
              </w:rPr>
            </w:pPr>
            <w:r>
              <w:rPr>
                <w:rFonts w:hint="eastAsia" w:ascii="Times New Roman"/>
                <w:szCs w:val="21"/>
              </w:rPr>
              <w:t>审核意见：</w:t>
            </w:r>
          </w:p>
          <w:p>
            <w:pPr>
              <w:spacing w:before="120"/>
              <w:rPr>
                <w:rFonts w:hint="eastAsia" w:ascii="Times New Roman" w:hAnsi="Times New Roman"/>
                <w:szCs w:val="21"/>
              </w:rPr>
            </w:pPr>
          </w:p>
          <w:p>
            <w:pPr>
              <w:spacing w:line="420" w:lineRule="exact"/>
              <w:ind w:firstLine="3150" w:firstLineChars="1500"/>
              <w:rPr>
                <w:rFonts w:hint="eastAsia" w:ascii="Times New Roman" w:hAnsi="Times New Roman"/>
                <w:bCs/>
                <w:szCs w:val="21"/>
                <w:u w:val="single"/>
              </w:rPr>
            </w:pPr>
            <w:r>
              <w:rPr>
                <w:rFonts w:hint="eastAsia" w:ascii="Times New Roman" w:hAnsi="Times New Roman"/>
                <w:bCs/>
                <w:szCs w:val="21"/>
              </w:rPr>
              <w:t xml:space="preserve">项目监理机构(章):  </w:t>
            </w:r>
            <w:r>
              <w:rPr>
                <w:rFonts w:hint="eastAsia" w:ascii="Times New Roman" w:hAnsi="Times New Roman"/>
                <w:bCs/>
                <w:szCs w:val="21"/>
                <w:u w:val="single"/>
              </w:rPr>
              <w:t xml:space="preserve">                               </w:t>
            </w:r>
          </w:p>
          <w:p>
            <w:pPr>
              <w:spacing w:line="420" w:lineRule="exact"/>
              <w:jc w:val="center"/>
              <w:rPr>
                <w:rFonts w:hint="eastAsia" w:ascii="Times New Roman"/>
                <w:szCs w:val="21"/>
              </w:rPr>
            </w:pPr>
            <w:r>
              <w:rPr>
                <w:rFonts w:hint="eastAsia" w:ascii="Times New Roman" w:hAnsi="Times New Roman"/>
                <w:szCs w:val="21"/>
              </w:rPr>
              <w:t xml:space="preserve">                 总监理工程师/总监理工程师代表</w:t>
            </w:r>
            <w:r>
              <w:rPr>
                <w:rFonts w:hint="eastAsia" w:ascii="Times New Roman"/>
                <w:szCs w:val="21"/>
              </w:rPr>
              <w:t>（签字）</w:t>
            </w:r>
            <w:r>
              <w:rPr>
                <w:rFonts w:hint="eastAsia" w:ascii="Times New Roman" w:hAnsi="Times New Roman"/>
                <w:szCs w:val="21"/>
              </w:rPr>
              <w:t>：</w:t>
            </w:r>
            <w:r>
              <w:rPr>
                <w:rFonts w:hint="eastAsia" w:ascii="Times New Roman" w:hAnsi="Times New Roman"/>
                <w:szCs w:val="21"/>
                <w:u w:val="single"/>
              </w:rPr>
              <w:t>　　     　</w:t>
            </w:r>
            <w:r>
              <w:rPr>
                <w:rFonts w:hint="eastAsia" w:ascii="Times New Roman"/>
                <w:szCs w:val="21"/>
              </w:rPr>
              <w:t xml:space="preserve">  </w:t>
            </w:r>
          </w:p>
          <w:p>
            <w:pPr>
              <w:spacing w:line="420" w:lineRule="exact"/>
              <w:jc w:val="right"/>
              <w:rPr>
                <w:rFonts w:ascii="Times New Roman"/>
                <w:szCs w:val="21"/>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44" w:hRule="atLeast"/>
        </w:trPr>
        <w:tc>
          <w:tcPr>
            <w:tcW w:w="8755" w:type="dxa"/>
            <w:gridSpan w:val="4"/>
            <w:tcBorders>
              <w:top w:val="single" w:color="auto" w:sz="4" w:space="0"/>
              <w:left w:val="single" w:color="auto" w:sz="8" w:space="0"/>
              <w:bottom w:val="single" w:color="auto" w:sz="8" w:space="0"/>
              <w:right w:val="single" w:color="auto" w:sz="8" w:space="0"/>
            </w:tcBorders>
            <w:noWrap w:val="0"/>
            <w:vAlign w:val="center"/>
          </w:tcPr>
          <w:p>
            <w:pPr>
              <w:rPr>
                <w:rFonts w:ascii="Times New Roman"/>
                <w:szCs w:val="21"/>
              </w:rPr>
            </w:pPr>
            <w:r>
              <w:rPr>
                <w:rFonts w:hint="eastAsia" w:ascii="Times New Roman"/>
                <w:szCs w:val="21"/>
              </w:rPr>
              <w:t>注：</w:t>
            </w:r>
            <w:r>
              <w:rPr>
                <w:szCs w:val="21"/>
              </w:rPr>
              <w:t>1</w:t>
            </w:r>
            <w:r>
              <w:rPr>
                <w:rFonts w:hint="eastAsia" w:ascii="Times New Roman"/>
                <w:szCs w:val="21"/>
              </w:rPr>
              <w:t>、进度计划报审表施工项目经理部应提前7日提出，项目监理机构应于</w:t>
            </w:r>
            <w:r>
              <w:rPr>
                <w:szCs w:val="21"/>
              </w:rPr>
              <w:t>7</w:t>
            </w:r>
            <w:r>
              <w:rPr>
                <w:rFonts w:hint="eastAsia" w:ascii="Times New Roman"/>
                <w:szCs w:val="21"/>
              </w:rPr>
              <w:t>天内完成审核工作。</w:t>
            </w:r>
          </w:p>
          <w:p>
            <w:pPr>
              <w:rPr>
                <w:rFonts w:ascii="Times New Roman"/>
                <w:szCs w:val="21"/>
              </w:rPr>
            </w:pPr>
            <w:r>
              <w:rPr>
                <w:rFonts w:hint="eastAsia" w:ascii="Times New Roman"/>
                <w:szCs w:val="21"/>
              </w:rPr>
              <w:t xml:space="preserve">    </w:t>
            </w:r>
            <w:r>
              <w:rPr>
                <w:szCs w:val="21"/>
              </w:rPr>
              <w:t>2</w:t>
            </w:r>
            <w:r>
              <w:rPr>
                <w:rFonts w:hint="eastAsia" w:ascii="Times New Roman"/>
                <w:szCs w:val="21"/>
              </w:rPr>
              <w:t>、本表一式三份，项目监理机构、建设单位、施工单位各一份。</w:t>
            </w:r>
          </w:p>
        </w:tc>
      </w:tr>
    </w:tbl>
    <w:p>
      <w:pPr>
        <w:rPr>
          <w:rFonts w:ascii="Times New Roman" w:eastAsia="隶书"/>
        </w:rPr>
      </w:pPr>
      <w:r>
        <w:rPr>
          <w:rFonts w:hint="eastAsia" w:ascii="Times New Roman" w:eastAsia="隶书"/>
        </w:rPr>
        <w:t>第六版表                                              江苏省住房和城乡建设厅监制</w:t>
      </w: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B.3.2</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工程临时</w:t>
      </w:r>
      <w:r>
        <w:rPr>
          <w:rFonts w:eastAsia="黑体"/>
          <w:sz w:val="44"/>
          <w14:shadow w14:blurRad="50800" w14:dist="38100" w14:dir="2700000" w14:sx="100000" w14:sy="100000" w14:kx="0" w14:ky="0" w14:algn="tl">
            <w14:srgbClr w14:val="000000">
              <w14:alpha w14:val="60000"/>
            </w14:srgbClr>
          </w14:shadow>
        </w:rPr>
        <w:t>/</w:t>
      </w:r>
      <w:r>
        <w:rPr>
          <w:rFonts w:hint="eastAsia" w:eastAsia="黑体"/>
          <w:sz w:val="44"/>
          <w14:shadow w14:blurRad="50800" w14:dist="38100" w14:dir="2700000" w14:sx="100000" w14:sy="100000" w14:kx="0" w14:ky="0" w14:algn="tl">
            <w14:srgbClr w14:val="000000">
              <w14:alpha w14:val="60000"/>
            </w14:srgbClr>
          </w14:shadow>
        </w:rPr>
        <w:t>最终延期报审表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B.3.2</w:t>
      </w:r>
      <w:r>
        <w:rPr>
          <w:rFonts w:hint="eastAsia"/>
          <w:szCs w:val="21"/>
        </w:rPr>
        <w:t>－</w:t>
      </w:r>
      <w:r>
        <w:rPr>
          <w:rFonts w:hint="eastAsia"/>
          <w:szCs w:val="21"/>
          <w:u w:val="single"/>
        </w:rPr>
        <w:t>　　</w:t>
      </w:r>
      <w:r>
        <w:rPr>
          <w:szCs w:val="21"/>
          <w:u w:val="single"/>
        </w:rPr>
        <w:t xml:space="preserve">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88"/>
        <w:gridCol w:w="2747"/>
        <w:gridCol w:w="47"/>
        <w:gridCol w:w="1796"/>
        <w:gridCol w:w="241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49" w:hRule="atLeast"/>
        </w:trPr>
        <w:tc>
          <w:tcPr>
            <w:tcW w:w="8616" w:type="dxa"/>
            <w:gridSpan w:val="6"/>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（建设单位）</w:t>
            </w:r>
          </w:p>
          <w:p>
            <w:pPr>
              <w:spacing w:line="320" w:lineRule="exact"/>
              <w:ind w:firstLine="420" w:firstLineChars="200"/>
              <w:rPr>
                <w:rFonts w:hint="eastAsia" w:ascii="Times New Roman"/>
                <w:szCs w:val="21"/>
              </w:rPr>
            </w:pPr>
            <w:r>
              <w:rPr>
                <w:rFonts w:hint="eastAsia" w:ascii="Times New Roman"/>
                <w:szCs w:val="21"/>
                <w:u w:val="single"/>
              </w:rPr>
              <w:t>　　　　　　　</w:t>
            </w:r>
            <w:r>
              <w:rPr>
                <w:rFonts w:hint="eastAsia" w:ascii="Times New Roman"/>
                <w:szCs w:val="21"/>
              </w:rPr>
              <w:t>（项目监理机构）</w:t>
            </w:r>
          </w:p>
          <w:p>
            <w:pPr>
              <w:spacing w:line="320" w:lineRule="exact"/>
              <w:rPr>
                <w:rFonts w:hint="eastAsia" w:ascii="Times New Roman"/>
                <w:szCs w:val="21"/>
              </w:rPr>
            </w:pPr>
            <w:r>
              <w:rPr>
                <w:rFonts w:hint="eastAsia" w:ascii="Times New Roman"/>
                <w:szCs w:val="21"/>
              </w:rPr>
              <w:t>　　根据施工合同</w:t>
            </w:r>
            <w:r>
              <w:rPr>
                <w:rFonts w:hint="eastAsia" w:ascii="Times New Roman"/>
                <w:szCs w:val="21"/>
                <w:u w:val="single"/>
              </w:rPr>
              <w:t>　　　　　　　　　　</w:t>
            </w:r>
            <w:r>
              <w:rPr>
                <w:rFonts w:hint="eastAsia" w:ascii="Times New Roman"/>
                <w:szCs w:val="21"/>
              </w:rPr>
              <w:t>条款，由于</w:t>
            </w:r>
            <w:r>
              <w:rPr>
                <w:rFonts w:hint="eastAsia" w:ascii="Times New Roman"/>
                <w:szCs w:val="21"/>
                <w:u w:val="single"/>
              </w:rPr>
              <w:t>　　　　　              　　</w:t>
            </w:r>
            <w:r>
              <w:rPr>
                <w:rFonts w:hint="eastAsia" w:ascii="Times New Roman"/>
                <w:szCs w:val="21"/>
              </w:rPr>
              <w:t>原因，我方申请工程临时/最终延期</w:t>
            </w:r>
            <w:r>
              <w:rPr>
                <w:rFonts w:hint="eastAsia" w:ascii="Times New Roman"/>
                <w:szCs w:val="21"/>
                <w:u w:val="single"/>
              </w:rPr>
              <w:t>　　   　</w:t>
            </w:r>
            <w:r>
              <w:rPr>
                <w:rFonts w:hint="eastAsia" w:ascii="Times New Roman"/>
                <w:szCs w:val="21"/>
              </w:rPr>
              <w:t>天，请予以批准。</w:t>
            </w:r>
          </w:p>
          <w:p>
            <w:pPr>
              <w:spacing w:line="320" w:lineRule="exact"/>
              <w:ind w:firstLine="420" w:firstLineChars="200"/>
              <w:rPr>
                <w:rFonts w:hint="eastAsia" w:ascii="Times New Roman"/>
                <w:szCs w:val="21"/>
              </w:rPr>
            </w:pPr>
            <w:r>
              <w:rPr>
                <w:rFonts w:hint="eastAsia" w:ascii="Times New Roman"/>
                <w:szCs w:val="21"/>
              </w:rPr>
              <w:t>附件：工程延期证明材料</w:t>
            </w:r>
          </w:p>
          <w:p>
            <w:pPr>
              <w:spacing w:line="320" w:lineRule="exact"/>
              <w:ind w:firstLine="420" w:firstLineChars="200"/>
              <w:rPr>
                <w:rFonts w:hint="eastAsia" w:ascii="Times New Roman"/>
                <w:szCs w:val="21"/>
              </w:rPr>
            </w:pPr>
          </w:p>
          <w:p>
            <w:pPr>
              <w:spacing w:line="360" w:lineRule="exact"/>
              <w:rPr>
                <w:rFonts w:hint="eastAsia" w:ascii="Times New Roman"/>
                <w:szCs w:val="21"/>
              </w:rPr>
            </w:pPr>
          </w:p>
          <w:p>
            <w:pPr>
              <w:spacing w:line="420" w:lineRule="exact"/>
              <w:ind w:firstLine="4326" w:firstLineChars="2060"/>
              <w:rPr>
                <w:rFonts w:hint="eastAsia" w:ascii="Times New Roman"/>
                <w:szCs w:val="21"/>
                <w:u w:val="single"/>
              </w:rPr>
            </w:pPr>
            <w:r>
              <w:rPr>
                <w:rFonts w:hint="eastAsia" w:ascii="Times New Roman"/>
                <w:szCs w:val="21"/>
              </w:rPr>
              <w:t>施工项目经理部（章）：</w:t>
            </w:r>
            <w:r>
              <w:rPr>
                <w:rFonts w:hint="eastAsia" w:ascii="Times New Roman"/>
                <w:szCs w:val="21"/>
                <w:u w:val="single"/>
              </w:rPr>
              <w:t>　　　　　　　　</w:t>
            </w:r>
          </w:p>
          <w:p>
            <w:pPr>
              <w:keepLines/>
              <w:spacing w:line="420" w:lineRule="exact"/>
              <w:jc w:val="center"/>
              <w:rPr>
                <w:rFonts w:hint="eastAsia" w:ascii="Times New Roman"/>
                <w:szCs w:val="21"/>
              </w:rPr>
            </w:pPr>
            <w:r>
              <w:rPr>
                <w:rFonts w:hint="eastAsia" w:ascii="Times New Roman"/>
                <w:szCs w:val="21"/>
              </w:rPr>
              <w:t xml:space="preserve">                             项目经理（签字、执业印章）：</w:t>
            </w:r>
            <w:r>
              <w:rPr>
                <w:rFonts w:hint="eastAsia" w:ascii="Times New Roman"/>
                <w:szCs w:val="21"/>
                <w:u w:val="single"/>
              </w:rPr>
              <w:t>　　　　　</w:t>
            </w:r>
            <w:r>
              <w:rPr>
                <w:rFonts w:hint="eastAsia" w:ascii="Times New Roman"/>
                <w:szCs w:val="21"/>
              </w:rPr>
              <w:t xml:space="preserve">   </w:t>
            </w:r>
          </w:p>
          <w:p>
            <w:pPr>
              <w:keepLines/>
              <w:spacing w:line="420" w:lineRule="exact"/>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1614" w:type="dxa"/>
            <w:gridSpan w:val="2"/>
            <w:tcBorders>
              <w:top w:val="single" w:color="auto" w:sz="4" w:space="0"/>
              <w:left w:val="single" w:color="auto" w:sz="8"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pacing w:val="-10"/>
                <w:szCs w:val="21"/>
              </w:rPr>
            </w:pPr>
            <w:r>
              <w:rPr>
                <w:rFonts w:hint="eastAsia" w:ascii="Times New Roman"/>
                <w:spacing w:val="-10"/>
                <w:szCs w:val="21"/>
              </w:rPr>
              <w:t>项目监理机构</w:t>
            </w:r>
          </w:p>
          <w:p>
            <w:pPr>
              <w:spacing w:line="320" w:lineRule="exact"/>
              <w:ind w:left="-105" w:leftChars="-50" w:right="-105" w:rightChars="-50"/>
              <w:jc w:val="center"/>
              <w:rPr>
                <w:rFonts w:ascii="Times New Roman"/>
                <w:szCs w:val="21"/>
              </w:rPr>
            </w:pPr>
            <w:r>
              <w:rPr>
                <w:rFonts w:hint="eastAsia" w:ascii="Times New Roman"/>
                <w:spacing w:val="-10"/>
                <w:szCs w:val="21"/>
              </w:rPr>
              <w:t>签收人姓名及时间</w:t>
            </w:r>
          </w:p>
        </w:tc>
        <w:tc>
          <w:tcPr>
            <w:tcW w:w="2794"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p>
        </w:tc>
        <w:tc>
          <w:tcPr>
            <w:tcW w:w="1796"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r>
              <w:rPr>
                <w:rFonts w:hint="eastAsia" w:ascii="Times New Roman"/>
                <w:szCs w:val="21"/>
              </w:rPr>
              <w:t>施工项目经理部</w:t>
            </w:r>
          </w:p>
          <w:p>
            <w:pPr>
              <w:spacing w:line="320" w:lineRule="exact"/>
              <w:ind w:left="-105" w:leftChars="-50" w:right="-105" w:rightChars="-50"/>
              <w:jc w:val="center"/>
              <w:rPr>
                <w:rFonts w:ascii="Times New Roman"/>
                <w:szCs w:val="21"/>
              </w:rPr>
            </w:pPr>
            <w:r>
              <w:rPr>
                <w:rFonts w:hint="eastAsia" w:ascii="Times New Roman"/>
                <w:szCs w:val="21"/>
              </w:rPr>
              <w:t>签收人姓名及时间</w:t>
            </w:r>
          </w:p>
        </w:tc>
        <w:tc>
          <w:tcPr>
            <w:tcW w:w="2412" w:type="dxa"/>
            <w:tcBorders>
              <w:top w:val="single" w:color="auto" w:sz="4" w:space="0"/>
              <w:left w:val="single" w:color="auto" w:sz="4" w:space="0"/>
              <w:bottom w:val="single" w:color="auto" w:sz="4" w:space="0"/>
              <w:right w:val="single" w:color="auto" w:sz="8" w:space="0"/>
            </w:tcBorders>
            <w:noWrap w:val="0"/>
            <w:vAlign w:val="top"/>
          </w:tcPr>
          <w:p>
            <w:pPr>
              <w:spacing w:line="320" w:lineRule="exact"/>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97" w:hRule="atLeast"/>
        </w:trPr>
        <w:tc>
          <w:tcPr>
            <w:tcW w:w="8616" w:type="dxa"/>
            <w:gridSpan w:val="6"/>
            <w:tcBorders>
              <w:top w:val="single" w:color="auto" w:sz="4" w:space="0"/>
              <w:left w:val="single" w:color="auto" w:sz="8" w:space="0"/>
              <w:bottom w:val="single" w:color="auto" w:sz="4" w:space="0"/>
              <w:right w:val="single" w:color="auto" w:sz="8" w:space="0"/>
            </w:tcBorders>
            <w:noWrap w:val="0"/>
            <w:vAlign w:val="top"/>
          </w:tcPr>
          <w:p>
            <w:pPr>
              <w:spacing w:line="300" w:lineRule="exact"/>
              <w:rPr>
                <w:rFonts w:ascii="Times New Roman"/>
                <w:szCs w:val="21"/>
              </w:rPr>
            </w:pPr>
            <w:r>
              <w:rPr>
                <w:rFonts w:hint="eastAsia" w:ascii="Times New Roman"/>
                <w:szCs w:val="21"/>
              </w:rPr>
              <w:t>审查意见：</w:t>
            </w:r>
          </w:p>
          <w:p>
            <w:pPr>
              <w:tabs>
                <w:tab w:val="left" w:pos="1350"/>
              </w:tabs>
              <w:spacing w:line="320" w:lineRule="exact"/>
              <w:ind w:firstLine="480"/>
              <w:rPr>
                <w:rFonts w:hint="eastAsia" w:ascii="Times New Roman"/>
                <w:szCs w:val="21"/>
              </w:rPr>
            </w:pPr>
            <w:r>
              <w:rPr>
                <w:rFonts w:hint="eastAsia" w:ascii="Times New Roman"/>
                <w:szCs w:val="21"/>
              </w:rPr>
              <w:tab/>
            </w:r>
            <w:r>
              <w:rPr>
                <w:rFonts w:hint="eastAsia" w:ascii="Times New Roman"/>
                <w:szCs w:val="21"/>
              </w:rPr>
              <w:t xml:space="preserve">          </w:t>
            </w:r>
          </w:p>
          <w:p>
            <w:pPr>
              <w:rPr>
                <w:rFonts w:hint="eastAsia" w:ascii="Times New Roman"/>
                <w:szCs w:val="21"/>
              </w:rPr>
            </w:pPr>
            <w:r>
              <w:rPr>
                <w:rFonts w:hint="eastAsia" w:ascii="Times New Roman"/>
                <w:szCs w:val="21"/>
              </w:rPr>
              <w:t>附件：□ 审查记录。</w:t>
            </w:r>
          </w:p>
          <w:p>
            <w:pPr>
              <w:spacing w:line="300" w:lineRule="exact"/>
              <w:ind w:firstLine="480"/>
              <w:rPr>
                <w:rFonts w:hint="eastAsia" w:ascii="Times New Roman"/>
                <w:szCs w:val="21"/>
              </w:rPr>
            </w:pPr>
          </w:p>
          <w:p>
            <w:pPr>
              <w:spacing w:line="300" w:lineRule="exact"/>
              <w:ind w:firstLine="480"/>
              <w:rPr>
                <w:rFonts w:hint="eastAsia" w:ascii="Times New Roman"/>
                <w:szCs w:val="21"/>
              </w:rPr>
            </w:pPr>
          </w:p>
          <w:p>
            <w:pPr>
              <w:spacing w:line="360" w:lineRule="auto"/>
              <w:ind w:firstLine="4116" w:firstLineChars="1960"/>
              <w:rPr>
                <w:rFonts w:hint="eastAsia" w:ascii="Times New Roman"/>
                <w:bCs/>
                <w:szCs w:val="21"/>
                <w:u w:val="single"/>
              </w:rPr>
            </w:pPr>
            <w:r>
              <w:rPr>
                <w:rFonts w:hint="eastAsia" w:ascii="Times New Roman"/>
                <w:bCs/>
                <w:szCs w:val="21"/>
              </w:rPr>
              <w:t>项目监理机构(章)：</w:t>
            </w:r>
            <w:r>
              <w:rPr>
                <w:rFonts w:hint="eastAsia" w:ascii="Times New Roman"/>
                <w:bCs/>
                <w:szCs w:val="21"/>
                <w:u w:val="single"/>
              </w:rPr>
              <w:t xml:space="preserve">                     </w:t>
            </w:r>
          </w:p>
          <w:p>
            <w:pPr>
              <w:spacing w:line="360" w:lineRule="auto"/>
              <w:ind w:firstLine="4116" w:firstLineChars="1960"/>
              <w:rPr>
                <w:rFonts w:hint="eastAsia" w:ascii="Times New Roman"/>
                <w:szCs w:val="21"/>
              </w:rPr>
            </w:pPr>
            <w:r>
              <w:rPr>
                <w:rFonts w:hint="eastAsia" w:ascii="Times New Roman"/>
                <w:szCs w:val="21"/>
              </w:rPr>
              <w:t>总监理工程师（签字、执业印章）：</w:t>
            </w:r>
            <w:r>
              <w:rPr>
                <w:rFonts w:hint="eastAsia" w:ascii="Times New Roman"/>
                <w:szCs w:val="21"/>
                <w:u w:val="single"/>
              </w:rPr>
              <w:t>　　  　</w:t>
            </w:r>
            <w:r>
              <w:rPr>
                <w:rFonts w:hint="eastAsia" w:ascii="Times New Roman"/>
                <w:szCs w:val="21"/>
              </w:rPr>
              <w:t xml:space="preserve">   </w:t>
            </w:r>
          </w:p>
          <w:p>
            <w:pPr>
              <w:keepLines/>
              <w:spacing w:before="120" w:after="120"/>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37" w:hRule="atLeast"/>
        </w:trPr>
        <w:tc>
          <w:tcPr>
            <w:tcW w:w="1526" w:type="dxa"/>
            <w:tcBorders>
              <w:top w:val="single" w:color="auto" w:sz="4" w:space="0"/>
              <w:left w:val="single" w:color="auto" w:sz="8" w:space="0"/>
              <w:bottom w:val="single" w:color="auto" w:sz="4" w:space="0"/>
              <w:right w:val="single" w:color="auto" w:sz="4" w:space="0"/>
            </w:tcBorders>
            <w:noWrap w:val="0"/>
            <w:vAlign w:val="top"/>
          </w:tcPr>
          <w:p>
            <w:pPr>
              <w:spacing w:before="120" w:after="120"/>
              <w:jc w:val="center"/>
              <w:rPr>
                <w:rFonts w:ascii="Times New Roman"/>
                <w:szCs w:val="21"/>
              </w:rPr>
            </w:pPr>
            <w:r>
              <w:rPr>
                <w:rFonts w:hint="eastAsia" w:ascii="Times New Roman"/>
                <w:szCs w:val="21"/>
              </w:rPr>
              <w:t>建设单位签收人姓名及时间</w:t>
            </w:r>
          </w:p>
        </w:tc>
        <w:tc>
          <w:tcPr>
            <w:tcW w:w="2835" w:type="dxa"/>
            <w:gridSpan w:val="2"/>
            <w:tcBorders>
              <w:top w:val="single" w:color="auto" w:sz="4" w:space="0"/>
              <w:left w:val="single" w:color="auto" w:sz="4" w:space="0"/>
              <w:bottom w:val="single" w:color="auto" w:sz="4" w:space="0"/>
              <w:right w:val="single" w:color="auto" w:sz="4" w:space="0"/>
            </w:tcBorders>
            <w:noWrap w:val="0"/>
            <w:vAlign w:val="top"/>
          </w:tcPr>
          <w:p>
            <w:pPr>
              <w:spacing w:before="120" w:after="120"/>
              <w:jc w:val="center"/>
              <w:rPr>
                <w:rFonts w:ascii="Times New Roman"/>
                <w:szCs w:val="21"/>
              </w:rPr>
            </w:pPr>
          </w:p>
        </w:tc>
        <w:tc>
          <w:tcPr>
            <w:tcW w:w="1843" w:type="dxa"/>
            <w:gridSpan w:val="2"/>
            <w:tcBorders>
              <w:top w:val="single" w:color="auto" w:sz="4" w:space="0"/>
              <w:left w:val="single" w:color="auto" w:sz="4" w:space="0"/>
              <w:bottom w:val="single" w:color="auto" w:sz="4" w:space="0"/>
              <w:right w:val="single" w:color="auto" w:sz="4" w:space="0"/>
            </w:tcBorders>
            <w:noWrap w:val="0"/>
            <w:vAlign w:val="top"/>
          </w:tcPr>
          <w:p>
            <w:pPr>
              <w:spacing w:before="120" w:after="120"/>
              <w:jc w:val="center"/>
              <w:rPr>
                <w:rFonts w:ascii="Times New Roman"/>
                <w:szCs w:val="21"/>
              </w:rPr>
            </w:pPr>
            <w:r>
              <w:rPr>
                <w:rFonts w:hint="eastAsia" w:ascii="Times New Roman"/>
                <w:szCs w:val="21"/>
              </w:rPr>
              <w:t>项目监理机构签收人姓名及时间</w:t>
            </w:r>
          </w:p>
        </w:tc>
        <w:tc>
          <w:tcPr>
            <w:tcW w:w="2412" w:type="dxa"/>
            <w:tcBorders>
              <w:top w:val="single" w:color="auto" w:sz="4" w:space="0"/>
              <w:left w:val="single" w:color="auto" w:sz="4" w:space="0"/>
              <w:bottom w:val="single" w:color="auto" w:sz="4" w:space="0"/>
              <w:right w:val="single" w:color="auto" w:sz="8" w:space="0"/>
            </w:tcBorders>
            <w:noWrap w:val="0"/>
            <w:vAlign w:val="top"/>
          </w:tcPr>
          <w:p>
            <w:pPr>
              <w:spacing w:before="120" w:after="12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05" w:hRule="atLeast"/>
        </w:trPr>
        <w:tc>
          <w:tcPr>
            <w:tcW w:w="8616" w:type="dxa"/>
            <w:gridSpan w:val="6"/>
            <w:tcBorders>
              <w:top w:val="single" w:color="auto" w:sz="4" w:space="0"/>
              <w:left w:val="single" w:color="auto" w:sz="8" w:space="0"/>
              <w:bottom w:val="single" w:color="auto" w:sz="4" w:space="0"/>
              <w:right w:val="single" w:color="auto" w:sz="8" w:space="0"/>
            </w:tcBorders>
            <w:noWrap w:val="0"/>
            <w:vAlign w:val="top"/>
          </w:tcPr>
          <w:p>
            <w:pPr>
              <w:spacing w:line="300" w:lineRule="exact"/>
              <w:rPr>
                <w:rFonts w:ascii="Times New Roman"/>
                <w:szCs w:val="21"/>
              </w:rPr>
            </w:pPr>
            <w:r>
              <w:rPr>
                <w:rFonts w:hint="eastAsia" w:ascii="Times New Roman"/>
                <w:szCs w:val="21"/>
              </w:rPr>
              <w:t>审批意见：</w:t>
            </w:r>
          </w:p>
          <w:p>
            <w:pPr>
              <w:spacing w:line="300" w:lineRule="exact"/>
              <w:rPr>
                <w:rFonts w:hint="eastAsia" w:ascii="Times New Roman"/>
                <w:szCs w:val="21"/>
              </w:rPr>
            </w:pPr>
          </w:p>
          <w:p>
            <w:pPr>
              <w:spacing w:line="300" w:lineRule="exact"/>
              <w:ind w:firstLine="480"/>
              <w:rPr>
                <w:rFonts w:hint="eastAsia" w:ascii="Times New Roman"/>
                <w:szCs w:val="21"/>
              </w:rPr>
            </w:pPr>
          </w:p>
          <w:p>
            <w:pPr>
              <w:spacing w:line="420" w:lineRule="exact"/>
              <w:ind w:firstLine="4103" w:firstLineChars="1954"/>
              <w:rPr>
                <w:rFonts w:hint="eastAsia" w:ascii="Times New Roman"/>
                <w:bCs/>
                <w:szCs w:val="21"/>
                <w:u w:val="single"/>
              </w:rPr>
            </w:pPr>
            <w:r>
              <w:rPr>
                <w:rFonts w:hint="eastAsia" w:ascii="Times New Roman"/>
                <w:bCs/>
                <w:szCs w:val="21"/>
              </w:rPr>
              <w:t>建设单位(章)：</w:t>
            </w:r>
            <w:r>
              <w:rPr>
                <w:rFonts w:hint="eastAsia" w:ascii="Times New Roman"/>
                <w:bCs/>
                <w:szCs w:val="21"/>
                <w:u w:val="single"/>
              </w:rPr>
              <w:t xml:space="preserve">                       </w:t>
            </w:r>
          </w:p>
          <w:p>
            <w:pPr>
              <w:spacing w:line="420" w:lineRule="exact"/>
              <w:jc w:val="center"/>
              <w:rPr>
                <w:rFonts w:hint="eastAsia" w:ascii="Times New Roman"/>
                <w:szCs w:val="21"/>
              </w:rPr>
            </w:pPr>
            <w:r>
              <w:rPr>
                <w:rFonts w:hint="eastAsia" w:ascii="Times New Roman"/>
                <w:szCs w:val="21"/>
              </w:rPr>
              <w:t xml:space="preserve">                 项目负责人（签字）：</w:t>
            </w:r>
            <w:r>
              <w:rPr>
                <w:rFonts w:hint="eastAsia" w:ascii="Times New Roman"/>
                <w:szCs w:val="21"/>
                <w:u w:val="single"/>
              </w:rPr>
              <w:t>　　            　</w:t>
            </w:r>
            <w:r>
              <w:rPr>
                <w:rFonts w:hint="eastAsia" w:ascii="Times New Roman"/>
                <w:szCs w:val="21"/>
              </w:rPr>
              <w:t xml:space="preserve">   </w:t>
            </w:r>
          </w:p>
          <w:p>
            <w:pPr>
              <w:spacing w:line="420" w:lineRule="exact"/>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616" w:type="dxa"/>
            <w:gridSpan w:val="6"/>
            <w:tcBorders>
              <w:top w:val="single" w:color="auto" w:sz="4" w:space="0"/>
              <w:left w:val="single" w:color="auto" w:sz="8" w:space="0"/>
              <w:bottom w:val="single" w:color="auto" w:sz="8" w:space="0"/>
              <w:right w:val="single" w:color="auto" w:sz="8" w:space="0"/>
            </w:tcBorders>
            <w:noWrap w:val="0"/>
            <w:vAlign w:val="center"/>
          </w:tcPr>
          <w:p>
            <w:pPr>
              <w:rPr>
                <w:rFonts w:ascii="Times New Roman"/>
                <w:szCs w:val="21"/>
              </w:rPr>
            </w:pPr>
            <w:r>
              <w:rPr>
                <w:rFonts w:hint="eastAsia" w:ascii="Times New Roman"/>
                <w:szCs w:val="21"/>
              </w:rPr>
              <w:t>注：本表一式三份，项目监理机构、建设单位、施工单位各一份。</w:t>
            </w:r>
          </w:p>
        </w:tc>
      </w:tr>
    </w:tbl>
    <w:p>
      <w:pPr>
        <w:rPr>
          <w:rFonts w:ascii="Times New Roman" w:eastAsia="隶书"/>
        </w:rPr>
      </w:pPr>
      <w:r>
        <w:rPr>
          <w:rFonts w:hint="eastAsia" w:ascii="Times New Roman" w:eastAsia="隶书"/>
        </w:rPr>
        <w:t>第六版表                                              江苏省住房和城乡建设厅监制</w:t>
      </w:r>
    </w:p>
    <w:p>
      <w:pPr>
        <w:spacing w:line="380" w:lineRule="exact"/>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B.4.1</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施工起重机械设备安装</w:t>
      </w:r>
      <w:r>
        <w:rPr>
          <w:rFonts w:eastAsia="黑体"/>
          <w:sz w:val="44"/>
          <w14:shadow w14:blurRad="50800" w14:dist="38100" w14:dir="2700000" w14:sx="100000" w14:sy="100000" w14:kx="0" w14:ky="0" w14:algn="tl">
            <w14:srgbClr w14:val="000000">
              <w14:alpha w14:val="60000"/>
            </w14:srgbClr>
          </w14:shadow>
        </w:rPr>
        <w:t>/</w:t>
      </w:r>
      <w:r>
        <w:rPr>
          <w:rFonts w:hint="eastAsia" w:eastAsia="黑体"/>
          <w:sz w:val="44"/>
          <w14:shadow w14:blurRad="50800" w14:dist="38100" w14:dir="2700000" w14:sx="100000" w14:sy="100000" w14:kx="0" w14:ky="0" w14:algn="tl">
            <w14:srgbClr w14:val="000000">
              <w14:alpha w14:val="60000"/>
            </w14:srgbClr>
          </w14:shadow>
        </w:rPr>
        <w:t>使用</w:t>
      </w:r>
      <w:r>
        <w:rPr>
          <w:rFonts w:eastAsia="黑体"/>
          <w:sz w:val="44"/>
          <w14:shadow w14:blurRad="50800" w14:dist="38100" w14:dir="2700000" w14:sx="100000" w14:sy="100000" w14:kx="0" w14:ky="0" w14:algn="tl">
            <w14:srgbClr w14:val="000000">
              <w14:alpha w14:val="60000"/>
            </w14:srgbClr>
          </w14:shadow>
        </w:rPr>
        <w:t>/</w:t>
      </w:r>
      <w:r>
        <w:rPr>
          <w:rFonts w:hint="eastAsia" w:eastAsia="黑体"/>
          <w:sz w:val="44"/>
          <w14:shadow w14:blurRad="50800" w14:dist="38100" w14:dir="2700000" w14:sx="100000" w14:sy="100000" w14:kx="0" w14:ky="0" w14:algn="tl">
            <w14:srgbClr w14:val="000000">
              <w14:alpha w14:val="60000"/>
            </w14:srgbClr>
          </w14:shadow>
        </w:rPr>
        <w:t>拆卸报审表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szCs w:val="21"/>
        </w:rPr>
        <w:t xml:space="preserve">   </w:t>
      </w:r>
      <w:r>
        <w:rPr>
          <w:rFonts w:hint="eastAsia"/>
          <w:szCs w:val="21"/>
        </w:rPr>
        <w:t>　　　　　</w:t>
      </w:r>
      <w:r>
        <w:rPr>
          <w:szCs w:val="21"/>
        </w:rPr>
        <w:t xml:space="preserve">       </w:t>
      </w:r>
      <w:r>
        <w:rPr>
          <w:rFonts w:hint="eastAsia"/>
          <w:szCs w:val="21"/>
        </w:rPr>
        <w:t>　编号：</w:t>
      </w:r>
      <w:r>
        <w:rPr>
          <w:szCs w:val="21"/>
        </w:rPr>
        <w:t>B.4.1</w:t>
      </w:r>
      <w:r>
        <w:rPr>
          <w:rFonts w:hint="eastAsia"/>
          <w:szCs w:val="21"/>
          <w:u w:val="single"/>
        </w:rPr>
        <w:t>　</w:t>
      </w:r>
      <w:r>
        <w:rPr>
          <w:szCs w:val="21"/>
          <w:u w:val="single"/>
        </w:rPr>
        <w:t xml:space="preserve"> </w:t>
      </w:r>
      <w:r>
        <w:rPr>
          <w:rFonts w:hint="eastAsia"/>
          <w:szCs w:val="21"/>
        </w:rPr>
        <w:t>—</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796"/>
        <w:gridCol w:w="239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8598" w:type="dxa"/>
            <w:gridSpan w:val="4"/>
            <w:tcBorders>
              <w:top w:val="single" w:color="auto" w:sz="8" w:space="0"/>
              <w:left w:val="single" w:color="auto" w:sz="8" w:space="0"/>
              <w:bottom w:val="single" w:color="auto" w:sz="4" w:space="0"/>
              <w:right w:val="single" w:color="auto" w:sz="8" w:space="0"/>
            </w:tcBorders>
            <w:noWrap w:val="0"/>
            <w:vAlign w:val="top"/>
          </w:tcPr>
          <w:p>
            <w:pPr>
              <w:spacing w:before="120" w:after="120" w:line="260" w:lineRule="exact"/>
              <w:rPr>
                <w:rFonts w:ascii="Times New Roman"/>
                <w:szCs w:val="21"/>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260" w:lineRule="exact"/>
              <w:rPr>
                <w:rFonts w:hint="eastAsia" w:ascii="Times New Roman"/>
                <w:szCs w:val="21"/>
              </w:rPr>
            </w:pPr>
            <w:r>
              <w:rPr>
                <w:rFonts w:hint="eastAsia" w:ascii="Times New Roman"/>
                <w:szCs w:val="21"/>
              </w:rPr>
              <w:t xml:space="preserve">    根据工程施工需要， </w:t>
            </w:r>
            <w:r>
              <w:rPr>
                <w:rFonts w:hint="eastAsia" w:ascii="Times New Roman"/>
                <w:szCs w:val="21"/>
                <w:u w:val="single"/>
              </w:rPr>
              <w:t xml:space="preserve">                           </w:t>
            </w:r>
            <w:r>
              <w:rPr>
                <w:rFonts w:hint="eastAsia" w:ascii="Times New Roman"/>
                <w:szCs w:val="21"/>
              </w:rPr>
              <w:t>工程（单位/分部）拟安装/使用/拆卸</w:t>
            </w:r>
            <w:r>
              <w:rPr>
                <w:rFonts w:hint="eastAsia" w:ascii="Times New Roman"/>
                <w:szCs w:val="21"/>
                <w:u w:val="single"/>
              </w:rPr>
              <w:t xml:space="preserve">                           </w:t>
            </w:r>
            <w:r>
              <w:rPr>
                <w:rFonts w:hint="eastAsia" w:ascii="Times New Roman"/>
                <w:szCs w:val="21"/>
              </w:rPr>
              <w:t>起重机械设备，我方已完成自检工作。请予以审核。</w:t>
            </w:r>
          </w:p>
          <w:p>
            <w:pPr>
              <w:spacing w:line="260" w:lineRule="exact"/>
              <w:ind w:firstLine="420" w:firstLineChars="200"/>
              <w:rPr>
                <w:rFonts w:hint="eastAsia" w:ascii="Times New Roman"/>
                <w:szCs w:val="21"/>
              </w:rPr>
            </w:pPr>
            <w:r>
              <w:rPr>
                <w:rFonts w:hint="eastAsia" w:ascii="Times New Roman"/>
                <w:szCs w:val="21"/>
              </w:rPr>
              <w:t>附件：</w:t>
            </w:r>
          </w:p>
          <w:p>
            <w:pPr>
              <w:spacing w:line="260" w:lineRule="exact"/>
              <w:ind w:firstLine="420" w:firstLineChars="200"/>
              <w:rPr>
                <w:rFonts w:hint="eastAsia" w:ascii="Times New Roman"/>
                <w:szCs w:val="21"/>
              </w:rPr>
            </w:pPr>
            <w:r>
              <w:rPr>
                <w:rFonts w:hint="eastAsia" w:ascii="Times New Roman"/>
                <w:szCs w:val="21"/>
              </w:rPr>
              <w:t xml:space="preserve">□ </w:t>
            </w:r>
            <w:r>
              <w:rPr>
                <w:rFonts w:hint="eastAsia" w:ascii="Times New Roman"/>
                <w:b/>
                <w:bCs/>
                <w:szCs w:val="21"/>
              </w:rPr>
              <w:t>设备安装：</w:t>
            </w:r>
          </w:p>
          <w:p>
            <w:pPr>
              <w:spacing w:line="260" w:lineRule="exact"/>
              <w:ind w:firstLine="840" w:firstLineChars="400"/>
              <w:rPr>
                <w:rFonts w:hint="eastAsia" w:ascii="Times New Roman"/>
                <w:szCs w:val="21"/>
              </w:rPr>
            </w:pPr>
            <w:r>
              <w:rPr>
                <w:rFonts w:hint="eastAsia" w:ascii="Times New Roman"/>
                <w:szCs w:val="21"/>
              </w:rPr>
              <w:t>□  设备清单（如名称、产地、规格、数量等）</w:t>
            </w:r>
          </w:p>
          <w:p>
            <w:pPr>
              <w:spacing w:line="260" w:lineRule="exact"/>
              <w:ind w:firstLine="840" w:firstLineChars="400"/>
              <w:rPr>
                <w:rFonts w:hint="eastAsia" w:ascii="Times New Roman"/>
                <w:szCs w:val="21"/>
              </w:rPr>
            </w:pPr>
            <w:r>
              <w:rPr>
                <w:rFonts w:hint="eastAsia" w:ascii="Times New Roman"/>
                <w:szCs w:val="21"/>
              </w:rPr>
              <w:t>□  设备制造许可证、产品合格证、备案证明等</w:t>
            </w:r>
          </w:p>
          <w:p>
            <w:pPr>
              <w:spacing w:line="260" w:lineRule="exact"/>
              <w:ind w:firstLine="840" w:firstLineChars="400"/>
              <w:rPr>
                <w:rFonts w:hint="eastAsia" w:ascii="Times New Roman"/>
                <w:szCs w:val="21"/>
              </w:rPr>
            </w:pPr>
            <w:r>
              <w:rPr>
                <w:rFonts w:hint="eastAsia" w:ascii="Times New Roman"/>
                <w:szCs w:val="21"/>
              </w:rPr>
              <w:t>□  设备安装单位的资质和人员的资格证书</w:t>
            </w:r>
          </w:p>
          <w:p>
            <w:pPr>
              <w:spacing w:line="260" w:lineRule="exact"/>
              <w:ind w:firstLine="840" w:firstLineChars="400"/>
              <w:rPr>
                <w:rFonts w:hint="eastAsia" w:ascii="Times New Roman"/>
                <w:szCs w:val="21"/>
              </w:rPr>
            </w:pPr>
            <w:r>
              <w:rPr>
                <w:rFonts w:hint="eastAsia" w:ascii="Times New Roman"/>
                <w:szCs w:val="21"/>
              </w:rPr>
              <w:t>□  设备安装施工方案（含急救援预案）</w:t>
            </w:r>
          </w:p>
          <w:p>
            <w:pPr>
              <w:spacing w:line="260" w:lineRule="exact"/>
              <w:ind w:firstLine="840" w:firstLineChars="400"/>
              <w:rPr>
                <w:rFonts w:hint="eastAsia" w:ascii="Times New Roman"/>
                <w:szCs w:val="21"/>
              </w:rPr>
            </w:pPr>
            <w:r>
              <w:rPr>
                <w:rFonts w:hint="eastAsia" w:ascii="Times New Roman"/>
                <w:szCs w:val="21"/>
              </w:rPr>
              <w:t>□  自检合格记录</w:t>
            </w:r>
          </w:p>
          <w:p>
            <w:pPr>
              <w:spacing w:line="260" w:lineRule="exact"/>
              <w:ind w:firstLine="420" w:firstLineChars="200"/>
              <w:rPr>
                <w:rFonts w:hint="eastAsia" w:ascii="Times New Roman"/>
                <w:szCs w:val="21"/>
              </w:rPr>
            </w:pPr>
            <w:r>
              <w:rPr>
                <w:rFonts w:hint="eastAsia" w:ascii="Times New Roman"/>
                <w:szCs w:val="21"/>
              </w:rPr>
              <w:t xml:space="preserve">□ </w:t>
            </w:r>
            <w:r>
              <w:rPr>
                <w:rFonts w:hint="eastAsia" w:ascii="Times New Roman"/>
                <w:b/>
                <w:bCs/>
                <w:szCs w:val="21"/>
              </w:rPr>
              <w:t>设备使用：</w:t>
            </w:r>
          </w:p>
          <w:p>
            <w:pPr>
              <w:spacing w:line="260" w:lineRule="exact"/>
              <w:ind w:firstLine="840" w:firstLineChars="400"/>
              <w:rPr>
                <w:rFonts w:hint="eastAsia" w:ascii="Times New Roman"/>
                <w:szCs w:val="21"/>
              </w:rPr>
            </w:pPr>
            <w:r>
              <w:rPr>
                <w:rFonts w:hint="eastAsia" w:ascii="Times New Roman"/>
                <w:szCs w:val="21"/>
              </w:rPr>
              <w:t>□  安装单位自检合格记录</w:t>
            </w:r>
          </w:p>
          <w:p>
            <w:pPr>
              <w:spacing w:line="260" w:lineRule="exact"/>
              <w:ind w:firstLine="840" w:firstLineChars="400"/>
              <w:rPr>
                <w:rFonts w:hint="eastAsia" w:ascii="Times New Roman"/>
                <w:szCs w:val="21"/>
              </w:rPr>
            </w:pPr>
            <w:r>
              <w:rPr>
                <w:rFonts w:hint="eastAsia" w:ascii="Times New Roman"/>
                <w:szCs w:val="21"/>
              </w:rPr>
              <w:t>□  专业检测单位检测报告</w:t>
            </w:r>
          </w:p>
          <w:p>
            <w:pPr>
              <w:spacing w:line="260" w:lineRule="exact"/>
              <w:ind w:firstLine="840" w:firstLineChars="400"/>
              <w:rPr>
                <w:rFonts w:hint="eastAsia" w:ascii="Times New Roman"/>
                <w:szCs w:val="21"/>
              </w:rPr>
            </w:pPr>
            <w:r>
              <w:rPr>
                <w:rFonts w:hint="eastAsia" w:ascii="Times New Roman"/>
                <w:szCs w:val="21"/>
              </w:rPr>
              <w:t>□  设备验收记录</w:t>
            </w:r>
          </w:p>
          <w:p>
            <w:pPr>
              <w:spacing w:line="260" w:lineRule="exact"/>
              <w:ind w:firstLine="840" w:firstLineChars="400"/>
              <w:rPr>
                <w:rFonts w:hint="eastAsia" w:ascii="Times New Roman"/>
                <w:szCs w:val="21"/>
              </w:rPr>
            </w:pPr>
            <w:r>
              <w:rPr>
                <w:rFonts w:hint="eastAsia" w:ascii="Times New Roman"/>
                <w:szCs w:val="21"/>
              </w:rPr>
              <w:t>□  设备操作人员的资格证书</w:t>
            </w:r>
          </w:p>
          <w:p>
            <w:pPr>
              <w:spacing w:line="260" w:lineRule="exact"/>
              <w:ind w:firstLine="840" w:firstLineChars="400"/>
              <w:rPr>
                <w:rFonts w:hint="eastAsia" w:ascii="Times New Roman"/>
                <w:szCs w:val="21"/>
              </w:rPr>
            </w:pPr>
            <w:r>
              <w:rPr>
                <w:rFonts w:hint="eastAsia" w:ascii="Times New Roman"/>
                <w:szCs w:val="21"/>
              </w:rPr>
              <w:t>□  设备操作和维护保养管理制度</w:t>
            </w:r>
          </w:p>
          <w:p>
            <w:pPr>
              <w:spacing w:line="260" w:lineRule="exact"/>
              <w:ind w:firstLine="840" w:firstLineChars="400"/>
              <w:rPr>
                <w:rFonts w:hint="eastAsia" w:ascii="Times New Roman"/>
                <w:szCs w:val="21"/>
              </w:rPr>
            </w:pPr>
            <w:r>
              <w:rPr>
                <w:rFonts w:hint="eastAsia" w:ascii="Times New Roman"/>
                <w:szCs w:val="21"/>
              </w:rPr>
              <w:t xml:space="preserve">□  </w:t>
            </w:r>
          </w:p>
          <w:p>
            <w:pPr>
              <w:spacing w:line="260" w:lineRule="exact"/>
              <w:ind w:firstLine="420" w:firstLineChars="200"/>
              <w:rPr>
                <w:rFonts w:hint="eastAsia" w:ascii="Times New Roman"/>
                <w:szCs w:val="21"/>
              </w:rPr>
            </w:pPr>
            <w:r>
              <w:rPr>
                <w:rFonts w:hint="eastAsia" w:ascii="Times New Roman"/>
                <w:szCs w:val="21"/>
              </w:rPr>
              <w:t xml:space="preserve">□ </w:t>
            </w:r>
            <w:r>
              <w:rPr>
                <w:rFonts w:hint="eastAsia" w:ascii="Times New Roman"/>
                <w:b/>
                <w:bCs/>
                <w:szCs w:val="21"/>
              </w:rPr>
              <w:t>设备拆卸：</w:t>
            </w:r>
          </w:p>
          <w:p>
            <w:pPr>
              <w:spacing w:line="260" w:lineRule="exact"/>
              <w:ind w:firstLine="840" w:firstLineChars="400"/>
              <w:rPr>
                <w:rFonts w:hint="eastAsia" w:ascii="Times New Roman"/>
                <w:szCs w:val="21"/>
              </w:rPr>
            </w:pPr>
            <w:r>
              <w:rPr>
                <w:rFonts w:hint="eastAsia" w:ascii="Times New Roman"/>
                <w:szCs w:val="21"/>
              </w:rPr>
              <w:t>□  设备拆卸单位的资质和人员资格证书</w:t>
            </w:r>
          </w:p>
          <w:p>
            <w:pPr>
              <w:spacing w:line="260" w:lineRule="exact"/>
              <w:ind w:firstLine="840" w:firstLineChars="400"/>
              <w:rPr>
                <w:rFonts w:hint="eastAsia" w:ascii="Times New Roman"/>
                <w:szCs w:val="21"/>
              </w:rPr>
            </w:pPr>
            <w:r>
              <w:rPr>
                <w:rFonts w:hint="eastAsia" w:ascii="Times New Roman"/>
                <w:szCs w:val="21"/>
              </w:rPr>
              <w:t>□  设备拆卸施工方案（含急救援预案）</w:t>
            </w:r>
          </w:p>
          <w:p>
            <w:pPr>
              <w:spacing w:line="260" w:lineRule="exact"/>
              <w:ind w:firstLine="840" w:firstLineChars="400"/>
              <w:rPr>
                <w:rFonts w:hint="eastAsia" w:ascii="Times New Roman"/>
                <w:szCs w:val="21"/>
              </w:rPr>
            </w:pPr>
            <w:r>
              <w:rPr>
                <w:rFonts w:hint="eastAsia" w:ascii="Times New Roman"/>
                <w:szCs w:val="21"/>
              </w:rPr>
              <w:t>□</w:t>
            </w:r>
          </w:p>
          <w:p>
            <w:pPr>
              <w:spacing w:line="260" w:lineRule="exact"/>
              <w:ind w:firstLine="420" w:firstLineChars="200"/>
              <w:rPr>
                <w:rFonts w:hint="eastAsia" w:ascii="Times New Roman"/>
                <w:szCs w:val="21"/>
              </w:rPr>
            </w:pPr>
            <w:r>
              <w:rPr>
                <w:rFonts w:hint="eastAsia" w:ascii="Times New Roman"/>
                <w:szCs w:val="21"/>
              </w:rPr>
              <w:t>本次报验内容系第</w:t>
            </w:r>
            <w:r>
              <w:rPr>
                <w:rFonts w:hint="eastAsia" w:ascii="Times New Roman"/>
                <w:szCs w:val="21"/>
                <w:u w:val="single"/>
              </w:rPr>
              <w:t xml:space="preserve">      </w:t>
            </w:r>
            <w:r>
              <w:rPr>
                <w:rFonts w:hint="eastAsia" w:ascii="Times New Roman"/>
                <w:szCs w:val="21"/>
              </w:rPr>
              <w:t>次报验。</w:t>
            </w:r>
          </w:p>
          <w:p>
            <w:pPr>
              <w:ind w:firstLine="4838" w:firstLineChars="2304"/>
              <w:jc w:val="left"/>
              <w:rPr>
                <w:rFonts w:hint="eastAsia" w:ascii="Times New Roman"/>
                <w:szCs w:val="21"/>
                <w:u w:val="single"/>
              </w:rPr>
            </w:pPr>
            <w:r>
              <w:rPr>
                <w:rFonts w:hint="eastAsia" w:ascii="Times New Roman"/>
                <w:szCs w:val="21"/>
              </w:rPr>
              <w:t>施工项目经理部（章）：</w:t>
            </w:r>
            <w:r>
              <w:rPr>
                <w:rFonts w:hint="eastAsia" w:ascii="Times New Roman"/>
                <w:szCs w:val="21"/>
                <w:u w:val="single"/>
              </w:rPr>
              <w:t>　　   　　</w:t>
            </w:r>
          </w:p>
          <w:p>
            <w:pPr>
              <w:spacing w:before="120" w:after="120"/>
              <w:ind w:firstLine="4830" w:firstLineChars="2300"/>
              <w:jc w:val="left"/>
              <w:rPr>
                <w:rFonts w:hint="eastAsia" w:ascii="Times New Roman"/>
                <w:szCs w:val="21"/>
              </w:rPr>
            </w:pPr>
            <w:r>
              <w:rPr>
                <w:rFonts w:hint="eastAsia" w:ascii="Times New Roman"/>
                <w:szCs w:val="21"/>
              </w:rPr>
              <w:t>项目经理（签字）：</w:t>
            </w:r>
            <w:r>
              <w:rPr>
                <w:rFonts w:hint="eastAsia" w:ascii="Times New Roman"/>
                <w:szCs w:val="21"/>
                <w:u w:val="single"/>
              </w:rPr>
              <w:t>　　　　　　　</w:t>
            </w:r>
            <w:r>
              <w:rPr>
                <w:rFonts w:hint="eastAsia" w:ascii="Times New Roman"/>
                <w:szCs w:val="21"/>
              </w:rPr>
              <w:t xml:space="preserve">  </w:t>
            </w:r>
          </w:p>
          <w:p>
            <w:pPr>
              <w:spacing w:before="120" w:after="120"/>
              <w:ind w:firstLine="6090" w:firstLineChars="2900"/>
              <w:jc w:val="lef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0" w:hRule="exact"/>
        </w:trPr>
        <w:tc>
          <w:tcPr>
            <w:tcW w:w="1614" w:type="dxa"/>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pacing w:val="-10"/>
                <w:szCs w:val="21"/>
              </w:rPr>
            </w:pPr>
            <w:r>
              <w:rPr>
                <w:rFonts w:hint="eastAsia" w:ascii="Times New Roman"/>
                <w:spacing w:val="-10"/>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ind w:left="-50" w:right="-50"/>
              <w:jc w:val="center"/>
              <w:rPr>
                <w:rFonts w:ascii="Times New Roman"/>
                <w:spacing w:val="-10"/>
                <w:szCs w:val="21"/>
              </w:rPr>
            </w:pPr>
          </w:p>
        </w:tc>
        <w:tc>
          <w:tcPr>
            <w:tcW w:w="1796" w:type="dxa"/>
            <w:tcBorders>
              <w:top w:val="single" w:color="auto" w:sz="4" w:space="0"/>
              <w:left w:val="single" w:color="auto" w:sz="4" w:space="0"/>
              <w:bottom w:val="single" w:color="auto" w:sz="4" w:space="0"/>
              <w:right w:val="single" w:color="auto" w:sz="4" w:space="0"/>
            </w:tcBorders>
            <w:noWrap w:val="0"/>
            <w:vAlign w:val="center"/>
          </w:tcPr>
          <w:p>
            <w:pPr>
              <w:ind w:left="-50" w:right="-50"/>
              <w:jc w:val="center"/>
              <w:rPr>
                <w:rFonts w:ascii="Times New Roman"/>
                <w:spacing w:val="-10"/>
                <w:szCs w:val="21"/>
              </w:rPr>
            </w:pPr>
            <w:r>
              <w:rPr>
                <w:rFonts w:hint="eastAsia" w:ascii="Times New Roman"/>
                <w:spacing w:val="-10"/>
                <w:szCs w:val="21"/>
              </w:rPr>
              <w:t>施工项目经理部签收人姓名及时间</w:t>
            </w:r>
          </w:p>
        </w:tc>
        <w:tc>
          <w:tcPr>
            <w:tcW w:w="2394" w:type="dxa"/>
            <w:tcBorders>
              <w:top w:val="single" w:color="auto" w:sz="4" w:space="0"/>
              <w:left w:val="single" w:color="auto" w:sz="4" w:space="0"/>
              <w:bottom w:val="single" w:color="auto" w:sz="4" w:space="0"/>
              <w:right w:val="single" w:color="auto" w:sz="8" w:space="0"/>
            </w:tcBorders>
            <w:noWrap w:val="0"/>
            <w:vAlign w:val="top"/>
          </w:tcPr>
          <w:p>
            <w:pPr>
              <w:ind w:left="-50" w:right="-50"/>
              <w:rPr>
                <w:rFonts w:ascii="Times New Roman"/>
                <w:spacing w:val="-1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70" w:hRule="atLeast"/>
        </w:trPr>
        <w:tc>
          <w:tcPr>
            <w:tcW w:w="8598" w:type="dxa"/>
            <w:gridSpan w:val="4"/>
            <w:tcBorders>
              <w:top w:val="single" w:color="auto" w:sz="4" w:space="0"/>
              <w:left w:val="single" w:color="auto" w:sz="8" w:space="0"/>
              <w:bottom w:val="single" w:color="auto" w:sz="4" w:space="0"/>
              <w:right w:val="single" w:color="auto" w:sz="8" w:space="0"/>
            </w:tcBorders>
            <w:noWrap w:val="0"/>
            <w:vAlign w:val="top"/>
          </w:tcPr>
          <w:p>
            <w:pPr>
              <w:spacing w:before="120" w:after="120"/>
              <w:rPr>
                <w:rFonts w:ascii="Times New Roman"/>
                <w:szCs w:val="21"/>
              </w:rPr>
            </w:pPr>
            <w:r>
              <w:rPr>
                <w:rFonts w:hint="eastAsia" w:ascii="Times New Roman"/>
                <w:szCs w:val="21"/>
              </w:rPr>
              <w:t>审查意见：</w:t>
            </w:r>
          </w:p>
          <w:p>
            <w:pPr>
              <w:spacing w:line="360" w:lineRule="exact"/>
              <w:rPr>
                <w:rFonts w:hint="eastAsia" w:ascii="Times New Roman"/>
                <w:bCs/>
                <w:szCs w:val="21"/>
                <w:u w:val="single"/>
              </w:rPr>
            </w:pPr>
            <w:r>
              <w:rPr>
                <w:rFonts w:hint="eastAsia" w:ascii="Times New Roman"/>
                <w:szCs w:val="21"/>
              </w:rPr>
              <w:t>　　     项</w:t>
            </w:r>
            <w:r>
              <w:rPr>
                <w:rFonts w:hint="eastAsia" w:ascii="Times New Roman"/>
                <w:bCs/>
                <w:szCs w:val="21"/>
              </w:rPr>
              <w:t xml:space="preserve">目监理机构(章): </w:t>
            </w:r>
            <w:r>
              <w:rPr>
                <w:rFonts w:hint="eastAsia" w:ascii="Times New Roman"/>
                <w:bCs/>
                <w:szCs w:val="21"/>
                <w:u w:val="single"/>
              </w:rPr>
              <w:t xml:space="preserve">                                  </w:t>
            </w:r>
          </w:p>
          <w:p>
            <w:pPr>
              <w:spacing w:line="360" w:lineRule="exact"/>
              <w:ind w:firstLine="2730" w:firstLineChars="1300"/>
              <w:rPr>
                <w:rFonts w:hint="eastAsia" w:ascii="Times New Roman"/>
                <w:szCs w:val="21"/>
                <w:u w:val="single"/>
              </w:rPr>
            </w:pPr>
            <w:r>
              <w:rPr>
                <w:rFonts w:hint="eastAsia" w:ascii="Times New Roman"/>
                <w:szCs w:val="21"/>
              </w:rPr>
              <w:t>专业监理工程师（签字）：</w:t>
            </w:r>
            <w:r>
              <w:rPr>
                <w:rFonts w:hint="eastAsia" w:ascii="Times New Roman"/>
                <w:szCs w:val="21"/>
                <w:u w:val="single"/>
              </w:rPr>
              <w:t>　　                       　</w:t>
            </w:r>
          </w:p>
          <w:p>
            <w:pPr>
              <w:spacing w:line="360" w:lineRule="exact"/>
              <w:ind w:firstLine="2730" w:firstLineChars="1300"/>
              <w:rPr>
                <w:rFonts w:hint="eastAsia" w:ascii="Times New Roman"/>
                <w:szCs w:val="21"/>
                <w:u w:val="single"/>
              </w:rPr>
            </w:pPr>
            <w:r>
              <w:rPr>
                <w:rFonts w:hint="eastAsia" w:ascii="Times New Roman"/>
                <w:szCs w:val="21"/>
              </w:rPr>
              <w:t>总监理工程师/总监理工程师代表（签字）:</w:t>
            </w:r>
            <w:r>
              <w:rPr>
                <w:rFonts w:hint="eastAsia" w:ascii="Times New Roman"/>
                <w:szCs w:val="21"/>
                <w:u w:val="single"/>
              </w:rPr>
              <w:t xml:space="preserve">              </w:t>
            </w:r>
          </w:p>
          <w:p>
            <w:pPr>
              <w:spacing w:line="440" w:lineRule="exact"/>
              <w:ind w:right="71" w:firstLine="4548" w:firstLineChars="2166"/>
              <w:jc w:val="right"/>
              <w:rPr>
                <w:rFonts w:ascii="Times New Roman"/>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8598" w:type="dxa"/>
            <w:gridSpan w:val="4"/>
            <w:tcBorders>
              <w:top w:val="single" w:color="auto" w:sz="4" w:space="0"/>
              <w:left w:val="single" w:color="auto" w:sz="8" w:space="0"/>
              <w:bottom w:val="single" w:color="auto" w:sz="8" w:space="0"/>
              <w:right w:val="single" w:color="auto" w:sz="8" w:space="0"/>
            </w:tcBorders>
            <w:noWrap w:val="0"/>
            <w:vAlign w:val="top"/>
          </w:tcPr>
          <w:p>
            <w:pPr>
              <w:rPr>
                <w:rFonts w:ascii="Times New Roman"/>
                <w:szCs w:val="21"/>
              </w:rPr>
            </w:pPr>
            <w:r>
              <w:rPr>
                <w:rFonts w:hint="eastAsia" w:ascii="Times New Roman"/>
                <w:szCs w:val="21"/>
              </w:rPr>
              <w:t>注：</w:t>
            </w:r>
            <w:r>
              <w:rPr>
                <w:szCs w:val="21"/>
              </w:rPr>
              <w:t>1</w:t>
            </w:r>
            <w:r>
              <w:rPr>
                <w:rFonts w:hint="eastAsia" w:ascii="Times New Roman"/>
                <w:szCs w:val="21"/>
              </w:rPr>
              <w:t>、</w:t>
            </w:r>
            <w:r>
              <w:rPr>
                <w:rFonts w:hint="eastAsia" w:ascii="Times New Roman"/>
                <w:spacing w:val="-6"/>
                <w:szCs w:val="21"/>
              </w:rPr>
              <w:t>本报审表分为设备安装报审（</w:t>
            </w:r>
            <w:r>
              <w:rPr>
                <w:spacing w:val="-6"/>
                <w:szCs w:val="21"/>
              </w:rPr>
              <w:t>B.4.1</w:t>
            </w:r>
            <w:r>
              <w:rPr>
                <w:spacing w:val="-6"/>
                <w:szCs w:val="21"/>
                <w:u w:val="single"/>
              </w:rPr>
              <w:t>1</w:t>
            </w:r>
            <w:r>
              <w:rPr>
                <w:rFonts w:hint="eastAsia" w:ascii="Times New Roman"/>
                <w:spacing w:val="-6"/>
                <w:szCs w:val="21"/>
              </w:rPr>
              <w:t>）、设备使用报审（</w:t>
            </w:r>
            <w:r>
              <w:rPr>
                <w:spacing w:val="-6"/>
                <w:szCs w:val="21"/>
              </w:rPr>
              <w:t>B.4.1</w:t>
            </w:r>
            <w:r>
              <w:rPr>
                <w:spacing w:val="-6"/>
                <w:szCs w:val="21"/>
                <w:u w:val="single"/>
              </w:rPr>
              <w:t>2</w:t>
            </w:r>
            <w:r>
              <w:rPr>
                <w:rFonts w:hint="eastAsia" w:ascii="Times New Roman"/>
                <w:spacing w:val="-6"/>
                <w:szCs w:val="21"/>
              </w:rPr>
              <w:t>）、设备拆卸报审（</w:t>
            </w:r>
            <w:r>
              <w:rPr>
                <w:spacing w:val="-6"/>
                <w:szCs w:val="21"/>
              </w:rPr>
              <w:t>B.4.1</w:t>
            </w:r>
            <w:r>
              <w:rPr>
                <w:spacing w:val="-6"/>
                <w:szCs w:val="21"/>
                <w:u w:val="single"/>
              </w:rPr>
              <w:t>3</w:t>
            </w:r>
            <w:r>
              <w:rPr>
                <w:rFonts w:hint="eastAsia" w:ascii="Times New Roman"/>
                <w:spacing w:val="-6"/>
                <w:szCs w:val="21"/>
              </w:rPr>
              <w:t>）。</w:t>
            </w:r>
          </w:p>
          <w:p>
            <w:pPr>
              <w:numPr>
                <w:ilvl w:val="0"/>
                <w:numId w:val="16"/>
              </w:numPr>
              <w:ind w:firstLine="420" w:firstLineChars="200"/>
              <w:rPr>
                <w:rFonts w:hint="eastAsia" w:ascii="Times New Roman"/>
                <w:szCs w:val="21"/>
              </w:rPr>
            </w:pPr>
            <w:r>
              <w:rPr>
                <w:rFonts w:hint="eastAsia" w:ascii="Times New Roman"/>
                <w:szCs w:val="21"/>
              </w:rPr>
              <w:t>施工起重机械设备的顶升、附着参照本报审表报审。</w:t>
            </w:r>
          </w:p>
          <w:p>
            <w:pPr>
              <w:ind w:firstLine="420" w:firstLineChars="200"/>
              <w:rPr>
                <w:rFonts w:ascii="Times New Roman"/>
                <w:szCs w:val="21"/>
              </w:rPr>
            </w:pPr>
            <w:r>
              <w:rPr>
                <w:szCs w:val="21"/>
              </w:rPr>
              <w:t>3</w:t>
            </w:r>
            <w:r>
              <w:rPr>
                <w:rFonts w:hint="eastAsia" w:ascii="Times New Roman"/>
                <w:szCs w:val="21"/>
              </w:rPr>
              <w:t>、本表一式二份，项目监理机构、施工单位各一份。</w:t>
            </w:r>
          </w:p>
        </w:tc>
      </w:tr>
    </w:tbl>
    <w:p>
      <w:pPr>
        <w:rPr>
          <w:rFonts w:ascii="Times New Roman" w:eastAsia="隶书"/>
        </w:rPr>
      </w:pPr>
      <w:r>
        <w:rPr>
          <w:rFonts w:hint="eastAsia" w:ascii="Times New Roman" w:eastAsia="隶书"/>
        </w:rPr>
        <w:t>第六版表                                              江苏省住房和城乡建设厅监制</w:t>
      </w: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B.4.2</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eastAsia="黑体"/>
          <w:sz w:val="44"/>
          <w14:shadow w14:blurRad="50800" w14:dist="38100" w14:dir="2700000" w14:sx="100000" w14:sy="100000" w14:kx="0" w14:ky="0" w14:algn="tl">
            <w14:srgbClr w14:val="000000">
              <w14:alpha w14:val="60000"/>
            </w14:srgbClr>
          </w14:shadow>
        </w:rPr>
        <w:t xml:space="preserve"> </w:t>
      </w:r>
      <w:r>
        <w:rPr>
          <w:rFonts w:hint="eastAsia" w:eastAsia="黑体"/>
          <w:sz w:val="44"/>
          <w14:shadow w14:blurRad="50800" w14:dist="38100" w14:dir="2700000" w14:sx="100000" w14:sy="100000" w14:kx="0" w14:ky="0" w14:algn="tl">
            <w14:srgbClr w14:val="000000">
              <w14:alpha w14:val="60000"/>
            </w14:srgbClr>
          </w14:shadow>
        </w:rPr>
        <w:t>危大工程验收告知单</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B.4.2</w:t>
      </w:r>
      <w:r>
        <w:rPr>
          <w:rFonts w:hint="eastAsia"/>
          <w:szCs w:val="21"/>
        </w:rPr>
        <w:t>—</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8"/>
        <w:gridCol w:w="720"/>
        <w:gridCol w:w="2860"/>
        <w:gridCol w:w="1796"/>
        <w:gridCol w:w="241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828" w:type="dxa"/>
            <w:tcBorders>
              <w:top w:val="single" w:color="auto" w:sz="8" w:space="0"/>
              <w:left w:val="single" w:color="auto" w:sz="8" w:space="0"/>
              <w:bottom w:val="single" w:color="auto" w:sz="4" w:space="0"/>
              <w:right w:val="single" w:color="auto" w:sz="4" w:space="0"/>
            </w:tcBorders>
            <w:noWrap w:val="0"/>
            <w:vAlign w:val="center"/>
          </w:tcPr>
          <w:p>
            <w:pPr>
              <w:rPr>
                <w:szCs w:val="21"/>
              </w:rPr>
            </w:pPr>
            <w:r>
              <w:rPr>
                <w:rFonts w:hint="eastAsia"/>
                <w:szCs w:val="21"/>
              </w:rPr>
              <w:t>事由</w:t>
            </w:r>
          </w:p>
        </w:tc>
        <w:tc>
          <w:tcPr>
            <w:tcW w:w="7786" w:type="dxa"/>
            <w:gridSpan w:val="4"/>
            <w:tcBorders>
              <w:top w:val="single" w:color="auto" w:sz="8" w:space="0"/>
              <w:left w:val="single" w:color="auto" w:sz="4" w:space="0"/>
              <w:bottom w:val="single" w:color="auto" w:sz="4" w:space="0"/>
              <w:right w:val="single" w:color="auto" w:sz="8" w:space="0"/>
            </w:tcBorders>
            <w:noWrap w:val="0"/>
            <w:vAlign w:val="center"/>
          </w:tcPr>
          <w:p>
            <w:pPr>
              <w:rPr>
                <w:szCs w:val="21"/>
              </w:rPr>
            </w:pPr>
          </w:p>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70" w:hRule="atLeast"/>
        </w:trPr>
        <w:tc>
          <w:tcPr>
            <w:tcW w:w="8614" w:type="dxa"/>
            <w:gridSpan w:val="5"/>
            <w:tcBorders>
              <w:top w:val="single" w:color="auto" w:sz="4" w:space="0"/>
              <w:left w:val="single" w:color="auto" w:sz="8" w:space="0"/>
              <w:bottom w:val="single" w:color="auto" w:sz="4" w:space="0"/>
              <w:right w:val="single" w:color="auto" w:sz="8" w:space="0"/>
            </w:tcBorders>
            <w:noWrap w:val="0"/>
            <w:vAlign w:val="top"/>
          </w:tcPr>
          <w:p>
            <w:pPr>
              <w:spacing w:before="240"/>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exact"/>
              <w:ind w:left="420" w:leftChars="200"/>
              <w:jc w:val="left"/>
              <w:rPr>
                <w:rFonts w:hint="eastAsia" w:ascii="Times New Roman"/>
                <w:szCs w:val="21"/>
              </w:rPr>
            </w:pPr>
            <w:r>
              <w:rPr>
                <w:rFonts w:hint="eastAsia" w:ascii="Times New Roman"/>
                <w:szCs w:val="21"/>
              </w:rPr>
              <w:t xml:space="preserve">我方已完成 </w:t>
            </w:r>
            <w:r>
              <w:rPr>
                <w:rFonts w:hint="eastAsia" w:ascii="Times New Roman"/>
                <w:szCs w:val="21"/>
                <w:u w:val="single"/>
              </w:rPr>
              <w:t xml:space="preserve">                                             </w:t>
            </w:r>
            <w:r>
              <w:rPr>
                <w:rFonts w:hint="eastAsia" w:ascii="Times New Roman"/>
                <w:szCs w:val="21"/>
              </w:rPr>
              <w:t>危险性较大分部分项</w:t>
            </w:r>
          </w:p>
          <w:p>
            <w:pPr>
              <w:spacing w:line="360" w:lineRule="exact"/>
              <w:jc w:val="left"/>
              <w:rPr>
                <w:rFonts w:hint="eastAsia" w:ascii="Times New Roman"/>
                <w:szCs w:val="21"/>
              </w:rPr>
            </w:pPr>
            <w:r>
              <w:rPr>
                <w:rFonts w:hint="eastAsia" w:ascii="Times New Roman"/>
                <w:szCs w:val="21"/>
              </w:rPr>
              <w:t>工程的施工，定于</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r>
              <w:rPr>
                <w:rFonts w:hint="eastAsia" w:ascii="Times New Roman"/>
                <w:szCs w:val="21"/>
                <w:u w:val="single"/>
              </w:rPr>
              <w:t xml:space="preserve">      </w:t>
            </w:r>
            <w:r>
              <w:rPr>
                <w:rFonts w:hint="eastAsia" w:ascii="Times New Roman"/>
                <w:szCs w:val="21"/>
              </w:rPr>
              <w:t>时</w:t>
            </w:r>
            <w:r>
              <w:rPr>
                <w:rFonts w:hint="eastAsia" w:ascii="Times New Roman"/>
                <w:szCs w:val="21"/>
                <w:u w:val="single"/>
              </w:rPr>
              <w:t xml:space="preserve">     </w:t>
            </w:r>
            <w:r>
              <w:rPr>
                <w:rFonts w:hint="eastAsia" w:ascii="Times New Roman"/>
                <w:szCs w:val="21"/>
              </w:rPr>
              <w:t>分组织验收，请派人参加。</w:t>
            </w:r>
          </w:p>
          <w:p>
            <w:pPr>
              <w:spacing w:line="360" w:lineRule="exact"/>
              <w:ind w:left="482"/>
              <w:rPr>
                <w:rFonts w:hint="eastAsia" w:ascii="Times New Roman"/>
                <w:szCs w:val="21"/>
              </w:rPr>
            </w:pPr>
            <w:r>
              <w:rPr>
                <w:rFonts w:hint="eastAsia" w:ascii="Times New Roman"/>
                <w:szCs w:val="21"/>
              </w:rPr>
              <w:t>□ 基坑工程</w:t>
            </w:r>
          </w:p>
          <w:p>
            <w:pPr>
              <w:spacing w:line="360" w:lineRule="exact"/>
              <w:ind w:left="482"/>
              <w:rPr>
                <w:rFonts w:hint="eastAsia" w:ascii="Times New Roman"/>
                <w:szCs w:val="21"/>
              </w:rPr>
            </w:pPr>
            <w:r>
              <w:rPr>
                <w:rFonts w:hint="eastAsia" w:ascii="Times New Roman"/>
                <w:szCs w:val="21"/>
              </w:rPr>
              <w:t>□ 模板工程及支撑体系</w:t>
            </w:r>
          </w:p>
          <w:p>
            <w:pPr>
              <w:spacing w:line="360" w:lineRule="exact"/>
              <w:ind w:left="482"/>
              <w:rPr>
                <w:rFonts w:hint="eastAsia" w:ascii="Times New Roman"/>
                <w:szCs w:val="21"/>
              </w:rPr>
            </w:pPr>
            <w:r>
              <w:rPr>
                <w:rFonts w:hint="eastAsia" w:ascii="Times New Roman"/>
                <w:szCs w:val="21"/>
              </w:rPr>
              <w:t>□ 起重吊装及起重机械安装拆卸工程</w:t>
            </w:r>
          </w:p>
          <w:p>
            <w:pPr>
              <w:spacing w:line="360" w:lineRule="exact"/>
              <w:ind w:left="482"/>
              <w:rPr>
                <w:rFonts w:hint="eastAsia" w:ascii="Times New Roman"/>
                <w:szCs w:val="21"/>
              </w:rPr>
            </w:pPr>
            <w:r>
              <w:rPr>
                <w:rFonts w:hint="eastAsia" w:ascii="Times New Roman"/>
                <w:szCs w:val="21"/>
              </w:rPr>
              <w:t>□ 脚手架工程</w:t>
            </w:r>
          </w:p>
          <w:p>
            <w:pPr>
              <w:spacing w:line="360" w:lineRule="exact"/>
              <w:ind w:left="482"/>
              <w:rPr>
                <w:rFonts w:hint="eastAsia" w:ascii="Times New Roman"/>
                <w:szCs w:val="21"/>
              </w:rPr>
            </w:pPr>
            <w:r>
              <w:rPr>
                <w:rFonts w:hint="eastAsia" w:ascii="Times New Roman"/>
                <w:szCs w:val="21"/>
              </w:rPr>
              <w:t>□ 暗挖工程</w:t>
            </w:r>
          </w:p>
          <w:p>
            <w:pPr>
              <w:spacing w:line="360" w:lineRule="exact"/>
              <w:ind w:left="482"/>
              <w:rPr>
                <w:rFonts w:hint="eastAsia" w:ascii="Times New Roman"/>
                <w:szCs w:val="21"/>
              </w:rPr>
            </w:pPr>
            <w:r>
              <w:rPr>
                <w:rFonts w:hint="eastAsia" w:ascii="Times New Roman"/>
                <w:szCs w:val="21"/>
              </w:rPr>
              <w:t>□ 拆除工程</w:t>
            </w:r>
          </w:p>
          <w:p>
            <w:pPr>
              <w:spacing w:line="360" w:lineRule="exact"/>
              <w:ind w:left="482"/>
              <w:rPr>
                <w:rFonts w:hint="eastAsia" w:ascii="Times New Roman"/>
                <w:szCs w:val="21"/>
              </w:rPr>
            </w:pPr>
            <w:r>
              <w:rPr>
                <w:rFonts w:hint="eastAsia" w:ascii="Times New Roman"/>
                <w:szCs w:val="21"/>
              </w:rPr>
              <w:t xml:space="preserve">□ </w:t>
            </w:r>
          </w:p>
          <w:p>
            <w:pPr>
              <w:rPr>
                <w:rFonts w:hint="eastAsia"/>
                <w:szCs w:val="21"/>
              </w:rPr>
            </w:pPr>
          </w:p>
          <w:p>
            <w:pPr>
              <w:tabs>
                <w:tab w:val="left" w:pos="7980"/>
              </w:tabs>
              <w:ind w:firstLine="4200" w:firstLineChars="2000"/>
              <w:jc w:val="left"/>
              <w:rPr>
                <w:szCs w:val="21"/>
                <w:u w:val="single"/>
              </w:rPr>
            </w:pPr>
            <w:r>
              <w:rPr>
                <w:rFonts w:hint="eastAsia"/>
                <w:szCs w:val="21"/>
              </w:rPr>
              <w:t>施工项目经理部（章）：</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p>
          <w:p>
            <w:pPr>
              <w:tabs>
                <w:tab w:val="left" w:pos="7980"/>
              </w:tabs>
              <w:spacing w:before="120"/>
              <w:jc w:val="left"/>
              <w:rPr>
                <w:szCs w:val="21"/>
              </w:rPr>
            </w:pPr>
            <w:r>
              <w:rPr>
                <w:rFonts w:hint="eastAsia"/>
                <w:szCs w:val="21"/>
              </w:rPr>
              <w:t>　　　　　　　　　　</w:t>
            </w:r>
            <w:r>
              <w:rPr>
                <w:szCs w:val="21"/>
              </w:rPr>
              <w:t xml:space="preserve">                    </w:t>
            </w:r>
            <w:r>
              <w:rPr>
                <w:rFonts w:hint="eastAsia"/>
                <w:szCs w:val="21"/>
              </w:rPr>
              <w:t>项目经理（签字）：</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p>
          <w:p>
            <w:pPr>
              <w:spacing w:before="120"/>
              <w:rPr>
                <w:szCs w:val="21"/>
                <w:u w:val="single"/>
              </w:rPr>
            </w:pPr>
            <w:r>
              <w:rPr>
                <w:szCs w:val="21"/>
              </w:rPr>
              <w:t xml:space="preserve">                                                          </w:t>
            </w: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8" w:hRule="atLeast"/>
        </w:trPr>
        <w:tc>
          <w:tcPr>
            <w:tcW w:w="1548" w:type="dxa"/>
            <w:gridSpan w:val="2"/>
            <w:tcBorders>
              <w:top w:val="single" w:color="auto" w:sz="4" w:space="0"/>
              <w:left w:val="single" w:color="auto" w:sz="8" w:space="0"/>
              <w:bottom w:val="single" w:color="auto" w:sz="4" w:space="0"/>
              <w:right w:val="single" w:color="auto" w:sz="4" w:space="0"/>
            </w:tcBorders>
            <w:noWrap w:val="0"/>
            <w:vAlign w:val="center"/>
          </w:tcPr>
          <w:p>
            <w:pPr>
              <w:pStyle w:val="9"/>
              <w:tabs>
                <w:tab w:val="left" w:pos="420"/>
              </w:tabs>
              <w:ind w:left="-105" w:leftChars="-50" w:right="-105" w:rightChars="-50"/>
              <w:rPr>
                <w:rFonts w:ascii="Times New Roman"/>
                <w:sz w:val="21"/>
                <w:szCs w:val="21"/>
                <w:lang w:val="en-US" w:eastAsia="zh-CN"/>
              </w:rPr>
            </w:pPr>
            <w:r>
              <w:rPr>
                <w:rFonts w:hint="eastAsia" w:ascii="Times New Roman"/>
                <w:sz w:val="21"/>
                <w:szCs w:val="21"/>
                <w:lang w:val="en-US" w:eastAsia="zh-CN"/>
              </w:rPr>
              <w:t>项目监理机构签收人姓名及时间</w:t>
            </w:r>
          </w:p>
        </w:tc>
        <w:tc>
          <w:tcPr>
            <w:tcW w:w="2860" w:type="dxa"/>
            <w:tcBorders>
              <w:top w:val="single" w:color="auto" w:sz="4" w:space="0"/>
              <w:left w:val="single" w:color="auto" w:sz="4" w:space="0"/>
              <w:bottom w:val="single" w:color="auto" w:sz="4" w:space="0"/>
              <w:right w:val="single" w:color="auto" w:sz="4" w:space="0"/>
            </w:tcBorders>
            <w:noWrap w:val="0"/>
            <w:vAlign w:val="top"/>
          </w:tcPr>
          <w:p>
            <w:pPr>
              <w:ind w:left="-105" w:leftChars="-50" w:right="-105" w:rightChars="-50"/>
              <w:rPr>
                <w:rFonts w:ascii="Times New Roman"/>
                <w:szCs w:val="21"/>
              </w:rPr>
            </w:pPr>
          </w:p>
        </w:tc>
        <w:tc>
          <w:tcPr>
            <w:tcW w:w="1796" w:type="dxa"/>
            <w:tcBorders>
              <w:top w:val="single" w:color="auto" w:sz="4" w:space="0"/>
              <w:left w:val="single" w:color="auto" w:sz="4" w:space="0"/>
              <w:bottom w:val="single" w:color="auto" w:sz="4" w:space="0"/>
              <w:right w:val="single" w:color="auto" w:sz="4" w:space="0"/>
            </w:tcBorders>
            <w:noWrap w:val="0"/>
            <w:vAlign w:val="center"/>
          </w:tcPr>
          <w:p>
            <w:pPr>
              <w:pStyle w:val="9"/>
              <w:tabs>
                <w:tab w:val="left" w:pos="420"/>
              </w:tabs>
              <w:ind w:left="-105" w:leftChars="-50" w:right="-105" w:rightChars="-50"/>
              <w:rPr>
                <w:rFonts w:ascii="Times New Roman"/>
                <w:sz w:val="21"/>
                <w:szCs w:val="21"/>
                <w:lang w:val="en-US" w:eastAsia="zh-CN"/>
              </w:rPr>
            </w:pPr>
            <w:r>
              <w:rPr>
                <w:rFonts w:hint="eastAsia" w:ascii="Times New Roman"/>
                <w:sz w:val="21"/>
                <w:szCs w:val="21"/>
                <w:lang w:val="en-US" w:eastAsia="zh-CN"/>
              </w:rPr>
              <w:t>施工项目经理部签收人姓名及时间</w:t>
            </w:r>
          </w:p>
        </w:tc>
        <w:tc>
          <w:tcPr>
            <w:tcW w:w="2410" w:type="dxa"/>
            <w:tcBorders>
              <w:top w:val="single" w:color="auto" w:sz="4" w:space="0"/>
              <w:left w:val="single" w:color="auto" w:sz="4" w:space="0"/>
              <w:bottom w:val="single" w:color="auto" w:sz="4" w:space="0"/>
              <w:right w:val="single" w:color="auto" w:sz="8" w:space="0"/>
            </w:tcBorders>
            <w:noWrap w:val="0"/>
            <w:vAlign w:val="top"/>
          </w:tcPr>
          <w:p>
            <w:pPr>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47" w:hRule="atLeast"/>
        </w:trPr>
        <w:tc>
          <w:tcPr>
            <w:tcW w:w="8614" w:type="dxa"/>
            <w:gridSpan w:val="5"/>
            <w:tcBorders>
              <w:top w:val="single" w:color="auto" w:sz="4" w:space="0"/>
              <w:left w:val="single" w:color="auto" w:sz="8" w:space="0"/>
              <w:bottom w:val="single" w:color="auto" w:sz="4" w:space="0"/>
              <w:right w:val="single" w:color="auto" w:sz="8" w:space="0"/>
            </w:tcBorders>
            <w:noWrap w:val="0"/>
            <w:vAlign w:val="top"/>
          </w:tcPr>
          <w:p>
            <w:pPr>
              <w:rPr>
                <w:szCs w:val="21"/>
              </w:rPr>
            </w:pPr>
            <w:r>
              <w:rPr>
                <w:rFonts w:hint="eastAsia"/>
                <w:szCs w:val="21"/>
              </w:rPr>
              <w:t>确认意见：</w:t>
            </w: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spacing w:line="420" w:lineRule="exact"/>
              <w:rPr>
                <w:bCs/>
                <w:szCs w:val="21"/>
                <w:u w:val="single"/>
              </w:rPr>
            </w:pPr>
            <w:r>
              <w:rPr>
                <w:rFonts w:hint="eastAsia"/>
                <w:szCs w:val="21"/>
              </w:rPr>
              <w:t>　　　　　　　</w:t>
            </w:r>
            <w:r>
              <w:rPr>
                <w:szCs w:val="21"/>
              </w:rPr>
              <w:t xml:space="preserve">                </w:t>
            </w:r>
          </w:p>
          <w:p>
            <w:pPr>
              <w:spacing w:line="420" w:lineRule="exact"/>
              <w:ind w:firstLine="2520" w:firstLineChars="1200"/>
              <w:rPr>
                <w:szCs w:val="21"/>
                <w:u w:val="single"/>
              </w:rPr>
            </w:pPr>
            <w:r>
              <w:rPr>
                <w:rFonts w:hint="eastAsia"/>
                <w:szCs w:val="21"/>
              </w:rPr>
              <w:t>总监理工程师</w:t>
            </w:r>
            <w:r>
              <w:rPr>
                <w:szCs w:val="21"/>
              </w:rPr>
              <w:t>/</w:t>
            </w:r>
            <w:r>
              <w:rPr>
                <w:rFonts w:hint="eastAsia"/>
                <w:szCs w:val="21"/>
              </w:rPr>
              <w:t>专业监理工程师（签字）：</w:t>
            </w:r>
            <w:r>
              <w:rPr>
                <w:szCs w:val="21"/>
                <w:u w:val="single"/>
              </w:rPr>
              <w:t xml:space="preserve">                    </w:t>
            </w:r>
          </w:p>
          <w:p>
            <w:pPr>
              <w:spacing w:line="420" w:lineRule="exact"/>
              <w:jc w:val="right"/>
              <w:rPr>
                <w:rFonts w:ascii="Times New Roman"/>
                <w:szCs w:val="21"/>
              </w:rPr>
            </w:pPr>
            <w:r>
              <w:rPr>
                <w:szCs w:val="21"/>
              </w:rPr>
              <w:t xml:space="preserve">                              </w:t>
            </w: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8614" w:type="dxa"/>
            <w:gridSpan w:val="5"/>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szCs w:val="21"/>
              </w:rPr>
              <w:t>注：</w:t>
            </w:r>
            <w:r>
              <w:rPr>
                <w:szCs w:val="21"/>
              </w:rPr>
              <w:t>1</w:t>
            </w:r>
            <w:r>
              <w:rPr>
                <w:rFonts w:hint="eastAsia"/>
                <w:szCs w:val="21"/>
              </w:rPr>
              <w:t>、本</w:t>
            </w:r>
            <w:r>
              <w:rPr>
                <w:rFonts w:hint="eastAsia" w:ascii="Times New Roman"/>
                <w:szCs w:val="21"/>
              </w:rPr>
              <w:t>表一式二份，项目监理机构、施工单位各一份。</w:t>
            </w:r>
          </w:p>
        </w:tc>
      </w:tr>
    </w:tbl>
    <w:p>
      <w:pPr>
        <w:jc w:val="right"/>
        <w:rPr>
          <w:rFonts w:eastAsia="黑体"/>
          <w:b/>
          <w:sz w:val="28"/>
          <w:szCs w:val="28"/>
          <w14:shadow w14:blurRad="50800" w14:dist="38100" w14:dir="2700000" w14:sx="100000" w14:sy="100000" w14:kx="0" w14:ky="0" w14:algn="tl">
            <w14:srgbClr w14:val="000000">
              <w14:alpha w14:val="60000"/>
            </w14:srgbClr>
          </w14:shadow>
        </w:rPr>
      </w:pPr>
      <w:r>
        <w:rPr>
          <w:rFonts w:hint="eastAsia" w:ascii="Times New Roman" w:eastAsia="隶书"/>
        </w:rPr>
        <w:t>第六版表                                              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B.5.1</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监理通知回复单（　　　　类）</w:t>
      </w:r>
    </w:p>
    <w:p>
      <w:pPr>
        <w:spacing w:after="156" w:afterLines="50" w:line="420" w:lineRule="exact"/>
        <w:ind w:left="21" w:hanging="21" w:hangingChars="10"/>
        <w:rPr>
          <w:szCs w:val="21"/>
        </w:rPr>
      </w:pPr>
      <w:r>
        <w:rPr>
          <w:rFonts w:hint="eastAsia"/>
          <w:szCs w:val="21"/>
        </w:rPr>
        <w:t>工程名称：</w:t>
      </w:r>
      <w:r>
        <w:rPr>
          <w:rFonts w:hint="eastAsia"/>
          <w:szCs w:val="21"/>
          <w:u w:val="single"/>
        </w:rPr>
        <w:t>　</w:t>
      </w:r>
      <w:r>
        <w:rPr>
          <w:szCs w:val="21"/>
          <w:u w:val="single"/>
        </w:rPr>
        <w:t xml:space="preserve">                            </w:t>
      </w:r>
      <w:r>
        <w:rPr>
          <w:szCs w:val="21"/>
        </w:rPr>
        <w:t xml:space="preserve">    </w:t>
      </w:r>
      <w:r>
        <w:rPr>
          <w:rFonts w:hint="eastAsia"/>
          <w:szCs w:val="21"/>
        </w:rPr>
        <w:t>　　　　</w:t>
      </w:r>
      <w:r>
        <w:rPr>
          <w:szCs w:val="21"/>
        </w:rPr>
        <w:t xml:space="preserve">    </w:t>
      </w:r>
      <w:r>
        <w:rPr>
          <w:rFonts w:hint="eastAsia"/>
          <w:szCs w:val="21"/>
        </w:rPr>
        <w:t>编号：</w:t>
      </w:r>
      <w:r>
        <w:rPr>
          <w:szCs w:val="21"/>
        </w:rPr>
        <w:t>B.5.1</w:t>
      </w:r>
      <w:r>
        <w:rPr>
          <w:rFonts w:hint="eastAsia"/>
          <w:szCs w:val="21"/>
          <w:u w:val="single"/>
        </w:rPr>
        <w:t>　</w:t>
      </w:r>
      <w:r>
        <w:rPr>
          <w:szCs w:val="21"/>
          <w:u w:val="single"/>
        </w:rPr>
        <w:t xml:space="preserve"> </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2870"/>
        <w:gridCol w:w="1927"/>
        <w:gridCol w:w="229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8644"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szCs w:val="21"/>
                <w:u w:val="single"/>
              </w:rPr>
            </w:pPr>
            <w:r>
              <w:rPr>
                <w:rFonts w:hint="eastAsia"/>
                <w:szCs w:val="21"/>
              </w:rPr>
              <w:t>致：</w:t>
            </w:r>
            <w:r>
              <w:rPr>
                <w:rFonts w:hint="eastAsia"/>
                <w:szCs w:val="21"/>
                <w:u w:val="single"/>
              </w:rPr>
              <w:t>　　　　</w:t>
            </w:r>
            <w:r>
              <w:rPr>
                <w:szCs w:val="21"/>
                <w:u w:val="single"/>
              </w:rPr>
              <w:t xml:space="preserve">   </w:t>
            </w:r>
            <w:r>
              <w:rPr>
                <w:rFonts w:hint="eastAsia"/>
                <w:szCs w:val="21"/>
                <w:u w:val="single"/>
              </w:rPr>
              <w:t>　　　</w:t>
            </w:r>
            <w:r>
              <w:rPr>
                <w:rFonts w:hint="eastAsia"/>
                <w:szCs w:val="21"/>
              </w:rPr>
              <w:t>（项目监理机构）</w:t>
            </w:r>
          </w:p>
          <w:p>
            <w:pPr>
              <w:spacing w:line="420" w:lineRule="exact"/>
              <w:ind w:firstLine="420" w:firstLineChars="200"/>
              <w:rPr>
                <w:szCs w:val="21"/>
              </w:rPr>
            </w:pPr>
            <w:r>
              <w:rPr>
                <w:rFonts w:hint="eastAsia"/>
                <w:szCs w:val="21"/>
              </w:rPr>
              <w:t>我方接到编号为</w:t>
            </w:r>
            <w:r>
              <w:rPr>
                <w:szCs w:val="21"/>
                <w:u w:val="single"/>
              </w:rPr>
              <w:t xml:space="preserve">                             </w:t>
            </w:r>
            <w:r>
              <w:rPr>
                <w:rFonts w:hint="eastAsia"/>
                <w:szCs w:val="21"/>
              </w:rPr>
              <w:t>的监理通知后，已按要求完成相关工作，请予以复查。</w:t>
            </w:r>
          </w:p>
          <w:p>
            <w:pPr>
              <w:spacing w:line="420" w:lineRule="exact"/>
              <w:ind w:firstLine="420" w:firstLineChars="200"/>
              <w:rPr>
                <w:szCs w:val="21"/>
              </w:rPr>
            </w:pPr>
            <w:r>
              <w:rPr>
                <w:rFonts w:hint="eastAsia"/>
                <w:szCs w:val="21"/>
              </w:rPr>
              <w:t>附件：</w:t>
            </w:r>
          </w:p>
          <w:p>
            <w:pPr>
              <w:spacing w:line="420" w:lineRule="exact"/>
              <w:ind w:firstLine="420" w:firstLineChars="200"/>
              <w:rPr>
                <w:szCs w:val="21"/>
              </w:rPr>
            </w:pPr>
            <w:r>
              <w:rPr>
                <w:rFonts w:hint="eastAsia" w:ascii="Times New Roman"/>
                <w:szCs w:val="21"/>
              </w:rPr>
              <w:t>□ 相关记录</w:t>
            </w: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rPr>
            </w:pPr>
          </w:p>
          <w:p>
            <w:pPr>
              <w:spacing w:line="420" w:lineRule="exact"/>
              <w:rPr>
                <w:szCs w:val="21"/>
                <w:u w:val="single"/>
              </w:rPr>
            </w:pPr>
            <w:r>
              <w:rPr>
                <w:rFonts w:hint="eastAsia"/>
                <w:szCs w:val="21"/>
              </w:rPr>
              <w:t>　　　　　　　　　　　</w:t>
            </w:r>
            <w:r>
              <w:rPr>
                <w:szCs w:val="21"/>
              </w:rPr>
              <w:t xml:space="preserve">                       </w:t>
            </w:r>
            <w:r>
              <w:rPr>
                <w:rFonts w:hint="eastAsia"/>
                <w:szCs w:val="21"/>
              </w:rPr>
              <w:t>施工项目经理部（章）：</w:t>
            </w:r>
            <w:r>
              <w:rPr>
                <w:rFonts w:hint="eastAsia"/>
                <w:szCs w:val="21"/>
                <w:u w:val="single"/>
              </w:rPr>
              <w:t>　　　</w:t>
            </w:r>
            <w:r>
              <w:rPr>
                <w:szCs w:val="21"/>
                <w:u w:val="single"/>
              </w:rPr>
              <w:t xml:space="preserve">    </w:t>
            </w:r>
            <w:r>
              <w:rPr>
                <w:rFonts w:hint="eastAsia"/>
                <w:szCs w:val="21"/>
                <w:u w:val="single"/>
              </w:rPr>
              <w:t>　</w:t>
            </w:r>
          </w:p>
          <w:p>
            <w:pPr>
              <w:spacing w:line="420" w:lineRule="exact"/>
              <w:rPr>
                <w:szCs w:val="21"/>
              </w:rPr>
            </w:pPr>
            <w:r>
              <w:rPr>
                <w:rFonts w:hint="eastAsia"/>
                <w:szCs w:val="21"/>
              </w:rPr>
              <w:t>　　　　　　　　　　　　</w:t>
            </w:r>
            <w:r>
              <w:rPr>
                <w:szCs w:val="21"/>
              </w:rPr>
              <w:t xml:space="preserve">                     </w:t>
            </w:r>
            <w:r>
              <w:rPr>
                <w:rFonts w:hint="eastAsia"/>
                <w:szCs w:val="21"/>
              </w:rPr>
              <w:t>项目经理（签字）：</w:t>
            </w:r>
            <w:r>
              <w:rPr>
                <w:rFonts w:hint="eastAsia"/>
                <w:szCs w:val="21"/>
                <w:u w:val="single"/>
              </w:rPr>
              <w:t>　　　</w:t>
            </w:r>
            <w:r>
              <w:rPr>
                <w:szCs w:val="21"/>
                <w:u w:val="single"/>
              </w:rPr>
              <w:t xml:space="preserve">     </w:t>
            </w:r>
            <w:r>
              <w:rPr>
                <w:rFonts w:hint="eastAsia"/>
                <w:szCs w:val="21"/>
                <w:u w:val="single"/>
              </w:rPr>
              <w:t>　　</w:t>
            </w:r>
            <w:r>
              <w:rPr>
                <w:szCs w:val="21"/>
              </w:rPr>
              <w:t xml:space="preserve"> </w:t>
            </w:r>
          </w:p>
          <w:p>
            <w:pPr>
              <w:spacing w:line="420" w:lineRule="exact"/>
              <w:ind w:firstLine="6018" w:firstLineChars="2866"/>
              <w:rPr>
                <w:szCs w:val="21"/>
              </w:rPr>
            </w:pP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22" w:hRule="atLeast"/>
        </w:trPr>
        <w:tc>
          <w:tcPr>
            <w:tcW w:w="1548" w:type="dxa"/>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项目监理机构签收人姓名及时间</w:t>
            </w:r>
          </w:p>
        </w:tc>
        <w:tc>
          <w:tcPr>
            <w:tcW w:w="2870"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927" w:type="dxa"/>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施工项目经理部签收人姓名及时间</w:t>
            </w:r>
          </w:p>
        </w:tc>
        <w:tc>
          <w:tcPr>
            <w:tcW w:w="2299" w:type="dxa"/>
            <w:tcBorders>
              <w:top w:val="single" w:color="auto" w:sz="4" w:space="0"/>
              <w:left w:val="single" w:color="auto" w:sz="4" w:space="0"/>
              <w:bottom w:val="single" w:color="auto" w:sz="4" w:space="0"/>
              <w:right w:val="single" w:color="auto" w:sz="8" w:space="0"/>
            </w:tcBorders>
            <w:noWrap w:val="0"/>
            <w:vAlign w:val="center"/>
          </w:tcPr>
          <w:p>
            <w:pPr>
              <w:ind w:left="-105" w:leftChars="-50" w:right="-105" w:rightChars="-5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8644"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rPr>
                <w:szCs w:val="21"/>
              </w:rPr>
            </w:pPr>
            <w:r>
              <w:rPr>
                <w:rFonts w:hint="eastAsia"/>
                <w:szCs w:val="21"/>
              </w:rPr>
              <w:t>复查意见：</w:t>
            </w:r>
          </w:p>
          <w:p>
            <w:pPr>
              <w:rPr>
                <w:szCs w:val="21"/>
              </w:rPr>
            </w:pPr>
          </w:p>
          <w:p>
            <w:pPr>
              <w:rPr>
                <w:szCs w:val="21"/>
              </w:rPr>
            </w:pPr>
          </w:p>
          <w:p>
            <w:pPr>
              <w:rPr>
                <w:szCs w:val="21"/>
              </w:rPr>
            </w:pPr>
          </w:p>
          <w:p>
            <w:pPr>
              <w:rPr>
                <w:szCs w:val="21"/>
              </w:rPr>
            </w:pPr>
          </w:p>
          <w:p>
            <w:pPr>
              <w:rPr>
                <w:szCs w:val="21"/>
              </w:rPr>
            </w:pPr>
          </w:p>
          <w:p>
            <w:pPr>
              <w:rPr>
                <w:szCs w:val="21"/>
              </w:rPr>
            </w:pPr>
          </w:p>
          <w:p>
            <w:pPr>
              <w:spacing w:line="420" w:lineRule="exact"/>
              <w:rPr>
                <w:rFonts w:ascii="Times New Roman"/>
                <w:szCs w:val="21"/>
                <w:u w:val="single"/>
              </w:rPr>
            </w:pPr>
            <w:r>
              <w:rPr>
                <w:rFonts w:hint="eastAsia" w:ascii="Times New Roman"/>
                <w:szCs w:val="21"/>
              </w:rPr>
              <w:t xml:space="preserve">　　　　　　　　　              </w:t>
            </w:r>
            <w:r>
              <w:rPr>
                <w:rFonts w:hint="eastAsia" w:ascii="Times New Roman"/>
                <w:bCs/>
                <w:szCs w:val="21"/>
              </w:rPr>
              <w:t>项目监理机构(章)</w:t>
            </w:r>
            <w:r>
              <w:rPr>
                <w:rFonts w:hint="eastAsia" w:ascii="Times New Roman"/>
                <w:szCs w:val="21"/>
              </w:rPr>
              <w:t>:</w:t>
            </w:r>
            <w:r>
              <w:rPr>
                <w:rFonts w:hint="eastAsia" w:ascii="Times New Roman"/>
                <w:szCs w:val="21"/>
                <w:u w:val="single"/>
              </w:rPr>
              <w:t xml:space="preserve">                              </w:t>
            </w:r>
          </w:p>
          <w:p>
            <w:pPr>
              <w:keepLines/>
              <w:spacing w:line="420" w:lineRule="exact"/>
              <w:ind w:firstLine="3360" w:firstLineChars="1600"/>
              <w:rPr>
                <w:rFonts w:hint="eastAsia" w:ascii="Times New Roman"/>
                <w:szCs w:val="21"/>
              </w:rPr>
            </w:pPr>
            <w:r>
              <w:rPr>
                <w:rFonts w:hint="eastAsia" w:ascii="Times New Roman"/>
                <w:szCs w:val="21"/>
              </w:rPr>
              <w:t>总监理工程师/专业监理工程师</w:t>
            </w:r>
            <w:r>
              <w:rPr>
                <w:rFonts w:hint="eastAsia"/>
                <w:szCs w:val="21"/>
              </w:rPr>
              <w:t>（签字）</w:t>
            </w:r>
            <w:r>
              <w:rPr>
                <w:rFonts w:hint="eastAsia" w:ascii="Times New Roman"/>
                <w:szCs w:val="21"/>
              </w:rPr>
              <w:t>：</w:t>
            </w:r>
            <w:r>
              <w:rPr>
                <w:rFonts w:hint="eastAsia" w:ascii="Times New Roman"/>
                <w:szCs w:val="21"/>
                <w:u w:val="single"/>
              </w:rPr>
              <w:t xml:space="preserve">　　      　 </w:t>
            </w:r>
          </w:p>
          <w:p>
            <w:pPr>
              <w:keepLines/>
              <w:spacing w:line="420" w:lineRule="exact"/>
              <w:ind w:firstLine="840" w:firstLineChars="400"/>
              <w:rPr>
                <w:szCs w:val="21"/>
              </w:rPr>
            </w:pPr>
            <w:r>
              <w:rPr>
                <w:rFonts w:hint="eastAsia" w:ascii="Times New Roman"/>
                <w:szCs w:val="21"/>
              </w:rPr>
              <w:t xml:space="preserve">                                                  </w:t>
            </w:r>
            <w:r>
              <w:rPr>
                <w:rFonts w:hint="eastAsia" w:ascii="Times New Roman"/>
                <w:szCs w:val="21"/>
                <w:u w:val="single"/>
              </w:rPr>
              <w:t xml:space="preserve">      </w:t>
            </w:r>
            <w:r>
              <w:rPr>
                <w:rFonts w:hint="eastAsia" w:ascii="Times New Roman"/>
                <w:szCs w:val="21"/>
              </w:rPr>
              <w:t>年</w:t>
            </w:r>
            <w:r>
              <w:rPr>
                <w:rFonts w:hint="eastAsia" w:ascii="Times New Roman"/>
                <w:szCs w:val="21"/>
                <w:u w:val="single"/>
              </w:rPr>
              <w:t xml:space="preserve">     </w:t>
            </w:r>
            <w:r>
              <w:rPr>
                <w:rFonts w:hint="eastAsia" w:ascii="Times New Roman"/>
                <w:szCs w:val="21"/>
              </w:rPr>
              <w:t>月</w:t>
            </w:r>
            <w:r>
              <w:rPr>
                <w:rFonts w:hint="eastAsia" w:ascii="Times New Roman"/>
                <w:szCs w:val="21"/>
                <w:u w:val="single"/>
              </w:rPr>
              <w:t xml:space="preserve">     </w:t>
            </w:r>
            <w:r>
              <w:rPr>
                <w:rFonts w:hint="eastAsia" w:ascii="Times New Roman"/>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71" w:hRule="atLeast"/>
        </w:trPr>
        <w:tc>
          <w:tcPr>
            <w:tcW w:w="8644" w:type="dxa"/>
            <w:gridSpan w:val="4"/>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szCs w:val="21"/>
              </w:rPr>
              <w:t>注：</w:t>
            </w:r>
            <w:r>
              <w:rPr>
                <w:szCs w:val="21"/>
              </w:rPr>
              <w:t xml:space="preserve"> 1</w:t>
            </w:r>
            <w:r>
              <w:rPr>
                <w:rFonts w:hint="eastAsia"/>
                <w:szCs w:val="21"/>
              </w:rPr>
              <w:t>、监理通知回复单分为：质量控制类（</w:t>
            </w:r>
            <w:r>
              <w:rPr>
                <w:szCs w:val="21"/>
              </w:rPr>
              <w:t>B.5.1</w:t>
            </w:r>
            <w:r>
              <w:rPr>
                <w:szCs w:val="21"/>
                <w:u w:val="single"/>
              </w:rPr>
              <w:t>1</w:t>
            </w:r>
            <w:r>
              <w:rPr>
                <w:rFonts w:hint="eastAsia"/>
                <w:szCs w:val="21"/>
              </w:rPr>
              <w:t>）、造价控制类（</w:t>
            </w:r>
            <w:r>
              <w:rPr>
                <w:szCs w:val="21"/>
              </w:rPr>
              <w:t>B.5.1</w:t>
            </w:r>
            <w:r>
              <w:rPr>
                <w:szCs w:val="21"/>
                <w:u w:val="single"/>
              </w:rPr>
              <w:t>2</w:t>
            </w:r>
            <w:r>
              <w:rPr>
                <w:rFonts w:hint="eastAsia"/>
                <w:szCs w:val="21"/>
              </w:rPr>
              <w:t>）、进度控制类（</w:t>
            </w:r>
            <w:r>
              <w:rPr>
                <w:szCs w:val="21"/>
              </w:rPr>
              <w:t>B.5.1</w:t>
            </w:r>
            <w:r>
              <w:rPr>
                <w:szCs w:val="21"/>
                <w:u w:val="single"/>
              </w:rPr>
              <w:t>3</w:t>
            </w:r>
            <w:r>
              <w:rPr>
                <w:rFonts w:hint="eastAsia"/>
                <w:szCs w:val="21"/>
              </w:rPr>
              <w:t>）、安全文明类（</w:t>
            </w:r>
            <w:r>
              <w:rPr>
                <w:szCs w:val="21"/>
              </w:rPr>
              <w:t>B.5.1</w:t>
            </w:r>
            <w:r>
              <w:rPr>
                <w:szCs w:val="21"/>
                <w:u w:val="single"/>
              </w:rPr>
              <w:t>4</w:t>
            </w:r>
            <w:r>
              <w:rPr>
                <w:rFonts w:hint="eastAsia"/>
                <w:szCs w:val="21"/>
              </w:rPr>
              <w:t>）。</w:t>
            </w:r>
          </w:p>
          <w:p>
            <w:pPr>
              <w:ind w:firstLine="459" w:firstLineChars="219"/>
              <w:rPr>
                <w:szCs w:val="21"/>
              </w:rPr>
            </w:pPr>
            <w:r>
              <w:rPr>
                <w:szCs w:val="21"/>
              </w:rPr>
              <w:t>2</w:t>
            </w:r>
            <w:r>
              <w:rPr>
                <w:rFonts w:hint="eastAsia"/>
                <w:spacing w:val="-16"/>
                <w:szCs w:val="21"/>
              </w:rPr>
              <w:t>、</w:t>
            </w:r>
            <w:r>
              <w:rPr>
                <w:rFonts w:hint="eastAsia" w:ascii="Times New Roman"/>
                <w:szCs w:val="21"/>
              </w:rPr>
              <w:t>本表一式二份，项目监理机构、施工单位各一份。</w:t>
            </w:r>
          </w:p>
        </w:tc>
      </w:tr>
    </w:tbl>
    <w:p>
      <w:pPr>
        <w:jc w:val="right"/>
        <w:rPr>
          <w:rFonts w:eastAsia="黑体"/>
          <w:b/>
          <w:sz w:val="28"/>
          <w:szCs w:val="28"/>
          <w14:shadow w14:blurRad="50800" w14:dist="38100" w14:dir="2700000" w14:sx="100000" w14:sy="100000" w14:kx="0" w14:ky="0" w14:algn="tl">
            <w14:srgbClr w14:val="000000">
              <w14:alpha w14:val="60000"/>
            </w14:srgbClr>
          </w14:shadow>
        </w:rPr>
      </w:pPr>
      <w:r>
        <w:rPr>
          <w:rFonts w:hint="eastAsia" w:ascii="Times New Roman" w:eastAsia="隶书"/>
        </w:rPr>
        <w:t>第六版表                                              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B.5.2</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工程复工报审表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编号：</w:t>
      </w:r>
      <w:r>
        <w:rPr>
          <w:szCs w:val="21"/>
        </w:rPr>
        <w:t>B.5.2</w:t>
      </w:r>
      <w:r>
        <w:rPr>
          <w:rFonts w:hint="eastAsia"/>
          <w:szCs w:val="21"/>
        </w:rPr>
        <w:t>—</w:t>
      </w:r>
      <w:r>
        <w:rPr>
          <w:rFonts w:hint="eastAsia"/>
          <w:szCs w:val="21"/>
          <w:u w:val="single"/>
        </w:rPr>
        <w:t>　</w:t>
      </w:r>
      <w:r>
        <w:rPr>
          <w:szCs w:val="21"/>
          <w:u w:val="single"/>
        </w:rPr>
        <w:t xml:space="preserve">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102"/>
        <w:gridCol w:w="2768"/>
        <w:gridCol w:w="457"/>
        <w:gridCol w:w="1329"/>
        <w:gridCol w:w="336"/>
        <w:gridCol w:w="207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Pr>
        <w:tc>
          <w:tcPr>
            <w:tcW w:w="8614" w:type="dxa"/>
            <w:gridSpan w:val="7"/>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szCs w:val="21"/>
                <w:u w:val="single"/>
              </w:rPr>
            </w:pPr>
            <w:r>
              <w:rPr>
                <w:rFonts w:hint="eastAsia"/>
                <w:szCs w:val="21"/>
              </w:rPr>
              <w:t>致：</w:t>
            </w:r>
            <w:r>
              <w:rPr>
                <w:rFonts w:hint="eastAsia"/>
                <w:szCs w:val="21"/>
                <w:u w:val="single"/>
              </w:rPr>
              <w:t>　　　　　</w:t>
            </w:r>
            <w:r>
              <w:rPr>
                <w:szCs w:val="21"/>
                <w:u w:val="single"/>
              </w:rPr>
              <w:t xml:space="preserve">   </w:t>
            </w:r>
            <w:r>
              <w:rPr>
                <w:rFonts w:hint="eastAsia"/>
                <w:szCs w:val="21"/>
                <w:u w:val="single"/>
              </w:rPr>
              <w:t>　　</w:t>
            </w:r>
            <w:r>
              <w:rPr>
                <w:rFonts w:hint="eastAsia"/>
                <w:szCs w:val="21"/>
              </w:rPr>
              <w:t>（项目监理机构）</w:t>
            </w:r>
          </w:p>
          <w:p>
            <w:pPr>
              <w:spacing w:line="420" w:lineRule="exact"/>
              <w:ind w:firstLine="420" w:firstLineChars="200"/>
              <w:rPr>
                <w:szCs w:val="21"/>
              </w:rPr>
            </w:pPr>
            <w:r>
              <w:rPr>
                <w:rFonts w:hint="eastAsia"/>
                <w:szCs w:val="21"/>
              </w:rPr>
              <w:t>编号为</w:t>
            </w:r>
            <w:r>
              <w:rPr>
                <w:szCs w:val="21"/>
                <w:u w:val="single"/>
              </w:rPr>
              <w:t xml:space="preserve">                     </w:t>
            </w:r>
            <w:r>
              <w:rPr>
                <w:szCs w:val="21"/>
              </w:rPr>
              <w:t xml:space="preserve"> </w:t>
            </w:r>
            <w:r>
              <w:rPr>
                <w:rFonts w:hint="eastAsia"/>
                <w:szCs w:val="21"/>
              </w:rPr>
              <w:t>《工程暂停令》的停工的</w:t>
            </w:r>
            <w:r>
              <w:rPr>
                <w:szCs w:val="21"/>
                <w:u w:val="single"/>
              </w:rPr>
              <w:t xml:space="preserve">              </w:t>
            </w:r>
            <w:r>
              <w:rPr>
                <w:rFonts w:hint="eastAsia"/>
                <w:szCs w:val="21"/>
              </w:rPr>
              <w:t>部位（工序）已满足复工条件，我方申请于</w:t>
            </w:r>
            <w:r>
              <w:rPr>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日复工，请予审批。</w:t>
            </w:r>
            <w:r>
              <w:rPr>
                <w:szCs w:val="21"/>
              </w:rPr>
              <w:t xml:space="preserve">   </w:t>
            </w:r>
          </w:p>
          <w:p>
            <w:pPr>
              <w:spacing w:line="420" w:lineRule="exact"/>
              <w:ind w:firstLine="420" w:firstLineChars="200"/>
              <w:rPr>
                <w:szCs w:val="21"/>
              </w:rPr>
            </w:pPr>
            <w:r>
              <w:rPr>
                <w:rFonts w:hint="eastAsia"/>
                <w:szCs w:val="21"/>
              </w:rPr>
              <w:t>附件：工程复工证明材料</w:t>
            </w:r>
          </w:p>
          <w:p>
            <w:pPr>
              <w:spacing w:line="420" w:lineRule="exact"/>
              <w:rPr>
                <w:szCs w:val="21"/>
              </w:rPr>
            </w:pPr>
          </w:p>
          <w:p>
            <w:pPr>
              <w:spacing w:line="420" w:lineRule="exact"/>
              <w:rPr>
                <w:szCs w:val="21"/>
              </w:rPr>
            </w:pPr>
          </w:p>
          <w:p>
            <w:pPr>
              <w:spacing w:line="420" w:lineRule="exact"/>
              <w:rPr>
                <w:szCs w:val="21"/>
                <w:u w:val="single"/>
              </w:rPr>
            </w:pPr>
            <w:r>
              <w:rPr>
                <w:rFonts w:hint="eastAsia"/>
                <w:szCs w:val="21"/>
              </w:rPr>
              <w:t>　　　　　　　　　　　</w:t>
            </w:r>
            <w:r>
              <w:rPr>
                <w:szCs w:val="21"/>
              </w:rPr>
              <w:t xml:space="preserve">             </w:t>
            </w:r>
            <w:r>
              <w:rPr>
                <w:rFonts w:hint="eastAsia"/>
                <w:szCs w:val="21"/>
              </w:rPr>
              <w:t>施工项目经理部（章）：</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p>
          <w:p>
            <w:pPr>
              <w:spacing w:line="420" w:lineRule="exact"/>
              <w:rPr>
                <w:szCs w:val="21"/>
              </w:rPr>
            </w:pPr>
            <w:r>
              <w:rPr>
                <w:rFonts w:hint="eastAsia"/>
                <w:szCs w:val="21"/>
              </w:rPr>
              <w:t>　　　　　　　　　</w:t>
            </w:r>
            <w:r>
              <w:rPr>
                <w:szCs w:val="21"/>
              </w:rPr>
              <w:t xml:space="preserve">                 </w:t>
            </w:r>
            <w:r>
              <w:rPr>
                <w:rFonts w:hint="eastAsia"/>
                <w:szCs w:val="21"/>
              </w:rPr>
              <w:t>项目经理</w:t>
            </w:r>
            <w:r>
              <w:rPr>
                <w:rFonts w:hint="eastAsia" w:ascii="Times New Roman"/>
                <w:szCs w:val="21"/>
              </w:rPr>
              <w:t>(签字、执业印章)</w:t>
            </w:r>
            <w:r>
              <w:rPr>
                <w:rFonts w:hint="eastAsia"/>
                <w:szCs w:val="21"/>
              </w:rPr>
              <w:t>：</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p>
          <w:p>
            <w:pPr>
              <w:spacing w:line="420" w:lineRule="exact"/>
              <w:ind w:firstLine="6123" w:firstLineChars="2916"/>
              <w:rPr>
                <w:szCs w:val="21"/>
              </w:rPr>
            </w:pP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r>
              <w:rPr>
                <w:szCs w:val="21"/>
              </w:rPr>
              <w:t xml:space="preserve">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22" w:hRule="atLeast"/>
        </w:trPr>
        <w:tc>
          <w:tcPr>
            <w:tcW w:w="1548" w:type="dxa"/>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项目监理机构签收人姓名及时间</w:t>
            </w:r>
          </w:p>
        </w:tc>
        <w:tc>
          <w:tcPr>
            <w:tcW w:w="2870" w:type="dxa"/>
            <w:gridSpan w:val="2"/>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786" w:type="dxa"/>
            <w:gridSpan w:val="2"/>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施工项目经理部签收人姓名及时间</w:t>
            </w:r>
          </w:p>
        </w:tc>
        <w:tc>
          <w:tcPr>
            <w:tcW w:w="2410" w:type="dxa"/>
            <w:gridSpan w:val="2"/>
            <w:tcBorders>
              <w:top w:val="single" w:color="auto" w:sz="4" w:space="0"/>
              <w:left w:val="single" w:color="auto" w:sz="4" w:space="0"/>
              <w:bottom w:val="single" w:color="auto" w:sz="4" w:space="0"/>
              <w:right w:val="single" w:color="auto" w:sz="8" w:space="0"/>
            </w:tcBorders>
            <w:noWrap w:val="0"/>
            <w:vAlign w:val="center"/>
          </w:tcPr>
          <w:p>
            <w:pPr>
              <w:ind w:left="-105" w:leftChars="-50" w:right="-105" w:rightChars="-5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43" w:hRule="atLeast"/>
        </w:trPr>
        <w:tc>
          <w:tcPr>
            <w:tcW w:w="8614" w:type="dxa"/>
            <w:gridSpan w:val="7"/>
            <w:tcBorders>
              <w:top w:val="single" w:color="auto" w:sz="4" w:space="0"/>
              <w:left w:val="single" w:color="auto" w:sz="8" w:space="0"/>
              <w:bottom w:val="single" w:color="auto" w:sz="4" w:space="0"/>
              <w:right w:val="single" w:color="auto" w:sz="8" w:space="0"/>
            </w:tcBorders>
            <w:noWrap w:val="0"/>
            <w:vAlign w:val="top"/>
          </w:tcPr>
          <w:p>
            <w:pPr>
              <w:spacing w:line="360" w:lineRule="exact"/>
              <w:rPr>
                <w:szCs w:val="21"/>
              </w:rPr>
            </w:pPr>
            <w:r>
              <w:rPr>
                <w:rFonts w:hint="eastAsia"/>
                <w:szCs w:val="21"/>
              </w:rPr>
              <w:t>审核意见：</w:t>
            </w:r>
          </w:p>
          <w:p>
            <w:pPr>
              <w:spacing w:line="360" w:lineRule="exact"/>
              <w:rPr>
                <w:szCs w:val="21"/>
              </w:rPr>
            </w:pPr>
          </w:p>
          <w:p>
            <w:pPr>
              <w:spacing w:line="360" w:lineRule="exact"/>
              <w:rPr>
                <w:szCs w:val="21"/>
              </w:rPr>
            </w:pPr>
          </w:p>
          <w:p>
            <w:pPr>
              <w:spacing w:line="420" w:lineRule="exact"/>
              <w:rPr>
                <w:rFonts w:ascii="Times New Roman"/>
                <w:bCs/>
                <w:szCs w:val="21"/>
                <w:u w:val="single"/>
              </w:rPr>
            </w:pPr>
            <w:r>
              <w:rPr>
                <w:rFonts w:hint="eastAsia" w:ascii="Times New Roman"/>
                <w:szCs w:val="21"/>
              </w:rPr>
              <w:t xml:space="preserve">　　　　　　　　　　　            </w:t>
            </w:r>
            <w:r>
              <w:rPr>
                <w:rFonts w:hint="eastAsia" w:ascii="Times New Roman"/>
                <w:bCs/>
                <w:szCs w:val="21"/>
              </w:rPr>
              <w:t xml:space="preserve">项目监理机构(章): </w:t>
            </w:r>
            <w:r>
              <w:rPr>
                <w:rFonts w:hint="eastAsia" w:ascii="Times New Roman"/>
                <w:bCs/>
                <w:szCs w:val="21"/>
                <w:u w:val="single"/>
              </w:rPr>
              <w:t xml:space="preserve">                           </w:t>
            </w:r>
          </w:p>
          <w:p>
            <w:pPr>
              <w:keepLines/>
              <w:tabs>
                <w:tab w:val="left" w:pos="531"/>
              </w:tabs>
              <w:spacing w:line="420" w:lineRule="exact"/>
              <w:ind w:firstLine="525" w:firstLineChars="250"/>
              <w:rPr>
                <w:rFonts w:hint="eastAsia" w:ascii="Times New Roman"/>
                <w:szCs w:val="21"/>
              </w:rPr>
            </w:pPr>
            <w:r>
              <w:rPr>
                <w:rFonts w:hint="eastAsia" w:ascii="Times New Roman"/>
                <w:szCs w:val="21"/>
              </w:rPr>
              <w:tab/>
            </w:r>
            <w:r>
              <w:rPr>
                <w:rFonts w:hint="eastAsia" w:ascii="Times New Roman"/>
                <w:szCs w:val="21"/>
              </w:rPr>
              <w:t xml:space="preserve">                             总监理工程师(签字、执业印章)：</w:t>
            </w:r>
            <w:r>
              <w:rPr>
                <w:rFonts w:hint="eastAsia" w:ascii="Times New Roman"/>
                <w:szCs w:val="21"/>
                <w:u w:val="single"/>
              </w:rPr>
              <w:t xml:space="preserve">　　           </w:t>
            </w:r>
          </w:p>
          <w:p>
            <w:pPr>
              <w:keepLines/>
              <w:tabs>
                <w:tab w:val="left" w:pos="531"/>
              </w:tabs>
              <w:spacing w:line="420" w:lineRule="exact"/>
              <w:ind w:firstLine="6127" w:firstLineChars="2918"/>
              <w:rPr>
                <w:szCs w:val="21"/>
              </w:rPr>
            </w:pP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04" w:hRule="atLeast"/>
        </w:trPr>
        <w:tc>
          <w:tcPr>
            <w:tcW w:w="1650" w:type="dxa"/>
            <w:gridSpan w:val="2"/>
            <w:tcBorders>
              <w:top w:val="single" w:color="auto" w:sz="4" w:space="0"/>
              <w:left w:val="single" w:color="auto" w:sz="8"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建设单位签收人姓名及时间</w:t>
            </w:r>
          </w:p>
        </w:tc>
        <w:tc>
          <w:tcPr>
            <w:tcW w:w="3225" w:type="dxa"/>
            <w:gridSpan w:val="2"/>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p>
        </w:tc>
        <w:tc>
          <w:tcPr>
            <w:tcW w:w="1665" w:type="dxa"/>
            <w:gridSpan w:val="2"/>
            <w:tcBorders>
              <w:top w:val="single" w:color="auto" w:sz="4" w:space="0"/>
              <w:left w:val="single" w:color="auto" w:sz="4" w:space="0"/>
              <w:bottom w:val="single" w:color="auto" w:sz="4" w:space="0"/>
              <w:right w:val="single" w:color="auto" w:sz="4" w:space="0"/>
            </w:tcBorders>
            <w:noWrap w:val="0"/>
            <w:vAlign w:val="center"/>
          </w:tcPr>
          <w:p>
            <w:pPr>
              <w:ind w:left="-105" w:leftChars="-50" w:right="-105" w:rightChars="-50"/>
              <w:jc w:val="center"/>
              <w:rPr>
                <w:rFonts w:ascii="Times New Roman"/>
                <w:szCs w:val="21"/>
              </w:rPr>
            </w:pPr>
            <w:r>
              <w:rPr>
                <w:rFonts w:hint="eastAsia" w:ascii="Times New Roman"/>
                <w:szCs w:val="21"/>
              </w:rPr>
              <w:t>项目监理机构签收人姓名及时间</w:t>
            </w:r>
          </w:p>
        </w:tc>
        <w:tc>
          <w:tcPr>
            <w:tcW w:w="2074" w:type="dxa"/>
            <w:tcBorders>
              <w:top w:val="single" w:color="auto" w:sz="4" w:space="0"/>
              <w:left w:val="single" w:color="auto" w:sz="4" w:space="0"/>
              <w:bottom w:val="single" w:color="auto" w:sz="4" w:space="0"/>
              <w:right w:val="single" w:color="auto" w:sz="8" w:space="0"/>
            </w:tcBorders>
            <w:noWrap w:val="0"/>
            <w:vAlign w:val="center"/>
          </w:tcPr>
          <w:p>
            <w:pPr>
              <w:ind w:left="-105" w:leftChars="-50" w:right="-105" w:rightChars="-50"/>
              <w:jc w:val="center"/>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492" w:hRule="atLeast"/>
        </w:trPr>
        <w:tc>
          <w:tcPr>
            <w:tcW w:w="8614" w:type="dxa"/>
            <w:gridSpan w:val="7"/>
            <w:tcBorders>
              <w:top w:val="single" w:color="auto" w:sz="4" w:space="0"/>
              <w:left w:val="single" w:color="auto" w:sz="8" w:space="0"/>
              <w:bottom w:val="single" w:color="auto" w:sz="4" w:space="0"/>
              <w:right w:val="single" w:color="auto" w:sz="8" w:space="0"/>
            </w:tcBorders>
            <w:noWrap w:val="0"/>
            <w:vAlign w:val="top"/>
          </w:tcPr>
          <w:p>
            <w:pPr>
              <w:rPr>
                <w:szCs w:val="21"/>
              </w:rPr>
            </w:pPr>
            <w:r>
              <w:rPr>
                <w:rFonts w:hint="eastAsia"/>
                <w:szCs w:val="21"/>
              </w:rPr>
              <w:t>审批意见：</w:t>
            </w:r>
          </w:p>
          <w:p>
            <w:pPr>
              <w:rPr>
                <w:szCs w:val="21"/>
              </w:rPr>
            </w:pPr>
          </w:p>
          <w:p>
            <w:pPr>
              <w:rPr>
                <w:szCs w:val="21"/>
              </w:rPr>
            </w:pPr>
          </w:p>
          <w:p>
            <w:pPr>
              <w:rPr>
                <w:szCs w:val="21"/>
              </w:rPr>
            </w:pPr>
          </w:p>
          <w:p>
            <w:pPr>
              <w:rPr>
                <w:szCs w:val="21"/>
              </w:rPr>
            </w:pPr>
          </w:p>
          <w:p>
            <w:pPr>
              <w:spacing w:line="360" w:lineRule="exact"/>
              <w:rPr>
                <w:rFonts w:ascii="Times New Roman"/>
                <w:bCs/>
                <w:szCs w:val="21"/>
                <w:u w:val="single"/>
              </w:rPr>
            </w:pPr>
            <w:r>
              <w:rPr>
                <w:rFonts w:hint="eastAsia" w:ascii="Times New Roman"/>
                <w:szCs w:val="21"/>
              </w:rPr>
              <w:t xml:space="preserve">　　　　　　　　　　　            </w:t>
            </w:r>
            <w:r>
              <w:rPr>
                <w:rFonts w:hint="eastAsia" w:ascii="Times New Roman"/>
                <w:bCs/>
                <w:szCs w:val="21"/>
              </w:rPr>
              <w:t xml:space="preserve">建设单位(章): </w:t>
            </w:r>
            <w:r>
              <w:rPr>
                <w:rFonts w:hint="eastAsia" w:ascii="Times New Roman"/>
                <w:bCs/>
                <w:szCs w:val="21"/>
                <w:u w:val="single"/>
              </w:rPr>
              <w:t xml:space="preserve">                              </w:t>
            </w:r>
          </w:p>
          <w:p>
            <w:pPr>
              <w:spacing w:line="420" w:lineRule="exact"/>
              <w:rPr>
                <w:rFonts w:hint="eastAsia" w:ascii="Times New Roman"/>
                <w:szCs w:val="21"/>
              </w:rPr>
            </w:pPr>
            <w:r>
              <w:rPr>
                <w:rFonts w:hint="eastAsia" w:ascii="Times New Roman"/>
                <w:szCs w:val="21"/>
              </w:rPr>
              <w:t xml:space="preserve">                                  项目负责人(签字)：</w:t>
            </w:r>
            <w:r>
              <w:rPr>
                <w:rFonts w:hint="eastAsia" w:ascii="Times New Roman"/>
                <w:szCs w:val="21"/>
                <w:u w:val="single"/>
              </w:rPr>
              <w:t xml:space="preserve">　　　                   </w:t>
            </w:r>
          </w:p>
          <w:p>
            <w:pPr>
              <w:spacing w:line="420" w:lineRule="exact"/>
              <w:ind w:firstLine="2310" w:firstLineChars="1100"/>
              <w:rPr>
                <w:szCs w:val="21"/>
              </w:rPr>
            </w:pPr>
            <w:r>
              <w:rPr>
                <w:rFonts w:hint="eastAsia" w:ascii="Times New Roman"/>
                <w:szCs w:val="21"/>
              </w:rPr>
              <w:t xml:space="preserve">                                    </w:t>
            </w: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16" w:hRule="atLeast"/>
        </w:trPr>
        <w:tc>
          <w:tcPr>
            <w:tcW w:w="8614" w:type="dxa"/>
            <w:gridSpan w:val="7"/>
            <w:tcBorders>
              <w:top w:val="single" w:color="auto" w:sz="4" w:space="0"/>
              <w:left w:val="single" w:color="auto" w:sz="8" w:space="0"/>
              <w:bottom w:val="single" w:color="auto" w:sz="8" w:space="0"/>
              <w:right w:val="single" w:color="auto" w:sz="8" w:space="0"/>
            </w:tcBorders>
            <w:noWrap w:val="0"/>
            <w:vAlign w:val="top"/>
          </w:tcPr>
          <w:p>
            <w:pPr>
              <w:rPr>
                <w:szCs w:val="21"/>
              </w:rPr>
            </w:pPr>
            <w:r>
              <w:rPr>
                <w:rFonts w:hint="eastAsia"/>
                <w:szCs w:val="21"/>
              </w:rPr>
              <w:t>注：</w:t>
            </w:r>
            <w:r>
              <w:rPr>
                <w:szCs w:val="21"/>
              </w:rPr>
              <w:t>1</w:t>
            </w:r>
            <w:r>
              <w:rPr>
                <w:rFonts w:hint="eastAsia"/>
                <w:szCs w:val="21"/>
              </w:rPr>
              <w:t>、施工单位未取得工程复工令不得擅自复工。</w:t>
            </w:r>
          </w:p>
          <w:p>
            <w:pPr>
              <w:ind w:firstLine="420" w:firstLineChars="200"/>
              <w:rPr>
                <w:szCs w:val="21"/>
              </w:rPr>
            </w:pPr>
            <w:r>
              <w:rPr>
                <w:szCs w:val="21"/>
              </w:rPr>
              <w:t>2</w:t>
            </w:r>
            <w:r>
              <w:rPr>
                <w:rFonts w:hint="eastAsia"/>
                <w:szCs w:val="21"/>
              </w:rPr>
              <w:t>、本表一式三份，项目监理机构、建设单位、施工单位各一份。</w:t>
            </w:r>
          </w:p>
        </w:tc>
      </w:tr>
    </w:tbl>
    <w:p>
      <w:pPr>
        <w:rPr>
          <w:rFonts w:ascii="Times New Roman" w:eastAsia="隶书"/>
        </w:rPr>
      </w:pPr>
      <w:r>
        <w:rPr>
          <w:rFonts w:hint="eastAsia" w:ascii="Times New Roman" w:eastAsia="隶书"/>
        </w:rPr>
        <w:t>第六版表                                              江苏省住房和城乡建设厅监制</w:t>
      </w: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B.5.3</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单位工程竣工验收报审表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编号：</w:t>
      </w:r>
      <w:r>
        <w:rPr>
          <w:szCs w:val="21"/>
        </w:rPr>
        <w:t>B.5.3</w:t>
      </w:r>
      <w:r>
        <w:rPr>
          <w:rFonts w:hint="eastAsia"/>
          <w:szCs w:val="21"/>
        </w:rPr>
        <w:t>—</w:t>
      </w:r>
      <w:r>
        <w:rPr>
          <w:rFonts w:hint="eastAsia"/>
          <w:szCs w:val="21"/>
          <w:u w:val="single"/>
        </w:rPr>
        <w:t>　　　</w:t>
      </w:r>
      <w:r>
        <w:rPr>
          <w:szCs w:val="21"/>
          <w:u w:val="single"/>
        </w:rPr>
        <w:t xml:space="preserve">  </w:t>
      </w:r>
      <w:r>
        <w:rPr>
          <w:szCs w:val="21"/>
        </w:rPr>
        <w:t xml:space="preserve"> </w:t>
      </w:r>
      <w:r>
        <w:rPr>
          <w:rFonts w:hint="eastAsia"/>
          <w:szCs w:val="21"/>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4"/>
        <w:gridCol w:w="2794"/>
        <w:gridCol w:w="1473"/>
        <w:gridCol w:w="276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43" w:hRule="atLeast"/>
        </w:trPr>
        <w:tc>
          <w:tcPr>
            <w:tcW w:w="8648" w:type="dxa"/>
            <w:gridSpan w:val="4"/>
            <w:tcBorders>
              <w:top w:val="single" w:color="auto" w:sz="8" w:space="0"/>
              <w:left w:val="single" w:color="auto" w:sz="8" w:space="0"/>
              <w:bottom w:val="single" w:color="auto" w:sz="4" w:space="0"/>
              <w:right w:val="single" w:color="auto" w:sz="8" w:space="0"/>
            </w:tcBorders>
            <w:noWrap w:val="0"/>
            <w:vAlign w:val="top"/>
          </w:tcPr>
          <w:p>
            <w:pPr>
              <w:spacing w:before="156" w:beforeLines="50" w:after="156" w:afterLines="50" w:line="420" w:lineRule="exact"/>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line="360" w:lineRule="exact"/>
              <w:ind w:firstLine="480"/>
              <w:jc w:val="left"/>
              <w:rPr>
                <w:rFonts w:hint="eastAsia" w:ascii="Times New Roman"/>
                <w:szCs w:val="21"/>
              </w:rPr>
            </w:pPr>
            <w:r>
              <w:rPr>
                <w:rFonts w:hint="eastAsia" w:ascii="Times New Roman"/>
                <w:szCs w:val="21"/>
              </w:rPr>
              <w:t xml:space="preserve">我方已按施工合同要求完成了 </w:t>
            </w:r>
            <w:r>
              <w:rPr>
                <w:rFonts w:hint="eastAsia" w:ascii="Times New Roman"/>
                <w:szCs w:val="21"/>
                <w:u w:val="single"/>
              </w:rPr>
              <w:t xml:space="preserve">                           </w:t>
            </w:r>
            <w:r>
              <w:rPr>
                <w:rFonts w:hint="eastAsia" w:ascii="Times New Roman"/>
                <w:szCs w:val="21"/>
              </w:rPr>
              <w:t>单位（子单位）工程,经自检合格,现将有关资料报上，请予以验收。</w:t>
            </w:r>
          </w:p>
          <w:p>
            <w:pPr>
              <w:spacing w:line="360" w:lineRule="exact"/>
              <w:ind w:firstLine="480"/>
              <w:rPr>
                <w:rFonts w:hint="eastAsia" w:ascii="Times New Roman"/>
                <w:szCs w:val="21"/>
              </w:rPr>
            </w:pPr>
            <w:r>
              <w:rPr>
                <w:rFonts w:hint="eastAsia" w:ascii="Times New Roman"/>
                <w:szCs w:val="21"/>
              </w:rPr>
              <w:t>附件：</w:t>
            </w:r>
          </w:p>
          <w:p>
            <w:pPr>
              <w:spacing w:line="360" w:lineRule="exact"/>
              <w:ind w:left="482"/>
              <w:rPr>
                <w:rFonts w:hint="eastAsia" w:ascii="Times New Roman"/>
                <w:szCs w:val="21"/>
              </w:rPr>
            </w:pPr>
            <w:r>
              <w:rPr>
                <w:rFonts w:hint="eastAsia" w:ascii="Times New Roman"/>
                <w:szCs w:val="21"/>
              </w:rPr>
              <w:t>□ 施工单位工程质量验收报告</w:t>
            </w:r>
          </w:p>
          <w:p>
            <w:pPr>
              <w:spacing w:line="360" w:lineRule="exact"/>
              <w:ind w:left="482"/>
              <w:rPr>
                <w:rFonts w:hint="eastAsia" w:ascii="Times New Roman"/>
                <w:szCs w:val="21"/>
              </w:rPr>
            </w:pPr>
            <w:r>
              <w:rPr>
                <w:rFonts w:hint="eastAsia" w:ascii="Times New Roman"/>
                <w:szCs w:val="21"/>
              </w:rPr>
              <w:t>□ 工程实体质量验收资料</w:t>
            </w:r>
          </w:p>
          <w:p>
            <w:pPr>
              <w:spacing w:line="360" w:lineRule="exact"/>
              <w:ind w:left="482"/>
              <w:rPr>
                <w:rFonts w:hint="eastAsia" w:ascii="Times New Roman"/>
                <w:szCs w:val="21"/>
              </w:rPr>
            </w:pPr>
            <w:r>
              <w:rPr>
                <w:rFonts w:hint="eastAsia" w:ascii="Times New Roman"/>
                <w:szCs w:val="21"/>
              </w:rPr>
              <w:t>□ 单位（子单位）工程所含分部（子分部）工程的质量验收资料、质量控制资料</w:t>
            </w:r>
          </w:p>
          <w:p>
            <w:pPr>
              <w:spacing w:line="360" w:lineRule="exact"/>
              <w:ind w:left="482"/>
              <w:rPr>
                <w:rFonts w:hint="eastAsia" w:ascii="Times New Roman"/>
                <w:szCs w:val="21"/>
              </w:rPr>
            </w:pPr>
            <w:r>
              <w:rPr>
                <w:rFonts w:hint="eastAsia" w:ascii="Times New Roman"/>
                <w:szCs w:val="21"/>
              </w:rPr>
              <w:t>□ 主要功能项目的抽查结果资料</w:t>
            </w:r>
          </w:p>
          <w:p>
            <w:pPr>
              <w:spacing w:line="360" w:lineRule="exact"/>
              <w:ind w:left="482"/>
              <w:rPr>
                <w:rFonts w:hint="eastAsia" w:ascii="Times New Roman"/>
                <w:szCs w:val="21"/>
              </w:rPr>
            </w:pPr>
            <w:r>
              <w:rPr>
                <w:rFonts w:hint="eastAsia" w:ascii="Times New Roman"/>
                <w:szCs w:val="21"/>
              </w:rPr>
              <w:t>□ 观感质量验收资料</w:t>
            </w:r>
          </w:p>
          <w:p>
            <w:pPr>
              <w:spacing w:line="360" w:lineRule="exact"/>
              <w:ind w:left="482"/>
              <w:rPr>
                <w:rFonts w:hint="eastAsia" w:ascii="Times New Roman"/>
                <w:szCs w:val="21"/>
              </w:rPr>
            </w:pPr>
            <w:r>
              <w:rPr>
                <w:rFonts w:hint="eastAsia" w:ascii="Times New Roman"/>
                <w:szCs w:val="21"/>
              </w:rPr>
              <w:t xml:space="preserve"> </w:t>
            </w:r>
          </w:p>
          <w:p>
            <w:pPr>
              <w:spacing w:line="420" w:lineRule="exact"/>
              <w:ind w:left="839"/>
              <w:rPr>
                <w:rFonts w:hint="eastAsia" w:ascii="Times New Roman"/>
                <w:szCs w:val="21"/>
              </w:rPr>
            </w:pPr>
          </w:p>
          <w:p>
            <w:pPr>
              <w:spacing w:line="420" w:lineRule="exact"/>
              <w:ind w:left="839"/>
              <w:rPr>
                <w:rFonts w:hint="eastAsia" w:ascii="Times New Roman"/>
                <w:szCs w:val="21"/>
              </w:rPr>
            </w:pPr>
          </w:p>
          <w:p>
            <w:pPr>
              <w:spacing w:line="420" w:lineRule="exact"/>
              <w:rPr>
                <w:rFonts w:hint="eastAsia" w:ascii="Times New Roman"/>
                <w:szCs w:val="21"/>
                <w:u w:val="single"/>
              </w:rPr>
            </w:pPr>
            <w:r>
              <w:rPr>
                <w:rFonts w:hint="eastAsia" w:ascii="Times New Roman"/>
                <w:szCs w:val="21"/>
              </w:rPr>
              <w:t>　　　　　　　　　　　　　           施工单位（章）：</w:t>
            </w:r>
            <w:r>
              <w:rPr>
                <w:rFonts w:hint="eastAsia" w:ascii="Times New Roman"/>
                <w:szCs w:val="21"/>
                <w:u w:val="single"/>
              </w:rPr>
              <w:t>　　　          　　　　　</w:t>
            </w:r>
          </w:p>
          <w:p>
            <w:pPr>
              <w:spacing w:line="420" w:lineRule="exact"/>
              <w:rPr>
                <w:rFonts w:hint="eastAsia" w:ascii="Times New Roman"/>
                <w:szCs w:val="21"/>
              </w:rPr>
            </w:pPr>
            <w:r>
              <w:rPr>
                <w:rFonts w:hint="eastAsia" w:ascii="Times New Roman"/>
                <w:szCs w:val="21"/>
              </w:rPr>
              <w:t xml:space="preserve">                                     项目经理（签字、执业印章）：</w:t>
            </w:r>
            <w:r>
              <w:rPr>
                <w:rFonts w:hint="eastAsia" w:ascii="Times New Roman"/>
                <w:szCs w:val="21"/>
                <w:u w:val="single"/>
              </w:rPr>
              <w:t>　　　　　　　</w:t>
            </w:r>
            <w:r>
              <w:rPr>
                <w:rFonts w:hint="eastAsia" w:ascii="Times New Roman"/>
                <w:szCs w:val="21"/>
              </w:rPr>
              <w:t xml:space="preserve">  </w:t>
            </w:r>
          </w:p>
          <w:p>
            <w:pPr>
              <w:spacing w:after="156" w:afterLines="50" w:line="420" w:lineRule="exact"/>
              <w:rPr>
                <w:rFonts w:ascii="Times New Roman"/>
                <w:szCs w:val="21"/>
                <w:u w:val="single"/>
              </w:rPr>
            </w:pPr>
            <w:r>
              <w:rPr>
                <w:rFonts w:hint="eastAsia" w:ascii="Times New Roman"/>
                <w:szCs w:val="21"/>
              </w:rPr>
              <w:t xml:space="preserve">                                                         </w:t>
            </w: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6" w:hRule="atLeast"/>
        </w:trPr>
        <w:tc>
          <w:tcPr>
            <w:tcW w:w="1614" w:type="dxa"/>
            <w:tcBorders>
              <w:top w:val="single" w:color="auto" w:sz="4" w:space="0"/>
              <w:left w:val="single" w:color="auto" w:sz="8"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r>
              <w:rPr>
                <w:rFonts w:hint="eastAsia" w:ascii="Times New Roman"/>
                <w:szCs w:val="21"/>
              </w:rPr>
              <w:t>项目监理机构签收人姓名及时间</w:t>
            </w:r>
          </w:p>
        </w:tc>
        <w:tc>
          <w:tcPr>
            <w:tcW w:w="2794"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p>
        </w:tc>
        <w:tc>
          <w:tcPr>
            <w:tcW w:w="1473" w:type="dxa"/>
            <w:tcBorders>
              <w:top w:val="single" w:color="auto" w:sz="4" w:space="0"/>
              <w:left w:val="single" w:color="auto" w:sz="4" w:space="0"/>
              <w:bottom w:val="single" w:color="auto" w:sz="4" w:space="0"/>
              <w:right w:val="single" w:color="auto" w:sz="4" w:space="0"/>
            </w:tcBorders>
            <w:noWrap w:val="0"/>
            <w:vAlign w:val="center"/>
          </w:tcPr>
          <w:p>
            <w:pPr>
              <w:spacing w:line="320" w:lineRule="exact"/>
              <w:ind w:left="-105" w:leftChars="-50" w:right="-105" w:rightChars="-50"/>
              <w:jc w:val="center"/>
              <w:rPr>
                <w:rFonts w:ascii="Times New Roman"/>
                <w:szCs w:val="21"/>
              </w:rPr>
            </w:pPr>
            <w:r>
              <w:rPr>
                <w:rFonts w:hint="eastAsia" w:ascii="Times New Roman"/>
                <w:szCs w:val="21"/>
              </w:rPr>
              <w:t>施工单位签收人姓名及时间</w:t>
            </w:r>
          </w:p>
        </w:tc>
        <w:tc>
          <w:tcPr>
            <w:tcW w:w="2767" w:type="dxa"/>
            <w:tcBorders>
              <w:top w:val="single" w:color="auto" w:sz="4" w:space="0"/>
              <w:left w:val="single" w:color="auto" w:sz="4" w:space="0"/>
              <w:bottom w:val="single" w:color="auto" w:sz="4" w:space="0"/>
              <w:right w:val="single" w:color="auto" w:sz="8" w:space="0"/>
            </w:tcBorders>
            <w:noWrap w:val="0"/>
            <w:vAlign w:val="top"/>
          </w:tcPr>
          <w:p>
            <w:pPr>
              <w:spacing w:line="320" w:lineRule="exact"/>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40" w:hRule="atLeast"/>
        </w:trPr>
        <w:tc>
          <w:tcPr>
            <w:tcW w:w="8648" w:type="dxa"/>
            <w:gridSpan w:val="4"/>
            <w:tcBorders>
              <w:top w:val="single" w:color="auto" w:sz="4" w:space="0"/>
              <w:left w:val="single" w:color="auto" w:sz="8" w:space="0"/>
              <w:bottom w:val="single" w:color="auto" w:sz="4" w:space="0"/>
              <w:right w:val="single" w:color="auto" w:sz="8" w:space="0"/>
            </w:tcBorders>
            <w:noWrap w:val="0"/>
            <w:vAlign w:val="top"/>
          </w:tcPr>
          <w:p>
            <w:pPr>
              <w:spacing w:line="360" w:lineRule="exact"/>
              <w:rPr>
                <w:rFonts w:ascii="Times New Roman"/>
                <w:szCs w:val="21"/>
              </w:rPr>
            </w:pPr>
            <w:r>
              <w:rPr>
                <w:rFonts w:hint="eastAsia" w:ascii="Times New Roman"/>
                <w:szCs w:val="21"/>
              </w:rPr>
              <w:t>预验收意见：</w:t>
            </w:r>
          </w:p>
          <w:p>
            <w:pPr>
              <w:keepLines/>
              <w:ind w:firstLine="480"/>
              <w:rPr>
                <w:rFonts w:hint="eastAsia" w:ascii="Times New Roman"/>
                <w:szCs w:val="21"/>
              </w:rPr>
            </w:pPr>
          </w:p>
          <w:p>
            <w:pPr>
              <w:keepLines/>
              <w:spacing w:line="360" w:lineRule="auto"/>
              <w:ind w:left="480"/>
              <w:rPr>
                <w:rFonts w:hint="eastAsia" w:ascii="Times New Roman"/>
                <w:szCs w:val="21"/>
              </w:rPr>
            </w:pPr>
          </w:p>
          <w:p>
            <w:pPr>
              <w:keepLines/>
              <w:spacing w:line="360" w:lineRule="auto"/>
              <w:ind w:left="480"/>
              <w:rPr>
                <w:rFonts w:hint="eastAsia" w:ascii="Times New Roman"/>
                <w:szCs w:val="21"/>
              </w:rPr>
            </w:pPr>
          </w:p>
          <w:p>
            <w:pPr>
              <w:keepLines/>
              <w:spacing w:line="360" w:lineRule="auto"/>
              <w:ind w:left="480"/>
              <w:rPr>
                <w:rFonts w:hint="eastAsia" w:ascii="Times New Roman"/>
                <w:szCs w:val="21"/>
              </w:rPr>
            </w:pPr>
          </w:p>
          <w:p>
            <w:pPr>
              <w:keepLines/>
              <w:spacing w:line="420" w:lineRule="exact"/>
              <w:ind w:firstLine="480"/>
              <w:rPr>
                <w:rFonts w:hint="eastAsia" w:ascii="Times New Roman"/>
                <w:szCs w:val="21"/>
                <w:u w:val="single"/>
              </w:rPr>
            </w:pPr>
            <w:r>
              <w:rPr>
                <w:rFonts w:hint="eastAsia" w:ascii="Times New Roman"/>
                <w:szCs w:val="21"/>
              </w:rPr>
              <w:t xml:space="preserve">　　　　　　　 　               </w:t>
            </w:r>
            <w:r>
              <w:rPr>
                <w:rFonts w:ascii="Times New Roman"/>
                <w:szCs w:val="21"/>
              </w:rPr>
              <w:t> </w:t>
            </w:r>
            <w:r>
              <w:rPr>
                <w:rFonts w:hint="eastAsia" w:ascii="Times New Roman"/>
                <w:szCs w:val="21"/>
              </w:rPr>
              <w:t>项目监理机构(章)：</w:t>
            </w:r>
            <w:r>
              <w:rPr>
                <w:rFonts w:hint="eastAsia" w:ascii="Times New Roman"/>
                <w:szCs w:val="21"/>
                <w:u w:val="single"/>
              </w:rPr>
              <w:t>　　　　  　         　</w:t>
            </w:r>
          </w:p>
          <w:p>
            <w:pPr>
              <w:spacing w:line="420" w:lineRule="exact"/>
              <w:ind w:firstLine="1260" w:firstLineChars="600"/>
              <w:rPr>
                <w:rFonts w:hint="eastAsia" w:ascii="Times New Roman"/>
                <w:szCs w:val="21"/>
              </w:rPr>
            </w:pPr>
            <w:r>
              <w:rPr>
                <w:rFonts w:hint="eastAsia" w:ascii="Times New Roman"/>
                <w:szCs w:val="21"/>
              </w:rPr>
              <w:t xml:space="preserve">                         总监理工程师（签字、执业印章）：</w:t>
            </w:r>
            <w:r>
              <w:rPr>
                <w:rFonts w:hint="eastAsia" w:ascii="Times New Roman"/>
                <w:szCs w:val="21"/>
                <w:u w:val="single"/>
              </w:rPr>
              <w:t xml:space="preserve">　　      </w:t>
            </w:r>
          </w:p>
          <w:p>
            <w:pPr>
              <w:spacing w:line="420" w:lineRule="exact"/>
              <w:ind w:firstLine="1260" w:firstLineChars="600"/>
              <w:rPr>
                <w:rFonts w:ascii="Times New Roman"/>
                <w:szCs w:val="21"/>
                <w:u w:val="single"/>
              </w:rPr>
            </w:pPr>
            <w:r>
              <w:rPr>
                <w:rFonts w:hint="eastAsia" w:ascii="Times New Roman"/>
                <w:szCs w:val="21"/>
              </w:rPr>
              <w:t xml:space="preserve">                                             </w:t>
            </w: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00" w:hRule="atLeast"/>
        </w:trPr>
        <w:tc>
          <w:tcPr>
            <w:tcW w:w="8648" w:type="dxa"/>
            <w:gridSpan w:val="4"/>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ascii="Times New Roman"/>
                <w:szCs w:val="21"/>
              </w:rPr>
              <w:t>注：</w:t>
            </w:r>
            <w:r>
              <w:rPr>
                <w:szCs w:val="21"/>
              </w:rPr>
              <w:t>1</w:t>
            </w:r>
            <w:r>
              <w:rPr>
                <w:rFonts w:hint="eastAsia"/>
                <w:szCs w:val="21"/>
              </w:rPr>
              <w:t>、项目监理机构应在收到本报审表后</w:t>
            </w:r>
            <w:r>
              <w:rPr>
                <w:szCs w:val="21"/>
              </w:rPr>
              <w:t>14</w:t>
            </w:r>
            <w:r>
              <w:rPr>
                <w:rFonts w:hint="eastAsia"/>
                <w:szCs w:val="21"/>
              </w:rPr>
              <w:t>天内签认预验收意见报建设单位组织竣工验收或要求施工单位整改后重新报审。</w:t>
            </w:r>
          </w:p>
          <w:p>
            <w:pPr>
              <w:ind w:firstLine="420" w:firstLineChars="200"/>
              <w:rPr>
                <w:rFonts w:ascii="Times New Roman"/>
                <w:szCs w:val="21"/>
              </w:rPr>
            </w:pPr>
            <w:r>
              <w:rPr>
                <w:szCs w:val="21"/>
              </w:rPr>
              <w:t>2</w:t>
            </w:r>
            <w:r>
              <w:rPr>
                <w:rFonts w:hint="eastAsia"/>
                <w:szCs w:val="21"/>
              </w:rPr>
              <w:t>、本</w:t>
            </w:r>
            <w:r>
              <w:rPr>
                <w:rFonts w:hint="eastAsia" w:ascii="Times New Roman"/>
                <w:szCs w:val="21"/>
              </w:rPr>
              <w:t>表一式三份，项目监理机构、建设单位、施工单位各一份。</w:t>
            </w:r>
          </w:p>
        </w:tc>
      </w:tr>
    </w:tbl>
    <w:p>
      <w:pPr>
        <w:jc w:val="right"/>
        <w:rPr>
          <w:rFonts w:eastAsia="黑体"/>
          <w:b/>
          <w:sz w:val="28"/>
          <w:szCs w:val="28"/>
          <w14:shadow w14:blurRad="50800" w14:dist="38100" w14:dir="2700000" w14:sx="100000" w14:sy="100000" w14:kx="0" w14:ky="0" w14:algn="tl">
            <w14:srgbClr w14:val="000000">
              <w14:alpha w14:val="60000"/>
            </w14:srgbClr>
          </w14:shadow>
        </w:rPr>
      </w:pPr>
      <w:r>
        <w:rPr>
          <w:rFonts w:hint="eastAsia" w:ascii="Times New Roman" w:eastAsia="隶书"/>
        </w:rPr>
        <w:t>第六版表                                              江苏省住房和城乡建设厅监制</w:t>
      </w: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B.5.4</w:t>
      </w:r>
    </w:p>
    <w:p>
      <w:pPr>
        <w:spacing w:before="312" w:beforeLines="100" w:after="312" w:afterLines="100"/>
        <w:jc w:val="center"/>
        <w:rPr>
          <w:rFonts w:eastAsia="黑体"/>
          <w:sz w:val="44"/>
          <w14:shadow w14:blurRad="50800" w14:dist="38100" w14:dir="2700000" w14:sx="100000" w14:sy="100000" w14:kx="0" w14:ky="0" w14:algn="tl">
            <w14:srgbClr w14:val="000000">
              <w14:alpha w14:val="60000"/>
            </w14:srgbClr>
          </w14:shadow>
        </w:rPr>
      </w:pPr>
      <w:r>
        <w:rPr>
          <w:rFonts w:eastAsia="黑体"/>
          <w:sz w:val="44"/>
          <w14:shadow w14:blurRad="50800" w14:dist="38100" w14:dir="2700000" w14:sx="100000" w14:sy="100000" w14:kx="0" w14:ky="0" w14:algn="tl">
            <w14:srgbClr w14:val="000000">
              <w14:alpha w14:val="60000"/>
            </w14:srgbClr>
          </w14:shadow>
        </w:rPr>
        <w:t xml:space="preserve"> </w:t>
      </w:r>
      <w:r>
        <w:rPr>
          <w:rFonts w:hint="eastAsia" w:eastAsia="黑体"/>
          <w:sz w:val="44"/>
          <w14:shadow w14:blurRad="50800" w14:dist="38100" w14:dir="2700000" w14:sx="100000" w14:sy="100000" w14:kx="0" w14:ky="0" w14:algn="tl">
            <w14:srgbClr w14:val="000000">
              <w14:alpha w14:val="60000"/>
            </w14:srgbClr>
          </w14:shadow>
        </w:rPr>
        <w:t>施工单位通用报审表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B.5.4</w:t>
      </w:r>
      <w:r>
        <w:rPr>
          <w:rFonts w:hint="eastAsia"/>
          <w:szCs w:val="21"/>
        </w:rPr>
        <w:t>—</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8"/>
        <w:gridCol w:w="720"/>
        <w:gridCol w:w="2860"/>
        <w:gridCol w:w="1796"/>
        <w:gridCol w:w="241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828" w:type="dxa"/>
            <w:tcBorders>
              <w:top w:val="single" w:color="auto" w:sz="8" w:space="0"/>
              <w:left w:val="single" w:color="auto" w:sz="8" w:space="0"/>
              <w:bottom w:val="single" w:color="auto" w:sz="4" w:space="0"/>
              <w:right w:val="single" w:color="auto" w:sz="4" w:space="0"/>
            </w:tcBorders>
            <w:noWrap w:val="0"/>
            <w:vAlign w:val="center"/>
          </w:tcPr>
          <w:p>
            <w:pPr>
              <w:rPr>
                <w:szCs w:val="21"/>
              </w:rPr>
            </w:pPr>
            <w:r>
              <w:rPr>
                <w:rFonts w:hint="eastAsia"/>
                <w:szCs w:val="21"/>
              </w:rPr>
              <w:t>事由</w:t>
            </w:r>
          </w:p>
        </w:tc>
        <w:tc>
          <w:tcPr>
            <w:tcW w:w="7786" w:type="dxa"/>
            <w:gridSpan w:val="4"/>
            <w:tcBorders>
              <w:top w:val="single" w:color="auto" w:sz="8" w:space="0"/>
              <w:left w:val="single" w:color="auto" w:sz="4" w:space="0"/>
              <w:bottom w:val="single" w:color="auto" w:sz="4" w:space="0"/>
              <w:right w:val="single" w:color="auto" w:sz="8" w:space="0"/>
            </w:tcBorders>
            <w:noWrap w:val="0"/>
            <w:vAlign w:val="center"/>
          </w:tcPr>
          <w:p>
            <w:pPr>
              <w:rPr>
                <w:szCs w:val="21"/>
              </w:rPr>
            </w:pPr>
          </w:p>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2" w:hRule="atLeast"/>
        </w:trPr>
        <w:tc>
          <w:tcPr>
            <w:tcW w:w="8614" w:type="dxa"/>
            <w:gridSpan w:val="5"/>
            <w:tcBorders>
              <w:top w:val="single" w:color="auto" w:sz="4" w:space="0"/>
              <w:left w:val="single" w:color="auto" w:sz="8" w:space="0"/>
              <w:bottom w:val="single" w:color="auto" w:sz="4" w:space="0"/>
              <w:right w:val="single" w:color="auto" w:sz="8" w:space="0"/>
            </w:tcBorders>
            <w:noWrap w:val="0"/>
            <w:vAlign w:val="top"/>
          </w:tcPr>
          <w:p>
            <w:pPr>
              <w:spacing w:before="240"/>
              <w:rPr>
                <w:rFonts w:ascii="Times New Roman"/>
                <w:szCs w:val="21"/>
                <w:u w:val="single"/>
              </w:rPr>
            </w:pPr>
            <w:r>
              <w:rPr>
                <w:rFonts w:hint="eastAsia" w:ascii="Times New Roman"/>
                <w:szCs w:val="21"/>
              </w:rPr>
              <w:t>致：</w:t>
            </w:r>
            <w:r>
              <w:rPr>
                <w:rFonts w:hint="eastAsia" w:ascii="Times New Roman"/>
                <w:szCs w:val="21"/>
                <w:u w:val="single"/>
              </w:rPr>
              <w:t>　　　　    　  　　</w:t>
            </w:r>
            <w:r>
              <w:rPr>
                <w:rFonts w:hint="eastAsia" w:ascii="Times New Roman"/>
                <w:szCs w:val="21"/>
              </w:rPr>
              <w:t>（项目监理机构）</w:t>
            </w:r>
          </w:p>
          <w:p>
            <w:pPr>
              <w:spacing w:before="120"/>
              <w:rPr>
                <w:rFonts w:hint="eastAsia"/>
                <w:szCs w:val="21"/>
              </w:rPr>
            </w:pPr>
          </w:p>
          <w:p>
            <w:pPr>
              <w:rPr>
                <w:szCs w:val="21"/>
              </w:rPr>
            </w:pPr>
          </w:p>
          <w:p>
            <w:pPr>
              <w:rPr>
                <w:szCs w:val="21"/>
              </w:rPr>
            </w:pPr>
          </w:p>
          <w:p>
            <w:pPr>
              <w:rPr>
                <w:szCs w:val="21"/>
              </w:rPr>
            </w:pPr>
          </w:p>
          <w:p>
            <w:pPr>
              <w:rPr>
                <w:szCs w:val="21"/>
              </w:rPr>
            </w:pPr>
          </w:p>
          <w:p>
            <w:pPr>
              <w:rPr>
                <w:szCs w:val="21"/>
              </w:rPr>
            </w:pPr>
          </w:p>
          <w:p>
            <w:pPr>
              <w:rPr>
                <w:szCs w:val="21"/>
              </w:rPr>
            </w:pPr>
            <w:r>
              <w:rPr>
                <w:rFonts w:hint="eastAsia"/>
                <w:szCs w:val="21"/>
              </w:rPr>
              <w:t>（附件共</w:t>
            </w:r>
            <w:r>
              <w:rPr>
                <w:rFonts w:hint="eastAsia"/>
                <w:szCs w:val="21"/>
                <w:u w:val="single"/>
              </w:rPr>
              <w:t>　　　　</w:t>
            </w:r>
            <w:r>
              <w:rPr>
                <w:rFonts w:hint="eastAsia"/>
                <w:szCs w:val="21"/>
              </w:rPr>
              <w:t>页）</w:t>
            </w:r>
          </w:p>
          <w:p>
            <w:pPr>
              <w:rPr>
                <w:szCs w:val="21"/>
              </w:rPr>
            </w:pPr>
          </w:p>
          <w:p>
            <w:pPr>
              <w:tabs>
                <w:tab w:val="left" w:pos="7980"/>
              </w:tabs>
              <w:ind w:firstLine="5040" w:firstLineChars="2400"/>
              <w:jc w:val="left"/>
              <w:rPr>
                <w:szCs w:val="21"/>
                <w:u w:val="single"/>
              </w:rPr>
            </w:pPr>
            <w:r>
              <w:rPr>
                <w:rFonts w:hint="eastAsia"/>
                <w:szCs w:val="21"/>
              </w:rPr>
              <w:t>施工项目经理部（章）：</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p>
          <w:p>
            <w:pPr>
              <w:tabs>
                <w:tab w:val="left" w:pos="7980"/>
              </w:tabs>
              <w:spacing w:before="120"/>
              <w:jc w:val="left"/>
              <w:rPr>
                <w:szCs w:val="21"/>
              </w:rPr>
            </w:pPr>
            <w:r>
              <w:rPr>
                <w:rFonts w:hint="eastAsia"/>
                <w:szCs w:val="21"/>
              </w:rPr>
              <w:t>　　　　　　　　　　</w:t>
            </w:r>
            <w:r>
              <w:rPr>
                <w:szCs w:val="21"/>
              </w:rPr>
              <w:t xml:space="preserve">                            </w:t>
            </w:r>
            <w:r>
              <w:rPr>
                <w:rFonts w:hint="eastAsia"/>
                <w:szCs w:val="21"/>
              </w:rPr>
              <w:t>项目经理（签字）：</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p>
          <w:p>
            <w:pPr>
              <w:spacing w:before="120"/>
              <w:rPr>
                <w:szCs w:val="21"/>
                <w:u w:val="single"/>
              </w:rPr>
            </w:pPr>
            <w:r>
              <w:rPr>
                <w:szCs w:val="21"/>
              </w:rPr>
              <w:t xml:space="preserve">                                                          </w:t>
            </w: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8" w:hRule="atLeast"/>
        </w:trPr>
        <w:tc>
          <w:tcPr>
            <w:tcW w:w="1548" w:type="dxa"/>
            <w:gridSpan w:val="2"/>
            <w:tcBorders>
              <w:top w:val="single" w:color="auto" w:sz="4" w:space="0"/>
              <w:left w:val="single" w:color="auto" w:sz="8" w:space="0"/>
              <w:bottom w:val="single" w:color="auto" w:sz="4" w:space="0"/>
              <w:right w:val="single" w:color="auto" w:sz="4" w:space="0"/>
            </w:tcBorders>
            <w:noWrap w:val="0"/>
            <w:vAlign w:val="center"/>
          </w:tcPr>
          <w:p>
            <w:pPr>
              <w:pStyle w:val="9"/>
              <w:tabs>
                <w:tab w:val="left" w:pos="420"/>
              </w:tabs>
              <w:ind w:left="-105" w:leftChars="-50" w:right="-105" w:rightChars="-50"/>
              <w:rPr>
                <w:rFonts w:ascii="Times New Roman"/>
                <w:sz w:val="21"/>
                <w:szCs w:val="21"/>
                <w:lang w:val="en-US" w:eastAsia="zh-CN"/>
              </w:rPr>
            </w:pPr>
            <w:r>
              <w:rPr>
                <w:rFonts w:hint="eastAsia" w:ascii="Times New Roman"/>
                <w:sz w:val="21"/>
                <w:szCs w:val="21"/>
                <w:lang w:val="en-US" w:eastAsia="zh-CN"/>
              </w:rPr>
              <w:t>项目监理机构签收人姓名及时间</w:t>
            </w:r>
          </w:p>
        </w:tc>
        <w:tc>
          <w:tcPr>
            <w:tcW w:w="2860" w:type="dxa"/>
            <w:tcBorders>
              <w:top w:val="single" w:color="auto" w:sz="4" w:space="0"/>
              <w:left w:val="single" w:color="auto" w:sz="4" w:space="0"/>
              <w:bottom w:val="single" w:color="auto" w:sz="4" w:space="0"/>
              <w:right w:val="single" w:color="auto" w:sz="4" w:space="0"/>
            </w:tcBorders>
            <w:noWrap w:val="0"/>
            <w:vAlign w:val="top"/>
          </w:tcPr>
          <w:p>
            <w:pPr>
              <w:ind w:left="-105" w:leftChars="-50" w:right="-105" w:rightChars="-50"/>
              <w:rPr>
                <w:rFonts w:ascii="Times New Roman"/>
                <w:szCs w:val="21"/>
              </w:rPr>
            </w:pPr>
          </w:p>
        </w:tc>
        <w:tc>
          <w:tcPr>
            <w:tcW w:w="1796" w:type="dxa"/>
            <w:tcBorders>
              <w:top w:val="single" w:color="auto" w:sz="4" w:space="0"/>
              <w:left w:val="single" w:color="auto" w:sz="4" w:space="0"/>
              <w:bottom w:val="single" w:color="auto" w:sz="4" w:space="0"/>
              <w:right w:val="single" w:color="auto" w:sz="4" w:space="0"/>
            </w:tcBorders>
            <w:noWrap w:val="0"/>
            <w:vAlign w:val="center"/>
          </w:tcPr>
          <w:p>
            <w:pPr>
              <w:pStyle w:val="9"/>
              <w:tabs>
                <w:tab w:val="left" w:pos="420"/>
              </w:tabs>
              <w:ind w:left="-105" w:leftChars="-50" w:right="-105" w:rightChars="-50"/>
              <w:rPr>
                <w:rFonts w:ascii="Times New Roman"/>
                <w:sz w:val="21"/>
                <w:szCs w:val="21"/>
                <w:lang w:val="en-US" w:eastAsia="zh-CN"/>
              </w:rPr>
            </w:pPr>
            <w:r>
              <w:rPr>
                <w:rFonts w:hint="eastAsia" w:ascii="Times New Roman"/>
                <w:sz w:val="21"/>
                <w:szCs w:val="21"/>
                <w:lang w:val="en-US" w:eastAsia="zh-CN"/>
              </w:rPr>
              <w:t>施工项目经理部签收人姓名及时间</w:t>
            </w:r>
          </w:p>
        </w:tc>
        <w:tc>
          <w:tcPr>
            <w:tcW w:w="2410" w:type="dxa"/>
            <w:tcBorders>
              <w:top w:val="single" w:color="auto" w:sz="4" w:space="0"/>
              <w:left w:val="single" w:color="auto" w:sz="4" w:space="0"/>
              <w:bottom w:val="single" w:color="auto" w:sz="4" w:space="0"/>
              <w:right w:val="single" w:color="auto" w:sz="8" w:space="0"/>
            </w:tcBorders>
            <w:noWrap w:val="0"/>
            <w:vAlign w:val="top"/>
          </w:tcPr>
          <w:p>
            <w:pPr>
              <w:ind w:left="-105" w:leftChars="-50" w:right="-105" w:rightChars="-50"/>
              <w:rPr>
                <w:rFonts w:ascii="Times New Roman"/>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37" w:hRule="atLeast"/>
        </w:trPr>
        <w:tc>
          <w:tcPr>
            <w:tcW w:w="8614" w:type="dxa"/>
            <w:gridSpan w:val="5"/>
            <w:tcBorders>
              <w:top w:val="single" w:color="auto" w:sz="4" w:space="0"/>
              <w:left w:val="single" w:color="auto" w:sz="8" w:space="0"/>
              <w:bottom w:val="single" w:color="auto" w:sz="4" w:space="0"/>
              <w:right w:val="single" w:color="auto" w:sz="8" w:space="0"/>
            </w:tcBorders>
            <w:noWrap w:val="0"/>
            <w:vAlign w:val="top"/>
          </w:tcPr>
          <w:p>
            <w:pPr>
              <w:rPr>
                <w:szCs w:val="21"/>
              </w:rPr>
            </w:pPr>
            <w:r>
              <w:rPr>
                <w:rFonts w:hint="eastAsia"/>
                <w:szCs w:val="21"/>
              </w:rPr>
              <w:t>审查意见：</w:t>
            </w:r>
          </w:p>
          <w:p>
            <w:pPr>
              <w:rPr>
                <w:szCs w:val="21"/>
              </w:rPr>
            </w:pPr>
          </w:p>
          <w:p>
            <w:pPr>
              <w:rPr>
                <w:szCs w:val="21"/>
              </w:rPr>
            </w:pPr>
          </w:p>
          <w:p>
            <w:pPr>
              <w:tabs>
                <w:tab w:val="left" w:pos="1770"/>
              </w:tabs>
              <w:rPr>
                <w:bCs/>
                <w:szCs w:val="21"/>
                <w:u w:val="single"/>
              </w:rPr>
            </w:pPr>
            <w:r>
              <w:rPr>
                <w:szCs w:val="21"/>
              </w:rPr>
              <w:tab/>
            </w:r>
            <w:r>
              <w:rPr>
                <w:rFonts w:hint="eastAsia"/>
                <w:szCs w:val="21"/>
              </w:rPr>
              <w:t>　　　　　　　　　　</w:t>
            </w:r>
            <w:r>
              <w:rPr>
                <w:szCs w:val="21"/>
              </w:rPr>
              <w:t xml:space="preserve">                </w:t>
            </w:r>
          </w:p>
          <w:p>
            <w:pPr>
              <w:spacing w:line="420" w:lineRule="exact"/>
              <w:ind w:firstLine="4935" w:firstLineChars="2350"/>
              <w:rPr>
                <w:szCs w:val="21"/>
                <w:u w:val="single"/>
              </w:rPr>
            </w:pPr>
            <w:r>
              <w:rPr>
                <w:rFonts w:hint="eastAsia"/>
                <w:szCs w:val="21"/>
              </w:rPr>
              <w:t>专业监理工程师（签字）：</w:t>
            </w:r>
            <w:r>
              <w:rPr>
                <w:szCs w:val="21"/>
                <w:u w:val="single"/>
              </w:rPr>
              <w:t xml:space="preserve">          </w:t>
            </w:r>
          </w:p>
          <w:p>
            <w:pPr>
              <w:spacing w:line="420" w:lineRule="exact"/>
              <w:jc w:val="right"/>
              <w:rPr>
                <w:rFonts w:ascii="Times New Roman"/>
                <w:szCs w:val="21"/>
              </w:rPr>
            </w:pPr>
            <w:r>
              <w:rPr>
                <w:szCs w:val="21"/>
              </w:rPr>
              <w:t xml:space="preserve">                              </w:t>
            </w: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283" w:hRule="atLeast"/>
        </w:trPr>
        <w:tc>
          <w:tcPr>
            <w:tcW w:w="8614" w:type="dxa"/>
            <w:gridSpan w:val="5"/>
            <w:tcBorders>
              <w:top w:val="single" w:color="auto" w:sz="4" w:space="0"/>
              <w:left w:val="single" w:color="auto" w:sz="8" w:space="0"/>
              <w:bottom w:val="single" w:color="auto" w:sz="4" w:space="0"/>
              <w:right w:val="single" w:color="auto" w:sz="8" w:space="0"/>
            </w:tcBorders>
            <w:noWrap w:val="0"/>
            <w:vAlign w:val="top"/>
          </w:tcPr>
          <w:p>
            <w:pPr>
              <w:spacing w:line="420" w:lineRule="exact"/>
              <w:ind w:right="45"/>
              <w:jc w:val="left"/>
              <w:rPr>
                <w:rFonts w:ascii="Times New Roman"/>
                <w:szCs w:val="21"/>
              </w:rPr>
            </w:pPr>
            <w:r>
              <w:rPr>
                <w:rFonts w:hint="eastAsia" w:ascii="Times New Roman"/>
                <w:szCs w:val="21"/>
              </w:rPr>
              <w:t>审核意见：</w:t>
            </w:r>
          </w:p>
          <w:p>
            <w:pPr>
              <w:tabs>
                <w:tab w:val="left" w:pos="2100"/>
              </w:tabs>
              <w:spacing w:line="420" w:lineRule="exact"/>
              <w:ind w:right="45"/>
              <w:jc w:val="left"/>
              <w:rPr>
                <w:rFonts w:hint="eastAsia" w:ascii="Times New Roman"/>
                <w:szCs w:val="21"/>
              </w:rPr>
            </w:pPr>
            <w:r>
              <w:rPr>
                <w:rFonts w:hint="eastAsia" w:ascii="Times New Roman"/>
                <w:szCs w:val="21"/>
              </w:rPr>
              <w:tab/>
            </w:r>
          </w:p>
          <w:p>
            <w:pPr>
              <w:spacing w:line="420" w:lineRule="exact"/>
              <w:ind w:firstLine="3360" w:firstLineChars="1600"/>
              <w:rPr>
                <w:rFonts w:hint="eastAsia"/>
                <w:bCs/>
                <w:szCs w:val="21"/>
                <w:u w:val="single"/>
              </w:rPr>
            </w:pPr>
            <w:r>
              <w:rPr>
                <w:rFonts w:hint="eastAsia"/>
                <w:bCs/>
                <w:szCs w:val="21"/>
              </w:rPr>
              <w:t>项目监理机构</w:t>
            </w:r>
            <w:r>
              <w:rPr>
                <w:bCs/>
                <w:szCs w:val="21"/>
              </w:rPr>
              <w:t>(</w:t>
            </w:r>
            <w:r>
              <w:rPr>
                <w:rFonts w:hint="eastAsia"/>
                <w:bCs/>
                <w:szCs w:val="21"/>
              </w:rPr>
              <w:t>章</w:t>
            </w:r>
            <w:r>
              <w:rPr>
                <w:bCs/>
                <w:szCs w:val="21"/>
              </w:rPr>
              <w:t xml:space="preserve">): </w:t>
            </w:r>
            <w:r>
              <w:rPr>
                <w:bCs/>
                <w:szCs w:val="21"/>
                <w:u w:val="single"/>
              </w:rPr>
              <w:t xml:space="preserve">                               </w:t>
            </w:r>
          </w:p>
          <w:p>
            <w:pPr>
              <w:spacing w:line="420" w:lineRule="exact"/>
              <w:jc w:val="center"/>
              <w:rPr>
                <w:szCs w:val="21"/>
              </w:rPr>
            </w:pPr>
            <w:r>
              <w:rPr>
                <w:szCs w:val="21"/>
              </w:rPr>
              <w:t xml:space="preserve">                     </w:t>
            </w:r>
            <w:r>
              <w:rPr>
                <w:rFonts w:hint="eastAsia"/>
                <w:szCs w:val="21"/>
              </w:rPr>
              <w:t>总监理工程师</w:t>
            </w:r>
            <w:r>
              <w:rPr>
                <w:szCs w:val="21"/>
              </w:rPr>
              <w:t>/</w:t>
            </w:r>
            <w:r>
              <w:rPr>
                <w:rFonts w:hint="eastAsia"/>
                <w:szCs w:val="21"/>
              </w:rPr>
              <w:t>总监理工程代表（签字）：</w:t>
            </w:r>
            <w:r>
              <w:rPr>
                <w:rFonts w:hint="eastAsia"/>
                <w:szCs w:val="21"/>
                <w:u w:val="single"/>
              </w:rPr>
              <w:t>　　</w:t>
            </w:r>
            <w:r>
              <w:rPr>
                <w:szCs w:val="21"/>
                <w:u w:val="single"/>
              </w:rPr>
              <w:t xml:space="preserve">       </w:t>
            </w:r>
          </w:p>
          <w:p>
            <w:pPr>
              <w:spacing w:line="420" w:lineRule="exact"/>
              <w:ind w:right="45"/>
              <w:jc w:val="right"/>
              <w:rPr>
                <w:rFonts w:ascii="Times New Roman"/>
                <w:szCs w:val="21"/>
              </w:rPr>
            </w:pP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8614" w:type="dxa"/>
            <w:gridSpan w:val="5"/>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szCs w:val="21"/>
              </w:rPr>
              <w:t>注：</w:t>
            </w:r>
            <w:r>
              <w:rPr>
                <w:szCs w:val="21"/>
              </w:rPr>
              <w:t>1</w:t>
            </w:r>
            <w:r>
              <w:rPr>
                <w:rFonts w:hint="eastAsia"/>
                <w:szCs w:val="21"/>
              </w:rPr>
              <w:t>、本表用于施工单位就</w:t>
            </w:r>
            <w:r>
              <w:rPr>
                <w:szCs w:val="21"/>
              </w:rPr>
              <w:t xml:space="preserve">B </w:t>
            </w:r>
            <w:r>
              <w:rPr>
                <w:rFonts w:hint="eastAsia"/>
                <w:szCs w:val="21"/>
              </w:rPr>
              <w:t>类表中其它用表所未能包括的事项向监理申报。</w:t>
            </w:r>
          </w:p>
          <w:p>
            <w:pPr>
              <w:rPr>
                <w:szCs w:val="21"/>
              </w:rPr>
            </w:pPr>
            <w:r>
              <w:rPr>
                <w:szCs w:val="21"/>
              </w:rPr>
              <w:t xml:space="preserve">    2</w:t>
            </w:r>
            <w:r>
              <w:rPr>
                <w:rFonts w:hint="eastAsia"/>
                <w:szCs w:val="21"/>
              </w:rPr>
              <w:t>、本</w:t>
            </w:r>
            <w:r>
              <w:rPr>
                <w:rFonts w:hint="eastAsia" w:ascii="Times New Roman"/>
                <w:szCs w:val="21"/>
              </w:rPr>
              <w:t>表一式二份，项目监理机构、施工单位各一份。</w:t>
            </w:r>
          </w:p>
        </w:tc>
      </w:tr>
    </w:tbl>
    <w:p>
      <w:pPr>
        <w:jc w:val="right"/>
        <w:rPr>
          <w:rFonts w:ascii="Times New Roman" w:eastAsia="隶书"/>
        </w:rPr>
      </w:pPr>
      <w:r>
        <w:rPr>
          <w:rFonts w:hint="eastAsia" w:ascii="Times New Roman" w:eastAsia="隶书"/>
        </w:rPr>
        <w:t>第六版表                                              江苏省住房和城乡建设厅监制</w:t>
      </w:r>
    </w:p>
    <w:p>
      <w:pPr>
        <w:widowControl/>
        <w:jc w:val="left"/>
        <w:rPr>
          <w:rFonts w:ascii="Times New Roman" w:eastAsia="黑体"/>
          <w:bCs/>
          <w:kern w:val="44"/>
          <w:sz w:val="28"/>
          <w:szCs w:val="28"/>
          <w14:shadow w14:blurRad="50800" w14:dist="38100" w14:dir="2700000" w14:sx="100000" w14:sy="100000" w14:kx="0" w14:ky="0" w14:algn="tl">
            <w14:srgbClr w14:val="000000">
              <w14:alpha w14:val="60000"/>
            </w14:srgbClr>
          </w14:shadow>
        </w:rPr>
        <w:sectPr>
          <w:pgSz w:w="11906" w:h="16838"/>
          <w:pgMar w:top="1021" w:right="1701" w:bottom="1701" w:left="1701" w:header="851" w:footer="992" w:gutter="0"/>
          <w:cols w:space="720" w:num="1"/>
          <w:docGrid w:type="lines" w:linePitch="312" w:charSpace="0"/>
        </w:sectPr>
      </w:pPr>
    </w:p>
    <w:p>
      <w:pPr>
        <w:spacing w:line="380" w:lineRule="exact"/>
        <w:jc w:val="right"/>
        <w:rPr>
          <w:rFonts w:hint="eastAsia"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B.5.5</w:t>
      </w:r>
    </w:p>
    <w:p>
      <w:pPr>
        <w:spacing w:before="312" w:beforeLines="100" w:after="312"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工程变更申请表</w:t>
      </w:r>
    </w:p>
    <w:p>
      <w:pPr>
        <w:spacing w:after="156"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　　</w:t>
      </w:r>
      <w:r>
        <w:rPr>
          <w:szCs w:val="21"/>
        </w:rPr>
        <w:t xml:space="preserve">         </w:t>
      </w:r>
      <w:r>
        <w:rPr>
          <w:rFonts w:hint="eastAsia"/>
          <w:szCs w:val="21"/>
        </w:rPr>
        <w:t>编号：</w:t>
      </w:r>
      <w:r>
        <w:rPr>
          <w:szCs w:val="21"/>
        </w:rPr>
        <w:t>B.5.5</w:t>
      </w:r>
      <w:r>
        <w:rPr>
          <w:rFonts w:hint="eastAsia"/>
          <w:szCs w:val="21"/>
        </w:rPr>
        <w:t>－</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8"/>
        <w:gridCol w:w="4500"/>
        <w:gridCol w:w="1260"/>
        <w:gridCol w:w="205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0" w:hRule="atLeast"/>
        </w:trPr>
        <w:tc>
          <w:tcPr>
            <w:tcW w:w="828" w:type="dxa"/>
            <w:tcBorders>
              <w:top w:val="single" w:color="auto" w:sz="8" w:space="0"/>
              <w:left w:val="single" w:color="auto" w:sz="8" w:space="0"/>
              <w:bottom w:val="single" w:color="auto" w:sz="4" w:space="0"/>
              <w:right w:val="single" w:color="auto" w:sz="4" w:space="0"/>
            </w:tcBorders>
            <w:noWrap w:val="0"/>
            <w:vAlign w:val="center"/>
          </w:tcPr>
          <w:p>
            <w:pPr>
              <w:rPr>
                <w:szCs w:val="21"/>
              </w:rPr>
            </w:pPr>
            <w:r>
              <w:rPr>
                <w:rFonts w:hint="eastAsia"/>
                <w:szCs w:val="21"/>
              </w:rPr>
              <w:t>事由</w:t>
            </w:r>
          </w:p>
        </w:tc>
        <w:tc>
          <w:tcPr>
            <w:tcW w:w="4500" w:type="dxa"/>
            <w:tcBorders>
              <w:top w:val="single" w:color="auto" w:sz="8" w:space="0"/>
              <w:left w:val="single" w:color="auto" w:sz="4" w:space="0"/>
              <w:bottom w:val="single" w:color="auto" w:sz="4" w:space="0"/>
              <w:right w:val="single" w:color="auto" w:sz="4" w:space="0"/>
            </w:tcBorders>
            <w:noWrap w:val="0"/>
            <w:vAlign w:val="center"/>
          </w:tcPr>
          <w:p>
            <w:pPr>
              <w:rPr>
                <w:szCs w:val="21"/>
              </w:rPr>
            </w:pPr>
          </w:p>
        </w:tc>
        <w:tc>
          <w:tcPr>
            <w:tcW w:w="1260" w:type="dxa"/>
            <w:tcBorders>
              <w:top w:val="single" w:color="auto" w:sz="8" w:space="0"/>
              <w:left w:val="single" w:color="auto" w:sz="4" w:space="0"/>
              <w:bottom w:val="single" w:color="auto" w:sz="4" w:space="0"/>
              <w:right w:val="single" w:color="auto" w:sz="4" w:space="0"/>
            </w:tcBorders>
            <w:noWrap w:val="0"/>
            <w:vAlign w:val="center"/>
          </w:tcPr>
          <w:p>
            <w:pPr>
              <w:jc w:val="center"/>
              <w:rPr>
                <w:szCs w:val="21"/>
              </w:rPr>
            </w:pPr>
            <w:r>
              <w:rPr>
                <w:rFonts w:hint="eastAsia"/>
                <w:szCs w:val="21"/>
              </w:rPr>
              <w:t>签收人姓名及时间</w:t>
            </w:r>
          </w:p>
        </w:tc>
        <w:tc>
          <w:tcPr>
            <w:tcW w:w="2056" w:type="dxa"/>
            <w:tcBorders>
              <w:top w:val="single" w:color="auto" w:sz="8" w:space="0"/>
              <w:left w:val="single" w:color="auto" w:sz="4" w:space="0"/>
              <w:bottom w:val="single" w:color="auto" w:sz="4" w:space="0"/>
              <w:right w:val="single" w:color="auto" w:sz="8" w:space="0"/>
            </w:tcBorders>
            <w:noWrap w:val="0"/>
            <w:vAlign w:val="center"/>
          </w:tcPr>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128" w:hRule="atLeast"/>
        </w:trPr>
        <w:tc>
          <w:tcPr>
            <w:tcW w:w="8644" w:type="dxa"/>
            <w:gridSpan w:val="4"/>
            <w:tcBorders>
              <w:top w:val="single" w:color="auto" w:sz="4" w:space="0"/>
              <w:left w:val="single" w:color="auto" w:sz="8" w:space="0"/>
              <w:bottom w:val="single" w:color="auto" w:sz="4" w:space="0"/>
              <w:right w:val="single" w:color="auto" w:sz="8" w:space="0"/>
            </w:tcBorders>
            <w:noWrap w:val="0"/>
            <w:vAlign w:val="top"/>
          </w:tcPr>
          <w:p>
            <w:pPr>
              <w:spacing w:before="156" w:beforeLines="50" w:after="156" w:afterLines="50" w:line="420" w:lineRule="exact"/>
              <w:rPr>
                <w:bCs/>
                <w:szCs w:val="21"/>
              </w:rPr>
            </w:pPr>
            <w:r>
              <w:rPr>
                <w:rFonts w:hint="eastAsia"/>
                <w:szCs w:val="21"/>
              </w:rPr>
              <w:t>致：</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rFonts w:hint="eastAsia"/>
                <w:szCs w:val="21"/>
              </w:rPr>
              <w:t>（项目监理机构）</w:t>
            </w:r>
          </w:p>
          <w:p>
            <w:pPr>
              <w:spacing w:line="360" w:lineRule="exact"/>
              <w:rPr>
                <w:szCs w:val="21"/>
              </w:rPr>
            </w:pPr>
            <w:r>
              <w:rPr>
                <w:szCs w:val="21"/>
              </w:rPr>
              <w:t xml:space="preserve">     </w:t>
            </w:r>
            <w:r>
              <w:rPr>
                <w:rFonts w:hint="eastAsia"/>
                <w:szCs w:val="21"/>
              </w:rPr>
              <w:t>由于</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rFonts w:hint="eastAsia"/>
                <w:szCs w:val="21"/>
              </w:rPr>
              <w:t>原因，提出</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p>
          <w:p>
            <w:pPr>
              <w:spacing w:line="360" w:lineRule="exact"/>
              <w:rPr>
                <w:szCs w:val="21"/>
              </w:rPr>
            </w:pP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rFonts w:hint="eastAsia"/>
                <w:szCs w:val="21"/>
              </w:rPr>
              <w:t>工程变更，请予以审查。</w:t>
            </w:r>
          </w:p>
          <w:p>
            <w:pPr>
              <w:spacing w:line="360" w:lineRule="exact"/>
              <w:ind w:firstLine="420" w:firstLineChars="200"/>
              <w:rPr>
                <w:szCs w:val="21"/>
              </w:rPr>
            </w:pPr>
            <w:r>
              <w:rPr>
                <w:rFonts w:hint="eastAsia"/>
                <w:szCs w:val="21"/>
              </w:rPr>
              <w:t>附件：</w:t>
            </w:r>
            <w:r>
              <w:rPr>
                <w:rFonts w:hint="eastAsia" w:ascii="Times New Roman"/>
                <w:szCs w:val="21"/>
              </w:rPr>
              <w:t xml:space="preserve"> 工程变更证明材料</w:t>
            </w:r>
          </w:p>
          <w:p>
            <w:pPr>
              <w:spacing w:line="360" w:lineRule="exact"/>
              <w:ind w:firstLine="420" w:firstLineChars="200"/>
              <w:rPr>
                <w:szCs w:val="21"/>
              </w:rPr>
            </w:pPr>
            <w:r>
              <w:rPr>
                <w:rFonts w:hint="eastAsia" w:ascii="Times New Roman"/>
                <w:szCs w:val="21"/>
              </w:rPr>
              <w:t xml:space="preserve"> </w:t>
            </w:r>
          </w:p>
          <w:p>
            <w:pPr>
              <w:tabs>
                <w:tab w:val="left" w:pos="7980"/>
              </w:tabs>
              <w:ind w:firstLine="5040" w:firstLineChars="2400"/>
              <w:jc w:val="left"/>
              <w:rPr>
                <w:szCs w:val="21"/>
                <w:u w:val="single"/>
              </w:rPr>
            </w:pPr>
            <w:r>
              <w:rPr>
                <w:rFonts w:hint="eastAsia"/>
                <w:szCs w:val="21"/>
              </w:rPr>
              <w:t>施工项目经理部（章）：</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p>
          <w:p>
            <w:pPr>
              <w:tabs>
                <w:tab w:val="left" w:pos="7980"/>
              </w:tabs>
              <w:spacing w:before="120"/>
              <w:jc w:val="left"/>
              <w:rPr>
                <w:szCs w:val="21"/>
              </w:rPr>
            </w:pPr>
            <w:r>
              <w:rPr>
                <w:rFonts w:hint="eastAsia"/>
                <w:szCs w:val="21"/>
              </w:rPr>
              <w:t>　　　　　　　　　　</w:t>
            </w:r>
            <w:r>
              <w:rPr>
                <w:szCs w:val="21"/>
              </w:rPr>
              <w:t xml:space="preserve">                            </w:t>
            </w:r>
            <w:r>
              <w:rPr>
                <w:rFonts w:hint="eastAsia"/>
                <w:szCs w:val="21"/>
              </w:rPr>
              <w:t>项目经理（签字）：</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szCs w:val="21"/>
              </w:rPr>
              <w:t xml:space="preserve">                                                          </w:t>
            </w:r>
            <w:r>
              <w:rPr>
                <w:rFonts w:hint="eastAsia" w:ascii="Times New Roman"/>
                <w:szCs w:val="21"/>
                <w:u w:val="single"/>
              </w:rPr>
              <w:t xml:space="preserve">     </w:t>
            </w:r>
            <w:r>
              <w:rPr>
                <w:szCs w:val="21"/>
              </w:rPr>
              <w:t xml:space="preserve">    </w:t>
            </w:r>
          </w:p>
          <w:p>
            <w:pPr>
              <w:tabs>
                <w:tab w:val="left" w:pos="7940"/>
              </w:tabs>
              <w:spacing w:line="420" w:lineRule="exact"/>
              <w:ind w:firstLine="2940" w:firstLineChars="1400"/>
              <w:jc w:val="right"/>
              <w:rPr>
                <w:szCs w:val="21"/>
              </w:rPr>
            </w:pP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43" w:hRule="atLeast"/>
        </w:trPr>
        <w:tc>
          <w:tcPr>
            <w:tcW w:w="8644" w:type="dxa"/>
            <w:gridSpan w:val="4"/>
            <w:tcBorders>
              <w:top w:val="single" w:color="auto" w:sz="4" w:space="0"/>
              <w:left w:val="single" w:color="auto" w:sz="8" w:space="0"/>
              <w:bottom w:val="single" w:color="auto" w:sz="4" w:space="0"/>
              <w:right w:val="single" w:color="auto" w:sz="8" w:space="0"/>
            </w:tcBorders>
            <w:noWrap w:val="0"/>
            <w:vAlign w:val="top"/>
          </w:tcPr>
          <w:p>
            <w:pPr>
              <w:spacing w:before="120"/>
              <w:rPr>
                <w:szCs w:val="21"/>
              </w:rPr>
            </w:pPr>
            <w:r>
              <w:rPr>
                <w:rFonts w:hint="eastAsia"/>
                <w:szCs w:val="21"/>
              </w:rPr>
              <w:t>审查意见：</w:t>
            </w:r>
          </w:p>
          <w:p>
            <w:pPr>
              <w:spacing w:before="120"/>
              <w:rPr>
                <w:szCs w:val="21"/>
              </w:rPr>
            </w:pPr>
          </w:p>
          <w:p>
            <w:pPr>
              <w:spacing w:before="120"/>
              <w:ind w:firstLine="4845" w:firstLineChars="2550"/>
              <w:rPr>
                <w:szCs w:val="21"/>
              </w:rPr>
            </w:pPr>
            <w:r>
              <w:rPr>
                <w:rFonts w:hint="eastAsia"/>
                <w:spacing w:val="-10"/>
                <w:szCs w:val="21"/>
              </w:rPr>
              <w:t>专业监理工程师（签字）</w:t>
            </w:r>
            <w:r>
              <w:rPr>
                <w:rFonts w:hint="eastAsia"/>
                <w:szCs w:val="21"/>
              </w:rPr>
              <w:t>：</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p>
          <w:p>
            <w:pPr>
              <w:spacing w:before="120"/>
              <w:ind w:firstLine="210" w:firstLineChars="100"/>
              <w:jc w:val="right"/>
              <w:rPr>
                <w:szCs w:val="21"/>
              </w:rPr>
            </w:pP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045" w:hRule="atLeast"/>
        </w:trPr>
        <w:tc>
          <w:tcPr>
            <w:tcW w:w="8644" w:type="dxa"/>
            <w:gridSpan w:val="4"/>
            <w:tcBorders>
              <w:top w:val="single" w:color="auto" w:sz="4" w:space="0"/>
              <w:left w:val="single" w:color="auto" w:sz="8" w:space="0"/>
              <w:bottom w:val="single" w:color="auto" w:sz="4" w:space="0"/>
              <w:right w:val="single" w:color="auto" w:sz="8" w:space="0"/>
            </w:tcBorders>
            <w:noWrap w:val="0"/>
            <w:vAlign w:val="top"/>
          </w:tcPr>
          <w:p>
            <w:pPr>
              <w:spacing w:before="120"/>
              <w:rPr>
                <w:szCs w:val="21"/>
              </w:rPr>
            </w:pPr>
            <w:r>
              <w:rPr>
                <w:rFonts w:hint="eastAsia"/>
                <w:szCs w:val="21"/>
              </w:rPr>
              <w:t>审核意见：</w:t>
            </w:r>
          </w:p>
          <w:p>
            <w:pPr>
              <w:spacing w:before="120"/>
              <w:rPr>
                <w:szCs w:val="21"/>
              </w:rPr>
            </w:pPr>
          </w:p>
          <w:p>
            <w:pPr>
              <w:spacing w:before="120"/>
              <w:ind w:firstLine="3570" w:firstLineChars="1700"/>
              <w:rPr>
                <w:szCs w:val="21"/>
              </w:rPr>
            </w:pPr>
            <w:r>
              <w:rPr>
                <w:rFonts w:hint="eastAsia"/>
                <w:szCs w:val="21"/>
              </w:rPr>
              <w:t>项目监理机构（章）：</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p>
          <w:p>
            <w:pPr>
              <w:spacing w:before="120"/>
              <w:ind w:firstLine="3610" w:firstLineChars="1900"/>
              <w:rPr>
                <w:szCs w:val="21"/>
              </w:rPr>
            </w:pPr>
            <w:r>
              <w:rPr>
                <w:rFonts w:hint="eastAsia"/>
                <w:spacing w:val="-10"/>
                <w:szCs w:val="21"/>
              </w:rPr>
              <w:t>总监理工程师</w:t>
            </w:r>
            <w:r>
              <w:rPr>
                <w:spacing w:val="-10"/>
                <w:szCs w:val="21"/>
              </w:rPr>
              <w:t>/</w:t>
            </w:r>
            <w:r>
              <w:rPr>
                <w:rFonts w:hint="eastAsia"/>
                <w:spacing w:val="-10"/>
                <w:szCs w:val="21"/>
              </w:rPr>
              <w:t>总监理工程师代表（签字）</w:t>
            </w:r>
            <w:r>
              <w:rPr>
                <w:rFonts w:hint="eastAsia"/>
                <w:szCs w:val="21"/>
              </w:rPr>
              <w:t>：</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p>
          <w:p>
            <w:pPr>
              <w:spacing w:before="120"/>
              <w:jc w:val="right"/>
              <w:rPr>
                <w:szCs w:val="21"/>
              </w:rPr>
            </w:pP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70" w:hRule="atLeast"/>
        </w:trPr>
        <w:tc>
          <w:tcPr>
            <w:tcW w:w="8644" w:type="dxa"/>
            <w:gridSpan w:val="4"/>
            <w:tcBorders>
              <w:top w:val="single" w:color="auto" w:sz="4" w:space="0"/>
              <w:left w:val="single" w:color="auto" w:sz="8" w:space="0"/>
              <w:bottom w:val="single" w:color="auto" w:sz="4" w:space="0"/>
              <w:right w:val="single" w:color="auto" w:sz="8" w:space="0"/>
            </w:tcBorders>
            <w:noWrap w:val="0"/>
            <w:vAlign w:val="top"/>
          </w:tcPr>
          <w:p>
            <w:pPr>
              <w:spacing w:before="120"/>
              <w:rPr>
                <w:szCs w:val="21"/>
              </w:rPr>
            </w:pPr>
            <w:r>
              <w:rPr>
                <w:rFonts w:hint="eastAsia"/>
                <w:szCs w:val="21"/>
              </w:rPr>
              <w:t>审批意见：</w:t>
            </w:r>
          </w:p>
          <w:p>
            <w:pPr>
              <w:spacing w:before="120"/>
              <w:rPr>
                <w:szCs w:val="21"/>
              </w:rPr>
            </w:pPr>
          </w:p>
          <w:p>
            <w:pPr>
              <w:spacing w:before="120"/>
              <w:rPr>
                <w:szCs w:val="21"/>
              </w:rPr>
            </w:pPr>
          </w:p>
          <w:p>
            <w:pPr>
              <w:spacing w:line="360" w:lineRule="exact"/>
              <w:ind w:firstLine="5040" w:firstLineChars="2400"/>
              <w:rPr>
                <w:rFonts w:ascii="Times New Roman"/>
                <w:bCs/>
                <w:szCs w:val="21"/>
                <w:u w:val="single"/>
              </w:rPr>
            </w:pPr>
            <w:r>
              <w:rPr>
                <w:rFonts w:hint="eastAsia" w:ascii="Times New Roman"/>
                <w:bCs/>
                <w:szCs w:val="21"/>
              </w:rPr>
              <w:t xml:space="preserve">建设单位(章): </w:t>
            </w:r>
            <w:r>
              <w:rPr>
                <w:rFonts w:hint="eastAsia" w:ascii="Times New Roman"/>
                <w:bCs/>
                <w:szCs w:val="21"/>
                <w:u w:val="single"/>
              </w:rPr>
              <w:t xml:space="preserve">                </w:t>
            </w:r>
          </w:p>
          <w:p>
            <w:pPr>
              <w:spacing w:line="420" w:lineRule="exact"/>
              <w:rPr>
                <w:rFonts w:hint="eastAsia" w:ascii="Times New Roman"/>
                <w:szCs w:val="21"/>
              </w:rPr>
            </w:pPr>
            <w:r>
              <w:rPr>
                <w:rFonts w:hint="eastAsia" w:ascii="Times New Roman"/>
                <w:szCs w:val="21"/>
              </w:rPr>
              <w:t xml:space="preserve">                                                项目负责人(签字)：</w:t>
            </w:r>
            <w:r>
              <w:rPr>
                <w:rFonts w:hint="eastAsia" w:ascii="Times New Roman"/>
                <w:szCs w:val="21"/>
                <w:u w:val="single"/>
              </w:rPr>
              <w:t xml:space="preserve">　　　      </w:t>
            </w:r>
          </w:p>
          <w:p>
            <w:pPr>
              <w:spacing w:before="120"/>
              <w:jc w:val="right"/>
              <w:rPr>
                <w:szCs w:val="21"/>
              </w:rPr>
            </w:pPr>
            <w:r>
              <w:rPr>
                <w:rFonts w:hint="eastAsia" w:ascii="Times New Roman"/>
                <w:szCs w:val="21"/>
              </w:rPr>
              <w:t xml:space="preserve">                                    </w:t>
            </w: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8644" w:type="dxa"/>
            <w:gridSpan w:val="4"/>
            <w:tcBorders>
              <w:top w:val="single" w:color="auto" w:sz="4" w:space="0"/>
              <w:left w:val="single" w:color="auto" w:sz="8" w:space="0"/>
              <w:bottom w:val="single" w:color="auto" w:sz="8" w:space="0"/>
              <w:right w:val="single" w:color="auto" w:sz="8" w:space="0"/>
            </w:tcBorders>
            <w:noWrap w:val="0"/>
            <w:vAlign w:val="top"/>
          </w:tcPr>
          <w:p>
            <w:pPr>
              <w:ind w:firstLine="420" w:firstLineChars="200"/>
              <w:rPr>
                <w:szCs w:val="21"/>
              </w:rPr>
            </w:pPr>
            <w:r>
              <w:rPr>
                <w:rFonts w:hint="eastAsia"/>
                <w:szCs w:val="21"/>
              </w:rPr>
              <w:t>注：</w:t>
            </w:r>
            <w:r>
              <w:rPr>
                <w:szCs w:val="21"/>
              </w:rPr>
              <w:t>1</w:t>
            </w:r>
            <w:r>
              <w:rPr>
                <w:rFonts w:hint="eastAsia"/>
                <w:szCs w:val="21"/>
              </w:rPr>
              <w:t>、本表用于施工单位提出的工程变更，对建设单位（设计单位）提出的工程变更项目监理机构宜提出评估意见。</w:t>
            </w:r>
          </w:p>
          <w:p>
            <w:pPr>
              <w:ind w:firstLine="420" w:firstLineChars="200"/>
              <w:rPr>
                <w:szCs w:val="21"/>
              </w:rPr>
            </w:pPr>
            <w:r>
              <w:rPr>
                <w:szCs w:val="21"/>
              </w:rPr>
              <w:t>2</w:t>
            </w:r>
            <w:r>
              <w:rPr>
                <w:rFonts w:hint="eastAsia"/>
                <w:szCs w:val="21"/>
              </w:rPr>
              <w:t>、工程变更涉及设计文件修改的，须经原设计单位确认。</w:t>
            </w:r>
          </w:p>
          <w:p>
            <w:pPr>
              <w:ind w:firstLine="420" w:firstLineChars="200"/>
              <w:rPr>
                <w:szCs w:val="21"/>
              </w:rPr>
            </w:pPr>
            <w:r>
              <w:rPr>
                <w:szCs w:val="21"/>
              </w:rPr>
              <w:t>3</w:t>
            </w:r>
            <w:r>
              <w:rPr>
                <w:rFonts w:hint="eastAsia"/>
                <w:szCs w:val="21"/>
              </w:rPr>
              <w:t>、本表一式三份，建设单位、项目监理机构、施工单位各一份。</w:t>
            </w:r>
          </w:p>
        </w:tc>
      </w:tr>
    </w:tbl>
    <w:p>
      <w:pPr>
        <w:rPr>
          <w:rFonts w:eastAsia="隶书"/>
        </w:rPr>
      </w:pPr>
      <w:r>
        <w:rPr>
          <w:rFonts w:hint="eastAsia" w:ascii="Times New Roman" w:eastAsia="隶书"/>
        </w:rPr>
        <w:t>第六版表                                              江苏省住房和城乡建设厅监制</w:t>
      </w:r>
    </w:p>
    <w:p>
      <w:pPr>
        <w:widowControl/>
        <w:jc w:val="left"/>
        <w:rPr>
          <w:rFonts w:ascii="Times New Roman" w:eastAsia="黑体"/>
          <w:bCs/>
          <w:kern w:val="44"/>
          <w:sz w:val="28"/>
          <w:szCs w:val="28"/>
          <w14:shadow w14:blurRad="50800" w14:dist="38100" w14:dir="2700000" w14:sx="100000" w14:sy="100000" w14:kx="0" w14:ky="0" w14:algn="tl">
            <w14:srgbClr w14:val="000000">
              <w14:alpha w14:val="60000"/>
            </w14:srgbClr>
          </w14:shadow>
        </w:rPr>
        <w:sectPr>
          <w:pgSz w:w="11906" w:h="16838"/>
          <w:pgMar w:top="1021" w:right="1701" w:bottom="1701" w:left="1701" w:header="851" w:footer="992" w:gutter="0"/>
          <w:cols w:space="720" w:num="1"/>
          <w:docGrid w:type="lines" w:linePitch="312" w:charSpace="0"/>
        </w:sectPr>
      </w:pPr>
    </w:p>
    <w:p>
      <w:pPr>
        <w:jc w:val="right"/>
        <w:rPr>
          <w:rFonts w:eastAsia="黑体"/>
          <w:b/>
          <w:sz w:val="28"/>
          <w:szCs w:val="28"/>
          <w14:shadow w14:blurRad="50800" w14:dist="38100" w14:dir="2700000" w14:sx="100000" w14:sy="100000" w14:kx="0" w14:ky="0" w14:algn="tl">
            <w14:srgbClr w14:val="000000">
              <w14:alpha w14:val="60000"/>
            </w14:srgbClr>
          </w14:shadow>
        </w:rPr>
      </w:pPr>
      <w:r>
        <w:rPr>
          <w:rFonts w:eastAsia="黑体"/>
          <w:b/>
          <w:sz w:val="28"/>
          <w:szCs w:val="28"/>
          <w14:shadow w14:blurRad="50800" w14:dist="38100" w14:dir="2700000" w14:sx="100000" w14:sy="100000" w14:kx="0" w14:ky="0" w14:algn="tl">
            <w14:srgbClr w14:val="000000">
              <w14:alpha w14:val="60000"/>
            </w14:srgbClr>
          </w14:shadow>
        </w:rPr>
        <w:t>C.0.1</w:t>
      </w:r>
    </w:p>
    <w:p>
      <w:pPr>
        <w:spacing w:before="240" w:beforeLines="100" w:after="240"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工程联系单</w:t>
      </w:r>
    </w:p>
    <w:p>
      <w:pPr>
        <w:spacing w:after="120" w:afterLines="50" w:line="420" w:lineRule="exact"/>
        <w:ind w:left="21" w:hanging="21" w:hangingChars="10"/>
        <w:rPr>
          <w:szCs w:val="21"/>
        </w:rPr>
      </w:pPr>
      <w:r>
        <w:rPr>
          <w:rFonts w:hint="eastAsia"/>
          <w:szCs w:val="21"/>
        </w:rPr>
        <w:t>工程名称：</w:t>
      </w:r>
      <w:r>
        <w:rPr>
          <w:szCs w:val="21"/>
          <w:u w:val="single"/>
        </w:rPr>
        <w:t xml:space="preserve">                              </w:t>
      </w:r>
      <w:r>
        <w:rPr>
          <w:rFonts w:hint="eastAsia"/>
          <w:szCs w:val="21"/>
        </w:rPr>
        <w:t>　　　　　　　</w:t>
      </w:r>
      <w:r>
        <w:rPr>
          <w:szCs w:val="21"/>
        </w:rPr>
        <w:t xml:space="preserve">    </w:t>
      </w:r>
      <w:r>
        <w:rPr>
          <w:rFonts w:hint="eastAsia"/>
          <w:szCs w:val="21"/>
        </w:rPr>
        <w:t>编号：</w:t>
      </w:r>
      <w:r>
        <w:rPr>
          <w:szCs w:val="21"/>
        </w:rPr>
        <w:t>C.0.1</w:t>
      </w:r>
      <w:r>
        <w:rPr>
          <w:szCs w:val="21"/>
          <w:u w:val="single"/>
        </w:rPr>
        <w:t xml:space="preserve">  </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1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10"/>
        <w:gridCol w:w="4500"/>
        <w:gridCol w:w="1260"/>
        <w:gridCol w:w="20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10" w:hRule="atLeast"/>
        </w:trPr>
        <w:tc>
          <w:tcPr>
            <w:tcW w:w="810" w:type="dxa"/>
            <w:tcBorders>
              <w:top w:val="single" w:color="auto" w:sz="8" w:space="0"/>
              <w:left w:val="single" w:color="auto" w:sz="8" w:space="0"/>
              <w:bottom w:val="single" w:color="auto" w:sz="4" w:space="0"/>
              <w:right w:val="single" w:color="auto" w:sz="4" w:space="0"/>
            </w:tcBorders>
            <w:noWrap w:val="0"/>
            <w:vAlign w:val="center"/>
          </w:tcPr>
          <w:p>
            <w:pPr>
              <w:rPr>
                <w:szCs w:val="21"/>
              </w:rPr>
            </w:pPr>
            <w:r>
              <w:rPr>
                <w:rFonts w:hint="eastAsia"/>
                <w:szCs w:val="21"/>
              </w:rPr>
              <w:t>事由</w:t>
            </w:r>
          </w:p>
        </w:tc>
        <w:tc>
          <w:tcPr>
            <w:tcW w:w="4500" w:type="dxa"/>
            <w:tcBorders>
              <w:top w:val="single" w:color="auto" w:sz="8" w:space="0"/>
              <w:left w:val="single" w:color="auto" w:sz="4" w:space="0"/>
              <w:bottom w:val="single" w:color="auto" w:sz="4" w:space="0"/>
              <w:right w:val="single" w:color="auto" w:sz="4" w:space="0"/>
            </w:tcBorders>
            <w:noWrap w:val="0"/>
            <w:vAlign w:val="center"/>
          </w:tcPr>
          <w:p>
            <w:pPr>
              <w:rPr>
                <w:szCs w:val="21"/>
              </w:rPr>
            </w:pPr>
          </w:p>
        </w:tc>
        <w:tc>
          <w:tcPr>
            <w:tcW w:w="1260" w:type="dxa"/>
            <w:tcBorders>
              <w:top w:val="single" w:color="auto" w:sz="8" w:space="0"/>
              <w:left w:val="single" w:color="auto" w:sz="4" w:space="0"/>
              <w:bottom w:val="single" w:color="auto" w:sz="4" w:space="0"/>
              <w:right w:val="single" w:color="auto" w:sz="4" w:space="0"/>
            </w:tcBorders>
            <w:noWrap w:val="0"/>
            <w:vAlign w:val="center"/>
          </w:tcPr>
          <w:p>
            <w:pPr>
              <w:jc w:val="center"/>
              <w:rPr>
                <w:szCs w:val="21"/>
              </w:rPr>
            </w:pPr>
            <w:r>
              <w:rPr>
                <w:rFonts w:hint="eastAsia"/>
                <w:szCs w:val="21"/>
              </w:rPr>
              <w:t>签收人姓名及时间</w:t>
            </w:r>
          </w:p>
        </w:tc>
        <w:tc>
          <w:tcPr>
            <w:tcW w:w="2040" w:type="dxa"/>
            <w:tcBorders>
              <w:top w:val="single" w:color="auto" w:sz="8" w:space="0"/>
              <w:left w:val="single" w:color="auto" w:sz="4" w:space="0"/>
              <w:bottom w:val="single" w:color="auto" w:sz="4" w:space="0"/>
              <w:right w:val="single" w:color="auto" w:sz="8" w:space="0"/>
            </w:tcBorders>
            <w:noWrap w:val="0"/>
            <w:vAlign w:val="center"/>
          </w:tcPr>
          <w:p>
            <w:pP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407" w:hRule="atLeast"/>
        </w:trPr>
        <w:tc>
          <w:tcPr>
            <w:tcW w:w="8610" w:type="dxa"/>
            <w:gridSpan w:val="4"/>
            <w:tcBorders>
              <w:top w:val="single" w:color="auto" w:sz="4" w:space="0"/>
              <w:left w:val="single" w:color="auto" w:sz="8" w:space="0"/>
              <w:bottom w:val="single" w:color="auto" w:sz="4" w:space="0"/>
              <w:right w:val="single" w:color="auto" w:sz="8" w:space="0"/>
            </w:tcBorders>
            <w:noWrap w:val="0"/>
            <w:vAlign w:val="top"/>
          </w:tcPr>
          <w:p>
            <w:pPr>
              <w:spacing w:before="120" w:beforeLines="50" w:after="120" w:afterLines="50" w:line="420" w:lineRule="exact"/>
              <w:rPr>
                <w:szCs w:val="21"/>
                <w:u w:val="single"/>
              </w:rPr>
            </w:pPr>
            <w:r>
              <w:rPr>
                <w:rFonts w:hint="eastAsia"/>
                <w:szCs w:val="21"/>
              </w:rPr>
              <w:t>致：</w:t>
            </w:r>
            <w:r>
              <w:rPr>
                <w:rFonts w:hint="eastAsia"/>
                <w:szCs w:val="21"/>
                <w:u w:val="single"/>
              </w:rPr>
              <w:t>　　　　　　　</w:t>
            </w:r>
            <w:r>
              <w:rPr>
                <w:szCs w:val="21"/>
                <w:u w:val="single"/>
              </w:rPr>
              <w:t xml:space="preserve">           </w:t>
            </w:r>
            <w:r>
              <w:rPr>
                <w:rFonts w:hint="eastAsia"/>
                <w:szCs w:val="21"/>
                <w:u w:val="single"/>
              </w:rPr>
              <w:t>　</w:t>
            </w: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r>
              <w:rPr>
                <w:rFonts w:hint="eastAsia"/>
                <w:szCs w:val="21"/>
              </w:rPr>
              <w:t>（附件共</w:t>
            </w:r>
            <w:r>
              <w:rPr>
                <w:szCs w:val="21"/>
                <w:u w:val="single"/>
              </w:rPr>
              <w:t xml:space="preserve">      </w:t>
            </w:r>
            <w:r>
              <w:rPr>
                <w:rFonts w:hint="eastAsia"/>
                <w:szCs w:val="21"/>
              </w:rPr>
              <w:t>页）</w:t>
            </w:r>
          </w:p>
          <w:p>
            <w:pPr>
              <w:rPr>
                <w:szCs w:val="21"/>
              </w:rPr>
            </w:pPr>
          </w:p>
          <w:p>
            <w:pPr>
              <w:rPr>
                <w:szCs w:val="21"/>
              </w:rPr>
            </w:pPr>
          </w:p>
          <w:p>
            <w:pPr>
              <w:rPr>
                <w:szCs w:val="21"/>
              </w:rPr>
            </w:pPr>
          </w:p>
          <w:p>
            <w:pPr>
              <w:rPr>
                <w:szCs w:val="21"/>
              </w:rPr>
            </w:pPr>
          </w:p>
          <w:p>
            <w:pPr>
              <w:ind w:firstLine="4313" w:firstLineChars="2054"/>
              <w:rPr>
                <w:szCs w:val="21"/>
                <w:u w:val="single"/>
              </w:rPr>
            </w:pPr>
            <w:r>
              <w:rPr>
                <w:rFonts w:hint="eastAsia"/>
                <w:szCs w:val="21"/>
              </w:rPr>
              <w:t>发文单位（章）：</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p>
          <w:p>
            <w:pPr>
              <w:spacing w:before="120"/>
              <w:ind w:firstLine="4305" w:firstLineChars="2050"/>
              <w:rPr>
                <w:szCs w:val="21"/>
              </w:rPr>
            </w:pPr>
            <w:r>
              <w:rPr>
                <w:rFonts w:hint="eastAsia"/>
                <w:szCs w:val="21"/>
              </w:rPr>
              <w:t>项目负责人（签字）：</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szCs w:val="21"/>
              </w:rPr>
              <w:t xml:space="preserve">   </w:t>
            </w:r>
          </w:p>
          <w:p>
            <w:pPr>
              <w:spacing w:before="120"/>
              <w:ind w:firstLine="5985" w:firstLineChars="2850"/>
              <w:rPr>
                <w:szCs w:val="21"/>
              </w:rPr>
            </w:pP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252" w:hRule="atLeast"/>
        </w:trPr>
        <w:tc>
          <w:tcPr>
            <w:tcW w:w="8610" w:type="dxa"/>
            <w:gridSpan w:val="4"/>
            <w:tcBorders>
              <w:top w:val="single" w:color="auto" w:sz="4" w:space="0"/>
              <w:left w:val="single" w:color="auto" w:sz="8" w:space="0"/>
              <w:bottom w:val="single" w:color="auto" w:sz="8" w:space="0"/>
              <w:right w:val="single" w:color="auto" w:sz="8" w:space="0"/>
            </w:tcBorders>
            <w:noWrap w:val="0"/>
            <w:vAlign w:val="center"/>
          </w:tcPr>
          <w:p>
            <w:pPr>
              <w:rPr>
                <w:szCs w:val="21"/>
              </w:rPr>
            </w:pPr>
            <w:r>
              <w:rPr>
                <w:rFonts w:hint="eastAsia"/>
                <w:szCs w:val="21"/>
              </w:rPr>
              <w:t>注：</w:t>
            </w:r>
            <w:r>
              <w:rPr>
                <w:szCs w:val="21"/>
              </w:rPr>
              <w:t>1</w:t>
            </w:r>
            <w:r>
              <w:rPr>
                <w:rFonts w:hint="eastAsia"/>
                <w:szCs w:val="21"/>
              </w:rPr>
              <w:t>、本联系单分为建设单位工程联系单（</w:t>
            </w:r>
            <w:r>
              <w:rPr>
                <w:szCs w:val="21"/>
              </w:rPr>
              <w:t>C.0.1</w:t>
            </w:r>
            <w:r>
              <w:rPr>
                <w:szCs w:val="21"/>
                <w:u w:val="single"/>
              </w:rPr>
              <w:t>1</w:t>
            </w:r>
            <w:r>
              <w:rPr>
                <w:rFonts w:hint="eastAsia"/>
                <w:szCs w:val="21"/>
              </w:rPr>
              <w:t>）、项目监理机构工程联系单（</w:t>
            </w:r>
            <w:r>
              <w:rPr>
                <w:szCs w:val="21"/>
              </w:rPr>
              <w:t>C.0.1</w:t>
            </w:r>
            <w:r>
              <w:rPr>
                <w:szCs w:val="21"/>
                <w:u w:val="single"/>
              </w:rPr>
              <w:t>2</w:t>
            </w:r>
            <w:r>
              <w:rPr>
                <w:rFonts w:hint="eastAsia"/>
                <w:szCs w:val="21"/>
              </w:rPr>
              <w:t>）、施工单位工程联系单（</w:t>
            </w:r>
            <w:r>
              <w:rPr>
                <w:szCs w:val="21"/>
              </w:rPr>
              <w:t>C.0.1</w:t>
            </w:r>
            <w:r>
              <w:rPr>
                <w:szCs w:val="21"/>
                <w:u w:val="single"/>
              </w:rPr>
              <w:t>3</w:t>
            </w:r>
            <w:r>
              <w:rPr>
                <w:rFonts w:hint="eastAsia"/>
                <w:szCs w:val="21"/>
              </w:rPr>
              <w:t>）。</w:t>
            </w:r>
          </w:p>
          <w:p>
            <w:pPr>
              <w:ind w:firstLine="420" w:firstLineChars="200"/>
              <w:rPr>
                <w:szCs w:val="21"/>
              </w:rPr>
            </w:pPr>
            <w:r>
              <w:rPr>
                <w:szCs w:val="21"/>
              </w:rPr>
              <w:t>2</w:t>
            </w:r>
            <w:r>
              <w:rPr>
                <w:rFonts w:hint="eastAsia"/>
                <w:szCs w:val="21"/>
              </w:rPr>
              <w:t>、收文单位如有疑义，应在自收到本联系单后</w:t>
            </w:r>
            <w:r>
              <w:rPr>
                <w:szCs w:val="21"/>
              </w:rPr>
              <w:t>48</w:t>
            </w:r>
            <w:r>
              <w:rPr>
                <w:rFonts w:hint="eastAsia"/>
                <w:szCs w:val="21"/>
              </w:rPr>
              <w:t>小时内书面提出。</w:t>
            </w:r>
          </w:p>
          <w:p>
            <w:pPr>
              <w:ind w:firstLine="420" w:firstLineChars="200"/>
              <w:rPr>
                <w:szCs w:val="21"/>
              </w:rPr>
            </w:pPr>
            <w:r>
              <w:rPr>
                <w:szCs w:val="21"/>
              </w:rPr>
              <w:t>3</w:t>
            </w:r>
            <w:r>
              <w:rPr>
                <w:rFonts w:hint="eastAsia" w:ascii="Times New Roman"/>
                <w:szCs w:val="21"/>
              </w:rPr>
              <w:t>、本表发文与收文单位各一份。</w:t>
            </w:r>
          </w:p>
        </w:tc>
      </w:tr>
    </w:tbl>
    <w:p>
      <w:pPr>
        <w:rPr>
          <w:rFonts w:ascii="Times New Roman" w:eastAsia="隶书"/>
        </w:rPr>
      </w:pPr>
      <w:r>
        <w:rPr>
          <w:rFonts w:hint="eastAsia" w:ascii="Times New Roman" w:eastAsia="隶书"/>
        </w:rPr>
        <w:t>第六版表                                              江苏省住房和城乡建设厅监制</w:t>
      </w:r>
    </w:p>
    <w:p>
      <w:pPr>
        <w:jc w:val="right"/>
        <w:rPr>
          <w:rFonts w:hint="eastAsia" w:eastAsia="黑体"/>
          <w:b/>
          <w:sz w:val="28"/>
          <w:szCs w:val="28"/>
          <w14:shadow w14:blurRad="50800" w14:dist="38100" w14:dir="2700000" w14:sx="100000" w14:sy="100000" w14:kx="0" w14:ky="0" w14:algn="tl">
            <w14:srgbClr w14:val="000000">
              <w14:alpha w14:val="60000"/>
            </w14:srgbClr>
          </w14:shadow>
        </w:rPr>
      </w:pPr>
      <w:r>
        <w:rPr>
          <w:b/>
          <w:szCs w:val="21"/>
        </w:rPr>
        <w:br w:type="column"/>
      </w:r>
      <w:r>
        <w:rPr>
          <w:rFonts w:eastAsia="黑体"/>
          <w:b/>
          <w:sz w:val="28"/>
          <w:szCs w:val="28"/>
          <w14:shadow w14:blurRad="50800" w14:dist="38100" w14:dir="2700000" w14:sx="100000" w14:sy="100000" w14:kx="0" w14:ky="0" w14:algn="tl">
            <w14:srgbClr w14:val="000000">
              <w14:alpha w14:val="60000"/>
            </w14:srgbClr>
          </w14:shadow>
        </w:rPr>
        <w:t>C.0.2</w:t>
      </w:r>
    </w:p>
    <w:p>
      <w:pPr>
        <w:spacing w:before="240" w:beforeLines="100" w:after="240" w:afterLines="100" w:line="300" w:lineRule="exact"/>
        <w:jc w:val="center"/>
        <w:rPr>
          <w:rFonts w:eastAsia="黑体"/>
          <w:sz w:val="44"/>
          <w14:shadow w14:blurRad="50800" w14:dist="38100" w14:dir="2700000" w14:sx="100000" w14:sy="100000" w14:kx="0" w14:ky="0" w14:algn="tl">
            <w14:srgbClr w14:val="000000">
              <w14:alpha w14:val="60000"/>
            </w14:srgbClr>
          </w14:shadow>
        </w:rPr>
      </w:pPr>
      <w:r>
        <w:rPr>
          <w:rFonts w:hint="eastAsia" w:eastAsia="黑体"/>
          <w:sz w:val="44"/>
          <w14:shadow w14:blurRad="50800" w14:dist="38100" w14:dir="2700000" w14:sx="100000" w14:sy="100000" w14:kx="0" w14:ky="0" w14:algn="tl">
            <w14:srgbClr w14:val="000000">
              <w14:alpha w14:val="60000"/>
            </w14:srgbClr>
          </w14:shadow>
        </w:rPr>
        <w:t>索赔意向通知书</w:t>
      </w:r>
    </w:p>
    <w:p>
      <w:pPr>
        <w:spacing w:after="120" w:afterLines="50" w:line="420" w:lineRule="exact"/>
        <w:ind w:left="21" w:hanging="21" w:hangingChars="10"/>
        <w:rPr>
          <w:szCs w:val="21"/>
        </w:rPr>
      </w:pPr>
      <w:r>
        <w:rPr>
          <w:rFonts w:hint="eastAsia"/>
          <w:szCs w:val="21"/>
        </w:rPr>
        <w:t>工程名称：</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szCs w:val="21"/>
        </w:rPr>
        <w:t xml:space="preserve">              </w:t>
      </w:r>
      <w:r>
        <w:rPr>
          <w:rFonts w:hint="eastAsia"/>
          <w:szCs w:val="21"/>
        </w:rPr>
        <w:t>编号：</w:t>
      </w:r>
      <w:r>
        <w:rPr>
          <w:szCs w:val="21"/>
        </w:rPr>
        <w:t>C.0.2</w:t>
      </w:r>
      <w:r>
        <w:rPr>
          <w:rFonts w:hint="eastAsia"/>
          <w:szCs w:val="21"/>
        </w:rPr>
        <w:t>－</w:t>
      </w:r>
      <w:r>
        <w:rPr>
          <w:rFonts w:hint="eastAsia"/>
          <w:szCs w:val="21"/>
          <w:u w:val="single"/>
        </w:rPr>
        <w:t>　</w:t>
      </w:r>
      <w:r>
        <w:rPr>
          <w:szCs w:val="21"/>
          <w:u w:val="single"/>
        </w:rPr>
        <w:t xml:space="preserve">  </w:t>
      </w:r>
      <w:r>
        <w:rPr>
          <w:rFonts w:hint="eastAsia"/>
          <w:szCs w:val="21"/>
          <w:u w:val="single"/>
        </w:rPr>
        <w:t>　　</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26"/>
        <w:gridCol w:w="2977"/>
        <w:gridCol w:w="2085"/>
        <w:gridCol w:w="201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702" w:hRule="atLeast"/>
        </w:trPr>
        <w:tc>
          <w:tcPr>
            <w:tcW w:w="1526" w:type="dxa"/>
            <w:tcBorders>
              <w:top w:val="single" w:color="auto" w:sz="8" w:space="0"/>
              <w:left w:val="single" w:color="auto" w:sz="8" w:space="0"/>
              <w:bottom w:val="single" w:color="auto" w:sz="4" w:space="0"/>
              <w:right w:val="single" w:color="auto" w:sz="4" w:space="0"/>
            </w:tcBorders>
            <w:noWrap w:val="0"/>
            <w:vAlign w:val="center"/>
          </w:tcPr>
          <w:p>
            <w:pPr>
              <w:ind w:left="-105" w:leftChars="-50" w:right="-105" w:rightChars="-50"/>
              <w:jc w:val="center"/>
              <w:rPr>
                <w:szCs w:val="21"/>
              </w:rPr>
            </w:pPr>
            <w:r>
              <w:rPr>
                <w:rFonts w:hint="eastAsia"/>
                <w:szCs w:val="21"/>
              </w:rPr>
              <w:t>项目监理机构签收人姓名及时间</w:t>
            </w:r>
          </w:p>
        </w:tc>
        <w:tc>
          <w:tcPr>
            <w:tcW w:w="2977" w:type="dxa"/>
            <w:tcBorders>
              <w:top w:val="single" w:color="auto" w:sz="8" w:space="0"/>
              <w:left w:val="single" w:color="auto" w:sz="4" w:space="0"/>
              <w:bottom w:val="single" w:color="auto" w:sz="4" w:space="0"/>
              <w:right w:val="single" w:color="auto" w:sz="4" w:space="0"/>
            </w:tcBorders>
            <w:noWrap w:val="0"/>
            <w:vAlign w:val="center"/>
          </w:tcPr>
          <w:p>
            <w:pPr>
              <w:ind w:left="-105" w:leftChars="-50" w:right="-105" w:rightChars="-50"/>
              <w:jc w:val="center"/>
              <w:rPr>
                <w:szCs w:val="21"/>
              </w:rPr>
            </w:pPr>
          </w:p>
        </w:tc>
        <w:tc>
          <w:tcPr>
            <w:tcW w:w="2085" w:type="dxa"/>
            <w:tcBorders>
              <w:top w:val="single" w:color="auto" w:sz="8" w:space="0"/>
              <w:left w:val="single" w:color="auto" w:sz="4" w:space="0"/>
              <w:bottom w:val="single" w:color="auto" w:sz="4" w:space="0"/>
              <w:right w:val="single" w:color="auto" w:sz="4" w:space="0"/>
            </w:tcBorders>
            <w:noWrap w:val="0"/>
            <w:vAlign w:val="center"/>
          </w:tcPr>
          <w:p>
            <w:pPr>
              <w:ind w:left="-105" w:leftChars="-50" w:right="-105" w:rightChars="-50"/>
              <w:jc w:val="center"/>
              <w:rPr>
                <w:szCs w:val="21"/>
              </w:rPr>
            </w:pPr>
            <w:r>
              <w:rPr>
                <w:rFonts w:hint="eastAsia"/>
                <w:szCs w:val="21"/>
              </w:rPr>
              <w:t>被索赔方签收人姓名及时间</w:t>
            </w:r>
          </w:p>
        </w:tc>
        <w:tc>
          <w:tcPr>
            <w:tcW w:w="2010" w:type="dxa"/>
            <w:tcBorders>
              <w:top w:val="single" w:color="auto" w:sz="8" w:space="0"/>
              <w:left w:val="single" w:color="auto" w:sz="4" w:space="0"/>
              <w:bottom w:val="single" w:color="auto" w:sz="4" w:space="0"/>
              <w:right w:val="single" w:color="auto" w:sz="8" w:space="0"/>
            </w:tcBorders>
            <w:noWrap w:val="0"/>
            <w:vAlign w:val="center"/>
          </w:tcPr>
          <w:p>
            <w:pPr>
              <w:ind w:left="-105" w:leftChars="-50" w:right="-105" w:rightChars="-50"/>
              <w:jc w:val="center"/>
              <w:rPr>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561" w:hRule="atLeast"/>
        </w:trPr>
        <w:tc>
          <w:tcPr>
            <w:tcW w:w="8598" w:type="dxa"/>
            <w:gridSpan w:val="4"/>
            <w:tcBorders>
              <w:top w:val="single" w:color="auto" w:sz="4" w:space="0"/>
              <w:left w:val="single" w:color="auto" w:sz="8" w:space="0"/>
              <w:bottom w:val="single" w:color="auto" w:sz="4" w:space="0"/>
              <w:right w:val="single" w:color="auto" w:sz="8" w:space="0"/>
            </w:tcBorders>
            <w:noWrap w:val="0"/>
            <w:vAlign w:val="top"/>
          </w:tcPr>
          <w:p>
            <w:pPr>
              <w:spacing w:line="420" w:lineRule="exact"/>
              <w:rPr>
                <w:szCs w:val="21"/>
                <w:u w:val="single"/>
              </w:rPr>
            </w:pPr>
            <w:r>
              <w:rPr>
                <w:rFonts w:hint="eastAsia"/>
                <w:szCs w:val="21"/>
              </w:rPr>
              <w:t>致：</w:t>
            </w:r>
            <w:r>
              <w:rPr>
                <w:rFonts w:hint="eastAsia"/>
                <w:szCs w:val="21"/>
                <w:u w:val="single"/>
              </w:rPr>
              <w:t>　　　　　　　　　　　</w:t>
            </w:r>
          </w:p>
          <w:p>
            <w:pPr>
              <w:spacing w:line="420" w:lineRule="exact"/>
              <w:rPr>
                <w:szCs w:val="21"/>
              </w:rPr>
            </w:pPr>
          </w:p>
          <w:p>
            <w:pPr>
              <w:spacing w:line="420" w:lineRule="exact"/>
              <w:ind w:left="420" w:leftChars="200"/>
              <w:rPr>
                <w:szCs w:val="21"/>
              </w:rPr>
            </w:pPr>
            <w:r>
              <w:rPr>
                <w:rFonts w:hint="eastAsia"/>
                <w:szCs w:val="21"/>
              </w:rPr>
              <w:t>根据施工合同</w:t>
            </w:r>
            <w:r>
              <w:rPr>
                <w:rFonts w:hint="eastAsia"/>
                <w:szCs w:val="21"/>
                <w:u w:val="single"/>
              </w:rPr>
              <w:t>　　　　　　　　　　　　　　　　</w:t>
            </w:r>
            <w:r>
              <w:rPr>
                <w:rFonts w:hint="eastAsia"/>
                <w:szCs w:val="21"/>
              </w:rPr>
              <w:t>（条款）约定，由于发生了</w:t>
            </w:r>
          </w:p>
          <w:p>
            <w:pPr>
              <w:spacing w:line="420" w:lineRule="exact"/>
              <w:rPr>
                <w:szCs w:val="21"/>
              </w:rPr>
            </w:pPr>
            <w:r>
              <w:rPr>
                <w:rFonts w:hint="eastAsia"/>
                <w:szCs w:val="21"/>
                <w:u w:val="single"/>
              </w:rPr>
              <w:t>　　　　　　　　　　　　　　　　　　　　　　　　　</w:t>
            </w:r>
            <w:r>
              <w:rPr>
                <w:rFonts w:hint="eastAsia"/>
                <w:szCs w:val="21"/>
              </w:rPr>
              <w:t>事件，且该事件的发生非我方原因所致。为此，我方向</w:t>
            </w:r>
            <w:r>
              <w:rPr>
                <w:rFonts w:hint="eastAsia"/>
                <w:szCs w:val="21"/>
                <w:u w:val="single"/>
              </w:rPr>
              <w:t>　　　　　　　　</w:t>
            </w:r>
            <w:r>
              <w:rPr>
                <w:rFonts w:hint="eastAsia"/>
                <w:szCs w:val="21"/>
              </w:rPr>
              <w:t>（单位）提出索赔要求。</w:t>
            </w:r>
          </w:p>
          <w:p>
            <w:pPr>
              <w:spacing w:line="420" w:lineRule="exact"/>
              <w:rPr>
                <w:szCs w:val="21"/>
              </w:rPr>
            </w:pPr>
          </w:p>
          <w:p>
            <w:pPr>
              <w:spacing w:line="420" w:lineRule="exact"/>
              <w:ind w:firstLine="420" w:firstLineChars="200"/>
              <w:rPr>
                <w:szCs w:val="21"/>
              </w:rPr>
            </w:pPr>
            <w:r>
              <w:rPr>
                <w:rFonts w:hint="eastAsia"/>
                <w:szCs w:val="21"/>
              </w:rPr>
              <w:t>附件：索赔相关资料</w:t>
            </w: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rPr>
                <w:szCs w:val="21"/>
              </w:rPr>
            </w:pPr>
          </w:p>
          <w:p>
            <w:pPr>
              <w:ind w:firstLine="4830" w:firstLineChars="2300"/>
              <w:rPr>
                <w:szCs w:val="21"/>
                <w:u w:val="single"/>
              </w:rPr>
            </w:pPr>
            <w:r>
              <w:rPr>
                <w:rFonts w:hint="eastAsia"/>
                <w:szCs w:val="21"/>
              </w:rPr>
              <w:t>提出单位（章）：</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rFonts w:hint="eastAsia"/>
                <w:szCs w:val="21"/>
                <w:u w:val="single"/>
              </w:rPr>
              <w:t>　　　</w:t>
            </w:r>
          </w:p>
          <w:p>
            <w:pPr>
              <w:spacing w:before="120"/>
              <w:ind w:firstLine="4830" w:firstLineChars="2300"/>
              <w:rPr>
                <w:szCs w:val="21"/>
              </w:rPr>
            </w:pPr>
            <w:r>
              <w:rPr>
                <w:rFonts w:hint="eastAsia"/>
                <w:szCs w:val="21"/>
              </w:rPr>
              <w:t>项目负责人（签字）：</w:t>
            </w:r>
            <w:r>
              <w:rPr>
                <w:rFonts w:hint="eastAsia"/>
                <w:szCs w:val="21"/>
                <w:u w:val="single"/>
              </w:rPr>
              <w:t>　　　</w:t>
            </w:r>
            <w:r>
              <w:rPr>
                <w:szCs w:val="21"/>
                <w:u w:val="single"/>
              </w:rPr>
              <w:t xml:space="preserve">     </w:t>
            </w:r>
            <w:r>
              <w:rPr>
                <w:rFonts w:hint="eastAsia"/>
                <w:szCs w:val="21"/>
                <w:u w:val="single"/>
              </w:rPr>
              <w:t>　</w:t>
            </w:r>
            <w:r>
              <w:rPr>
                <w:szCs w:val="21"/>
                <w:u w:val="single"/>
              </w:rPr>
              <w:t xml:space="preserve"> </w:t>
            </w:r>
            <w:r>
              <w:rPr>
                <w:szCs w:val="21"/>
              </w:rPr>
              <w:t xml:space="preserve">  </w:t>
            </w:r>
          </w:p>
          <w:p>
            <w:pPr>
              <w:spacing w:before="120"/>
              <w:jc w:val="right"/>
              <w:rPr>
                <w:szCs w:val="21"/>
              </w:rPr>
            </w:pPr>
            <w:r>
              <w:rPr>
                <w:rFonts w:hint="eastAsia" w:ascii="Times New Roman"/>
                <w:szCs w:val="21"/>
                <w:u w:val="single"/>
              </w:rPr>
              <w:t xml:space="preserve">     </w:t>
            </w:r>
            <w:r>
              <w:rPr>
                <w:rFonts w:hint="eastAsia"/>
                <w:szCs w:val="21"/>
              </w:rPr>
              <w:t>年</w:t>
            </w:r>
            <w:r>
              <w:rPr>
                <w:szCs w:val="21"/>
                <w:u w:val="single"/>
              </w:rPr>
              <w:t xml:space="preserve">     </w:t>
            </w:r>
            <w:r>
              <w:rPr>
                <w:rFonts w:hint="eastAsia"/>
                <w:szCs w:val="21"/>
              </w:rPr>
              <w:t>月</w:t>
            </w:r>
            <w:r>
              <w:rPr>
                <w:szCs w:val="21"/>
                <w:u w:val="single"/>
              </w:rPr>
              <w:t xml:space="preserve">     </w:t>
            </w:r>
            <w:r>
              <w:rPr>
                <w:rFonts w:hint="eastAsia"/>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933" w:hRule="atLeast"/>
        </w:trPr>
        <w:tc>
          <w:tcPr>
            <w:tcW w:w="8598" w:type="dxa"/>
            <w:gridSpan w:val="4"/>
            <w:tcBorders>
              <w:top w:val="single" w:color="auto" w:sz="4" w:space="0"/>
              <w:left w:val="single" w:color="auto" w:sz="8" w:space="0"/>
              <w:bottom w:val="single" w:color="auto" w:sz="8" w:space="0"/>
              <w:right w:val="single" w:color="auto" w:sz="8" w:space="0"/>
            </w:tcBorders>
            <w:noWrap w:val="0"/>
            <w:vAlign w:val="center"/>
          </w:tcPr>
          <w:p>
            <w:pPr>
              <w:ind w:left="315" w:hanging="315" w:hangingChars="150"/>
              <w:rPr>
                <w:szCs w:val="21"/>
              </w:rPr>
            </w:pPr>
            <w:r>
              <w:rPr>
                <w:rFonts w:hint="eastAsia"/>
                <w:szCs w:val="21"/>
              </w:rPr>
              <w:t>注：</w:t>
            </w:r>
            <w:r>
              <w:rPr>
                <w:szCs w:val="21"/>
              </w:rPr>
              <w:t>1</w:t>
            </w:r>
            <w:r>
              <w:rPr>
                <w:rFonts w:hint="eastAsia"/>
                <w:szCs w:val="21"/>
              </w:rPr>
              <w:t>、索赔人和被索赔人及项目监理机构应按施工合同约定的程序及时限处理索赔事件。</w:t>
            </w:r>
          </w:p>
          <w:p>
            <w:pPr>
              <w:ind w:left="315" w:hanging="315" w:hangingChars="150"/>
              <w:rPr>
                <w:szCs w:val="21"/>
              </w:rPr>
            </w:pPr>
            <w:r>
              <w:rPr>
                <w:szCs w:val="21"/>
              </w:rPr>
              <w:t xml:space="preserve">    2</w:t>
            </w:r>
            <w:r>
              <w:rPr>
                <w:rFonts w:hint="eastAsia"/>
                <w:szCs w:val="21"/>
              </w:rPr>
              <w:t>、本表一式三份，项目监理机构、建设单位、施工单位各一份。</w:t>
            </w:r>
          </w:p>
        </w:tc>
      </w:tr>
    </w:tbl>
    <w:p>
      <w:pPr>
        <w:rPr>
          <w:rFonts w:ascii="Times New Roman" w:eastAsia="隶书"/>
        </w:rPr>
      </w:pPr>
      <w:r>
        <w:rPr>
          <w:rFonts w:hint="eastAsia" w:ascii="Times New Roman" w:eastAsia="隶书"/>
        </w:rPr>
        <w:t>第六版表                                             江苏省住房和城乡建设厅监制</w:t>
      </w:r>
    </w:p>
    <w:p>
      <w:pPr>
        <w:snapToGrid w:val="0"/>
        <w:spacing w:line="600" w:lineRule="exact"/>
        <w:rPr>
          <w:rFonts w:hint="eastAsia" w:eastAsia="方正仿宋_GBK"/>
          <w:sz w:val="24"/>
        </w:rPr>
      </w:pPr>
    </w:p>
    <w:p>
      <w:pPr>
        <w:snapToGrid w:val="0"/>
        <w:spacing w:line="600" w:lineRule="exact"/>
        <w:rPr>
          <w:rFonts w:eastAsia="方正小标宋_GBK"/>
          <w:sz w:val="40"/>
          <w:szCs w:val="44"/>
        </w:rPr>
      </w:pPr>
      <w:r>
        <w:rPr>
          <w:rFonts w:eastAsia="方正仿宋_GBK"/>
          <w:sz w:val="24"/>
        </w:rPr>
        <w:br w:type="column"/>
      </w:r>
    </w:p>
    <w:p>
      <w:pPr>
        <w:snapToGrid w:val="0"/>
        <w:spacing w:line="600" w:lineRule="exact"/>
        <w:jc w:val="center"/>
        <w:rPr>
          <w:rFonts w:eastAsia="方正小标宋_GBK"/>
          <w:sz w:val="44"/>
          <w:szCs w:val="44"/>
        </w:rPr>
      </w:pPr>
      <w:r>
        <w:rPr>
          <w:rFonts w:hint="eastAsia" w:eastAsia="方正小标宋_GBK"/>
          <w:sz w:val="40"/>
          <w:szCs w:val="44"/>
        </w:rPr>
        <w:t>关于印发《</w:t>
      </w:r>
      <w:r>
        <w:rPr>
          <w:rFonts w:hint="eastAsia" w:eastAsia="方正小标宋_GBK"/>
          <w:sz w:val="44"/>
          <w:szCs w:val="44"/>
        </w:rPr>
        <w:t>江苏省建筑工人实名制管理和工资支付保障实施办法（试行）》的通知</w:t>
      </w:r>
    </w:p>
    <w:p>
      <w:pPr>
        <w:snapToGrid w:val="0"/>
        <w:spacing w:line="600" w:lineRule="exact"/>
        <w:jc w:val="center"/>
      </w:pPr>
      <w:r>
        <w:rPr>
          <w:rFonts w:hint="eastAsia"/>
        </w:rPr>
        <w:t>苏建规字〔</w:t>
      </w:r>
      <w:r>
        <w:t>2019</w:t>
      </w:r>
      <w:r>
        <w:rPr>
          <w:rFonts w:hint="eastAsia"/>
        </w:rPr>
        <w:t>〕</w:t>
      </w:r>
      <w:r>
        <w:t>4</w:t>
      </w:r>
      <w:r>
        <w:rPr>
          <w:rFonts w:hint="eastAsia"/>
        </w:rPr>
        <w:t>号</w:t>
      </w:r>
    </w:p>
    <w:p>
      <w:pPr>
        <w:snapToGrid w:val="0"/>
        <w:spacing w:line="600" w:lineRule="exact"/>
        <w:jc w:val="center"/>
        <w:rPr>
          <w:rFonts w:eastAsia="方正小标宋_GBK"/>
          <w:sz w:val="40"/>
          <w:szCs w:val="44"/>
        </w:rPr>
      </w:pPr>
    </w:p>
    <w:p>
      <w:pPr>
        <w:snapToGrid w:val="0"/>
        <w:spacing w:line="600" w:lineRule="exact"/>
        <w:jc w:val="left"/>
      </w:pPr>
      <w:r>
        <w:rPr>
          <w:rFonts w:hint="eastAsia"/>
        </w:rPr>
        <w:t>各设区市住房城乡建设局（委）、人力资源社会保障局，中国人民银行南京分行营业管理部、江苏省各市中心支行：</w:t>
      </w:r>
    </w:p>
    <w:p>
      <w:pPr>
        <w:snapToGrid w:val="0"/>
        <w:spacing w:line="600" w:lineRule="exact"/>
        <w:jc w:val="left"/>
        <w:rPr>
          <w:rFonts w:eastAsia="方正小标宋_GBK"/>
          <w:sz w:val="40"/>
          <w:szCs w:val="44"/>
        </w:rPr>
      </w:pPr>
      <w:r>
        <w:t xml:space="preserve">    </w:t>
      </w:r>
      <w:r>
        <w:rPr>
          <w:rFonts w:hint="eastAsia"/>
        </w:rPr>
        <w:t>为切实加强建筑工人实名制管理、落实工资支付保障工作，维护建筑企业和建筑工人的合法权益，依据《建筑法》《劳动合同法》有关规定以及《国务院办公厅关于全面治理拖欠农民工工资问题的意见》（国办发〔</w:t>
      </w:r>
      <w:r>
        <w:t>2016</w:t>
      </w:r>
      <w:r>
        <w:rPr>
          <w:rFonts w:hint="eastAsia"/>
        </w:rPr>
        <w:t>〕</w:t>
      </w:r>
      <w:r>
        <w:t>1</w:t>
      </w:r>
      <w:r>
        <w:rPr>
          <w:rFonts w:hint="eastAsia"/>
        </w:rPr>
        <w:t>号）、《住房和城乡建设部</w:t>
      </w:r>
      <w:r>
        <w:t xml:space="preserve"> </w:t>
      </w:r>
      <w:r>
        <w:rPr>
          <w:rFonts w:hint="eastAsia"/>
        </w:rPr>
        <w:t>人力资源和社会保障部关于印发建筑工人实名制管理办法（试行）的通知》（建市〔</w:t>
      </w:r>
      <w:r>
        <w:t>2019</w:t>
      </w:r>
      <w:r>
        <w:rPr>
          <w:rFonts w:hint="eastAsia"/>
        </w:rPr>
        <w:t>〕</w:t>
      </w:r>
      <w:r>
        <w:t>18</w:t>
      </w:r>
      <w:r>
        <w:rPr>
          <w:rFonts w:hint="eastAsia"/>
        </w:rPr>
        <w:t>号）和《省政府办公厅关于全面治理拖欠农民工工资问题的实施意见》（苏政办发〔</w:t>
      </w:r>
      <w:r>
        <w:t>2016</w:t>
      </w:r>
      <w:r>
        <w:rPr>
          <w:rFonts w:hint="eastAsia"/>
        </w:rPr>
        <w:t>〕</w:t>
      </w:r>
      <w:r>
        <w:t>85</w:t>
      </w:r>
      <w:r>
        <w:rPr>
          <w:rFonts w:hint="eastAsia"/>
        </w:rPr>
        <w:t>号）等文件精神，省住房城乡建设厅、人力资源社会保障厅、中国人民银行南京分行共同制定了《江苏省建筑工人实名制管理和工资支付保障实施办法（试行）》，</w:t>
      </w:r>
      <w:r>
        <w:t>2019</w:t>
      </w:r>
      <w:r>
        <w:rPr>
          <w:rFonts w:hint="eastAsia"/>
        </w:rPr>
        <w:t>年</w:t>
      </w:r>
      <w:r>
        <w:t>11</w:t>
      </w:r>
      <w:r>
        <w:rPr>
          <w:rFonts w:hint="eastAsia"/>
        </w:rPr>
        <w:t>月</w:t>
      </w:r>
      <w:r>
        <w:t>8</w:t>
      </w:r>
      <w:r>
        <w:rPr>
          <w:rFonts w:hint="eastAsia"/>
        </w:rPr>
        <w:t>日经省住房城乡建设厅常务会议审议通过，现予印发，自</w:t>
      </w:r>
      <w:r>
        <w:t>2019</w:t>
      </w:r>
      <w:r>
        <w:rPr>
          <w:rFonts w:hint="eastAsia"/>
        </w:rPr>
        <w:t>年</w:t>
      </w:r>
      <w:r>
        <w:t>12</w:t>
      </w:r>
      <w:r>
        <w:rPr>
          <w:rFonts w:hint="eastAsia"/>
        </w:rPr>
        <w:t>月</w:t>
      </w:r>
      <w:r>
        <w:t>10</w:t>
      </w:r>
      <w:r>
        <w:rPr>
          <w:rFonts w:hint="eastAsia"/>
        </w:rPr>
        <w:t>日起施行。</w:t>
      </w:r>
    </w:p>
    <w:p>
      <w:pPr>
        <w:snapToGrid w:val="0"/>
        <w:spacing w:line="600" w:lineRule="exact"/>
        <w:ind w:left="1600" w:hanging="1600" w:hangingChars="400"/>
        <w:jc w:val="left"/>
      </w:pPr>
      <w:r>
        <w:rPr>
          <w:rFonts w:eastAsia="方正小标宋_GBK"/>
          <w:sz w:val="40"/>
          <w:szCs w:val="44"/>
        </w:rPr>
        <w:t xml:space="preserve">   </w:t>
      </w:r>
      <w:r>
        <w:rPr>
          <w:rFonts w:hint="eastAsia"/>
        </w:rPr>
        <w:t>附件：江苏省建筑工人实名制管理和工资支付保障实施办法</w:t>
      </w:r>
    </w:p>
    <w:p>
      <w:pPr>
        <w:snapToGrid w:val="0"/>
        <w:spacing w:line="600" w:lineRule="exact"/>
        <w:ind w:left="840" w:leftChars="400" w:firstLine="109" w:firstLineChars="52"/>
        <w:jc w:val="left"/>
        <w:rPr>
          <w:rFonts w:eastAsia="方正小标宋_GBK"/>
          <w:sz w:val="40"/>
          <w:szCs w:val="44"/>
        </w:rPr>
      </w:pPr>
      <w:r>
        <w:rPr>
          <w:rFonts w:hint="eastAsia"/>
        </w:rPr>
        <w:t>（试行）</w:t>
      </w:r>
    </w:p>
    <w:p>
      <w:pPr>
        <w:snapToGrid w:val="0"/>
        <w:spacing w:line="600" w:lineRule="exact"/>
        <w:jc w:val="right"/>
      </w:pPr>
      <w:r>
        <w:t xml:space="preserve">                                        </w:t>
      </w:r>
      <w:r>
        <w:rPr>
          <w:rFonts w:hint="eastAsia"/>
        </w:rPr>
        <w:t>江苏省住房和城乡建设厅</w:t>
      </w:r>
      <w:r>
        <w:t xml:space="preserve">     </w:t>
      </w:r>
    </w:p>
    <w:p>
      <w:pPr>
        <w:snapToGrid w:val="0"/>
        <w:spacing w:line="600" w:lineRule="exact"/>
        <w:jc w:val="right"/>
      </w:pPr>
      <w:r>
        <w:t xml:space="preserve"> </w:t>
      </w:r>
      <w:r>
        <w:rPr>
          <w:rFonts w:hint="eastAsia"/>
        </w:rPr>
        <w:t>江苏省人力资源和社会保障厅</w:t>
      </w:r>
      <w:r>
        <w:t xml:space="preserve">                           </w:t>
      </w:r>
    </w:p>
    <w:p>
      <w:pPr>
        <w:snapToGrid w:val="0"/>
        <w:spacing w:line="600" w:lineRule="exact"/>
        <w:jc w:val="right"/>
      </w:pPr>
      <w:r>
        <w:rPr>
          <w:rFonts w:hint="eastAsia"/>
        </w:rPr>
        <w:t>中国人民银行南京分行</w:t>
      </w:r>
    </w:p>
    <w:p>
      <w:pPr>
        <w:snapToGrid w:val="0"/>
        <w:spacing w:line="600" w:lineRule="exact"/>
        <w:jc w:val="center"/>
      </w:pPr>
      <w:r>
        <w:t xml:space="preserve">                                                       2019</w:t>
      </w:r>
      <w:r>
        <w:rPr>
          <w:rFonts w:hint="eastAsia"/>
        </w:rPr>
        <w:t>年</w:t>
      </w:r>
      <w:r>
        <w:t>11</w:t>
      </w:r>
      <w:r>
        <w:rPr>
          <w:rFonts w:hint="eastAsia"/>
        </w:rPr>
        <w:t>月</w:t>
      </w:r>
      <w:r>
        <w:t>21</w:t>
      </w:r>
      <w:r>
        <w:rPr>
          <w:rFonts w:hint="eastAsia"/>
        </w:rPr>
        <w:t>日</w:t>
      </w:r>
    </w:p>
    <w:p>
      <w:pPr>
        <w:snapToGrid w:val="0"/>
        <w:spacing w:line="600" w:lineRule="exact"/>
        <w:jc w:val="center"/>
      </w:pPr>
    </w:p>
    <w:p>
      <w:pPr>
        <w:snapToGrid w:val="0"/>
        <w:spacing w:line="600" w:lineRule="exact"/>
        <w:ind w:firstLine="420" w:firstLineChars="200"/>
        <w:jc w:val="right"/>
      </w:pPr>
      <w:r>
        <w:rPr>
          <w:rFonts w:hint="eastAsia"/>
        </w:rPr>
        <w:t>（此件公开发布）</w:t>
      </w:r>
    </w:p>
    <w:p>
      <w:pPr>
        <w:snapToGrid w:val="0"/>
        <w:spacing w:line="570" w:lineRule="exact"/>
        <w:rPr>
          <w:rFonts w:eastAsia="黑体"/>
        </w:rPr>
      </w:pPr>
      <w:r>
        <w:br w:type="column"/>
      </w:r>
      <w:r>
        <w:rPr>
          <w:rFonts w:hint="eastAsia" w:hAnsi="Times New Roman" w:eastAsia="黑体"/>
        </w:rPr>
        <w:t>附件</w:t>
      </w:r>
    </w:p>
    <w:p>
      <w:pPr>
        <w:snapToGrid w:val="0"/>
        <w:spacing w:line="570" w:lineRule="exact"/>
      </w:pPr>
    </w:p>
    <w:p>
      <w:pPr>
        <w:snapToGrid w:val="0"/>
        <w:spacing w:line="570" w:lineRule="exact"/>
        <w:jc w:val="center"/>
        <w:rPr>
          <w:rFonts w:eastAsia="方正小标宋_GBK"/>
          <w:sz w:val="44"/>
          <w:szCs w:val="44"/>
        </w:rPr>
      </w:pPr>
      <w:r>
        <w:rPr>
          <w:rFonts w:hint="eastAsia" w:eastAsia="方正小标宋_GBK"/>
          <w:sz w:val="44"/>
          <w:szCs w:val="44"/>
        </w:rPr>
        <w:t>江苏省建筑工人实名制管理和工资支付保障实施办法（试行）</w:t>
      </w:r>
    </w:p>
    <w:p>
      <w:pPr>
        <w:snapToGrid w:val="0"/>
        <w:spacing w:line="570" w:lineRule="exact"/>
        <w:rPr>
          <w:rFonts w:eastAsia="黑体"/>
        </w:rPr>
      </w:pPr>
    </w:p>
    <w:p>
      <w:pPr>
        <w:snapToGrid w:val="0"/>
        <w:spacing w:line="570" w:lineRule="exact"/>
        <w:rPr>
          <w:rFonts w:eastAsia="华文中宋"/>
          <w:sz w:val="44"/>
          <w:szCs w:val="44"/>
        </w:rPr>
      </w:pPr>
      <w:r>
        <w:rPr>
          <w:rFonts w:eastAsia="方正黑体_GBK"/>
        </w:rPr>
        <w:t xml:space="preserve">    </w:t>
      </w:r>
      <w:r>
        <w:rPr>
          <w:rFonts w:hint="eastAsia" w:eastAsia="方正黑体_GBK"/>
        </w:rPr>
        <w:t>第一条</w:t>
      </w:r>
      <w:r>
        <w:rPr>
          <w:rFonts w:eastAsia="方正黑体_GBK"/>
        </w:rPr>
        <w:t xml:space="preserve">  </w:t>
      </w:r>
      <w:r>
        <w:rPr>
          <w:rFonts w:hint="eastAsia"/>
        </w:rPr>
        <w:t>为加强建筑工人实名制管理、落实工资支付保障工作，维护建筑企业和建筑工人的合法权益，依据《建筑法》《劳动合同法》有关规定以及《国务院办公厅关于全面治理拖欠农民工工资问题的意见》（国办发〔</w:t>
      </w:r>
      <w:r>
        <w:t>2016</w:t>
      </w:r>
      <w:r>
        <w:rPr>
          <w:rFonts w:hint="eastAsia"/>
        </w:rPr>
        <w:t>〕</w:t>
      </w:r>
      <w:r>
        <w:t>1</w:t>
      </w:r>
      <w:r>
        <w:rPr>
          <w:rFonts w:hint="eastAsia"/>
        </w:rPr>
        <w:t>号）、《住房和城乡建设部</w:t>
      </w:r>
      <w:r>
        <w:t xml:space="preserve"> </w:t>
      </w:r>
      <w:r>
        <w:rPr>
          <w:rFonts w:hint="eastAsia"/>
        </w:rPr>
        <w:t>人力资源和社会保障部关于印发建筑工人实名制管理办法（试行）的通知》（建市〔</w:t>
      </w:r>
      <w:r>
        <w:t>2019</w:t>
      </w:r>
      <w:r>
        <w:rPr>
          <w:rFonts w:hint="eastAsia"/>
        </w:rPr>
        <w:t>〕</w:t>
      </w:r>
      <w:r>
        <w:t>18</w:t>
      </w:r>
      <w:r>
        <w:rPr>
          <w:rFonts w:hint="eastAsia"/>
        </w:rPr>
        <w:t>号）和《省政府办公厅关于全面治理拖欠农民工工资问题的实施意见》（苏政办发〔</w:t>
      </w:r>
      <w:r>
        <w:t>2016</w:t>
      </w:r>
      <w:r>
        <w:rPr>
          <w:rFonts w:hint="eastAsia"/>
        </w:rPr>
        <w:t>〕</w:t>
      </w:r>
      <w:r>
        <w:t>85</w:t>
      </w:r>
      <w:r>
        <w:rPr>
          <w:rFonts w:hint="eastAsia"/>
        </w:rPr>
        <w:t>号）等文件精神，结合我省实际，制订本办法。</w:t>
      </w:r>
    </w:p>
    <w:p>
      <w:pPr>
        <w:snapToGrid w:val="0"/>
        <w:spacing w:line="570" w:lineRule="exact"/>
      </w:pPr>
      <w:r>
        <w:rPr>
          <w:rFonts w:eastAsia="黑体"/>
        </w:rPr>
        <w:t xml:space="preserve">    </w:t>
      </w:r>
      <w:r>
        <w:rPr>
          <w:rFonts w:hint="eastAsia" w:hAnsi="Times New Roman" w:eastAsia="黑体"/>
        </w:rPr>
        <w:t>第二条</w:t>
      </w:r>
      <w:r>
        <w:rPr>
          <w:rFonts w:eastAsia="黑体"/>
        </w:rPr>
        <w:t xml:space="preserve">  </w:t>
      </w:r>
      <w:r>
        <w:rPr>
          <w:rFonts w:hint="eastAsia"/>
          <w:spacing w:val="-8"/>
        </w:rPr>
        <w:t>本省行政区域内的房屋建筑和市政基础设施工程的建筑工人实名</w:t>
      </w:r>
      <w:r>
        <w:rPr>
          <w:rFonts w:hint="eastAsia"/>
        </w:rPr>
        <w:t>制管理、工资支付保障及其监督管理适用本办法。</w:t>
      </w:r>
    </w:p>
    <w:p>
      <w:pPr>
        <w:snapToGrid w:val="0"/>
        <w:spacing w:line="570" w:lineRule="exact"/>
        <w:ind w:firstLine="420" w:firstLineChars="200"/>
      </w:pPr>
      <w:r>
        <w:rPr>
          <w:rFonts w:hint="eastAsia" w:hAnsi="Times New Roman" w:eastAsia="黑体"/>
        </w:rPr>
        <w:t>第三条</w:t>
      </w:r>
      <w:r>
        <w:rPr>
          <w:rFonts w:eastAsia="黑体"/>
        </w:rPr>
        <w:t xml:space="preserve">  </w:t>
      </w:r>
      <w:r>
        <w:rPr>
          <w:rFonts w:hint="eastAsia"/>
        </w:rPr>
        <w:t>本办法所称建筑工人实名制是指对建筑企业所招用建筑工人的从业、培训、技能、权益保障等以真实身份信息认证方式进行综合管理的制度。进入施工现场的建设单位、建筑企业、监理单位的项目管理人员及建筑工人均应纳入建筑工人实名制管理。</w:t>
      </w:r>
    </w:p>
    <w:p>
      <w:pPr>
        <w:snapToGrid w:val="0"/>
        <w:spacing w:line="570" w:lineRule="exact"/>
        <w:ind w:firstLine="420" w:firstLineChars="200"/>
      </w:pPr>
      <w:r>
        <w:rPr>
          <w:rFonts w:hint="eastAsia"/>
        </w:rPr>
        <w:t>本办法所称建筑企业是指总承包企业和分包企业。总承包企业是指施工总承包、工程总承包以及依法与建设单位直接签订合同的专业承包企业。分包企业是指依法承接分包工程项目的专业承包施工企业、施工劳务企业。</w:t>
      </w:r>
    </w:p>
    <w:p>
      <w:pPr>
        <w:snapToGrid w:val="0"/>
        <w:spacing w:line="570" w:lineRule="exact"/>
        <w:ind w:firstLine="420" w:firstLineChars="200"/>
      </w:pPr>
      <w:r>
        <w:rPr>
          <w:rFonts w:hint="eastAsia"/>
          <w:bCs/>
          <w:kern w:val="0"/>
        </w:rPr>
        <w:t>本办法所称建筑工人工资专用账户，是指总承包企业在工程项目所在地银行，以工程项目为单位，为支付所招用的建筑工人工资开设的工资专用账户。</w:t>
      </w:r>
    </w:p>
    <w:p>
      <w:pPr>
        <w:snapToGrid w:val="0"/>
        <w:spacing w:line="570" w:lineRule="exact"/>
        <w:ind w:firstLine="420" w:firstLineChars="200"/>
      </w:pPr>
      <w:r>
        <w:rPr>
          <w:rFonts w:hint="eastAsia" w:eastAsia="方正黑体_GBK"/>
        </w:rPr>
        <w:t>第四条</w:t>
      </w:r>
      <w:r>
        <w:rPr>
          <w:rFonts w:eastAsia="方正黑体_GBK"/>
        </w:rPr>
        <w:t xml:space="preserve">  </w:t>
      </w:r>
      <w:r>
        <w:rPr>
          <w:rFonts w:hint="eastAsia"/>
        </w:rPr>
        <w:t>省住房城乡建设厅、人力资源社会保障厅依据各自职责分工对各地实施建筑工人实名制管理和工资支付保障工作进行指导和监督。</w:t>
      </w:r>
    </w:p>
    <w:p>
      <w:pPr>
        <w:snapToGrid w:val="0"/>
        <w:spacing w:line="570" w:lineRule="exact"/>
        <w:ind w:firstLine="420" w:firstLineChars="200"/>
      </w:pPr>
      <w:r>
        <w:rPr>
          <w:rFonts w:hint="eastAsia"/>
        </w:rPr>
        <w:t>各设区市、县（市）住房和城乡建设行政主管部门（以下简称住房城乡建设部门）、人力资源社会保障部门依据职责分工负责本行政区域建筑工人实名制管理，督促建筑企业在施工现场全面落实建筑工人实名制管理工作的各项要求。</w:t>
      </w:r>
    </w:p>
    <w:p>
      <w:pPr>
        <w:snapToGrid w:val="0"/>
        <w:spacing w:line="570" w:lineRule="exact"/>
        <w:ind w:firstLine="420" w:firstLineChars="200"/>
        <w:rPr>
          <w:rFonts w:eastAsia="方正黑体_GBK"/>
        </w:rPr>
      </w:pPr>
      <w:r>
        <w:rPr>
          <w:rFonts w:hint="eastAsia" w:hAnsi="Times New Roman" w:eastAsia="黑体"/>
        </w:rPr>
        <w:t>第五条</w:t>
      </w:r>
      <w:r>
        <w:rPr>
          <w:rFonts w:eastAsia="黑体"/>
        </w:rPr>
        <w:t xml:space="preserve">  </w:t>
      </w:r>
      <w:r>
        <w:rPr>
          <w:rFonts w:hint="eastAsia"/>
        </w:rPr>
        <w:t>建筑工人工资支付保障实行“谁承包谁负责，总包负总责”的原则，总承包企业对所承包工程的建筑工人工资</w:t>
      </w:r>
      <w:r>
        <w:rPr>
          <w:rFonts w:hint="eastAsia"/>
          <w:color w:val="000000"/>
        </w:rPr>
        <w:t>支付负总责，分包企业对分包工程的建筑工人工资支付负直接责任。</w:t>
      </w:r>
      <w:r>
        <w:rPr>
          <w:rFonts w:hint="eastAsia"/>
        </w:rPr>
        <w:t>建筑企业不得以应收工程款未到账等为由，克扣或拖欠建筑工人工资。</w:t>
      </w:r>
    </w:p>
    <w:p>
      <w:pPr>
        <w:snapToGrid w:val="0"/>
        <w:spacing w:line="570" w:lineRule="exact"/>
        <w:ind w:firstLine="420" w:firstLineChars="200"/>
      </w:pPr>
      <w:r>
        <w:rPr>
          <w:rFonts w:hint="eastAsia" w:hAnsi="Times New Roman" w:eastAsia="黑体"/>
        </w:rPr>
        <w:t>第六条</w:t>
      </w:r>
      <w:r>
        <w:rPr>
          <w:rFonts w:eastAsia="黑体"/>
        </w:rPr>
        <w:t xml:space="preserve">  </w:t>
      </w:r>
      <w:r>
        <w:rPr>
          <w:rFonts w:hint="eastAsia"/>
        </w:rPr>
        <w:t>建筑企业应当明确专职人员负责建筑工人实名制管理和工资支付等具体工作。专职人员的姓名和联系电话应当在“建筑工人维权告示牌”上进行公示。</w:t>
      </w:r>
    </w:p>
    <w:p>
      <w:pPr>
        <w:shd w:val="clear" w:color="auto" w:fill="FFFFFF"/>
        <w:spacing w:line="570" w:lineRule="exact"/>
        <w:ind w:firstLine="420" w:firstLineChars="200"/>
      </w:pPr>
      <w:r>
        <w:rPr>
          <w:rFonts w:hint="eastAsia" w:eastAsia="方正黑体_GBK"/>
        </w:rPr>
        <w:t>第七条</w:t>
      </w:r>
      <w:r>
        <w:rPr>
          <w:rFonts w:eastAsia="方正黑体_GBK"/>
        </w:rPr>
        <w:t xml:space="preserve">  </w:t>
      </w:r>
      <w:r>
        <w:rPr>
          <w:rFonts w:hint="eastAsia"/>
        </w:rPr>
        <w:t>省住房和城乡建设厅负责建立统一的建筑工人实名制信息管理服务平台，并与全国建筑工人实名制管理服务平台实现数据共享。各设区市、县（市）住房城乡建设部门应按照实名制管理权限，对本辖区内的建筑企业所报送的实名制管理信息与工资支付信息等数据进行核对，确保实名制平台内数据完整。</w:t>
      </w:r>
    </w:p>
    <w:p>
      <w:pPr>
        <w:shd w:val="clear" w:color="auto" w:fill="FFFFFF"/>
        <w:spacing w:line="570" w:lineRule="exact"/>
        <w:ind w:firstLine="420" w:firstLineChars="200"/>
      </w:pPr>
      <w:r>
        <w:rPr>
          <w:rFonts w:hint="eastAsia" w:eastAsia="方正黑体_GBK"/>
        </w:rPr>
        <w:t>第八条</w:t>
      </w:r>
      <w:r>
        <w:rPr>
          <w:rFonts w:eastAsia="方正黑体_GBK"/>
        </w:rPr>
        <w:t xml:space="preserve">  </w:t>
      </w:r>
      <w:r>
        <w:rPr>
          <w:rFonts w:hint="eastAsia"/>
        </w:rPr>
        <w:t>建筑企业通过“江苏省建筑工人实名制信息管理服务平台”（以下简称“实名制平台”）的企业用户端对本企业建筑工人和项目管理人员进行实名制信息认证，对信息真实性负责。</w:t>
      </w:r>
    </w:p>
    <w:p>
      <w:pPr>
        <w:shd w:val="clear" w:color="auto" w:fill="FFFFFF"/>
        <w:spacing w:line="570" w:lineRule="exact"/>
        <w:ind w:firstLine="420" w:firstLineChars="200"/>
      </w:pPr>
      <w:r>
        <w:rPr>
          <w:rFonts w:hint="eastAsia" w:eastAsia="方正黑体_GBK"/>
        </w:rPr>
        <w:t>第九条</w:t>
      </w:r>
      <w:r>
        <w:rPr>
          <w:rFonts w:eastAsia="方正黑体_GBK"/>
        </w:rPr>
        <w:t xml:space="preserve">  </w:t>
      </w:r>
      <w:r>
        <w:rPr>
          <w:rFonts w:hint="eastAsia"/>
        </w:rPr>
        <w:t>进入施工现场的建筑工人，要接受安全培训和实名制相关数据的登记。已录入省实名制平台的建筑工人，</w:t>
      </w:r>
      <w:r>
        <w:t>1</w:t>
      </w:r>
      <w:r>
        <w:rPr>
          <w:rFonts w:hint="eastAsia"/>
        </w:rPr>
        <w:t>年以上（含</w:t>
      </w:r>
      <w:r>
        <w:t>1</w:t>
      </w:r>
      <w:r>
        <w:rPr>
          <w:rFonts w:hint="eastAsia"/>
        </w:rPr>
        <w:t>年）无数据更新的，再次从事建筑作业时，建筑企业应对其重新进行安全培训，记录相关信息，未经安全培训不得进入施工现场上岗作业。</w:t>
      </w:r>
    </w:p>
    <w:p>
      <w:pPr>
        <w:shd w:val="clear" w:color="auto" w:fill="FFFFFF"/>
        <w:spacing w:line="570" w:lineRule="exact"/>
        <w:ind w:firstLine="420" w:firstLineChars="200"/>
        <w:rPr>
          <w:spacing w:val="-6"/>
        </w:rPr>
      </w:pPr>
      <w:r>
        <w:rPr>
          <w:rFonts w:hint="eastAsia" w:eastAsia="方正黑体_GBK"/>
        </w:rPr>
        <w:t>第十条</w:t>
      </w:r>
      <w:r>
        <w:rPr>
          <w:rFonts w:eastAsia="方正黑体_GBK"/>
        </w:rPr>
        <w:t xml:space="preserve">  </w:t>
      </w:r>
      <w:r>
        <w:rPr>
          <w:rFonts w:hint="eastAsia"/>
          <w:spacing w:val="-6"/>
        </w:rPr>
        <w:t>施工总承包企业（或工程项目总承包企业）对施工现场实名制管理负总责。具备封闭式管理条件的工程项目，应配备实名制管理所必须的硬件设施设备，设立进出场门禁系统，采用人脸、指纹、虹膜等生物识别技术进行考勤；不具备封闭式管理条件的工程项目，应采用移动定位、电子围栏等技术实施考勤管理。相关电子考勤和图像、影像等电子档案保存期限不少于</w:t>
      </w:r>
      <w:r>
        <w:rPr>
          <w:spacing w:val="-6"/>
        </w:rPr>
        <w:t>2</w:t>
      </w:r>
      <w:r>
        <w:rPr>
          <w:rFonts w:hint="eastAsia"/>
          <w:spacing w:val="-6"/>
        </w:rPr>
        <w:t>年。</w:t>
      </w:r>
    </w:p>
    <w:p>
      <w:pPr>
        <w:shd w:val="clear" w:color="auto" w:fill="FFFFFF"/>
        <w:spacing w:line="570" w:lineRule="exact"/>
        <w:ind w:firstLine="420" w:firstLineChars="200"/>
      </w:pPr>
      <w:r>
        <w:rPr>
          <w:rFonts w:hint="eastAsia" w:eastAsia="方正黑体_GBK"/>
        </w:rPr>
        <w:t>第十一条</w:t>
      </w:r>
      <w:r>
        <w:rPr>
          <w:rFonts w:eastAsia="方正黑体_GBK"/>
        </w:rPr>
        <w:t xml:space="preserve">  </w:t>
      </w:r>
      <w:r>
        <w:rPr>
          <w:rFonts w:hint="eastAsia"/>
        </w:rPr>
        <w:t>进入施工现场的建筑工人当日进出现场时间通过施工现场考勤设备予以记录，记录的考勤信息通过实名制平台生成考勤表。</w:t>
      </w:r>
    </w:p>
    <w:p>
      <w:pPr>
        <w:shd w:val="clear" w:color="auto" w:fill="FFFFFF"/>
        <w:spacing w:line="570" w:lineRule="exact"/>
        <w:ind w:firstLine="420" w:firstLineChars="200"/>
        <w:rPr>
          <w:rFonts w:eastAsia="黑体"/>
          <w:bCs/>
          <w:kern w:val="0"/>
        </w:rPr>
      </w:pPr>
      <w:r>
        <w:rPr>
          <w:rFonts w:hint="eastAsia" w:eastAsia="方正黑体_GBK"/>
        </w:rPr>
        <w:t>第十二条</w:t>
      </w:r>
      <w:r>
        <w:rPr>
          <w:rFonts w:eastAsia="方正黑体_GBK"/>
        </w:rPr>
        <w:t xml:space="preserve">  </w:t>
      </w:r>
      <w:r>
        <w:rPr>
          <w:rFonts w:hint="eastAsia"/>
        </w:rPr>
        <w:t>实名制平台和“江苏省劳动关系监测预警维权调度指挥</w:t>
      </w:r>
      <w:r>
        <w:rPr>
          <w:rFonts w:hint="eastAsia"/>
          <w:color w:val="000000"/>
        </w:rPr>
        <w:t>中心信息系统”实</w:t>
      </w:r>
      <w:r>
        <w:rPr>
          <w:rFonts w:hint="eastAsia"/>
        </w:rPr>
        <w:t>现信息互联共享，相关数据标准由省住房城乡建设厅与省人力资源社会保障厅共同制定。</w:t>
      </w:r>
    </w:p>
    <w:p>
      <w:pPr>
        <w:shd w:val="clear" w:color="auto" w:fill="FFFFFF"/>
        <w:spacing w:line="570" w:lineRule="exact"/>
        <w:ind w:firstLine="420" w:firstLineChars="200"/>
        <w:rPr>
          <w:b/>
          <w:bCs/>
          <w:kern w:val="0"/>
        </w:rPr>
      </w:pPr>
      <w:r>
        <w:rPr>
          <w:rFonts w:hint="eastAsia" w:eastAsia="方正黑体_GBK"/>
        </w:rPr>
        <w:t>第十三条</w:t>
      </w:r>
      <w:r>
        <w:rPr>
          <w:rFonts w:eastAsia="方正黑体_GBK"/>
        </w:rPr>
        <w:t xml:space="preserve">  </w:t>
      </w:r>
      <w:r>
        <w:rPr>
          <w:rFonts w:hint="eastAsia"/>
          <w:bCs/>
          <w:kern w:val="0"/>
        </w:rPr>
        <w:t>建筑工人工资和工程款项应当实行分账管理，建设单位</w:t>
      </w:r>
      <w:r>
        <w:rPr>
          <w:rFonts w:hint="eastAsia"/>
        </w:rPr>
        <w:t>应当按照工程承包合同的约定，按时足额向建筑企业拨付工程款，并将</w:t>
      </w:r>
      <w:r>
        <w:rPr>
          <w:rFonts w:hint="eastAsia"/>
          <w:bCs/>
          <w:kern w:val="0"/>
        </w:rPr>
        <w:t>建筑工人工资存入工资专用账户</w:t>
      </w:r>
      <w:r>
        <w:rPr>
          <w:rFonts w:hint="eastAsia"/>
        </w:rPr>
        <w:t>。</w:t>
      </w:r>
    </w:p>
    <w:p>
      <w:pPr>
        <w:shd w:val="clear" w:color="auto" w:fill="FFFFFF"/>
        <w:spacing w:line="570" w:lineRule="exact"/>
        <w:ind w:firstLine="420" w:firstLineChars="200"/>
        <w:rPr>
          <w:color w:val="000000"/>
        </w:rPr>
      </w:pPr>
      <w:r>
        <w:rPr>
          <w:rFonts w:hint="eastAsia" w:eastAsia="方正黑体_GBK"/>
          <w:color w:val="000000"/>
        </w:rPr>
        <w:t>第十四条</w:t>
      </w:r>
      <w:r>
        <w:rPr>
          <w:rFonts w:eastAsia="方正黑体_GBK"/>
          <w:color w:val="000000"/>
        </w:rPr>
        <w:t xml:space="preserve">  </w:t>
      </w:r>
      <w:r>
        <w:rPr>
          <w:rFonts w:hint="eastAsia"/>
          <w:color w:val="000000"/>
        </w:rPr>
        <w:t>建筑工人的工资支付实行银行代发制度。总承包企业应当按照自愿的原则，选择与实名制信息平台对接的银行设立建筑工人工资专用账户。总承包企业在开设工资专用账户时，应当与工资专用账户管理银行签订账户管理协议，确保代发专用账户资金安全保密。</w:t>
      </w:r>
    </w:p>
    <w:p>
      <w:pPr>
        <w:shd w:val="clear" w:color="auto" w:fill="FFFFFF"/>
        <w:spacing w:line="570" w:lineRule="exact"/>
        <w:ind w:firstLine="420" w:firstLineChars="200"/>
      </w:pPr>
      <w:r>
        <w:rPr>
          <w:rFonts w:hint="eastAsia" w:eastAsia="方正黑体_GBK"/>
        </w:rPr>
        <w:t>第十五条</w:t>
      </w:r>
      <w:r>
        <w:rPr>
          <w:rFonts w:eastAsia="方正黑体_GBK"/>
        </w:rPr>
        <w:t xml:space="preserve">  </w:t>
      </w:r>
      <w:r>
        <w:rPr>
          <w:rFonts w:hint="eastAsia"/>
        </w:rPr>
        <w:t>建筑工人工资发放表，应当由建筑工人本人签字确认后及时录入实名制平台。工资支付周期最长不得超过</w:t>
      </w:r>
      <w:r>
        <w:t>1</w:t>
      </w:r>
      <w:r>
        <w:rPr>
          <w:rFonts w:hint="eastAsia"/>
        </w:rPr>
        <w:t>个月，用工不满</w:t>
      </w:r>
      <w:r>
        <w:t>1</w:t>
      </w:r>
      <w:r>
        <w:rPr>
          <w:rFonts w:hint="eastAsia"/>
        </w:rPr>
        <w:t>个月的临时用工，应当在用工结束之日起</w:t>
      </w:r>
      <w:r>
        <w:t>2</w:t>
      </w:r>
      <w:r>
        <w:rPr>
          <w:rFonts w:hint="eastAsia"/>
        </w:rPr>
        <w:t>个工作日内一次性付清工资。</w:t>
      </w:r>
    </w:p>
    <w:p>
      <w:pPr>
        <w:shd w:val="clear" w:color="auto" w:fill="FFFFFF"/>
        <w:spacing w:line="570" w:lineRule="exact"/>
        <w:ind w:firstLine="420" w:firstLineChars="200"/>
        <w:rPr>
          <w:b/>
        </w:rPr>
      </w:pPr>
      <w:r>
        <w:rPr>
          <w:rFonts w:hint="eastAsia" w:eastAsia="方正黑体_GBK"/>
        </w:rPr>
        <w:t>第十六条</w:t>
      </w:r>
      <w:r>
        <w:t xml:space="preserve">  </w:t>
      </w:r>
      <w:r>
        <w:rPr>
          <w:rFonts w:hint="eastAsia"/>
        </w:rPr>
        <w:t>建筑企业工资专用账户管理银行，应当按照建筑工人工资发放表将建筑工人工资按月足额转入建筑工人的个人账户，同时将工资发放信息反馈至实名制平台。</w:t>
      </w:r>
    </w:p>
    <w:p>
      <w:pPr>
        <w:shd w:val="clear" w:color="auto" w:fill="FFFFFF"/>
        <w:spacing w:line="570" w:lineRule="exact"/>
        <w:ind w:firstLine="420" w:firstLineChars="200"/>
      </w:pPr>
      <w:r>
        <w:rPr>
          <w:rFonts w:hint="eastAsia" w:eastAsia="方正黑体_GBK"/>
        </w:rPr>
        <w:t>第十七条</w:t>
      </w:r>
      <w:r>
        <w:rPr>
          <w:rFonts w:eastAsia="方正黑体_GBK"/>
        </w:rPr>
        <w:t xml:space="preserve">  </w:t>
      </w:r>
      <w:r>
        <w:rPr>
          <w:rFonts w:hint="eastAsia"/>
        </w:rPr>
        <w:t>建设单</w:t>
      </w:r>
      <w:r>
        <w:rPr>
          <w:rFonts w:hint="eastAsia"/>
          <w:color w:val="000000"/>
        </w:rPr>
        <w:t>位未按照合同约定支付工程进度款和建筑工人工资的，由建设单位负直接责任；总承包企业未按照合同约定按月足额支付招用的建筑工人工资的，由总承包企业负直</w:t>
      </w:r>
      <w:r>
        <w:rPr>
          <w:rFonts w:hint="eastAsia"/>
        </w:rPr>
        <w:t>接责任；分包企业工人工资应由总承包企业代发，分包企业每月向总承包企业报送当月工资表，负责对工资发放情况进行核实。</w:t>
      </w:r>
    </w:p>
    <w:p>
      <w:pPr>
        <w:shd w:val="clear" w:color="auto" w:fill="FFFFFF"/>
        <w:spacing w:line="570" w:lineRule="exact"/>
        <w:ind w:firstLine="600"/>
      </w:pPr>
      <w:r>
        <w:rPr>
          <w:rFonts w:hint="eastAsia" w:eastAsia="方正黑体_GBK"/>
        </w:rPr>
        <w:t>第十八条</w:t>
      </w:r>
      <w:r>
        <w:rPr>
          <w:rFonts w:eastAsia="方正黑体_GBK"/>
        </w:rPr>
        <w:t xml:space="preserve">  </w:t>
      </w:r>
      <w:r>
        <w:rPr>
          <w:rFonts w:hint="eastAsia"/>
        </w:rPr>
        <w:t>各设区市、县（市）住房城乡建设部门可在项目竣工验收前，督促检查建筑企业落实建筑工人工资支付保障制度情况。项目竣工验收并结清建筑工人工资后，建筑企业可将工资专用账户注销。</w:t>
      </w:r>
    </w:p>
    <w:p>
      <w:pPr>
        <w:shd w:val="clear" w:color="auto" w:fill="FFFFFF"/>
        <w:spacing w:line="570" w:lineRule="exact"/>
        <w:ind w:firstLine="660"/>
      </w:pPr>
      <w:r>
        <w:rPr>
          <w:rFonts w:hint="eastAsia" w:eastAsia="方正黑体_GBK"/>
        </w:rPr>
        <w:t>第十九条</w:t>
      </w:r>
      <w:r>
        <w:rPr>
          <w:rFonts w:eastAsia="方正黑体_GBK"/>
        </w:rPr>
        <w:t xml:space="preserve">  </w:t>
      </w:r>
      <w:r>
        <w:rPr>
          <w:rFonts w:hint="eastAsia"/>
        </w:rPr>
        <w:t>各地区应当建立健全相关部门共同参与配合的联动机制，切实解决好工程建设领域建筑工人工资拖欠问题，落实好实名制平台的监管责任，形成源头预防、部门联动、动态监管、失信惩戒相结合的保障体系，加强施工现场的监督管理，维护企业和从业人员的合法权益。</w:t>
      </w:r>
    </w:p>
    <w:p>
      <w:pPr>
        <w:shd w:val="clear" w:color="auto" w:fill="FFFFFF"/>
        <w:spacing w:line="570" w:lineRule="exact"/>
        <w:ind w:firstLine="660"/>
      </w:pPr>
      <w:r>
        <w:rPr>
          <w:rFonts w:hint="eastAsia" w:eastAsia="方正黑体_GBK"/>
        </w:rPr>
        <w:t>第二十条</w:t>
      </w:r>
      <w:r>
        <w:rPr>
          <w:rFonts w:eastAsia="方正黑体_GBK"/>
        </w:rPr>
        <w:t xml:space="preserve">  </w:t>
      </w:r>
      <w:r>
        <w:rPr>
          <w:rFonts w:hint="eastAsia"/>
        </w:rPr>
        <w:t>各设区市、县（市）住房城乡建设部门、人力资源社会保障部门不得以建筑工人实名制管理的名义，指定建筑企业采购相关产品，增加企业额外负担。</w:t>
      </w:r>
    </w:p>
    <w:p>
      <w:pPr>
        <w:shd w:val="clear" w:color="auto" w:fill="FFFFFF"/>
        <w:spacing w:line="570" w:lineRule="exact"/>
        <w:ind w:firstLine="660"/>
      </w:pPr>
      <w:r>
        <w:rPr>
          <w:rFonts w:hint="eastAsia" w:eastAsia="方正黑体_GBK"/>
        </w:rPr>
        <w:t>第二十一条</w:t>
      </w:r>
      <w:r>
        <w:rPr>
          <w:rFonts w:eastAsia="方正黑体_GBK"/>
        </w:rPr>
        <w:t xml:space="preserve">  </w:t>
      </w:r>
      <w:r>
        <w:rPr>
          <w:rFonts w:hint="eastAsia"/>
        </w:rPr>
        <w:t>实名制管理所产生的费用，依据《省住房城乡建设厅关于建筑工人实名制费用计取方法的公告》（〔</w:t>
      </w:r>
      <w:r>
        <w:t>2019</w:t>
      </w:r>
      <w:r>
        <w:rPr>
          <w:rFonts w:hint="eastAsia"/>
        </w:rPr>
        <w:t>〕第</w:t>
      </w:r>
      <w:r>
        <w:t>19</w:t>
      </w:r>
      <w:r>
        <w:rPr>
          <w:rFonts w:hint="eastAsia"/>
        </w:rPr>
        <w:t>号）收取。</w:t>
      </w:r>
    </w:p>
    <w:p>
      <w:pPr>
        <w:shd w:val="clear" w:color="auto" w:fill="FFFFFF"/>
        <w:spacing w:line="570" w:lineRule="exact"/>
        <w:ind w:firstLine="420" w:firstLineChars="200"/>
      </w:pPr>
      <w:r>
        <w:rPr>
          <w:rFonts w:hint="eastAsia" w:eastAsia="方正黑体_GBK"/>
        </w:rPr>
        <w:t>第二十二条</w:t>
      </w:r>
      <w:r>
        <w:rPr>
          <w:rFonts w:eastAsia="方正黑体_GBK"/>
        </w:rPr>
        <w:t xml:space="preserve">  </w:t>
      </w:r>
      <w:r>
        <w:rPr>
          <w:rFonts w:hint="eastAsia"/>
        </w:rPr>
        <w:t>各设区市、县（市）住房城乡建设部门、人力资源社会保障部门应对落实建筑工人实名制管理情况进行监督检查，对责任不落实、组织工作不到位的单位和部门，采取约谈相关责任人等方式督促落实，情节严重的，提请有关部门进行问责。</w:t>
      </w:r>
    </w:p>
    <w:p>
      <w:pPr>
        <w:shd w:val="clear" w:color="auto" w:fill="FFFFFF"/>
        <w:spacing w:line="570" w:lineRule="exact"/>
        <w:ind w:firstLine="420" w:firstLineChars="200"/>
      </w:pPr>
      <w:r>
        <w:rPr>
          <w:rFonts w:hint="eastAsia" w:eastAsia="方正黑体_GBK"/>
        </w:rPr>
        <w:t>第二十三条</w:t>
      </w:r>
      <w:r>
        <w:rPr>
          <w:rFonts w:eastAsia="方正黑体_GBK"/>
        </w:rPr>
        <w:t xml:space="preserve">  </w:t>
      </w:r>
      <w:r>
        <w:rPr>
          <w:rFonts w:hint="eastAsia"/>
        </w:rPr>
        <w:t>各设区市、县（市）住房城乡建设部门应当会同人力资源社会保障部门，按照“双随机、一公开”的要求，加强对本行政区域内施工现场建筑工人实名制管理制度落实情况的日常检查，调查处理建筑工人实名制管理相关投诉举报事项。</w:t>
      </w:r>
    </w:p>
    <w:p>
      <w:pPr>
        <w:snapToGrid w:val="0"/>
        <w:spacing w:line="570" w:lineRule="exact"/>
        <w:ind w:firstLine="420" w:firstLineChars="200"/>
      </w:pPr>
      <w:r>
        <w:rPr>
          <w:rFonts w:hint="eastAsia" w:eastAsia="方正黑体_GBK"/>
        </w:rPr>
        <w:t>第二十四条</w:t>
      </w:r>
      <w:r>
        <w:rPr>
          <w:rFonts w:eastAsia="方正黑体_GBK"/>
        </w:rPr>
        <w:t xml:space="preserve">  </w:t>
      </w:r>
      <w:r>
        <w:rPr>
          <w:rFonts w:hint="eastAsia"/>
        </w:rPr>
        <w:t>对涉及不依法签订劳动合同、不依法参加工伤保险、欠薪等侵害建筑工人劳动保障权益的，由人力资源社会保障部门会同有关部门依法处理；对涉及其他部门职能的违法问题或案件线索，应按职责分工及时移送相关部门处理。</w:t>
      </w:r>
    </w:p>
    <w:p>
      <w:pPr>
        <w:snapToGrid w:val="0"/>
        <w:spacing w:line="570" w:lineRule="exact"/>
        <w:ind w:firstLine="420" w:firstLineChars="200"/>
      </w:pPr>
      <w:r>
        <w:rPr>
          <w:rFonts w:hint="eastAsia" w:eastAsia="方正黑体_GBK"/>
        </w:rPr>
        <w:t>第二十五条</w:t>
      </w:r>
      <w:r>
        <w:rPr>
          <w:rFonts w:eastAsia="方正黑体_GBK"/>
        </w:rPr>
        <w:t xml:space="preserve">  </w:t>
      </w:r>
      <w:r>
        <w:rPr>
          <w:rFonts w:hint="eastAsia"/>
        </w:rPr>
        <w:t>发现建筑企业及个人存在弄虚作假、漏报瞒报等行为的应当责令限期改正，拒不整改或整改不到位的，可以列入建筑业企业资质动态核查重点监管对象。对存在拖欠建筑工人工资的建筑企业，按照附件规定提高建筑工人工资保证金缴纳比例，并将相关不良行为记入企业或个人信用档案，通过</w:t>
      </w:r>
      <w:r>
        <w:rPr>
          <w:rFonts w:hint="eastAsia"/>
          <w:color w:val="333333"/>
        </w:rPr>
        <w:t>建筑市场监管与诚信信息一体化平台</w:t>
      </w:r>
      <w:r>
        <w:rPr>
          <w:rFonts w:hint="eastAsia"/>
        </w:rPr>
        <w:t>向社会公布。</w:t>
      </w:r>
    </w:p>
    <w:p>
      <w:pPr>
        <w:snapToGrid w:val="0"/>
        <w:spacing w:line="570" w:lineRule="exact"/>
        <w:ind w:firstLine="420" w:firstLineChars="200"/>
        <w:rPr>
          <w:b/>
        </w:rPr>
      </w:pPr>
      <w:r>
        <w:rPr>
          <w:rFonts w:hint="eastAsia" w:eastAsia="方正黑体_GBK"/>
        </w:rPr>
        <w:t>第二十六条</w:t>
      </w:r>
      <w:r>
        <w:rPr>
          <w:rFonts w:eastAsia="方正黑体_GBK"/>
        </w:rPr>
        <w:t xml:space="preserve">  </w:t>
      </w:r>
      <w:r>
        <w:rPr>
          <w:rFonts w:hint="eastAsia"/>
        </w:rPr>
        <w:t>各设区市、县（市）住房城乡建设、人力资源社会保障部门应当结合本地实际情况，制定具体的实施办法。</w:t>
      </w:r>
    </w:p>
    <w:p>
      <w:pPr>
        <w:snapToGrid w:val="0"/>
        <w:spacing w:line="570" w:lineRule="exact"/>
        <w:ind w:firstLine="420" w:firstLineChars="200"/>
        <w:rPr>
          <w:spacing w:val="-16"/>
        </w:rPr>
      </w:pPr>
      <w:r>
        <w:rPr>
          <w:rFonts w:hint="eastAsia" w:eastAsia="方正黑体_GBK"/>
        </w:rPr>
        <w:t>第二十七条</w:t>
      </w:r>
      <w:r>
        <w:rPr>
          <w:rFonts w:eastAsia="方正黑体_GBK"/>
        </w:rPr>
        <w:t xml:space="preserve">  </w:t>
      </w:r>
      <w:r>
        <w:rPr>
          <w:rFonts w:hint="eastAsia"/>
          <w:spacing w:val="-16"/>
        </w:rPr>
        <w:t>本办法自</w:t>
      </w:r>
      <w:r>
        <w:rPr>
          <w:spacing w:val="-16"/>
        </w:rPr>
        <w:t>2019</w:t>
      </w:r>
      <w:r>
        <w:rPr>
          <w:rFonts w:hint="eastAsia"/>
          <w:spacing w:val="-16"/>
        </w:rPr>
        <w:t>年</w:t>
      </w:r>
      <w:r>
        <w:rPr>
          <w:spacing w:val="-16"/>
        </w:rPr>
        <w:t>12</w:t>
      </w:r>
      <w:r>
        <w:rPr>
          <w:rFonts w:hint="eastAsia"/>
          <w:spacing w:val="-16"/>
        </w:rPr>
        <w:t>月</w:t>
      </w:r>
      <w:r>
        <w:rPr>
          <w:spacing w:val="-16"/>
        </w:rPr>
        <w:t>10</w:t>
      </w:r>
      <w:r>
        <w:rPr>
          <w:rFonts w:hint="eastAsia"/>
          <w:spacing w:val="-16"/>
        </w:rPr>
        <w:t>日起施行，有效期</w:t>
      </w:r>
      <w:r>
        <w:rPr>
          <w:spacing w:val="-16"/>
        </w:rPr>
        <w:t>2</w:t>
      </w:r>
      <w:r>
        <w:rPr>
          <w:rFonts w:hint="eastAsia"/>
          <w:spacing w:val="-16"/>
        </w:rPr>
        <w:t>年。</w:t>
      </w:r>
    </w:p>
    <w:p>
      <w:pPr>
        <w:snapToGrid w:val="0"/>
        <w:spacing w:line="570" w:lineRule="exact"/>
        <w:ind w:firstLine="356" w:firstLineChars="200"/>
        <w:rPr>
          <w:spacing w:val="-16"/>
        </w:rPr>
      </w:pPr>
    </w:p>
    <w:p>
      <w:pPr>
        <w:snapToGrid w:val="0"/>
        <w:spacing w:line="570" w:lineRule="exact"/>
        <w:ind w:firstLine="420" w:firstLineChars="200"/>
      </w:pPr>
      <w:r>
        <w:rPr>
          <w:rFonts w:hint="eastAsia"/>
        </w:rPr>
        <w:t>附件：因拖欠建筑工人工资需提高缴纳的工资保证金标准</w:t>
      </w:r>
    </w:p>
    <w:p>
      <w:pPr>
        <w:snapToGrid w:val="0"/>
        <w:spacing w:line="570" w:lineRule="exact"/>
      </w:pPr>
      <w:r>
        <w:br w:type="column"/>
      </w:r>
      <w:r>
        <w:rPr>
          <w:rFonts w:hint="eastAsia" w:hAnsi="Times New Roman" w:eastAsia="黑体"/>
        </w:rPr>
        <w:t>附件</w:t>
      </w:r>
    </w:p>
    <w:p>
      <w:pPr>
        <w:snapToGrid w:val="0"/>
        <w:spacing w:line="570" w:lineRule="exact"/>
        <w:ind w:firstLine="420" w:firstLineChars="200"/>
      </w:pPr>
    </w:p>
    <w:p>
      <w:pPr>
        <w:snapToGrid w:val="0"/>
        <w:spacing w:line="570" w:lineRule="exact"/>
        <w:jc w:val="center"/>
        <w:rPr>
          <w:rFonts w:eastAsia="方正小标宋_GBK"/>
          <w:sz w:val="44"/>
          <w:szCs w:val="44"/>
        </w:rPr>
      </w:pPr>
      <w:r>
        <w:rPr>
          <w:rFonts w:hint="eastAsia" w:eastAsia="方正小标宋_GBK"/>
          <w:sz w:val="44"/>
          <w:szCs w:val="44"/>
        </w:rPr>
        <w:t>因拖欠建筑工人工资需提高缴存的工资</w:t>
      </w:r>
    </w:p>
    <w:p>
      <w:pPr>
        <w:snapToGrid w:val="0"/>
        <w:spacing w:line="570" w:lineRule="exact"/>
        <w:jc w:val="center"/>
        <w:rPr>
          <w:rFonts w:eastAsia="方正小标宋_GBK"/>
          <w:sz w:val="44"/>
          <w:szCs w:val="44"/>
        </w:rPr>
      </w:pPr>
      <w:r>
        <w:rPr>
          <w:rFonts w:hint="eastAsia" w:eastAsia="方正小标宋_GBK"/>
          <w:sz w:val="44"/>
          <w:szCs w:val="44"/>
        </w:rPr>
        <w:t>保证金标准</w:t>
      </w:r>
    </w:p>
    <w:p>
      <w:pPr>
        <w:pStyle w:val="10"/>
        <w:widowControl w:val="0"/>
        <w:shd w:val="clear" w:color="auto" w:fill="FFFFFF"/>
        <w:spacing w:before="0" w:beforeAutospacing="0" w:after="0" w:afterAutospacing="0" w:line="570" w:lineRule="exact"/>
        <w:ind w:firstLine="640"/>
        <w:jc w:val="both"/>
        <w:rPr>
          <w:rFonts w:ascii="Times New Roman" w:hAnsi="Times New Roman" w:eastAsia="方正仿宋_GBK"/>
          <w:kern w:val="2"/>
          <w:sz w:val="32"/>
          <w:szCs w:val="32"/>
        </w:rPr>
      </w:pPr>
    </w:p>
    <w:p>
      <w:pPr>
        <w:pStyle w:val="10"/>
        <w:widowControl w:val="0"/>
        <w:shd w:val="clear" w:color="auto" w:fill="FFFFFF"/>
        <w:spacing w:before="0" w:beforeAutospacing="0" w:after="0" w:afterAutospacing="0" w:line="570" w:lineRule="exact"/>
        <w:ind w:firstLine="640"/>
        <w:jc w:val="both"/>
        <w:rPr>
          <w:rFonts w:ascii="Times New Roman" w:hAnsi="Times New Roman" w:eastAsia="方正仿宋_GBK"/>
          <w:kern w:val="2"/>
          <w:sz w:val="32"/>
          <w:szCs w:val="32"/>
        </w:rPr>
      </w:pPr>
      <w:r>
        <w:rPr>
          <w:rFonts w:hint="eastAsia" w:ascii="Times New Roman" w:hAnsi="Times New Roman" w:eastAsia="黑体"/>
          <w:kern w:val="2"/>
          <w:sz w:val="32"/>
          <w:szCs w:val="32"/>
        </w:rPr>
        <w:t>一、</w:t>
      </w:r>
      <w:r>
        <w:rPr>
          <w:rFonts w:hint="eastAsia" w:ascii="Times New Roman" w:hAnsi="Times New Roman" w:eastAsia="方正仿宋_GBK"/>
          <w:kern w:val="2"/>
          <w:sz w:val="32"/>
          <w:szCs w:val="32"/>
        </w:rPr>
        <w:t>应缴存保证金前</w:t>
      </w:r>
      <w:r>
        <w:rPr>
          <w:rFonts w:ascii="Times New Roman" w:hAnsi="Times New Roman" w:eastAsia="方正仿宋_GBK"/>
          <w:kern w:val="2"/>
          <w:sz w:val="32"/>
          <w:szCs w:val="32"/>
        </w:rPr>
        <w:t>2</w:t>
      </w:r>
      <w:r>
        <w:rPr>
          <w:rFonts w:hint="eastAsia" w:ascii="Times New Roman" w:hAnsi="Times New Roman" w:eastAsia="方正仿宋_GBK"/>
          <w:kern w:val="2"/>
          <w:sz w:val="32"/>
          <w:szCs w:val="32"/>
        </w:rPr>
        <w:t>年内未发生拖欠建筑工人工资行为的建筑企业，按合同价款的</w:t>
      </w:r>
      <w:r>
        <w:rPr>
          <w:rFonts w:ascii="Times New Roman" w:hAnsi="Times New Roman" w:eastAsia="方正仿宋_GBK"/>
          <w:kern w:val="2"/>
          <w:sz w:val="32"/>
          <w:szCs w:val="32"/>
        </w:rPr>
        <w:t>2</w:t>
      </w:r>
      <w:r>
        <w:rPr>
          <w:rFonts w:hint="eastAsia" w:ascii="Times New Roman" w:hAnsi="Times New Roman" w:eastAsia="方正仿宋_GBK"/>
          <w:kern w:val="2"/>
          <w:sz w:val="32"/>
          <w:szCs w:val="32"/>
        </w:rPr>
        <w:t>％缴存保证金。应缴存保证金前</w:t>
      </w:r>
      <w:r>
        <w:rPr>
          <w:rFonts w:ascii="Times New Roman" w:hAnsi="Times New Roman" w:eastAsia="方正仿宋_GBK"/>
          <w:kern w:val="2"/>
          <w:sz w:val="32"/>
          <w:szCs w:val="32"/>
        </w:rPr>
        <w:t>2</w:t>
      </w:r>
      <w:r>
        <w:rPr>
          <w:rFonts w:hint="eastAsia" w:ascii="Times New Roman" w:hAnsi="Times New Roman" w:eastAsia="方正仿宋_GBK"/>
          <w:kern w:val="2"/>
          <w:sz w:val="32"/>
          <w:szCs w:val="32"/>
        </w:rPr>
        <w:t>年内未发生拖欠建筑工人工资行为的施工企业，且在银行开设建筑工人工资专户、建立建筑工人实名制管理信息系统并有效运行的施工企业，按合同价款的</w:t>
      </w:r>
      <w:r>
        <w:rPr>
          <w:rFonts w:ascii="Times New Roman" w:hAnsi="Times New Roman" w:eastAsia="方正仿宋_GBK"/>
          <w:kern w:val="2"/>
          <w:sz w:val="32"/>
          <w:szCs w:val="32"/>
        </w:rPr>
        <w:t>1%</w:t>
      </w:r>
      <w:r>
        <w:rPr>
          <w:rFonts w:hint="eastAsia" w:ascii="Times New Roman" w:hAnsi="Times New Roman" w:eastAsia="方正仿宋_GBK"/>
          <w:kern w:val="2"/>
          <w:sz w:val="32"/>
          <w:szCs w:val="32"/>
        </w:rPr>
        <w:t>缴存保证金。前述同一施工企业在同一设区市、县（市）区域内缴存保证金余额不超过</w:t>
      </w:r>
      <w:r>
        <w:rPr>
          <w:rFonts w:ascii="Times New Roman" w:hAnsi="Times New Roman" w:eastAsia="方正仿宋_GBK"/>
          <w:kern w:val="2"/>
          <w:sz w:val="32"/>
          <w:szCs w:val="32"/>
        </w:rPr>
        <w:t>80</w:t>
      </w:r>
      <w:r>
        <w:rPr>
          <w:rFonts w:hint="eastAsia" w:ascii="Times New Roman" w:hAnsi="Times New Roman" w:eastAsia="方正仿宋_GBK"/>
          <w:kern w:val="2"/>
          <w:sz w:val="32"/>
          <w:szCs w:val="32"/>
        </w:rPr>
        <w:t>万元。</w:t>
      </w:r>
    </w:p>
    <w:p>
      <w:pPr>
        <w:pStyle w:val="10"/>
        <w:widowControl w:val="0"/>
        <w:shd w:val="clear" w:color="auto" w:fill="FFFFFF"/>
        <w:spacing w:before="0" w:beforeAutospacing="0" w:after="0" w:afterAutospacing="0" w:line="570" w:lineRule="exact"/>
        <w:ind w:firstLine="640"/>
        <w:jc w:val="both"/>
        <w:rPr>
          <w:rFonts w:ascii="Times New Roman" w:hAnsi="Times New Roman" w:eastAsia="方正仿宋_GBK"/>
          <w:kern w:val="2"/>
          <w:sz w:val="32"/>
          <w:szCs w:val="32"/>
        </w:rPr>
      </w:pPr>
      <w:r>
        <w:rPr>
          <w:rFonts w:hint="eastAsia" w:ascii="Times New Roman" w:hAnsi="Times New Roman" w:eastAsia="方正仿宋_GBK"/>
          <w:kern w:val="2"/>
          <w:sz w:val="32"/>
          <w:szCs w:val="32"/>
        </w:rPr>
        <w:t>应缴存保证金前</w:t>
      </w:r>
      <w:r>
        <w:rPr>
          <w:rFonts w:ascii="Times New Roman" w:hAnsi="Times New Roman" w:eastAsia="方正仿宋_GBK"/>
          <w:kern w:val="2"/>
          <w:sz w:val="32"/>
          <w:szCs w:val="32"/>
        </w:rPr>
        <w:t>5</w:t>
      </w:r>
      <w:r>
        <w:rPr>
          <w:rFonts w:hint="eastAsia" w:ascii="Times New Roman" w:hAnsi="Times New Roman" w:eastAsia="方正仿宋_GBK"/>
          <w:kern w:val="2"/>
          <w:sz w:val="32"/>
          <w:szCs w:val="32"/>
        </w:rPr>
        <w:t>年内未发生拖欠建筑工人工资行为，且在银行开设建筑工人工资专户、建立实名制管理信息系统并有效运行的施工企业，免于缴存保证金。</w:t>
      </w:r>
    </w:p>
    <w:p>
      <w:pPr>
        <w:pStyle w:val="10"/>
        <w:widowControl w:val="0"/>
        <w:shd w:val="clear" w:color="auto" w:fill="FFFFFF"/>
        <w:spacing w:before="0" w:beforeAutospacing="0" w:after="0" w:afterAutospacing="0" w:line="570" w:lineRule="exact"/>
        <w:ind w:firstLine="640"/>
        <w:jc w:val="both"/>
        <w:rPr>
          <w:rFonts w:ascii="Times New Roman" w:hAnsi="Times New Roman" w:eastAsia="方正仿宋_GBK"/>
          <w:kern w:val="2"/>
          <w:sz w:val="32"/>
          <w:szCs w:val="32"/>
        </w:rPr>
      </w:pPr>
      <w:r>
        <w:rPr>
          <w:rFonts w:hint="eastAsia" w:ascii="Times New Roman" w:hAnsi="Times New Roman" w:eastAsia="方正仿宋_GBK"/>
          <w:kern w:val="2"/>
          <w:sz w:val="32"/>
          <w:szCs w:val="32"/>
        </w:rPr>
        <w:t>应缴存保证金前</w:t>
      </w:r>
      <w:r>
        <w:rPr>
          <w:rFonts w:ascii="Times New Roman" w:hAnsi="Times New Roman" w:eastAsia="方正仿宋_GBK"/>
          <w:kern w:val="2"/>
          <w:sz w:val="32"/>
          <w:szCs w:val="32"/>
        </w:rPr>
        <w:t>2</w:t>
      </w:r>
      <w:r>
        <w:rPr>
          <w:rFonts w:hint="eastAsia" w:ascii="Times New Roman" w:hAnsi="Times New Roman" w:eastAsia="方正仿宋_GBK"/>
          <w:kern w:val="2"/>
          <w:sz w:val="32"/>
          <w:szCs w:val="32"/>
        </w:rPr>
        <w:t>年内发生过拖欠建筑工人工资行为的施工企业，新报建项目按备案合同价款的</w:t>
      </w:r>
      <w:r>
        <w:rPr>
          <w:rFonts w:ascii="Times New Roman" w:hAnsi="Times New Roman" w:eastAsia="方正仿宋_GBK"/>
          <w:kern w:val="2"/>
          <w:sz w:val="32"/>
          <w:szCs w:val="32"/>
        </w:rPr>
        <w:t>3</w:t>
      </w:r>
      <w:r>
        <w:rPr>
          <w:rFonts w:hint="eastAsia" w:ascii="Times New Roman" w:hAnsi="Times New Roman" w:eastAsia="方正仿宋_GBK"/>
          <w:kern w:val="2"/>
          <w:sz w:val="32"/>
          <w:szCs w:val="32"/>
        </w:rPr>
        <w:t>％缴存保证金；对因拖欠建筑工人工资行为引发群体性事件的施工企业，新报建项目应当按备案合同价款的</w:t>
      </w:r>
      <w:r>
        <w:rPr>
          <w:rFonts w:ascii="Times New Roman" w:hAnsi="Times New Roman" w:eastAsia="方正仿宋_GBK"/>
          <w:kern w:val="2"/>
          <w:sz w:val="32"/>
          <w:szCs w:val="32"/>
        </w:rPr>
        <w:t>4%</w:t>
      </w:r>
      <w:r>
        <w:rPr>
          <w:rFonts w:hint="eastAsia" w:ascii="Times New Roman" w:hAnsi="Times New Roman" w:eastAsia="方正仿宋_GBK"/>
          <w:kern w:val="2"/>
          <w:sz w:val="32"/>
          <w:szCs w:val="32"/>
        </w:rPr>
        <w:t>缴存保证金。前述同一施工企业在同一市、县（市）区域内缴存保证金余额不超过</w:t>
      </w:r>
      <w:r>
        <w:rPr>
          <w:rFonts w:ascii="Times New Roman" w:hAnsi="Times New Roman" w:eastAsia="方正仿宋_GBK"/>
          <w:kern w:val="2"/>
          <w:sz w:val="32"/>
          <w:szCs w:val="32"/>
        </w:rPr>
        <w:t>160</w:t>
      </w:r>
      <w:r>
        <w:rPr>
          <w:rFonts w:hint="eastAsia" w:ascii="Times New Roman" w:hAnsi="Times New Roman" w:eastAsia="方正仿宋_GBK"/>
          <w:kern w:val="2"/>
          <w:sz w:val="32"/>
          <w:szCs w:val="32"/>
        </w:rPr>
        <w:t>万元。</w:t>
      </w:r>
    </w:p>
    <w:p>
      <w:pPr>
        <w:pStyle w:val="10"/>
        <w:widowControl w:val="0"/>
        <w:shd w:val="clear" w:color="auto" w:fill="FFFFFF"/>
        <w:spacing w:before="0" w:beforeAutospacing="0" w:after="0" w:afterAutospacing="0" w:line="570" w:lineRule="exact"/>
        <w:ind w:firstLine="640"/>
        <w:jc w:val="both"/>
        <w:rPr>
          <w:rFonts w:ascii="Times New Roman" w:hAnsi="Times New Roman" w:eastAsia="方正仿宋_GBK"/>
          <w:kern w:val="2"/>
          <w:sz w:val="32"/>
          <w:szCs w:val="32"/>
        </w:rPr>
      </w:pPr>
      <w:r>
        <w:rPr>
          <w:rFonts w:hint="eastAsia" w:ascii="Times New Roman" w:hAnsi="Times New Roman" w:eastAsia="黑体"/>
          <w:kern w:val="2"/>
          <w:sz w:val="32"/>
          <w:szCs w:val="32"/>
        </w:rPr>
        <w:t>二、</w:t>
      </w:r>
      <w:r>
        <w:rPr>
          <w:rFonts w:hint="eastAsia" w:ascii="Times New Roman" w:hAnsi="Times New Roman" w:eastAsia="方正仿宋_GBK"/>
          <w:kern w:val="2"/>
          <w:sz w:val="32"/>
          <w:szCs w:val="32"/>
        </w:rPr>
        <w:t>对连续在市、县（市）区域内缴存保证金满</w:t>
      </w:r>
      <w:r>
        <w:rPr>
          <w:rFonts w:ascii="Times New Roman" w:hAnsi="Times New Roman" w:eastAsia="方正仿宋_GBK"/>
          <w:kern w:val="2"/>
          <w:sz w:val="32"/>
          <w:szCs w:val="32"/>
        </w:rPr>
        <w:t>3</w:t>
      </w:r>
      <w:r>
        <w:rPr>
          <w:rFonts w:hint="eastAsia" w:ascii="Times New Roman" w:hAnsi="Times New Roman" w:eastAsia="方正仿宋_GBK"/>
          <w:kern w:val="2"/>
          <w:sz w:val="32"/>
          <w:szCs w:val="32"/>
        </w:rPr>
        <w:t>年，且没有发生拖欠建筑工人工资行为的施工企业，应当退还保证金，退还比例为</w:t>
      </w:r>
      <w:r>
        <w:rPr>
          <w:rFonts w:ascii="Times New Roman" w:hAnsi="Times New Roman" w:eastAsia="方正仿宋_GBK"/>
          <w:kern w:val="2"/>
          <w:sz w:val="32"/>
          <w:szCs w:val="32"/>
        </w:rPr>
        <w:t>80%</w:t>
      </w:r>
      <w:r>
        <w:rPr>
          <w:rFonts w:hint="eastAsia" w:ascii="Times New Roman" w:hAnsi="Times New Roman" w:eastAsia="方正仿宋_GBK"/>
          <w:kern w:val="2"/>
          <w:sz w:val="32"/>
          <w:szCs w:val="32"/>
        </w:rPr>
        <w:t>；无后续工程的，退还全部保证金余额。退还保证金时，利息一并退还。</w:t>
      </w:r>
    </w:p>
    <w:p>
      <w:pPr>
        <w:pStyle w:val="10"/>
        <w:widowControl w:val="0"/>
        <w:shd w:val="clear" w:color="auto" w:fill="FFFFFF"/>
        <w:spacing w:before="0" w:beforeAutospacing="0" w:after="0" w:afterAutospacing="0" w:line="570" w:lineRule="exact"/>
        <w:ind w:firstLine="640"/>
        <w:jc w:val="both"/>
        <w:rPr>
          <w:rFonts w:ascii="Times New Roman" w:hAnsi="Times New Roman" w:eastAsia="方正仿宋_GBK"/>
          <w:kern w:val="2"/>
          <w:sz w:val="32"/>
          <w:szCs w:val="32"/>
        </w:rPr>
      </w:pPr>
      <w:r>
        <w:rPr>
          <w:rFonts w:hint="eastAsia" w:ascii="Times New Roman" w:hAnsi="Times New Roman" w:eastAsia="黑体"/>
          <w:kern w:val="2"/>
          <w:sz w:val="32"/>
          <w:szCs w:val="32"/>
        </w:rPr>
        <w:t>三、</w:t>
      </w:r>
      <w:r>
        <w:rPr>
          <w:rFonts w:hint="eastAsia" w:ascii="Times New Roman" w:hAnsi="Times New Roman" w:eastAsia="方正仿宋_GBK"/>
          <w:kern w:val="2"/>
          <w:sz w:val="32"/>
          <w:szCs w:val="32"/>
        </w:rPr>
        <w:t>施工企业发生建筑工人工资拖欠时，相关行政主管部门应当及时采取措施，督促其限期支付。</w:t>
      </w:r>
    </w:p>
    <w:p>
      <w:pPr>
        <w:pStyle w:val="10"/>
        <w:widowControl w:val="0"/>
        <w:shd w:val="clear" w:color="auto" w:fill="FFFFFF"/>
        <w:spacing w:before="0" w:beforeAutospacing="0" w:after="0" w:afterAutospacing="0" w:line="570" w:lineRule="exact"/>
        <w:ind w:firstLine="640"/>
        <w:jc w:val="both"/>
        <w:rPr>
          <w:rFonts w:ascii="Times New Roman" w:hAnsi="Times New Roman" w:eastAsia="方正仿宋_GBK"/>
          <w:kern w:val="2"/>
          <w:sz w:val="32"/>
          <w:szCs w:val="32"/>
        </w:rPr>
      </w:pPr>
      <w:r>
        <w:rPr>
          <w:rFonts w:hint="eastAsia" w:ascii="Times New Roman" w:hAnsi="Times New Roman" w:eastAsia="方正仿宋_GBK"/>
          <w:kern w:val="2"/>
          <w:sz w:val="32"/>
          <w:szCs w:val="32"/>
        </w:rPr>
        <w:t>施工企业故意拖延、拒不履行支付建筑工人工资义务超过限定时间的，工程建设项目所在地相关行政主管部门可以动用保证金，用于支付责任施工企业拖欠的建筑工人工资。</w:t>
      </w:r>
    </w:p>
    <w:p>
      <w:pPr>
        <w:pStyle w:val="10"/>
        <w:widowControl w:val="0"/>
        <w:shd w:val="clear" w:color="auto" w:fill="FFFFFF"/>
        <w:spacing w:before="0" w:beforeAutospacing="0" w:after="0" w:afterAutospacing="0" w:line="570" w:lineRule="exact"/>
        <w:ind w:firstLine="640"/>
        <w:jc w:val="both"/>
        <w:rPr>
          <w:rFonts w:ascii="Times New Roman" w:hAnsi="Times New Roman" w:eastAsia="方正仿宋_GBK"/>
          <w:kern w:val="2"/>
          <w:sz w:val="32"/>
          <w:szCs w:val="32"/>
        </w:rPr>
      </w:pPr>
      <w:r>
        <w:rPr>
          <w:rFonts w:hint="eastAsia" w:ascii="Times New Roman" w:hAnsi="Times New Roman" w:eastAsia="方正仿宋_GBK"/>
          <w:kern w:val="2"/>
          <w:sz w:val="32"/>
          <w:szCs w:val="32"/>
        </w:rPr>
        <w:t>施工企业应当在动用保证金支付建筑工人工资</w:t>
      </w:r>
      <w:r>
        <w:rPr>
          <w:rFonts w:ascii="Times New Roman" w:hAnsi="Times New Roman" w:eastAsia="方正仿宋_GBK"/>
          <w:kern w:val="2"/>
          <w:sz w:val="32"/>
          <w:szCs w:val="32"/>
        </w:rPr>
        <w:t>30</w:t>
      </w:r>
      <w:r>
        <w:rPr>
          <w:rFonts w:hint="eastAsia" w:ascii="Times New Roman" w:hAnsi="Times New Roman" w:eastAsia="方正仿宋_GBK"/>
          <w:kern w:val="2"/>
          <w:sz w:val="32"/>
          <w:szCs w:val="32"/>
        </w:rPr>
        <w:t>日内，按动用数额的</w:t>
      </w:r>
      <w:r>
        <w:rPr>
          <w:rFonts w:ascii="Times New Roman" w:hAnsi="Times New Roman" w:eastAsia="方正仿宋_GBK"/>
          <w:kern w:val="2"/>
          <w:sz w:val="32"/>
          <w:szCs w:val="32"/>
        </w:rPr>
        <w:t>2</w:t>
      </w:r>
      <w:r>
        <w:rPr>
          <w:rFonts w:hint="eastAsia" w:ascii="Times New Roman" w:hAnsi="Times New Roman" w:eastAsia="方正仿宋_GBK"/>
          <w:kern w:val="2"/>
          <w:sz w:val="32"/>
          <w:szCs w:val="32"/>
        </w:rPr>
        <w:t>倍缴存保证金。</w:t>
      </w:r>
    </w:p>
    <w:p>
      <w:pPr>
        <w:snapToGrid w:val="0"/>
        <w:spacing w:line="600" w:lineRule="exact"/>
        <w:ind w:firstLine="420" w:firstLineChars="200"/>
      </w:pPr>
    </w:p>
    <w:p>
      <w:pPr>
        <w:snapToGrid w:val="0"/>
        <w:spacing w:line="600" w:lineRule="exact"/>
        <w:ind w:firstLine="420" w:firstLineChars="200"/>
      </w:pPr>
    </w:p>
    <w:p>
      <w:pPr>
        <w:snapToGrid w:val="0"/>
        <w:spacing w:line="600" w:lineRule="exact"/>
        <w:ind w:firstLine="420" w:firstLineChars="200"/>
      </w:pPr>
    </w:p>
    <w:p>
      <w:pPr>
        <w:snapToGrid w:val="0"/>
        <w:spacing w:line="600" w:lineRule="exact"/>
        <w:ind w:firstLine="420" w:firstLineChars="200"/>
      </w:pPr>
    </w:p>
    <w:p>
      <w:pPr>
        <w:snapToGrid w:val="0"/>
        <w:spacing w:line="600" w:lineRule="exact"/>
        <w:ind w:firstLine="420" w:firstLineChars="200"/>
      </w:pPr>
    </w:p>
    <w:p>
      <w:pPr>
        <w:snapToGrid w:val="0"/>
        <w:spacing w:line="600" w:lineRule="exact"/>
        <w:ind w:firstLine="420" w:firstLineChars="200"/>
      </w:pPr>
    </w:p>
    <w:p>
      <w:pPr>
        <w:snapToGrid w:val="0"/>
        <w:spacing w:line="600" w:lineRule="exact"/>
        <w:ind w:firstLine="420" w:firstLineChars="200"/>
      </w:pPr>
    </w:p>
    <w:p>
      <w:pPr>
        <w:snapToGrid w:val="0"/>
        <w:spacing w:line="600" w:lineRule="exact"/>
        <w:ind w:firstLine="420" w:firstLineChars="200"/>
      </w:pPr>
    </w:p>
    <w:p>
      <w:pPr>
        <w:snapToGrid w:val="0"/>
        <w:spacing w:line="600" w:lineRule="exact"/>
        <w:ind w:firstLine="420" w:firstLineChars="200"/>
      </w:pPr>
    </w:p>
    <w:p>
      <w:pPr>
        <w:snapToGrid w:val="0"/>
        <w:spacing w:line="20" w:lineRule="exact"/>
        <w:jc w:val="left"/>
      </w:pPr>
    </w:p>
    <w:p/>
    <w:p/>
    <w:p/>
    <w:p/>
    <w:p/>
    <w:p/>
    <w:p/>
    <w:p/>
    <w:p/>
    <w:p/>
    <w:p/>
    <w:p/>
    <w:p/>
    <w:p>
      <w:pPr>
        <w:spacing w:line="500" w:lineRule="exact"/>
        <w:ind w:left="-7" w:leftChars="-8" w:hanging="10" w:hangingChars="3"/>
        <w:jc w:val="center"/>
        <w:rPr>
          <w:rFonts w:ascii="Times New Roman" w:eastAsia="方正小标宋简体"/>
          <w:sz w:val="36"/>
          <w:szCs w:val="36"/>
        </w:rPr>
      </w:pPr>
      <w:r>
        <w:rPr>
          <w:rFonts w:hint="eastAsia" w:ascii="Times New Roman" w:eastAsia="方正小标宋简体"/>
          <w:sz w:val="36"/>
          <w:szCs w:val="36"/>
        </w:rPr>
        <w:t>关于印发《江苏省房屋建筑和市政基础设施</w:t>
      </w:r>
    </w:p>
    <w:p>
      <w:pPr>
        <w:spacing w:line="500" w:lineRule="exact"/>
        <w:ind w:left="-7" w:leftChars="-8" w:hanging="10" w:hangingChars="3"/>
        <w:jc w:val="center"/>
        <w:rPr>
          <w:rFonts w:hint="eastAsia" w:ascii="Times New Roman" w:eastAsia="方正小标宋简体"/>
          <w:sz w:val="36"/>
          <w:szCs w:val="36"/>
        </w:rPr>
      </w:pPr>
      <w:r>
        <w:rPr>
          <w:rFonts w:hint="eastAsia" w:ascii="Times New Roman" w:eastAsia="方正小标宋简体"/>
          <w:sz w:val="36"/>
          <w:szCs w:val="36"/>
        </w:rPr>
        <w:t>拆除安全管理办法》的通知</w:t>
      </w:r>
    </w:p>
    <w:p>
      <w:pPr>
        <w:spacing w:line="460" w:lineRule="exact"/>
        <w:ind w:firstLine="472"/>
        <w:jc w:val="center"/>
        <w:rPr>
          <w:rFonts w:hint="eastAsia" w:eastAsia="方正仿宋_GBK"/>
          <w:color w:val="000000"/>
          <w:spacing w:val="-2"/>
          <w:sz w:val="24"/>
        </w:rPr>
      </w:pPr>
    </w:p>
    <w:p>
      <w:pPr>
        <w:spacing w:line="460" w:lineRule="exact"/>
        <w:ind w:firstLine="480"/>
        <w:jc w:val="center"/>
        <w:rPr>
          <w:rFonts w:eastAsia="方正楷体_GBK"/>
          <w:sz w:val="24"/>
        </w:rPr>
      </w:pPr>
      <w:r>
        <w:rPr>
          <w:rFonts w:hint="eastAsia" w:eastAsia="方正楷体_GBK"/>
          <w:sz w:val="24"/>
        </w:rPr>
        <w:t>苏建质安〔</w:t>
      </w:r>
      <w:r>
        <w:rPr>
          <w:rFonts w:eastAsia="方正楷体_GBK"/>
          <w:sz w:val="24"/>
        </w:rPr>
        <w:t>2010</w:t>
      </w:r>
      <w:r>
        <w:rPr>
          <w:rFonts w:hint="eastAsia" w:eastAsia="方正楷体_GBK"/>
          <w:sz w:val="24"/>
        </w:rPr>
        <w:t>〕</w:t>
      </w:r>
      <w:r>
        <w:rPr>
          <w:rFonts w:eastAsia="方正楷体_GBK"/>
          <w:sz w:val="24"/>
        </w:rPr>
        <w:t>351</w:t>
      </w:r>
      <w:r>
        <w:rPr>
          <w:rFonts w:hint="eastAsia" w:eastAsia="方正楷体_GBK"/>
          <w:sz w:val="24"/>
        </w:rPr>
        <w:t>号</w:t>
      </w:r>
    </w:p>
    <w:p>
      <w:pPr>
        <w:spacing w:line="460" w:lineRule="exact"/>
        <w:ind w:firstLine="472"/>
        <w:jc w:val="center"/>
        <w:rPr>
          <w:rFonts w:eastAsia="方正仿宋_GBK"/>
          <w:color w:val="000000"/>
          <w:spacing w:val="-2"/>
          <w:sz w:val="24"/>
        </w:rPr>
      </w:pPr>
    </w:p>
    <w:p>
      <w:pPr>
        <w:spacing w:line="460" w:lineRule="exact"/>
        <w:rPr>
          <w:rFonts w:eastAsia="方正仿宋_GBK"/>
          <w:color w:val="000000"/>
          <w:spacing w:val="-2"/>
          <w:sz w:val="24"/>
        </w:rPr>
      </w:pPr>
      <w:r>
        <w:rPr>
          <w:rFonts w:hint="eastAsia" w:eastAsia="方正仿宋_GBK"/>
          <w:color w:val="000000"/>
          <w:spacing w:val="-2"/>
          <w:sz w:val="24"/>
        </w:rPr>
        <w:t>各市住建局（委）、规划局、房管局、市政公用局、应急管理局：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近年来，随着城市建设进程的加快，我省各市在城市改造工作中房屋建筑和市政基础设施拆除工作量不断加大，但在拆除过程中，由于施工行为不规范，缺少有效的安全防护措施和可行性方案，近期连续发生多起人员伤亡事故，给人民的生命财产造成了很大的危害。</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住房和城乡建设厅和省应急管理厅根据《中华人民共和国安全生产法》、《中华人民共和国建筑法》、《建设工程安全生产管理条例》等法律、法规，结合我省房屋建筑和市政基础设施拆除工作实际，制定《江苏省房屋建筑和市政基础设施拆除安全管理办法》，主要规范房屋建筑和市政基础设施拆除实施单位的主体资格、施工程序及施工的安全防护措施等。现印发给你们，请认真执行。</w:t>
      </w:r>
    </w:p>
    <w:p>
      <w:pPr>
        <w:spacing w:line="460" w:lineRule="exact"/>
        <w:ind w:firstLine="472" w:firstLineChars="200"/>
        <w:rPr>
          <w:rFonts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附件：江苏省房屋建筑和市政基础设施拆除安全管理办法</w:t>
      </w:r>
      <w:r>
        <w:rPr>
          <w:rFonts w:eastAsia="方正仿宋_GBK"/>
          <w:color w:val="000000"/>
          <w:spacing w:val="-2"/>
          <w:sz w:val="24"/>
        </w:rPr>
        <w:t xml:space="preserve"> </w:t>
      </w:r>
    </w:p>
    <w:p>
      <w:pPr>
        <w:spacing w:line="460" w:lineRule="exact"/>
        <w:ind w:firstLine="480" w:firstLineChars="200"/>
        <w:jc w:val="right"/>
        <w:rPr>
          <w:rFonts w:eastAsia="方正仿宋_GBK"/>
          <w:color w:val="000000"/>
          <w:kern w:val="0"/>
          <w:sz w:val="24"/>
        </w:rPr>
      </w:pPr>
    </w:p>
    <w:p>
      <w:pPr>
        <w:spacing w:line="460" w:lineRule="exact"/>
        <w:ind w:right="418" w:rightChars="199" w:firstLine="528" w:firstLineChars="200"/>
        <w:jc w:val="right"/>
        <w:rPr>
          <w:rFonts w:eastAsia="方正仿宋_GBK"/>
          <w:color w:val="000000"/>
          <w:spacing w:val="-2"/>
          <w:sz w:val="24"/>
        </w:rPr>
      </w:pPr>
      <w:r>
        <w:rPr>
          <w:rFonts w:hint="eastAsia" w:eastAsia="方正仿宋_GBK"/>
          <w:color w:val="000000"/>
          <w:spacing w:val="12"/>
          <w:kern w:val="0"/>
          <w:sz w:val="24"/>
        </w:rPr>
        <w:t>江苏省住房和城乡建设</w:t>
      </w:r>
      <w:r>
        <w:rPr>
          <w:rFonts w:hint="eastAsia" w:eastAsia="方正仿宋_GBK"/>
          <w:color w:val="000000"/>
          <w:kern w:val="0"/>
          <w:sz w:val="24"/>
        </w:rPr>
        <w:t>厅</w:t>
      </w:r>
      <w:r>
        <w:rPr>
          <w:rFonts w:eastAsia="方正仿宋_GBK"/>
          <w:color w:val="000000"/>
          <w:kern w:val="0"/>
          <w:sz w:val="24"/>
        </w:rPr>
        <w:t xml:space="preserve">    </w:t>
      </w:r>
    </w:p>
    <w:p>
      <w:pPr>
        <w:spacing w:line="460" w:lineRule="exact"/>
        <w:ind w:right="418" w:rightChars="199" w:firstLine="472" w:firstLineChars="200"/>
        <w:jc w:val="right"/>
        <w:rPr>
          <w:rFonts w:eastAsia="方正仿宋_GBK"/>
          <w:color w:val="000000"/>
          <w:spacing w:val="-2"/>
          <w:sz w:val="24"/>
        </w:rPr>
      </w:pPr>
      <w:r>
        <w:rPr>
          <w:rFonts w:hint="eastAsia" w:eastAsia="方正仿宋_GBK"/>
          <w:color w:val="000000"/>
          <w:spacing w:val="-2"/>
          <w:sz w:val="24"/>
        </w:rPr>
        <w:t>江苏省应急管理厅</w:t>
      </w:r>
      <w:r>
        <w:rPr>
          <w:rFonts w:eastAsia="方正仿宋_GBK"/>
          <w:color w:val="000000"/>
          <w:spacing w:val="-2"/>
          <w:sz w:val="24"/>
        </w:rPr>
        <w:t xml:space="preserve">    </w:t>
      </w:r>
    </w:p>
    <w:p>
      <w:pPr>
        <w:spacing w:line="460" w:lineRule="exact"/>
        <w:ind w:right="838" w:rightChars="399" w:firstLine="4012" w:firstLineChars="1700"/>
        <w:jc w:val="right"/>
        <w:rPr>
          <w:rFonts w:eastAsia="方正仿宋_GBK"/>
          <w:color w:val="000000"/>
          <w:spacing w:val="-2"/>
          <w:sz w:val="24"/>
        </w:rPr>
      </w:pPr>
      <w:r>
        <w:rPr>
          <w:rFonts w:hint="eastAsia" w:eastAsia="方正仿宋_GBK"/>
          <w:color w:val="000000"/>
          <w:spacing w:val="-2"/>
          <w:sz w:val="24"/>
        </w:rPr>
        <w:t>二</w:t>
      </w:r>
      <w:r>
        <w:rPr>
          <w:rFonts w:hint="eastAsia" w:eastAsia="方正仿宋_GBK"/>
          <w:bCs/>
          <w:snapToGrid w:val="0"/>
          <w:color w:val="000000"/>
          <w:spacing w:val="-2"/>
          <w:kern w:val="0"/>
          <w:sz w:val="24"/>
        </w:rPr>
        <w:t>○</w:t>
      </w:r>
      <w:r>
        <w:rPr>
          <w:rFonts w:hint="eastAsia" w:eastAsia="方正仿宋_GBK"/>
          <w:color w:val="000000"/>
          <w:spacing w:val="-2"/>
          <w:sz w:val="24"/>
        </w:rPr>
        <w:t>一</w:t>
      </w:r>
      <w:r>
        <w:rPr>
          <w:rFonts w:hint="eastAsia" w:eastAsia="方正仿宋_GBK"/>
          <w:bCs/>
          <w:snapToGrid w:val="0"/>
          <w:color w:val="000000"/>
          <w:spacing w:val="-2"/>
          <w:kern w:val="0"/>
          <w:sz w:val="24"/>
        </w:rPr>
        <w:t>○</w:t>
      </w:r>
      <w:r>
        <w:rPr>
          <w:rFonts w:hint="eastAsia" w:eastAsia="方正仿宋_GBK"/>
          <w:color w:val="000000"/>
          <w:spacing w:val="-2"/>
          <w:sz w:val="24"/>
        </w:rPr>
        <w:t>年八月四日</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p>
    <w:p>
      <w:pPr>
        <w:spacing w:line="460" w:lineRule="exact"/>
        <w:ind w:firstLine="472"/>
        <w:rPr>
          <w:rFonts w:eastAsia="方正仿宋_GBK"/>
          <w:color w:val="000000"/>
          <w:spacing w:val="-2"/>
          <w:sz w:val="24"/>
        </w:rPr>
      </w:pPr>
    </w:p>
    <w:p>
      <w:pPr>
        <w:spacing w:line="460" w:lineRule="exact"/>
        <w:ind w:firstLine="712"/>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江苏省房屋建筑和市政基础设施</w:t>
      </w:r>
    </w:p>
    <w:p>
      <w:pPr>
        <w:spacing w:line="460" w:lineRule="exact"/>
        <w:ind w:firstLine="712"/>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拆除安全管理办法</w:t>
      </w:r>
    </w:p>
    <w:p>
      <w:pPr>
        <w:spacing w:line="460" w:lineRule="exact"/>
        <w:ind w:firstLine="472" w:firstLineChars="200"/>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第一条 </w:t>
      </w:r>
      <w:r>
        <w:rPr>
          <w:rFonts w:eastAsia="方正仿宋_GBK"/>
          <w:color w:val="000000"/>
          <w:spacing w:val="-2"/>
          <w:sz w:val="24"/>
        </w:rPr>
        <w:t xml:space="preserve"> </w:t>
      </w:r>
      <w:r>
        <w:rPr>
          <w:rFonts w:hint="eastAsia" w:eastAsia="方正仿宋_GBK"/>
          <w:color w:val="000000"/>
          <w:spacing w:val="-2"/>
          <w:sz w:val="24"/>
        </w:rPr>
        <w:t>为了加强对房屋建筑和市政基础设施拆除活动的管理，提高安全生产和文明施工水平，防止和减少安全事故的发生，确保拆除顺利进行，根据有关法律、法规，制定本办法。</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在本省行政区域内从事房屋建筑和市政基础设施拆除活动，实施对该活动的安全监督管理，应当遵守本办法。</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第三条 </w:t>
      </w:r>
      <w:r>
        <w:rPr>
          <w:rFonts w:eastAsia="方正仿宋_GBK"/>
          <w:color w:val="000000"/>
          <w:spacing w:val="-2"/>
          <w:sz w:val="24"/>
        </w:rPr>
        <w:t xml:space="preserve"> </w:t>
      </w:r>
      <w:r>
        <w:rPr>
          <w:rFonts w:hint="eastAsia" w:eastAsia="方正仿宋_GBK"/>
          <w:color w:val="000000"/>
          <w:spacing w:val="-2"/>
          <w:sz w:val="24"/>
        </w:rPr>
        <w:t>省应急管理部门负责对本省房屋建筑和市政基础设施拆除活动的安全实施综合监督管理。</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省建设行政主管部门负责对本省房屋建筑和市政基础设施拆除活动的安全实施监督管理。</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设区的市、县（市）建设行政主管部门负责本行政区域内的房屋建筑和市政基础设施拆除活动的安全实施监督管理工作。</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建设单位应将房屋建筑和市政基础设施拆除的工程发包给具有相应资质等级并具备安全作业条件的施工单位承担，并签订安全生产管理协议。</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从事房屋建筑和市政基础设施拆除工程施工的项目经理、技术负责人、安全员、特种作业人员和作业人员，应当接受施工安全技术培训和安全教育，持证上岗。</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患有心脏病、高血压、癫痫病的人员不得从事高空施工作业。</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建设单位应当在拆除工程施工</w:t>
      </w:r>
      <w:r>
        <w:rPr>
          <w:rFonts w:eastAsia="方正仿宋_GBK"/>
          <w:color w:val="000000"/>
          <w:spacing w:val="-2"/>
          <w:sz w:val="24"/>
        </w:rPr>
        <w:t>15</w:t>
      </w:r>
      <w:r>
        <w:rPr>
          <w:rFonts w:hint="eastAsia" w:eastAsia="方正仿宋_GBK"/>
          <w:color w:val="000000"/>
          <w:spacing w:val="-2"/>
          <w:sz w:val="24"/>
        </w:rPr>
        <w:t>日前，将下列资料报送工程所在地的县级以上地方人民政府建设行政主管部门备案：</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（一）施工单位资质等级证明；</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（二）拆除施工组织方案；</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（三）拟拆除建筑物、构筑物及可能危及毗邻建筑的说明；</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（四）堆放、清除废弃物的措施；</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拟拆除的房屋建筑和市政基础设施属于文物保护单位和依法确定的纪念性建筑的，建设单位除提供前款规定文件外，还应出具有关部门同意拆除的证明。</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建设单位应当向施工单位提供施工现场及毗邻区域内地（上）下管线资料，气象和水文观测资料，相邻建筑物和构筑物、地下工程的有关资料，并保证资料的真实、准确、完整。</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建设单位因工程需要，向有关部门或者单位查询前款规定的资料时，有关部门或者单位应当及时提供。</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第八条 </w:t>
      </w:r>
      <w:r>
        <w:rPr>
          <w:rFonts w:eastAsia="方正仿宋_GBK"/>
          <w:color w:val="000000"/>
          <w:spacing w:val="-2"/>
          <w:sz w:val="24"/>
        </w:rPr>
        <w:t xml:space="preserve"> </w:t>
      </w:r>
      <w:r>
        <w:rPr>
          <w:rFonts w:hint="eastAsia" w:eastAsia="方正仿宋_GBK"/>
          <w:color w:val="000000"/>
          <w:spacing w:val="-2"/>
          <w:sz w:val="24"/>
        </w:rPr>
        <w:t>建设单位应当向施工单位提供拟拆除房屋建筑工程的结构图、管线图和周边环境的情况。</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第九条 </w:t>
      </w:r>
      <w:r>
        <w:rPr>
          <w:rFonts w:eastAsia="方正仿宋_GBK"/>
          <w:color w:val="000000"/>
          <w:spacing w:val="-2"/>
          <w:sz w:val="24"/>
        </w:rPr>
        <w:t xml:space="preserve"> </w:t>
      </w:r>
      <w:r>
        <w:rPr>
          <w:rFonts w:hint="eastAsia" w:eastAsia="方正仿宋_GBK"/>
          <w:color w:val="000000"/>
          <w:spacing w:val="-2"/>
          <w:sz w:val="24"/>
        </w:rPr>
        <w:t>在房屋建筑和市政基础设施拆除过程中，建设单位必须派相关业务人员在施工现场协助施工单位，按要求进行房屋建筑和市政基础拆除的施工。</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第十条 </w:t>
      </w:r>
      <w:r>
        <w:rPr>
          <w:rFonts w:eastAsia="方正仿宋_GBK"/>
          <w:color w:val="000000"/>
          <w:spacing w:val="-2"/>
          <w:sz w:val="24"/>
        </w:rPr>
        <w:t xml:space="preserve"> </w:t>
      </w:r>
      <w:r>
        <w:rPr>
          <w:rFonts w:hint="eastAsia" w:eastAsia="方正仿宋_GBK"/>
          <w:color w:val="000000"/>
          <w:spacing w:val="-2"/>
          <w:sz w:val="24"/>
        </w:rPr>
        <w:t>施工单位应当合理确定拆除工程的拆除方法，并符合下列要求：</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（一）人工拆除，可适用于木结构、砖木结构、砖混结构的民用建筑工程；</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（二）机械拆除，可适用于砖混结构、框架结构、排架结构、钢结构和各类基础、地下构筑物工程；</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（三）爆破拆除，可适用于砖混结构、框架结构、排架结构、钢结构和各类基础、构筑物、高耸的建筑构筑物工程。</w:t>
      </w:r>
      <w:r>
        <w:rPr>
          <w:rFonts w:eastAsia="方正仿宋_GBK"/>
          <w:color w:val="000000"/>
          <w:spacing w:val="-2"/>
          <w:sz w:val="24"/>
        </w:rPr>
        <w:t xml:space="preserve"> </w:t>
      </w:r>
    </w:p>
    <w:p>
      <w:pPr>
        <w:spacing w:line="57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施工单位应当对拟拆除的建筑物、构筑物工程进行详细的调查和现场实地勘察，根据危险性较大的分部分项工程相关安全管理规定，编制专项施工方案，并按规定组织专家论证和实施。</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拆除房屋建筑和水塔、烟囱等构筑物工程，必须编制施工组织设计。在编制施工专项方案或施工组织设计时，应当制定预防拆除事故的安全技术措施。施工专项方案或者施工组织设计应当经施工企业的技术负责人审核批准。</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采用爆破作业方法拆除建筑物、构筑物时，其施工方案或施工组织设计应当经公安部门批准。</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第十二条 </w:t>
      </w:r>
      <w:r>
        <w:rPr>
          <w:rFonts w:eastAsia="方正仿宋_GBK"/>
          <w:color w:val="000000"/>
          <w:spacing w:val="-2"/>
          <w:sz w:val="24"/>
        </w:rPr>
        <w:t xml:space="preserve"> </w:t>
      </w:r>
      <w:r>
        <w:rPr>
          <w:rFonts w:hint="eastAsia" w:eastAsia="方正仿宋_GBK"/>
          <w:color w:val="000000"/>
          <w:spacing w:val="-2"/>
          <w:sz w:val="24"/>
        </w:rPr>
        <w:t>在房屋建筑和市政基础设施工程拆除时，施工现场必须设置封闭的围栏围护。拆除位于主次干道两侧及人员密集场所的建筑物、构筑物时，防护架搭设应当采取全封闭形式，并应当做到节点可靠，固定点合理，能满足抗倾覆的要求。</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第十三条 </w:t>
      </w:r>
      <w:r>
        <w:rPr>
          <w:rFonts w:eastAsia="方正仿宋_GBK"/>
          <w:color w:val="000000"/>
          <w:spacing w:val="-2"/>
          <w:sz w:val="24"/>
        </w:rPr>
        <w:t xml:space="preserve"> </w:t>
      </w:r>
      <w:r>
        <w:rPr>
          <w:rFonts w:hint="eastAsia" w:eastAsia="方正仿宋_GBK"/>
          <w:color w:val="000000"/>
          <w:spacing w:val="-2"/>
          <w:sz w:val="24"/>
        </w:rPr>
        <w:t>施工现场应当在主要出入口设置施工标志牌，写明建设单位、施工单位名称及项目经理、项目技术负责人、安全员姓名，拆除工程备案编号，监督电话等，接受社会监督。施工现场的危险区域和临街、临路的危险地段应当悬挂警示标志、夜间用红灯警示。</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第十四条 </w:t>
      </w:r>
      <w:r>
        <w:rPr>
          <w:rFonts w:eastAsia="方正仿宋_GBK"/>
          <w:color w:val="000000"/>
          <w:spacing w:val="-2"/>
          <w:sz w:val="24"/>
        </w:rPr>
        <w:t xml:space="preserve"> </w:t>
      </w:r>
      <w:r>
        <w:rPr>
          <w:rFonts w:hint="eastAsia" w:eastAsia="方正仿宋_GBK"/>
          <w:color w:val="000000"/>
          <w:spacing w:val="-2"/>
          <w:sz w:val="24"/>
        </w:rPr>
        <w:t>施工现场有下列情形之一的，建设单位应当按照国家有关规定申请办理批准手续：</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（一）需要临时占用规划批准范围以外场地的；</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（二）可能损坏道路、管线、电力、邮电、通讯等公共设施的；</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（三）需要临时停水、停电、中断道路交通的：</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（四）法律、法规规定的其它情形。</w:t>
      </w:r>
      <w:r>
        <w:rPr>
          <w:rFonts w:eastAsia="方正仿宋_GBK"/>
          <w:color w:val="000000"/>
          <w:spacing w:val="-2"/>
          <w:sz w:val="24"/>
        </w:rPr>
        <w:t xml:space="preserve"> </w:t>
      </w:r>
    </w:p>
    <w:p>
      <w:pPr>
        <w:spacing w:line="57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2"/>
          <w:sz w:val="24"/>
        </w:rPr>
        <w:t>施工作业前，施工技术负责人应当对施工现场管理人员进行方案交底，交底内容包括施工工艺、材料、设备、工作流程、工作条件、安全技术措施，以及安全管理和应急处置措施等，应由双方共同签字确认。施工现场管理人员应当向作业人员进行有针对性的安全技术交底，交底由双方和项目专职安全生产管理人员共同签字确认。</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拆除作业时，施工单位的项目经理、技术负责人、安全员必须在现场指挥、监督；监理单位应当对拆除实施专项巡视检查。</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第十六条</w:t>
      </w:r>
      <w:r>
        <w:rPr>
          <w:rFonts w:eastAsia="方正仿宋_GBK"/>
          <w:color w:val="000000"/>
          <w:spacing w:val="-2"/>
          <w:sz w:val="24"/>
        </w:rPr>
        <w:t xml:space="preserve">  </w:t>
      </w:r>
      <w:r>
        <w:rPr>
          <w:rFonts w:hint="eastAsia" w:eastAsia="方正仿宋_GBK"/>
          <w:color w:val="000000"/>
          <w:spacing w:val="-2"/>
          <w:sz w:val="24"/>
        </w:rPr>
        <w:t>施工单位进行管道、容器拆除时，应查清管道容器的用途，采取相应措施清除废气、废液后方可施工。采用电、气焊，应严格执行明火作业的有关规定，配备监护人员和灭火器材。</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第十七条 </w:t>
      </w:r>
      <w:r>
        <w:rPr>
          <w:rFonts w:eastAsia="方正仿宋_GBK"/>
          <w:color w:val="000000"/>
          <w:spacing w:val="-2"/>
          <w:sz w:val="24"/>
        </w:rPr>
        <w:t xml:space="preserve"> </w:t>
      </w:r>
      <w:r>
        <w:rPr>
          <w:rFonts w:hint="eastAsia" w:eastAsia="方正仿宋_GBK"/>
          <w:color w:val="000000"/>
          <w:spacing w:val="-2"/>
          <w:sz w:val="24"/>
        </w:rPr>
        <w:t>遇有雨、雪、大雾及六级以上大风等恶劣天气时，应当停止拆除施工。</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第十八条 </w:t>
      </w:r>
      <w:r>
        <w:rPr>
          <w:rFonts w:eastAsia="方正仿宋_GBK"/>
          <w:color w:val="000000"/>
          <w:spacing w:val="-2"/>
          <w:sz w:val="24"/>
        </w:rPr>
        <w:t xml:space="preserve"> </w:t>
      </w:r>
      <w:r>
        <w:rPr>
          <w:rFonts w:hint="eastAsia" w:eastAsia="方正仿宋_GBK"/>
          <w:color w:val="000000"/>
          <w:spacing w:val="-2"/>
          <w:sz w:val="24"/>
        </w:rPr>
        <w:t>施工单位不得将未拆除的建筑物、构筑物等作为临时办公、住宿及仓库使用。</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第十九条</w:t>
      </w:r>
      <w:r>
        <w:rPr>
          <w:rFonts w:eastAsia="方正仿宋_GBK"/>
          <w:color w:val="000000"/>
          <w:spacing w:val="-2"/>
          <w:sz w:val="24"/>
        </w:rPr>
        <w:t xml:space="preserve">  </w:t>
      </w:r>
      <w:r>
        <w:rPr>
          <w:rFonts w:hint="eastAsia" w:eastAsia="方正仿宋_GBK"/>
          <w:color w:val="000000"/>
          <w:spacing w:val="-2"/>
          <w:sz w:val="24"/>
        </w:rPr>
        <w:t>施工作业应当严格执行国家制定的强制性标准和建筑安装工程安全技术规程。拆除建筑物、构筑物应当自上而下按对称顺序进行，不得逆向操作。</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当部分拆除建筑物、构筑物时，应当采取相应的防范措施，防止另一部分建筑物、构筑物倒塌，造成安全事故。严禁从高处向下抛掷废弃物。</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第二十条 </w:t>
      </w:r>
      <w:r>
        <w:rPr>
          <w:rFonts w:eastAsia="方正仿宋_GBK"/>
          <w:color w:val="000000"/>
          <w:spacing w:val="-2"/>
          <w:sz w:val="24"/>
        </w:rPr>
        <w:t xml:space="preserve"> </w:t>
      </w:r>
      <w:r>
        <w:rPr>
          <w:rFonts w:hint="eastAsia" w:eastAsia="方正仿宋_GBK"/>
          <w:color w:val="000000"/>
          <w:spacing w:val="-2"/>
          <w:sz w:val="24"/>
        </w:rPr>
        <w:t>施工作业发现文物、爆炸物以及不明的电缆、管道和构筑物时，应当停止施工，保护现场，并向建设单位和有关主管部门报告。经有关主管部门同意，并采取相应补救措施确认安全后，方可恢复施工。</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第二十一条 </w:t>
      </w:r>
      <w:r>
        <w:rPr>
          <w:rFonts w:eastAsia="方正仿宋_GBK"/>
          <w:color w:val="000000"/>
          <w:spacing w:val="-2"/>
          <w:sz w:val="24"/>
        </w:rPr>
        <w:t xml:space="preserve"> </w:t>
      </w:r>
      <w:r>
        <w:rPr>
          <w:rFonts w:hint="eastAsia" w:eastAsia="方正仿宋_GBK"/>
          <w:color w:val="000000"/>
          <w:spacing w:val="-2"/>
          <w:sz w:val="24"/>
        </w:rPr>
        <w:t>施工作业时，应当采取有效降尘措施，减少对环境的污染。拆卸的各种材料、构件应当及时清理，堆放整齐。建筑垃圾应当及时清运至城市管理部门指定的场所，禁止在施工现场焚烧废弃物。</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第二十二条</w:t>
      </w:r>
      <w:r>
        <w:rPr>
          <w:rFonts w:eastAsia="方正仿宋_GBK"/>
          <w:color w:val="000000"/>
          <w:spacing w:val="-2"/>
          <w:sz w:val="24"/>
        </w:rPr>
        <w:t xml:space="preserve">  </w:t>
      </w:r>
      <w:r>
        <w:rPr>
          <w:rFonts w:hint="eastAsia" w:eastAsia="方正仿宋_GBK"/>
          <w:color w:val="000000"/>
          <w:spacing w:val="-2"/>
          <w:sz w:val="24"/>
        </w:rPr>
        <w:t>施工作业结束后应当及时平整场地，做到场清地平，修复因施工损坏的市政公用设施。</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 xml:space="preserve">第二十三条 </w:t>
      </w:r>
      <w:r>
        <w:rPr>
          <w:rFonts w:eastAsia="方正仿宋_GBK"/>
          <w:color w:val="000000"/>
          <w:spacing w:val="-2"/>
          <w:sz w:val="24"/>
        </w:rPr>
        <w:t xml:space="preserve"> </w:t>
      </w:r>
      <w:r>
        <w:rPr>
          <w:rFonts w:hint="eastAsia" w:eastAsia="方正仿宋_GBK"/>
          <w:color w:val="000000"/>
          <w:spacing w:val="-2"/>
          <w:sz w:val="24"/>
        </w:rPr>
        <w:t>建设单位应当对拆除施工活动进行综合协调，按文明施工的要求检查督促施工安全和环境卫生。</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施工活动中发生安全事故时，施工单位、建设单位应当做好抢险和救护工作，并立即向工程所在地公安、应急管理和建设等行政主管部门报告。</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事故的调查处理按照国家和省有关法律、法规、规章和规定执行。</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第二十四条</w:t>
      </w:r>
      <w:r>
        <w:rPr>
          <w:rFonts w:eastAsia="方正仿宋_GBK"/>
          <w:color w:val="000000"/>
          <w:spacing w:val="-2"/>
          <w:sz w:val="24"/>
        </w:rPr>
        <w:t xml:space="preserve">  </w:t>
      </w:r>
      <w:r>
        <w:rPr>
          <w:rFonts w:hint="eastAsia" w:eastAsia="方正仿宋_GBK"/>
          <w:color w:val="000000"/>
          <w:spacing w:val="-2"/>
          <w:sz w:val="24"/>
        </w:rPr>
        <w:t>建设单位未按本办法规定向施工单位提供相关资料，造成生产安全事故的，建设单位为第一责任人；施工单位施工操作不当，造成生产安全事故的，施工单位为第一责任人。</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第二十五条</w:t>
      </w:r>
      <w:r>
        <w:rPr>
          <w:rFonts w:eastAsia="方正仿宋_GBK"/>
          <w:color w:val="000000"/>
          <w:spacing w:val="-2"/>
          <w:sz w:val="24"/>
        </w:rPr>
        <w:t xml:space="preserve">  </w:t>
      </w:r>
      <w:r>
        <w:rPr>
          <w:rFonts w:hint="eastAsia" w:eastAsia="方正仿宋_GBK"/>
          <w:color w:val="000000"/>
          <w:spacing w:val="-2"/>
          <w:sz w:val="24"/>
        </w:rPr>
        <w:t>原《江苏省房屋建筑拆除工程施工安全管理规定》［省建设厅、省建筑工程管理局、省安全生产监督管理局苏建法（</w:t>
      </w:r>
      <w:r>
        <w:rPr>
          <w:rFonts w:eastAsia="方正仿宋_GBK"/>
          <w:color w:val="000000"/>
          <w:spacing w:val="-2"/>
          <w:sz w:val="24"/>
        </w:rPr>
        <w:t>2003</w:t>
      </w:r>
      <w:r>
        <w:rPr>
          <w:rFonts w:hint="eastAsia" w:eastAsia="方正仿宋_GBK"/>
          <w:color w:val="000000"/>
          <w:spacing w:val="-2"/>
          <w:sz w:val="24"/>
        </w:rPr>
        <w:t>）</w:t>
      </w:r>
      <w:r>
        <w:rPr>
          <w:rFonts w:eastAsia="方正仿宋_GBK"/>
          <w:color w:val="000000"/>
          <w:spacing w:val="-2"/>
          <w:sz w:val="24"/>
        </w:rPr>
        <w:t>151</w:t>
      </w:r>
      <w:r>
        <w:rPr>
          <w:rFonts w:hint="eastAsia" w:eastAsia="方正仿宋_GBK"/>
          <w:color w:val="000000"/>
          <w:spacing w:val="-2"/>
          <w:sz w:val="24"/>
        </w:rPr>
        <w:t>号］废止。</w:t>
      </w:r>
      <w:r>
        <w:rPr>
          <w:rFonts w:eastAsia="方正仿宋_GBK"/>
          <w:color w:val="000000"/>
          <w:spacing w:val="-2"/>
          <w:sz w:val="24"/>
        </w:rPr>
        <w:t xml:space="preserve"> </w:t>
      </w:r>
    </w:p>
    <w:p>
      <w:pPr>
        <w:spacing w:line="460" w:lineRule="exact"/>
        <w:ind w:firstLine="472" w:firstLineChars="200"/>
        <w:rPr>
          <w:kern w:val="0"/>
          <w:szCs w:val="32"/>
        </w:rPr>
      </w:pPr>
      <w:r>
        <w:rPr>
          <w:rFonts w:hint="eastAsia" w:ascii="Times New Roman" w:eastAsia="方正黑体_GBK"/>
          <w:color w:val="000000"/>
          <w:spacing w:val="-2"/>
          <w:sz w:val="24"/>
        </w:rPr>
        <w:t xml:space="preserve">第二十六条 </w:t>
      </w:r>
      <w:r>
        <w:rPr>
          <w:rFonts w:eastAsia="方正仿宋_GBK"/>
          <w:color w:val="000000"/>
          <w:spacing w:val="-2"/>
          <w:sz w:val="24"/>
        </w:rPr>
        <w:t xml:space="preserve"> </w:t>
      </w:r>
      <w:r>
        <w:rPr>
          <w:rFonts w:hint="eastAsia" w:eastAsia="方正仿宋_GBK"/>
          <w:color w:val="000000"/>
          <w:spacing w:val="-2"/>
          <w:sz w:val="24"/>
        </w:rPr>
        <w:t>本办法自</w:t>
      </w:r>
      <w:r>
        <w:rPr>
          <w:rFonts w:eastAsia="方正仿宋_GBK"/>
          <w:color w:val="000000"/>
          <w:spacing w:val="-2"/>
          <w:sz w:val="24"/>
        </w:rPr>
        <w:t>2010</w:t>
      </w:r>
      <w:r>
        <w:rPr>
          <w:rFonts w:hint="eastAsia" w:eastAsia="方正仿宋_GBK"/>
          <w:color w:val="000000"/>
          <w:spacing w:val="-2"/>
          <w:sz w:val="24"/>
        </w:rPr>
        <w:t>年</w:t>
      </w:r>
      <w:r>
        <w:rPr>
          <w:rFonts w:eastAsia="方正仿宋_GBK"/>
          <w:color w:val="000000"/>
          <w:spacing w:val="-2"/>
          <w:sz w:val="24"/>
        </w:rPr>
        <w:t>9</w:t>
      </w:r>
      <w:r>
        <w:rPr>
          <w:rFonts w:hint="eastAsia" w:eastAsia="方正仿宋_GBK"/>
          <w:color w:val="000000"/>
          <w:spacing w:val="-2"/>
          <w:sz w:val="24"/>
        </w:rPr>
        <w:t>月</w:t>
      </w:r>
      <w:r>
        <w:rPr>
          <w:rFonts w:eastAsia="方正仿宋_GBK"/>
          <w:color w:val="000000"/>
          <w:spacing w:val="-2"/>
          <w:sz w:val="24"/>
        </w:rPr>
        <w:t>4</w:t>
      </w:r>
      <w:r>
        <w:rPr>
          <w:rFonts w:hint="eastAsia" w:eastAsia="方正仿宋_GBK"/>
          <w:color w:val="000000"/>
          <w:spacing w:val="-2"/>
          <w:sz w:val="24"/>
        </w:rPr>
        <w:t>日起执行。</w:t>
      </w:r>
      <w:r>
        <w:rPr>
          <w:rFonts w:eastAsia="方正仿宋_GBK"/>
          <w:color w:val="000000"/>
          <w:spacing w:val="-2"/>
          <w:sz w:val="24"/>
        </w:rPr>
        <w:t xml:space="preserve"> </w:t>
      </w:r>
    </w:p>
    <w:p/>
    <w:p/>
    <w:p/>
    <w:p/>
    <w:p/>
    <w:p/>
    <w:p/>
    <w:p/>
    <w:p/>
    <w:p/>
    <w:p/>
    <w:p/>
    <w:p/>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505" w:name="_Toc18315716"/>
      <w:bookmarkStart w:id="506" w:name="_Toc20726575"/>
      <w:r>
        <w:rPr>
          <w:rFonts w:hint="eastAsia" w:ascii="Times New Roman" w:eastAsia="方正小标宋_GBK"/>
          <w:b w:val="0"/>
          <w:sz w:val="36"/>
          <w:szCs w:val="36"/>
        </w:rPr>
        <w:t>关于加强全省建筑安全生产责任追究若干意见的通知</w:t>
      </w:r>
      <w:bookmarkEnd w:id="505"/>
      <w:bookmarkEnd w:id="506"/>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507" w:name="_Toc18315717"/>
      <w:bookmarkStart w:id="508" w:name="_Toc20726576"/>
      <w:r>
        <w:rPr>
          <w:rFonts w:hint="eastAsia" w:ascii="Times New Roman" w:hAnsi="Times New Roman" w:eastAsia="方正楷体_GBK"/>
          <w:b w:val="0"/>
          <w:sz w:val="24"/>
          <w:szCs w:val="24"/>
        </w:rPr>
        <w:t>苏建质安〔</w:t>
      </w:r>
      <w:r>
        <w:rPr>
          <w:rFonts w:ascii="Times New Roman" w:hAnsi="Times New Roman" w:eastAsia="方正楷体_GBK"/>
          <w:b w:val="0"/>
          <w:sz w:val="24"/>
          <w:szCs w:val="24"/>
        </w:rPr>
        <w:t>2011</w:t>
      </w:r>
      <w:r>
        <w:rPr>
          <w:rFonts w:hint="eastAsia" w:ascii="Times New Roman" w:hAnsi="Times New Roman" w:eastAsia="方正楷体_GBK"/>
          <w:b w:val="0"/>
          <w:sz w:val="24"/>
          <w:szCs w:val="24"/>
        </w:rPr>
        <w:t>〕</w:t>
      </w:r>
      <w:r>
        <w:rPr>
          <w:rFonts w:ascii="Times New Roman" w:hAnsi="Times New Roman" w:eastAsia="方正楷体_GBK"/>
          <w:b w:val="0"/>
          <w:sz w:val="24"/>
          <w:szCs w:val="24"/>
        </w:rPr>
        <w:t>847</w:t>
      </w:r>
      <w:r>
        <w:rPr>
          <w:rFonts w:hint="eastAsia" w:ascii="Times New Roman" w:hAnsi="Times New Roman" w:eastAsia="方正楷体_GBK"/>
          <w:b w:val="0"/>
          <w:sz w:val="24"/>
          <w:szCs w:val="24"/>
        </w:rPr>
        <w:t>号</w:t>
      </w:r>
      <w:bookmarkEnd w:id="507"/>
      <w:bookmarkEnd w:id="508"/>
    </w:p>
    <w:p>
      <w:pPr>
        <w:shd w:val="clear" w:color="auto" w:fill="FFFFFF"/>
        <w:spacing w:line="460" w:lineRule="exact"/>
        <w:rPr>
          <w:rFonts w:eastAsia="方正仿宋_GBK"/>
          <w:color w:val="000000"/>
          <w:kern w:val="0"/>
          <w:sz w:val="24"/>
        </w:rPr>
      </w:pPr>
      <w:r>
        <w:rPr>
          <w:rFonts w:hint="eastAsia" w:eastAsia="方正仿宋_GBK"/>
          <w:color w:val="000000"/>
          <w:kern w:val="0"/>
          <w:sz w:val="24"/>
        </w:rPr>
        <w:t>各设区市建设局（委），泰州市建工局，苏州工业园区规划建设委员会、张家港保税区规划建设局，昆山市、泰兴市、沭阳县建设局：</w:t>
      </w:r>
    </w:p>
    <w:p>
      <w:pPr>
        <w:shd w:val="clear" w:color="auto" w:fill="FFFFFF"/>
        <w:spacing w:line="460" w:lineRule="exact"/>
        <w:ind w:firstLine="480" w:firstLineChars="200"/>
        <w:rPr>
          <w:rFonts w:eastAsia="方正仿宋_GBK"/>
          <w:color w:val="000000"/>
          <w:sz w:val="24"/>
        </w:rPr>
      </w:pPr>
      <w:r>
        <w:rPr>
          <w:rFonts w:hint="eastAsia" w:eastAsia="方正仿宋_GBK"/>
          <w:color w:val="000000"/>
          <w:sz w:val="24"/>
        </w:rPr>
        <w:t>为进一步加大建筑施工安全生产监管力度，坚持</w:t>
      </w:r>
      <w:r>
        <w:rPr>
          <w:rFonts w:eastAsia="方正仿宋_GBK"/>
          <w:color w:val="000000"/>
          <w:sz w:val="24"/>
        </w:rPr>
        <w:t>“</w:t>
      </w:r>
      <w:r>
        <w:rPr>
          <w:rFonts w:hint="eastAsia" w:eastAsia="方正仿宋_GBK"/>
          <w:color w:val="000000"/>
          <w:sz w:val="24"/>
        </w:rPr>
        <w:t>安全第一、预防为主、综合治理</w:t>
      </w:r>
      <w:r>
        <w:rPr>
          <w:rFonts w:eastAsia="方正仿宋_GBK"/>
          <w:color w:val="000000"/>
          <w:sz w:val="24"/>
        </w:rPr>
        <w:t>”</w:t>
      </w:r>
      <w:r>
        <w:rPr>
          <w:rFonts w:hint="eastAsia" w:eastAsia="方正仿宋_GBK"/>
          <w:color w:val="000000"/>
          <w:sz w:val="24"/>
        </w:rPr>
        <w:t>的方针，强化协调联动、齐抓共管机制，着力推进企业安全生产主体责任落实，实现</w:t>
      </w:r>
      <w:r>
        <w:rPr>
          <w:rFonts w:eastAsia="方正仿宋_GBK"/>
          <w:color w:val="000000"/>
          <w:sz w:val="24"/>
        </w:rPr>
        <w:t>“</w:t>
      </w:r>
      <w:r>
        <w:rPr>
          <w:rFonts w:hint="eastAsia" w:eastAsia="方正仿宋_GBK"/>
          <w:color w:val="000000"/>
          <w:sz w:val="24"/>
        </w:rPr>
        <w:t>压降一般事故、遏制较大事故、杜绝重特大事故</w:t>
      </w:r>
      <w:r>
        <w:rPr>
          <w:rFonts w:eastAsia="方正仿宋_GBK"/>
          <w:color w:val="000000"/>
          <w:sz w:val="24"/>
        </w:rPr>
        <w:t>”</w:t>
      </w:r>
      <w:r>
        <w:rPr>
          <w:rFonts w:hint="eastAsia" w:eastAsia="方正仿宋_GBK"/>
          <w:color w:val="000000"/>
          <w:sz w:val="24"/>
        </w:rPr>
        <w:t>的目标，根据《安全生产法》、《建设工程安全生产管理条例》、《安全生产许可证条例》、《安全生产事故报告和调查处理条例》等法律法规以及《中共中央国务院关于推进安全生产领域改革发展的意见》等文件的精神，结合我省实际，对建筑安全生产责任追究，提出如下意见：</w:t>
      </w:r>
    </w:p>
    <w:p>
      <w:pPr>
        <w:spacing w:line="460" w:lineRule="exact"/>
        <w:ind w:firstLine="475" w:firstLineChars="198"/>
        <w:rPr>
          <w:rFonts w:eastAsia="方正仿宋_GBK"/>
          <w:color w:val="000000"/>
          <w:sz w:val="24"/>
        </w:rPr>
      </w:pPr>
      <w:r>
        <w:rPr>
          <w:rFonts w:hint="eastAsia" w:eastAsia="方正仿宋_GBK"/>
          <w:color w:val="000000"/>
          <w:sz w:val="24"/>
        </w:rPr>
        <w:t>一、建筑施工企业发生建筑施工安全生产责任事故的，发证机关依照《建筑施工企业安全生产许可证管理规定》和《建筑施工企业安全生产许可证动态监管暂行办法》，对其实施安全生产许可证作出暂扣处罚，暂扣期间，不得承揽新的工程项目。</w:t>
      </w:r>
    </w:p>
    <w:p>
      <w:pPr>
        <w:adjustRightInd w:val="0"/>
        <w:snapToGrid w:val="0"/>
        <w:spacing w:line="460" w:lineRule="exact"/>
        <w:ind w:firstLine="480" w:firstLineChars="200"/>
        <w:rPr>
          <w:rFonts w:eastAsia="方正仿宋_GBK"/>
          <w:color w:val="000000"/>
          <w:sz w:val="24"/>
        </w:rPr>
      </w:pPr>
      <w:r>
        <w:rPr>
          <w:rFonts w:hint="eastAsia" w:eastAsia="方正仿宋_GBK"/>
          <w:color w:val="000000"/>
          <w:sz w:val="24"/>
        </w:rPr>
        <w:t>二、建筑施工企业发生建筑施工安全生产责任事故的，发证机关依照《建筑施工企业主要负责人、项目负责人和专职安全生产管理人员安全生产管理规定》、</w:t>
      </w:r>
      <w:bookmarkStart w:id="509" w:name="建筑施工企业安全生产许可证管理规定实施意见"/>
      <w:r>
        <w:rPr>
          <w:rFonts w:hint="eastAsia" w:eastAsia="方正仿宋_GBK"/>
          <w:color w:val="000000"/>
          <w:sz w:val="24"/>
        </w:rPr>
        <w:t>《建筑施工企业主要负责人、项目负责人和专职安全生产管理人员安全生产管理规定实施意见》</w:t>
      </w:r>
      <w:bookmarkEnd w:id="509"/>
      <w:r>
        <w:rPr>
          <w:rFonts w:hint="eastAsia" w:eastAsia="方正仿宋_GBK"/>
          <w:color w:val="000000"/>
          <w:sz w:val="24"/>
        </w:rPr>
        <w:t>，对其责任人（企业主要负责人、项目负责人和专职安全生产管理人员）的安全生产合格证作出如下处理：</w:t>
      </w:r>
    </w:p>
    <w:p>
      <w:pPr>
        <w:spacing w:line="460" w:lineRule="exact"/>
        <w:ind w:firstLine="475" w:firstLineChars="198"/>
        <w:rPr>
          <w:rFonts w:eastAsia="方正仿宋_GBK"/>
          <w:color w:val="000000"/>
          <w:sz w:val="24"/>
        </w:rPr>
      </w:pPr>
      <w:r>
        <w:rPr>
          <w:rFonts w:eastAsia="方正仿宋_GBK"/>
          <w:color w:val="000000"/>
          <w:sz w:val="24"/>
        </w:rPr>
        <w:t>1</w:t>
      </w:r>
      <w:r>
        <w:rPr>
          <w:rFonts w:hint="eastAsia" w:eastAsia="方正仿宋_GBK"/>
          <w:color w:val="000000"/>
          <w:sz w:val="24"/>
        </w:rPr>
        <w:t>、发生一般安全生产事故，死亡</w:t>
      </w:r>
      <w:r>
        <w:rPr>
          <w:rFonts w:eastAsia="方正仿宋_GBK"/>
          <w:color w:val="000000"/>
          <w:sz w:val="24"/>
        </w:rPr>
        <w:t>1</w:t>
      </w:r>
      <w:r>
        <w:rPr>
          <w:rFonts w:hint="eastAsia" w:eastAsia="方正仿宋_GBK"/>
          <w:color w:val="000000"/>
          <w:sz w:val="24"/>
        </w:rPr>
        <w:t>人的，暂扣专职安全生产管理人员</w:t>
      </w:r>
      <w:r>
        <w:rPr>
          <w:rFonts w:eastAsia="方正仿宋_GBK"/>
          <w:color w:val="000000"/>
          <w:sz w:val="24"/>
        </w:rPr>
        <w:t>6</w:t>
      </w:r>
      <w:r>
        <w:rPr>
          <w:rFonts w:hint="eastAsia" w:eastAsia="方正仿宋_GBK"/>
          <w:color w:val="000000"/>
          <w:sz w:val="24"/>
        </w:rPr>
        <w:t>个月安全生产考核合格证，死亡</w:t>
      </w:r>
      <w:r>
        <w:rPr>
          <w:rFonts w:eastAsia="方正仿宋_GBK"/>
          <w:color w:val="000000"/>
          <w:sz w:val="24"/>
        </w:rPr>
        <w:t>2</w:t>
      </w:r>
      <w:r>
        <w:rPr>
          <w:rFonts w:hint="eastAsia" w:eastAsia="方正仿宋_GBK"/>
          <w:color w:val="000000"/>
          <w:sz w:val="24"/>
        </w:rPr>
        <w:t>人的，暂扣专职安全生产管理人员</w:t>
      </w:r>
      <w:r>
        <w:rPr>
          <w:rFonts w:eastAsia="方正仿宋_GBK"/>
          <w:color w:val="000000"/>
          <w:sz w:val="24"/>
        </w:rPr>
        <w:t>1</w:t>
      </w:r>
      <w:r>
        <w:rPr>
          <w:rFonts w:hint="eastAsia" w:eastAsia="方正仿宋_GBK"/>
          <w:color w:val="000000"/>
          <w:sz w:val="24"/>
        </w:rPr>
        <w:t>年安全生产考核合格证；</w:t>
      </w:r>
    </w:p>
    <w:p>
      <w:pPr>
        <w:spacing w:line="460" w:lineRule="exact"/>
        <w:ind w:firstLine="475" w:firstLineChars="198"/>
        <w:rPr>
          <w:rFonts w:eastAsia="方正仿宋_GBK"/>
          <w:color w:val="000000"/>
          <w:sz w:val="24"/>
        </w:rPr>
      </w:pPr>
      <w:r>
        <w:rPr>
          <w:rFonts w:eastAsia="方正仿宋_GBK"/>
          <w:color w:val="000000"/>
          <w:sz w:val="24"/>
        </w:rPr>
        <w:t>2</w:t>
      </w:r>
      <w:r>
        <w:rPr>
          <w:rFonts w:hint="eastAsia" w:eastAsia="方正仿宋_GBK"/>
          <w:color w:val="000000"/>
          <w:sz w:val="24"/>
        </w:rPr>
        <w:t>、发生较大及以上安全生产事故，吊销施工企业主要负责人、项目负责人和专职安全生产管理人员安全生产考核合格证。</w:t>
      </w:r>
    </w:p>
    <w:p>
      <w:pPr>
        <w:spacing w:line="460" w:lineRule="exact"/>
        <w:ind w:firstLine="475" w:firstLineChars="198"/>
        <w:rPr>
          <w:rFonts w:eastAsia="方正仿宋_GBK"/>
          <w:color w:val="000000"/>
          <w:sz w:val="24"/>
        </w:rPr>
      </w:pPr>
      <w:r>
        <w:rPr>
          <w:rFonts w:hint="eastAsia" w:eastAsia="方正仿宋_GBK"/>
          <w:color w:val="000000"/>
          <w:sz w:val="24"/>
        </w:rPr>
        <w:t>以上所述责任人在安全生产考核合格证暂扣期内，不得从事建筑施工安全生产工作。安全生产考核合格证吊销后，一年之内不得申领。安全生产考核合格证暂扣或吊销起始时间自事故处罚决定作出之日起计算。</w:t>
      </w:r>
    </w:p>
    <w:p>
      <w:pPr>
        <w:keepNext/>
        <w:keepLines/>
        <w:shd w:val="clear" w:color="auto" w:fill="FFFFFF"/>
        <w:spacing w:line="460" w:lineRule="exact"/>
        <w:ind w:right="150" w:firstLine="480" w:firstLineChars="200"/>
        <w:outlineLvl w:val="0"/>
        <w:rPr>
          <w:rFonts w:eastAsia="方正仿宋_GBK"/>
          <w:color w:val="000000"/>
          <w:sz w:val="24"/>
        </w:rPr>
      </w:pPr>
      <w:bookmarkStart w:id="510" w:name="_Toc18315718"/>
      <w:bookmarkStart w:id="511" w:name="_Toc20668048"/>
      <w:bookmarkStart w:id="512" w:name="_Toc20726577"/>
      <w:r>
        <w:rPr>
          <w:rFonts w:hint="eastAsia" w:eastAsia="方正仿宋_GBK"/>
          <w:color w:val="000000"/>
          <w:sz w:val="24"/>
        </w:rPr>
        <w:t>三、因监理企业和注册监理工程师在工程监理过程中未履行监理职责，导致发生建筑施工安全生产事故发生的，发证机关和工程所在地建设主管部门应依据《建设工程安全生产管理条例》对其作出处罚。</w:t>
      </w:r>
      <w:bookmarkEnd w:id="510"/>
      <w:bookmarkEnd w:id="511"/>
      <w:bookmarkEnd w:id="512"/>
    </w:p>
    <w:p>
      <w:pPr>
        <w:spacing w:line="460" w:lineRule="exact"/>
        <w:ind w:firstLine="475" w:firstLineChars="198"/>
        <w:rPr>
          <w:rFonts w:eastAsia="方正仿宋_GBK"/>
          <w:color w:val="000000"/>
          <w:sz w:val="24"/>
        </w:rPr>
      </w:pPr>
      <w:r>
        <w:rPr>
          <w:rFonts w:hint="eastAsia" w:eastAsia="方正仿宋_GBK"/>
          <w:color w:val="000000"/>
          <w:sz w:val="24"/>
        </w:rPr>
        <w:t>四、省外建筑施工、监理企业在我省承接工程施工、监理过程中，因降低安全生产条件和未履行监理职责而导致发生建筑施工安全生产责任事故的，依据相关规定将建筑施工、监理企业列入黑名单，实施联合惩戒，依法采取市场禁入等措施。</w:t>
      </w:r>
    </w:p>
    <w:p>
      <w:pPr>
        <w:spacing w:line="460" w:lineRule="exact"/>
        <w:ind w:firstLine="475" w:firstLineChars="198"/>
        <w:rPr>
          <w:rFonts w:eastAsia="方正仿宋_GBK"/>
          <w:color w:val="000000"/>
          <w:sz w:val="24"/>
        </w:rPr>
      </w:pPr>
      <w:r>
        <w:rPr>
          <w:rFonts w:hint="eastAsia" w:eastAsia="方正仿宋_GBK"/>
          <w:color w:val="000000"/>
          <w:sz w:val="24"/>
        </w:rPr>
        <w:t>五、建筑施工、监理企业在其申请建筑业企业资质升级、资质增项时，资质许可机关应依照《建筑业企业资质管理规定》，对申请之日起前一年至资质许可决定作出前，发生过一般以上安全事故的，不予批准。发生过重或特大安全生产事故的，资质许可机关应自安全生产许可证处罚之日起，降低建筑施工、监理企业资质等级或吊销资质证书。</w:t>
      </w:r>
    </w:p>
    <w:p>
      <w:pPr>
        <w:spacing w:line="460" w:lineRule="exact"/>
        <w:ind w:firstLine="475" w:firstLineChars="198"/>
        <w:rPr>
          <w:rFonts w:eastAsia="方正仿宋_GBK"/>
          <w:color w:val="000000"/>
          <w:sz w:val="24"/>
        </w:rPr>
      </w:pPr>
      <w:r>
        <w:rPr>
          <w:rFonts w:hint="eastAsia" w:eastAsia="方正仿宋_GBK"/>
          <w:color w:val="000000"/>
          <w:sz w:val="24"/>
        </w:rPr>
        <w:t>六、各级建设行政主管部门在安全监督检查中，发现建筑施工企业降低安全生产条件的，应根据《建筑施工企业安全生产许可证动态监管暂行办法》，对其进行相应处罚。</w:t>
      </w:r>
      <w:r>
        <w:rPr>
          <w:rFonts w:hint="eastAsia" w:eastAsia="方正仿宋_GBK"/>
          <w:color w:val="000000"/>
          <w:spacing w:val="-8"/>
          <w:sz w:val="24"/>
        </w:rPr>
        <w:t>建筑施工企业因</w:t>
      </w:r>
      <w:r>
        <w:rPr>
          <w:rFonts w:hint="eastAsia" w:eastAsia="方正仿宋_GBK"/>
          <w:color w:val="000000"/>
          <w:sz w:val="24"/>
        </w:rPr>
        <w:t>安全生产条件降低，导致</w:t>
      </w:r>
      <w:r>
        <w:rPr>
          <w:rFonts w:hint="eastAsia" w:eastAsia="方正仿宋_GBK"/>
          <w:color w:val="000000"/>
          <w:spacing w:val="-8"/>
          <w:sz w:val="24"/>
        </w:rPr>
        <w:t>发生安全生产责任事故的，自事故通报之日起，事故所在地设区市建设行政主管部门应将其列入黑名单，按照</w:t>
      </w:r>
      <w:r>
        <w:rPr>
          <w:rFonts w:eastAsia="方正仿宋_GBK"/>
          <w:color w:val="000000"/>
          <w:spacing w:val="-8"/>
          <w:sz w:val="24"/>
        </w:rPr>
        <w:t>“</w:t>
      </w:r>
      <w:r>
        <w:rPr>
          <w:rFonts w:hint="eastAsia" w:eastAsia="方正仿宋_GBK"/>
          <w:color w:val="000000"/>
          <w:spacing w:val="-8"/>
          <w:sz w:val="24"/>
        </w:rPr>
        <w:t>四不放过</w:t>
      </w:r>
      <w:r>
        <w:rPr>
          <w:rFonts w:eastAsia="方正仿宋_GBK"/>
          <w:color w:val="000000"/>
          <w:spacing w:val="-8"/>
          <w:sz w:val="24"/>
        </w:rPr>
        <w:t>”</w:t>
      </w:r>
      <w:r>
        <w:rPr>
          <w:rFonts w:hint="eastAsia" w:eastAsia="方正仿宋_GBK"/>
          <w:color w:val="000000"/>
          <w:spacing w:val="-8"/>
          <w:sz w:val="24"/>
        </w:rPr>
        <w:t>原则，限制其进入招标市场。</w:t>
      </w:r>
    </w:p>
    <w:p>
      <w:pPr>
        <w:spacing w:line="460" w:lineRule="exact"/>
        <w:ind w:firstLine="475" w:firstLineChars="198"/>
        <w:rPr>
          <w:rFonts w:eastAsia="方正仿宋_GBK"/>
          <w:color w:val="000000"/>
          <w:sz w:val="24"/>
        </w:rPr>
      </w:pPr>
      <w:r>
        <w:rPr>
          <w:rFonts w:hint="eastAsia" w:eastAsia="方正仿宋_GBK"/>
          <w:color w:val="000000"/>
          <w:sz w:val="24"/>
        </w:rPr>
        <w:t>七、凡在建设过程中发生一般以上安全生产事故的工程项目，取消该项目参加各类评优评奖资格。</w:t>
      </w:r>
    </w:p>
    <w:p>
      <w:pPr>
        <w:spacing w:line="460" w:lineRule="exact"/>
        <w:ind w:firstLine="475" w:firstLineChars="198"/>
        <w:rPr>
          <w:rFonts w:eastAsia="方正仿宋_GBK"/>
          <w:color w:val="000000"/>
          <w:sz w:val="24"/>
        </w:rPr>
      </w:pPr>
      <w:r>
        <w:rPr>
          <w:rFonts w:hint="eastAsia" w:eastAsia="方正仿宋_GBK"/>
          <w:color w:val="000000"/>
          <w:sz w:val="24"/>
        </w:rPr>
        <w:t>八、凡在辖区内，发生</w:t>
      </w:r>
      <w:r>
        <w:rPr>
          <w:rFonts w:eastAsia="方正仿宋_GBK"/>
          <w:color w:val="000000"/>
          <w:sz w:val="24"/>
        </w:rPr>
        <w:t>1</w:t>
      </w:r>
      <w:r>
        <w:rPr>
          <w:rFonts w:hint="eastAsia" w:eastAsia="方正仿宋_GBK"/>
          <w:color w:val="000000"/>
          <w:sz w:val="24"/>
        </w:rPr>
        <w:t>起较大以上建筑施工安全生产事故的，取消该地区在本考核年度内</w:t>
      </w:r>
      <w:r>
        <w:rPr>
          <w:rFonts w:eastAsia="方正仿宋_GBK"/>
          <w:color w:val="000000"/>
          <w:sz w:val="24"/>
        </w:rPr>
        <w:t>“</w:t>
      </w:r>
      <w:r>
        <w:rPr>
          <w:rFonts w:hint="eastAsia" w:eastAsia="方正仿宋_GBK"/>
          <w:color w:val="000000"/>
          <w:sz w:val="24"/>
        </w:rPr>
        <w:t>建筑强县</w:t>
      </w:r>
      <w:r>
        <w:rPr>
          <w:rFonts w:eastAsia="方正仿宋_GBK"/>
          <w:color w:val="000000"/>
          <w:sz w:val="24"/>
        </w:rPr>
        <w:t>”</w:t>
      </w:r>
      <w:r>
        <w:rPr>
          <w:rFonts w:hint="eastAsia" w:eastAsia="方正仿宋_GBK"/>
          <w:color w:val="000000"/>
          <w:sz w:val="24"/>
        </w:rPr>
        <w:t>等称号的参评资格。发生</w:t>
      </w:r>
      <w:r>
        <w:rPr>
          <w:rFonts w:eastAsia="方正仿宋_GBK"/>
          <w:color w:val="000000"/>
          <w:sz w:val="24"/>
        </w:rPr>
        <w:t>2</w:t>
      </w:r>
      <w:r>
        <w:rPr>
          <w:rFonts w:hint="eastAsia" w:eastAsia="方正仿宋_GBK"/>
          <w:color w:val="000000"/>
          <w:sz w:val="24"/>
        </w:rPr>
        <w:t>起较大以上建筑施工安全生产事故的，取消该地区在本考核年度内</w:t>
      </w:r>
      <w:r>
        <w:rPr>
          <w:rFonts w:eastAsia="方正仿宋_GBK"/>
          <w:color w:val="000000"/>
          <w:sz w:val="24"/>
        </w:rPr>
        <w:t>“</w:t>
      </w:r>
      <w:r>
        <w:rPr>
          <w:rFonts w:hint="eastAsia" w:eastAsia="方正仿宋_GBK"/>
          <w:color w:val="000000"/>
          <w:sz w:val="24"/>
        </w:rPr>
        <w:t>建筑强市</w:t>
      </w:r>
      <w:r>
        <w:rPr>
          <w:rFonts w:eastAsia="方正仿宋_GBK"/>
          <w:color w:val="000000"/>
          <w:sz w:val="24"/>
        </w:rPr>
        <w:t>”</w:t>
      </w:r>
      <w:r>
        <w:rPr>
          <w:rFonts w:hint="eastAsia" w:eastAsia="方正仿宋_GBK"/>
          <w:color w:val="000000"/>
          <w:sz w:val="24"/>
        </w:rPr>
        <w:t>等称号的参评资格。</w:t>
      </w:r>
    </w:p>
    <w:p>
      <w:pPr>
        <w:spacing w:line="460" w:lineRule="exact"/>
        <w:ind w:firstLine="475" w:firstLineChars="198"/>
        <w:rPr>
          <w:rFonts w:eastAsia="方正仿宋_GBK"/>
          <w:color w:val="000000"/>
          <w:sz w:val="24"/>
        </w:rPr>
      </w:pPr>
      <w:r>
        <w:rPr>
          <w:rFonts w:hint="eastAsia" w:eastAsia="方正仿宋_GBK"/>
          <w:color w:val="000000"/>
          <w:sz w:val="24"/>
        </w:rPr>
        <w:t>凡发生一般及以上建筑施工安全生产事故的企业，取消本考核年度内</w:t>
      </w:r>
      <w:r>
        <w:rPr>
          <w:rFonts w:eastAsia="方正仿宋_GBK"/>
          <w:color w:val="000000"/>
          <w:sz w:val="24"/>
        </w:rPr>
        <w:t>“</w:t>
      </w:r>
      <w:r>
        <w:rPr>
          <w:rFonts w:hint="eastAsia" w:eastAsia="方正仿宋_GBK"/>
          <w:color w:val="000000"/>
          <w:sz w:val="24"/>
        </w:rPr>
        <w:t>百强企业</w:t>
      </w:r>
      <w:r>
        <w:rPr>
          <w:rFonts w:eastAsia="方正仿宋_GBK"/>
          <w:color w:val="000000"/>
          <w:sz w:val="24"/>
        </w:rPr>
        <w:t>”</w:t>
      </w:r>
      <w:r>
        <w:rPr>
          <w:rFonts w:hint="eastAsia" w:eastAsia="方正仿宋_GBK"/>
          <w:color w:val="000000"/>
          <w:sz w:val="24"/>
        </w:rPr>
        <w:t>等称号的参评资格。</w:t>
      </w:r>
    </w:p>
    <w:p>
      <w:pPr>
        <w:spacing w:line="460" w:lineRule="exact"/>
        <w:ind w:firstLine="475" w:firstLineChars="198"/>
        <w:rPr>
          <w:rFonts w:eastAsia="方正仿宋_GBK"/>
          <w:color w:val="000000"/>
          <w:sz w:val="24"/>
        </w:rPr>
      </w:pPr>
      <w:r>
        <w:rPr>
          <w:rFonts w:hint="eastAsia" w:eastAsia="方正仿宋_GBK"/>
          <w:color w:val="000000"/>
          <w:sz w:val="24"/>
        </w:rPr>
        <w:t>九、各级各类行业协会（或社会团体），在组织企业和个人参加各级各类单项或综合性荣誉称号评比时，应报同级建设行政主管部门审查，并得到在本考核年度内该企业或个人安全生产无事故记录的书面确认。</w:t>
      </w:r>
    </w:p>
    <w:p>
      <w:pPr>
        <w:spacing w:line="460" w:lineRule="exact"/>
        <w:ind w:firstLine="475" w:firstLineChars="198"/>
        <w:rPr>
          <w:rFonts w:eastAsia="方正仿宋_GBK"/>
          <w:color w:val="000000"/>
          <w:sz w:val="24"/>
        </w:rPr>
      </w:pPr>
      <w:r>
        <w:rPr>
          <w:rFonts w:hint="eastAsia" w:eastAsia="方正仿宋_GBK"/>
          <w:color w:val="000000"/>
          <w:sz w:val="24"/>
        </w:rPr>
        <w:t>十、省级建设行政主管部门应对事故多发、频发区域建设行政主管部门采取约谈、告诫，各级建设行政主管部门、安全监督机构未能完成年度《建筑施工安全生产目标管理任务书》内容要求的、未及时上报事故情况的、未按规定对事故责任单位和责任人进行严肃查处的，省级建设行政主管部门应对其进行通报批评。</w:t>
      </w:r>
    </w:p>
    <w:p>
      <w:pPr>
        <w:spacing w:line="460" w:lineRule="exact"/>
        <w:ind w:firstLine="475" w:firstLineChars="198"/>
        <w:rPr>
          <w:rFonts w:eastAsia="方正仿宋_GBK"/>
          <w:color w:val="000000"/>
          <w:sz w:val="24"/>
        </w:rPr>
      </w:pPr>
      <w:r>
        <w:rPr>
          <w:rFonts w:hint="eastAsia" w:eastAsia="方正仿宋_GBK"/>
          <w:color w:val="000000"/>
          <w:sz w:val="24"/>
        </w:rPr>
        <w:t>以上通知请各地认真贯彻执行，执行中如有问题和建议，请及时反馈至省住房城乡建设厅工程质量安全监管处。</w:t>
      </w:r>
    </w:p>
    <w:p>
      <w:pPr>
        <w:spacing w:line="460" w:lineRule="exact"/>
        <w:ind w:firstLine="475" w:firstLineChars="198"/>
        <w:rPr>
          <w:rFonts w:eastAsia="方正仿宋_GBK"/>
          <w:color w:val="000000"/>
          <w:sz w:val="24"/>
        </w:rPr>
      </w:pPr>
      <w:r>
        <w:rPr>
          <w:rFonts w:hint="eastAsia" w:eastAsia="方正仿宋_GBK"/>
          <w:color w:val="000000"/>
          <w:sz w:val="24"/>
        </w:rPr>
        <w:t>联系人：徐嘉祥，</w:t>
      </w:r>
      <w:r>
        <w:rPr>
          <w:rFonts w:eastAsia="方正仿宋_GBK"/>
          <w:color w:val="000000"/>
          <w:sz w:val="24"/>
        </w:rPr>
        <w:t>025-51868699</w:t>
      </w:r>
      <w:r>
        <w:rPr>
          <w:rFonts w:hint="eastAsia" w:eastAsia="方正仿宋_GBK"/>
          <w:color w:val="000000"/>
          <w:sz w:val="24"/>
        </w:rPr>
        <w:t>。</w:t>
      </w:r>
    </w:p>
    <w:p>
      <w:pPr>
        <w:spacing w:line="460" w:lineRule="exact"/>
        <w:ind w:right="600" w:firstLine="235" w:firstLineChars="98"/>
        <w:jc w:val="right"/>
        <w:rPr>
          <w:rFonts w:eastAsia="方正仿宋_GBK"/>
          <w:color w:val="000000"/>
          <w:sz w:val="24"/>
        </w:rPr>
      </w:pPr>
    </w:p>
    <w:p>
      <w:pPr>
        <w:spacing w:line="460" w:lineRule="exact"/>
        <w:ind w:right="600" w:firstLine="235" w:firstLineChars="98"/>
        <w:jc w:val="right"/>
        <w:rPr>
          <w:rFonts w:eastAsia="方正仿宋_GBK"/>
          <w:color w:val="000000"/>
          <w:sz w:val="24"/>
        </w:rPr>
      </w:pPr>
      <w:r>
        <w:rPr>
          <w:rFonts w:hint="eastAsia" w:eastAsia="方正仿宋_GBK"/>
          <w:color w:val="000000"/>
          <w:sz w:val="24"/>
        </w:rPr>
        <w:t>江苏省住房和城乡建设厅</w:t>
      </w:r>
    </w:p>
    <w:p>
      <w:pPr>
        <w:spacing w:line="460" w:lineRule="exact"/>
        <w:ind w:right="1080" w:firstLine="235" w:firstLineChars="98"/>
        <w:jc w:val="right"/>
        <w:rPr>
          <w:rFonts w:eastAsia="方正仿宋_GBK"/>
          <w:color w:val="000000"/>
          <w:sz w:val="24"/>
        </w:rPr>
      </w:pPr>
      <w:r>
        <w:rPr>
          <w:rFonts w:eastAsia="方正仿宋_GBK"/>
          <w:color w:val="000000"/>
          <w:sz w:val="24"/>
        </w:rPr>
        <w:t>2017</w:t>
      </w:r>
      <w:r>
        <w:rPr>
          <w:rFonts w:hint="eastAsia" w:eastAsia="方正仿宋_GBK"/>
          <w:color w:val="000000"/>
          <w:sz w:val="24"/>
        </w:rPr>
        <w:t>年</w:t>
      </w:r>
      <w:r>
        <w:rPr>
          <w:rFonts w:eastAsia="方正仿宋_GBK"/>
          <w:color w:val="000000"/>
          <w:sz w:val="24"/>
        </w:rPr>
        <w:t>9</w:t>
      </w:r>
      <w:r>
        <w:rPr>
          <w:rFonts w:hint="eastAsia" w:eastAsia="方正仿宋_GBK"/>
          <w:color w:val="000000"/>
          <w:sz w:val="24"/>
        </w:rPr>
        <w:t>月</w:t>
      </w:r>
      <w:r>
        <w:rPr>
          <w:rFonts w:eastAsia="方正仿宋_GBK"/>
          <w:color w:val="000000"/>
          <w:sz w:val="24"/>
        </w:rPr>
        <w:t>14</w:t>
      </w:r>
      <w:r>
        <w:rPr>
          <w:rFonts w:hint="eastAsia" w:eastAsia="方正仿宋_GBK"/>
          <w:color w:val="000000"/>
          <w:sz w:val="24"/>
        </w:rPr>
        <w:t>日</w:t>
      </w: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jc w:val="center"/>
        <w:rPr>
          <w:rFonts w:eastAsia="方正仿宋_GBK"/>
          <w:color w:val="000000"/>
          <w:spacing w:val="-2"/>
          <w:sz w:val="24"/>
        </w:rPr>
      </w:pPr>
    </w:p>
    <w:p>
      <w:pPr>
        <w:spacing w:line="500" w:lineRule="exact"/>
        <w:ind w:left="-10" w:leftChars="-8" w:hanging="7" w:hangingChars="3"/>
        <w:rPr>
          <w:rFonts w:eastAsia="方正仿宋_GBK"/>
          <w:color w:val="000000"/>
          <w:spacing w:val="-2"/>
          <w:sz w:val="24"/>
        </w:rPr>
      </w:pPr>
    </w:p>
    <w:p/>
    <w:p/>
    <w:p/>
    <w:p/>
    <w:p/>
    <w:p/>
    <w:p/>
    <w:p>
      <w:pPr>
        <w:pStyle w:val="2"/>
        <w:spacing w:before="240" w:beforeLines="100" w:after="240" w:afterLines="100" w:line="240" w:lineRule="auto"/>
        <w:jc w:val="center"/>
        <w:rPr>
          <w:rFonts w:ascii="Times New Roman" w:eastAsia="方正小标宋_GBK"/>
          <w:b w:val="0"/>
          <w:sz w:val="36"/>
          <w:szCs w:val="36"/>
        </w:rPr>
      </w:pPr>
      <w:bookmarkStart w:id="513" w:name="_Toc20726578"/>
      <w:bookmarkStart w:id="514" w:name="_Toc18315719"/>
      <w:r>
        <w:rPr>
          <w:rFonts w:hint="eastAsia" w:ascii="Times New Roman" w:eastAsia="方正小标宋_GBK"/>
          <w:b w:val="0"/>
          <w:sz w:val="36"/>
          <w:szCs w:val="36"/>
        </w:rPr>
        <w:t>省住房城乡建设厅关于转发《住房城乡建设部关于印发 &lt;建筑工程五方责任主体项目负责人质量终身责任追究暂行办法&gt;的通知》的通知</w:t>
      </w:r>
      <w:bookmarkEnd w:id="513"/>
      <w:bookmarkEnd w:id="514"/>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515" w:name="_Toc20726579"/>
      <w:bookmarkStart w:id="516" w:name="_Toc18315720"/>
      <w:r>
        <w:rPr>
          <w:rFonts w:hint="eastAsia" w:ascii="Times New Roman" w:hAnsi="Times New Roman" w:eastAsia="方正楷体_GBK"/>
          <w:b w:val="0"/>
          <w:sz w:val="24"/>
          <w:szCs w:val="24"/>
        </w:rPr>
        <w:t>苏建质安〔</w:t>
      </w:r>
      <w:r>
        <w:rPr>
          <w:rFonts w:ascii="Times New Roman" w:hAnsi="Times New Roman" w:eastAsia="方正楷体_GBK"/>
          <w:b w:val="0"/>
          <w:sz w:val="24"/>
          <w:szCs w:val="24"/>
        </w:rPr>
        <w:t>2014</w:t>
      </w:r>
      <w:r>
        <w:rPr>
          <w:rFonts w:hint="eastAsia" w:ascii="Times New Roman" w:hAnsi="Times New Roman" w:eastAsia="方正楷体_GBK"/>
          <w:b w:val="0"/>
          <w:sz w:val="24"/>
          <w:szCs w:val="24"/>
        </w:rPr>
        <w:t>〕</w:t>
      </w:r>
      <w:r>
        <w:rPr>
          <w:rFonts w:ascii="Times New Roman" w:hAnsi="Times New Roman" w:eastAsia="方正楷体_GBK"/>
          <w:b w:val="0"/>
          <w:sz w:val="24"/>
          <w:szCs w:val="24"/>
        </w:rPr>
        <w:t>533</w:t>
      </w:r>
      <w:r>
        <w:rPr>
          <w:rFonts w:hint="eastAsia" w:ascii="Times New Roman" w:hAnsi="Times New Roman" w:eastAsia="方正楷体_GBK"/>
          <w:b w:val="0"/>
          <w:sz w:val="24"/>
          <w:szCs w:val="24"/>
        </w:rPr>
        <w:t>号</w:t>
      </w:r>
      <w:bookmarkEnd w:id="515"/>
      <w:bookmarkEnd w:id="516"/>
    </w:p>
    <w:p>
      <w:pPr>
        <w:spacing w:line="460" w:lineRule="exact"/>
        <w:rPr>
          <w:rFonts w:eastAsia="方正仿宋_GBK"/>
          <w:color w:val="000000"/>
          <w:spacing w:val="-2"/>
          <w:sz w:val="24"/>
        </w:rPr>
      </w:pPr>
      <w:r>
        <w:rPr>
          <w:rFonts w:hint="eastAsia" w:eastAsia="方正仿宋_GBK"/>
          <w:color w:val="000000"/>
          <w:spacing w:val="-2"/>
          <w:sz w:val="24"/>
        </w:rPr>
        <w:t>各省辖市建设局（委），泰州市建工局，苏州工业园区规划建设局、张家港保税区规划建设局，昆山市、泰兴市、沭阳县建设局：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现将《住房城乡建设部关于印发</w:t>
      </w:r>
      <w:r>
        <w:rPr>
          <w:rFonts w:hint="eastAsia" w:ascii="Times New Roman" w:hAnsi="Times New Roman"/>
          <w:color w:val="000000"/>
          <w:spacing w:val="-2"/>
          <w:sz w:val="24"/>
        </w:rPr>
        <w:t>&lt;</w:t>
      </w:r>
      <w:r>
        <w:rPr>
          <w:rFonts w:hint="eastAsia" w:eastAsia="方正仿宋_GBK"/>
          <w:color w:val="000000"/>
          <w:spacing w:val="-2"/>
          <w:sz w:val="24"/>
        </w:rPr>
        <w:t>建筑工程五方责任主体项目负责人质量终身责任追究暂行办法</w:t>
      </w:r>
      <w:r>
        <w:rPr>
          <w:rFonts w:hint="eastAsia" w:ascii="Times New Roman" w:hAnsi="Times New Roman"/>
          <w:color w:val="000000"/>
          <w:spacing w:val="-2"/>
          <w:sz w:val="24"/>
        </w:rPr>
        <w:t>&gt;</w:t>
      </w:r>
      <w:r>
        <w:rPr>
          <w:rFonts w:hint="eastAsia" w:eastAsia="方正仿宋_GBK"/>
          <w:color w:val="000000"/>
          <w:spacing w:val="-2"/>
          <w:sz w:val="24"/>
        </w:rPr>
        <w:t>的通知》（建质</w:t>
      </w:r>
      <w:r>
        <w:rPr>
          <w:rFonts w:eastAsia="方正仿宋_GBK"/>
          <w:color w:val="000000"/>
          <w:spacing w:val="-2"/>
          <w:sz w:val="24"/>
        </w:rPr>
        <w:t>(2014</w:t>
      </w:r>
      <w:r>
        <w:rPr>
          <w:rFonts w:hint="eastAsia" w:eastAsia="方正仿宋_GBK"/>
          <w:color w:val="000000"/>
          <w:spacing w:val="-2"/>
          <w:sz w:val="24"/>
        </w:rPr>
        <w:t>〕</w:t>
      </w:r>
      <w:r>
        <w:rPr>
          <w:rFonts w:eastAsia="方正仿宋_GBK"/>
          <w:color w:val="000000"/>
          <w:spacing w:val="-2"/>
          <w:sz w:val="24"/>
        </w:rPr>
        <w:t>124</w:t>
      </w:r>
      <w:r>
        <w:rPr>
          <w:rFonts w:hint="eastAsia" w:eastAsia="方正仿宋_GBK"/>
          <w:color w:val="000000"/>
          <w:spacing w:val="-2"/>
          <w:sz w:val="24"/>
        </w:rPr>
        <w:t>号</w:t>
      </w:r>
      <w:r>
        <w:rPr>
          <w:rFonts w:eastAsia="方正仿宋_GBK"/>
          <w:color w:val="000000"/>
          <w:spacing w:val="-2"/>
          <w:sz w:val="24"/>
        </w:rPr>
        <w:t>)</w:t>
      </w:r>
      <w:r>
        <w:rPr>
          <w:rFonts w:hint="eastAsia" w:eastAsia="方正仿宋_GBK"/>
          <w:color w:val="000000"/>
          <w:spacing w:val="-2"/>
          <w:sz w:val="24"/>
        </w:rPr>
        <w:t>转发给你们，并制定了建筑工程五方责任主体项目负责人质量终身责任信息档案、永久性责任标牌式样，请一并认真贯彻落实。</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附件：</w:t>
      </w:r>
      <w:r>
        <w:rPr>
          <w:rFonts w:eastAsia="方正仿宋_GBK"/>
          <w:color w:val="000000"/>
          <w:spacing w:val="-2"/>
          <w:sz w:val="24"/>
        </w:rPr>
        <w:t>1</w:t>
      </w:r>
      <w:r>
        <w:rPr>
          <w:rFonts w:hint="eastAsia" w:eastAsia="方正仿宋_GBK"/>
          <w:color w:val="000000"/>
          <w:spacing w:val="-2"/>
          <w:sz w:val="24"/>
        </w:rPr>
        <w:t>．住房城乡建设部关于印发《建筑工程五方责任主体项目负责人质量终</w:t>
      </w:r>
    </w:p>
    <w:p>
      <w:pPr>
        <w:spacing w:line="460" w:lineRule="exact"/>
        <w:ind w:firstLine="1510" w:firstLineChars="640"/>
        <w:rPr>
          <w:rFonts w:eastAsia="方正仿宋_GBK"/>
          <w:color w:val="000000"/>
          <w:spacing w:val="-2"/>
          <w:sz w:val="24"/>
        </w:rPr>
      </w:pPr>
      <w:r>
        <w:rPr>
          <w:rFonts w:hint="eastAsia" w:eastAsia="方正仿宋_GBK"/>
          <w:color w:val="000000"/>
          <w:spacing w:val="-2"/>
          <w:sz w:val="24"/>
        </w:rPr>
        <w:t>身责任追究暂行办法》的通知（建质〔</w:t>
      </w:r>
      <w:r>
        <w:rPr>
          <w:rFonts w:eastAsia="方正仿宋_GBK"/>
          <w:color w:val="000000"/>
          <w:spacing w:val="-2"/>
          <w:sz w:val="24"/>
        </w:rPr>
        <w:t>2014</w:t>
      </w:r>
      <w:r>
        <w:rPr>
          <w:rFonts w:hint="eastAsia" w:eastAsia="方正仿宋_GBK"/>
          <w:color w:val="000000"/>
          <w:spacing w:val="-2"/>
          <w:sz w:val="24"/>
        </w:rPr>
        <w:t>〕</w:t>
      </w:r>
      <w:r>
        <w:rPr>
          <w:rFonts w:eastAsia="方正仿宋_GBK"/>
          <w:color w:val="000000"/>
          <w:spacing w:val="-2"/>
          <w:sz w:val="24"/>
        </w:rPr>
        <w:t>124</w:t>
      </w:r>
      <w:r>
        <w:rPr>
          <w:rFonts w:hint="eastAsia" w:eastAsia="方正仿宋_GBK"/>
          <w:color w:val="000000"/>
          <w:spacing w:val="-2"/>
          <w:sz w:val="24"/>
        </w:rPr>
        <w:t>号）</w:t>
      </w:r>
    </w:p>
    <w:p>
      <w:pPr>
        <w:spacing w:line="460" w:lineRule="exact"/>
        <w:ind w:firstLine="1187" w:firstLineChars="503"/>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．建筑工程五方责任主体项目负责人质量终身责任信息档案</w:t>
      </w:r>
    </w:p>
    <w:p>
      <w:pPr>
        <w:spacing w:line="460" w:lineRule="exact"/>
        <w:ind w:firstLine="1187" w:firstLineChars="503"/>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．永久性责任标牌式样</w:t>
      </w:r>
    </w:p>
    <w:p>
      <w:pPr>
        <w:spacing w:line="460" w:lineRule="exact"/>
        <w:ind w:firstLine="1187" w:firstLineChars="503"/>
        <w:rPr>
          <w:rFonts w:eastAsia="方正仿宋_GBK"/>
          <w:color w:val="000000"/>
          <w:spacing w:val="-2"/>
          <w:sz w:val="24"/>
        </w:rPr>
      </w:pPr>
    </w:p>
    <w:p>
      <w:pPr>
        <w:spacing w:line="460" w:lineRule="exact"/>
        <w:ind w:firstLine="1187" w:firstLineChars="503"/>
        <w:rPr>
          <w:rFonts w:eastAsia="方正仿宋_GBK"/>
          <w:color w:val="000000"/>
          <w:spacing w:val="-2"/>
          <w:sz w:val="24"/>
        </w:rPr>
      </w:pPr>
    </w:p>
    <w:p>
      <w:pPr>
        <w:spacing w:line="460" w:lineRule="exact"/>
        <w:ind w:right="418" w:rightChars="199" w:firstLine="1187" w:firstLineChars="503"/>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777" w:rightChars="370" w:firstLine="4373" w:firstLineChars="1853"/>
        <w:jc w:val="right"/>
        <w:rPr>
          <w:rFonts w:eastAsia="方正仿宋_GBK"/>
          <w:color w:val="000000"/>
          <w:spacing w:val="-2"/>
          <w:sz w:val="24"/>
        </w:rPr>
      </w:pPr>
      <w:r>
        <w:rPr>
          <w:rFonts w:eastAsia="方正仿宋_GBK"/>
          <w:color w:val="000000"/>
          <w:spacing w:val="-2"/>
          <w:sz w:val="24"/>
        </w:rPr>
        <w:t>2014</w:t>
      </w:r>
      <w:r>
        <w:rPr>
          <w:rFonts w:hint="eastAsia" w:eastAsia="方正仿宋_GBK"/>
          <w:color w:val="000000"/>
          <w:spacing w:val="-2"/>
          <w:sz w:val="24"/>
        </w:rPr>
        <w:t>年</w:t>
      </w:r>
      <w:r>
        <w:rPr>
          <w:rFonts w:eastAsia="方正仿宋_GBK"/>
          <w:color w:val="000000"/>
          <w:spacing w:val="-2"/>
          <w:sz w:val="24"/>
        </w:rPr>
        <w:t>10</w:t>
      </w:r>
      <w:r>
        <w:rPr>
          <w:rFonts w:hint="eastAsia" w:eastAsia="方正仿宋_GBK"/>
          <w:color w:val="000000"/>
          <w:spacing w:val="-2"/>
          <w:sz w:val="24"/>
        </w:rPr>
        <w:t>月</w:t>
      </w:r>
      <w:r>
        <w:rPr>
          <w:rFonts w:eastAsia="方正仿宋_GBK"/>
          <w:color w:val="000000"/>
          <w:spacing w:val="-2"/>
          <w:sz w:val="24"/>
        </w:rPr>
        <w:t>20</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ind w:firstLine="472" w:firstLineChars="200"/>
        <w:rPr>
          <w:rFonts w:eastAsia="方正仿宋_GBK"/>
          <w:color w:val="000000"/>
          <w:spacing w:val="-2"/>
          <w:sz w:val="24"/>
        </w:rPr>
      </w:pPr>
    </w:p>
    <w:p>
      <w:pPr>
        <w:spacing w:line="460" w:lineRule="exact"/>
        <w:rPr>
          <w:rFonts w:ascii="Times New Roman" w:eastAsia="方正黑体_GBK"/>
          <w:color w:val="000000"/>
          <w:spacing w:val="-2"/>
          <w:sz w:val="28"/>
          <w:szCs w:val="28"/>
        </w:rPr>
      </w:pPr>
      <w:r>
        <w:rPr>
          <w:rFonts w:eastAsia="方正仿宋_GBK"/>
          <w:color w:val="000000"/>
          <w:spacing w:val="-2"/>
          <w:sz w:val="24"/>
        </w:rPr>
        <w:br w:type="column"/>
      </w:r>
      <w:r>
        <w:rPr>
          <w:rFonts w:hint="eastAsia" w:ascii="Times New Roman" w:eastAsia="方正黑体_GBK"/>
          <w:color w:val="000000"/>
          <w:spacing w:val="-2"/>
          <w:sz w:val="28"/>
          <w:szCs w:val="28"/>
        </w:rPr>
        <w:t>附件1</w:t>
      </w:r>
    </w:p>
    <w:p>
      <w:pPr>
        <w:spacing w:line="460" w:lineRule="exact"/>
        <w:rPr>
          <w:rFonts w:hint="eastAsia" w:eastAsia="方正仿宋_GBK"/>
          <w:color w:val="000000"/>
          <w:spacing w:val="-2"/>
          <w:sz w:val="24"/>
        </w:rPr>
      </w:pPr>
    </w:p>
    <w:p>
      <w:pPr>
        <w:spacing w:line="460" w:lineRule="exact"/>
        <w:jc w:val="center"/>
        <w:rPr>
          <w:rFonts w:ascii="Times New Roman" w:eastAsia="方正小标宋简体"/>
          <w:color w:val="000000"/>
          <w:spacing w:val="-2"/>
          <w:sz w:val="36"/>
          <w:szCs w:val="36"/>
        </w:rPr>
      </w:pPr>
      <w:r>
        <w:rPr>
          <w:rFonts w:hint="eastAsia" w:ascii="Times New Roman" w:eastAsia="方正小标宋简体"/>
          <w:color w:val="000000"/>
          <w:spacing w:val="-2"/>
          <w:sz w:val="36"/>
          <w:szCs w:val="36"/>
        </w:rPr>
        <w:t>住房城乡建设部关于印发《建筑工程五方责任主体项目</w:t>
      </w:r>
    </w:p>
    <w:p>
      <w:pPr>
        <w:spacing w:line="460" w:lineRule="exact"/>
        <w:jc w:val="center"/>
        <w:rPr>
          <w:rFonts w:hint="eastAsia" w:ascii="Times New Roman" w:eastAsia="方正小标宋简体"/>
          <w:color w:val="000000"/>
          <w:spacing w:val="-2"/>
          <w:sz w:val="36"/>
          <w:szCs w:val="36"/>
        </w:rPr>
      </w:pPr>
      <w:r>
        <w:rPr>
          <w:rFonts w:hint="eastAsia" w:ascii="Times New Roman" w:eastAsia="方正小标宋简体"/>
          <w:color w:val="000000"/>
          <w:spacing w:val="-2"/>
          <w:sz w:val="36"/>
          <w:szCs w:val="36"/>
        </w:rPr>
        <w:t>负责人质量终身责任追究暂行办法》的通知</w:t>
      </w:r>
    </w:p>
    <w:p>
      <w:pPr>
        <w:spacing w:line="460" w:lineRule="exact"/>
        <w:rPr>
          <w:rFonts w:hint="eastAsia" w:eastAsia="方正仿宋_GBK"/>
          <w:color w:val="000000"/>
          <w:spacing w:val="-2"/>
          <w:sz w:val="24"/>
        </w:rPr>
      </w:pPr>
    </w:p>
    <w:p>
      <w:pPr>
        <w:spacing w:line="460" w:lineRule="exact"/>
        <w:jc w:val="center"/>
        <w:rPr>
          <w:rFonts w:eastAsia="方正楷体_GBK"/>
          <w:sz w:val="24"/>
        </w:rPr>
      </w:pPr>
      <w:r>
        <w:rPr>
          <w:rFonts w:hint="eastAsia" w:eastAsia="方正楷体_GBK"/>
          <w:sz w:val="24"/>
        </w:rPr>
        <w:t>建质〔</w:t>
      </w:r>
      <w:r>
        <w:rPr>
          <w:rFonts w:eastAsia="方正楷体_GBK"/>
          <w:sz w:val="24"/>
        </w:rPr>
        <w:t>2014</w:t>
      </w:r>
      <w:r>
        <w:rPr>
          <w:rFonts w:hint="eastAsia" w:eastAsia="方正楷体_GBK"/>
          <w:sz w:val="24"/>
        </w:rPr>
        <w:t>〕</w:t>
      </w:r>
      <w:r>
        <w:rPr>
          <w:rFonts w:eastAsia="方正楷体_GBK"/>
          <w:sz w:val="24"/>
        </w:rPr>
        <w:t>124</w:t>
      </w:r>
      <w:r>
        <w:rPr>
          <w:rFonts w:hint="eastAsia" w:eastAsia="方正楷体_GBK"/>
          <w:sz w:val="24"/>
        </w:rPr>
        <w:t>号</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r>
        <w:rPr>
          <w:rFonts w:hint="eastAsia" w:eastAsia="方正仿宋_GBK"/>
          <w:color w:val="000000"/>
          <w:spacing w:val="-2"/>
          <w:sz w:val="24"/>
        </w:rPr>
        <w:t>各省、自治区住房城乡建设厅，直辖市建委（规委），新疆生产建设兵团建设局：</w:t>
      </w:r>
    </w:p>
    <w:p>
      <w:pPr>
        <w:spacing w:line="460" w:lineRule="exact"/>
        <w:ind w:firstLine="456" w:firstLineChars="200"/>
        <w:rPr>
          <w:rFonts w:eastAsia="方正仿宋_GBK"/>
          <w:color w:val="000000"/>
          <w:spacing w:val="-6"/>
          <w:sz w:val="24"/>
        </w:rPr>
      </w:pPr>
      <w:r>
        <w:rPr>
          <w:rFonts w:hint="eastAsia" w:eastAsia="方正仿宋_GBK"/>
          <w:color w:val="000000"/>
          <w:spacing w:val="-6"/>
          <w:sz w:val="24"/>
        </w:rPr>
        <w:t>为贯彻《建设工程质量管理条例》，强化工程质量终身责任落实，现将《建筑工程五方责任主体项目负责人质量终身责任追究暂行办法》印发给你们，请认真贯彻执行。</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建筑工程五方责任主体项目负责人质量终身责任追究</w:t>
      </w:r>
    </w:p>
    <w:p>
      <w:pPr>
        <w:spacing w:line="460" w:lineRule="exact"/>
        <w:jc w:val="center"/>
        <w:rPr>
          <w:rFonts w:hint="eastAsia" w:ascii="Times New Roman" w:eastAsia="方正黑体_GBK"/>
          <w:color w:val="000000"/>
          <w:spacing w:val="-2"/>
          <w:sz w:val="36"/>
          <w:szCs w:val="36"/>
        </w:rPr>
      </w:pPr>
      <w:r>
        <w:rPr>
          <w:rFonts w:hint="eastAsia" w:ascii="Times New Roman" w:eastAsia="方正黑体_GBK"/>
          <w:color w:val="000000"/>
          <w:spacing w:val="-2"/>
          <w:sz w:val="36"/>
          <w:szCs w:val="36"/>
        </w:rPr>
        <w:t>暂行办法</w:t>
      </w:r>
    </w:p>
    <w:p>
      <w:pPr>
        <w:spacing w:line="460" w:lineRule="exact"/>
        <w:ind w:firstLine="472" w:firstLineChars="200"/>
        <w:jc w:val="center"/>
        <w:rPr>
          <w:rFonts w:hint="eastAsia" w:eastAsia="方正仿宋_GBK"/>
          <w:color w:val="000000"/>
          <w:spacing w:val="-2"/>
          <w:sz w:val="24"/>
        </w:rPr>
      </w:pP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第一条</w:t>
      </w:r>
      <w:r>
        <w:rPr>
          <w:rFonts w:eastAsia="方正仿宋_GBK"/>
          <w:color w:val="000000"/>
          <w:spacing w:val="-2"/>
          <w:sz w:val="24"/>
        </w:rPr>
        <w:t xml:space="preserve">  </w:t>
      </w:r>
      <w:r>
        <w:rPr>
          <w:rFonts w:hint="eastAsia" w:eastAsia="方正仿宋_GBK"/>
          <w:color w:val="000000"/>
          <w:spacing w:val="-2"/>
          <w:sz w:val="24"/>
        </w:rPr>
        <w:t>为加强房屋建筑和市政基础设施工程（以下简称建筑工程）质量管理，提高质量责任意识，强化质量责任追究，保证工程建设质量，根据《中华人民共和国建筑法》、《建设工程质量管理条例》等法律法规，制定本办法。</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第二条</w:t>
      </w:r>
      <w:r>
        <w:rPr>
          <w:rFonts w:eastAsia="方正仿宋_GBK"/>
          <w:color w:val="000000"/>
          <w:spacing w:val="-2"/>
          <w:sz w:val="24"/>
        </w:rPr>
        <w:t xml:space="preserve">  </w:t>
      </w:r>
      <w:r>
        <w:rPr>
          <w:rFonts w:hint="eastAsia" w:eastAsia="方正仿宋_GBK"/>
          <w:color w:val="000000"/>
          <w:spacing w:val="-2"/>
          <w:sz w:val="24"/>
        </w:rPr>
        <w:t>建筑工程五方责任主体项目负责人是指承担建筑工程项目建设的建设单位项目负责人、勘察单位项目负责人、设计单位项目负责人、施工单位项目经理、监理单位总监理工程师。建筑工程开工建设前，建设、勘察、设计、施工、监理单位法定代表人应当签署授权书，明确本单位项目负责人。</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第三条</w:t>
      </w:r>
      <w:r>
        <w:rPr>
          <w:rFonts w:eastAsia="方正仿宋_GBK"/>
          <w:color w:val="000000"/>
          <w:spacing w:val="-2"/>
          <w:sz w:val="24"/>
        </w:rPr>
        <w:t xml:space="preserve">  </w:t>
      </w:r>
      <w:r>
        <w:rPr>
          <w:rFonts w:hint="eastAsia" w:eastAsia="方正仿宋_GBK"/>
          <w:color w:val="000000"/>
          <w:spacing w:val="-2"/>
          <w:sz w:val="24"/>
        </w:rPr>
        <w:t>建筑工程五方责任主体项目负责人质量终身责任，是指参与新建、扩建、改建的建筑工程项目负责人按照国家法律法规和有关规定，在工程设计使用年限内对工程质量承担相应责任。</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第四条</w:t>
      </w:r>
      <w:r>
        <w:rPr>
          <w:rFonts w:eastAsia="方正仿宋_GBK"/>
          <w:color w:val="000000"/>
          <w:spacing w:val="-2"/>
          <w:sz w:val="24"/>
        </w:rPr>
        <w:t xml:space="preserve">  </w:t>
      </w:r>
      <w:r>
        <w:rPr>
          <w:rFonts w:hint="eastAsia" w:eastAsia="方正仿宋_GBK"/>
          <w:color w:val="000000"/>
          <w:spacing w:val="-2"/>
          <w:sz w:val="24"/>
        </w:rPr>
        <w:t>国务院住房城乡建设主管部门负责对全国建筑工程项目负责人质量终身责任追究工作进行指导和监督管理。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县级以上地方人民政府住房城乡建设主管部门负责对本行政区域内的建筑工程项目负责人质量终身责任追究工作实施监督管理。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第五条</w:t>
      </w:r>
      <w:r>
        <w:rPr>
          <w:rFonts w:eastAsia="方正仿宋_GBK"/>
          <w:color w:val="000000"/>
          <w:spacing w:val="-2"/>
          <w:sz w:val="24"/>
        </w:rPr>
        <w:t xml:space="preserve">  </w:t>
      </w:r>
      <w:r>
        <w:rPr>
          <w:rFonts w:hint="eastAsia" w:eastAsia="方正仿宋_GBK"/>
          <w:color w:val="000000"/>
          <w:spacing w:val="-2"/>
          <w:sz w:val="24"/>
        </w:rPr>
        <w:t>建设单位项目负责人对工程质量承担全面责任，不得违法发包、肢解发包，不得以任何理由要求勘察、设计、施工、监理单位违反法律法规和工程建设标准，降低工程质量，其违法违规或不当行为造成工程质量事故或质量问题应当承担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勘察、设计单位项目负责人应当保证勘察设计文件符合法律法规和工程建设强制性标准的要求，对因勘察、设计导致的工程质量事故或质量问题承担责任。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施工单位项目经理应当按照经审查合格的施工图设计文件和施工技术标准进行施工，对因施工导致的工程质量事故或质量问题承担责任。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监理单位总监理工程师应当按照法律法规、有关技术标准、设计文件和工程承包合同进行监理，对施工质量承担监理责任。</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第六条</w:t>
      </w:r>
      <w:r>
        <w:rPr>
          <w:rFonts w:eastAsia="方正仿宋_GBK"/>
          <w:color w:val="000000"/>
          <w:spacing w:val="-2"/>
          <w:sz w:val="24"/>
        </w:rPr>
        <w:t xml:space="preserve">  </w:t>
      </w:r>
      <w:r>
        <w:rPr>
          <w:rFonts w:hint="eastAsia" w:eastAsia="方正仿宋_GBK"/>
          <w:color w:val="000000"/>
          <w:spacing w:val="-2"/>
          <w:sz w:val="24"/>
        </w:rPr>
        <w:t>符合下列情形之一的，县级以上地方人民政府住房城乡建设主管部门应当依法追究项目负责人的质量终身责任：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（一）发生工程质量事故；</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（二）发生投诉、举报、群体性事件、媒体报道并造成恶劣社会影响的严重工程质量问题；</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（三）由于勘察、设计或施工原因造成尚在设计使用年限内的建筑工程不能正常使用；</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（四）存在其他需追究责任的违法违规行为。</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第七条</w:t>
      </w:r>
      <w:r>
        <w:rPr>
          <w:rFonts w:eastAsia="方正仿宋_GBK"/>
          <w:color w:val="000000"/>
          <w:spacing w:val="-2"/>
          <w:sz w:val="24"/>
        </w:rPr>
        <w:t xml:space="preserve">  </w:t>
      </w:r>
      <w:r>
        <w:rPr>
          <w:rFonts w:hint="eastAsia" w:eastAsia="方正仿宋_GBK"/>
          <w:color w:val="000000"/>
          <w:spacing w:val="-2"/>
          <w:sz w:val="24"/>
        </w:rPr>
        <w:t>工程质量终身责任实行书面承诺和竣工后永久性标牌等制度。</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第八条</w:t>
      </w:r>
      <w:r>
        <w:rPr>
          <w:rFonts w:eastAsia="方正仿宋_GBK"/>
          <w:color w:val="000000"/>
          <w:spacing w:val="-2"/>
          <w:sz w:val="24"/>
        </w:rPr>
        <w:t xml:space="preserve">  </w:t>
      </w:r>
      <w:r>
        <w:rPr>
          <w:rFonts w:hint="eastAsia" w:eastAsia="方正仿宋_GBK"/>
          <w:color w:val="000000"/>
          <w:spacing w:val="-2"/>
          <w:sz w:val="24"/>
        </w:rPr>
        <w:t>项目负责人应当在办理工程质量监督手续前签署工程质量终身责任承诺书，连同法定代表人授权书，报工程质量监督机构备案。项目负责人如有更换的，应当按规定办理变更程序，重新签署工程质量终身责任承诺书，连同法定代表人授权书，报工程质量监督机构备案。</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第九条</w:t>
      </w:r>
      <w:r>
        <w:rPr>
          <w:rFonts w:eastAsia="方正仿宋_GBK"/>
          <w:color w:val="000000"/>
          <w:spacing w:val="-2"/>
          <w:sz w:val="24"/>
        </w:rPr>
        <w:t xml:space="preserve">  </w:t>
      </w:r>
      <w:r>
        <w:rPr>
          <w:rFonts w:hint="eastAsia" w:eastAsia="方正仿宋_GBK"/>
          <w:color w:val="000000"/>
          <w:spacing w:val="-2"/>
          <w:sz w:val="24"/>
        </w:rPr>
        <w:t>建筑工程竣工验收合格后，建设单位应当在建筑物明显部位设置永久性标牌，载明建设、勘察、设计、施工、监理单位名称和项目负责人姓名。</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第十条</w:t>
      </w:r>
      <w:r>
        <w:rPr>
          <w:rFonts w:eastAsia="方正仿宋_GBK"/>
          <w:color w:val="000000"/>
          <w:spacing w:val="-2"/>
          <w:sz w:val="24"/>
        </w:rPr>
        <w:t xml:space="preserve">  </w:t>
      </w:r>
      <w:r>
        <w:rPr>
          <w:rFonts w:hint="eastAsia" w:eastAsia="方正仿宋_GBK"/>
          <w:color w:val="000000"/>
          <w:spacing w:val="-2"/>
          <w:sz w:val="24"/>
        </w:rPr>
        <w:t>建设单位应当建立建筑工程各方主体项目负责人质量终身责任信息档案，工程竣工验收合格后移交城建档案管理部门。项目负责人质量终身责任信息档案包括下列内容：</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（一）建设、勘察、设计、施工、监理单位项目负责人姓名，身份证号码，执业资格，所在单位，变更情况等；</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（二）建设、勘察、设计、施工、监理单位项目负责人签署的工程质量终身责任承诺书；</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（三）法定代表人授权书。</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第十一条</w:t>
      </w:r>
      <w:r>
        <w:rPr>
          <w:rFonts w:eastAsia="方正仿宋_GBK"/>
          <w:color w:val="000000"/>
          <w:spacing w:val="-2"/>
          <w:sz w:val="24"/>
        </w:rPr>
        <w:t xml:space="preserve">  </w:t>
      </w:r>
      <w:r>
        <w:rPr>
          <w:rFonts w:hint="eastAsia" w:eastAsia="方正仿宋_GBK"/>
          <w:color w:val="000000"/>
          <w:spacing w:val="-2"/>
          <w:sz w:val="24"/>
        </w:rPr>
        <w:t>发生本办法第六条所列情形之一的，对建设单位项目负责人按以下方式进行责任追究：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（一）项目负责人为国家公职人员的，将其违法违规行为告知其上级主管部门及纪检监察部门，并建议对项目负责人给予相应的行政、纪律处分；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（二）构成犯罪的，移送司法机关依法追究刑事责任；（三）处单位罚款数额</w:t>
      </w:r>
      <w:r>
        <w:rPr>
          <w:rFonts w:eastAsia="方正仿宋_GBK"/>
          <w:color w:val="000000"/>
          <w:spacing w:val="-2"/>
          <w:sz w:val="24"/>
        </w:rPr>
        <w:t>5%</w:t>
      </w:r>
      <w:r>
        <w:rPr>
          <w:rFonts w:hint="eastAsia" w:eastAsia="方正仿宋_GBK"/>
          <w:color w:val="000000"/>
          <w:spacing w:val="-2"/>
          <w:sz w:val="24"/>
        </w:rPr>
        <w:t>以上</w:t>
      </w:r>
      <w:r>
        <w:rPr>
          <w:rFonts w:eastAsia="方正仿宋_GBK"/>
          <w:color w:val="000000"/>
          <w:spacing w:val="-2"/>
          <w:sz w:val="24"/>
        </w:rPr>
        <w:t>10%</w:t>
      </w:r>
      <w:r>
        <w:rPr>
          <w:rFonts w:hint="eastAsia" w:eastAsia="方正仿宋_GBK"/>
          <w:color w:val="000000"/>
          <w:spacing w:val="-2"/>
          <w:sz w:val="24"/>
        </w:rPr>
        <w:t>以下的罚款；</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（四）向社会公布曝光。</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第十二条</w:t>
      </w:r>
      <w:r>
        <w:rPr>
          <w:rFonts w:eastAsia="方正仿宋_GBK"/>
          <w:color w:val="000000"/>
          <w:spacing w:val="-2"/>
          <w:sz w:val="24"/>
        </w:rPr>
        <w:t xml:space="preserve">  </w:t>
      </w:r>
      <w:r>
        <w:rPr>
          <w:rFonts w:hint="eastAsia" w:eastAsia="方正仿宋_GBK"/>
          <w:color w:val="000000"/>
          <w:spacing w:val="-2"/>
          <w:sz w:val="24"/>
        </w:rPr>
        <w:t>发生本办法第六条所列情形之一的，对勘察单位项目负责人、设计单位项目负责人按以下方式进行责任追究：（一）项目负责人为注册建筑师、勘察设计注册工程师的，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责令停止执业</w:t>
      </w:r>
      <w:r>
        <w:rPr>
          <w:rFonts w:eastAsia="方正仿宋_GBK"/>
          <w:color w:val="000000"/>
          <w:spacing w:val="-2"/>
          <w:sz w:val="24"/>
        </w:rPr>
        <w:t>1</w:t>
      </w:r>
      <w:r>
        <w:rPr>
          <w:rFonts w:hint="eastAsia" w:eastAsia="方正仿宋_GBK"/>
          <w:color w:val="000000"/>
          <w:spacing w:val="-2"/>
          <w:sz w:val="24"/>
        </w:rPr>
        <w:t>年；造成重大质量事故的，吊销执业资格证书，</w:t>
      </w:r>
      <w:r>
        <w:rPr>
          <w:rFonts w:eastAsia="方正仿宋_GBK"/>
          <w:color w:val="000000"/>
          <w:spacing w:val="-2"/>
          <w:sz w:val="24"/>
        </w:rPr>
        <w:t>5</w:t>
      </w:r>
      <w:r>
        <w:rPr>
          <w:rFonts w:hint="eastAsia" w:eastAsia="方正仿宋_GBK"/>
          <w:color w:val="000000"/>
          <w:spacing w:val="-2"/>
          <w:sz w:val="24"/>
        </w:rPr>
        <w:t>年以内不予注册；情节特别恶劣的，终身不予注册；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（二）构成犯罪的，移送司法机关依法追究刑事责任；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（三）处单位罚款数额</w:t>
      </w:r>
      <w:r>
        <w:rPr>
          <w:rFonts w:eastAsia="方正仿宋_GBK"/>
          <w:color w:val="000000"/>
          <w:spacing w:val="-2"/>
          <w:sz w:val="24"/>
        </w:rPr>
        <w:t>5%</w:t>
      </w:r>
      <w:r>
        <w:rPr>
          <w:rFonts w:hint="eastAsia" w:eastAsia="方正仿宋_GBK"/>
          <w:color w:val="000000"/>
          <w:spacing w:val="-2"/>
          <w:sz w:val="24"/>
        </w:rPr>
        <w:t>以上</w:t>
      </w:r>
      <w:r>
        <w:rPr>
          <w:rFonts w:eastAsia="方正仿宋_GBK"/>
          <w:color w:val="000000"/>
          <w:spacing w:val="-2"/>
          <w:sz w:val="24"/>
        </w:rPr>
        <w:t>10%</w:t>
      </w:r>
      <w:r>
        <w:rPr>
          <w:rFonts w:hint="eastAsia" w:eastAsia="方正仿宋_GBK"/>
          <w:color w:val="000000"/>
          <w:spacing w:val="-2"/>
          <w:sz w:val="24"/>
        </w:rPr>
        <w:t>以下的罚款；</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（四）向社会公布曝光。</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第十三条</w:t>
      </w:r>
      <w:r>
        <w:rPr>
          <w:rFonts w:eastAsia="方正仿宋_GBK"/>
          <w:color w:val="000000"/>
          <w:spacing w:val="-2"/>
          <w:sz w:val="24"/>
        </w:rPr>
        <w:t xml:space="preserve">  </w:t>
      </w:r>
      <w:r>
        <w:rPr>
          <w:rFonts w:hint="eastAsia" w:eastAsia="方正仿宋_GBK"/>
          <w:color w:val="000000"/>
          <w:spacing w:val="-2"/>
          <w:sz w:val="24"/>
        </w:rPr>
        <w:t>发生本办法第六条所列情形之一的，对施工单位项目经理按以下方式进行责任追究：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（一）项目经理为相关注册执业人员的，责令停止执业</w:t>
      </w:r>
      <w:r>
        <w:rPr>
          <w:rFonts w:eastAsia="方正仿宋_GBK"/>
          <w:color w:val="000000"/>
          <w:spacing w:val="-2"/>
          <w:sz w:val="24"/>
        </w:rPr>
        <w:t>1</w:t>
      </w:r>
      <w:r>
        <w:rPr>
          <w:rFonts w:hint="eastAsia" w:eastAsia="方正仿宋_GBK"/>
          <w:color w:val="000000"/>
          <w:spacing w:val="-2"/>
          <w:sz w:val="24"/>
        </w:rPr>
        <w:t>年；造成重大质量事故的，吊销执业资格证书，</w:t>
      </w:r>
      <w:r>
        <w:rPr>
          <w:rFonts w:eastAsia="方正仿宋_GBK"/>
          <w:color w:val="000000"/>
          <w:spacing w:val="-2"/>
          <w:sz w:val="24"/>
        </w:rPr>
        <w:t>5</w:t>
      </w:r>
      <w:r>
        <w:rPr>
          <w:rFonts w:hint="eastAsia" w:eastAsia="方正仿宋_GBK"/>
          <w:color w:val="000000"/>
          <w:spacing w:val="-2"/>
          <w:sz w:val="24"/>
        </w:rPr>
        <w:t>年以内不予注册；情节特别恶劣的，终身不予注册；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（二）构成犯罪的，移送司法机关依法追究刑事责任；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（三）处单位罚款数额</w:t>
      </w:r>
      <w:r>
        <w:rPr>
          <w:rFonts w:eastAsia="方正仿宋_GBK"/>
          <w:color w:val="000000"/>
          <w:spacing w:val="-2"/>
          <w:sz w:val="24"/>
        </w:rPr>
        <w:t>5%</w:t>
      </w:r>
      <w:r>
        <w:rPr>
          <w:rFonts w:hint="eastAsia" w:eastAsia="方正仿宋_GBK"/>
          <w:color w:val="000000"/>
          <w:spacing w:val="-2"/>
          <w:sz w:val="24"/>
        </w:rPr>
        <w:t>以上</w:t>
      </w:r>
      <w:r>
        <w:rPr>
          <w:rFonts w:eastAsia="方正仿宋_GBK"/>
          <w:color w:val="000000"/>
          <w:spacing w:val="-2"/>
          <w:sz w:val="24"/>
        </w:rPr>
        <w:t>10%</w:t>
      </w:r>
      <w:r>
        <w:rPr>
          <w:rFonts w:hint="eastAsia" w:eastAsia="方正仿宋_GBK"/>
          <w:color w:val="000000"/>
          <w:spacing w:val="-2"/>
          <w:sz w:val="24"/>
        </w:rPr>
        <w:t>以下的罚款；</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（四）向社会公布曝光。</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第十四条</w:t>
      </w:r>
      <w:r>
        <w:rPr>
          <w:rFonts w:eastAsia="方正仿宋_GBK"/>
          <w:color w:val="000000"/>
          <w:spacing w:val="-2"/>
          <w:sz w:val="24"/>
        </w:rPr>
        <w:t xml:space="preserve">  </w:t>
      </w:r>
      <w:r>
        <w:rPr>
          <w:rFonts w:hint="eastAsia" w:eastAsia="方正仿宋_GBK"/>
          <w:color w:val="000000"/>
          <w:spacing w:val="-2"/>
          <w:sz w:val="24"/>
        </w:rPr>
        <w:t>发生本办法第六条所列情形之一的，对监理单位总监理工程师按以下方式进行责任追究：</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（一）责令停止注册监理工程师执业</w:t>
      </w:r>
      <w:r>
        <w:rPr>
          <w:rFonts w:eastAsia="方正仿宋_GBK"/>
          <w:color w:val="000000"/>
          <w:spacing w:val="-2"/>
          <w:sz w:val="24"/>
        </w:rPr>
        <w:t>1</w:t>
      </w:r>
      <w:r>
        <w:rPr>
          <w:rFonts w:hint="eastAsia" w:eastAsia="方正仿宋_GBK"/>
          <w:color w:val="000000"/>
          <w:spacing w:val="-2"/>
          <w:sz w:val="24"/>
        </w:rPr>
        <w:t>年；造成重大质量事故的，吊销执业资格证书，</w:t>
      </w:r>
      <w:r>
        <w:rPr>
          <w:rFonts w:eastAsia="方正仿宋_GBK"/>
          <w:color w:val="000000"/>
          <w:spacing w:val="-2"/>
          <w:sz w:val="24"/>
        </w:rPr>
        <w:t>5</w:t>
      </w:r>
      <w:r>
        <w:rPr>
          <w:rFonts w:hint="eastAsia" w:eastAsia="方正仿宋_GBK"/>
          <w:color w:val="000000"/>
          <w:spacing w:val="-2"/>
          <w:sz w:val="24"/>
        </w:rPr>
        <w:t>年以内不予注册；情节特别恶劣的，终身不予注册；</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（二）构成犯罪的，移送司法机关依法追究刑事责任；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（三）处单位罚款数额</w:t>
      </w:r>
      <w:r>
        <w:rPr>
          <w:rFonts w:eastAsia="方正仿宋_GBK"/>
          <w:color w:val="000000"/>
          <w:spacing w:val="-2"/>
          <w:sz w:val="24"/>
        </w:rPr>
        <w:t>5%</w:t>
      </w:r>
      <w:r>
        <w:rPr>
          <w:rFonts w:hint="eastAsia" w:eastAsia="方正仿宋_GBK"/>
          <w:color w:val="000000"/>
          <w:spacing w:val="-2"/>
          <w:sz w:val="24"/>
        </w:rPr>
        <w:t>以上</w:t>
      </w:r>
      <w:r>
        <w:rPr>
          <w:rFonts w:eastAsia="方正仿宋_GBK"/>
          <w:color w:val="000000"/>
          <w:spacing w:val="-2"/>
          <w:sz w:val="24"/>
        </w:rPr>
        <w:t>10%</w:t>
      </w:r>
      <w:r>
        <w:rPr>
          <w:rFonts w:hint="eastAsia" w:eastAsia="方正仿宋_GBK"/>
          <w:color w:val="000000"/>
          <w:spacing w:val="-2"/>
          <w:sz w:val="24"/>
        </w:rPr>
        <w:t>以下的罚款；</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（四）向社会公布曝光。</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第十五条</w:t>
      </w:r>
      <w:r>
        <w:rPr>
          <w:rFonts w:eastAsia="方正仿宋_GBK"/>
          <w:color w:val="000000"/>
          <w:spacing w:val="-2"/>
          <w:sz w:val="24"/>
        </w:rPr>
        <w:t xml:space="preserve">  </w:t>
      </w:r>
      <w:r>
        <w:rPr>
          <w:rFonts w:hint="eastAsia" w:eastAsia="方正仿宋_GBK"/>
          <w:color w:val="000000"/>
          <w:spacing w:val="-2"/>
          <w:sz w:val="24"/>
        </w:rPr>
        <w:t>住房城乡建设主管部门应当及时公布项目负责人质量责任追究情况，将其违法违规等不良行为及处罚结果记入个人信用档案，给予信用惩戒。</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鼓励住房城乡建设主管部门向社会公开项目负责人终身质量责任承诺等质量责任信息。</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第十六条</w:t>
      </w:r>
      <w:r>
        <w:rPr>
          <w:rFonts w:eastAsia="方正仿宋_GBK"/>
          <w:color w:val="000000"/>
          <w:spacing w:val="-2"/>
          <w:sz w:val="24"/>
        </w:rPr>
        <w:t xml:space="preserve">  </w:t>
      </w:r>
      <w:r>
        <w:rPr>
          <w:rFonts w:hint="eastAsia" w:eastAsia="方正仿宋_GBK"/>
          <w:color w:val="000000"/>
          <w:spacing w:val="-2"/>
          <w:sz w:val="24"/>
        </w:rPr>
        <w:t>项目负责人因调动工作等原因离开原单位后，被发现在原单位工作期间违反国家法律法规、工程建设标准及有关规定，造成所负责项目发生工程质量事故或严重质量问题的，仍应按本办法第十一条、第十二条、第十三条、第十四条规定依法追究相应责任。</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项目负责人已退休的，被发现在工作期间违反国家法律法规、工程建设标准及有关规定，造成所负责项目发生工程质量事故或严重质量问题的，仍应按本办法第十一条、第十二条、第十三条、第十四条规定依法追究相应责任，且不得返聘从事相关技术工作。项目负责人为国家公职人员的，根据其承担责任依法应当给予降级、撤职、开除处分的，按照规定相应降低或取消其享受的待遇。</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第十七条</w:t>
      </w:r>
      <w:r>
        <w:rPr>
          <w:rFonts w:eastAsia="方正仿宋_GBK"/>
          <w:color w:val="000000"/>
          <w:spacing w:val="-2"/>
          <w:sz w:val="24"/>
        </w:rPr>
        <w:t xml:space="preserve">  </w:t>
      </w:r>
      <w:r>
        <w:rPr>
          <w:rFonts w:hint="eastAsia" w:eastAsia="方正仿宋_GBK"/>
          <w:color w:val="000000"/>
          <w:spacing w:val="-2"/>
          <w:sz w:val="24"/>
        </w:rPr>
        <w:t>工程质量事故或严重质量问题相关责任单位已被撤销、注销、吊销营业执照或者宣告破产的，仍应按本办法第十一条、第十二条、第十三条、第十四条规定依法追究项目负责人的责任。</w:t>
      </w:r>
    </w:p>
    <w:p>
      <w:pPr>
        <w:spacing w:line="460" w:lineRule="exact"/>
        <w:ind w:firstLine="472" w:firstLineChars="200"/>
        <w:rPr>
          <w:rFonts w:eastAsia="方正仿宋_GBK"/>
          <w:color w:val="000000"/>
          <w:spacing w:val="-6"/>
          <w:sz w:val="24"/>
        </w:rPr>
      </w:pPr>
      <w:r>
        <w:rPr>
          <w:rFonts w:hint="eastAsia" w:ascii="Times New Roman" w:eastAsia="方正黑体_GBK"/>
          <w:color w:val="000000"/>
          <w:spacing w:val="-2"/>
          <w:kern w:val="0"/>
          <w:sz w:val="24"/>
        </w:rPr>
        <w:t>第十八条</w:t>
      </w:r>
      <w:r>
        <w:rPr>
          <w:rFonts w:eastAsia="方正仿宋_GBK"/>
          <w:color w:val="000000"/>
          <w:spacing w:val="-2"/>
          <w:sz w:val="24"/>
        </w:rPr>
        <w:t xml:space="preserve">  </w:t>
      </w:r>
      <w:r>
        <w:rPr>
          <w:rFonts w:hint="eastAsia" w:eastAsia="方正仿宋_GBK"/>
          <w:color w:val="000000"/>
          <w:spacing w:val="-6"/>
          <w:sz w:val="24"/>
        </w:rPr>
        <w:t>违反法律法规规定，造成工程质量事故或严重质量问题的，除依照本办法规定追究项目负责人终身责任外，还应依法追究相关责任单位和责任人员的责任。</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第十九条</w:t>
      </w:r>
      <w:r>
        <w:rPr>
          <w:rFonts w:eastAsia="方正仿宋_GBK"/>
          <w:color w:val="000000"/>
          <w:spacing w:val="-2"/>
          <w:sz w:val="24"/>
        </w:rPr>
        <w:t xml:space="preserve">  </w:t>
      </w:r>
      <w:r>
        <w:rPr>
          <w:rFonts w:hint="eastAsia" w:eastAsia="方正仿宋_GBK"/>
          <w:color w:val="000000"/>
          <w:spacing w:val="-2"/>
          <w:sz w:val="24"/>
        </w:rPr>
        <w:t>省、自治区、直辖市住房城乡建设主管部门可以根据本办法，制定实施细则。</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kern w:val="0"/>
          <w:sz w:val="24"/>
        </w:rPr>
        <w:t>第二十条</w:t>
      </w:r>
      <w:r>
        <w:rPr>
          <w:rFonts w:eastAsia="方正仿宋_GBK"/>
          <w:color w:val="000000"/>
          <w:spacing w:val="-2"/>
          <w:sz w:val="24"/>
        </w:rPr>
        <w:t xml:space="preserve">  </w:t>
      </w:r>
      <w:r>
        <w:rPr>
          <w:rFonts w:hint="eastAsia" w:eastAsia="方正仿宋_GBK"/>
          <w:color w:val="000000"/>
          <w:spacing w:val="-2"/>
          <w:sz w:val="24"/>
        </w:rPr>
        <w:t>本办法自印发之日起施行。</w:t>
      </w:r>
    </w:p>
    <w:p>
      <w:pPr>
        <w:spacing w:line="460" w:lineRule="exact"/>
        <w:ind w:firstLine="472" w:firstLineChars="200"/>
        <w:rPr>
          <w:rFonts w:eastAsia="方正仿宋_GBK"/>
          <w:color w:val="000000"/>
          <w:spacing w:val="-2"/>
          <w:sz w:val="24"/>
        </w:rPr>
      </w:pPr>
    </w:p>
    <w:p>
      <w:pPr>
        <w:spacing w:line="460" w:lineRule="exact"/>
        <w:ind w:firstLine="472" w:firstLineChars="200"/>
        <w:jc w:val="right"/>
        <w:rPr>
          <w:rFonts w:eastAsia="方正仿宋_GBK"/>
          <w:color w:val="000000"/>
          <w:spacing w:val="-2"/>
          <w:sz w:val="24"/>
        </w:rPr>
      </w:pPr>
      <w:r>
        <w:rPr>
          <w:rFonts w:hint="eastAsia" w:eastAsia="方正仿宋_GBK"/>
          <w:color w:val="000000"/>
          <w:spacing w:val="-2"/>
          <w:sz w:val="24"/>
        </w:rPr>
        <w:t>住房城乡建设部办公厅秘书处</w:t>
      </w:r>
      <w:r>
        <w:rPr>
          <w:rFonts w:eastAsia="方正仿宋_GBK"/>
          <w:color w:val="000000"/>
          <w:spacing w:val="-2"/>
          <w:sz w:val="24"/>
        </w:rPr>
        <w:t xml:space="preserve">    </w:t>
      </w:r>
    </w:p>
    <w:p>
      <w:pPr>
        <w:spacing w:line="460" w:lineRule="exact"/>
        <w:ind w:firstLine="3894" w:firstLineChars="1650"/>
        <w:jc w:val="right"/>
        <w:rPr>
          <w:rFonts w:eastAsia="方正仿宋_GBK"/>
          <w:color w:val="000000"/>
          <w:spacing w:val="-2"/>
          <w:sz w:val="24"/>
        </w:rPr>
      </w:pPr>
      <w:r>
        <w:rPr>
          <w:rFonts w:eastAsia="方正仿宋_GBK"/>
          <w:color w:val="000000"/>
          <w:spacing w:val="-2"/>
          <w:sz w:val="24"/>
        </w:rPr>
        <w:t>2014</w:t>
      </w:r>
      <w:r>
        <w:rPr>
          <w:rFonts w:hint="eastAsia" w:eastAsia="方正仿宋_GBK"/>
          <w:color w:val="000000"/>
          <w:spacing w:val="-2"/>
          <w:sz w:val="24"/>
        </w:rPr>
        <w:t>年</w:t>
      </w:r>
      <w:r>
        <w:rPr>
          <w:rFonts w:eastAsia="方正仿宋_GBK"/>
          <w:color w:val="000000"/>
          <w:spacing w:val="-2"/>
          <w:sz w:val="24"/>
        </w:rPr>
        <w:t>8</w:t>
      </w:r>
      <w:r>
        <w:rPr>
          <w:rFonts w:hint="eastAsia" w:eastAsia="方正仿宋_GBK"/>
          <w:color w:val="000000"/>
          <w:spacing w:val="-2"/>
          <w:sz w:val="24"/>
        </w:rPr>
        <w:t>月</w:t>
      </w:r>
      <w:r>
        <w:rPr>
          <w:rFonts w:eastAsia="方正仿宋_GBK"/>
          <w:color w:val="000000"/>
          <w:spacing w:val="-2"/>
          <w:sz w:val="24"/>
        </w:rPr>
        <w:t>26</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rPr>
          <w:rFonts w:eastAsia="方正仿宋_GBK"/>
          <w:color w:val="000000"/>
          <w:spacing w:val="-2"/>
          <w:sz w:val="24"/>
        </w:rPr>
      </w:pPr>
      <w:r>
        <w:rPr>
          <w:rFonts w:eastAsia="方正仿宋_GBK"/>
          <w:color w:val="000000"/>
          <w:spacing w:val="-2"/>
          <w:sz w:val="24"/>
        </w:rPr>
        <w:t xml:space="preserve"> </w:t>
      </w:r>
    </w:p>
    <w:p>
      <w:pPr>
        <w:widowControl/>
        <w:jc w:val="left"/>
        <w:rPr>
          <w:rFonts w:eastAsia="仿宋_GB2312"/>
          <w:color w:val="000000"/>
          <w:spacing w:val="-2"/>
          <w:sz w:val="32"/>
          <w:szCs w:val="32"/>
        </w:rPr>
        <w:sectPr>
          <w:pgSz w:w="11906" w:h="16838"/>
          <w:pgMar w:top="1701" w:right="1588" w:bottom="1701" w:left="1588" w:header="851" w:footer="1361" w:gutter="0"/>
          <w:cols w:space="720" w:num="1"/>
        </w:sectPr>
      </w:pPr>
    </w:p>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附件2：</w:t>
      </w:r>
    </w:p>
    <w:p>
      <w:pPr>
        <w:rPr>
          <w:rFonts w:hint="eastAsia"/>
          <w:color w:val="000000"/>
          <w:spacing w:val="-2"/>
        </w:rPr>
      </w:pPr>
    </w:p>
    <w:p>
      <w:pPr>
        <w:rPr>
          <w:color w:val="000000"/>
          <w:spacing w:val="-2"/>
        </w:rPr>
      </w:pPr>
    </w:p>
    <w:p>
      <w:pPr>
        <w:rPr>
          <w:color w:val="000000"/>
          <w:spacing w:val="-2"/>
        </w:rPr>
      </w:pPr>
    </w:p>
    <w:p>
      <w:pPr>
        <w:ind w:firstLine="2142" w:firstLineChars="450"/>
        <w:rPr>
          <w:rFonts w:ascii="Times New Roman" w:eastAsia="方正小标宋简体"/>
          <w:color w:val="000000"/>
          <w:spacing w:val="-2"/>
          <w:sz w:val="48"/>
          <w:szCs w:val="48"/>
        </w:rPr>
      </w:pPr>
      <w:r>
        <w:rPr>
          <w:rFonts w:hint="eastAsia" w:ascii="Times New Roman" w:eastAsia="方正小标宋简体"/>
          <w:color w:val="000000"/>
          <w:spacing w:val="-2"/>
          <w:sz w:val="48"/>
          <w:szCs w:val="48"/>
          <w:u w:val="single"/>
        </w:rPr>
        <w:t xml:space="preserve">                    </w:t>
      </w:r>
      <w:r>
        <w:rPr>
          <w:rFonts w:hint="eastAsia" w:ascii="Times New Roman" w:eastAsia="方正小标宋简体"/>
          <w:color w:val="000000"/>
          <w:spacing w:val="-2"/>
          <w:sz w:val="48"/>
          <w:szCs w:val="48"/>
        </w:rPr>
        <w:t>工程</w:t>
      </w:r>
    </w:p>
    <w:p>
      <w:pPr>
        <w:rPr>
          <w:rFonts w:hint="eastAsia"/>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jc w:val="center"/>
        <w:rPr>
          <w:rFonts w:ascii="Times New Roman" w:eastAsia="方正小标宋简体"/>
          <w:color w:val="000000"/>
          <w:spacing w:val="-2"/>
          <w:sz w:val="52"/>
          <w:szCs w:val="52"/>
        </w:rPr>
      </w:pPr>
      <w:r>
        <w:rPr>
          <w:rFonts w:hint="eastAsia" w:ascii="Times New Roman" w:hAnsi="Times New Roman" w:eastAsia="方正小标宋简体"/>
          <w:color w:val="000000"/>
          <w:spacing w:val="-2"/>
          <w:sz w:val="52"/>
          <w:szCs w:val="52"/>
        </w:rPr>
        <w:t>建筑工程五方责任主体项目负责人</w:t>
      </w:r>
    </w:p>
    <w:p>
      <w:pPr>
        <w:jc w:val="center"/>
        <w:rPr>
          <w:rFonts w:hint="eastAsia" w:ascii="Times New Roman" w:eastAsia="方正小标宋简体"/>
          <w:bCs/>
          <w:color w:val="000000"/>
          <w:spacing w:val="-2"/>
          <w:sz w:val="52"/>
          <w:szCs w:val="52"/>
        </w:rPr>
      </w:pPr>
      <w:r>
        <w:rPr>
          <w:rFonts w:hint="eastAsia" w:ascii="Times New Roman" w:eastAsia="方正小标宋简体"/>
          <w:bCs/>
          <w:color w:val="000000"/>
          <w:spacing w:val="-2"/>
          <w:sz w:val="52"/>
          <w:szCs w:val="52"/>
        </w:rPr>
        <w:t>质量终身责任信息档案</w:t>
      </w:r>
    </w:p>
    <w:p>
      <w:pPr>
        <w:jc w:val="center"/>
        <w:rPr>
          <w:rFonts w:hint="eastAsia"/>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rFonts w:eastAsia="方正楷体_GBK"/>
          <w:bCs/>
          <w:color w:val="000000"/>
          <w:spacing w:val="-2"/>
          <w:sz w:val="36"/>
          <w:szCs w:val="36"/>
        </w:rPr>
      </w:pPr>
      <w:r>
        <w:rPr>
          <w:rFonts w:hint="eastAsia" w:eastAsia="方正楷体_GBK"/>
          <w:bCs/>
          <w:color w:val="000000"/>
          <w:spacing w:val="-2"/>
          <w:sz w:val="36"/>
          <w:szCs w:val="36"/>
        </w:rPr>
        <w:t>建档日期：</w:t>
      </w:r>
      <w:r>
        <w:rPr>
          <w:rFonts w:eastAsia="方正楷体_GBK"/>
          <w:bCs/>
          <w:color w:val="000000"/>
          <w:spacing w:val="-2"/>
          <w:sz w:val="36"/>
          <w:szCs w:val="36"/>
          <w:u w:val="single"/>
        </w:rPr>
        <w:t xml:space="preserve">    </w:t>
      </w:r>
      <w:r>
        <w:rPr>
          <w:rFonts w:hint="eastAsia" w:eastAsia="方正楷体_GBK"/>
          <w:bCs/>
          <w:color w:val="000000"/>
          <w:spacing w:val="-2"/>
          <w:sz w:val="36"/>
          <w:szCs w:val="36"/>
        </w:rPr>
        <w:t>年</w:t>
      </w:r>
      <w:r>
        <w:rPr>
          <w:rFonts w:eastAsia="方正楷体_GBK"/>
          <w:bCs/>
          <w:color w:val="000000"/>
          <w:spacing w:val="-2"/>
          <w:sz w:val="36"/>
          <w:szCs w:val="36"/>
          <w:u w:val="single"/>
        </w:rPr>
        <w:t xml:space="preserve">    </w:t>
      </w:r>
      <w:r>
        <w:rPr>
          <w:rFonts w:hint="eastAsia" w:eastAsia="方正楷体_GBK"/>
          <w:bCs/>
          <w:color w:val="000000"/>
          <w:spacing w:val="-2"/>
          <w:sz w:val="36"/>
          <w:szCs w:val="36"/>
        </w:rPr>
        <w:t>月</w:t>
      </w:r>
      <w:r>
        <w:rPr>
          <w:rFonts w:eastAsia="方正楷体_GBK"/>
          <w:bCs/>
          <w:color w:val="000000"/>
          <w:spacing w:val="-2"/>
          <w:sz w:val="36"/>
          <w:szCs w:val="36"/>
          <w:u w:val="single"/>
        </w:rPr>
        <w:t xml:space="preserve">    </w:t>
      </w:r>
      <w:r>
        <w:rPr>
          <w:rFonts w:hint="eastAsia" w:eastAsia="方正楷体_GBK"/>
          <w:bCs/>
          <w:color w:val="000000"/>
          <w:spacing w:val="-2"/>
          <w:sz w:val="36"/>
          <w:szCs w:val="36"/>
        </w:rPr>
        <w:t>日</w:t>
      </w:r>
    </w:p>
    <w:p>
      <w:pPr>
        <w:jc w:val="right"/>
        <w:rPr>
          <w:b/>
          <w:bCs/>
          <w:color w:val="000000"/>
          <w:spacing w:val="-2"/>
          <w:sz w:val="36"/>
          <w:szCs w:val="36"/>
        </w:rPr>
      </w:pPr>
    </w:p>
    <w:p>
      <w:pPr>
        <w:rPr>
          <w:color w:val="000000"/>
          <w:spacing w:val="-2"/>
        </w:rPr>
      </w:pPr>
    </w:p>
    <w:p>
      <w:pPr>
        <w:rPr>
          <w:rFonts w:eastAsia="方正黑体_GBK"/>
          <w:color w:val="000000"/>
          <w:spacing w:val="-2"/>
          <w:sz w:val="36"/>
          <w:szCs w:val="36"/>
        </w:rPr>
      </w:pPr>
      <w:r>
        <w:rPr>
          <w:rFonts w:eastAsia="方正黑体_GBK"/>
          <w:color w:val="000000"/>
          <w:spacing w:val="-2"/>
          <w:sz w:val="36"/>
          <w:szCs w:val="36"/>
        </w:rPr>
        <w:br w:type="column"/>
      </w:r>
      <w:r>
        <w:rPr>
          <w:rFonts w:hint="eastAsia" w:eastAsia="方正黑体_GBK"/>
          <w:color w:val="000000"/>
          <w:spacing w:val="-2"/>
          <w:sz w:val="36"/>
          <w:szCs w:val="36"/>
        </w:rPr>
        <w:t>第</w:t>
      </w:r>
      <w:r>
        <w:rPr>
          <w:rFonts w:eastAsia="方正黑体_GBK"/>
          <w:color w:val="000000"/>
          <w:spacing w:val="-2"/>
          <w:sz w:val="36"/>
          <w:szCs w:val="36"/>
        </w:rPr>
        <w:t>1</w:t>
      </w:r>
      <w:r>
        <w:rPr>
          <w:rFonts w:hint="eastAsia" w:eastAsia="方正黑体_GBK"/>
          <w:color w:val="000000"/>
          <w:spacing w:val="-2"/>
          <w:sz w:val="36"/>
          <w:szCs w:val="36"/>
        </w:rPr>
        <w:t>部分：</w:t>
      </w: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jc w:val="center"/>
        <w:rPr>
          <w:rFonts w:ascii="Times New Roman" w:eastAsia="方正小标宋简体"/>
          <w:color w:val="000000"/>
          <w:spacing w:val="-2"/>
          <w:sz w:val="48"/>
          <w:szCs w:val="48"/>
        </w:rPr>
      </w:pPr>
      <w:r>
        <w:rPr>
          <w:rFonts w:hint="eastAsia" w:ascii="Times New Roman" w:hAnsi="Times New Roman" w:eastAsia="方正小标宋简体"/>
          <w:color w:val="000000"/>
          <w:spacing w:val="-2"/>
          <w:sz w:val="48"/>
          <w:szCs w:val="48"/>
        </w:rPr>
        <w:t>建筑工程五方责任主体项目负责人</w:t>
      </w:r>
    </w:p>
    <w:p>
      <w:pPr>
        <w:jc w:val="center"/>
        <w:rPr>
          <w:rFonts w:hint="eastAsia" w:ascii="Times New Roman" w:eastAsia="方正小标宋简体"/>
          <w:color w:val="000000"/>
          <w:spacing w:val="-2"/>
          <w:sz w:val="48"/>
          <w:szCs w:val="48"/>
        </w:rPr>
      </w:pPr>
    </w:p>
    <w:p>
      <w:pPr>
        <w:jc w:val="center"/>
        <w:rPr>
          <w:rFonts w:hint="eastAsia" w:ascii="Times New Roman" w:eastAsia="方正小标宋简体"/>
          <w:bCs/>
          <w:color w:val="000000"/>
          <w:spacing w:val="-2"/>
          <w:sz w:val="48"/>
          <w:szCs w:val="48"/>
        </w:rPr>
      </w:pPr>
      <w:r>
        <w:rPr>
          <w:rFonts w:hint="eastAsia" w:ascii="Times New Roman" w:eastAsia="方正小标宋简体"/>
          <w:bCs/>
          <w:color w:val="000000"/>
          <w:spacing w:val="-2"/>
          <w:sz w:val="48"/>
          <w:szCs w:val="48"/>
        </w:rPr>
        <w:t>质量终身责任信息登记表</w:t>
      </w:r>
    </w:p>
    <w:p>
      <w:pPr>
        <w:jc w:val="center"/>
        <w:rPr>
          <w:rFonts w:hint="eastAsia"/>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right"/>
        <w:rPr>
          <w:b/>
          <w:bCs/>
          <w:color w:val="000000"/>
          <w:spacing w:val="-2"/>
          <w:sz w:val="36"/>
          <w:szCs w:val="36"/>
        </w:rPr>
      </w:pPr>
      <w:r>
        <w:rPr>
          <w:b/>
          <w:bCs/>
          <w:color w:val="000000"/>
          <w:spacing w:val="-2"/>
          <w:sz w:val="36"/>
          <w:szCs w:val="36"/>
        </w:rPr>
        <w:t xml:space="preserve"> </w:t>
      </w:r>
    </w:p>
    <w:p>
      <w:pPr>
        <w:rPr>
          <w:b/>
          <w:bCs/>
          <w:color w:val="000000"/>
          <w:spacing w:val="-2"/>
          <w:sz w:val="36"/>
          <w:szCs w:val="36"/>
        </w:rPr>
      </w:pPr>
    </w:p>
    <w:p>
      <w:pPr>
        <w:rPr>
          <w:b/>
          <w:bCs/>
          <w:color w:val="000000"/>
          <w:spacing w:val="-2"/>
          <w:sz w:val="36"/>
          <w:szCs w:val="36"/>
        </w:rPr>
      </w:pPr>
    </w:p>
    <w:p>
      <w:pPr>
        <w:jc w:val="center"/>
        <w:rPr>
          <w:rFonts w:eastAsia="方正黑体_GBK"/>
          <w:color w:val="000000"/>
          <w:spacing w:val="-2"/>
          <w:sz w:val="28"/>
          <w:szCs w:val="28"/>
        </w:rPr>
      </w:pPr>
      <w:r>
        <w:rPr>
          <w:rFonts w:hint="eastAsia" w:ascii="Times New Roman" w:hAnsi="Times New Roman"/>
          <w:b/>
          <w:color w:val="000000"/>
          <w:spacing w:val="-2"/>
          <w:sz w:val="36"/>
          <w:szCs w:val="36"/>
        </w:rPr>
        <w:br w:type="column"/>
      </w:r>
      <w:r>
        <w:rPr>
          <w:rFonts w:hint="eastAsia" w:eastAsia="方正黑体_GBK"/>
          <w:color w:val="000000"/>
          <w:spacing w:val="-2"/>
          <w:sz w:val="28"/>
          <w:szCs w:val="28"/>
        </w:rPr>
        <w:t>建筑工程五方责任主体项目负责人</w:t>
      </w:r>
    </w:p>
    <w:p>
      <w:pPr>
        <w:jc w:val="center"/>
        <w:rPr>
          <w:rFonts w:eastAsia="方正黑体_GBK"/>
          <w:color w:val="000000"/>
          <w:spacing w:val="-2"/>
          <w:sz w:val="28"/>
          <w:szCs w:val="28"/>
        </w:rPr>
      </w:pPr>
      <w:r>
        <w:rPr>
          <w:rFonts w:hint="eastAsia" w:eastAsia="方正黑体_GBK"/>
          <w:color w:val="000000"/>
          <w:spacing w:val="-2"/>
          <w:sz w:val="28"/>
          <w:szCs w:val="28"/>
        </w:rPr>
        <w:t>工程质量终身责任信息登记表</w:t>
      </w:r>
    </w:p>
    <w:p>
      <w:pPr>
        <w:jc w:val="center"/>
        <w:rPr>
          <w:rFonts w:ascii="Times New Roman"/>
          <w:b/>
          <w:color w:val="000000"/>
          <w:spacing w:val="-2"/>
          <w:sz w:val="32"/>
          <w:szCs w:val="32"/>
        </w:rPr>
      </w:pPr>
    </w:p>
    <w:tbl>
      <w:tblPr>
        <w:tblStyle w:val="12"/>
        <w:tblW w:w="0" w:type="auto"/>
        <w:tblInd w:w="6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92"/>
        <w:gridCol w:w="484"/>
        <w:gridCol w:w="2076"/>
        <w:gridCol w:w="198"/>
        <w:gridCol w:w="971"/>
        <w:gridCol w:w="390"/>
        <w:gridCol w:w="957"/>
        <w:gridCol w:w="177"/>
        <w:gridCol w:w="573"/>
        <w:gridCol w:w="184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576" w:type="dxa"/>
            <w:gridSpan w:val="2"/>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工程名称</w:t>
            </w:r>
          </w:p>
        </w:tc>
        <w:tc>
          <w:tcPr>
            <w:tcW w:w="7184" w:type="dxa"/>
            <w:gridSpan w:val="8"/>
            <w:tcBorders>
              <w:top w:val="single" w:color="auto" w:sz="8"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576" w:type="dxa"/>
            <w:gridSpan w:val="2"/>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工程地址</w:t>
            </w:r>
          </w:p>
        </w:tc>
        <w:tc>
          <w:tcPr>
            <w:tcW w:w="7184" w:type="dxa"/>
            <w:gridSpan w:val="8"/>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576" w:type="dxa"/>
            <w:gridSpan w:val="2"/>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建筑面积</w:t>
            </w:r>
          </w:p>
        </w:tc>
        <w:tc>
          <w:tcPr>
            <w:tcW w:w="227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97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结构类型</w:t>
            </w:r>
            <w:r>
              <w:rPr>
                <w:rFonts w:eastAsia="方正仿宋_GBK"/>
                <w:color w:val="000000"/>
                <w:spacing w:val="-2"/>
              </w:rPr>
              <w:t>/</w:t>
            </w:r>
            <w:r>
              <w:rPr>
                <w:rFonts w:hint="eastAsia" w:eastAsia="方正仿宋_GBK"/>
                <w:color w:val="000000"/>
                <w:spacing w:val="-2"/>
              </w:rPr>
              <w:t>层数</w:t>
            </w:r>
          </w:p>
        </w:tc>
        <w:tc>
          <w:tcPr>
            <w:tcW w:w="134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75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工程造价</w:t>
            </w:r>
          </w:p>
        </w:tc>
        <w:tc>
          <w:tcPr>
            <w:tcW w:w="1842"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3" w:hRule="atLeast"/>
        </w:trPr>
        <w:tc>
          <w:tcPr>
            <w:tcW w:w="1576" w:type="dxa"/>
            <w:gridSpan w:val="2"/>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开工日期</w:t>
            </w:r>
          </w:p>
        </w:tc>
        <w:tc>
          <w:tcPr>
            <w:tcW w:w="3245"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34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竣工日期</w:t>
            </w:r>
          </w:p>
        </w:tc>
        <w:tc>
          <w:tcPr>
            <w:tcW w:w="2592" w:type="dxa"/>
            <w:gridSpan w:val="3"/>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建设单位</w:t>
            </w: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单位名称</w:t>
            </w:r>
          </w:p>
        </w:tc>
        <w:tc>
          <w:tcPr>
            <w:tcW w:w="5108" w:type="dxa"/>
            <w:gridSpan w:val="7"/>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项目负责人姓名</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身份证号</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执业资格证书号</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联系电话</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勘察单位</w:t>
            </w: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单位名称</w:t>
            </w:r>
          </w:p>
        </w:tc>
        <w:tc>
          <w:tcPr>
            <w:tcW w:w="5108" w:type="dxa"/>
            <w:gridSpan w:val="7"/>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项目负责人姓名</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身份证号</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执业资格证书号</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注册专业</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执业印章号</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联系电话</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设计单位</w:t>
            </w: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单位名称</w:t>
            </w:r>
          </w:p>
        </w:tc>
        <w:tc>
          <w:tcPr>
            <w:tcW w:w="5108" w:type="dxa"/>
            <w:gridSpan w:val="7"/>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项目负责人姓名</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身份证号</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执业资格证书号</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注册专业及等级</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执业印章号</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联系电话</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restart"/>
            <w:tcBorders>
              <w:top w:val="single" w:color="auto" w:sz="4" w:space="0"/>
              <w:left w:val="single" w:color="auto" w:sz="8"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施工单位</w:t>
            </w: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单位名称</w:t>
            </w:r>
          </w:p>
        </w:tc>
        <w:tc>
          <w:tcPr>
            <w:tcW w:w="5108" w:type="dxa"/>
            <w:gridSpan w:val="7"/>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项目负责人姓名</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身份证号</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执业资格证书号</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联系电话</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restart"/>
            <w:tcBorders>
              <w:top w:val="single" w:color="auto" w:sz="4" w:space="0"/>
              <w:left w:val="single" w:color="auto" w:sz="8" w:space="0"/>
              <w:bottom w:val="single" w:color="auto" w:sz="8"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监理单位</w:t>
            </w: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单位名称</w:t>
            </w:r>
          </w:p>
        </w:tc>
        <w:tc>
          <w:tcPr>
            <w:tcW w:w="5108" w:type="dxa"/>
            <w:gridSpan w:val="7"/>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总监理工程师姓名</w:t>
            </w:r>
          </w:p>
        </w:tc>
        <w:tc>
          <w:tcPr>
            <w:tcW w:w="1559"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身份证号</w:t>
            </w:r>
          </w:p>
        </w:tc>
        <w:tc>
          <w:tcPr>
            <w:tcW w:w="2415"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1092" w:type="dxa"/>
            <w:vMerge w:val="continue"/>
            <w:tcBorders>
              <w:top w:val="single" w:color="auto" w:sz="4" w:space="0"/>
              <w:left w:val="single" w:color="auto" w:sz="8" w:space="0"/>
              <w:bottom w:val="single" w:color="auto" w:sz="8" w:space="0"/>
              <w:right w:val="single" w:color="auto" w:sz="4" w:space="0"/>
            </w:tcBorders>
            <w:noWrap w:val="0"/>
            <w:vAlign w:val="center"/>
          </w:tcPr>
          <w:p>
            <w:pPr>
              <w:widowControl/>
              <w:jc w:val="left"/>
              <w:rPr>
                <w:rFonts w:eastAsia="方正仿宋_GBK"/>
                <w:color w:val="000000"/>
                <w:spacing w:val="-2"/>
              </w:rPr>
            </w:pPr>
          </w:p>
        </w:tc>
        <w:tc>
          <w:tcPr>
            <w:tcW w:w="2560" w:type="dxa"/>
            <w:gridSpan w:val="2"/>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执业资格证书号</w:t>
            </w:r>
          </w:p>
        </w:tc>
        <w:tc>
          <w:tcPr>
            <w:tcW w:w="1559" w:type="dxa"/>
            <w:gridSpan w:val="3"/>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rPr>
            </w:pPr>
          </w:p>
        </w:tc>
        <w:tc>
          <w:tcPr>
            <w:tcW w:w="1134" w:type="dxa"/>
            <w:gridSpan w:val="2"/>
            <w:tcBorders>
              <w:top w:val="single" w:color="auto" w:sz="4" w:space="0"/>
              <w:left w:val="single" w:color="auto" w:sz="4" w:space="0"/>
              <w:bottom w:val="single" w:color="auto" w:sz="8"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联系电话</w:t>
            </w:r>
          </w:p>
        </w:tc>
        <w:tc>
          <w:tcPr>
            <w:tcW w:w="2415" w:type="dxa"/>
            <w:gridSpan w:val="2"/>
            <w:tcBorders>
              <w:top w:val="single" w:color="auto" w:sz="4" w:space="0"/>
              <w:left w:val="single" w:color="auto" w:sz="4" w:space="0"/>
              <w:bottom w:val="single" w:color="auto" w:sz="8" w:space="0"/>
              <w:right w:val="single" w:color="auto" w:sz="8" w:space="0"/>
            </w:tcBorders>
            <w:noWrap w:val="0"/>
            <w:vAlign w:val="center"/>
          </w:tcPr>
          <w:p>
            <w:pPr>
              <w:jc w:val="center"/>
              <w:rPr>
                <w:rFonts w:eastAsia="方正仿宋_GBK"/>
                <w:color w:val="000000"/>
                <w:spacing w:val="-2"/>
              </w:rPr>
            </w:pPr>
          </w:p>
        </w:tc>
      </w:tr>
    </w:tbl>
    <w:p>
      <w:pPr>
        <w:rPr>
          <w:rFonts w:hint="eastAsia" w:eastAsia="方正黑体_GBK"/>
          <w:color w:val="000000"/>
          <w:spacing w:val="-2"/>
          <w:sz w:val="36"/>
          <w:szCs w:val="36"/>
        </w:rPr>
      </w:pPr>
      <w:r>
        <w:rPr>
          <w:rFonts w:hint="eastAsia" w:ascii="Times New Roman" w:eastAsia="黑体"/>
          <w:color w:val="000000"/>
          <w:spacing w:val="-2"/>
          <w:sz w:val="36"/>
          <w:szCs w:val="36"/>
        </w:rPr>
        <w:br w:type="column"/>
      </w:r>
      <w:r>
        <w:rPr>
          <w:rFonts w:hint="eastAsia" w:eastAsia="方正黑体_GBK"/>
          <w:color w:val="000000"/>
          <w:spacing w:val="-2"/>
          <w:sz w:val="36"/>
          <w:szCs w:val="36"/>
        </w:rPr>
        <w:t>第</w:t>
      </w:r>
      <w:r>
        <w:rPr>
          <w:rFonts w:eastAsia="方正黑体_GBK"/>
          <w:color w:val="000000"/>
          <w:spacing w:val="-2"/>
          <w:sz w:val="36"/>
          <w:szCs w:val="36"/>
        </w:rPr>
        <w:t>2</w:t>
      </w:r>
      <w:r>
        <w:rPr>
          <w:rFonts w:hint="eastAsia" w:eastAsia="方正黑体_GBK"/>
          <w:color w:val="000000"/>
          <w:spacing w:val="-2"/>
          <w:sz w:val="36"/>
          <w:szCs w:val="36"/>
        </w:rPr>
        <w:t>部分：</w:t>
      </w: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jc w:val="center"/>
        <w:rPr>
          <w:rFonts w:ascii="Times New Roman" w:hAnsi="Times New Roman" w:eastAsia="方正小标宋简体"/>
          <w:color w:val="000000"/>
          <w:spacing w:val="-2"/>
          <w:sz w:val="48"/>
          <w:szCs w:val="48"/>
        </w:rPr>
      </w:pPr>
      <w:r>
        <w:rPr>
          <w:rFonts w:hint="eastAsia" w:ascii="Times New Roman" w:hAnsi="Times New Roman" w:eastAsia="方正小标宋简体"/>
          <w:color w:val="000000"/>
          <w:spacing w:val="-2"/>
          <w:sz w:val="48"/>
          <w:szCs w:val="48"/>
        </w:rPr>
        <w:t>建筑工程五方责任主体项目负责人</w:t>
      </w:r>
    </w:p>
    <w:p>
      <w:pPr>
        <w:jc w:val="center"/>
        <w:rPr>
          <w:rFonts w:hint="eastAsia" w:ascii="Times New Roman" w:hAnsi="Times New Roman" w:eastAsia="方正小标宋简体"/>
          <w:color w:val="000000"/>
          <w:spacing w:val="-2"/>
          <w:sz w:val="48"/>
          <w:szCs w:val="48"/>
        </w:rPr>
      </w:pPr>
    </w:p>
    <w:p>
      <w:pPr>
        <w:jc w:val="center"/>
        <w:rPr>
          <w:rFonts w:hint="eastAsia" w:ascii="Times New Roman" w:hAnsi="Times New Roman" w:eastAsia="方正小标宋简体"/>
          <w:color w:val="000000"/>
          <w:spacing w:val="-2"/>
          <w:sz w:val="48"/>
          <w:szCs w:val="48"/>
        </w:rPr>
      </w:pPr>
      <w:r>
        <w:rPr>
          <w:rFonts w:hint="eastAsia" w:ascii="Times New Roman" w:hAnsi="Times New Roman" w:eastAsia="方正小标宋简体"/>
          <w:color w:val="000000"/>
          <w:spacing w:val="-2"/>
          <w:sz w:val="48"/>
          <w:szCs w:val="48"/>
        </w:rPr>
        <w:t>质量终身责任信息变更表</w:t>
      </w:r>
    </w:p>
    <w:p>
      <w:pPr>
        <w:jc w:val="center"/>
        <w:rPr>
          <w:rFonts w:hint="eastAsia"/>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rFonts w:eastAsia="方正黑体_GBK"/>
          <w:color w:val="000000"/>
          <w:spacing w:val="-2"/>
          <w:sz w:val="28"/>
          <w:szCs w:val="28"/>
        </w:rPr>
      </w:pPr>
      <w:r>
        <w:rPr>
          <w:rFonts w:hint="eastAsia" w:ascii="Times New Roman"/>
          <w:b/>
          <w:color w:val="000000"/>
          <w:spacing w:val="-2"/>
          <w:sz w:val="36"/>
          <w:szCs w:val="36"/>
        </w:rPr>
        <w:br w:type="column"/>
      </w:r>
      <w:r>
        <w:rPr>
          <w:rFonts w:hint="eastAsia" w:eastAsia="方正黑体_GBK"/>
          <w:color w:val="000000"/>
          <w:spacing w:val="-2"/>
          <w:sz w:val="28"/>
          <w:szCs w:val="28"/>
        </w:rPr>
        <w:t>工程质量终身责任信息变更表</w:t>
      </w:r>
    </w:p>
    <w:p>
      <w:pPr>
        <w:rPr>
          <w:rFonts w:ascii="Times New Roman"/>
          <w:b/>
          <w:color w:val="000000"/>
          <w:spacing w:val="-2"/>
          <w:sz w:val="24"/>
        </w:rPr>
      </w:pPr>
    </w:p>
    <w:tbl>
      <w:tblPr>
        <w:tblStyle w:val="12"/>
        <w:tblW w:w="0" w:type="auto"/>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07"/>
        <w:gridCol w:w="1515"/>
        <w:gridCol w:w="1036"/>
        <w:gridCol w:w="1781"/>
        <w:gridCol w:w="1005"/>
        <w:gridCol w:w="171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707" w:type="dxa"/>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工程名称</w:t>
            </w:r>
          </w:p>
        </w:tc>
        <w:tc>
          <w:tcPr>
            <w:tcW w:w="7053" w:type="dxa"/>
            <w:gridSpan w:val="5"/>
            <w:tcBorders>
              <w:top w:val="single" w:color="auto" w:sz="8"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工程地址</w:t>
            </w:r>
          </w:p>
        </w:tc>
        <w:tc>
          <w:tcPr>
            <w:tcW w:w="7053" w:type="dxa"/>
            <w:gridSpan w:val="5"/>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建筑面积</w:t>
            </w:r>
          </w:p>
        </w:tc>
        <w:tc>
          <w:tcPr>
            <w:tcW w:w="151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036"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结构类型</w:t>
            </w:r>
            <w:r>
              <w:rPr>
                <w:rFonts w:eastAsia="方正仿宋_GBK"/>
                <w:color w:val="000000"/>
                <w:spacing w:val="-2"/>
              </w:rPr>
              <w:t>/</w:t>
            </w:r>
            <w:r>
              <w:rPr>
                <w:rFonts w:hint="eastAsia" w:eastAsia="方正仿宋_GBK"/>
                <w:color w:val="000000"/>
                <w:spacing w:val="-2"/>
              </w:rPr>
              <w:t>层数</w:t>
            </w:r>
          </w:p>
        </w:tc>
        <w:tc>
          <w:tcPr>
            <w:tcW w:w="178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00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工程</w:t>
            </w:r>
          </w:p>
          <w:p>
            <w:pPr>
              <w:jc w:val="center"/>
              <w:rPr>
                <w:rFonts w:eastAsia="方正仿宋_GBK"/>
                <w:color w:val="000000"/>
                <w:spacing w:val="-2"/>
              </w:rPr>
            </w:pPr>
            <w:r>
              <w:rPr>
                <w:rFonts w:hint="eastAsia" w:eastAsia="方正仿宋_GBK"/>
                <w:color w:val="000000"/>
                <w:spacing w:val="-2"/>
              </w:rPr>
              <w:t>造价</w:t>
            </w:r>
          </w:p>
        </w:tc>
        <w:tc>
          <w:tcPr>
            <w:tcW w:w="1716"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开工日期</w:t>
            </w:r>
          </w:p>
        </w:tc>
        <w:tc>
          <w:tcPr>
            <w:tcW w:w="255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78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竣工日期</w:t>
            </w:r>
          </w:p>
        </w:tc>
        <w:tc>
          <w:tcPr>
            <w:tcW w:w="2721"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4258" w:type="dxa"/>
            <w:gridSpan w:val="3"/>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变更前</w:t>
            </w:r>
          </w:p>
        </w:tc>
        <w:tc>
          <w:tcPr>
            <w:tcW w:w="4502" w:type="dxa"/>
            <w:gridSpan w:val="3"/>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r>
              <w:rPr>
                <w:rFonts w:hint="eastAsia" w:eastAsia="方正仿宋_GBK"/>
                <w:color w:val="000000"/>
                <w:spacing w:val="-2"/>
              </w:rPr>
              <w:t>变更后</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项目负责人姓名</w:t>
            </w:r>
          </w:p>
        </w:tc>
        <w:tc>
          <w:tcPr>
            <w:tcW w:w="255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78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项目负责人姓名</w:t>
            </w:r>
          </w:p>
        </w:tc>
        <w:tc>
          <w:tcPr>
            <w:tcW w:w="2721"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注册专业</w:t>
            </w:r>
          </w:p>
        </w:tc>
        <w:tc>
          <w:tcPr>
            <w:tcW w:w="255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78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注册专业</w:t>
            </w:r>
          </w:p>
        </w:tc>
        <w:tc>
          <w:tcPr>
            <w:tcW w:w="2721"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执业资格证书号</w:t>
            </w:r>
          </w:p>
        </w:tc>
        <w:tc>
          <w:tcPr>
            <w:tcW w:w="255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78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执业资格证书号</w:t>
            </w:r>
          </w:p>
        </w:tc>
        <w:tc>
          <w:tcPr>
            <w:tcW w:w="2721"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执业印章号</w:t>
            </w:r>
          </w:p>
        </w:tc>
        <w:tc>
          <w:tcPr>
            <w:tcW w:w="255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78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执业印章号</w:t>
            </w:r>
          </w:p>
        </w:tc>
        <w:tc>
          <w:tcPr>
            <w:tcW w:w="2721"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身份证号</w:t>
            </w:r>
          </w:p>
        </w:tc>
        <w:tc>
          <w:tcPr>
            <w:tcW w:w="255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78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身份证号</w:t>
            </w:r>
          </w:p>
        </w:tc>
        <w:tc>
          <w:tcPr>
            <w:tcW w:w="2721"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联系电话</w:t>
            </w:r>
          </w:p>
        </w:tc>
        <w:tc>
          <w:tcPr>
            <w:tcW w:w="255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78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联系电话</w:t>
            </w:r>
          </w:p>
        </w:tc>
        <w:tc>
          <w:tcPr>
            <w:tcW w:w="2721"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46" w:hRule="atLeast"/>
        </w:trPr>
        <w:tc>
          <w:tcPr>
            <w:tcW w:w="1707"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变更申请</w:t>
            </w:r>
          </w:p>
        </w:tc>
        <w:tc>
          <w:tcPr>
            <w:tcW w:w="7053" w:type="dxa"/>
            <w:gridSpan w:val="5"/>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rPr>
            </w:pPr>
            <w:r>
              <w:rPr>
                <w:rFonts w:eastAsia="方正仿宋_GBK"/>
                <w:color w:val="000000"/>
                <w:spacing w:val="-2"/>
                <w:szCs w:val="21"/>
              </w:rPr>
              <w:t xml:space="preserve">                </w:t>
            </w:r>
            <w:r>
              <w:rPr>
                <w:rFonts w:hint="eastAsia" w:eastAsia="方正仿宋_GBK"/>
                <w:color w:val="000000"/>
                <w:spacing w:val="-2"/>
                <w:szCs w:val="21"/>
              </w:rPr>
              <w:t>单位公章</w:t>
            </w:r>
            <w:r>
              <w:rPr>
                <w:rFonts w:eastAsia="方正仿宋_GBK"/>
                <w:color w:val="000000"/>
                <w:spacing w:val="-2"/>
                <w:szCs w:val="21"/>
              </w:rPr>
              <w:t xml:space="preserve">                 </w:t>
            </w:r>
            <w:r>
              <w:rPr>
                <w:rFonts w:hint="eastAsia" w:eastAsia="方正仿宋_GBK"/>
                <w:color w:val="000000"/>
                <w:spacing w:val="-2"/>
                <w:szCs w:val="21"/>
              </w:rPr>
              <w:t>年</w:t>
            </w:r>
            <w:r>
              <w:rPr>
                <w:rFonts w:eastAsia="方正仿宋_GBK"/>
                <w:color w:val="000000"/>
                <w:spacing w:val="-2"/>
                <w:szCs w:val="21"/>
              </w:rPr>
              <w:t xml:space="preserve">  </w:t>
            </w:r>
            <w:r>
              <w:rPr>
                <w:rFonts w:hint="eastAsia" w:eastAsia="方正仿宋_GBK"/>
                <w:color w:val="000000"/>
                <w:spacing w:val="-2"/>
                <w:szCs w:val="21"/>
              </w:rPr>
              <w:t>月</w:t>
            </w:r>
            <w:r>
              <w:rPr>
                <w:rFonts w:eastAsia="方正仿宋_GBK"/>
                <w:color w:val="000000"/>
                <w:spacing w:val="-2"/>
                <w:szCs w:val="21"/>
              </w:rPr>
              <w:t xml:space="preserve">  </w:t>
            </w:r>
            <w:r>
              <w:rPr>
                <w:rFonts w:hint="eastAsia" w:eastAsia="方正仿宋_GBK"/>
                <w:color w:val="000000"/>
                <w:spacing w:val="-2"/>
                <w:szCs w:val="21"/>
              </w:rPr>
              <w:t>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196" w:hRule="atLeast"/>
        </w:trPr>
        <w:tc>
          <w:tcPr>
            <w:tcW w:w="1707" w:type="dxa"/>
            <w:tcBorders>
              <w:top w:val="single" w:color="auto" w:sz="4" w:space="0"/>
              <w:left w:val="single" w:color="auto" w:sz="8" w:space="0"/>
              <w:bottom w:val="single" w:color="auto" w:sz="8" w:space="0"/>
              <w:right w:val="single" w:color="auto" w:sz="4" w:space="0"/>
            </w:tcBorders>
            <w:noWrap w:val="0"/>
            <w:vAlign w:val="center"/>
          </w:tcPr>
          <w:p>
            <w:pPr>
              <w:jc w:val="left"/>
              <w:rPr>
                <w:rFonts w:eastAsia="方正仿宋_GBK"/>
                <w:color w:val="000000"/>
                <w:spacing w:val="-2"/>
                <w:szCs w:val="21"/>
              </w:rPr>
            </w:pPr>
            <w:r>
              <w:rPr>
                <w:rFonts w:hint="eastAsia" w:eastAsia="方正仿宋_GBK"/>
                <w:color w:val="000000"/>
                <w:spacing w:val="-2"/>
                <w:szCs w:val="21"/>
              </w:rPr>
              <w:t>合同备案管理部门备案审查情况</w:t>
            </w:r>
          </w:p>
          <w:p>
            <w:pPr>
              <w:jc w:val="center"/>
              <w:rPr>
                <w:rFonts w:eastAsia="方正仿宋_GBK"/>
                <w:color w:val="000000"/>
                <w:spacing w:val="-2"/>
              </w:rPr>
            </w:pPr>
          </w:p>
        </w:tc>
        <w:tc>
          <w:tcPr>
            <w:tcW w:w="7053" w:type="dxa"/>
            <w:gridSpan w:val="5"/>
            <w:tcBorders>
              <w:top w:val="single" w:color="auto" w:sz="4" w:space="0"/>
              <w:left w:val="single" w:color="auto" w:sz="4" w:space="0"/>
              <w:bottom w:val="single" w:color="auto" w:sz="8" w:space="0"/>
              <w:right w:val="single" w:color="auto" w:sz="8" w:space="0"/>
            </w:tcBorders>
            <w:noWrap w:val="0"/>
            <w:vAlign w:val="center"/>
          </w:tcPr>
          <w:p>
            <w:pPr>
              <w:jc w:val="left"/>
              <w:rPr>
                <w:rFonts w:eastAsia="方正仿宋_GBK"/>
                <w:color w:val="000000"/>
                <w:spacing w:val="-2"/>
              </w:rPr>
            </w:pPr>
          </w:p>
          <w:p>
            <w:pPr>
              <w:jc w:val="left"/>
              <w:rPr>
                <w:rFonts w:eastAsia="方正仿宋_GBK"/>
                <w:color w:val="000000"/>
                <w:spacing w:val="-2"/>
              </w:rPr>
            </w:pPr>
          </w:p>
          <w:p>
            <w:pPr>
              <w:jc w:val="left"/>
              <w:rPr>
                <w:rFonts w:eastAsia="方正仿宋_GBK"/>
                <w:color w:val="000000"/>
                <w:spacing w:val="-2"/>
              </w:rPr>
            </w:pPr>
          </w:p>
          <w:p>
            <w:pPr>
              <w:jc w:val="left"/>
              <w:rPr>
                <w:rFonts w:eastAsia="方正仿宋_GBK"/>
                <w:color w:val="000000"/>
                <w:spacing w:val="-2"/>
              </w:rPr>
            </w:pPr>
          </w:p>
          <w:p>
            <w:pPr>
              <w:jc w:val="left"/>
              <w:rPr>
                <w:rFonts w:eastAsia="方正仿宋_GBK"/>
                <w:color w:val="000000"/>
                <w:spacing w:val="-2"/>
              </w:rPr>
            </w:pPr>
          </w:p>
          <w:p>
            <w:pPr>
              <w:jc w:val="left"/>
              <w:rPr>
                <w:rFonts w:eastAsia="方正仿宋_GBK"/>
                <w:color w:val="000000"/>
                <w:spacing w:val="-2"/>
              </w:rPr>
            </w:pPr>
          </w:p>
          <w:p>
            <w:pPr>
              <w:jc w:val="left"/>
              <w:rPr>
                <w:rFonts w:eastAsia="方正仿宋_GBK"/>
                <w:color w:val="000000"/>
                <w:spacing w:val="-2"/>
              </w:rPr>
            </w:pPr>
          </w:p>
          <w:p>
            <w:pPr>
              <w:jc w:val="left"/>
              <w:rPr>
                <w:rFonts w:eastAsia="方正仿宋_GBK"/>
                <w:color w:val="000000"/>
                <w:spacing w:val="-2"/>
              </w:rPr>
            </w:pPr>
          </w:p>
          <w:p>
            <w:pPr>
              <w:jc w:val="left"/>
              <w:rPr>
                <w:rFonts w:eastAsia="方正仿宋_GBK"/>
                <w:color w:val="000000"/>
                <w:spacing w:val="-2"/>
              </w:rPr>
            </w:pPr>
          </w:p>
          <w:p>
            <w:pPr>
              <w:jc w:val="left"/>
              <w:rPr>
                <w:rFonts w:eastAsia="方正仿宋_GBK"/>
                <w:color w:val="000000"/>
                <w:spacing w:val="-2"/>
              </w:rPr>
            </w:pPr>
          </w:p>
          <w:p>
            <w:pPr>
              <w:jc w:val="left"/>
              <w:rPr>
                <w:rFonts w:eastAsia="方正仿宋_GBK"/>
                <w:color w:val="000000"/>
                <w:spacing w:val="-2"/>
              </w:rPr>
            </w:pPr>
          </w:p>
          <w:p>
            <w:pPr>
              <w:ind w:left="1797"/>
              <w:jc w:val="center"/>
              <w:rPr>
                <w:rFonts w:eastAsia="方正仿宋_GBK"/>
                <w:color w:val="000000"/>
                <w:spacing w:val="-2"/>
              </w:rPr>
            </w:pPr>
          </w:p>
        </w:tc>
      </w:tr>
    </w:tbl>
    <w:p>
      <w:pPr>
        <w:jc w:val="right"/>
        <w:rPr>
          <w:rFonts w:hint="eastAsia"/>
          <w:color w:val="000000"/>
          <w:spacing w:val="-2"/>
          <w:sz w:val="18"/>
          <w:szCs w:val="18"/>
        </w:rPr>
      </w:pPr>
    </w:p>
    <w:p>
      <w:pPr>
        <w:rPr>
          <w:rFonts w:eastAsia="方正黑体_GBK"/>
          <w:color w:val="000000"/>
          <w:spacing w:val="-2"/>
          <w:sz w:val="36"/>
          <w:szCs w:val="36"/>
        </w:rPr>
      </w:pPr>
      <w:r>
        <w:rPr>
          <w:rFonts w:hint="eastAsia" w:ascii="Times New Roman" w:eastAsia="黑体"/>
          <w:color w:val="000000"/>
          <w:spacing w:val="-2"/>
          <w:sz w:val="36"/>
          <w:szCs w:val="36"/>
        </w:rPr>
        <w:br w:type="column"/>
      </w:r>
      <w:r>
        <w:rPr>
          <w:rFonts w:hint="eastAsia" w:eastAsia="方正黑体_GBK"/>
          <w:color w:val="000000"/>
          <w:spacing w:val="-2"/>
          <w:sz w:val="36"/>
          <w:szCs w:val="36"/>
        </w:rPr>
        <w:t>第</w:t>
      </w:r>
      <w:r>
        <w:rPr>
          <w:rFonts w:eastAsia="方正黑体_GBK"/>
          <w:color w:val="000000"/>
          <w:spacing w:val="-2"/>
          <w:sz w:val="36"/>
          <w:szCs w:val="36"/>
        </w:rPr>
        <w:t>3</w:t>
      </w:r>
      <w:r>
        <w:rPr>
          <w:rFonts w:hint="eastAsia" w:eastAsia="方正黑体_GBK"/>
          <w:color w:val="000000"/>
          <w:spacing w:val="-2"/>
          <w:sz w:val="36"/>
          <w:szCs w:val="36"/>
        </w:rPr>
        <w:t>部分：</w:t>
      </w: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jc w:val="center"/>
        <w:rPr>
          <w:rFonts w:ascii="Times New Roman" w:hAnsi="Times New Roman" w:eastAsia="方正小标宋简体"/>
          <w:color w:val="000000"/>
          <w:spacing w:val="-2"/>
          <w:sz w:val="48"/>
          <w:szCs w:val="48"/>
        </w:rPr>
      </w:pPr>
      <w:r>
        <w:rPr>
          <w:rFonts w:hint="eastAsia" w:ascii="Times New Roman" w:hAnsi="Times New Roman" w:eastAsia="方正小标宋简体"/>
          <w:color w:val="000000"/>
          <w:spacing w:val="-2"/>
          <w:sz w:val="48"/>
          <w:szCs w:val="48"/>
        </w:rPr>
        <w:t xml:space="preserve"> 工程质量终身责任承诺书</w:t>
      </w:r>
    </w:p>
    <w:p>
      <w:pPr>
        <w:jc w:val="center"/>
        <w:rPr>
          <w:rFonts w:hint="eastAsia"/>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right"/>
        <w:rPr>
          <w:b/>
          <w:bCs/>
          <w:color w:val="000000"/>
          <w:spacing w:val="-2"/>
        </w:rPr>
      </w:pPr>
      <w:r>
        <w:rPr>
          <w:b/>
          <w:bCs/>
          <w:color w:val="000000"/>
          <w:spacing w:val="-2"/>
          <w:sz w:val="36"/>
          <w:szCs w:val="36"/>
        </w:rPr>
        <w:t xml:space="preserve">  </w:t>
      </w:r>
    </w:p>
    <w:p>
      <w:pPr>
        <w:pStyle w:val="10"/>
        <w:widowControl w:val="0"/>
        <w:shd w:val="clear" w:color="auto" w:fill="FFFFFF"/>
        <w:spacing w:before="0" w:beforeAutospacing="0" w:after="0" w:afterAutospacing="0" w:line="460" w:lineRule="exact"/>
        <w:jc w:val="center"/>
        <w:rPr>
          <w:rFonts w:ascii="Times New Roman" w:hAnsi="Times New Roman" w:eastAsia="方正仿宋_GBK"/>
          <w:b/>
          <w:bCs/>
          <w:color w:val="000000"/>
          <w:spacing w:val="-2"/>
        </w:rPr>
      </w:pPr>
      <w:r>
        <w:rPr>
          <w:rFonts w:hint="eastAsia" w:ascii="Times New Roman" w:hAnsi="Times New Roman"/>
          <w:b/>
          <w:bCs/>
          <w:color w:val="000000"/>
          <w:spacing w:val="-2"/>
          <w:sz w:val="36"/>
          <w:szCs w:val="36"/>
        </w:rPr>
        <w:br w:type="column"/>
      </w:r>
    </w:p>
    <w:p>
      <w:pPr>
        <w:pStyle w:val="10"/>
        <w:widowControl w:val="0"/>
        <w:shd w:val="clear" w:color="auto" w:fill="FFFFFF"/>
        <w:spacing w:before="0" w:beforeAutospacing="0" w:after="0" w:afterAutospacing="0" w:line="460" w:lineRule="exact"/>
        <w:jc w:val="center"/>
        <w:rPr>
          <w:rFonts w:ascii="Times New Roman" w:hAnsi="Times New Roman" w:eastAsia="方正黑体_GBK"/>
          <w:bCs/>
          <w:color w:val="000000"/>
          <w:spacing w:val="-2"/>
          <w:sz w:val="32"/>
          <w:szCs w:val="32"/>
        </w:rPr>
      </w:pPr>
      <w:r>
        <w:rPr>
          <w:rFonts w:hint="eastAsia" w:ascii="Times New Roman" w:hAnsi="Times New Roman" w:eastAsia="方正黑体_GBK"/>
          <w:bCs/>
          <w:color w:val="000000"/>
          <w:spacing w:val="-2"/>
          <w:sz w:val="32"/>
          <w:szCs w:val="32"/>
        </w:rPr>
        <w:t>建设单位项目负责人质量终身责任承诺书</w:t>
      </w:r>
    </w:p>
    <w:p>
      <w:pPr>
        <w:shd w:val="clear" w:color="auto" w:fill="FFFFFF"/>
        <w:spacing w:line="460" w:lineRule="exact"/>
        <w:jc w:val="left"/>
        <w:rPr>
          <w:rFonts w:hint="eastAsia" w:eastAsia="方正仿宋_GBK"/>
          <w:b/>
          <w:color w:val="000000"/>
          <w:spacing w:val="-2"/>
          <w:kern w:val="0"/>
          <w:sz w:val="24"/>
        </w:rPr>
      </w:pPr>
    </w:p>
    <w:p>
      <w:pPr>
        <w:shd w:val="clear" w:color="auto" w:fill="FFFFFF"/>
        <w:spacing w:line="460" w:lineRule="exact"/>
        <w:ind w:firstLine="480"/>
        <w:jc w:val="left"/>
        <w:rPr>
          <w:rFonts w:eastAsia="方正仿宋_GBK"/>
          <w:color w:val="000000"/>
          <w:spacing w:val="-2"/>
          <w:kern w:val="0"/>
          <w:sz w:val="24"/>
          <w:u w:val="single"/>
        </w:rPr>
      </w:pPr>
      <w:r>
        <w:rPr>
          <w:rFonts w:hint="eastAsia" w:eastAsia="方正仿宋_GBK"/>
          <w:b/>
          <w:color w:val="000000"/>
          <w:spacing w:val="-2"/>
          <w:kern w:val="0"/>
          <w:sz w:val="24"/>
        </w:rPr>
        <w:t>本人承诺：</w:t>
      </w:r>
      <w:r>
        <w:rPr>
          <w:rFonts w:hint="eastAsia" w:eastAsia="方正仿宋_GBK"/>
          <w:color w:val="000000"/>
          <w:spacing w:val="-2"/>
          <w:kern w:val="0"/>
          <w:sz w:val="24"/>
        </w:rPr>
        <w:t>在</w:t>
      </w:r>
      <w:r>
        <w:rPr>
          <w:rFonts w:eastAsia="方正仿宋_GBK"/>
          <w:color w:val="000000"/>
          <w:spacing w:val="-2"/>
          <w:kern w:val="0"/>
          <w:sz w:val="24"/>
          <w:u w:val="single"/>
        </w:rPr>
        <w:t xml:space="preserve">                                    </w:t>
      </w:r>
      <w:r>
        <w:rPr>
          <w:rFonts w:hint="eastAsia" w:eastAsia="方正仿宋_GBK"/>
          <w:color w:val="000000"/>
          <w:spacing w:val="-2"/>
          <w:kern w:val="0"/>
          <w:sz w:val="24"/>
        </w:rPr>
        <w:t>工程建设过程中认真履行下列职责，并承担相应终身质量责任。</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、工程建设坚持先勘察、后设计、再施工的原则。向勘察、设计、施工、监理、检测和施工图审查等单位提供真实、准确、齐全的建设项目相关的原始材料。</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、及时办理项目选址、用地规划许可、建设工程规划许可、项目施工图审查和备案、质量安全监督、合同备案、开工安全生产条件审查等手续，领取施工许可证（含依法分项发包工程）后方开工建设。</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工程发包给具有相应资质等级的施工、监理、勘察、设计等单位，对规定必须招标的工程项目严格依法依规进行招标，不将建设工程肢解发包，不强迫承包方以低于成本价竞标情况，不压缩合理工期。向施工现场提供经施工图审查机构审查合格并加盖专用章的施工用图和设计变更等相关设计文件。对依法分项发包而未指定总包管理的分部分项工程的质量负总责。</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、无明示或暗示勘察、设计、施工、检测等单位违反工程建设强制性标准或使用不合格的建筑材料、建筑配件和设备，降低工程质量的情况。</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、涉及到工程建设强制性标准、地基基础和主体结构安全性等方面的设计变更，均经原施工图审查机构审查合格，并加盖审查机构专用章。</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、及时整理文件资料，建立健全工程项目档案，并自竣工备案后三个月内向城建档案管理部门移交建设项目档案。</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7</w:t>
      </w:r>
      <w:r>
        <w:rPr>
          <w:rFonts w:hint="eastAsia" w:eastAsia="方正仿宋_GBK"/>
          <w:color w:val="000000"/>
          <w:spacing w:val="-2"/>
          <w:kern w:val="0"/>
          <w:sz w:val="24"/>
        </w:rPr>
        <w:t>、法律法规及标准规范规定的其他质量责任。</w:t>
      </w:r>
    </w:p>
    <w:p>
      <w:pPr>
        <w:shd w:val="clear" w:color="auto" w:fill="FFFFFF"/>
        <w:spacing w:line="20" w:lineRule="exact"/>
        <w:ind w:firstLine="472" w:firstLineChars="200"/>
        <w:jc w:val="left"/>
        <w:rPr>
          <w:rFonts w:eastAsia="方正仿宋_GBK"/>
          <w:color w:val="000000"/>
          <w:spacing w:val="-2"/>
          <w:kern w:val="0"/>
          <w:sz w:val="24"/>
        </w:rPr>
      </w:pPr>
    </w:p>
    <w:p>
      <w:pPr>
        <w:shd w:val="clear" w:color="auto" w:fill="FFFFFF"/>
        <w:spacing w:line="20" w:lineRule="exact"/>
        <w:ind w:firstLine="472" w:firstLineChars="200"/>
        <w:jc w:val="left"/>
        <w:rPr>
          <w:rFonts w:eastAsia="方正仿宋_GBK"/>
          <w:color w:val="000000"/>
          <w:spacing w:val="-2"/>
          <w:kern w:val="0"/>
          <w:sz w:val="24"/>
        </w:rPr>
      </w:pPr>
    </w:p>
    <w:tbl>
      <w:tblPr>
        <w:tblStyle w:val="12"/>
        <w:tblW w:w="0" w:type="auto"/>
        <w:jc w:val="center"/>
        <w:tblLayout w:type="fixed"/>
        <w:tblCellMar>
          <w:top w:w="0" w:type="dxa"/>
          <w:left w:w="0" w:type="dxa"/>
          <w:bottom w:w="0" w:type="dxa"/>
          <w:right w:w="0" w:type="dxa"/>
        </w:tblCellMar>
      </w:tblPr>
      <w:tblGrid>
        <w:gridCol w:w="1767"/>
        <w:gridCol w:w="2733"/>
        <w:gridCol w:w="3946"/>
      </w:tblGrid>
      <w:tr>
        <w:tblPrEx>
          <w:tblCellMar>
            <w:top w:w="0" w:type="dxa"/>
            <w:left w:w="0" w:type="dxa"/>
            <w:bottom w:w="0" w:type="dxa"/>
            <w:right w:w="0" w:type="dxa"/>
          </w:tblCellMar>
        </w:tblPrEx>
        <w:trPr>
          <w:trHeight w:val="742" w:hRule="atLeast"/>
          <w:jc w:val="center"/>
        </w:trPr>
        <w:tc>
          <w:tcPr>
            <w:tcW w:w="1767"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outlineLvl w:val="0"/>
              <w:rPr>
                <w:rFonts w:eastAsia="方正仿宋_GBK"/>
                <w:b/>
                <w:bCs/>
                <w:color w:val="000000"/>
                <w:spacing w:val="-2"/>
                <w:kern w:val="36"/>
                <w:sz w:val="24"/>
              </w:rPr>
            </w:pPr>
            <w:bookmarkStart w:id="517" w:name="_Toc20668051"/>
            <w:bookmarkStart w:id="518" w:name="_Toc18315721"/>
            <w:bookmarkStart w:id="519" w:name="_Toc20726580"/>
            <w:r>
              <w:rPr>
                <w:rFonts w:hint="eastAsia" w:eastAsia="方正仿宋_GBK"/>
                <w:color w:val="000000"/>
                <w:spacing w:val="-2"/>
                <w:kern w:val="36"/>
                <w:sz w:val="24"/>
              </w:rPr>
              <w:t>项目负责人</w:t>
            </w:r>
            <w:bookmarkEnd w:id="517"/>
            <w:bookmarkEnd w:id="518"/>
            <w:bookmarkEnd w:id="519"/>
          </w:p>
        </w:tc>
        <w:tc>
          <w:tcPr>
            <w:tcW w:w="2733"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46" w:type="dxa"/>
            <w:vMerge w:val="restart"/>
            <w:tcBorders>
              <w:top w:val="single" w:color="auto" w:sz="8" w:space="0"/>
              <w:left w:val="single" w:color="auto" w:sz="4" w:space="0"/>
              <w:bottom w:val="single" w:color="auto" w:sz="8" w:space="0"/>
              <w:right w:val="single" w:color="auto" w:sz="8" w:space="0"/>
            </w:tcBorders>
            <w:noWrap w:val="0"/>
            <w:vAlign w:val="center"/>
          </w:tcPr>
          <w:p>
            <w:pPr>
              <w:spacing w:line="240" w:lineRule="exact"/>
              <w:jc w:val="left"/>
              <w:outlineLvl w:val="0"/>
              <w:rPr>
                <w:rFonts w:eastAsia="方正仿宋_GBK"/>
                <w:b/>
                <w:bCs/>
                <w:color w:val="000000"/>
                <w:spacing w:val="-2"/>
                <w:kern w:val="36"/>
                <w:sz w:val="24"/>
              </w:rPr>
            </w:pPr>
            <w:bookmarkStart w:id="520" w:name="_Toc18315722"/>
            <w:bookmarkStart w:id="521" w:name="_Toc20726581"/>
            <w:bookmarkStart w:id="522" w:name="_Toc20668052"/>
            <w:r>
              <w:rPr>
                <w:rFonts w:hint="eastAsia" w:eastAsia="方正仿宋_GBK"/>
                <w:color w:val="000000"/>
                <w:spacing w:val="-2"/>
                <w:kern w:val="36"/>
                <w:sz w:val="24"/>
              </w:rPr>
              <w:t>承诺人签名：</w:t>
            </w:r>
            <w:bookmarkEnd w:id="520"/>
            <w:bookmarkEnd w:id="521"/>
            <w:bookmarkEnd w:id="522"/>
          </w:p>
          <w:p>
            <w:pPr>
              <w:spacing w:line="240" w:lineRule="exact"/>
              <w:rPr>
                <w:rFonts w:eastAsia="方正仿宋_GBK"/>
                <w:color w:val="000000"/>
                <w:spacing w:val="-2"/>
                <w:kern w:val="36"/>
                <w:sz w:val="24"/>
              </w:rPr>
            </w:pPr>
            <w:r>
              <w:rPr>
                <w:rFonts w:eastAsia="方正仿宋_GBK"/>
                <w:color w:val="000000"/>
                <w:spacing w:val="-2"/>
                <w:kern w:val="36"/>
                <w:sz w:val="24"/>
              </w:rPr>
              <w:t xml:space="preserve">             </w:t>
            </w:r>
          </w:p>
          <w:p>
            <w:pPr>
              <w:spacing w:line="240" w:lineRule="exact"/>
              <w:ind w:firstLine="2478" w:firstLineChars="1050"/>
              <w:rPr>
                <w:rFonts w:eastAsia="方正仿宋_GBK"/>
                <w:color w:val="000000"/>
                <w:spacing w:val="-2"/>
                <w:kern w:val="36"/>
                <w:sz w:val="24"/>
              </w:rPr>
            </w:pPr>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p>
          <w:p>
            <w:pPr>
              <w:spacing w:line="240" w:lineRule="exact"/>
              <w:rPr>
                <w:rFonts w:eastAsia="方正仿宋_GBK"/>
                <w:color w:val="000000"/>
                <w:spacing w:val="-2"/>
                <w:kern w:val="36"/>
                <w:sz w:val="24"/>
              </w:rPr>
            </w:pPr>
          </w:p>
          <w:p>
            <w:pPr>
              <w:spacing w:line="240" w:lineRule="exact"/>
              <w:rPr>
                <w:rFonts w:eastAsia="方正仿宋_GBK"/>
                <w:color w:val="000000"/>
                <w:spacing w:val="-2"/>
                <w:kern w:val="0"/>
                <w:sz w:val="24"/>
              </w:rPr>
            </w:pPr>
            <w:r>
              <w:rPr>
                <w:rFonts w:hint="eastAsia" w:eastAsia="方正仿宋_GBK"/>
                <w:color w:val="000000"/>
                <w:spacing w:val="-2"/>
                <w:kern w:val="0"/>
                <w:sz w:val="24"/>
              </w:rPr>
              <w:t>单位（公章）：</w:t>
            </w:r>
          </w:p>
          <w:p>
            <w:pPr>
              <w:spacing w:line="240" w:lineRule="exact"/>
              <w:ind w:right="280"/>
              <w:jc w:val="right"/>
              <w:outlineLvl w:val="0"/>
              <w:rPr>
                <w:rFonts w:eastAsia="方正仿宋_GBK"/>
                <w:b/>
                <w:bCs/>
                <w:color w:val="000000"/>
                <w:spacing w:val="-2"/>
                <w:kern w:val="36"/>
                <w:sz w:val="24"/>
              </w:rPr>
            </w:pPr>
            <w:bookmarkStart w:id="523" w:name="_Toc18315723"/>
            <w:bookmarkStart w:id="524" w:name="_Toc20726582"/>
            <w:bookmarkStart w:id="525" w:name="_Toc20668053"/>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bookmarkEnd w:id="523"/>
            <w:bookmarkEnd w:id="524"/>
            <w:bookmarkEnd w:id="525"/>
          </w:p>
        </w:tc>
      </w:tr>
      <w:tr>
        <w:tblPrEx>
          <w:tblCellMar>
            <w:top w:w="0" w:type="dxa"/>
            <w:left w:w="0" w:type="dxa"/>
            <w:bottom w:w="0" w:type="dxa"/>
            <w:right w:w="0" w:type="dxa"/>
          </w:tblCellMar>
        </w:tblPrEx>
        <w:trPr>
          <w:trHeight w:val="665" w:hRule="atLeast"/>
          <w:jc w:val="center"/>
        </w:trPr>
        <w:tc>
          <w:tcPr>
            <w:tcW w:w="1767"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outlineLvl w:val="0"/>
              <w:rPr>
                <w:rFonts w:eastAsia="方正仿宋_GBK"/>
                <w:b/>
                <w:bCs/>
                <w:color w:val="000000"/>
                <w:spacing w:val="-2"/>
                <w:kern w:val="36"/>
                <w:sz w:val="24"/>
              </w:rPr>
            </w:pPr>
            <w:bookmarkStart w:id="526" w:name="_Toc20726583"/>
            <w:bookmarkStart w:id="527" w:name="_Toc20668054"/>
            <w:bookmarkStart w:id="528" w:name="_Toc18315724"/>
            <w:r>
              <w:rPr>
                <w:rFonts w:hint="eastAsia" w:eastAsia="方正仿宋_GBK"/>
                <w:color w:val="000000"/>
                <w:spacing w:val="-2"/>
                <w:kern w:val="36"/>
                <w:sz w:val="24"/>
              </w:rPr>
              <w:t>身份证号码</w:t>
            </w:r>
            <w:bookmarkEnd w:id="526"/>
            <w:bookmarkEnd w:id="527"/>
            <w:bookmarkEnd w:id="528"/>
          </w:p>
        </w:tc>
        <w:tc>
          <w:tcPr>
            <w:tcW w:w="2733"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4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r>
        <w:tblPrEx>
          <w:tblCellMar>
            <w:top w:w="0" w:type="dxa"/>
            <w:left w:w="0" w:type="dxa"/>
            <w:bottom w:w="0" w:type="dxa"/>
            <w:right w:w="0" w:type="dxa"/>
          </w:tblCellMar>
        </w:tblPrEx>
        <w:trPr>
          <w:trHeight w:val="713" w:hRule="atLeast"/>
          <w:jc w:val="center"/>
        </w:trPr>
        <w:tc>
          <w:tcPr>
            <w:tcW w:w="1767" w:type="dxa"/>
            <w:tcBorders>
              <w:top w:val="single" w:color="auto" w:sz="4" w:space="0"/>
              <w:left w:val="single" w:color="auto" w:sz="8" w:space="0"/>
              <w:bottom w:val="single" w:color="auto" w:sz="8" w:space="0"/>
              <w:right w:val="single" w:color="auto" w:sz="4" w:space="0"/>
            </w:tcBorders>
            <w:noWrap w:val="0"/>
            <w:vAlign w:val="center"/>
          </w:tcPr>
          <w:p>
            <w:pPr>
              <w:spacing w:line="240" w:lineRule="exact"/>
              <w:jc w:val="center"/>
              <w:outlineLvl w:val="0"/>
              <w:rPr>
                <w:rFonts w:eastAsia="方正仿宋_GBK"/>
                <w:color w:val="000000"/>
                <w:spacing w:val="-2"/>
                <w:kern w:val="36"/>
                <w:sz w:val="24"/>
              </w:rPr>
            </w:pPr>
            <w:bookmarkStart w:id="529" w:name="_Toc20668055"/>
            <w:bookmarkStart w:id="530" w:name="_Toc20726584"/>
            <w:bookmarkStart w:id="531" w:name="_Toc18315725"/>
            <w:r>
              <w:rPr>
                <w:rFonts w:hint="eastAsia" w:eastAsia="方正仿宋_GBK"/>
                <w:color w:val="000000"/>
                <w:spacing w:val="-2"/>
                <w:kern w:val="36"/>
                <w:sz w:val="24"/>
              </w:rPr>
              <w:t>联系方式</w:t>
            </w:r>
            <w:bookmarkEnd w:id="529"/>
            <w:bookmarkEnd w:id="530"/>
            <w:bookmarkEnd w:id="531"/>
          </w:p>
        </w:tc>
        <w:tc>
          <w:tcPr>
            <w:tcW w:w="2733" w:type="dxa"/>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outlineLvl w:val="0"/>
              <w:rPr>
                <w:rFonts w:eastAsia="方正仿宋_GBK"/>
                <w:color w:val="000000"/>
                <w:spacing w:val="-2"/>
                <w:kern w:val="36"/>
                <w:sz w:val="24"/>
              </w:rPr>
            </w:pPr>
          </w:p>
        </w:tc>
        <w:tc>
          <w:tcPr>
            <w:tcW w:w="394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bl>
    <w:p>
      <w:pPr>
        <w:spacing w:line="360" w:lineRule="exact"/>
        <w:rPr>
          <w:rFonts w:ascii="Times New Roman" w:eastAsia="方正楷体_GBK"/>
          <w:color w:val="000000"/>
          <w:spacing w:val="-2"/>
          <w:szCs w:val="21"/>
        </w:rPr>
      </w:pPr>
      <w:r>
        <w:rPr>
          <w:rFonts w:hint="eastAsia" w:ascii="Times New Roman" w:eastAsia="方正楷体_GBK"/>
          <w:color w:val="000000"/>
          <w:spacing w:val="-2"/>
          <w:szCs w:val="21"/>
        </w:rPr>
        <w:t>注：本承诺书一式三份，一份在办理质量监督手续前，报质量监督机构备案；一份由建设单位收集管理，工程竣工验收合格后移交城建档案管理部门；一份各方责任主体留存。</w:t>
      </w:r>
    </w:p>
    <w:p>
      <w:pPr>
        <w:shd w:val="clear" w:color="auto" w:fill="FFFFFF"/>
        <w:spacing w:line="460" w:lineRule="exact"/>
        <w:jc w:val="center"/>
        <w:rPr>
          <w:rFonts w:hint="eastAsia" w:eastAsia="方正仿宋_GBK"/>
          <w:color w:val="000000"/>
          <w:spacing w:val="-2"/>
          <w:sz w:val="24"/>
        </w:rPr>
      </w:pPr>
      <w:r>
        <w:rPr>
          <w:rFonts w:hint="eastAsia" w:ascii="Times New Roman" w:eastAsia="方正楷体_GBK"/>
          <w:color w:val="000000"/>
          <w:spacing w:val="-2"/>
          <w:szCs w:val="21"/>
        </w:rPr>
        <w:br w:type="page"/>
      </w:r>
    </w:p>
    <w:p>
      <w:pPr>
        <w:shd w:val="clear" w:color="auto" w:fill="FFFFFF"/>
        <w:spacing w:line="460" w:lineRule="exact"/>
        <w:jc w:val="center"/>
        <w:rPr>
          <w:rFonts w:ascii="Times New Roman" w:eastAsia="方正黑体_GBK"/>
          <w:color w:val="000000"/>
          <w:spacing w:val="-2"/>
          <w:kern w:val="0"/>
          <w:sz w:val="28"/>
          <w:szCs w:val="28"/>
        </w:rPr>
      </w:pPr>
      <w:r>
        <w:rPr>
          <w:rFonts w:hint="eastAsia" w:ascii="Times New Roman" w:eastAsia="方正黑体_GBK"/>
          <w:color w:val="000000"/>
          <w:spacing w:val="-2"/>
          <w:kern w:val="0"/>
          <w:sz w:val="28"/>
          <w:szCs w:val="28"/>
        </w:rPr>
        <w:t>勘察单位项目负责人质量终身责任承诺书</w:t>
      </w:r>
    </w:p>
    <w:p>
      <w:pPr>
        <w:pStyle w:val="10"/>
        <w:widowControl w:val="0"/>
        <w:shd w:val="clear" w:color="auto" w:fill="FFFFFF"/>
        <w:spacing w:before="0" w:beforeAutospacing="0" w:after="0" w:afterAutospacing="0" w:line="460" w:lineRule="exact"/>
        <w:jc w:val="center"/>
        <w:rPr>
          <w:rFonts w:hint="eastAsia" w:ascii="Times New Roman" w:hAnsi="Times New Roman" w:eastAsia="方正仿宋_GBK"/>
          <w:bCs/>
          <w:color w:val="000000"/>
          <w:spacing w:val="-2"/>
        </w:rPr>
      </w:pPr>
    </w:p>
    <w:p>
      <w:pPr>
        <w:shd w:val="clear" w:color="auto" w:fill="FFFFFF"/>
        <w:spacing w:line="460" w:lineRule="exact"/>
        <w:jc w:val="left"/>
        <w:rPr>
          <w:rFonts w:eastAsia="方正仿宋_GBK"/>
          <w:color w:val="000000"/>
          <w:spacing w:val="-2"/>
          <w:kern w:val="0"/>
          <w:sz w:val="24"/>
          <w:u w:val="single"/>
        </w:rPr>
      </w:pPr>
      <w:r>
        <w:rPr>
          <w:rFonts w:eastAsia="方正仿宋_GBK"/>
          <w:b/>
          <w:color w:val="000000"/>
          <w:spacing w:val="-2"/>
          <w:kern w:val="0"/>
          <w:sz w:val="24"/>
        </w:rPr>
        <w:t xml:space="preserve">    </w:t>
      </w:r>
      <w:r>
        <w:rPr>
          <w:rFonts w:hint="eastAsia" w:eastAsia="方正仿宋_GBK"/>
          <w:b/>
          <w:color w:val="000000"/>
          <w:spacing w:val="-2"/>
          <w:kern w:val="0"/>
          <w:sz w:val="24"/>
        </w:rPr>
        <w:t>本人承诺：</w:t>
      </w:r>
      <w:r>
        <w:rPr>
          <w:rFonts w:hint="eastAsia" w:eastAsia="方正仿宋_GBK"/>
          <w:color w:val="000000"/>
          <w:spacing w:val="-2"/>
          <w:kern w:val="0"/>
          <w:sz w:val="24"/>
        </w:rPr>
        <w:t>在</w:t>
      </w:r>
      <w:r>
        <w:rPr>
          <w:rFonts w:eastAsia="方正仿宋_GBK"/>
          <w:color w:val="000000"/>
          <w:spacing w:val="-2"/>
          <w:kern w:val="0"/>
          <w:sz w:val="24"/>
        </w:rPr>
        <w:t xml:space="preserve"> </w:t>
      </w:r>
      <w:r>
        <w:rPr>
          <w:rFonts w:eastAsia="方正仿宋_GBK"/>
          <w:color w:val="000000"/>
          <w:spacing w:val="-2"/>
          <w:kern w:val="0"/>
          <w:sz w:val="24"/>
          <w:u w:val="single"/>
        </w:rPr>
        <w:t xml:space="preserve">                                    </w:t>
      </w:r>
      <w:r>
        <w:rPr>
          <w:rFonts w:hint="eastAsia" w:eastAsia="方正仿宋_GBK"/>
          <w:color w:val="000000"/>
          <w:spacing w:val="-2"/>
          <w:kern w:val="0"/>
          <w:sz w:val="24"/>
        </w:rPr>
        <w:t>工程建设过程中认真履行下列职责，并承担相应终身质量责任。</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严格按照本单位核定的工程勘察资质等级和业务范围开展勘察业务，无越级和超范围勘察或以其他工程勘察单位的名义承揽勘察业务，未转包或违法分包所承揽的勘察业务。依法签订工程勘察业务合同，自觉执行国家规定的工程勘察收费标准，无恶性压价竞争情况。</w:t>
      </w:r>
    </w:p>
    <w:p>
      <w:pPr>
        <w:shd w:val="clear" w:color="auto" w:fill="FFFFFF"/>
        <w:spacing w:line="460" w:lineRule="exact"/>
        <w:ind w:firstLine="472" w:firstLineChars="200"/>
        <w:jc w:val="left"/>
        <w:rPr>
          <w:rFonts w:eastAsia="方正仿宋_GBK"/>
          <w:color w:val="000000"/>
          <w:spacing w:val="-8"/>
          <w:kern w:val="0"/>
          <w:sz w:val="24"/>
        </w:rPr>
      </w:pPr>
      <w:r>
        <w:rPr>
          <w:rFonts w:eastAsia="方正仿宋_GBK"/>
          <w:color w:val="000000"/>
          <w:spacing w:val="-2"/>
          <w:kern w:val="0"/>
          <w:sz w:val="24"/>
        </w:rPr>
        <w:t>2</w:t>
      </w:r>
      <w:r>
        <w:rPr>
          <w:rFonts w:hint="eastAsia" w:eastAsia="方正仿宋_GBK"/>
          <w:color w:val="000000"/>
          <w:spacing w:val="-2"/>
          <w:kern w:val="0"/>
          <w:sz w:val="24"/>
        </w:rPr>
        <w:t>、</w:t>
      </w:r>
      <w:r>
        <w:rPr>
          <w:rFonts w:hint="eastAsia" w:eastAsia="方正仿宋_GBK"/>
          <w:color w:val="000000"/>
          <w:spacing w:val="-8"/>
          <w:kern w:val="0"/>
          <w:sz w:val="24"/>
        </w:rPr>
        <w:t>严格执行工程建设强制性标准，坚决杜绝弄虚作假，不提供虚假的勘察成果资料。</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、在勘察过程中及时整理、核对工程勘察工作的原始记录，确保取样、记录的真实、准确，无离开现场追记或者补记情况。室内试验符合有关规范、规程的要求。</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、确保本单位向业主提供的勘察文件真实、准确，相关的签字、盖章手续齐全，符合国家规定的勘察文件编制深度要求。</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、及时将勘察报告及相关原始资料归档保存。</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、参与施工验槽，及时解决工程设计和施工中与勘察工作有关的问题。</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7</w:t>
      </w:r>
      <w:r>
        <w:rPr>
          <w:rFonts w:hint="eastAsia" w:eastAsia="方正仿宋_GBK"/>
          <w:color w:val="000000"/>
          <w:spacing w:val="-2"/>
          <w:kern w:val="0"/>
          <w:sz w:val="24"/>
        </w:rPr>
        <w:t>、法律法规及标准规范规定的其他质量责任。</w:t>
      </w:r>
    </w:p>
    <w:p>
      <w:pPr>
        <w:shd w:val="clear" w:color="auto" w:fill="FFFFFF"/>
        <w:spacing w:line="460" w:lineRule="exact"/>
        <w:ind w:firstLine="472" w:firstLineChars="200"/>
        <w:jc w:val="left"/>
        <w:rPr>
          <w:rFonts w:eastAsia="方正仿宋_GBK"/>
          <w:color w:val="000000"/>
          <w:spacing w:val="-2"/>
          <w:kern w:val="0"/>
          <w:sz w:val="24"/>
          <w:u w:val="single"/>
        </w:rPr>
      </w:pPr>
      <w:r>
        <w:rPr>
          <w:rFonts w:eastAsia="方正仿宋_GBK"/>
          <w:color w:val="000000"/>
          <w:spacing w:val="-2"/>
          <w:kern w:val="0"/>
          <w:sz w:val="24"/>
        </w:rPr>
        <w:t>8</w:t>
      </w:r>
      <w:r>
        <w:rPr>
          <w:rFonts w:hint="eastAsia" w:eastAsia="方正仿宋_GBK"/>
          <w:color w:val="000000"/>
          <w:spacing w:val="-2"/>
          <w:kern w:val="0"/>
          <w:sz w:val="24"/>
        </w:rPr>
        <w:t>、本单位在本工程项目承担下列勘察业务：</w:t>
      </w:r>
      <w:r>
        <w:rPr>
          <w:rFonts w:hint="eastAsia" w:eastAsia="方正仿宋_GBK"/>
          <w:color w:val="000000"/>
          <w:spacing w:val="-2"/>
          <w:kern w:val="0"/>
          <w:sz w:val="24"/>
          <w:u w:val="single"/>
        </w:rPr>
        <w:t>（附合同复印件）</w:t>
      </w:r>
      <w:r>
        <w:rPr>
          <w:rFonts w:eastAsia="方正仿宋_GBK"/>
          <w:color w:val="000000"/>
          <w:spacing w:val="-2"/>
          <w:kern w:val="0"/>
          <w:sz w:val="24"/>
          <w:u w:val="single"/>
        </w:rPr>
        <w:t xml:space="preserve">                                                   </w:t>
      </w:r>
    </w:p>
    <w:p>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pPr>
        <w:shd w:val="clear" w:color="auto" w:fill="FFFFFF"/>
        <w:spacing w:line="460" w:lineRule="exact"/>
        <w:jc w:val="left"/>
        <w:rPr>
          <w:rFonts w:eastAsia="方正仿宋_GBK"/>
          <w:color w:val="000000"/>
          <w:spacing w:val="-2"/>
          <w:kern w:val="0"/>
          <w:sz w:val="24"/>
        </w:rPr>
      </w:pPr>
      <w:r>
        <w:rPr>
          <w:rFonts w:eastAsia="方正仿宋_GBK"/>
          <w:color w:val="000000"/>
          <w:spacing w:val="-2"/>
          <w:kern w:val="0"/>
          <w:sz w:val="24"/>
          <w:u w:val="single"/>
        </w:rPr>
        <w:t xml:space="preserve">                                                                         </w:t>
      </w:r>
      <w:r>
        <w:rPr>
          <w:rFonts w:eastAsia="方正仿宋_GBK"/>
          <w:color w:val="000000"/>
          <w:spacing w:val="-2"/>
          <w:kern w:val="0"/>
          <w:sz w:val="24"/>
        </w:rPr>
        <w:t xml:space="preserve"> </w:t>
      </w:r>
      <w:r>
        <w:rPr>
          <w:rFonts w:hint="eastAsia" w:eastAsia="方正仿宋_GBK"/>
          <w:color w:val="000000"/>
          <w:spacing w:val="-2"/>
          <w:kern w:val="0"/>
          <w:sz w:val="24"/>
        </w:rPr>
        <w:t>。</w:t>
      </w:r>
    </w:p>
    <w:p>
      <w:pPr>
        <w:shd w:val="clear" w:color="auto" w:fill="FFFFFF"/>
        <w:spacing w:line="20" w:lineRule="exact"/>
        <w:jc w:val="left"/>
        <w:rPr>
          <w:rFonts w:eastAsia="方正仿宋_GBK"/>
          <w:color w:val="000000"/>
          <w:spacing w:val="-2"/>
          <w:kern w:val="0"/>
          <w:sz w:val="24"/>
        </w:rPr>
      </w:pPr>
    </w:p>
    <w:tbl>
      <w:tblPr>
        <w:tblStyle w:val="12"/>
        <w:tblW w:w="0" w:type="auto"/>
        <w:jc w:val="center"/>
        <w:tblLayout w:type="fixed"/>
        <w:tblCellMar>
          <w:top w:w="0" w:type="dxa"/>
          <w:left w:w="0" w:type="dxa"/>
          <w:bottom w:w="0" w:type="dxa"/>
          <w:right w:w="0" w:type="dxa"/>
        </w:tblCellMar>
      </w:tblPr>
      <w:tblGrid>
        <w:gridCol w:w="1767"/>
        <w:gridCol w:w="3027"/>
        <w:gridCol w:w="3956"/>
      </w:tblGrid>
      <w:tr>
        <w:tblPrEx>
          <w:tblCellMar>
            <w:top w:w="0" w:type="dxa"/>
            <w:left w:w="0" w:type="dxa"/>
            <w:bottom w:w="0" w:type="dxa"/>
            <w:right w:w="0" w:type="dxa"/>
          </w:tblCellMar>
        </w:tblPrEx>
        <w:trPr>
          <w:trHeight w:val="624" w:hRule="atLeast"/>
          <w:jc w:val="center"/>
        </w:trPr>
        <w:tc>
          <w:tcPr>
            <w:tcW w:w="1767" w:type="dxa"/>
            <w:tcBorders>
              <w:top w:val="single" w:color="auto" w:sz="8"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32" w:name="_Toc18315726"/>
            <w:bookmarkStart w:id="533" w:name="_Toc20668056"/>
            <w:bookmarkStart w:id="534" w:name="_Toc20726585"/>
            <w:r>
              <w:rPr>
                <w:rFonts w:hint="eastAsia" w:eastAsia="方正仿宋_GBK"/>
                <w:color w:val="000000"/>
                <w:spacing w:val="-2"/>
                <w:kern w:val="36"/>
                <w:sz w:val="24"/>
              </w:rPr>
              <w:t>项目负责人</w:t>
            </w:r>
            <w:bookmarkEnd w:id="532"/>
            <w:bookmarkEnd w:id="533"/>
            <w:bookmarkEnd w:id="534"/>
          </w:p>
        </w:tc>
        <w:tc>
          <w:tcPr>
            <w:tcW w:w="3027" w:type="dxa"/>
            <w:tcBorders>
              <w:top w:val="single" w:color="auto" w:sz="8"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val="restart"/>
            <w:tcBorders>
              <w:top w:val="single" w:color="auto" w:sz="8" w:space="0"/>
              <w:left w:val="single" w:color="auto" w:sz="4" w:space="0"/>
              <w:bottom w:val="single" w:color="auto" w:sz="8" w:space="0"/>
              <w:right w:val="single" w:color="auto" w:sz="8" w:space="0"/>
            </w:tcBorders>
            <w:noWrap w:val="0"/>
            <w:vAlign w:val="center"/>
          </w:tcPr>
          <w:p>
            <w:pPr>
              <w:spacing w:line="340" w:lineRule="exact"/>
              <w:jc w:val="left"/>
              <w:outlineLvl w:val="0"/>
              <w:rPr>
                <w:rFonts w:eastAsia="方正仿宋_GBK"/>
                <w:b/>
                <w:bCs/>
                <w:color w:val="000000"/>
                <w:spacing w:val="-2"/>
                <w:kern w:val="36"/>
                <w:sz w:val="24"/>
              </w:rPr>
            </w:pPr>
            <w:bookmarkStart w:id="535" w:name="_Toc18315727"/>
            <w:bookmarkStart w:id="536" w:name="_Toc20726586"/>
            <w:bookmarkStart w:id="537" w:name="_Toc20668057"/>
            <w:r>
              <w:rPr>
                <w:rFonts w:hint="eastAsia" w:eastAsia="方正仿宋_GBK"/>
                <w:color w:val="000000"/>
                <w:spacing w:val="-2"/>
                <w:kern w:val="36"/>
                <w:sz w:val="24"/>
              </w:rPr>
              <w:t>承诺人签名：</w:t>
            </w:r>
            <w:bookmarkEnd w:id="535"/>
            <w:bookmarkEnd w:id="536"/>
            <w:bookmarkEnd w:id="537"/>
          </w:p>
          <w:p>
            <w:pPr>
              <w:spacing w:line="340" w:lineRule="exact"/>
              <w:jc w:val="right"/>
              <w:rPr>
                <w:rFonts w:eastAsia="方正仿宋_GBK"/>
                <w:color w:val="000000"/>
                <w:spacing w:val="-2"/>
                <w:kern w:val="36"/>
                <w:sz w:val="24"/>
              </w:rPr>
            </w:pPr>
            <w:r>
              <w:rPr>
                <w:rFonts w:eastAsia="方正仿宋_GBK"/>
                <w:color w:val="000000"/>
                <w:spacing w:val="-2"/>
                <w:kern w:val="36"/>
                <w:sz w:val="24"/>
              </w:rPr>
              <w:t xml:space="preserve">             </w:t>
            </w:r>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p>
          <w:p>
            <w:pPr>
              <w:spacing w:line="340" w:lineRule="exact"/>
              <w:rPr>
                <w:rFonts w:eastAsia="方正仿宋_GBK"/>
                <w:color w:val="000000"/>
                <w:spacing w:val="-2"/>
                <w:kern w:val="36"/>
                <w:sz w:val="24"/>
              </w:rPr>
            </w:pPr>
          </w:p>
          <w:p>
            <w:pPr>
              <w:spacing w:line="340" w:lineRule="exact"/>
              <w:rPr>
                <w:rFonts w:eastAsia="方正仿宋_GBK"/>
                <w:color w:val="000000"/>
                <w:spacing w:val="-2"/>
                <w:kern w:val="0"/>
                <w:sz w:val="24"/>
              </w:rPr>
            </w:pPr>
            <w:r>
              <w:rPr>
                <w:rFonts w:hint="eastAsia" w:eastAsia="方正仿宋_GBK"/>
                <w:color w:val="000000"/>
                <w:spacing w:val="-2"/>
                <w:kern w:val="0"/>
                <w:sz w:val="24"/>
              </w:rPr>
              <w:t>单位（公章）：</w:t>
            </w:r>
          </w:p>
          <w:p>
            <w:pPr>
              <w:spacing w:line="340" w:lineRule="exact"/>
              <w:ind w:right="44"/>
              <w:jc w:val="right"/>
              <w:outlineLvl w:val="0"/>
              <w:rPr>
                <w:rFonts w:eastAsia="方正仿宋_GBK"/>
                <w:b/>
                <w:bCs/>
                <w:color w:val="000000"/>
                <w:spacing w:val="-2"/>
                <w:kern w:val="36"/>
                <w:sz w:val="24"/>
              </w:rPr>
            </w:pPr>
            <w:bookmarkStart w:id="538" w:name="_Toc18315728"/>
            <w:bookmarkStart w:id="539" w:name="_Toc20668058"/>
            <w:bookmarkStart w:id="540" w:name="_Toc20726587"/>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bookmarkEnd w:id="538"/>
            <w:bookmarkEnd w:id="539"/>
            <w:bookmarkEnd w:id="540"/>
          </w:p>
        </w:tc>
      </w:tr>
      <w:tr>
        <w:tblPrEx>
          <w:tblCellMar>
            <w:top w:w="0" w:type="dxa"/>
            <w:left w:w="0" w:type="dxa"/>
            <w:bottom w:w="0" w:type="dxa"/>
            <w:right w:w="0" w:type="dxa"/>
          </w:tblCellMar>
        </w:tblPrEx>
        <w:trPr>
          <w:trHeight w:val="624" w:hRule="exact"/>
          <w:jc w:val="center"/>
        </w:trPr>
        <w:tc>
          <w:tcPr>
            <w:tcW w:w="1767" w:type="dxa"/>
            <w:tcBorders>
              <w:top w:val="single" w:color="auto" w:sz="4"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41" w:name="_Toc18315729"/>
            <w:bookmarkStart w:id="542" w:name="_Toc20668059"/>
            <w:bookmarkStart w:id="543" w:name="_Toc20726588"/>
            <w:r>
              <w:rPr>
                <w:rFonts w:hint="eastAsia" w:eastAsia="方正仿宋_GBK"/>
                <w:color w:val="000000"/>
                <w:spacing w:val="-2"/>
                <w:kern w:val="36"/>
                <w:sz w:val="24"/>
              </w:rPr>
              <w:t>身份证号码</w:t>
            </w:r>
            <w:bookmarkEnd w:id="541"/>
            <w:bookmarkEnd w:id="542"/>
            <w:bookmarkEnd w:id="543"/>
          </w:p>
        </w:tc>
        <w:tc>
          <w:tcPr>
            <w:tcW w:w="302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r>
        <w:tblPrEx>
          <w:tblCellMar>
            <w:top w:w="0" w:type="dxa"/>
            <w:left w:w="0" w:type="dxa"/>
            <w:bottom w:w="0" w:type="dxa"/>
            <w:right w:w="0" w:type="dxa"/>
          </w:tblCellMar>
        </w:tblPrEx>
        <w:trPr>
          <w:trHeight w:val="624" w:hRule="exact"/>
          <w:jc w:val="center"/>
        </w:trPr>
        <w:tc>
          <w:tcPr>
            <w:tcW w:w="1767" w:type="dxa"/>
            <w:tcBorders>
              <w:top w:val="single" w:color="auto" w:sz="4"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44" w:name="_Toc18315730"/>
            <w:bookmarkStart w:id="545" w:name="_Toc20668060"/>
            <w:bookmarkStart w:id="546" w:name="_Toc20726589"/>
            <w:r>
              <w:rPr>
                <w:rFonts w:hint="eastAsia" w:eastAsia="方正仿宋_GBK"/>
                <w:color w:val="000000"/>
                <w:spacing w:val="-2"/>
                <w:kern w:val="36"/>
                <w:sz w:val="24"/>
              </w:rPr>
              <w:t>执业资格证号</w:t>
            </w:r>
            <w:bookmarkEnd w:id="544"/>
            <w:bookmarkEnd w:id="545"/>
            <w:bookmarkEnd w:id="546"/>
          </w:p>
        </w:tc>
        <w:tc>
          <w:tcPr>
            <w:tcW w:w="302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r>
        <w:tblPrEx>
          <w:tblCellMar>
            <w:top w:w="0" w:type="dxa"/>
            <w:left w:w="0" w:type="dxa"/>
            <w:bottom w:w="0" w:type="dxa"/>
            <w:right w:w="0" w:type="dxa"/>
          </w:tblCellMar>
        </w:tblPrEx>
        <w:trPr>
          <w:trHeight w:val="624" w:hRule="exact"/>
          <w:jc w:val="center"/>
        </w:trPr>
        <w:tc>
          <w:tcPr>
            <w:tcW w:w="1767" w:type="dxa"/>
            <w:tcBorders>
              <w:top w:val="single" w:color="auto" w:sz="4" w:space="0"/>
              <w:left w:val="single" w:color="auto" w:sz="8" w:space="0"/>
              <w:bottom w:val="single" w:color="auto" w:sz="8" w:space="0"/>
              <w:right w:val="single" w:color="auto" w:sz="4" w:space="0"/>
            </w:tcBorders>
            <w:noWrap w:val="0"/>
            <w:vAlign w:val="center"/>
          </w:tcPr>
          <w:p>
            <w:pPr>
              <w:spacing w:line="460" w:lineRule="exact"/>
              <w:jc w:val="center"/>
              <w:outlineLvl w:val="0"/>
              <w:rPr>
                <w:rFonts w:eastAsia="方正仿宋_GBK"/>
                <w:color w:val="000000"/>
                <w:spacing w:val="-2"/>
                <w:kern w:val="36"/>
                <w:sz w:val="24"/>
              </w:rPr>
            </w:pPr>
            <w:bookmarkStart w:id="547" w:name="_Toc18315731"/>
            <w:bookmarkStart w:id="548" w:name="_Toc20668061"/>
            <w:bookmarkStart w:id="549" w:name="_Toc20726590"/>
            <w:r>
              <w:rPr>
                <w:rFonts w:hint="eastAsia" w:eastAsia="方正仿宋_GBK"/>
                <w:color w:val="000000"/>
                <w:spacing w:val="-2"/>
                <w:kern w:val="36"/>
                <w:sz w:val="24"/>
              </w:rPr>
              <w:t>联系方式</w:t>
            </w:r>
            <w:bookmarkEnd w:id="547"/>
            <w:bookmarkEnd w:id="548"/>
            <w:bookmarkEnd w:id="549"/>
          </w:p>
        </w:tc>
        <w:tc>
          <w:tcPr>
            <w:tcW w:w="3027" w:type="dxa"/>
            <w:tcBorders>
              <w:top w:val="single" w:color="auto" w:sz="4" w:space="0"/>
              <w:left w:val="single" w:color="auto" w:sz="4" w:space="0"/>
              <w:bottom w:val="single" w:color="auto" w:sz="8" w:space="0"/>
              <w:right w:val="single" w:color="auto" w:sz="4" w:space="0"/>
            </w:tcBorders>
            <w:noWrap w:val="0"/>
            <w:vAlign w:val="center"/>
          </w:tcPr>
          <w:p>
            <w:pPr>
              <w:spacing w:line="460" w:lineRule="exact"/>
              <w:jc w:val="center"/>
              <w:outlineLvl w:val="0"/>
              <w:rPr>
                <w:rFonts w:eastAsia="方正仿宋_GBK"/>
                <w:color w:val="000000"/>
                <w:spacing w:val="-2"/>
                <w:kern w:val="36"/>
                <w:sz w:val="24"/>
              </w:rPr>
            </w:pPr>
          </w:p>
        </w:tc>
        <w:tc>
          <w:tcPr>
            <w:tcW w:w="395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bl>
    <w:p>
      <w:pPr>
        <w:spacing w:line="360" w:lineRule="exact"/>
        <w:rPr>
          <w:rFonts w:ascii="Times New Roman" w:eastAsia="方正楷体_GBK"/>
          <w:color w:val="000000"/>
          <w:spacing w:val="-2"/>
          <w:szCs w:val="21"/>
        </w:rPr>
      </w:pPr>
      <w:r>
        <w:rPr>
          <w:rFonts w:hint="eastAsia" w:ascii="Times New Roman" w:eastAsia="方正楷体_GBK"/>
          <w:color w:val="000000"/>
          <w:spacing w:val="-2"/>
          <w:szCs w:val="21"/>
        </w:rPr>
        <w:t>注：本承诺书一式三份，一份在办理质量监督手续前，报质量监督机构备案；一份由建设单位收集管理，工程竣工验收合格后移交城建档案管理部门；一份各方责任主体留存。</w:t>
      </w:r>
    </w:p>
    <w:p>
      <w:pPr>
        <w:shd w:val="clear" w:color="auto" w:fill="FFFFFF"/>
        <w:spacing w:line="460" w:lineRule="exact"/>
        <w:jc w:val="left"/>
        <w:rPr>
          <w:rFonts w:hint="eastAsia" w:eastAsia="方正仿宋_GBK"/>
          <w:color w:val="000000"/>
          <w:spacing w:val="-2"/>
          <w:kern w:val="0"/>
          <w:sz w:val="24"/>
        </w:rPr>
      </w:pPr>
    </w:p>
    <w:p>
      <w:pPr>
        <w:shd w:val="clear" w:color="auto" w:fill="FFFFFF"/>
        <w:spacing w:line="460" w:lineRule="exact"/>
        <w:jc w:val="center"/>
        <w:rPr>
          <w:rFonts w:eastAsia="方正仿宋_GBK"/>
          <w:color w:val="000000"/>
          <w:spacing w:val="-2"/>
          <w:sz w:val="24"/>
        </w:rPr>
      </w:pPr>
      <w:r>
        <w:rPr>
          <w:rFonts w:eastAsia="方正仿宋_GBK"/>
          <w:color w:val="000000"/>
          <w:spacing w:val="-2"/>
          <w:sz w:val="24"/>
        </w:rPr>
        <w:br w:type="page"/>
      </w:r>
    </w:p>
    <w:p>
      <w:pPr>
        <w:shd w:val="clear" w:color="auto" w:fill="FFFFFF"/>
        <w:spacing w:line="460" w:lineRule="exact"/>
        <w:jc w:val="center"/>
        <w:rPr>
          <w:rFonts w:ascii="Times New Roman" w:eastAsia="方正黑体_GBK"/>
          <w:color w:val="000000"/>
          <w:spacing w:val="-2"/>
          <w:kern w:val="0"/>
          <w:sz w:val="28"/>
          <w:szCs w:val="28"/>
        </w:rPr>
      </w:pPr>
      <w:r>
        <w:rPr>
          <w:rFonts w:hint="eastAsia" w:ascii="Times New Roman" w:eastAsia="方正黑体_GBK"/>
          <w:color w:val="000000"/>
          <w:spacing w:val="-2"/>
          <w:kern w:val="0"/>
          <w:sz w:val="28"/>
          <w:szCs w:val="28"/>
        </w:rPr>
        <w:t>设计单位项目负责人质量终身责任承诺书</w:t>
      </w:r>
    </w:p>
    <w:p>
      <w:pPr>
        <w:shd w:val="clear" w:color="auto" w:fill="FFFFFF"/>
        <w:spacing w:line="460" w:lineRule="exact"/>
        <w:ind w:firstLine="472" w:firstLineChars="200"/>
        <w:jc w:val="left"/>
        <w:rPr>
          <w:rFonts w:hint="eastAsia" w:eastAsia="方正仿宋_GBK"/>
          <w:color w:val="000000"/>
          <w:spacing w:val="-2"/>
          <w:kern w:val="0"/>
          <w:sz w:val="24"/>
        </w:rPr>
      </w:pPr>
    </w:p>
    <w:p>
      <w:pPr>
        <w:shd w:val="clear" w:color="auto" w:fill="FFFFFF"/>
        <w:spacing w:line="420" w:lineRule="exact"/>
        <w:jc w:val="left"/>
        <w:rPr>
          <w:rFonts w:eastAsia="方正仿宋_GBK"/>
          <w:color w:val="000000"/>
          <w:spacing w:val="-2"/>
          <w:kern w:val="0"/>
          <w:sz w:val="24"/>
          <w:u w:val="single"/>
        </w:rPr>
      </w:pPr>
      <w:r>
        <w:rPr>
          <w:rFonts w:eastAsia="方正仿宋_GBK"/>
          <w:b/>
          <w:color w:val="000000"/>
          <w:spacing w:val="-2"/>
          <w:kern w:val="0"/>
          <w:sz w:val="24"/>
        </w:rPr>
        <w:t xml:space="preserve">    </w:t>
      </w:r>
      <w:r>
        <w:rPr>
          <w:rFonts w:hint="eastAsia" w:eastAsia="方正仿宋_GBK"/>
          <w:b/>
          <w:color w:val="000000"/>
          <w:spacing w:val="-2"/>
          <w:kern w:val="0"/>
          <w:sz w:val="24"/>
        </w:rPr>
        <w:t>本人承诺：</w:t>
      </w:r>
      <w:r>
        <w:rPr>
          <w:rFonts w:hint="eastAsia" w:eastAsia="方正仿宋_GBK"/>
          <w:color w:val="000000"/>
          <w:spacing w:val="-2"/>
          <w:kern w:val="0"/>
          <w:sz w:val="24"/>
        </w:rPr>
        <w:t>在</w:t>
      </w:r>
      <w:r>
        <w:rPr>
          <w:rFonts w:eastAsia="方正仿宋_GBK"/>
          <w:color w:val="000000"/>
          <w:spacing w:val="-2"/>
          <w:kern w:val="0"/>
          <w:sz w:val="24"/>
        </w:rPr>
        <w:t xml:space="preserve"> </w:t>
      </w:r>
      <w:r>
        <w:rPr>
          <w:rFonts w:eastAsia="方正仿宋_GBK"/>
          <w:color w:val="000000"/>
          <w:spacing w:val="-2"/>
          <w:kern w:val="0"/>
          <w:sz w:val="24"/>
          <w:u w:val="single"/>
        </w:rPr>
        <w:t xml:space="preserve">                                    </w:t>
      </w:r>
      <w:r>
        <w:rPr>
          <w:rFonts w:hint="eastAsia" w:eastAsia="方正仿宋_GBK"/>
          <w:color w:val="000000"/>
          <w:spacing w:val="-2"/>
          <w:kern w:val="0"/>
          <w:sz w:val="24"/>
        </w:rPr>
        <w:t>工程建设过程中认真履行下列职责，并承担相应终身质量责任。</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严格按照本单位核定的工程设计资质等级和业务范围开展设计业务，不越级和超范围设计或以其他工程设计单位的名义承揽设计业务，依法签订工程设计业务合同，不转包或违法分包所承揽的设计业务。自觉执行国家规定的工程设计收费标准，不恶性压价竞争。</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、严格执行工程建设强制性标准，根据勘察成果文件进行设计。</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、确保提供的设计文件经过严格的内部校对审核程序，相关的签字、盖章手续齐全，符合国家规定的文件编制深度要求。</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、向建设单位提供加盖有设计单位出图专用章、执业人员印章的施工图设计文件，并确保提供的设计文件真实、准确。</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、按规定向施工单位和监理单位做好设计交底；及时处理施工中出现的与设计有关的技术问题。</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、严格按照相关规定进行设计变更。涉及到建设规模、工艺流程等重大变更，均由建设单位报原审批机关批准后才进行设计变更修改。</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7</w:t>
      </w:r>
      <w:r>
        <w:rPr>
          <w:rFonts w:hint="eastAsia" w:eastAsia="方正仿宋_GBK"/>
          <w:color w:val="000000"/>
          <w:spacing w:val="-2"/>
          <w:kern w:val="0"/>
          <w:sz w:val="24"/>
        </w:rPr>
        <w:t>、及时将设计图纸及相关原始资料归档保存。</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8</w:t>
      </w:r>
      <w:r>
        <w:rPr>
          <w:rFonts w:hint="eastAsia" w:eastAsia="方正仿宋_GBK"/>
          <w:color w:val="000000"/>
          <w:spacing w:val="-2"/>
          <w:kern w:val="0"/>
          <w:sz w:val="24"/>
        </w:rPr>
        <w:t>、其他法律法规规定的职责。</w:t>
      </w:r>
    </w:p>
    <w:p>
      <w:pPr>
        <w:shd w:val="clear" w:color="auto" w:fill="FFFFFF"/>
        <w:spacing w:line="420" w:lineRule="exact"/>
        <w:ind w:firstLine="472" w:firstLineChars="200"/>
        <w:jc w:val="left"/>
        <w:rPr>
          <w:rFonts w:eastAsia="方正仿宋_GBK"/>
          <w:color w:val="000000"/>
          <w:spacing w:val="-2"/>
          <w:kern w:val="0"/>
          <w:sz w:val="24"/>
          <w:u w:val="single"/>
        </w:rPr>
      </w:pPr>
      <w:r>
        <w:rPr>
          <w:rFonts w:eastAsia="方正仿宋_GBK"/>
          <w:color w:val="000000"/>
          <w:spacing w:val="-2"/>
          <w:kern w:val="0"/>
          <w:sz w:val="24"/>
        </w:rPr>
        <w:t>9</w:t>
      </w:r>
      <w:r>
        <w:rPr>
          <w:rFonts w:hint="eastAsia" w:eastAsia="方正仿宋_GBK"/>
          <w:color w:val="000000"/>
          <w:spacing w:val="-2"/>
          <w:kern w:val="0"/>
          <w:sz w:val="24"/>
        </w:rPr>
        <w:t>、本单位在本工程项目承担下列设计业务：</w:t>
      </w:r>
      <w:r>
        <w:rPr>
          <w:rFonts w:hint="eastAsia" w:eastAsia="方正仿宋_GBK"/>
          <w:color w:val="000000"/>
          <w:spacing w:val="-2"/>
          <w:kern w:val="0"/>
          <w:sz w:val="24"/>
          <w:u w:val="single"/>
        </w:rPr>
        <w:t>（附合同复印件）</w:t>
      </w:r>
      <w:r>
        <w:rPr>
          <w:rFonts w:eastAsia="方正仿宋_GBK"/>
          <w:color w:val="000000"/>
          <w:spacing w:val="-2"/>
          <w:kern w:val="0"/>
          <w:sz w:val="24"/>
          <w:u w:val="single"/>
        </w:rPr>
        <w:t xml:space="preserve">                                                   </w:t>
      </w:r>
    </w:p>
    <w:p>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pPr>
        <w:shd w:val="clear" w:color="auto" w:fill="FFFFFF"/>
        <w:spacing w:line="460" w:lineRule="exact"/>
        <w:jc w:val="left"/>
        <w:rPr>
          <w:rFonts w:eastAsia="方正仿宋_GBK"/>
          <w:color w:val="000000"/>
          <w:spacing w:val="-2"/>
          <w:kern w:val="0"/>
          <w:sz w:val="24"/>
        </w:rPr>
      </w:pPr>
      <w:r>
        <w:rPr>
          <w:rFonts w:eastAsia="方正仿宋_GBK"/>
          <w:color w:val="000000"/>
          <w:spacing w:val="-2"/>
          <w:kern w:val="0"/>
          <w:sz w:val="24"/>
          <w:u w:val="single"/>
        </w:rPr>
        <w:t xml:space="preserve">                                                                         </w:t>
      </w:r>
      <w:r>
        <w:rPr>
          <w:rFonts w:eastAsia="方正仿宋_GBK"/>
          <w:color w:val="000000"/>
          <w:spacing w:val="-2"/>
          <w:kern w:val="0"/>
          <w:sz w:val="24"/>
        </w:rPr>
        <w:t xml:space="preserve"> </w:t>
      </w:r>
      <w:r>
        <w:rPr>
          <w:rFonts w:hint="eastAsia" w:eastAsia="方正仿宋_GBK"/>
          <w:color w:val="000000"/>
          <w:spacing w:val="-2"/>
          <w:kern w:val="0"/>
          <w:sz w:val="24"/>
        </w:rPr>
        <w:t>。</w:t>
      </w:r>
    </w:p>
    <w:p>
      <w:pPr>
        <w:shd w:val="clear" w:color="auto" w:fill="FFFFFF"/>
        <w:spacing w:line="20" w:lineRule="exact"/>
        <w:ind w:firstLine="472" w:firstLineChars="200"/>
        <w:jc w:val="left"/>
        <w:rPr>
          <w:rFonts w:eastAsia="方正仿宋_GBK"/>
          <w:color w:val="000000"/>
          <w:spacing w:val="-2"/>
          <w:kern w:val="0"/>
          <w:sz w:val="24"/>
        </w:rPr>
      </w:pPr>
    </w:p>
    <w:tbl>
      <w:tblPr>
        <w:tblStyle w:val="12"/>
        <w:tblW w:w="0" w:type="auto"/>
        <w:tblInd w:w="-10" w:type="dxa"/>
        <w:tblLayout w:type="fixed"/>
        <w:tblCellMar>
          <w:top w:w="0" w:type="dxa"/>
          <w:left w:w="0" w:type="dxa"/>
          <w:bottom w:w="0" w:type="dxa"/>
          <w:right w:w="0" w:type="dxa"/>
        </w:tblCellMar>
      </w:tblPr>
      <w:tblGrid>
        <w:gridCol w:w="1767"/>
        <w:gridCol w:w="3027"/>
        <w:gridCol w:w="3956"/>
      </w:tblGrid>
      <w:tr>
        <w:tblPrEx>
          <w:tblCellMar>
            <w:top w:w="0" w:type="dxa"/>
            <w:left w:w="0" w:type="dxa"/>
            <w:bottom w:w="0" w:type="dxa"/>
            <w:right w:w="0" w:type="dxa"/>
          </w:tblCellMar>
        </w:tblPrEx>
        <w:trPr>
          <w:trHeight w:val="510" w:hRule="atLeast"/>
        </w:trPr>
        <w:tc>
          <w:tcPr>
            <w:tcW w:w="1767" w:type="dxa"/>
            <w:tcBorders>
              <w:top w:val="single" w:color="auto" w:sz="8"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50" w:name="_Toc20726591"/>
            <w:bookmarkStart w:id="551" w:name="_Toc20668062"/>
            <w:bookmarkStart w:id="552" w:name="_Toc18315732"/>
            <w:r>
              <w:rPr>
                <w:rFonts w:hint="eastAsia" w:eastAsia="方正仿宋_GBK"/>
                <w:color w:val="000000"/>
                <w:spacing w:val="-2"/>
                <w:kern w:val="36"/>
                <w:sz w:val="24"/>
              </w:rPr>
              <w:t>项目负责人</w:t>
            </w:r>
            <w:bookmarkEnd w:id="550"/>
            <w:bookmarkEnd w:id="551"/>
            <w:bookmarkEnd w:id="552"/>
          </w:p>
        </w:tc>
        <w:tc>
          <w:tcPr>
            <w:tcW w:w="3027" w:type="dxa"/>
            <w:tcBorders>
              <w:top w:val="single" w:color="auto" w:sz="8"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val="restart"/>
            <w:tcBorders>
              <w:top w:val="single" w:color="auto" w:sz="8" w:space="0"/>
              <w:left w:val="single" w:color="auto" w:sz="4" w:space="0"/>
              <w:bottom w:val="single" w:color="auto" w:sz="8" w:space="0"/>
              <w:right w:val="single" w:color="auto" w:sz="8" w:space="0"/>
            </w:tcBorders>
            <w:noWrap w:val="0"/>
            <w:vAlign w:val="center"/>
          </w:tcPr>
          <w:p>
            <w:pPr>
              <w:spacing w:line="360" w:lineRule="exact"/>
              <w:jc w:val="left"/>
              <w:outlineLvl w:val="0"/>
              <w:rPr>
                <w:rFonts w:eastAsia="方正仿宋_GBK"/>
                <w:b/>
                <w:bCs/>
                <w:color w:val="000000"/>
                <w:spacing w:val="-2"/>
                <w:kern w:val="36"/>
                <w:sz w:val="24"/>
              </w:rPr>
            </w:pPr>
            <w:bookmarkStart w:id="553" w:name="_Toc18315733"/>
            <w:bookmarkStart w:id="554" w:name="_Toc20726592"/>
            <w:bookmarkStart w:id="555" w:name="_Toc20668063"/>
            <w:r>
              <w:rPr>
                <w:rFonts w:hint="eastAsia" w:eastAsia="方正仿宋_GBK"/>
                <w:color w:val="000000"/>
                <w:spacing w:val="-2"/>
                <w:kern w:val="36"/>
                <w:sz w:val="24"/>
              </w:rPr>
              <w:t>承诺人签名：</w:t>
            </w:r>
            <w:bookmarkEnd w:id="553"/>
            <w:bookmarkEnd w:id="554"/>
            <w:bookmarkEnd w:id="555"/>
          </w:p>
          <w:p>
            <w:pPr>
              <w:spacing w:line="360" w:lineRule="exact"/>
              <w:jc w:val="right"/>
              <w:rPr>
                <w:rFonts w:eastAsia="方正仿宋_GBK"/>
                <w:color w:val="000000"/>
                <w:spacing w:val="-2"/>
                <w:kern w:val="36"/>
                <w:sz w:val="24"/>
              </w:rPr>
            </w:pPr>
            <w:r>
              <w:rPr>
                <w:rFonts w:eastAsia="方正仿宋_GBK"/>
                <w:color w:val="000000"/>
                <w:spacing w:val="-2"/>
                <w:kern w:val="36"/>
                <w:sz w:val="24"/>
              </w:rPr>
              <w:t xml:space="preserve">             </w:t>
            </w:r>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p>
          <w:p>
            <w:pPr>
              <w:spacing w:line="360" w:lineRule="exact"/>
              <w:rPr>
                <w:rFonts w:eastAsia="方正仿宋_GBK"/>
                <w:color w:val="000000"/>
                <w:spacing w:val="-2"/>
                <w:kern w:val="0"/>
                <w:sz w:val="24"/>
              </w:rPr>
            </w:pPr>
            <w:r>
              <w:rPr>
                <w:rFonts w:hint="eastAsia" w:eastAsia="方正仿宋_GBK"/>
                <w:color w:val="000000"/>
                <w:spacing w:val="-2"/>
                <w:kern w:val="0"/>
                <w:sz w:val="24"/>
              </w:rPr>
              <w:t>单位（公章）：</w:t>
            </w:r>
          </w:p>
          <w:p>
            <w:pPr>
              <w:spacing w:line="360" w:lineRule="exact"/>
              <w:ind w:right="44"/>
              <w:jc w:val="right"/>
              <w:outlineLvl w:val="0"/>
              <w:rPr>
                <w:rFonts w:eastAsia="方正仿宋_GBK"/>
                <w:b/>
                <w:bCs/>
                <w:color w:val="000000"/>
                <w:spacing w:val="-2"/>
                <w:kern w:val="36"/>
                <w:sz w:val="24"/>
              </w:rPr>
            </w:pPr>
            <w:bookmarkStart w:id="556" w:name="_Toc20668064"/>
            <w:bookmarkStart w:id="557" w:name="_Toc18315734"/>
            <w:bookmarkStart w:id="558" w:name="_Toc20726593"/>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bookmarkEnd w:id="556"/>
            <w:bookmarkEnd w:id="557"/>
            <w:bookmarkEnd w:id="558"/>
          </w:p>
        </w:tc>
      </w:tr>
      <w:tr>
        <w:tblPrEx>
          <w:tblCellMar>
            <w:top w:w="0" w:type="dxa"/>
            <w:left w:w="0" w:type="dxa"/>
            <w:bottom w:w="0" w:type="dxa"/>
            <w:right w:w="0" w:type="dxa"/>
          </w:tblCellMar>
        </w:tblPrEx>
        <w:trPr>
          <w:trHeight w:val="510" w:hRule="exact"/>
        </w:trPr>
        <w:tc>
          <w:tcPr>
            <w:tcW w:w="1767" w:type="dxa"/>
            <w:tcBorders>
              <w:top w:val="single" w:color="auto" w:sz="4"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59" w:name="_Toc18315735"/>
            <w:bookmarkStart w:id="560" w:name="_Toc20726594"/>
            <w:bookmarkStart w:id="561" w:name="_Toc20668065"/>
            <w:r>
              <w:rPr>
                <w:rFonts w:hint="eastAsia" w:eastAsia="方正仿宋_GBK"/>
                <w:color w:val="000000"/>
                <w:spacing w:val="-2"/>
                <w:kern w:val="36"/>
                <w:sz w:val="24"/>
              </w:rPr>
              <w:t>身份证号码</w:t>
            </w:r>
            <w:bookmarkEnd w:id="559"/>
            <w:bookmarkEnd w:id="560"/>
            <w:bookmarkEnd w:id="561"/>
          </w:p>
        </w:tc>
        <w:tc>
          <w:tcPr>
            <w:tcW w:w="302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r>
        <w:tblPrEx>
          <w:tblCellMar>
            <w:top w:w="0" w:type="dxa"/>
            <w:left w:w="0" w:type="dxa"/>
            <w:bottom w:w="0" w:type="dxa"/>
            <w:right w:w="0" w:type="dxa"/>
          </w:tblCellMar>
        </w:tblPrEx>
        <w:trPr>
          <w:trHeight w:val="510" w:hRule="exact"/>
        </w:trPr>
        <w:tc>
          <w:tcPr>
            <w:tcW w:w="1767" w:type="dxa"/>
            <w:tcBorders>
              <w:top w:val="single" w:color="auto" w:sz="4"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62" w:name="_Toc20726595"/>
            <w:bookmarkStart w:id="563" w:name="_Toc20668066"/>
            <w:bookmarkStart w:id="564" w:name="_Toc18315736"/>
            <w:r>
              <w:rPr>
                <w:rFonts w:hint="eastAsia" w:eastAsia="方正仿宋_GBK"/>
                <w:color w:val="000000"/>
                <w:spacing w:val="-2"/>
                <w:kern w:val="36"/>
                <w:sz w:val="24"/>
              </w:rPr>
              <w:t>执业资格证号</w:t>
            </w:r>
            <w:bookmarkEnd w:id="562"/>
            <w:bookmarkEnd w:id="563"/>
            <w:bookmarkEnd w:id="564"/>
          </w:p>
        </w:tc>
        <w:tc>
          <w:tcPr>
            <w:tcW w:w="302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5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r>
        <w:tblPrEx>
          <w:tblCellMar>
            <w:top w:w="0" w:type="dxa"/>
            <w:left w:w="0" w:type="dxa"/>
            <w:bottom w:w="0" w:type="dxa"/>
            <w:right w:w="0" w:type="dxa"/>
          </w:tblCellMar>
        </w:tblPrEx>
        <w:trPr>
          <w:trHeight w:val="510" w:hRule="exact"/>
        </w:trPr>
        <w:tc>
          <w:tcPr>
            <w:tcW w:w="1767" w:type="dxa"/>
            <w:tcBorders>
              <w:top w:val="single" w:color="auto" w:sz="4" w:space="0"/>
              <w:left w:val="single" w:color="auto" w:sz="8" w:space="0"/>
              <w:bottom w:val="single" w:color="auto" w:sz="8" w:space="0"/>
              <w:right w:val="single" w:color="auto" w:sz="4" w:space="0"/>
            </w:tcBorders>
            <w:noWrap w:val="0"/>
            <w:vAlign w:val="center"/>
          </w:tcPr>
          <w:p>
            <w:pPr>
              <w:spacing w:line="460" w:lineRule="exact"/>
              <w:jc w:val="center"/>
              <w:outlineLvl w:val="0"/>
              <w:rPr>
                <w:rFonts w:eastAsia="方正仿宋_GBK"/>
                <w:color w:val="000000"/>
                <w:spacing w:val="-2"/>
                <w:kern w:val="36"/>
                <w:sz w:val="24"/>
              </w:rPr>
            </w:pPr>
            <w:bookmarkStart w:id="565" w:name="_Toc18315737"/>
            <w:bookmarkStart w:id="566" w:name="_Toc20668067"/>
            <w:bookmarkStart w:id="567" w:name="_Toc20726596"/>
            <w:r>
              <w:rPr>
                <w:rFonts w:hint="eastAsia" w:eastAsia="方正仿宋_GBK"/>
                <w:color w:val="000000"/>
                <w:spacing w:val="-2"/>
                <w:kern w:val="36"/>
                <w:sz w:val="24"/>
              </w:rPr>
              <w:t>联系方式</w:t>
            </w:r>
            <w:bookmarkEnd w:id="565"/>
            <w:bookmarkEnd w:id="566"/>
            <w:bookmarkEnd w:id="567"/>
          </w:p>
        </w:tc>
        <w:tc>
          <w:tcPr>
            <w:tcW w:w="3027" w:type="dxa"/>
            <w:tcBorders>
              <w:top w:val="single" w:color="auto" w:sz="4" w:space="0"/>
              <w:left w:val="single" w:color="auto" w:sz="4" w:space="0"/>
              <w:bottom w:val="single" w:color="auto" w:sz="8" w:space="0"/>
              <w:right w:val="single" w:color="auto" w:sz="4" w:space="0"/>
            </w:tcBorders>
            <w:noWrap w:val="0"/>
            <w:vAlign w:val="center"/>
          </w:tcPr>
          <w:p>
            <w:pPr>
              <w:spacing w:line="460" w:lineRule="exact"/>
              <w:jc w:val="center"/>
              <w:outlineLvl w:val="0"/>
              <w:rPr>
                <w:rFonts w:eastAsia="方正仿宋_GBK"/>
                <w:color w:val="000000"/>
                <w:spacing w:val="-2"/>
                <w:kern w:val="36"/>
                <w:sz w:val="24"/>
              </w:rPr>
            </w:pPr>
          </w:p>
        </w:tc>
        <w:tc>
          <w:tcPr>
            <w:tcW w:w="395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bl>
    <w:p>
      <w:pPr>
        <w:spacing w:line="360" w:lineRule="exact"/>
        <w:rPr>
          <w:rFonts w:ascii="Times New Roman" w:eastAsia="方正楷体_GBK"/>
          <w:color w:val="000000"/>
          <w:spacing w:val="-2"/>
          <w:szCs w:val="21"/>
        </w:rPr>
      </w:pPr>
      <w:r>
        <w:rPr>
          <w:rFonts w:hint="eastAsia" w:ascii="Times New Roman" w:eastAsia="方正楷体_GBK"/>
          <w:color w:val="000000"/>
          <w:spacing w:val="-2"/>
          <w:szCs w:val="21"/>
        </w:rPr>
        <w:t>注：本承诺书一式三份，一份在办理质量监督手续前，报质量监督机构备案；一份由建设单位收集管理，工程竣工验收合格后移交城建档案管理部门；一份各方责任主体留存。</w:t>
      </w:r>
    </w:p>
    <w:p>
      <w:pPr>
        <w:shd w:val="clear" w:color="auto" w:fill="FFFFFF"/>
        <w:spacing w:line="460" w:lineRule="exact"/>
        <w:jc w:val="center"/>
        <w:rPr>
          <w:rFonts w:hint="eastAsia" w:ascii="Times New Roman" w:eastAsia="方正黑体_GBK"/>
          <w:color w:val="000000"/>
          <w:spacing w:val="-2"/>
          <w:kern w:val="0"/>
          <w:sz w:val="28"/>
          <w:szCs w:val="28"/>
        </w:rPr>
      </w:pPr>
      <w:r>
        <w:rPr>
          <w:rFonts w:eastAsia="方正仿宋_GBK"/>
          <w:color w:val="000000"/>
          <w:spacing w:val="-2"/>
          <w:sz w:val="24"/>
        </w:rPr>
        <w:br w:type="page"/>
      </w:r>
      <w:r>
        <w:rPr>
          <w:rFonts w:hint="eastAsia" w:ascii="Times New Roman" w:eastAsia="方正黑体_GBK"/>
          <w:color w:val="000000"/>
          <w:spacing w:val="-2"/>
          <w:kern w:val="0"/>
          <w:sz w:val="28"/>
          <w:szCs w:val="28"/>
        </w:rPr>
        <w:t>施工单位项目负责人质量终身责任承诺书</w:t>
      </w:r>
    </w:p>
    <w:p>
      <w:pPr>
        <w:shd w:val="clear" w:color="auto" w:fill="FFFFFF"/>
        <w:spacing w:line="460" w:lineRule="exact"/>
        <w:ind w:firstLine="472" w:firstLineChars="200"/>
        <w:jc w:val="left"/>
        <w:rPr>
          <w:rFonts w:hint="eastAsia" w:eastAsia="方正仿宋_GBK"/>
          <w:color w:val="000000"/>
          <w:spacing w:val="-2"/>
          <w:kern w:val="0"/>
          <w:sz w:val="24"/>
        </w:rPr>
      </w:pPr>
    </w:p>
    <w:p>
      <w:pPr>
        <w:shd w:val="clear" w:color="auto" w:fill="FFFFFF"/>
        <w:spacing w:line="420" w:lineRule="exact"/>
        <w:ind w:firstLine="474" w:firstLineChars="200"/>
        <w:jc w:val="left"/>
        <w:rPr>
          <w:rFonts w:eastAsia="方正仿宋_GBK"/>
          <w:color w:val="000000"/>
          <w:spacing w:val="-2"/>
          <w:kern w:val="0"/>
          <w:sz w:val="24"/>
        </w:rPr>
      </w:pPr>
      <w:r>
        <w:rPr>
          <w:rFonts w:hint="eastAsia" w:eastAsia="方正仿宋_GBK"/>
          <w:b/>
          <w:color w:val="000000"/>
          <w:spacing w:val="-2"/>
          <w:kern w:val="0"/>
          <w:sz w:val="24"/>
        </w:rPr>
        <w:t>本人承诺：</w:t>
      </w:r>
      <w:r>
        <w:rPr>
          <w:rFonts w:hint="eastAsia" w:eastAsia="方正仿宋_GBK"/>
          <w:color w:val="000000"/>
          <w:spacing w:val="-2"/>
          <w:kern w:val="0"/>
          <w:sz w:val="24"/>
        </w:rPr>
        <w:t>在</w:t>
      </w:r>
      <w:r>
        <w:rPr>
          <w:rFonts w:eastAsia="方正仿宋_GBK"/>
          <w:color w:val="000000"/>
          <w:spacing w:val="-2"/>
          <w:kern w:val="0"/>
          <w:sz w:val="24"/>
        </w:rPr>
        <w:t xml:space="preserve"> </w:t>
      </w:r>
      <w:r>
        <w:rPr>
          <w:rFonts w:eastAsia="方正仿宋_GBK"/>
          <w:color w:val="000000"/>
          <w:spacing w:val="-2"/>
          <w:kern w:val="0"/>
          <w:sz w:val="24"/>
          <w:u w:val="single"/>
        </w:rPr>
        <w:t xml:space="preserve">                                    </w:t>
      </w:r>
      <w:r>
        <w:rPr>
          <w:rFonts w:hint="eastAsia" w:eastAsia="方正仿宋_GBK"/>
          <w:color w:val="000000"/>
          <w:spacing w:val="-2"/>
          <w:kern w:val="0"/>
          <w:sz w:val="24"/>
        </w:rPr>
        <w:t>工程建设过程中认真履行下列职责，并承担相应终身质量责任。</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、在资质等级许可的业务范围承揽工程，承揽工程后依法签订承包合同，在领取施工许可证后，方进行施工。</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、严格按规定配备施工项目部关键岗位人员，所有人员均到岗履职。</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严格按照经施工图审查机构审查合格并加盖专用章的工程设计文件以及施工技术标准和合同约定的质量标准精心组织施工，不擅自修改工程设计，不偷工减料。对施工中采用的建筑材料、建筑构配件、设备和商品混凝土、预拌砂浆严格按规定进行见证取样检验，并有书面记录，签字齐全；未经检验或者检验不合格的，均不使用于工程。</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、严格执行质量检查验收制度，严格工序管理。隐蔽工程在隐蔽前，及时通知建设、监理单位检查验收。分项、分部、竣工验收均符合要求。所有工程质量保证资料真实、准确，与工程实体情况一致。</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对施工中出现的质量问题进行返修。向建设单位出具质量保修书，保修书中明确建设工程的保修范围、保修期限和保修责任等。建设工程在保修范围和期限内发生质量问题，将严格依法依规履行保修义务，并对造成的损失承担赔偿责任。</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7</w:t>
      </w:r>
      <w:r>
        <w:rPr>
          <w:rFonts w:hint="eastAsia" w:eastAsia="方正仿宋_GBK"/>
          <w:color w:val="000000"/>
          <w:spacing w:val="-2"/>
          <w:kern w:val="0"/>
          <w:sz w:val="24"/>
        </w:rPr>
        <w:t>、确保本工程资料收集真实、准确完整，签章手续齐全，及时整理移交建设单位归档。</w:t>
      </w:r>
    </w:p>
    <w:p>
      <w:pPr>
        <w:shd w:val="clear" w:color="auto" w:fill="FFFFFF"/>
        <w:spacing w:line="420" w:lineRule="exact"/>
        <w:ind w:firstLine="472" w:firstLineChars="200"/>
        <w:jc w:val="left"/>
        <w:rPr>
          <w:rFonts w:eastAsia="方正仿宋_GBK"/>
          <w:color w:val="000000"/>
          <w:spacing w:val="-2"/>
          <w:kern w:val="0"/>
          <w:sz w:val="24"/>
        </w:rPr>
      </w:pPr>
      <w:r>
        <w:rPr>
          <w:rFonts w:eastAsia="方正仿宋_GBK"/>
          <w:color w:val="000000"/>
          <w:spacing w:val="-2"/>
          <w:kern w:val="0"/>
          <w:sz w:val="24"/>
        </w:rPr>
        <w:t>8</w:t>
      </w:r>
      <w:r>
        <w:rPr>
          <w:rFonts w:hint="eastAsia" w:eastAsia="方正仿宋_GBK"/>
          <w:color w:val="000000"/>
          <w:spacing w:val="-2"/>
          <w:kern w:val="0"/>
          <w:sz w:val="24"/>
        </w:rPr>
        <w:t>、其他法律法规规定的职责。</w:t>
      </w:r>
    </w:p>
    <w:p>
      <w:pPr>
        <w:shd w:val="clear" w:color="auto" w:fill="FFFFFF"/>
        <w:spacing w:line="420" w:lineRule="exact"/>
        <w:ind w:firstLine="472" w:firstLineChars="200"/>
        <w:jc w:val="left"/>
        <w:rPr>
          <w:rFonts w:eastAsia="方正仿宋_GBK"/>
          <w:color w:val="000000"/>
          <w:spacing w:val="-2"/>
          <w:kern w:val="0"/>
          <w:sz w:val="24"/>
          <w:u w:val="single"/>
        </w:rPr>
      </w:pPr>
      <w:r>
        <w:rPr>
          <w:rFonts w:eastAsia="方正仿宋_GBK"/>
          <w:color w:val="000000"/>
          <w:spacing w:val="-2"/>
          <w:kern w:val="0"/>
          <w:sz w:val="24"/>
        </w:rPr>
        <w:t>9</w:t>
      </w:r>
      <w:r>
        <w:rPr>
          <w:rFonts w:hint="eastAsia" w:eastAsia="方正仿宋_GBK"/>
          <w:color w:val="000000"/>
          <w:spacing w:val="-2"/>
          <w:kern w:val="0"/>
          <w:sz w:val="24"/>
        </w:rPr>
        <w:t>、本单位在本工程项目承担下列施工业务：</w:t>
      </w:r>
      <w:r>
        <w:rPr>
          <w:rFonts w:hint="eastAsia" w:eastAsia="方正仿宋_GBK"/>
          <w:color w:val="000000"/>
          <w:spacing w:val="-2"/>
          <w:kern w:val="0"/>
          <w:sz w:val="24"/>
          <w:u w:val="single"/>
        </w:rPr>
        <w:t>（附合同复印件）</w:t>
      </w:r>
      <w:r>
        <w:rPr>
          <w:rFonts w:eastAsia="方正仿宋_GBK"/>
          <w:color w:val="000000"/>
          <w:spacing w:val="-2"/>
          <w:kern w:val="0"/>
          <w:sz w:val="24"/>
          <w:u w:val="single"/>
        </w:rPr>
        <w:t xml:space="preserve">                                                </w:t>
      </w:r>
    </w:p>
    <w:p>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pPr>
        <w:shd w:val="clear" w:color="auto" w:fill="FFFFFF"/>
        <w:spacing w:line="460" w:lineRule="exact"/>
        <w:ind w:firstLine="480"/>
        <w:jc w:val="left"/>
        <w:rPr>
          <w:rFonts w:eastAsia="方正仿宋_GBK"/>
          <w:color w:val="000000"/>
          <w:spacing w:val="-2"/>
          <w:kern w:val="0"/>
          <w:sz w:val="24"/>
        </w:rPr>
      </w:pPr>
    </w:p>
    <w:tbl>
      <w:tblPr>
        <w:tblStyle w:val="12"/>
        <w:tblW w:w="0" w:type="auto"/>
        <w:tblInd w:w="-10" w:type="dxa"/>
        <w:tblLayout w:type="fixed"/>
        <w:tblCellMar>
          <w:top w:w="0" w:type="dxa"/>
          <w:left w:w="0" w:type="dxa"/>
          <w:bottom w:w="0" w:type="dxa"/>
          <w:right w:w="0" w:type="dxa"/>
        </w:tblCellMar>
      </w:tblPr>
      <w:tblGrid>
        <w:gridCol w:w="1767"/>
        <w:gridCol w:w="3027"/>
        <w:gridCol w:w="3976"/>
      </w:tblGrid>
      <w:tr>
        <w:tblPrEx>
          <w:tblCellMar>
            <w:top w:w="0" w:type="dxa"/>
            <w:left w:w="0" w:type="dxa"/>
            <w:bottom w:w="0" w:type="dxa"/>
            <w:right w:w="0" w:type="dxa"/>
          </w:tblCellMar>
        </w:tblPrEx>
        <w:trPr>
          <w:trHeight w:val="510" w:hRule="atLeast"/>
        </w:trPr>
        <w:tc>
          <w:tcPr>
            <w:tcW w:w="1767" w:type="dxa"/>
            <w:tcBorders>
              <w:top w:val="single" w:color="auto" w:sz="8"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68" w:name="_Toc18315738"/>
            <w:bookmarkStart w:id="569" w:name="_Toc20668068"/>
            <w:bookmarkStart w:id="570" w:name="_Toc20726597"/>
            <w:r>
              <w:rPr>
                <w:rFonts w:hint="eastAsia" w:eastAsia="方正仿宋_GBK"/>
                <w:color w:val="000000"/>
                <w:spacing w:val="-2"/>
                <w:kern w:val="36"/>
                <w:sz w:val="24"/>
              </w:rPr>
              <w:t>项目负责人</w:t>
            </w:r>
            <w:bookmarkEnd w:id="568"/>
            <w:bookmarkEnd w:id="569"/>
            <w:bookmarkEnd w:id="570"/>
          </w:p>
        </w:tc>
        <w:tc>
          <w:tcPr>
            <w:tcW w:w="3027" w:type="dxa"/>
            <w:tcBorders>
              <w:top w:val="single" w:color="auto" w:sz="8"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val="restart"/>
            <w:tcBorders>
              <w:top w:val="single" w:color="auto" w:sz="8" w:space="0"/>
              <w:left w:val="single" w:color="auto" w:sz="4" w:space="0"/>
              <w:bottom w:val="single" w:color="auto" w:sz="8" w:space="0"/>
              <w:right w:val="single" w:color="auto" w:sz="8" w:space="0"/>
            </w:tcBorders>
            <w:noWrap w:val="0"/>
            <w:vAlign w:val="center"/>
          </w:tcPr>
          <w:p>
            <w:pPr>
              <w:spacing w:line="360" w:lineRule="exact"/>
              <w:jc w:val="left"/>
              <w:outlineLvl w:val="0"/>
              <w:rPr>
                <w:rFonts w:eastAsia="方正仿宋_GBK"/>
                <w:b/>
                <w:bCs/>
                <w:color w:val="000000"/>
                <w:spacing w:val="-2"/>
                <w:kern w:val="36"/>
                <w:sz w:val="24"/>
              </w:rPr>
            </w:pPr>
            <w:bookmarkStart w:id="571" w:name="_Toc18315739"/>
            <w:bookmarkStart w:id="572" w:name="_Toc20726598"/>
            <w:bookmarkStart w:id="573" w:name="_Toc20668069"/>
            <w:r>
              <w:rPr>
                <w:rFonts w:hint="eastAsia" w:eastAsia="方正仿宋_GBK"/>
                <w:color w:val="000000"/>
                <w:spacing w:val="-2"/>
                <w:kern w:val="36"/>
                <w:sz w:val="24"/>
              </w:rPr>
              <w:t>承诺人签名：</w:t>
            </w:r>
            <w:bookmarkEnd w:id="571"/>
            <w:bookmarkEnd w:id="572"/>
            <w:bookmarkEnd w:id="573"/>
          </w:p>
          <w:p>
            <w:pPr>
              <w:spacing w:line="360" w:lineRule="exact"/>
              <w:jc w:val="right"/>
              <w:rPr>
                <w:rFonts w:eastAsia="方正仿宋_GBK"/>
                <w:color w:val="000000"/>
                <w:spacing w:val="-2"/>
                <w:kern w:val="36"/>
                <w:sz w:val="24"/>
              </w:rPr>
            </w:pPr>
            <w:r>
              <w:rPr>
                <w:rFonts w:eastAsia="方正仿宋_GBK"/>
                <w:color w:val="000000"/>
                <w:spacing w:val="-2"/>
                <w:kern w:val="36"/>
                <w:sz w:val="24"/>
              </w:rPr>
              <w:t xml:space="preserve">             </w:t>
            </w:r>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p>
          <w:p>
            <w:pPr>
              <w:spacing w:line="360" w:lineRule="exact"/>
              <w:rPr>
                <w:rFonts w:eastAsia="方正仿宋_GBK"/>
                <w:color w:val="000000"/>
                <w:spacing w:val="-2"/>
                <w:kern w:val="36"/>
                <w:sz w:val="24"/>
              </w:rPr>
            </w:pPr>
          </w:p>
          <w:p>
            <w:pPr>
              <w:spacing w:line="360" w:lineRule="exact"/>
              <w:rPr>
                <w:rFonts w:eastAsia="方正仿宋_GBK"/>
                <w:color w:val="000000"/>
                <w:spacing w:val="-2"/>
                <w:kern w:val="0"/>
                <w:sz w:val="24"/>
              </w:rPr>
            </w:pPr>
            <w:r>
              <w:rPr>
                <w:rFonts w:hint="eastAsia" w:eastAsia="方正仿宋_GBK"/>
                <w:color w:val="000000"/>
                <w:spacing w:val="-2"/>
                <w:kern w:val="0"/>
                <w:sz w:val="24"/>
              </w:rPr>
              <w:t>单位（公章）：</w:t>
            </w:r>
          </w:p>
          <w:p>
            <w:pPr>
              <w:spacing w:line="360" w:lineRule="exact"/>
              <w:ind w:right="44"/>
              <w:jc w:val="right"/>
              <w:outlineLvl w:val="0"/>
              <w:rPr>
                <w:rFonts w:eastAsia="方正仿宋_GBK"/>
                <w:b/>
                <w:bCs/>
                <w:color w:val="000000"/>
                <w:spacing w:val="-2"/>
                <w:kern w:val="36"/>
                <w:sz w:val="24"/>
              </w:rPr>
            </w:pPr>
            <w:bookmarkStart w:id="574" w:name="_Toc20726599"/>
            <w:bookmarkStart w:id="575" w:name="_Toc20668070"/>
            <w:bookmarkStart w:id="576" w:name="_Toc18315740"/>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bookmarkEnd w:id="574"/>
            <w:bookmarkEnd w:id="575"/>
            <w:bookmarkEnd w:id="576"/>
          </w:p>
        </w:tc>
      </w:tr>
      <w:tr>
        <w:tblPrEx>
          <w:tblCellMar>
            <w:top w:w="0" w:type="dxa"/>
            <w:left w:w="0" w:type="dxa"/>
            <w:bottom w:w="0" w:type="dxa"/>
            <w:right w:w="0" w:type="dxa"/>
          </w:tblCellMar>
        </w:tblPrEx>
        <w:trPr>
          <w:trHeight w:val="510" w:hRule="atLeast"/>
        </w:trPr>
        <w:tc>
          <w:tcPr>
            <w:tcW w:w="1767" w:type="dxa"/>
            <w:tcBorders>
              <w:top w:val="single" w:color="auto" w:sz="4"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77" w:name="_Toc20668071"/>
            <w:bookmarkStart w:id="578" w:name="_Toc18315741"/>
            <w:bookmarkStart w:id="579" w:name="_Toc20726600"/>
            <w:r>
              <w:rPr>
                <w:rFonts w:hint="eastAsia" w:eastAsia="方正仿宋_GBK"/>
                <w:color w:val="000000"/>
                <w:spacing w:val="-2"/>
                <w:kern w:val="36"/>
                <w:sz w:val="24"/>
              </w:rPr>
              <w:t>身份证号码</w:t>
            </w:r>
            <w:bookmarkEnd w:id="577"/>
            <w:bookmarkEnd w:id="578"/>
            <w:bookmarkEnd w:id="579"/>
          </w:p>
        </w:tc>
        <w:tc>
          <w:tcPr>
            <w:tcW w:w="302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r>
        <w:tblPrEx>
          <w:tblCellMar>
            <w:top w:w="0" w:type="dxa"/>
            <w:left w:w="0" w:type="dxa"/>
            <w:bottom w:w="0" w:type="dxa"/>
            <w:right w:w="0" w:type="dxa"/>
          </w:tblCellMar>
        </w:tblPrEx>
        <w:trPr>
          <w:trHeight w:val="510" w:hRule="atLeast"/>
        </w:trPr>
        <w:tc>
          <w:tcPr>
            <w:tcW w:w="1767" w:type="dxa"/>
            <w:tcBorders>
              <w:top w:val="single" w:color="auto" w:sz="4"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80" w:name="_Toc20726601"/>
            <w:bookmarkStart w:id="581" w:name="_Toc20668072"/>
            <w:bookmarkStart w:id="582" w:name="_Toc18315742"/>
            <w:r>
              <w:rPr>
                <w:rFonts w:hint="eastAsia" w:eastAsia="方正仿宋_GBK"/>
                <w:color w:val="000000"/>
                <w:spacing w:val="-2"/>
                <w:kern w:val="36"/>
                <w:sz w:val="24"/>
              </w:rPr>
              <w:t>执业资格证号</w:t>
            </w:r>
            <w:bookmarkEnd w:id="580"/>
            <w:bookmarkEnd w:id="581"/>
            <w:bookmarkEnd w:id="582"/>
          </w:p>
        </w:tc>
        <w:tc>
          <w:tcPr>
            <w:tcW w:w="302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r>
        <w:tblPrEx>
          <w:tblCellMar>
            <w:top w:w="0" w:type="dxa"/>
            <w:left w:w="0" w:type="dxa"/>
            <w:bottom w:w="0" w:type="dxa"/>
            <w:right w:w="0" w:type="dxa"/>
          </w:tblCellMar>
        </w:tblPrEx>
        <w:trPr>
          <w:trHeight w:val="510" w:hRule="atLeast"/>
        </w:trPr>
        <w:tc>
          <w:tcPr>
            <w:tcW w:w="1767" w:type="dxa"/>
            <w:tcBorders>
              <w:top w:val="single" w:color="auto" w:sz="4" w:space="0"/>
              <w:left w:val="single" w:color="auto" w:sz="8" w:space="0"/>
              <w:bottom w:val="single" w:color="auto" w:sz="8" w:space="0"/>
              <w:right w:val="single" w:color="auto" w:sz="4" w:space="0"/>
            </w:tcBorders>
            <w:noWrap w:val="0"/>
            <w:vAlign w:val="center"/>
          </w:tcPr>
          <w:p>
            <w:pPr>
              <w:spacing w:line="460" w:lineRule="exact"/>
              <w:jc w:val="center"/>
              <w:outlineLvl w:val="0"/>
              <w:rPr>
                <w:rFonts w:eastAsia="方正仿宋_GBK"/>
                <w:color w:val="000000"/>
                <w:spacing w:val="-2"/>
                <w:kern w:val="36"/>
                <w:sz w:val="24"/>
              </w:rPr>
            </w:pPr>
            <w:bookmarkStart w:id="583" w:name="_Toc18315743"/>
            <w:bookmarkStart w:id="584" w:name="_Toc20726602"/>
            <w:bookmarkStart w:id="585" w:name="_Toc20668073"/>
            <w:r>
              <w:rPr>
                <w:rFonts w:hint="eastAsia" w:eastAsia="方正仿宋_GBK"/>
                <w:color w:val="000000"/>
                <w:spacing w:val="-2"/>
                <w:kern w:val="36"/>
                <w:sz w:val="24"/>
              </w:rPr>
              <w:t>联系方式</w:t>
            </w:r>
            <w:bookmarkEnd w:id="583"/>
            <w:bookmarkEnd w:id="584"/>
            <w:bookmarkEnd w:id="585"/>
          </w:p>
        </w:tc>
        <w:tc>
          <w:tcPr>
            <w:tcW w:w="3027" w:type="dxa"/>
            <w:tcBorders>
              <w:top w:val="single" w:color="auto" w:sz="4" w:space="0"/>
              <w:left w:val="single" w:color="auto" w:sz="4" w:space="0"/>
              <w:bottom w:val="single" w:color="auto" w:sz="8" w:space="0"/>
              <w:right w:val="single" w:color="auto" w:sz="4" w:space="0"/>
            </w:tcBorders>
            <w:noWrap w:val="0"/>
            <w:vAlign w:val="center"/>
          </w:tcPr>
          <w:p>
            <w:pPr>
              <w:spacing w:line="460" w:lineRule="exact"/>
              <w:jc w:val="center"/>
              <w:outlineLvl w:val="0"/>
              <w:rPr>
                <w:rFonts w:eastAsia="方正仿宋_GBK"/>
                <w:color w:val="000000"/>
                <w:spacing w:val="-2"/>
                <w:kern w:val="36"/>
                <w:sz w:val="24"/>
              </w:rPr>
            </w:pPr>
          </w:p>
        </w:tc>
        <w:tc>
          <w:tcPr>
            <w:tcW w:w="397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bl>
    <w:p>
      <w:pPr>
        <w:spacing w:line="360" w:lineRule="exact"/>
        <w:rPr>
          <w:rFonts w:ascii="Times New Roman" w:eastAsia="方正楷体_GBK"/>
          <w:color w:val="000000"/>
          <w:spacing w:val="-2"/>
          <w:szCs w:val="21"/>
        </w:rPr>
      </w:pPr>
      <w:r>
        <w:rPr>
          <w:rFonts w:hint="eastAsia" w:ascii="Times New Roman" w:eastAsia="方正楷体_GBK"/>
          <w:color w:val="000000"/>
          <w:spacing w:val="-2"/>
          <w:szCs w:val="21"/>
        </w:rPr>
        <w:t>注：本承诺书一式三份，一份在办理质量监督手续前，报质量监督机构备案；一份由建设单位收集管理，工程竣工验收合格后移交城建档案管理部门；一份各方责任主体留存。</w:t>
      </w:r>
    </w:p>
    <w:p>
      <w:pPr>
        <w:shd w:val="clear" w:color="auto" w:fill="FFFFFF"/>
        <w:spacing w:line="460" w:lineRule="exact"/>
        <w:jc w:val="center"/>
        <w:rPr>
          <w:rFonts w:hint="eastAsia" w:eastAsia="方正仿宋_GBK"/>
          <w:color w:val="000000"/>
          <w:spacing w:val="-2"/>
          <w:sz w:val="24"/>
        </w:rPr>
      </w:pPr>
      <w:r>
        <w:rPr>
          <w:rFonts w:eastAsia="方正仿宋_GBK"/>
          <w:color w:val="000000"/>
          <w:spacing w:val="-2"/>
          <w:sz w:val="24"/>
        </w:rPr>
        <w:br w:type="page"/>
      </w:r>
    </w:p>
    <w:p>
      <w:pPr>
        <w:shd w:val="clear" w:color="auto" w:fill="FFFFFF"/>
        <w:spacing w:line="460" w:lineRule="exact"/>
        <w:jc w:val="center"/>
        <w:rPr>
          <w:rFonts w:ascii="Times New Roman" w:eastAsia="方正黑体_GBK"/>
          <w:color w:val="000000"/>
          <w:spacing w:val="-2"/>
          <w:kern w:val="0"/>
          <w:sz w:val="28"/>
          <w:szCs w:val="28"/>
        </w:rPr>
      </w:pPr>
      <w:r>
        <w:rPr>
          <w:rFonts w:hint="eastAsia" w:ascii="Times New Roman" w:eastAsia="方正黑体_GBK"/>
          <w:color w:val="000000"/>
          <w:spacing w:val="-2"/>
          <w:kern w:val="0"/>
          <w:sz w:val="28"/>
          <w:szCs w:val="28"/>
        </w:rPr>
        <w:t>监理单位总监理工程师质量终身责任承诺书</w:t>
      </w:r>
    </w:p>
    <w:p>
      <w:pPr>
        <w:shd w:val="clear" w:color="auto" w:fill="FFFFFF"/>
        <w:spacing w:line="460" w:lineRule="exact"/>
        <w:jc w:val="center"/>
        <w:rPr>
          <w:rFonts w:hint="eastAsia" w:eastAsia="方正仿宋_GBK"/>
          <w:color w:val="000000"/>
          <w:spacing w:val="-2"/>
          <w:kern w:val="0"/>
          <w:sz w:val="24"/>
        </w:rPr>
      </w:pPr>
    </w:p>
    <w:p>
      <w:pPr>
        <w:shd w:val="clear" w:color="auto" w:fill="FFFFFF"/>
        <w:spacing w:line="460" w:lineRule="exact"/>
        <w:ind w:firstLine="474" w:firstLineChars="200"/>
        <w:jc w:val="left"/>
        <w:rPr>
          <w:rFonts w:eastAsia="方正仿宋_GBK"/>
          <w:color w:val="000000"/>
          <w:spacing w:val="-2"/>
          <w:kern w:val="0"/>
          <w:sz w:val="24"/>
        </w:rPr>
      </w:pPr>
      <w:r>
        <w:rPr>
          <w:rFonts w:hint="eastAsia" w:eastAsia="方正仿宋_GBK"/>
          <w:b/>
          <w:color w:val="000000"/>
          <w:spacing w:val="-2"/>
          <w:kern w:val="0"/>
          <w:sz w:val="24"/>
        </w:rPr>
        <w:t>本人承诺：</w:t>
      </w:r>
      <w:r>
        <w:rPr>
          <w:rFonts w:hint="eastAsia" w:eastAsia="方正仿宋_GBK"/>
          <w:color w:val="000000"/>
          <w:spacing w:val="-2"/>
          <w:kern w:val="0"/>
          <w:sz w:val="24"/>
        </w:rPr>
        <w:t>在</w:t>
      </w:r>
      <w:r>
        <w:rPr>
          <w:rFonts w:eastAsia="方正仿宋_GBK"/>
          <w:color w:val="000000"/>
          <w:spacing w:val="-2"/>
          <w:kern w:val="0"/>
          <w:sz w:val="24"/>
        </w:rPr>
        <w:t xml:space="preserve"> </w:t>
      </w:r>
      <w:r>
        <w:rPr>
          <w:rFonts w:eastAsia="方正仿宋_GBK"/>
          <w:color w:val="000000"/>
          <w:spacing w:val="-2"/>
          <w:kern w:val="0"/>
          <w:sz w:val="24"/>
          <w:u w:val="single"/>
        </w:rPr>
        <w:t xml:space="preserve">                                    </w:t>
      </w:r>
      <w:r>
        <w:rPr>
          <w:rFonts w:hint="eastAsia" w:eastAsia="方正仿宋_GBK"/>
          <w:color w:val="000000"/>
          <w:spacing w:val="-2"/>
          <w:kern w:val="0"/>
          <w:sz w:val="24"/>
        </w:rPr>
        <w:t>工程建设过程中认真履行下列职责，并承担相应终身质量责任。</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、严格按照资质等级和业务范围承担监理任务，与本工程施工单位以及建筑材料、建筑构配件和设备供应单位无隶属关系或其他利害关系。</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、严格按规定配备现场监理部关键岗位人员，所有人员均到岗履职。</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、认真编制监理方案，明确质量要求和标准。认真审查施工单位的质量保证技术措施。</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、严格依照法律、法规以及有关技术标准、经施工图审查机构审查合格并加盖专用章的设计文件和监理合同约定对施工质量实施监理，承担质量监理责任。协助业主做好图纸会审、竣工验收和资料归档等工作。</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、采取旁站、巡视和平行检验等形式对施工全过程质量进行严格监督检查，对工程的建设过程进行监理，并确保所有质量签证及时、真实、准确。</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、对施工过程参与工程建设各方责任主体违法违规和违反工程建设强制性标准行为及时制止，并报告住房城乡建设主管部门及其工程质量监督机构。</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、确保本工程资料收集真实、准确完整，签章手续齐全，及时整理移交建设单位归档。</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7</w:t>
      </w:r>
      <w:r>
        <w:rPr>
          <w:rFonts w:hint="eastAsia" w:eastAsia="方正仿宋_GBK"/>
          <w:color w:val="000000"/>
          <w:spacing w:val="-2"/>
          <w:kern w:val="0"/>
          <w:sz w:val="24"/>
        </w:rPr>
        <w:t>、其他法律法规规定的职责。</w:t>
      </w:r>
    </w:p>
    <w:p>
      <w:pPr>
        <w:shd w:val="clear" w:color="auto" w:fill="FFFFFF"/>
        <w:spacing w:line="460" w:lineRule="exact"/>
        <w:ind w:firstLine="472" w:firstLineChars="200"/>
        <w:jc w:val="left"/>
        <w:rPr>
          <w:rFonts w:eastAsia="方正仿宋_GBK"/>
          <w:color w:val="000000"/>
          <w:spacing w:val="-2"/>
          <w:kern w:val="0"/>
          <w:sz w:val="24"/>
        </w:rPr>
      </w:pPr>
      <w:r>
        <w:rPr>
          <w:rFonts w:eastAsia="方正仿宋_GBK"/>
          <w:color w:val="000000"/>
          <w:spacing w:val="-2"/>
          <w:kern w:val="0"/>
          <w:sz w:val="24"/>
        </w:rPr>
        <w:t>8</w:t>
      </w:r>
      <w:r>
        <w:rPr>
          <w:rFonts w:hint="eastAsia" w:eastAsia="方正仿宋_GBK"/>
          <w:color w:val="000000"/>
          <w:spacing w:val="-2"/>
          <w:kern w:val="0"/>
          <w:sz w:val="24"/>
        </w:rPr>
        <w:t>、本单位在本工程项目承担下列监理业务：</w:t>
      </w:r>
      <w:r>
        <w:rPr>
          <w:rFonts w:hint="eastAsia" w:eastAsia="方正仿宋_GBK"/>
          <w:color w:val="000000"/>
          <w:spacing w:val="-2"/>
          <w:kern w:val="0"/>
          <w:sz w:val="24"/>
          <w:u w:val="single"/>
        </w:rPr>
        <w:t>（附合同复印件）</w:t>
      </w:r>
      <w:r>
        <w:rPr>
          <w:rFonts w:eastAsia="方正仿宋_GBK"/>
          <w:color w:val="000000"/>
          <w:spacing w:val="-2"/>
          <w:kern w:val="0"/>
          <w:sz w:val="24"/>
          <w:u w:val="single"/>
        </w:rPr>
        <w:t xml:space="preserve">                                                   </w:t>
      </w:r>
    </w:p>
    <w:p>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pPr>
        <w:shd w:val="clear" w:color="auto" w:fill="FFFFFF"/>
        <w:spacing w:line="460" w:lineRule="exact"/>
        <w:jc w:val="left"/>
        <w:rPr>
          <w:rFonts w:eastAsia="方正仿宋_GBK"/>
          <w:color w:val="000000"/>
          <w:spacing w:val="-2"/>
          <w:kern w:val="0"/>
          <w:sz w:val="24"/>
          <w:u w:val="single"/>
        </w:rPr>
      </w:pPr>
      <w:r>
        <w:rPr>
          <w:rFonts w:eastAsia="方正仿宋_GBK"/>
          <w:color w:val="000000"/>
          <w:spacing w:val="-2"/>
          <w:kern w:val="0"/>
          <w:sz w:val="24"/>
          <w:u w:val="single"/>
        </w:rPr>
        <w:t xml:space="preserve">                                                                           </w:t>
      </w:r>
    </w:p>
    <w:p>
      <w:pPr>
        <w:shd w:val="clear" w:color="auto" w:fill="FFFFFF"/>
        <w:spacing w:line="20" w:lineRule="exact"/>
        <w:ind w:firstLine="472" w:firstLineChars="200"/>
        <w:jc w:val="left"/>
        <w:rPr>
          <w:rFonts w:eastAsia="方正仿宋_GBK"/>
          <w:color w:val="000000"/>
          <w:spacing w:val="-2"/>
          <w:kern w:val="0"/>
          <w:sz w:val="24"/>
        </w:rPr>
      </w:pPr>
    </w:p>
    <w:tbl>
      <w:tblPr>
        <w:tblStyle w:val="12"/>
        <w:tblW w:w="0" w:type="auto"/>
        <w:tblInd w:w="-10" w:type="dxa"/>
        <w:tblLayout w:type="fixed"/>
        <w:tblCellMar>
          <w:top w:w="0" w:type="dxa"/>
          <w:left w:w="0" w:type="dxa"/>
          <w:bottom w:w="0" w:type="dxa"/>
          <w:right w:w="0" w:type="dxa"/>
        </w:tblCellMar>
      </w:tblPr>
      <w:tblGrid>
        <w:gridCol w:w="1767"/>
        <w:gridCol w:w="3027"/>
        <w:gridCol w:w="3976"/>
      </w:tblGrid>
      <w:tr>
        <w:tblPrEx>
          <w:tblCellMar>
            <w:top w:w="0" w:type="dxa"/>
            <w:left w:w="0" w:type="dxa"/>
            <w:bottom w:w="0" w:type="dxa"/>
            <w:right w:w="0" w:type="dxa"/>
          </w:tblCellMar>
        </w:tblPrEx>
        <w:trPr>
          <w:trHeight w:val="510" w:hRule="atLeast"/>
        </w:trPr>
        <w:tc>
          <w:tcPr>
            <w:tcW w:w="1767" w:type="dxa"/>
            <w:tcBorders>
              <w:top w:val="single" w:color="auto" w:sz="8"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86" w:name="_Toc20726603"/>
            <w:bookmarkStart w:id="587" w:name="_Toc20668074"/>
            <w:bookmarkStart w:id="588" w:name="_Toc18315744"/>
            <w:r>
              <w:rPr>
                <w:rFonts w:hint="eastAsia" w:eastAsia="方正仿宋_GBK"/>
                <w:color w:val="000000"/>
                <w:spacing w:val="-2"/>
                <w:kern w:val="36"/>
                <w:sz w:val="24"/>
              </w:rPr>
              <w:t>项目负责人</w:t>
            </w:r>
            <w:bookmarkEnd w:id="586"/>
            <w:bookmarkEnd w:id="587"/>
            <w:bookmarkEnd w:id="588"/>
          </w:p>
        </w:tc>
        <w:tc>
          <w:tcPr>
            <w:tcW w:w="3027" w:type="dxa"/>
            <w:tcBorders>
              <w:top w:val="single" w:color="auto" w:sz="8"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val="restart"/>
            <w:tcBorders>
              <w:top w:val="single" w:color="auto" w:sz="8" w:space="0"/>
              <w:left w:val="single" w:color="auto" w:sz="4" w:space="0"/>
              <w:bottom w:val="single" w:color="auto" w:sz="8" w:space="0"/>
              <w:right w:val="single" w:color="auto" w:sz="8" w:space="0"/>
            </w:tcBorders>
            <w:noWrap w:val="0"/>
            <w:vAlign w:val="center"/>
          </w:tcPr>
          <w:p>
            <w:pPr>
              <w:spacing w:line="280" w:lineRule="exact"/>
              <w:jc w:val="left"/>
              <w:outlineLvl w:val="0"/>
              <w:rPr>
                <w:rFonts w:eastAsia="方正仿宋_GBK"/>
                <w:b/>
                <w:bCs/>
                <w:color w:val="000000"/>
                <w:spacing w:val="-2"/>
                <w:kern w:val="36"/>
                <w:sz w:val="24"/>
              </w:rPr>
            </w:pPr>
            <w:bookmarkStart w:id="589" w:name="_Toc20726604"/>
            <w:bookmarkStart w:id="590" w:name="_Toc18315745"/>
            <w:bookmarkStart w:id="591" w:name="_Toc20668075"/>
            <w:r>
              <w:rPr>
                <w:rFonts w:hint="eastAsia" w:eastAsia="方正仿宋_GBK"/>
                <w:color w:val="000000"/>
                <w:spacing w:val="-2"/>
                <w:kern w:val="36"/>
                <w:sz w:val="24"/>
              </w:rPr>
              <w:t>承诺人签名：</w:t>
            </w:r>
            <w:bookmarkEnd w:id="589"/>
            <w:bookmarkEnd w:id="590"/>
            <w:bookmarkEnd w:id="591"/>
          </w:p>
          <w:p>
            <w:pPr>
              <w:spacing w:line="280" w:lineRule="exact"/>
              <w:rPr>
                <w:rFonts w:eastAsia="方正仿宋_GBK"/>
                <w:color w:val="000000"/>
                <w:spacing w:val="-2"/>
                <w:kern w:val="36"/>
                <w:sz w:val="24"/>
              </w:rPr>
            </w:pPr>
            <w:r>
              <w:rPr>
                <w:rFonts w:eastAsia="方正仿宋_GBK"/>
                <w:color w:val="000000"/>
                <w:spacing w:val="-2"/>
                <w:kern w:val="36"/>
                <w:sz w:val="24"/>
              </w:rPr>
              <w:t xml:space="preserve">             </w:t>
            </w:r>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p>
          <w:p>
            <w:pPr>
              <w:spacing w:line="280" w:lineRule="exact"/>
              <w:rPr>
                <w:rFonts w:eastAsia="方正仿宋_GBK"/>
                <w:color w:val="000000"/>
                <w:spacing w:val="-2"/>
                <w:kern w:val="36"/>
                <w:sz w:val="24"/>
              </w:rPr>
            </w:pPr>
          </w:p>
          <w:p>
            <w:pPr>
              <w:spacing w:line="280" w:lineRule="exact"/>
              <w:rPr>
                <w:rFonts w:eastAsia="方正仿宋_GBK"/>
                <w:color w:val="000000"/>
                <w:spacing w:val="-2"/>
                <w:kern w:val="36"/>
                <w:sz w:val="24"/>
              </w:rPr>
            </w:pPr>
          </w:p>
          <w:p>
            <w:pPr>
              <w:spacing w:line="280" w:lineRule="exact"/>
              <w:rPr>
                <w:rFonts w:eastAsia="方正仿宋_GBK"/>
                <w:color w:val="000000"/>
                <w:spacing w:val="-2"/>
                <w:kern w:val="36"/>
                <w:sz w:val="24"/>
              </w:rPr>
            </w:pPr>
          </w:p>
          <w:p>
            <w:pPr>
              <w:spacing w:line="280" w:lineRule="exact"/>
              <w:rPr>
                <w:rFonts w:eastAsia="方正仿宋_GBK"/>
                <w:color w:val="000000"/>
                <w:spacing w:val="-2"/>
                <w:kern w:val="0"/>
                <w:sz w:val="24"/>
              </w:rPr>
            </w:pPr>
            <w:r>
              <w:rPr>
                <w:rFonts w:hint="eastAsia" w:eastAsia="方正仿宋_GBK"/>
                <w:color w:val="000000"/>
                <w:spacing w:val="-2"/>
                <w:kern w:val="0"/>
                <w:sz w:val="24"/>
              </w:rPr>
              <w:t>单位（公章）：</w:t>
            </w:r>
          </w:p>
          <w:p>
            <w:pPr>
              <w:spacing w:line="280" w:lineRule="exact"/>
              <w:ind w:right="280"/>
              <w:jc w:val="right"/>
              <w:outlineLvl w:val="0"/>
              <w:rPr>
                <w:rFonts w:eastAsia="方正仿宋_GBK"/>
                <w:b/>
                <w:bCs/>
                <w:color w:val="000000"/>
                <w:spacing w:val="-2"/>
                <w:kern w:val="36"/>
                <w:sz w:val="24"/>
              </w:rPr>
            </w:pPr>
            <w:bookmarkStart w:id="592" w:name="_Toc20668076"/>
            <w:bookmarkStart w:id="593" w:name="_Toc18315746"/>
            <w:bookmarkStart w:id="594" w:name="_Toc20726605"/>
            <w:r>
              <w:rPr>
                <w:rFonts w:hint="eastAsia" w:eastAsia="方正仿宋_GBK"/>
                <w:color w:val="000000"/>
                <w:spacing w:val="-2"/>
                <w:kern w:val="36"/>
                <w:sz w:val="24"/>
              </w:rPr>
              <w:t>年</w:t>
            </w:r>
            <w:r>
              <w:rPr>
                <w:rFonts w:eastAsia="方正仿宋_GBK"/>
                <w:color w:val="000000"/>
                <w:spacing w:val="-2"/>
                <w:kern w:val="36"/>
                <w:sz w:val="24"/>
              </w:rPr>
              <w:t>    </w:t>
            </w:r>
            <w:r>
              <w:rPr>
                <w:rFonts w:hint="eastAsia" w:eastAsia="方正仿宋_GBK"/>
                <w:color w:val="000000"/>
                <w:spacing w:val="-2"/>
                <w:kern w:val="36"/>
                <w:sz w:val="24"/>
              </w:rPr>
              <w:t>月</w:t>
            </w:r>
            <w:r>
              <w:rPr>
                <w:rFonts w:eastAsia="方正仿宋_GBK"/>
                <w:color w:val="000000"/>
                <w:spacing w:val="-2"/>
                <w:kern w:val="36"/>
                <w:sz w:val="24"/>
              </w:rPr>
              <w:t xml:space="preserve">    </w:t>
            </w:r>
            <w:r>
              <w:rPr>
                <w:rFonts w:hint="eastAsia" w:eastAsia="方正仿宋_GBK"/>
                <w:color w:val="000000"/>
                <w:spacing w:val="-2"/>
                <w:kern w:val="36"/>
                <w:sz w:val="24"/>
              </w:rPr>
              <w:t>日</w:t>
            </w:r>
            <w:bookmarkEnd w:id="592"/>
            <w:bookmarkEnd w:id="593"/>
            <w:bookmarkEnd w:id="594"/>
          </w:p>
        </w:tc>
      </w:tr>
      <w:tr>
        <w:tblPrEx>
          <w:tblCellMar>
            <w:top w:w="0" w:type="dxa"/>
            <w:left w:w="0" w:type="dxa"/>
            <w:bottom w:w="0" w:type="dxa"/>
            <w:right w:w="0" w:type="dxa"/>
          </w:tblCellMar>
        </w:tblPrEx>
        <w:trPr>
          <w:trHeight w:val="510" w:hRule="atLeast"/>
        </w:trPr>
        <w:tc>
          <w:tcPr>
            <w:tcW w:w="1767" w:type="dxa"/>
            <w:tcBorders>
              <w:top w:val="single" w:color="auto" w:sz="4"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95" w:name="_Toc20726606"/>
            <w:bookmarkStart w:id="596" w:name="_Toc20668077"/>
            <w:bookmarkStart w:id="597" w:name="_Toc18315747"/>
            <w:r>
              <w:rPr>
                <w:rFonts w:hint="eastAsia" w:eastAsia="方正仿宋_GBK"/>
                <w:color w:val="000000"/>
                <w:spacing w:val="-2"/>
                <w:kern w:val="36"/>
                <w:sz w:val="24"/>
              </w:rPr>
              <w:t>身份证号码</w:t>
            </w:r>
            <w:bookmarkEnd w:id="595"/>
            <w:bookmarkEnd w:id="596"/>
            <w:bookmarkEnd w:id="597"/>
          </w:p>
        </w:tc>
        <w:tc>
          <w:tcPr>
            <w:tcW w:w="302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r>
        <w:tblPrEx>
          <w:tblCellMar>
            <w:top w:w="0" w:type="dxa"/>
            <w:left w:w="0" w:type="dxa"/>
            <w:bottom w:w="0" w:type="dxa"/>
            <w:right w:w="0" w:type="dxa"/>
          </w:tblCellMar>
        </w:tblPrEx>
        <w:trPr>
          <w:trHeight w:val="510" w:hRule="atLeast"/>
        </w:trPr>
        <w:tc>
          <w:tcPr>
            <w:tcW w:w="1767" w:type="dxa"/>
            <w:tcBorders>
              <w:top w:val="single" w:color="auto" w:sz="4" w:space="0"/>
              <w:left w:val="single" w:color="auto" w:sz="8"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bookmarkStart w:id="598" w:name="_Toc20668078"/>
            <w:bookmarkStart w:id="599" w:name="_Toc18315748"/>
            <w:bookmarkStart w:id="600" w:name="_Toc20726607"/>
            <w:r>
              <w:rPr>
                <w:rFonts w:hint="eastAsia" w:eastAsia="方正仿宋_GBK"/>
                <w:color w:val="000000"/>
                <w:spacing w:val="-2"/>
                <w:kern w:val="36"/>
                <w:sz w:val="24"/>
              </w:rPr>
              <w:t>执业资格证号</w:t>
            </w:r>
            <w:bookmarkEnd w:id="598"/>
            <w:bookmarkEnd w:id="599"/>
            <w:bookmarkEnd w:id="600"/>
          </w:p>
        </w:tc>
        <w:tc>
          <w:tcPr>
            <w:tcW w:w="3027" w:type="dxa"/>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outlineLvl w:val="0"/>
              <w:rPr>
                <w:rFonts w:eastAsia="方正仿宋_GBK"/>
                <w:b/>
                <w:bCs/>
                <w:color w:val="000000"/>
                <w:spacing w:val="-2"/>
                <w:kern w:val="36"/>
                <w:sz w:val="24"/>
              </w:rPr>
            </w:pPr>
            <w:r>
              <w:rPr>
                <w:rFonts w:eastAsia="方正仿宋_GBK"/>
                <w:color w:val="000000"/>
                <w:spacing w:val="-2"/>
                <w:kern w:val="36"/>
                <w:sz w:val="24"/>
              </w:rPr>
              <w:t> </w:t>
            </w:r>
          </w:p>
        </w:tc>
        <w:tc>
          <w:tcPr>
            <w:tcW w:w="397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r>
        <w:tblPrEx>
          <w:tblCellMar>
            <w:top w:w="0" w:type="dxa"/>
            <w:left w:w="0" w:type="dxa"/>
            <w:bottom w:w="0" w:type="dxa"/>
            <w:right w:w="0" w:type="dxa"/>
          </w:tblCellMar>
        </w:tblPrEx>
        <w:trPr>
          <w:trHeight w:val="510" w:hRule="atLeast"/>
        </w:trPr>
        <w:tc>
          <w:tcPr>
            <w:tcW w:w="1767" w:type="dxa"/>
            <w:tcBorders>
              <w:top w:val="single" w:color="auto" w:sz="4" w:space="0"/>
              <w:left w:val="single" w:color="auto" w:sz="8" w:space="0"/>
              <w:bottom w:val="single" w:color="auto" w:sz="8" w:space="0"/>
              <w:right w:val="single" w:color="auto" w:sz="4" w:space="0"/>
            </w:tcBorders>
            <w:noWrap w:val="0"/>
            <w:vAlign w:val="center"/>
          </w:tcPr>
          <w:p>
            <w:pPr>
              <w:spacing w:line="460" w:lineRule="exact"/>
              <w:jc w:val="center"/>
              <w:outlineLvl w:val="0"/>
              <w:rPr>
                <w:rFonts w:eastAsia="方正仿宋_GBK"/>
                <w:color w:val="000000"/>
                <w:spacing w:val="-2"/>
                <w:kern w:val="36"/>
                <w:sz w:val="24"/>
              </w:rPr>
            </w:pPr>
            <w:bookmarkStart w:id="601" w:name="_Toc20726608"/>
            <w:bookmarkStart w:id="602" w:name="_Toc18315749"/>
            <w:bookmarkStart w:id="603" w:name="_Toc20668079"/>
            <w:r>
              <w:rPr>
                <w:rFonts w:hint="eastAsia" w:eastAsia="方正仿宋_GBK"/>
                <w:color w:val="000000"/>
                <w:spacing w:val="-2"/>
                <w:kern w:val="36"/>
                <w:sz w:val="24"/>
              </w:rPr>
              <w:t>联系方式</w:t>
            </w:r>
            <w:bookmarkEnd w:id="601"/>
            <w:bookmarkEnd w:id="602"/>
            <w:bookmarkEnd w:id="603"/>
          </w:p>
        </w:tc>
        <w:tc>
          <w:tcPr>
            <w:tcW w:w="3027" w:type="dxa"/>
            <w:tcBorders>
              <w:top w:val="single" w:color="auto" w:sz="4" w:space="0"/>
              <w:left w:val="single" w:color="auto" w:sz="4" w:space="0"/>
              <w:bottom w:val="single" w:color="auto" w:sz="8" w:space="0"/>
              <w:right w:val="single" w:color="auto" w:sz="4" w:space="0"/>
            </w:tcBorders>
            <w:noWrap w:val="0"/>
            <w:vAlign w:val="center"/>
          </w:tcPr>
          <w:p>
            <w:pPr>
              <w:spacing w:line="460" w:lineRule="exact"/>
              <w:jc w:val="center"/>
              <w:outlineLvl w:val="0"/>
              <w:rPr>
                <w:rFonts w:eastAsia="方正仿宋_GBK"/>
                <w:color w:val="000000"/>
                <w:spacing w:val="-2"/>
                <w:kern w:val="36"/>
                <w:sz w:val="24"/>
              </w:rPr>
            </w:pPr>
          </w:p>
        </w:tc>
        <w:tc>
          <w:tcPr>
            <w:tcW w:w="3976" w:type="dxa"/>
            <w:vMerge w:val="continue"/>
            <w:tcBorders>
              <w:top w:val="single" w:color="auto" w:sz="8" w:space="0"/>
              <w:left w:val="single" w:color="auto" w:sz="4" w:space="0"/>
              <w:bottom w:val="single" w:color="auto" w:sz="8" w:space="0"/>
              <w:right w:val="single" w:color="auto" w:sz="8" w:space="0"/>
            </w:tcBorders>
            <w:noWrap w:val="0"/>
            <w:vAlign w:val="center"/>
          </w:tcPr>
          <w:p>
            <w:pPr>
              <w:widowControl/>
              <w:jc w:val="left"/>
              <w:rPr>
                <w:rFonts w:eastAsia="方正仿宋_GBK"/>
                <w:b/>
                <w:bCs/>
                <w:color w:val="000000"/>
                <w:spacing w:val="-2"/>
                <w:kern w:val="36"/>
                <w:sz w:val="24"/>
              </w:rPr>
            </w:pPr>
          </w:p>
        </w:tc>
      </w:tr>
    </w:tbl>
    <w:p>
      <w:pPr>
        <w:spacing w:line="360" w:lineRule="exact"/>
        <w:rPr>
          <w:rFonts w:ascii="Times New Roman" w:eastAsia="方正楷体_GBK"/>
          <w:color w:val="000000"/>
          <w:spacing w:val="-2"/>
          <w:szCs w:val="21"/>
        </w:rPr>
      </w:pPr>
      <w:r>
        <w:rPr>
          <w:rFonts w:hint="eastAsia" w:ascii="Times New Roman" w:eastAsia="方正楷体_GBK"/>
          <w:color w:val="000000"/>
          <w:spacing w:val="-2"/>
          <w:szCs w:val="21"/>
        </w:rPr>
        <w:t>注：本承诺书一式三份，一份在办理质量监督手续前，报质量监督机构备案；一份由建设单位收集管理，工程竣工验收合格后移交城建档案管理部门；一份各方责任主体留存。</w:t>
      </w:r>
    </w:p>
    <w:p>
      <w:pPr>
        <w:rPr>
          <w:rFonts w:hint="eastAsia" w:eastAsia="方正黑体_GBK"/>
          <w:color w:val="000000"/>
          <w:spacing w:val="-2"/>
          <w:sz w:val="36"/>
          <w:szCs w:val="36"/>
        </w:rPr>
      </w:pPr>
      <w:r>
        <w:rPr>
          <w:rFonts w:eastAsia="方正黑体_GBK"/>
          <w:color w:val="000000"/>
          <w:spacing w:val="-2"/>
          <w:sz w:val="36"/>
          <w:szCs w:val="36"/>
        </w:rPr>
        <w:br w:type="column"/>
      </w:r>
      <w:r>
        <w:rPr>
          <w:rFonts w:hint="eastAsia" w:eastAsia="方正黑体_GBK"/>
          <w:color w:val="000000"/>
          <w:spacing w:val="-2"/>
          <w:sz w:val="36"/>
          <w:szCs w:val="36"/>
        </w:rPr>
        <w:t>第</w:t>
      </w:r>
      <w:r>
        <w:rPr>
          <w:rFonts w:eastAsia="方正黑体_GBK"/>
          <w:color w:val="000000"/>
          <w:spacing w:val="-2"/>
          <w:sz w:val="36"/>
          <w:szCs w:val="36"/>
        </w:rPr>
        <w:t>4</w:t>
      </w:r>
      <w:r>
        <w:rPr>
          <w:rFonts w:hint="eastAsia" w:eastAsia="方正黑体_GBK"/>
          <w:color w:val="000000"/>
          <w:spacing w:val="-2"/>
          <w:sz w:val="36"/>
          <w:szCs w:val="36"/>
        </w:rPr>
        <w:t>部分：</w:t>
      </w: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rPr>
          <w:color w:val="000000"/>
          <w:spacing w:val="-2"/>
        </w:rPr>
      </w:pPr>
    </w:p>
    <w:p>
      <w:pPr>
        <w:jc w:val="center"/>
        <w:rPr>
          <w:rFonts w:ascii="Times New Roman" w:eastAsia="方正小标宋简体"/>
          <w:bCs/>
          <w:color w:val="000000"/>
          <w:spacing w:val="-2"/>
          <w:sz w:val="52"/>
          <w:szCs w:val="52"/>
        </w:rPr>
      </w:pPr>
      <w:r>
        <w:rPr>
          <w:rFonts w:hint="eastAsia" w:ascii="Times New Roman" w:eastAsia="方正小标宋简体"/>
          <w:bCs/>
          <w:color w:val="000000"/>
          <w:spacing w:val="-2"/>
          <w:sz w:val="52"/>
          <w:szCs w:val="52"/>
        </w:rPr>
        <w:t>法定代表人授权书</w:t>
      </w:r>
    </w:p>
    <w:p>
      <w:pPr>
        <w:jc w:val="center"/>
        <w:rPr>
          <w:rFonts w:hint="eastAsia"/>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center"/>
        <w:rPr>
          <w:b/>
          <w:bCs/>
          <w:color w:val="000000"/>
          <w:spacing w:val="-2"/>
          <w:sz w:val="72"/>
          <w:szCs w:val="72"/>
        </w:rPr>
      </w:pPr>
    </w:p>
    <w:p>
      <w:pPr>
        <w:jc w:val="right"/>
        <w:rPr>
          <w:b/>
          <w:bCs/>
          <w:color w:val="000000"/>
          <w:spacing w:val="-2"/>
          <w:sz w:val="36"/>
          <w:szCs w:val="36"/>
        </w:rPr>
      </w:pPr>
      <w:r>
        <w:rPr>
          <w:b/>
          <w:bCs/>
          <w:color w:val="000000"/>
          <w:spacing w:val="-2"/>
          <w:sz w:val="36"/>
          <w:szCs w:val="36"/>
        </w:rPr>
        <w:t xml:space="preserve">   </w:t>
      </w:r>
    </w:p>
    <w:p>
      <w:pPr>
        <w:rPr>
          <w:b/>
          <w:bCs/>
          <w:color w:val="000000"/>
          <w:spacing w:val="-2"/>
          <w:sz w:val="36"/>
          <w:szCs w:val="36"/>
        </w:rPr>
      </w:pPr>
    </w:p>
    <w:p>
      <w:pPr>
        <w:ind w:firstLine="4635" w:firstLineChars="2250"/>
        <w:rPr>
          <w:b/>
          <w:bCs/>
          <w:color w:val="000000"/>
          <w:spacing w:val="-2"/>
          <w:sz w:val="44"/>
          <w:szCs w:val="44"/>
        </w:rPr>
      </w:pPr>
      <w:r>
        <w:rPr>
          <w:color w:val="000000"/>
          <w:spacing w:val="-2"/>
        </w:rPr>
        <w:t xml:space="preserve">    </w:t>
      </w:r>
    </w:p>
    <w:p>
      <w:pPr>
        <w:pStyle w:val="29"/>
        <w:widowControl w:val="0"/>
        <w:shd w:val="clear" w:color="auto" w:fill="FFFFFF"/>
        <w:spacing w:before="0" w:beforeAutospacing="0" w:after="0" w:afterAutospacing="0" w:line="560" w:lineRule="exact"/>
        <w:jc w:val="center"/>
        <w:rPr>
          <w:rFonts w:ascii="Times New Roman" w:hAnsi="Times New Roman"/>
          <w:b/>
          <w:bCs/>
          <w:color w:val="000000"/>
          <w:spacing w:val="-2"/>
          <w:sz w:val="44"/>
          <w:szCs w:val="44"/>
        </w:rPr>
      </w:pPr>
      <w:r>
        <w:rPr>
          <w:rFonts w:hint="eastAsia" w:ascii="Times New Roman" w:hAnsi="Times New Roman"/>
          <w:b/>
          <w:bCs/>
          <w:color w:val="000000"/>
          <w:spacing w:val="-2"/>
          <w:sz w:val="44"/>
          <w:szCs w:val="44"/>
        </w:rPr>
        <w:br w:type="column"/>
      </w:r>
    </w:p>
    <w:p>
      <w:pPr>
        <w:pStyle w:val="29"/>
        <w:widowControl w:val="0"/>
        <w:shd w:val="clear" w:color="auto" w:fill="FFFFFF"/>
        <w:spacing w:before="0" w:beforeAutospacing="0" w:after="0" w:afterAutospacing="0" w:line="560" w:lineRule="exact"/>
        <w:jc w:val="center"/>
        <w:rPr>
          <w:rFonts w:hint="eastAsia" w:ascii="Times New Roman" w:hAnsi="Times New Roman" w:eastAsia="方正黑体_GBK" w:cs="Times New Roman"/>
          <w:bCs/>
          <w:color w:val="000000"/>
          <w:spacing w:val="-2"/>
          <w:sz w:val="36"/>
          <w:szCs w:val="36"/>
        </w:rPr>
      </w:pPr>
      <w:r>
        <w:rPr>
          <w:rFonts w:hint="eastAsia" w:ascii="Times New Roman" w:hAnsi="Times New Roman" w:eastAsia="方正黑体_GBK" w:cs="Times New Roman"/>
          <w:bCs/>
          <w:color w:val="000000"/>
          <w:spacing w:val="-2"/>
          <w:sz w:val="36"/>
          <w:szCs w:val="36"/>
        </w:rPr>
        <w:t>法定代表人授权书</w:t>
      </w:r>
    </w:p>
    <w:p>
      <w:pPr>
        <w:pStyle w:val="29"/>
        <w:widowControl w:val="0"/>
        <w:shd w:val="clear" w:color="auto" w:fill="FFFFFF"/>
        <w:spacing w:before="0" w:beforeAutospacing="0" w:after="0" w:afterAutospacing="0" w:line="560" w:lineRule="exact"/>
        <w:rPr>
          <w:rFonts w:hint="eastAsia" w:ascii="Times New Roman" w:hAnsi="Times New Roman" w:eastAsia="方正仿宋_GBK" w:cs="Times New Roman"/>
          <w:color w:val="000000"/>
          <w:spacing w:val="-2"/>
        </w:rPr>
      </w:pPr>
      <w:r>
        <w:rPr>
          <w:rFonts w:ascii="Times New Roman" w:hAnsi="Times New Roman" w:eastAsia="方正仿宋_GBK" w:cs="Times New Roman"/>
          <w:color w:val="000000"/>
          <w:spacing w:val="-2"/>
        </w:rPr>
        <w:t> </w:t>
      </w:r>
    </w:p>
    <w:p>
      <w:pPr>
        <w:pStyle w:val="29"/>
        <w:widowControl w:val="0"/>
        <w:shd w:val="clear" w:color="auto" w:fill="FFFFFF"/>
        <w:spacing w:before="0" w:beforeAutospacing="0" w:after="0" w:afterAutospacing="0" w:line="560" w:lineRule="exact"/>
        <w:ind w:firstLine="630"/>
        <w:rPr>
          <w:rFonts w:ascii="Times New Roman" w:hAnsi="Times New Roman" w:eastAsia="方正仿宋_GBK" w:cs="Times New Roman"/>
          <w:color w:val="000000"/>
          <w:spacing w:val="-2"/>
          <w:u w:val="single"/>
        </w:rPr>
      </w:pPr>
      <w:r>
        <w:rPr>
          <w:rFonts w:hint="eastAsia" w:ascii="Times New Roman" w:hAnsi="Times New Roman" w:eastAsia="方正仿宋_GBK" w:cs="Times New Roman"/>
          <w:color w:val="000000"/>
          <w:spacing w:val="-2"/>
        </w:rPr>
        <w:t>兹授权我单位</w:t>
      </w:r>
      <w:r>
        <w:rPr>
          <w:rFonts w:ascii="Times New Roman" w:hAnsi="Times New Roman" w:eastAsia="方正仿宋_GBK" w:cs="Times New Roman"/>
          <w:color w:val="000000"/>
          <w:spacing w:val="-2"/>
          <w:u w:val="single"/>
        </w:rPr>
        <w:t xml:space="preserve">       </w:t>
      </w:r>
      <w:r>
        <w:rPr>
          <w:rFonts w:hint="eastAsia" w:ascii="Times New Roman" w:hAnsi="Times New Roman" w:eastAsia="方正仿宋_GBK" w:cs="Times New Roman"/>
          <w:color w:val="000000"/>
          <w:spacing w:val="-2"/>
        </w:rPr>
        <w:t>同志为</w:t>
      </w:r>
      <w:r>
        <w:rPr>
          <w:rFonts w:ascii="Times New Roman" w:hAnsi="Times New Roman" w:eastAsia="方正仿宋_GBK" w:cs="Times New Roman"/>
          <w:color w:val="000000"/>
          <w:spacing w:val="-2"/>
          <w:u w:val="single"/>
        </w:rPr>
        <w:t xml:space="preserve">                         </w:t>
      </w:r>
      <w:r>
        <w:rPr>
          <w:rFonts w:hint="eastAsia" w:ascii="Times New Roman" w:hAnsi="Times New Roman" w:eastAsia="方正仿宋_GBK" w:cs="Times New Roman"/>
          <w:color w:val="000000"/>
          <w:spacing w:val="-2"/>
        </w:rPr>
        <w:t>工程项目负责人。其权是</w:t>
      </w:r>
      <w:r>
        <w:rPr>
          <w:rFonts w:ascii="Times New Roman" w:hAnsi="Times New Roman" w:eastAsia="方正仿宋_GBK" w:cs="Times New Roman"/>
          <w:color w:val="000000"/>
          <w:spacing w:val="-2"/>
          <w:u w:val="single"/>
        </w:rPr>
        <w:t xml:space="preserve">                              </w:t>
      </w:r>
    </w:p>
    <w:p>
      <w:pPr>
        <w:pStyle w:val="29"/>
        <w:widowControl w:val="0"/>
        <w:shd w:val="clear" w:color="auto" w:fill="FFFFFF"/>
        <w:spacing w:before="0" w:beforeAutospacing="0" w:after="0" w:afterAutospacing="0" w:line="560" w:lineRule="exact"/>
        <w:rPr>
          <w:rFonts w:ascii="Times New Roman" w:hAnsi="Times New Roman" w:eastAsia="方正仿宋_GBK" w:cs="Times New Roman"/>
          <w:color w:val="000000"/>
          <w:spacing w:val="-2"/>
        </w:rPr>
      </w:pPr>
      <w:r>
        <w:rPr>
          <w:rFonts w:ascii="Times New Roman" w:hAnsi="Times New Roman" w:eastAsia="方正仿宋_GBK" w:cs="Times New Roman"/>
          <w:color w:val="000000"/>
          <w:spacing w:val="-2"/>
          <w:u w:val="single"/>
        </w:rPr>
        <w:t xml:space="preserve">                                                  </w:t>
      </w:r>
      <w:r>
        <w:rPr>
          <w:rFonts w:hint="eastAsia" w:ascii="Times New Roman" w:hAnsi="Times New Roman" w:eastAsia="方正仿宋_GBK" w:cs="Times New Roman"/>
          <w:color w:val="000000"/>
          <w:spacing w:val="-2"/>
        </w:rPr>
        <w:t>。本授权自签发之日起生效。</w:t>
      </w:r>
    </w:p>
    <w:p>
      <w:pPr>
        <w:pStyle w:val="29"/>
        <w:widowControl w:val="0"/>
        <w:shd w:val="clear" w:color="auto" w:fill="FFFFFF"/>
        <w:snapToGrid w:val="0"/>
        <w:spacing w:before="0" w:beforeAutospacing="0" w:after="0" w:afterAutospacing="0" w:line="560" w:lineRule="exact"/>
        <w:rPr>
          <w:rFonts w:ascii="Times New Roman" w:hAnsi="Times New Roman" w:eastAsia="方正仿宋_GBK" w:cs="Times New Roman"/>
          <w:color w:val="000000"/>
          <w:spacing w:val="-2"/>
        </w:rPr>
      </w:pPr>
      <w:r>
        <w:rPr>
          <w:rFonts w:ascii="Times New Roman" w:hAnsi="Times New Roman" w:eastAsia="方正仿宋_GBK" w:cs="Times New Roman"/>
          <w:color w:val="000000"/>
          <w:spacing w:val="-2"/>
        </w:rPr>
        <w:t> </w:t>
      </w:r>
    </w:p>
    <w:p>
      <w:pPr>
        <w:pStyle w:val="29"/>
        <w:widowControl w:val="0"/>
        <w:shd w:val="clear" w:color="auto" w:fill="FFFFFF"/>
        <w:snapToGrid w:val="0"/>
        <w:spacing w:before="0" w:beforeAutospacing="0" w:after="0" w:afterAutospacing="0" w:line="560" w:lineRule="exact"/>
        <w:rPr>
          <w:rFonts w:ascii="Times New Roman" w:hAnsi="Times New Roman" w:eastAsia="方正仿宋_GBK" w:cs="Times New Roman"/>
          <w:color w:val="000000"/>
          <w:spacing w:val="-2"/>
        </w:rPr>
      </w:pPr>
    </w:p>
    <w:p>
      <w:pPr>
        <w:pStyle w:val="29"/>
        <w:widowControl w:val="0"/>
        <w:shd w:val="clear" w:color="auto" w:fill="FFFFFF"/>
        <w:snapToGrid w:val="0"/>
        <w:spacing w:before="0" w:beforeAutospacing="0" w:after="0" w:afterAutospacing="0" w:line="560" w:lineRule="exact"/>
        <w:jc w:val="center"/>
        <w:rPr>
          <w:rFonts w:ascii="Times New Roman" w:hAnsi="Times New Roman" w:eastAsia="方正仿宋_GBK" w:cs="Times New Roman"/>
          <w:color w:val="000000"/>
          <w:spacing w:val="-2"/>
        </w:rPr>
      </w:pPr>
      <w:r>
        <w:rPr>
          <w:rFonts w:hint="eastAsia" w:ascii="Times New Roman" w:hAnsi="Times New Roman" w:eastAsia="方正仿宋_GBK" w:cs="Times New Roman"/>
          <w:color w:val="000000"/>
          <w:spacing w:val="-2"/>
        </w:rPr>
        <w:t>授权单位</w:t>
      </w:r>
      <w:r>
        <w:rPr>
          <w:rFonts w:ascii="Times New Roman" w:hAnsi="Times New Roman" w:eastAsia="方正仿宋_GBK" w:cs="Times New Roman"/>
          <w:color w:val="000000"/>
          <w:spacing w:val="-2"/>
        </w:rPr>
        <w:t>:</w:t>
      </w:r>
      <w:r>
        <w:rPr>
          <w:rFonts w:hint="eastAsia" w:ascii="Times New Roman" w:hAnsi="Times New Roman" w:eastAsia="方正仿宋_GBK" w:cs="Times New Roman"/>
          <w:color w:val="000000"/>
          <w:spacing w:val="-2"/>
        </w:rPr>
        <w:t>（盖章）</w:t>
      </w:r>
      <w:r>
        <w:rPr>
          <w:rFonts w:ascii="Times New Roman" w:hAnsi="Times New Roman" w:eastAsia="方正仿宋_GBK" w:cs="Times New Roman"/>
          <w:color w:val="000000"/>
          <w:spacing w:val="-2"/>
        </w:rPr>
        <w:t xml:space="preserve">                      </w:t>
      </w:r>
      <w:r>
        <w:rPr>
          <w:rFonts w:hint="eastAsia" w:ascii="Times New Roman" w:hAnsi="Times New Roman" w:eastAsia="方正仿宋_GBK" w:cs="Times New Roman"/>
          <w:color w:val="000000"/>
          <w:spacing w:val="-2"/>
        </w:rPr>
        <w:t>法定代表人</w:t>
      </w:r>
      <w:r>
        <w:rPr>
          <w:rFonts w:ascii="Times New Roman" w:hAnsi="Times New Roman" w:eastAsia="方正仿宋_GBK" w:cs="Times New Roman"/>
          <w:color w:val="000000"/>
          <w:spacing w:val="-2"/>
        </w:rPr>
        <w:t>:</w:t>
      </w:r>
      <w:r>
        <w:rPr>
          <w:rFonts w:hint="eastAsia" w:ascii="Times New Roman" w:hAnsi="Times New Roman" w:eastAsia="方正仿宋_GBK" w:cs="Times New Roman"/>
          <w:color w:val="000000"/>
          <w:spacing w:val="-2"/>
        </w:rPr>
        <w:t>（签名）</w:t>
      </w:r>
    </w:p>
    <w:p>
      <w:pPr>
        <w:pStyle w:val="29"/>
        <w:widowControl w:val="0"/>
        <w:shd w:val="clear" w:color="auto" w:fill="FFFFFF"/>
        <w:snapToGrid w:val="0"/>
        <w:spacing w:before="0" w:beforeAutospacing="0" w:after="0" w:afterAutospacing="0" w:line="560" w:lineRule="exact"/>
        <w:rPr>
          <w:rFonts w:ascii="Times New Roman" w:hAnsi="Times New Roman" w:eastAsia="方正仿宋_GBK" w:cs="Times New Roman"/>
          <w:color w:val="000000"/>
          <w:spacing w:val="-2"/>
        </w:rPr>
      </w:pPr>
      <w:r>
        <w:rPr>
          <w:rFonts w:ascii="Times New Roman" w:hAnsi="Times New Roman" w:eastAsia="方正仿宋_GBK" w:cs="Times New Roman"/>
          <w:color w:val="000000"/>
          <w:spacing w:val="-2"/>
        </w:rPr>
        <w:t> </w:t>
      </w:r>
    </w:p>
    <w:p>
      <w:pPr>
        <w:pStyle w:val="29"/>
        <w:widowControl w:val="0"/>
        <w:shd w:val="clear" w:color="auto" w:fill="FFFFFF"/>
        <w:snapToGrid w:val="0"/>
        <w:spacing w:before="0" w:beforeAutospacing="0" w:after="0" w:afterAutospacing="0" w:line="560" w:lineRule="exact"/>
        <w:ind w:firstLine="951" w:firstLineChars="403"/>
        <w:rPr>
          <w:rFonts w:ascii="Times New Roman" w:hAnsi="Times New Roman" w:eastAsia="方正仿宋_GBK" w:cs="Times New Roman"/>
          <w:color w:val="000000"/>
          <w:spacing w:val="-2"/>
        </w:rPr>
      </w:pPr>
      <w:r>
        <w:rPr>
          <w:rFonts w:hint="eastAsia" w:ascii="Times New Roman" w:hAnsi="Times New Roman" w:eastAsia="方正仿宋_GBK" w:cs="Times New Roman"/>
          <w:color w:val="000000"/>
          <w:spacing w:val="-2"/>
        </w:rPr>
        <w:t>签发日期</w:t>
      </w:r>
      <w:r>
        <w:rPr>
          <w:rFonts w:ascii="Times New Roman" w:hAnsi="Times New Roman" w:eastAsia="方正仿宋_GBK" w:cs="Times New Roman"/>
          <w:color w:val="000000"/>
          <w:spacing w:val="-2"/>
        </w:rPr>
        <w:t xml:space="preserve">:   </w:t>
      </w:r>
      <w:r>
        <w:rPr>
          <w:rFonts w:hint="eastAsia" w:ascii="Times New Roman" w:hAnsi="Times New Roman" w:eastAsia="方正仿宋_GBK" w:cs="Times New Roman"/>
          <w:color w:val="000000"/>
          <w:spacing w:val="-2"/>
        </w:rPr>
        <w:t>年</w:t>
      </w:r>
      <w:r>
        <w:rPr>
          <w:rFonts w:ascii="Times New Roman" w:hAnsi="Times New Roman" w:eastAsia="方正仿宋_GBK" w:cs="Times New Roman"/>
          <w:color w:val="000000"/>
          <w:spacing w:val="-2"/>
        </w:rPr>
        <w:t xml:space="preserve">   </w:t>
      </w:r>
      <w:r>
        <w:rPr>
          <w:rFonts w:hint="eastAsia" w:ascii="Times New Roman" w:hAnsi="Times New Roman" w:eastAsia="方正仿宋_GBK" w:cs="Times New Roman"/>
          <w:color w:val="000000"/>
          <w:spacing w:val="-2"/>
        </w:rPr>
        <w:t>月</w:t>
      </w:r>
      <w:r>
        <w:rPr>
          <w:rFonts w:ascii="Times New Roman" w:hAnsi="Times New Roman" w:eastAsia="方正仿宋_GBK" w:cs="Times New Roman"/>
          <w:color w:val="000000"/>
          <w:spacing w:val="-2"/>
        </w:rPr>
        <w:t xml:space="preserve">   </w:t>
      </w:r>
      <w:r>
        <w:rPr>
          <w:rFonts w:hint="eastAsia" w:ascii="Times New Roman" w:hAnsi="Times New Roman" w:eastAsia="方正仿宋_GBK" w:cs="Times New Roman"/>
          <w:color w:val="000000"/>
          <w:spacing w:val="-2"/>
        </w:rPr>
        <w:t>日</w:t>
      </w:r>
      <w:r>
        <w:rPr>
          <w:rFonts w:ascii="Times New Roman" w:hAnsi="Times New Roman" w:eastAsia="方正仿宋_GBK" w:cs="Times New Roman"/>
          <w:color w:val="000000"/>
          <w:spacing w:val="-2"/>
        </w:rPr>
        <w:t xml:space="preserve"> </w:t>
      </w:r>
    </w:p>
    <w:p>
      <w:pPr>
        <w:pStyle w:val="29"/>
        <w:widowControl w:val="0"/>
        <w:shd w:val="clear" w:color="auto" w:fill="FFFFFF"/>
        <w:snapToGrid w:val="0"/>
        <w:spacing w:before="0" w:beforeAutospacing="0" w:after="0" w:afterAutospacing="0" w:line="560" w:lineRule="exact"/>
        <w:rPr>
          <w:rFonts w:ascii="Times New Roman" w:hAnsi="Times New Roman" w:eastAsia="方正仿宋_GBK" w:cs="Times New Roman"/>
          <w:color w:val="000000"/>
          <w:spacing w:val="-2"/>
        </w:rPr>
      </w:pPr>
      <w:r>
        <w:rPr>
          <w:rFonts w:ascii="Times New Roman" w:hAnsi="Times New Roman" w:eastAsia="方正仿宋_GBK" w:cs="Times New Roman"/>
          <w:color w:val="000000"/>
          <w:spacing w:val="-2"/>
        </w:rPr>
        <w:t> </w:t>
      </w:r>
    </w:p>
    <w:p>
      <w:pPr>
        <w:pStyle w:val="29"/>
        <w:widowControl w:val="0"/>
        <w:shd w:val="clear" w:color="auto" w:fill="FFFFFF"/>
        <w:snapToGrid w:val="0"/>
        <w:spacing w:before="0" w:beforeAutospacing="0" w:after="0" w:afterAutospacing="0" w:line="560" w:lineRule="exact"/>
        <w:rPr>
          <w:rFonts w:ascii="Times New Roman" w:hAnsi="Times New Roman" w:eastAsia="方正仿宋_GBK" w:cs="Times New Roman"/>
          <w:color w:val="000000"/>
          <w:spacing w:val="-2"/>
        </w:rPr>
      </w:pPr>
      <w:r>
        <w:rPr>
          <w:rFonts w:ascii="Times New Roman" w:hAnsi="Times New Roman" w:eastAsia="方正仿宋_GBK" w:cs="Times New Roman"/>
          <w:color w:val="000000"/>
          <w:spacing w:val="-2"/>
        </w:rPr>
        <w:t xml:space="preserve">        </w:t>
      </w:r>
      <w:r>
        <w:rPr>
          <w:rFonts w:hint="eastAsia" w:ascii="Times New Roman" w:hAnsi="Times New Roman" w:eastAsia="方正仿宋_GBK" w:cs="Times New Roman"/>
          <w:color w:val="000000"/>
          <w:spacing w:val="-2"/>
        </w:rPr>
        <w:t>项目负责人姓名：</w:t>
      </w:r>
      <w:r>
        <w:rPr>
          <w:rFonts w:ascii="Times New Roman" w:hAnsi="Times New Roman" w:eastAsia="方正仿宋_GBK" w:cs="Times New Roman"/>
          <w:color w:val="000000"/>
          <w:spacing w:val="-2"/>
          <w:u w:val="single"/>
        </w:rPr>
        <w:t xml:space="preserve">          </w:t>
      </w:r>
      <w:r>
        <w:rPr>
          <w:rFonts w:ascii="Times New Roman" w:hAnsi="Times New Roman" w:eastAsia="方正仿宋_GBK" w:cs="Times New Roman"/>
          <w:color w:val="000000"/>
          <w:spacing w:val="-2"/>
        </w:rPr>
        <w:t> </w:t>
      </w:r>
      <w:r>
        <w:rPr>
          <w:rFonts w:hint="eastAsia" w:ascii="Times New Roman" w:hAnsi="Times New Roman" w:eastAsia="方正仿宋_GBK" w:cs="Times New Roman"/>
          <w:color w:val="000000"/>
          <w:spacing w:val="-2"/>
        </w:rPr>
        <w:t>性别：</w:t>
      </w:r>
      <w:r>
        <w:rPr>
          <w:rFonts w:ascii="Times New Roman" w:hAnsi="Times New Roman" w:eastAsia="方正仿宋_GBK" w:cs="Times New Roman"/>
          <w:color w:val="000000"/>
          <w:spacing w:val="-2"/>
          <w:u w:val="single"/>
        </w:rPr>
        <w:t xml:space="preserve">     </w:t>
      </w:r>
      <w:r>
        <w:rPr>
          <w:rFonts w:ascii="Times New Roman" w:hAnsi="Times New Roman" w:eastAsia="方正仿宋_GBK" w:cs="Times New Roman"/>
          <w:color w:val="000000"/>
          <w:spacing w:val="-2"/>
        </w:rPr>
        <w:t> </w:t>
      </w:r>
    </w:p>
    <w:p>
      <w:pPr>
        <w:pStyle w:val="29"/>
        <w:widowControl w:val="0"/>
        <w:shd w:val="clear" w:color="auto" w:fill="FFFFFF"/>
        <w:snapToGrid w:val="0"/>
        <w:spacing w:before="0" w:beforeAutospacing="0" w:after="0" w:afterAutospacing="0" w:line="560" w:lineRule="exact"/>
        <w:rPr>
          <w:rFonts w:ascii="Times New Roman" w:hAnsi="Times New Roman" w:eastAsia="方正仿宋_GBK" w:cs="Times New Roman"/>
          <w:color w:val="000000"/>
          <w:spacing w:val="-2"/>
          <w:u w:val="single"/>
        </w:rPr>
      </w:pPr>
      <w:r>
        <w:rPr>
          <w:rFonts w:ascii="Times New Roman" w:hAnsi="Times New Roman" w:eastAsia="方正仿宋_GBK" w:cs="Times New Roman"/>
          <w:color w:val="000000"/>
          <w:spacing w:val="-2"/>
        </w:rPr>
        <w:t xml:space="preserve">        </w:t>
      </w:r>
      <w:r>
        <w:rPr>
          <w:rFonts w:hint="eastAsia" w:ascii="Times New Roman" w:hAnsi="Times New Roman" w:eastAsia="方正仿宋_GBK" w:cs="Times New Roman"/>
          <w:color w:val="000000"/>
          <w:spacing w:val="-2"/>
        </w:rPr>
        <w:t>身份证号码：</w:t>
      </w:r>
      <w:r>
        <w:rPr>
          <w:rFonts w:ascii="Times New Roman" w:hAnsi="Times New Roman" w:eastAsia="方正仿宋_GBK" w:cs="Times New Roman"/>
          <w:color w:val="000000"/>
          <w:spacing w:val="-2"/>
          <w:u w:val="single"/>
        </w:rPr>
        <w:t xml:space="preserve">                            </w:t>
      </w:r>
    </w:p>
    <w:p>
      <w:pPr>
        <w:pStyle w:val="29"/>
        <w:widowControl w:val="0"/>
        <w:shd w:val="clear" w:color="auto" w:fill="FFFFFF"/>
        <w:snapToGrid w:val="0"/>
        <w:spacing w:before="0" w:beforeAutospacing="0" w:after="0" w:afterAutospacing="0" w:line="560" w:lineRule="exact"/>
        <w:rPr>
          <w:rFonts w:ascii="Times New Roman" w:hAnsi="Times New Roman" w:eastAsia="方正仿宋_GBK" w:cs="Times New Roman"/>
          <w:color w:val="000000"/>
          <w:spacing w:val="-2"/>
          <w:u w:val="single"/>
        </w:rPr>
      </w:pPr>
      <w:r>
        <w:rPr>
          <w:rFonts w:ascii="Times New Roman" w:hAnsi="Times New Roman" w:eastAsia="方正仿宋_GBK" w:cs="Times New Roman"/>
          <w:color w:val="000000"/>
          <w:spacing w:val="-2"/>
        </w:rPr>
        <w:t xml:space="preserve">        </w:t>
      </w:r>
      <w:r>
        <w:rPr>
          <w:rFonts w:hint="eastAsia" w:ascii="Times New Roman" w:hAnsi="Times New Roman" w:eastAsia="方正仿宋_GBK" w:cs="Times New Roman"/>
          <w:color w:val="000000"/>
          <w:spacing w:val="-2"/>
        </w:rPr>
        <w:t>执业资格证号</w:t>
      </w:r>
      <w:r>
        <w:rPr>
          <w:rFonts w:ascii="Times New Roman" w:hAnsi="Times New Roman" w:eastAsia="方正仿宋_GBK" w:cs="Times New Roman"/>
          <w:color w:val="000000"/>
          <w:spacing w:val="-2"/>
        </w:rPr>
        <w:t>:</w:t>
      </w:r>
      <w:r>
        <w:rPr>
          <w:rFonts w:ascii="Times New Roman" w:hAnsi="Times New Roman" w:eastAsia="方正仿宋_GBK" w:cs="Times New Roman"/>
          <w:color w:val="000000"/>
          <w:spacing w:val="-2"/>
          <w:u w:val="single"/>
        </w:rPr>
        <w:t xml:space="preserve">                          </w:t>
      </w:r>
    </w:p>
    <w:p>
      <w:pPr>
        <w:jc w:val="left"/>
        <w:rPr>
          <w:rFonts w:eastAsia="方正仿宋_GBK"/>
          <w:color w:val="000000"/>
          <w:spacing w:val="-2"/>
          <w:sz w:val="24"/>
        </w:rPr>
      </w:pPr>
    </w:p>
    <w:p>
      <w:pPr>
        <w:jc w:val="left"/>
        <w:rPr>
          <w:rFonts w:eastAsia="方正仿宋_GBK"/>
          <w:color w:val="000000"/>
          <w:spacing w:val="-2"/>
          <w:sz w:val="24"/>
        </w:rPr>
      </w:pPr>
    </w:p>
    <w:p>
      <w:pPr>
        <w:jc w:val="left"/>
        <w:rPr>
          <w:rFonts w:eastAsia="方正仿宋_GBK"/>
          <w:color w:val="000000"/>
          <w:spacing w:val="-2"/>
          <w:sz w:val="24"/>
        </w:rPr>
      </w:pPr>
    </w:p>
    <w:p>
      <w:pPr>
        <w:jc w:val="left"/>
        <w:rPr>
          <w:rFonts w:eastAsia="方正仿宋_GBK"/>
          <w:color w:val="000000"/>
          <w:spacing w:val="-2"/>
          <w:sz w:val="24"/>
        </w:rPr>
      </w:pPr>
    </w:p>
    <w:p>
      <w:pPr>
        <w:jc w:val="left"/>
        <w:rPr>
          <w:rFonts w:eastAsia="方正仿宋_GBK"/>
          <w:color w:val="000000"/>
          <w:spacing w:val="-2"/>
          <w:sz w:val="24"/>
        </w:rPr>
      </w:pPr>
    </w:p>
    <w:p>
      <w:pPr>
        <w:jc w:val="left"/>
        <w:rPr>
          <w:rFonts w:eastAsia="方正仿宋_GBK"/>
          <w:color w:val="000000"/>
          <w:spacing w:val="-2"/>
          <w:sz w:val="24"/>
        </w:rPr>
      </w:pPr>
    </w:p>
    <w:p>
      <w:pPr>
        <w:jc w:val="left"/>
        <w:rPr>
          <w:rFonts w:eastAsia="方正仿宋_GBK"/>
          <w:color w:val="000000"/>
          <w:spacing w:val="-2"/>
          <w:sz w:val="24"/>
        </w:rPr>
      </w:pPr>
    </w:p>
    <w:p>
      <w:pPr>
        <w:jc w:val="left"/>
        <w:rPr>
          <w:rFonts w:eastAsia="方正仿宋_GBK"/>
          <w:color w:val="000000"/>
          <w:spacing w:val="-2"/>
          <w:sz w:val="24"/>
        </w:rPr>
      </w:pPr>
    </w:p>
    <w:p>
      <w:pPr>
        <w:jc w:val="left"/>
        <w:rPr>
          <w:rFonts w:eastAsia="方正仿宋_GBK"/>
          <w:color w:val="000000"/>
          <w:spacing w:val="-2"/>
          <w:sz w:val="24"/>
        </w:rPr>
      </w:pPr>
    </w:p>
    <w:p>
      <w:pPr>
        <w:jc w:val="left"/>
        <w:rPr>
          <w:rFonts w:eastAsia="方正仿宋_GBK"/>
          <w:color w:val="000000"/>
          <w:spacing w:val="-2"/>
          <w:sz w:val="24"/>
        </w:rPr>
      </w:pPr>
    </w:p>
    <w:p>
      <w:pPr>
        <w:spacing w:line="400" w:lineRule="exact"/>
        <w:jc w:val="left"/>
        <w:rPr>
          <w:rFonts w:eastAsia="方正仿宋_GBK"/>
          <w:color w:val="000000"/>
          <w:spacing w:val="-2"/>
          <w:szCs w:val="21"/>
        </w:rPr>
      </w:pPr>
      <w:r>
        <w:rPr>
          <w:rFonts w:hint="eastAsia" w:eastAsia="方正仿宋_GBK"/>
          <w:color w:val="000000"/>
          <w:spacing w:val="-2"/>
          <w:szCs w:val="21"/>
        </w:rPr>
        <w:t>注：</w:t>
      </w:r>
      <w:r>
        <w:rPr>
          <w:rFonts w:eastAsia="方正仿宋_GBK"/>
          <w:color w:val="000000"/>
          <w:spacing w:val="-2"/>
          <w:szCs w:val="21"/>
        </w:rPr>
        <w:t>1</w:t>
      </w:r>
      <w:r>
        <w:rPr>
          <w:rFonts w:hint="eastAsia" w:eastAsia="方正仿宋_GBK"/>
          <w:color w:val="000000"/>
          <w:spacing w:val="-2"/>
          <w:szCs w:val="21"/>
        </w:rPr>
        <w:t>、需附项目负责人执业资格证书、身份证以及法人代表身份证复印件。</w:t>
      </w:r>
    </w:p>
    <w:p>
      <w:pPr>
        <w:spacing w:line="400" w:lineRule="exact"/>
        <w:ind w:firstLine="412" w:firstLineChars="200"/>
        <w:jc w:val="left"/>
        <w:rPr>
          <w:rFonts w:ascii="Times New Roman" w:hAnsi="Times New Roman" w:eastAsia="仿宋_GB2312"/>
          <w:color w:val="000000"/>
          <w:spacing w:val="-2"/>
          <w:sz w:val="28"/>
          <w:szCs w:val="28"/>
        </w:rPr>
      </w:pPr>
      <w:r>
        <w:rPr>
          <w:rFonts w:eastAsia="方正仿宋_GBK"/>
          <w:color w:val="000000"/>
          <w:spacing w:val="-2"/>
          <w:szCs w:val="21"/>
        </w:rPr>
        <w:t>2</w:t>
      </w:r>
      <w:r>
        <w:rPr>
          <w:rFonts w:hint="eastAsia" w:eastAsia="方正仿宋_GBK"/>
          <w:color w:val="000000"/>
          <w:spacing w:val="-2"/>
          <w:szCs w:val="21"/>
        </w:rPr>
        <w:t>、本授权书一式三份，一份在办理质量监督手续前，报质量监督机构备案；一份由建设单位收集管理，工程竣工验收合格后移交城建档案管理部门；一份各方责任主体留存。</w:t>
      </w:r>
    </w:p>
    <w:p>
      <w:pPr>
        <w:spacing w:line="400" w:lineRule="exact"/>
        <w:jc w:val="left"/>
        <w:rPr>
          <w:rFonts w:hint="eastAsia" w:ascii="Times New Roman" w:eastAsia="方正黑体_GBK"/>
          <w:color w:val="000000"/>
          <w:spacing w:val="-2"/>
          <w:sz w:val="28"/>
          <w:szCs w:val="28"/>
        </w:rPr>
      </w:pPr>
      <w:r>
        <w:rPr>
          <w:rFonts w:hint="eastAsia" w:ascii="Times New Roman" w:eastAsia="黑体"/>
          <w:color w:val="000000"/>
          <w:spacing w:val="-2"/>
          <w:sz w:val="32"/>
          <w:szCs w:val="32"/>
        </w:rPr>
        <w:br w:type="column"/>
      </w:r>
      <w:r>
        <w:rPr>
          <w:rFonts w:hint="eastAsia" w:ascii="Times New Roman" w:eastAsia="方正黑体_GBK"/>
          <w:color w:val="000000"/>
          <w:spacing w:val="-2"/>
          <w:sz w:val="28"/>
          <w:szCs w:val="28"/>
        </w:rPr>
        <w:t>附件3：</w:t>
      </w:r>
    </w:p>
    <w:p>
      <w:pPr>
        <w:spacing w:line="360" w:lineRule="auto"/>
        <w:rPr>
          <w:rFonts w:hint="eastAsia"/>
          <w:b/>
          <w:color w:val="000000"/>
          <w:spacing w:val="-2"/>
          <w:sz w:val="32"/>
          <w:szCs w:val="32"/>
        </w:rPr>
      </w:pPr>
    </w:p>
    <w:p>
      <w:pPr>
        <w:spacing w:line="360" w:lineRule="auto"/>
        <w:jc w:val="center"/>
        <w:rPr>
          <w:rFonts w:ascii="Times New Roman" w:eastAsia="方正黑体_GBK"/>
          <w:color w:val="000000"/>
          <w:spacing w:val="-2"/>
          <w:sz w:val="28"/>
          <w:szCs w:val="28"/>
        </w:rPr>
      </w:pPr>
      <w:r>
        <w:rPr>
          <w:rFonts w:hint="eastAsia" w:ascii="Times New Roman" w:hAnsi="Times New Roman" w:eastAsia="方正黑体_GBK"/>
          <w:color w:val="000000"/>
          <w:spacing w:val="-2"/>
          <w:sz w:val="28"/>
          <w:szCs w:val="28"/>
        </w:rPr>
        <w:t>永久性责任标牌式样</w:t>
      </w:r>
    </w:p>
    <w:p>
      <w:pPr>
        <w:spacing w:line="360" w:lineRule="auto"/>
        <w:jc w:val="center"/>
        <w:rPr>
          <w:rFonts w:hint="eastAsia" w:eastAsia="黑体"/>
          <w:b/>
          <w:color w:val="000000"/>
          <w:spacing w:val="-2"/>
          <w:sz w:val="32"/>
          <w:szCs w:val="32"/>
        </w:rPr>
      </w:pPr>
    </w:p>
    <w:tbl>
      <w:tblPr>
        <w:tblStyle w:val="12"/>
        <w:tblW w:w="0" w:type="auto"/>
        <w:tblCellSpacing w:w="0" w:type="dxa"/>
        <w:tblInd w:w="50" w:type="dxa"/>
        <w:tblBorders>
          <w:top w:val="single" w:color="auto" w:sz="8" w:space="0"/>
          <w:left w:val="single" w:color="auto" w:sz="8" w:space="0"/>
          <w:bottom w:val="single" w:color="auto" w:sz="8" w:space="0"/>
          <w:right w:val="single" w:color="auto" w:sz="8" w:space="0"/>
          <w:insideH w:val="none" w:color="auto" w:sz="0" w:space="0"/>
          <w:insideV w:val="none" w:color="auto" w:sz="0" w:space="0"/>
        </w:tblBorders>
        <w:tblLayout w:type="fixed"/>
        <w:tblCellMar>
          <w:top w:w="0" w:type="dxa"/>
          <w:left w:w="0" w:type="dxa"/>
          <w:bottom w:w="0" w:type="dxa"/>
          <w:right w:w="0" w:type="dxa"/>
        </w:tblCellMar>
      </w:tblPr>
      <w:tblGrid>
        <w:gridCol w:w="8740"/>
      </w:tblGrid>
      <w:tr>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0" w:type="dxa"/>
            <w:bottom w:w="0" w:type="dxa"/>
            <w:right w:w="0" w:type="dxa"/>
          </w:tblCellMar>
        </w:tblPrEx>
        <w:trPr>
          <w:trHeight w:val="4200" w:hRule="atLeast"/>
          <w:tblCellSpacing w:w="0" w:type="dxa"/>
        </w:trPr>
        <w:tc>
          <w:tcPr>
            <w:tcW w:w="8740" w:type="dxa"/>
            <w:tcBorders>
              <w:top w:val="nil"/>
              <w:left w:val="nil"/>
              <w:bottom w:val="nil"/>
              <w:right w:val="nil"/>
            </w:tcBorders>
            <w:noWrap w:val="0"/>
            <w:vAlign w:val="top"/>
          </w:tcPr>
          <w:p>
            <w:pPr>
              <w:spacing w:before="120" w:beforeLines="50"/>
              <w:ind w:firstLine="346" w:firstLineChars="147"/>
              <w:rPr>
                <w:rFonts w:ascii="Times New Roman" w:hAnsi="Times New Roman"/>
                <w:color w:val="000000"/>
                <w:spacing w:val="-2"/>
                <w:sz w:val="24"/>
              </w:rPr>
            </w:pPr>
            <w:r>
              <w:rPr>
                <w:rFonts w:hint="eastAsia" w:eastAsia="方正仿宋_GBK"/>
                <w:color w:val="000000"/>
                <w:spacing w:val="-2"/>
                <w:sz w:val="24"/>
              </w:rPr>
              <w:t>工程名称</w:t>
            </w:r>
            <w:r>
              <w:rPr>
                <w:rFonts w:eastAsia="方正仿宋_GBK"/>
                <w:color w:val="000000"/>
                <w:spacing w:val="-2"/>
                <w:sz w:val="24"/>
              </w:rPr>
              <w:t xml:space="preserve">  </w:t>
            </w:r>
            <w:r>
              <w:rPr>
                <w:rFonts w:hint="eastAsia" w:ascii="Times New Roman" w:hAnsi="Times New Roman"/>
                <w:color w:val="000000"/>
                <w:spacing w:val="-2"/>
                <w:sz w:val="24"/>
              </w:rPr>
              <w:t xml:space="preserve"> ×××××××××</w:t>
            </w:r>
          </w:p>
          <w:p>
            <w:pPr>
              <w:spacing w:before="120" w:beforeLines="50"/>
              <w:ind w:firstLine="346" w:firstLineChars="147"/>
              <w:jc w:val="left"/>
              <w:rPr>
                <w:rFonts w:hint="eastAsia" w:eastAsia="方正仿宋_GBK"/>
                <w:color w:val="000000"/>
                <w:spacing w:val="-2"/>
                <w:sz w:val="24"/>
              </w:rPr>
            </w:pPr>
            <w:r>
              <w:rPr>
                <w:rFonts w:hint="eastAsia" w:eastAsia="方正仿宋_GBK"/>
                <w:color w:val="000000"/>
                <w:spacing w:val="-2"/>
                <w:sz w:val="24"/>
              </w:rPr>
              <w:t>开工日期</w:t>
            </w:r>
            <w:r>
              <w:rPr>
                <w:rFonts w:eastAsia="方正仿宋_GBK"/>
                <w:color w:val="000000"/>
                <w:spacing w:val="-2"/>
                <w:sz w:val="24"/>
              </w:rPr>
              <w:t xml:space="preserve">  </w:t>
            </w:r>
            <w:r>
              <w:rPr>
                <w:rFonts w:hint="eastAsia" w:ascii="Times New Roman" w:hAnsi="Times New Roman"/>
                <w:color w:val="000000"/>
                <w:spacing w:val="-2"/>
                <w:sz w:val="24"/>
              </w:rPr>
              <w:t>××××</w:t>
            </w:r>
            <w:r>
              <w:rPr>
                <w:rFonts w:hint="eastAsia" w:eastAsia="方正仿宋_GBK"/>
                <w:color w:val="000000"/>
                <w:spacing w:val="-2"/>
                <w:sz w:val="24"/>
              </w:rPr>
              <w:t>年</w:t>
            </w:r>
            <w:r>
              <w:rPr>
                <w:rFonts w:hint="eastAsia" w:ascii="Times New Roman" w:hAnsi="Times New Roman"/>
                <w:color w:val="000000"/>
                <w:spacing w:val="-2"/>
                <w:sz w:val="24"/>
              </w:rPr>
              <w:t>××</w:t>
            </w:r>
            <w:r>
              <w:rPr>
                <w:rFonts w:hint="eastAsia" w:eastAsia="方正仿宋_GBK"/>
                <w:color w:val="000000"/>
                <w:spacing w:val="-2"/>
                <w:sz w:val="24"/>
              </w:rPr>
              <w:t>月</w:t>
            </w:r>
            <w:r>
              <w:rPr>
                <w:rFonts w:hint="eastAsia" w:ascii="Times New Roman" w:hAnsi="Times New Roman"/>
                <w:color w:val="000000"/>
                <w:spacing w:val="-2"/>
                <w:sz w:val="24"/>
              </w:rPr>
              <w:t>××</w:t>
            </w:r>
            <w:r>
              <w:rPr>
                <w:rFonts w:hint="eastAsia" w:eastAsia="方正仿宋_GBK"/>
                <w:color w:val="000000"/>
                <w:spacing w:val="-2"/>
                <w:sz w:val="24"/>
              </w:rPr>
              <w:t>日</w:t>
            </w:r>
          </w:p>
          <w:p>
            <w:pPr>
              <w:spacing w:before="120" w:beforeLines="50"/>
              <w:ind w:firstLine="346" w:firstLineChars="147"/>
              <w:jc w:val="left"/>
              <w:rPr>
                <w:rFonts w:eastAsia="方正仿宋_GBK"/>
                <w:color w:val="000000"/>
                <w:spacing w:val="-2"/>
                <w:sz w:val="24"/>
              </w:rPr>
            </w:pPr>
            <w:r>
              <w:rPr>
                <w:rFonts w:hint="eastAsia" w:eastAsia="方正仿宋_GBK"/>
                <w:color w:val="000000"/>
                <w:spacing w:val="-2"/>
                <w:sz w:val="24"/>
              </w:rPr>
              <w:t>竣工日期</w:t>
            </w:r>
            <w:r>
              <w:rPr>
                <w:rFonts w:eastAsia="方正仿宋_GBK"/>
                <w:color w:val="000000"/>
                <w:spacing w:val="-2"/>
                <w:sz w:val="24"/>
              </w:rPr>
              <w:t xml:space="preserve">  </w:t>
            </w:r>
            <w:r>
              <w:rPr>
                <w:rFonts w:hint="eastAsia" w:ascii="Times New Roman" w:hAnsi="Times New Roman"/>
                <w:color w:val="000000"/>
                <w:spacing w:val="-2"/>
                <w:sz w:val="24"/>
              </w:rPr>
              <w:t>××××</w:t>
            </w:r>
            <w:r>
              <w:rPr>
                <w:rFonts w:hint="eastAsia" w:eastAsia="方正仿宋_GBK"/>
                <w:color w:val="000000"/>
                <w:spacing w:val="-2"/>
                <w:sz w:val="24"/>
              </w:rPr>
              <w:t>年</w:t>
            </w:r>
            <w:r>
              <w:rPr>
                <w:rFonts w:hint="eastAsia" w:ascii="Times New Roman" w:hAnsi="Times New Roman"/>
                <w:color w:val="000000"/>
                <w:spacing w:val="-2"/>
                <w:sz w:val="24"/>
              </w:rPr>
              <w:t>××</w:t>
            </w:r>
            <w:r>
              <w:rPr>
                <w:rFonts w:hint="eastAsia" w:eastAsia="方正仿宋_GBK"/>
                <w:color w:val="000000"/>
                <w:spacing w:val="-2"/>
                <w:sz w:val="24"/>
              </w:rPr>
              <w:t>月</w:t>
            </w:r>
            <w:r>
              <w:rPr>
                <w:rFonts w:hint="eastAsia" w:ascii="Times New Roman" w:hAnsi="Times New Roman"/>
                <w:color w:val="000000"/>
                <w:spacing w:val="-2"/>
                <w:sz w:val="24"/>
              </w:rPr>
              <w:t>××</w:t>
            </w:r>
            <w:r>
              <w:rPr>
                <w:rFonts w:hint="eastAsia" w:eastAsia="方正仿宋_GBK"/>
                <w:color w:val="000000"/>
                <w:spacing w:val="-2"/>
                <w:sz w:val="24"/>
              </w:rPr>
              <w:t>日</w:t>
            </w:r>
          </w:p>
          <w:p>
            <w:pPr>
              <w:spacing w:before="120" w:beforeLines="50"/>
              <w:ind w:firstLine="346" w:firstLineChars="147"/>
              <w:jc w:val="left"/>
              <w:rPr>
                <w:rFonts w:eastAsia="方正仿宋_GBK"/>
                <w:color w:val="000000"/>
                <w:spacing w:val="-2"/>
                <w:sz w:val="24"/>
              </w:rPr>
            </w:pPr>
            <w:r>
              <w:rPr>
                <w:rFonts w:hint="eastAsia" w:eastAsia="方正仿宋_GBK"/>
                <w:color w:val="000000"/>
                <w:spacing w:val="-2"/>
                <w:sz w:val="24"/>
              </w:rPr>
              <w:t>建设单位</w:t>
            </w:r>
            <w:r>
              <w:rPr>
                <w:rFonts w:eastAsia="方正仿宋_GBK"/>
                <w:color w:val="000000"/>
                <w:spacing w:val="-2"/>
                <w:sz w:val="24"/>
              </w:rPr>
              <w:t xml:space="preserve">   </w:t>
            </w: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91"/>
                <w:kern w:val="0"/>
                <w:sz w:val="24"/>
              </w:rPr>
              <w:t>项目负责</w:t>
            </w:r>
            <w:r>
              <w:rPr>
                <w:rFonts w:hint="eastAsia" w:eastAsia="方正仿宋_GBK"/>
                <w:color w:val="000000"/>
                <w:spacing w:val="-1"/>
                <w:kern w:val="0"/>
                <w:sz w:val="24"/>
              </w:rPr>
              <w:t>人</w:t>
            </w:r>
            <w:r>
              <w:rPr>
                <w:rFonts w:eastAsia="方正仿宋_GBK"/>
                <w:color w:val="000000"/>
                <w:spacing w:val="-2"/>
                <w:sz w:val="24"/>
              </w:rPr>
              <w:t xml:space="preserve">  </w:t>
            </w:r>
            <w:r>
              <w:rPr>
                <w:rFonts w:hint="eastAsia" w:ascii="Times New Roman" w:hAnsi="Times New Roman"/>
                <w:color w:val="000000"/>
                <w:spacing w:val="-2"/>
                <w:sz w:val="24"/>
              </w:rPr>
              <w:t>×××</w:t>
            </w:r>
          </w:p>
          <w:p>
            <w:pPr>
              <w:spacing w:before="120" w:beforeLines="50"/>
              <w:ind w:firstLine="346" w:firstLineChars="147"/>
              <w:jc w:val="left"/>
              <w:rPr>
                <w:rFonts w:eastAsia="方正仿宋_GBK"/>
                <w:color w:val="000000"/>
                <w:spacing w:val="-2"/>
                <w:sz w:val="24"/>
              </w:rPr>
            </w:pPr>
            <w:r>
              <w:rPr>
                <w:rFonts w:hint="eastAsia" w:eastAsia="方正仿宋_GBK"/>
                <w:color w:val="000000"/>
                <w:spacing w:val="-2"/>
                <w:sz w:val="24"/>
              </w:rPr>
              <w:t>勘察单位</w:t>
            </w:r>
            <w:r>
              <w:rPr>
                <w:rFonts w:eastAsia="方正仿宋_GBK"/>
                <w:color w:val="000000"/>
                <w:spacing w:val="-2"/>
                <w:sz w:val="24"/>
              </w:rPr>
              <w:t xml:space="preserve">   </w:t>
            </w: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91"/>
                <w:kern w:val="0"/>
                <w:sz w:val="24"/>
              </w:rPr>
              <w:t>项目负责</w:t>
            </w:r>
            <w:r>
              <w:rPr>
                <w:rFonts w:hint="eastAsia" w:eastAsia="方正仿宋_GBK"/>
                <w:color w:val="000000"/>
                <w:spacing w:val="-1"/>
                <w:kern w:val="0"/>
                <w:sz w:val="24"/>
              </w:rPr>
              <w:t>人</w:t>
            </w:r>
            <w:r>
              <w:rPr>
                <w:rFonts w:eastAsia="方正仿宋_GBK"/>
                <w:color w:val="000000"/>
                <w:spacing w:val="-2"/>
                <w:sz w:val="24"/>
              </w:rPr>
              <w:t xml:space="preserve">  </w:t>
            </w:r>
            <w:r>
              <w:rPr>
                <w:rFonts w:hint="eastAsia" w:ascii="Times New Roman" w:hAnsi="Times New Roman"/>
                <w:color w:val="000000"/>
                <w:spacing w:val="-2"/>
                <w:sz w:val="24"/>
              </w:rPr>
              <w:t>×××</w:t>
            </w:r>
          </w:p>
          <w:p>
            <w:pPr>
              <w:spacing w:before="120" w:beforeLines="50"/>
              <w:ind w:firstLine="346" w:firstLineChars="147"/>
              <w:jc w:val="left"/>
              <w:rPr>
                <w:rFonts w:eastAsia="方正仿宋_GBK"/>
                <w:color w:val="000000"/>
                <w:spacing w:val="-2"/>
                <w:sz w:val="24"/>
              </w:rPr>
            </w:pPr>
            <w:r>
              <w:rPr>
                <w:rFonts w:hint="eastAsia" w:eastAsia="方正仿宋_GBK"/>
                <w:color w:val="000000"/>
                <w:spacing w:val="-2"/>
                <w:sz w:val="24"/>
              </w:rPr>
              <w:t>设计单位</w:t>
            </w:r>
            <w:r>
              <w:rPr>
                <w:rFonts w:eastAsia="方正仿宋_GBK"/>
                <w:color w:val="000000"/>
                <w:spacing w:val="-2"/>
                <w:sz w:val="24"/>
              </w:rPr>
              <w:t xml:space="preserve">   </w:t>
            </w: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91"/>
                <w:kern w:val="0"/>
                <w:sz w:val="24"/>
              </w:rPr>
              <w:t>项目负责</w:t>
            </w:r>
            <w:r>
              <w:rPr>
                <w:rFonts w:hint="eastAsia" w:eastAsia="方正仿宋_GBK"/>
                <w:color w:val="000000"/>
                <w:spacing w:val="-1"/>
                <w:kern w:val="0"/>
                <w:sz w:val="24"/>
              </w:rPr>
              <w:t>人</w:t>
            </w:r>
            <w:r>
              <w:rPr>
                <w:rFonts w:eastAsia="方正仿宋_GBK"/>
                <w:color w:val="000000"/>
                <w:spacing w:val="-2"/>
                <w:sz w:val="24"/>
              </w:rPr>
              <w:t xml:space="preserve">  </w:t>
            </w:r>
            <w:r>
              <w:rPr>
                <w:rFonts w:hint="eastAsia" w:ascii="Times New Roman" w:hAnsi="Times New Roman"/>
                <w:color w:val="000000"/>
                <w:spacing w:val="-2"/>
                <w:sz w:val="24"/>
              </w:rPr>
              <w:t>×××</w:t>
            </w:r>
          </w:p>
          <w:p>
            <w:pPr>
              <w:spacing w:before="120" w:beforeLines="50"/>
              <w:ind w:firstLine="346" w:firstLineChars="147"/>
              <w:jc w:val="left"/>
              <w:rPr>
                <w:rFonts w:eastAsia="方正仿宋_GBK"/>
                <w:color w:val="000000"/>
                <w:spacing w:val="-2"/>
                <w:sz w:val="24"/>
              </w:rPr>
            </w:pPr>
            <w:r>
              <w:rPr>
                <w:rFonts w:hint="eastAsia" w:eastAsia="方正仿宋_GBK"/>
                <w:color w:val="000000"/>
                <w:spacing w:val="-2"/>
                <w:sz w:val="24"/>
              </w:rPr>
              <w:t>施工单位</w:t>
            </w:r>
            <w:r>
              <w:rPr>
                <w:rFonts w:eastAsia="方正仿宋_GBK"/>
                <w:color w:val="000000"/>
                <w:spacing w:val="-2"/>
                <w:sz w:val="24"/>
              </w:rPr>
              <w:t xml:space="preserve">   </w:t>
            </w: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91"/>
                <w:kern w:val="0"/>
                <w:sz w:val="24"/>
              </w:rPr>
              <w:t>项目负责</w:t>
            </w:r>
            <w:r>
              <w:rPr>
                <w:rFonts w:hint="eastAsia" w:eastAsia="方正仿宋_GBK"/>
                <w:color w:val="000000"/>
                <w:spacing w:val="-1"/>
                <w:kern w:val="0"/>
                <w:sz w:val="24"/>
              </w:rPr>
              <w:t>人</w:t>
            </w:r>
            <w:r>
              <w:rPr>
                <w:rFonts w:eastAsia="方正仿宋_GBK"/>
                <w:color w:val="000000"/>
                <w:spacing w:val="-2"/>
                <w:sz w:val="24"/>
              </w:rPr>
              <w:t xml:space="preserve">  </w:t>
            </w:r>
            <w:r>
              <w:rPr>
                <w:rFonts w:hint="eastAsia" w:ascii="Times New Roman" w:hAnsi="Times New Roman"/>
                <w:color w:val="000000"/>
                <w:spacing w:val="-2"/>
                <w:sz w:val="24"/>
              </w:rPr>
              <w:t>×××</w:t>
            </w:r>
          </w:p>
          <w:p>
            <w:pPr>
              <w:spacing w:before="120" w:beforeLines="50"/>
              <w:ind w:firstLine="346" w:firstLineChars="147"/>
              <w:jc w:val="left"/>
              <w:rPr>
                <w:rFonts w:eastAsia="方正仿宋_GBK"/>
                <w:color w:val="000000"/>
                <w:spacing w:val="-2"/>
                <w:sz w:val="24"/>
              </w:rPr>
            </w:pPr>
            <w:r>
              <w:rPr>
                <w:rFonts w:hint="eastAsia" w:eastAsia="方正仿宋_GBK"/>
                <w:color w:val="000000"/>
                <w:spacing w:val="-2"/>
                <w:sz w:val="24"/>
              </w:rPr>
              <w:t>监理单位</w:t>
            </w:r>
            <w:r>
              <w:rPr>
                <w:rFonts w:eastAsia="方正仿宋_GBK"/>
                <w:color w:val="000000"/>
                <w:spacing w:val="-2"/>
                <w:sz w:val="24"/>
              </w:rPr>
              <w:t xml:space="preserve">   </w:t>
            </w:r>
            <w:r>
              <w:rPr>
                <w:rFonts w:hint="eastAsia" w:ascii="Times New Roman" w:hAnsi="Times New Roman"/>
                <w:color w:val="000000"/>
                <w:spacing w:val="-2"/>
                <w:sz w:val="24"/>
              </w:rPr>
              <w:t>×××××××××</w:t>
            </w:r>
            <w:r>
              <w:rPr>
                <w:rFonts w:eastAsia="方正仿宋_GBK"/>
                <w:color w:val="000000"/>
                <w:spacing w:val="-2"/>
                <w:sz w:val="24"/>
              </w:rPr>
              <w:t xml:space="preserve"> </w:t>
            </w:r>
            <w:r>
              <w:rPr>
                <w:rFonts w:hint="eastAsia" w:eastAsia="方正仿宋_GBK"/>
                <w:color w:val="000000"/>
                <w:spacing w:val="-2"/>
                <w:sz w:val="24"/>
              </w:rPr>
              <w:t>总监理工程师</w:t>
            </w:r>
            <w:r>
              <w:rPr>
                <w:rFonts w:eastAsia="方正仿宋_GBK"/>
                <w:color w:val="000000"/>
                <w:spacing w:val="-2"/>
                <w:sz w:val="24"/>
              </w:rPr>
              <w:t xml:space="preserve">  </w:t>
            </w:r>
            <w:r>
              <w:rPr>
                <w:rFonts w:hint="eastAsia" w:ascii="Times New Roman" w:hAnsi="Times New Roman"/>
                <w:color w:val="000000"/>
                <w:spacing w:val="-2"/>
                <w:sz w:val="24"/>
              </w:rPr>
              <w:t>×××</w:t>
            </w:r>
          </w:p>
        </w:tc>
      </w:tr>
    </w:tbl>
    <w:p>
      <w:pPr>
        <w:rPr>
          <w:color w:val="000000"/>
          <w:spacing w:val="-2"/>
          <w:sz w:val="32"/>
          <w:szCs w:val="32"/>
        </w:rPr>
      </w:pP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604" w:name="_Toc18315750"/>
      <w:bookmarkStart w:id="605" w:name="_Toc20726609"/>
      <w:r>
        <w:rPr>
          <w:rFonts w:hint="eastAsia" w:ascii="Times New Roman" w:eastAsia="方正小标宋_GBK"/>
          <w:b w:val="0"/>
          <w:sz w:val="36"/>
          <w:szCs w:val="36"/>
        </w:rPr>
        <w:t>省住房城乡建设厅关于印发《江苏省优质工程奖“扬子杯”评选办法》的通知</w:t>
      </w:r>
      <w:bookmarkEnd w:id="604"/>
      <w:bookmarkEnd w:id="605"/>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06" w:name="_Toc20726610"/>
      <w:bookmarkStart w:id="607" w:name="_Toc18315751"/>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2</w:t>
      </w:r>
      <w:r>
        <w:rPr>
          <w:rFonts w:hint="eastAsia" w:ascii="Times New Roman" w:hAnsi="Times New Roman" w:eastAsia="方正楷体_GBK"/>
          <w:b w:val="0"/>
          <w:sz w:val="24"/>
          <w:szCs w:val="24"/>
        </w:rPr>
        <w:t>号</w:t>
      </w:r>
      <w:bookmarkEnd w:id="606"/>
      <w:bookmarkEnd w:id="607"/>
    </w:p>
    <w:p>
      <w:pPr>
        <w:spacing w:line="460" w:lineRule="exact"/>
        <w:rPr>
          <w:rFonts w:eastAsia="方正仿宋_GBK"/>
          <w:color w:val="000000"/>
          <w:spacing w:val="-2"/>
          <w:sz w:val="24"/>
        </w:rPr>
      </w:pPr>
      <w:r>
        <w:rPr>
          <w:rFonts w:hint="eastAsia" w:eastAsia="方正仿宋_GBK"/>
          <w:color w:val="000000"/>
          <w:spacing w:val="-2"/>
          <w:sz w:val="24"/>
        </w:rPr>
        <w:t>各省辖市建设局（委）、市政公用局、园林局、城管局，省有关部门：</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江苏省优质工程奖为江苏省人民政府确定的行政奖励。为规范评审工作，现将《江苏省优质工程奖</w:t>
      </w:r>
      <w:r>
        <w:rPr>
          <w:rFonts w:eastAsia="方正仿宋_GBK"/>
          <w:color w:val="000000"/>
          <w:spacing w:val="-2"/>
          <w:sz w:val="24"/>
        </w:rPr>
        <w:t>“</w:t>
      </w:r>
      <w:r>
        <w:rPr>
          <w:rFonts w:hint="eastAsia" w:eastAsia="方正仿宋_GBK"/>
          <w:color w:val="000000"/>
          <w:spacing w:val="-2"/>
          <w:sz w:val="24"/>
        </w:rPr>
        <w:t>扬子杯</w:t>
      </w:r>
      <w:r>
        <w:rPr>
          <w:rFonts w:eastAsia="方正仿宋_GBK"/>
          <w:color w:val="000000"/>
          <w:spacing w:val="-2"/>
          <w:sz w:val="24"/>
        </w:rPr>
        <w:t>”</w:t>
      </w:r>
      <w:r>
        <w:rPr>
          <w:rFonts w:hint="eastAsia" w:eastAsia="方正仿宋_GBK"/>
          <w:color w:val="000000"/>
          <w:spacing w:val="-2"/>
          <w:sz w:val="24"/>
        </w:rPr>
        <w:t>评选办法》印发给你们，请遵照执行。</w:t>
      </w:r>
    </w:p>
    <w:p>
      <w:pPr>
        <w:spacing w:line="460" w:lineRule="exact"/>
        <w:ind w:firstLine="462" w:firstLineChars="196"/>
        <w:rPr>
          <w:rFonts w:eastAsia="方正仿宋_GBK"/>
          <w:color w:val="000000"/>
          <w:spacing w:val="-2"/>
          <w:sz w:val="24"/>
        </w:rPr>
      </w:pPr>
    </w:p>
    <w:p>
      <w:pPr>
        <w:autoSpaceDE w:val="0"/>
        <w:autoSpaceDN w:val="0"/>
        <w:snapToGrid w:val="0"/>
        <w:spacing w:line="460" w:lineRule="exact"/>
        <w:ind w:firstLine="624"/>
        <w:rPr>
          <w:rFonts w:eastAsia="方正仿宋_GBK"/>
          <w:color w:val="000000"/>
          <w:spacing w:val="-2"/>
          <w:sz w:val="24"/>
        </w:rPr>
      </w:pPr>
      <w:r>
        <w:rPr>
          <w:rFonts w:hint="eastAsia" w:eastAsia="方正仿宋_GBK"/>
          <w:color w:val="000000"/>
          <w:spacing w:val="-2"/>
          <w:sz w:val="24"/>
        </w:rPr>
        <w:t>附件：《江苏省优质工程奖</w:t>
      </w:r>
      <w:r>
        <w:rPr>
          <w:rFonts w:eastAsia="方正仿宋_GBK"/>
          <w:color w:val="000000"/>
          <w:spacing w:val="-2"/>
          <w:sz w:val="24"/>
        </w:rPr>
        <w:t>“</w:t>
      </w:r>
      <w:r>
        <w:rPr>
          <w:rFonts w:hint="eastAsia" w:eastAsia="方正仿宋_GBK"/>
          <w:color w:val="000000"/>
          <w:spacing w:val="-2"/>
          <w:sz w:val="24"/>
        </w:rPr>
        <w:t>扬子杯</w:t>
      </w:r>
      <w:r>
        <w:rPr>
          <w:rFonts w:eastAsia="方正仿宋_GBK"/>
          <w:color w:val="000000"/>
          <w:spacing w:val="-2"/>
          <w:sz w:val="24"/>
        </w:rPr>
        <w:t>”</w:t>
      </w:r>
      <w:r>
        <w:rPr>
          <w:rFonts w:hint="eastAsia" w:eastAsia="方正仿宋_GBK"/>
          <w:color w:val="000000"/>
          <w:spacing w:val="-2"/>
          <w:sz w:val="24"/>
        </w:rPr>
        <w:t>评选办法》</w:t>
      </w:r>
    </w:p>
    <w:p>
      <w:pPr>
        <w:autoSpaceDE w:val="0"/>
        <w:autoSpaceDN w:val="0"/>
        <w:snapToGrid w:val="0"/>
        <w:spacing w:line="460" w:lineRule="exact"/>
        <w:ind w:firstLine="624"/>
        <w:rPr>
          <w:rFonts w:eastAsia="方正仿宋_GBK"/>
          <w:snapToGrid w:val="0"/>
          <w:color w:val="000000"/>
          <w:spacing w:val="-2"/>
          <w:kern w:val="0"/>
          <w:sz w:val="24"/>
        </w:rPr>
      </w:pPr>
    </w:p>
    <w:p>
      <w:pPr>
        <w:tabs>
          <w:tab w:val="left" w:pos="1442"/>
        </w:tabs>
        <w:autoSpaceDE w:val="0"/>
        <w:autoSpaceDN w:val="0"/>
        <w:adjustRightInd w:val="0"/>
        <w:snapToGrid w:val="0"/>
        <w:spacing w:line="460" w:lineRule="exact"/>
        <w:ind w:left="3045" w:leftChars="1450" w:right="498" w:rightChars="237" w:firstLine="1387" w:firstLineChars="588"/>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autoSpaceDE w:val="0"/>
        <w:autoSpaceDN w:val="0"/>
        <w:adjustRightInd w:val="0"/>
        <w:snapToGrid w:val="0"/>
        <w:spacing w:line="460" w:lineRule="exact"/>
        <w:ind w:left="3045" w:leftChars="1450" w:right="958" w:rightChars="456"/>
        <w:jc w:val="right"/>
        <w:rPr>
          <w:rFonts w:eastAsia="方正仿宋_GBK"/>
          <w:color w:val="000000"/>
          <w:spacing w:val="-2"/>
          <w:sz w:val="24"/>
        </w:rPr>
      </w:pPr>
      <w:r>
        <w:rPr>
          <w:rFonts w:eastAsia="方正仿宋_GBK"/>
          <w:color w:val="000000"/>
          <w:spacing w:val="-2"/>
          <w:sz w:val="24"/>
        </w:rPr>
        <w:t xml:space="preserve">        2015</w:t>
      </w:r>
      <w:r>
        <w:rPr>
          <w:rFonts w:hint="eastAsia" w:eastAsia="方正仿宋_GBK"/>
          <w:color w:val="000000"/>
          <w:spacing w:val="-2"/>
          <w:sz w:val="24"/>
        </w:rPr>
        <w:t>年</w:t>
      </w:r>
      <w:r>
        <w:rPr>
          <w:rFonts w:eastAsia="方正仿宋_GBK"/>
          <w:color w:val="000000"/>
          <w:spacing w:val="-2"/>
          <w:sz w:val="24"/>
        </w:rPr>
        <w:t>8</w:t>
      </w:r>
      <w:r>
        <w:rPr>
          <w:rFonts w:hint="eastAsia" w:eastAsia="方正仿宋_GBK"/>
          <w:color w:val="000000"/>
          <w:spacing w:val="-2"/>
          <w:sz w:val="24"/>
        </w:rPr>
        <w:t>月</w:t>
      </w:r>
      <w:r>
        <w:rPr>
          <w:rFonts w:eastAsia="方正仿宋_GBK"/>
          <w:color w:val="000000"/>
          <w:spacing w:val="-2"/>
          <w:sz w:val="24"/>
        </w:rPr>
        <w:t>13</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江苏省优质工程奖“扬子杯”评选办法</w:t>
      </w:r>
    </w:p>
    <w:p>
      <w:pPr>
        <w:spacing w:line="460" w:lineRule="exact"/>
        <w:rPr>
          <w:rFonts w:hint="eastAsia" w:eastAsia="方正仿宋_GBK"/>
          <w:b/>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第一章  总 则</w:t>
      </w:r>
    </w:p>
    <w:p>
      <w:pPr>
        <w:spacing w:line="460" w:lineRule="exact"/>
        <w:ind w:firstLine="464" w:firstLineChars="196"/>
        <w:rPr>
          <w:rFonts w:hint="eastAsia" w:eastAsia="方正仿宋_GBK"/>
          <w:b/>
          <w:color w:val="000000"/>
          <w:spacing w:val="-2"/>
          <w:sz w:val="24"/>
        </w:rPr>
      </w:pP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第一条</w:t>
      </w:r>
      <w:r>
        <w:rPr>
          <w:rFonts w:eastAsia="方正仿宋_GBK"/>
          <w:b/>
          <w:color w:val="000000"/>
          <w:spacing w:val="-2"/>
          <w:sz w:val="24"/>
        </w:rPr>
        <w:t xml:space="preserve">  </w:t>
      </w:r>
      <w:r>
        <w:rPr>
          <w:rFonts w:hint="eastAsia" w:eastAsia="方正仿宋_GBK"/>
          <w:color w:val="000000"/>
          <w:spacing w:val="-2"/>
          <w:sz w:val="24"/>
        </w:rPr>
        <w:t>为推动建设工程质量水平提升，促进建设行业科技进步，规范江苏省优质工程奖</w:t>
      </w:r>
      <w:r>
        <w:rPr>
          <w:rFonts w:eastAsia="方正仿宋_GBK"/>
          <w:color w:val="000000"/>
          <w:spacing w:val="-2"/>
          <w:sz w:val="24"/>
        </w:rPr>
        <w:t>“</w:t>
      </w:r>
      <w:r>
        <w:rPr>
          <w:rFonts w:hint="eastAsia" w:eastAsia="方正仿宋_GBK"/>
          <w:color w:val="000000"/>
          <w:spacing w:val="-2"/>
          <w:sz w:val="24"/>
        </w:rPr>
        <w:t>扬子杯</w:t>
      </w:r>
      <w:r>
        <w:rPr>
          <w:rFonts w:eastAsia="方正仿宋_GBK"/>
          <w:color w:val="000000"/>
          <w:spacing w:val="-2"/>
          <w:sz w:val="24"/>
        </w:rPr>
        <w:t>”</w:t>
      </w:r>
      <w:r>
        <w:rPr>
          <w:rFonts w:hint="eastAsia" w:eastAsia="方正仿宋_GBK"/>
          <w:color w:val="000000"/>
          <w:spacing w:val="-2"/>
          <w:sz w:val="24"/>
        </w:rPr>
        <w:t>评选活动，制定本办法。</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江苏省优质工程奖</w:t>
      </w:r>
      <w:r>
        <w:rPr>
          <w:rFonts w:eastAsia="方正仿宋_GBK"/>
          <w:color w:val="000000"/>
          <w:spacing w:val="-2"/>
          <w:sz w:val="24"/>
        </w:rPr>
        <w:t>“</w:t>
      </w:r>
      <w:r>
        <w:rPr>
          <w:rFonts w:hint="eastAsia" w:eastAsia="方正仿宋_GBK"/>
          <w:color w:val="000000"/>
          <w:spacing w:val="-2"/>
          <w:sz w:val="24"/>
        </w:rPr>
        <w:t>扬子杯</w:t>
      </w:r>
      <w:r>
        <w:rPr>
          <w:rFonts w:eastAsia="方正仿宋_GBK"/>
          <w:color w:val="000000"/>
          <w:spacing w:val="-2"/>
          <w:sz w:val="24"/>
        </w:rPr>
        <w:t>”</w:t>
      </w:r>
      <w:r>
        <w:rPr>
          <w:rFonts w:hint="eastAsia" w:eastAsia="方正仿宋_GBK"/>
          <w:color w:val="000000"/>
          <w:spacing w:val="-2"/>
          <w:sz w:val="24"/>
        </w:rPr>
        <w:t>（以下简称扬子杯）是江苏省建设工程质量最高奖。</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b/>
          <w:color w:val="000000"/>
          <w:spacing w:val="-2"/>
          <w:sz w:val="24"/>
        </w:rPr>
        <w:t xml:space="preserve">  </w:t>
      </w:r>
      <w:r>
        <w:rPr>
          <w:rFonts w:hint="eastAsia" w:eastAsia="方正仿宋_GBK"/>
          <w:color w:val="000000"/>
          <w:spacing w:val="-2"/>
          <w:sz w:val="24"/>
        </w:rPr>
        <w:t>扬子杯的评选范围为本省行政区域内完成竣工验收并交付使用一年以上的房屋建筑、市政、园林、城市轨道交通、交通、水利、电力、通信等建设工程项目（以下简称</w:t>
      </w:r>
      <w:r>
        <w:rPr>
          <w:rFonts w:eastAsia="方正仿宋_GBK"/>
          <w:color w:val="000000"/>
          <w:spacing w:val="-2"/>
          <w:sz w:val="24"/>
        </w:rPr>
        <w:t>“</w:t>
      </w:r>
      <w:r>
        <w:rPr>
          <w:rFonts w:hint="eastAsia" w:eastAsia="方正仿宋_GBK"/>
          <w:color w:val="000000"/>
          <w:spacing w:val="-2"/>
          <w:sz w:val="24"/>
        </w:rPr>
        <w:t>建设工程项目</w:t>
      </w:r>
      <w:r>
        <w:rPr>
          <w:rFonts w:eastAsia="方正仿宋_GBK"/>
          <w:color w:val="000000"/>
          <w:spacing w:val="-2"/>
          <w:sz w:val="24"/>
        </w:rPr>
        <w:t>”</w:t>
      </w:r>
      <w:r>
        <w:rPr>
          <w:rFonts w:hint="eastAsia" w:eastAsia="方正仿宋_GBK"/>
          <w:color w:val="000000"/>
          <w:spacing w:val="-2"/>
          <w:sz w:val="24"/>
        </w:rPr>
        <w:t>）以及装饰、安装、钢结构等专业工程项目（以下简称</w:t>
      </w:r>
      <w:r>
        <w:rPr>
          <w:rFonts w:eastAsia="方正仿宋_GBK"/>
          <w:color w:val="000000"/>
          <w:spacing w:val="-2"/>
          <w:sz w:val="24"/>
        </w:rPr>
        <w:t>“</w:t>
      </w:r>
      <w:r>
        <w:rPr>
          <w:rFonts w:hint="eastAsia" w:eastAsia="方正仿宋_GBK"/>
          <w:color w:val="000000"/>
          <w:spacing w:val="-2"/>
          <w:sz w:val="24"/>
        </w:rPr>
        <w:t>专业工程项目</w:t>
      </w:r>
      <w:r>
        <w:rPr>
          <w:rFonts w:eastAsia="方正仿宋_GBK"/>
          <w:color w:val="000000"/>
          <w:spacing w:val="-2"/>
          <w:sz w:val="24"/>
        </w:rPr>
        <w:t>”</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已获得扬子杯的建设工程项目，其所属专业工程项目不再另行奖励。</w:t>
      </w:r>
    </w:p>
    <w:p>
      <w:pPr>
        <w:shd w:val="clear" w:color="auto" w:fill="FFFFFF"/>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扬子杯评选遵循公开、公正和质量第一、优中选优的原则，优先授予绿色建筑以及实施绿色施工、建筑产业现代化、有重要技术创新的项目。</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扬子杯每年评审一次，实行获奖项目总量控制。当年建设工程项目获奖总量不得超过上一年度竣工验收建设工程项目数量的百分之一；专业工程项目获奖总量不得超过建设工程项目获奖总量的百分之五十。</w:t>
      </w:r>
    </w:p>
    <w:p>
      <w:pPr>
        <w:shd w:val="clear" w:color="auto" w:fill="FFFFFF"/>
        <w:spacing w:line="460" w:lineRule="exact"/>
        <w:ind w:firstLine="472" w:firstLineChars="200"/>
        <w:jc w:val="left"/>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b/>
          <w:color w:val="000000"/>
          <w:spacing w:val="-2"/>
          <w:sz w:val="24"/>
        </w:rPr>
        <w:t xml:space="preserve">  </w:t>
      </w:r>
      <w:r>
        <w:rPr>
          <w:rFonts w:hint="eastAsia" w:eastAsia="方正仿宋_GBK"/>
          <w:color w:val="000000"/>
          <w:spacing w:val="-2"/>
          <w:sz w:val="24"/>
        </w:rPr>
        <w:t>扬子杯奖励对象为获奖项目，以及获奖项目建设单位责任人、施工单位项目经理、监理单位总监理工程师等主要参与人员。</w:t>
      </w:r>
    </w:p>
    <w:p>
      <w:pPr>
        <w:spacing w:line="460" w:lineRule="exact"/>
        <w:ind w:firstLine="645"/>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b/>
          <w:color w:val="000000"/>
          <w:spacing w:val="-2"/>
          <w:sz w:val="24"/>
        </w:rPr>
        <w:t xml:space="preserve">  </w:t>
      </w:r>
      <w:r>
        <w:rPr>
          <w:rFonts w:hint="eastAsia" w:eastAsia="方正仿宋_GBK"/>
          <w:color w:val="000000"/>
          <w:spacing w:val="-2"/>
          <w:sz w:val="24"/>
        </w:rPr>
        <w:t>扬子杯评选不收取任何费用。</w:t>
      </w:r>
    </w:p>
    <w:p>
      <w:pPr>
        <w:shd w:val="clear" w:color="auto" w:fill="FFFFFF"/>
        <w:spacing w:line="460" w:lineRule="exact"/>
        <w:ind w:firstLine="472" w:firstLineChars="200"/>
        <w:jc w:val="left"/>
        <w:rPr>
          <w:rFonts w:eastAsia="方正仿宋_GBK"/>
          <w:color w:val="000000"/>
          <w:spacing w:val="-2"/>
          <w:kern w:val="0"/>
          <w:sz w:val="24"/>
        </w:rPr>
      </w:pPr>
      <w:r>
        <w:rPr>
          <w:rFonts w:hint="eastAsia" w:eastAsia="方正仿宋_GBK"/>
          <w:color w:val="000000"/>
          <w:spacing w:val="-2"/>
          <w:kern w:val="0"/>
          <w:sz w:val="24"/>
        </w:rPr>
        <w:t>除本办法规定的现场查验外，任何单位和个人不得以扬子杯评选的名义对项目申报企业或项目现场进行检查。</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b/>
          <w:color w:val="000000"/>
          <w:spacing w:val="-2"/>
          <w:sz w:val="24"/>
        </w:rPr>
        <w:t xml:space="preserve">  </w:t>
      </w:r>
      <w:r>
        <w:rPr>
          <w:rFonts w:hint="eastAsia" w:eastAsia="方正仿宋_GBK"/>
          <w:color w:val="000000"/>
          <w:spacing w:val="-2"/>
          <w:sz w:val="24"/>
        </w:rPr>
        <w:t>扬子杯评选工作接受党委、政府、人大、政协以及社会各界的监督。</w:t>
      </w:r>
    </w:p>
    <w:p>
      <w:pPr>
        <w:spacing w:line="460" w:lineRule="exact"/>
        <w:ind w:firstLine="645"/>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第二章  评选组织管理</w:t>
      </w:r>
    </w:p>
    <w:p>
      <w:pPr>
        <w:spacing w:line="460" w:lineRule="exact"/>
        <w:ind w:firstLine="462" w:firstLineChars="196"/>
        <w:rPr>
          <w:rFonts w:hint="eastAsia" w:eastAsia="方正仿宋_GBK"/>
          <w:color w:val="000000"/>
          <w:spacing w:val="-2"/>
          <w:sz w:val="24"/>
        </w:rPr>
      </w:pP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b/>
          <w:color w:val="000000"/>
          <w:spacing w:val="-2"/>
          <w:sz w:val="24"/>
        </w:rPr>
        <w:t xml:space="preserve">  </w:t>
      </w:r>
      <w:r>
        <w:rPr>
          <w:rFonts w:hint="eastAsia" w:eastAsia="方正仿宋_GBK"/>
          <w:color w:val="000000"/>
          <w:spacing w:val="-2"/>
          <w:sz w:val="24"/>
        </w:rPr>
        <w:t>省住房城乡建设厅负责扬子杯的评选管理工作。具体工作由省住房城乡建设厅扬子杯评选委员会负责。评选委员会下设办公室，负责扬子杯评选组织工作。</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b/>
          <w:color w:val="000000"/>
          <w:spacing w:val="-2"/>
          <w:sz w:val="24"/>
        </w:rPr>
        <w:t xml:space="preserve">  </w:t>
      </w:r>
      <w:r>
        <w:rPr>
          <w:rFonts w:hint="eastAsia" w:eastAsia="方正仿宋_GBK"/>
          <w:color w:val="000000"/>
          <w:spacing w:val="-2"/>
          <w:sz w:val="24"/>
        </w:rPr>
        <w:t>扬子杯评选实行专业技术专家审查制度，参与专业技术审查活动的专家从厅扬子杯专家库中随机抽取。</w:t>
      </w: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第三章  申报条件</w:t>
      </w:r>
    </w:p>
    <w:p>
      <w:pPr>
        <w:spacing w:line="460" w:lineRule="exact"/>
        <w:ind w:firstLine="462" w:firstLineChars="196"/>
        <w:rPr>
          <w:rFonts w:hint="eastAsia" w:eastAsia="方正仿宋_GBK"/>
          <w:color w:val="000000"/>
          <w:spacing w:val="-2"/>
          <w:sz w:val="24"/>
        </w:rPr>
      </w:pP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申报扬子杯的项目应当符合以下条件：</w:t>
      </w:r>
    </w:p>
    <w:p>
      <w:pPr>
        <w:spacing w:line="460" w:lineRule="exact"/>
        <w:ind w:firstLine="472"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．符合法律法规要求，符合工程建设程序；</w:t>
      </w:r>
    </w:p>
    <w:p>
      <w:pPr>
        <w:spacing w:line="460" w:lineRule="exact"/>
        <w:ind w:firstLine="472" w:firstLineChars="200"/>
        <w:rPr>
          <w:rFonts w:eastAsia="方正仿宋_GBK"/>
          <w:color w:val="000000"/>
          <w:spacing w:val="-2"/>
          <w:kern w:val="0"/>
          <w:sz w:val="24"/>
        </w:rPr>
      </w:pPr>
      <w:r>
        <w:rPr>
          <w:rFonts w:eastAsia="方正仿宋_GBK"/>
          <w:color w:val="000000"/>
          <w:spacing w:val="-2"/>
          <w:sz w:val="24"/>
        </w:rPr>
        <w:t>2</w:t>
      </w:r>
      <w:r>
        <w:rPr>
          <w:rFonts w:hint="eastAsia" w:eastAsia="方正仿宋_GBK"/>
          <w:color w:val="000000"/>
          <w:spacing w:val="-2"/>
          <w:sz w:val="24"/>
        </w:rPr>
        <w:t>．工程设计符合国家强制性标准和行业技术标准、规范；凡</w:t>
      </w:r>
      <w:r>
        <w:rPr>
          <w:rFonts w:hint="eastAsia" w:eastAsia="方正仿宋_GBK"/>
          <w:color w:val="000000"/>
          <w:spacing w:val="-2"/>
          <w:kern w:val="0"/>
          <w:sz w:val="24"/>
        </w:rPr>
        <w:t>列入江苏省优秀勘察设计奖评选范围的房屋建筑、市政、园林等建设工程项目</w:t>
      </w:r>
      <w:r>
        <w:rPr>
          <w:rFonts w:hint="eastAsia" w:eastAsia="方正仿宋_GBK"/>
          <w:color w:val="000000"/>
          <w:spacing w:val="-2"/>
          <w:sz w:val="24"/>
        </w:rPr>
        <w:t>应获得省城乡建设系统优秀勘察设计以上奖励；</w:t>
      </w:r>
      <w:r>
        <w:rPr>
          <w:rFonts w:hint="eastAsia" w:eastAsia="方正仿宋_GBK"/>
          <w:color w:val="000000"/>
          <w:spacing w:val="-2"/>
          <w:kern w:val="0"/>
          <w:sz w:val="24"/>
        </w:rPr>
        <w:t>交通、水利等建设工程项目</w:t>
      </w:r>
      <w:r>
        <w:rPr>
          <w:rFonts w:hint="eastAsia" w:eastAsia="方正仿宋_GBK"/>
          <w:color w:val="000000"/>
          <w:spacing w:val="-2"/>
          <w:sz w:val="24"/>
        </w:rPr>
        <w:t>应获得省（部）级及以上优秀勘察设计奖。</w:t>
      </w:r>
    </w:p>
    <w:p>
      <w:pPr>
        <w:spacing w:line="460" w:lineRule="exact"/>
        <w:ind w:firstLine="472"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．工程施工工艺和技术措施先进合理，质量优良；交通、水利等行业项目应获得省（部）级行业优质工程奖；</w:t>
      </w:r>
    </w:p>
    <w:p>
      <w:pPr>
        <w:spacing w:line="460" w:lineRule="exact"/>
        <w:ind w:firstLine="472"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．工程技术档案资料（含隐蔽工程部位的施工过程影像资料）完整；</w:t>
      </w:r>
    </w:p>
    <w:p>
      <w:pPr>
        <w:spacing w:line="460" w:lineRule="exact"/>
        <w:ind w:firstLine="472"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．申报的工程在施工中未发生质量安全事故；</w:t>
      </w:r>
    </w:p>
    <w:p>
      <w:pPr>
        <w:spacing w:line="460" w:lineRule="exact"/>
        <w:ind w:firstLine="472"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．申报企业没有因受到行政主管部门行政处理而被限制市场准入的情形。</w:t>
      </w: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第四章  评选程序</w:t>
      </w:r>
    </w:p>
    <w:p>
      <w:pPr>
        <w:spacing w:line="460" w:lineRule="exact"/>
        <w:ind w:firstLine="462" w:firstLineChars="196"/>
        <w:rPr>
          <w:rFonts w:hint="eastAsia" w:eastAsia="方正仿宋_GBK"/>
          <w:color w:val="000000"/>
          <w:spacing w:val="-2"/>
          <w:sz w:val="24"/>
        </w:rPr>
      </w:pP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b/>
          <w:color w:val="000000"/>
          <w:spacing w:val="-2"/>
          <w:sz w:val="24"/>
        </w:rPr>
        <w:t xml:space="preserve">  </w:t>
      </w:r>
      <w:r>
        <w:rPr>
          <w:rFonts w:hint="eastAsia" w:eastAsia="方正仿宋_GBK"/>
          <w:color w:val="000000"/>
          <w:spacing w:val="-2"/>
          <w:sz w:val="24"/>
        </w:rPr>
        <w:t>扬子杯年度组织申报文件由省住房城乡建设厅统一下发。</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第十三条</w:t>
      </w:r>
      <w:r>
        <w:rPr>
          <w:rFonts w:eastAsia="方正仿宋_GBK"/>
          <w:b/>
          <w:color w:val="000000"/>
          <w:spacing w:val="-2"/>
          <w:sz w:val="24"/>
        </w:rPr>
        <w:t xml:space="preserve">  </w:t>
      </w:r>
      <w:r>
        <w:rPr>
          <w:rFonts w:hint="eastAsia" w:eastAsia="方正仿宋_GBK"/>
          <w:color w:val="000000"/>
          <w:spacing w:val="-2"/>
          <w:sz w:val="24"/>
        </w:rPr>
        <w:t>建设、施工单位自愿申报扬子杯的，应当在规定期限内向项目所在地省辖市行政主管部门提出申请。省辖市行政主管部门对申请项目进行初审，对照扬子杯评选要求，结合日常监管工作情况，择优推荐评选项目，加盖公章后报省扬子杯评选委员会办公室。</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b/>
          <w:color w:val="000000"/>
          <w:spacing w:val="-2"/>
          <w:sz w:val="24"/>
        </w:rPr>
        <w:t xml:space="preserve">  </w:t>
      </w:r>
      <w:r>
        <w:rPr>
          <w:rFonts w:hint="eastAsia" w:eastAsia="方正仿宋_GBK"/>
          <w:color w:val="000000"/>
          <w:spacing w:val="-2"/>
          <w:sz w:val="24"/>
        </w:rPr>
        <w:t>省扬子杯评选委员会委托相关行业协会（学会）组织专家进行项目资料复核和现场查验。专家应从厅扬子杯专家库中随机抽取。</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相关行业协会（学会）根据资料复核和现场查验情况，按照优中选优的原则，提交符合评选办法的项目推荐名单。</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第十五条</w:t>
      </w:r>
      <w:r>
        <w:rPr>
          <w:rFonts w:eastAsia="方正仿宋_GBK"/>
          <w:b/>
          <w:color w:val="000000"/>
          <w:spacing w:val="-2"/>
          <w:sz w:val="24"/>
        </w:rPr>
        <w:t xml:space="preserve">  </w:t>
      </w:r>
      <w:r>
        <w:rPr>
          <w:rFonts w:hint="eastAsia" w:eastAsia="方正仿宋_GBK"/>
          <w:color w:val="000000"/>
          <w:spacing w:val="-2"/>
          <w:sz w:val="24"/>
        </w:rPr>
        <w:t>省扬子杯评选委员会办公室按照本办法规定，组织专家对行业协会（学会）的推荐项目进行技术审查，专家组负责专业技术审查和把关，研究确定扬子杯获奖项目专家建议名单。</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第十六条</w:t>
      </w:r>
      <w:r>
        <w:rPr>
          <w:rFonts w:eastAsia="方正仿宋_GBK"/>
          <w:b/>
          <w:color w:val="000000"/>
          <w:spacing w:val="-2"/>
          <w:sz w:val="24"/>
        </w:rPr>
        <w:t xml:space="preserve">  </w:t>
      </w:r>
      <w:r>
        <w:rPr>
          <w:rFonts w:hint="eastAsia" w:eastAsia="方正仿宋_GBK"/>
          <w:color w:val="000000"/>
          <w:spacing w:val="-2"/>
          <w:sz w:val="24"/>
        </w:rPr>
        <w:t>扬子杯获奖项目专家建议名单在省住房和城乡建设厅门户网站向社会公示十个工作日。</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公示期间有投诉的，省扬子杯评选委员会办公室应组织专家进行核查，并将核查情况报评选委员会。</w:t>
      </w:r>
    </w:p>
    <w:p>
      <w:pPr>
        <w:pStyle w:val="10"/>
        <w:widowControl w:val="0"/>
        <w:spacing w:before="0" w:beforeAutospacing="0" w:after="0" w:afterAutospacing="0" w:line="460" w:lineRule="exact"/>
        <w:ind w:firstLine="472" w:firstLineChars="200"/>
        <w:rPr>
          <w:rFonts w:ascii="Times New Roman" w:hAnsi="Times New Roman" w:eastAsia="方正仿宋_GBK"/>
          <w:color w:val="000000"/>
          <w:spacing w:val="-2"/>
        </w:rPr>
      </w:pPr>
      <w:r>
        <w:rPr>
          <w:rFonts w:hint="eastAsia" w:ascii="Times New Roman" w:hAnsi="Times New Roman" w:eastAsia="方正黑体_GBK"/>
          <w:color w:val="000000"/>
          <w:spacing w:val="-2"/>
          <w:kern w:val="2"/>
        </w:rPr>
        <w:t>第十七条</w:t>
      </w:r>
      <w:r>
        <w:rPr>
          <w:rFonts w:ascii="Times New Roman" w:hAnsi="Times New Roman" w:eastAsia="方正仿宋_GBK"/>
          <w:b/>
          <w:color w:val="000000"/>
          <w:spacing w:val="-2"/>
        </w:rPr>
        <w:t xml:space="preserve">  </w:t>
      </w:r>
      <w:r>
        <w:rPr>
          <w:rFonts w:hint="eastAsia" w:ascii="Times New Roman" w:hAnsi="Times New Roman" w:eastAsia="方正仿宋_GBK"/>
          <w:color w:val="000000"/>
          <w:spacing w:val="-2"/>
        </w:rPr>
        <w:t>省扬子杯评选委员会在专家技术审查意见和社会公示意见基础上，结合日常监管和企业信用情况，以及省辖市行政主管部门意见、行业协会（学会）推荐意见进行综合审定，确定最终获奖项目名单。</w:t>
      </w:r>
    </w:p>
    <w:p>
      <w:pPr>
        <w:tabs>
          <w:tab w:val="left" w:pos="993"/>
        </w:tabs>
        <w:spacing w:line="460" w:lineRule="exact"/>
        <w:ind w:firstLine="63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第五章  奖励及惩罚</w:t>
      </w:r>
    </w:p>
    <w:p>
      <w:pPr>
        <w:spacing w:line="460" w:lineRule="exact"/>
        <w:ind w:firstLine="462" w:firstLineChars="196"/>
        <w:rPr>
          <w:rFonts w:hint="eastAsia" w:eastAsia="方正仿宋_GBK"/>
          <w:color w:val="000000"/>
          <w:spacing w:val="-2"/>
          <w:sz w:val="24"/>
        </w:rPr>
      </w:pP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b/>
          <w:color w:val="000000"/>
          <w:spacing w:val="-2"/>
          <w:sz w:val="24"/>
        </w:rPr>
        <w:t xml:space="preserve">  </w:t>
      </w:r>
      <w:r>
        <w:rPr>
          <w:rFonts w:hint="eastAsia" w:eastAsia="方正仿宋_GBK"/>
          <w:color w:val="000000"/>
          <w:spacing w:val="-2"/>
          <w:sz w:val="24"/>
        </w:rPr>
        <w:t>省住房城乡建设厅颁发表彰文件，公布扬子杯获奖名单。</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第十九条</w:t>
      </w:r>
      <w:r>
        <w:rPr>
          <w:rFonts w:eastAsia="方正仿宋_GBK"/>
          <w:color w:val="000000"/>
          <w:spacing w:val="-2"/>
          <w:sz w:val="24"/>
        </w:rPr>
        <w:t xml:space="preserve">  </w:t>
      </w:r>
      <w:r>
        <w:rPr>
          <w:rFonts w:hint="eastAsia" w:eastAsia="方正仿宋_GBK"/>
          <w:color w:val="000000"/>
          <w:spacing w:val="-2"/>
          <w:sz w:val="24"/>
        </w:rPr>
        <w:t>在本省行政区域内申报国家级优质工程奖的项目，应首先获得扬子杯。</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第二十条</w:t>
      </w:r>
      <w:r>
        <w:rPr>
          <w:rFonts w:eastAsia="方正仿宋_GBK"/>
          <w:b/>
          <w:color w:val="000000"/>
          <w:spacing w:val="-2"/>
          <w:sz w:val="24"/>
        </w:rPr>
        <w:t xml:space="preserve">  </w:t>
      </w:r>
      <w:r>
        <w:rPr>
          <w:rFonts w:hint="eastAsia" w:eastAsia="方正仿宋_GBK"/>
          <w:color w:val="000000"/>
          <w:spacing w:val="-2"/>
          <w:sz w:val="24"/>
        </w:rPr>
        <w:t>建设工程项目、专业工程项目、建设单位、施工单位等主要参与人员在申报、评选过程中弄虚</w:t>
      </w:r>
      <w:r>
        <w:rPr>
          <w:rFonts w:hint="eastAsia" w:eastAsia="方正仿宋_GBK"/>
          <w:color w:val="000000"/>
          <w:spacing w:val="-2"/>
          <w:kern w:val="0"/>
          <w:sz w:val="24"/>
        </w:rPr>
        <w:t>作假的，经查实，</w:t>
      </w:r>
      <w:r>
        <w:rPr>
          <w:rFonts w:hint="eastAsia" w:eastAsia="方正仿宋_GBK"/>
          <w:color w:val="000000"/>
          <w:spacing w:val="-2"/>
          <w:sz w:val="24"/>
        </w:rPr>
        <w:t>取消获奖，并计入信用档案。</w:t>
      </w: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第二十一条</w:t>
      </w:r>
      <w:r>
        <w:rPr>
          <w:rFonts w:eastAsia="方正仿宋_GBK"/>
          <w:color w:val="000000"/>
          <w:spacing w:val="-2"/>
          <w:sz w:val="24"/>
        </w:rPr>
        <w:t xml:space="preserve">  </w:t>
      </w:r>
      <w:r>
        <w:rPr>
          <w:rFonts w:hint="eastAsia" w:eastAsia="方正仿宋_GBK"/>
          <w:color w:val="000000"/>
          <w:spacing w:val="-2"/>
          <w:sz w:val="24"/>
        </w:rPr>
        <w:t>参与扬子杯评选工作的评选委员会及其办公室成员、省辖市行政主管部门、行业协会（学会）的工作人员以及参与专业技术审查的专家，应当严格遵守法律法规和廉洁自律的规定。驻厅纪检监察室对扬子杯评选过程实行全程监督。</w:t>
      </w:r>
    </w:p>
    <w:p>
      <w:pPr>
        <w:spacing w:line="460" w:lineRule="exact"/>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第六章  附   则</w:t>
      </w:r>
    </w:p>
    <w:p>
      <w:pPr>
        <w:spacing w:line="460" w:lineRule="exact"/>
        <w:ind w:firstLine="462" w:firstLineChars="196"/>
        <w:rPr>
          <w:rFonts w:hint="eastAsia" w:eastAsia="方正仿宋_GBK"/>
          <w:color w:val="000000"/>
          <w:spacing w:val="-2"/>
          <w:sz w:val="24"/>
        </w:rPr>
      </w:pPr>
    </w:p>
    <w:p>
      <w:pPr>
        <w:spacing w:line="460" w:lineRule="exact"/>
        <w:ind w:firstLine="462" w:firstLineChars="196"/>
        <w:rPr>
          <w:rFonts w:eastAsia="方正仿宋_GBK"/>
          <w:color w:val="000000"/>
          <w:spacing w:val="-2"/>
          <w:sz w:val="24"/>
        </w:rPr>
      </w:pPr>
      <w:r>
        <w:rPr>
          <w:rFonts w:hint="eastAsia" w:ascii="Times New Roman" w:eastAsia="方正黑体_GBK"/>
          <w:color w:val="000000"/>
          <w:spacing w:val="-2"/>
          <w:sz w:val="24"/>
        </w:rPr>
        <w:t>第二十二条</w:t>
      </w:r>
      <w:r>
        <w:rPr>
          <w:rFonts w:eastAsia="方正仿宋_GBK"/>
          <w:b/>
          <w:color w:val="000000"/>
          <w:spacing w:val="-2"/>
          <w:sz w:val="24"/>
        </w:rPr>
        <w:t xml:space="preserve">  </w:t>
      </w:r>
      <w:r>
        <w:rPr>
          <w:rFonts w:hint="eastAsia" w:eastAsia="方正仿宋_GBK"/>
          <w:color w:val="000000"/>
          <w:spacing w:val="-2"/>
          <w:sz w:val="24"/>
        </w:rPr>
        <w:t>本办法自发布之日起施行。省住房城乡建设厅以及省建筑工程管理局在本办法颁布之日前颁发的与江苏省优质工程奖评选相关的文件同时废止。</w:t>
      </w:r>
    </w:p>
    <w:p>
      <w:pPr>
        <w:spacing w:line="460" w:lineRule="exact"/>
        <w:ind w:firstLine="462" w:firstLineChars="196"/>
        <w:rPr>
          <w:rFonts w:eastAsia="方正仿宋_GBK"/>
          <w:color w:val="000000"/>
          <w:spacing w:val="-2"/>
          <w:kern w:val="0"/>
          <w:sz w:val="24"/>
        </w:rPr>
      </w:pPr>
    </w:p>
    <w:p>
      <w:pPr>
        <w:spacing w:line="460" w:lineRule="exact"/>
        <w:ind w:firstLine="472" w:firstLineChars="200"/>
        <w:rPr>
          <w:rFonts w:eastAsia="方正仿宋_GBK"/>
          <w:color w:val="000000"/>
          <w:spacing w:val="-2"/>
          <w:sz w:val="24"/>
        </w:rPr>
      </w:pPr>
    </w:p>
    <w:p>
      <w:pPr>
        <w:pStyle w:val="2"/>
        <w:spacing w:before="240" w:beforeLines="100" w:after="240" w:afterLines="100" w:line="240" w:lineRule="auto"/>
        <w:jc w:val="center"/>
        <w:rPr>
          <w:rFonts w:eastAsia="方正仿宋_GBK"/>
          <w:color w:val="000000"/>
          <w:spacing w:val="-2"/>
          <w:sz w:val="24"/>
        </w:rPr>
      </w:pPr>
    </w:p>
    <w:p/>
    <w:p/>
    <w:p/>
    <w:p/>
    <w:p/>
    <w:p/>
    <w:p/>
    <w:p/>
    <w:p/>
    <w:p/>
    <w:p/>
    <w:p/>
    <w:p/>
    <w:p/>
    <w:p/>
    <w:p/>
    <w:p/>
    <w:p/>
    <w:p/>
    <w:p/>
    <w:p/>
    <w:p/>
    <w:p/>
    <w:p/>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bookmarkStart w:id="608" w:name="_Toc20726611"/>
      <w:bookmarkStart w:id="609" w:name="_Toc18315752"/>
      <w:r>
        <w:rPr>
          <w:rFonts w:hint="eastAsia" w:ascii="Times New Roman" w:eastAsia="方正小标宋_GBK"/>
          <w:b w:val="0"/>
          <w:sz w:val="36"/>
          <w:szCs w:val="36"/>
        </w:rPr>
        <w:t>关于加强建筑施工企业主要负责人、项目负责人和专职安全生产管理人员安全生产考核合格证书管理工作   的通知</w:t>
      </w:r>
      <w:bookmarkEnd w:id="608"/>
      <w:bookmarkEnd w:id="609"/>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10" w:name="_Toc20726612"/>
      <w:bookmarkStart w:id="611" w:name="_Toc18315753"/>
      <w:r>
        <w:rPr>
          <w:rFonts w:hint="eastAsia" w:ascii="Times New Roman" w:hAnsi="Times New Roman" w:eastAsia="方正楷体_GBK"/>
          <w:b w:val="0"/>
          <w:sz w:val="24"/>
          <w:szCs w:val="24"/>
        </w:rPr>
        <w:t>苏建质安〔</w:t>
      </w:r>
      <w:r>
        <w:rPr>
          <w:rFonts w:ascii="Times New Roman" w:hAnsi="Times New Roman" w:eastAsia="方正楷体_GBK"/>
          <w:b w:val="0"/>
          <w:sz w:val="24"/>
          <w:szCs w:val="24"/>
        </w:rPr>
        <w:t>2016</w:t>
      </w:r>
      <w:r>
        <w:rPr>
          <w:rFonts w:hint="eastAsia" w:ascii="Times New Roman" w:hAnsi="Times New Roman" w:eastAsia="方正楷体_GBK"/>
          <w:b w:val="0"/>
          <w:sz w:val="24"/>
          <w:szCs w:val="24"/>
        </w:rPr>
        <w:t>〕</w:t>
      </w:r>
      <w:r>
        <w:rPr>
          <w:rFonts w:ascii="Times New Roman" w:hAnsi="Times New Roman" w:eastAsia="方正楷体_GBK"/>
          <w:b w:val="0"/>
          <w:sz w:val="24"/>
          <w:szCs w:val="24"/>
        </w:rPr>
        <w:t>389</w:t>
      </w:r>
      <w:r>
        <w:rPr>
          <w:rFonts w:hint="eastAsia" w:ascii="Times New Roman" w:hAnsi="Times New Roman" w:eastAsia="方正楷体_GBK"/>
          <w:b w:val="0"/>
          <w:sz w:val="24"/>
          <w:szCs w:val="24"/>
        </w:rPr>
        <w:t>号</w:t>
      </w:r>
      <w:bookmarkEnd w:id="610"/>
      <w:bookmarkEnd w:id="611"/>
    </w:p>
    <w:p>
      <w:pPr>
        <w:spacing w:line="460" w:lineRule="exact"/>
        <w:jc w:val="left"/>
        <w:rPr>
          <w:rFonts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各设区市建设局（委），泰州市建工局，苏州工业园区规划建设局、张家港保税区规划建设局，昆山市、泰兴市、沭阳县建设局：</w:t>
      </w:r>
    </w:p>
    <w:p>
      <w:pPr>
        <w:spacing w:line="460" w:lineRule="exact"/>
        <w:ind w:firstLine="470" w:firstLineChars="196"/>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为加强建筑施工企业主要负责人、项目负责人和专职安全生产管理人员（以下简称“安管人员”）证书管理工作，根据《</w:t>
      </w:r>
      <w:r>
        <w:rPr>
          <w:rFonts w:hint="eastAsia" w:ascii="Times New Roman" w:hAnsi="Times New Roman" w:eastAsia="方正仿宋_GBK" w:cs="方正仿宋_GBK"/>
          <w:color w:val="000000"/>
          <w:kern w:val="0"/>
          <w:sz w:val="24"/>
        </w:rPr>
        <w:t>中华人民共和国</w:t>
      </w:r>
      <w:r>
        <w:rPr>
          <w:rFonts w:hint="eastAsia" w:ascii="Times New Roman" w:hAnsi="Times New Roman" w:eastAsia="方正仿宋_GBK" w:cs="方正仿宋_GBK"/>
          <w:color w:val="000000"/>
          <w:sz w:val="24"/>
        </w:rPr>
        <w:t>安全生产法》、《建筑施工企业主要负责人、项目负责人和专职安全生产管理人员安全生产管理规定》（住房城乡建设部令第17号）、《住房城乡建设部关于印发建筑施工企业主要负责人、项目负责人和专职安全生产管理人员安全生产管理规定实施意见的通知》（建质〔2015〕206号，以下简称《通知》）等文件规定，结合我省实际，对“安管人员”安全生产考核合格证书管理工作提出如下意见：</w:t>
      </w:r>
    </w:p>
    <w:p>
      <w:pPr>
        <w:spacing w:line="460" w:lineRule="exact"/>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 xml:space="preserve">    一、发证和延续</w:t>
      </w:r>
    </w:p>
    <w:p>
      <w:pPr>
        <w:widowControl/>
        <w:spacing w:line="460" w:lineRule="exact"/>
        <w:jc w:val="left"/>
        <w:rPr>
          <w:rFonts w:hint="eastAsia" w:ascii="Times New Roman" w:hAnsi="Times New Roman" w:eastAsia="方正仿宋_GBK" w:cs="方正仿宋_GBK"/>
          <w:color w:val="000000"/>
          <w:kern w:val="0"/>
          <w:sz w:val="24"/>
        </w:rPr>
      </w:pPr>
      <w:r>
        <w:rPr>
          <w:rFonts w:hint="eastAsia" w:ascii="Times New Roman" w:hAnsi="Times New Roman" w:eastAsia="方正仿宋_GBK" w:cs="方正仿宋_GBK"/>
          <w:color w:val="000000"/>
          <w:kern w:val="0"/>
          <w:sz w:val="24"/>
        </w:rPr>
        <w:t xml:space="preserve">    （一）发证。</w:t>
      </w:r>
      <w:r>
        <w:rPr>
          <w:rFonts w:hint="eastAsia" w:ascii="Times New Roman" w:hAnsi="Times New Roman" w:eastAsia="方正仿宋_GBK" w:cs="方正仿宋_GBK"/>
          <w:color w:val="000000"/>
          <w:sz w:val="24"/>
        </w:rPr>
        <w:t>专职安全生产管理人员的培训考核和人员配备有关工作</w:t>
      </w:r>
      <w:r>
        <w:rPr>
          <w:rFonts w:hint="eastAsia" w:ascii="Times New Roman" w:hAnsi="Times New Roman" w:eastAsia="方正仿宋_GBK" w:cs="方正仿宋_GBK"/>
          <w:color w:val="000000"/>
          <w:kern w:val="0"/>
          <w:sz w:val="24"/>
        </w:rPr>
        <w:t>根据</w:t>
      </w:r>
      <w:r>
        <w:rPr>
          <w:rFonts w:hint="eastAsia" w:ascii="Times New Roman" w:hAnsi="Times New Roman" w:eastAsia="方正仿宋_GBK" w:cs="方正仿宋_GBK"/>
          <w:color w:val="000000"/>
          <w:sz w:val="24"/>
        </w:rPr>
        <w:t>《通知》规定，将按机械、土建、综合三类（即C1、C2、C3，相关证书简称为“</w:t>
      </w:r>
      <w:r>
        <w:rPr>
          <w:rFonts w:hint="eastAsia" w:ascii="Times New Roman" w:hAnsi="Times New Roman" w:eastAsia="方正仿宋_GBK" w:cs="方正仿宋_GBK"/>
          <w:color w:val="000000"/>
          <w:kern w:val="0"/>
          <w:sz w:val="24"/>
        </w:rPr>
        <w:t>新版C类证书</w:t>
      </w:r>
      <w:r>
        <w:rPr>
          <w:rFonts w:hint="eastAsia" w:ascii="Times New Roman" w:hAnsi="Times New Roman" w:eastAsia="方正仿宋_GBK" w:cs="方正仿宋_GBK"/>
          <w:color w:val="000000"/>
          <w:sz w:val="24"/>
        </w:rPr>
        <w:t>”）进行管理。</w:t>
      </w:r>
      <w:r>
        <w:rPr>
          <w:rFonts w:hint="eastAsia" w:ascii="Times New Roman" w:hAnsi="Times New Roman" w:eastAsia="方正仿宋_GBK" w:cs="方正仿宋_GBK"/>
          <w:color w:val="000000"/>
          <w:kern w:val="0"/>
          <w:sz w:val="24"/>
        </w:rPr>
        <w:t>为保证相关工作平稳有序推进，我省设定3年过渡期。过渡期内，对持有效期内原版C类证书的人员将按有关规定逐步开展新版C类证书换发工作，并适时推开</w:t>
      </w:r>
      <w:r>
        <w:rPr>
          <w:rFonts w:hint="eastAsia" w:ascii="Times New Roman" w:hAnsi="Times New Roman" w:eastAsia="方正仿宋_GBK" w:cs="方正仿宋_GBK"/>
          <w:color w:val="000000"/>
          <w:sz w:val="24"/>
        </w:rPr>
        <w:t>C1、C2、C3培训</w:t>
      </w:r>
      <w:r>
        <w:rPr>
          <w:rFonts w:hint="eastAsia" w:ascii="Times New Roman" w:hAnsi="Times New Roman" w:eastAsia="方正仿宋_GBK" w:cs="方正仿宋_GBK"/>
          <w:color w:val="000000"/>
          <w:kern w:val="0"/>
          <w:sz w:val="24"/>
        </w:rPr>
        <w:t>考核工作。过渡期内，新版C类证书和原版C类证书并行有效，过渡期满后将按照新版C类证书有关管理要求执行。</w:t>
      </w:r>
    </w:p>
    <w:p>
      <w:pPr>
        <w:spacing w:line="460" w:lineRule="exact"/>
        <w:ind w:firstLine="424" w:firstLineChars="177"/>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（二）延续。“安管人员”安全生产考核合格证书延续工作按照</w:t>
      </w:r>
      <w:r>
        <w:rPr>
          <w:rFonts w:hint="eastAsia" w:ascii="Times New Roman" w:hAnsi="Times New Roman" w:eastAsia="方正仿宋_GBK" w:cs="方正仿宋_GBK"/>
          <w:color w:val="000000"/>
          <w:kern w:val="0"/>
          <w:sz w:val="24"/>
        </w:rPr>
        <w:t>《通知》</w:t>
      </w:r>
      <w:r>
        <w:rPr>
          <w:rFonts w:hint="eastAsia" w:ascii="Times New Roman" w:hAnsi="Times New Roman" w:eastAsia="方正仿宋_GBK" w:cs="方正仿宋_GBK"/>
          <w:color w:val="000000"/>
          <w:sz w:val="24"/>
        </w:rPr>
        <w:t>规定</w:t>
      </w:r>
      <w:r>
        <w:rPr>
          <w:rFonts w:hint="eastAsia" w:ascii="Times New Roman" w:hAnsi="Times New Roman" w:eastAsia="方正仿宋_GBK" w:cs="方正仿宋_GBK"/>
          <w:color w:val="000000"/>
          <w:kern w:val="0"/>
          <w:sz w:val="24"/>
        </w:rPr>
        <w:t>执行。证书</w:t>
      </w:r>
      <w:r>
        <w:rPr>
          <w:rFonts w:hint="eastAsia" w:ascii="Times New Roman" w:hAnsi="Times New Roman" w:eastAsia="方正仿宋_GBK" w:cs="方正仿宋_GBK"/>
          <w:color w:val="000000"/>
          <w:sz w:val="24"/>
        </w:rPr>
        <w:t>有效期为3年，有效期期满前3个月内，由企业申请证书延续。延期申请经</w:t>
      </w:r>
      <w:r>
        <w:rPr>
          <w:rFonts w:hint="eastAsia" w:ascii="Times New Roman" w:hAnsi="Times New Roman" w:eastAsia="方正仿宋_GBK" w:cs="方正仿宋_GBK"/>
          <w:snapToGrid w:val="0"/>
          <w:color w:val="000000"/>
          <w:kern w:val="32"/>
          <w:sz w:val="24"/>
        </w:rPr>
        <w:t>所在地市、县（市）住房城乡建设行政主管部门进行初审，对</w:t>
      </w:r>
      <w:r>
        <w:rPr>
          <w:rFonts w:hint="eastAsia" w:ascii="Times New Roman" w:hAnsi="Times New Roman" w:eastAsia="方正仿宋_GBK" w:cs="方正仿宋_GBK"/>
          <w:color w:val="000000"/>
          <w:sz w:val="24"/>
        </w:rPr>
        <w:t>符合证书延续条件的，由发证机关准予证书延续；对不符合证书延续条件的，发证机关不准予证书延续，相关人员应重新申请参加考核。对于证书到期未准予延续或未在规定时间内办理延续手续的，证书一律无效，并</w:t>
      </w:r>
      <w:r>
        <w:rPr>
          <w:rFonts w:hint="eastAsia" w:ascii="Times New Roman" w:hAnsi="Times New Roman" w:eastAsia="方正仿宋_GBK" w:cs="方正仿宋_GBK"/>
          <w:color w:val="000000"/>
          <w:kern w:val="0"/>
          <w:sz w:val="24"/>
        </w:rPr>
        <w:t>自</w:t>
      </w:r>
      <w:r>
        <w:rPr>
          <w:rFonts w:hint="eastAsia" w:ascii="Times New Roman" w:hAnsi="Times New Roman" w:eastAsia="方正仿宋_GBK" w:cs="方正仿宋_GBK"/>
          <w:color w:val="000000"/>
          <w:sz w:val="24"/>
        </w:rPr>
        <w:t>2017年1月1日起，由管理信息系统自动注销。</w:t>
      </w:r>
    </w:p>
    <w:p>
      <w:pPr>
        <w:spacing w:line="460" w:lineRule="exact"/>
        <w:ind w:firstLine="470" w:firstLineChars="196"/>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三）继续教育。各地住房城乡建设行政主管部门应按照我厅要求，组织好本地区“安管人员”继续教育工作。继续教育可采取集中培训、远程教育的方式进行，省建筑安全与设备管理协会已开通“安管人员”远程教育平台，各地可自行确定采用远程教育平台或其他模式开展继续教育工作。鼓励有条件的地区创新培训模式。</w:t>
      </w:r>
    </w:p>
    <w:p>
      <w:pPr>
        <w:spacing w:line="460" w:lineRule="exact"/>
        <w:ind w:firstLine="566"/>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二、证书变更</w:t>
      </w:r>
    </w:p>
    <w:p>
      <w:pPr>
        <w:spacing w:line="460" w:lineRule="exact"/>
        <w:ind w:firstLine="424" w:firstLineChars="177"/>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（一）受聘企业变更</w:t>
      </w:r>
    </w:p>
    <w:p>
      <w:pPr>
        <w:spacing w:line="460" w:lineRule="exact"/>
        <w:ind w:firstLine="470" w:firstLineChars="196"/>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1、“安管人员”考试取得安全生产考核合格证书后首次变更不受时限限制。</w:t>
      </w:r>
    </w:p>
    <w:p>
      <w:pPr>
        <w:spacing w:line="460" w:lineRule="exact"/>
        <w:ind w:firstLine="470" w:firstLineChars="196"/>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2、“安管人员”变更工作单位办理不受原所在企业“安全生产许可证”配备人数标准的限制。</w:t>
      </w:r>
    </w:p>
    <w:p>
      <w:pPr>
        <w:autoSpaceDE w:val="0"/>
        <w:autoSpaceDN w:val="0"/>
        <w:snapToGrid w:val="0"/>
        <w:spacing w:line="460" w:lineRule="exact"/>
        <w:ind w:firstLine="470" w:firstLineChars="196"/>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3、为确保数据的安全有效性，已在江苏住建系统一体化信用管理服务平台中采集过二代身份证信息或已变更过个人身份信息的“安管人员”不予信息变更。</w:t>
      </w:r>
    </w:p>
    <w:p>
      <w:pPr>
        <w:spacing w:line="460" w:lineRule="exact"/>
        <w:ind w:firstLine="424" w:firstLineChars="177"/>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（二）出省变更</w:t>
      </w:r>
    </w:p>
    <w:p>
      <w:pPr>
        <w:autoSpaceDE w:val="0"/>
        <w:autoSpaceDN w:val="0"/>
        <w:snapToGrid w:val="0"/>
        <w:spacing w:line="460" w:lineRule="exact"/>
        <w:ind w:firstLine="624"/>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自2016年9月1日起，企业可在江苏住建系统一体化信用管理服务平台申请办理出省变更事项，具体流程如下：</w:t>
      </w:r>
    </w:p>
    <w:p>
      <w:pPr>
        <w:autoSpaceDE w:val="0"/>
        <w:autoSpaceDN w:val="0"/>
        <w:snapToGrid w:val="0"/>
        <w:spacing w:line="460" w:lineRule="exact"/>
        <w:ind w:firstLine="470" w:firstLineChars="196"/>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1、企业通过江苏住建系统一体化信用管理服务平台提交变更申请。</w:t>
      </w:r>
    </w:p>
    <w:p>
      <w:pPr>
        <w:autoSpaceDE w:val="0"/>
        <w:autoSpaceDN w:val="0"/>
        <w:snapToGrid w:val="0"/>
        <w:spacing w:line="460" w:lineRule="exact"/>
        <w:ind w:firstLine="624"/>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2、企业所在地市、县（市）住房城乡建设行政主管部门进行初审，并在证书照片页加盖“已转出”印章。</w:t>
      </w:r>
    </w:p>
    <w:p>
      <w:pPr>
        <w:autoSpaceDE w:val="0"/>
        <w:autoSpaceDN w:val="0"/>
        <w:snapToGrid w:val="0"/>
        <w:spacing w:line="460" w:lineRule="exact"/>
        <w:ind w:firstLine="624"/>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3、厅便民服务中心“安全窗口”进行网上审核。</w:t>
      </w:r>
    </w:p>
    <w:p>
      <w:pPr>
        <w:spacing w:line="460" w:lineRule="exact"/>
        <w:ind w:firstLine="470" w:firstLineChars="196"/>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4、申请人打印《出省变更申请表》，并持该表和加盖“已转出”印章的证书等资料，至外省有关部门办理转入手续。</w:t>
      </w:r>
    </w:p>
    <w:p>
      <w:pPr>
        <w:spacing w:line="460" w:lineRule="exact"/>
        <w:ind w:firstLine="424" w:firstLineChars="177"/>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（三）进省变更</w:t>
      </w:r>
    </w:p>
    <w:p>
      <w:pPr>
        <w:autoSpaceDE w:val="0"/>
        <w:autoSpaceDN w:val="0"/>
        <w:snapToGrid w:val="0"/>
        <w:spacing w:line="460" w:lineRule="exact"/>
        <w:ind w:firstLine="470" w:firstLineChars="196"/>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自2016年9月30日起，企业可在江苏住建系统一体化信用管理服务平台申请办理进变更事项，具体流程如下：</w:t>
      </w:r>
    </w:p>
    <w:p>
      <w:pPr>
        <w:autoSpaceDE w:val="0"/>
        <w:autoSpaceDN w:val="0"/>
        <w:snapToGrid w:val="0"/>
        <w:spacing w:line="460" w:lineRule="exact"/>
        <w:ind w:firstLine="624"/>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1、企业通过江苏住建系统一体化信用管理服务平台提交变更申请，并上传以下材料扫描件：由原聘用企业所在省级主管部门签署同意转出意见的《变更申请表》、原聘用企业解聘合同、现聘用企业的劳动合同、“安管人员”</w:t>
      </w:r>
      <w:r>
        <w:rPr>
          <w:rFonts w:hint="eastAsia" w:ascii="Times New Roman" w:hAnsi="Times New Roman" w:eastAsia="方正仿宋_GBK" w:cs="方正仿宋_GBK"/>
          <w:color w:val="000000"/>
          <w:sz w:val="24"/>
        </w:rPr>
        <w:t>安全生产考核合格证书</w:t>
      </w:r>
      <w:r>
        <w:rPr>
          <w:rFonts w:hint="eastAsia" w:ascii="Times New Roman" w:hAnsi="Times New Roman" w:eastAsia="方正仿宋_GBK" w:cs="方正仿宋_GBK"/>
          <w:snapToGrid w:val="0"/>
          <w:color w:val="000000"/>
          <w:kern w:val="32"/>
          <w:sz w:val="24"/>
        </w:rPr>
        <w:t>、身份证。</w:t>
      </w:r>
    </w:p>
    <w:p>
      <w:pPr>
        <w:autoSpaceDE w:val="0"/>
        <w:autoSpaceDN w:val="0"/>
        <w:snapToGrid w:val="0"/>
        <w:spacing w:line="460" w:lineRule="exact"/>
        <w:ind w:firstLine="624"/>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2、企业所在地市、县（市）住房城乡建设行政主管部门进行初审，提出初审意见。</w:t>
      </w:r>
    </w:p>
    <w:p>
      <w:pPr>
        <w:autoSpaceDE w:val="0"/>
        <w:autoSpaceDN w:val="0"/>
        <w:snapToGrid w:val="0"/>
        <w:spacing w:line="460" w:lineRule="exact"/>
        <w:ind w:firstLine="624"/>
        <w:rPr>
          <w:rFonts w:hint="eastAsia" w:ascii="Times New Roman" w:hAnsi="Times New Roman" w:eastAsia="方正仿宋_GBK" w:cs="方正仿宋_GBK"/>
          <w:snapToGrid w:val="0"/>
          <w:color w:val="000000"/>
          <w:kern w:val="32"/>
          <w:sz w:val="24"/>
        </w:rPr>
      </w:pPr>
      <w:r>
        <w:rPr>
          <w:rFonts w:hint="eastAsia" w:ascii="Times New Roman" w:hAnsi="Times New Roman" w:eastAsia="方正仿宋_GBK" w:cs="方正仿宋_GBK"/>
          <w:snapToGrid w:val="0"/>
          <w:color w:val="000000"/>
          <w:kern w:val="32"/>
          <w:sz w:val="24"/>
        </w:rPr>
        <w:t>3、厅便民服务中心“安全窗口”进行网上审核。</w:t>
      </w:r>
    </w:p>
    <w:p>
      <w:pPr>
        <w:spacing w:line="460" w:lineRule="exact"/>
        <w:ind w:firstLine="470" w:firstLineChars="196"/>
        <w:rPr>
          <w:rFonts w:hint="eastAsia" w:ascii="Times New Roman" w:hAnsi="Times New Roman" w:eastAsia="方正仿宋_GBK" w:cs="方正仿宋_GBK"/>
          <w:color w:val="000000"/>
          <w:sz w:val="24"/>
        </w:rPr>
      </w:pPr>
      <w:r>
        <w:rPr>
          <w:rFonts w:hint="eastAsia" w:ascii="Times New Roman" w:hAnsi="Times New Roman" w:eastAsia="方正仿宋_GBK" w:cs="方正仿宋_GBK"/>
          <w:snapToGrid w:val="0"/>
          <w:color w:val="000000"/>
          <w:kern w:val="32"/>
          <w:sz w:val="24"/>
        </w:rPr>
        <w:t>4、申请人企业所在地市、县（市）住房城乡建设行政主管部门打印“安管人员”</w:t>
      </w:r>
      <w:r>
        <w:rPr>
          <w:rFonts w:hint="eastAsia" w:ascii="Times New Roman" w:hAnsi="Times New Roman" w:eastAsia="方正仿宋_GBK" w:cs="方正仿宋_GBK"/>
          <w:color w:val="000000"/>
          <w:sz w:val="24"/>
        </w:rPr>
        <w:t>安全生产考核合格证书</w:t>
      </w:r>
      <w:r>
        <w:rPr>
          <w:rFonts w:hint="eastAsia" w:ascii="Times New Roman" w:hAnsi="Times New Roman" w:eastAsia="方正仿宋_GBK" w:cs="方正仿宋_GBK"/>
          <w:snapToGrid w:val="0"/>
          <w:color w:val="000000"/>
          <w:kern w:val="32"/>
          <w:sz w:val="24"/>
        </w:rPr>
        <w:t>。</w:t>
      </w:r>
    </w:p>
    <w:p>
      <w:pPr>
        <w:spacing w:line="460" w:lineRule="exact"/>
        <w:ind w:firstLine="470" w:firstLineChars="196"/>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三、证书暂扣或吊销</w:t>
      </w:r>
    </w:p>
    <w:p>
      <w:pPr>
        <w:spacing w:line="460" w:lineRule="exact"/>
        <w:ind w:firstLine="470" w:firstLineChars="196"/>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一）建筑施工企业专职安全生产管理人员未按规定履行安全生产管理职责，造成生产安全事故或其他严重后果的，按照《生产安全事故报告和调查处理条例》等有关规定，依法暂扣或吊销其安全生产考核合格证书。事故责任人在处罚期满后，需参加省住房城乡建设厅组织的事故企业人员培训考核，考核合格的恢复证书有效状态。</w:t>
      </w:r>
    </w:p>
    <w:p>
      <w:pPr>
        <w:spacing w:line="460" w:lineRule="exact"/>
        <w:ind w:firstLine="470" w:firstLineChars="196"/>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（二）事故责任人员行政处罚告知书、决定书通过江苏住建系统一体化信用管理服务平台送达。</w:t>
      </w:r>
    </w:p>
    <w:p>
      <w:pPr>
        <w:spacing w:line="460" w:lineRule="exact"/>
        <w:ind w:firstLine="470" w:firstLineChars="196"/>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请各地住房城乡建设行政主管部门和建筑业施工企业、人员严格按照本《通知》规定执行，如有问题请与省住房城乡建设厅质安处和考试注册中心联系。</w:t>
      </w:r>
    </w:p>
    <w:p>
      <w:pPr>
        <w:spacing w:line="460" w:lineRule="exact"/>
        <w:ind w:firstLine="424" w:firstLineChars="177"/>
        <w:rPr>
          <w:rFonts w:hint="eastAsia" w:ascii="Times New Roman" w:hAnsi="Times New Roman" w:eastAsia="方正仿宋_GBK" w:cs="方正仿宋_GBK"/>
          <w:color w:val="000000"/>
          <w:sz w:val="24"/>
        </w:rPr>
      </w:pPr>
      <w:r>
        <w:rPr>
          <w:rFonts w:hint="eastAsia" w:ascii="Times New Roman" w:hAnsi="Times New Roman" w:eastAsia="方正仿宋_GBK" w:cs="方正仿宋_GBK"/>
          <w:color w:val="000000"/>
          <w:sz w:val="24"/>
        </w:rPr>
        <w:t>联系人：厅质安处，罗捷，联系电话：025-51868638；厅考试注册中心，金传春，联系电话：025-51868922</w:t>
      </w:r>
    </w:p>
    <w:p>
      <w:pPr>
        <w:spacing w:line="460" w:lineRule="exact"/>
        <w:rPr>
          <w:rFonts w:hint="eastAsia" w:eastAsia="方正仿宋_GBK"/>
          <w:color w:val="000000"/>
          <w:spacing w:val="-2"/>
          <w:sz w:val="24"/>
        </w:rPr>
      </w:pPr>
      <w:r>
        <w:rPr>
          <w:rFonts w:hint="eastAsia" w:ascii="Times New Roman" w:hAnsi="Times New Roman" w:eastAsia="方正仿宋_GBK" w:cs="方正仿宋_GBK"/>
          <w:color w:val="000000"/>
          <w:sz w:val="24"/>
        </w:rPr>
        <w:t xml:space="preserve">  江苏省住房和城乡建设厅2016年8月  日</w:t>
      </w:r>
    </w:p>
    <w:p>
      <w:pPr>
        <w:pStyle w:val="2"/>
        <w:spacing w:before="240" w:beforeLines="100" w:after="240" w:afterLines="100" w:line="240" w:lineRule="auto"/>
        <w:jc w:val="center"/>
        <w:rPr>
          <w:rFonts w:eastAsia="方正仿宋_GBK"/>
          <w:color w:val="000000"/>
          <w:spacing w:val="-2"/>
          <w:kern w:val="0"/>
          <w:sz w:val="24"/>
        </w:rPr>
      </w:pPr>
      <w:r>
        <w:rPr>
          <w:rFonts w:eastAsia="方正仿宋_GBK"/>
          <w:b w:val="0"/>
          <w:color w:val="000000"/>
          <w:spacing w:val="-2"/>
          <w:sz w:val="24"/>
        </w:rPr>
        <w:br w:type="column"/>
      </w:r>
    </w:p>
    <w:p>
      <w:pPr>
        <w:spacing w:line="460" w:lineRule="exact"/>
        <w:outlineLvl w:val="0"/>
        <w:rPr>
          <w:rFonts w:eastAsia="方正仿宋_GBK"/>
          <w:color w:val="000000"/>
          <w:spacing w:val="-2"/>
          <w:kern w:val="0"/>
          <w:sz w:val="24"/>
        </w:rPr>
      </w:pPr>
    </w:p>
    <w:p/>
    <w:p/>
    <w:p/>
    <w:p/>
    <w:p/>
    <w:p/>
    <w:p>
      <w:pPr>
        <w:pStyle w:val="2"/>
        <w:spacing w:before="240" w:beforeLines="100" w:after="240" w:afterLines="100" w:line="240" w:lineRule="auto"/>
        <w:jc w:val="center"/>
        <w:rPr>
          <w:rFonts w:ascii="Times New Roman" w:eastAsia="方正小标宋_GBK"/>
          <w:b w:val="0"/>
          <w:sz w:val="36"/>
          <w:szCs w:val="36"/>
        </w:rPr>
      </w:pPr>
      <w:r>
        <w:rPr>
          <w:b w:val="0"/>
        </w:rPr>
        <w:br w:type="column"/>
      </w:r>
      <w:bookmarkStart w:id="612" w:name="_Toc20726674"/>
      <w:bookmarkStart w:id="613" w:name="_Toc18315811"/>
      <w:r>
        <w:rPr>
          <w:rFonts w:hint="eastAsia" w:ascii="Times New Roman" w:eastAsia="方正小标宋_GBK"/>
          <w:b w:val="0"/>
          <w:sz w:val="36"/>
          <w:szCs w:val="36"/>
        </w:rPr>
        <w:t>江苏省房地产业企业行政许可电子化工作实施细则  （试行）</w:t>
      </w:r>
      <w:bookmarkEnd w:id="612"/>
      <w:bookmarkEnd w:id="613"/>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14" w:name="_Toc18315812"/>
      <w:bookmarkStart w:id="615" w:name="_Toc20726675"/>
      <w:r>
        <w:rPr>
          <w:rFonts w:hint="eastAsia" w:ascii="Times New Roman" w:hAnsi="Times New Roman" w:eastAsia="方正楷体_GBK"/>
          <w:b w:val="0"/>
          <w:sz w:val="24"/>
          <w:szCs w:val="24"/>
        </w:rPr>
        <w:t>苏建审批〔</w:t>
      </w:r>
      <w:r>
        <w:rPr>
          <w:rFonts w:ascii="Times New Roman" w:hAnsi="Times New Roman" w:eastAsia="方正楷体_GBK"/>
          <w:b w:val="0"/>
          <w:sz w:val="24"/>
          <w:szCs w:val="24"/>
        </w:rPr>
        <w:t>2008</w:t>
      </w:r>
      <w:r>
        <w:rPr>
          <w:rFonts w:hint="eastAsia" w:ascii="Times New Roman" w:hAnsi="Times New Roman" w:eastAsia="方正楷体_GBK"/>
          <w:b w:val="0"/>
          <w:sz w:val="24"/>
          <w:szCs w:val="24"/>
        </w:rPr>
        <w:t>〕</w:t>
      </w:r>
      <w:r>
        <w:rPr>
          <w:rFonts w:ascii="Times New Roman" w:hAnsi="Times New Roman" w:eastAsia="方正楷体_GBK"/>
          <w:b w:val="0"/>
          <w:sz w:val="24"/>
          <w:szCs w:val="24"/>
        </w:rPr>
        <w:t>271</w:t>
      </w:r>
      <w:r>
        <w:rPr>
          <w:rFonts w:hint="eastAsia" w:ascii="Times New Roman" w:hAnsi="Times New Roman" w:eastAsia="方正楷体_GBK"/>
          <w:b w:val="0"/>
          <w:sz w:val="24"/>
          <w:szCs w:val="24"/>
        </w:rPr>
        <w:t>号</w:t>
      </w:r>
      <w:bookmarkEnd w:id="614"/>
      <w:bookmarkEnd w:id="615"/>
    </w:p>
    <w:p>
      <w:pPr>
        <w:shd w:val="clear" w:color="auto" w:fill="FFFFFF"/>
        <w:spacing w:line="460" w:lineRule="exact"/>
        <w:ind w:firstLine="482" w:firstLineChars="200"/>
        <w:jc w:val="center"/>
        <w:textAlignment w:val="baseline"/>
        <w:rPr>
          <w:rFonts w:eastAsia="方正仿宋_GBK"/>
          <w:b/>
          <w:bCs/>
          <w:color w:val="000000"/>
          <w:kern w:val="0"/>
          <w:sz w:val="24"/>
        </w:rPr>
      </w:pPr>
    </w:p>
    <w:p>
      <w:pPr>
        <w:shd w:val="clear" w:color="auto" w:fill="FFFFFF"/>
        <w:spacing w:line="460" w:lineRule="exact"/>
        <w:jc w:val="center"/>
        <w:textAlignment w:val="baseline"/>
        <w:rPr>
          <w:rFonts w:ascii="Times New Roman" w:eastAsia="黑体"/>
          <w:color w:val="000000"/>
          <w:kern w:val="0"/>
          <w:sz w:val="24"/>
        </w:rPr>
      </w:pPr>
      <w:r>
        <w:rPr>
          <w:rFonts w:hint="eastAsia" w:ascii="Times New Roman" w:eastAsia="黑体"/>
          <w:bCs/>
          <w:color w:val="000000"/>
          <w:kern w:val="0"/>
          <w:sz w:val="24"/>
        </w:rPr>
        <w:t>一、总则</w:t>
      </w:r>
    </w:p>
    <w:p>
      <w:pPr>
        <w:shd w:val="clear" w:color="auto" w:fill="FFFFFF"/>
        <w:spacing w:line="460" w:lineRule="exact"/>
        <w:ind w:firstLine="480" w:firstLineChars="200"/>
        <w:jc w:val="left"/>
        <w:textAlignment w:val="baseline"/>
        <w:rPr>
          <w:rFonts w:hint="eastAsia" w:eastAsia="方正仿宋_GBK"/>
          <w:color w:val="000000"/>
          <w:kern w:val="0"/>
          <w:sz w:val="24"/>
        </w:rPr>
      </w:pPr>
      <w:r>
        <w:rPr>
          <w:rFonts w:hint="eastAsia" w:ascii="Times New Roman" w:eastAsia="黑体"/>
          <w:bCs/>
          <w:color w:val="000000"/>
          <w:kern w:val="0"/>
          <w:sz w:val="24"/>
        </w:rPr>
        <w:t>第一条</w:t>
      </w:r>
      <w:r>
        <w:rPr>
          <w:rFonts w:eastAsia="方正仿宋_GBK"/>
          <w:color w:val="000000"/>
          <w:kern w:val="0"/>
          <w:sz w:val="24"/>
        </w:rPr>
        <w:t xml:space="preserve">  </w:t>
      </w:r>
      <w:r>
        <w:rPr>
          <w:rFonts w:hint="eastAsia" w:eastAsia="方正仿宋_GBK"/>
          <w:color w:val="000000"/>
          <w:kern w:val="0"/>
          <w:sz w:val="24"/>
        </w:rPr>
        <w:t>为规范全省房地产业企业行政许可电子化工作，根据《省政府办公厅关于开展行政权力网上公开透明运行工作的意见》</w:t>
      </w:r>
      <w:r>
        <w:rPr>
          <w:rFonts w:eastAsia="方正仿宋_GBK"/>
          <w:color w:val="000000"/>
          <w:kern w:val="0"/>
          <w:sz w:val="24"/>
        </w:rPr>
        <w:t>(</w:t>
      </w:r>
      <w:r>
        <w:rPr>
          <w:rFonts w:hint="eastAsia" w:eastAsia="方正仿宋_GBK"/>
          <w:color w:val="000000"/>
          <w:kern w:val="0"/>
          <w:sz w:val="24"/>
        </w:rPr>
        <w:t>苏政办发〔</w:t>
      </w:r>
      <w:r>
        <w:rPr>
          <w:rFonts w:eastAsia="方正仿宋_GBK"/>
          <w:color w:val="000000"/>
          <w:kern w:val="0"/>
          <w:sz w:val="24"/>
        </w:rPr>
        <w:t>2008</w:t>
      </w:r>
      <w:r>
        <w:rPr>
          <w:rFonts w:hint="eastAsia" w:eastAsia="方正仿宋_GBK"/>
          <w:color w:val="000000"/>
          <w:kern w:val="0"/>
          <w:sz w:val="24"/>
        </w:rPr>
        <w:t>〕</w:t>
      </w:r>
      <w:r>
        <w:rPr>
          <w:rFonts w:eastAsia="方正仿宋_GBK"/>
          <w:color w:val="000000"/>
          <w:kern w:val="0"/>
          <w:sz w:val="24"/>
        </w:rPr>
        <w:t>50</w:t>
      </w:r>
      <w:r>
        <w:rPr>
          <w:rFonts w:hint="eastAsia" w:eastAsia="方正仿宋_GBK"/>
          <w:color w:val="000000"/>
          <w:kern w:val="0"/>
          <w:sz w:val="24"/>
        </w:rPr>
        <w:t>号</w:t>
      </w:r>
      <w:r>
        <w:rPr>
          <w:rFonts w:eastAsia="方正仿宋_GBK"/>
          <w:color w:val="000000"/>
          <w:kern w:val="0"/>
          <w:sz w:val="24"/>
        </w:rPr>
        <w:t>)</w:t>
      </w:r>
      <w:r>
        <w:rPr>
          <w:rFonts w:hint="eastAsia" w:eastAsia="方正仿宋_GBK"/>
          <w:color w:val="000000"/>
          <w:kern w:val="0"/>
          <w:sz w:val="24"/>
        </w:rPr>
        <w:t>有关精神，制定本细则。</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第二条</w:t>
      </w:r>
      <w:r>
        <w:rPr>
          <w:rFonts w:eastAsia="方正仿宋_GBK"/>
          <w:color w:val="000000"/>
          <w:kern w:val="0"/>
          <w:sz w:val="24"/>
        </w:rPr>
        <w:t xml:space="preserve">   “</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为江苏省房地产业企业行政许可电子化工作平台。</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第三条</w:t>
      </w:r>
      <w:r>
        <w:rPr>
          <w:rFonts w:eastAsia="方正仿宋_GBK"/>
          <w:color w:val="000000"/>
          <w:kern w:val="0"/>
          <w:sz w:val="24"/>
        </w:rPr>
        <w:t xml:space="preserve">  </w:t>
      </w:r>
      <w:r>
        <w:rPr>
          <w:rFonts w:hint="eastAsia" w:eastAsia="方正仿宋_GBK"/>
          <w:color w:val="000000"/>
          <w:kern w:val="0"/>
          <w:sz w:val="24"/>
        </w:rPr>
        <w:t>厅信息化领导小组办公室负责全省房地产业企业行政许可电子化工作的指导与协调。</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第四条</w:t>
      </w:r>
      <w:r>
        <w:rPr>
          <w:rFonts w:eastAsia="方正仿宋_GBK"/>
          <w:color w:val="000000"/>
          <w:kern w:val="0"/>
          <w:sz w:val="24"/>
        </w:rPr>
        <w:t xml:space="preserve">  </w:t>
      </w:r>
      <w:r>
        <w:rPr>
          <w:rFonts w:hint="eastAsia" w:eastAsia="方正仿宋_GBK"/>
          <w:color w:val="000000"/>
          <w:kern w:val="0"/>
          <w:sz w:val="24"/>
        </w:rPr>
        <w:t>厅行政审批办公室为全省房地产业企业行政许可电子化工作实施部门，并负责指导、监督市县房地产业主管部门行政许可电子化工作。</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第五条</w:t>
      </w:r>
      <w:r>
        <w:rPr>
          <w:rFonts w:eastAsia="方正仿宋_GBK"/>
          <w:color w:val="000000"/>
          <w:kern w:val="0"/>
          <w:sz w:val="24"/>
        </w:rPr>
        <w:t xml:space="preserve">  </w:t>
      </w:r>
      <w:r>
        <w:rPr>
          <w:rFonts w:hint="eastAsia" w:eastAsia="方正仿宋_GBK"/>
          <w:color w:val="000000"/>
          <w:kern w:val="0"/>
          <w:sz w:val="24"/>
        </w:rPr>
        <w:t>本细则适用于全省房地产开发企业的行政许可事项。</w:t>
      </w:r>
    </w:p>
    <w:p>
      <w:pPr>
        <w:shd w:val="clear" w:color="auto" w:fill="FFFFFF"/>
        <w:spacing w:line="460" w:lineRule="exact"/>
        <w:jc w:val="center"/>
        <w:textAlignment w:val="baseline"/>
        <w:rPr>
          <w:rFonts w:ascii="Times New Roman" w:eastAsia="黑体"/>
          <w:bCs/>
          <w:color w:val="000000"/>
          <w:kern w:val="0"/>
          <w:sz w:val="24"/>
        </w:rPr>
      </w:pPr>
      <w:r>
        <w:rPr>
          <w:rFonts w:hint="eastAsia" w:ascii="Times New Roman" w:eastAsia="黑体"/>
          <w:bCs/>
          <w:color w:val="000000"/>
          <w:kern w:val="0"/>
          <w:sz w:val="24"/>
        </w:rPr>
        <w:t>二、一般规定</w:t>
      </w:r>
    </w:p>
    <w:p>
      <w:pPr>
        <w:shd w:val="clear" w:color="auto" w:fill="FFFFFF"/>
        <w:spacing w:line="460" w:lineRule="exact"/>
        <w:ind w:firstLine="480" w:firstLineChars="200"/>
        <w:jc w:val="left"/>
        <w:textAlignment w:val="baseline"/>
        <w:rPr>
          <w:rFonts w:hint="eastAsia" w:eastAsia="方正仿宋_GBK"/>
          <w:color w:val="000000"/>
          <w:kern w:val="0"/>
          <w:sz w:val="24"/>
        </w:rPr>
      </w:pPr>
      <w:r>
        <w:rPr>
          <w:rFonts w:hint="eastAsia" w:ascii="Times New Roman" w:eastAsia="黑体"/>
          <w:bCs/>
          <w:color w:val="000000"/>
          <w:kern w:val="0"/>
          <w:sz w:val="24"/>
        </w:rPr>
        <w:t>第六条</w:t>
      </w:r>
      <w:r>
        <w:rPr>
          <w:rFonts w:eastAsia="方正仿宋_GBK"/>
          <w:color w:val="000000"/>
          <w:kern w:val="0"/>
          <w:sz w:val="24"/>
        </w:rPr>
        <w:t xml:space="preserve">  </w:t>
      </w:r>
      <w:r>
        <w:rPr>
          <w:rFonts w:hint="eastAsia" w:eastAsia="方正仿宋_GBK"/>
          <w:color w:val="000000"/>
          <w:kern w:val="0"/>
          <w:sz w:val="24"/>
        </w:rPr>
        <w:t>全省各房地产业主管部门应当通过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，对所辖房地产业企业实施行政许可事项的核准和监管。</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第七条</w:t>
      </w:r>
      <w:r>
        <w:rPr>
          <w:rFonts w:eastAsia="方正仿宋_GBK"/>
          <w:color w:val="000000"/>
          <w:kern w:val="0"/>
          <w:sz w:val="24"/>
        </w:rPr>
        <w:t xml:space="preserve">  </w:t>
      </w:r>
      <w:r>
        <w:rPr>
          <w:rFonts w:hint="eastAsia" w:eastAsia="方正仿宋_GBK"/>
          <w:color w:val="000000"/>
          <w:kern w:val="0"/>
          <w:sz w:val="24"/>
        </w:rPr>
        <w:t>全省各房地产业企业提出行政许可申请一般通过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进行。同时按月填报生产经营活动的相关信息，作为今后实施行政许可时自动统计生产经营业绩的依据。</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第八条</w:t>
      </w:r>
      <w:r>
        <w:rPr>
          <w:rFonts w:eastAsia="方正仿宋_GBK"/>
          <w:color w:val="000000"/>
          <w:kern w:val="0"/>
          <w:sz w:val="24"/>
        </w:rPr>
        <w:t xml:space="preserve">  </w:t>
      </w:r>
      <w:r>
        <w:rPr>
          <w:rFonts w:hint="eastAsia" w:eastAsia="方正仿宋_GBK"/>
          <w:color w:val="000000"/>
          <w:kern w:val="0"/>
          <w:sz w:val="24"/>
        </w:rPr>
        <w:t>企业通过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提出行政许可申请时，需提供的材料目录按相关资质管理规定执行。对电子申报材料的真实性、合法性、有效性负责。</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第九条</w:t>
      </w:r>
      <w:bookmarkStart w:id="616" w:name="OLE_LINK1"/>
      <w:r>
        <w:rPr>
          <w:rFonts w:eastAsia="方正仿宋_GBK"/>
          <w:color w:val="000000"/>
          <w:kern w:val="0"/>
          <w:sz w:val="24"/>
        </w:rPr>
        <w:t xml:space="preserve">  </w:t>
      </w:r>
      <w:bookmarkEnd w:id="616"/>
      <w:r>
        <w:rPr>
          <w:rFonts w:hint="eastAsia" w:eastAsia="方正仿宋_GBK"/>
          <w:color w:val="000000"/>
          <w:kern w:val="0"/>
          <w:sz w:val="24"/>
        </w:rPr>
        <w:t>企业通过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提出行政许可申请，采取账号或密码登录。</w:t>
      </w:r>
      <w:r>
        <w:rPr>
          <w:rFonts w:eastAsia="方正仿宋_GBK"/>
          <w:color w:val="000000"/>
          <w:kern w:val="0"/>
          <w:sz w:val="24"/>
        </w:rPr>
        <w:t xml:space="preserve"> </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第十条</w:t>
      </w:r>
      <w:r>
        <w:rPr>
          <w:rFonts w:eastAsia="方正仿宋_GBK"/>
          <w:color w:val="000000"/>
          <w:kern w:val="0"/>
          <w:sz w:val="24"/>
        </w:rPr>
        <w:t xml:space="preserve">  </w:t>
      </w:r>
      <w:r>
        <w:rPr>
          <w:rFonts w:hint="eastAsia" w:eastAsia="方正仿宋_GBK"/>
          <w:color w:val="000000"/>
          <w:kern w:val="0"/>
          <w:sz w:val="24"/>
        </w:rPr>
        <w:t>企业通过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提出行政许可申请后，主管部门认为需核验原件的，企业应携带相关材料原件至主管部门核验。</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eastAsia="方正仿宋_GBK"/>
          <w:color w:val="000000"/>
          <w:kern w:val="0"/>
          <w:sz w:val="24"/>
        </w:rPr>
        <w:t>市县主管部门和</w:t>
      </w:r>
      <w:r>
        <w:rPr>
          <w:rFonts w:hint="eastAsia" w:eastAsia="方正仿宋_GBK"/>
          <w:b/>
          <w:color w:val="000000"/>
          <w:kern w:val="0"/>
          <w:sz w:val="24"/>
        </w:rPr>
        <w:t>厅</w:t>
      </w:r>
      <w:r>
        <w:rPr>
          <w:rFonts w:hint="eastAsia" w:eastAsia="方正仿宋_GBK"/>
          <w:color w:val="000000"/>
          <w:kern w:val="0"/>
          <w:sz w:val="24"/>
        </w:rPr>
        <w:t>行政审批办公室负责核验原件的人员，核验原件后，应在</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签名备查。</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第十一条</w:t>
      </w:r>
      <w:r>
        <w:rPr>
          <w:rFonts w:eastAsia="方正仿宋_GBK"/>
          <w:color w:val="000000"/>
          <w:kern w:val="0"/>
          <w:sz w:val="24"/>
        </w:rPr>
        <w:t xml:space="preserve">  </w:t>
      </w:r>
      <w:r>
        <w:rPr>
          <w:rFonts w:hint="eastAsia" w:eastAsia="方正仿宋_GBK"/>
          <w:color w:val="000000"/>
          <w:kern w:val="0"/>
          <w:sz w:val="24"/>
        </w:rPr>
        <w:t>暂定二级及二级申请资质延期、延续、重新核定等级、变更登记事项的企业，省直企业和南京市企业自行交还省住房和城乡建设厅。其余市县的企业，原资质证书正副本原件由所在地主管部门收回，集中交省住房和城乡建设厅。</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第十二条</w:t>
      </w:r>
      <w:r>
        <w:rPr>
          <w:rFonts w:eastAsia="方正仿宋_GBK"/>
          <w:color w:val="000000"/>
          <w:kern w:val="0"/>
          <w:sz w:val="24"/>
        </w:rPr>
        <w:t xml:space="preserve">  </w:t>
      </w:r>
      <w:r>
        <w:rPr>
          <w:rFonts w:hint="eastAsia" w:eastAsia="方正仿宋_GBK"/>
          <w:color w:val="000000"/>
          <w:kern w:val="0"/>
          <w:sz w:val="24"/>
        </w:rPr>
        <w:t>报住房和城乡建设部核准资质的企业，应当同时上报电子材料和纸质材料。经部核准后，企业应当及时通过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向省住房和城乡建设厅备案后领证。</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第十三条</w:t>
      </w:r>
      <w:r>
        <w:rPr>
          <w:rFonts w:eastAsia="方正仿宋_GBK"/>
          <w:color w:val="000000"/>
          <w:kern w:val="0"/>
          <w:sz w:val="24"/>
        </w:rPr>
        <w:t xml:space="preserve">  </w:t>
      </w:r>
      <w:r>
        <w:rPr>
          <w:rFonts w:hint="eastAsia" w:eastAsia="方正仿宋_GBK"/>
          <w:color w:val="000000"/>
          <w:kern w:val="0"/>
          <w:sz w:val="24"/>
        </w:rPr>
        <w:t>由设区市核准的资质审批事项，企业通过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提出申请，主管部门通过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进行审核，并将核准的企业通过该系统报省住房和城乡建设厅备案。</w:t>
      </w:r>
    </w:p>
    <w:p>
      <w:pPr>
        <w:shd w:val="clear" w:color="auto" w:fill="FFFFFF"/>
        <w:spacing w:line="460" w:lineRule="exact"/>
        <w:jc w:val="center"/>
        <w:textAlignment w:val="baseline"/>
        <w:rPr>
          <w:rFonts w:ascii="Times New Roman" w:eastAsia="黑体"/>
          <w:bCs/>
          <w:color w:val="000000"/>
          <w:kern w:val="0"/>
          <w:sz w:val="24"/>
        </w:rPr>
      </w:pPr>
      <w:r>
        <w:rPr>
          <w:rFonts w:hint="eastAsia" w:ascii="Times New Roman" w:eastAsia="黑体"/>
          <w:bCs/>
          <w:color w:val="000000"/>
          <w:kern w:val="0"/>
          <w:sz w:val="24"/>
        </w:rPr>
        <w:t>三、工作流程</w:t>
      </w:r>
    </w:p>
    <w:p>
      <w:pPr>
        <w:shd w:val="clear" w:color="auto" w:fill="FFFFFF"/>
        <w:spacing w:line="460" w:lineRule="exact"/>
        <w:ind w:firstLine="480" w:firstLineChars="200"/>
        <w:jc w:val="left"/>
        <w:textAlignment w:val="baseline"/>
        <w:rPr>
          <w:rFonts w:hint="eastAsia" w:eastAsia="方正仿宋_GBK"/>
          <w:color w:val="000000"/>
          <w:kern w:val="0"/>
          <w:sz w:val="24"/>
        </w:rPr>
      </w:pPr>
      <w:r>
        <w:rPr>
          <w:rFonts w:hint="eastAsia" w:ascii="Times New Roman" w:eastAsia="黑体"/>
          <w:bCs/>
          <w:color w:val="000000"/>
          <w:kern w:val="0"/>
          <w:sz w:val="24"/>
        </w:rPr>
        <w:t>第十四条</w:t>
      </w:r>
      <w:r>
        <w:rPr>
          <w:rFonts w:eastAsia="方正仿宋_GBK"/>
          <w:b/>
          <w:bCs/>
          <w:color w:val="000000"/>
          <w:kern w:val="0"/>
          <w:sz w:val="24"/>
        </w:rPr>
        <w:t xml:space="preserve">  </w:t>
      </w:r>
      <w:r>
        <w:rPr>
          <w:rFonts w:hint="eastAsia" w:eastAsia="方正仿宋_GBK"/>
          <w:color w:val="000000"/>
          <w:kern w:val="0"/>
          <w:sz w:val="24"/>
        </w:rPr>
        <w:t>厅行政审批办公室受理行政许可申请后，在</w:t>
      </w:r>
      <w:r>
        <w:rPr>
          <w:rFonts w:eastAsia="方正仿宋_GBK"/>
          <w:color w:val="000000"/>
          <w:kern w:val="0"/>
          <w:sz w:val="24"/>
        </w:rPr>
        <w:t>20</w:t>
      </w:r>
      <w:r>
        <w:rPr>
          <w:rFonts w:hint="eastAsia" w:eastAsia="方正仿宋_GBK"/>
          <w:color w:val="000000"/>
          <w:kern w:val="0"/>
          <w:sz w:val="24"/>
        </w:rPr>
        <w:t>个工作日内办结。</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第十五条</w:t>
      </w:r>
      <w:r>
        <w:rPr>
          <w:rFonts w:eastAsia="方正仿宋_GBK"/>
          <w:color w:val="000000"/>
          <w:kern w:val="0"/>
          <w:sz w:val="24"/>
        </w:rPr>
        <w:t xml:space="preserve">  </w:t>
      </w:r>
      <w:r>
        <w:rPr>
          <w:rFonts w:hint="eastAsia" w:eastAsia="方正仿宋_GBK"/>
          <w:color w:val="000000"/>
          <w:kern w:val="0"/>
          <w:sz w:val="24"/>
        </w:rPr>
        <w:t>通过电子平台受理的行政许可申请，受理通知书、材料补正通知书、行政许可决定书等均以电子文书形式通过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送达。</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第十六条</w:t>
      </w:r>
      <w:r>
        <w:rPr>
          <w:rFonts w:eastAsia="方正仿宋_GBK"/>
          <w:color w:val="000000"/>
          <w:kern w:val="0"/>
          <w:sz w:val="24"/>
        </w:rPr>
        <w:t xml:space="preserve">  </w:t>
      </w:r>
      <w:r>
        <w:rPr>
          <w:rFonts w:hint="eastAsia" w:eastAsia="方正仿宋_GBK"/>
          <w:color w:val="000000"/>
          <w:kern w:val="0"/>
          <w:sz w:val="24"/>
        </w:rPr>
        <w:t>房地产开发企业三、四级资质（含暂定三级、暂定四级）的证书由设区市主管部门打印并送达。</w:t>
      </w:r>
    </w:p>
    <w:p>
      <w:pPr>
        <w:shd w:val="clear" w:color="auto" w:fill="FFFFFF"/>
        <w:spacing w:line="460" w:lineRule="exact"/>
        <w:jc w:val="center"/>
        <w:textAlignment w:val="baseline"/>
        <w:rPr>
          <w:rFonts w:ascii="Times New Roman" w:eastAsia="黑体"/>
          <w:bCs/>
          <w:color w:val="000000"/>
          <w:kern w:val="0"/>
          <w:sz w:val="24"/>
        </w:rPr>
      </w:pPr>
      <w:r>
        <w:rPr>
          <w:rFonts w:hint="eastAsia" w:ascii="Times New Roman" w:eastAsia="黑体"/>
          <w:bCs/>
          <w:color w:val="000000"/>
          <w:kern w:val="0"/>
          <w:sz w:val="24"/>
        </w:rPr>
        <w:t>四、监督保障</w:t>
      </w:r>
    </w:p>
    <w:p>
      <w:pPr>
        <w:shd w:val="clear" w:color="auto" w:fill="FFFFFF"/>
        <w:spacing w:line="460" w:lineRule="exact"/>
        <w:ind w:firstLine="480" w:firstLineChars="200"/>
        <w:jc w:val="left"/>
        <w:textAlignment w:val="baseline"/>
        <w:rPr>
          <w:rFonts w:hint="eastAsia" w:eastAsia="方正仿宋_GBK"/>
          <w:color w:val="000000"/>
          <w:kern w:val="0"/>
          <w:sz w:val="24"/>
        </w:rPr>
      </w:pPr>
      <w:r>
        <w:rPr>
          <w:rFonts w:hint="eastAsia" w:ascii="Times New Roman" w:eastAsia="黑体"/>
          <w:bCs/>
          <w:color w:val="000000"/>
          <w:kern w:val="0"/>
          <w:sz w:val="24"/>
        </w:rPr>
        <w:t>第十七条</w:t>
      </w:r>
      <w:r>
        <w:rPr>
          <w:rFonts w:eastAsia="方正仿宋_GBK"/>
          <w:color w:val="000000"/>
          <w:kern w:val="0"/>
          <w:sz w:val="24"/>
        </w:rPr>
        <w:t xml:space="preserve">  </w:t>
      </w:r>
      <w:r>
        <w:rPr>
          <w:rFonts w:hint="eastAsia" w:eastAsia="方正仿宋_GBK"/>
          <w:color w:val="000000"/>
          <w:kern w:val="0"/>
          <w:sz w:val="24"/>
        </w:rPr>
        <w:t>厅行政审批办公室采取定期或者不定期的方式，对市县主管部门的工作质量和服务效能进行现场检查。</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第十八条</w:t>
      </w:r>
      <w:r>
        <w:rPr>
          <w:rFonts w:eastAsia="方正仿宋_GBK"/>
          <w:color w:val="000000"/>
          <w:kern w:val="0"/>
          <w:sz w:val="24"/>
        </w:rPr>
        <w:t xml:space="preserve">  </w:t>
      </w:r>
      <w:r>
        <w:rPr>
          <w:rFonts w:hint="eastAsia" w:eastAsia="方正仿宋_GBK"/>
          <w:color w:val="000000"/>
          <w:kern w:val="0"/>
          <w:sz w:val="24"/>
        </w:rPr>
        <w:t>厅纪检、监察部门通过</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对房地产业行政许可工作实施监督。</w:t>
      </w:r>
    </w:p>
    <w:p>
      <w:pPr>
        <w:shd w:val="clear" w:color="auto" w:fill="FFFFFF"/>
        <w:spacing w:line="460" w:lineRule="exact"/>
        <w:ind w:firstLine="480" w:firstLineChars="200"/>
        <w:jc w:val="left"/>
        <w:textAlignment w:val="baseline"/>
        <w:rPr>
          <w:rFonts w:eastAsia="方正仿宋_GBK"/>
          <w:color w:val="000000"/>
          <w:kern w:val="0"/>
          <w:sz w:val="24"/>
        </w:rPr>
      </w:pPr>
      <w:r>
        <w:rPr>
          <w:rFonts w:hint="eastAsia" w:ascii="Times New Roman" w:eastAsia="黑体"/>
          <w:bCs/>
          <w:color w:val="000000"/>
          <w:kern w:val="0"/>
          <w:sz w:val="24"/>
        </w:rPr>
        <w:t>第十九条</w:t>
      </w:r>
      <w:r>
        <w:rPr>
          <w:rFonts w:eastAsia="方正仿宋_GBK"/>
          <w:color w:val="000000"/>
          <w:kern w:val="0"/>
          <w:sz w:val="24"/>
        </w:rPr>
        <w:t xml:space="preserve">  </w:t>
      </w:r>
      <w:r>
        <w:rPr>
          <w:rFonts w:hint="eastAsia" w:eastAsia="方正仿宋_GBK"/>
          <w:color w:val="000000"/>
          <w:kern w:val="0"/>
          <w:sz w:val="24"/>
        </w:rPr>
        <w:t>各市县主管部门要选准配强</w:t>
      </w:r>
      <w:r>
        <w:rPr>
          <w:rFonts w:eastAsia="方正仿宋_GBK"/>
          <w:color w:val="000000"/>
          <w:kern w:val="0"/>
          <w:sz w:val="24"/>
        </w:rPr>
        <w:t>“</w:t>
      </w:r>
      <w:r>
        <w:rPr>
          <w:rFonts w:hint="eastAsia" w:eastAsia="方正仿宋_GBK"/>
          <w:color w:val="000000"/>
          <w:kern w:val="0"/>
          <w:sz w:val="24"/>
        </w:rPr>
        <w:t>江苏省房地产行政许可综合服务系统</w:t>
      </w:r>
      <w:r>
        <w:rPr>
          <w:rFonts w:eastAsia="方正仿宋_GBK"/>
          <w:color w:val="000000"/>
          <w:kern w:val="0"/>
          <w:sz w:val="24"/>
        </w:rPr>
        <w:t>”</w:t>
      </w:r>
      <w:r>
        <w:rPr>
          <w:rFonts w:hint="eastAsia" w:eastAsia="方正仿宋_GBK"/>
          <w:color w:val="000000"/>
          <w:kern w:val="0"/>
          <w:sz w:val="24"/>
        </w:rPr>
        <w:t>工作人员。人员调整时，应当先培训后上岗，并提前报省住房和城乡建设厅备案授权。</w:t>
      </w:r>
    </w:p>
    <w:p>
      <w:pPr>
        <w:spacing w:line="460" w:lineRule="exact"/>
        <w:ind w:firstLine="482" w:firstLineChars="200"/>
        <w:jc w:val="center"/>
        <w:rPr>
          <w:rFonts w:eastAsia="方正仿宋_GBK"/>
          <w:b/>
          <w:bCs/>
          <w:color w:val="000000"/>
          <w:kern w:val="0"/>
          <w:sz w:val="24"/>
        </w:rPr>
      </w:pPr>
    </w:p>
    <w:p>
      <w:pPr>
        <w:rPr>
          <w:rFonts w:eastAsia="方正仿宋_GBK"/>
          <w:sz w:val="24"/>
        </w:rPr>
      </w:pPr>
    </w:p>
    <w:p>
      <w:pPr>
        <w:rPr>
          <w:rFonts w:eastAsia="方正仿宋_GBK"/>
          <w:sz w:val="24"/>
        </w:rPr>
      </w:pPr>
    </w:p>
    <w:p>
      <w:pPr>
        <w:pStyle w:val="2"/>
        <w:spacing w:before="240" w:beforeLines="100" w:after="240" w:afterLines="100" w:line="240" w:lineRule="auto"/>
        <w:jc w:val="center"/>
        <w:rPr>
          <w:rFonts w:ascii="Times New Roman" w:eastAsia="方正小标宋_GBK"/>
          <w:b w:val="0"/>
          <w:sz w:val="36"/>
          <w:szCs w:val="36"/>
        </w:rPr>
      </w:pPr>
      <w:bookmarkStart w:id="617" w:name="_Toc20726658"/>
      <w:bookmarkStart w:id="618" w:name="_Toc18315799"/>
      <w:r>
        <w:rPr>
          <w:rFonts w:hint="eastAsia" w:ascii="Times New Roman" w:eastAsia="方正小标宋_GBK"/>
          <w:b w:val="0"/>
          <w:sz w:val="36"/>
          <w:szCs w:val="36"/>
        </w:rPr>
        <w:t>关于印发《江苏省二级注册建造师继续教育管理办法》的通知</w:t>
      </w:r>
      <w:bookmarkEnd w:id="617"/>
      <w:bookmarkEnd w:id="618"/>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19" w:name="_Toc18315800"/>
      <w:bookmarkStart w:id="620" w:name="_Toc20726659"/>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2010</w:t>
      </w:r>
      <w:r>
        <w:rPr>
          <w:rFonts w:hint="eastAsia" w:ascii="Times New Roman" w:hAnsi="Times New Roman" w:eastAsia="方正楷体_GBK"/>
          <w:b w:val="0"/>
          <w:sz w:val="24"/>
          <w:szCs w:val="24"/>
        </w:rPr>
        <w:t>〕</w:t>
      </w:r>
      <w:r>
        <w:rPr>
          <w:rFonts w:ascii="Times New Roman" w:hAnsi="Times New Roman" w:eastAsia="方正楷体_GBK"/>
          <w:b w:val="0"/>
          <w:sz w:val="24"/>
          <w:szCs w:val="24"/>
        </w:rPr>
        <w:t>8</w:t>
      </w:r>
      <w:r>
        <w:rPr>
          <w:rFonts w:hint="eastAsia" w:ascii="Times New Roman" w:hAnsi="Times New Roman" w:eastAsia="方正楷体_GBK"/>
          <w:b w:val="0"/>
          <w:sz w:val="24"/>
          <w:szCs w:val="24"/>
        </w:rPr>
        <w:t>号</w:t>
      </w:r>
      <w:bookmarkEnd w:id="619"/>
      <w:bookmarkEnd w:id="620"/>
    </w:p>
    <w:p>
      <w:pPr>
        <w:spacing w:line="460" w:lineRule="exact"/>
        <w:rPr>
          <w:rFonts w:eastAsia="方正仿宋_GBK"/>
          <w:color w:val="000000"/>
          <w:spacing w:val="-2"/>
          <w:kern w:val="0"/>
          <w:sz w:val="24"/>
        </w:rPr>
      </w:pPr>
      <w:r>
        <w:rPr>
          <w:rFonts w:hint="eastAsia" w:eastAsia="方正仿宋_GBK"/>
          <w:color w:val="000000"/>
          <w:spacing w:val="-2"/>
          <w:kern w:val="0"/>
          <w:sz w:val="24"/>
        </w:rPr>
        <w:t>各市建设局（委），各有关单位：</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为进一步提高我省二级注册建造师的执业能力，促进建设工程项目管理水平的提高，我厅制定了《江苏省二级注册建造师继续教育管理办法》，现印发你们，请遵照执行。在执行过程中如有问题，请与厅建筑市场监管处联系。</w:t>
      </w:r>
    </w:p>
    <w:p>
      <w:pPr>
        <w:spacing w:line="460" w:lineRule="exact"/>
        <w:ind w:firstLine="472" w:firstLineChars="200"/>
        <w:rPr>
          <w:rFonts w:eastAsia="方正仿宋_GBK"/>
          <w:color w:val="000000"/>
          <w:spacing w:val="-2"/>
          <w:kern w:val="0"/>
          <w:sz w:val="24"/>
        </w:rPr>
      </w:pP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附件：《江苏省二级注册建造师继续教育管理办法》</w:t>
      </w:r>
    </w:p>
    <w:p>
      <w:pPr>
        <w:spacing w:line="460" w:lineRule="exact"/>
        <w:ind w:firstLine="472" w:firstLineChars="200"/>
        <w:rPr>
          <w:rFonts w:eastAsia="方正仿宋_GBK"/>
          <w:color w:val="000000"/>
          <w:spacing w:val="-2"/>
          <w:kern w:val="0"/>
          <w:sz w:val="24"/>
        </w:rPr>
      </w:pPr>
    </w:p>
    <w:p>
      <w:pPr>
        <w:spacing w:line="460" w:lineRule="exact"/>
        <w:ind w:firstLine="5609" w:firstLineChars="2377"/>
        <w:jc w:val="left"/>
        <w:rPr>
          <w:rFonts w:eastAsia="方正仿宋_GBK"/>
          <w:color w:val="000000"/>
          <w:spacing w:val="-2"/>
          <w:kern w:val="0"/>
          <w:sz w:val="24"/>
        </w:rPr>
      </w:pPr>
      <w:r>
        <w:rPr>
          <w:rFonts w:hint="eastAsia" w:eastAsia="方正仿宋_GBK"/>
          <w:color w:val="000000"/>
          <w:spacing w:val="-2"/>
          <w:kern w:val="0"/>
          <w:sz w:val="24"/>
        </w:rPr>
        <w:t>江苏省住房和城乡建设厅</w:t>
      </w:r>
      <w:r>
        <w:rPr>
          <w:rFonts w:eastAsia="方正仿宋_GBK"/>
          <w:color w:val="000000"/>
          <w:spacing w:val="-2"/>
          <w:kern w:val="0"/>
          <w:sz w:val="24"/>
        </w:rPr>
        <w:t xml:space="preserve">    </w:t>
      </w:r>
    </w:p>
    <w:p>
      <w:pPr>
        <w:spacing w:line="460" w:lineRule="exact"/>
        <w:ind w:right="418" w:rightChars="199"/>
        <w:jc w:val="righ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二〇一〇年十二月二十七日</w:t>
      </w:r>
      <w:r>
        <w:rPr>
          <w:rFonts w:eastAsia="方正仿宋_GBK"/>
          <w:color w:val="000000"/>
          <w:spacing w:val="-2"/>
          <w:kern w:val="0"/>
          <w:sz w:val="24"/>
        </w:rPr>
        <w:t xml:space="preserve">   </w:t>
      </w:r>
    </w:p>
    <w:p>
      <w:pPr>
        <w:spacing w:line="460" w:lineRule="exact"/>
        <w:rPr>
          <w:rFonts w:eastAsia="方正仿宋_GBK"/>
          <w:bCs/>
          <w:color w:val="000000"/>
          <w:spacing w:val="-2"/>
          <w:kern w:val="0"/>
          <w:sz w:val="24"/>
        </w:rPr>
      </w:pPr>
    </w:p>
    <w:p>
      <w:pPr>
        <w:spacing w:line="460" w:lineRule="exact"/>
        <w:rPr>
          <w:rFonts w:eastAsia="方正仿宋_GBK"/>
          <w:bCs/>
          <w:color w:val="000000"/>
          <w:spacing w:val="-2"/>
          <w:kern w:val="0"/>
          <w:sz w:val="24"/>
        </w:rPr>
      </w:pPr>
    </w:p>
    <w:p>
      <w:pPr>
        <w:spacing w:line="460" w:lineRule="exact"/>
        <w:jc w:val="center"/>
        <w:rPr>
          <w:rFonts w:eastAsia="方正黑体_GBK"/>
          <w:bCs/>
          <w:color w:val="000000"/>
          <w:spacing w:val="-2"/>
          <w:kern w:val="0"/>
          <w:sz w:val="36"/>
          <w:szCs w:val="36"/>
        </w:rPr>
      </w:pPr>
      <w:r>
        <w:rPr>
          <w:rFonts w:hint="eastAsia" w:eastAsia="方正黑体_GBK"/>
          <w:bCs/>
          <w:color w:val="000000"/>
          <w:spacing w:val="-2"/>
          <w:kern w:val="0"/>
          <w:sz w:val="36"/>
          <w:szCs w:val="36"/>
        </w:rPr>
        <w:t>江苏省二级注册建造师继续教育管理办法</w:t>
      </w:r>
    </w:p>
    <w:p>
      <w:pPr>
        <w:spacing w:line="460" w:lineRule="exact"/>
        <w:ind w:firstLine="472" w:firstLineChars="200"/>
        <w:rPr>
          <w:rFonts w:eastAsia="方正仿宋_GBK"/>
          <w:color w:val="000000"/>
          <w:spacing w:val="-2"/>
          <w:kern w:val="0"/>
          <w:sz w:val="24"/>
        </w:rPr>
      </w:pP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第一条</w:t>
      </w:r>
      <w:r>
        <w:rPr>
          <w:rFonts w:eastAsia="方正仿宋_GBK"/>
          <w:color w:val="000000"/>
          <w:spacing w:val="-2"/>
          <w:kern w:val="0"/>
          <w:sz w:val="24"/>
        </w:rPr>
        <w:t xml:space="preserve">  </w:t>
      </w:r>
      <w:r>
        <w:rPr>
          <w:rFonts w:hint="eastAsia" w:eastAsia="方正仿宋_GBK"/>
          <w:color w:val="000000"/>
          <w:spacing w:val="-2"/>
          <w:kern w:val="0"/>
          <w:sz w:val="24"/>
        </w:rPr>
        <w:t>为进一步提高我省二级注册建造师的执业能力，促进建设工程项目管理水平的提高，根据《注册建造师管理规定》（</w:t>
      </w:r>
      <w:r>
        <w:rPr>
          <w:rFonts w:hint="eastAsia" w:eastAsia="方正仿宋_GBK"/>
          <w:bCs/>
          <w:color w:val="000000"/>
          <w:spacing w:val="-2"/>
          <w:kern w:val="0"/>
          <w:sz w:val="24"/>
        </w:rPr>
        <w:t>建设部令第</w:t>
      </w:r>
      <w:r>
        <w:rPr>
          <w:rFonts w:eastAsia="方正仿宋_GBK"/>
          <w:bCs/>
          <w:color w:val="000000"/>
          <w:spacing w:val="-2"/>
          <w:kern w:val="0"/>
          <w:sz w:val="24"/>
        </w:rPr>
        <w:t>153</w:t>
      </w:r>
      <w:r>
        <w:rPr>
          <w:rFonts w:hint="eastAsia" w:eastAsia="方正仿宋_GBK"/>
          <w:bCs/>
          <w:color w:val="000000"/>
          <w:spacing w:val="-2"/>
          <w:kern w:val="0"/>
          <w:sz w:val="24"/>
        </w:rPr>
        <w:t>号）</w:t>
      </w:r>
      <w:r>
        <w:rPr>
          <w:rFonts w:hint="eastAsia" w:eastAsia="方正仿宋_GBK"/>
          <w:color w:val="000000"/>
          <w:spacing w:val="-2"/>
          <w:kern w:val="0"/>
          <w:sz w:val="24"/>
        </w:rPr>
        <w:t>、住房和城乡建设部《关于印发</w:t>
      </w:r>
      <w:r>
        <w:rPr>
          <w:rFonts w:eastAsia="方正仿宋_GBK"/>
          <w:color w:val="000000"/>
          <w:spacing w:val="-2"/>
          <w:kern w:val="0"/>
          <w:sz w:val="24"/>
        </w:rPr>
        <w:t>&lt;</w:t>
      </w:r>
      <w:r>
        <w:rPr>
          <w:rFonts w:hint="eastAsia" w:eastAsia="方正仿宋_GBK"/>
          <w:color w:val="000000"/>
          <w:spacing w:val="-2"/>
          <w:kern w:val="0"/>
          <w:sz w:val="24"/>
        </w:rPr>
        <w:t>注册建造师继续教育管理暂行办法</w:t>
      </w:r>
      <w:r>
        <w:rPr>
          <w:rFonts w:eastAsia="方正仿宋_GBK"/>
          <w:color w:val="000000"/>
          <w:spacing w:val="-2"/>
          <w:kern w:val="0"/>
          <w:sz w:val="24"/>
        </w:rPr>
        <w:t>&gt;</w:t>
      </w:r>
      <w:r>
        <w:rPr>
          <w:rFonts w:hint="eastAsia" w:eastAsia="方正仿宋_GBK"/>
          <w:color w:val="000000"/>
          <w:spacing w:val="-2"/>
          <w:kern w:val="0"/>
          <w:sz w:val="24"/>
        </w:rPr>
        <w:t>的通知》（建市</w:t>
      </w:r>
      <w:r>
        <w:rPr>
          <w:rFonts w:hint="eastAsia" w:eastAsia="方正仿宋_GBK"/>
          <w:bCs/>
          <w:color w:val="000000"/>
          <w:spacing w:val="-2"/>
          <w:kern w:val="0"/>
          <w:sz w:val="24"/>
        </w:rPr>
        <w:t>〔</w:t>
      </w:r>
      <w:r>
        <w:rPr>
          <w:rFonts w:eastAsia="方正仿宋_GBK"/>
          <w:bCs/>
          <w:color w:val="000000"/>
          <w:spacing w:val="-2"/>
          <w:kern w:val="0"/>
          <w:sz w:val="24"/>
        </w:rPr>
        <w:t>2010</w:t>
      </w:r>
      <w:r>
        <w:rPr>
          <w:rFonts w:hint="eastAsia" w:eastAsia="方正仿宋_GBK"/>
          <w:bCs/>
          <w:color w:val="000000"/>
          <w:spacing w:val="-2"/>
          <w:kern w:val="0"/>
          <w:sz w:val="24"/>
        </w:rPr>
        <w:t>〕</w:t>
      </w:r>
      <w:r>
        <w:rPr>
          <w:rFonts w:eastAsia="方正仿宋_GBK"/>
          <w:color w:val="000000"/>
          <w:spacing w:val="-2"/>
          <w:kern w:val="0"/>
          <w:sz w:val="24"/>
        </w:rPr>
        <w:t>192</w:t>
      </w:r>
      <w:r>
        <w:rPr>
          <w:rFonts w:hint="eastAsia" w:eastAsia="方正仿宋_GBK"/>
          <w:color w:val="000000"/>
          <w:spacing w:val="-2"/>
          <w:kern w:val="0"/>
          <w:sz w:val="24"/>
        </w:rPr>
        <w:t>号），制定本办法。</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第二条</w:t>
      </w:r>
      <w:r>
        <w:rPr>
          <w:rFonts w:eastAsia="方正仿宋_GBK"/>
          <w:color w:val="000000"/>
          <w:spacing w:val="-2"/>
          <w:kern w:val="0"/>
          <w:sz w:val="24"/>
        </w:rPr>
        <w:t xml:space="preserve">  </w:t>
      </w:r>
      <w:r>
        <w:rPr>
          <w:rFonts w:hint="eastAsia" w:eastAsia="方正仿宋_GBK"/>
          <w:color w:val="000000"/>
          <w:spacing w:val="-2"/>
          <w:kern w:val="0"/>
          <w:sz w:val="24"/>
        </w:rPr>
        <w:t>二级注册建造师通过继续教育，应及时掌握新出台的工程建设有关法律法规、标准规范，熟悉工程建设项目管理新理论、新方法、新技术、新材料、新设备、新工艺，切实增强职业道德和社会责任感，不断提高综合素质和执业能力。</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第三条</w:t>
      </w:r>
      <w:r>
        <w:rPr>
          <w:rFonts w:eastAsia="方正仿宋_GBK"/>
          <w:color w:val="000000"/>
          <w:spacing w:val="-2"/>
          <w:kern w:val="0"/>
          <w:sz w:val="24"/>
        </w:rPr>
        <w:t xml:space="preserve">  </w:t>
      </w:r>
      <w:r>
        <w:rPr>
          <w:rFonts w:hint="eastAsia" w:eastAsia="方正仿宋_GBK"/>
          <w:color w:val="000000"/>
          <w:spacing w:val="-2"/>
          <w:kern w:val="0"/>
          <w:sz w:val="24"/>
        </w:rPr>
        <w:t>二级注册建造师继续教育分为必修课和选修课。必修课以集中辅导为主，选修课采用网络教学等方式开展。</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第四条</w:t>
      </w:r>
      <w:r>
        <w:rPr>
          <w:rFonts w:eastAsia="方正仿宋_GBK"/>
          <w:color w:val="000000"/>
          <w:spacing w:val="-2"/>
          <w:kern w:val="0"/>
          <w:sz w:val="24"/>
        </w:rPr>
        <w:t xml:space="preserve">  </w:t>
      </w:r>
      <w:r>
        <w:rPr>
          <w:rFonts w:hint="eastAsia" w:eastAsia="方正仿宋_GBK"/>
          <w:color w:val="000000"/>
          <w:spacing w:val="-2"/>
          <w:kern w:val="0"/>
          <w:sz w:val="24"/>
        </w:rPr>
        <w:t>省住房和城乡建设厅负责全省二级注册建造师继续教育的组织实施和管理，编制和发布继续教育规划及计划，审定继续教育教材，监督管理各单位继续教育开展情况。</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第五条</w:t>
      </w:r>
      <w:r>
        <w:rPr>
          <w:rFonts w:eastAsia="方正仿宋_GBK"/>
          <w:color w:val="000000"/>
          <w:spacing w:val="-2"/>
          <w:kern w:val="0"/>
          <w:sz w:val="24"/>
        </w:rPr>
        <w:t xml:space="preserve">  </w:t>
      </w:r>
      <w:r>
        <w:rPr>
          <w:rFonts w:hint="eastAsia" w:eastAsia="方正仿宋_GBK"/>
          <w:color w:val="000000"/>
          <w:spacing w:val="-2"/>
          <w:kern w:val="0"/>
          <w:sz w:val="24"/>
        </w:rPr>
        <w:t>有关行业协会在省住房和城乡建设厅的指导下，协助做好二级注册建造师继续教育教材的编写。</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第六条</w:t>
      </w:r>
      <w:r>
        <w:rPr>
          <w:rFonts w:eastAsia="方正仿宋_GBK"/>
          <w:color w:val="000000"/>
          <w:spacing w:val="-2"/>
          <w:kern w:val="0"/>
          <w:sz w:val="24"/>
        </w:rPr>
        <w:t xml:space="preserve">  </w:t>
      </w:r>
      <w:r>
        <w:rPr>
          <w:rFonts w:hint="eastAsia" w:eastAsia="方正仿宋_GBK"/>
          <w:color w:val="000000"/>
          <w:spacing w:val="-2"/>
          <w:kern w:val="0"/>
          <w:sz w:val="24"/>
        </w:rPr>
        <w:t>全省二级注册建造师继续教育由培训机构组织培训，也可以由企业自行组织培训，培训师资应具有较高理论水平或具有丰富实践经验的教师、专家承担。</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第七条</w:t>
      </w:r>
      <w:r>
        <w:rPr>
          <w:rFonts w:eastAsia="方正仿宋_GBK"/>
          <w:color w:val="000000"/>
          <w:spacing w:val="-2"/>
          <w:kern w:val="0"/>
          <w:sz w:val="24"/>
        </w:rPr>
        <w:t xml:space="preserve">  </w:t>
      </w:r>
      <w:r>
        <w:rPr>
          <w:rFonts w:hint="eastAsia" w:eastAsia="方正仿宋_GBK"/>
          <w:color w:val="000000"/>
          <w:spacing w:val="-2"/>
          <w:kern w:val="0"/>
          <w:sz w:val="24"/>
        </w:rPr>
        <w:t>培训机构和企业应当按照省厅二级注册建造师继续教育计划组织培训，抓好教学管理各个环节，努力提高培训质量。注册建造师参加培训机构培训或企业自行组织培训的具体实施办法另行规定。</w:t>
      </w:r>
    </w:p>
    <w:p>
      <w:pPr>
        <w:spacing w:line="460" w:lineRule="exact"/>
        <w:ind w:firstLine="474" w:firstLineChars="200"/>
        <w:rPr>
          <w:rFonts w:eastAsia="方正仿宋_GBK"/>
          <w:color w:val="000000"/>
          <w:spacing w:val="-2"/>
          <w:kern w:val="0"/>
          <w:sz w:val="24"/>
        </w:rPr>
      </w:pPr>
      <w:r>
        <w:rPr>
          <w:rFonts w:hint="eastAsia" w:eastAsia="方正仿宋_GBK"/>
          <w:b/>
          <w:bCs/>
          <w:color w:val="000000"/>
          <w:spacing w:val="-2"/>
          <w:kern w:val="0"/>
          <w:sz w:val="24"/>
        </w:rPr>
        <w:t>第八条</w:t>
      </w:r>
      <w:r>
        <w:rPr>
          <w:rFonts w:eastAsia="方正仿宋_GBK"/>
          <w:b/>
          <w:bCs/>
          <w:color w:val="000000"/>
          <w:spacing w:val="-2"/>
          <w:kern w:val="0"/>
          <w:sz w:val="24"/>
        </w:rPr>
        <w:t xml:space="preserve"> </w:t>
      </w:r>
      <w:r>
        <w:rPr>
          <w:rFonts w:eastAsia="方正仿宋_GBK"/>
          <w:color w:val="000000"/>
          <w:spacing w:val="-2"/>
          <w:kern w:val="0"/>
          <w:sz w:val="24"/>
        </w:rPr>
        <w:t xml:space="preserve"> </w:t>
      </w:r>
      <w:r>
        <w:rPr>
          <w:rFonts w:hint="eastAsia" w:eastAsia="方正仿宋_GBK"/>
          <w:color w:val="000000"/>
          <w:spacing w:val="-2"/>
          <w:kern w:val="0"/>
          <w:sz w:val="24"/>
        </w:rPr>
        <w:t>二级注册建造师参加培训机构或企业自行组织培训结束后应组织培训情况测试，测试的具体内容、方式由省住房和城乡建设厅确定，测试合格的方可办理有关注册手续。</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第九条</w:t>
      </w:r>
      <w:r>
        <w:rPr>
          <w:rFonts w:eastAsia="方正仿宋_GBK"/>
          <w:color w:val="000000"/>
          <w:spacing w:val="-2"/>
          <w:kern w:val="0"/>
          <w:sz w:val="24"/>
        </w:rPr>
        <w:t xml:space="preserve">  </w:t>
      </w:r>
      <w:r>
        <w:rPr>
          <w:rFonts w:hint="eastAsia" w:eastAsia="方正仿宋_GBK"/>
          <w:color w:val="000000"/>
          <w:spacing w:val="-2"/>
          <w:kern w:val="0"/>
          <w:sz w:val="24"/>
        </w:rPr>
        <w:t>培训单位应积极探索并开展现场观摩会、研讨会、交流会等多样化教学方式，切实提高教学质量和教学效果。</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第十条</w:t>
      </w:r>
      <w:r>
        <w:rPr>
          <w:rFonts w:eastAsia="方正仿宋_GBK"/>
          <w:color w:val="000000"/>
          <w:spacing w:val="-2"/>
          <w:kern w:val="0"/>
          <w:sz w:val="24"/>
        </w:rPr>
        <w:t xml:space="preserve">  </w:t>
      </w:r>
      <w:r>
        <w:rPr>
          <w:rFonts w:hint="eastAsia" w:eastAsia="方正仿宋_GBK"/>
          <w:color w:val="000000"/>
          <w:spacing w:val="-2"/>
          <w:kern w:val="0"/>
          <w:sz w:val="24"/>
        </w:rPr>
        <w:t>二级注册建造师可以根据工作需要集中或分年度安排继续教育的学时，在每一注册有效期内接受</w:t>
      </w:r>
      <w:r>
        <w:rPr>
          <w:rFonts w:eastAsia="方正仿宋_GBK"/>
          <w:color w:val="000000"/>
          <w:spacing w:val="-2"/>
          <w:kern w:val="0"/>
          <w:sz w:val="24"/>
        </w:rPr>
        <w:t>120</w:t>
      </w:r>
      <w:r>
        <w:rPr>
          <w:rFonts w:hint="eastAsia" w:eastAsia="方正仿宋_GBK"/>
          <w:color w:val="000000"/>
          <w:spacing w:val="-2"/>
          <w:kern w:val="0"/>
          <w:sz w:val="24"/>
        </w:rPr>
        <w:t>学时继续教育，必修课和选修课各为</w:t>
      </w:r>
      <w:r>
        <w:rPr>
          <w:rFonts w:eastAsia="方正仿宋_GBK"/>
          <w:color w:val="000000"/>
          <w:spacing w:val="-2"/>
          <w:kern w:val="0"/>
          <w:sz w:val="24"/>
        </w:rPr>
        <w:t>60</w:t>
      </w:r>
      <w:r>
        <w:rPr>
          <w:rFonts w:hint="eastAsia" w:eastAsia="方正仿宋_GBK"/>
          <w:color w:val="000000"/>
          <w:spacing w:val="-2"/>
          <w:kern w:val="0"/>
          <w:sz w:val="24"/>
        </w:rPr>
        <w:t>学时。注册两个及以上专业的，每增加一个专业还应参加所增加专业</w:t>
      </w:r>
      <w:r>
        <w:rPr>
          <w:rFonts w:eastAsia="方正仿宋_GBK"/>
          <w:color w:val="000000"/>
          <w:spacing w:val="-2"/>
          <w:kern w:val="0"/>
          <w:sz w:val="24"/>
        </w:rPr>
        <w:t>60</w:t>
      </w:r>
      <w:r>
        <w:rPr>
          <w:rFonts w:hint="eastAsia" w:eastAsia="方正仿宋_GBK"/>
          <w:color w:val="000000"/>
          <w:spacing w:val="-2"/>
          <w:kern w:val="0"/>
          <w:sz w:val="24"/>
        </w:rPr>
        <w:t>学时的继续教育，其中必修课</w:t>
      </w:r>
      <w:r>
        <w:rPr>
          <w:rFonts w:eastAsia="方正仿宋_GBK"/>
          <w:color w:val="000000"/>
          <w:spacing w:val="-2"/>
          <w:kern w:val="0"/>
          <w:sz w:val="24"/>
        </w:rPr>
        <w:t>30</w:t>
      </w:r>
      <w:r>
        <w:rPr>
          <w:rFonts w:hint="eastAsia" w:eastAsia="方正仿宋_GBK"/>
          <w:color w:val="000000"/>
          <w:spacing w:val="-2"/>
          <w:kern w:val="0"/>
          <w:sz w:val="24"/>
        </w:rPr>
        <w:t>学时，选修课</w:t>
      </w:r>
      <w:r>
        <w:rPr>
          <w:rFonts w:eastAsia="方正仿宋_GBK"/>
          <w:color w:val="000000"/>
          <w:spacing w:val="-2"/>
          <w:kern w:val="0"/>
          <w:sz w:val="24"/>
        </w:rPr>
        <w:t>30</w:t>
      </w:r>
      <w:r>
        <w:rPr>
          <w:rFonts w:hint="eastAsia" w:eastAsia="方正仿宋_GBK"/>
          <w:color w:val="000000"/>
          <w:spacing w:val="-2"/>
          <w:kern w:val="0"/>
          <w:sz w:val="24"/>
        </w:rPr>
        <w:t>学时。</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第十一条</w:t>
      </w:r>
      <w:r>
        <w:rPr>
          <w:rFonts w:eastAsia="方正仿宋_GBK"/>
          <w:color w:val="000000"/>
          <w:spacing w:val="-2"/>
          <w:kern w:val="0"/>
          <w:sz w:val="24"/>
        </w:rPr>
        <w:t xml:space="preserve">  </w:t>
      </w:r>
      <w:r>
        <w:rPr>
          <w:rFonts w:hint="eastAsia" w:eastAsia="方正仿宋_GBK"/>
          <w:color w:val="000000"/>
          <w:spacing w:val="-2"/>
          <w:kern w:val="0"/>
          <w:sz w:val="24"/>
        </w:rPr>
        <w:t>二级注册建造师在每一注册有效期内从事以下工作并取得相应证明的，可充抵继续教育选修课的学时：</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（一）参加全国建造师执业资格考试大纲编写及命题工作，每次计</w:t>
      </w:r>
      <w:r>
        <w:rPr>
          <w:rFonts w:eastAsia="方正仿宋_GBK"/>
          <w:color w:val="000000"/>
          <w:spacing w:val="-2"/>
          <w:kern w:val="0"/>
          <w:sz w:val="24"/>
        </w:rPr>
        <w:t>20</w:t>
      </w:r>
      <w:r>
        <w:rPr>
          <w:rFonts w:hint="eastAsia" w:eastAsia="方正仿宋_GBK"/>
          <w:color w:val="000000"/>
          <w:spacing w:val="-2"/>
          <w:kern w:val="0"/>
          <w:sz w:val="24"/>
        </w:rPr>
        <w:t>学时；</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（二）从事注册建造师继续教育教材编写工作，每次计</w:t>
      </w:r>
      <w:r>
        <w:rPr>
          <w:rFonts w:eastAsia="方正仿宋_GBK"/>
          <w:color w:val="000000"/>
          <w:spacing w:val="-2"/>
          <w:kern w:val="0"/>
          <w:sz w:val="24"/>
        </w:rPr>
        <w:t>20</w:t>
      </w:r>
      <w:r>
        <w:rPr>
          <w:rFonts w:hint="eastAsia" w:eastAsia="方正仿宋_GBK"/>
          <w:color w:val="000000"/>
          <w:spacing w:val="-2"/>
          <w:kern w:val="0"/>
          <w:sz w:val="24"/>
        </w:rPr>
        <w:t>学时；</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（三）在公开发行的省部级期刊上发表有关建设工程项目管理的学术论文的，第一作者每篇计</w:t>
      </w:r>
      <w:r>
        <w:rPr>
          <w:rFonts w:eastAsia="方正仿宋_GBK"/>
          <w:color w:val="000000"/>
          <w:spacing w:val="-2"/>
          <w:kern w:val="0"/>
          <w:sz w:val="24"/>
        </w:rPr>
        <w:t>10</w:t>
      </w:r>
      <w:r>
        <w:rPr>
          <w:rFonts w:hint="eastAsia" w:eastAsia="方正仿宋_GBK"/>
          <w:color w:val="000000"/>
          <w:spacing w:val="-2"/>
          <w:kern w:val="0"/>
          <w:sz w:val="24"/>
        </w:rPr>
        <w:t>学时；公开出版</w:t>
      </w:r>
      <w:r>
        <w:rPr>
          <w:rFonts w:eastAsia="方正仿宋_GBK"/>
          <w:color w:val="000000"/>
          <w:spacing w:val="-2"/>
          <w:kern w:val="0"/>
          <w:sz w:val="24"/>
        </w:rPr>
        <w:t>5</w:t>
      </w:r>
      <w:r>
        <w:rPr>
          <w:rFonts w:hint="eastAsia" w:eastAsia="方正仿宋_GBK"/>
          <w:color w:val="000000"/>
          <w:spacing w:val="-2"/>
          <w:kern w:val="0"/>
          <w:sz w:val="24"/>
        </w:rPr>
        <w:t>万字以上专著、教材的，第一、二作者每人计</w:t>
      </w:r>
      <w:r>
        <w:rPr>
          <w:rFonts w:eastAsia="方正仿宋_GBK"/>
          <w:color w:val="000000"/>
          <w:spacing w:val="-2"/>
          <w:kern w:val="0"/>
          <w:sz w:val="24"/>
        </w:rPr>
        <w:t>20</w:t>
      </w:r>
      <w:r>
        <w:rPr>
          <w:rFonts w:hint="eastAsia" w:eastAsia="方正仿宋_GBK"/>
          <w:color w:val="000000"/>
          <w:spacing w:val="-2"/>
          <w:kern w:val="0"/>
          <w:sz w:val="24"/>
        </w:rPr>
        <w:t>学时；</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（四）参加建造师继续教育授课工作的按授课学时计算。</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第十二条</w:t>
      </w:r>
      <w:r>
        <w:rPr>
          <w:rFonts w:eastAsia="方正仿宋_GBK"/>
          <w:color w:val="000000"/>
          <w:spacing w:val="-2"/>
          <w:kern w:val="0"/>
          <w:sz w:val="24"/>
        </w:rPr>
        <w:t xml:space="preserve">  </w:t>
      </w:r>
      <w:r>
        <w:rPr>
          <w:rFonts w:hint="eastAsia" w:eastAsia="方正仿宋_GBK"/>
          <w:color w:val="000000"/>
          <w:spacing w:val="-2"/>
          <w:kern w:val="0"/>
          <w:sz w:val="24"/>
        </w:rPr>
        <w:t>二级注册建造师在每一注册有效期内担任过施工现场项目经理职务，所负责的工程项目获得以下奖项并取得相应证明的，可充抵继续教育的学时：</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（一）所承担工程项目获得国家级优质工程奖项的，可充抵继续教育必修课和选修课全部学时；</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（二）所承担工程项目获得省级优质工程奖项的，可充抵选修课全部学时；</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（三）经省住房和城乡建设厅认定可以充抵课时的其他有关业绩。</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第十三条</w:t>
      </w:r>
      <w:r>
        <w:rPr>
          <w:rFonts w:eastAsia="方正仿宋_GBK"/>
          <w:color w:val="000000"/>
          <w:spacing w:val="-2"/>
          <w:kern w:val="0"/>
          <w:sz w:val="24"/>
        </w:rPr>
        <w:t xml:space="preserve">  </w:t>
      </w:r>
      <w:r>
        <w:rPr>
          <w:rFonts w:hint="eastAsia" w:eastAsia="方正仿宋_GBK"/>
          <w:color w:val="000000"/>
          <w:spacing w:val="-2"/>
          <w:kern w:val="0"/>
          <w:sz w:val="24"/>
        </w:rPr>
        <w:t>继续教育学时充抵材料，由各省辖市建设主管部门和省有关厅局初审后报省住房和城乡建设厅认定。</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第十四条</w:t>
      </w:r>
      <w:r>
        <w:rPr>
          <w:rFonts w:eastAsia="方正仿宋_GBK"/>
          <w:color w:val="000000"/>
          <w:spacing w:val="-2"/>
          <w:kern w:val="0"/>
          <w:sz w:val="24"/>
        </w:rPr>
        <w:t xml:space="preserve">  </w:t>
      </w:r>
      <w:r>
        <w:rPr>
          <w:rFonts w:hint="eastAsia" w:eastAsia="方正仿宋_GBK"/>
          <w:color w:val="000000"/>
          <w:spacing w:val="-2"/>
          <w:kern w:val="0"/>
          <w:sz w:val="24"/>
        </w:rPr>
        <w:t>二级注册建造师应按期接受继续教育，所在单位应当为其接受继续教育提供必要条件。二级注册建造师在参加继续教育期间享有国家规定的工资、保险、福利待遇。</w:t>
      </w:r>
    </w:p>
    <w:p>
      <w:pPr>
        <w:spacing w:line="460" w:lineRule="exact"/>
        <w:ind w:firstLine="472" w:firstLineChars="200"/>
        <w:rPr>
          <w:rFonts w:eastAsia="方正仿宋_GBK"/>
          <w:color w:val="000000"/>
          <w:spacing w:val="-2"/>
          <w:kern w:val="0"/>
          <w:sz w:val="24"/>
        </w:rPr>
      </w:pPr>
      <w:r>
        <w:rPr>
          <w:rFonts w:hint="eastAsia" w:eastAsia="方正黑体_GBK"/>
          <w:color w:val="000000"/>
          <w:spacing w:val="-2"/>
          <w:kern w:val="0"/>
          <w:sz w:val="24"/>
        </w:rPr>
        <w:t>第十五条</w:t>
      </w:r>
      <w:r>
        <w:rPr>
          <w:rFonts w:eastAsia="方正仿宋_GBK"/>
          <w:color w:val="000000"/>
          <w:spacing w:val="-2"/>
          <w:kern w:val="0"/>
          <w:sz w:val="24"/>
        </w:rPr>
        <w:t xml:space="preserve">  </w:t>
      </w:r>
      <w:r>
        <w:rPr>
          <w:rFonts w:hint="eastAsia" w:eastAsia="方正仿宋_GBK"/>
          <w:color w:val="000000"/>
          <w:spacing w:val="-2"/>
          <w:kern w:val="0"/>
          <w:sz w:val="24"/>
        </w:rPr>
        <w:t>本办法由省住房和城乡建设厅负责解释。</w:t>
      </w:r>
    </w:p>
    <w:p>
      <w:pPr>
        <w:spacing w:line="460" w:lineRule="exact"/>
        <w:ind w:firstLine="479" w:firstLineChars="203"/>
        <w:rPr>
          <w:rFonts w:eastAsia="方正仿宋_GBK"/>
          <w:color w:val="000000"/>
          <w:spacing w:val="-2"/>
          <w:kern w:val="0"/>
          <w:sz w:val="24"/>
        </w:rPr>
      </w:pPr>
      <w:r>
        <w:rPr>
          <w:rFonts w:hint="eastAsia" w:eastAsia="方正黑体_GBK"/>
          <w:color w:val="000000"/>
          <w:spacing w:val="-2"/>
          <w:kern w:val="0"/>
          <w:sz w:val="24"/>
        </w:rPr>
        <w:t>第十六条</w:t>
      </w:r>
      <w:r>
        <w:rPr>
          <w:rFonts w:eastAsia="方正仿宋_GBK"/>
          <w:color w:val="000000"/>
          <w:spacing w:val="-2"/>
          <w:kern w:val="0"/>
          <w:sz w:val="24"/>
        </w:rPr>
        <w:t xml:space="preserve">  </w:t>
      </w:r>
      <w:r>
        <w:rPr>
          <w:rFonts w:hint="eastAsia" w:eastAsia="方正仿宋_GBK"/>
          <w:color w:val="000000"/>
          <w:spacing w:val="-2"/>
          <w:kern w:val="0"/>
          <w:sz w:val="24"/>
        </w:rPr>
        <w:t>本办法自</w:t>
      </w:r>
      <w:r>
        <w:rPr>
          <w:rFonts w:eastAsia="方正仿宋_GBK"/>
          <w:color w:val="000000"/>
          <w:spacing w:val="-2"/>
          <w:kern w:val="0"/>
          <w:sz w:val="24"/>
        </w:rPr>
        <w:t>2018</w:t>
      </w:r>
      <w:r>
        <w:rPr>
          <w:rFonts w:hint="eastAsia" w:eastAsia="方正仿宋_GBK"/>
          <w:color w:val="000000"/>
          <w:spacing w:val="-2"/>
          <w:kern w:val="0"/>
          <w:sz w:val="24"/>
        </w:rPr>
        <w:t>年</w:t>
      </w:r>
      <w:r>
        <w:rPr>
          <w:rFonts w:eastAsia="方正仿宋_GBK"/>
          <w:color w:val="000000"/>
          <w:spacing w:val="-2"/>
          <w:kern w:val="0"/>
          <w:sz w:val="24"/>
        </w:rPr>
        <w:t>1</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日起施行。</w:t>
      </w:r>
    </w:p>
    <w:p>
      <w:pPr>
        <w:spacing w:line="460" w:lineRule="exact"/>
        <w:rPr>
          <w:rFonts w:eastAsia="方正仿宋_GBK"/>
          <w:color w:val="000000"/>
          <w:spacing w:val="-2"/>
          <w:sz w:val="24"/>
        </w:rPr>
      </w:pPr>
    </w:p>
    <w:p>
      <w:pPr>
        <w:rPr>
          <w:rFonts w:eastAsia="方正仿宋_GBK"/>
          <w:sz w:val="24"/>
        </w:rPr>
      </w:pPr>
      <w:r>
        <w:rPr>
          <w:rFonts w:eastAsia="方正仿宋_GBK"/>
          <w:color w:val="000000"/>
          <w:spacing w:val="-2"/>
          <w:kern w:val="0"/>
          <w:sz w:val="24"/>
        </w:rPr>
        <w:br w:type="column"/>
      </w:r>
    </w:p>
    <w:p>
      <w:pPr>
        <w:rPr>
          <w:rFonts w:eastAsia="方正仿宋_GBK"/>
          <w:sz w:val="24"/>
        </w:rPr>
      </w:pPr>
    </w:p>
    <w:p>
      <w:pPr>
        <w:widowControl/>
        <w:jc w:val="left"/>
        <w:rPr>
          <w:rFonts w:eastAsia="方正仿宋_GBK"/>
          <w:sz w:val="24"/>
        </w:rPr>
        <w:sectPr>
          <w:pgSz w:w="11905" w:h="16838"/>
          <w:pgMar w:top="1701" w:right="1587" w:bottom="1701" w:left="1587" w:header="850" w:footer="1361" w:gutter="0"/>
          <w:paperSrc w:first="4" w:other="4"/>
          <w:cols w:space="720" w:num="1"/>
        </w:sectPr>
      </w:pPr>
    </w:p>
    <w:p>
      <w:pPr>
        <w:pStyle w:val="2"/>
        <w:spacing w:before="240" w:beforeLines="100" w:after="240" w:afterLines="100" w:line="240" w:lineRule="auto"/>
        <w:jc w:val="center"/>
        <w:rPr>
          <w:rFonts w:ascii="Times New Roman" w:eastAsia="方正小标宋_GBK"/>
          <w:b w:val="0"/>
          <w:sz w:val="36"/>
          <w:szCs w:val="36"/>
        </w:rPr>
      </w:pPr>
      <w:bookmarkStart w:id="621" w:name="_Toc20726660"/>
      <w:bookmarkStart w:id="622" w:name="_Toc18315801"/>
      <w:r>
        <w:rPr>
          <w:rFonts w:hint="eastAsia" w:ascii="Times New Roman" w:eastAsia="方正小标宋_GBK"/>
          <w:b w:val="0"/>
          <w:sz w:val="36"/>
          <w:szCs w:val="36"/>
        </w:rPr>
        <w:t>省住房城乡建设厅关于做好全省建筑施工现场管理   人员、技术工人证书信息采集工作的通知</w:t>
      </w:r>
      <w:bookmarkEnd w:id="621"/>
      <w:bookmarkEnd w:id="622"/>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23" w:name="_Toc20726661"/>
      <w:bookmarkStart w:id="624" w:name="_Toc18315802"/>
      <w:r>
        <w:rPr>
          <w:rFonts w:hint="eastAsia" w:ascii="Times New Roman" w:hAnsi="Times New Roman" w:eastAsia="方正楷体_GBK"/>
          <w:b w:val="0"/>
          <w:sz w:val="24"/>
          <w:szCs w:val="24"/>
        </w:rPr>
        <w:t>苏建函教〔</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528</w:t>
      </w:r>
      <w:r>
        <w:rPr>
          <w:rFonts w:hint="eastAsia" w:ascii="Times New Roman" w:hAnsi="Times New Roman" w:eastAsia="方正楷体_GBK"/>
          <w:b w:val="0"/>
          <w:sz w:val="24"/>
          <w:szCs w:val="24"/>
        </w:rPr>
        <w:t>号</w:t>
      </w:r>
      <w:bookmarkEnd w:id="623"/>
      <w:bookmarkEnd w:id="624"/>
    </w:p>
    <w:p>
      <w:pPr>
        <w:spacing w:line="460" w:lineRule="exact"/>
        <w:rPr>
          <w:rFonts w:eastAsia="方正仿宋_GBK"/>
          <w:color w:val="000000"/>
          <w:spacing w:val="-2"/>
          <w:sz w:val="24"/>
        </w:rPr>
      </w:pPr>
      <w:r>
        <w:rPr>
          <w:rFonts w:hint="eastAsia" w:eastAsia="方正仿宋_GBK"/>
          <w:color w:val="000000"/>
          <w:spacing w:val="-2"/>
          <w:sz w:val="24"/>
        </w:rPr>
        <w:t>各省辖市建设局（委），泰州建工局，苏州工业园区规划局，张家港保税区规划建设局，昆山市、泰兴市、沭阳县建设局：</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根据住房城乡建设部</w:t>
      </w:r>
      <w:r>
        <w:rPr>
          <w:rFonts w:hint="eastAsia" w:eastAsia="方正仿宋_GBK"/>
          <w:color w:val="000000"/>
          <w:spacing w:val="-2"/>
          <w:sz w:val="24"/>
          <w:shd w:val="clear" w:color="auto" w:fill="FFFFFF"/>
        </w:rPr>
        <w:t>《建筑业企业资质管理规定和资质标准实施意见》（</w:t>
      </w:r>
      <w:r>
        <w:rPr>
          <w:rFonts w:hint="eastAsia" w:eastAsia="方正仿宋_GBK"/>
          <w:color w:val="000000"/>
          <w:spacing w:val="-2"/>
          <w:sz w:val="24"/>
        </w:rPr>
        <w:t>建市〔</w:t>
      </w:r>
      <w:r>
        <w:rPr>
          <w:rFonts w:eastAsia="方正仿宋_GBK"/>
          <w:color w:val="000000"/>
          <w:spacing w:val="-2"/>
          <w:sz w:val="24"/>
        </w:rPr>
        <w:t>2015</w:t>
      </w:r>
      <w:r>
        <w:rPr>
          <w:rFonts w:hint="eastAsia" w:eastAsia="方正仿宋_GBK"/>
          <w:color w:val="000000"/>
          <w:spacing w:val="-2"/>
          <w:sz w:val="24"/>
        </w:rPr>
        <w:t>〕</w:t>
      </w:r>
      <w:r>
        <w:rPr>
          <w:rFonts w:eastAsia="方正仿宋_GBK"/>
          <w:color w:val="000000"/>
          <w:spacing w:val="-2"/>
          <w:sz w:val="24"/>
        </w:rPr>
        <w:t>20</w:t>
      </w:r>
      <w:r>
        <w:rPr>
          <w:rFonts w:hint="eastAsia" w:eastAsia="方正仿宋_GBK"/>
          <w:color w:val="000000"/>
          <w:spacing w:val="-2"/>
          <w:sz w:val="24"/>
        </w:rPr>
        <w:t>号</w:t>
      </w:r>
      <w:r>
        <w:rPr>
          <w:rFonts w:hint="eastAsia" w:eastAsia="方正仿宋_GBK"/>
          <w:color w:val="000000"/>
          <w:spacing w:val="-2"/>
          <w:sz w:val="24"/>
          <w:shd w:val="clear" w:color="auto" w:fill="FFFFFF"/>
        </w:rPr>
        <w:t>）</w:t>
      </w:r>
      <w:r>
        <w:rPr>
          <w:rFonts w:hint="eastAsia" w:eastAsia="方正仿宋_GBK"/>
          <w:color w:val="000000"/>
          <w:spacing w:val="-2"/>
          <w:sz w:val="24"/>
        </w:rPr>
        <w:t>、省住房城乡建设厅《关于做好建筑业企业资质管理中主要人员信息采集工作的通知》</w:t>
      </w:r>
      <w:r>
        <w:rPr>
          <w:rFonts w:eastAsia="方正仿宋_GBK"/>
          <w:color w:val="000000"/>
          <w:spacing w:val="-2"/>
          <w:sz w:val="24"/>
        </w:rPr>
        <w:t>(</w:t>
      </w:r>
      <w:r>
        <w:rPr>
          <w:rFonts w:hint="eastAsia" w:eastAsia="方正仿宋_GBK"/>
          <w:color w:val="000000"/>
          <w:spacing w:val="-2"/>
          <w:sz w:val="24"/>
        </w:rPr>
        <w:t>苏建建管〔</w:t>
      </w:r>
      <w:r>
        <w:rPr>
          <w:rFonts w:eastAsia="方正仿宋_GBK"/>
          <w:color w:val="000000"/>
          <w:spacing w:val="-2"/>
          <w:sz w:val="24"/>
        </w:rPr>
        <w:t>2015</w:t>
      </w:r>
      <w:r>
        <w:rPr>
          <w:rFonts w:hint="eastAsia" w:eastAsia="方正仿宋_GBK"/>
          <w:color w:val="000000"/>
          <w:spacing w:val="-2"/>
          <w:sz w:val="24"/>
        </w:rPr>
        <w:t>〕</w:t>
      </w:r>
      <w:r>
        <w:rPr>
          <w:rFonts w:eastAsia="方正仿宋_GBK"/>
          <w:color w:val="000000"/>
          <w:spacing w:val="-2"/>
          <w:sz w:val="24"/>
        </w:rPr>
        <w:t>230</w:t>
      </w:r>
      <w:r>
        <w:rPr>
          <w:rFonts w:hint="eastAsia" w:eastAsia="方正仿宋_GBK"/>
          <w:color w:val="000000"/>
          <w:spacing w:val="-2"/>
          <w:sz w:val="24"/>
        </w:rPr>
        <w:t>号</w:t>
      </w:r>
      <w:r>
        <w:rPr>
          <w:rFonts w:eastAsia="方正仿宋_GBK"/>
          <w:color w:val="000000"/>
          <w:spacing w:val="-2"/>
          <w:sz w:val="24"/>
        </w:rPr>
        <w:t>)</w:t>
      </w:r>
      <w:r>
        <w:rPr>
          <w:rFonts w:hint="eastAsia" w:eastAsia="方正仿宋_GBK"/>
          <w:color w:val="000000"/>
          <w:spacing w:val="-2"/>
          <w:sz w:val="24"/>
        </w:rPr>
        <w:t>文件精神，为加强全省建筑施工企业现场管理人员、技术工人管理，确保建筑业企业资质就位及企业主要人员信息采集相关工作的顺利实施，定于</w:t>
      </w:r>
      <w:r>
        <w:rPr>
          <w:rFonts w:eastAsia="方正仿宋_GBK"/>
          <w:color w:val="000000"/>
          <w:spacing w:val="-2"/>
          <w:sz w:val="24"/>
        </w:rPr>
        <w:t>8</w:t>
      </w:r>
      <w:r>
        <w:rPr>
          <w:rFonts w:hint="eastAsia" w:eastAsia="方正仿宋_GBK"/>
          <w:color w:val="000000"/>
          <w:spacing w:val="-2"/>
          <w:sz w:val="24"/>
        </w:rPr>
        <w:t>月起开展全省建筑施工企业现场管理人员、技术工人证书信息采集工作。现将有关事项通知如下：</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一、职责分工</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证书信息采集工作由厅人事教育处会同建筑市场监管处统一组织。具体工作由厅执业资格考试与注册中心负责。</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各省辖市（含省管县）建设局（委）负责本地区相关人员证书信息采集的组织协调和现场采集服务工作。</w:t>
      </w:r>
    </w:p>
    <w:p>
      <w:pPr>
        <w:spacing w:line="460" w:lineRule="exact"/>
        <w:ind w:firstLine="472" w:firstLineChars="200"/>
        <w:rPr>
          <w:rFonts w:eastAsia="方正仿宋_GBK"/>
          <w:color w:val="000000"/>
          <w:spacing w:val="-2"/>
          <w:sz w:val="24"/>
        </w:rPr>
      </w:pPr>
      <w:r>
        <w:rPr>
          <w:rFonts w:eastAsia="方正仿宋_GBK"/>
          <w:color w:val="000000"/>
          <w:spacing w:val="-2"/>
          <w:sz w:val="24"/>
        </w:rPr>
        <w:t>3. </w:t>
      </w:r>
      <w:r>
        <w:rPr>
          <w:rFonts w:hint="eastAsia" w:eastAsia="方正仿宋_GBK"/>
          <w:color w:val="000000"/>
          <w:spacing w:val="-2"/>
          <w:sz w:val="24"/>
        </w:rPr>
        <w:t>各相关企业负责本企业持证人员证书信息采集工作。</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二、采集对象</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主要包含以下</w:t>
      </w:r>
      <w:r>
        <w:rPr>
          <w:rFonts w:eastAsia="方正仿宋_GBK"/>
          <w:color w:val="000000"/>
          <w:spacing w:val="-2"/>
          <w:sz w:val="24"/>
        </w:rPr>
        <w:t>2</w:t>
      </w:r>
      <w:r>
        <w:rPr>
          <w:rFonts w:hint="eastAsia" w:eastAsia="方正仿宋_GBK"/>
          <w:color w:val="000000"/>
          <w:spacing w:val="-2"/>
          <w:sz w:val="24"/>
        </w:rPr>
        <w:t>项</w:t>
      </w:r>
      <w:r>
        <w:rPr>
          <w:rFonts w:eastAsia="方正仿宋_GBK"/>
          <w:color w:val="000000"/>
          <w:spacing w:val="-2"/>
          <w:sz w:val="24"/>
        </w:rPr>
        <w:t>8</w:t>
      </w:r>
      <w:r>
        <w:rPr>
          <w:rFonts w:hint="eastAsia" w:eastAsia="方正仿宋_GBK"/>
          <w:color w:val="000000"/>
          <w:spacing w:val="-2"/>
          <w:sz w:val="24"/>
        </w:rPr>
        <w:t>类：</w:t>
      </w:r>
    </w:p>
    <w:p>
      <w:pPr>
        <w:spacing w:line="460" w:lineRule="exact"/>
        <w:ind w:firstLine="472" w:firstLineChars="200"/>
        <w:rPr>
          <w:rFonts w:ascii="Times New Roman" w:eastAsia="方正楷体_GBK"/>
          <w:color w:val="000000"/>
          <w:spacing w:val="-2"/>
          <w:sz w:val="24"/>
        </w:rPr>
      </w:pPr>
      <w:r>
        <w:rPr>
          <w:rFonts w:hint="eastAsia" w:ascii="Times New Roman" w:eastAsia="方正楷体_GBK"/>
          <w:color w:val="000000"/>
          <w:spacing w:val="-2"/>
          <w:sz w:val="24"/>
        </w:rPr>
        <w:t>(一)现场管理人员</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持江苏省建设行政主管部门颁发的《建设（建筑）企业专业管理人员岗位证书》、《住房和城乡建设领域专业人员岗位培训考核合格证书》人员。</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shd w:val="clear" w:color="auto" w:fill="FFFFFF"/>
        </w:rPr>
        <w:t>持江苏省</w:t>
      </w:r>
      <w:r>
        <w:rPr>
          <w:rFonts w:hint="eastAsia" w:eastAsia="方正仿宋_GBK"/>
          <w:color w:val="000000"/>
          <w:spacing w:val="-2"/>
          <w:sz w:val="24"/>
        </w:rPr>
        <w:t>建设行政主管部门颁发</w:t>
      </w:r>
      <w:r>
        <w:rPr>
          <w:rFonts w:hint="eastAsia" w:eastAsia="方正仿宋_GBK"/>
          <w:color w:val="000000"/>
          <w:spacing w:val="-2"/>
          <w:sz w:val="24"/>
          <w:shd w:val="clear" w:color="auto" w:fill="FFFFFF"/>
        </w:rPr>
        <w:t>的《专职安全生产管理人员安全生产考核合格证书（</w:t>
      </w:r>
      <w:r>
        <w:rPr>
          <w:rFonts w:eastAsia="方正仿宋_GBK"/>
          <w:color w:val="000000"/>
          <w:spacing w:val="-2"/>
          <w:sz w:val="24"/>
          <w:shd w:val="clear" w:color="auto" w:fill="FFFFFF"/>
        </w:rPr>
        <w:t>A</w:t>
      </w: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B</w:t>
      </w:r>
      <w:r>
        <w:rPr>
          <w:rFonts w:hint="eastAsia" w:eastAsia="方正仿宋_GBK"/>
          <w:color w:val="000000"/>
          <w:spacing w:val="-2"/>
          <w:sz w:val="24"/>
          <w:shd w:val="clear" w:color="auto" w:fill="FFFFFF"/>
        </w:rPr>
        <w:t>、</w:t>
      </w:r>
      <w:r>
        <w:rPr>
          <w:rFonts w:eastAsia="方正仿宋_GBK"/>
          <w:color w:val="000000"/>
          <w:spacing w:val="-2"/>
          <w:sz w:val="24"/>
          <w:shd w:val="clear" w:color="auto" w:fill="FFFFFF"/>
        </w:rPr>
        <w:t>C</w:t>
      </w:r>
      <w:r>
        <w:rPr>
          <w:rFonts w:hint="eastAsia" w:eastAsia="方正仿宋_GBK"/>
          <w:color w:val="000000"/>
          <w:spacing w:val="-2"/>
          <w:sz w:val="24"/>
          <w:shd w:val="clear" w:color="auto" w:fill="FFFFFF"/>
        </w:rPr>
        <w:t>证）》人员。</w:t>
      </w:r>
    </w:p>
    <w:p>
      <w:pPr>
        <w:spacing w:line="460" w:lineRule="exact"/>
        <w:ind w:firstLine="472" w:firstLineChars="200"/>
        <w:rPr>
          <w:rFonts w:eastAsia="方正仿宋_GBK"/>
          <w:color w:val="000000"/>
          <w:spacing w:val="-2"/>
          <w:sz w:val="24"/>
        </w:rPr>
      </w:pPr>
      <w:r>
        <w:rPr>
          <w:rFonts w:eastAsia="方正仿宋_GBK"/>
          <w:color w:val="000000"/>
          <w:spacing w:val="-2"/>
          <w:sz w:val="24"/>
        </w:rPr>
        <w:t>3. </w:t>
      </w:r>
      <w:r>
        <w:rPr>
          <w:rFonts w:hint="eastAsia" w:eastAsia="方正仿宋_GBK"/>
          <w:color w:val="000000"/>
          <w:spacing w:val="-2"/>
          <w:sz w:val="24"/>
        </w:rPr>
        <w:t>持江苏省建设行政主管部门颁发的《全国建设工程造价员资格证书》人员。</w:t>
      </w:r>
    </w:p>
    <w:p>
      <w:pPr>
        <w:spacing w:line="460" w:lineRule="exact"/>
        <w:ind w:firstLine="472" w:firstLineChars="200"/>
        <w:rPr>
          <w:rFonts w:eastAsia="方正仿宋_GBK"/>
          <w:color w:val="000000"/>
          <w:spacing w:val="-2"/>
          <w:sz w:val="24"/>
        </w:rPr>
      </w:pPr>
      <w:r>
        <w:rPr>
          <w:rFonts w:eastAsia="方正仿宋_GBK"/>
          <w:color w:val="000000"/>
          <w:spacing w:val="-2"/>
          <w:sz w:val="24"/>
        </w:rPr>
        <w:t>4. </w:t>
      </w:r>
      <w:r>
        <w:rPr>
          <w:rFonts w:hint="eastAsia" w:eastAsia="方正仿宋_GBK"/>
          <w:color w:val="000000"/>
          <w:spacing w:val="-2"/>
          <w:sz w:val="24"/>
        </w:rPr>
        <w:t>持《全国建设工程造价员资格证书》</w:t>
      </w:r>
      <w:r>
        <w:rPr>
          <w:rFonts w:eastAsia="方正仿宋_GBK"/>
          <w:color w:val="000000"/>
          <w:spacing w:val="-2"/>
          <w:sz w:val="24"/>
        </w:rPr>
        <w:t>(</w:t>
      </w:r>
      <w:r>
        <w:rPr>
          <w:rFonts w:hint="eastAsia" w:eastAsia="方正仿宋_GBK"/>
          <w:color w:val="000000"/>
          <w:spacing w:val="-2"/>
          <w:sz w:val="24"/>
        </w:rPr>
        <w:t>中国建设工程造价管理协会监制</w:t>
      </w:r>
      <w:r>
        <w:rPr>
          <w:rFonts w:eastAsia="方正仿宋_GBK"/>
          <w:color w:val="000000"/>
          <w:spacing w:val="-2"/>
          <w:sz w:val="24"/>
        </w:rPr>
        <w:t>)</w:t>
      </w:r>
      <w:r>
        <w:rPr>
          <w:rFonts w:hint="eastAsia" w:eastAsia="方正仿宋_GBK"/>
          <w:color w:val="000000"/>
          <w:spacing w:val="-2"/>
          <w:sz w:val="24"/>
        </w:rPr>
        <w:t>人员。</w:t>
      </w:r>
    </w:p>
    <w:p>
      <w:pPr>
        <w:spacing w:line="460" w:lineRule="exact"/>
        <w:ind w:firstLine="472" w:firstLineChars="200"/>
        <w:rPr>
          <w:rFonts w:ascii="Times New Roman" w:eastAsia="方正楷体_GBK"/>
          <w:color w:val="000000"/>
          <w:spacing w:val="-2"/>
          <w:sz w:val="24"/>
        </w:rPr>
      </w:pPr>
      <w:r>
        <w:rPr>
          <w:rFonts w:hint="eastAsia" w:ascii="Times New Roman" w:eastAsia="方正楷体_GBK"/>
          <w:color w:val="000000"/>
          <w:spacing w:val="-2"/>
          <w:sz w:val="24"/>
        </w:rPr>
        <w:t>(二)技术工人</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持江苏省人力资源和社会保障部门及其授权机构颁发的《职业资格证书》（人力资源和社会保障部统一印制）人员。</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持江苏省建设行政主管部门颁发的《建筑施工特种作业操作资格证书》人员。</w:t>
      </w:r>
    </w:p>
    <w:p>
      <w:pPr>
        <w:spacing w:line="460" w:lineRule="exact"/>
        <w:ind w:firstLine="472" w:firstLineChars="200"/>
        <w:rPr>
          <w:rFonts w:eastAsia="方正仿宋_GBK"/>
          <w:color w:val="000000"/>
          <w:spacing w:val="-2"/>
          <w:sz w:val="24"/>
        </w:rPr>
      </w:pPr>
      <w:r>
        <w:rPr>
          <w:rFonts w:eastAsia="方正仿宋_GBK"/>
          <w:color w:val="000000"/>
          <w:spacing w:val="-2"/>
          <w:sz w:val="24"/>
        </w:rPr>
        <w:t>3. </w:t>
      </w:r>
      <w:r>
        <w:rPr>
          <w:rFonts w:hint="eastAsia" w:eastAsia="方正仿宋_GBK"/>
          <w:color w:val="000000"/>
          <w:spacing w:val="-2"/>
          <w:sz w:val="24"/>
        </w:rPr>
        <w:t>持江苏省（市）建设行政主管部门颁发的《职业技能岗位证书》（原建设部统一印制）人员。主要包含砖瓦工、抹灰工、混凝土工、木工、钢筋工、架子工、油漆工、防水工、测量工、试验工、管道工、通风工、安装起重工等相关工种。</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三、采集方式</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按照</w:t>
      </w:r>
      <w:r>
        <w:rPr>
          <w:rFonts w:eastAsia="方正仿宋_GBK"/>
          <w:color w:val="000000"/>
          <w:spacing w:val="-2"/>
          <w:sz w:val="24"/>
        </w:rPr>
        <w:t>“</w:t>
      </w:r>
      <w:r>
        <w:rPr>
          <w:rFonts w:hint="eastAsia" w:eastAsia="方正仿宋_GBK"/>
          <w:color w:val="000000"/>
          <w:spacing w:val="-2"/>
          <w:sz w:val="24"/>
        </w:rPr>
        <w:t>企业主体、网上采集、诚信管理</w:t>
      </w:r>
      <w:r>
        <w:rPr>
          <w:rFonts w:eastAsia="方正仿宋_GBK"/>
          <w:color w:val="000000"/>
          <w:spacing w:val="-2"/>
          <w:sz w:val="24"/>
        </w:rPr>
        <w:t>”</w:t>
      </w:r>
      <w:r>
        <w:rPr>
          <w:rFonts w:hint="eastAsia" w:eastAsia="方正仿宋_GBK"/>
          <w:color w:val="000000"/>
          <w:spacing w:val="-2"/>
          <w:sz w:val="24"/>
        </w:rPr>
        <w:t>的原则，现场管理人员、技术工人证书信息采集主要采取以企业采集为主，各地采集点采集为辅的方式进行，企业可自愿选择通过登录相关系统按要求统一对本企业持证人员进行证书信息采集（企业需自行配备二代身份证读卡器）或按要求持相关人员二代身份证原件等资料至各地建筑业企业资质管理处室、各省辖市造价管理机构、信息采集点（名单见附件）进行证书信息采集。</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四、采集程序</w:t>
      </w:r>
    </w:p>
    <w:p>
      <w:pPr>
        <w:spacing w:line="460" w:lineRule="exact"/>
        <w:ind w:firstLine="472" w:firstLineChars="200"/>
        <w:rPr>
          <w:rFonts w:hint="eastAsia" w:eastAsia="方正仿宋_GBK"/>
          <w:color w:val="000000"/>
          <w:spacing w:val="-2"/>
          <w:sz w:val="24"/>
        </w:rPr>
      </w:pPr>
      <w:r>
        <w:rPr>
          <w:rFonts w:hint="eastAsia" w:eastAsia="方正仿宋_GBK"/>
          <w:color w:val="000000"/>
          <w:spacing w:val="-2"/>
          <w:sz w:val="24"/>
        </w:rPr>
        <w:t>信息采集内容包含持证人员证书、二代身份证、所在企业名称等信息。具体采集程序如下：</w:t>
      </w:r>
    </w:p>
    <w:p>
      <w:pPr>
        <w:spacing w:line="460" w:lineRule="exact"/>
        <w:ind w:firstLine="354" w:firstLineChars="150"/>
        <w:rPr>
          <w:rFonts w:ascii="Times New Roman" w:eastAsia="方正楷体_GBK"/>
          <w:b/>
          <w:color w:val="000000"/>
          <w:spacing w:val="-2"/>
          <w:sz w:val="24"/>
        </w:rPr>
      </w:pPr>
      <w:r>
        <w:rPr>
          <w:rFonts w:hint="eastAsia" w:ascii="Times New Roman" w:eastAsia="方正楷体_GBK"/>
          <w:color w:val="000000"/>
          <w:spacing w:val="-2"/>
          <w:sz w:val="24"/>
        </w:rPr>
        <w:t>（一）账号注册。各类持证人员证书信息账号注册方法如下：</w:t>
      </w:r>
      <w:r>
        <w:rPr>
          <w:rFonts w:hint="eastAsia" w:ascii="Times New Roman" w:eastAsia="方正楷体_GBK"/>
          <w:b/>
          <w:color w:val="000000"/>
          <w:spacing w:val="-2"/>
          <w:sz w:val="24"/>
        </w:rPr>
        <w:t xml:space="preserve"> </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持《建设（建筑）企业专业管理人员岗位证书》、《住房和城乡建设领域专业人员岗位培训考核合格证书》、《江苏省住房和城乡建设领域专业人员岗位培训考核合格证书》、《职业资格证书》、《职业技能岗位证书》人员。持证人员所在企业须在江苏省建设培训考试信息管理系统（以下简称</w:t>
      </w:r>
      <w:r>
        <w:rPr>
          <w:rFonts w:eastAsia="方正仿宋_GBK"/>
          <w:color w:val="000000"/>
          <w:spacing w:val="-2"/>
          <w:sz w:val="24"/>
        </w:rPr>
        <w:t>“</w:t>
      </w:r>
      <w:r>
        <w:rPr>
          <w:rFonts w:hint="eastAsia" w:eastAsia="方正仿宋_GBK"/>
          <w:color w:val="000000"/>
          <w:spacing w:val="-2"/>
          <w:sz w:val="24"/>
        </w:rPr>
        <w:t>省考试培训系统</w:t>
      </w:r>
      <w:r>
        <w:rPr>
          <w:rFonts w:eastAsia="方正仿宋_GBK"/>
          <w:color w:val="000000"/>
          <w:spacing w:val="-2"/>
          <w:sz w:val="24"/>
        </w:rPr>
        <w:t>”</w:t>
      </w:r>
      <w:r>
        <w:rPr>
          <w:rFonts w:hint="eastAsia" w:eastAsia="方正仿宋_GBK"/>
          <w:color w:val="000000"/>
          <w:spacing w:val="-2"/>
          <w:sz w:val="24"/>
        </w:rPr>
        <w:t>）注册企业账号后，方可登录省考试培训系统进行信息采集。已在江苏省建筑业监管信息平台（以下简称</w:t>
      </w:r>
      <w:r>
        <w:rPr>
          <w:rFonts w:eastAsia="方正仿宋_GBK"/>
          <w:color w:val="000000"/>
          <w:spacing w:val="-2"/>
          <w:sz w:val="24"/>
        </w:rPr>
        <w:t>“</w:t>
      </w:r>
      <w:r>
        <w:rPr>
          <w:rFonts w:hint="eastAsia" w:eastAsia="方正仿宋_GBK"/>
          <w:color w:val="000000"/>
          <w:spacing w:val="-2"/>
          <w:sz w:val="24"/>
        </w:rPr>
        <w:t>省监管平台</w:t>
      </w:r>
      <w:r>
        <w:rPr>
          <w:rFonts w:eastAsia="方正仿宋_GBK"/>
          <w:color w:val="000000"/>
          <w:spacing w:val="-2"/>
          <w:sz w:val="24"/>
        </w:rPr>
        <w:t>”</w:t>
      </w:r>
      <w:r>
        <w:rPr>
          <w:rFonts w:hint="eastAsia" w:eastAsia="方正仿宋_GBK"/>
          <w:color w:val="000000"/>
          <w:spacing w:val="-2"/>
          <w:sz w:val="24"/>
        </w:rPr>
        <w:t>）注册账户的企业，可凭该账户直接登录省考试培训系统进行信息采集。</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持江苏省颁发的《专职安全生产管理人员安全生产考核合格证书（</w:t>
      </w:r>
      <w:r>
        <w:rPr>
          <w:rFonts w:eastAsia="方正仿宋_GBK"/>
          <w:color w:val="000000"/>
          <w:spacing w:val="-2"/>
          <w:sz w:val="24"/>
        </w:rPr>
        <w:t>A</w:t>
      </w:r>
      <w:r>
        <w:rPr>
          <w:rFonts w:hint="eastAsia" w:eastAsia="方正仿宋_GBK"/>
          <w:color w:val="000000"/>
          <w:spacing w:val="-2"/>
          <w:sz w:val="24"/>
        </w:rPr>
        <w:t>、</w:t>
      </w:r>
      <w:r>
        <w:rPr>
          <w:rFonts w:eastAsia="方正仿宋_GBK"/>
          <w:color w:val="000000"/>
          <w:spacing w:val="-2"/>
          <w:sz w:val="24"/>
        </w:rPr>
        <w:t>B</w:t>
      </w:r>
      <w:r>
        <w:rPr>
          <w:rFonts w:hint="eastAsia" w:eastAsia="方正仿宋_GBK"/>
          <w:color w:val="000000"/>
          <w:spacing w:val="-2"/>
          <w:sz w:val="24"/>
        </w:rPr>
        <w:t>、</w:t>
      </w:r>
      <w:r>
        <w:rPr>
          <w:rFonts w:eastAsia="方正仿宋_GBK"/>
          <w:color w:val="000000"/>
          <w:spacing w:val="-2"/>
          <w:sz w:val="24"/>
        </w:rPr>
        <w:t>C</w:t>
      </w:r>
      <w:r>
        <w:rPr>
          <w:rFonts w:hint="eastAsia" w:eastAsia="方正仿宋_GBK"/>
          <w:color w:val="000000"/>
          <w:spacing w:val="-2"/>
          <w:sz w:val="24"/>
        </w:rPr>
        <w:t>证）》、《建筑施工特种作业操作资格证书》人员。持证人员所在企业使用企业账户直接登录省监管平台或江苏省建筑业企业资质管理系统（下简称</w:t>
      </w:r>
      <w:r>
        <w:rPr>
          <w:rFonts w:eastAsia="方正仿宋_GBK"/>
          <w:color w:val="000000"/>
          <w:spacing w:val="-2"/>
          <w:sz w:val="24"/>
        </w:rPr>
        <w:t>“</w:t>
      </w:r>
      <w:r>
        <w:rPr>
          <w:rFonts w:hint="eastAsia" w:eastAsia="方正仿宋_GBK"/>
          <w:color w:val="000000"/>
          <w:spacing w:val="-2"/>
          <w:sz w:val="24"/>
        </w:rPr>
        <w:t>省资质管理系统</w:t>
      </w:r>
      <w:r>
        <w:rPr>
          <w:rFonts w:eastAsia="方正仿宋_GBK"/>
          <w:color w:val="000000"/>
          <w:spacing w:val="-2"/>
          <w:sz w:val="24"/>
        </w:rPr>
        <w:t>”</w:t>
      </w:r>
      <w:r>
        <w:rPr>
          <w:rFonts w:hint="eastAsia" w:eastAsia="方正仿宋_GBK"/>
          <w:color w:val="000000"/>
          <w:spacing w:val="-2"/>
          <w:sz w:val="24"/>
        </w:rPr>
        <w:t>）进行信息采集。</w:t>
      </w:r>
    </w:p>
    <w:p>
      <w:pPr>
        <w:spacing w:line="460" w:lineRule="exact"/>
        <w:ind w:firstLine="462" w:firstLineChars="196"/>
        <w:rPr>
          <w:rFonts w:eastAsia="方正仿宋_GBK"/>
          <w:color w:val="000000"/>
          <w:spacing w:val="-2"/>
          <w:sz w:val="24"/>
          <w:u w:val="single"/>
        </w:rPr>
      </w:pPr>
      <w:r>
        <w:rPr>
          <w:rFonts w:eastAsia="方正仿宋_GBK"/>
          <w:color w:val="000000"/>
          <w:spacing w:val="-2"/>
          <w:sz w:val="24"/>
        </w:rPr>
        <w:t>3. </w:t>
      </w:r>
      <w:r>
        <w:rPr>
          <w:rFonts w:hint="eastAsia" w:eastAsia="方正仿宋_GBK"/>
          <w:color w:val="000000"/>
          <w:spacing w:val="-2"/>
          <w:sz w:val="24"/>
        </w:rPr>
        <w:t>持《全国建设工程造价员资格证书》人员。持证人员使用个人账号直接登录</w:t>
      </w:r>
      <w:r>
        <w:rPr>
          <w:rFonts w:eastAsia="方正仿宋_GBK"/>
          <w:color w:val="000000"/>
          <w:spacing w:val="-2"/>
          <w:sz w:val="24"/>
        </w:rPr>
        <w:t>“</w:t>
      </w:r>
      <w:r>
        <w:rPr>
          <w:rFonts w:hint="eastAsia" w:eastAsia="方正仿宋_GBK"/>
          <w:color w:val="000000"/>
          <w:spacing w:val="-2"/>
          <w:sz w:val="24"/>
        </w:rPr>
        <w:t>江苏工程造价信息网</w:t>
      </w:r>
      <w:r>
        <w:rPr>
          <w:rFonts w:eastAsia="方正仿宋_GBK"/>
          <w:color w:val="000000"/>
          <w:spacing w:val="-2"/>
          <w:sz w:val="24"/>
        </w:rPr>
        <w:t>”</w:t>
      </w:r>
      <w:r>
        <w:rPr>
          <w:rFonts w:hint="eastAsia" w:eastAsia="方正仿宋_GBK"/>
          <w:color w:val="000000"/>
          <w:spacing w:val="-2"/>
          <w:sz w:val="24"/>
        </w:rPr>
        <w:t>（以下简称</w:t>
      </w:r>
      <w:r>
        <w:rPr>
          <w:rFonts w:eastAsia="方正仿宋_GBK"/>
          <w:color w:val="000000"/>
          <w:spacing w:val="-2"/>
          <w:sz w:val="24"/>
        </w:rPr>
        <w:t>“</w:t>
      </w:r>
      <w:r>
        <w:rPr>
          <w:rFonts w:hint="eastAsia" w:eastAsia="方正仿宋_GBK"/>
          <w:color w:val="000000"/>
          <w:spacing w:val="-2"/>
          <w:sz w:val="24"/>
        </w:rPr>
        <w:t>省造价信息网</w:t>
      </w:r>
      <w:r>
        <w:rPr>
          <w:rFonts w:eastAsia="方正仿宋_GBK"/>
          <w:color w:val="000000"/>
          <w:spacing w:val="-2"/>
          <w:sz w:val="24"/>
        </w:rPr>
        <w:t>”</w:t>
      </w:r>
      <w:r>
        <w:rPr>
          <w:rFonts w:hint="eastAsia" w:eastAsia="方正仿宋_GBK"/>
          <w:color w:val="000000"/>
          <w:spacing w:val="-2"/>
          <w:sz w:val="24"/>
        </w:rPr>
        <w:t>）进行信息采集。</w:t>
      </w:r>
    </w:p>
    <w:p>
      <w:pPr>
        <w:spacing w:line="460" w:lineRule="exact"/>
        <w:ind w:firstLine="354" w:firstLineChars="150"/>
        <w:rPr>
          <w:rFonts w:ascii="Times New Roman" w:eastAsia="方正楷体_GBK"/>
          <w:color w:val="000000"/>
          <w:spacing w:val="-2"/>
          <w:sz w:val="24"/>
        </w:rPr>
      </w:pPr>
      <w:r>
        <w:rPr>
          <w:rFonts w:hint="eastAsia" w:ascii="Times New Roman" w:eastAsia="方正楷体_GBK"/>
          <w:color w:val="000000"/>
          <w:spacing w:val="-2"/>
          <w:sz w:val="24"/>
        </w:rPr>
        <w:t>（二）信息采集。各类持证人员证书信息采集方法如下：</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现场管理人员</w:t>
      </w:r>
    </w:p>
    <w:p>
      <w:pPr>
        <w:spacing w:line="460" w:lineRule="exact"/>
        <w:ind w:firstLine="472" w:firstLineChars="200"/>
        <w:rPr>
          <w:rFonts w:eastAsia="方正仿宋_GBK"/>
          <w:b/>
          <w:color w:val="000000"/>
          <w:spacing w:val="-2"/>
          <w:sz w:val="24"/>
        </w:rPr>
      </w:pP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持江苏省颁发的《建设（建筑）企业专业管理人员岗位证书》、《住房和城乡建设领域专业人员岗位培训考核合格证书》、《江苏省住房和城乡建设领域专业人员岗位培训考核合格证书》人员。持证人员所在企业直接登录省考试培训系统，按要求读取二代身份证信息后，完成信息采集，或携相关人员二代身份证至本地区信息采集点进行信息采集。</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）持江苏省颁发的《专职安全生产管理人员安全生产考核合格证书（</w:t>
      </w:r>
      <w:r>
        <w:rPr>
          <w:rFonts w:eastAsia="方正仿宋_GBK"/>
          <w:color w:val="000000"/>
          <w:spacing w:val="-2"/>
          <w:sz w:val="24"/>
        </w:rPr>
        <w:t>A</w:t>
      </w:r>
      <w:r>
        <w:rPr>
          <w:rFonts w:hint="eastAsia" w:eastAsia="方正仿宋_GBK"/>
          <w:color w:val="000000"/>
          <w:spacing w:val="-2"/>
          <w:sz w:val="24"/>
        </w:rPr>
        <w:t>、</w:t>
      </w:r>
      <w:r>
        <w:rPr>
          <w:rFonts w:eastAsia="方正仿宋_GBK"/>
          <w:color w:val="000000"/>
          <w:spacing w:val="-2"/>
          <w:sz w:val="24"/>
        </w:rPr>
        <w:t>B</w:t>
      </w:r>
      <w:r>
        <w:rPr>
          <w:rFonts w:hint="eastAsia" w:eastAsia="方正仿宋_GBK"/>
          <w:color w:val="000000"/>
          <w:spacing w:val="-2"/>
          <w:sz w:val="24"/>
        </w:rPr>
        <w:t>、</w:t>
      </w:r>
      <w:r>
        <w:rPr>
          <w:rFonts w:eastAsia="方正仿宋_GBK"/>
          <w:color w:val="000000"/>
          <w:spacing w:val="-2"/>
          <w:sz w:val="24"/>
        </w:rPr>
        <w:t>C</w:t>
      </w:r>
      <w:r>
        <w:rPr>
          <w:rFonts w:hint="eastAsia" w:eastAsia="方正仿宋_GBK"/>
          <w:color w:val="000000"/>
          <w:spacing w:val="-2"/>
          <w:sz w:val="24"/>
        </w:rPr>
        <w:t>证）》人员。持证人员所在企业直接登录省监管平台，按要求读取二代身份证信息后，完成信息采集，或携相关人员二代身份证至本地区建筑业企业资质管理处室进行信息采集。</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3</w:t>
      </w:r>
      <w:r>
        <w:rPr>
          <w:rFonts w:hint="eastAsia" w:eastAsia="方正仿宋_GBK"/>
          <w:color w:val="000000"/>
          <w:spacing w:val="-2"/>
          <w:sz w:val="24"/>
        </w:rPr>
        <w:t>）持江苏省颁发的《全国建设工程造价员资格证书》人员。持证人员登录省造价信息网</w:t>
      </w:r>
      <w:r>
        <w:rPr>
          <w:rFonts w:eastAsia="方正仿宋_GBK"/>
          <w:color w:val="000000"/>
          <w:spacing w:val="-2"/>
          <w:sz w:val="24"/>
        </w:rPr>
        <w:t>“</w:t>
      </w:r>
      <w:r>
        <w:rPr>
          <w:rFonts w:hint="eastAsia" w:eastAsia="方正仿宋_GBK"/>
          <w:color w:val="000000"/>
          <w:spacing w:val="-2"/>
          <w:sz w:val="24"/>
        </w:rPr>
        <w:t>造价员管理系统</w:t>
      </w:r>
      <w:r>
        <w:rPr>
          <w:rFonts w:eastAsia="方正仿宋_GBK"/>
          <w:color w:val="000000"/>
          <w:spacing w:val="-2"/>
          <w:sz w:val="24"/>
        </w:rPr>
        <w:t>”</w:t>
      </w:r>
      <w:r>
        <w:rPr>
          <w:rFonts w:hint="eastAsia" w:eastAsia="方正仿宋_GBK"/>
          <w:color w:val="000000"/>
          <w:spacing w:val="-2"/>
          <w:sz w:val="24"/>
        </w:rPr>
        <w:t>，按要求上传二代身份证扫描件后，经各省辖市造价管理机构信息核验（具体要求详见造价信息网）后，完成信息采集。</w:t>
      </w:r>
    </w:p>
    <w:p>
      <w:pPr>
        <w:spacing w:line="460" w:lineRule="exact"/>
        <w:ind w:firstLine="462" w:firstLineChars="196"/>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4</w:t>
      </w:r>
      <w:r>
        <w:rPr>
          <w:rFonts w:hint="eastAsia" w:eastAsia="方正仿宋_GBK"/>
          <w:color w:val="000000"/>
          <w:spacing w:val="-2"/>
          <w:sz w:val="24"/>
        </w:rPr>
        <w:t>）持非江苏省颁发的《全国建设工程造价员资格证书》人员。持证人员须按照《江苏省</w:t>
      </w:r>
      <w:r>
        <w:rPr>
          <w:rFonts w:eastAsia="方正仿宋_GBK"/>
          <w:color w:val="000000"/>
          <w:spacing w:val="-2"/>
          <w:sz w:val="24"/>
        </w:rPr>
        <w:t>&lt;</w:t>
      </w:r>
      <w:r>
        <w:rPr>
          <w:rFonts w:hint="eastAsia" w:eastAsia="方正仿宋_GBK"/>
          <w:color w:val="000000"/>
          <w:spacing w:val="-2"/>
          <w:sz w:val="24"/>
        </w:rPr>
        <w:t>全国建设工程造价管理暂行管理办法</w:t>
      </w:r>
      <w:r>
        <w:rPr>
          <w:rFonts w:eastAsia="方正仿宋_GBK"/>
          <w:color w:val="000000"/>
          <w:spacing w:val="-2"/>
          <w:sz w:val="24"/>
        </w:rPr>
        <w:t>&gt;</w:t>
      </w:r>
      <w:r>
        <w:rPr>
          <w:rFonts w:hint="eastAsia" w:eastAsia="方正仿宋_GBK"/>
          <w:color w:val="000000"/>
          <w:spacing w:val="-2"/>
          <w:sz w:val="24"/>
        </w:rPr>
        <w:t>实施细则》办理外省转入手续后，方可进行信息采集。</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技术工人</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1</w:t>
      </w:r>
      <w:r>
        <w:rPr>
          <w:rFonts w:hint="eastAsia" w:eastAsia="方正仿宋_GBK"/>
          <w:color w:val="000000"/>
          <w:spacing w:val="-2"/>
          <w:sz w:val="24"/>
        </w:rPr>
        <w:t>）持江苏省颁发的《职业资格证书》人员。持证人员所在企业通过企业账号登录省考试培训系统，按要求读取二代身份证信息、查询相关证书信息，并与企业进行关联后，完成信息采集，或携相关人员二代身份证至本地区信息采集点进行信息采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2</w:t>
      </w:r>
      <w:r>
        <w:rPr>
          <w:rFonts w:hint="eastAsia" w:eastAsia="方正仿宋_GBK"/>
          <w:color w:val="000000"/>
          <w:spacing w:val="-2"/>
          <w:sz w:val="24"/>
        </w:rPr>
        <w:t>）持江苏省颁发的《建筑施工特种作业操作资格证书》人员。持证人员所在企业直接登录资质管理系统，按要求读取二代身份证信息，完成信息采集</w:t>
      </w:r>
      <w:r>
        <w:rPr>
          <w:rFonts w:eastAsia="方正仿宋_GBK"/>
          <w:color w:val="000000"/>
          <w:spacing w:val="-2"/>
          <w:sz w:val="24"/>
        </w:rPr>
        <w:t>,</w:t>
      </w:r>
      <w:r>
        <w:rPr>
          <w:rFonts w:hint="eastAsia" w:eastAsia="方正仿宋_GBK"/>
          <w:color w:val="000000"/>
          <w:spacing w:val="-2"/>
          <w:sz w:val="24"/>
        </w:rPr>
        <w:t>或携相关人员二代身份证至本地区建筑业企业资质管理处室进行信息采集。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w:t>
      </w:r>
      <w:r>
        <w:rPr>
          <w:rFonts w:eastAsia="方正仿宋_GBK"/>
          <w:color w:val="000000"/>
          <w:spacing w:val="-2"/>
          <w:sz w:val="24"/>
        </w:rPr>
        <w:t>3</w:t>
      </w:r>
      <w:r>
        <w:rPr>
          <w:rFonts w:hint="eastAsia" w:eastAsia="方正仿宋_GBK"/>
          <w:color w:val="000000"/>
          <w:spacing w:val="-2"/>
          <w:sz w:val="24"/>
        </w:rPr>
        <w:t>）持《职业技能岗位证书》人员。持证人员所在企业通过企业账号登录省考试培训系统，按要求依次完成诚信承诺签署、证书信息填报、证书扫描件上传、二代身份证采集，经省辖市建设行政主管部门进行信息核验后，完成信息采集，或携相关材料至本地区信息采集点进行信息采集。</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信息不符或缺失的处理。因持证人员所持二代身份证与系统中原有身份信息数据不符，或因系统中原有证书信息数据缺失导致信息采集不成功的，持证人员需先至证书发证机关完成相关信息变更后，方可进行信息采集。</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五、工作要求</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现场管理人员、技术工人证书信息采集工作是我省建筑业企业资质管理的重要组成部分，时间紧、任务重、要求高，直接关系到我省建筑业企业资质就位工作的有序推进，请各省辖市建设行政主管部门高度重视，健全机制、明确职责、落实专人、制定措施、加强监管，同时，注意做好信息公开、咨询、现场采集服务等各项工作，确保相关工作顺利开展。</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各相关企业对所提供持证人员原件材料和相关信息的真实性负责，对于经抽查或被举报查实弄虚作假的企业，将按《建筑业企业资质管理规定》第三十五条规定处理，并根据《江苏省个人信用征信管理暂行办法》、《江苏省自然人失信惩戒办法》的规定，记入企业失信档案。</w:t>
      </w:r>
    </w:p>
    <w:p>
      <w:pPr>
        <w:spacing w:line="460" w:lineRule="exact"/>
        <w:ind w:firstLine="472" w:firstLineChars="200"/>
        <w:rPr>
          <w:rFonts w:ascii="Times New Roman" w:eastAsia="方正黑体_GBK"/>
          <w:color w:val="000000"/>
          <w:spacing w:val="-2"/>
          <w:sz w:val="24"/>
        </w:rPr>
      </w:pPr>
      <w:r>
        <w:rPr>
          <w:rFonts w:hint="eastAsia" w:ascii="Times New Roman" w:eastAsia="方正黑体_GBK"/>
          <w:color w:val="000000"/>
          <w:spacing w:val="-2"/>
          <w:sz w:val="24"/>
        </w:rPr>
        <w:t>六、联系方式</w:t>
      </w:r>
    </w:p>
    <w:p>
      <w:pPr>
        <w:spacing w:line="460" w:lineRule="exact"/>
        <w:ind w:firstLine="472" w:firstLineChars="200"/>
        <w:rPr>
          <w:rFonts w:hint="eastAsia" w:eastAsia="方正仿宋_GBK"/>
          <w:color w:val="000000"/>
          <w:spacing w:val="-2"/>
          <w:sz w:val="24"/>
        </w:rPr>
      </w:pPr>
      <w:r>
        <w:rPr>
          <w:rFonts w:eastAsia="方正仿宋_GBK"/>
          <w:color w:val="000000"/>
          <w:spacing w:val="-2"/>
          <w:sz w:val="24"/>
        </w:rPr>
        <w:t>1. </w:t>
      </w:r>
      <w:r>
        <w:rPr>
          <w:rFonts w:hint="eastAsia" w:eastAsia="方正仿宋_GBK"/>
          <w:color w:val="000000"/>
          <w:spacing w:val="-2"/>
          <w:sz w:val="24"/>
        </w:rPr>
        <w:t>信息采集联系人：</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金</w:t>
      </w:r>
      <w:r>
        <w:rPr>
          <w:rFonts w:eastAsia="方正仿宋_GBK"/>
          <w:color w:val="000000"/>
          <w:spacing w:val="-2"/>
          <w:sz w:val="24"/>
        </w:rPr>
        <w:t xml:space="preserve">  </w:t>
      </w:r>
      <w:r>
        <w:rPr>
          <w:rFonts w:hint="eastAsia" w:eastAsia="方正仿宋_GBK"/>
          <w:color w:val="000000"/>
          <w:spacing w:val="-2"/>
          <w:sz w:val="24"/>
        </w:rPr>
        <w:t>强、刘钦燕（现场管理人员、技术工人）</w:t>
      </w:r>
      <w:r>
        <w:rPr>
          <w:rFonts w:eastAsia="方正仿宋_GBK"/>
          <w:color w:val="000000"/>
          <w:spacing w:val="-2"/>
          <w:sz w:val="24"/>
        </w:rPr>
        <w:t>025-51868680</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朱德雯（安管人员、特种作业人员）</w:t>
      </w:r>
      <w:r>
        <w:rPr>
          <w:rFonts w:eastAsia="方正仿宋_GBK"/>
          <w:color w:val="000000"/>
          <w:spacing w:val="-2"/>
          <w:sz w:val="24"/>
        </w:rPr>
        <w:t>025-51868272</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李</w:t>
      </w:r>
      <w:r>
        <w:rPr>
          <w:rFonts w:eastAsia="方正仿宋_GBK"/>
          <w:color w:val="000000"/>
          <w:spacing w:val="-2"/>
          <w:sz w:val="24"/>
        </w:rPr>
        <w:t xml:space="preserve">  </w:t>
      </w:r>
      <w:r>
        <w:rPr>
          <w:rFonts w:hint="eastAsia" w:eastAsia="方正仿宋_GBK"/>
          <w:color w:val="000000"/>
          <w:spacing w:val="-2"/>
          <w:sz w:val="24"/>
        </w:rPr>
        <w:t>静（造价员）</w:t>
      </w:r>
      <w:r>
        <w:rPr>
          <w:rFonts w:eastAsia="方正仿宋_GBK"/>
          <w:color w:val="000000"/>
          <w:spacing w:val="-2"/>
          <w:sz w:val="24"/>
        </w:rPr>
        <w:t>025-51868989</w:t>
      </w:r>
      <w:r>
        <w:rPr>
          <w:rFonts w:hint="eastAsia" w:eastAsia="方正仿宋_GBK"/>
          <w:color w:val="000000"/>
          <w:spacing w:val="-2"/>
          <w:sz w:val="24"/>
        </w:rPr>
        <w:t>。</w:t>
      </w:r>
    </w:p>
    <w:p>
      <w:pPr>
        <w:spacing w:line="460" w:lineRule="exact"/>
        <w:ind w:firstLine="472" w:firstLineChars="200"/>
        <w:rPr>
          <w:rFonts w:eastAsia="方正仿宋_GBK"/>
          <w:color w:val="000000"/>
          <w:spacing w:val="-2"/>
          <w:sz w:val="24"/>
        </w:rPr>
      </w:pPr>
      <w:r>
        <w:rPr>
          <w:rFonts w:eastAsia="方正仿宋_GBK"/>
          <w:color w:val="000000"/>
          <w:spacing w:val="-2"/>
          <w:sz w:val="24"/>
        </w:rPr>
        <w:t>2. </w:t>
      </w:r>
      <w:r>
        <w:rPr>
          <w:rFonts w:hint="eastAsia" w:eastAsia="方正仿宋_GBK"/>
          <w:color w:val="000000"/>
          <w:spacing w:val="-2"/>
          <w:sz w:val="24"/>
        </w:rPr>
        <w:t>系统技术问题联系人：</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汪崇石</w:t>
      </w:r>
      <w:r>
        <w:rPr>
          <w:rFonts w:eastAsia="方正仿宋_GBK"/>
          <w:color w:val="000000"/>
          <w:spacing w:val="-2"/>
          <w:sz w:val="24"/>
        </w:rPr>
        <w:t xml:space="preserve"> 025-51868280</w:t>
      </w:r>
      <w:r>
        <w:rPr>
          <w:rFonts w:hint="eastAsia" w:eastAsia="方正仿宋_GBK"/>
          <w:color w:val="000000"/>
          <w:spacing w:val="-2"/>
          <w:sz w:val="24"/>
        </w:rPr>
        <w:t>。</w:t>
      </w:r>
    </w:p>
    <w:p>
      <w:pPr>
        <w:spacing w:line="460" w:lineRule="exact"/>
        <w:ind w:firstLine="645"/>
        <w:rPr>
          <w:rFonts w:eastAsia="方正仿宋_GBK"/>
          <w:color w:val="000000"/>
          <w:spacing w:val="-2"/>
          <w:sz w:val="24"/>
        </w:rPr>
      </w:pPr>
    </w:p>
    <w:p>
      <w:pPr>
        <w:spacing w:line="460" w:lineRule="exact"/>
        <w:ind w:firstLine="645"/>
        <w:rPr>
          <w:rFonts w:eastAsia="方正仿宋_GBK"/>
          <w:color w:val="000000"/>
          <w:spacing w:val="-2"/>
          <w:sz w:val="24"/>
        </w:rPr>
      </w:pPr>
      <w:r>
        <w:rPr>
          <w:rFonts w:hint="eastAsia" w:eastAsia="方正仿宋_GBK"/>
          <w:color w:val="000000"/>
          <w:spacing w:val="-2"/>
          <w:sz w:val="24"/>
        </w:rPr>
        <w:t>附件：各省辖市（省直管县）证书信息采集点一览表</w:t>
      </w:r>
    </w:p>
    <w:p>
      <w:pPr>
        <w:spacing w:line="460" w:lineRule="exact"/>
        <w:ind w:firstLine="645"/>
        <w:rPr>
          <w:rFonts w:eastAsia="方正仿宋_GBK"/>
          <w:color w:val="000000"/>
          <w:spacing w:val="-2"/>
          <w:sz w:val="24"/>
        </w:rPr>
      </w:pPr>
    </w:p>
    <w:p>
      <w:pPr>
        <w:spacing w:line="460" w:lineRule="exact"/>
        <w:ind w:right="477" w:rightChars="227" w:firstLine="645"/>
        <w:jc w:val="righ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897" w:rightChars="427"/>
        <w:jc w:val="right"/>
        <w:rPr>
          <w:rFonts w:eastAsia="方正仿宋_GBK"/>
          <w:color w:val="000000"/>
          <w:spacing w:val="-2"/>
          <w:sz w:val="24"/>
        </w:rPr>
      </w:pPr>
      <w:r>
        <w:rPr>
          <w:rFonts w:eastAsia="方正仿宋_GBK"/>
          <w:color w:val="000000"/>
          <w:spacing w:val="-2"/>
          <w:sz w:val="24"/>
        </w:rPr>
        <w:t xml:space="preserve">                                 2015</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28</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jc w:val="right"/>
        <w:rPr>
          <w:rFonts w:eastAsia="方正仿宋_GBK"/>
          <w:color w:val="000000"/>
          <w:spacing w:val="-2"/>
          <w:sz w:val="24"/>
        </w:rPr>
      </w:pPr>
    </w:p>
    <w:p>
      <w:pPr>
        <w:spacing w:line="460" w:lineRule="exact"/>
        <w:jc w:val="right"/>
        <w:rPr>
          <w:rFonts w:eastAsia="方正仿宋_GBK"/>
          <w:color w:val="000000"/>
          <w:spacing w:val="-2"/>
          <w:sz w:val="24"/>
        </w:rPr>
      </w:pPr>
    </w:p>
    <w:p>
      <w:pPr>
        <w:ind w:left="-8" w:leftChars="-4" w:firstLine="6" w:firstLineChars="2"/>
        <w:jc w:val="left"/>
        <w:rPr>
          <w:rFonts w:ascii="Times New Roman" w:eastAsia="黑体"/>
          <w:color w:val="000000"/>
          <w:spacing w:val="-2"/>
          <w:sz w:val="28"/>
          <w:szCs w:val="28"/>
        </w:rPr>
      </w:pPr>
      <w:r>
        <w:rPr>
          <w:rFonts w:hint="eastAsia" w:ascii="Times New Roman" w:eastAsia="黑体"/>
          <w:color w:val="000000"/>
          <w:spacing w:val="-2"/>
          <w:sz w:val="32"/>
          <w:szCs w:val="32"/>
        </w:rPr>
        <w:br w:type="column"/>
      </w:r>
      <w:r>
        <w:rPr>
          <w:rFonts w:hint="eastAsia" w:ascii="Times New Roman" w:eastAsia="黑体"/>
          <w:color w:val="000000"/>
          <w:spacing w:val="-2"/>
          <w:sz w:val="28"/>
          <w:szCs w:val="28"/>
        </w:rPr>
        <w:t>附件：</w:t>
      </w:r>
    </w:p>
    <w:p>
      <w:pPr>
        <w:jc w:val="center"/>
        <w:rPr>
          <w:rFonts w:hint="eastAsia" w:eastAsia="方正小标宋简体"/>
          <w:color w:val="000000"/>
          <w:spacing w:val="-2"/>
          <w:sz w:val="32"/>
          <w:szCs w:val="32"/>
        </w:rPr>
      </w:pPr>
      <w:r>
        <w:rPr>
          <w:rFonts w:hint="eastAsia" w:eastAsia="方正小标宋简体"/>
          <w:color w:val="000000"/>
          <w:spacing w:val="-2"/>
          <w:sz w:val="32"/>
          <w:szCs w:val="32"/>
        </w:rPr>
        <w:t>各省辖市（省直管县）证书信息采集点一览表</w:t>
      </w:r>
    </w:p>
    <w:tbl>
      <w:tblPr>
        <w:tblStyle w:val="12"/>
        <w:tblW w:w="0" w:type="auto"/>
        <w:jc w:val="center"/>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Layout w:type="fixed"/>
        <w:tblCellMar>
          <w:top w:w="0" w:type="dxa"/>
          <w:left w:w="108" w:type="dxa"/>
          <w:bottom w:w="0" w:type="dxa"/>
          <w:right w:w="108" w:type="dxa"/>
        </w:tblCellMar>
      </w:tblPr>
      <w:tblGrid>
        <w:gridCol w:w="647"/>
        <w:gridCol w:w="859"/>
        <w:gridCol w:w="2466"/>
        <w:gridCol w:w="2838"/>
        <w:gridCol w:w="764"/>
        <w:gridCol w:w="1467"/>
      </w:tblGrid>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trHeight w:val="422" w:hRule="atLeast"/>
          <w:tblHeader/>
          <w:jc w:val="center"/>
        </w:trPr>
        <w:tc>
          <w:tcPr>
            <w:tcW w:w="647" w:type="dxa"/>
            <w:tcBorders>
              <w:top w:val="single" w:color="auto" w:sz="8"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黑体"/>
                <w:color w:val="000000"/>
                <w:spacing w:val="-2"/>
                <w:szCs w:val="21"/>
              </w:rPr>
            </w:pPr>
            <w:r>
              <w:rPr>
                <w:rFonts w:hint="eastAsia" w:hAnsi="Times New Roman" w:eastAsia="黑体"/>
                <w:color w:val="000000"/>
                <w:spacing w:val="-2"/>
                <w:szCs w:val="21"/>
              </w:rPr>
              <w:t>序号</w:t>
            </w:r>
          </w:p>
        </w:tc>
        <w:tc>
          <w:tcPr>
            <w:tcW w:w="859" w:type="dxa"/>
            <w:tcBorders>
              <w:top w:val="single" w:color="auto" w:sz="8"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黑体"/>
                <w:color w:val="000000"/>
                <w:spacing w:val="-2"/>
                <w:szCs w:val="21"/>
              </w:rPr>
            </w:pPr>
            <w:r>
              <w:rPr>
                <w:rFonts w:hint="eastAsia" w:hAnsi="Times New Roman" w:eastAsia="黑体"/>
                <w:color w:val="000000"/>
                <w:spacing w:val="-2"/>
                <w:szCs w:val="21"/>
              </w:rPr>
              <w:t>市别</w:t>
            </w:r>
          </w:p>
        </w:tc>
        <w:tc>
          <w:tcPr>
            <w:tcW w:w="5304" w:type="dxa"/>
            <w:gridSpan w:val="2"/>
            <w:tcBorders>
              <w:top w:val="single" w:color="auto" w:sz="8" w:space="0"/>
              <w:left w:val="single" w:color="000000" w:sz="4" w:space="0"/>
              <w:bottom w:val="single" w:color="000000" w:sz="4" w:space="0"/>
              <w:right w:val="single" w:color="000000" w:sz="4" w:space="0"/>
            </w:tcBorders>
            <w:noWrap w:val="0"/>
            <w:vAlign w:val="center"/>
          </w:tcPr>
          <w:p>
            <w:pPr>
              <w:ind w:left="-63" w:leftChars="-30" w:right="-63" w:rightChars="-30" w:firstLine="298" w:firstLineChars="145"/>
              <w:jc w:val="center"/>
              <w:rPr>
                <w:rFonts w:eastAsia="黑体"/>
                <w:color w:val="000000"/>
                <w:spacing w:val="-2"/>
                <w:szCs w:val="21"/>
              </w:rPr>
            </w:pPr>
            <w:r>
              <w:rPr>
                <w:rFonts w:hint="eastAsia" w:hAnsi="Times New Roman" w:eastAsia="黑体"/>
                <w:color w:val="000000"/>
                <w:spacing w:val="-2"/>
                <w:szCs w:val="21"/>
              </w:rPr>
              <w:t>采集地址</w:t>
            </w:r>
          </w:p>
        </w:tc>
        <w:tc>
          <w:tcPr>
            <w:tcW w:w="764" w:type="dxa"/>
            <w:tcBorders>
              <w:top w:val="single" w:color="auto" w:sz="8"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黑体"/>
                <w:color w:val="000000"/>
                <w:spacing w:val="-2"/>
                <w:szCs w:val="21"/>
              </w:rPr>
            </w:pPr>
            <w:r>
              <w:rPr>
                <w:rFonts w:hint="eastAsia" w:hAnsi="Times New Roman" w:eastAsia="黑体"/>
                <w:color w:val="000000"/>
                <w:spacing w:val="-2"/>
                <w:szCs w:val="21"/>
              </w:rPr>
              <w:t>联系人</w:t>
            </w:r>
          </w:p>
        </w:tc>
        <w:tc>
          <w:tcPr>
            <w:tcW w:w="1467" w:type="dxa"/>
            <w:tcBorders>
              <w:top w:val="single" w:color="auto" w:sz="8"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黑体"/>
                <w:color w:val="000000"/>
                <w:spacing w:val="-2"/>
                <w:szCs w:val="21"/>
              </w:rPr>
            </w:pPr>
            <w:r>
              <w:rPr>
                <w:rFonts w:hint="eastAsia" w:hAnsi="Times New Roman" w:eastAsia="黑体"/>
                <w:color w:val="000000"/>
                <w:spacing w:val="-2"/>
                <w:szCs w:val="21"/>
              </w:rPr>
              <w:t>联系电话</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restart"/>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w:t>
            </w:r>
          </w:p>
        </w:tc>
        <w:tc>
          <w:tcPr>
            <w:tcW w:w="859"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南京市</w:t>
            </w:r>
          </w:p>
        </w:tc>
        <w:tc>
          <w:tcPr>
            <w:tcW w:w="2466"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南京市住房和城乡建设委员会宣教处</w:t>
            </w:r>
          </w:p>
          <w:p>
            <w:pPr>
              <w:ind w:left="-63" w:leftChars="-30" w:right="-63" w:rightChars="-30"/>
              <w:rPr>
                <w:rFonts w:eastAsia="仿宋_GB2312"/>
                <w:color w:val="000000"/>
                <w:spacing w:val="-2"/>
                <w:szCs w:val="21"/>
              </w:rPr>
            </w:pPr>
            <w:r>
              <w:rPr>
                <w:rFonts w:eastAsia="仿宋_GB2312"/>
                <w:color w:val="000000"/>
                <w:spacing w:val="-2"/>
                <w:szCs w:val="21"/>
              </w:rPr>
              <w:t>(</w:t>
            </w:r>
            <w:r>
              <w:rPr>
                <w:rFonts w:hint="eastAsia" w:eastAsia="仿宋_GB2312"/>
                <w:color w:val="000000"/>
                <w:spacing w:val="-2"/>
                <w:szCs w:val="21"/>
              </w:rPr>
              <w:t>联系人：王小丹，</w:t>
            </w:r>
          </w:p>
          <w:p>
            <w:pPr>
              <w:ind w:left="-63" w:leftChars="-30" w:right="-63" w:rightChars="-30"/>
              <w:rPr>
                <w:rFonts w:eastAsia="仿宋_GB2312"/>
                <w:color w:val="000000"/>
                <w:spacing w:val="-2"/>
                <w:szCs w:val="21"/>
              </w:rPr>
            </w:pPr>
            <w:r>
              <w:rPr>
                <w:rFonts w:eastAsia="仿宋_GB2312"/>
                <w:color w:val="000000"/>
                <w:spacing w:val="-2"/>
                <w:szCs w:val="21"/>
              </w:rPr>
              <w:t xml:space="preserve"> </w:t>
            </w:r>
            <w:r>
              <w:rPr>
                <w:rFonts w:hint="eastAsia" w:eastAsia="仿宋_GB2312"/>
                <w:color w:val="000000"/>
                <w:spacing w:val="-2"/>
                <w:szCs w:val="21"/>
              </w:rPr>
              <w:t>联系电话：</w:t>
            </w:r>
            <w:r>
              <w:rPr>
                <w:rFonts w:eastAsia="仿宋_GB2312"/>
                <w:color w:val="000000"/>
                <w:spacing w:val="-2"/>
                <w:szCs w:val="21"/>
              </w:rPr>
              <w:t>025-83753556)</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南京市龙蟠路</w:t>
            </w:r>
            <w:r>
              <w:rPr>
                <w:rFonts w:eastAsia="仿宋_GB2312"/>
                <w:color w:val="000000"/>
                <w:spacing w:val="-2"/>
                <w:szCs w:val="21"/>
              </w:rPr>
              <w:t>163</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周</w:t>
            </w:r>
            <w:r>
              <w:rPr>
                <w:rFonts w:eastAsia="仿宋_GB2312"/>
                <w:color w:val="000000"/>
                <w:spacing w:val="-2"/>
                <w:szCs w:val="21"/>
              </w:rPr>
              <w:t xml:space="preserve">  </w:t>
            </w:r>
            <w:r>
              <w:rPr>
                <w:rFonts w:hint="eastAsia" w:eastAsia="仿宋_GB2312"/>
                <w:color w:val="000000"/>
                <w:spacing w:val="-2"/>
                <w:szCs w:val="21"/>
              </w:rPr>
              <w:t>磊</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025-85404458</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南京市解放路</w:t>
            </w:r>
            <w:r>
              <w:rPr>
                <w:rFonts w:eastAsia="仿宋_GB2312"/>
                <w:color w:val="000000"/>
                <w:spacing w:val="-2"/>
                <w:szCs w:val="21"/>
              </w:rPr>
              <w:t>38</w:t>
            </w:r>
            <w:r>
              <w:rPr>
                <w:rFonts w:hint="eastAsia" w:eastAsia="仿宋_GB2312"/>
                <w:color w:val="000000"/>
                <w:spacing w:val="-2"/>
                <w:szCs w:val="21"/>
              </w:rPr>
              <w:t>号</w:t>
            </w:r>
            <w:r>
              <w:rPr>
                <w:rFonts w:eastAsia="仿宋_GB2312"/>
                <w:color w:val="000000"/>
                <w:spacing w:val="-2"/>
                <w:szCs w:val="21"/>
              </w:rPr>
              <w:t>6</w:t>
            </w:r>
            <w:r>
              <w:rPr>
                <w:rFonts w:hint="eastAsia" w:eastAsia="仿宋_GB2312"/>
                <w:color w:val="000000"/>
                <w:spacing w:val="-2"/>
                <w:szCs w:val="21"/>
              </w:rPr>
              <w:t>楼</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刘长秀</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025-58714070</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南京市中华路</w:t>
            </w:r>
            <w:r>
              <w:rPr>
                <w:rFonts w:eastAsia="仿宋_GB2312"/>
                <w:color w:val="000000"/>
                <w:spacing w:val="-2"/>
                <w:szCs w:val="21"/>
              </w:rPr>
              <w:t>110</w:t>
            </w:r>
            <w:r>
              <w:rPr>
                <w:rFonts w:hint="eastAsia" w:eastAsia="仿宋_GB2312"/>
                <w:color w:val="000000"/>
                <w:spacing w:val="-2"/>
                <w:szCs w:val="21"/>
              </w:rPr>
              <w:t>号</w:t>
            </w:r>
            <w:r>
              <w:rPr>
                <w:rFonts w:eastAsia="仿宋_GB2312"/>
                <w:color w:val="000000"/>
                <w:spacing w:val="-2"/>
                <w:szCs w:val="21"/>
              </w:rPr>
              <w:t>3</w:t>
            </w:r>
            <w:r>
              <w:rPr>
                <w:rFonts w:hint="eastAsia" w:eastAsia="仿宋_GB2312"/>
                <w:color w:val="000000"/>
                <w:spacing w:val="-2"/>
                <w:szCs w:val="21"/>
              </w:rPr>
              <w:t>楼</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冷</w:t>
            </w:r>
            <w:r>
              <w:rPr>
                <w:rFonts w:eastAsia="仿宋_GB2312"/>
                <w:color w:val="000000"/>
                <w:spacing w:val="-2"/>
                <w:szCs w:val="21"/>
              </w:rPr>
              <w:t xml:space="preserve">  </w:t>
            </w:r>
            <w:r>
              <w:rPr>
                <w:rFonts w:hint="eastAsia" w:eastAsia="仿宋_GB2312"/>
                <w:color w:val="000000"/>
                <w:spacing w:val="-2"/>
                <w:szCs w:val="21"/>
              </w:rPr>
              <w:t>勇</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025-52333431</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南京市黄山路</w:t>
            </w:r>
            <w:r>
              <w:rPr>
                <w:rFonts w:eastAsia="仿宋_GB2312"/>
                <w:color w:val="000000"/>
                <w:spacing w:val="-2"/>
                <w:szCs w:val="21"/>
              </w:rPr>
              <w:t>58</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周明璐</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025-86479373</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2</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无锡市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无锡市建设局教育培训领导小组办公室</w:t>
            </w:r>
            <w:r>
              <w:rPr>
                <w:rFonts w:eastAsia="仿宋_GB2312"/>
                <w:color w:val="000000"/>
                <w:spacing w:val="-2"/>
                <w:szCs w:val="21"/>
              </w:rPr>
              <w:t>(</w:t>
            </w:r>
            <w:r>
              <w:rPr>
                <w:rFonts w:hint="eastAsia" w:eastAsia="仿宋_GB2312"/>
                <w:color w:val="000000"/>
                <w:spacing w:val="-2"/>
                <w:szCs w:val="21"/>
              </w:rPr>
              <w:t>无锡市建设培训中心</w:t>
            </w:r>
            <w:r>
              <w:rPr>
                <w:rFonts w:eastAsia="仿宋_GB2312"/>
                <w:color w:val="000000"/>
                <w:spacing w:val="-2"/>
                <w:szCs w:val="21"/>
              </w:rPr>
              <w:t>)</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无锡市西新街</w:t>
            </w:r>
            <w:r>
              <w:rPr>
                <w:rFonts w:eastAsia="仿宋_GB2312"/>
                <w:color w:val="000000"/>
                <w:spacing w:val="-2"/>
                <w:szCs w:val="21"/>
              </w:rPr>
              <w:t>8</w:t>
            </w:r>
            <w:r>
              <w:rPr>
                <w:rFonts w:hint="eastAsia" w:eastAsia="仿宋_GB2312"/>
                <w:color w:val="000000"/>
                <w:spacing w:val="-2"/>
                <w:szCs w:val="21"/>
              </w:rPr>
              <w:t>号建设发展大厦</w:t>
            </w:r>
            <w:r>
              <w:rPr>
                <w:rFonts w:eastAsia="仿宋_GB2312"/>
                <w:color w:val="000000"/>
                <w:spacing w:val="-2"/>
                <w:szCs w:val="21"/>
              </w:rPr>
              <w:t>2</w:t>
            </w:r>
            <w:r>
              <w:rPr>
                <w:rFonts w:hint="eastAsia" w:eastAsia="仿宋_GB2312"/>
                <w:color w:val="000000"/>
                <w:spacing w:val="-2"/>
                <w:szCs w:val="21"/>
              </w:rPr>
              <w:t>楼</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徐晓春</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0510-68780909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3</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徐州市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徐州市城乡建设局人事教育处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徐州市二环北路空军后勤学院蓝天桥西</w:t>
            </w:r>
            <w:r>
              <w:rPr>
                <w:rFonts w:eastAsia="仿宋_GB2312"/>
                <w:color w:val="000000"/>
                <w:spacing w:val="-2"/>
                <w:szCs w:val="21"/>
              </w:rPr>
              <w:t>50</w:t>
            </w:r>
            <w:r>
              <w:rPr>
                <w:rFonts w:hint="eastAsia" w:eastAsia="仿宋_GB2312"/>
                <w:color w:val="000000"/>
                <w:spacing w:val="-2"/>
                <w:szCs w:val="21"/>
              </w:rPr>
              <w:t>米路南</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刘艳霞</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0516-66998557</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4</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常州市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常州市城乡建设局宣教处</w:t>
            </w:r>
            <w:r>
              <w:rPr>
                <w:rFonts w:eastAsia="仿宋_GB2312"/>
                <w:color w:val="000000"/>
                <w:spacing w:val="-2"/>
                <w:szCs w:val="21"/>
              </w:rPr>
              <w:t>(</w:t>
            </w:r>
            <w:r>
              <w:rPr>
                <w:rFonts w:hint="eastAsia" w:eastAsia="仿宋_GB2312"/>
                <w:color w:val="000000"/>
                <w:spacing w:val="-2"/>
                <w:szCs w:val="21"/>
              </w:rPr>
              <w:t>常州市建设教育培训中心</w:t>
            </w:r>
            <w:r>
              <w:rPr>
                <w:rFonts w:eastAsia="仿宋_GB2312"/>
                <w:color w:val="000000"/>
                <w:spacing w:val="-2"/>
                <w:szCs w:val="21"/>
              </w:rPr>
              <w:t>)</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常州市钟楼区木梳路</w:t>
            </w:r>
            <w:r>
              <w:rPr>
                <w:rFonts w:eastAsia="仿宋_GB2312"/>
                <w:color w:val="000000"/>
                <w:spacing w:val="-2"/>
                <w:szCs w:val="21"/>
              </w:rPr>
              <w:t>12</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宋</w:t>
            </w:r>
            <w:r>
              <w:rPr>
                <w:rFonts w:eastAsia="仿宋_GB2312"/>
                <w:color w:val="000000"/>
                <w:spacing w:val="-2"/>
                <w:szCs w:val="21"/>
              </w:rPr>
              <w:t xml:space="preserve">  </w:t>
            </w:r>
            <w:r>
              <w:rPr>
                <w:rFonts w:hint="eastAsia" w:eastAsia="仿宋_GB2312"/>
                <w:color w:val="000000"/>
                <w:spacing w:val="-2"/>
                <w:szCs w:val="21"/>
              </w:rPr>
              <w:t>凯</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0519-86960324</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restart"/>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5</w:t>
            </w:r>
          </w:p>
        </w:tc>
        <w:tc>
          <w:tcPr>
            <w:tcW w:w="859"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苏州市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苏州市住建局建管处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苏州市锦帆路</w:t>
            </w:r>
            <w:r>
              <w:rPr>
                <w:rFonts w:eastAsia="仿宋_GB2312"/>
                <w:color w:val="000000"/>
                <w:spacing w:val="-2"/>
                <w:szCs w:val="21"/>
              </w:rPr>
              <w:t>55</w:t>
            </w:r>
            <w:r>
              <w:rPr>
                <w:rFonts w:hint="eastAsia" w:eastAsia="仿宋_GB2312"/>
                <w:color w:val="000000"/>
                <w:spacing w:val="-2"/>
                <w:szCs w:val="21"/>
              </w:rPr>
              <w:t>号</w:t>
            </w:r>
            <w:r>
              <w:rPr>
                <w:rFonts w:eastAsia="仿宋_GB2312"/>
                <w:color w:val="000000"/>
                <w:spacing w:val="-2"/>
                <w:szCs w:val="21"/>
              </w:rPr>
              <w:t>507</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黄伟康</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0512-65237809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trHeight w:val="633" w:hRule="atLeas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苏州市住建局城建处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苏州市锦帆路</w:t>
            </w:r>
            <w:r>
              <w:rPr>
                <w:rFonts w:eastAsia="仿宋_GB2312"/>
                <w:color w:val="000000"/>
                <w:spacing w:val="-2"/>
                <w:szCs w:val="21"/>
              </w:rPr>
              <w:t>211</w:t>
            </w:r>
            <w:r>
              <w:rPr>
                <w:rFonts w:hint="eastAsia" w:eastAsia="仿宋_GB2312"/>
                <w:color w:val="000000"/>
                <w:spacing w:val="-2"/>
                <w:szCs w:val="21"/>
              </w:rPr>
              <w:t>号</w:t>
            </w:r>
            <w:r>
              <w:rPr>
                <w:rFonts w:eastAsia="仿宋_GB2312"/>
                <w:color w:val="000000"/>
                <w:spacing w:val="-2"/>
                <w:szCs w:val="21"/>
              </w:rPr>
              <w:t>308</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吴</w:t>
            </w:r>
            <w:r>
              <w:rPr>
                <w:rFonts w:eastAsia="仿宋_GB2312"/>
                <w:color w:val="000000"/>
                <w:spacing w:val="-2"/>
                <w:szCs w:val="21"/>
              </w:rPr>
              <w:t xml:space="preserve">  </w:t>
            </w:r>
            <w:r>
              <w:rPr>
                <w:rFonts w:hint="eastAsia" w:eastAsia="仿宋_GB2312"/>
                <w:color w:val="000000"/>
                <w:spacing w:val="-2"/>
                <w:szCs w:val="21"/>
              </w:rPr>
              <w:t>超</w:t>
            </w:r>
          </w:p>
          <w:p>
            <w:pPr>
              <w:ind w:left="-63" w:leftChars="-30" w:right="-63" w:rightChars="-30"/>
              <w:jc w:val="center"/>
              <w:rPr>
                <w:rFonts w:eastAsia="仿宋_GB2312"/>
                <w:color w:val="000000"/>
                <w:spacing w:val="-2"/>
                <w:szCs w:val="21"/>
              </w:rPr>
            </w:pPr>
            <w:r>
              <w:rPr>
                <w:rFonts w:hint="eastAsia" w:eastAsia="仿宋_GB2312"/>
                <w:color w:val="000000"/>
                <w:spacing w:val="-2"/>
                <w:szCs w:val="21"/>
              </w:rPr>
              <w:t>韩炳国</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0512-65113992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相城区住建局建管处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苏州市阳澄湖东路</w:t>
            </w:r>
            <w:r>
              <w:rPr>
                <w:rFonts w:eastAsia="仿宋_GB2312"/>
                <w:color w:val="000000"/>
                <w:spacing w:val="-2"/>
                <w:szCs w:val="21"/>
              </w:rPr>
              <w:t>8</w:t>
            </w:r>
            <w:r>
              <w:rPr>
                <w:rFonts w:hint="eastAsia" w:eastAsia="仿宋_GB2312"/>
                <w:color w:val="000000"/>
                <w:spacing w:val="-2"/>
                <w:szCs w:val="21"/>
              </w:rPr>
              <w:t>号相城区行政中心</w:t>
            </w:r>
            <w:r>
              <w:rPr>
                <w:rFonts w:eastAsia="仿宋_GB2312"/>
                <w:color w:val="000000"/>
                <w:spacing w:val="-2"/>
                <w:szCs w:val="21"/>
              </w:rPr>
              <w:t>6</w:t>
            </w:r>
            <w:r>
              <w:rPr>
                <w:rFonts w:hint="eastAsia" w:eastAsia="仿宋_GB2312"/>
                <w:color w:val="000000"/>
                <w:spacing w:val="-2"/>
                <w:szCs w:val="21"/>
              </w:rPr>
              <w:t>号楼</w:t>
            </w:r>
            <w:r>
              <w:rPr>
                <w:rFonts w:eastAsia="仿宋_GB2312"/>
                <w:color w:val="000000"/>
                <w:spacing w:val="-2"/>
                <w:szCs w:val="21"/>
              </w:rPr>
              <w:t>1</w:t>
            </w:r>
            <w:r>
              <w:rPr>
                <w:rFonts w:hint="eastAsia" w:eastAsia="仿宋_GB2312"/>
                <w:color w:val="000000"/>
                <w:spacing w:val="-2"/>
                <w:szCs w:val="21"/>
              </w:rPr>
              <w:t>楼</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濮晓华</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0512-85182390</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相城区住建局城市建设科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苏州市阳澄湖东路</w:t>
            </w:r>
            <w:r>
              <w:rPr>
                <w:rFonts w:eastAsia="仿宋_GB2312"/>
                <w:color w:val="000000"/>
                <w:spacing w:val="-2"/>
                <w:szCs w:val="21"/>
              </w:rPr>
              <w:t>8</w:t>
            </w:r>
            <w:r>
              <w:rPr>
                <w:rFonts w:hint="eastAsia" w:eastAsia="仿宋_GB2312"/>
                <w:color w:val="000000"/>
                <w:spacing w:val="-2"/>
                <w:szCs w:val="21"/>
              </w:rPr>
              <w:t>号相城区行政中心</w:t>
            </w:r>
            <w:r>
              <w:rPr>
                <w:rFonts w:eastAsia="仿宋_GB2312"/>
                <w:color w:val="000000"/>
                <w:spacing w:val="-2"/>
                <w:szCs w:val="21"/>
              </w:rPr>
              <w:t>6</w:t>
            </w:r>
            <w:r>
              <w:rPr>
                <w:rFonts w:hint="eastAsia" w:eastAsia="仿宋_GB2312"/>
                <w:color w:val="000000"/>
                <w:spacing w:val="-2"/>
                <w:szCs w:val="21"/>
              </w:rPr>
              <w:t>号楼</w:t>
            </w:r>
            <w:r>
              <w:rPr>
                <w:rFonts w:eastAsia="仿宋_GB2312"/>
                <w:color w:val="000000"/>
                <w:spacing w:val="-2"/>
                <w:szCs w:val="21"/>
              </w:rPr>
              <w:t>2</w:t>
            </w:r>
            <w:r>
              <w:rPr>
                <w:rFonts w:hint="eastAsia" w:eastAsia="仿宋_GB2312"/>
                <w:color w:val="000000"/>
                <w:spacing w:val="-2"/>
                <w:szCs w:val="21"/>
              </w:rPr>
              <w:t>楼</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陆品辉</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13962172825</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吴中区住建局建筑业管理科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苏州市吴中东路</w:t>
            </w:r>
            <w:r>
              <w:rPr>
                <w:rFonts w:eastAsia="仿宋_GB2312"/>
                <w:color w:val="000000"/>
                <w:spacing w:val="-2"/>
                <w:szCs w:val="21"/>
              </w:rPr>
              <w:t>169</w:t>
            </w:r>
            <w:r>
              <w:rPr>
                <w:rFonts w:hint="eastAsia" w:eastAsia="仿宋_GB2312"/>
                <w:color w:val="000000"/>
                <w:spacing w:val="-2"/>
                <w:szCs w:val="21"/>
              </w:rPr>
              <w:t>号建设大厦</w:t>
            </w:r>
            <w:r>
              <w:rPr>
                <w:rFonts w:eastAsia="仿宋_GB2312"/>
                <w:color w:val="000000"/>
                <w:spacing w:val="-2"/>
                <w:szCs w:val="21"/>
              </w:rPr>
              <w:t>602</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秦</w:t>
            </w:r>
            <w:r>
              <w:rPr>
                <w:rFonts w:eastAsia="仿宋_GB2312"/>
                <w:color w:val="000000"/>
                <w:spacing w:val="-2"/>
                <w:szCs w:val="21"/>
              </w:rPr>
              <w:t xml:space="preserve">  </w:t>
            </w:r>
            <w:r>
              <w:rPr>
                <w:rFonts w:hint="eastAsia" w:eastAsia="仿宋_GB2312"/>
                <w:color w:val="000000"/>
                <w:spacing w:val="-2"/>
                <w:szCs w:val="21"/>
              </w:rPr>
              <w:t>麟</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0512-65286570</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姑苏区住建局建管处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苏州市平川路</w:t>
            </w:r>
            <w:r>
              <w:rPr>
                <w:rFonts w:eastAsia="仿宋_GB2312"/>
                <w:color w:val="000000"/>
                <w:spacing w:val="-2"/>
                <w:szCs w:val="21"/>
              </w:rPr>
              <w:t>510</w:t>
            </w:r>
            <w:r>
              <w:rPr>
                <w:rFonts w:hint="eastAsia" w:eastAsia="仿宋_GB2312"/>
                <w:color w:val="000000"/>
                <w:spacing w:val="-2"/>
                <w:szCs w:val="21"/>
              </w:rPr>
              <w:t>号</w:t>
            </w:r>
            <w:r>
              <w:rPr>
                <w:rFonts w:eastAsia="仿宋_GB2312"/>
                <w:color w:val="000000"/>
                <w:spacing w:val="-2"/>
                <w:szCs w:val="21"/>
              </w:rPr>
              <w:t>3</w:t>
            </w:r>
            <w:r>
              <w:rPr>
                <w:rFonts w:hint="eastAsia" w:eastAsia="仿宋_GB2312"/>
                <w:color w:val="000000"/>
                <w:spacing w:val="-2"/>
                <w:szCs w:val="21"/>
              </w:rPr>
              <w:t>号楼</w:t>
            </w:r>
            <w:r>
              <w:rPr>
                <w:rFonts w:eastAsia="仿宋_GB2312"/>
                <w:color w:val="000000"/>
                <w:spacing w:val="-2"/>
                <w:szCs w:val="21"/>
              </w:rPr>
              <w:t>504</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仇</w:t>
            </w:r>
            <w:r>
              <w:rPr>
                <w:rFonts w:eastAsia="仿宋_GB2312"/>
                <w:color w:val="000000"/>
                <w:spacing w:val="-2"/>
                <w:szCs w:val="21"/>
              </w:rPr>
              <w:t xml:space="preserve">  </w:t>
            </w:r>
            <w:r>
              <w:rPr>
                <w:rFonts w:hint="eastAsia" w:eastAsia="仿宋_GB2312"/>
                <w:color w:val="000000"/>
                <w:spacing w:val="-2"/>
                <w:szCs w:val="21"/>
              </w:rPr>
              <w:t>宁</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0512-65340527</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高新区住建局建管处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苏州高新区科技城科普路</w:t>
            </w:r>
            <w:r>
              <w:rPr>
                <w:rFonts w:eastAsia="仿宋_GB2312"/>
                <w:color w:val="000000"/>
                <w:spacing w:val="-2"/>
                <w:szCs w:val="21"/>
              </w:rPr>
              <w:t>58</w:t>
            </w:r>
            <w:r>
              <w:rPr>
                <w:rFonts w:hint="eastAsia" w:eastAsia="仿宋_GB2312"/>
                <w:color w:val="000000"/>
                <w:spacing w:val="-2"/>
                <w:szCs w:val="21"/>
              </w:rPr>
              <w:t>号（新区管委会）</w:t>
            </w:r>
            <w:r>
              <w:rPr>
                <w:rFonts w:eastAsia="仿宋_GB2312"/>
                <w:color w:val="000000"/>
                <w:spacing w:val="-2"/>
                <w:szCs w:val="21"/>
              </w:rPr>
              <w:t>504</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李</w:t>
            </w:r>
            <w:r>
              <w:rPr>
                <w:rFonts w:eastAsia="仿宋_GB2312"/>
                <w:color w:val="000000"/>
                <w:spacing w:val="-2"/>
                <w:szCs w:val="21"/>
              </w:rPr>
              <w:t xml:space="preserve">  </w:t>
            </w:r>
            <w:r>
              <w:rPr>
                <w:rFonts w:hint="eastAsia" w:eastAsia="仿宋_GB2312"/>
                <w:color w:val="000000"/>
                <w:spacing w:val="-2"/>
                <w:szCs w:val="21"/>
              </w:rPr>
              <w:t>成</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0512-68750572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常熟市住建局建筑管理处建筑管理科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常熟市黄河路</w:t>
            </w:r>
            <w:r>
              <w:rPr>
                <w:rFonts w:eastAsia="仿宋_GB2312"/>
                <w:color w:val="000000"/>
                <w:spacing w:val="-2"/>
                <w:szCs w:val="21"/>
              </w:rPr>
              <w:t>219-1</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徐俊彦</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0512-52882544</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常熟市住建局市政公用事业管理处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常熟市环城东路</w:t>
            </w:r>
            <w:r>
              <w:rPr>
                <w:rFonts w:eastAsia="仿宋_GB2312"/>
                <w:color w:val="000000"/>
                <w:spacing w:val="-2"/>
                <w:szCs w:val="21"/>
              </w:rPr>
              <w:t>42</w:t>
            </w:r>
            <w:r>
              <w:rPr>
                <w:rFonts w:hint="eastAsia" w:eastAsia="仿宋_GB2312"/>
                <w:color w:val="000000"/>
                <w:spacing w:val="-2"/>
                <w:szCs w:val="21"/>
              </w:rPr>
              <w:t>号工程科</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顾</w:t>
            </w:r>
            <w:r>
              <w:rPr>
                <w:rFonts w:eastAsia="仿宋_GB2312"/>
                <w:color w:val="000000"/>
                <w:spacing w:val="-2"/>
                <w:szCs w:val="21"/>
              </w:rPr>
              <w:t xml:space="preserve">  </w:t>
            </w:r>
            <w:r>
              <w:rPr>
                <w:rFonts w:hint="eastAsia" w:eastAsia="仿宋_GB2312"/>
                <w:color w:val="000000"/>
                <w:spacing w:val="-2"/>
                <w:szCs w:val="21"/>
              </w:rPr>
              <w:t>尧</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13862253211</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张家港市住建局人事教育科（张家港市建筑教育培训中心）</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张家港市北二环路（国泰路东</w:t>
            </w:r>
            <w:r>
              <w:rPr>
                <w:rFonts w:eastAsia="仿宋_GB2312"/>
                <w:color w:val="000000"/>
                <w:spacing w:val="-2"/>
                <w:szCs w:val="21"/>
              </w:rPr>
              <w:t>20M</w:t>
            </w:r>
            <w:r>
              <w:rPr>
                <w:rFonts w:hint="eastAsia" w:eastAsia="仿宋_GB2312"/>
                <w:color w:val="000000"/>
                <w:spacing w:val="-2"/>
                <w:szCs w:val="21"/>
              </w:rPr>
              <w:t>）</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钱</w:t>
            </w:r>
            <w:r>
              <w:rPr>
                <w:rFonts w:eastAsia="仿宋_GB2312"/>
                <w:color w:val="000000"/>
                <w:spacing w:val="-2"/>
                <w:szCs w:val="21"/>
              </w:rPr>
              <w:t xml:space="preserve">  </w:t>
            </w:r>
            <w:r>
              <w:rPr>
                <w:rFonts w:hint="eastAsia" w:eastAsia="仿宋_GB2312"/>
                <w:color w:val="000000"/>
                <w:spacing w:val="-2"/>
                <w:szCs w:val="21"/>
              </w:rPr>
              <w:t>荔</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0512-82598055</w:t>
            </w:r>
          </w:p>
          <w:p>
            <w:pPr>
              <w:ind w:left="-63" w:leftChars="-30" w:right="-63" w:rightChars="-30"/>
              <w:jc w:val="center"/>
              <w:rPr>
                <w:rFonts w:eastAsia="仿宋_GB2312"/>
                <w:color w:val="000000"/>
                <w:spacing w:val="-2"/>
                <w:szCs w:val="21"/>
              </w:rPr>
            </w:pPr>
            <w:r>
              <w:rPr>
                <w:rFonts w:eastAsia="仿宋_GB2312"/>
                <w:color w:val="000000"/>
                <w:spacing w:val="-2"/>
                <w:szCs w:val="21"/>
              </w:rPr>
              <w:t>13952449909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太仓市住建局建管科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太仓市郑和西路</w:t>
            </w:r>
            <w:r>
              <w:rPr>
                <w:rFonts w:eastAsia="仿宋_GB2312"/>
                <w:color w:val="000000"/>
                <w:spacing w:val="-2"/>
                <w:szCs w:val="21"/>
              </w:rPr>
              <w:t>29</w:t>
            </w:r>
            <w:r>
              <w:rPr>
                <w:rFonts w:hint="eastAsia" w:eastAsia="仿宋_GB2312"/>
                <w:color w:val="000000"/>
                <w:spacing w:val="-2"/>
                <w:szCs w:val="21"/>
              </w:rPr>
              <w:t>号</w:t>
            </w:r>
            <w:r>
              <w:rPr>
                <w:rFonts w:eastAsia="仿宋_GB2312"/>
                <w:color w:val="000000"/>
                <w:spacing w:val="-2"/>
                <w:szCs w:val="21"/>
              </w:rPr>
              <w:t>207</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芮</w:t>
            </w:r>
            <w:r>
              <w:rPr>
                <w:rFonts w:eastAsia="仿宋_GB2312"/>
                <w:color w:val="000000"/>
                <w:spacing w:val="-2"/>
                <w:szCs w:val="21"/>
              </w:rPr>
              <w:t xml:space="preserve">  </w:t>
            </w:r>
            <w:r>
              <w:rPr>
                <w:rFonts w:hint="eastAsia" w:eastAsia="仿宋_GB2312"/>
                <w:color w:val="000000"/>
                <w:spacing w:val="-2"/>
                <w:szCs w:val="21"/>
              </w:rPr>
              <w:t>枫</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0512-53522704</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太仓市住建局市政科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太仓市郑和西路</w:t>
            </w:r>
            <w:r>
              <w:rPr>
                <w:rFonts w:eastAsia="仿宋_GB2312"/>
                <w:color w:val="000000"/>
                <w:spacing w:val="-2"/>
                <w:szCs w:val="21"/>
              </w:rPr>
              <w:t>29</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马雪峰</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13952422190</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吴江区住建局工程建设科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苏州市吴江区松陵镇笠泽路</w:t>
            </w:r>
            <w:r>
              <w:rPr>
                <w:rFonts w:eastAsia="仿宋_GB2312"/>
                <w:color w:val="000000"/>
                <w:spacing w:val="-2"/>
                <w:szCs w:val="21"/>
              </w:rPr>
              <w:t>551</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徐国华</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0512-63485845</w:t>
            </w:r>
          </w:p>
          <w:p>
            <w:pPr>
              <w:ind w:left="-63" w:leftChars="-30" w:right="-63" w:rightChars="-30"/>
              <w:jc w:val="center"/>
              <w:rPr>
                <w:rFonts w:eastAsia="仿宋_GB2312"/>
                <w:color w:val="000000"/>
                <w:spacing w:val="-2"/>
                <w:szCs w:val="21"/>
              </w:rPr>
            </w:pPr>
            <w:r>
              <w:rPr>
                <w:rFonts w:eastAsia="仿宋_GB2312"/>
                <w:color w:val="000000"/>
                <w:spacing w:val="-2"/>
                <w:szCs w:val="21"/>
              </w:rPr>
              <w:t>13862191999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吴江区住建局市政处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苏州市吴江区松陵镇笠泽路</w:t>
            </w:r>
            <w:r>
              <w:rPr>
                <w:rFonts w:eastAsia="仿宋_GB2312"/>
                <w:color w:val="000000"/>
                <w:spacing w:val="-2"/>
                <w:szCs w:val="21"/>
              </w:rPr>
              <w:t>552</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叶卫强</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15906228889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trHeight w:val="764" w:hRule="atLeas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苏州工业园区规划建设局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苏州市现代大道</w:t>
            </w:r>
            <w:r>
              <w:rPr>
                <w:rFonts w:eastAsia="仿宋_GB2312"/>
                <w:color w:val="000000"/>
                <w:spacing w:val="-2"/>
                <w:szCs w:val="21"/>
              </w:rPr>
              <w:t>999</w:t>
            </w:r>
            <w:r>
              <w:rPr>
                <w:rFonts w:hint="eastAsia" w:eastAsia="仿宋_GB2312"/>
                <w:color w:val="000000"/>
                <w:spacing w:val="-2"/>
                <w:szCs w:val="21"/>
              </w:rPr>
              <w:t>号工业园区一站式服务中心建设窗口</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潘海权</w:t>
            </w:r>
          </w:p>
          <w:p>
            <w:pPr>
              <w:ind w:left="-63" w:leftChars="-30" w:right="-63" w:rightChars="-30"/>
              <w:jc w:val="center"/>
              <w:rPr>
                <w:rFonts w:eastAsia="仿宋_GB2312"/>
                <w:color w:val="000000"/>
                <w:spacing w:val="-2"/>
                <w:szCs w:val="21"/>
              </w:rPr>
            </w:pPr>
            <w:r>
              <w:rPr>
                <w:rFonts w:hint="eastAsia" w:eastAsia="仿宋_GB2312"/>
                <w:color w:val="000000"/>
                <w:spacing w:val="-2"/>
                <w:szCs w:val="21"/>
              </w:rPr>
              <w:t>钟</w:t>
            </w:r>
            <w:r>
              <w:rPr>
                <w:rFonts w:eastAsia="仿宋_GB2312"/>
                <w:color w:val="000000"/>
                <w:spacing w:val="-2"/>
                <w:szCs w:val="21"/>
              </w:rPr>
              <w:t xml:space="preserve">  </w:t>
            </w:r>
            <w:r>
              <w:rPr>
                <w:rFonts w:hint="eastAsia" w:eastAsia="仿宋_GB2312"/>
                <w:color w:val="000000"/>
                <w:spacing w:val="-2"/>
                <w:szCs w:val="21"/>
              </w:rPr>
              <w:t>锐</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0512-66680723</w:t>
            </w:r>
          </w:p>
          <w:p>
            <w:pPr>
              <w:ind w:left="-63" w:leftChars="-30" w:right="-63" w:rightChars="-30"/>
              <w:jc w:val="center"/>
              <w:rPr>
                <w:rFonts w:eastAsia="仿宋_GB2312"/>
                <w:color w:val="000000"/>
                <w:spacing w:val="-2"/>
                <w:szCs w:val="21"/>
              </w:rPr>
            </w:pPr>
            <w:r>
              <w:rPr>
                <w:rFonts w:eastAsia="仿宋_GB2312"/>
                <w:color w:val="000000"/>
                <w:spacing w:val="-2"/>
                <w:szCs w:val="21"/>
              </w:rPr>
              <w:t>0512-66680733</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trHeight w:val="593" w:hRule="atLeas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张家港保税区住建局建筑业管理处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张家港保税区长江大厦</w:t>
            </w:r>
            <w:r>
              <w:rPr>
                <w:rFonts w:eastAsia="仿宋_GB2312"/>
                <w:color w:val="000000"/>
                <w:spacing w:val="-2"/>
                <w:szCs w:val="21"/>
              </w:rPr>
              <w:t>1202</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袁</w:t>
            </w:r>
            <w:r>
              <w:rPr>
                <w:rFonts w:eastAsia="仿宋_GB2312"/>
                <w:color w:val="000000"/>
                <w:spacing w:val="-2"/>
                <w:szCs w:val="21"/>
              </w:rPr>
              <w:t xml:space="preserve">  </w:t>
            </w:r>
            <w:r>
              <w:rPr>
                <w:rFonts w:hint="eastAsia" w:eastAsia="仿宋_GB2312"/>
                <w:color w:val="000000"/>
                <w:spacing w:val="-2"/>
                <w:szCs w:val="21"/>
              </w:rPr>
              <w:t>涛</w:t>
            </w:r>
          </w:p>
          <w:p>
            <w:pPr>
              <w:ind w:left="-63" w:leftChars="-30" w:right="-63" w:rightChars="-30"/>
              <w:jc w:val="center"/>
              <w:rPr>
                <w:rFonts w:eastAsia="仿宋_GB2312"/>
                <w:color w:val="000000"/>
                <w:spacing w:val="-2"/>
                <w:szCs w:val="21"/>
              </w:rPr>
            </w:pPr>
            <w:r>
              <w:rPr>
                <w:rFonts w:hint="eastAsia" w:eastAsia="仿宋_GB2312"/>
                <w:color w:val="000000"/>
                <w:spacing w:val="-2"/>
                <w:szCs w:val="21"/>
              </w:rPr>
              <w:t>陈忠保</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0512-58320311</w:t>
            </w:r>
          </w:p>
          <w:p>
            <w:pPr>
              <w:ind w:left="-63" w:leftChars="-30" w:right="-63" w:rightChars="-30"/>
              <w:jc w:val="center"/>
              <w:rPr>
                <w:rFonts w:eastAsia="仿宋_GB2312"/>
                <w:color w:val="000000"/>
                <w:spacing w:val="-2"/>
                <w:szCs w:val="21"/>
              </w:rPr>
            </w:pPr>
            <w:r>
              <w:rPr>
                <w:rFonts w:eastAsia="仿宋_GB2312"/>
                <w:color w:val="000000"/>
                <w:spacing w:val="-2"/>
                <w:szCs w:val="21"/>
              </w:rPr>
              <w:t>0512-58320096</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restart"/>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6</w:t>
            </w:r>
          </w:p>
        </w:tc>
        <w:tc>
          <w:tcPr>
            <w:tcW w:w="859"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南通市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南通市建设执业资格注册中心</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南通市中远路</w:t>
            </w:r>
            <w:r>
              <w:rPr>
                <w:rFonts w:eastAsia="仿宋_GB2312"/>
                <w:color w:val="000000"/>
                <w:spacing w:val="-2"/>
                <w:szCs w:val="21"/>
              </w:rPr>
              <w:t>99</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李婷婷</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0513-83503761</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通州区建筑工程管理局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通州区金通路</w:t>
            </w:r>
            <w:r>
              <w:rPr>
                <w:rFonts w:eastAsia="仿宋_GB2312"/>
                <w:color w:val="000000"/>
                <w:spacing w:val="-2"/>
                <w:szCs w:val="21"/>
              </w:rPr>
              <w:t>71</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季建文</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0513-86512960</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如东县建筑工程管理局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如东县掘港镇建设大厦</w:t>
            </w:r>
            <w:r>
              <w:rPr>
                <w:rFonts w:eastAsia="仿宋_GB2312"/>
                <w:color w:val="000000"/>
                <w:spacing w:val="-2"/>
                <w:szCs w:val="21"/>
              </w:rPr>
              <w:t>709</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顾</w:t>
            </w:r>
            <w:r>
              <w:rPr>
                <w:rFonts w:eastAsia="仿宋_GB2312"/>
                <w:color w:val="000000"/>
                <w:spacing w:val="-2"/>
                <w:szCs w:val="21"/>
              </w:rPr>
              <w:t xml:space="preserve">  </w:t>
            </w:r>
            <w:r>
              <w:rPr>
                <w:rFonts w:hint="eastAsia" w:eastAsia="仿宋_GB2312"/>
                <w:color w:val="000000"/>
                <w:spacing w:val="-2"/>
                <w:szCs w:val="21"/>
              </w:rPr>
              <w:t>晶</w:t>
            </w:r>
          </w:p>
          <w:p>
            <w:pPr>
              <w:ind w:left="-63" w:leftChars="-30" w:right="-63" w:rightChars="-30"/>
              <w:jc w:val="center"/>
              <w:rPr>
                <w:rFonts w:eastAsia="仿宋_GB2312"/>
                <w:color w:val="000000"/>
                <w:spacing w:val="-2"/>
                <w:szCs w:val="21"/>
              </w:rPr>
            </w:pPr>
            <w:r>
              <w:rPr>
                <w:rFonts w:hint="eastAsia" w:eastAsia="仿宋_GB2312"/>
                <w:color w:val="000000"/>
                <w:spacing w:val="-2"/>
                <w:szCs w:val="21"/>
              </w:rPr>
              <w:t>陈雪琴</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0513-88155252</w:t>
            </w:r>
          </w:p>
          <w:p>
            <w:pPr>
              <w:ind w:left="-63" w:leftChars="-30" w:right="-63" w:rightChars="-30"/>
              <w:jc w:val="center"/>
              <w:rPr>
                <w:rFonts w:eastAsia="仿宋_GB2312"/>
                <w:color w:val="000000"/>
                <w:spacing w:val="-2"/>
                <w:szCs w:val="21"/>
              </w:rPr>
            </w:pPr>
            <w:r>
              <w:rPr>
                <w:rFonts w:eastAsia="仿宋_GB2312"/>
                <w:color w:val="000000"/>
                <w:spacing w:val="-2"/>
                <w:szCs w:val="21"/>
              </w:rPr>
              <w:t>0513-88155251</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海安县建筑工程管理局</w:t>
            </w:r>
          </w:p>
          <w:p>
            <w:pPr>
              <w:ind w:left="-63" w:leftChars="-30" w:right="-63" w:rightChars="-30"/>
              <w:rPr>
                <w:rFonts w:eastAsia="仿宋_GB2312"/>
                <w:color w:val="000000"/>
                <w:spacing w:val="-2"/>
                <w:szCs w:val="21"/>
              </w:rPr>
            </w:pP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海安镇中坝南路</w:t>
            </w:r>
            <w:r>
              <w:rPr>
                <w:rFonts w:eastAsia="仿宋_GB2312"/>
                <w:color w:val="000000"/>
                <w:spacing w:val="-2"/>
                <w:szCs w:val="21"/>
              </w:rPr>
              <w:t>18</w:t>
            </w:r>
            <w:r>
              <w:rPr>
                <w:rFonts w:hint="eastAsia" w:eastAsia="仿宋_GB2312"/>
                <w:color w:val="000000"/>
                <w:spacing w:val="-2"/>
                <w:szCs w:val="21"/>
              </w:rPr>
              <w:t>号</w:t>
            </w:r>
            <w:r>
              <w:rPr>
                <w:rFonts w:eastAsia="仿宋_GB2312"/>
                <w:color w:val="000000"/>
                <w:spacing w:val="-2"/>
                <w:szCs w:val="21"/>
              </w:rPr>
              <w:t>25</w:t>
            </w:r>
            <w:r>
              <w:rPr>
                <w:rFonts w:hint="eastAsia" w:eastAsia="仿宋_GB2312"/>
                <w:color w:val="000000"/>
                <w:spacing w:val="-2"/>
                <w:szCs w:val="21"/>
              </w:rPr>
              <w:t>层</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王</w:t>
            </w:r>
            <w:r>
              <w:rPr>
                <w:rFonts w:eastAsia="仿宋_GB2312"/>
                <w:color w:val="000000"/>
                <w:spacing w:val="-2"/>
                <w:szCs w:val="21"/>
              </w:rPr>
              <w:t xml:space="preserve">  </w:t>
            </w:r>
            <w:r>
              <w:rPr>
                <w:rFonts w:hint="eastAsia" w:eastAsia="仿宋_GB2312"/>
                <w:color w:val="000000"/>
                <w:spacing w:val="-2"/>
                <w:szCs w:val="21"/>
              </w:rPr>
              <w:t>红</w:t>
            </w:r>
          </w:p>
          <w:p>
            <w:pPr>
              <w:ind w:left="-63" w:leftChars="-30" w:right="-63" w:rightChars="-30"/>
              <w:jc w:val="center"/>
              <w:rPr>
                <w:rFonts w:eastAsia="仿宋_GB2312"/>
                <w:color w:val="000000"/>
                <w:spacing w:val="-2"/>
                <w:szCs w:val="21"/>
              </w:rPr>
            </w:pPr>
            <w:r>
              <w:rPr>
                <w:rFonts w:hint="eastAsia" w:eastAsia="仿宋_GB2312"/>
                <w:color w:val="000000"/>
                <w:spacing w:val="-2"/>
                <w:szCs w:val="21"/>
              </w:rPr>
              <w:t>薛</w:t>
            </w:r>
            <w:r>
              <w:rPr>
                <w:rFonts w:eastAsia="仿宋_GB2312"/>
                <w:color w:val="000000"/>
                <w:spacing w:val="-2"/>
                <w:szCs w:val="21"/>
              </w:rPr>
              <w:t xml:space="preserve">  </w:t>
            </w:r>
            <w:r>
              <w:rPr>
                <w:rFonts w:hint="eastAsia" w:eastAsia="仿宋_GB2312"/>
                <w:color w:val="000000"/>
                <w:spacing w:val="-2"/>
                <w:szCs w:val="21"/>
              </w:rPr>
              <w:t>峰</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0513-88826149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海门市建筑工程管理局行管科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海门市北京中路</w:t>
            </w:r>
            <w:r>
              <w:rPr>
                <w:rFonts w:eastAsia="仿宋_GB2312"/>
                <w:color w:val="000000"/>
                <w:spacing w:val="-2"/>
                <w:szCs w:val="21"/>
              </w:rPr>
              <w:t>600</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吴桠铭</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0513-68908029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如皋市建筑工程管理局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如皋市市民服务中心一楼建工局窗口</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王胡祥</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0513-87289310</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如皋市建筑工程管理局行管科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如皋市行政中心</w:t>
            </w:r>
            <w:r>
              <w:rPr>
                <w:rFonts w:eastAsia="仿宋_GB2312"/>
                <w:color w:val="000000"/>
                <w:spacing w:val="-2"/>
                <w:szCs w:val="21"/>
              </w:rPr>
              <w:t>B</w:t>
            </w:r>
            <w:r>
              <w:rPr>
                <w:rFonts w:hint="eastAsia" w:eastAsia="仿宋_GB2312"/>
                <w:color w:val="000000"/>
                <w:spacing w:val="-2"/>
                <w:szCs w:val="21"/>
              </w:rPr>
              <w:t>座</w:t>
            </w:r>
            <w:r>
              <w:rPr>
                <w:rFonts w:eastAsia="仿宋_GB2312"/>
                <w:color w:val="000000"/>
                <w:spacing w:val="-2"/>
                <w:szCs w:val="21"/>
              </w:rPr>
              <w:t>5</w:t>
            </w:r>
            <w:r>
              <w:rPr>
                <w:rFonts w:hint="eastAsia" w:eastAsia="仿宋_GB2312"/>
                <w:color w:val="000000"/>
                <w:spacing w:val="-2"/>
                <w:szCs w:val="21"/>
              </w:rPr>
              <w:t>楼</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陈</w:t>
            </w:r>
            <w:r>
              <w:rPr>
                <w:rFonts w:eastAsia="仿宋_GB2312"/>
                <w:color w:val="000000"/>
                <w:spacing w:val="-2"/>
                <w:szCs w:val="21"/>
              </w:rPr>
              <w:t xml:space="preserve">  </w:t>
            </w:r>
            <w:r>
              <w:rPr>
                <w:rFonts w:hint="eastAsia" w:eastAsia="仿宋_GB2312"/>
                <w:color w:val="000000"/>
                <w:spacing w:val="-2"/>
                <w:szCs w:val="21"/>
              </w:rPr>
              <w:t>骏</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0513-87288806</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启东市住建局教育培训科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启东市公园中路</w:t>
            </w:r>
            <w:r>
              <w:rPr>
                <w:rFonts w:eastAsia="仿宋_GB2312"/>
                <w:color w:val="000000"/>
                <w:spacing w:val="-2"/>
                <w:szCs w:val="21"/>
              </w:rPr>
              <w:t>842</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沈瑾瑜</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0513-83316682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7</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连云港市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连云港市建设培训中心</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连云港市海州区朝阳东路凤凰大道</w:t>
            </w:r>
            <w:r>
              <w:rPr>
                <w:rFonts w:eastAsia="仿宋_GB2312"/>
                <w:color w:val="000000"/>
                <w:spacing w:val="-2"/>
                <w:szCs w:val="21"/>
              </w:rPr>
              <w:t>1</w:t>
            </w:r>
            <w:r>
              <w:rPr>
                <w:rFonts w:hint="eastAsia" w:eastAsia="仿宋_GB2312"/>
                <w:color w:val="000000"/>
                <w:spacing w:val="-2"/>
                <w:szCs w:val="21"/>
              </w:rPr>
              <w:t>号港城新世界</w:t>
            </w:r>
            <w:r>
              <w:rPr>
                <w:rFonts w:eastAsia="仿宋_GB2312"/>
                <w:color w:val="000000"/>
                <w:spacing w:val="-2"/>
                <w:szCs w:val="21"/>
              </w:rPr>
              <w:t>3</w:t>
            </w:r>
            <w:r>
              <w:rPr>
                <w:rFonts w:hint="eastAsia" w:eastAsia="仿宋_GB2312"/>
                <w:color w:val="000000"/>
                <w:spacing w:val="-2"/>
                <w:szCs w:val="21"/>
              </w:rPr>
              <w:t>号楼</w:t>
            </w:r>
            <w:r>
              <w:rPr>
                <w:rFonts w:eastAsia="仿宋_GB2312"/>
                <w:color w:val="000000"/>
                <w:spacing w:val="-2"/>
                <w:szCs w:val="21"/>
              </w:rPr>
              <w:t xml:space="preserve"> 219</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周同柱</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0518-85516163</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8</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淮安市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淮安市住房城乡建设局宣教中心</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淮安市北京北路</w:t>
            </w:r>
            <w:r>
              <w:rPr>
                <w:rFonts w:eastAsia="仿宋_GB2312"/>
                <w:color w:val="000000"/>
                <w:spacing w:val="-2"/>
                <w:szCs w:val="21"/>
              </w:rPr>
              <w:t>112</w:t>
            </w:r>
            <w:r>
              <w:rPr>
                <w:rFonts w:hint="eastAsia" w:eastAsia="仿宋_GB2312"/>
                <w:color w:val="000000"/>
                <w:spacing w:val="-2"/>
                <w:szCs w:val="21"/>
              </w:rPr>
              <w:t>号建设大厦</w:t>
            </w:r>
            <w:r>
              <w:rPr>
                <w:rFonts w:eastAsia="仿宋_GB2312"/>
                <w:color w:val="000000"/>
                <w:spacing w:val="-2"/>
                <w:szCs w:val="21"/>
              </w:rPr>
              <w:t>501</w:t>
            </w:r>
            <w:r>
              <w:rPr>
                <w:rFonts w:hint="eastAsia" w:eastAsia="仿宋_GB2312"/>
                <w:color w:val="000000"/>
                <w:spacing w:val="-2"/>
                <w:szCs w:val="21"/>
              </w:rPr>
              <w:t>、</w:t>
            </w:r>
            <w:r>
              <w:rPr>
                <w:rFonts w:eastAsia="仿宋_GB2312"/>
                <w:color w:val="000000"/>
                <w:spacing w:val="-2"/>
                <w:szCs w:val="21"/>
              </w:rPr>
              <w:t>503</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张正芹</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0517-83661643</w:t>
            </w:r>
          </w:p>
          <w:p>
            <w:pPr>
              <w:ind w:left="-63" w:leftChars="-30" w:right="-63" w:rightChars="-30"/>
              <w:jc w:val="center"/>
              <w:rPr>
                <w:rFonts w:eastAsia="仿宋_GB2312"/>
                <w:color w:val="000000"/>
                <w:spacing w:val="-2"/>
                <w:szCs w:val="21"/>
              </w:rPr>
            </w:pPr>
            <w:r>
              <w:rPr>
                <w:rFonts w:eastAsia="仿宋_GB2312"/>
                <w:color w:val="000000"/>
                <w:spacing w:val="-2"/>
                <w:szCs w:val="21"/>
              </w:rPr>
              <w:t>0517-83662603</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restart"/>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9</w:t>
            </w:r>
          </w:p>
        </w:tc>
        <w:tc>
          <w:tcPr>
            <w:tcW w:w="859"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盐城市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tabs>
                <w:tab w:val="left" w:pos="765"/>
              </w:tabs>
              <w:ind w:left="-63" w:leftChars="-30" w:right="-63" w:rightChars="-30"/>
              <w:rPr>
                <w:rFonts w:eastAsia="仿宋_GB2312"/>
                <w:color w:val="000000"/>
                <w:spacing w:val="-2"/>
                <w:szCs w:val="21"/>
              </w:rPr>
            </w:pPr>
            <w:r>
              <w:rPr>
                <w:rFonts w:hint="eastAsia" w:eastAsia="仿宋_GB2312"/>
                <w:color w:val="000000"/>
                <w:spacing w:val="-2"/>
                <w:szCs w:val="21"/>
              </w:rPr>
              <w:t>盐城市城乡建设局建设职工教育培训办公室</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盐城市高职园区西环路与蓝海路交界处盐城建筑工程学校内</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顾庆荣</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0515-89966505</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东台市住建局建工科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东台市广场路</w:t>
            </w:r>
            <w:r>
              <w:rPr>
                <w:rFonts w:eastAsia="仿宋_GB2312"/>
                <w:color w:val="000000"/>
                <w:spacing w:val="-2"/>
                <w:szCs w:val="21"/>
              </w:rPr>
              <w:t>8</w:t>
            </w:r>
            <w:r>
              <w:rPr>
                <w:rFonts w:hint="eastAsia" w:eastAsia="仿宋_GB2312"/>
                <w:color w:val="000000"/>
                <w:spacing w:val="-2"/>
                <w:szCs w:val="21"/>
              </w:rPr>
              <w:t>号（</w:t>
            </w:r>
            <w:r>
              <w:rPr>
                <w:rFonts w:eastAsia="仿宋_GB2312"/>
                <w:color w:val="000000"/>
                <w:spacing w:val="-2"/>
                <w:szCs w:val="21"/>
              </w:rPr>
              <w:t>0815</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周颖淑</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0515-85212508</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大丰市住建局建筑业科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大丰市健康东路</w:t>
            </w:r>
            <w:r>
              <w:rPr>
                <w:rFonts w:eastAsia="仿宋_GB2312"/>
                <w:color w:val="000000"/>
                <w:spacing w:val="-2"/>
                <w:szCs w:val="21"/>
              </w:rPr>
              <w:t>82</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徐远峨</w:t>
            </w:r>
            <w:r>
              <w:rPr>
                <w:rFonts w:eastAsia="仿宋_GB2312"/>
                <w:color w:val="000000"/>
                <w:spacing w:val="-2"/>
                <w:szCs w:val="21"/>
              </w:rPr>
              <w:t xml:space="preserve"> </w:t>
            </w:r>
            <w:r>
              <w:rPr>
                <w:rFonts w:hint="eastAsia" w:eastAsia="仿宋_GB2312"/>
                <w:color w:val="000000"/>
                <w:spacing w:val="-2"/>
                <w:szCs w:val="21"/>
              </w:rPr>
              <w:t>陈</w:t>
            </w:r>
            <w:r>
              <w:rPr>
                <w:rFonts w:eastAsia="仿宋_GB2312"/>
                <w:color w:val="000000"/>
                <w:spacing w:val="-2"/>
                <w:szCs w:val="21"/>
              </w:rPr>
              <w:t xml:space="preserve">  </w:t>
            </w:r>
            <w:r>
              <w:rPr>
                <w:rFonts w:hint="eastAsia" w:eastAsia="仿宋_GB2312"/>
                <w:color w:val="000000"/>
                <w:spacing w:val="-2"/>
                <w:szCs w:val="21"/>
              </w:rPr>
              <w:t>炎</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0515-83535962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射阳县住建局建工科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射阳县人民西路</w:t>
            </w:r>
            <w:r>
              <w:rPr>
                <w:rFonts w:eastAsia="仿宋_GB2312"/>
                <w:color w:val="000000"/>
                <w:spacing w:val="-2"/>
                <w:szCs w:val="21"/>
              </w:rPr>
              <w:t>66</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夏明健</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0515-69923521</w:t>
            </w:r>
          </w:p>
          <w:p>
            <w:pPr>
              <w:ind w:left="-63" w:leftChars="-30" w:right="-63" w:rightChars="-30"/>
              <w:jc w:val="center"/>
              <w:rPr>
                <w:rFonts w:eastAsia="仿宋_GB2312"/>
                <w:color w:val="000000"/>
                <w:spacing w:val="-2"/>
                <w:szCs w:val="21"/>
              </w:rPr>
            </w:pPr>
            <w:r>
              <w:rPr>
                <w:rFonts w:eastAsia="仿宋_GB2312"/>
                <w:color w:val="000000"/>
                <w:spacing w:val="-2"/>
                <w:szCs w:val="21"/>
              </w:rPr>
              <w:t>18751456786</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滨海县住建局建工科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滨海县迎宾路</w:t>
            </w:r>
            <w:r>
              <w:rPr>
                <w:rFonts w:eastAsia="仿宋_GB2312"/>
                <w:color w:val="000000"/>
                <w:spacing w:val="-2"/>
                <w:szCs w:val="21"/>
              </w:rPr>
              <w:t>88</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刘</w:t>
            </w:r>
            <w:r>
              <w:rPr>
                <w:rFonts w:eastAsia="仿宋_GB2312"/>
                <w:color w:val="000000"/>
                <w:spacing w:val="-2"/>
                <w:szCs w:val="21"/>
              </w:rPr>
              <w:t xml:space="preserve">  </w:t>
            </w:r>
            <w:r>
              <w:rPr>
                <w:rFonts w:hint="eastAsia" w:eastAsia="仿宋_GB2312"/>
                <w:color w:val="000000"/>
                <w:spacing w:val="-2"/>
                <w:szCs w:val="21"/>
              </w:rPr>
              <w:t>宝</w:t>
            </w:r>
            <w:r>
              <w:rPr>
                <w:rFonts w:eastAsia="仿宋_GB2312"/>
                <w:color w:val="000000"/>
                <w:spacing w:val="-2"/>
                <w:szCs w:val="21"/>
              </w:rPr>
              <w:t xml:space="preserve"> </w:t>
            </w:r>
          </w:p>
          <w:p>
            <w:pPr>
              <w:ind w:left="-63" w:leftChars="-30" w:right="-63" w:rightChars="-30"/>
              <w:jc w:val="center"/>
              <w:rPr>
                <w:rFonts w:eastAsia="仿宋_GB2312"/>
                <w:color w:val="000000"/>
                <w:spacing w:val="-2"/>
                <w:szCs w:val="21"/>
              </w:rPr>
            </w:pPr>
            <w:r>
              <w:rPr>
                <w:rFonts w:hint="eastAsia" w:eastAsia="仿宋_GB2312"/>
                <w:color w:val="000000"/>
                <w:spacing w:val="-2"/>
                <w:szCs w:val="21"/>
              </w:rPr>
              <w:t>李明杰</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13605118068</w:t>
            </w:r>
          </w:p>
          <w:p>
            <w:pPr>
              <w:ind w:left="-63" w:leftChars="-30" w:right="-63" w:rightChars="-30"/>
              <w:jc w:val="center"/>
              <w:rPr>
                <w:rFonts w:eastAsia="仿宋_GB2312"/>
                <w:color w:val="000000"/>
                <w:spacing w:val="-2"/>
                <w:szCs w:val="21"/>
              </w:rPr>
            </w:pPr>
            <w:r>
              <w:rPr>
                <w:rFonts w:eastAsia="仿宋_GB2312"/>
                <w:color w:val="000000"/>
                <w:spacing w:val="-2"/>
                <w:szCs w:val="21"/>
              </w:rPr>
              <w:t>15961912587</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响水县住建局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响水县城双园中路</w:t>
            </w:r>
            <w:r>
              <w:rPr>
                <w:rFonts w:eastAsia="仿宋_GB2312"/>
                <w:color w:val="000000"/>
                <w:spacing w:val="-2"/>
                <w:szCs w:val="21"/>
              </w:rPr>
              <w:t>156#</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施</w:t>
            </w:r>
            <w:r>
              <w:rPr>
                <w:rFonts w:eastAsia="仿宋_GB2312"/>
                <w:color w:val="000000"/>
                <w:spacing w:val="-2"/>
                <w:szCs w:val="21"/>
              </w:rPr>
              <w:t xml:space="preserve">  </w:t>
            </w:r>
            <w:r>
              <w:rPr>
                <w:rFonts w:hint="eastAsia" w:eastAsia="仿宋_GB2312"/>
                <w:color w:val="000000"/>
                <w:spacing w:val="-2"/>
                <w:szCs w:val="21"/>
              </w:rPr>
              <w:t>琪</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0515-69816112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阜宁县住建局工程建设科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阜宁县城南大厦</w:t>
            </w:r>
            <w:r>
              <w:rPr>
                <w:rFonts w:eastAsia="仿宋_GB2312"/>
                <w:color w:val="000000"/>
                <w:spacing w:val="-2"/>
                <w:szCs w:val="21"/>
              </w:rPr>
              <w:t>A</w:t>
            </w:r>
            <w:r>
              <w:rPr>
                <w:rFonts w:hint="eastAsia" w:eastAsia="仿宋_GB2312"/>
                <w:color w:val="000000"/>
                <w:spacing w:val="-2"/>
                <w:szCs w:val="21"/>
              </w:rPr>
              <w:t>座</w:t>
            </w:r>
            <w:r>
              <w:rPr>
                <w:rFonts w:eastAsia="仿宋_GB2312"/>
                <w:color w:val="000000"/>
                <w:spacing w:val="-2"/>
                <w:szCs w:val="21"/>
              </w:rPr>
              <w:t>1502</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周鑫洋</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0515-68691505</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建湖县住建局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建湖县公安路</w:t>
            </w:r>
            <w:r>
              <w:rPr>
                <w:rFonts w:eastAsia="仿宋_GB2312"/>
                <w:color w:val="000000"/>
                <w:spacing w:val="-2"/>
                <w:szCs w:val="21"/>
              </w:rPr>
              <w:t>3</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杨</w:t>
            </w:r>
            <w:r>
              <w:rPr>
                <w:rFonts w:eastAsia="仿宋_GB2312"/>
                <w:color w:val="000000"/>
                <w:spacing w:val="-2"/>
                <w:szCs w:val="21"/>
              </w:rPr>
              <w:t xml:space="preserve">  </w:t>
            </w:r>
            <w:r>
              <w:rPr>
                <w:rFonts w:hint="eastAsia" w:eastAsia="仿宋_GB2312"/>
                <w:color w:val="000000"/>
                <w:spacing w:val="-2"/>
                <w:szCs w:val="21"/>
              </w:rPr>
              <w:t>艳</w:t>
            </w:r>
          </w:p>
          <w:p>
            <w:pPr>
              <w:ind w:left="-63" w:leftChars="-30" w:right="-63" w:rightChars="-30"/>
              <w:jc w:val="center"/>
              <w:rPr>
                <w:rFonts w:eastAsia="仿宋_GB2312"/>
                <w:color w:val="000000"/>
                <w:spacing w:val="-2"/>
                <w:szCs w:val="21"/>
              </w:rPr>
            </w:pPr>
            <w:r>
              <w:rPr>
                <w:rFonts w:hint="eastAsia" w:eastAsia="仿宋_GB2312"/>
                <w:color w:val="000000"/>
                <w:spacing w:val="-2"/>
                <w:szCs w:val="21"/>
              </w:rPr>
              <w:t>朱</w:t>
            </w:r>
            <w:r>
              <w:rPr>
                <w:rFonts w:eastAsia="仿宋_GB2312"/>
                <w:color w:val="000000"/>
                <w:spacing w:val="-2"/>
                <w:szCs w:val="21"/>
              </w:rPr>
              <w:t xml:space="preserve">  </w:t>
            </w:r>
            <w:r>
              <w:rPr>
                <w:rFonts w:hint="eastAsia" w:eastAsia="仿宋_GB2312"/>
                <w:color w:val="000000"/>
                <w:spacing w:val="-2"/>
                <w:szCs w:val="21"/>
              </w:rPr>
              <w:t>叶</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0515-80601863</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盐都区住建局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盐都区新都路住建大厦</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李婷婷</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0515-88429579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trHeight w:val="70" w:hRule="atLeas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亭湖区住建局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亭湖区行政服务中心住建局窗口（盐城市青年东路</w:t>
            </w:r>
            <w:r>
              <w:rPr>
                <w:rFonts w:eastAsia="仿宋_GB2312"/>
                <w:color w:val="000000"/>
                <w:spacing w:val="-2"/>
                <w:szCs w:val="21"/>
              </w:rPr>
              <w:t>53</w:t>
            </w:r>
            <w:r>
              <w:rPr>
                <w:rFonts w:hint="eastAsia" w:eastAsia="仿宋_GB2312"/>
                <w:color w:val="000000"/>
                <w:spacing w:val="-2"/>
                <w:szCs w:val="21"/>
              </w:rPr>
              <w:t>号东亭国际大厦二楼），</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顾</w:t>
            </w:r>
            <w:r>
              <w:rPr>
                <w:rFonts w:eastAsia="仿宋_GB2312"/>
                <w:color w:val="000000"/>
                <w:spacing w:val="-2"/>
                <w:szCs w:val="21"/>
              </w:rPr>
              <w:t xml:space="preserve">  </w:t>
            </w:r>
            <w:r>
              <w:rPr>
                <w:rFonts w:hint="eastAsia" w:eastAsia="仿宋_GB2312"/>
                <w:color w:val="000000"/>
                <w:spacing w:val="-2"/>
                <w:szCs w:val="21"/>
              </w:rPr>
              <w:t>翠</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0515-89802682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经济开发区建管处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盐城市松江路</w:t>
            </w:r>
            <w:r>
              <w:rPr>
                <w:rFonts w:eastAsia="仿宋_GB2312"/>
                <w:color w:val="000000"/>
                <w:spacing w:val="-2"/>
                <w:szCs w:val="21"/>
              </w:rPr>
              <w:t>18</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孟</w:t>
            </w:r>
            <w:r>
              <w:rPr>
                <w:rFonts w:eastAsia="仿宋_GB2312"/>
                <w:color w:val="000000"/>
                <w:spacing w:val="-2"/>
                <w:szCs w:val="21"/>
              </w:rPr>
              <w:t xml:space="preserve">  </w:t>
            </w:r>
            <w:r>
              <w:rPr>
                <w:rFonts w:hint="eastAsia" w:eastAsia="仿宋_GB2312"/>
                <w:color w:val="000000"/>
                <w:spacing w:val="-2"/>
                <w:szCs w:val="21"/>
              </w:rPr>
              <w:t>慧</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0515-68820138</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restart"/>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10</w:t>
            </w:r>
          </w:p>
        </w:tc>
        <w:tc>
          <w:tcPr>
            <w:tcW w:w="859"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扬州市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扬州市建设执业资格考试与注册中心</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扬州市文昌中路</w:t>
            </w:r>
            <w:r>
              <w:rPr>
                <w:rFonts w:eastAsia="仿宋_GB2312"/>
                <w:color w:val="000000"/>
                <w:spacing w:val="-2"/>
                <w:szCs w:val="21"/>
              </w:rPr>
              <w:t>20</w:t>
            </w:r>
            <w:r>
              <w:rPr>
                <w:rFonts w:hint="eastAsia" w:eastAsia="仿宋_GB2312"/>
                <w:color w:val="000000"/>
                <w:spacing w:val="-2"/>
                <w:szCs w:val="21"/>
              </w:rPr>
              <w:t>号文昌国际大厦</w:t>
            </w:r>
            <w:r>
              <w:rPr>
                <w:rFonts w:eastAsia="仿宋_GB2312"/>
                <w:color w:val="000000"/>
                <w:spacing w:val="-2"/>
                <w:szCs w:val="21"/>
              </w:rPr>
              <w:t>403</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王生荣</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0514-87343467</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邗江区城乡建设局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兴城西路</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王</w:t>
            </w:r>
            <w:r>
              <w:rPr>
                <w:rFonts w:eastAsia="仿宋_GB2312"/>
                <w:color w:val="000000"/>
                <w:spacing w:val="-2"/>
                <w:szCs w:val="21"/>
              </w:rPr>
              <w:t xml:space="preserve">  </w:t>
            </w:r>
            <w:r>
              <w:rPr>
                <w:rFonts w:hint="eastAsia" w:eastAsia="仿宋_GB2312"/>
                <w:color w:val="000000"/>
                <w:spacing w:val="-2"/>
                <w:szCs w:val="21"/>
              </w:rPr>
              <w:t>虹</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0514-87953530</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广陵区建筑工程管理处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广陵路</w:t>
            </w:r>
            <w:r>
              <w:rPr>
                <w:rFonts w:eastAsia="仿宋_GB2312"/>
                <w:color w:val="000000"/>
                <w:spacing w:val="-2"/>
                <w:szCs w:val="21"/>
              </w:rPr>
              <w:t>334</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马</w:t>
            </w:r>
            <w:r>
              <w:rPr>
                <w:rFonts w:eastAsia="仿宋_GB2312"/>
                <w:color w:val="000000"/>
                <w:spacing w:val="-2"/>
                <w:szCs w:val="21"/>
              </w:rPr>
              <w:t xml:space="preserve">  </w:t>
            </w:r>
            <w:r>
              <w:rPr>
                <w:rFonts w:hint="eastAsia" w:eastAsia="仿宋_GB2312"/>
                <w:color w:val="000000"/>
                <w:spacing w:val="-2"/>
                <w:szCs w:val="21"/>
              </w:rPr>
              <w:t>列</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0514-87215003</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开发区建设局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维扬路</w:t>
            </w:r>
            <w:r>
              <w:rPr>
                <w:rFonts w:eastAsia="仿宋_GB2312"/>
                <w:color w:val="000000"/>
                <w:spacing w:val="-2"/>
                <w:szCs w:val="21"/>
              </w:rPr>
              <w:t>108</w:t>
            </w:r>
            <w:r>
              <w:rPr>
                <w:rFonts w:hint="eastAsia" w:eastAsia="仿宋_GB2312"/>
                <w:color w:val="000000"/>
                <w:spacing w:val="-2"/>
                <w:szCs w:val="21"/>
              </w:rPr>
              <w:t>号开发大厦</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刘春香</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0514-87862935</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江都区建管局行业管理科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文昌东路</w:t>
            </w:r>
            <w:r>
              <w:rPr>
                <w:rFonts w:eastAsia="仿宋_GB2312"/>
                <w:color w:val="000000"/>
                <w:spacing w:val="-2"/>
                <w:szCs w:val="21"/>
              </w:rPr>
              <w:t>200</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周兆晟</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0514-86977182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仪征市建筑科技教育中心</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仪征市鼓楼东路</w:t>
            </w:r>
            <w:r>
              <w:rPr>
                <w:rFonts w:eastAsia="仿宋_GB2312"/>
                <w:color w:val="000000"/>
                <w:spacing w:val="-2"/>
                <w:szCs w:val="21"/>
              </w:rPr>
              <w:t>288-64</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金春燕</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15062888835</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宝应县建筑工程管理局</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宝应县叶挺东路</w:t>
            </w:r>
            <w:r>
              <w:rPr>
                <w:rFonts w:eastAsia="仿宋_GB2312"/>
                <w:color w:val="000000"/>
                <w:spacing w:val="-2"/>
                <w:szCs w:val="21"/>
              </w:rPr>
              <w:t>72</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朱</w:t>
            </w:r>
            <w:r>
              <w:rPr>
                <w:rFonts w:eastAsia="仿宋_GB2312"/>
                <w:color w:val="000000"/>
                <w:spacing w:val="-2"/>
                <w:szCs w:val="21"/>
              </w:rPr>
              <w:t xml:space="preserve">  </w:t>
            </w:r>
            <w:r>
              <w:rPr>
                <w:rFonts w:hint="eastAsia" w:eastAsia="仿宋_GB2312"/>
                <w:color w:val="000000"/>
                <w:spacing w:val="-2"/>
                <w:szCs w:val="21"/>
              </w:rPr>
              <w:t>霞</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0514-88992852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高邮市建筑工程学校</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高邮市邓桥路</w:t>
            </w:r>
            <w:r>
              <w:rPr>
                <w:rFonts w:eastAsia="仿宋_GB2312"/>
                <w:color w:val="000000"/>
                <w:spacing w:val="-2"/>
                <w:szCs w:val="21"/>
              </w:rPr>
              <w:t>14</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李</w:t>
            </w:r>
            <w:r>
              <w:rPr>
                <w:rFonts w:eastAsia="仿宋_GB2312"/>
                <w:color w:val="000000"/>
                <w:spacing w:val="-2"/>
                <w:szCs w:val="21"/>
              </w:rPr>
              <w:t xml:space="preserve">  </w:t>
            </w:r>
            <w:r>
              <w:rPr>
                <w:rFonts w:hint="eastAsia" w:eastAsia="仿宋_GB2312"/>
                <w:color w:val="000000"/>
                <w:spacing w:val="-2"/>
                <w:szCs w:val="21"/>
              </w:rPr>
              <w:t>靖</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0514-84613715</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restart"/>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11</w:t>
            </w:r>
          </w:p>
        </w:tc>
        <w:tc>
          <w:tcPr>
            <w:tcW w:w="859"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镇江市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镇江市住建局建管处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桃花坞路</w:t>
            </w:r>
            <w:r>
              <w:rPr>
                <w:rFonts w:eastAsia="仿宋_GB2312"/>
                <w:color w:val="000000"/>
                <w:spacing w:val="-2"/>
                <w:szCs w:val="21"/>
              </w:rPr>
              <w:t>255</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应志明</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0511-86090003</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丹阳市住建局建管处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丹阳市华阳路</w:t>
            </w:r>
            <w:r>
              <w:rPr>
                <w:rFonts w:eastAsia="仿宋_GB2312"/>
                <w:color w:val="000000"/>
                <w:spacing w:val="-2"/>
                <w:szCs w:val="21"/>
              </w:rPr>
              <w:t>88</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陆国宝</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0511-86569590</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句容市住建局建管处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句容市华阳东路</w:t>
            </w:r>
            <w:r>
              <w:rPr>
                <w:rFonts w:eastAsia="仿宋_GB2312"/>
                <w:color w:val="000000"/>
                <w:spacing w:val="-2"/>
                <w:szCs w:val="21"/>
              </w:rPr>
              <w:t>2</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常凌云</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0511-85090078</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扬中市住建局建工科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扬中市金苇西路</w:t>
            </w:r>
            <w:r>
              <w:rPr>
                <w:rFonts w:eastAsia="仿宋_GB2312"/>
                <w:color w:val="000000"/>
                <w:spacing w:val="-2"/>
                <w:szCs w:val="21"/>
              </w:rPr>
              <w:t>168</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张译文</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0511-88323549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restart"/>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12</w:t>
            </w:r>
          </w:p>
        </w:tc>
        <w:tc>
          <w:tcPr>
            <w:tcW w:w="859"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泰州市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泰州市住房城乡建设局执业（职业）资格考试注册管理工作领导小组办公室</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泰州市海陵区海陵南路</w:t>
            </w:r>
            <w:r>
              <w:rPr>
                <w:rFonts w:eastAsia="仿宋_GB2312"/>
                <w:color w:val="000000"/>
                <w:spacing w:val="-2"/>
                <w:szCs w:val="21"/>
              </w:rPr>
              <w:t>308</w:t>
            </w:r>
            <w:r>
              <w:rPr>
                <w:rFonts w:hint="eastAsia" w:eastAsia="仿宋_GB2312"/>
                <w:color w:val="000000"/>
                <w:spacing w:val="-2"/>
                <w:szCs w:val="21"/>
              </w:rPr>
              <w:t>号</w:t>
            </w:r>
            <w:r>
              <w:rPr>
                <w:rFonts w:eastAsia="仿宋_GB2312"/>
                <w:color w:val="000000"/>
                <w:spacing w:val="-2"/>
                <w:szCs w:val="21"/>
              </w:rPr>
              <w:t>9028</w:t>
            </w:r>
            <w:r>
              <w:rPr>
                <w:rFonts w:hint="eastAsia" w:eastAsia="仿宋_GB2312"/>
                <w:color w:val="000000"/>
                <w:spacing w:val="-2"/>
                <w:szCs w:val="21"/>
              </w:rPr>
              <w:t>室</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陈</w:t>
            </w:r>
            <w:r>
              <w:rPr>
                <w:rFonts w:eastAsia="仿宋_GB2312"/>
                <w:color w:val="000000"/>
                <w:spacing w:val="-2"/>
                <w:szCs w:val="21"/>
              </w:rPr>
              <w:t xml:space="preserve">  </w:t>
            </w:r>
            <w:r>
              <w:rPr>
                <w:rFonts w:hint="eastAsia" w:eastAsia="仿宋_GB2312"/>
                <w:color w:val="000000"/>
                <w:spacing w:val="-2"/>
                <w:szCs w:val="21"/>
              </w:rPr>
              <w:t>肖</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0523-86882776</w:t>
            </w:r>
          </w:p>
          <w:p>
            <w:pPr>
              <w:ind w:left="-63" w:leftChars="-30" w:right="-63" w:rightChars="-30"/>
              <w:jc w:val="center"/>
              <w:rPr>
                <w:rFonts w:eastAsia="仿宋_GB2312"/>
                <w:color w:val="000000"/>
                <w:spacing w:val="-2"/>
                <w:szCs w:val="21"/>
              </w:rPr>
            </w:pPr>
            <w:r>
              <w:rPr>
                <w:rFonts w:eastAsia="仿宋_GB2312"/>
                <w:color w:val="000000"/>
                <w:spacing w:val="-2"/>
                <w:szCs w:val="21"/>
              </w:rPr>
              <w:t>0523-86882681</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泰州政务服务中心建工局窗口</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泰州市海陵区海陵南路</w:t>
            </w:r>
            <w:r>
              <w:rPr>
                <w:rFonts w:eastAsia="仿宋_GB2312"/>
                <w:color w:val="000000"/>
                <w:spacing w:val="-2"/>
                <w:szCs w:val="21"/>
              </w:rPr>
              <w:t>306</w:t>
            </w:r>
            <w:r>
              <w:rPr>
                <w:rFonts w:hint="eastAsia" w:eastAsia="仿宋_GB2312"/>
                <w:color w:val="000000"/>
                <w:spacing w:val="-2"/>
                <w:szCs w:val="21"/>
              </w:rPr>
              <w:t>号政务服务中心</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高圣春</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0523-86897106</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restart"/>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13</w:t>
            </w:r>
          </w:p>
        </w:tc>
        <w:tc>
          <w:tcPr>
            <w:tcW w:w="859"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宿迁市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宿迁市建管处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宿迁洪泽湖路</w:t>
            </w:r>
            <w:r>
              <w:rPr>
                <w:rFonts w:eastAsia="仿宋_GB2312"/>
                <w:color w:val="000000"/>
                <w:spacing w:val="-2"/>
                <w:szCs w:val="21"/>
              </w:rPr>
              <w:t>140</w:t>
            </w:r>
            <w:r>
              <w:rPr>
                <w:rFonts w:hint="eastAsia" w:eastAsia="仿宋_GB2312"/>
                <w:color w:val="000000"/>
                <w:spacing w:val="-2"/>
                <w:szCs w:val="21"/>
              </w:rPr>
              <w:t>号建设大厦</w:t>
            </w:r>
            <w:r>
              <w:rPr>
                <w:rFonts w:eastAsia="仿宋_GB2312"/>
                <w:color w:val="000000"/>
                <w:spacing w:val="-2"/>
                <w:szCs w:val="21"/>
              </w:rPr>
              <w:t>9</w:t>
            </w:r>
            <w:r>
              <w:rPr>
                <w:rFonts w:hint="eastAsia" w:eastAsia="仿宋_GB2312"/>
                <w:color w:val="000000"/>
                <w:spacing w:val="-2"/>
                <w:szCs w:val="21"/>
              </w:rPr>
              <w:t>楼</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孙</w:t>
            </w:r>
            <w:r>
              <w:rPr>
                <w:rFonts w:eastAsia="仿宋_GB2312"/>
                <w:color w:val="000000"/>
                <w:spacing w:val="-2"/>
                <w:szCs w:val="21"/>
              </w:rPr>
              <w:t xml:space="preserve">  </w:t>
            </w:r>
            <w:r>
              <w:rPr>
                <w:rFonts w:hint="eastAsia" w:eastAsia="仿宋_GB2312"/>
                <w:color w:val="000000"/>
                <w:spacing w:val="-2"/>
                <w:szCs w:val="21"/>
              </w:rPr>
              <w:t>浪</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0527-84387321</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宿城区建管处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宿城新区商务大厦</w:t>
            </w:r>
            <w:r>
              <w:rPr>
                <w:rFonts w:eastAsia="仿宋_GB2312"/>
                <w:color w:val="000000"/>
                <w:spacing w:val="-2"/>
                <w:szCs w:val="21"/>
              </w:rPr>
              <w:t>1217</w:t>
            </w:r>
            <w:r>
              <w:rPr>
                <w:rFonts w:hint="eastAsia" w:eastAsia="仿宋_GB2312"/>
                <w:color w:val="000000"/>
                <w:spacing w:val="-2"/>
                <w:szCs w:val="21"/>
              </w:rPr>
              <w:t>房间</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王晓云</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0527-82960906</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泗洪县建管处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泗洪县长江东路</w:t>
            </w:r>
            <w:r>
              <w:rPr>
                <w:rFonts w:eastAsia="仿宋_GB2312"/>
                <w:color w:val="000000"/>
                <w:spacing w:val="-2"/>
                <w:szCs w:val="21"/>
              </w:rPr>
              <w:t>13</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尹修东</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0527-86243330</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泗阳县建管处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泗阳县住房和城乡建设局</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8" w:leftChars="-30" w:right="-63" w:rightChars="-30" w:hanging="55" w:hangingChars="27"/>
              <w:jc w:val="center"/>
              <w:rPr>
                <w:rFonts w:eastAsia="仿宋_GB2312"/>
                <w:color w:val="000000"/>
                <w:spacing w:val="-2"/>
                <w:szCs w:val="21"/>
              </w:rPr>
            </w:pPr>
            <w:r>
              <w:rPr>
                <w:rFonts w:hint="eastAsia" w:eastAsia="仿宋_GB2312"/>
                <w:color w:val="000000"/>
                <w:spacing w:val="-2"/>
                <w:szCs w:val="21"/>
              </w:rPr>
              <w:t>徐</w:t>
            </w:r>
            <w:r>
              <w:rPr>
                <w:rFonts w:eastAsia="仿宋_GB2312"/>
                <w:color w:val="000000"/>
                <w:spacing w:val="-2"/>
                <w:szCs w:val="21"/>
              </w:rPr>
              <w:t xml:space="preserve">  </w:t>
            </w:r>
            <w:r>
              <w:rPr>
                <w:rFonts w:hint="eastAsia" w:eastAsia="仿宋_GB2312"/>
                <w:color w:val="000000"/>
                <w:spacing w:val="-2"/>
                <w:szCs w:val="21"/>
              </w:rPr>
              <w:t>翔</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0527-85252749</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宿豫区建管处</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宿豫区韶山路</w:t>
            </w:r>
            <w:r>
              <w:rPr>
                <w:rFonts w:eastAsia="仿宋_GB2312"/>
                <w:color w:val="000000"/>
                <w:spacing w:val="-2"/>
                <w:szCs w:val="21"/>
              </w:rPr>
              <w:t>2</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赵明军</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0527-84465267</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restart"/>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14</w:t>
            </w:r>
          </w:p>
        </w:tc>
        <w:tc>
          <w:tcPr>
            <w:tcW w:w="859" w:type="dxa"/>
            <w:vMerge w:val="restart"/>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昆山市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昆山市住建局人事科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昆山市同丰西路</w:t>
            </w:r>
            <w:r>
              <w:rPr>
                <w:rFonts w:eastAsia="仿宋_GB2312"/>
                <w:color w:val="000000"/>
                <w:spacing w:val="-2"/>
                <w:szCs w:val="21"/>
              </w:rPr>
              <w:t>598</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吴国元</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0512-57363906</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859"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rFonts w:eastAsia="仿宋_GB2312"/>
                <w:color w:val="000000"/>
                <w:spacing w:val="-2"/>
                <w:szCs w:val="21"/>
              </w:rPr>
            </w:pP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昆山市住建局市政科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昆山市同丰西路</w:t>
            </w:r>
            <w:r>
              <w:rPr>
                <w:rFonts w:eastAsia="仿宋_GB2312"/>
                <w:color w:val="000000"/>
                <w:spacing w:val="-2"/>
                <w:szCs w:val="21"/>
              </w:rPr>
              <w:t>598</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王雪娟</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0512-57363112</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tcBorders>
              <w:top w:val="single" w:color="000000" w:sz="4" w:space="0"/>
              <w:left w:val="single" w:color="auto" w:sz="8"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15</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泰兴市</w:t>
            </w:r>
          </w:p>
        </w:tc>
        <w:tc>
          <w:tcPr>
            <w:tcW w:w="2466"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泰兴市住建局建筑业发展科</w:t>
            </w:r>
          </w:p>
        </w:tc>
        <w:tc>
          <w:tcPr>
            <w:tcW w:w="2838"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泰兴市曾涛路</w:t>
            </w:r>
            <w:r>
              <w:rPr>
                <w:rFonts w:eastAsia="仿宋_GB2312"/>
                <w:color w:val="000000"/>
                <w:spacing w:val="-2"/>
                <w:szCs w:val="21"/>
              </w:rPr>
              <w:t>162</w:t>
            </w:r>
            <w:r>
              <w:rPr>
                <w:rFonts w:hint="eastAsia" w:eastAsia="仿宋_GB2312"/>
                <w:color w:val="000000"/>
                <w:spacing w:val="-2"/>
                <w:szCs w:val="21"/>
              </w:rPr>
              <w:t>号</w:t>
            </w:r>
          </w:p>
        </w:tc>
        <w:tc>
          <w:tcPr>
            <w:tcW w:w="764" w:type="dxa"/>
            <w:tcBorders>
              <w:top w:val="single" w:color="000000" w:sz="4" w:space="0"/>
              <w:left w:val="single" w:color="000000" w:sz="4" w:space="0"/>
              <w:bottom w:val="single" w:color="000000" w:sz="4"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殷</w:t>
            </w:r>
            <w:r>
              <w:rPr>
                <w:rFonts w:eastAsia="仿宋_GB2312"/>
                <w:color w:val="000000"/>
                <w:spacing w:val="-2"/>
                <w:szCs w:val="21"/>
              </w:rPr>
              <w:t xml:space="preserve">  </w:t>
            </w:r>
            <w:r>
              <w:rPr>
                <w:rFonts w:hint="eastAsia" w:eastAsia="仿宋_GB2312"/>
                <w:color w:val="000000"/>
                <w:spacing w:val="-2"/>
                <w:szCs w:val="21"/>
              </w:rPr>
              <w:t>伟</w:t>
            </w:r>
          </w:p>
        </w:tc>
        <w:tc>
          <w:tcPr>
            <w:tcW w:w="1467" w:type="dxa"/>
            <w:tcBorders>
              <w:top w:val="single" w:color="000000" w:sz="4" w:space="0"/>
              <w:left w:val="single" w:color="000000" w:sz="4" w:space="0"/>
              <w:bottom w:val="single" w:color="000000" w:sz="4"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0523-87633096</w:t>
            </w:r>
          </w:p>
        </w:tc>
      </w:tr>
      <w:tr>
        <w:tblPrEx>
          <w:tblBorders>
            <w:top w:val="single" w:color="auto" w:sz="8" w:space="0"/>
            <w:left w:val="single" w:color="auto" w:sz="8" w:space="0"/>
            <w:bottom w:val="single" w:color="auto" w:sz="8" w:space="0"/>
            <w:right w:val="single" w:color="auto"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647" w:type="dxa"/>
            <w:tcBorders>
              <w:top w:val="single" w:color="000000" w:sz="4" w:space="0"/>
              <w:left w:val="single" w:color="auto" w:sz="8" w:space="0"/>
              <w:bottom w:val="single" w:color="auto" w:sz="8"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16</w:t>
            </w:r>
          </w:p>
        </w:tc>
        <w:tc>
          <w:tcPr>
            <w:tcW w:w="859" w:type="dxa"/>
            <w:tcBorders>
              <w:top w:val="single" w:color="000000" w:sz="4" w:space="0"/>
              <w:left w:val="single" w:color="000000" w:sz="4" w:space="0"/>
              <w:bottom w:val="single" w:color="auto" w:sz="8"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沭阳县</w:t>
            </w:r>
          </w:p>
        </w:tc>
        <w:tc>
          <w:tcPr>
            <w:tcW w:w="2466" w:type="dxa"/>
            <w:tcBorders>
              <w:top w:val="single" w:color="000000" w:sz="4" w:space="0"/>
              <w:left w:val="single" w:color="000000" w:sz="4" w:space="0"/>
              <w:bottom w:val="single" w:color="auto" w:sz="8"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沭阳县建管处</w:t>
            </w:r>
          </w:p>
        </w:tc>
        <w:tc>
          <w:tcPr>
            <w:tcW w:w="2838" w:type="dxa"/>
            <w:tcBorders>
              <w:top w:val="single" w:color="000000" w:sz="4" w:space="0"/>
              <w:left w:val="single" w:color="000000" w:sz="4" w:space="0"/>
              <w:bottom w:val="single" w:color="auto" w:sz="8" w:space="0"/>
              <w:right w:val="single" w:color="000000" w:sz="4" w:space="0"/>
            </w:tcBorders>
            <w:noWrap w:val="0"/>
            <w:vAlign w:val="center"/>
          </w:tcPr>
          <w:p>
            <w:pPr>
              <w:ind w:left="-63" w:leftChars="-30" w:right="-63" w:rightChars="-30"/>
              <w:rPr>
                <w:rFonts w:eastAsia="仿宋_GB2312"/>
                <w:color w:val="000000"/>
                <w:spacing w:val="-2"/>
                <w:szCs w:val="21"/>
              </w:rPr>
            </w:pPr>
            <w:r>
              <w:rPr>
                <w:rFonts w:hint="eastAsia" w:eastAsia="仿宋_GB2312"/>
                <w:color w:val="000000"/>
                <w:spacing w:val="-2"/>
                <w:szCs w:val="21"/>
              </w:rPr>
              <w:t>沭阳县康平路</w:t>
            </w:r>
            <w:r>
              <w:rPr>
                <w:rFonts w:eastAsia="仿宋_GB2312"/>
                <w:color w:val="000000"/>
                <w:spacing w:val="-2"/>
                <w:szCs w:val="21"/>
              </w:rPr>
              <w:t>2</w:t>
            </w:r>
            <w:r>
              <w:rPr>
                <w:rFonts w:hint="eastAsia" w:eastAsia="仿宋_GB2312"/>
                <w:color w:val="000000"/>
                <w:spacing w:val="-2"/>
                <w:szCs w:val="21"/>
              </w:rPr>
              <w:t>号建设大厦</w:t>
            </w:r>
            <w:r>
              <w:rPr>
                <w:rFonts w:eastAsia="仿宋_GB2312"/>
                <w:color w:val="000000"/>
                <w:spacing w:val="-2"/>
                <w:szCs w:val="21"/>
              </w:rPr>
              <w:t>15</w:t>
            </w:r>
            <w:r>
              <w:rPr>
                <w:rFonts w:hint="eastAsia" w:eastAsia="仿宋_GB2312"/>
                <w:color w:val="000000"/>
                <w:spacing w:val="-2"/>
                <w:szCs w:val="21"/>
              </w:rPr>
              <w:t>楼</w:t>
            </w:r>
          </w:p>
        </w:tc>
        <w:tc>
          <w:tcPr>
            <w:tcW w:w="764" w:type="dxa"/>
            <w:tcBorders>
              <w:top w:val="single" w:color="000000" w:sz="4" w:space="0"/>
              <w:left w:val="single" w:color="000000" w:sz="4" w:space="0"/>
              <w:bottom w:val="single" w:color="auto" w:sz="8" w:space="0"/>
              <w:right w:val="single" w:color="000000" w:sz="4" w:space="0"/>
            </w:tcBorders>
            <w:noWrap w:val="0"/>
            <w:vAlign w:val="center"/>
          </w:tcPr>
          <w:p>
            <w:pPr>
              <w:ind w:left="-63" w:leftChars="-30" w:right="-63" w:rightChars="-30"/>
              <w:jc w:val="center"/>
              <w:rPr>
                <w:rFonts w:eastAsia="仿宋_GB2312"/>
                <w:color w:val="000000"/>
                <w:spacing w:val="-2"/>
                <w:szCs w:val="21"/>
              </w:rPr>
            </w:pPr>
            <w:r>
              <w:rPr>
                <w:rFonts w:hint="eastAsia" w:eastAsia="仿宋_GB2312"/>
                <w:color w:val="000000"/>
                <w:spacing w:val="-2"/>
                <w:szCs w:val="21"/>
              </w:rPr>
              <w:t>陈金霞</w:t>
            </w:r>
          </w:p>
        </w:tc>
        <w:tc>
          <w:tcPr>
            <w:tcW w:w="1467" w:type="dxa"/>
            <w:tcBorders>
              <w:top w:val="single" w:color="000000" w:sz="4" w:space="0"/>
              <w:left w:val="single" w:color="000000" w:sz="4" w:space="0"/>
              <w:bottom w:val="single" w:color="auto" w:sz="8" w:space="0"/>
              <w:right w:val="single" w:color="auto" w:sz="8" w:space="0"/>
            </w:tcBorders>
            <w:noWrap w:val="0"/>
            <w:vAlign w:val="center"/>
          </w:tcPr>
          <w:p>
            <w:pPr>
              <w:ind w:left="-63" w:leftChars="-30" w:right="-63" w:rightChars="-30"/>
              <w:jc w:val="center"/>
              <w:rPr>
                <w:rFonts w:eastAsia="仿宋_GB2312"/>
                <w:color w:val="000000"/>
                <w:spacing w:val="-2"/>
                <w:szCs w:val="21"/>
              </w:rPr>
            </w:pPr>
            <w:r>
              <w:rPr>
                <w:rFonts w:eastAsia="仿宋_GB2312"/>
                <w:color w:val="000000"/>
                <w:spacing w:val="-2"/>
                <w:szCs w:val="21"/>
              </w:rPr>
              <w:t>0527-80818033</w:t>
            </w:r>
          </w:p>
        </w:tc>
      </w:tr>
    </w:tbl>
    <w:p>
      <w:pPr>
        <w:pStyle w:val="2"/>
        <w:spacing w:before="240" w:beforeLines="100" w:after="240" w:afterLines="100" w:line="240" w:lineRule="auto"/>
        <w:rPr>
          <w:rFonts w:eastAsia="方正仿宋_GBK"/>
          <w:b w:val="0"/>
          <w:bCs/>
          <w:color w:val="000000"/>
          <w:spacing w:val="-2"/>
          <w:kern w:val="0"/>
          <w:sz w:val="24"/>
        </w:rPr>
      </w:pPr>
      <w:bookmarkStart w:id="625" w:name="_Toc20726662"/>
      <w:bookmarkStart w:id="626" w:name="_Toc18315803"/>
    </w:p>
    <w:p/>
    <w:p/>
    <w:p/>
    <w:p/>
    <w:p/>
    <w:p/>
    <w:p/>
    <w:p/>
    <w:p/>
    <w:p/>
    <w:p/>
    <w:p/>
    <w:p/>
    <w:p/>
    <w:p/>
    <w:p/>
    <w:p>
      <w:pPr>
        <w:pStyle w:val="2"/>
        <w:spacing w:before="240" w:beforeLines="100" w:after="240" w:afterLines="100" w:line="240" w:lineRule="auto"/>
        <w:jc w:val="center"/>
        <w:rPr>
          <w:rFonts w:ascii="Times New Roman" w:eastAsia="方正小标宋_GBK"/>
          <w:b w:val="0"/>
          <w:sz w:val="36"/>
          <w:szCs w:val="36"/>
        </w:rPr>
      </w:pPr>
    </w:p>
    <w:p>
      <w:pPr>
        <w:pStyle w:val="2"/>
        <w:spacing w:before="240" w:beforeLines="100" w:after="240" w:afterLines="100" w:line="240" w:lineRule="auto"/>
        <w:jc w:val="center"/>
        <w:rPr>
          <w:rFonts w:hint="eastAsia" w:ascii="Times New Roman" w:eastAsia="方正小标宋_GBK"/>
          <w:b w:val="0"/>
          <w:sz w:val="36"/>
          <w:szCs w:val="36"/>
        </w:rPr>
      </w:pPr>
      <w:r>
        <w:rPr>
          <w:rFonts w:hint="eastAsia" w:ascii="Times New Roman" w:eastAsia="方正小标宋_GBK"/>
          <w:b w:val="0"/>
          <w:sz w:val="36"/>
          <w:szCs w:val="36"/>
        </w:rPr>
        <w:t>省住房和城乡建设厅关于开展二级注册结构工程师注册电子化审批工作的通知</w:t>
      </w:r>
      <w:bookmarkEnd w:id="625"/>
      <w:bookmarkEnd w:id="626"/>
    </w:p>
    <w:p>
      <w:pPr>
        <w:pStyle w:val="3"/>
        <w:spacing w:before="0" w:after="0" w:line="240" w:lineRule="auto"/>
        <w:jc w:val="center"/>
        <w:rPr>
          <w:rFonts w:hint="eastAsia" w:ascii="Times New Roman" w:hAnsi="Times New Roman" w:eastAsia="方正楷体_GBK"/>
          <w:b w:val="0"/>
          <w:sz w:val="24"/>
          <w:szCs w:val="24"/>
        </w:rPr>
      </w:pPr>
      <w:bookmarkStart w:id="627" w:name="_Toc20726663"/>
      <w:bookmarkStart w:id="628" w:name="_Toc18315804"/>
      <w:r>
        <w:rPr>
          <w:rFonts w:hint="eastAsia" w:ascii="Times New Roman" w:hAnsi="Times New Roman" w:eastAsia="方正楷体_GBK"/>
          <w:b w:val="0"/>
          <w:sz w:val="24"/>
          <w:szCs w:val="24"/>
        </w:rPr>
        <w:t>苏建函注册〔</w:t>
      </w:r>
      <w:r>
        <w:rPr>
          <w:rFonts w:ascii="Times New Roman" w:hAnsi="Times New Roman" w:eastAsia="方正楷体_GBK"/>
          <w:b w:val="0"/>
          <w:sz w:val="24"/>
          <w:szCs w:val="24"/>
        </w:rPr>
        <w:t>2016</w:t>
      </w:r>
      <w:r>
        <w:rPr>
          <w:rFonts w:hint="eastAsia" w:ascii="Times New Roman" w:hAnsi="Times New Roman" w:eastAsia="方正楷体_GBK"/>
          <w:b w:val="0"/>
          <w:sz w:val="24"/>
          <w:szCs w:val="24"/>
        </w:rPr>
        <w:t>〕</w:t>
      </w:r>
      <w:r>
        <w:rPr>
          <w:rFonts w:ascii="Times New Roman" w:hAnsi="Times New Roman" w:eastAsia="方正楷体_GBK"/>
          <w:b w:val="0"/>
          <w:sz w:val="24"/>
          <w:szCs w:val="24"/>
        </w:rPr>
        <w:t>385</w:t>
      </w:r>
      <w:r>
        <w:rPr>
          <w:rFonts w:hint="eastAsia" w:ascii="Times New Roman" w:hAnsi="Times New Roman" w:eastAsia="方正楷体_GBK"/>
          <w:b w:val="0"/>
          <w:sz w:val="24"/>
          <w:szCs w:val="24"/>
        </w:rPr>
        <w:t>号</w:t>
      </w:r>
      <w:bookmarkEnd w:id="627"/>
      <w:bookmarkEnd w:id="628"/>
    </w:p>
    <w:p>
      <w:pPr>
        <w:autoSpaceDE w:val="0"/>
        <w:autoSpaceDN w:val="0"/>
        <w:snapToGrid w:val="0"/>
        <w:spacing w:line="440" w:lineRule="exact"/>
        <w:rPr>
          <w:rFonts w:eastAsia="方正仿宋_GBK"/>
          <w:snapToGrid w:val="0"/>
          <w:color w:val="000000"/>
          <w:kern w:val="0"/>
          <w:sz w:val="24"/>
        </w:rPr>
      </w:pPr>
      <w:r>
        <w:rPr>
          <w:rFonts w:hint="eastAsia" w:eastAsia="方正仿宋_GBK"/>
          <w:snapToGrid w:val="0"/>
          <w:color w:val="000000"/>
          <w:kern w:val="0"/>
          <w:sz w:val="24"/>
        </w:rPr>
        <w:t>各市建设局</w:t>
      </w:r>
      <w:r>
        <w:rPr>
          <w:rFonts w:eastAsia="方正仿宋_GBK"/>
          <w:snapToGrid w:val="0"/>
          <w:color w:val="000000"/>
          <w:kern w:val="0"/>
          <w:sz w:val="24"/>
        </w:rPr>
        <w:t>(</w:t>
      </w:r>
      <w:r>
        <w:rPr>
          <w:rFonts w:hint="eastAsia" w:eastAsia="方正仿宋_GBK"/>
          <w:snapToGrid w:val="0"/>
          <w:color w:val="000000"/>
          <w:kern w:val="0"/>
          <w:sz w:val="24"/>
        </w:rPr>
        <w:t>委</w:t>
      </w:r>
      <w:r>
        <w:rPr>
          <w:rFonts w:eastAsia="方正仿宋_GBK"/>
          <w:snapToGrid w:val="0"/>
          <w:color w:val="000000"/>
          <w:kern w:val="0"/>
          <w:sz w:val="24"/>
        </w:rPr>
        <w:t>)</w:t>
      </w:r>
      <w:r>
        <w:rPr>
          <w:rFonts w:hint="eastAsia" w:eastAsia="方正仿宋_GBK"/>
          <w:snapToGrid w:val="0"/>
          <w:color w:val="000000"/>
          <w:kern w:val="0"/>
          <w:sz w:val="24"/>
        </w:rPr>
        <w:t>：</w:t>
      </w:r>
    </w:p>
    <w:p>
      <w:pPr>
        <w:spacing w:line="440" w:lineRule="exact"/>
        <w:jc w:val="left"/>
        <w:rPr>
          <w:rFonts w:eastAsia="方正仿宋_GBK"/>
          <w:snapToGrid w:val="0"/>
          <w:color w:val="000000"/>
          <w:kern w:val="0"/>
          <w:sz w:val="24"/>
        </w:rPr>
      </w:pPr>
      <w:r>
        <w:rPr>
          <w:rFonts w:eastAsia="方正仿宋_GBK"/>
          <w:snapToGrid w:val="0"/>
          <w:color w:val="000000"/>
          <w:kern w:val="0"/>
          <w:sz w:val="24"/>
        </w:rPr>
        <w:t xml:space="preserve">    </w:t>
      </w:r>
      <w:r>
        <w:rPr>
          <w:rFonts w:hint="eastAsia" w:eastAsia="方正仿宋_GBK"/>
          <w:snapToGrid w:val="0"/>
          <w:color w:val="000000"/>
          <w:kern w:val="0"/>
          <w:sz w:val="24"/>
        </w:rPr>
        <w:t>为贯彻落实国务院行政审批改革精神，按照便民、利民、高效的原则，我省定于今年</w:t>
      </w:r>
      <w:r>
        <w:rPr>
          <w:rFonts w:eastAsia="方正仿宋_GBK"/>
          <w:snapToGrid w:val="0"/>
          <w:color w:val="000000"/>
          <w:kern w:val="0"/>
          <w:sz w:val="24"/>
        </w:rPr>
        <w:t>7</w:t>
      </w:r>
      <w:r>
        <w:rPr>
          <w:rFonts w:hint="eastAsia" w:eastAsia="方正仿宋_GBK"/>
          <w:snapToGrid w:val="0"/>
          <w:color w:val="000000"/>
          <w:kern w:val="0"/>
          <w:sz w:val="24"/>
        </w:rPr>
        <w:t>月开展二级注册结构工程师注册电子化审批工作。现将有关情况通知如下：</w:t>
      </w:r>
    </w:p>
    <w:p>
      <w:pPr>
        <w:spacing w:line="440" w:lineRule="exact"/>
        <w:ind w:firstLine="480" w:firstLineChars="200"/>
        <w:rPr>
          <w:rFonts w:ascii="Times New Roman" w:eastAsia="黑体"/>
          <w:snapToGrid w:val="0"/>
          <w:color w:val="000000"/>
          <w:kern w:val="32"/>
          <w:sz w:val="24"/>
        </w:rPr>
      </w:pPr>
      <w:r>
        <w:rPr>
          <w:rFonts w:hint="eastAsia" w:ascii="Times New Roman" w:eastAsia="黑体"/>
          <w:snapToGrid w:val="0"/>
          <w:color w:val="000000"/>
          <w:kern w:val="32"/>
          <w:sz w:val="24"/>
        </w:rPr>
        <w:t>一、开始时间</w:t>
      </w:r>
    </w:p>
    <w:p>
      <w:pPr>
        <w:spacing w:line="440" w:lineRule="exact"/>
        <w:ind w:firstLine="480" w:firstLineChars="200"/>
        <w:rPr>
          <w:rFonts w:hint="eastAsia" w:eastAsia="方正仿宋_GBK"/>
          <w:snapToGrid w:val="0"/>
          <w:color w:val="000000"/>
          <w:kern w:val="0"/>
          <w:sz w:val="24"/>
        </w:rPr>
      </w:pPr>
      <w:r>
        <w:rPr>
          <w:rFonts w:eastAsia="方正仿宋_GBK"/>
          <w:snapToGrid w:val="0"/>
          <w:color w:val="000000"/>
          <w:kern w:val="0"/>
          <w:sz w:val="24"/>
        </w:rPr>
        <w:t>2016</w:t>
      </w:r>
      <w:r>
        <w:rPr>
          <w:rFonts w:hint="eastAsia" w:eastAsia="方正仿宋_GBK"/>
          <w:snapToGrid w:val="0"/>
          <w:color w:val="000000"/>
          <w:kern w:val="0"/>
          <w:sz w:val="24"/>
        </w:rPr>
        <w:t>年</w:t>
      </w:r>
      <w:r>
        <w:rPr>
          <w:rFonts w:eastAsia="方正仿宋_GBK"/>
          <w:snapToGrid w:val="0"/>
          <w:color w:val="000000"/>
          <w:kern w:val="0"/>
          <w:sz w:val="24"/>
        </w:rPr>
        <w:t>7</w:t>
      </w:r>
      <w:r>
        <w:rPr>
          <w:rFonts w:hint="eastAsia" w:eastAsia="方正仿宋_GBK"/>
          <w:snapToGrid w:val="0"/>
          <w:color w:val="000000"/>
          <w:kern w:val="0"/>
          <w:sz w:val="24"/>
        </w:rPr>
        <w:t>月</w:t>
      </w:r>
      <w:r>
        <w:rPr>
          <w:rFonts w:eastAsia="方正仿宋_GBK"/>
          <w:snapToGrid w:val="0"/>
          <w:color w:val="000000"/>
          <w:kern w:val="0"/>
          <w:sz w:val="24"/>
        </w:rPr>
        <w:t>1</w:t>
      </w:r>
      <w:r>
        <w:rPr>
          <w:rFonts w:hint="eastAsia" w:eastAsia="方正仿宋_GBK"/>
          <w:snapToGrid w:val="0"/>
          <w:color w:val="000000"/>
          <w:kern w:val="0"/>
          <w:sz w:val="24"/>
        </w:rPr>
        <w:t>日起，我省二级注册结构工程师注册实行电子化审批。</w:t>
      </w:r>
    </w:p>
    <w:p>
      <w:pPr>
        <w:spacing w:line="440" w:lineRule="exact"/>
        <w:ind w:firstLine="480" w:firstLineChars="200"/>
        <w:rPr>
          <w:rFonts w:ascii="Times New Roman" w:eastAsia="黑体"/>
          <w:snapToGrid w:val="0"/>
          <w:color w:val="000000"/>
          <w:kern w:val="32"/>
          <w:sz w:val="24"/>
        </w:rPr>
      </w:pPr>
      <w:r>
        <w:rPr>
          <w:rFonts w:hint="eastAsia" w:ascii="Times New Roman" w:eastAsia="黑体"/>
          <w:snapToGrid w:val="0"/>
          <w:color w:val="000000"/>
          <w:kern w:val="32"/>
          <w:sz w:val="24"/>
        </w:rPr>
        <w:t>二、申报审核流程</w:t>
      </w:r>
    </w:p>
    <w:p>
      <w:pPr>
        <w:spacing w:line="440" w:lineRule="exact"/>
        <w:ind w:firstLine="482" w:firstLineChars="200"/>
        <w:rPr>
          <w:rFonts w:hint="eastAsia" w:eastAsia="方正仿宋_GBK"/>
          <w:snapToGrid w:val="0"/>
          <w:color w:val="000000"/>
          <w:kern w:val="0"/>
          <w:sz w:val="24"/>
        </w:rPr>
      </w:pPr>
      <w:r>
        <w:rPr>
          <w:rFonts w:eastAsia="方正仿宋_GBK"/>
          <w:b/>
          <w:snapToGrid w:val="0"/>
          <w:color w:val="000000"/>
          <w:kern w:val="0"/>
          <w:sz w:val="24"/>
        </w:rPr>
        <w:t xml:space="preserve">1. </w:t>
      </w:r>
      <w:r>
        <w:rPr>
          <w:rFonts w:hint="eastAsia" w:eastAsia="方正仿宋_GBK"/>
          <w:b/>
          <w:snapToGrid w:val="0"/>
          <w:color w:val="000000"/>
          <w:kern w:val="0"/>
          <w:sz w:val="24"/>
        </w:rPr>
        <w:t>网上申请。</w:t>
      </w:r>
      <w:r>
        <w:rPr>
          <w:rFonts w:hint="eastAsia" w:eastAsia="方正仿宋_GBK"/>
          <w:snapToGrid w:val="0"/>
          <w:color w:val="000000"/>
          <w:kern w:val="0"/>
          <w:sz w:val="24"/>
        </w:rPr>
        <w:t>申请人在</w:t>
      </w:r>
      <w:r>
        <w:rPr>
          <w:rFonts w:eastAsia="方正仿宋_GBK"/>
          <w:snapToGrid w:val="0"/>
          <w:color w:val="000000"/>
          <w:kern w:val="0"/>
          <w:sz w:val="24"/>
        </w:rPr>
        <w:t>“</w:t>
      </w:r>
      <w:r>
        <w:rPr>
          <w:rFonts w:hint="eastAsia" w:eastAsia="方正仿宋_GBK"/>
          <w:snapToGrid w:val="0"/>
          <w:color w:val="000000"/>
          <w:kern w:val="0"/>
          <w:sz w:val="24"/>
        </w:rPr>
        <w:t>江苏省建设执业资格注册管理系统</w:t>
      </w:r>
      <w:r>
        <w:rPr>
          <w:rFonts w:eastAsia="方正仿宋_GBK"/>
          <w:snapToGrid w:val="0"/>
          <w:color w:val="000000"/>
          <w:kern w:val="0"/>
          <w:sz w:val="24"/>
        </w:rPr>
        <w:t>”</w:t>
      </w:r>
      <w:r>
        <w:rPr>
          <w:rFonts w:hint="eastAsia" w:eastAsia="方正仿宋_GBK"/>
          <w:snapToGrid w:val="0"/>
          <w:color w:val="000000"/>
          <w:kern w:val="0"/>
          <w:sz w:val="24"/>
        </w:rPr>
        <w:t>（以下简称</w:t>
      </w:r>
      <w:r>
        <w:rPr>
          <w:rFonts w:eastAsia="方正仿宋_GBK"/>
          <w:snapToGrid w:val="0"/>
          <w:color w:val="000000"/>
          <w:kern w:val="0"/>
          <w:sz w:val="24"/>
        </w:rPr>
        <w:t>“</w:t>
      </w:r>
      <w:r>
        <w:rPr>
          <w:rFonts w:hint="eastAsia" w:eastAsia="方正仿宋_GBK"/>
          <w:snapToGrid w:val="0"/>
          <w:color w:val="000000"/>
          <w:kern w:val="0"/>
          <w:sz w:val="24"/>
        </w:rPr>
        <w:t>省注册系统</w:t>
      </w:r>
      <w:r>
        <w:rPr>
          <w:rFonts w:eastAsia="方正仿宋_GBK"/>
          <w:snapToGrid w:val="0"/>
          <w:color w:val="000000"/>
          <w:kern w:val="0"/>
          <w:sz w:val="24"/>
        </w:rPr>
        <w:t>”</w:t>
      </w:r>
      <w:r>
        <w:rPr>
          <w:rFonts w:hint="eastAsia" w:eastAsia="方正仿宋_GBK"/>
          <w:snapToGrid w:val="0"/>
          <w:color w:val="000000"/>
          <w:kern w:val="0"/>
          <w:sz w:val="24"/>
        </w:rPr>
        <w:t>）填写注册申请表并上传相应电子扫描件，提交单位管理员审核。</w:t>
      </w:r>
    </w:p>
    <w:p>
      <w:pPr>
        <w:spacing w:line="440" w:lineRule="exact"/>
        <w:ind w:firstLine="482" w:firstLineChars="200"/>
        <w:rPr>
          <w:rFonts w:eastAsia="方正仿宋_GBK"/>
          <w:color w:val="000000"/>
          <w:sz w:val="24"/>
        </w:rPr>
      </w:pPr>
      <w:r>
        <w:rPr>
          <w:rFonts w:eastAsia="方正仿宋_GBK"/>
          <w:b/>
          <w:snapToGrid w:val="0"/>
          <w:color w:val="000000"/>
          <w:kern w:val="0"/>
          <w:sz w:val="24"/>
        </w:rPr>
        <w:t xml:space="preserve">2. </w:t>
      </w:r>
      <w:r>
        <w:rPr>
          <w:rFonts w:hint="eastAsia" w:eastAsia="方正仿宋_GBK"/>
          <w:b/>
          <w:snapToGrid w:val="0"/>
          <w:color w:val="000000"/>
          <w:kern w:val="0"/>
          <w:sz w:val="24"/>
        </w:rPr>
        <w:t>省级核准。</w:t>
      </w:r>
      <w:r>
        <w:rPr>
          <w:rFonts w:hint="eastAsia" w:eastAsia="方正仿宋_GBK"/>
          <w:color w:val="000000"/>
          <w:sz w:val="24"/>
        </w:rPr>
        <w:t>省住房和城乡建设厅对二级注册结构工程师核准后，省注册系统自动生成证书，企业可进入系统自行打印证书。初始、变更、延续、更改补办注册的执业印章由注册本人按《关于停止收取注册和印章收费有关问题的通知》中印模样式（二级结构注册工程师参照一级注册结构工程师）自行制作。</w:t>
      </w:r>
    </w:p>
    <w:p>
      <w:pPr>
        <w:spacing w:line="440" w:lineRule="exact"/>
        <w:ind w:firstLine="480" w:firstLineChars="200"/>
        <w:rPr>
          <w:rFonts w:ascii="Times New Roman" w:eastAsia="黑体"/>
          <w:snapToGrid w:val="0"/>
          <w:color w:val="000000"/>
          <w:kern w:val="32"/>
          <w:sz w:val="24"/>
        </w:rPr>
      </w:pPr>
      <w:r>
        <w:rPr>
          <w:rFonts w:hint="eastAsia" w:ascii="Times New Roman" w:eastAsia="黑体"/>
          <w:snapToGrid w:val="0"/>
          <w:color w:val="000000"/>
          <w:kern w:val="32"/>
          <w:sz w:val="24"/>
        </w:rPr>
        <w:t>三、其他事项</w:t>
      </w:r>
    </w:p>
    <w:p>
      <w:pPr>
        <w:spacing w:line="440" w:lineRule="exact"/>
        <w:ind w:firstLine="482" w:firstLineChars="200"/>
        <w:rPr>
          <w:rFonts w:hint="eastAsia" w:eastAsia="方正仿宋_GBK"/>
          <w:color w:val="000000"/>
          <w:spacing w:val="-6"/>
          <w:sz w:val="24"/>
        </w:rPr>
      </w:pPr>
      <w:r>
        <w:rPr>
          <w:rFonts w:eastAsia="方正仿宋_GBK"/>
          <w:b/>
          <w:snapToGrid w:val="0"/>
          <w:color w:val="000000"/>
          <w:kern w:val="0"/>
          <w:sz w:val="24"/>
        </w:rPr>
        <w:t xml:space="preserve">1. </w:t>
      </w:r>
      <w:r>
        <w:rPr>
          <w:rFonts w:hint="eastAsia" w:eastAsia="方正仿宋_GBK"/>
          <w:b/>
          <w:snapToGrid w:val="0"/>
          <w:color w:val="000000"/>
          <w:spacing w:val="-6"/>
          <w:kern w:val="0"/>
          <w:sz w:val="24"/>
        </w:rPr>
        <w:t>注册证书注销。</w:t>
      </w:r>
      <w:r>
        <w:rPr>
          <w:rFonts w:hint="eastAsia" w:eastAsia="方正仿宋_GBK"/>
          <w:color w:val="000000"/>
          <w:spacing w:val="-6"/>
          <w:sz w:val="24"/>
        </w:rPr>
        <w:t>注销注册的证书，由申请人将证书邮寄到江苏省住房和城乡建设厅便民服务中心注册材料接收窗口</w:t>
      </w:r>
      <w:r>
        <w:rPr>
          <w:rFonts w:eastAsia="方正仿宋_GBK"/>
          <w:color w:val="000000"/>
          <w:spacing w:val="-6"/>
          <w:sz w:val="24"/>
        </w:rPr>
        <w:t>,</w:t>
      </w:r>
      <w:r>
        <w:rPr>
          <w:rFonts w:hint="eastAsia" w:eastAsia="方正仿宋_GBK"/>
          <w:color w:val="000000"/>
          <w:spacing w:val="-6"/>
          <w:sz w:val="24"/>
        </w:rPr>
        <w:t>窗口收到证书并审核相关数据后，完成注销流程。</w:t>
      </w:r>
    </w:p>
    <w:p>
      <w:pPr>
        <w:spacing w:line="440" w:lineRule="exact"/>
        <w:ind w:firstLine="482" w:firstLineChars="200"/>
        <w:rPr>
          <w:rFonts w:eastAsia="方正仿宋_GBK"/>
          <w:color w:val="000000"/>
          <w:sz w:val="24"/>
        </w:rPr>
      </w:pPr>
      <w:r>
        <w:rPr>
          <w:rFonts w:eastAsia="方正仿宋_GBK"/>
          <w:b/>
          <w:snapToGrid w:val="0"/>
          <w:color w:val="000000"/>
          <w:kern w:val="0"/>
          <w:sz w:val="24"/>
        </w:rPr>
        <w:t xml:space="preserve">2. </w:t>
      </w:r>
      <w:r>
        <w:rPr>
          <w:rFonts w:hint="eastAsia" w:eastAsia="方正仿宋_GBK"/>
          <w:b/>
          <w:snapToGrid w:val="0"/>
          <w:color w:val="000000"/>
          <w:kern w:val="0"/>
          <w:sz w:val="24"/>
        </w:rPr>
        <w:t>出省变更办理。</w:t>
      </w:r>
      <w:r>
        <w:rPr>
          <w:rFonts w:hint="eastAsia" w:eastAsia="方正仿宋_GBK"/>
          <w:color w:val="000000"/>
          <w:sz w:val="24"/>
        </w:rPr>
        <w:t>变更到外省的注册申请，申请人在省注册系统中提交相关业务，省住房和城乡建设厅审核通过后，申请人方可打印出申请表，经新聘企业盖章确认后，由申请人将证书交至江苏省政务服务中心住房和城乡建设厅注册中心窗口，注册窗口将申请表盖好章邮寄给申请人。</w:t>
      </w:r>
    </w:p>
    <w:p>
      <w:pPr>
        <w:spacing w:line="440" w:lineRule="exact"/>
        <w:ind w:firstLine="480" w:firstLineChars="200"/>
        <w:rPr>
          <w:rFonts w:ascii="Times New Roman" w:eastAsia="黑体"/>
          <w:snapToGrid w:val="0"/>
          <w:color w:val="000000"/>
          <w:kern w:val="32"/>
          <w:sz w:val="24"/>
        </w:rPr>
      </w:pPr>
      <w:r>
        <w:rPr>
          <w:rFonts w:hint="eastAsia" w:ascii="Times New Roman" w:eastAsia="黑体"/>
          <w:snapToGrid w:val="0"/>
          <w:color w:val="000000"/>
          <w:kern w:val="32"/>
          <w:sz w:val="24"/>
        </w:rPr>
        <w:t>四、联系方式</w:t>
      </w:r>
    </w:p>
    <w:p>
      <w:pPr>
        <w:spacing w:line="440" w:lineRule="exact"/>
        <w:ind w:firstLine="480" w:firstLineChars="200"/>
        <w:jc w:val="left"/>
        <w:rPr>
          <w:rFonts w:hint="eastAsia" w:eastAsia="方正仿宋_GBK"/>
          <w:snapToGrid w:val="0"/>
          <w:color w:val="000000"/>
          <w:kern w:val="0"/>
          <w:sz w:val="24"/>
        </w:rPr>
      </w:pPr>
      <w:r>
        <w:rPr>
          <w:rFonts w:hint="eastAsia" w:eastAsia="方正仿宋_GBK"/>
          <w:snapToGrid w:val="0"/>
          <w:color w:val="000000"/>
          <w:kern w:val="0"/>
          <w:sz w:val="24"/>
        </w:rPr>
        <w:t>联系人：任银天</w:t>
      </w:r>
      <w:r>
        <w:rPr>
          <w:rFonts w:eastAsia="方正仿宋_GBK"/>
          <w:snapToGrid w:val="0"/>
          <w:color w:val="000000"/>
          <w:kern w:val="0"/>
          <w:sz w:val="24"/>
        </w:rPr>
        <w:t xml:space="preserve">    </w:t>
      </w:r>
      <w:r>
        <w:rPr>
          <w:rFonts w:hint="eastAsia" w:eastAsia="方正仿宋_GBK"/>
          <w:snapToGrid w:val="0"/>
          <w:color w:val="000000"/>
          <w:kern w:val="0"/>
          <w:sz w:val="24"/>
        </w:rPr>
        <w:t>联系电话：</w:t>
      </w:r>
      <w:r>
        <w:rPr>
          <w:rFonts w:eastAsia="方正仿宋_GBK"/>
          <w:snapToGrid w:val="0"/>
          <w:color w:val="000000"/>
          <w:kern w:val="0"/>
          <w:sz w:val="24"/>
        </w:rPr>
        <w:t>025-83666746</w:t>
      </w:r>
    </w:p>
    <w:p>
      <w:pPr>
        <w:spacing w:line="440" w:lineRule="exact"/>
        <w:ind w:firstLine="480" w:firstLineChars="200"/>
        <w:rPr>
          <w:rFonts w:eastAsia="方正仿宋_GBK"/>
          <w:snapToGrid w:val="0"/>
          <w:color w:val="000000"/>
          <w:kern w:val="0"/>
          <w:sz w:val="24"/>
        </w:rPr>
      </w:pPr>
      <w:r>
        <w:rPr>
          <w:rFonts w:hint="eastAsia" w:eastAsia="方正仿宋_GBK"/>
          <w:snapToGrid w:val="0"/>
          <w:color w:val="000000"/>
          <w:kern w:val="0"/>
          <w:sz w:val="24"/>
        </w:rPr>
        <w:t>系统技术支持电话：</w:t>
      </w:r>
      <w:r>
        <w:rPr>
          <w:rFonts w:eastAsia="方正仿宋_GBK"/>
          <w:snapToGrid w:val="0"/>
          <w:color w:val="000000"/>
          <w:kern w:val="0"/>
          <w:sz w:val="24"/>
        </w:rPr>
        <w:t>025-51868276</w:t>
      </w:r>
    </w:p>
    <w:p>
      <w:pPr>
        <w:spacing w:line="440" w:lineRule="exact"/>
        <w:ind w:firstLine="6031" w:firstLineChars="2513"/>
        <w:rPr>
          <w:rFonts w:eastAsia="仿宋"/>
          <w:snapToGrid w:val="0"/>
          <w:color w:val="000000"/>
          <w:kern w:val="0"/>
          <w:sz w:val="32"/>
        </w:rPr>
      </w:pPr>
      <w:r>
        <w:rPr>
          <w:rFonts w:hint="eastAsia" w:eastAsia="方正仿宋_GBK"/>
          <w:snapToGrid w:val="0"/>
          <w:color w:val="000000"/>
          <w:kern w:val="0"/>
          <w:sz w:val="24"/>
        </w:rPr>
        <w:t>江苏省住房和城乡建设厅</w:t>
      </w:r>
    </w:p>
    <w:p>
      <w:pPr>
        <w:spacing w:line="460" w:lineRule="exact"/>
        <w:ind w:firstLine="480" w:firstLineChars="200"/>
        <w:outlineLvl w:val="0"/>
        <w:rPr>
          <w:rFonts w:eastAsia="方正仿宋_GBK"/>
          <w:color w:val="000000"/>
          <w:spacing w:val="-2"/>
          <w:kern w:val="0"/>
          <w:sz w:val="24"/>
        </w:rPr>
      </w:pPr>
      <w:r>
        <w:rPr>
          <w:rFonts w:eastAsia="方正仿宋_GBK"/>
          <w:snapToGrid w:val="0"/>
          <w:color w:val="000000"/>
          <w:kern w:val="0"/>
          <w:sz w:val="24"/>
        </w:rPr>
        <w:t xml:space="preserve">                                                      </w:t>
      </w:r>
      <w:bookmarkStart w:id="629" w:name="_Toc20668135"/>
      <w:bookmarkStart w:id="630" w:name="_Toc20726664"/>
      <w:r>
        <w:rPr>
          <w:rFonts w:eastAsia="方正仿宋_GBK"/>
          <w:snapToGrid w:val="0"/>
          <w:color w:val="000000"/>
          <w:kern w:val="0"/>
          <w:sz w:val="24"/>
        </w:rPr>
        <w:t>2016</w:t>
      </w:r>
      <w:r>
        <w:rPr>
          <w:rFonts w:hint="eastAsia" w:eastAsia="方正仿宋_GBK"/>
          <w:snapToGrid w:val="0"/>
          <w:color w:val="000000"/>
          <w:kern w:val="0"/>
          <w:sz w:val="24"/>
        </w:rPr>
        <w:t>年</w:t>
      </w:r>
      <w:r>
        <w:rPr>
          <w:rFonts w:eastAsia="方正仿宋_GBK"/>
          <w:snapToGrid w:val="0"/>
          <w:color w:val="000000"/>
          <w:kern w:val="0"/>
          <w:sz w:val="24"/>
        </w:rPr>
        <w:t>6</w:t>
      </w:r>
      <w:r>
        <w:rPr>
          <w:rFonts w:hint="eastAsia" w:eastAsia="方正仿宋_GBK"/>
          <w:snapToGrid w:val="0"/>
          <w:color w:val="000000"/>
          <w:kern w:val="0"/>
          <w:sz w:val="24"/>
        </w:rPr>
        <w:t>月</w:t>
      </w:r>
      <w:r>
        <w:rPr>
          <w:rFonts w:eastAsia="方正仿宋_GBK"/>
          <w:snapToGrid w:val="0"/>
          <w:color w:val="000000"/>
          <w:kern w:val="0"/>
          <w:sz w:val="24"/>
        </w:rPr>
        <w:t>20</w:t>
      </w:r>
      <w:r>
        <w:rPr>
          <w:rFonts w:hint="eastAsia" w:eastAsia="方正仿宋_GBK"/>
          <w:snapToGrid w:val="0"/>
          <w:color w:val="000000"/>
          <w:kern w:val="0"/>
          <w:sz w:val="24"/>
        </w:rPr>
        <w:t>日</w:t>
      </w:r>
      <w:bookmarkEnd w:id="629"/>
      <w:bookmarkEnd w:id="630"/>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eastAsia="方正仿宋_GBK"/>
          <w:color w:val="000000"/>
          <w:spacing w:val="-2"/>
          <w:kern w:val="0"/>
          <w:sz w:val="24"/>
        </w:rPr>
      </w:pPr>
    </w:p>
    <w:p>
      <w:pPr>
        <w:pStyle w:val="2"/>
        <w:spacing w:before="240" w:beforeLines="100" w:after="240" w:afterLines="100" w:line="240" w:lineRule="auto"/>
        <w:jc w:val="center"/>
        <w:rPr>
          <w:rFonts w:ascii="Times New Roman" w:eastAsia="方正小标宋_GBK"/>
          <w:b w:val="0"/>
          <w:sz w:val="36"/>
          <w:szCs w:val="36"/>
        </w:rPr>
      </w:pPr>
      <w:r>
        <w:rPr>
          <w:rFonts w:eastAsia="方正仿宋_GBK"/>
          <w:b w:val="0"/>
          <w:color w:val="000000"/>
          <w:spacing w:val="-2"/>
          <w:kern w:val="0"/>
          <w:sz w:val="24"/>
        </w:rPr>
        <w:br w:type="column"/>
      </w:r>
      <w:bookmarkStart w:id="631" w:name="_Toc20726650"/>
      <w:bookmarkStart w:id="632" w:name="_Toc18315791"/>
      <w:r>
        <w:rPr>
          <w:rFonts w:hint="eastAsia" w:ascii="Times New Roman" w:eastAsia="方正小标宋_GBK"/>
          <w:b w:val="0"/>
          <w:sz w:val="36"/>
          <w:szCs w:val="36"/>
        </w:rPr>
        <w:t>省住房城乡建设厅关于开展燃气经营企业从业人员     专业培训考核的通知</w:t>
      </w:r>
      <w:bookmarkEnd w:id="631"/>
      <w:bookmarkEnd w:id="632"/>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33" w:name="_Toc20726651"/>
      <w:bookmarkStart w:id="634" w:name="_Toc18315792"/>
      <w:r>
        <w:rPr>
          <w:rFonts w:hint="eastAsia" w:ascii="Times New Roman" w:hAnsi="Times New Roman" w:eastAsia="方正楷体_GBK"/>
          <w:b w:val="0"/>
          <w:sz w:val="24"/>
          <w:szCs w:val="24"/>
        </w:rPr>
        <w:t>苏建教〔</w:t>
      </w:r>
      <w:r>
        <w:rPr>
          <w:rFonts w:ascii="Times New Roman" w:hAnsi="Times New Roman" w:eastAsia="方正楷体_GBK"/>
          <w:b w:val="0"/>
          <w:sz w:val="24"/>
          <w:szCs w:val="24"/>
        </w:rPr>
        <w:t>2017</w:t>
      </w:r>
      <w:r>
        <w:rPr>
          <w:rFonts w:hint="eastAsia" w:ascii="Times New Roman" w:hAnsi="Times New Roman" w:eastAsia="方正楷体_GBK"/>
          <w:b w:val="0"/>
          <w:sz w:val="24"/>
          <w:szCs w:val="24"/>
        </w:rPr>
        <w:t>〕</w:t>
      </w:r>
      <w:r>
        <w:rPr>
          <w:rFonts w:ascii="Times New Roman" w:hAnsi="Times New Roman" w:eastAsia="方正楷体_GBK"/>
          <w:b w:val="0"/>
          <w:sz w:val="24"/>
          <w:szCs w:val="24"/>
        </w:rPr>
        <w:t>16</w:t>
      </w:r>
      <w:r>
        <w:rPr>
          <w:rFonts w:hint="eastAsia" w:ascii="Times New Roman" w:hAnsi="Times New Roman" w:eastAsia="方正楷体_GBK"/>
          <w:b w:val="0"/>
          <w:sz w:val="24"/>
          <w:szCs w:val="24"/>
        </w:rPr>
        <w:t>号</w:t>
      </w:r>
      <w:bookmarkEnd w:id="633"/>
      <w:bookmarkEnd w:id="634"/>
    </w:p>
    <w:p>
      <w:pPr>
        <w:spacing w:line="460" w:lineRule="exact"/>
        <w:jc w:val="left"/>
        <w:rPr>
          <w:rFonts w:eastAsia="方正仿宋_GBK"/>
          <w:color w:val="000000"/>
          <w:sz w:val="24"/>
        </w:rPr>
      </w:pPr>
      <w:r>
        <w:rPr>
          <w:rFonts w:hint="eastAsia" w:eastAsia="方正仿宋_GBK"/>
          <w:color w:val="000000"/>
          <w:sz w:val="24"/>
        </w:rPr>
        <w:t>各设区市建设局（委）、无锡市政园林局，昆山、泰兴、沭阳县（市）建设局：</w:t>
      </w:r>
    </w:p>
    <w:p>
      <w:pPr>
        <w:spacing w:line="460" w:lineRule="exact"/>
        <w:ind w:firstLine="480" w:firstLineChars="200"/>
        <w:rPr>
          <w:rFonts w:eastAsia="方正仿宋_GBK"/>
          <w:color w:val="000000"/>
          <w:sz w:val="24"/>
        </w:rPr>
      </w:pPr>
      <w:r>
        <w:rPr>
          <w:rFonts w:hint="eastAsia" w:eastAsia="方正仿宋_GBK"/>
          <w:color w:val="000000"/>
          <w:sz w:val="24"/>
        </w:rPr>
        <w:t>根据住房城乡建设部</w:t>
      </w:r>
      <w:r>
        <w:rPr>
          <w:rFonts w:hint="eastAsia" w:eastAsia="方正仿宋_GBK"/>
          <w:bCs/>
          <w:color w:val="000000"/>
          <w:sz w:val="24"/>
        </w:rPr>
        <w:t>《关于印发</w:t>
      </w:r>
      <w:r>
        <w:rPr>
          <w:rFonts w:hint="eastAsia" w:ascii="Times New Roman" w:hAnsi="Times New Roman"/>
          <w:bCs/>
          <w:color w:val="000000"/>
          <w:sz w:val="24"/>
        </w:rPr>
        <w:t>&lt;</w:t>
      </w:r>
      <w:r>
        <w:rPr>
          <w:rFonts w:hint="eastAsia" w:eastAsia="方正仿宋_GBK"/>
          <w:bCs/>
          <w:color w:val="000000"/>
          <w:sz w:val="24"/>
        </w:rPr>
        <w:t>燃气经营许可管理办法</w:t>
      </w:r>
      <w:r>
        <w:rPr>
          <w:rFonts w:eastAsia="方正仿宋_GBK"/>
          <w:bCs/>
          <w:color w:val="000000"/>
          <w:sz w:val="24"/>
        </w:rPr>
        <w:t>&gt;</w:t>
      </w:r>
      <w:r>
        <w:rPr>
          <w:rFonts w:hint="eastAsia" w:eastAsia="方正仿宋_GBK"/>
          <w:bCs/>
          <w:color w:val="000000"/>
          <w:sz w:val="24"/>
        </w:rPr>
        <w:t>和</w:t>
      </w:r>
      <w:r>
        <w:rPr>
          <w:rFonts w:eastAsia="方正仿宋_GBK"/>
          <w:bCs/>
          <w:color w:val="000000"/>
          <w:sz w:val="24"/>
        </w:rPr>
        <w:t>&lt;</w:t>
      </w:r>
      <w:r>
        <w:rPr>
          <w:rFonts w:hint="eastAsia" w:eastAsia="方正仿宋_GBK"/>
          <w:bCs/>
          <w:color w:val="000000"/>
          <w:sz w:val="24"/>
        </w:rPr>
        <w:t>燃气经营企业从业人员专业培训考核管理办法</w:t>
      </w:r>
      <w:r>
        <w:rPr>
          <w:rFonts w:hint="eastAsia" w:ascii="Times New Roman" w:hAnsi="Times New Roman"/>
          <w:bCs/>
          <w:color w:val="000000"/>
          <w:sz w:val="24"/>
        </w:rPr>
        <w:t>&gt;</w:t>
      </w:r>
      <w:r>
        <w:rPr>
          <w:rFonts w:hint="eastAsia" w:eastAsia="方正仿宋_GBK"/>
          <w:bCs/>
          <w:color w:val="000000"/>
          <w:sz w:val="24"/>
        </w:rPr>
        <w:t>的通知》（</w:t>
      </w:r>
      <w:r>
        <w:rPr>
          <w:rFonts w:hint="eastAsia" w:eastAsia="方正仿宋_GBK"/>
          <w:color w:val="000000"/>
          <w:sz w:val="24"/>
        </w:rPr>
        <w:t>建城〔</w:t>
      </w:r>
      <w:r>
        <w:rPr>
          <w:rFonts w:eastAsia="方正仿宋_GBK"/>
          <w:color w:val="000000"/>
          <w:sz w:val="24"/>
        </w:rPr>
        <w:t>2014</w:t>
      </w:r>
      <w:r>
        <w:rPr>
          <w:rFonts w:hint="eastAsia" w:eastAsia="方正仿宋_GBK"/>
          <w:color w:val="000000"/>
          <w:sz w:val="24"/>
        </w:rPr>
        <w:t>〕</w:t>
      </w:r>
      <w:r>
        <w:rPr>
          <w:rFonts w:eastAsia="方正仿宋_GBK"/>
          <w:color w:val="000000"/>
          <w:sz w:val="24"/>
        </w:rPr>
        <w:t>167</w:t>
      </w:r>
      <w:r>
        <w:rPr>
          <w:rFonts w:hint="eastAsia" w:eastAsia="方正仿宋_GBK"/>
          <w:color w:val="000000"/>
          <w:sz w:val="24"/>
        </w:rPr>
        <w:t>号）</w:t>
      </w:r>
      <w:r>
        <w:rPr>
          <w:rFonts w:hint="eastAsia" w:eastAsia="方正仿宋_GBK"/>
          <w:bCs/>
          <w:color w:val="000000"/>
          <w:sz w:val="24"/>
        </w:rPr>
        <w:t>要求，为加强燃气经营许可管理，保障燃气经营生产安全，切实提高燃气经营企业从业人员整体素质，自</w:t>
      </w:r>
      <w:r>
        <w:rPr>
          <w:rFonts w:eastAsia="方正仿宋_GBK"/>
          <w:bCs/>
          <w:color w:val="000000"/>
          <w:sz w:val="24"/>
        </w:rPr>
        <w:t>2017</w:t>
      </w:r>
      <w:r>
        <w:rPr>
          <w:rFonts w:hint="eastAsia" w:eastAsia="方正仿宋_GBK"/>
          <w:bCs/>
          <w:color w:val="000000"/>
          <w:sz w:val="24"/>
        </w:rPr>
        <w:t>年起，我省将开展</w:t>
      </w:r>
      <w:r>
        <w:rPr>
          <w:rFonts w:hint="eastAsia" w:eastAsia="方正仿宋_GBK"/>
          <w:color w:val="000000"/>
          <w:sz w:val="24"/>
        </w:rPr>
        <w:t>燃气经营企业从业人员专业培训考核工作。现将有关事项通知如下：</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一、组织领导</w:t>
      </w:r>
    </w:p>
    <w:p>
      <w:pPr>
        <w:snapToGrid w:val="0"/>
        <w:spacing w:line="460" w:lineRule="exact"/>
        <w:ind w:firstLine="480" w:firstLineChars="200"/>
        <w:rPr>
          <w:rFonts w:hint="eastAsia" w:eastAsia="方正仿宋_GBK"/>
          <w:color w:val="000000"/>
          <w:sz w:val="24"/>
        </w:rPr>
      </w:pPr>
      <w:r>
        <w:rPr>
          <w:rFonts w:eastAsia="方正仿宋_GBK"/>
          <w:color w:val="000000"/>
          <w:sz w:val="24"/>
          <w:shd w:val="clear" w:color="auto" w:fill="FFFFFF"/>
        </w:rPr>
        <w:t>1. </w:t>
      </w:r>
      <w:r>
        <w:rPr>
          <w:rFonts w:hint="eastAsia" w:eastAsia="方正仿宋_GBK"/>
          <w:color w:val="000000"/>
          <w:sz w:val="24"/>
          <w:shd w:val="clear" w:color="auto" w:fill="FFFFFF"/>
        </w:rPr>
        <w:t>培训</w:t>
      </w:r>
      <w:r>
        <w:rPr>
          <w:rFonts w:hint="eastAsia" w:eastAsia="方正仿宋_GBK"/>
          <w:color w:val="000000"/>
          <w:sz w:val="24"/>
        </w:rPr>
        <w:t>考核工作由省住房城乡建设厅人事教育处会同城市建设处统一组织，具体考务工作由厅执业资格考试与注册中心负责。</w:t>
      </w:r>
    </w:p>
    <w:p>
      <w:pPr>
        <w:snapToGrid w:val="0"/>
        <w:spacing w:line="460" w:lineRule="exact"/>
        <w:ind w:firstLine="480" w:firstLineChars="200"/>
        <w:rPr>
          <w:rFonts w:eastAsia="方正仿宋_GBK"/>
          <w:color w:val="000000"/>
          <w:sz w:val="24"/>
        </w:rPr>
      </w:pPr>
      <w:r>
        <w:rPr>
          <w:rFonts w:eastAsia="方正仿宋_GBK"/>
          <w:color w:val="000000"/>
          <w:sz w:val="24"/>
        </w:rPr>
        <w:t>2. </w:t>
      </w:r>
      <w:r>
        <w:rPr>
          <w:rFonts w:hint="eastAsia" w:eastAsia="方正仿宋_GBK"/>
          <w:color w:val="000000"/>
          <w:sz w:val="24"/>
        </w:rPr>
        <w:t>各设区市燃气主管部门负责本地区培训、考务组织实施等相关具体工作。</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二、培训考核对象</w:t>
      </w:r>
    </w:p>
    <w:p>
      <w:pPr>
        <w:snapToGrid w:val="0"/>
        <w:spacing w:line="460" w:lineRule="exact"/>
        <w:ind w:firstLine="480" w:firstLineChars="200"/>
        <w:rPr>
          <w:rFonts w:hint="eastAsia" w:eastAsia="方正仿宋_GBK"/>
          <w:color w:val="000000"/>
          <w:sz w:val="24"/>
          <w:shd w:val="clear" w:color="auto" w:fill="FFFFFF"/>
        </w:rPr>
      </w:pPr>
      <w:r>
        <w:rPr>
          <w:rFonts w:hint="eastAsia" w:eastAsia="方正仿宋_GBK"/>
          <w:color w:val="000000"/>
          <w:sz w:val="24"/>
          <w:shd w:val="clear" w:color="auto" w:fill="FFFFFF"/>
        </w:rPr>
        <w:t>培训考核对象为本省行政区域内燃气经营企业从业人员，具体分为以下</w:t>
      </w:r>
      <w:r>
        <w:rPr>
          <w:rFonts w:eastAsia="方正仿宋_GBK"/>
          <w:color w:val="000000"/>
          <w:sz w:val="24"/>
          <w:shd w:val="clear" w:color="auto" w:fill="FFFFFF"/>
        </w:rPr>
        <w:t>3</w:t>
      </w:r>
      <w:r>
        <w:rPr>
          <w:rFonts w:hint="eastAsia" w:eastAsia="方正仿宋_GBK"/>
          <w:color w:val="000000"/>
          <w:sz w:val="24"/>
          <w:shd w:val="clear" w:color="auto" w:fill="FFFFFF"/>
        </w:rPr>
        <w:t>类：</w:t>
      </w:r>
    </w:p>
    <w:p>
      <w:pPr>
        <w:snapToGrid w:val="0"/>
        <w:spacing w:line="460" w:lineRule="exact"/>
        <w:ind w:firstLine="480" w:firstLineChars="200"/>
        <w:rPr>
          <w:rFonts w:eastAsia="方正仿宋_GBK"/>
          <w:color w:val="000000"/>
          <w:sz w:val="24"/>
          <w:shd w:val="clear" w:color="auto" w:fill="FFFFFF"/>
        </w:rPr>
      </w:pPr>
      <w:r>
        <w:rPr>
          <w:rFonts w:eastAsia="方正仿宋_GBK"/>
          <w:color w:val="000000"/>
          <w:sz w:val="24"/>
          <w:shd w:val="clear" w:color="auto" w:fill="FFFFFF"/>
        </w:rPr>
        <w:t>1. </w:t>
      </w:r>
      <w:r>
        <w:rPr>
          <w:rFonts w:hint="eastAsia" w:eastAsia="方正仿宋_GBK"/>
          <w:b/>
          <w:color w:val="000000"/>
          <w:sz w:val="24"/>
          <w:shd w:val="clear" w:color="auto" w:fill="FFFFFF"/>
        </w:rPr>
        <w:t>企业主要负责人。</w:t>
      </w:r>
      <w:r>
        <w:rPr>
          <w:rFonts w:hint="eastAsia" w:eastAsia="方正仿宋_GBK"/>
          <w:color w:val="000000"/>
          <w:sz w:val="24"/>
          <w:shd w:val="clear" w:color="auto" w:fill="FFFFFF"/>
        </w:rPr>
        <w:t>是指企业法人代表（董事长）、企业总经理（总裁）。</w:t>
      </w:r>
    </w:p>
    <w:p>
      <w:pPr>
        <w:snapToGrid w:val="0"/>
        <w:spacing w:line="460" w:lineRule="exact"/>
        <w:ind w:firstLine="480" w:firstLineChars="200"/>
        <w:rPr>
          <w:rFonts w:eastAsia="方正仿宋_GBK"/>
          <w:color w:val="000000"/>
          <w:sz w:val="24"/>
          <w:shd w:val="clear" w:color="auto" w:fill="FFFFFF"/>
        </w:rPr>
      </w:pPr>
      <w:r>
        <w:rPr>
          <w:rFonts w:eastAsia="方正仿宋_GBK"/>
          <w:color w:val="000000"/>
          <w:sz w:val="24"/>
          <w:shd w:val="clear" w:color="auto" w:fill="FFFFFF"/>
        </w:rPr>
        <w:t>2. </w:t>
      </w:r>
      <w:r>
        <w:rPr>
          <w:rFonts w:hint="eastAsia" w:eastAsia="方正仿宋_GBK"/>
          <w:b/>
          <w:color w:val="000000"/>
          <w:sz w:val="24"/>
          <w:shd w:val="clear" w:color="auto" w:fill="FFFFFF"/>
        </w:rPr>
        <w:t>安全生产管理人员。</w:t>
      </w:r>
      <w:r>
        <w:rPr>
          <w:rFonts w:hint="eastAsia" w:eastAsia="方正仿宋_GBK"/>
          <w:color w:val="000000"/>
          <w:sz w:val="24"/>
          <w:shd w:val="clear" w:color="auto" w:fill="FFFFFF"/>
        </w:rPr>
        <w:t>是指企业负责安全运行的副总经理（副总裁），企业生产、安全管理部门负责人，企业生产和销售分支机构的负责人以及企业专职安全员。</w:t>
      </w:r>
    </w:p>
    <w:p>
      <w:pPr>
        <w:snapToGrid w:val="0"/>
        <w:spacing w:line="460" w:lineRule="exact"/>
        <w:ind w:firstLine="480" w:firstLineChars="200"/>
        <w:rPr>
          <w:rFonts w:eastAsia="方正仿宋_GBK"/>
          <w:color w:val="000000"/>
          <w:sz w:val="24"/>
        </w:rPr>
      </w:pPr>
      <w:r>
        <w:rPr>
          <w:rFonts w:eastAsia="方正仿宋_GBK"/>
          <w:color w:val="000000"/>
          <w:sz w:val="24"/>
          <w:shd w:val="clear" w:color="auto" w:fill="FFFFFF"/>
        </w:rPr>
        <w:t>3. </w:t>
      </w:r>
      <w:r>
        <w:rPr>
          <w:rFonts w:hint="eastAsia" w:eastAsia="方正仿宋_GBK"/>
          <w:b/>
          <w:color w:val="000000"/>
          <w:sz w:val="24"/>
          <w:shd w:val="clear" w:color="auto" w:fill="FFFFFF"/>
        </w:rPr>
        <w:t>运行、维护和抢修人员。</w:t>
      </w:r>
      <w:r>
        <w:rPr>
          <w:rFonts w:hint="eastAsia" w:eastAsia="方正仿宋_GBK"/>
          <w:color w:val="000000"/>
          <w:sz w:val="24"/>
          <w:shd w:val="clear" w:color="auto" w:fill="FFFFFF"/>
        </w:rPr>
        <w:t>是指负责燃气设施设备运行、维护和事故抢险抢修的操作人员。首期开展燃气输配场站工、液化石油气库站工、压缩天然气场站工、液化天然气储运工、汽车加气站操作工、燃气管网工、燃气用户检修工</w:t>
      </w:r>
      <w:r>
        <w:rPr>
          <w:rFonts w:eastAsia="方正仿宋_GBK"/>
          <w:color w:val="000000"/>
          <w:sz w:val="24"/>
          <w:shd w:val="clear" w:color="auto" w:fill="FFFFFF"/>
        </w:rPr>
        <w:t>7</w:t>
      </w:r>
      <w:r>
        <w:rPr>
          <w:rFonts w:hint="eastAsia" w:eastAsia="方正仿宋_GBK"/>
          <w:color w:val="000000"/>
          <w:sz w:val="24"/>
          <w:shd w:val="clear" w:color="auto" w:fill="FFFFFF"/>
        </w:rPr>
        <w:t>个专业的考核工作；其他专业的运行、维护和抢修人员考核待配套机制完善后逐步开展。</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 xml:space="preserve">三、培训组织 </w:t>
      </w:r>
    </w:p>
    <w:p>
      <w:pPr>
        <w:spacing w:line="460" w:lineRule="exact"/>
        <w:ind w:firstLine="480" w:firstLineChars="200"/>
        <w:rPr>
          <w:rFonts w:hint="eastAsia" w:eastAsia="方正仿宋_GBK"/>
          <w:color w:val="000000"/>
          <w:sz w:val="24"/>
        </w:rPr>
      </w:pPr>
      <w:r>
        <w:rPr>
          <w:rFonts w:eastAsia="方正仿宋_GBK"/>
          <w:color w:val="000000"/>
          <w:sz w:val="24"/>
        </w:rPr>
        <w:t>1. </w:t>
      </w:r>
      <w:r>
        <w:rPr>
          <w:rFonts w:hint="eastAsia" w:eastAsia="方正仿宋_GBK"/>
          <w:color w:val="000000"/>
          <w:sz w:val="24"/>
        </w:rPr>
        <w:t>燃气经营企业从业人员考核前须经过专业培训，从业人员必须参加培训并达到培训时间和培训要求方可参加考核。</w:t>
      </w:r>
    </w:p>
    <w:p>
      <w:pPr>
        <w:spacing w:line="460" w:lineRule="exact"/>
        <w:ind w:firstLine="480" w:firstLineChars="200"/>
        <w:rPr>
          <w:rFonts w:eastAsia="方正仿宋_GBK"/>
          <w:color w:val="000000"/>
          <w:sz w:val="24"/>
        </w:rPr>
      </w:pPr>
      <w:r>
        <w:rPr>
          <w:rFonts w:eastAsia="方正仿宋_GBK"/>
          <w:color w:val="000000"/>
          <w:sz w:val="24"/>
        </w:rPr>
        <w:t>2. </w:t>
      </w:r>
      <w:r>
        <w:rPr>
          <w:rFonts w:hint="eastAsia" w:eastAsia="方正仿宋_GBK"/>
          <w:color w:val="000000"/>
          <w:sz w:val="24"/>
        </w:rPr>
        <w:t>培训采取集中面授方式，使用全省统一的培训大纲和教材。培训由具备必要的燃气专业培训能力的燃气企业或社会培训机构（单位）承办。</w:t>
      </w:r>
    </w:p>
    <w:p>
      <w:pPr>
        <w:spacing w:line="460" w:lineRule="exact"/>
        <w:ind w:firstLine="480" w:firstLineChars="200"/>
        <w:rPr>
          <w:rFonts w:eastAsia="方正仿宋_GBK"/>
          <w:color w:val="000000"/>
          <w:sz w:val="24"/>
        </w:rPr>
      </w:pPr>
      <w:r>
        <w:rPr>
          <w:rFonts w:eastAsia="方正仿宋_GBK"/>
          <w:color w:val="000000"/>
          <w:sz w:val="24"/>
        </w:rPr>
        <w:t>3. </w:t>
      </w:r>
      <w:r>
        <w:rPr>
          <w:rFonts w:hint="eastAsia" w:eastAsia="方正仿宋_GBK"/>
          <w:color w:val="000000"/>
          <w:sz w:val="24"/>
        </w:rPr>
        <w:t>各地开展培训工作时，如遇师资等培训困难，可委托省燃气行业协会承办。</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四、考核组织</w:t>
      </w:r>
    </w:p>
    <w:p>
      <w:pPr>
        <w:spacing w:line="460" w:lineRule="exact"/>
        <w:ind w:firstLine="480" w:firstLineChars="200"/>
        <w:rPr>
          <w:rFonts w:hint="eastAsia" w:ascii="Times New Roman" w:eastAsia="楷体_GB2312"/>
          <w:color w:val="000000"/>
          <w:sz w:val="24"/>
          <w:shd w:val="clear" w:color="auto" w:fill="FFFFFF"/>
        </w:rPr>
      </w:pPr>
      <w:r>
        <w:rPr>
          <w:rFonts w:hint="eastAsia" w:ascii="Times New Roman" w:eastAsia="楷体_GB2312"/>
          <w:color w:val="000000"/>
          <w:sz w:val="24"/>
          <w:shd w:val="clear" w:color="auto" w:fill="FFFFFF"/>
        </w:rPr>
        <w:t xml:space="preserve">（一）考核方式 </w:t>
      </w:r>
    </w:p>
    <w:p>
      <w:pPr>
        <w:autoSpaceDE w:val="0"/>
        <w:autoSpaceDN w:val="0"/>
        <w:adjustRightInd w:val="0"/>
        <w:spacing w:line="460" w:lineRule="exact"/>
        <w:ind w:firstLine="480" w:firstLineChars="200"/>
        <w:jc w:val="left"/>
        <w:rPr>
          <w:rFonts w:hint="eastAsia" w:eastAsia="方正仿宋_GBK"/>
          <w:color w:val="000000"/>
          <w:sz w:val="24"/>
        </w:rPr>
      </w:pPr>
      <w:r>
        <w:rPr>
          <w:rFonts w:hint="eastAsia" w:eastAsia="方正仿宋_GBK"/>
          <w:color w:val="000000"/>
          <w:sz w:val="24"/>
        </w:rPr>
        <w:t>燃气从业人员专业考核实行全省统一组织、统一题库、统一考核的方式，分类别分专业进行。考核科目设《专业基础知识》和《专业管理实务》两个部分，采取笔试作答方式（具备条件后，逐步采用无纸化考核方式）。考核试题为客观题，在答题卡上作答（答题卡必须用</w:t>
      </w:r>
      <w:r>
        <w:rPr>
          <w:rFonts w:eastAsia="方正仿宋_GBK"/>
          <w:color w:val="000000"/>
          <w:sz w:val="24"/>
        </w:rPr>
        <w:t>2B</w:t>
      </w:r>
      <w:r>
        <w:rPr>
          <w:rFonts w:hint="eastAsia" w:eastAsia="方正仿宋_GBK"/>
          <w:color w:val="000000"/>
          <w:sz w:val="24"/>
        </w:rPr>
        <w:t>铅笔填涂）。</w:t>
      </w:r>
    </w:p>
    <w:p>
      <w:pPr>
        <w:spacing w:line="460" w:lineRule="exact"/>
        <w:ind w:firstLine="480" w:firstLineChars="200"/>
        <w:rPr>
          <w:rFonts w:ascii="Times New Roman" w:eastAsia="楷体_GB2312"/>
          <w:color w:val="000000"/>
          <w:sz w:val="24"/>
          <w:shd w:val="clear" w:color="auto" w:fill="FFFFFF"/>
        </w:rPr>
      </w:pPr>
      <w:r>
        <w:rPr>
          <w:rFonts w:hint="eastAsia" w:ascii="Times New Roman" w:eastAsia="楷体_GB2312"/>
          <w:color w:val="000000"/>
          <w:sz w:val="24"/>
          <w:shd w:val="clear" w:color="auto" w:fill="FFFFFF"/>
        </w:rPr>
        <w:t>（二）考核时间</w:t>
      </w:r>
    </w:p>
    <w:p>
      <w:pPr>
        <w:spacing w:line="460" w:lineRule="exact"/>
        <w:ind w:firstLine="480" w:firstLineChars="200"/>
        <w:rPr>
          <w:rFonts w:hint="eastAsia" w:eastAsia="方正仿宋_GBK"/>
          <w:color w:val="000000"/>
          <w:sz w:val="24"/>
        </w:rPr>
      </w:pPr>
      <w:r>
        <w:rPr>
          <w:rFonts w:hint="eastAsia" w:eastAsia="方正仿宋_GBK"/>
          <w:color w:val="000000"/>
          <w:sz w:val="24"/>
        </w:rPr>
        <w:t>结合行业需求，考核原则上每季度组织</w:t>
      </w:r>
      <w:r>
        <w:rPr>
          <w:rFonts w:eastAsia="方正仿宋_GBK"/>
          <w:color w:val="000000"/>
          <w:sz w:val="24"/>
        </w:rPr>
        <w:t>1</w:t>
      </w:r>
      <w:r>
        <w:rPr>
          <w:rFonts w:hint="eastAsia" w:eastAsia="方正仿宋_GBK"/>
          <w:color w:val="000000"/>
          <w:sz w:val="24"/>
        </w:rPr>
        <w:t>次。</w:t>
      </w:r>
      <w:r>
        <w:rPr>
          <w:rFonts w:eastAsia="方正仿宋_GBK"/>
          <w:color w:val="000000"/>
          <w:sz w:val="24"/>
        </w:rPr>
        <w:t>2017</w:t>
      </w:r>
      <w:r>
        <w:rPr>
          <w:rFonts w:hint="eastAsia" w:eastAsia="方正仿宋_GBK"/>
          <w:color w:val="000000"/>
          <w:sz w:val="24"/>
        </w:rPr>
        <w:t>年考试第一季度时间安排为：</w:t>
      </w:r>
      <w:r>
        <w:rPr>
          <w:rFonts w:eastAsia="方正仿宋_GBK"/>
          <w:color w:val="000000"/>
          <w:sz w:val="24"/>
        </w:rPr>
        <w:t xml:space="preserve"> 3</w:t>
      </w:r>
      <w:r>
        <w:rPr>
          <w:rFonts w:hint="eastAsia" w:eastAsia="方正仿宋_GBK"/>
          <w:color w:val="000000"/>
          <w:sz w:val="24"/>
        </w:rPr>
        <w:t>月</w:t>
      </w:r>
      <w:r>
        <w:rPr>
          <w:rFonts w:eastAsia="方正仿宋_GBK"/>
          <w:color w:val="000000"/>
          <w:sz w:val="24"/>
        </w:rPr>
        <w:t>18</w:t>
      </w:r>
      <w:r>
        <w:rPr>
          <w:rFonts w:hint="eastAsia" w:eastAsia="方正仿宋_GBK"/>
          <w:color w:val="000000"/>
          <w:sz w:val="24"/>
        </w:rPr>
        <w:t>日。实行无纸化考核后，时间随机安排。</w:t>
      </w:r>
    </w:p>
    <w:p>
      <w:pPr>
        <w:spacing w:line="460" w:lineRule="exact"/>
        <w:ind w:firstLine="480" w:firstLineChars="200"/>
        <w:rPr>
          <w:rFonts w:ascii="Times New Roman" w:eastAsia="楷体_GB2312"/>
          <w:color w:val="000000"/>
          <w:sz w:val="24"/>
          <w:shd w:val="clear" w:color="auto" w:fill="FFFFFF"/>
        </w:rPr>
      </w:pPr>
      <w:r>
        <w:rPr>
          <w:rFonts w:hint="eastAsia" w:ascii="Times New Roman" w:eastAsia="楷体_GB2312"/>
          <w:color w:val="000000"/>
          <w:sz w:val="24"/>
          <w:shd w:val="clear" w:color="auto" w:fill="FFFFFF"/>
        </w:rPr>
        <w:t>（三）考点设置</w:t>
      </w:r>
    </w:p>
    <w:p>
      <w:pPr>
        <w:spacing w:line="460" w:lineRule="exact"/>
        <w:ind w:firstLine="480" w:firstLineChars="200"/>
        <w:rPr>
          <w:rFonts w:hint="eastAsia" w:eastAsia="方正仿宋_GBK"/>
          <w:color w:val="000000"/>
          <w:sz w:val="24"/>
        </w:rPr>
      </w:pPr>
      <w:r>
        <w:rPr>
          <w:rFonts w:hint="eastAsia" w:eastAsia="方正仿宋_GBK"/>
          <w:color w:val="000000"/>
          <w:sz w:val="24"/>
        </w:rPr>
        <w:t>考核考点设置在各设区市所在地，且每一地区原则上只设置</w:t>
      </w:r>
      <w:r>
        <w:rPr>
          <w:rFonts w:eastAsia="方正仿宋_GBK"/>
          <w:color w:val="000000"/>
          <w:sz w:val="24"/>
        </w:rPr>
        <w:t>1</w:t>
      </w:r>
      <w:r>
        <w:rPr>
          <w:rFonts w:hint="eastAsia" w:eastAsia="方正仿宋_GBK"/>
          <w:color w:val="000000"/>
          <w:sz w:val="24"/>
        </w:rPr>
        <w:t>个考点。考点应符合岗位考试的有关要求。具体要求另行通知。</w:t>
      </w:r>
    </w:p>
    <w:p>
      <w:pPr>
        <w:spacing w:line="460" w:lineRule="exact"/>
        <w:ind w:firstLine="480" w:firstLineChars="200"/>
        <w:rPr>
          <w:rFonts w:ascii="Times New Roman" w:eastAsia="楷体_GB2312"/>
          <w:color w:val="000000"/>
          <w:sz w:val="24"/>
          <w:shd w:val="clear" w:color="auto" w:fill="FFFFFF"/>
        </w:rPr>
      </w:pPr>
      <w:r>
        <w:rPr>
          <w:rFonts w:hint="eastAsia" w:ascii="Times New Roman" w:eastAsia="楷体_GB2312"/>
          <w:color w:val="000000"/>
          <w:sz w:val="24"/>
          <w:shd w:val="clear" w:color="auto" w:fill="FFFFFF"/>
        </w:rPr>
        <w:t>（四）报名组织</w:t>
      </w:r>
    </w:p>
    <w:p>
      <w:pPr>
        <w:spacing w:line="460" w:lineRule="exact"/>
        <w:ind w:firstLine="480" w:firstLineChars="200"/>
        <w:rPr>
          <w:rFonts w:hint="eastAsia" w:eastAsia="方正仿宋_GBK"/>
          <w:color w:val="000000"/>
          <w:sz w:val="24"/>
          <w:shd w:val="clear" w:color="auto" w:fill="FFFFFF"/>
        </w:rPr>
      </w:pPr>
      <w:r>
        <w:rPr>
          <w:rFonts w:eastAsia="方正仿宋_GBK"/>
          <w:color w:val="000000"/>
          <w:sz w:val="24"/>
        </w:rPr>
        <w:t>1. </w:t>
      </w:r>
      <w:r>
        <w:rPr>
          <w:rFonts w:hint="eastAsia" w:eastAsia="方正仿宋_GBK"/>
          <w:color w:val="000000"/>
          <w:sz w:val="24"/>
        </w:rPr>
        <w:t>报名条件。</w:t>
      </w:r>
      <w:r>
        <w:rPr>
          <w:rFonts w:hint="eastAsia" w:eastAsia="方正仿宋_GBK"/>
          <w:color w:val="000000"/>
          <w:sz w:val="24"/>
          <w:shd w:val="clear" w:color="auto" w:fill="FFFFFF"/>
        </w:rPr>
        <w:t>燃气经营企业从业人员按照岗位实际情况申报考核。</w:t>
      </w:r>
    </w:p>
    <w:p>
      <w:pPr>
        <w:spacing w:line="460" w:lineRule="exact"/>
        <w:ind w:firstLine="480" w:firstLineChars="200"/>
        <w:rPr>
          <w:rFonts w:eastAsia="方正仿宋_GBK"/>
          <w:color w:val="000000"/>
          <w:sz w:val="24"/>
          <w:shd w:val="clear" w:color="auto" w:fill="FFFFFF"/>
        </w:rPr>
      </w:pPr>
      <w:r>
        <w:rPr>
          <w:rFonts w:eastAsia="方正仿宋_GBK"/>
          <w:color w:val="000000"/>
          <w:sz w:val="24"/>
          <w:shd w:val="clear" w:color="auto" w:fill="FFFFFF"/>
        </w:rPr>
        <w:t>2. </w:t>
      </w:r>
      <w:r>
        <w:rPr>
          <w:rFonts w:hint="eastAsia" w:eastAsia="方正仿宋_GBK"/>
          <w:color w:val="000000"/>
          <w:sz w:val="24"/>
          <w:shd w:val="clear" w:color="auto" w:fill="FFFFFF"/>
        </w:rPr>
        <w:t>报名方式。</w:t>
      </w:r>
      <w:r>
        <w:rPr>
          <w:rFonts w:hint="eastAsia" w:eastAsia="方正仿宋_GBK"/>
          <w:color w:val="000000"/>
          <w:sz w:val="24"/>
        </w:rPr>
        <w:t>考核工作采取网上报名的方式进行。凡参加考核的</w:t>
      </w:r>
      <w:r>
        <w:rPr>
          <w:rFonts w:hint="eastAsia" w:eastAsia="方正仿宋_GBK"/>
          <w:color w:val="000000"/>
          <w:sz w:val="24"/>
          <w:shd w:val="clear" w:color="auto" w:fill="FFFFFF"/>
        </w:rPr>
        <w:t>从业人员由所在企业登录</w:t>
      </w:r>
      <w:r>
        <w:rPr>
          <w:rFonts w:eastAsia="方正仿宋_GBK"/>
          <w:color w:val="000000"/>
          <w:sz w:val="24"/>
          <w:shd w:val="clear" w:color="auto" w:fill="FFFFFF"/>
        </w:rPr>
        <w:t>“</w:t>
      </w:r>
      <w:r>
        <w:rPr>
          <w:rFonts w:hint="eastAsia" w:eastAsia="方正仿宋_GBK"/>
          <w:color w:val="000000"/>
          <w:sz w:val="24"/>
          <w:shd w:val="clear" w:color="auto" w:fill="FFFFFF"/>
        </w:rPr>
        <w:t>江苏建设人才</w:t>
      </w:r>
      <w:r>
        <w:rPr>
          <w:rFonts w:eastAsia="方正仿宋_GBK"/>
          <w:color w:val="000000"/>
          <w:sz w:val="24"/>
          <w:shd w:val="clear" w:color="auto" w:fill="FFFFFF"/>
        </w:rPr>
        <w:t>”</w:t>
      </w:r>
      <w:r>
        <w:rPr>
          <w:rFonts w:hint="eastAsia" w:eastAsia="方正仿宋_GBK"/>
          <w:color w:val="000000"/>
          <w:sz w:val="24"/>
          <w:shd w:val="clear" w:color="auto" w:fill="FFFFFF"/>
        </w:rPr>
        <w:t>网（</w:t>
      </w:r>
      <w:r>
        <w:rPr>
          <w:rFonts w:eastAsia="方正仿宋_GBK"/>
          <w:color w:val="000000"/>
          <w:sz w:val="24"/>
          <w:shd w:val="clear" w:color="auto" w:fill="FFFFFF"/>
        </w:rPr>
        <w:t>http://hr.jscin.gov.cn/swhyFront/default.aspx</w:t>
      </w:r>
      <w:r>
        <w:rPr>
          <w:rFonts w:hint="eastAsia" w:eastAsia="方正仿宋_GBK"/>
          <w:color w:val="000000"/>
          <w:sz w:val="24"/>
          <w:shd w:val="clear" w:color="auto" w:fill="FFFFFF"/>
        </w:rPr>
        <w:t>）</w:t>
      </w:r>
      <w:r>
        <w:rPr>
          <w:rFonts w:eastAsia="方正仿宋_GBK"/>
          <w:color w:val="000000"/>
          <w:sz w:val="24"/>
          <w:shd w:val="clear" w:color="auto" w:fill="FFFFFF"/>
        </w:rPr>
        <w:t>,</w:t>
      </w:r>
      <w:r>
        <w:rPr>
          <w:rFonts w:hint="eastAsia" w:eastAsia="方正仿宋_GBK"/>
          <w:color w:val="000000"/>
          <w:sz w:val="24"/>
          <w:shd w:val="clear" w:color="auto" w:fill="FFFFFF"/>
        </w:rPr>
        <w:t>通过</w:t>
      </w:r>
      <w:r>
        <w:rPr>
          <w:rFonts w:eastAsia="方正仿宋_GBK"/>
          <w:color w:val="000000"/>
          <w:sz w:val="24"/>
          <w:shd w:val="clear" w:color="auto" w:fill="FFFFFF"/>
        </w:rPr>
        <w:t>“</w:t>
      </w:r>
      <w:r>
        <w:rPr>
          <w:rFonts w:hint="eastAsia" w:eastAsia="方正仿宋_GBK"/>
          <w:color w:val="000000"/>
          <w:sz w:val="24"/>
          <w:shd w:val="clear" w:color="auto" w:fill="FFFFFF"/>
        </w:rPr>
        <w:t>江苏省建设培训考试管理系统</w:t>
      </w:r>
      <w:r>
        <w:rPr>
          <w:rFonts w:eastAsia="方正仿宋_GBK"/>
          <w:color w:val="000000"/>
          <w:sz w:val="24"/>
          <w:shd w:val="clear" w:color="auto" w:fill="FFFFFF"/>
        </w:rPr>
        <w:t>”</w:t>
      </w:r>
      <w:r>
        <w:rPr>
          <w:rFonts w:hint="eastAsia" w:eastAsia="方正仿宋_GBK"/>
          <w:color w:val="000000"/>
          <w:sz w:val="24"/>
          <w:shd w:val="clear" w:color="auto" w:fill="FFFFFF"/>
        </w:rPr>
        <w:t>（以下简称</w:t>
      </w:r>
      <w:r>
        <w:rPr>
          <w:rFonts w:eastAsia="方正仿宋_GBK"/>
          <w:color w:val="000000"/>
          <w:sz w:val="24"/>
          <w:shd w:val="clear" w:color="auto" w:fill="FFFFFF"/>
        </w:rPr>
        <w:t>“</w:t>
      </w:r>
      <w:r>
        <w:rPr>
          <w:rFonts w:hint="eastAsia" w:eastAsia="方正仿宋_GBK"/>
          <w:color w:val="000000"/>
          <w:sz w:val="24"/>
          <w:shd w:val="clear" w:color="auto" w:fill="FFFFFF"/>
        </w:rPr>
        <w:t>管理系统</w:t>
      </w:r>
      <w:r>
        <w:rPr>
          <w:rFonts w:eastAsia="方正仿宋_GBK"/>
          <w:color w:val="000000"/>
          <w:sz w:val="24"/>
          <w:shd w:val="clear" w:color="auto" w:fill="FFFFFF"/>
        </w:rPr>
        <w:t>”</w:t>
      </w:r>
      <w:r>
        <w:rPr>
          <w:rFonts w:hint="eastAsia" w:eastAsia="方正仿宋_GBK"/>
          <w:color w:val="000000"/>
          <w:sz w:val="24"/>
          <w:shd w:val="clear" w:color="auto" w:fill="FFFFFF"/>
        </w:rPr>
        <w:t>）向企业注册所在地设区</w:t>
      </w:r>
      <w:r>
        <w:rPr>
          <w:rFonts w:hint="eastAsia" w:eastAsia="方正仿宋_GBK"/>
          <w:color w:val="000000"/>
          <w:sz w:val="24"/>
        </w:rPr>
        <w:t>市燃气主管部门</w:t>
      </w:r>
      <w:r>
        <w:rPr>
          <w:rFonts w:hint="eastAsia" w:eastAsia="方正仿宋_GBK"/>
          <w:color w:val="000000"/>
          <w:sz w:val="24"/>
          <w:shd w:val="clear" w:color="auto" w:fill="FFFFFF"/>
        </w:rPr>
        <w:t>提出报名申请，具体操作步骤详见</w:t>
      </w:r>
      <w:r>
        <w:rPr>
          <w:rFonts w:eastAsia="方正仿宋_GBK"/>
          <w:color w:val="000000"/>
          <w:sz w:val="24"/>
          <w:shd w:val="clear" w:color="auto" w:fill="FFFFFF"/>
        </w:rPr>
        <w:t>“</w:t>
      </w:r>
      <w:r>
        <w:rPr>
          <w:rFonts w:hint="eastAsia" w:eastAsia="方正仿宋_GBK"/>
          <w:color w:val="000000"/>
          <w:sz w:val="24"/>
          <w:shd w:val="clear" w:color="auto" w:fill="FFFFFF"/>
        </w:rPr>
        <w:t>下载中心</w:t>
      </w:r>
      <w:r>
        <w:rPr>
          <w:rFonts w:eastAsia="方正仿宋_GBK"/>
          <w:color w:val="000000"/>
          <w:sz w:val="24"/>
          <w:shd w:val="clear" w:color="auto" w:fill="FFFFFF"/>
        </w:rPr>
        <w:t>”</w:t>
      </w:r>
      <w:r>
        <w:rPr>
          <w:rFonts w:hint="eastAsia" w:eastAsia="方正仿宋_GBK"/>
          <w:color w:val="000000"/>
          <w:sz w:val="24"/>
          <w:shd w:val="clear" w:color="auto" w:fill="FFFFFF"/>
        </w:rPr>
        <w:t>。</w:t>
      </w:r>
    </w:p>
    <w:p>
      <w:pPr>
        <w:spacing w:line="460" w:lineRule="exact"/>
        <w:ind w:firstLine="480" w:firstLineChars="200"/>
        <w:rPr>
          <w:rFonts w:eastAsia="方正仿宋_GBK"/>
          <w:color w:val="000000"/>
          <w:sz w:val="24"/>
          <w:shd w:val="clear" w:color="auto" w:fill="FFFFFF"/>
        </w:rPr>
      </w:pPr>
      <w:r>
        <w:rPr>
          <w:rFonts w:eastAsia="方正仿宋_GBK"/>
          <w:color w:val="000000"/>
          <w:sz w:val="24"/>
          <w:shd w:val="clear" w:color="auto" w:fill="FFFFFF"/>
        </w:rPr>
        <w:t>3. </w:t>
      </w:r>
      <w:r>
        <w:rPr>
          <w:rFonts w:hint="eastAsia" w:eastAsia="方正仿宋_GBK"/>
          <w:color w:val="000000"/>
          <w:sz w:val="24"/>
          <w:shd w:val="clear" w:color="auto" w:fill="FFFFFF"/>
        </w:rPr>
        <w:t>报名时间。</w:t>
      </w:r>
      <w:r>
        <w:rPr>
          <w:rFonts w:eastAsia="方正仿宋_GBK"/>
          <w:color w:val="000000"/>
          <w:sz w:val="24"/>
          <w:shd w:val="clear" w:color="auto" w:fill="FFFFFF"/>
        </w:rPr>
        <w:t>2017</w:t>
      </w:r>
      <w:r>
        <w:rPr>
          <w:rFonts w:hint="eastAsia" w:eastAsia="方正仿宋_GBK"/>
          <w:color w:val="000000"/>
          <w:sz w:val="24"/>
          <w:shd w:val="clear" w:color="auto" w:fill="FFFFFF"/>
        </w:rPr>
        <w:t>年度第一季度</w:t>
      </w:r>
      <w:r>
        <w:rPr>
          <w:rFonts w:hint="eastAsia" w:eastAsia="方正仿宋_GBK"/>
          <w:color w:val="000000"/>
          <w:sz w:val="24"/>
        </w:rPr>
        <w:t>网上报名时间：</w:t>
      </w:r>
      <w:r>
        <w:rPr>
          <w:rFonts w:eastAsia="方正仿宋_GBK"/>
          <w:color w:val="000000"/>
          <w:sz w:val="24"/>
        </w:rPr>
        <w:t>2</w:t>
      </w:r>
      <w:r>
        <w:rPr>
          <w:rFonts w:hint="eastAsia" w:eastAsia="方正仿宋_GBK"/>
          <w:color w:val="000000"/>
          <w:sz w:val="24"/>
        </w:rPr>
        <w:t>月</w:t>
      </w:r>
      <w:r>
        <w:rPr>
          <w:rFonts w:eastAsia="方正仿宋_GBK"/>
          <w:color w:val="000000"/>
          <w:sz w:val="24"/>
        </w:rPr>
        <w:t>13</w:t>
      </w:r>
      <w:r>
        <w:rPr>
          <w:rFonts w:hint="eastAsia" w:eastAsia="方正仿宋_GBK"/>
          <w:color w:val="000000"/>
          <w:sz w:val="24"/>
        </w:rPr>
        <w:t>日至</w:t>
      </w:r>
      <w:r>
        <w:rPr>
          <w:rFonts w:eastAsia="方正仿宋_GBK"/>
          <w:color w:val="000000"/>
          <w:sz w:val="24"/>
        </w:rPr>
        <w:t>3</w:t>
      </w:r>
      <w:r>
        <w:rPr>
          <w:rFonts w:hint="eastAsia" w:eastAsia="方正仿宋_GBK"/>
          <w:color w:val="000000"/>
          <w:sz w:val="24"/>
        </w:rPr>
        <w:t>月</w:t>
      </w:r>
      <w:r>
        <w:rPr>
          <w:rFonts w:eastAsia="方正仿宋_GBK"/>
          <w:color w:val="000000"/>
          <w:sz w:val="24"/>
        </w:rPr>
        <w:t>3</w:t>
      </w:r>
      <w:r>
        <w:rPr>
          <w:rFonts w:hint="eastAsia" w:eastAsia="方正仿宋_GBK"/>
          <w:color w:val="000000"/>
          <w:sz w:val="24"/>
        </w:rPr>
        <w:t>日。</w:t>
      </w:r>
    </w:p>
    <w:p>
      <w:pPr>
        <w:spacing w:line="460" w:lineRule="exact"/>
        <w:ind w:firstLine="480" w:firstLineChars="200"/>
        <w:rPr>
          <w:rFonts w:eastAsia="方正仿宋_GBK"/>
          <w:color w:val="000000"/>
          <w:sz w:val="24"/>
        </w:rPr>
      </w:pPr>
      <w:r>
        <w:rPr>
          <w:rFonts w:eastAsia="方正仿宋_GBK"/>
          <w:color w:val="000000"/>
          <w:sz w:val="24"/>
        </w:rPr>
        <w:t>4. </w:t>
      </w:r>
      <w:r>
        <w:rPr>
          <w:rFonts w:hint="eastAsia" w:eastAsia="方正仿宋_GBK"/>
          <w:color w:val="000000"/>
          <w:sz w:val="24"/>
        </w:rPr>
        <w:t>信息采集</w:t>
      </w:r>
      <w:r>
        <w:rPr>
          <w:rFonts w:hint="eastAsia" w:eastAsia="方正仿宋_GBK"/>
          <w:color w:val="000000"/>
          <w:sz w:val="24"/>
          <w:shd w:val="clear" w:color="auto" w:fill="FFFFFF"/>
        </w:rPr>
        <w:t>。</w:t>
      </w:r>
      <w:r>
        <w:rPr>
          <w:rFonts w:hint="eastAsia" w:eastAsia="方正仿宋_GBK"/>
          <w:color w:val="000000"/>
          <w:sz w:val="24"/>
        </w:rPr>
        <w:t>报名将采用二代身份证读卡器采集报考人员身份证信息，企业也可自行购置身份证读卡器完成身份证信息采集。</w:t>
      </w:r>
    </w:p>
    <w:p>
      <w:pPr>
        <w:spacing w:line="460" w:lineRule="exact"/>
        <w:ind w:firstLine="480" w:firstLineChars="200"/>
        <w:rPr>
          <w:rFonts w:eastAsia="方正仿宋_GBK"/>
          <w:color w:val="000000"/>
          <w:sz w:val="24"/>
        </w:rPr>
      </w:pPr>
      <w:r>
        <w:rPr>
          <w:rFonts w:eastAsia="方正仿宋_GBK"/>
          <w:color w:val="000000"/>
          <w:sz w:val="24"/>
        </w:rPr>
        <w:t>5.</w:t>
      </w:r>
      <w:r>
        <w:rPr>
          <w:rFonts w:hint="eastAsia" w:eastAsia="方正仿宋_GBK"/>
          <w:color w:val="000000"/>
          <w:sz w:val="24"/>
        </w:rPr>
        <w:t>报名资料。申报企业主要负责人、安全生产管理人员考核的报考人员须在</w:t>
      </w:r>
      <w:r>
        <w:rPr>
          <w:rFonts w:eastAsia="方正仿宋_GBK"/>
          <w:color w:val="000000"/>
          <w:sz w:val="24"/>
        </w:rPr>
        <w:t>“</w:t>
      </w:r>
      <w:r>
        <w:rPr>
          <w:rFonts w:hint="eastAsia" w:eastAsia="方正仿宋_GBK"/>
          <w:color w:val="000000"/>
          <w:sz w:val="24"/>
        </w:rPr>
        <w:t>管理系统</w:t>
      </w:r>
      <w:r>
        <w:rPr>
          <w:rFonts w:eastAsia="方正仿宋_GBK"/>
          <w:color w:val="000000"/>
          <w:sz w:val="24"/>
        </w:rPr>
        <w:t>”</w:t>
      </w:r>
      <w:r>
        <w:rPr>
          <w:rFonts w:hint="eastAsia" w:eastAsia="方正仿宋_GBK"/>
          <w:color w:val="000000"/>
          <w:sz w:val="24"/>
        </w:rPr>
        <w:t>内上传相关材料扫描件。</w:t>
      </w:r>
    </w:p>
    <w:p>
      <w:pPr>
        <w:spacing w:line="460" w:lineRule="exact"/>
        <w:ind w:firstLine="480" w:firstLineChars="200"/>
        <w:rPr>
          <w:rFonts w:eastAsia="方正仿宋_GBK"/>
          <w:color w:val="000000"/>
          <w:sz w:val="24"/>
          <w:shd w:val="clear" w:color="auto" w:fill="FFFFFF"/>
        </w:rPr>
      </w:pPr>
      <w:r>
        <w:rPr>
          <w:rFonts w:hint="eastAsia" w:eastAsia="方正仿宋_GBK"/>
          <w:color w:val="000000"/>
          <w:sz w:val="24"/>
        </w:rPr>
        <w:t>（</w:t>
      </w:r>
      <w:r>
        <w:rPr>
          <w:rFonts w:eastAsia="方正仿宋_GBK"/>
          <w:color w:val="000000"/>
          <w:sz w:val="24"/>
        </w:rPr>
        <w:t>1</w:t>
      </w:r>
      <w:r>
        <w:rPr>
          <w:rFonts w:hint="eastAsia" w:eastAsia="方正仿宋_GBK"/>
          <w:color w:val="000000"/>
          <w:sz w:val="24"/>
        </w:rPr>
        <w:t>）</w:t>
      </w:r>
      <w:r>
        <w:rPr>
          <w:rFonts w:hint="eastAsia" w:eastAsia="方正仿宋_GBK"/>
          <w:color w:val="000000"/>
          <w:sz w:val="24"/>
          <w:shd w:val="clear" w:color="auto" w:fill="FFFFFF"/>
        </w:rPr>
        <w:t>企业主要负责人。企业法人代表（董事长）须上传企业营业执照扫描件，企业总经理（总裁）须上传企业任命书或劳动合同扫描件。</w:t>
      </w:r>
    </w:p>
    <w:p>
      <w:pPr>
        <w:spacing w:line="460" w:lineRule="exact"/>
        <w:ind w:firstLine="480" w:firstLineChars="200"/>
        <w:rPr>
          <w:rFonts w:eastAsia="方正仿宋_GBK"/>
          <w:color w:val="000000"/>
          <w:sz w:val="24"/>
        </w:rPr>
      </w:pPr>
      <w:r>
        <w:rPr>
          <w:rFonts w:hint="eastAsia" w:eastAsia="方正仿宋_GBK"/>
          <w:color w:val="000000"/>
          <w:sz w:val="24"/>
        </w:rPr>
        <w:t>（</w:t>
      </w:r>
      <w:r>
        <w:rPr>
          <w:rFonts w:eastAsia="方正仿宋_GBK"/>
          <w:color w:val="000000"/>
          <w:sz w:val="24"/>
        </w:rPr>
        <w:t>2</w:t>
      </w:r>
      <w:r>
        <w:rPr>
          <w:rFonts w:hint="eastAsia" w:eastAsia="方正仿宋_GBK"/>
          <w:color w:val="000000"/>
          <w:sz w:val="24"/>
        </w:rPr>
        <w:t>）</w:t>
      </w:r>
      <w:r>
        <w:rPr>
          <w:rFonts w:hint="eastAsia" w:eastAsia="方正仿宋_GBK"/>
          <w:color w:val="000000"/>
          <w:sz w:val="24"/>
          <w:shd w:val="clear" w:color="auto" w:fill="FFFFFF"/>
        </w:rPr>
        <w:t>安全生产管理人员。须上传企业任命书或劳动合同扫描件。</w:t>
      </w:r>
    </w:p>
    <w:p>
      <w:pPr>
        <w:spacing w:line="460" w:lineRule="exact"/>
        <w:ind w:firstLine="480" w:firstLineChars="200"/>
        <w:rPr>
          <w:rFonts w:eastAsia="方正仿宋_GBK"/>
          <w:color w:val="000000"/>
          <w:sz w:val="24"/>
        </w:rPr>
      </w:pPr>
      <w:r>
        <w:rPr>
          <w:rFonts w:hint="eastAsia" w:eastAsia="方正仿宋_GBK"/>
          <w:color w:val="000000"/>
          <w:sz w:val="24"/>
        </w:rPr>
        <w:t>各地燃气主管部门通过管理系统进行核验，发现问题及时纠正，确保报考人员数据准确有效。</w:t>
      </w:r>
    </w:p>
    <w:p>
      <w:pPr>
        <w:spacing w:line="460" w:lineRule="exact"/>
        <w:ind w:firstLine="480" w:firstLineChars="200"/>
        <w:rPr>
          <w:rFonts w:eastAsia="方正仿宋_GBK"/>
          <w:color w:val="000000"/>
          <w:sz w:val="24"/>
          <w:shd w:val="clear" w:color="auto" w:fill="FFFFFF"/>
        </w:rPr>
      </w:pPr>
      <w:r>
        <w:rPr>
          <w:rFonts w:eastAsia="方正仿宋_GBK"/>
          <w:color w:val="000000"/>
          <w:sz w:val="24"/>
        </w:rPr>
        <w:t>6. </w:t>
      </w:r>
      <w:r>
        <w:rPr>
          <w:rFonts w:hint="eastAsia" w:eastAsia="方正仿宋_GBK"/>
          <w:color w:val="000000"/>
          <w:sz w:val="24"/>
        </w:rPr>
        <w:t>准考证打印。审核通过的报考人员，原则上可于考前</w:t>
      </w:r>
      <w:r>
        <w:rPr>
          <w:rFonts w:eastAsia="方正仿宋_GBK"/>
          <w:color w:val="000000"/>
          <w:sz w:val="24"/>
        </w:rPr>
        <w:t>5</w:t>
      </w:r>
      <w:r>
        <w:rPr>
          <w:rFonts w:hint="eastAsia" w:eastAsia="方正仿宋_GBK"/>
          <w:color w:val="000000"/>
          <w:sz w:val="24"/>
        </w:rPr>
        <w:t>个工作日内登录</w:t>
      </w:r>
      <w:r>
        <w:rPr>
          <w:rFonts w:eastAsia="方正仿宋_GBK"/>
          <w:color w:val="000000"/>
          <w:sz w:val="24"/>
          <w:shd w:val="clear" w:color="auto" w:fill="FFFFFF"/>
        </w:rPr>
        <w:t>“</w:t>
      </w:r>
      <w:r>
        <w:rPr>
          <w:rFonts w:hint="eastAsia" w:eastAsia="方正仿宋_GBK"/>
          <w:color w:val="000000"/>
          <w:sz w:val="24"/>
          <w:shd w:val="clear" w:color="auto" w:fill="FFFFFF"/>
        </w:rPr>
        <w:t>管理系统</w:t>
      </w:r>
      <w:r>
        <w:rPr>
          <w:rFonts w:eastAsia="方正仿宋_GBK"/>
          <w:color w:val="000000"/>
          <w:sz w:val="24"/>
          <w:shd w:val="clear" w:color="auto" w:fill="FFFFFF"/>
        </w:rPr>
        <w:t>”</w:t>
      </w:r>
      <w:r>
        <w:rPr>
          <w:rFonts w:hint="eastAsia" w:eastAsia="方正仿宋_GBK"/>
          <w:color w:val="000000"/>
          <w:sz w:val="24"/>
          <w:shd w:val="clear" w:color="auto" w:fill="FFFFFF"/>
        </w:rPr>
        <w:t>打印准考证。</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五、证书管理</w:t>
      </w:r>
    </w:p>
    <w:p>
      <w:pPr>
        <w:spacing w:line="460" w:lineRule="exact"/>
        <w:ind w:firstLine="482" w:firstLineChars="200"/>
        <w:rPr>
          <w:rFonts w:hint="eastAsia" w:eastAsia="方正仿宋_GBK"/>
          <w:b/>
          <w:color w:val="000000"/>
          <w:sz w:val="24"/>
        </w:rPr>
      </w:pPr>
      <w:r>
        <w:rPr>
          <w:rFonts w:eastAsia="方正仿宋_GBK"/>
          <w:b/>
          <w:color w:val="000000"/>
          <w:sz w:val="24"/>
        </w:rPr>
        <w:t>1.</w:t>
      </w:r>
      <w:r>
        <w:rPr>
          <w:rFonts w:hint="cs" w:eastAsia="方正仿宋_GBK"/>
          <w:b/>
          <w:color w:val="000000"/>
          <w:sz w:val="24"/>
          <w:cs/>
        </w:rPr>
        <w:t> </w:t>
      </w:r>
      <w:r>
        <w:rPr>
          <w:rFonts w:hint="eastAsia" w:eastAsia="方正仿宋_GBK"/>
          <w:b/>
          <w:color w:val="000000"/>
          <w:sz w:val="24"/>
        </w:rPr>
        <w:t>证书核发</w:t>
      </w:r>
    </w:p>
    <w:p>
      <w:pPr>
        <w:spacing w:line="460" w:lineRule="exact"/>
        <w:ind w:firstLine="480" w:firstLineChars="200"/>
        <w:rPr>
          <w:rFonts w:eastAsia="方正仿宋_GBK"/>
          <w:color w:val="000000"/>
          <w:sz w:val="24"/>
        </w:rPr>
      </w:pPr>
      <w:r>
        <w:rPr>
          <w:rFonts w:hint="eastAsia" w:eastAsia="方正仿宋_GBK"/>
          <w:color w:val="000000"/>
          <w:sz w:val="24"/>
        </w:rPr>
        <w:t>对于考核合格者，由省住房城乡建设厅核发住房城乡建设部监制的《燃气从业人员专业培训考核合格证书》，证书统一编码，全国通用。待条件具备后，将推行燃气从业人员专业培训考核合格电子证书。</w:t>
      </w:r>
    </w:p>
    <w:p>
      <w:pPr>
        <w:spacing w:line="460" w:lineRule="exact"/>
        <w:ind w:firstLine="482" w:firstLineChars="200"/>
        <w:rPr>
          <w:rFonts w:eastAsia="方正仿宋_GBK"/>
          <w:b/>
          <w:color w:val="000000"/>
          <w:sz w:val="24"/>
        </w:rPr>
      </w:pPr>
      <w:r>
        <w:rPr>
          <w:rFonts w:eastAsia="方正仿宋_GBK"/>
          <w:b/>
          <w:color w:val="000000"/>
          <w:sz w:val="24"/>
        </w:rPr>
        <w:t>2.</w:t>
      </w:r>
      <w:r>
        <w:rPr>
          <w:rFonts w:hint="cs" w:eastAsia="方正仿宋_GBK"/>
          <w:b/>
          <w:color w:val="000000"/>
          <w:sz w:val="24"/>
          <w:cs/>
        </w:rPr>
        <w:t> </w:t>
      </w:r>
      <w:r>
        <w:rPr>
          <w:rFonts w:hint="eastAsia" w:eastAsia="方正仿宋_GBK"/>
          <w:b/>
          <w:color w:val="000000"/>
          <w:sz w:val="24"/>
        </w:rPr>
        <w:t>证书复检</w:t>
      </w:r>
    </w:p>
    <w:p>
      <w:pPr>
        <w:spacing w:line="460" w:lineRule="exact"/>
        <w:ind w:firstLine="480" w:firstLineChars="200"/>
        <w:rPr>
          <w:rFonts w:eastAsia="方正仿宋_GBK"/>
          <w:color w:val="000000"/>
          <w:sz w:val="24"/>
        </w:rPr>
      </w:pPr>
      <w:r>
        <w:rPr>
          <w:rFonts w:hint="eastAsia" w:eastAsia="方正仿宋_GBK"/>
          <w:color w:val="000000"/>
          <w:sz w:val="24"/>
        </w:rPr>
        <w:t>证书每</w:t>
      </w:r>
      <w:r>
        <w:rPr>
          <w:rFonts w:eastAsia="方正仿宋_GBK"/>
          <w:color w:val="000000"/>
          <w:sz w:val="24"/>
        </w:rPr>
        <w:t>5</w:t>
      </w:r>
      <w:r>
        <w:rPr>
          <w:rFonts w:hint="eastAsia" w:eastAsia="方正仿宋_GBK"/>
          <w:color w:val="000000"/>
          <w:sz w:val="24"/>
        </w:rPr>
        <w:t>年复检一次，持证人员在岗履职情况较好，履职期间未导致安全责任事故且无违法记录，并参加继续教育不少于</w:t>
      </w:r>
      <w:r>
        <w:rPr>
          <w:rFonts w:eastAsia="方正仿宋_GBK"/>
          <w:color w:val="000000"/>
          <w:sz w:val="24"/>
        </w:rPr>
        <w:t>30</w:t>
      </w:r>
      <w:r>
        <w:rPr>
          <w:rFonts w:hint="eastAsia" w:eastAsia="方正仿宋_GBK"/>
          <w:color w:val="000000"/>
          <w:sz w:val="24"/>
        </w:rPr>
        <w:t>学时，可于专业培训考核合格证书复检日期前</w:t>
      </w:r>
      <w:r>
        <w:rPr>
          <w:rFonts w:eastAsia="方正仿宋_GBK"/>
          <w:color w:val="000000"/>
          <w:sz w:val="24"/>
        </w:rPr>
        <w:t>60</w:t>
      </w:r>
      <w:r>
        <w:rPr>
          <w:rFonts w:hint="eastAsia" w:eastAsia="方正仿宋_GBK"/>
          <w:color w:val="000000"/>
          <w:sz w:val="24"/>
        </w:rPr>
        <w:t>个工作日内，由所在企业通过</w:t>
      </w:r>
      <w:r>
        <w:rPr>
          <w:rFonts w:eastAsia="方正仿宋_GBK"/>
          <w:color w:val="000000"/>
          <w:sz w:val="24"/>
        </w:rPr>
        <w:t>“</w:t>
      </w:r>
      <w:r>
        <w:rPr>
          <w:rFonts w:hint="eastAsia" w:eastAsia="方正仿宋_GBK"/>
          <w:color w:val="000000"/>
          <w:sz w:val="24"/>
        </w:rPr>
        <w:t>管理系统</w:t>
      </w:r>
      <w:r>
        <w:rPr>
          <w:rFonts w:eastAsia="方正仿宋_GBK"/>
          <w:color w:val="000000"/>
          <w:sz w:val="24"/>
        </w:rPr>
        <w:t>”</w:t>
      </w:r>
      <w:r>
        <w:rPr>
          <w:rFonts w:hint="eastAsia" w:eastAsia="方正仿宋_GBK"/>
          <w:color w:val="000000"/>
          <w:sz w:val="24"/>
        </w:rPr>
        <w:t>向</w:t>
      </w:r>
      <w:r>
        <w:rPr>
          <w:rFonts w:hint="eastAsia" w:eastAsia="方正仿宋_GBK"/>
          <w:color w:val="000000"/>
          <w:sz w:val="24"/>
          <w:shd w:val="clear" w:color="auto" w:fill="FFFFFF"/>
        </w:rPr>
        <w:t>省级</w:t>
      </w:r>
      <w:r>
        <w:rPr>
          <w:rFonts w:hint="eastAsia" w:eastAsia="方正仿宋_GBK"/>
          <w:color w:val="000000"/>
          <w:sz w:val="24"/>
        </w:rPr>
        <w:t>燃气主管部门提出申请，省级燃气主管部门应在收到核验申请</w:t>
      </w:r>
      <w:r>
        <w:rPr>
          <w:rFonts w:eastAsia="方正仿宋_GBK"/>
          <w:color w:val="000000"/>
          <w:sz w:val="24"/>
        </w:rPr>
        <w:t>30</w:t>
      </w:r>
      <w:r>
        <w:rPr>
          <w:rFonts w:hint="eastAsia" w:eastAsia="方正仿宋_GBK"/>
          <w:color w:val="000000"/>
          <w:sz w:val="24"/>
        </w:rPr>
        <w:t>个工作日内作出核验意见。未经复检或核验不合格者，将被标注</w:t>
      </w:r>
      <w:r>
        <w:rPr>
          <w:rFonts w:eastAsia="方正仿宋_GBK"/>
          <w:color w:val="000000"/>
          <w:sz w:val="24"/>
        </w:rPr>
        <w:t>“</w:t>
      </w:r>
      <w:r>
        <w:rPr>
          <w:rFonts w:hint="eastAsia" w:eastAsia="方正仿宋_GBK"/>
          <w:color w:val="000000"/>
          <w:sz w:val="24"/>
        </w:rPr>
        <w:t>失效</w:t>
      </w:r>
      <w:r>
        <w:rPr>
          <w:rFonts w:eastAsia="方正仿宋_GBK"/>
          <w:color w:val="000000"/>
          <w:sz w:val="24"/>
        </w:rPr>
        <w:t>”</w:t>
      </w:r>
      <w:r>
        <w:rPr>
          <w:rFonts w:hint="eastAsia" w:eastAsia="方正仿宋_GBK"/>
          <w:color w:val="000000"/>
          <w:sz w:val="24"/>
        </w:rPr>
        <w:t>，相关证书信息可通过</w:t>
      </w:r>
      <w:r>
        <w:rPr>
          <w:rFonts w:eastAsia="方正仿宋_GBK"/>
          <w:color w:val="000000"/>
          <w:sz w:val="24"/>
        </w:rPr>
        <w:t>“</w:t>
      </w:r>
      <w:r>
        <w:rPr>
          <w:rFonts w:hint="eastAsia" w:eastAsia="方正仿宋_GBK"/>
          <w:color w:val="000000"/>
          <w:sz w:val="24"/>
        </w:rPr>
        <w:t>管理系统</w:t>
      </w:r>
      <w:r>
        <w:rPr>
          <w:rFonts w:eastAsia="方正仿宋_GBK"/>
          <w:color w:val="000000"/>
          <w:sz w:val="24"/>
        </w:rPr>
        <w:t>”</w:t>
      </w:r>
      <w:r>
        <w:rPr>
          <w:rFonts w:hint="eastAsia" w:eastAsia="方正仿宋_GBK"/>
          <w:color w:val="000000"/>
          <w:sz w:val="24"/>
        </w:rPr>
        <w:t>查询。</w:t>
      </w:r>
    </w:p>
    <w:p>
      <w:pPr>
        <w:tabs>
          <w:tab w:val="left" w:pos="1080"/>
        </w:tabs>
        <w:spacing w:line="460" w:lineRule="exact"/>
        <w:ind w:firstLine="482" w:firstLineChars="200"/>
        <w:rPr>
          <w:rFonts w:eastAsia="方正仿宋_GBK"/>
          <w:b/>
          <w:color w:val="000000"/>
          <w:sz w:val="24"/>
        </w:rPr>
      </w:pPr>
      <w:r>
        <w:rPr>
          <w:rFonts w:eastAsia="方正仿宋_GBK"/>
          <w:b/>
          <w:color w:val="000000"/>
          <w:sz w:val="24"/>
        </w:rPr>
        <w:t>3.</w:t>
      </w:r>
      <w:r>
        <w:rPr>
          <w:rFonts w:hint="cs" w:eastAsia="方正仿宋_GBK"/>
          <w:b/>
          <w:color w:val="000000"/>
          <w:sz w:val="24"/>
          <w:cs/>
        </w:rPr>
        <w:t> </w:t>
      </w:r>
      <w:r>
        <w:rPr>
          <w:rFonts w:hint="eastAsia" w:eastAsia="方正仿宋_GBK"/>
          <w:b/>
          <w:color w:val="000000"/>
          <w:sz w:val="24"/>
        </w:rPr>
        <w:t>证书变更</w:t>
      </w:r>
    </w:p>
    <w:p>
      <w:pPr>
        <w:tabs>
          <w:tab w:val="left" w:pos="1080"/>
        </w:tabs>
        <w:spacing w:line="460" w:lineRule="exact"/>
        <w:ind w:firstLine="480" w:firstLineChars="200"/>
        <w:rPr>
          <w:rFonts w:eastAsia="方正仿宋_GBK"/>
          <w:color w:val="000000"/>
          <w:sz w:val="24"/>
        </w:rPr>
      </w:pPr>
      <w:r>
        <w:rPr>
          <w:rFonts w:hint="eastAsia" w:eastAsia="方正仿宋_GBK"/>
          <w:color w:val="000000"/>
          <w:sz w:val="24"/>
        </w:rPr>
        <w:t>（</w:t>
      </w:r>
      <w:r>
        <w:rPr>
          <w:rFonts w:eastAsia="方正仿宋_GBK"/>
          <w:color w:val="000000"/>
          <w:sz w:val="24"/>
        </w:rPr>
        <w:t>1</w:t>
      </w:r>
      <w:r>
        <w:rPr>
          <w:rFonts w:hint="eastAsia" w:eastAsia="方正仿宋_GBK"/>
          <w:color w:val="000000"/>
          <w:sz w:val="24"/>
        </w:rPr>
        <w:t>）网上申报。由所在企业登录</w:t>
      </w:r>
      <w:r>
        <w:rPr>
          <w:rFonts w:eastAsia="方正仿宋_GBK"/>
          <w:color w:val="000000"/>
          <w:sz w:val="24"/>
        </w:rPr>
        <w:t>“</w:t>
      </w:r>
      <w:r>
        <w:rPr>
          <w:rFonts w:hint="eastAsia" w:eastAsia="方正仿宋_GBK"/>
          <w:color w:val="000000"/>
          <w:sz w:val="24"/>
        </w:rPr>
        <w:t>管理系统</w:t>
      </w:r>
      <w:r>
        <w:rPr>
          <w:rFonts w:eastAsia="方正仿宋_GBK"/>
          <w:color w:val="000000"/>
          <w:sz w:val="24"/>
        </w:rPr>
        <w:t>”</w:t>
      </w:r>
      <w:r>
        <w:rPr>
          <w:rFonts w:hint="eastAsia" w:eastAsia="方正仿宋_GBK"/>
          <w:color w:val="000000"/>
          <w:sz w:val="24"/>
        </w:rPr>
        <w:t>进行申请并完成相关资料上传。</w:t>
      </w:r>
    </w:p>
    <w:p>
      <w:pPr>
        <w:tabs>
          <w:tab w:val="left" w:pos="1080"/>
        </w:tabs>
        <w:spacing w:line="460" w:lineRule="exact"/>
        <w:ind w:firstLine="480" w:firstLineChars="200"/>
        <w:rPr>
          <w:rFonts w:eastAsia="方正仿宋_GBK"/>
          <w:color w:val="000000"/>
          <w:sz w:val="24"/>
        </w:rPr>
      </w:pPr>
      <w:r>
        <w:rPr>
          <w:rFonts w:hint="eastAsia" w:ascii="Times New Roman" w:hAnsi="Times New Roman" w:cs="宋体"/>
          <w:color w:val="000000"/>
          <w:sz w:val="24"/>
        </w:rPr>
        <w:t>①</w:t>
      </w:r>
      <w:r>
        <w:rPr>
          <w:rFonts w:hint="eastAsia" w:eastAsia="方正仿宋_GBK"/>
          <w:color w:val="000000"/>
          <w:sz w:val="24"/>
        </w:rPr>
        <w:t>单位变更。上传身份证（正反）、与原企业解除劳动关系的证明、与新企业签订的聘用劳动合同等原件扫描件，并上报数据。</w:t>
      </w:r>
    </w:p>
    <w:p>
      <w:pPr>
        <w:tabs>
          <w:tab w:val="left" w:pos="1080"/>
        </w:tabs>
        <w:spacing w:line="460" w:lineRule="exact"/>
        <w:ind w:firstLine="480" w:firstLineChars="200"/>
        <w:rPr>
          <w:rFonts w:eastAsia="方正仿宋_GBK"/>
          <w:color w:val="000000"/>
          <w:sz w:val="24"/>
        </w:rPr>
      </w:pPr>
      <w:r>
        <w:rPr>
          <w:rFonts w:hint="eastAsia" w:ascii="Times New Roman" w:hAnsi="Times New Roman" w:cs="宋体"/>
          <w:color w:val="000000"/>
          <w:sz w:val="24"/>
        </w:rPr>
        <w:t>②</w:t>
      </w:r>
      <w:r>
        <w:rPr>
          <w:rFonts w:hint="eastAsia" w:eastAsia="方正仿宋_GBK"/>
          <w:color w:val="000000"/>
          <w:sz w:val="24"/>
        </w:rPr>
        <w:t>企业名称变更。上传企业的工商更名通知单或者营业执照原件扫描件，并上报数据。</w:t>
      </w:r>
    </w:p>
    <w:p>
      <w:pPr>
        <w:tabs>
          <w:tab w:val="left" w:pos="1080"/>
        </w:tabs>
        <w:spacing w:line="460" w:lineRule="exact"/>
        <w:ind w:firstLine="480" w:firstLineChars="200"/>
        <w:rPr>
          <w:rFonts w:eastAsia="方正仿宋_GBK"/>
          <w:color w:val="000000"/>
          <w:sz w:val="24"/>
        </w:rPr>
      </w:pPr>
      <w:r>
        <w:rPr>
          <w:rFonts w:hint="eastAsia" w:ascii="Times New Roman" w:hAnsi="Times New Roman" w:cs="宋体"/>
          <w:color w:val="000000"/>
          <w:sz w:val="24"/>
        </w:rPr>
        <w:t>③</w:t>
      </w:r>
      <w:r>
        <w:rPr>
          <w:rFonts w:hint="eastAsia" w:eastAsia="方正仿宋_GBK"/>
          <w:color w:val="000000"/>
          <w:sz w:val="24"/>
        </w:rPr>
        <w:t>自然情况变更。上传从业人员变更后的身份证明或其他有效证明材料原件扫描件，并上报数据。</w:t>
      </w:r>
    </w:p>
    <w:p>
      <w:pPr>
        <w:tabs>
          <w:tab w:val="left" w:pos="1080"/>
        </w:tabs>
        <w:spacing w:line="460" w:lineRule="exact"/>
        <w:ind w:firstLine="480" w:firstLineChars="200"/>
        <w:rPr>
          <w:rFonts w:eastAsia="方正仿宋_GBK"/>
          <w:color w:val="000000"/>
          <w:sz w:val="24"/>
        </w:rPr>
      </w:pPr>
      <w:r>
        <w:rPr>
          <w:rFonts w:hint="eastAsia" w:eastAsia="方正仿宋_GBK"/>
          <w:color w:val="000000"/>
          <w:sz w:val="24"/>
        </w:rPr>
        <w:t>（</w:t>
      </w:r>
      <w:r>
        <w:rPr>
          <w:rFonts w:eastAsia="方正仿宋_GBK"/>
          <w:color w:val="000000"/>
          <w:sz w:val="24"/>
        </w:rPr>
        <w:t>2</w:t>
      </w:r>
      <w:r>
        <w:rPr>
          <w:rFonts w:hint="eastAsia" w:eastAsia="方正仿宋_GBK"/>
          <w:color w:val="000000"/>
          <w:sz w:val="24"/>
        </w:rPr>
        <w:t>）省级校验。</w:t>
      </w:r>
      <w:r>
        <w:rPr>
          <w:rFonts w:hint="eastAsia" w:eastAsia="方正仿宋_GBK"/>
          <w:color w:val="000000"/>
          <w:sz w:val="24"/>
          <w:shd w:val="clear" w:color="auto" w:fill="FFFFFF"/>
        </w:rPr>
        <w:t>省级</w:t>
      </w:r>
      <w:r>
        <w:rPr>
          <w:rFonts w:hint="eastAsia" w:eastAsia="方正仿宋_GBK"/>
          <w:color w:val="000000"/>
          <w:sz w:val="24"/>
        </w:rPr>
        <w:t>燃气主管部门在规定的时效内，在</w:t>
      </w:r>
      <w:r>
        <w:rPr>
          <w:rFonts w:eastAsia="方正仿宋_GBK"/>
          <w:color w:val="000000"/>
          <w:sz w:val="24"/>
        </w:rPr>
        <w:t>“</w:t>
      </w:r>
      <w:r>
        <w:rPr>
          <w:rFonts w:hint="eastAsia" w:eastAsia="方正仿宋_GBK"/>
          <w:color w:val="000000"/>
          <w:sz w:val="24"/>
        </w:rPr>
        <w:t>管理系统</w:t>
      </w:r>
      <w:r>
        <w:rPr>
          <w:rFonts w:eastAsia="方正仿宋_GBK"/>
          <w:color w:val="000000"/>
          <w:sz w:val="24"/>
        </w:rPr>
        <w:t>”</w:t>
      </w:r>
      <w:r>
        <w:rPr>
          <w:rFonts w:hint="eastAsia" w:eastAsia="方正仿宋_GBK"/>
          <w:color w:val="000000"/>
          <w:sz w:val="24"/>
        </w:rPr>
        <w:t>对符合变更要求的申请人数据进行校验。</w:t>
      </w:r>
    </w:p>
    <w:p>
      <w:pPr>
        <w:spacing w:line="460" w:lineRule="exact"/>
        <w:ind w:firstLine="482" w:firstLineChars="200"/>
        <w:rPr>
          <w:rFonts w:eastAsia="方正仿宋_GBK"/>
          <w:b/>
          <w:color w:val="000000"/>
          <w:sz w:val="24"/>
        </w:rPr>
      </w:pPr>
      <w:r>
        <w:rPr>
          <w:rFonts w:eastAsia="方正仿宋_GBK"/>
          <w:b/>
          <w:color w:val="000000"/>
          <w:sz w:val="24"/>
        </w:rPr>
        <w:t>4.</w:t>
      </w:r>
      <w:r>
        <w:rPr>
          <w:rFonts w:hint="cs" w:eastAsia="方正仿宋_GBK"/>
          <w:b/>
          <w:color w:val="000000"/>
          <w:sz w:val="24"/>
          <w:cs/>
        </w:rPr>
        <w:t> </w:t>
      </w:r>
      <w:r>
        <w:rPr>
          <w:rFonts w:hint="eastAsia" w:eastAsia="方正仿宋_GBK"/>
          <w:b/>
          <w:color w:val="000000"/>
          <w:sz w:val="24"/>
        </w:rPr>
        <w:t>证书撤销</w:t>
      </w:r>
    </w:p>
    <w:p>
      <w:pPr>
        <w:spacing w:line="460" w:lineRule="exact"/>
        <w:ind w:firstLine="480" w:firstLineChars="200"/>
        <w:rPr>
          <w:rFonts w:eastAsia="方正仿宋_GBK"/>
          <w:color w:val="000000"/>
          <w:sz w:val="24"/>
        </w:rPr>
      </w:pPr>
      <w:r>
        <w:rPr>
          <w:rFonts w:hint="eastAsia" w:eastAsia="方正仿宋_GBK"/>
          <w:color w:val="000000"/>
          <w:sz w:val="24"/>
        </w:rPr>
        <w:t>经核实，有以下情形之一的，</w:t>
      </w:r>
      <w:r>
        <w:rPr>
          <w:rFonts w:hint="eastAsia" w:eastAsia="方正仿宋_GBK"/>
          <w:color w:val="000000"/>
          <w:sz w:val="24"/>
          <w:shd w:val="clear" w:color="auto" w:fill="FFFFFF"/>
        </w:rPr>
        <w:t>省级</w:t>
      </w:r>
      <w:r>
        <w:rPr>
          <w:rFonts w:hint="eastAsia" w:eastAsia="方正仿宋_GBK"/>
          <w:color w:val="000000"/>
          <w:sz w:val="24"/>
        </w:rPr>
        <w:t>燃气主管部门在</w:t>
      </w:r>
      <w:r>
        <w:rPr>
          <w:rFonts w:eastAsia="方正仿宋_GBK"/>
          <w:color w:val="000000"/>
          <w:sz w:val="24"/>
        </w:rPr>
        <w:t>“</w:t>
      </w:r>
      <w:r>
        <w:rPr>
          <w:rFonts w:hint="eastAsia" w:eastAsia="方正仿宋_GBK"/>
          <w:color w:val="000000"/>
          <w:sz w:val="24"/>
          <w:shd w:val="clear" w:color="auto" w:fill="FFFFFF"/>
        </w:rPr>
        <w:t>管理系统</w:t>
      </w:r>
      <w:r>
        <w:rPr>
          <w:rFonts w:eastAsia="方正仿宋_GBK"/>
          <w:color w:val="000000"/>
          <w:sz w:val="24"/>
        </w:rPr>
        <w:t>”</w:t>
      </w:r>
      <w:r>
        <w:rPr>
          <w:rFonts w:hint="eastAsia" w:eastAsia="方正仿宋_GBK"/>
          <w:color w:val="000000"/>
          <w:sz w:val="24"/>
        </w:rPr>
        <w:t>内撤销其信息并回收证书。</w:t>
      </w:r>
    </w:p>
    <w:p>
      <w:pPr>
        <w:spacing w:line="460" w:lineRule="exact"/>
        <w:ind w:firstLine="480" w:firstLineChars="200"/>
        <w:rPr>
          <w:rFonts w:eastAsia="方正仿宋_GBK"/>
          <w:color w:val="000000"/>
          <w:sz w:val="24"/>
        </w:rPr>
      </w:pPr>
      <w:r>
        <w:rPr>
          <w:rFonts w:hint="eastAsia" w:eastAsia="方正仿宋_GBK"/>
          <w:color w:val="000000"/>
          <w:sz w:val="24"/>
        </w:rPr>
        <w:t>（</w:t>
      </w:r>
      <w:r>
        <w:rPr>
          <w:rFonts w:eastAsia="方正仿宋_GBK"/>
          <w:color w:val="000000"/>
          <w:sz w:val="24"/>
        </w:rPr>
        <w:t>1</w:t>
      </w:r>
      <w:r>
        <w:rPr>
          <w:rFonts w:hint="eastAsia" w:eastAsia="方正仿宋_GBK"/>
          <w:color w:val="000000"/>
          <w:sz w:val="24"/>
        </w:rPr>
        <w:t>）通过不正当手段获得证书；</w:t>
      </w:r>
    </w:p>
    <w:p>
      <w:pPr>
        <w:spacing w:line="460" w:lineRule="exact"/>
        <w:ind w:firstLine="480" w:firstLineChars="200"/>
        <w:rPr>
          <w:rFonts w:eastAsia="方正仿宋_GBK"/>
          <w:color w:val="000000"/>
          <w:sz w:val="24"/>
        </w:rPr>
      </w:pPr>
      <w:r>
        <w:rPr>
          <w:rFonts w:hint="eastAsia" w:eastAsia="方正仿宋_GBK"/>
          <w:color w:val="000000"/>
          <w:sz w:val="24"/>
        </w:rPr>
        <w:t>（</w:t>
      </w:r>
      <w:r>
        <w:rPr>
          <w:rFonts w:eastAsia="方正仿宋_GBK"/>
          <w:color w:val="000000"/>
          <w:sz w:val="24"/>
        </w:rPr>
        <w:t>2</w:t>
      </w:r>
      <w:r>
        <w:rPr>
          <w:rFonts w:hint="eastAsia" w:eastAsia="方正仿宋_GBK"/>
          <w:color w:val="000000"/>
          <w:sz w:val="24"/>
        </w:rPr>
        <w:t>）发生重大安全责任事故；</w:t>
      </w:r>
    </w:p>
    <w:p>
      <w:pPr>
        <w:spacing w:line="460" w:lineRule="exact"/>
        <w:ind w:firstLine="480" w:firstLineChars="200"/>
        <w:rPr>
          <w:rFonts w:eastAsia="方正仿宋_GBK"/>
          <w:color w:val="000000"/>
          <w:sz w:val="24"/>
        </w:rPr>
      </w:pPr>
      <w:r>
        <w:rPr>
          <w:rFonts w:hint="eastAsia" w:eastAsia="方正仿宋_GBK"/>
          <w:color w:val="000000"/>
          <w:sz w:val="24"/>
        </w:rPr>
        <w:t>（</w:t>
      </w:r>
      <w:r>
        <w:rPr>
          <w:rFonts w:eastAsia="方正仿宋_GBK"/>
          <w:color w:val="000000"/>
          <w:sz w:val="24"/>
        </w:rPr>
        <w:t>3</w:t>
      </w:r>
      <w:r>
        <w:rPr>
          <w:rFonts w:hint="eastAsia" w:eastAsia="方正仿宋_GBK"/>
          <w:color w:val="000000"/>
          <w:sz w:val="24"/>
        </w:rPr>
        <w:t>）受刑事处罚或严重违反职业道德造成恶劣影响的。</w:t>
      </w:r>
    </w:p>
    <w:p>
      <w:pPr>
        <w:spacing w:line="460" w:lineRule="exact"/>
        <w:ind w:firstLine="480" w:firstLineChars="200"/>
        <w:rPr>
          <w:rFonts w:eastAsia="方正仿宋_GBK"/>
          <w:b/>
          <w:color w:val="000000"/>
          <w:sz w:val="24"/>
        </w:rPr>
      </w:pPr>
      <w:r>
        <w:rPr>
          <w:rFonts w:eastAsia="方正仿宋_GBK"/>
          <w:color w:val="000000"/>
          <w:sz w:val="24"/>
        </w:rPr>
        <w:t>5</w:t>
      </w:r>
      <w:r>
        <w:rPr>
          <w:rFonts w:eastAsia="方正仿宋_GBK"/>
          <w:b/>
          <w:color w:val="000000"/>
          <w:sz w:val="24"/>
        </w:rPr>
        <w:t>.</w:t>
      </w:r>
      <w:r>
        <w:rPr>
          <w:rFonts w:hint="cs" w:eastAsia="方正仿宋_GBK"/>
          <w:b/>
          <w:color w:val="000000"/>
          <w:sz w:val="24"/>
          <w:cs/>
        </w:rPr>
        <w:t> </w:t>
      </w:r>
      <w:r>
        <w:rPr>
          <w:rFonts w:hint="eastAsia" w:eastAsia="方正仿宋_GBK"/>
          <w:b/>
          <w:color w:val="000000"/>
          <w:sz w:val="24"/>
        </w:rPr>
        <w:t>证书注销</w:t>
      </w:r>
    </w:p>
    <w:p>
      <w:pPr>
        <w:spacing w:line="460" w:lineRule="exact"/>
        <w:ind w:firstLine="480" w:firstLineChars="200"/>
        <w:rPr>
          <w:rFonts w:eastAsia="方正仿宋_GBK"/>
          <w:color w:val="000000"/>
          <w:sz w:val="24"/>
        </w:rPr>
      </w:pPr>
      <w:r>
        <w:rPr>
          <w:rFonts w:hint="eastAsia" w:eastAsia="方正仿宋_GBK"/>
          <w:color w:val="000000"/>
          <w:sz w:val="24"/>
        </w:rPr>
        <w:t>经核实，有以下情形之一的，由所在企业在</w:t>
      </w:r>
      <w:r>
        <w:rPr>
          <w:rFonts w:eastAsia="方正仿宋_GBK"/>
          <w:color w:val="000000"/>
          <w:sz w:val="24"/>
        </w:rPr>
        <w:t>‘</w:t>
      </w:r>
      <w:r>
        <w:rPr>
          <w:rFonts w:hint="eastAsia" w:eastAsia="方正仿宋_GBK"/>
          <w:color w:val="000000"/>
          <w:sz w:val="24"/>
          <w:shd w:val="clear" w:color="auto" w:fill="FFFFFF"/>
        </w:rPr>
        <w:t>管理系统</w:t>
      </w:r>
      <w:r>
        <w:rPr>
          <w:rFonts w:eastAsia="方正仿宋_GBK"/>
          <w:color w:val="000000"/>
          <w:sz w:val="24"/>
        </w:rPr>
        <w:t>’</w:t>
      </w:r>
      <w:r>
        <w:rPr>
          <w:rFonts w:hint="eastAsia" w:eastAsia="方正仿宋_GBK"/>
          <w:color w:val="000000"/>
          <w:sz w:val="24"/>
        </w:rPr>
        <w:t>内提出申请，经</w:t>
      </w:r>
      <w:r>
        <w:rPr>
          <w:rFonts w:hint="eastAsia" w:eastAsia="方正仿宋_GBK"/>
          <w:color w:val="000000"/>
          <w:sz w:val="24"/>
          <w:shd w:val="clear" w:color="auto" w:fill="FFFFFF"/>
        </w:rPr>
        <w:t>省级</w:t>
      </w:r>
      <w:r>
        <w:rPr>
          <w:rFonts w:hint="eastAsia" w:eastAsia="方正仿宋_GBK"/>
          <w:color w:val="000000"/>
          <w:sz w:val="24"/>
        </w:rPr>
        <w:t>燃气主管部门核准。</w:t>
      </w:r>
    </w:p>
    <w:p>
      <w:pPr>
        <w:spacing w:line="460" w:lineRule="exact"/>
        <w:ind w:firstLine="480" w:firstLineChars="200"/>
        <w:rPr>
          <w:rFonts w:eastAsia="方正仿宋_GBK"/>
          <w:color w:val="000000"/>
          <w:sz w:val="24"/>
        </w:rPr>
      </w:pPr>
      <w:r>
        <w:rPr>
          <w:rFonts w:hint="eastAsia" w:eastAsia="方正仿宋_GBK"/>
          <w:color w:val="000000"/>
          <w:sz w:val="24"/>
        </w:rPr>
        <w:t>（</w:t>
      </w:r>
      <w:r>
        <w:rPr>
          <w:rFonts w:eastAsia="方正仿宋_GBK"/>
          <w:color w:val="000000"/>
          <w:sz w:val="24"/>
        </w:rPr>
        <w:t>1</w:t>
      </w:r>
      <w:r>
        <w:rPr>
          <w:rFonts w:hint="eastAsia" w:eastAsia="方正仿宋_GBK"/>
          <w:color w:val="000000"/>
          <w:sz w:val="24"/>
        </w:rPr>
        <w:t>）持证人主动要求注销的；</w:t>
      </w:r>
    </w:p>
    <w:p>
      <w:pPr>
        <w:spacing w:line="460" w:lineRule="exact"/>
        <w:ind w:firstLine="480" w:firstLineChars="200"/>
        <w:rPr>
          <w:rFonts w:eastAsia="方正仿宋_GBK"/>
          <w:color w:val="000000"/>
          <w:sz w:val="24"/>
        </w:rPr>
      </w:pPr>
      <w:r>
        <w:rPr>
          <w:rFonts w:hint="eastAsia" w:eastAsia="方正仿宋_GBK"/>
          <w:color w:val="000000"/>
          <w:sz w:val="24"/>
        </w:rPr>
        <w:t>（</w:t>
      </w:r>
      <w:r>
        <w:rPr>
          <w:rFonts w:eastAsia="方正仿宋_GBK"/>
          <w:color w:val="000000"/>
          <w:sz w:val="24"/>
        </w:rPr>
        <w:t>2</w:t>
      </w:r>
      <w:r>
        <w:rPr>
          <w:rFonts w:hint="eastAsia" w:eastAsia="方正仿宋_GBK"/>
          <w:color w:val="000000"/>
          <w:sz w:val="24"/>
        </w:rPr>
        <w:t>）证书依法吊销、被撤销的；</w:t>
      </w:r>
    </w:p>
    <w:p>
      <w:pPr>
        <w:spacing w:line="460" w:lineRule="exact"/>
        <w:ind w:firstLine="480" w:firstLineChars="200"/>
        <w:rPr>
          <w:rFonts w:eastAsia="方正仿宋_GBK"/>
          <w:color w:val="000000"/>
          <w:sz w:val="24"/>
        </w:rPr>
      </w:pPr>
      <w:r>
        <w:rPr>
          <w:rFonts w:hint="eastAsia" w:eastAsia="方正仿宋_GBK"/>
          <w:color w:val="000000"/>
          <w:sz w:val="24"/>
        </w:rPr>
        <w:t>（</w:t>
      </w:r>
      <w:r>
        <w:rPr>
          <w:rFonts w:eastAsia="方正仿宋_GBK"/>
          <w:color w:val="000000"/>
          <w:sz w:val="24"/>
        </w:rPr>
        <w:t>3</w:t>
      </w:r>
      <w:r>
        <w:rPr>
          <w:rFonts w:hint="eastAsia" w:eastAsia="方正仿宋_GBK"/>
          <w:color w:val="000000"/>
          <w:sz w:val="24"/>
        </w:rPr>
        <w:t>）法律、法规规定应当注销的其他情形。</w:t>
      </w:r>
    </w:p>
    <w:p>
      <w:pPr>
        <w:spacing w:line="460" w:lineRule="exact"/>
        <w:ind w:firstLine="482" w:firstLineChars="200"/>
        <w:rPr>
          <w:rFonts w:eastAsia="方正仿宋_GBK"/>
          <w:b/>
          <w:color w:val="000000"/>
          <w:sz w:val="24"/>
        </w:rPr>
      </w:pPr>
      <w:r>
        <w:rPr>
          <w:rFonts w:eastAsia="方正仿宋_GBK"/>
          <w:b/>
          <w:color w:val="000000"/>
          <w:sz w:val="24"/>
        </w:rPr>
        <w:t>6.</w:t>
      </w:r>
      <w:r>
        <w:rPr>
          <w:rFonts w:hint="cs" w:eastAsia="方正仿宋_GBK"/>
          <w:b/>
          <w:color w:val="000000"/>
          <w:sz w:val="24"/>
          <w:cs/>
        </w:rPr>
        <w:t> </w:t>
      </w:r>
      <w:r>
        <w:rPr>
          <w:rFonts w:hint="eastAsia" w:eastAsia="方正仿宋_GBK"/>
          <w:b/>
          <w:color w:val="000000"/>
          <w:sz w:val="24"/>
        </w:rPr>
        <w:t>证书补办</w:t>
      </w:r>
    </w:p>
    <w:p>
      <w:pPr>
        <w:spacing w:line="460" w:lineRule="exact"/>
        <w:ind w:firstLine="480" w:firstLineChars="200"/>
        <w:rPr>
          <w:rFonts w:eastAsia="方正仿宋_GBK"/>
          <w:color w:val="000000"/>
          <w:sz w:val="24"/>
        </w:rPr>
      </w:pPr>
      <w:r>
        <w:rPr>
          <w:rFonts w:hint="eastAsia" w:eastAsia="方正仿宋_GBK"/>
          <w:color w:val="000000"/>
          <w:sz w:val="24"/>
        </w:rPr>
        <w:t>因遗失证书的，通过</w:t>
      </w:r>
      <w:r>
        <w:rPr>
          <w:rFonts w:eastAsia="方正仿宋_GBK"/>
          <w:color w:val="000000"/>
          <w:sz w:val="24"/>
        </w:rPr>
        <w:t>“</w:t>
      </w:r>
      <w:r>
        <w:rPr>
          <w:rFonts w:hint="eastAsia" w:eastAsia="方正仿宋_GBK"/>
          <w:color w:val="000000"/>
          <w:sz w:val="24"/>
        </w:rPr>
        <w:t>管理系统</w:t>
      </w:r>
      <w:r>
        <w:rPr>
          <w:rFonts w:eastAsia="方正仿宋_GBK"/>
          <w:color w:val="000000"/>
          <w:sz w:val="24"/>
        </w:rPr>
        <w:t>”</w:t>
      </w:r>
      <w:r>
        <w:rPr>
          <w:rFonts w:hint="eastAsia" w:eastAsia="方正仿宋_GBK"/>
          <w:color w:val="000000"/>
          <w:sz w:val="24"/>
        </w:rPr>
        <w:t>扫描上传市级以上报纸刊登的遗失声明原件扫描件，</w:t>
      </w:r>
      <w:r>
        <w:rPr>
          <w:rFonts w:hint="eastAsia" w:eastAsia="方正仿宋_GBK"/>
          <w:color w:val="000000"/>
          <w:sz w:val="24"/>
          <w:shd w:val="clear" w:color="auto" w:fill="FFFFFF"/>
        </w:rPr>
        <w:t>省级</w:t>
      </w:r>
      <w:r>
        <w:rPr>
          <w:rFonts w:hint="eastAsia" w:eastAsia="方正仿宋_GBK"/>
          <w:color w:val="000000"/>
          <w:sz w:val="24"/>
        </w:rPr>
        <w:t>燃气主管部门在规定的时效内对数据进行校验。</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六、有关收费</w:t>
      </w:r>
    </w:p>
    <w:p>
      <w:pPr>
        <w:autoSpaceDE w:val="0"/>
        <w:autoSpaceDN w:val="0"/>
        <w:adjustRightInd w:val="0"/>
        <w:spacing w:line="460" w:lineRule="exact"/>
        <w:ind w:firstLine="480" w:firstLineChars="200"/>
        <w:jc w:val="left"/>
        <w:rPr>
          <w:rFonts w:hint="eastAsia" w:eastAsia="方正仿宋_GBK"/>
          <w:color w:val="000000"/>
          <w:kern w:val="0"/>
          <w:sz w:val="24"/>
        </w:rPr>
      </w:pPr>
      <w:r>
        <w:rPr>
          <w:rFonts w:hint="eastAsia" w:eastAsia="方正仿宋_GBK"/>
          <w:color w:val="000000"/>
          <w:kern w:val="0"/>
          <w:sz w:val="24"/>
        </w:rPr>
        <w:t>各地结合本地区的实际，根据实际培训学时数，合理确定收费标准并报当地物价部门备案。</w:t>
      </w:r>
    </w:p>
    <w:p>
      <w:pPr>
        <w:spacing w:line="460" w:lineRule="exact"/>
        <w:ind w:firstLine="480" w:firstLineChars="200"/>
        <w:rPr>
          <w:rFonts w:ascii="Times New Roman" w:eastAsia="黑体"/>
          <w:color w:val="000000"/>
          <w:sz w:val="24"/>
        </w:rPr>
      </w:pPr>
      <w:r>
        <w:rPr>
          <w:rFonts w:hint="eastAsia" w:ascii="Times New Roman" w:eastAsia="黑体"/>
          <w:color w:val="000000"/>
          <w:sz w:val="24"/>
        </w:rPr>
        <w:t>七、工作要求</w:t>
      </w:r>
    </w:p>
    <w:p>
      <w:pPr>
        <w:spacing w:line="460" w:lineRule="exact"/>
        <w:ind w:firstLine="480" w:firstLineChars="200"/>
        <w:rPr>
          <w:rFonts w:hint="eastAsia" w:eastAsia="方正仿宋_GBK"/>
          <w:color w:val="000000"/>
          <w:sz w:val="24"/>
        </w:rPr>
      </w:pPr>
      <w:r>
        <w:rPr>
          <w:rFonts w:eastAsia="方正仿宋_GBK"/>
          <w:color w:val="000000"/>
          <w:sz w:val="24"/>
        </w:rPr>
        <w:t>1. </w:t>
      </w:r>
      <w:r>
        <w:rPr>
          <w:rFonts w:hint="eastAsia" w:eastAsia="方正仿宋_GBK"/>
          <w:color w:val="000000"/>
          <w:sz w:val="24"/>
        </w:rPr>
        <w:t>燃气经营企业从业人员培训考核工作，事关</w:t>
      </w:r>
      <w:r>
        <w:rPr>
          <w:rFonts w:hint="eastAsia" w:eastAsia="方正仿宋_GBK"/>
          <w:bCs/>
          <w:color w:val="000000"/>
          <w:sz w:val="24"/>
        </w:rPr>
        <w:t>燃气行业健康发展，事关</w:t>
      </w:r>
      <w:r>
        <w:rPr>
          <w:rFonts w:hint="eastAsia" w:eastAsia="方正仿宋_GBK"/>
          <w:color w:val="000000"/>
          <w:sz w:val="24"/>
          <w:shd w:val="clear" w:color="auto" w:fill="FFFFFF"/>
        </w:rPr>
        <w:t>公民生命、财产安全和公共安全</w:t>
      </w:r>
      <w:r>
        <w:rPr>
          <w:rFonts w:hint="eastAsia" w:eastAsia="方正仿宋_GBK"/>
          <w:color w:val="000000"/>
          <w:sz w:val="24"/>
        </w:rPr>
        <w:t>，各地应高度重视，扎实推进。建立有效监督检查机制，强化关键事项、关键环节事中事后监管，将提高培训质量、严格考核管理等重点任务落实到位。</w:t>
      </w:r>
    </w:p>
    <w:p>
      <w:pPr>
        <w:spacing w:line="460" w:lineRule="exact"/>
        <w:ind w:firstLine="480" w:firstLineChars="200"/>
        <w:rPr>
          <w:rFonts w:eastAsia="方正仿宋_GBK"/>
          <w:color w:val="000000"/>
          <w:sz w:val="24"/>
        </w:rPr>
      </w:pPr>
      <w:r>
        <w:rPr>
          <w:rFonts w:eastAsia="方正仿宋_GBK"/>
          <w:color w:val="000000"/>
          <w:sz w:val="24"/>
        </w:rPr>
        <w:t>2. </w:t>
      </w:r>
      <w:r>
        <w:rPr>
          <w:rFonts w:hint="eastAsia" w:eastAsia="方正仿宋_GBK"/>
          <w:color w:val="000000"/>
          <w:sz w:val="24"/>
        </w:rPr>
        <w:t>承担培训任务的企业、社会培训机构（单位）在当地燃气主管部门指导、监督下，自觉提高自律意识和责任意识，健全内部管理制度，按照培训工作要求，规范培训行为，切实保障培训质量。</w:t>
      </w:r>
    </w:p>
    <w:p>
      <w:pPr>
        <w:autoSpaceDE w:val="0"/>
        <w:autoSpaceDN w:val="0"/>
        <w:adjustRightInd w:val="0"/>
        <w:spacing w:line="460" w:lineRule="exact"/>
        <w:ind w:firstLine="480" w:firstLineChars="200"/>
        <w:jc w:val="left"/>
        <w:rPr>
          <w:rFonts w:eastAsia="方正仿宋_GBK"/>
          <w:color w:val="000000"/>
          <w:kern w:val="0"/>
          <w:sz w:val="24"/>
        </w:rPr>
      </w:pPr>
      <w:r>
        <w:rPr>
          <w:rFonts w:eastAsia="方正仿宋_GBK"/>
          <w:color w:val="000000"/>
          <w:sz w:val="24"/>
        </w:rPr>
        <w:t xml:space="preserve">   </w:t>
      </w:r>
      <w:r>
        <w:rPr>
          <w:rFonts w:eastAsia="方正仿宋_GBK"/>
          <w:color w:val="000000"/>
          <w:kern w:val="0"/>
          <w:sz w:val="24"/>
        </w:rPr>
        <w:t xml:space="preserve">                      </w:t>
      </w:r>
    </w:p>
    <w:p>
      <w:pPr>
        <w:autoSpaceDE w:val="0"/>
        <w:autoSpaceDN w:val="0"/>
        <w:adjustRightInd w:val="0"/>
        <w:spacing w:line="460" w:lineRule="exact"/>
        <w:ind w:firstLine="480" w:firstLineChars="200"/>
        <w:jc w:val="right"/>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江苏省住房和城乡建设厅</w:t>
      </w:r>
    </w:p>
    <w:p>
      <w:pPr>
        <w:spacing w:line="460" w:lineRule="exact"/>
        <w:ind w:firstLine="6600" w:firstLineChars="2750"/>
        <w:rPr>
          <w:rFonts w:eastAsia="方正仿宋_GBK"/>
          <w:color w:val="000000"/>
          <w:kern w:val="0"/>
          <w:sz w:val="24"/>
        </w:rPr>
      </w:pPr>
      <w:r>
        <w:rPr>
          <w:rFonts w:eastAsia="方正仿宋_GBK"/>
          <w:color w:val="000000"/>
          <w:kern w:val="0"/>
          <w:sz w:val="24"/>
        </w:rPr>
        <w:t>2017</w:t>
      </w:r>
      <w:r>
        <w:rPr>
          <w:rFonts w:hint="eastAsia" w:eastAsia="方正仿宋_GBK"/>
          <w:color w:val="000000"/>
          <w:kern w:val="0"/>
          <w:sz w:val="24"/>
        </w:rPr>
        <w:t>年</w:t>
      </w:r>
      <w:r>
        <w:rPr>
          <w:rFonts w:eastAsia="方正仿宋_GBK"/>
          <w:color w:val="000000"/>
          <w:kern w:val="0"/>
          <w:sz w:val="24"/>
        </w:rPr>
        <w:t>1</w:t>
      </w:r>
      <w:r>
        <w:rPr>
          <w:rFonts w:hint="eastAsia" w:eastAsia="方正仿宋_GBK"/>
          <w:color w:val="000000"/>
          <w:kern w:val="0"/>
          <w:sz w:val="24"/>
        </w:rPr>
        <w:t>月</w:t>
      </w:r>
      <w:r>
        <w:rPr>
          <w:rFonts w:eastAsia="方正仿宋_GBK"/>
          <w:color w:val="000000"/>
          <w:kern w:val="0"/>
          <w:sz w:val="24"/>
        </w:rPr>
        <w:t>22</w:t>
      </w:r>
      <w:r>
        <w:rPr>
          <w:rFonts w:hint="eastAsia" w:eastAsia="方正仿宋_GBK"/>
          <w:color w:val="000000"/>
          <w:kern w:val="0"/>
          <w:sz w:val="24"/>
        </w:rPr>
        <w:t>日</w:t>
      </w:r>
    </w:p>
    <w:p>
      <w:pPr>
        <w:spacing w:line="460" w:lineRule="exact"/>
        <w:ind w:firstLine="480" w:firstLineChars="200"/>
        <w:jc w:val="left"/>
        <w:rPr>
          <w:rFonts w:eastAsia="方正仿宋_GBK"/>
          <w:color w:val="000000"/>
          <w:kern w:val="0"/>
          <w:sz w:val="24"/>
        </w:rPr>
      </w:pPr>
      <w:r>
        <w:rPr>
          <w:rFonts w:hint="eastAsia" w:eastAsia="方正仿宋_GBK"/>
          <w:color w:val="000000"/>
          <w:sz w:val="24"/>
        </w:rPr>
        <w:t>（此件公开发布）</w:t>
      </w:r>
      <w:r>
        <w:rPr>
          <w:rFonts w:eastAsia="方正仿宋_GBK"/>
          <w:color w:val="000000"/>
          <w:sz w:val="24"/>
        </w:rPr>
        <w:t xml:space="preserve"> </w:t>
      </w:r>
    </w:p>
    <w:p>
      <w:pPr>
        <w:spacing w:line="460" w:lineRule="exact"/>
        <w:ind w:firstLine="480" w:firstLineChars="200"/>
        <w:rPr>
          <w:rFonts w:eastAsia="方正仿宋_GBK"/>
          <w:color w:val="000000"/>
          <w:sz w:val="24"/>
        </w:rPr>
      </w:pPr>
    </w:p>
    <w:p/>
    <w:p/>
    <w:p/>
    <w:p>
      <w:pPr>
        <w:pStyle w:val="2"/>
        <w:spacing w:before="240" w:beforeLines="100" w:after="240" w:afterLines="100" w:line="240" w:lineRule="auto"/>
        <w:jc w:val="center"/>
        <w:rPr>
          <w:rFonts w:ascii="Times New Roman" w:eastAsia="方正小标宋_GBK"/>
          <w:b w:val="0"/>
          <w:sz w:val="36"/>
          <w:szCs w:val="36"/>
        </w:rPr>
      </w:pPr>
      <w:bookmarkStart w:id="635" w:name="_Toc20726652"/>
      <w:bookmarkStart w:id="636" w:name="_Toc18315793"/>
      <w:r>
        <w:rPr>
          <w:rFonts w:hint="eastAsia" w:ascii="Times New Roman" w:eastAsia="方正小标宋_GBK"/>
          <w:b w:val="0"/>
          <w:sz w:val="36"/>
          <w:szCs w:val="36"/>
        </w:rPr>
        <w:t>省住房城乡建设厅关于进一步完善我省建筑施工企业 主要负责人、项目负责人和专职安全生产管理人员    安全生产知识考核管理工作的通知</w:t>
      </w:r>
      <w:bookmarkEnd w:id="635"/>
      <w:bookmarkEnd w:id="636"/>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37" w:name="_Toc20726653"/>
      <w:bookmarkStart w:id="638" w:name="_Toc18315794"/>
      <w:r>
        <w:rPr>
          <w:rFonts w:hint="eastAsia" w:ascii="Times New Roman" w:hAnsi="Times New Roman" w:eastAsia="方正楷体_GBK"/>
          <w:b w:val="0"/>
          <w:sz w:val="24"/>
          <w:szCs w:val="24"/>
        </w:rPr>
        <w:t>苏建教〔</w:t>
      </w:r>
      <w:r>
        <w:rPr>
          <w:rFonts w:ascii="Times New Roman" w:hAnsi="Times New Roman" w:eastAsia="方正楷体_GBK"/>
          <w:b w:val="0"/>
          <w:sz w:val="24"/>
          <w:szCs w:val="24"/>
        </w:rPr>
        <w:t>2017</w:t>
      </w:r>
      <w:r>
        <w:rPr>
          <w:rFonts w:hint="eastAsia" w:ascii="Times New Roman" w:hAnsi="Times New Roman" w:eastAsia="方正楷体_GBK"/>
          <w:b w:val="0"/>
          <w:sz w:val="24"/>
          <w:szCs w:val="24"/>
        </w:rPr>
        <w:t>〕</w:t>
      </w:r>
      <w:r>
        <w:rPr>
          <w:rFonts w:ascii="Times New Roman" w:hAnsi="Times New Roman" w:eastAsia="方正楷体_GBK"/>
          <w:b w:val="0"/>
          <w:sz w:val="24"/>
          <w:szCs w:val="24"/>
        </w:rPr>
        <w:t>440</w:t>
      </w:r>
      <w:r>
        <w:rPr>
          <w:rFonts w:hint="eastAsia" w:ascii="Times New Roman" w:hAnsi="Times New Roman" w:eastAsia="方正楷体_GBK"/>
          <w:b w:val="0"/>
          <w:sz w:val="24"/>
          <w:szCs w:val="24"/>
        </w:rPr>
        <w:t>号</w:t>
      </w:r>
      <w:bookmarkEnd w:id="637"/>
      <w:bookmarkEnd w:id="638"/>
    </w:p>
    <w:p>
      <w:pPr>
        <w:shd w:val="clear" w:color="auto" w:fill="FFFFFF"/>
        <w:spacing w:line="460" w:lineRule="exact"/>
        <w:jc w:val="left"/>
        <w:rPr>
          <w:rFonts w:eastAsia="方正仿宋_GBK"/>
          <w:color w:val="000000"/>
          <w:kern w:val="0"/>
          <w:sz w:val="24"/>
        </w:rPr>
      </w:pPr>
      <w:r>
        <w:rPr>
          <w:rFonts w:hint="eastAsia" w:eastAsia="方正仿宋_GBK"/>
          <w:color w:val="000000"/>
          <w:kern w:val="0"/>
          <w:sz w:val="24"/>
        </w:rPr>
        <w:t>各设区市建设局（委）、泰州市建工局，昆山市、泰兴市、沭阳县建设局，各县建设局，有关单位：</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为贯彻落实住房城乡建设部《建筑施工企业主要负责人、项目负责人和专职安全生产管理人员安全生产管理规定实施意见》（建质〔</w:t>
      </w:r>
      <w:r>
        <w:rPr>
          <w:rFonts w:eastAsia="方正仿宋_GBK"/>
          <w:color w:val="000000"/>
          <w:kern w:val="0"/>
          <w:sz w:val="24"/>
        </w:rPr>
        <w:t>2015</w:t>
      </w:r>
      <w:r>
        <w:rPr>
          <w:rFonts w:hint="eastAsia" w:eastAsia="方正仿宋_GBK"/>
          <w:color w:val="000000"/>
          <w:kern w:val="0"/>
          <w:sz w:val="24"/>
        </w:rPr>
        <w:t>〕</w:t>
      </w:r>
      <w:r>
        <w:rPr>
          <w:rFonts w:eastAsia="方正仿宋_GBK"/>
          <w:color w:val="000000"/>
          <w:kern w:val="0"/>
          <w:sz w:val="24"/>
        </w:rPr>
        <w:t>206</w:t>
      </w:r>
      <w:r>
        <w:rPr>
          <w:rFonts w:hint="eastAsia" w:eastAsia="方正仿宋_GBK"/>
          <w:color w:val="000000"/>
          <w:kern w:val="0"/>
          <w:sz w:val="24"/>
        </w:rPr>
        <w:t>号）文件精神，结合我省实际，切实做好建筑施工企业主要负责人、项目负责人和专职安全生产管理人员（以下简称</w:t>
      </w:r>
      <w:r>
        <w:rPr>
          <w:rFonts w:eastAsia="方正仿宋_GBK"/>
          <w:color w:val="000000"/>
          <w:kern w:val="0"/>
          <w:sz w:val="24"/>
        </w:rPr>
        <w:t>“</w:t>
      </w:r>
      <w:r>
        <w:rPr>
          <w:rFonts w:hint="eastAsia" w:eastAsia="方正仿宋_GBK"/>
          <w:color w:val="000000"/>
          <w:kern w:val="0"/>
          <w:sz w:val="24"/>
        </w:rPr>
        <w:t>安管人员</w:t>
      </w:r>
      <w:r>
        <w:rPr>
          <w:rFonts w:eastAsia="方正仿宋_GBK"/>
          <w:color w:val="000000"/>
          <w:kern w:val="0"/>
          <w:sz w:val="24"/>
        </w:rPr>
        <w:t>”</w:t>
      </w:r>
      <w:r>
        <w:rPr>
          <w:rFonts w:hint="eastAsia" w:eastAsia="方正仿宋_GBK"/>
          <w:color w:val="000000"/>
          <w:kern w:val="0"/>
          <w:sz w:val="24"/>
        </w:rPr>
        <w:t>）安全生产知识考核（以下简称“考核”）管理工作，现将有关事项通知如下：</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一、组织分工</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考核考务管理工作由省住房城乡建设厅执业资格考试与注册中心负责。各设区市、县建设行政主管部门受省住房城乡建设厅委托负责本行政区域内建筑施工企业安全生产考核考务相关工作。</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二、考核分类</w:t>
      </w:r>
    </w:p>
    <w:p>
      <w:pPr>
        <w:shd w:val="clear" w:color="auto" w:fill="FFFFFF"/>
        <w:spacing w:line="460" w:lineRule="exact"/>
        <w:ind w:firstLine="448" w:firstLineChars="200"/>
        <w:jc w:val="left"/>
        <w:rPr>
          <w:rFonts w:eastAsia="方正仿宋_GBK"/>
          <w:color w:val="000000"/>
          <w:spacing w:val="-8"/>
          <w:kern w:val="0"/>
          <w:sz w:val="24"/>
        </w:rPr>
      </w:pPr>
      <w:r>
        <w:rPr>
          <w:rFonts w:hint="eastAsia" w:eastAsia="方正仿宋_GBK"/>
          <w:color w:val="000000"/>
          <w:spacing w:val="-8"/>
          <w:kern w:val="0"/>
          <w:sz w:val="24"/>
        </w:rPr>
        <w:t>在我省从事房屋建筑和市政基础设施工程施工活动的建筑施工企业的</w:t>
      </w:r>
      <w:r>
        <w:rPr>
          <w:rFonts w:eastAsia="方正仿宋_GBK"/>
          <w:color w:val="000000"/>
          <w:spacing w:val="-8"/>
          <w:kern w:val="0"/>
          <w:sz w:val="24"/>
        </w:rPr>
        <w:t>“</w:t>
      </w:r>
      <w:r>
        <w:rPr>
          <w:rFonts w:hint="eastAsia" w:eastAsia="方正仿宋_GBK"/>
          <w:color w:val="000000"/>
          <w:spacing w:val="-8"/>
          <w:kern w:val="0"/>
          <w:sz w:val="24"/>
        </w:rPr>
        <w:t>安管人员</w:t>
      </w:r>
      <w:r>
        <w:rPr>
          <w:rFonts w:eastAsia="方正仿宋_GBK"/>
          <w:color w:val="000000"/>
          <w:spacing w:val="-8"/>
          <w:kern w:val="0"/>
          <w:sz w:val="24"/>
        </w:rPr>
        <w:t>”</w:t>
      </w:r>
      <w:r>
        <w:rPr>
          <w:rFonts w:hint="eastAsia" w:eastAsia="方正仿宋_GBK"/>
          <w:color w:val="000000"/>
          <w:spacing w:val="-8"/>
          <w:kern w:val="0"/>
          <w:sz w:val="24"/>
        </w:rPr>
        <w:t>：</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（一）企业主要负责人（</w:t>
      </w:r>
      <w:r>
        <w:rPr>
          <w:rFonts w:eastAsia="方正仿宋_GBK"/>
          <w:color w:val="000000"/>
          <w:kern w:val="0"/>
          <w:sz w:val="24"/>
        </w:rPr>
        <w:t>A</w:t>
      </w:r>
      <w:r>
        <w:rPr>
          <w:rFonts w:hint="eastAsia" w:eastAsia="方正仿宋_GBK"/>
          <w:color w:val="000000"/>
          <w:kern w:val="0"/>
          <w:sz w:val="24"/>
        </w:rPr>
        <w:t>类）；</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（二）项目负责人（</w:t>
      </w:r>
      <w:r>
        <w:rPr>
          <w:rFonts w:eastAsia="方正仿宋_GBK"/>
          <w:color w:val="000000"/>
          <w:kern w:val="0"/>
          <w:sz w:val="24"/>
        </w:rPr>
        <w:t>B</w:t>
      </w:r>
      <w:r>
        <w:rPr>
          <w:rFonts w:hint="eastAsia" w:eastAsia="方正仿宋_GBK"/>
          <w:color w:val="000000"/>
          <w:kern w:val="0"/>
          <w:sz w:val="24"/>
        </w:rPr>
        <w:t>类）；</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（三）专职安全生产管理人员（</w:t>
      </w:r>
      <w:r>
        <w:rPr>
          <w:rFonts w:eastAsia="方正仿宋_GBK"/>
          <w:color w:val="000000"/>
          <w:kern w:val="0"/>
          <w:sz w:val="24"/>
        </w:rPr>
        <w:t>C</w:t>
      </w:r>
      <w:r>
        <w:rPr>
          <w:rFonts w:hint="eastAsia" w:eastAsia="方正仿宋_GBK"/>
          <w:color w:val="000000"/>
          <w:kern w:val="0"/>
          <w:sz w:val="24"/>
        </w:rPr>
        <w:t>类）。</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专职安全生产管理人员（</w:t>
      </w:r>
      <w:r>
        <w:rPr>
          <w:rFonts w:eastAsia="方正仿宋_GBK"/>
          <w:color w:val="000000"/>
          <w:kern w:val="0"/>
          <w:sz w:val="24"/>
        </w:rPr>
        <w:t>C</w:t>
      </w:r>
      <w:r>
        <w:rPr>
          <w:rFonts w:hint="eastAsia" w:eastAsia="方正仿宋_GBK"/>
          <w:color w:val="000000"/>
          <w:kern w:val="0"/>
          <w:sz w:val="24"/>
        </w:rPr>
        <w:t>类）分为机械（</w:t>
      </w:r>
      <w:r>
        <w:rPr>
          <w:rFonts w:eastAsia="方正仿宋_GBK"/>
          <w:color w:val="000000"/>
          <w:kern w:val="0"/>
          <w:sz w:val="24"/>
        </w:rPr>
        <w:t>C1</w:t>
      </w:r>
      <w:r>
        <w:rPr>
          <w:rFonts w:hint="eastAsia" w:eastAsia="方正仿宋_GBK"/>
          <w:color w:val="000000"/>
          <w:kern w:val="0"/>
          <w:sz w:val="24"/>
        </w:rPr>
        <w:t>类）、土建（</w:t>
      </w:r>
      <w:r>
        <w:rPr>
          <w:rFonts w:eastAsia="方正仿宋_GBK"/>
          <w:color w:val="000000"/>
          <w:kern w:val="0"/>
          <w:sz w:val="24"/>
        </w:rPr>
        <w:t>C2</w:t>
      </w:r>
      <w:r>
        <w:rPr>
          <w:rFonts w:hint="eastAsia" w:eastAsia="方正仿宋_GBK"/>
          <w:color w:val="000000"/>
          <w:kern w:val="0"/>
          <w:sz w:val="24"/>
        </w:rPr>
        <w:t>类）、综合（</w:t>
      </w:r>
      <w:r>
        <w:rPr>
          <w:rFonts w:eastAsia="方正仿宋_GBK"/>
          <w:color w:val="000000"/>
          <w:kern w:val="0"/>
          <w:sz w:val="24"/>
        </w:rPr>
        <w:t>C3</w:t>
      </w:r>
      <w:r>
        <w:rPr>
          <w:rFonts w:hint="eastAsia" w:eastAsia="方正仿宋_GBK"/>
          <w:color w:val="000000"/>
          <w:kern w:val="0"/>
          <w:sz w:val="24"/>
        </w:rPr>
        <w:t>类）三类。机械类专职安全生产管理人员（</w:t>
      </w:r>
      <w:r>
        <w:rPr>
          <w:rFonts w:eastAsia="方正仿宋_GBK"/>
          <w:color w:val="000000"/>
          <w:kern w:val="0"/>
          <w:sz w:val="24"/>
        </w:rPr>
        <w:t>C1</w:t>
      </w:r>
      <w:r>
        <w:rPr>
          <w:rFonts w:hint="eastAsia" w:eastAsia="方正仿宋_GBK"/>
          <w:color w:val="000000"/>
          <w:kern w:val="0"/>
          <w:sz w:val="24"/>
        </w:rPr>
        <w:t>类）可以从事起重机械、土石方机械、桩工机械等安全生产管理工作；土建类专职安全生产管理人员（</w:t>
      </w:r>
      <w:r>
        <w:rPr>
          <w:rFonts w:eastAsia="方正仿宋_GBK"/>
          <w:color w:val="000000"/>
          <w:kern w:val="0"/>
          <w:sz w:val="24"/>
        </w:rPr>
        <w:t>C2</w:t>
      </w:r>
      <w:r>
        <w:rPr>
          <w:rFonts w:hint="eastAsia" w:eastAsia="方正仿宋_GBK"/>
          <w:color w:val="000000"/>
          <w:kern w:val="0"/>
          <w:sz w:val="24"/>
        </w:rPr>
        <w:t>类）可以从事除起重机械、土石方机械、桩工机械等安全生产管理工作以外的安全生产管理工作；综合类专职安全生产管理人员（</w:t>
      </w:r>
      <w:r>
        <w:rPr>
          <w:rFonts w:eastAsia="方正仿宋_GBK"/>
          <w:color w:val="000000"/>
          <w:kern w:val="0"/>
          <w:sz w:val="24"/>
        </w:rPr>
        <w:t>C3</w:t>
      </w:r>
      <w:r>
        <w:rPr>
          <w:rFonts w:hint="eastAsia" w:eastAsia="方正仿宋_GBK"/>
          <w:color w:val="000000"/>
          <w:kern w:val="0"/>
          <w:sz w:val="24"/>
        </w:rPr>
        <w:t>类）可以从事全部安全生产管理工作。</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三、考核组织</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考核实行全省统一组织、统一标准、分级管理，分类别分专业进行。自</w:t>
      </w:r>
      <w:r>
        <w:rPr>
          <w:rFonts w:eastAsia="方正仿宋_GBK"/>
          <w:color w:val="000000"/>
          <w:kern w:val="0"/>
          <w:sz w:val="24"/>
        </w:rPr>
        <w:t>2017</w:t>
      </w:r>
      <w:r>
        <w:rPr>
          <w:rFonts w:hint="eastAsia" w:eastAsia="方正仿宋_GBK"/>
          <w:color w:val="000000"/>
          <w:kern w:val="0"/>
          <w:sz w:val="24"/>
        </w:rPr>
        <w:t>年</w:t>
      </w:r>
      <w:r>
        <w:rPr>
          <w:rFonts w:eastAsia="方正仿宋_GBK"/>
          <w:color w:val="000000"/>
          <w:kern w:val="0"/>
          <w:sz w:val="24"/>
        </w:rPr>
        <w:t>10</w:t>
      </w:r>
      <w:r>
        <w:rPr>
          <w:rFonts w:hint="eastAsia" w:eastAsia="方正仿宋_GBK"/>
          <w:color w:val="000000"/>
          <w:kern w:val="0"/>
          <w:sz w:val="24"/>
        </w:rPr>
        <w:t>月份起，我省</w:t>
      </w:r>
      <w:r>
        <w:rPr>
          <w:rFonts w:eastAsia="方正仿宋_GBK"/>
          <w:color w:val="000000"/>
          <w:kern w:val="0"/>
          <w:sz w:val="24"/>
        </w:rPr>
        <w:t>“</w:t>
      </w:r>
      <w:r>
        <w:rPr>
          <w:rFonts w:hint="eastAsia" w:eastAsia="方正仿宋_GBK"/>
          <w:color w:val="000000"/>
          <w:kern w:val="0"/>
          <w:sz w:val="24"/>
        </w:rPr>
        <w:t>安管人员</w:t>
      </w:r>
      <w:r>
        <w:rPr>
          <w:rFonts w:eastAsia="方正仿宋_GBK"/>
          <w:color w:val="000000"/>
          <w:kern w:val="0"/>
          <w:sz w:val="24"/>
        </w:rPr>
        <w:t>”</w:t>
      </w:r>
      <w:r>
        <w:rPr>
          <w:rFonts w:hint="eastAsia" w:eastAsia="方正仿宋_GBK"/>
          <w:color w:val="000000"/>
          <w:kern w:val="0"/>
          <w:sz w:val="24"/>
        </w:rPr>
        <w:t>考核将启用新考核大纲及题库，原考核大纲及题库停止使用。</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1. A</w:t>
      </w:r>
      <w:r>
        <w:rPr>
          <w:rFonts w:hint="eastAsia" w:eastAsia="方正仿宋_GBK"/>
          <w:color w:val="000000"/>
          <w:kern w:val="0"/>
          <w:sz w:val="24"/>
        </w:rPr>
        <w:t>类考核全面实施无纸化考核方式。</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2. B</w:t>
      </w:r>
      <w:r>
        <w:rPr>
          <w:rFonts w:hint="eastAsia" w:eastAsia="方正仿宋_GBK"/>
          <w:color w:val="000000"/>
          <w:kern w:val="0"/>
          <w:sz w:val="24"/>
        </w:rPr>
        <w:t>类、</w:t>
      </w:r>
      <w:r>
        <w:rPr>
          <w:rFonts w:eastAsia="方正仿宋_GBK"/>
          <w:color w:val="000000"/>
          <w:kern w:val="0"/>
          <w:sz w:val="24"/>
        </w:rPr>
        <w:t>C1</w:t>
      </w:r>
      <w:r>
        <w:rPr>
          <w:rFonts w:hint="eastAsia" w:eastAsia="方正仿宋_GBK"/>
          <w:color w:val="000000"/>
          <w:kern w:val="0"/>
          <w:sz w:val="24"/>
        </w:rPr>
        <w:t>类、</w:t>
      </w:r>
      <w:r>
        <w:rPr>
          <w:rFonts w:eastAsia="方正仿宋_GBK"/>
          <w:color w:val="000000"/>
          <w:kern w:val="0"/>
          <w:sz w:val="24"/>
        </w:rPr>
        <w:t>C2</w:t>
      </w:r>
      <w:r>
        <w:rPr>
          <w:rFonts w:hint="eastAsia" w:eastAsia="方正仿宋_GBK"/>
          <w:color w:val="000000"/>
          <w:kern w:val="0"/>
          <w:sz w:val="24"/>
        </w:rPr>
        <w:t>类考核自</w:t>
      </w:r>
      <w:r>
        <w:rPr>
          <w:rFonts w:eastAsia="方正仿宋_GBK"/>
          <w:color w:val="000000"/>
          <w:kern w:val="0"/>
          <w:sz w:val="24"/>
        </w:rPr>
        <w:t>2018</w:t>
      </w:r>
      <w:r>
        <w:rPr>
          <w:rFonts w:hint="eastAsia" w:eastAsia="方正仿宋_GBK"/>
          <w:color w:val="000000"/>
          <w:kern w:val="0"/>
          <w:sz w:val="24"/>
        </w:rPr>
        <w:t>年</w:t>
      </w:r>
      <w:r>
        <w:rPr>
          <w:rFonts w:eastAsia="方正仿宋_GBK"/>
          <w:color w:val="000000"/>
          <w:kern w:val="0"/>
          <w:sz w:val="24"/>
        </w:rPr>
        <w:t>1</w:t>
      </w:r>
      <w:r>
        <w:rPr>
          <w:rFonts w:hint="eastAsia" w:eastAsia="方正仿宋_GBK"/>
          <w:color w:val="000000"/>
          <w:kern w:val="0"/>
          <w:sz w:val="24"/>
        </w:rPr>
        <w:t>月起全面采用无纸化考核方式。</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四、报名组织</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（一）报名系统</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 “</w:t>
      </w:r>
      <w:r>
        <w:rPr>
          <w:rFonts w:hint="eastAsia" w:eastAsia="方正仿宋_GBK"/>
          <w:color w:val="000000"/>
          <w:kern w:val="0"/>
          <w:sz w:val="24"/>
        </w:rPr>
        <w:t>江苏省建筑业监管信息平台</w:t>
      </w:r>
      <w:r>
        <w:rPr>
          <w:rFonts w:eastAsia="方正仿宋_GBK"/>
          <w:color w:val="000000"/>
          <w:kern w:val="0"/>
          <w:sz w:val="24"/>
        </w:rPr>
        <w:t>”</w:t>
      </w:r>
      <w:r>
        <w:rPr>
          <w:rFonts w:hint="eastAsia" w:eastAsia="方正仿宋_GBK"/>
          <w:color w:val="000000"/>
          <w:kern w:val="0"/>
          <w:sz w:val="24"/>
        </w:rPr>
        <w:t>（</w:t>
      </w:r>
      <w:r>
        <w:fldChar w:fldCharType="begin"/>
      </w:r>
      <w:r>
        <w:instrText xml:space="preserve"> </w:instrText>
      </w:r>
      <w:r>
        <w:rPr>
          <w:rFonts w:hint="eastAsia"/>
        </w:rPr>
        <w:instrText xml:space="preserve">HYPERLINK "http://221.226.118.168:7080/jscbmis/）己升级为"</w:instrText>
      </w:r>
      <w:r>
        <w:instrText xml:space="preserve"> </w:instrText>
      </w:r>
      <w:r>
        <w:fldChar w:fldCharType="separate"/>
      </w:r>
      <w:r>
        <w:rPr>
          <w:rStyle w:val="16"/>
          <w:rFonts w:eastAsia="方正仿宋_GBK"/>
          <w:kern w:val="0"/>
          <w:sz w:val="24"/>
        </w:rPr>
        <w:t>http</w:t>
      </w:r>
      <w:r>
        <w:rPr>
          <w:rStyle w:val="16"/>
          <w:rFonts w:hint="eastAsia" w:eastAsia="方正仿宋_GBK"/>
          <w:kern w:val="0"/>
          <w:sz w:val="24"/>
        </w:rPr>
        <w:t>：</w:t>
      </w:r>
      <w:r>
        <w:rPr>
          <w:rStyle w:val="16"/>
          <w:rFonts w:eastAsia="方正仿宋_GBK"/>
          <w:kern w:val="0"/>
          <w:sz w:val="24"/>
        </w:rPr>
        <w:t>//221.226.118.168</w:t>
      </w:r>
      <w:r>
        <w:rPr>
          <w:rStyle w:val="16"/>
          <w:rFonts w:hint="eastAsia" w:eastAsia="方正仿宋_GBK"/>
          <w:kern w:val="0"/>
          <w:sz w:val="24"/>
        </w:rPr>
        <w:t>：</w:t>
      </w:r>
      <w:r>
        <w:rPr>
          <w:rStyle w:val="16"/>
          <w:rFonts w:eastAsia="方正仿宋_GBK"/>
          <w:kern w:val="0"/>
          <w:sz w:val="24"/>
        </w:rPr>
        <w:t>7080/jscbmis/</w:t>
      </w:r>
      <w:r>
        <w:rPr>
          <w:rStyle w:val="16"/>
          <w:rFonts w:hint="eastAsia" w:eastAsia="方正仿宋_GBK"/>
          <w:kern w:val="0"/>
          <w:sz w:val="24"/>
        </w:rPr>
        <w:t>）己升级为</w:t>
      </w:r>
      <w:r>
        <w:rPr>
          <w:rStyle w:val="16"/>
          <w:rFonts w:eastAsia="方正仿宋_GBK"/>
          <w:kern w:val="0"/>
          <w:sz w:val="24"/>
        </w:rPr>
        <w:t>“</w:t>
      </w:r>
      <w:r>
        <w:rPr>
          <w:rStyle w:val="16"/>
          <w:rFonts w:hint="eastAsia" w:eastAsia="方正仿宋_GBK"/>
          <w:kern w:val="0"/>
          <w:sz w:val="24"/>
        </w:rPr>
        <w:t>江苏省建筑业监管信息平台</w:t>
      </w:r>
      <w:r>
        <w:rPr>
          <w:rStyle w:val="16"/>
          <w:rFonts w:eastAsia="方正仿宋_GBK"/>
          <w:kern w:val="0"/>
          <w:sz w:val="24"/>
        </w:rPr>
        <w:t>2.0”(http</w:t>
      </w:r>
      <w:r>
        <w:rPr>
          <w:rStyle w:val="16"/>
          <w:rFonts w:hint="eastAsia" w:eastAsia="方正仿宋_GBK"/>
          <w:kern w:val="0"/>
          <w:sz w:val="24"/>
        </w:rPr>
        <w:t>：</w:t>
      </w:r>
      <w:r>
        <w:rPr>
          <w:rStyle w:val="16"/>
          <w:rFonts w:eastAsia="方正仿宋_GBK"/>
          <w:kern w:val="0"/>
          <w:sz w:val="24"/>
        </w:rPr>
        <w:t>//221.226.118.170</w:t>
      </w:r>
      <w:r>
        <w:rPr>
          <w:rStyle w:val="16"/>
          <w:rFonts w:hint="eastAsia" w:eastAsia="方正仿宋_GBK"/>
          <w:kern w:val="0"/>
          <w:sz w:val="24"/>
        </w:rPr>
        <w:t>：</w:t>
      </w:r>
      <w:r>
        <w:rPr>
          <w:rStyle w:val="16"/>
          <w:rFonts w:eastAsia="方正仿宋_GBK"/>
          <w:kern w:val="0"/>
          <w:sz w:val="24"/>
        </w:rPr>
        <w:t>8080/login)</w:t>
      </w:r>
      <w:r>
        <w:rPr>
          <w:rStyle w:val="16"/>
          <w:rFonts w:hint="eastAsia" w:eastAsia="方正仿宋_GBK"/>
          <w:kern w:val="0"/>
          <w:sz w:val="24"/>
        </w:rPr>
        <w:t>（以下简称</w:t>
      </w:r>
      <w:r>
        <w:rPr>
          <w:rStyle w:val="16"/>
          <w:rFonts w:eastAsia="方正仿宋_GBK"/>
          <w:kern w:val="0"/>
          <w:sz w:val="24"/>
        </w:rPr>
        <w:t>“</w:t>
      </w:r>
      <w:r>
        <w:rPr>
          <w:rStyle w:val="16"/>
          <w:rFonts w:hint="eastAsia" w:eastAsia="方正仿宋_GBK"/>
          <w:kern w:val="0"/>
          <w:sz w:val="24"/>
        </w:rPr>
        <w:t>监管平台</w:t>
      </w:r>
      <w:r>
        <w:rPr>
          <w:rStyle w:val="16"/>
          <w:rFonts w:eastAsia="方正仿宋_GBK"/>
          <w:kern w:val="0"/>
          <w:sz w:val="24"/>
        </w:rPr>
        <w:t>2.0”</w:t>
      </w:r>
      <w:r>
        <w:rPr>
          <w:rStyle w:val="16"/>
          <w:rFonts w:hint="eastAsia" w:eastAsia="方正仿宋_GBK"/>
          <w:kern w:val="0"/>
          <w:sz w:val="24"/>
        </w:rPr>
        <w:t>）。自</w:t>
      </w:r>
      <w:r>
        <w:rPr>
          <w:rStyle w:val="16"/>
          <w:rFonts w:eastAsia="方正仿宋_GBK"/>
          <w:kern w:val="0"/>
          <w:sz w:val="24"/>
        </w:rPr>
        <w:t>2017</w:t>
      </w:r>
      <w:r>
        <w:rPr>
          <w:rStyle w:val="16"/>
          <w:rFonts w:hint="eastAsia" w:eastAsia="方正仿宋_GBK"/>
          <w:kern w:val="0"/>
          <w:sz w:val="24"/>
        </w:rPr>
        <w:t>年</w:t>
      </w:r>
      <w:r>
        <w:rPr>
          <w:rStyle w:val="16"/>
          <w:rFonts w:eastAsia="方正仿宋_GBK"/>
          <w:kern w:val="0"/>
          <w:sz w:val="24"/>
        </w:rPr>
        <w:t>9</w:t>
      </w:r>
      <w:r>
        <w:rPr>
          <w:rStyle w:val="16"/>
          <w:rFonts w:hint="eastAsia" w:eastAsia="方正仿宋_GBK"/>
          <w:kern w:val="0"/>
          <w:sz w:val="24"/>
        </w:rPr>
        <w:t>月</w:t>
      </w:r>
      <w:r>
        <w:fldChar w:fldCharType="end"/>
      </w:r>
      <w:r>
        <w:rPr>
          <w:rFonts w:eastAsia="方正仿宋_GBK"/>
          <w:color w:val="000000"/>
          <w:kern w:val="0"/>
          <w:sz w:val="24"/>
        </w:rPr>
        <w:t>15</w:t>
      </w:r>
      <w:r>
        <w:rPr>
          <w:rFonts w:hint="eastAsia" w:eastAsia="方正仿宋_GBK"/>
          <w:color w:val="000000"/>
          <w:kern w:val="0"/>
          <w:sz w:val="24"/>
        </w:rPr>
        <w:t>日起，“江苏省建筑业监管信息平台</w:t>
      </w:r>
      <w:r>
        <w:rPr>
          <w:rFonts w:eastAsia="方正仿宋_GBK"/>
          <w:color w:val="000000"/>
          <w:kern w:val="0"/>
          <w:sz w:val="24"/>
        </w:rPr>
        <w:t xml:space="preserve"> </w:t>
      </w:r>
      <w:r>
        <w:rPr>
          <w:rFonts w:hint="eastAsia" w:eastAsia="方正仿宋_GBK"/>
          <w:color w:val="000000"/>
          <w:kern w:val="0"/>
          <w:sz w:val="24"/>
        </w:rPr>
        <w:t>”停止使用。</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（二）报名方式</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A</w:t>
      </w:r>
      <w:r>
        <w:rPr>
          <w:rFonts w:hint="eastAsia" w:eastAsia="方正仿宋_GBK"/>
          <w:color w:val="000000"/>
          <w:kern w:val="0"/>
          <w:sz w:val="24"/>
        </w:rPr>
        <w:t>类、</w:t>
      </w:r>
      <w:r>
        <w:rPr>
          <w:rFonts w:eastAsia="方正仿宋_GBK"/>
          <w:color w:val="000000"/>
          <w:kern w:val="0"/>
          <w:sz w:val="24"/>
        </w:rPr>
        <w:t>B</w:t>
      </w:r>
      <w:r>
        <w:rPr>
          <w:rFonts w:hint="eastAsia" w:eastAsia="方正仿宋_GBK"/>
          <w:color w:val="000000"/>
          <w:kern w:val="0"/>
          <w:sz w:val="24"/>
        </w:rPr>
        <w:t>类、</w:t>
      </w:r>
      <w:r>
        <w:rPr>
          <w:rFonts w:eastAsia="方正仿宋_GBK"/>
          <w:color w:val="000000"/>
          <w:kern w:val="0"/>
          <w:sz w:val="24"/>
        </w:rPr>
        <w:t>C1</w:t>
      </w:r>
      <w:r>
        <w:rPr>
          <w:rFonts w:hint="eastAsia" w:eastAsia="方正仿宋_GBK"/>
          <w:color w:val="000000"/>
          <w:kern w:val="0"/>
          <w:sz w:val="24"/>
        </w:rPr>
        <w:t>类、</w:t>
      </w:r>
      <w:r>
        <w:rPr>
          <w:rFonts w:eastAsia="方正仿宋_GBK"/>
          <w:color w:val="000000"/>
          <w:kern w:val="0"/>
          <w:sz w:val="24"/>
        </w:rPr>
        <w:t>C2</w:t>
      </w:r>
      <w:r>
        <w:rPr>
          <w:rFonts w:hint="eastAsia" w:eastAsia="方正仿宋_GBK"/>
          <w:color w:val="000000"/>
          <w:kern w:val="0"/>
          <w:sz w:val="24"/>
        </w:rPr>
        <w:t>类考核报名采取网上申请、网上核验的全流程在线方式进行。报考人员通过“监管平台</w:t>
      </w:r>
      <w:r>
        <w:rPr>
          <w:rFonts w:eastAsia="方正仿宋_GBK"/>
          <w:color w:val="000000"/>
          <w:kern w:val="0"/>
          <w:sz w:val="24"/>
        </w:rPr>
        <w:t>2.0</w:t>
      </w:r>
      <w:r>
        <w:rPr>
          <w:rFonts w:hint="eastAsia" w:eastAsia="方正仿宋_GBK"/>
          <w:color w:val="000000"/>
          <w:kern w:val="0"/>
          <w:sz w:val="24"/>
        </w:rPr>
        <w:t>”填报信息并上传所需材料。</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1. A</w:t>
      </w:r>
      <w:r>
        <w:rPr>
          <w:rFonts w:hint="eastAsia" w:eastAsia="方正仿宋_GBK"/>
          <w:color w:val="000000"/>
          <w:kern w:val="0"/>
          <w:sz w:val="24"/>
        </w:rPr>
        <w:t>类报考人员经网上填报系统核验后，自主选择考试场次，参加无纸化考核。无纸化考核信息在“江苏省建设考试培训网”（</w:t>
      </w:r>
      <w:r>
        <w:rPr>
          <w:rFonts w:eastAsia="方正仿宋_GBK"/>
          <w:color w:val="000000"/>
          <w:kern w:val="0"/>
          <w:sz w:val="24"/>
        </w:rPr>
        <w:t>http</w:t>
      </w:r>
      <w:r>
        <w:rPr>
          <w:rFonts w:hint="eastAsia" w:eastAsia="方正仿宋_GBK"/>
          <w:color w:val="000000"/>
          <w:kern w:val="0"/>
          <w:sz w:val="24"/>
        </w:rPr>
        <w:t>：</w:t>
      </w:r>
      <w:r>
        <w:rPr>
          <w:rFonts w:eastAsia="方正仿宋_GBK"/>
          <w:color w:val="000000"/>
          <w:kern w:val="0"/>
          <w:sz w:val="24"/>
        </w:rPr>
        <w:t>//www.jscin.gov.cn/web/kspxw/</w:t>
      </w:r>
      <w:r>
        <w:rPr>
          <w:rFonts w:hint="eastAsia" w:eastAsia="方正仿宋_GBK"/>
          <w:color w:val="000000"/>
          <w:kern w:val="0"/>
          <w:sz w:val="24"/>
        </w:rPr>
        <w:t>）实行动态公布，通过市级行政主管部门转批至省级相关部门，由南京无纸化考核考点承担考核考务工作。</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2. B</w:t>
      </w:r>
      <w:r>
        <w:rPr>
          <w:rFonts w:hint="eastAsia" w:eastAsia="方正仿宋_GBK"/>
          <w:color w:val="000000"/>
          <w:kern w:val="0"/>
          <w:sz w:val="24"/>
        </w:rPr>
        <w:t>类、</w:t>
      </w:r>
      <w:r>
        <w:rPr>
          <w:rFonts w:eastAsia="方正仿宋_GBK"/>
          <w:color w:val="000000"/>
          <w:kern w:val="0"/>
          <w:sz w:val="24"/>
        </w:rPr>
        <w:t>C1</w:t>
      </w:r>
      <w:r>
        <w:rPr>
          <w:rFonts w:hint="eastAsia" w:eastAsia="方正仿宋_GBK"/>
          <w:color w:val="000000"/>
          <w:kern w:val="0"/>
          <w:sz w:val="24"/>
        </w:rPr>
        <w:t>类、</w:t>
      </w:r>
      <w:r>
        <w:rPr>
          <w:rFonts w:eastAsia="方正仿宋_GBK"/>
          <w:color w:val="000000"/>
          <w:kern w:val="0"/>
          <w:sz w:val="24"/>
        </w:rPr>
        <w:t>C2</w:t>
      </w:r>
      <w:r>
        <w:rPr>
          <w:rFonts w:hint="eastAsia" w:eastAsia="方正仿宋_GBK"/>
          <w:color w:val="000000"/>
          <w:kern w:val="0"/>
          <w:sz w:val="24"/>
        </w:rPr>
        <w:t>类报考人员经网上填报系统核验后，通过系统安排考场，参加考核。考点、考核批次将在“江苏省建设考试培训网”（</w:t>
      </w:r>
      <w:r>
        <w:rPr>
          <w:rFonts w:eastAsia="方正仿宋_GBK"/>
          <w:color w:val="000000"/>
          <w:kern w:val="0"/>
          <w:sz w:val="24"/>
        </w:rPr>
        <w:t>http</w:t>
      </w:r>
      <w:r>
        <w:rPr>
          <w:rFonts w:hint="eastAsia" w:eastAsia="方正仿宋_GBK"/>
          <w:color w:val="000000"/>
          <w:kern w:val="0"/>
          <w:sz w:val="24"/>
        </w:rPr>
        <w:t>：</w:t>
      </w:r>
      <w:r>
        <w:rPr>
          <w:rFonts w:eastAsia="方正仿宋_GBK"/>
          <w:color w:val="000000"/>
          <w:kern w:val="0"/>
          <w:sz w:val="24"/>
        </w:rPr>
        <w:t>//www.jscin.gov.cn/web/kspxw/</w:t>
      </w:r>
      <w:r>
        <w:rPr>
          <w:rFonts w:hint="eastAsia" w:eastAsia="方正仿宋_GBK"/>
          <w:color w:val="000000"/>
          <w:kern w:val="0"/>
          <w:sz w:val="24"/>
        </w:rPr>
        <w:t>）公布。</w:t>
      </w:r>
      <w:r>
        <w:rPr>
          <w:rFonts w:eastAsia="方正仿宋_GBK"/>
          <w:color w:val="000000"/>
          <w:kern w:val="0"/>
          <w:sz w:val="24"/>
        </w:rPr>
        <w:t>C1</w:t>
      </w:r>
      <w:r>
        <w:rPr>
          <w:rFonts w:hint="eastAsia" w:eastAsia="方正仿宋_GBK"/>
          <w:color w:val="000000"/>
          <w:kern w:val="0"/>
          <w:sz w:val="24"/>
        </w:rPr>
        <w:t>类和</w:t>
      </w:r>
      <w:r>
        <w:rPr>
          <w:rFonts w:eastAsia="方正仿宋_GBK"/>
          <w:color w:val="000000"/>
          <w:kern w:val="0"/>
          <w:sz w:val="24"/>
        </w:rPr>
        <w:t>C2</w:t>
      </w:r>
      <w:r>
        <w:rPr>
          <w:rFonts w:hint="eastAsia" w:eastAsia="方正仿宋_GBK"/>
          <w:color w:val="000000"/>
          <w:kern w:val="0"/>
          <w:sz w:val="24"/>
        </w:rPr>
        <w:t>类仅可选择其中一类进行报考。</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3.</w:t>
      </w:r>
      <w:r>
        <w:rPr>
          <w:rFonts w:hint="eastAsia" w:eastAsia="方正仿宋_GBK"/>
          <w:color w:val="000000"/>
          <w:kern w:val="0"/>
          <w:sz w:val="24"/>
        </w:rPr>
        <w:t>在“江苏省建筑业监管信息平台”中申请过但未参加考核的，以及新申请参加考核的报考人员，均向企业所在地建设行政主管部门提出报名申请。</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（三）报名条件</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申请建筑施工企业“安管人员”应当具备以下基本条件：</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1. </w:t>
      </w:r>
      <w:r>
        <w:rPr>
          <w:rFonts w:hint="eastAsia" w:eastAsia="方正仿宋_GBK"/>
          <w:color w:val="000000"/>
          <w:kern w:val="0"/>
          <w:sz w:val="24"/>
        </w:rPr>
        <w:t>从事管理工作的在职人员；</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2. </w:t>
      </w:r>
      <w:r>
        <w:rPr>
          <w:rFonts w:hint="eastAsia" w:eastAsia="方正仿宋_GBK"/>
          <w:color w:val="000000"/>
          <w:kern w:val="0"/>
          <w:sz w:val="24"/>
        </w:rPr>
        <w:t>与所在企业确立劳动关系；</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3. </w:t>
      </w:r>
      <w:r>
        <w:rPr>
          <w:rFonts w:hint="eastAsia" w:eastAsia="方正仿宋_GBK"/>
          <w:color w:val="000000"/>
          <w:kern w:val="0"/>
          <w:sz w:val="24"/>
        </w:rPr>
        <w:t>经所在企业年度安全生产教育培训合格；</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4. </w:t>
      </w:r>
      <w:r>
        <w:rPr>
          <w:rFonts w:hint="eastAsia" w:eastAsia="方正仿宋_GBK"/>
          <w:color w:val="000000"/>
          <w:kern w:val="0"/>
          <w:sz w:val="24"/>
        </w:rPr>
        <w:t>具备下列相应的文化程度、职称、执业资格等条件。</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w:t>
      </w:r>
      <w:r>
        <w:rPr>
          <w:rFonts w:eastAsia="方正仿宋_GBK"/>
          <w:color w:val="000000"/>
          <w:kern w:val="0"/>
          <w:sz w:val="24"/>
        </w:rPr>
        <w:t>1</w:t>
      </w:r>
      <w:r>
        <w:rPr>
          <w:rFonts w:hint="eastAsia" w:eastAsia="方正仿宋_GBK"/>
          <w:color w:val="000000"/>
          <w:kern w:val="0"/>
          <w:sz w:val="24"/>
        </w:rPr>
        <w:t>）主要负责人（</w:t>
      </w:r>
      <w:r>
        <w:rPr>
          <w:rFonts w:eastAsia="方正仿宋_GBK"/>
          <w:color w:val="000000"/>
          <w:kern w:val="0"/>
          <w:sz w:val="24"/>
        </w:rPr>
        <w:t>A</w:t>
      </w:r>
      <w:r>
        <w:rPr>
          <w:rFonts w:hint="eastAsia" w:eastAsia="方正仿宋_GBK"/>
          <w:color w:val="000000"/>
          <w:kern w:val="0"/>
          <w:sz w:val="24"/>
        </w:rPr>
        <w:t>类）</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①具有相应的文化程度（法定代表人除外）；</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②具有相应的专业技术职称（法定代表人除外）。</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w:t>
      </w:r>
      <w:r>
        <w:rPr>
          <w:rFonts w:eastAsia="方正仿宋_GBK"/>
          <w:color w:val="000000"/>
          <w:kern w:val="0"/>
          <w:sz w:val="24"/>
        </w:rPr>
        <w:t>2</w:t>
      </w:r>
      <w:r>
        <w:rPr>
          <w:rFonts w:hint="eastAsia" w:eastAsia="方正仿宋_GBK"/>
          <w:color w:val="000000"/>
          <w:kern w:val="0"/>
          <w:sz w:val="24"/>
        </w:rPr>
        <w:t>）项目负责人（</w:t>
      </w:r>
      <w:r>
        <w:rPr>
          <w:rFonts w:eastAsia="方正仿宋_GBK"/>
          <w:color w:val="000000"/>
          <w:kern w:val="0"/>
          <w:sz w:val="24"/>
        </w:rPr>
        <w:t>B</w:t>
      </w:r>
      <w:r>
        <w:rPr>
          <w:rFonts w:hint="eastAsia" w:eastAsia="方正仿宋_GBK"/>
          <w:color w:val="000000"/>
          <w:kern w:val="0"/>
          <w:sz w:val="24"/>
        </w:rPr>
        <w:t>类）</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取得二级及以上建造师注册执业资格。</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w:t>
      </w:r>
      <w:r>
        <w:rPr>
          <w:rFonts w:eastAsia="方正仿宋_GBK"/>
          <w:color w:val="000000"/>
          <w:kern w:val="0"/>
          <w:sz w:val="24"/>
        </w:rPr>
        <w:t>3</w:t>
      </w:r>
      <w:r>
        <w:rPr>
          <w:rFonts w:hint="eastAsia" w:eastAsia="方正仿宋_GBK"/>
          <w:color w:val="000000"/>
          <w:kern w:val="0"/>
          <w:sz w:val="24"/>
        </w:rPr>
        <w:t>）专职安全生产管理人员（</w:t>
      </w:r>
      <w:r>
        <w:rPr>
          <w:rFonts w:eastAsia="方正仿宋_GBK"/>
          <w:color w:val="000000"/>
          <w:kern w:val="0"/>
          <w:sz w:val="24"/>
        </w:rPr>
        <w:t>C1</w:t>
      </w:r>
      <w:r>
        <w:rPr>
          <w:rFonts w:hint="eastAsia" w:eastAsia="方正仿宋_GBK"/>
          <w:color w:val="000000"/>
          <w:kern w:val="0"/>
          <w:sz w:val="24"/>
        </w:rPr>
        <w:t>类、</w:t>
      </w:r>
      <w:r>
        <w:rPr>
          <w:rFonts w:eastAsia="方正仿宋_GBK"/>
          <w:color w:val="000000"/>
          <w:kern w:val="0"/>
          <w:sz w:val="24"/>
        </w:rPr>
        <w:t>C2</w:t>
      </w:r>
      <w:r>
        <w:rPr>
          <w:rFonts w:hint="eastAsia" w:eastAsia="方正仿宋_GBK"/>
          <w:color w:val="000000"/>
          <w:kern w:val="0"/>
          <w:sz w:val="24"/>
        </w:rPr>
        <w:t>类）</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①年满</w:t>
      </w:r>
      <w:r>
        <w:rPr>
          <w:rFonts w:eastAsia="方正仿宋_GBK"/>
          <w:color w:val="000000"/>
          <w:kern w:val="0"/>
          <w:sz w:val="24"/>
        </w:rPr>
        <w:t>18</w:t>
      </w:r>
      <w:r>
        <w:rPr>
          <w:rFonts w:hint="eastAsia" w:eastAsia="方正仿宋_GBK"/>
          <w:color w:val="000000"/>
          <w:kern w:val="0"/>
          <w:sz w:val="24"/>
        </w:rPr>
        <w:t>周岁未满</w:t>
      </w:r>
      <w:r>
        <w:rPr>
          <w:rFonts w:eastAsia="方正仿宋_GBK"/>
          <w:color w:val="000000"/>
          <w:kern w:val="0"/>
          <w:sz w:val="24"/>
        </w:rPr>
        <w:t>60</w:t>
      </w:r>
      <w:r>
        <w:rPr>
          <w:rFonts w:hint="eastAsia" w:eastAsia="方正仿宋_GBK"/>
          <w:color w:val="000000"/>
          <w:kern w:val="0"/>
          <w:sz w:val="24"/>
        </w:rPr>
        <w:t>周岁，身体健康；</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②具有中专（含高中、中技、职高）及以上文化程度或初级及以上技术职称；</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③从事施工管理工作两年以上。</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（四）报名资料</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报考人员须在</w:t>
      </w:r>
      <w:r>
        <w:rPr>
          <w:rFonts w:eastAsia="方正仿宋_GBK"/>
          <w:color w:val="000000"/>
          <w:kern w:val="0"/>
          <w:sz w:val="24"/>
        </w:rPr>
        <w:t>“</w:t>
      </w:r>
      <w:r>
        <w:rPr>
          <w:rFonts w:hint="eastAsia" w:eastAsia="方正仿宋_GBK"/>
          <w:color w:val="000000"/>
          <w:kern w:val="0"/>
          <w:sz w:val="24"/>
        </w:rPr>
        <w:t>监管平台</w:t>
      </w:r>
      <w:r>
        <w:rPr>
          <w:rFonts w:eastAsia="方正仿宋_GBK"/>
          <w:color w:val="000000"/>
          <w:kern w:val="0"/>
          <w:sz w:val="24"/>
        </w:rPr>
        <w:t>2.0”</w:t>
      </w:r>
      <w:r>
        <w:rPr>
          <w:rFonts w:hint="eastAsia" w:eastAsia="方正仿宋_GBK"/>
          <w:color w:val="000000"/>
          <w:kern w:val="0"/>
          <w:sz w:val="24"/>
        </w:rPr>
        <w:t>内上传以下资料原件扫描件，并签署诚信承诺书，经企业所在地建设行政主管部门网上核验：</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w:t>
      </w:r>
      <w:r>
        <w:rPr>
          <w:rFonts w:eastAsia="方正仿宋_GBK"/>
          <w:color w:val="000000"/>
          <w:kern w:val="0"/>
          <w:sz w:val="24"/>
        </w:rPr>
        <w:t>1</w:t>
      </w:r>
      <w:r>
        <w:rPr>
          <w:rFonts w:hint="eastAsia" w:eastAsia="方正仿宋_GBK"/>
          <w:color w:val="000000"/>
          <w:kern w:val="0"/>
          <w:sz w:val="24"/>
        </w:rPr>
        <w:t>）主要负责人。学历、专业技术职称证、劳动合同、聘用企业安全教育培训合格证明。</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w:t>
      </w:r>
      <w:r>
        <w:rPr>
          <w:rFonts w:eastAsia="方正仿宋_GBK"/>
          <w:color w:val="000000"/>
          <w:kern w:val="0"/>
          <w:sz w:val="24"/>
        </w:rPr>
        <w:t>2</w:t>
      </w:r>
      <w:r>
        <w:rPr>
          <w:rFonts w:hint="eastAsia" w:eastAsia="方正仿宋_GBK"/>
          <w:color w:val="000000"/>
          <w:kern w:val="0"/>
          <w:sz w:val="24"/>
        </w:rPr>
        <w:t>）项目负责人。二级及以上建造师注册证、劳动合同、聘用企业安全教育培训合格证明。</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w:t>
      </w:r>
      <w:r>
        <w:rPr>
          <w:rFonts w:eastAsia="方正仿宋_GBK"/>
          <w:color w:val="000000"/>
          <w:kern w:val="0"/>
          <w:sz w:val="24"/>
        </w:rPr>
        <w:t>3</w:t>
      </w:r>
      <w:r>
        <w:rPr>
          <w:rFonts w:hint="eastAsia" w:eastAsia="方正仿宋_GBK"/>
          <w:color w:val="000000"/>
          <w:kern w:val="0"/>
          <w:sz w:val="24"/>
        </w:rPr>
        <w:t>）安全生产管理人员。学历或初级及以上职称、劳动合同、从事工作年限证明、聘用企业安全教育培训合格证明。</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各地建设行政主管部门通过管理系统进行核验，发现问题及时纠正，确保报考人员数据准确有效。</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（五）二代身份证信息采集</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考核报名采用二代身份证识别技术采集报考人员身份证信息。报考人员可登录</w:t>
      </w:r>
      <w:r>
        <w:rPr>
          <w:rFonts w:eastAsia="方正仿宋_GBK"/>
          <w:color w:val="000000"/>
          <w:kern w:val="0"/>
          <w:sz w:val="24"/>
        </w:rPr>
        <w:t>“</w:t>
      </w:r>
      <w:r>
        <w:rPr>
          <w:rFonts w:hint="eastAsia" w:eastAsia="方正仿宋_GBK"/>
          <w:color w:val="000000"/>
          <w:kern w:val="0"/>
          <w:sz w:val="24"/>
        </w:rPr>
        <w:t>监管平台</w:t>
      </w:r>
      <w:r>
        <w:rPr>
          <w:rFonts w:eastAsia="方正仿宋_GBK"/>
          <w:color w:val="000000"/>
          <w:kern w:val="0"/>
          <w:sz w:val="24"/>
        </w:rPr>
        <w:t>2.0”</w:t>
      </w:r>
      <w:r>
        <w:rPr>
          <w:rFonts w:hint="eastAsia" w:eastAsia="方正仿宋_GBK"/>
          <w:color w:val="000000"/>
          <w:kern w:val="0"/>
          <w:sz w:val="24"/>
        </w:rPr>
        <w:t>，自行通过身份证读卡器扫描完成二代身份证信息采集，也可持二代身份证原件至企业所在地建设行政主管部门进行身份证采集。</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（六）准考证打印</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A</w:t>
      </w:r>
      <w:r>
        <w:rPr>
          <w:rFonts w:hint="eastAsia" w:eastAsia="方正仿宋_GBK"/>
          <w:color w:val="000000"/>
          <w:kern w:val="0"/>
          <w:sz w:val="24"/>
        </w:rPr>
        <w:t>类报考人员，于考前</w:t>
      </w:r>
      <w:r>
        <w:rPr>
          <w:rFonts w:eastAsia="方正仿宋_GBK"/>
          <w:color w:val="000000"/>
          <w:kern w:val="0"/>
          <w:sz w:val="24"/>
        </w:rPr>
        <w:t>3</w:t>
      </w:r>
      <w:r>
        <w:rPr>
          <w:rFonts w:hint="eastAsia" w:eastAsia="方正仿宋_GBK"/>
          <w:color w:val="000000"/>
          <w:kern w:val="0"/>
          <w:sz w:val="24"/>
        </w:rPr>
        <w:t>个工作日内打印准考证；</w:t>
      </w:r>
      <w:r>
        <w:rPr>
          <w:rFonts w:eastAsia="方正仿宋_GBK"/>
          <w:color w:val="000000"/>
          <w:kern w:val="0"/>
          <w:sz w:val="24"/>
        </w:rPr>
        <w:t>B</w:t>
      </w:r>
      <w:r>
        <w:rPr>
          <w:rFonts w:hint="eastAsia" w:eastAsia="方正仿宋_GBK"/>
          <w:color w:val="000000"/>
          <w:kern w:val="0"/>
          <w:sz w:val="24"/>
        </w:rPr>
        <w:t>类、</w:t>
      </w:r>
      <w:r>
        <w:rPr>
          <w:rFonts w:eastAsia="方正仿宋_GBK"/>
          <w:color w:val="000000"/>
          <w:kern w:val="0"/>
          <w:sz w:val="24"/>
        </w:rPr>
        <w:t>C1</w:t>
      </w:r>
      <w:r>
        <w:rPr>
          <w:rFonts w:hint="eastAsia" w:eastAsia="方正仿宋_GBK"/>
          <w:color w:val="000000"/>
          <w:kern w:val="0"/>
          <w:sz w:val="24"/>
        </w:rPr>
        <w:t>类、</w:t>
      </w:r>
      <w:r>
        <w:rPr>
          <w:rFonts w:eastAsia="方正仿宋_GBK"/>
          <w:color w:val="000000"/>
          <w:kern w:val="0"/>
          <w:sz w:val="24"/>
        </w:rPr>
        <w:t>C2</w:t>
      </w:r>
      <w:r>
        <w:rPr>
          <w:rFonts w:hint="eastAsia" w:eastAsia="方正仿宋_GBK"/>
          <w:color w:val="000000"/>
          <w:kern w:val="0"/>
          <w:sz w:val="24"/>
        </w:rPr>
        <w:t>类报考人员，于考前</w:t>
      </w:r>
      <w:r>
        <w:rPr>
          <w:rFonts w:eastAsia="方正仿宋_GBK"/>
          <w:color w:val="000000"/>
          <w:kern w:val="0"/>
          <w:sz w:val="24"/>
        </w:rPr>
        <w:t>5</w:t>
      </w:r>
      <w:r>
        <w:rPr>
          <w:rFonts w:hint="eastAsia" w:eastAsia="方正仿宋_GBK"/>
          <w:color w:val="000000"/>
          <w:kern w:val="0"/>
          <w:sz w:val="24"/>
        </w:rPr>
        <w:t>个工作日内打印准考证。</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五、证书管理</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根据住房城乡建设部办公厅《关于同意在江苏省内开展从业人员有关证书电子化试点的复函》（建办人函〔</w:t>
      </w:r>
      <w:r>
        <w:rPr>
          <w:rFonts w:eastAsia="方正仿宋_GBK"/>
          <w:color w:val="000000"/>
          <w:kern w:val="0"/>
          <w:sz w:val="24"/>
        </w:rPr>
        <w:t>2017</w:t>
      </w:r>
      <w:r>
        <w:rPr>
          <w:rFonts w:hint="eastAsia" w:eastAsia="方正仿宋_GBK"/>
          <w:color w:val="000000"/>
          <w:kern w:val="0"/>
          <w:sz w:val="24"/>
        </w:rPr>
        <w:t>〕</w:t>
      </w:r>
      <w:r>
        <w:rPr>
          <w:rFonts w:eastAsia="方正仿宋_GBK"/>
          <w:color w:val="000000"/>
          <w:kern w:val="0"/>
          <w:sz w:val="24"/>
        </w:rPr>
        <w:t>470</w:t>
      </w:r>
      <w:r>
        <w:rPr>
          <w:rFonts w:hint="eastAsia" w:eastAsia="方正仿宋_GBK"/>
          <w:color w:val="000000"/>
          <w:kern w:val="0"/>
          <w:sz w:val="24"/>
        </w:rPr>
        <w:t>号）文件精神，我省将逐步推行“安管人员”电子证书。</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w:t>
      </w:r>
      <w:r>
        <w:rPr>
          <w:rFonts w:hint="eastAsia" w:eastAsia="方正仿宋_GBK"/>
          <w:color w:val="000000"/>
          <w:kern w:val="0"/>
          <w:sz w:val="24"/>
        </w:rPr>
        <w:t>一</w:t>
      </w:r>
      <w:r>
        <w:rPr>
          <w:rFonts w:eastAsia="方正仿宋_GBK"/>
          <w:color w:val="000000"/>
          <w:kern w:val="0"/>
          <w:sz w:val="24"/>
        </w:rPr>
        <w:t>)</w:t>
      </w:r>
      <w:r>
        <w:rPr>
          <w:rFonts w:hint="eastAsia" w:eastAsia="方正仿宋_GBK"/>
          <w:color w:val="000000"/>
          <w:kern w:val="0"/>
          <w:sz w:val="24"/>
        </w:rPr>
        <w:t>启用电子证书</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1. </w:t>
      </w:r>
      <w:r>
        <w:rPr>
          <w:rFonts w:hint="eastAsia" w:eastAsia="方正仿宋_GBK"/>
          <w:color w:val="000000"/>
          <w:kern w:val="0"/>
          <w:sz w:val="24"/>
        </w:rPr>
        <w:t>自我省正式推行“安管人员”电子证书起，对于考核合格者，启用“建筑施工企业主要负责人安全生产考核合格证书”</w:t>
      </w:r>
      <w:r>
        <w:rPr>
          <w:rFonts w:eastAsia="方正仿宋_GBK"/>
          <w:color w:val="000000"/>
          <w:kern w:val="0"/>
          <w:sz w:val="24"/>
        </w:rPr>
        <w:t xml:space="preserve"> </w:t>
      </w:r>
      <w:r>
        <w:rPr>
          <w:rFonts w:hint="eastAsia" w:eastAsia="方正仿宋_GBK"/>
          <w:color w:val="000000"/>
          <w:kern w:val="0"/>
          <w:sz w:val="24"/>
        </w:rPr>
        <w:t>“建筑施工企业项目负责人安全生产考核合格证书”和“建筑施工企业专职安全生产管理人员安全生产考核合格证书”电子证书，不再发放纸质证书（与原纸质证书有同等效能）。对于持有原纸质证书办理变更、延续业务的，不再在原证书上打印相关信息，相关信息在电子证书上显示。</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2. </w:t>
      </w:r>
      <w:r>
        <w:rPr>
          <w:rFonts w:hint="eastAsia" w:eastAsia="方正仿宋_GBK"/>
          <w:color w:val="000000"/>
          <w:kern w:val="0"/>
          <w:sz w:val="24"/>
        </w:rPr>
        <w:t>在我省正式推行“安管人员”电子证书前，已取得的纸质“安全生产考核合格证书”统一生成电子证书。</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3. </w:t>
      </w:r>
      <w:r>
        <w:rPr>
          <w:rFonts w:hint="eastAsia" w:eastAsia="方正仿宋_GBK"/>
          <w:color w:val="000000"/>
          <w:kern w:val="0"/>
          <w:sz w:val="24"/>
        </w:rPr>
        <w:t>启用电子证书后，取消证书遗失补办业务。</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（二）证书换发</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自我省正式推行“安管人员”电子证书起，原</w:t>
      </w:r>
      <w:r>
        <w:rPr>
          <w:rFonts w:eastAsia="方正仿宋_GBK"/>
          <w:color w:val="000000"/>
          <w:kern w:val="0"/>
          <w:sz w:val="24"/>
        </w:rPr>
        <w:t>C</w:t>
      </w:r>
      <w:r>
        <w:rPr>
          <w:rFonts w:hint="eastAsia" w:eastAsia="方正仿宋_GBK"/>
          <w:color w:val="000000"/>
          <w:kern w:val="0"/>
          <w:sz w:val="24"/>
        </w:rPr>
        <w:t>类证书持证人员按自愿原则可一次性换发</w:t>
      </w:r>
      <w:r>
        <w:rPr>
          <w:rFonts w:eastAsia="方正仿宋_GBK"/>
          <w:color w:val="000000"/>
          <w:kern w:val="0"/>
          <w:sz w:val="24"/>
        </w:rPr>
        <w:t>C1</w:t>
      </w:r>
      <w:r>
        <w:rPr>
          <w:rFonts w:hint="eastAsia" w:eastAsia="方正仿宋_GBK"/>
          <w:color w:val="000000"/>
          <w:kern w:val="0"/>
          <w:sz w:val="24"/>
        </w:rPr>
        <w:t>类或</w:t>
      </w:r>
      <w:r>
        <w:rPr>
          <w:rFonts w:eastAsia="方正仿宋_GBK"/>
          <w:color w:val="000000"/>
          <w:kern w:val="0"/>
          <w:sz w:val="24"/>
        </w:rPr>
        <w:t>C2</w:t>
      </w:r>
      <w:r>
        <w:rPr>
          <w:rFonts w:hint="eastAsia" w:eastAsia="方正仿宋_GBK"/>
          <w:color w:val="000000"/>
          <w:kern w:val="0"/>
          <w:sz w:val="24"/>
        </w:rPr>
        <w:t>类电子证书。持证人员在</w:t>
      </w:r>
      <w:r>
        <w:rPr>
          <w:rFonts w:eastAsia="方正仿宋_GBK"/>
          <w:color w:val="000000"/>
          <w:kern w:val="0"/>
          <w:sz w:val="24"/>
        </w:rPr>
        <w:t>“</w:t>
      </w:r>
      <w:r>
        <w:rPr>
          <w:rFonts w:hint="eastAsia" w:eastAsia="方正仿宋_GBK"/>
          <w:color w:val="000000"/>
          <w:kern w:val="0"/>
          <w:sz w:val="24"/>
        </w:rPr>
        <w:t>监管平台</w:t>
      </w:r>
      <w:r>
        <w:rPr>
          <w:rFonts w:eastAsia="方正仿宋_GBK"/>
          <w:color w:val="000000"/>
          <w:kern w:val="0"/>
          <w:sz w:val="24"/>
        </w:rPr>
        <w:t>2.0”</w:t>
      </w:r>
      <w:r>
        <w:rPr>
          <w:rFonts w:hint="eastAsia" w:eastAsia="方正仿宋_GBK"/>
          <w:color w:val="000000"/>
          <w:kern w:val="0"/>
          <w:sz w:val="24"/>
        </w:rPr>
        <w:t>内上传“安管人员”证书换发申请，上传申请表、诚信承诺书（本人签名），经省级行政主管部门核验通过后，自动生成电子证书。换证申请截止日期为</w:t>
      </w:r>
      <w:r>
        <w:rPr>
          <w:rFonts w:eastAsia="方正仿宋_GBK"/>
          <w:color w:val="000000"/>
          <w:kern w:val="0"/>
          <w:sz w:val="24"/>
        </w:rPr>
        <w:t>2019</w:t>
      </w:r>
      <w:r>
        <w:rPr>
          <w:rFonts w:hint="eastAsia" w:eastAsia="方正仿宋_GBK"/>
          <w:color w:val="000000"/>
          <w:kern w:val="0"/>
          <w:sz w:val="24"/>
        </w:rPr>
        <w:t>年</w:t>
      </w:r>
      <w:r>
        <w:rPr>
          <w:rFonts w:eastAsia="方正仿宋_GBK"/>
          <w:color w:val="000000"/>
          <w:kern w:val="0"/>
          <w:sz w:val="24"/>
        </w:rPr>
        <w:t>12</w:t>
      </w:r>
      <w:r>
        <w:rPr>
          <w:rFonts w:hint="eastAsia" w:eastAsia="方正仿宋_GBK"/>
          <w:color w:val="000000"/>
          <w:kern w:val="0"/>
          <w:sz w:val="24"/>
        </w:rPr>
        <w:t>月</w:t>
      </w:r>
      <w:r>
        <w:rPr>
          <w:rFonts w:eastAsia="方正仿宋_GBK"/>
          <w:color w:val="000000"/>
          <w:kern w:val="0"/>
          <w:sz w:val="24"/>
        </w:rPr>
        <w:t>31</w:t>
      </w:r>
      <w:r>
        <w:rPr>
          <w:rFonts w:hint="eastAsia" w:eastAsia="方正仿宋_GBK"/>
          <w:color w:val="000000"/>
          <w:kern w:val="0"/>
          <w:sz w:val="24"/>
        </w:rPr>
        <w:t>日。</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（三）业务办理流程</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“安管人员”的变更、延续、注销等业务，企业须通过“监管平台</w:t>
      </w:r>
      <w:r>
        <w:rPr>
          <w:rFonts w:eastAsia="方正仿宋_GBK"/>
          <w:color w:val="000000"/>
          <w:kern w:val="0"/>
          <w:sz w:val="24"/>
        </w:rPr>
        <w:t>2.0</w:t>
      </w:r>
      <w:r>
        <w:rPr>
          <w:rFonts w:hint="eastAsia" w:eastAsia="方正仿宋_GBK"/>
          <w:color w:val="000000"/>
          <w:kern w:val="0"/>
          <w:sz w:val="24"/>
        </w:rPr>
        <w:t>”申请，具体事项另行通知。</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六、工作要求</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安管人员”考核管理工作，事关我省建筑施工安全管人员队伍建设及行业健康发展，各地应高度重视，按照考核管理及“放管服”各项工作要求，快速掌握新流程、新标准，有效加强监督检查机制，强化重点事项、关键环节事中事后监管，各地应将提高报名服务质量、严格考风考纪管理、强化证书事项办理等重点任务落实到位。</w:t>
      </w:r>
    </w:p>
    <w:p>
      <w:pPr>
        <w:shd w:val="clear" w:color="auto" w:fill="FFFFFF"/>
        <w:spacing w:line="460" w:lineRule="exact"/>
        <w:ind w:firstLine="480" w:firstLineChars="200"/>
        <w:jc w:val="left"/>
        <w:rPr>
          <w:rFonts w:eastAsia="方正仿宋_GBK"/>
          <w:color w:val="000000"/>
          <w:kern w:val="0"/>
          <w:sz w:val="24"/>
        </w:rPr>
      </w:pPr>
      <w:r>
        <w:rPr>
          <w:rFonts w:hint="eastAsia" w:eastAsia="方正仿宋_GBK"/>
          <w:color w:val="000000"/>
          <w:kern w:val="0"/>
          <w:sz w:val="24"/>
        </w:rPr>
        <w:t>联系方式</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1. </w:t>
      </w:r>
      <w:r>
        <w:rPr>
          <w:rFonts w:hint="eastAsia" w:eastAsia="方正仿宋_GBK"/>
          <w:color w:val="000000"/>
          <w:kern w:val="0"/>
          <w:sz w:val="24"/>
        </w:rPr>
        <w:t>考核申请联系方式</w:t>
      </w:r>
      <w:r>
        <w:rPr>
          <w:rFonts w:eastAsia="方正仿宋_GBK"/>
          <w:color w:val="000000"/>
          <w:kern w:val="0"/>
          <w:sz w:val="24"/>
        </w:rPr>
        <w:t xml:space="preserve">   </w:t>
      </w:r>
      <w:r>
        <w:rPr>
          <w:rFonts w:hint="eastAsia" w:eastAsia="方正仿宋_GBK"/>
          <w:color w:val="000000"/>
          <w:kern w:val="0"/>
          <w:sz w:val="24"/>
        </w:rPr>
        <w:t>徐锋</w:t>
      </w:r>
      <w:r>
        <w:rPr>
          <w:rFonts w:eastAsia="方正仿宋_GBK"/>
          <w:color w:val="000000"/>
          <w:kern w:val="0"/>
          <w:sz w:val="24"/>
        </w:rPr>
        <w:t xml:space="preserve">  025-51868676</w:t>
      </w:r>
    </w:p>
    <w:p>
      <w:pPr>
        <w:shd w:val="clear" w:color="auto" w:fill="FFFFFF"/>
        <w:spacing w:line="460" w:lineRule="exact"/>
        <w:ind w:firstLine="480" w:firstLineChars="200"/>
        <w:jc w:val="left"/>
        <w:rPr>
          <w:rFonts w:eastAsia="方正仿宋_GBK"/>
          <w:color w:val="000000"/>
          <w:kern w:val="0"/>
          <w:sz w:val="24"/>
        </w:rPr>
      </w:pPr>
      <w:r>
        <w:rPr>
          <w:rFonts w:eastAsia="方正仿宋_GBK"/>
          <w:color w:val="000000"/>
          <w:kern w:val="0"/>
          <w:sz w:val="24"/>
        </w:rPr>
        <w:t xml:space="preserve">2. </w:t>
      </w:r>
      <w:r>
        <w:rPr>
          <w:rFonts w:hint="eastAsia" w:eastAsia="方正仿宋_GBK"/>
          <w:color w:val="000000"/>
          <w:kern w:val="0"/>
          <w:sz w:val="24"/>
        </w:rPr>
        <w:t>证书管理联系方式</w:t>
      </w:r>
      <w:r>
        <w:rPr>
          <w:rFonts w:eastAsia="方正仿宋_GBK"/>
          <w:color w:val="000000"/>
          <w:kern w:val="0"/>
          <w:sz w:val="24"/>
        </w:rPr>
        <w:t xml:space="preserve">   </w:t>
      </w:r>
      <w:r>
        <w:rPr>
          <w:rFonts w:hint="eastAsia" w:eastAsia="方正仿宋_GBK"/>
          <w:color w:val="000000"/>
          <w:kern w:val="0"/>
          <w:sz w:val="24"/>
        </w:rPr>
        <w:t>蒋衍</w:t>
      </w:r>
      <w:r>
        <w:rPr>
          <w:rFonts w:eastAsia="方正仿宋_GBK"/>
          <w:color w:val="000000"/>
          <w:kern w:val="0"/>
          <w:sz w:val="24"/>
        </w:rPr>
        <w:t xml:space="preserve">  025-51868235</w:t>
      </w:r>
    </w:p>
    <w:p>
      <w:pPr>
        <w:shd w:val="clear" w:color="auto" w:fill="FFFFFF"/>
        <w:spacing w:line="460" w:lineRule="exact"/>
        <w:ind w:firstLine="480" w:firstLineChars="200"/>
        <w:jc w:val="right"/>
        <w:rPr>
          <w:rFonts w:eastAsia="方正仿宋_GBK"/>
          <w:color w:val="000000"/>
          <w:kern w:val="0"/>
          <w:sz w:val="24"/>
        </w:rPr>
      </w:pPr>
      <w:r>
        <w:rPr>
          <w:rFonts w:hint="eastAsia" w:eastAsia="方正仿宋_GBK"/>
          <w:color w:val="000000"/>
          <w:kern w:val="0"/>
          <w:sz w:val="24"/>
        </w:rPr>
        <w:t>江苏省住房和城乡建设厅</w:t>
      </w:r>
    </w:p>
    <w:p>
      <w:pPr>
        <w:spacing w:line="460" w:lineRule="exact"/>
        <w:rPr>
          <w:rFonts w:eastAsia="方正仿宋_GBK"/>
          <w:color w:val="000000"/>
          <w:spacing w:val="-2"/>
          <w:sz w:val="24"/>
        </w:rPr>
      </w:pPr>
      <w:r>
        <w:rPr>
          <w:rFonts w:eastAsia="方正仿宋_GBK"/>
          <w:color w:val="000000"/>
          <w:kern w:val="0"/>
          <w:sz w:val="24"/>
        </w:rPr>
        <w:t xml:space="preserve">                                                     2017</w:t>
      </w:r>
      <w:r>
        <w:rPr>
          <w:rFonts w:hint="eastAsia" w:eastAsia="方正仿宋_GBK"/>
          <w:color w:val="000000"/>
          <w:kern w:val="0"/>
          <w:sz w:val="24"/>
        </w:rPr>
        <w:t>年</w:t>
      </w:r>
      <w:r>
        <w:rPr>
          <w:rFonts w:eastAsia="方正仿宋_GBK"/>
          <w:color w:val="000000"/>
          <w:kern w:val="0"/>
          <w:sz w:val="24"/>
        </w:rPr>
        <w:t>9</w:t>
      </w:r>
      <w:r>
        <w:rPr>
          <w:rFonts w:hint="eastAsia" w:eastAsia="方正仿宋_GBK"/>
          <w:color w:val="000000"/>
          <w:kern w:val="0"/>
          <w:sz w:val="24"/>
        </w:rPr>
        <w:t>月</w:t>
      </w:r>
      <w:r>
        <w:rPr>
          <w:rFonts w:eastAsia="方正仿宋_GBK"/>
          <w:color w:val="000000"/>
          <w:kern w:val="0"/>
          <w:sz w:val="24"/>
        </w:rPr>
        <w:t>11</w:t>
      </w:r>
      <w:r>
        <w:rPr>
          <w:rFonts w:hint="eastAsia" w:eastAsia="方正仿宋_GBK"/>
          <w:color w:val="000000"/>
          <w:kern w:val="0"/>
          <w:sz w:val="24"/>
        </w:rPr>
        <w:t>日</w:t>
      </w:r>
    </w:p>
    <w:p>
      <w:pPr>
        <w:pStyle w:val="2"/>
        <w:spacing w:before="240" w:beforeLines="100" w:after="240" w:afterLines="100" w:line="240" w:lineRule="auto"/>
        <w:jc w:val="center"/>
        <w:rPr>
          <w:rFonts w:ascii="Times New Roman" w:eastAsia="方正小标宋_GBK"/>
          <w:b w:val="0"/>
          <w:sz w:val="36"/>
          <w:szCs w:val="36"/>
        </w:rPr>
      </w:pPr>
      <w:bookmarkStart w:id="639" w:name="_Toc20726665"/>
      <w:bookmarkStart w:id="640" w:name="_Toc18315805"/>
      <w:bookmarkStart w:id="641" w:name="_Toc20726676"/>
      <w:bookmarkStart w:id="642" w:name="_Toc18315813"/>
      <w:r>
        <w:rPr>
          <w:rFonts w:hint="eastAsia" w:ascii="Times New Roman" w:eastAsia="方正小标宋_GBK"/>
          <w:b w:val="0"/>
          <w:sz w:val="36"/>
          <w:szCs w:val="36"/>
        </w:rPr>
        <w:t>江苏省住房和城乡建设厅关于试行调整部分</w:t>
      </w:r>
      <w:bookmarkEnd w:id="639"/>
      <w:bookmarkEnd w:id="640"/>
      <w:bookmarkStart w:id="643" w:name="_Toc18315806"/>
      <w:bookmarkStart w:id="644" w:name="_Toc20726666"/>
      <w:r>
        <w:rPr>
          <w:rFonts w:hint="eastAsia" w:ascii="Times New Roman" w:eastAsia="方正小标宋_GBK"/>
          <w:b w:val="0"/>
          <w:sz w:val="36"/>
          <w:szCs w:val="36"/>
        </w:rPr>
        <w:t>江苏省二级造价工程师职业资格</w:t>
      </w:r>
      <w:bookmarkEnd w:id="643"/>
      <w:bookmarkEnd w:id="644"/>
      <w:bookmarkStart w:id="645" w:name="_Toc20726667"/>
      <w:bookmarkStart w:id="646" w:name="_Toc18315807"/>
      <w:r>
        <w:rPr>
          <w:rFonts w:hint="eastAsia" w:ascii="Times New Roman" w:eastAsia="方正小标宋_GBK"/>
          <w:b w:val="0"/>
          <w:sz w:val="36"/>
          <w:szCs w:val="36"/>
        </w:rPr>
        <w:t>考试实施办法(试行)</w:t>
      </w:r>
      <w:bookmarkEnd w:id="645"/>
      <w:bookmarkEnd w:id="646"/>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47" w:name="_Toc18315808"/>
      <w:bookmarkStart w:id="648" w:name="_Toc20726668"/>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2019</w:t>
      </w:r>
      <w:r>
        <w:rPr>
          <w:rFonts w:hint="eastAsia" w:ascii="Times New Roman" w:hAnsi="Times New Roman" w:eastAsia="方正楷体_GBK"/>
          <w:b w:val="0"/>
          <w:sz w:val="24"/>
          <w:szCs w:val="24"/>
        </w:rPr>
        <w:t>〕</w:t>
      </w:r>
      <w:r>
        <w:rPr>
          <w:rFonts w:ascii="Times New Roman" w:hAnsi="Times New Roman" w:eastAsia="方正楷体_GBK"/>
          <w:b w:val="0"/>
          <w:sz w:val="24"/>
          <w:szCs w:val="24"/>
        </w:rPr>
        <w:t>3</w:t>
      </w:r>
      <w:r>
        <w:rPr>
          <w:rFonts w:hint="eastAsia" w:ascii="Times New Roman" w:hAnsi="Times New Roman" w:eastAsia="方正楷体_GBK"/>
          <w:b w:val="0"/>
          <w:sz w:val="24"/>
          <w:szCs w:val="24"/>
        </w:rPr>
        <w:t>号</w:t>
      </w:r>
      <w:bookmarkEnd w:id="647"/>
      <w:bookmarkEnd w:id="648"/>
    </w:p>
    <w:p>
      <w:pPr>
        <w:spacing w:line="460" w:lineRule="exact"/>
        <w:ind w:firstLine="480" w:firstLineChars="200"/>
        <w:rPr>
          <w:rFonts w:eastAsia="方正仿宋_GBK" w:cs="仿宋_GB2312"/>
          <w:color w:val="000000"/>
          <w:sz w:val="24"/>
        </w:rPr>
      </w:pPr>
      <w:r>
        <w:rPr>
          <w:rFonts w:hint="eastAsia" w:ascii="Times New Roman" w:hAnsi="Times New Roman" w:eastAsia="黑体" w:cs="仿宋_GB2312"/>
          <w:color w:val="000000"/>
          <w:sz w:val="24"/>
        </w:rPr>
        <w:t xml:space="preserve">第一条  </w:t>
      </w:r>
      <w:r>
        <w:rPr>
          <w:rFonts w:hint="eastAsia" w:eastAsia="方正仿宋_GBK" w:cs="仿宋_GB2312"/>
          <w:color w:val="000000"/>
          <w:sz w:val="24"/>
        </w:rPr>
        <w:t>根据住房城乡建设部、交通运输部、水利部、人力资源社会保障部《造价工程师职业资格制度规定》和《造价工程师职业资格考试实施办法》有关规定，为做好我省二级造价工程师职业资格考试工作，制定本办法。</w:t>
      </w:r>
    </w:p>
    <w:p>
      <w:pPr>
        <w:spacing w:line="460" w:lineRule="exact"/>
        <w:ind w:firstLine="660"/>
        <w:rPr>
          <w:rFonts w:eastAsia="方正仿宋_GBK" w:cs="仿宋_GB2312"/>
          <w:color w:val="000000"/>
          <w:sz w:val="24"/>
        </w:rPr>
      </w:pPr>
      <w:r>
        <w:rPr>
          <w:rFonts w:hint="eastAsia" w:ascii="Times New Roman" w:hAnsi="Times New Roman" w:eastAsia="黑体" w:cs="仿宋_GB2312"/>
          <w:color w:val="000000"/>
          <w:sz w:val="24"/>
        </w:rPr>
        <w:t xml:space="preserve">第二条  </w:t>
      </w:r>
      <w:r>
        <w:rPr>
          <w:rFonts w:hint="eastAsia" w:eastAsia="方正仿宋_GBK" w:cs="仿宋_GB2312"/>
          <w:color w:val="000000"/>
          <w:sz w:val="24"/>
        </w:rPr>
        <w:t>省住房城乡建设厅、省交通运输厅、省水利厅、省人力资源社会保障厅按照职责分工负责实施与监管我省二级造价工程师职业资格考试。</w:t>
      </w:r>
    </w:p>
    <w:p>
      <w:pPr>
        <w:spacing w:line="460" w:lineRule="exact"/>
        <w:ind w:firstLine="645"/>
        <w:rPr>
          <w:rFonts w:eastAsia="方正仿宋_GBK" w:cs="仿宋_GB2312"/>
          <w:color w:val="000000"/>
          <w:sz w:val="24"/>
        </w:rPr>
      </w:pPr>
      <w:r>
        <w:rPr>
          <w:rFonts w:hint="eastAsia" w:eastAsia="方正仿宋_GBK" w:cs="仿宋_GB2312"/>
          <w:color w:val="000000"/>
          <w:sz w:val="24"/>
        </w:rPr>
        <w:t>省住房城乡建设厅、省交通运输厅、省水利厅共同负责二级造价工程师职业资格考试的命审题、阅卷等工作。省住房城乡建设厅负责基础科目和各专业科目的命审题组织及管理工作。省交通运输厅和省水利厅分别负责交通运输工程专业、水利工程专业命题专家的选派工作。省人力资源社会保障厅会同省住房城乡建设厅、省交通运输厅、省水利厅确定合格标准、公布考试结果、核发合格证书。</w:t>
      </w:r>
    </w:p>
    <w:p>
      <w:pPr>
        <w:spacing w:line="460" w:lineRule="exact"/>
        <w:ind w:firstLine="645"/>
        <w:rPr>
          <w:rFonts w:eastAsia="方正仿宋_GBK" w:cs="仿宋_GB2312"/>
          <w:color w:val="000000"/>
          <w:sz w:val="24"/>
        </w:rPr>
      </w:pPr>
      <w:r>
        <w:rPr>
          <w:rFonts w:hint="eastAsia" w:eastAsia="方正仿宋_GBK" w:cs="仿宋_GB2312"/>
          <w:color w:val="000000"/>
          <w:sz w:val="24"/>
        </w:rPr>
        <w:t>二级造价工程师资格考试具体命题、考务工作委托省住房城乡建设厅执业资格考试与注册中心承担，省人事考试中心参与。</w:t>
      </w:r>
    </w:p>
    <w:p>
      <w:pPr>
        <w:spacing w:line="460" w:lineRule="exact"/>
        <w:ind w:firstLine="480" w:firstLineChars="200"/>
        <w:rPr>
          <w:rFonts w:eastAsia="方正仿宋_GBK" w:cs="仿宋_GB2312"/>
          <w:color w:val="000000"/>
          <w:sz w:val="24"/>
        </w:rPr>
      </w:pPr>
      <w:r>
        <w:rPr>
          <w:rFonts w:hint="eastAsia" w:ascii="Times New Roman" w:hAnsi="Times New Roman" w:eastAsia="黑体" w:cs="仿宋_GB2312"/>
          <w:color w:val="000000"/>
          <w:sz w:val="24"/>
        </w:rPr>
        <w:t>第三条</w:t>
      </w:r>
      <w:r>
        <w:rPr>
          <w:rFonts w:eastAsia="方正仿宋_GBK" w:cs="仿宋_GB2312"/>
          <w:color w:val="000000"/>
          <w:sz w:val="24"/>
        </w:rPr>
        <w:t xml:space="preserve">  </w:t>
      </w:r>
      <w:r>
        <w:rPr>
          <w:rFonts w:hint="eastAsia" w:eastAsia="方正仿宋_GBK" w:cs="仿宋_GB2312"/>
          <w:color w:val="000000"/>
          <w:sz w:val="24"/>
        </w:rPr>
        <w:t>二级造价工程师职业资格考试设《建设工程造价管理基础知识》和《建设工程计量与计价实务》</w:t>
      </w:r>
      <w:r>
        <w:rPr>
          <w:rFonts w:eastAsia="方正仿宋_GBK" w:cs="仿宋_GB2312"/>
          <w:color w:val="000000"/>
          <w:sz w:val="24"/>
        </w:rPr>
        <w:t>2</w:t>
      </w:r>
      <w:r>
        <w:rPr>
          <w:rFonts w:hint="eastAsia" w:eastAsia="方正仿宋_GBK" w:cs="仿宋_GB2312"/>
          <w:color w:val="000000"/>
          <w:sz w:val="24"/>
        </w:rPr>
        <w:t>个科目。考试分</w:t>
      </w:r>
      <w:r>
        <w:rPr>
          <w:rFonts w:eastAsia="方正仿宋_GBK" w:cs="仿宋_GB2312"/>
          <w:color w:val="000000"/>
          <w:sz w:val="24"/>
        </w:rPr>
        <w:t>2</w:t>
      </w:r>
      <w:r>
        <w:rPr>
          <w:rFonts w:hint="eastAsia" w:eastAsia="方正仿宋_GBK" w:cs="仿宋_GB2312"/>
          <w:color w:val="000000"/>
          <w:sz w:val="24"/>
        </w:rPr>
        <w:t>个半天。其中，《建设工程造价管理基础知识》为基础科目，考试时间为</w:t>
      </w:r>
      <w:r>
        <w:rPr>
          <w:rFonts w:eastAsia="方正仿宋_GBK" w:cs="仿宋_GB2312"/>
          <w:color w:val="000000"/>
          <w:sz w:val="24"/>
        </w:rPr>
        <w:t>2.5</w:t>
      </w:r>
      <w:r>
        <w:rPr>
          <w:rFonts w:hint="eastAsia" w:eastAsia="方正仿宋_GBK" w:cs="仿宋_GB2312"/>
          <w:color w:val="000000"/>
          <w:sz w:val="24"/>
        </w:rPr>
        <w:t>小时；《建设工程计量与计价实务》为专业科目，考试时间为</w:t>
      </w:r>
      <w:r>
        <w:rPr>
          <w:rFonts w:eastAsia="方正仿宋_GBK" w:cs="仿宋_GB2312"/>
          <w:color w:val="000000"/>
          <w:sz w:val="24"/>
        </w:rPr>
        <w:t>3</w:t>
      </w:r>
      <w:r>
        <w:rPr>
          <w:rFonts w:hint="eastAsia" w:eastAsia="方正仿宋_GBK" w:cs="仿宋_GB2312"/>
          <w:color w:val="000000"/>
          <w:sz w:val="24"/>
        </w:rPr>
        <w:t>小时。</w:t>
      </w:r>
      <w:r>
        <w:rPr>
          <w:rFonts w:eastAsia="方正仿宋_GBK" w:cs="仿宋_GB2312"/>
          <w:color w:val="000000"/>
          <w:sz w:val="24"/>
        </w:rPr>
        <w:t xml:space="preserve"> </w:t>
      </w:r>
    </w:p>
    <w:p>
      <w:pPr>
        <w:spacing w:line="460" w:lineRule="exact"/>
        <w:ind w:firstLine="480" w:firstLineChars="200"/>
        <w:rPr>
          <w:rFonts w:eastAsia="方正仿宋_GBK" w:cs="仿宋_GB2312"/>
          <w:color w:val="000000"/>
          <w:sz w:val="24"/>
        </w:rPr>
      </w:pPr>
      <w:r>
        <w:rPr>
          <w:rFonts w:hint="eastAsia" w:ascii="Times New Roman" w:hAnsi="Times New Roman" w:eastAsia="黑体" w:cs="仿宋_GB2312"/>
          <w:color w:val="000000"/>
          <w:sz w:val="24"/>
        </w:rPr>
        <w:t xml:space="preserve">第四条  </w:t>
      </w:r>
      <w:r>
        <w:rPr>
          <w:rFonts w:hint="eastAsia" w:eastAsia="方正仿宋_GBK" w:cs="仿宋_GB2312"/>
          <w:color w:val="000000"/>
          <w:sz w:val="24"/>
        </w:rPr>
        <w:t>二级造价工程师职业资格考试专业科目分土木建筑工程、交通运输工程、水利水电工程和安装工程</w:t>
      </w:r>
      <w:r>
        <w:rPr>
          <w:rFonts w:eastAsia="方正仿宋_GBK" w:cs="仿宋_GB2312"/>
          <w:color w:val="000000"/>
          <w:sz w:val="24"/>
        </w:rPr>
        <w:t>4</w:t>
      </w:r>
      <w:r>
        <w:rPr>
          <w:rFonts w:hint="eastAsia" w:eastAsia="方正仿宋_GBK" w:cs="仿宋_GB2312"/>
          <w:color w:val="000000"/>
          <w:sz w:val="24"/>
        </w:rPr>
        <w:t>个专业类别，考生在报名时可根据实际工作需要选择其一。其中，土木建筑工程、安装工程专业由省住房城乡建设厅负责；交通运输工程专业由省交通运输厅负责；水利工程专业由省水利厅负责。</w:t>
      </w:r>
      <w:r>
        <w:rPr>
          <w:rFonts w:eastAsia="方正仿宋_GBK" w:cs="仿宋_GB2312"/>
          <w:color w:val="000000"/>
          <w:sz w:val="24"/>
        </w:rPr>
        <w:t xml:space="preserve">  </w:t>
      </w:r>
    </w:p>
    <w:p>
      <w:pPr>
        <w:spacing w:line="460" w:lineRule="exact"/>
        <w:ind w:firstLine="630"/>
        <w:rPr>
          <w:rFonts w:eastAsia="方正仿宋_GBK" w:cs="仿宋_GB2312"/>
          <w:color w:val="000000"/>
          <w:sz w:val="24"/>
        </w:rPr>
      </w:pPr>
      <w:r>
        <w:rPr>
          <w:rFonts w:hint="eastAsia" w:ascii="Times New Roman" w:hAnsi="Times New Roman" w:eastAsia="黑体" w:cs="仿宋_GB2312"/>
          <w:color w:val="000000"/>
          <w:sz w:val="24"/>
        </w:rPr>
        <w:t>第五条</w:t>
      </w:r>
      <w:r>
        <w:rPr>
          <w:rFonts w:eastAsia="方正仿宋_GBK" w:cs="仿宋_GB2312"/>
          <w:color w:val="000000"/>
          <w:sz w:val="24"/>
        </w:rPr>
        <w:t xml:space="preserve">  </w:t>
      </w:r>
      <w:r>
        <w:rPr>
          <w:rFonts w:hint="eastAsia" w:eastAsia="方正仿宋_GBK" w:cs="仿宋_GB2312"/>
          <w:color w:val="000000"/>
          <w:sz w:val="24"/>
        </w:rPr>
        <w:t>二级造价工程师职业资格考试根据全国统一考试大纲，结合我省特点自主命题并组织实施。原则上每年举行</w:t>
      </w:r>
      <w:r>
        <w:rPr>
          <w:rFonts w:eastAsia="方正仿宋_GBK" w:cs="仿宋_GB2312"/>
          <w:color w:val="000000"/>
          <w:sz w:val="24"/>
        </w:rPr>
        <w:t>1</w:t>
      </w:r>
      <w:r>
        <w:rPr>
          <w:rFonts w:hint="eastAsia" w:eastAsia="方正仿宋_GBK" w:cs="仿宋_GB2312"/>
          <w:color w:val="000000"/>
          <w:sz w:val="24"/>
        </w:rPr>
        <w:t>次考试，具体考试日期由省住房城乡建设厅、省交通运输厅、省水利厅会同省人力资源社会保障厅确定并提前向社会公布。</w:t>
      </w:r>
    </w:p>
    <w:p>
      <w:pPr>
        <w:spacing w:line="460" w:lineRule="exact"/>
        <w:ind w:firstLine="480" w:firstLineChars="200"/>
        <w:rPr>
          <w:rFonts w:eastAsia="方正仿宋_GBK" w:cs="仿宋_GB2312"/>
          <w:color w:val="000000"/>
          <w:sz w:val="24"/>
        </w:rPr>
      </w:pPr>
      <w:r>
        <w:rPr>
          <w:rFonts w:hint="eastAsia" w:ascii="Times New Roman" w:hAnsi="Times New Roman" w:eastAsia="黑体" w:cs="仿宋_GB2312"/>
          <w:color w:val="000000"/>
          <w:sz w:val="24"/>
        </w:rPr>
        <w:t>第六条</w:t>
      </w:r>
      <w:r>
        <w:rPr>
          <w:rFonts w:eastAsia="方正仿宋_GBK" w:cs="仿宋_GB2312"/>
          <w:color w:val="000000"/>
          <w:sz w:val="24"/>
        </w:rPr>
        <w:t xml:space="preserve">  </w:t>
      </w:r>
      <w:r>
        <w:rPr>
          <w:rFonts w:hint="eastAsia" w:eastAsia="方正仿宋_GBK" w:cs="仿宋_GB2312"/>
          <w:color w:val="000000"/>
          <w:sz w:val="24"/>
        </w:rPr>
        <w:t>考点原则上设在设区市的标准化考点学校，若应试人员数量较少时可统一设在省会城市。</w:t>
      </w:r>
    </w:p>
    <w:p>
      <w:pPr>
        <w:spacing w:line="460" w:lineRule="exact"/>
        <w:ind w:firstLine="630"/>
        <w:rPr>
          <w:rFonts w:eastAsia="方正仿宋_GBK" w:cs="仿宋_GB2312"/>
          <w:color w:val="000000"/>
          <w:sz w:val="24"/>
        </w:rPr>
      </w:pPr>
      <w:r>
        <w:rPr>
          <w:rFonts w:hint="eastAsia" w:ascii="Times New Roman" w:hAnsi="Times New Roman" w:eastAsia="黑体" w:cs="仿宋_GB2312"/>
          <w:color w:val="000000"/>
          <w:sz w:val="24"/>
        </w:rPr>
        <w:t xml:space="preserve">第七条 </w:t>
      </w:r>
      <w:r>
        <w:rPr>
          <w:rFonts w:eastAsia="方正仿宋_GBK" w:cs="仿宋_GB2312"/>
          <w:color w:val="000000"/>
          <w:sz w:val="24"/>
        </w:rPr>
        <w:t xml:space="preserve"> </w:t>
      </w:r>
      <w:r>
        <w:rPr>
          <w:rFonts w:hint="eastAsia" w:eastAsia="方正仿宋_GBK" w:cs="仿宋_GB2312"/>
          <w:color w:val="000000"/>
          <w:sz w:val="24"/>
        </w:rPr>
        <w:t>报考及免试部分科目条件分别按照住房城乡建设部、交通运输部、水利部、人力资源社会保障部《造价工程师职业资格制度规定》第十三条和《造价工程师职业资格考试实施办法》第九条规定执行。</w:t>
      </w:r>
    </w:p>
    <w:p>
      <w:pPr>
        <w:spacing w:line="460" w:lineRule="exact"/>
        <w:ind w:firstLine="480" w:firstLineChars="200"/>
        <w:rPr>
          <w:rFonts w:eastAsia="方正仿宋_GBK" w:cs="仿宋_GB2312"/>
          <w:color w:val="000000"/>
          <w:sz w:val="24"/>
        </w:rPr>
      </w:pPr>
      <w:r>
        <w:rPr>
          <w:rFonts w:hint="eastAsia" w:ascii="Times New Roman" w:hAnsi="Times New Roman" w:eastAsia="黑体" w:cs="仿宋_GB2312"/>
          <w:color w:val="000000"/>
          <w:sz w:val="24"/>
        </w:rPr>
        <w:t xml:space="preserve">第八条  </w:t>
      </w:r>
      <w:r>
        <w:rPr>
          <w:rFonts w:hint="eastAsia" w:eastAsia="方正仿宋_GBK" w:cs="仿宋_GB2312"/>
          <w:color w:val="000000"/>
          <w:sz w:val="24"/>
        </w:rPr>
        <w:t>已取得二级造价工程师一个专业职业资格证书的人员，报名参加其他专业科目考试的，可免考基础科目。考试合格后，核发省人力资源社会保障厅统一印制的相应专业考试合格证明。该证明做为注册时增加执业专业类别的依据。</w:t>
      </w:r>
    </w:p>
    <w:p>
      <w:pPr>
        <w:spacing w:line="460" w:lineRule="exact"/>
        <w:rPr>
          <w:rFonts w:eastAsia="方正仿宋_GBK" w:cs="仿宋_GB2312"/>
          <w:color w:val="000000"/>
          <w:sz w:val="24"/>
        </w:rPr>
      </w:pPr>
      <w:r>
        <w:rPr>
          <w:rFonts w:eastAsia="方正仿宋_GBK" w:cs="仿宋_GB2312"/>
          <w:color w:val="000000"/>
          <w:sz w:val="24"/>
        </w:rPr>
        <w:t xml:space="preserve">    </w:t>
      </w:r>
      <w:r>
        <w:rPr>
          <w:rFonts w:hint="eastAsia" w:ascii="Times New Roman" w:hAnsi="Times New Roman" w:eastAsia="黑体" w:cs="仿宋_GB2312"/>
          <w:color w:val="000000"/>
          <w:sz w:val="24"/>
        </w:rPr>
        <w:t>第九条</w:t>
      </w:r>
      <w:r>
        <w:rPr>
          <w:rFonts w:eastAsia="方正仿宋_GBK" w:cs="仿宋_GB2312"/>
          <w:color w:val="000000"/>
          <w:sz w:val="24"/>
        </w:rPr>
        <w:t xml:space="preserve">  </w:t>
      </w:r>
      <w:r>
        <w:rPr>
          <w:rFonts w:hint="eastAsia" w:eastAsia="方正仿宋_GBK" w:cs="仿宋_GB2312"/>
          <w:color w:val="000000"/>
          <w:sz w:val="24"/>
        </w:rPr>
        <w:t>二级造价工程师职业资格考试成绩实行</w:t>
      </w:r>
      <w:r>
        <w:rPr>
          <w:rFonts w:eastAsia="方正仿宋_GBK" w:cs="仿宋_GB2312"/>
          <w:color w:val="000000"/>
          <w:sz w:val="24"/>
        </w:rPr>
        <w:t>2</w:t>
      </w:r>
      <w:r>
        <w:rPr>
          <w:rFonts w:hint="eastAsia" w:eastAsia="方正仿宋_GBK" w:cs="仿宋_GB2312"/>
          <w:color w:val="000000"/>
          <w:sz w:val="24"/>
        </w:rPr>
        <w:t>年为一个周期的滚动管理办法，参加全部</w:t>
      </w:r>
      <w:r>
        <w:rPr>
          <w:rFonts w:eastAsia="方正仿宋_GBK" w:cs="仿宋_GB2312"/>
          <w:color w:val="000000"/>
          <w:sz w:val="24"/>
        </w:rPr>
        <w:t>2</w:t>
      </w:r>
      <w:r>
        <w:rPr>
          <w:rFonts w:hint="eastAsia" w:eastAsia="方正仿宋_GBK" w:cs="仿宋_GB2312"/>
          <w:color w:val="000000"/>
          <w:sz w:val="24"/>
        </w:rPr>
        <w:t>个科目考试的人员必须在连续的</w:t>
      </w:r>
      <w:r>
        <w:rPr>
          <w:rFonts w:eastAsia="方正仿宋_GBK" w:cs="仿宋_GB2312"/>
          <w:color w:val="000000"/>
          <w:sz w:val="24"/>
        </w:rPr>
        <w:t>2</w:t>
      </w:r>
      <w:r>
        <w:rPr>
          <w:rFonts w:hint="eastAsia" w:eastAsia="方正仿宋_GBK" w:cs="仿宋_GB2312"/>
          <w:color w:val="000000"/>
          <w:sz w:val="24"/>
        </w:rPr>
        <w:t>个考试年度内通过全部科目，方可取得二级造价工程师职业资格证书。</w:t>
      </w:r>
    </w:p>
    <w:p>
      <w:pPr>
        <w:spacing w:line="460" w:lineRule="exact"/>
        <w:ind w:firstLine="630"/>
        <w:rPr>
          <w:rFonts w:eastAsia="方正仿宋_GBK" w:cs="仿宋_GB2312"/>
          <w:color w:val="000000"/>
          <w:sz w:val="24"/>
        </w:rPr>
      </w:pPr>
      <w:r>
        <w:rPr>
          <w:rFonts w:hint="eastAsia" w:ascii="Times New Roman" w:hAnsi="Times New Roman" w:eastAsia="黑体" w:cs="仿宋_GB2312"/>
          <w:color w:val="000000"/>
          <w:sz w:val="24"/>
        </w:rPr>
        <w:t>第十条</w:t>
      </w:r>
      <w:r>
        <w:rPr>
          <w:rFonts w:eastAsia="方正仿宋_GBK" w:cs="仿宋_GB2312"/>
          <w:color w:val="000000"/>
          <w:sz w:val="24"/>
        </w:rPr>
        <w:t xml:space="preserve">  </w:t>
      </w:r>
      <w:r>
        <w:rPr>
          <w:rFonts w:hint="eastAsia" w:eastAsia="方正仿宋_GBK" w:cs="仿宋_GB2312"/>
          <w:color w:val="000000"/>
          <w:sz w:val="24"/>
        </w:rPr>
        <w:t>二级造价工程师职业资格考试合格者，由省人力资源社会保障厅颁发中华人民共和国二级造价工程师职业资格证书。该证书由省住房城乡建设厅、交通运输厅、水利厅按专业类别分别与省人力资源社会保障厅用印。</w:t>
      </w:r>
    </w:p>
    <w:p>
      <w:pPr>
        <w:spacing w:line="460" w:lineRule="exact"/>
        <w:ind w:firstLine="630"/>
        <w:rPr>
          <w:rFonts w:eastAsia="方正仿宋_GBK" w:cs="仿宋_GB2312"/>
          <w:color w:val="000000"/>
          <w:sz w:val="24"/>
        </w:rPr>
      </w:pPr>
      <w:r>
        <w:rPr>
          <w:rFonts w:hint="eastAsia" w:ascii="Times New Roman" w:hAnsi="Times New Roman" w:eastAsia="黑体" w:cs="仿宋_GB2312"/>
          <w:color w:val="000000"/>
          <w:sz w:val="24"/>
        </w:rPr>
        <w:t xml:space="preserve">第十一条 </w:t>
      </w:r>
      <w:r>
        <w:rPr>
          <w:rFonts w:eastAsia="方正仿宋_GBK" w:cs="仿宋_GB2312"/>
          <w:color w:val="000000"/>
          <w:sz w:val="24"/>
        </w:rPr>
        <w:t xml:space="preserve"> </w:t>
      </w:r>
      <w:r>
        <w:rPr>
          <w:rFonts w:hint="eastAsia" w:eastAsia="方正仿宋_GBK" w:cs="仿宋_GB2312"/>
          <w:color w:val="000000"/>
          <w:sz w:val="24"/>
        </w:rPr>
        <w:t>二级造价工程师职业资格考试按照我省专业技术资格考试资格审查要求，实行考前资格抽查和考后资格审查相结合的模式。应试人员在报名时应承诺报考信息真实且符合报考资格，不得提供虚假信息。</w:t>
      </w:r>
    </w:p>
    <w:p>
      <w:pPr>
        <w:spacing w:line="460" w:lineRule="exact"/>
        <w:ind w:firstLine="630"/>
        <w:rPr>
          <w:rFonts w:eastAsia="方正仿宋_GBK" w:cs="仿宋_GB2312"/>
          <w:color w:val="000000"/>
          <w:sz w:val="24"/>
        </w:rPr>
      </w:pPr>
      <w:r>
        <w:rPr>
          <w:rFonts w:hint="eastAsia" w:eastAsia="方正仿宋_GBK" w:cs="仿宋_GB2312"/>
          <w:color w:val="000000"/>
          <w:sz w:val="24"/>
        </w:rPr>
        <w:t>资格审查部门应加强对学历、从业经历等考试资格条件的审核。对以不正当手段取得造价工程师职业资格证书的，按照国家专业技术人员资格考试有关规定处理。</w:t>
      </w:r>
    </w:p>
    <w:p>
      <w:pPr>
        <w:spacing w:line="460" w:lineRule="exact"/>
        <w:ind w:firstLine="630"/>
        <w:rPr>
          <w:rFonts w:eastAsia="方正仿宋_GBK" w:cs="仿宋_GB2312"/>
          <w:color w:val="000000"/>
          <w:sz w:val="24"/>
        </w:rPr>
      </w:pPr>
      <w:r>
        <w:rPr>
          <w:rFonts w:hint="eastAsia" w:ascii="Times New Roman" w:hAnsi="Times New Roman" w:eastAsia="黑体" w:cs="仿宋_GB2312"/>
          <w:color w:val="000000"/>
          <w:sz w:val="24"/>
        </w:rPr>
        <w:t>第十二条</w:t>
      </w:r>
      <w:r>
        <w:rPr>
          <w:rFonts w:eastAsia="方正仿宋_GBK" w:cs="仿宋_GB2312"/>
          <w:color w:val="000000"/>
          <w:sz w:val="24"/>
        </w:rPr>
        <w:t xml:space="preserve">  </w:t>
      </w:r>
      <w:r>
        <w:rPr>
          <w:rFonts w:hint="eastAsia" w:eastAsia="方正仿宋_GBK" w:cs="仿宋_GB2312"/>
          <w:color w:val="000000"/>
          <w:sz w:val="24"/>
        </w:rPr>
        <w:t>二级造价工程师职业资格考试的收费标准须经发改、财政等行政部门批准后，向社会公布，接受群众监督。</w:t>
      </w:r>
    </w:p>
    <w:p>
      <w:pPr>
        <w:spacing w:line="460" w:lineRule="exact"/>
        <w:ind w:firstLine="630"/>
        <w:rPr>
          <w:rFonts w:eastAsia="方正仿宋_GBK" w:cs="仿宋_GB2312"/>
          <w:color w:val="000000"/>
          <w:sz w:val="24"/>
        </w:rPr>
      </w:pPr>
      <w:r>
        <w:rPr>
          <w:rFonts w:hint="eastAsia" w:ascii="Times New Roman" w:hAnsi="Times New Roman" w:eastAsia="黑体" w:cs="仿宋_GB2312"/>
          <w:color w:val="000000"/>
          <w:sz w:val="24"/>
        </w:rPr>
        <w:t>第十三条</w:t>
      </w:r>
      <w:r>
        <w:rPr>
          <w:rFonts w:eastAsia="方正仿宋_GBK" w:cs="仿宋_GB2312"/>
          <w:color w:val="000000"/>
          <w:sz w:val="24"/>
        </w:rPr>
        <w:t xml:space="preserve">  </w:t>
      </w:r>
      <w:r>
        <w:rPr>
          <w:rFonts w:hint="eastAsia" w:eastAsia="方正仿宋_GBK" w:cs="仿宋_GB2312"/>
          <w:color w:val="000000"/>
          <w:sz w:val="24"/>
        </w:rPr>
        <w:t>坚持考试与培训分开的原则。凡参与考试工作（包括命题、审题与组织管理等）的人员，不得参加考试，也不得参加或者举办与考试内容相关的培训工作。应试人员参加相关培训坚持自愿的原则。</w:t>
      </w:r>
    </w:p>
    <w:p>
      <w:pPr>
        <w:spacing w:line="460" w:lineRule="exact"/>
        <w:ind w:firstLine="480" w:firstLineChars="200"/>
        <w:rPr>
          <w:rFonts w:eastAsia="方正仿宋_GBK" w:cs="仿宋_GB2312"/>
          <w:color w:val="000000"/>
          <w:sz w:val="24"/>
        </w:rPr>
      </w:pPr>
      <w:r>
        <w:rPr>
          <w:rFonts w:hint="eastAsia" w:ascii="Times New Roman" w:hAnsi="Times New Roman" w:eastAsia="黑体" w:cs="仿宋_GB2312"/>
          <w:color w:val="000000"/>
          <w:sz w:val="24"/>
        </w:rPr>
        <w:t>第十四条</w:t>
      </w:r>
      <w:r>
        <w:rPr>
          <w:rFonts w:eastAsia="方正仿宋_GBK" w:cs="仿宋_GB2312"/>
          <w:color w:val="000000"/>
          <w:sz w:val="24"/>
        </w:rPr>
        <w:t xml:space="preserve">  </w:t>
      </w:r>
      <w:r>
        <w:rPr>
          <w:rFonts w:hint="eastAsia" w:eastAsia="方正仿宋_GBK" w:cs="仿宋_GB2312"/>
          <w:color w:val="000000"/>
          <w:sz w:val="24"/>
        </w:rPr>
        <w:t>考试实施机构及其工作人员，应当严格执行国家人事考试工作人员纪律规定和考试工作有关规章制度，遵守考试工作纪律，切实做好从考试试题的命制到使用等各环节的保密工作，严防泄密。</w:t>
      </w:r>
    </w:p>
    <w:p>
      <w:pPr>
        <w:spacing w:line="460" w:lineRule="exact"/>
        <w:ind w:firstLine="630"/>
        <w:rPr>
          <w:rFonts w:eastAsia="方正仿宋_GBK" w:cs="仿宋_GB2312"/>
          <w:color w:val="000000"/>
          <w:sz w:val="24"/>
        </w:rPr>
      </w:pPr>
      <w:r>
        <w:rPr>
          <w:rFonts w:hint="eastAsia" w:eastAsia="方正仿宋_GBK" w:cs="仿宋_GB2312"/>
          <w:color w:val="000000"/>
          <w:sz w:val="24"/>
        </w:rPr>
        <w:t>对违反考试纪律和有关规定行为的人员，按照国家专业技术人员资格考试违纪违规行为处理规定处理。</w:t>
      </w:r>
    </w:p>
    <w:p>
      <w:pPr>
        <w:spacing w:line="460" w:lineRule="exact"/>
        <w:ind w:firstLine="480" w:firstLineChars="200"/>
        <w:outlineLvl w:val="0"/>
        <w:rPr>
          <w:rFonts w:eastAsia="方正仿宋_GBK"/>
          <w:color w:val="000000"/>
          <w:spacing w:val="-2"/>
          <w:kern w:val="0"/>
          <w:sz w:val="24"/>
        </w:rPr>
      </w:pPr>
      <w:bookmarkStart w:id="649" w:name="_Toc20726669"/>
      <w:bookmarkStart w:id="650" w:name="_Toc20668140"/>
      <w:r>
        <w:rPr>
          <w:rFonts w:hint="eastAsia" w:ascii="Times New Roman" w:hAnsi="Times New Roman" w:eastAsia="黑体" w:cs="仿宋_GB2312"/>
          <w:color w:val="000000"/>
          <w:sz w:val="24"/>
        </w:rPr>
        <w:t>第十五条</w:t>
      </w:r>
      <w:r>
        <w:rPr>
          <w:rFonts w:eastAsia="方正仿宋_GBK" w:cs="仿宋_GB2312"/>
          <w:color w:val="000000"/>
          <w:sz w:val="24"/>
        </w:rPr>
        <w:t xml:space="preserve">  </w:t>
      </w:r>
      <w:r>
        <w:rPr>
          <w:rFonts w:hint="eastAsia" w:eastAsia="方正仿宋_GBK" w:cs="仿宋_GB2312"/>
          <w:color w:val="000000"/>
          <w:sz w:val="24"/>
        </w:rPr>
        <w:t>本办法自</w:t>
      </w:r>
      <w:r>
        <w:rPr>
          <w:rFonts w:eastAsia="方正仿宋_GBK" w:cs="仿宋_GB2312"/>
          <w:color w:val="000000"/>
          <w:sz w:val="24"/>
        </w:rPr>
        <w:t>2019</w:t>
      </w:r>
      <w:r>
        <w:rPr>
          <w:rFonts w:hint="eastAsia" w:eastAsia="方正仿宋_GBK" w:cs="仿宋_GB2312"/>
          <w:color w:val="000000"/>
          <w:sz w:val="24"/>
        </w:rPr>
        <w:t>年</w:t>
      </w:r>
      <w:r>
        <w:rPr>
          <w:rFonts w:eastAsia="方正仿宋_GBK" w:cs="仿宋_GB2312"/>
          <w:color w:val="000000"/>
          <w:sz w:val="24"/>
        </w:rPr>
        <w:t>6</w:t>
      </w:r>
      <w:r>
        <w:rPr>
          <w:rFonts w:hint="eastAsia" w:eastAsia="方正仿宋_GBK" w:cs="仿宋_GB2312"/>
          <w:color w:val="000000"/>
          <w:sz w:val="24"/>
        </w:rPr>
        <w:t>月</w:t>
      </w:r>
      <w:r>
        <w:rPr>
          <w:rFonts w:eastAsia="方正仿宋_GBK" w:cs="仿宋_GB2312"/>
          <w:color w:val="000000"/>
          <w:sz w:val="24"/>
        </w:rPr>
        <w:t>14</w:t>
      </w:r>
      <w:r>
        <w:rPr>
          <w:rFonts w:hint="eastAsia" w:eastAsia="方正仿宋_GBK" w:cs="仿宋_GB2312"/>
          <w:color w:val="000000"/>
          <w:sz w:val="24"/>
        </w:rPr>
        <w:t>日起施行。</w:t>
      </w:r>
      <w:bookmarkEnd w:id="649"/>
      <w:bookmarkEnd w:id="650"/>
    </w:p>
    <w:p>
      <w:pPr>
        <w:pStyle w:val="2"/>
        <w:spacing w:before="240" w:beforeLines="100" w:after="240" w:afterLines="100" w:line="240" w:lineRule="auto"/>
        <w:jc w:val="center"/>
        <w:rPr>
          <w:rFonts w:ascii="Times New Roman" w:eastAsia="方正小标宋_GBK"/>
          <w:b w:val="0"/>
          <w:sz w:val="36"/>
          <w:szCs w:val="36"/>
        </w:rPr>
      </w:pPr>
    </w:p>
    <w:p>
      <w:pPr>
        <w:pStyle w:val="2"/>
        <w:spacing w:before="240" w:beforeLines="100" w:after="240" w:afterLines="100" w:line="240" w:lineRule="auto"/>
        <w:jc w:val="center"/>
        <w:rPr>
          <w:rFonts w:hint="eastAsia" w:ascii="Times New Roman" w:eastAsia="方正小标宋_GBK"/>
          <w:b w:val="0"/>
          <w:sz w:val="36"/>
          <w:szCs w:val="36"/>
        </w:rPr>
      </w:pPr>
      <w:r>
        <w:rPr>
          <w:rFonts w:hint="eastAsia" w:ascii="Times New Roman" w:eastAsia="方正小标宋_GBK"/>
          <w:b w:val="0"/>
          <w:sz w:val="36"/>
          <w:szCs w:val="36"/>
        </w:rPr>
        <w:t>关于印发《江苏省建设工程计价解释与争议调解规定》的通知</w:t>
      </w:r>
      <w:bookmarkEnd w:id="641"/>
      <w:bookmarkEnd w:id="642"/>
    </w:p>
    <w:p>
      <w:pPr>
        <w:pStyle w:val="3"/>
        <w:spacing w:before="240" w:beforeLines="100" w:after="240" w:afterLines="100" w:line="240" w:lineRule="auto"/>
        <w:jc w:val="center"/>
        <w:rPr>
          <w:rFonts w:hint="eastAsia" w:ascii="Times New Roman" w:hAnsi="Times New Roman" w:eastAsia="方正楷体_GBK"/>
          <w:b w:val="0"/>
          <w:sz w:val="24"/>
          <w:szCs w:val="24"/>
        </w:rPr>
      </w:pPr>
      <w:bookmarkStart w:id="651" w:name="_Toc20726677"/>
      <w:bookmarkStart w:id="652" w:name="_Toc18315814"/>
      <w:r>
        <w:rPr>
          <w:rFonts w:hint="eastAsia" w:ascii="Times New Roman" w:hAnsi="Times New Roman" w:eastAsia="方正楷体_GBK"/>
          <w:b w:val="0"/>
          <w:sz w:val="24"/>
          <w:szCs w:val="24"/>
        </w:rPr>
        <w:t>苏建价〔</w:t>
      </w:r>
      <w:r>
        <w:rPr>
          <w:rFonts w:ascii="Times New Roman" w:hAnsi="Times New Roman" w:eastAsia="方正楷体_GBK"/>
          <w:b w:val="0"/>
          <w:sz w:val="24"/>
          <w:szCs w:val="24"/>
        </w:rPr>
        <w:t>2006</w:t>
      </w:r>
      <w:r>
        <w:rPr>
          <w:rFonts w:hint="eastAsia" w:ascii="Times New Roman" w:hAnsi="Times New Roman" w:eastAsia="方正楷体_GBK"/>
          <w:b w:val="0"/>
          <w:sz w:val="24"/>
          <w:szCs w:val="24"/>
        </w:rPr>
        <w:t>〕</w:t>
      </w:r>
      <w:r>
        <w:rPr>
          <w:rFonts w:ascii="Times New Roman" w:hAnsi="Times New Roman" w:eastAsia="方正楷体_GBK"/>
          <w:b w:val="0"/>
          <w:sz w:val="24"/>
          <w:szCs w:val="24"/>
        </w:rPr>
        <w:t>383</w:t>
      </w:r>
      <w:r>
        <w:rPr>
          <w:rFonts w:hint="eastAsia" w:ascii="Times New Roman" w:hAnsi="Times New Roman" w:eastAsia="方正楷体_GBK"/>
          <w:b w:val="0"/>
          <w:sz w:val="24"/>
          <w:szCs w:val="24"/>
        </w:rPr>
        <w:t>号</w:t>
      </w:r>
      <w:bookmarkEnd w:id="651"/>
      <w:bookmarkEnd w:id="652"/>
    </w:p>
    <w:p>
      <w:pPr>
        <w:spacing w:line="460" w:lineRule="exact"/>
        <w:rPr>
          <w:rFonts w:eastAsia="方正仿宋_GBK"/>
          <w:color w:val="000000"/>
          <w:spacing w:val="-2"/>
          <w:kern w:val="0"/>
          <w:sz w:val="24"/>
        </w:rPr>
      </w:pPr>
      <w:r>
        <w:rPr>
          <w:rFonts w:hint="eastAsia" w:eastAsia="方正仿宋_GBK"/>
          <w:color w:val="000000"/>
          <w:spacing w:val="-2"/>
          <w:kern w:val="0"/>
          <w:sz w:val="24"/>
        </w:rPr>
        <w:t>各市建设局（建委）：</w:t>
      </w: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为规范建设工程计价解释与争议调解工作，提高建设工程计价管理工作效率，切实维护工程建设各方主体的合法权益，我们根据国家有关法律法规，制定了《江苏省建设工程计价解释与争议调解规定》，现印发给你们。请结合当地实际情况，建立和完善计价解释与争议调解制度，落实责任部门和人员。</w:t>
      </w:r>
      <w:r>
        <w:rPr>
          <w:rFonts w:eastAsia="方正仿宋_GBK"/>
          <w:color w:val="000000"/>
          <w:spacing w:val="-2"/>
          <w:kern w:val="0"/>
          <w:sz w:val="24"/>
        </w:rPr>
        <w:t> </w:t>
      </w:r>
    </w:p>
    <w:p>
      <w:pPr>
        <w:spacing w:line="460" w:lineRule="exact"/>
        <w:ind w:firstLine="472" w:firstLineChars="200"/>
        <w:rPr>
          <w:rFonts w:eastAsia="方正仿宋_GBK"/>
          <w:color w:val="000000"/>
          <w:spacing w:val="-2"/>
          <w:kern w:val="0"/>
          <w:sz w:val="24"/>
        </w:rPr>
      </w:pPr>
    </w:p>
    <w:p>
      <w:pPr>
        <w:spacing w:line="460" w:lineRule="exact"/>
        <w:ind w:firstLine="472" w:firstLineChars="200"/>
        <w:rPr>
          <w:rFonts w:eastAsia="方正仿宋_GBK"/>
          <w:color w:val="000000"/>
          <w:spacing w:val="-2"/>
          <w:kern w:val="0"/>
          <w:sz w:val="24"/>
        </w:rPr>
      </w:pPr>
      <w:r>
        <w:rPr>
          <w:rFonts w:hint="eastAsia" w:eastAsia="方正仿宋_GBK"/>
          <w:color w:val="000000"/>
          <w:spacing w:val="-2"/>
          <w:kern w:val="0"/>
          <w:sz w:val="24"/>
        </w:rPr>
        <w:t>附件：《江苏省建设工程计价解释与争议调解规定》</w:t>
      </w:r>
    </w:p>
    <w:p>
      <w:pPr>
        <w:spacing w:line="460" w:lineRule="exact"/>
        <w:jc w:val="right"/>
        <w:rPr>
          <w:rFonts w:eastAsia="方正仿宋_GBK"/>
          <w:color w:val="000000"/>
          <w:spacing w:val="-2"/>
          <w:kern w:val="0"/>
          <w:sz w:val="24"/>
        </w:rPr>
      </w:pPr>
      <w:r>
        <w:rPr>
          <w:rFonts w:eastAsia="方正仿宋_GBK"/>
          <w:color w:val="000000"/>
          <w:spacing w:val="-2"/>
          <w:kern w:val="0"/>
          <w:sz w:val="24"/>
        </w:rPr>
        <w:t>                                </w:t>
      </w:r>
    </w:p>
    <w:p>
      <w:pPr>
        <w:spacing w:line="460" w:lineRule="exact"/>
        <w:ind w:right="878" w:rightChars="418" w:firstLine="472" w:firstLineChars="200"/>
        <w:jc w:val="right"/>
        <w:rPr>
          <w:rFonts w:eastAsia="方正仿宋_GBK"/>
          <w:color w:val="000000"/>
          <w:spacing w:val="-2"/>
          <w:kern w:val="0"/>
          <w:sz w:val="24"/>
        </w:rPr>
      </w:pPr>
      <w:r>
        <w:rPr>
          <w:rFonts w:hint="eastAsia" w:eastAsia="方正仿宋_GBK"/>
          <w:color w:val="000000"/>
          <w:spacing w:val="-2"/>
          <w:kern w:val="0"/>
          <w:sz w:val="24"/>
        </w:rPr>
        <w:t>江苏省建设厅</w:t>
      </w:r>
      <w:r>
        <w:rPr>
          <w:rFonts w:eastAsia="方正仿宋_GBK"/>
          <w:color w:val="000000"/>
          <w:spacing w:val="-2"/>
          <w:kern w:val="0"/>
          <w:sz w:val="24"/>
        </w:rPr>
        <w:t xml:space="preserve">      </w:t>
      </w:r>
    </w:p>
    <w:p>
      <w:pPr>
        <w:spacing w:line="460" w:lineRule="exact"/>
        <w:ind w:right="437" w:rightChars="208"/>
        <w:jc w:val="right"/>
        <w:rPr>
          <w:rFonts w:eastAsia="方正仿宋_GBK"/>
          <w:color w:val="000000"/>
          <w:spacing w:val="-2"/>
          <w:kern w:val="0"/>
          <w:sz w:val="24"/>
        </w:rPr>
      </w:pPr>
      <w:r>
        <w:rPr>
          <w:rFonts w:hint="eastAsia" w:eastAsia="方正仿宋_GBK"/>
          <w:color w:val="000000"/>
          <w:spacing w:val="-2"/>
          <w:kern w:val="0"/>
          <w:sz w:val="24"/>
        </w:rPr>
        <w:t>二</w:t>
      </w:r>
      <w:r>
        <w:rPr>
          <w:rFonts w:hint="eastAsia" w:eastAsia="方正仿宋_GBK"/>
          <w:color w:val="000000"/>
          <w:spacing w:val="-2"/>
          <w:sz w:val="24"/>
        </w:rPr>
        <w:t>〇〇</w:t>
      </w:r>
      <w:r>
        <w:rPr>
          <w:rFonts w:hint="eastAsia" w:eastAsia="方正仿宋_GBK"/>
          <w:color w:val="000000"/>
          <w:spacing w:val="-2"/>
          <w:kern w:val="0"/>
          <w:sz w:val="24"/>
        </w:rPr>
        <w:t>六年九月五日</w:t>
      </w:r>
      <w:r>
        <w:rPr>
          <w:rFonts w:eastAsia="方正仿宋_GBK"/>
          <w:color w:val="000000"/>
          <w:spacing w:val="-2"/>
          <w:kern w:val="0"/>
          <w:sz w:val="24"/>
        </w:rPr>
        <w:t xml:space="preserve">    </w:t>
      </w:r>
    </w:p>
    <w:p>
      <w:pPr>
        <w:spacing w:line="460" w:lineRule="exact"/>
        <w:rPr>
          <w:rFonts w:eastAsia="方正仿宋_GBK"/>
          <w:color w:val="000000"/>
          <w:spacing w:val="-2"/>
          <w:kern w:val="0"/>
          <w:sz w:val="24"/>
        </w:rPr>
      </w:pPr>
    </w:p>
    <w:p>
      <w:pPr>
        <w:spacing w:line="460" w:lineRule="exact"/>
        <w:jc w:val="center"/>
        <w:rPr>
          <w:rFonts w:eastAsia="方正仿宋_GBK"/>
          <w:color w:val="000000"/>
          <w:spacing w:val="-2"/>
          <w:sz w:val="24"/>
        </w:rPr>
      </w:pPr>
    </w:p>
    <w:p>
      <w:pPr>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江苏省建设工程计价解释与争议调解规定</w:t>
      </w:r>
    </w:p>
    <w:p>
      <w:pPr>
        <w:spacing w:line="460" w:lineRule="exact"/>
        <w:jc w:val="center"/>
        <w:rPr>
          <w:rFonts w:hint="eastAsia" w:eastAsia="方正仿宋_GBK"/>
          <w:b/>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第一章  总    则</w:t>
      </w:r>
    </w:p>
    <w:p>
      <w:pPr>
        <w:spacing w:line="460" w:lineRule="exact"/>
        <w:ind w:firstLine="474" w:firstLineChars="200"/>
        <w:rPr>
          <w:rFonts w:hint="eastAsia" w:eastAsia="方正仿宋_GBK"/>
          <w:b/>
          <w:color w:val="000000"/>
          <w:spacing w:val="-2"/>
          <w:sz w:val="24"/>
        </w:rPr>
      </w:pPr>
    </w:p>
    <w:p>
      <w:pPr>
        <w:spacing w:line="460" w:lineRule="exact"/>
        <w:ind w:firstLine="472" w:firstLineChars="200"/>
        <w:rPr>
          <w:rFonts w:eastAsia="方正仿宋_GBK"/>
          <w:color w:val="000000"/>
          <w:spacing w:val="-6"/>
          <w:sz w:val="24"/>
        </w:rPr>
      </w:pPr>
      <w:r>
        <w:rPr>
          <w:rFonts w:hint="eastAsia" w:ascii="Times New Roman" w:eastAsia="方正黑体_GBK"/>
          <w:color w:val="000000"/>
          <w:spacing w:val="-2"/>
          <w:sz w:val="24"/>
        </w:rPr>
        <w:t>第一条</w:t>
      </w:r>
      <w:r>
        <w:rPr>
          <w:rFonts w:eastAsia="方正仿宋_GBK"/>
          <w:color w:val="000000"/>
          <w:spacing w:val="-2"/>
          <w:sz w:val="24"/>
        </w:rPr>
        <w:t xml:space="preserve">  </w:t>
      </w:r>
      <w:r>
        <w:rPr>
          <w:rFonts w:hint="eastAsia" w:eastAsia="方正仿宋_GBK"/>
          <w:color w:val="000000"/>
          <w:spacing w:val="-6"/>
          <w:sz w:val="24"/>
        </w:rPr>
        <w:t>为规范建设工程计价解释与争议调解工作，提高建设工程计价管理工作效率，切实维护工程建设各方主体的合法权益，根据国家有关法律法规，特制定本规定。</w:t>
      </w:r>
      <w:r>
        <w:rPr>
          <w:rFonts w:eastAsia="方正仿宋_GBK"/>
          <w:color w:val="000000"/>
          <w:spacing w:val="-6"/>
          <w:sz w:val="24"/>
        </w:rPr>
        <w:t xml:space="preserve"> </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本规定适用于我省行政区域内的房屋建筑和市政基础设施工程的计价解释与争议调解活动。</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计价解释是指对我省发布的有关计价依据进行答疑与补充说明，提供计价表（定额）缺项项目的一次性补充定额。</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争议调解是指对工程建设各方主体在执行我省发布的计价依据时发生的分歧或矛盾进行协调解决。</w:t>
      </w:r>
    </w:p>
    <w:p>
      <w:pPr>
        <w:spacing w:line="460" w:lineRule="exact"/>
        <w:ind w:firstLine="456" w:firstLineChars="200"/>
        <w:rPr>
          <w:rFonts w:eastAsia="方正仿宋_GBK"/>
          <w:color w:val="000000"/>
          <w:spacing w:val="-6"/>
          <w:sz w:val="24"/>
        </w:rPr>
      </w:pPr>
      <w:r>
        <w:rPr>
          <w:rFonts w:hint="eastAsia" w:eastAsia="方正仿宋_GBK"/>
          <w:color w:val="000000"/>
          <w:spacing w:val="-6"/>
          <w:sz w:val="24"/>
        </w:rPr>
        <w:t>计价依据是指我省颁发的各专业工程计价表（定额）和有关工程造价计价管理文件。</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第四条</w:t>
      </w:r>
      <w:r>
        <w:rPr>
          <w:rFonts w:eastAsia="方正仿宋_GBK"/>
          <w:color w:val="000000"/>
          <w:spacing w:val="-2"/>
          <w:sz w:val="24"/>
        </w:rPr>
        <w:t xml:space="preserve">  </w:t>
      </w:r>
      <w:r>
        <w:rPr>
          <w:rFonts w:hint="eastAsia" w:eastAsia="方正仿宋_GBK"/>
          <w:color w:val="000000"/>
          <w:spacing w:val="-2"/>
          <w:sz w:val="24"/>
        </w:rPr>
        <w:t>计价解释和争议调解应当严格遵守国家法律、法规和我省计价依据，坚持客观公正的原则。</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省建设工程造价管理总站（以下简称</w:t>
      </w:r>
      <w:r>
        <w:rPr>
          <w:rFonts w:eastAsia="方正仿宋_GBK"/>
          <w:color w:val="000000"/>
          <w:spacing w:val="-2"/>
          <w:sz w:val="24"/>
        </w:rPr>
        <w:t>“</w:t>
      </w:r>
      <w:r>
        <w:rPr>
          <w:rFonts w:hint="eastAsia" w:eastAsia="方正仿宋_GBK"/>
          <w:color w:val="000000"/>
          <w:spacing w:val="-2"/>
          <w:sz w:val="24"/>
        </w:rPr>
        <w:t>省站</w:t>
      </w:r>
      <w:r>
        <w:rPr>
          <w:rFonts w:eastAsia="方正仿宋_GBK"/>
          <w:color w:val="000000"/>
          <w:spacing w:val="-2"/>
          <w:sz w:val="24"/>
        </w:rPr>
        <w:t>”</w:t>
      </w:r>
      <w:r>
        <w:rPr>
          <w:rFonts w:hint="eastAsia" w:eastAsia="方正仿宋_GBK"/>
          <w:color w:val="000000"/>
          <w:spacing w:val="-2"/>
          <w:sz w:val="24"/>
        </w:rPr>
        <w:t>）受省建设厅委托，负责全省建设工程计价解释与争议调解工作。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各市县造价管理机构受所在地建设行政主管部门委托，负责本地区计价解释与争议调解的相关管理工作。</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计价解释与争议调解，一般先由工程所在地市县造价管理机构受理，市县造价管理机构难于答复或工程建设当事人对答复有异议时，报送上一级造价管理机构处理。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color w:val="000000"/>
          <w:spacing w:val="-2"/>
          <w:sz w:val="24"/>
        </w:rPr>
        <w:t xml:space="preserve">  </w:t>
      </w:r>
      <w:r>
        <w:rPr>
          <w:rFonts w:hint="eastAsia" w:eastAsia="方正仿宋_GBK"/>
          <w:color w:val="000000"/>
          <w:spacing w:val="-2"/>
          <w:sz w:val="24"/>
        </w:rPr>
        <w:t>各级造价管理机构应当设立负责计价解释与争议调解工作的部门，配备具有专业资格的人员，并向社会公布联系方式和办事程序。</w:t>
      </w:r>
    </w:p>
    <w:p>
      <w:pPr>
        <w:spacing w:line="460" w:lineRule="exact"/>
        <w:ind w:firstLine="472" w:firstLineChars="200"/>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第二章  计价解释</w:t>
      </w:r>
    </w:p>
    <w:p>
      <w:pPr>
        <w:spacing w:line="460" w:lineRule="exact"/>
        <w:ind w:firstLine="472" w:firstLineChars="200"/>
        <w:rPr>
          <w:rFonts w:hint="eastAsia" w:ascii="Times New Roman" w:eastAsia="方正黑体_GBK"/>
          <w:color w:val="000000"/>
          <w:spacing w:val="-2"/>
          <w:sz w:val="24"/>
        </w:rPr>
      </w:pPr>
    </w:p>
    <w:p>
      <w:pPr>
        <w:spacing w:line="460" w:lineRule="exact"/>
        <w:ind w:firstLine="472" w:firstLineChars="200"/>
        <w:rPr>
          <w:rFonts w:hint="eastAsia" w:eastAsia="方正仿宋_GBK"/>
          <w:color w:val="000000"/>
          <w:spacing w:val="-2"/>
          <w:sz w:val="24"/>
        </w:rPr>
      </w:pPr>
      <w:r>
        <w:rPr>
          <w:rFonts w:hint="eastAsia" w:ascii="Times New Roman"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工程建设各方主体及相关人员均可向造价管理机构提出计价咨询。</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第八条</w:t>
      </w:r>
      <w:r>
        <w:rPr>
          <w:rFonts w:eastAsia="方正仿宋_GBK"/>
          <w:color w:val="000000"/>
          <w:spacing w:val="-2"/>
          <w:sz w:val="24"/>
        </w:rPr>
        <w:t xml:space="preserve">  </w:t>
      </w:r>
      <w:r>
        <w:rPr>
          <w:rFonts w:hint="eastAsia" w:eastAsia="方正仿宋_GBK"/>
          <w:color w:val="000000"/>
          <w:spacing w:val="-2"/>
          <w:sz w:val="24"/>
        </w:rPr>
        <w:t>对于来电咨询，计价解释人员应即时口头答复，填写《计价解释来电咨询记录单》（详见附件一），常识性问题可以不填写记录单。如不能即时答复，应告知咨询人答复时限。因来电咨询的局限性，电话答复不作为最终有效答复。</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对于来函、来人咨询，计价解释人员应按《计价解释来人、来函咨询记录单》（详见附件二）进行登记。可以口头答复的当日答复，需要书面答复的，咨询人应提交有单位盖章的书面申请和相关工程资料，由计价解释人员在</w:t>
      </w:r>
      <w:r>
        <w:rPr>
          <w:rFonts w:eastAsia="方正仿宋_GBK"/>
          <w:color w:val="000000"/>
          <w:spacing w:val="-2"/>
          <w:sz w:val="24"/>
        </w:rPr>
        <w:t>5</w:t>
      </w:r>
      <w:r>
        <w:rPr>
          <w:rFonts w:hint="eastAsia" w:eastAsia="方正仿宋_GBK"/>
          <w:color w:val="000000"/>
          <w:spacing w:val="-2"/>
          <w:sz w:val="24"/>
        </w:rPr>
        <w:t>个工作日内答复（情况复杂的除外）。</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书面答复需报站（处）领导审核签字，正式行文回复。</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color w:val="000000"/>
          <w:spacing w:val="-2"/>
          <w:sz w:val="24"/>
        </w:rPr>
        <w:t xml:space="preserve">  </w:t>
      </w:r>
      <w:r>
        <w:rPr>
          <w:rFonts w:hint="eastAsia" w:eastAsia="方正仿宋_GBK"/>
          <w:color w:val="000000"/>
          <w:spacing w:val="-2"/>
          <w:sz w:val="24"/>
        </w:rPr>
        <w:t>对于特殊或疑难问题，计价解释人员应到施工现场了解相关情况，组织专业人员（专家组）讨论后再作出答复。</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对于我省计价表（定额）和有关执行文件上已说明清楚的，或超出建设工程计价解释范围的问题，计价解释人员可以不予答复。</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第十条</w:t>
      </w:r>
      <w:r>
        <w:rPr>
          <w:rFonts w:eastAsia="方正仿宋_GBK"/>
          <w:color w:val="000000"/>
          <w:spacing w:val="-2"/>
          <w:sz w:val="24"/>
        </w:rPr>
        <w:t xml:space="preserve">  </w:t>
      </w:r>
      <w:r>
        <w:rPr>
          <w:rFonts w:hint="eastAsia" w:eastAsia="方正仿宋_GBK"/>
          <w:color w:val="000000"/>
          <w:spacing w:val="-2"/>
          <w:sz w:val="24"/>
        </w:rPr>
        <w:t>各级造价管理部门的书面答复意见应及时在工程造价信息网</w:t>
      </w:r>
      <w:r>
        <w:rPr>
          <w:rFonts w:eastAsia="方正仿宋_GBK"/>
          <w:color w:val="000000"/>
          <w:spacing w:val="-2"/>
          <w:sz w:val="24"/>
        </w:rPr>
        <w:t>“</w:t>
      </w:r>
      <w:r>
        <w:rPr>
          <w:rFonts w:hint="eastAsia" w:eastAsia="方正仿宋_GBK"/>
          <w:color w:val="000000"/>
          <w:spacing w:val="-2"/>
          <w:sz w:val="24"/>
        </w:rPr>
        <w:t>计价解释</w:t>
      </w:r>
      <w:r>
        <w:rPr>
          <w:rFonts w:eastAsia="方正仿宋_GBK"/>
          <w:color w:val="000000"/>
          <w:spacing w:val="-2"/>
          <w:sz w:val="24"/>
        </w:rPr>
        <w:t>”</w:t>
      </w:r>
      <w:r>
        <w:rPr>
          <w:rFonts w:hint="eastAsia" w:eastAsia="方正仿宋_GBK"/>
          <w:color w:val="000000"/>
          <w:spacing w:val="-2"/>
          <w:sz w:val="24"/>
        </w:rPr>
        <w:t>栏目上发布；口头答复过程中出现较多的、共性的问题应及时记录、整理，在造价信息杂志和工程造价信息网上按月发布。</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第十一条</w:t>
      </w:r>
      <w:r>
        <w:rPr>
          <w:rFonts w:eastAsia="方正仿宋_GBK"/>
          <w:color w:val="000000"/>
          <w:spacing w:val="-2"/>
          <w:sz w:val="24"/>
        </w:rPr>
        <w:t xml:space="preserve"> </w:t>
      </w:r>
      <w:r>
        <w:rPr>
          <w:rFonts w:hint="eastAsia" w:eastAsia="方正仿宋_GBK"/>
          <w:color w:val="000000"/>
          <w:spacing w:val="-2"/>
          <w:sz w:val="24"/>
        </w:rPr>
        <w:t>各级造价管理机构应鼓励和推行在江苏工程造价信息网上交流解答计价咨询。注册为会员的咨询人在工程造价信息网</w:t>
      </w:r>
      <w:r>
        <w:rPr>
          <w:rFonts w:eastAsia="方正仿宋_GBK"/>
          <w:color w:val="000000"/>
          <w:spacing w:val="-2"/>
          <w:sz w:val="24"/>
        </w:rPr>
        <w:t>“</w:t>
      </w:r>
      <w:r>
        <w:rPr>
          <w:rFonts w:hint="eastAsia" w:eastAsia="方正仿宋_GBK"/>
          <w:color w:val="000000"/>
          <w:spacing w:val="-2"/>
          <w:sz w:val="24"/>
        </w:rPr>
        <w:t>造价论坛</w:t>
      </w:r>
      <w:r>
        <w:rPr>
          <w:rFonts w:eastAsia="方正仿宋_GBK"/>
          <w:color w:val="000000"/>
          <w:spacing w:val="-2"/>
          <w:sz w:val="24"/>
        </w:rPr>
        <w:t>”</w:t>
      </w:r>
      <w:r>
        <w:rPr>
          <w:rFonts w:hint="eastAsia" w:eastAsia="方正仿宋_GBK"/>
          <w:color w:val="000000"/>
          <w:spacing w:val="-2"/>
          <w:sz w:val="24"/>
        </w:rPr>
        <w:t>栏目上提出咨询问题，由专职计价解释人员定期在网上统一答复，网上答复与书面答复具有同等效力。</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对于采用新材料、新技术、新工艺，需编制一次性补充定额的项目，发承包双方应于项目施工前到工程所在地造价管理机构提出申请，在造价管理机构的指导下进行数据测算工作，经造价管理机构审核认可。</w:t>
      </w: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第三章  计价争议调解</w:t>
      </w:r>
    </w:p>
    <w:p>
      <w:pPr>
        <w:spacing w:line="460" w:lineRule="exact"/>
        <w:ind w:firstLine="472" w:firstLineChars="200"/>
        <w:rPr>
          <w:rFonts w:hint="eastAsia" w:ascii="Times New Roman" w:eastAsia="方正黑体_GBK"/>
          <w:color w:val="000000"/>
          <w:spacing w:val="-2"/>
          <w:sz w:val="24"/>
        </w:rPr>
      </w:pPr>
    </w:p>
    <w:p>
      <w:pPr>
        <w:spacing w:line="460" w:lineRule="exact"/>
        <w:ind w:firstLine="472" w:firstLineChars="200"/>
        <w:rPr>
          <w:rFonts w:hint="eastAsia" w:eastAsia="方正仿宋_GBK"/>
          <w:color w:val="000000"/>
          <w:spacing w:val="-2"/>
          <w:sz w:val="24"/>
        </w:rPr>
      </w:pPr>
      <w:r>
        <w:rPr>
          <w:rFonts w:hint="eastAsia" w:ascii="Times New Roman" w:eastAsia="方正黑体_GBK"/>
          <w:color w:val="000000"/>
          <w:spacing w:val="-2"/>
          <w:sz w:val="24"/>
        </w:rPr>
        <w:t>第十三条</w:t>
      </w:r>
      <w:r>
        <w:rPr>
          <w:rFonts w:eastAsia="方正仿宋_GBK"/>
          <w:color w:val="000000"/>
          <w:spacing w:val="-2"/>
          <w:sz w:val="24"/>
        </w:rPr>
        <w:t xml:space="preserve">  </w:t>
      </w:r>
      <w:r>
        <w:rPr>
          <w:rFonts w:hint="eastAsia" w:eastAsia="方正仿宋_GBK"/>
          <w:color w:val="000000"/>
          <w:spacing w:val="-2"/>
          <w:sz w:val="24"/>
        </w:rPr>
        <w:t>工程建设各方主体发生工程计价争议时，各方当事人可向工程所在地造价管理机构申请调解。</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计价争议调解时，争议各方当事人都应当到场，受委托对该项目提供咨询服务的工程造价咨询单位应同时参加调解。</w:t>
      </w:r>
    </w:p>
    <w:p>
      <w:pPr>
        <w:spacing w:line="460" w:lineRule="exact"/>
        <w:ind w:firstLine="555"/>
        <w:rPr>
          <w:rFonts w:eastAsia="方正仿宋_GBK"/>
          <w:color w:val="000000"/>
          <w:spacing w:val="-2"/>
          <w:sz w:val="24"/>
        </w:rPr>
      </w:pPr>
      <w:r>
        <w:rPr>
          <w:rFonts w:hint="eastAsia" w:ascii="Times New Roman" w:eastAsia="方正黑体_GBK"/>
          <w:color w:val="000000"/>
          <w:spacing w:val="-2"/>
          <w:sz w:val="24"/>
        </w:rPr>
        <w:t>第十五条</w:t>
      </w:r>
      <w:r>
        <w:rPr>
          <w:rFonts w:eastAsia="方正仿宋_GBK"/>
          <w:color w:val="000000"/>
          <w:spacing w:val="-2"/>
          <w:sz w:val="24"/>
        </w:rPr>
        <w:t xml:space="preserve">  </w:t>
      </w:r>
      <w:r>
        <w:rPr>
          <w:rFonts w:hint="eastAsia" w:eastAsia="方正仿宋_GBK"/>
          <w:color w:val="000000"/>
          <w:spacing w:val="-2"/>
          <w:sz w:val="24"/>
        </w:rPr>
        <w:t>申请计价争议调解应提供下述资料：</w:t>
      </w:r>
    </w:p>
    <w:p>
      <w:pPr>
        <w:spacing w:line="460" w:lineRule="exact"/>
        <w:ind w:firstLine="555"/>
        <w:rPr>
          <w:rFonts w:eastAsia="方正仿宋_GBK"/>
          <w:color w:val="000000"/>
          <w:spacing w:val="-2"/>
          <w:sz w:val="24"/>
        </w:rPr>
      </w:pPr>
      <w:r>
        <w:rPr>
          <w:rFonts w:hint="eastAsia" w:eastAsia="方正仿宋_GBK"/>
          <w:color w:val="000000"/>
          <w:spacing w:val="-2"/>
          <w:sz w:val="24"/>
        </w:rPr>
        <w:t>（一）争议各方当事人联合盖章的争议调解申请单（详见附件三）。</w:t>
      </w:r>
    </w:p>
    <w:p>
      <w:pPr>
        <w:spacing w:line="460" w:lineRule="exact"/>
        <w:ind w:firstLine="555"/>
        <w:rPr>
          <w:rFonts w:eastAsia="方正仿宋_GBK"/>
          <w:color w:val="000000"/>
          <w:spacing w:val="-2"/>
          <w:sz w:val="24"/>
        </w:rPr>
      </w:pPr>
      <w:r>
        <w:rPr>
          <w:rFonts w:hint="eastAsia" w:eastAsia="方正仿宋_GBK"/>
          <w:color w:val="000000"/>
          <w:spacing w:val="-2"/>
          <w:sz w:val="24"/>
        </w:rPr>
        <w:t>（二）施工图与施工组织方案；</w:t>
      </w:r>
    </w:p>
    <w:p>
      <w:pPr>
        <w:spacing w:line="460" w:lineRule="exact"/>
        <w:ind w:firstLine="555"/>
        <w:rPr>
          <w:rFonts w:eastAsia="方正仿宋_GBK"/>
          <w:color w:val="000000"/>
          <w:spacing w:val="-2"/>
          <w:sz w:val="24"/>
        </w:rPr>
      </w:pPr>
      <w:r>
        <w:rPr>
          <w:rFonts w:hint="eastAsia" w:eastAsia="方正仿宋_GBK"/>
          <w:color w:val="000000"/>
          <w:spacing w:val="-2"/>
          <w:sz w:val="24"/>
        </w:rPr>
        <w:t>（三）施工合同、补充协议与招投标文件；</w:t>
      </w:r>
    </w:p>
    <w:p>
      <w:pPr>
        <w:spacing w:line="460" w:lineRule="exact"/>
        <w:ind w:firstLine="555"/>
        <w:rPr>
          <w:rFonts w:eastAsia="方正仿宋_GBK"/>
          <w:color w:val="000000"/>
          <w:spacing w:val="-2"/>
          <w:sz w:val="24"/>
        </w:rPr>
      </w:pPr>
      <w:r>
        <w:rPr>
          <w:rFonts w:hint="eastAsia" w:eastAsia="方正仿宋_GBK"/>
          <w:color w:val="000000"/>
          <w:spacing w:val="-2"/>
          <w:sz w:val="24"/>
        </w:rPr>
        <w:t>（四）现场设计变更与签证资料；</w:t>
      </w:r>
    </w:p>
    <w:p>
      <w:pPr>
        <w:spacing w:line="460" w:lineRule="exact"/>
        <w:ind w:firstLine="555"/>
        <w:rPr>
          <w:rFonts w:eastAsia="方正仿宋_GBK"/>
          <w:color w:val="000000"/>
          <w:spacing w:val="-2"/>
          <w:sz w:val="24"/>
        </w:rPr>
      </w:pPr>
      <w:r>
        <w:rPr>
          <w:rFonts w:hint="eastAsia" w:eastAsia="方正仿宋_GBK"/>
          <w:color w:val="000000"/>
          <w:spacing w:val="-2"/>
          <w:sz w:val="24"/>
        </w:rPr>
        <w:t>（五）与工程有关的其它资料。</w:t>
      </w:r>
    </w:p>
    <w:p>
      <w:pPr>
        <w:spacing w:line="460" w:lineRule="exact"/>
        <w:ind w:firstLine="555"/>
        <w:rPr>
          <w:rFonts w:eastAsia="方正仿宋_GBK"/>
          <w:color w:val="000000"/>
          <w:spacing w:val="-2"/>
          <w:sz w:val="24"/>
        </w:rPr>
      </w:pPr>
      <w:r>
        <w:rPr>
          <w:rFonts w:hint="eastAsia" w:eastAsia="方正仿宋_GBK"/>
          <w:color w:val="000000"/>
          <w:spacing w:val="-2"/>
          <w:sz w:val="24"/>
        </w:rPr>
        <w:t>资料提供人应对所提供资料的真实有效性负责。</w:t>
      </w:r>
    </w:p>
    <w:p>
      <w:pPr>
        <w:spacing w:line="460" w:lineRule="exact"/>
        <w:ind w:firstLine="555"/>
        <w:rPr>
          <w:rFonts w:eastAsia="方正仿宋_GBK"/>
          <w:color w:val="000000"/>
          <w:spacing w:val="-2"/>
          <w:sz w:val="24"/>
        </w:rPr>
      </w:pPr>
      <w:r>
        <w:rPr>
          <w:rFonts w:hint="eastAsia" w:ascii="Times New Roman" w:eastAsia="方正黑体_GBK"/>
          <w:color w:val="000000"/>
          <w:spacing w:val="-2"/>
          <w:sz w:val="24"/>
        </w:rPr>
        <w:t>第十六条</w:t>
      </w:r>
      <w:r>
        <w:rPr>
          <w:rFonts w:eastAsia="方正仿宋_GBK"/>
          <w:color w:val="000000"/>
          <w:spacing w:val="-2"/>
          <w:sz w:val="24"/>
        </w:rPr>
        <w:t xml:space="preserve">  </w:t>
      </w:r>
      <w:r>
        <w:rPr>
          <w:rFonts w:hint="eastAsia" w:eastAsia="方正仿宋_GBK"/>
          <w:color w:val="000000"/>
          <w:spacing w:val="-2"/>
          <w:sz w:val="24"/>
        </w:rPr>
        <w:t>有下列情况之一的计价争议调解申请，造价管理机构可以不予受理：</w:t>
      </w:r>
    </w:p>
    <w:p>
      <w:pPr>
        <w:spacing w:line="460" w:lineRule="exact"/>
        <w:ind w:firstLine="555"/>
        <w:rPr>
          <w:rFonts w:eastAsia="方正仿宋_GBK"/>
          <w:color w:val="000000"/>
          <w:spacing w:val="-2"/>
          <w:sz w:val="24"/>
        </w:rPr>
      </w:pPr>
      <w:r>
        <w:rPr>
          <w:rFonts w:hint="eastAsia" w:eastAsia="方正仿宋_GBK"/>
          <w:color w:val="000000"/>
          <w:spacing w:val="-2"/>
          <w:sz w:val="24"/>
        </w:rPr>
        <w:t>（一）未按上述第十五条规定提供资料的；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（二）造价管理机构已作出计价争议调解决定，并且争议调解的申请人未再提出新的证据；</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（三）上级造价管理机构已作出计价争议调解决定的；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（四）已向仲裁机构申请仲裁的；</w:t>
      </w:r>
    </w:p>
    <w:p>
      <w:pPr>
        <w:spacing w:line="460" w:lineRule="exact"/>
        <w:ind w:firstLine="472" w:firstLineChars="200"/>
        <w:rPr>
          <w:rFonts w:eastAsia="方正仿宋_GBK"/>
          <w:color w:val="000000"/>
          <w:spacing w:val="-2"/>
          <w:sz w:val="24"/>
        </w:rPr>
      </w:pPr>
      <w:r>
        <w:rPr>
          <w:rFonts w:hint="eastAsia" w:eastAsia="方正仿宋_GBK"/>
          <w:color w:val="000000"/>
          <w:spacing w:val="-2"/>
          <w:sz w:val="24"/>
        </w:rPr>
        <w:t>（五）已向人民法院提请诉讼的；</w:t>
      </w:r>
    </w:p>
    <w:p>
      <w:pPr>
        <w:spacing w:line="460" w:lineRule="exact"/>
        <w:ind w:firstLine="555"/>
        <w:rPr>
          <w:rFonts w:eastAsia="方正仿宋_GBK"/>
          <w:color w:val="000000"/>
          <w:spacing w:val="-2"/>
          <w:sz w:val="24"/>
        </w:rPr>
      </w:pPr>
      <w:r>
        <w:rPr>
          <w:rFonts w:hint="eastAsia" w:eastAsia="方正仿宋_GBK"/>
          <w:color w:val="000000"/>
          <w:spacing w:val="-2"/>
          <w:sz w:val="24"/>
        </w:rPr>
        <w:t>（六）当事双方参与争议调解人员不是</w:t>
      </w:r>
      <w:r>
        <w:rPr>
          <w:rFonts w:eastAsia="方正仿宋_GBK"/>
          <w:color w:val="000000"/>
          <w:spacing w:val="-2"/>
          <w:sz w:val="24"/>
        </w:rPr>
        <w:t>“</w:t>
      </w:r>
      <w:r>
        <w:rPr>
          <w:rFonts w:hint="eastAsia" w:eastAsia="方正仿宋_GBK"/>
          <w:color w:val="000000"/>
          <w:spacing w:val="-2"/>
          <w:sz w:val="24"/>
        </w:rPr>
        <w:t>造价工程师注册资格证书</w:t>
      </w:r>
      <w:r>
        <w:rPr>
          <w:rFonts w:eastAsia="方正仿宋_GBK"/>
          <w:color w:val="000000"/>
          <w:spacing w:val="-2"/>
          <w:sz w:val="24"/>
        </w:rPr>
        <w:t>”</w:t>
      </w:r>
      <w:r>
        <w:rPr>
          <w:rFonts w:hint="eastAsia" w:eastAsia="方正仿宋_GBK"/>
          <w:color w:val="000000"/>
          <w:spacing w:val="-2"/>
          <w:sz w:val="24"/>
        </w:rPr>
        <w:t>或</w:t>
      </w:r>
      <w:r>
        <w:rPr>
          <w:rFonts w:eastAsia="方正仿宋_GBK"/>
          <w:color w:val="000000"/>
          <w:spacing w:val="-2"/>
          <w:sz w:val="24"/>
        </w:rPr>
        <w:t>“</w:t>
      </w:r>
      <w:r>
        <w:rPr>
          <w:rFonts w:hint="eastAsia" w:eastAsia="方正仿宋_GBK"/>
          <w:color w:val="000000"/>
          <w:spacing w:val="-2"/>
          <w:sz w:val="24"/>
        </w:rPr>
        <w:t>造价员证书</w:t>
      </w:r>
      <w:r>
        <w:rPr>
          <w:rFonts w:eastAsia="方正仿宋_GBK"/>
          <w:color w:val="000000"/>
          <w:spacing w:val="-2"/>
          <w:sz w:val="24"/>
        </w:rPr>
        <w:t>”</w:t>
      </w:r>
      <w:r>
        <w:rPr>
          <w:rFonts w:hint="eastAsia" w:eastAsia="方正仿宋_GBK"/>
          <w:color w:val="000000"/>
          <w:spacing w:val="-2"/>
          <w:sz w:val="24"/>
        </w:rPr>
        <w:t>持有者。</w:t>
      </w:r>
    </w:p>
    <w:p>
      <w:pPr>
        <w:spacing w:line="460" w:lineRule="exact"/>
        <w:ind w:firstLine="555"/>
        <w:rPr>
          <w:rFonts w:eastAsia="方正仿宋_GBK"/>
          <w:color w:val="000000"/>
          <w:spacing w:val="-2"/>
          <w:sz w:val="24"/>
        </w:rPr>
      </w:pPr>
      <w:r>
        <w:rPr>
          <w:rFonts w:hint="eastAsia" w:ascii="Times New Roman" w:eastAsia="方正黑体_GBK"/>
          <w:color w:val="000000"/>
          <w:spacing w:val="-2"/>
          <w:sz w:val="24"/>
        </w:rPr>
        <w:t>第十七条</w:t>
      </w:r>
      <w:r>
        <w:rPr>
          <w:rFonts w:eastAsia="方正仿宋_GBK"/>
          <w:color w:val="000000"/>
          <w:spacing w:val="-2"/>
          <w:sz w:val="24"/>
        </w:rPr>
        <w:t xml:space="preserve">  </w:t>
      </w:r>
      <w:r>
        <w:rPr>
          <w:rFonts w:hint="eastAsia" w:eastAsia="方正仿宋_GBK"/>
          <w:color w:val="000000"/>
          <w:spacing w:val="-2"/>
          <w:sz w:val="24"/>
        </w:rPr>
        <w:t>造价管理机构受理争议调解申请单后，应指定相关专业人员为争议调解人。争议调解人应仔细听取各方当事人的陈述，结合查看申请人提供的资料，核实有关情况，及时提出意见。对较复杂的问题，可由造价管理机构负责成立专家组，协调处理。</w:t>
      </w:r>
    </w:p>
    <w:p>
      <w:pPr>
        <w:spacing w:line="460" w:lineRule="exact"/>
        <w:ind w:firstLine="555"/>
        <w:rPr>
          <w:rFonts w:eastAsia="方正仿宋_GBK"/>
          <w:color w:val="000000"/>
          <w:spacing w:val="-2"/>
          <w:sz w:val="24"/>
        </w:rPr>
      </w:pPr>
      <w:r>
        <w:rPr>
          <w:rFonts w:hint="eastAsia" w:ascii="Times New Roman" w:eastAsia="方正黑体_GBK"/>
          <w:color w:val="000000"/>
          <w:spacing w:val="-2"/>
          <w:sz w:val="24"/>
        </w:rPr>
        <w:t>第十八条</w:t>
      </w:r>
      <w:r>
        <w:rPr>
          <w:rFonts w:eastAsia="方正仿宋_GBK"/>
          <w:color w:val="000000"/>
          <w:spacing w:val="-2"/>
          <w:sz w:val="24"/>
        </w:rPr>
        <w:t xml:space="preserve">  </w:t>
      </w:r>
      <w:r>
        <w:rPr>
          <w:rFonts w:hint="eastAsia" w:eastAsia="方正仿宋_GBK"/>
          <w:color w:val="000000"/>
          <w:spacing w:val="-2"/>
          <w:sz w:val="24"/>
        </w:rPr>
        <w:t>争议调解人应详细填写《造价争议调解记录单》（详见附件四），并将争议调解有关资料登记归档，重要资料复印后留存。</w:t>
      </w:r>
    </w:p>
    <w:p>
      <w:pPr>
        <w:spacing w:line="460" w:lineRule="exact"/>
        <w:ind w:firstLine="555"/>
        <w:rPr>
          <w:rFonts w:eastAsia="方正仿宋_GBK"/>
          <w:color w:val="000000"/>
          <w:spacing w:val="-2"/>
          <w:sz w:val="24"/>
        </w:rPr>
      </w:pPr>
      <w:r>
        <w:rPr>
          <w:rFonts w:hint="eastAsia" w:eastAsia="方正仿宋_GBK"/>
          <w:color w:val="000000"/>
          <w:spacing w:val="-2"/>
          <w:sz w:val="24"/>
        </w:rPr>
        <w:t>各方当事人达成一致意见，不需要书面答复时，造价管理机构可以不出具书面答复；需要书面答复的，应在</w:t>
      </w:r>
      <w:r>
        <w:rPr>
          <w:rFonts w:eastAsia="方正仿宋_GBK"/>
          <w:color w:val="000000"/>
          <w:spacing w:val="-2"/>
          <w:sz w:val="24"/>
        </w:rPr>
        <w:t>7</w:t>
      </w:r>
      <w:r>
        <w:rPr>
          <w:rFonts w:hint="eastAsia" w:eastAsia="方正仿宋_GBK"/>
          <w:color w:val="000000"/>
          <w:spacing w:val="-2"/>
          <w:sz w:val="24"/>
        </w:rPr>
        <w:t>个工作日内给予答复（特殊工程除外）。各方当事人对调解不能达成一致意见时，可根据合同约定提请仲裁或人民法院裁决。</w:t>
      </w:r>
    </w:p>
    <w:p>
      <w:pPr>
        <w:spacing w:line="460" w:lineRule="exact"/>
        <w:ind w:firstLine="555"/>
        <w:rPr>
          <w:rFonts w:eastAsia="方正仿宋_GBK"/>
          <w:color w:val="000000"/>
          <w:spacing w:val="-2"/>
          <w:sz w:val="24"/>
        </w:rPr>
      </w:pPr>
      <w:r>
        <w:rPr>
          <w:rFonts w:hint="eastAsia" w:eastAsia="方正仿宋_GBK"/>
          <w:color w:val="000000"/>
          <w:spacing w:val="-2"/>
          <w:sz w:val="24"/>
        </w:rPr>
        <w:t>书面答复需报站（处）领导审核签字，正式行文回复。</w:t>
      </w:r>
    </w:p>
    <w:p>
      <w:pPr>
        <w:spacing w:line="460" w:lineRule="exact"/>
        <w:ind w:firstLine="555"/>
        <w:rPr>
          <w:rFonts w:eastAsia="方正仿宋_GBK"/>
          <w:color w:val="000000"/>
          <w:spacing w:val="-2"/>
          <w:sz w:val="24"/>
        </w:rPr>
      </w:pPr>
    </w:p>
    <w:p>
      <w:pPr>
        <w:spacing w:line="460" w:lineRule="exact"/>
        <w:jc w:val="center"/>
        <w:rPr>
          <w:rFonts w:ascii="Times New Roman" w:eastAsia="方正黑体_GBK"/>
          <w:color w:val="000000"/>
          <w:spacing w:val="-2"/>
          <w:sz w:val="24"/>
        </w:rPr>
      </w:pPr>
      <w:r>
        <w:rPr>
          <w:rFonts w:hint="eastAsia" w:ascii="Times New Roman" w:eastAsia="方正黑体_GBK"/>
          <w:color w:val="000000"/>
          <w:spacing w:val="-2"/>
          <w:sz w:val="24"/>
        </w:rPr>
        <w:t>第四章  附    则</w:t>
      </w:r>
    </w:p>
    <w:p>
      <w:pPr>
        <w:spacing w:line="460" w:lineRule="exact"/>
        <w:ind w:firstLine="555"/>
        <w:rPr>
          <w:rFonts w:hint="eastAsia" w:ascii="Times New Roman" w:eastAsia="方正黑体_GBK"/>
          <w:color w:val="000000"/>
          <w:spacing w:val="-2"/>
          <w:sz w:val="24"/>
        </w:rPr>
      </w:pPr>
    </w:p>
    <w:p>
      <w:pPr>
        <w:spacing w:line="460" w:lineRule="exact"/>
        <w:ind w:firstLine="555"/>
        <w:rPr>
          <w:rFonts w:hint="eastAsia" w:eastAsia="方正仿宋_GBK"/>
          <w:color w:val="000000"/>
          <w:spacing w:val="-2"/>
          <w:sz w:val="24"/>
        </w:rPr>
      </w:pPr>
      <w:r>
        <w:rPr>
          <w:rFonts w:hint="eastAsia" w:ascii="Times New Roman" w:eastAsia="方正黑体_GBK"/>
          <w:color w:val="000000"/>
          <w:spacing w:val="-2"/>
          <w:sz w:val="24"/>
        </w:rPr>
        <w:t>第十九条</w:t>
      </w:r>
      <w:r>
        <w:rPr>
          <w:rFonts w:eastAsia="方正仿宋_GBK"/>
          <w:color w:val="000000"/>
          <w:spacing w:val="-2"/>
          <w:sz w:val="24"/>
        </w:rPr>
        <w:t xml:space="preserve">  </w:t>
      </w:r>
      <w:r>
        <w:rPr>
          <w:rFonts w:hint="eastAsia" w:eastAsia="方正仿宋_GBK"/>
          <w:color w:val="000000"/>
          <w:spacing w:val="-2"/>
          <w:sz w:val="24"/>
        </w:rPr>
        <w:t>各市造价管理机构每半年将计价解释和争议调解的实例汇总上报省站。省站将及时整理成册，印发市县造价管理机构交流。</w:t>
      </w:r>
    </w:p>
    <w:p>
      <w:pPr>
        <w:spacing w:line="460" w:lineRule="exact"/>
        <w:ind w:firstLine="555"/>
        <w:rPr>
          <w:rFonts w:eastAsia="方正仿宋_GBK"/>
          <w:color w:val="000000"/>
          <w:spacing w:val="-2"/>
          <w:sz w:val="24"/>
        </w:rPr>
      </w:pPr>
      <w:r>
        <w:rPr>
          <w:rFonts w:hint="eastAsia" w:ascii="Times New Roman" w:eastAsia="方正黑体_GBK"/>
          <w:color w:val="000000"/>
          <w:spacing w:val="-2"/>
          <w:sz w:val="24"/>
        </w:rPr>
        <w:t>第二十条</w:t>
      </w:r>
      <w:r>
        <w:rPr>
          <w:rFonts w:eastAsia="方正仿宋_GBK"/>
          <w:color w:val="000000"/>
          <w:spacing w:val="-2"/>
          <w:sz w:val="24"/>
        </w:rPr>
        <w:t xml:space="preserve">  </w:t>
      </w:r>
      <w:r>
        <w:rPr>
          <w:rFonts w:hint="eastAsia" w:eastAsia="方正仿宋_GBK"/>
          <w:color w:val="000000"/>
          <w:spacing w:val="-2"/>
          <w:sz w:val="24"/>
        </w:rPr>
        <w:t>对履行职责过程中存在滥用职权、故意偏袒、弄虚作假、敷衍塞责等行为，造成工程建设各方主体合法权益受到损害或造成不良社会影响的责任人员，各级造价管理机构应按照有关规定和管理权限，及时追究，严肃处理。</w:t>
      </w:r>
    </w:p>
    <w:p>
      <w:pPr>
        <w:spacing w:line="460" w:lineRule="exact"/>
        <w:ind w:firstLine="472" w:firstLineChars="200"/>
        <w:rPr>
          <w:rFonts w:eastAsia="方正仿宋_GBK"/>
          <w:color w:val="000000"/>
          <w:spacing w:val="-2"/>
          <w:sz w:val="24"/>
        </w:rPr>
      </w:pPr>
      <w:r>
        <w:rPr>
          <w:rFonts w:hint="eastAsia" w:ascii="Times New Roman" w:eastAsia="方正黑体_GBK"/>
          <w:color w:val="000000"/>
          <w:spacing w:val="-2"/>
          <w:sz w:val="24"/>
        </w:rPr>
        <w:t>第二十一条</w:t>
      </w:r>
      <w:r>
        <w:rPr>
          <w:rFonts w:eastAsia="方正仿宋_GBK"/>
          <w:color w:val="000000"/>
          <w:spacing w:val="-2"/>
          <w:sz w:val="24"/>
        </w:rPr>
        <w:t xml:space="preserve">  </w:t>
      </w:r>
      <w:r>
        <w:rPr>
          <w:rFonts w:hint="eastAsia" w:eastAsia="方正仿宋_GBK"/>
          <w:color w:val="000000"/>
          <w:spacing w:val="-2"/>
          <w:sz w:val="24"/>
        </w:rPr>
        <w:t>本规定于二〇〇六年十月一日起施行，由省站负责解释。</w:t>
      </w:r>
    </w:p>
    <w:p>
      <w:pPr>
        <w:spacing w:line="460" w:lineRule="exact"/>
        <w:ind w:firstLine="472" w:firstLineChars="200"/>
        <w:rPr>
          <w:rFonts w:eastAsia="仿宋_GB2312"/>
          <w:color w:val="000000"/>
          <w:spacing w:val="-2"/>
          <w:sz w:val="28"/>
          <w:szCs w:val="28"/>
        </w:rPr>
      </w:pPr>
      <w:r>
        <w:rPr>
          <w:rFonts w:hint="eastAsia" w:ascii="Times New Roman" w:eastAsia="方正黑体_GBK"/>
          <w:color w:val="000000"/>
          <w:spacing w:val="-2"/>
          <w:sz w:val="24"/>
        </w:rPr>
        <w:t>第二十二条</w:t>
      </w:r>
      <w:r>
        <w:rPr>
          <w:rFonts w:eastAsia="方正仿宋_GBK"/>
          <w:color w:val="000000"/>
          <w:spacing w:val="-2"/>
          <w:sz w:val="24"/>
        </w:rPr>
        <w:t xml:space="preserve">  </w:t>
      </w:r>
      <w:r>
        <w:rPr>
          <w:rFonts w:hint="eastAsia" w:eastAsia="方正仿宋_GBK"/>
          <w:color w:val="000000"/>
          <w:spacing w:val="-2"/>
          <w:sz w:val="24"/>
        </w:rPr>
        <w:t>各市县工程造价管理机构可根据本规定制定实施细则。</w:t>
      </w:r>
    </w:p>
    <w:p>
      <w:pPr>
        <w:widowControl/>
        <w:spacing w:line="360" w:lineRule="auto"/>
        <w:jc w:val="left"/>
        <w:rPr>
          <w:rFonts w:eastAsia="仿宋_GB2312"/>
          <w:color w:val="000000"/>
          <w:spacing w:val="-2"/>
          <w:sz w:val="28"/>
          <w:szCs w:val="28"/>
        </w:rPr>
        <w:sectPr>
          <w:pgSz w:w="11905" w:h="16838"/>
          <w:pgMar w:top="1701" w:right="1587" w:bottom="1701" w:left="1587" w:header="850" w:footer="1361" w:gutter="0"/>
          <w:paperSrc w:first="4" w:other="4"/>
          <w:cols w:space="720" w:num="1"/>
        </w:sectPr>
      </w:pPr>
    </w:p>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附件一：</w:t>
      </w:r>
    </w:p>
    <w:p>
      <w:pPr>
        <w:spacing w:line="460" w:lineRule="exact"/>
        <w:rPr>
          <w:rFonts w:hint="eastAsia" w:eastAsia="方正仿宋_GBK"/>
          <w:color w:val="000000"/>
          <w:spacing w:val="-2"/>
          <w:sz w:val="24"/>
        </w:rPr>
      </w:pPr>
    </w:p>
    <w:p>
      <w:pPr>
        <w:spacing w:line="360" w:lineRule="auto"/>
        <w:jc w:val="center"/>
        <w:rPr>
          <w:rFonts w:ascii="Times New Roman" w:eastAsia="方正黑体_GBK"/>
          <w:color w:val="000000"/>
          <w:spacing w:val="-2"/>
          <w:sz w:val="28"/>
          <w:szCs w:val="28"/>
        </w:rPr>
      </w:pPr>
      <w:r>
        <w:rPr>
          <w:rFonts w:hint="eastAsia" w:ascii="Times New Roman" w:eastAsia="方正黑体_GBK"/>
          <w:color w:val="000000"/>
          <w:spacing w:val="-2"/>
          <w:sz w:val="28"/>
          <w:szCs w:val="28"/>
        </w:rPr>
        <w:t>计价解释来电咨询记录单</w:t>
      </w:r>
    </w:p>
    <w:p>
      <w:pPr>
        <w:spacing w:line="360" w:lineRule="auto"/>
        <w:jc w:val="center"/>
        <w:rPr>
          <w:rFonts w:hint="eastAsia" w:ascii="Times New Roman" w:eastAsia="方正黑体_GBK"/>
          <w:color w:val="000000"/>
          <w:spacing w:val="-2"/>
          <w:sz w:val="28"/>
          <w:szCs w:val="28"/>
        </w:rPr>
      </w:pPr>
    </w:p>
    <w:tbl>
      <w:tblPr>
        <w:tblStyle w:val="12"/>
        <w:tblW w:w="0" w:type="auto"/>
        <w:tblInd w:w="14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25"/>
        <w:gridCol w:w="750"/>
        <w:gridCol w:w="750"/>
        <w:gridCol w:w="749"/>
        <w:gridCol w:w="928"/>
        <w:gridCol w:w="1398"/>
        <w:gridCol w:w="1740"/>
        <w:gridCol w:w="940"/>
        <w:gridCol w:w="8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625" w:type="dxa"/>
            <w:tcBorders>
              <w:top w:val="single" w:color="auto" w:sz="8" w:space="0"/>
              <w:left w:val="single" w:color="auto" w:sz="8" w:space="0"/>
              <w:bottom w:val="single" w:color="auto" w:sz="4" w:space="0"/>
              <w:right w:val="single" w:color="auto" w:sz="4" w:space="0"/>
            </w:tcBorders>
            <w:noWrap w:val="0"/>
            <w:vAlign w:val="center"/>
          </w:tcPr>
          <w:p>
            <w:pPr>
              <w:ind w:left="-103" w:leftChars="-50" w:right="-103" w:rightChars="-50"/>
              <w:jc w:val="center"/>
              <w:rPr>
                <w:rFonts w:ascii="Times New Roman" w:eastAsia="方正黑体_GBK"/>
                <w:color w:val="000000"/>
                <w:spacing w:val="-2"/>
                <w:szCs w:val="21"/>
              </w:rPr>
            </w:pPr>
            <w:r>
              <w:rPr>
                <w:rFonts w:hint="eastAsia" w:ascii="Times New Roman" w:eastAsia="方正黑体_GBK"/>
                <w:color w:val="000000"/>
                <w:spacing w:val="-2"/>
                <w:szCs w:val="21"/>
              </w:rPr>
              <w:t>序号</w:t>
            </w:r>
          </w:p>
        </w:tc>
        <w:tc>
          <w:tcPr>
            <w:tcW w:w="750" w:type="dxa"/>
            <w:tcBorders>
              <w:top w:val="single" w:color="auto" w:sz="8" w:space="0"/>
              <w:left w:val="single" w:color="auto" w:sz="4" w:space="0"/>
              <w:bottom w:val="single" w:color="auto" w:sz="4" w:space="0"/>
              <w:right w:val="single" w:color="auto" w:sz="4" w:space="0"/>
            </w:tcBorders>
            <w:noWrap w:val="0"/>
            <w:vAlign w:val="center"/>
          </w:tcPr>
          <w:p>
            <w:pPr>
              <w:ind w:left="-103" w:leftChars="-50" w:right="-103" w:rightChars="-50"/>
              <w:jc w:val="center"/>
              <w:rPr>
                <w:rFonts w:ascii="Times New Roman" w:eastAsia="方正黑体_GBK"/>
                <w:color w:val="000000"/>
                <w:spacing w:val="-2"/>
                <w:szCs w:val="21"/>
              </w:rPr>
            </w:pPr>
            <w:r>
              <w:rPr>
                <w:rFonts w:hint="eastAsia" w:ascii="Times New Roman" w:eastAsia="方正黑体_GBK"/>
                <w:color w:val="000000"/>
                <w:spacing w:val="-2"/>
                <w:szCs w:val="21"/>
              </w:rPr>
              <w:t>时间</w:t>
            </w:r>
          </w:p>
        </w:tc>
        <w:tc>
          <w:tcPr>
            <w:tcW w:w="750" w:type="dxa"/>
            <w:tcBorders>
              <w:top w:val="single" w:color="auto" w:sz="8" w:space="0"/>
              <w:left w:val="single" w:color="auto" w:sz="4" w:space="0"/>
              <w:bottom w:val="single" w:color="auto" w:sz="4" w:space="0"/>
              <w:right w:val="single" w:color="auto" w:sz="4" w:space="0"/>
            </w:tcBorders>
            <w:noWrap w:val="0"/>
            <w:vAlign w:val="center"/>
          </w:tcPr>
          <w:p>
            <w:pPr>
              <w:ind w:left="-103" w:leftChars="-50" w:right="-103" w:rightChars="-50"/>
              <w:jc w:val="center"/>
              <w:rPr>
                <w:rFonts w:ascii="Times New Roman" w:eastAsia="方正黑体_GBK"/>
                <w:color w:val="000000"/>
                <w:spacing w:val="-2"/>
                <w:szCs w:val="21"/>
              </w:rPr>
            </w:pPr>
            <w:r>
              <w:rPr>
                <w:rFonts w:hint="eastAsia" w:ascii="Times New Roman" w:eastAsia="方正黑体_GBK"/>
                <w:color w:val="000000"/>
                <w:spacing w:val="-2"/>
                <w:szCs w:val="21"/>
              </w:rPr>
              <w:t>专业</w:t>
            </w:r>
          </w:p>
        </w:tc>
        <w:tc>
          <w:tcPr>
            <w:tcW w:w="749" w:type="dxa"/>
            <w:tcBorders>
              <w:top w:val="single" w:color="auto" w:sz="8" w:space="0"/>
              <w:left w:val="single" w:color="auto" w:sz="4" w:space="0"/>
              <w:bottom w:val="single" w:color="auto" w:sz="4" w:space="0"/>
              <w:right w:val="single" w:color="auto" w:sz="4" w:space="0"/>
            </w:tcBorders>
            <w:noWrap w:val="0"/>
            <w:vAlign w:val="center"/>
          </w:tcPr>
          <w:p>
            <w:pPr>
              <w:ind w:left="-103" w:leftChars="-50" w:right="-103" w:rightChars="-50"/>
              <w:jc w:val="center"/>
              <w:rPr>
                <w:rFonts w:ascii="Times New Roman" w:eastAsia="方正黑体_GBK"/>
                <w:color w:val="000000"/>
                <w:spacing w:val="-2"/>
                <w:szCs w:val="21"/>
              </w:rPr>
            </w:pPr>
            <w:r>
              <w:rPr>
                <w:rFonts w:hint="eastAsia" w:ascii="Times New Roman" w:eastAsia="方正黑体_GBK"/>
                <w:color w:val="000000"/>
                <w:spacing w:val="-2"/>
                <w:szCs w:val="21"/>
              </w:rPr>
              <w:t>咨询人</w:t>
            </w:r>
          </w:p>
        </w:tc>
        <w:tc>
          <w:tcPr>
            <w:tcW w:w="928" w:type="dxa"/>
            <w:tcBorders>
              <w:top w:val="single" w:color="auto" w:sz="8" w:space="0"/>
              <w:left w:val="single" w:color="auto" w:sz="4" w:space="0"/>
              <w:bottom w:val="single" w:color="auto" w:sz="4" w:space="0"/>
              <w:right w:val="single" w:color="auto" w:sz="4" w:space="0"/>
            </w:tcBorders>
            <w:noWrap w:val="0"/>
            <w:vAlign w:val="center"/>
          </w:tcPr>
          <w:p>
            <w:pPr>
              <w:ind w:left="-103" w:leftChars="-50" w:right="-103" w:rightChars="-50"/>
              <w:jc w:val="center"/>
              <w:rPr>
                <w:rFonts w:ascii="Times New Roman" w:eastAsia="方正黑体_GBK"/>
                <w:color w:val="000000"/>
                <w:spacing w:val="-2"/>
                <w:szCs w:val="21"/>
              </w:rPr>
            </w:pPr>
            <w:r>
              <w:rPr>
                <w:rFonts w:hint="eastAsia" w:ascii="Times New Roman" w:eastAsia="方正黑体_GBK"/>
                <w:color w:val="000000"/>
                <w:spacing w:val="-2"/>
                <w:szCs w:val="21"/>
              </w:rPr>
              <w:t>联系电话</w:t>
            </w:r>
          </w:p>
        </w:tc>
        <w:tc>
          <w:tcPr>
            <w:tcW w:w="1398" w:type="dxa"/>
            <w:tcBorders>
              <w:top w:val="single" w:color="auto" w:sz="8" w:space="0"/>
              <w:left w:val="single" w:color="auto" w:sz="4" w:space="0"/>
              <w:bottom w:val="single" w:color="auto" w:sz="4" w:space="0"/>
              <w:right w:val="single" w:color="auto" w:sz="4" w:space="0"/>
            </w:tcBorders>
            <w:noWrap w:val="0"/>
            <w:vAlign w:val="center"/>
          </w:tcPr>
          <w:p>
            <w:pPr>
              <w:ind w:left="-103" w:leftChars="-50" w:right="-103" w:rightChars="-50"/>
              <w:jc w:val="center"/>
              <w:rPr>
                <w:rFonts w:ascii="Times New Roman" w:eastAsia="方正黑体_GBK"/>
                <w:color w:val="000000"/>
                <w:spacing w:val="-2"/>
                <w:szCs w:val="21"/>
                <w:highlight w:val="lightGray"/>
              </w:rPr>
            </w:pPr>
            <w:r>
              <w:rPr>
                <w:rFonts w:hint="eastAsia" w:ascii="Times New Roman" w:eastAsia="方正黑体_GBK"/>
                <w:color w:val="000000"/>
                <w:spacing w:val="-2"/>
                <w:szCs w:val="21"/>
              </w:rPr>
              <w:t>咨询内容</w:t>
            </w:r>
          </w:p>
        </w:tc>
        <w:tc>
          <w:tcPr>
            <w:tcW w:w="1740" w:type="dxa"/>
            <w:tcBorders>
              <w:top w:val="single" w:color="auto" w:sz="8" w:space="0"/>
              <w:left w:val="single" w:color="auto" w:sz="4" w:space="0"/>
              <w:bottom w:val="single" w:color="auto" w:sz="4" w:space="0"/>
              <w:right w:val="single" w:color="auto" w:sz="4" w:space="0"/>
            </w:tcBorders>
            <w:noWrap w:val="0"/>
            <w:vAlign w:val="center"/>
          </w:tcPr>
          <w:p>
            <w:pPr>
              <w:ind w:left="-103" w:leftChars="-50" w:right="-103" w:rightChars="-50"/>
              <w:jc w:val="center"/>
              <w:rPr>
                <w:rFonts w:ascii="Times New Roman" w:eastAsia="方正黑体_GBK"/>
                <w:color w:val="000000"/>
                <w:spacing w:val="-2"/>
                <w:szCs w:val="21"/>
              </w:rPr>
            </w:pPr>
            <w:r>
              <w:rPr>
                <w:rFonts w:hint="eastAsia" w:ascii="Times New Roman" w:eastAsia="方正黑体_GBK"/>
                <w:color w:val="000000"/>
                <w:spacing w:val="-2"/>
                <w:szCs w:val="21"/>
              </w:rPr>
              <w:t>答复内容</w:t>
            </w:r>
          </w:p>
        </w:tc>
        <w:tc>
          <w:tcPr>
            <w:tcW w:w="940" w:type="dxa"/>
            <w:tcBorders>
              <w:top w:val="single" w:color="auto" w:sz="8" w:space="0"/>
              <w:left w:val="single" w:color="auto" w:sz="4" w:space="0"/>
              <w:bottom w:val="single" w:color="auto" w:sz="4" w:space="0"/>
              <w:right w:val="single" w:color="auto" w:sz="4" w:space="0"/>
            </w:tcBorders>
            <w:noWrap w:val="0"/>
            <w:vAlign w:val="center"/>
          </w:tcPr>
          <w:p>
            <w:pPr>
              <w:ind w:left="-103" w:leftChars="-50" w:right="-103" w:rightChars="-50"/>
              <w:jc w:val="center"/>
              <w:rPr>
                <w:rFonts w:ascii="Times New Roman" w:eastAsia="方正黑体_GBK"/>
                <w:color w:val="000000"/>
                <w:spacing w:val="-2"/>
                <w:szCs w:val="21"/>
              </w:rPr>
            </w:pPr>
            <w:r>
              <w:rPr>
                <w:rFonts w:hint="eastAsia" w:ascii="Times New Roman" w:eastAsia="方正黑体_GBK"/>
                <w:color w:val="000000"/>
                <w:spacing w:val="-2"/>
                <w:szCs w:val="21"/>
              </w:rPr>
              <w:t>答复人</w:t>
            </w:r>
          </w:p>
        </w:tc>
        <w:tc>
          <w:tcPr>
            <w:tcW w:w="840" w:type="dxa"/>
            <w:tcBorders>
              <w:top w:val="single" w:color="auto" w:sz="8" w:space="0"/>
              <w:left w:val="single" w:color="auto" w:sz="4" w:space="0"/>
              <w:bottom w:val="single" w:color="auto" w:sz="4" w:space="0"/>
              <w:right w:val="single" w:color="auto" w:sz="8" w:space="0"/>
            </w:tcBorders>
            <w:noWrap w:val="0"/>
            <w:vAlign w:val="center"/>
          </w:tcPr>
          <w:p>
            <w:pPr>
              <w:ind w:left="-103" w:leftChars="-50" w:right="-103" w:rightChars="-50"/>
              <w:jc w:val="center"/>
              <w:rPr>
                <w:rFonts w:ascii="Times New Roman" w:eastAsia="方正黑体_GBK"/>
                <w:color w:val="000000"/>
                <w:spacing w:val="-2"/>
                <w:szCs w:val="21"/>
              </w:rPr>
            </w:pPr>
            <w:r>
              <w:rPr>
                <w:rFonts w:hint="eastAsia" w:ascii="Times New Roman" w:eastAsia="方正黑体_GBK"/>
                <w:color w:val="000000"/>
                <w:spacing w:val="-2"/>
                <w:szCs w:val="21"/>
              </w:rPr>
              <w:t>备注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625" w:type="dxa"/>
            <w:tcBorders>
              <w:top w:val="single" w:color="auto" w:sz="4" w:space="0"/>
              <w:left w:val="single" w:color="auto" w:sz="8"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49"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2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39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7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840" w:type="dxa"/>
            <w:tcBorders>
              <w:top w:val="single" w:color="auto" w:sz="4" w:space="0"/>
              <w:left w:val="single" w:color="auto" w:sz="4" w:space="0"/>
              <w:bottom w:val="single" w:color="auto" w:sz="4" w:space="0"/>
              <w:right w:val="single" w:color="auto" w:sz="8"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625" w:type="dxa"/>
            <w:tcBorders>
              <w:top w:val="single" w:color="auto" w:sz="4" w:space="0"/>
              <w:left w:val="single" w:color="auto" w:sz="8"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49"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2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39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7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840" w:type="dxa"/>
            <w:tcBorders>
              <w:top w:val="single" w:color="auto" w:sz="4" w:space="0"/>
              <w:left w:val="single" w:color="auto" w:sz="4" w:space="0"/>
              <w:bottom w:val="single" w:color="auto" w:sz="4" w:space="0"/>
              <w:right w:val="single" w:color="auto" w:sz="8"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625" w:type="dxa"/>
            <w:tcBorders>
              <w:top w:val="single" w:color="auto" w:sz="4" w:space="0"/>
              <w:left w:val="single" w:color="auto" w:sz="8"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49"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2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39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7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840" w:type="dxa"/>
            <w:tcBorders>
              <w:top w:val="single" w:color="auto" w:sz="4" w:space="0"/>
              <w:left w:val="single" w:color="auto" w:sz="4" w:space="0"/>
              <w:bottom w:val="single" w:color="auto" w:sz="4" w:space="0"/>
              <w:right w:val="single" w:color="auto" w:sz="8"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625" w:type="dxa"/>
            <w:tcBorders>
              <w:top w:val="single" w:color="auto" w:sz="4" w:space="0"/>
              <w:left w:val="single" w:color="auto" w:sz="8"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49"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2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39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7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840" w:type="dxa"/>
            <w:tcBorders>
              <w:top w:val="single" w:color="auto" w:sz="4" w:space="0"/>
              <w:left w:val="single" w:color="auto" w:sz="4" w:space="0"/>
              <w:bottom w:val="single" w:color="auto" w:sz="4" w:space="0"/>
              <w:right w:val="single" w:color="auto" w:sz="8"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625" w:type="dxa"/>
            <w:tcBorders>
              <w:top w:val="single" w:color="auto" w:sz="4" w:space="0"/>
              <w:left w:val="single" w:color="auto" w:sz="8"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49"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2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39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7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840" w:type="dxa"/>
            <w:tcBorders>
              <w:top w:val="single" w:color="auto" w:sz="4" w:space="0"/>
              <w:left w:val="single" w:color="auto" w:sz="4" w:space="0"/>
              <w:bottom w:val="single" w:color="auto" w:sz="4" w:space="0"/>
              <w:right w:val="single" w:color="auto" w:sz="8"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625" w:type="dxa"/>
            <w:tcBorders>
              <w:top w:val="single" w:color="auto" w:sz="4" w:space="0"/>
              <w:left w:val="single" w:color="auto" w:sz="8"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49"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2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39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7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840" w:type="dxa"/>
            <w:tcBorders>
              <w:top w:val="single" w:color="auto" w:sz="4" w:space="0"/>
              <w:left w:val="single" w:color="auto" w:sz="4" w:space="0"/>
              <w:bottom w:val="single" w:color="auto" w:sz="4" w:space="0"/>
              <w:right w:val="single" w:color="auto" w:sz="8"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625" w:type="dxa"/>
            <w:tcBorders>
              <w:top w:val="single" w:color="auto" w:sz="4" w:space="0"/>
              <w:left w:val="single" w:color="auto" w:sz="8"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49"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2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398"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7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40" w:type="dxa"/>
            <w:tcBorders>
              <w:top w:val="single" w:color="auto" w:sz="4" w:space="0"/>
              <w:left w:val="single" w:color="auto" w:sz="4" w:space="0"/>
              <w:bottom w:val="single" w:color="auto" w:sz="4"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840" w:type="dxa"/>
            <w:tcBorders>
              <w:top w:val="single" w:color="auto" w:sz="4" w:space="0"/>
              <w:left w:val="single" w:color="auto" w:sz="4" w:space="0"/>
              <w:bottom w:val="single" w:color="auto" w:sz="4" w:space="0"/>
              <w:right w:val="single" w:color="auto" w:sz="8"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625" w:type="dxa"/>
            <w:tcBorders>
              <w:top w:val="single" w:color="auto" w:sz="4" w:space="0"/>
              <w:left w:val="single" w:color="auto" w:sz="8" w:space="0"/>
              <w:bottom w:val="single" w:color="auto" w:sz="8"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8"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50" w:type="dxa"/>
            <w:tcBorders>
              <w:top w:val="single" w:color="auto" w:sz="4" w:space="0"/>
              <w:left w:val="single" w:color="auto" w:sz="4" w:space="0"/>
              <w:bottom w:val="single" w:color="auto" w:sz="8"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749" w:type="dxa"/>
            <w:tcBorders>
              <w:top w:val="single" w:color="auto" w:sz="4" w:space="0"/>
              <w:left w:val="single" w:color="auto" w:sz="4" w:space="0"/>
              <w:bottom w:val="single" w:color="auto" w:sz="8"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28" w:type="dxa"/>
            <w:tcBorders>
              <w:top w:val="single" w:color="auto" w:sz="4" w:space="0"/>
              <w:left w:val="single" w:color="auto" w:sz="4" w:space="0"/>
              <w:bottom w:val="single" w:color="auto" w:sz="8"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398" w:type="dxa"/>
            <w:tcBorders>
              <w:top w:val="single" w:color="auto" w:sz="4" w:space="0"/>
              <w:left w:val="single" w:color="auto" w:sz="4" w:space="0"/>
              <w:bottom w:val="single" w:color="auto" w:sz="8"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1740" w:type="dxa"/>
            <w:tcBorders>
              <w:top w:val="single" w:color="auto" w:sz="4" w:space="0"/>
              <w:left w:val="single" w:color="auto" w:sz="4" w:space="0"/>
              <w:bottom w:val="single" w:color="auto" w:sz="8"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940" w:type="dxa"/>
            <w:tcBorders>
              <w:top w:val="single" w:color="auto" w:sz="4" w:space="0"/>
              <w:left w:val="single" w:color="auto" w:sz="4" w:space="0"/>
              <w:bottom w:val="single" w:color="auto" w:sz="8" w:space="0"/>
              <w:right w:val="single" w:color="auto" w:sz="4"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c>
          <w:tcPr>
            <w:tcW w:w="840" w:type="dxa"/>
            <w:tcBorders>
              <w:top w:val="single" w:color="auto" w:sz="4" w:space="0"/>
              <w:left w:val="single" w:color="auto" w:sz="4" w:space="0"/>
              <w:bottom w:val="single" w:color="auto" w:sz="8" w:space="0"/>
              <w:right w:val="single" w:color="auto" w:sz="8" w:space="0"/>
            </w:tcBorders>
            <w:noWrap w:val="0"/>
            <w:vAlign w:val="center"/>
          </w:tcPr>
          <w:p>
            <w:pPr>
              <w:spacing w:line="360" w:lineRule="auto"/>
              <w:ind w:left="-103" w:leftChars="-50" w:right="-103" w:rightChars="-50"/>
              <w:jc w:val="center"/>
              <w:rPr>
                <w:rFonts w:ascii="Times New Roman" w:eastAsia="方正仿宋_GBK"/>
                <w:color w:val="000000"/>
                <w:spacing w:val="-2"/>
                <w:szCs w:val="21"/>
              </w:rPr>
            </w:pPr>
          </w:p>
        </w:tc>
      </w:tr>
    </w:tbl>
    <w:p>
      <w:pPr>
        <w:spacing w:line="360" w:lineRule="auto"/>
        <w:jc w:val="center"/>
        <w:rPr>
          <w:rFonts w:hint="eastAsia"/>
          <w:color w:val="000000"/>
          <w:spacing w:val="-2"/>
        </w:rPr>
      </w:pPr>
    </w:p>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附件二：</w:t>
      </w:r>
    </w:p>
    <w:p>
      <w:pPr>
        <w:spacing w:line="460" w:lineRule="exact"/>
        <w:rPr>
          <w:rFonts w:hint="eastAsia" w:eastAsia="方正仿宋_GBK"/>
          <w:color w:val="000000"/>
          <w:spacing w:val="-2"/>
          <w:sz w:val="24"/>
        </w:rPr>
      </w:pPr>
    </w:p>
    <w:p>
      <w:pPr>
        <w:spacing w:line="360" w:lineRule="auto"/>
        <w:jc w:val="center"/>
        <w:rPr>
          <w:rFonts w:ascii="Times New Roman" w:eastAsia="方正黑体_GBK"/>
          <w:color w:val="000000"/>
          <w:spacing w:val="-2"/>
          <w:sz w:val="28"/>
          <w:szCs w:val="28"/>
        </w:rPr>
      </w:pPr>
      <w:r>
        <w:rPr>
          <w:rFonts w:hint="eastAsia" w:ascii="Times New Roman" w:eastAsia="方正黑体_GBK"/>
          <w:color w:val="000000"/>
          <w:spacing w:val="-2"/>
          <w:sz w:val="28"/>
          <w:szCs w:val="28"/>
        </w:rPr>
        <w:t>计价解释来人、来函咨询记录单</w:t>
      </w:r>
    </w:p>
    <w:p>
      <w:pPr>
        <w:spacing w:line="360" w:lineRule="auto"/>
        <w:ind w:firstLine="7070" w:firstLineChars="3500"/>
        <w:rPr>
          <w:rFonts w:hint="eastAsia" w:eastAsia="方正仿宋_GBK"/>
          <w:color w:val="000000"/>
          <w:spacing w:val="-2"/>
          <w:szCs w:val="21"/>
          <w:u w:val="single"/>
        </w:rPr>
      </w:pPr>
      <w:r>
        <w:rPr>
          <w:rFonts w:hint="eastAsia" w:eastAsia="方正仿宋_GBK"/>
          <w:color w:val="000000"/>
          <w:spacing w:val="-2"/>
          <w:szCs w:val="21"/>
        </w:rPr>
        <w:t>编号</w:t>
      </w:r>
      <w:r>
        <w:rPr>
          <w:rFonts w:eastAsia="方正仿宋_GBK"/>
          <w:color w:val="000000"/>
          <w:spacing w:val="-2"/>
          <w:szCs w:val="21"/>
          <w:u w:val="single"/>
        </w:rPr>
        <w:t xml:space="preserve">         </w:t>
      </w:r>
    </w:p>
    <w:tbl>
      <w:tblPr>
        <w:tblStyle w:val="12"/>
        <w:tblW w:w="0" w:type="auto"/>
        <w:tblInd w:w="10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90"/>
        <w:gridCol w:w="458"/>
        <w:gridCol w:w="678"/>
        <w:gridCol w:w="217"/>
        <w:gridCol w:w="1136"/>
        <w:gridCol w:w="61"/>
        <w:gridCol w:w="784"/>
        <w:gridCol w:w="451"/>
        <w:gridCol w:w="747"/>
        <w:gridCol w:w="281"/>
        <w:gridCol w:w="386"/>
        <w:gridCol w:w="418"/>
        <w:gridCol w:w="593"/>
        <w:gridCol w:w="140"/>
        <w:gridCol w:w="98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1390" w:type="dxa"/>
            <w:vMerge w:val="restart"/>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咨询人情况</w:t>
            </w:r>
          </w:p>
        </w:tc>
        <w:tc>
          <w:tcPr>
            <w:tcW w:w="1136" w:type="dxa"/>
            <w:gridSpan w:val="2"/>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姓名</w:t>
            </w:r>
          </w:p>
        </w:tc>
        <w:tc>
          <w:tcPr>
            <w:tcW w:w="1353" w:type="dxa"/>
            <w:gridSpan w:val="2"/>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845" w:type="dxa"/>
            <w:gridSpan w:val="2"/>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w:t>
            </w:r>
          </w:p>
          <w:p>
            <w:pPr>
              <w:jc w:val="center"/>
              <w:rPr>
                <w:rFonts w:eastAsia="方正仿宋_GBK"/>
                <w:color w:val="000000"/>
                <w:spacing w:val="-2"/>
                <w:szCs w:val="21"/>
              </w:rPr>
            </w:pPr>
            <w:r>
              <w:rPr>
                <w:rFonts w:hint="eastAsia" w:eastAsia="方正仿宋_GBK"/>
                <w:color w:val="000000"/>
                <w:spacing w:val="-2"/>
                <w:szCs w:val="21"/>
              </w:rPr>
              <w:t>电话</w:t>
            </w:r>
          </w:p>
        </w:tc>
        <w:tc>
          <w:tcPr>
            <w:tcW w:w="1198" w:type="dxa"/>
            <w:gridSpan w:val="2"/>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085" w:type="dxa"/>
            <w:gridSpan w:val="3"/>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联系地址</w:t>
            </w:r>
          </w:p>
        </w:tc>
        <w:tc>
          <w:tcPr>
            <w:tcW w:w="1713" w:type="dxa"/>
            <w:gridSpan w:val="3"/>
            <w:tcBorders>
              <w:top w:val="single" w:color="auto" w:sz="8"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390" w:type="dxa"/>
            <w:vMerge w:val="continue"/>
            <w:tcBorders>
              <w:top w:val="single" w:color="auto" w:sz="8"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136"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工作单位</w:t>
            </w:r>
          </w:p>
        </w:tc>
        <w:tc>
          <w:tcPr>
            <w:tcW w:w="4063" w:type="dxa"/>
            <w:gridSpan w:val="8"/>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01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咨询</w:t>
            </w:r>
          </w:p>
          <w:p>
            <w:pPr>
              <w:jc w:val="center"/>
              <w:rPr>
                <w:rFonts w:eastAsia="方正仿宋_GBK"/>
                <w:color w:val="000000"/>
                <w:spacing w:val="-2"/>
                <w:szCs w:val="21"/>
              </w:rPr>
            </w:pPr>
            <w:r>
              <w:rPr>
                <w:rFonts w:hint="eastAsia" w:eastAsia="方正仿宋_GBK"/>
                <w:color w:val="000000"/>
                <w:spacing w:val="-2"/>
                <w:szCs w:val="21"/>
              </w:rPr>
              <w:t>时间</w:t>
            </w:r>
          </w:p>
        </w:tc>
        <w:tc>
          <w:tcPr>
            <w:tcW w:w="1120"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390"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咨询人提供资料情况</w:t>
            </w:r>
          </w:p>
          <w:p>
            <w:pPr>
              <w:jc w:val="center"/>
              <w:rPr>
                <w:rFonts w:eastAsia="方正仿宋_GBK"/>
                <w:color w:val="000000"/>
                <w:spacing w:val="-2"/>
                <w:szCs w:val="21"/>
              </w:rPr>
            </w:pPr>
            <w:r>
              <w:rPr>
                <w:rFonts w:hint="eastAsia" w:eastAsia="方正仿宋_GBK"/>
                <w:color w:val="000000"/>
                <w:spacing w:val="-2"/>
                <w:szCs w:val="21"/>
              </w:rPr>
              <w:t>（请打</w:t>
            </w:r>
            <w:r>
              <w:rPr>
                <w:rFonts w:eastAsia="方正仿宋_GBK"/>
                <w:color w:val="000000"/>
                <w:spacing w:val="-2"/>
                <w:szCs w:val="21"/>
              </w:rPr>
              <w:t>“√”</w:t>
            </w:r>
            <w:r>
              <w:rPr>
                <w:rFonts w:hint="eastAsia" w:eastAsia="方正仿宋_GBK"/>
                <w:color w:val="000000"/>
                <w:spacing w:val="-2"/>
                <w:szCs w:val="21"/>
              </w:rPr>
              <w:t>选择）</w:t>
            </w:r>
          </w:p>
        </w:tc>
        <w:tc>
          <w:tcPr>
            <w:tcW w:w="45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w:t>
            </w:r>
          </w:p>
        </w:tc>
        <w:tc>
          <w:tcPr>
            <w:tcW w:w="2092"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书面申请报告</w:t>
            </w:r>
          </w:p>
        </w:tc>
        <w:tc>
          <w:tcPr>
            <w:tcW w:w="78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45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2</w:t>
            </w:r>
          </w:p>
        </w:tc>
        <w:tc>
          <w:tcPr>
            <w:tcW w:w="2565" w:type="dxa"/>
            <w:gridSpan w:val="6"/>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施工合同</w:t>
            </w:r>
          </w:p>
        </w:tc>
        <w:tc>
          <w:tcPr>
            <w:tcW w:w="98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39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5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3</w:t>
            </w:r>
          </w:p>
        </w:tc>
        <w:tc>
          <w:tcPr>
            <w:tcW w:w="2092"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补充协议</w:t>
            </w:r>
          </w:p>
        </w:tc>
        <w:tc>
          <w:tcPr>
            <w:tcW w:w="78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45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4</w:t>
            </w:r>
          </w:p>
        </w:tc>
        <w:tc>
          <w:tcPr>
            <w:tcW w:w="2565" w:type="dxa"/>
            <w:gridSpan w:val="6"/>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招投标文件</w:t>
            </w:r>
          </w:p>
        </w:tc>
        <w:tc>
          <w:tcPr>
            <w:tcW w:w="98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39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5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5</w:t>
            </w:r>
          </w:p>
        </w:tc>
        <w:tc>
          <w:tcPr>
            <w:tcW w:w="2092"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施工图纸</w:t>
            </w:r>
          </w:p>
        </w:tc>
        <w:tc>
          <w:tcPr>
            <w:tcW w:w="78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45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6</w:t>
            </w:r>
          </w:p>
        </w:tc>
        <w:tc>
          <w:tcPr>
            <w:tcW w:w="2565" w:type="dxa"/>
            <w:gridSpan w:val="6"/>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现场设计变更与签证资料</w:t>
            </w:r>
          </w:p>
        </w:tc>
        <w:tc>
          <w:tcPr>
            <w:tcW w:w="98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1390"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5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7</w:t>
            </w:r>
          </w:p>
        </w:tc>
        <w:tc>
          <w:tcPr>
            <w:tcW w:w="2092"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施工组织设计方案</w:t>
            </w:r>
          </w:p>
        </w:tc>
        <w:tc>
          <w:tcPr>
            <w:tcW w:w="784"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451"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8</w:t>
            </w:r>
          </w:p>
        </w:tc>
        <w:tc>
          <w:tcPr>
            <w:tcW w:w="2565" w:type="dxa"/>
            <w:gridSpan w:val="6"/>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其它</w:t>
            </w:r>
          </w:p>
        </w:tc>
        <w:tc>
          <w:tcPr>
            <w:tcW w:w="98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20" w:hRule="atLeast"/>
        </w:trPr>
        <w:tc>
          <w:tcPr>
            <w:tcW w:w="139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咨询内容</w:t>
            </w:r>
          </w:p>
        </w:tc>
        <w:tc>
          <w:tcPr>
            <w:tcW w:w="7330" w:type="dxa"/>
            <w:gridSpan w:val="14"/>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20" w:hRule="atLeast"/>
        </w:trPr>
        <w:tc>
          <w:tcPr>
            <w:tcW w:w="139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答复内容</w:t>
            </w:r>
          </w:p>
        </w:tc>
        <w:tc>
          <w:tcPr>
            <w:tcW w:w="7330" w:type="dxa"/>
            <w:gridSpan w:val="14"/>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23" w:hRule="atLeast"/>
        </w:trPr>
        <w:tc>
          <w:tcPr>
            <w:tcW w:w="139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答复人</w:t>
            </w:r>
          </w:p>
        </w:tc>
        <w:tc>
          <w:tcPr>
            <w:tcW w:w="1353"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136"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审核人</w:t>
            </w:r>
          </w:p>
        </w:tc>
        <w:tc>
          <w:tcPr>
            <w:tcW w:w="1296"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02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答复时间</w:t>
            </w:r>
          </w:p>
        </w:tc>
        <w:tc>
          <w:tcPr>
            <w:tcW w:w="2517" w:type="dxa"/>
            <w:gridSpan w:val="5"/>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1" w:hRule="atLeast"/>
        </w:trPr>
        <w:tc>
          <w:tcPr>
            <w:tcW w:w="1390"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答复形式</w:t>
            </w:r>
          </w:p>
        </w:tc>
        <w:tc>
          <w:tcPr>
            <w:tcW w:w="2489"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w:t>
            </w:r>
            <w:r>
              <w:rPr>
                <w:rFonts w:hint="eastAsia" w:eastAsia="方正仿宋_GBK"/>
                <w:color w:val="000000"/>
                <w:spacing w:val="-2"/>
                <w:szCs w:val="21"/>
              </w:rPr>
              <w:t>、书面</w:t>
            </w:r>
            <w:r>
              <w:rPr>
                <w:rFonts w:eastAsia="方正仿宋_GBK"/>
                <w:color w:val="000000"/>
                <w:spacing w:val="-2"/>
                <w:szCs w:val="21"/>
              </w:rPr>
              <w:t xml:space="preserve">   2</w:t>
            </w:r>
            <w:r>
              <w:rPr>
                <w:rFonts w:hint="eastAsia" w:eastAsia="方正仿宋_GBK"/>
                <w:color w:val="000000"/>
                <w:spacing w:val="-2"/>
                <w:szCs w:val="21"/>
              </w:rPr>
              <w:t>、口头</w:t>
            </w:r>
          </w:p>
        </w:tc>
        <w:tc>
          <w:tcPr>
            <w:tcW w:w="1296"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书面答复</w:t>
            </w:r>
          </w:p>
          <w:p>
            <w:pPr>
              <w:jc w:val="center"/>
              <w:rPr>
                <w:rFonts w:eastAsia="方正仿宋_GBK"/>
                <w:color w:val="000000"/>
                <w:spacing w:val="-2"/>
                <w:szCs w:val="21"/>
              </w:rPr>
            </w:pPr>
            <w:r>
              <w:rPr>
                <w:rFonts w:hint="eastAsia" w:eastAsia="方正仿宋_GBK"/>
                <w:color w:val="000000"/>
                <w:spacing w:val="-2"/>
                <w:szCs w:val="21"/>
              </w:rPr>
              <w:t>名称</w:t>
            </w:r>
          </w:p>
        </w:tc>
        <w:tc>
          <w:tcPr>
            <w:tcW w:w="3545" w:type="dxa"/>
            <w:gridSpan w:val="7"/>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54" w:hRule="atLeast"/>
        </w:trPr>
        <w:tc>
          <w:tcPr>
            <w:tcW w:w="1390"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备注</w:t>
            </w:r>
          </w:p>
        </w:tc>
        <w:tc>
          <w:tcPr>
            <w:tcW w:w="7330" w:type="dxa"/>
            <w:gridSpan w:val="14"/>
            <w:tcBorders>
              <w:top w:val="single" w:color="auto" w:sz="4" w:space="0"/>
              <w:left w:val="single" w:color="auto" w:sz="4" w:space="0"/>
              <w:bottom w:val="single" w:color="auto" w:sz="8" w:space="0"/>
              <w:right w:val="single" w:color="auto" w:sz="8" w:space="0"/>
            </w:tcBorders>
            <w:noWrap w:val="0"/>
            <w:vAlign w:val="center"/>
          </w:tcPr>
          <w:p>
            <w:pPr>
              <w:jc w:val="center"/>
              <w:rPr>
                <w:rFonts w:eastAsia="方正仿宋_GBK"/>
                <w:color w:val="000000"/>
                <w:spacing w:val="-2"/>
                <w:szCs w:val="21"/>
              </w:rPr>
            </w:pPr>
          </w:p>
        </w:tc>
      </w:tr>
    </w:tbl>
    <w:p>
      <w:pPr>
        <w:spacing w:line="460" w:lineRule="exact"/>
        <w:rPr>
          <w:rFonts w:ascii="Times New Roman" w:eastAsia="方正黑体_GBK"/>
          <w:color w:val="000000"/>
          <w:spacing w:val="-2"/>
          <w:sz w:val="28"/>
          <w:szCs w:val="28"/>
        </w:rPr>
      </w:pPr>
      <w:r>
        <w:rPr>
          <w:rFonts w:hint="eastAsia" w:ascii="Times New Roman" w:eastAsia="方正黑体_GBK"/>
          <w:color w:val="000000"/>
          <w:spacing w:val="-2"/>
          <w:sz w:val="28"/>
          <w:szCs w:val="28"/>
        </w:rPr>
        <w:t>附件三：</w:t>
      </w:r>
    </w:p>
    <w:p>
      <w:pPr>
        <w:spacing w:line="460" w:lineRule="exact"/>
        <w:rPr>
          <w:rFonts w:hint="eastAsia" w:eastAsia="方正仿宋_GBK"/>
          <w:color w:val="000000"/>
          <w:spacing w:val="-2"/>
          <w:sz w:val="24"/>
        </w:rPr>
      </w:pPr>
    </w:p>
    <w:p>
      <w:pPr>
        <w:spacing w:line="360" w:lineRule="auto"/>
        <w:jc w:val="center"/>
        <w:rPr>
          <w:rFonts w:ascii="Times New Roman" w:eastAsia="方正黑体_GBK"/>
          <w:color w:val="000000"/>
          <w:spacing w:val="-2"/>
          <w:sz w:val="28"/>
          <w:szCs w:val="28"/>
        </w:rPr>
      </w:pPr>
      <w:r>
        <w:rPr>
          <w:rFonts w:hint="eastAsia" w:ascii="Times New Roman" w:eastAsia="方正黑体_GBK"/>
          <w:color w:val="000000"/>
          <w:spacing w:val="-2"/>
          <w:sz w:val="28"/>
          <w:szCs w:val="28"/>
        </w:rPr>
        <w:t>计价争议调解申请单</w:t>
      </w:r>
    </w:p>
    <w:p>
      <w:pPr>
        <w:spacing w:line="360" w:lineRule="auto"/>
        <w:ind w:firstLine="7171" w:firstLineChars="3550"/>
        <w:rPr>
          <w:rFonts w:hint="eastAsia" w:eastAsia="方正仿宋_GBK"/>
          <w:color w:val="000000"/>
          <w:spacing w:val="-2"/>
          <w:szCs w:val="21"/>
          <w:u w:val="single"/>
        </w:rPr>
      </w:pPr>
      <w:r>
        <w:rPr>
          <w:rFonts w:hint="eastAsia" w:eastAsia="方正仿宋_GBK"/>
          <w:color w:val="000000"/>
          <w:spacing w:val="-2"/>
          <w:szCs w:val="21"/>
        </w:rPr>
        <w:t>编号</w:t>
      </w:r>
      <w:r>
        <w:rPr>
          <w:rFonts w:eastAsia="方正仿宋_GBK"/>
          <w:color w:val="000000"/>
          <w:spacing w:val="-2"/>
          <w:szCs w:val="21"/>
          <w:u w:val="single"/>
        </w:rPr>
        <w:t xml:space="preserve">         </w:t>
      </w:r>
    </w:p>
    <w:tbl>
      <w:tblPr>
        <w:tblStyle w:val="12"/>
        <w:tblW w:w="0" w:type="auto"/>
        <w:tblInd w:w="8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176"/>
        <w:gridCol w:w="484"/>
        <w:gridCol w:w="3313"/>
        <w:gridCol w:w="381"/>
        <w:gridCol w:w="1586"/>
        <w:gridCol w:w="186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60" w:type="dxa"/>
            <w:gridSpan w:val="2"/>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项目名称</w:t>
            </w:r>
          </w:p>
        </w:tc>
        <w:tc>
          <w:tcPr>
            <w:tcW w:w="3694" w:type="dxa"/>
            <w:gridSpan w:val="2"/>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586" w:type="dxa"/>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预约时间</w:t>
            </w:r>
          </w:p>
        </w:tc>
        <w:tc>
          <w:tcPr>
            <w:tcW w:w="1860" w:type="dxa"/>
            <w:tcBorders>
              <w:top w:val="single" w:color="auto" w:sz="8"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60" w:type="dxa"/>
            <w:gridSpan w:val="2"/>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申请内容</w:t>
            </w:r>
          </w:p>
        </w:tc>
        <w:tc>
          <w:tcPr>
            <w:tcW w:w="369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586"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来访时间</w:t>
            </w:r>
          </w:p>
        </w:tc>
        <w:tc>
          <w:tcPr>
            <w:tcW w:w="1860" w:type="dxa"/>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096" w:hRule="atLeast"/>
        </w:trPr>
        <w:tc>
          <w:tcPr>
            <w:tcW w:w="4973" w:type="dxa"/>
            <w:gridSpan w:val="3"/>
            <w:tcBorders>
              <w:top w:val="single" w:color="auto" w:sz="4" w:space="0"/>
              <w:left w:val="single" w:color="auto" w:sz="8" w:space="0"/>
              <w:bottom w:val="single" w:color="auto" w:sz="4" w:space="0"/>
              <w:right w:val="single" w:color="auto" w:sz="4" w:space="0"/>
            </w:tcBorders>
            <w:noWrap w:val="0"/>
            <w:vAlign w:val="top"/>
          </w:tcPr>
          <w:p>
            <w:pPr>
              <w:rPr>
                <w:rFonts w:eastAsia="方正仿宋_GBK"/>
                <w:color w:val="000000"/>
                <w:spacing w:val="-2"/>
                <w:szCs w:val="21"/>
              </w:rPr>
            </w:pPr>
          </w:p>
          <w:p>
            <w:pPr>
              <w:rPr>
                <w:rFonts w:eastAsia="方正仿宋_GBK"/>
                <w:color w:val="000000"/>
                <w:spacing w:val="-2"/>
                <w:szCs w:val="21"/>
              </w:rPr>
            </w:pPr>
            <w:r>
              <w:rPr>
                <w:rFonts w:hint="eastAsia" w:eastAsia="方正仿宋_GBK"/>
                <w:color w:val="000000"/>
                <w:spacing w:val="-2"/>
                <w:szCs w:val="21"/>
              </w:rPr>
              <w:t>甲方意见</w:t>
            </w:r>
          </w:p>
        </w:tc>
        <w:tc>
          <w:tcPr>
            <w:tcW w:w="3827" w:type="dxa"/>
            <w:gridSpan w:val="3"/>
            <w:tcBorders>
              <w:top w:val="single" w:color="auto" w:sz="4" w:space="0"/>
              <w:left w:val="single" w:color="auto" w:sz="4" w:space="0"/>
              <w:bottom w:val="single" w:color="auto" w:sz="4" w:space="0"/>
              <w:right w:val="single" w:color="auto" w:sz="8" w:space="0"/>
            </w:tcBorders>
            <w:noWrap w:val="0"/>
            <w:vAlign w:val="top"/>
          </w:tcPr>
          <w:p>
            <w:pPr>
              <w:rPr>
                <w:rFonts w:eastAsia="方正仿宋_GBK"/>
                <w:color w:val="000000"/>
                <w:spacing w:val="-2"/>
                <w:szCs w:val="21"/>
              </w:rPr>
            </w:pPr>
          </w:p>
          <w:p>
            <w:pPr>
              <w:rPr>
                <w:rFonts w:eastAsia="方正仿宋_GBK"/>
                <w:color w:val="000000"/>
                <w:spacing w:val="-2"/>
                <w:szCs w:val="21"/>
              </w:rPr>
            </w:pPr>
            <w:r>
              <w:rPr>
                <w:rFonts w:hint="eastAsia" w:eastAsia="方正仿宋_GBK"/>
                <w:color w:val="000000"/>
                <w:spacing w:val="-2"/>
                <w:szCs w:val="21"/>
              </w:rPr>
              <w:t>乙方意见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15" w:hRule="atLeast"/>
        </w:trPr>
        <w:tc>
          <w:tcPr>
            <w:tcW w:w="4973" w:type="dxa"/>
            <w:gridSpan w:val="3"/>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r>
              <w:rPr>
                <w:rFonts w:hint="eastAsia" w:eastAsia="方正仿宋_GBK"/>
                <w:color w:val="000000"/>
                <w:spacing w:val="-2"/>
                <w:szCs w:val="21"/>
              </w:rPr>
              <w:t>（单位盖章）</w:t>
            </w:r>
          </w:p>
        </w:tc>
        <w:tc>
          <w:tcPr>
            <w:tcW w:w="3827" w:type="dxa"/>
            <w:gridSpan w:val="3"/>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p>
          <w:p>
            <w:pPr>
              <w:jc w:val="center"/>
              <w:rPr>
                <w:rFonts w:eastAsia="方正仿宋_GBK"/>
                <w:color w:val="000000"/>
                <w:spacing w:val="-2"/>
                <w:szCs w:val="21"/>
              </w:rPr>
            </w:pPr>
            <w:r>
              <w:rPr>
                <w:rFonts w:hint="eastAsia" w:eastAsia="方正仿宋_GBK"/>
                <w:color w:val="000000"/>
                <w:spacing w:val="-2"/>
                <w:szCs w:val="21"/>
              </w:rPr>
              <w:t>（单位盖章）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647" w:hRule="atLeast"/>
        </w:trPr>
        <w:tc>
          <w:tcPr>
            <w:tcW w:w="1176"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备注</w:t>
            </w:r>
          </w:p>
        </w:tc>
        <w:tc>
          <w:tcPr>
            <w:tcW w:w="7624" w:type="dxa"/>
            <w:gridSpan w:val="5"/>
            <w:tcBorders>
              <w:top w:val="single" w:color="auto" w:sz="4" w:space="0"/>
              <w:left w:val="single" w:color="auto" w:sz="4" w:space="0"/>
              <w:bottom w:val="single" w:color="auto" w:sz="8" w:space="0"/>
              <w:right w:val="single" w:color="auto" w:sz="8" w:space="0"/>
            </w:tcBorders>
            <w:noWrap w:val="0"/>
            <w:vAlign w:val="center"/>
          </w:tcPr>
          <w:p>
            <w:pPr>
              <w:jc w:val="center"/>
              <w:rPr>
                <w:rFonts w:eastAsia="方正仿宋_GBK"/>
                <w:color w:val="000000"/>
                <w:spacing w:val="-2"/>
                <w:szCs w:val="21"/>
              </w:rPr>
            </w:pPr>
          </w:p>
        </w:tc>
      </w:tr>
    </w:tbl>
    <w:p>
      <w:pPr>
        <w:rPr>
          <w:rFonts w:eastAsia="方正仿宋_GBK"/>
          <w:color w:val="000000"/>
          <w:spacing w:val="-2"/>
          <w:szCs w:val="21"/>
        </w:rPr>
      </w:pPr>
    </w:p>
    <w:p>
      <w:pPr>
        <w:spacing w:line="460" w:lineRule="exact"/>
        <w:rPr>
          <w:rFonts w:ascii="Times New Roman" w:eastAsia="方正黑体_GBK"/>
          <w:color w:val="000000"/>
          <w:spacing w:val="-2"/>
          <w:sz w:val="28"/>
          <w:szCs w:val="28"/>
        </w:rPr>
      </w:pPr>
      <w:r>
        <w:rPr>
          <w:rFonts w:eastAsia="方正仿宋_GBK"/>
          <w:color w:val="000000"/>
          <w:spacing w:val="-2"/>
          <w:szCs w:val="21"/>
        </w:rPr>
        <w:br w:type="column"/>
      </w:r>
      <w:r>
        <w:rPr>
          <w:rFonts w:hint="eastAsia" w:ascii="Times New Roman" w:eastAsia="方正黑体_GBK"/>
          <w:color w:val="000000"/>
          <w:spacing w:val="-2"/>
          <w:sz w:val="28"/>
          <w:szCs w:val="28"/>
        </w:rPr>
        <w:t>附件四：</w:t>
      </w:r>
    </w:p>
    <w:p>
      <w:pPr>
        <w:spacing w:line="460" w:lineRule="exact"/>
        <w:rPr>
          <w:rFonts w:hint="eastAsia" w:eastAsia="方正仿宋_GBK"/>
          <w:color w:val="000000"/>
          <w:spacing w:val="-2"/>
          <w:sz w:val="24"/>
        </w:rPr>
      </w:pPr>
    </w:p>
    <w:p>
      <w:pPr>
        <w:spacing w:line="360" w:lineRule="auto"/>
        <w:jc w:val="center"/>
        <w:rPr>
          <w:rFonts w:ascii="Times New Roman" w:eastAsia="方正黑体_GBK"/>
          <w:color w:val="000000"/>
          <w:spacing w:val="-2"/>
          <w:sz w:val="28"/>
          <w:szCs w:val="28"/>
        </w:rPr>
      </w:pPr>
      <w:r>
        <w:rPr>
          <w:rFonts w:hint="eastAsia" w:ascii="Times New Roman" w:eastAsia="方正黑体_GBK"/>
          <w:color w:val="000000"/>
          <w:spacing w:val="-2"/>
          <w:sz w:val="28"/>
          <w:szCs w:val="28"/>
        </w:rPr>
        <w:t>计价争议调解记录单</w:t>
      </w:r>
    </w:p>
    <w:p>
      <w:pPr>
        <w:spacing w:line="360" w:lineRule="auto"/>
        <w:ind w:firstLine="7171" w:firstLineChars="3550"/>
        <w:rPr>
          <w:rFonts w:hint="eastAsia" w:eastAsia="方正仿宋_GBK"/>
          <w:color w:val="000000"/>
          <w:spacing w:val="-2"/>
          <w:szCs w:val="21"/>
        </w:rPr>
      </w:pPr>
      <w:r>
        <w:rPr>
          <w:rFonts w:hint="eastAsia" w:eastAsia="方正仿宋_GBK"/>
          <w:color w:val="000000"/>
          <w:spacing w:val="-2"/>
          <w:szCs w:val="21"/>
        </w:rPr>
        <w:t>编号</w:t>
      </w:r>
      <w:r>
        <w:rPr>
          <w:rFonts w:eastAsia="方正仿宋_GBK"/>
          <w:color w:val="000000"/>
          <w:spacing w:val="-2"/>
          <w:szCs w:val="21"/>
          <w:u w:val="single"/>
        </w:rPr>
        <w:t xml:space="preserve">         </w:t>
      </w:r>
    </w:p>
    <w:tbl>
      <w:tblPr>
        <w:tblStyle w:val="12"/>
        <w:tblW w:w="0" w:type="auto"/>
        <w:tblInd w:w="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8"/>
        <w:gridCol w:w="465"/>
        <w:gridCol w:w="245"/>
        <w:gridCol w:w="540"/>
        <w:gridCol w:w="175"/>
        <w:gridCol w:w="742"/>
        <w:gridCol w:w="405"/>
        <w:gridCol w:w="119"/>
        <w:gridCol w:w="568"/>
        <w:gridCol w:w="450"/>
        <w:gridCol w:w="286"/>
        <w:gridCol w:w="427"/>
        <w:gridCol w:w="597"/>
        <w:gridCol w:w="55"/>
        <w:gridCol w:w="687"/>
        <w:gridCol w:w="701"/>
        <w:gridCol w:w="7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1598" w:type="dxa"/>
            <w:vMerge w:val="restart"/>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争议当事人</w:t>
            </w:r>
          </w:p>
          <w:p>
            <w:pPr>
              <w:jc w:val="center"/>
              <w:rPr>
                <w:rFonts w:eastAsia="方正仿宋_GBK"/>
                <w:color w:val="000000"/>
                <w:spacing w:val="-2"/>
                <w:szCs w:val="21"/>
              </w:rPr>
            </w:pPr>
            <w:r>
              <w:rPr>
                <w:rFonts w:hint="eastAsia" w:eastAsia="方正仿宋_GBK"/>
                <w:color w:val="000000"/>
                <w:spacing w:val="-2"/>
                <w:szCs w:val="21"/>
              </w:rPr>
              <w:t>情况</w:t>
            </w:r>
          </w:p>
        </w:tc>
        <w:tc>
          <w:tcPr>
            <w:tcW w:w="710" w:type="dxa"/>
            <w:gridSpan w:val="2"/>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甲方</w:t>
            </w:r>
          </w:p>
        </w:tc>
        <w:tc>
          <w:tcPr>
            <w:tcW w:w="1862" w:type="dxa"/>
            <w:gridSpan w:val="4"/>
            <w:tcBorders>
              <w:top w:val="single" w:color="auto" w:sz="8" w:space="0"/>
              <w:left w:val="single" w:color="auto" w:sz="4" w:space="0"/>
              <w:bottom w:val="single" w:color="auto" w:sz="4" w:space="0"/>
              <w:right w:val="single" w:color="auto" w:sz="4" w:space="0"/>
            </w:tcBorders>
            <w:noWrap w:val="0"/>
            <w:vAlign w:val="top"/>
          </w:tcPr>
          <w:p>
            <w:pPr>
              <w:jc w:val="center"/>
              <w:rPr>
                <w:rFonts w:eastAsia="方正仿宋_GBK"/>
                <w:color w:val="000000"/>
                <w:spacing w:val="-2"/>
                <w:szCs w:val="21"/>
              </w:rPr>
            </w:pPr>
          </w:p>
        </w:tc>
        <w:tc>
          <w:tcPr>
            <w:tcW w:w="687" w:type="dxa"/>
            <w:gridSpan w:val="2"/>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联系人</w:t>
            </w:r>
          </w:p>
        </w:tc>
        <w:tc>
          <w:tcPr>
            <w:tcW w:w="1815" w:type="dxa"/>
            <w:gridSpan w:val="5"/>
            <w:tcBorders>
              <w:top w:val="single" w:color="auto" w:sz="8" w:space="0"/>
              <w:left w:val="single" w:color="auto" w:sz="4" w:space="0"/>
              <w:bottom w:val="single" w:color="auto" w:sz="4" w:space="0"/>
              <w:right w:val="single" w:color="auto" w:sz="4" w:space="0"/>
            </w:tcBorders>
            <w:noWrap w:val="0"/>
            <w:vAlign w:val="top"/>
          </w:tcPr>
          <w:p>
            <w:pPr>
              <w:jc w:val="center"/>
              <w:rPr>
                <w:rFonts w:eastAsia="方正仿宋_GBK"/>
                <w:color w:val="000000"/>
                <w:spacing w:val="-2"/>
                <w:szCs w:val="21"/>
              </w:rPr>
            </w:pPr>
          </w:p>
        </w:tc>
        <w:tc>
          <w:tcPr>
            <w:tcW w:w="687" w:type="dxa"/>
            <w:vMerge w:val="restart"/>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联系电话</w:t>
            </w:r>
          </w:p>
        </w:tc>
        <w:tc>
          <w:tcPr>
            <w:tcW w:w="1436" w:type="dxa"/>
            <w:gridSpan w:val="2"/>
            <w:tcBorders>
              <w:top w:val="single" w:color="auto" w:sz="8" w:space="0"/>
              <w:left w:val="single" w:color="auto" w:sz="4" w:space="0"/>
              <w:bottom w:val="single" w:color="auto" w:sz="4" w:space="0"/>
              <w:right w:val="single" w:color="auto" w:sz="8" w:space="0"/>
            </w:tcBorders>
            <w:noWrap w:val="0"/>
            <w:vAlign w:val="top"/>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trPr>
        <w:tc>
          <w:tcPr>
            <w:tcW w:w="1598" w:type="dxa"/>
            <w:vMerge w:val="continue"/>
            <w:tcBorders>
              <w:top w:val="single" w:color="auto" w:sz="8"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71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乙方</w:t>
            </w:r>
          </w:p>
        </w:tc>
        <w:tc>
          <w:tcPr>
            <w:tcW w:w="1862" w:type="dxa"/>
            <w:gridSpan w:val="4"/>
            <w:tcBorders>
              <w:top w:val="single" w:color="auto" w:sz="4" w:space="0"/>
              <w:left w:val="single" w:color="auto" w:sz="4" w:space="0"/>
              <w:bottom w:val="single" w:color="auto" w:sz="4" w:space="0"/>
              <w:right w:val="single" w:color="auto" w:sz="4" w:space="0"/>
            </w:tcBorders>
            <w:noWrap w:val="0"/>
            <w:vAlign w:val="top"/>
          </w:tcPr>
          <w:p>
            <w:pPr>
              <w:rPr>
                <w:rFonts w:eastAsia="方正仿宋_GBK"/>
                <w:color w:val="000000"/>
                <w:spacing w:val="-2"/>
                <w:szCs w:val="21"/>
              </w:rPr>
            </w:pPr>
          </w:p>
        </w:tc>
        <w:tc>
          <w:tcPr>
            <w:tcW w:w="687" w:type="dxa"/>
            <w:gridSpan w:val="2"/>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815" w:type="dxa"/>
            <w:gridSpan w:val="5"/>
            <w:tcBorders>
              <w:top w:val="single" w:color="auto" w:sz="4" w:space="0"/>
              <w:left w:val="single" w:color="auto" w:sz="4" w:space="0"/>
              <w:bottom w:val="single" w:color="auto" w:sz="4" w:space="0"/>
              <w:right w:val="single" w:color="auto" w:sz="4" w:space="0"/>
            </w:tcBorders>
            <w:noWrap w:val="0"/>
            <w:vAlign w:val="top"/>
          </w:tcPr>
          <w:p>
            <w:pPr>
              <w:rPr>
                <w:rFonts w:eastAsia="方正仿宋_GBK"/>
                <w:color w:val="000000"/>
                <w:spacing w:val="-2"/>
                <w:szCs w:val="21"/>
              </w:rPr>
            </w:pPr>
          </w:p>
        </w:tc>
        <w:tc>
          <w:tcPr>
            <w:tcW w:w="687" w:type="dxa"/>
            <w:vMerge w:val="continue"/>
            <w:tcBorders>
              <w:top w:val="single" w:color="auto" w:sz="8" w:space="0"/>
              <w:left w:val="single" w:color="auto" w:sz="4"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1436" w:type="dxa"/>
            <w:gridSpan w:val="2"/>
            <w:tcBorders>
              <w:top w:val="single" w:color="auto" w:sz="4" w:space="0"/>
              <w:left w:val="single" w:color="auto" w:sz="4" w:space="0"/>
              <w:bottom w:val="single" w:color="auto" w:sz="4" w:space="0"/>
              <w:right w:val="single" w:color="auto" w:sz="8" w:space="0"/>
            </w:tcBorders>
            <w:noWrap w:val="0"/>
            <w:vAlign w:val="top"/>
          </w:tcPr>
          <w:p>
            <w:pP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1598" w:type="dxa"/>
            <w:vMerge w:val="restart"/>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当事人提供资料情况（请打</w:t>
            </w:r>
            <w:r>
              <w:rPr>
                <w:rFonts w:eastAsia="方正仿宋_GBK"/>
                <w:color w:val="000000"/>
                <w:spacing w:val="-2"/>
                <w:szCs w:val="21"/>
              </w:rPr>
              <w:t>“√”</w:t>
            </w:r>
            <w:r>
              <w:rPr>
                <w:rFonts w:hint="eastAsia" w:eastAsia="方正仿宋_GBK"/>
                <w:color w:val="000000"/>
                <w:spacing w:val="-2"/>
                <w:szCs w:val="21"/>
              </w:rPr>
              <w:t>选择）</w:t>
            </w:r>
          </w:p>
        </w:tc>
        <w:tc>
          <w:tcPr>
            <w:tcW w:w="46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w:t>
            </w:r>
          </w:p>
        </w:tc>
        <w:tc>
          <w:tcPr>
            <w:tcW w:w="2107" w:type="dxa"/>
            <w:gridSpan w:val="5"/>
            <w:tcBorders>
              <w:top w:val="nil"/>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书面申请报告</w:t>
            </w:r>
          </w:p>
        </w:tc>
        <w:tc>
          <w:tcPr>
            <w:tcW w:w="687" w:type="dxa"/>
            <w:gridSpan w:val="2"/>
            <w:tcBorders>
              <w:top w:val="single" w:color="auto" w:sz="4" w:space="0"/>
              <w:left w:val="single" w:color="auto" w:sz="4" w:space="0"/>
              <w:bottom w:val="nil"/>
              <w:right w:val="single" w:color="auto" w:sz="4" w:space="0"/>
            </w:tcBorders>
            <w:noWrap w:val="0"/>
            <w:vAlign w:val="center"/>
          </w:tcPr>
          <w:p>
            <w:pPr>
              <w:rPr>
                <w:rFonts w:eastAsia="方正仿宋_GBK"/>
                <w:color w:val="000000"/>
                <w:spacing w:val="-2"/>
                <w:szCs w:val="21"/>
              </w:rPr>
            </w:pPr>
          </w:p>
        </w:tc>
        <w:tc>
          <w:tcPr>
            <w:tcW w:w="450" w:type="dxa"/>
            <w:tcBorders>
              <w:top w:val="single" w:color="auto" w:sz="4" w:space="0"/>
              <w:left w:val="single" w:color="auto" w:sz="4" w:space="0"/>
              <w:bottom w:val="nil"/>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2</w:t>
            </w:r>
          </w:p>
        </w:tc>
        <w:tc>
          <w:tcPr>
            <w:tcW w:w="2753" w:type="dxa"/>
            <w:gridSpan w:val="6"/>
            <w:tcBorders>
              <w:top w:val="single" w:color="auto" w:sz="4" w:space="0"/>
              <w:left w:val="single" w:color="auto" w:sz="4" w:space="0"/>
              <w:bottom w:val="nil"/>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施工合同</w:t>
            </w:r>
          </w:p>
        </w:tc>
        <w:tc>
          <w:tcPr>
            <w:tcW w:w="735"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159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6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3</w:t>
            </w:r>
          </w:p>
        </w:tc>
        <w:tc>
          <w:tcPr>
            <w:tcW w:w="2107" w:type="dxa"/>
            <w:gridSpan w:val="5"/>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补充协议</w:t>
            </w:r>
          </w:p>
        </w:tc>
        <w:tc>
          <w:tcPr>
            <w:tcW w:w="687" w:type="dxa"/>
            <w:gridSpan w:val="2"/>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4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4</w:t>
            </w:r>
          </w:p>
        </w:tc>
        <w:tc>
          <w:tcPr>
            <w:tcW w:w="2753" w:type="dxa"/>
            <w:gridSpan w:val="6"/>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招投标文件</w:t>
            </w:r>
          </w:p>
        </w:tc>
        <w:tc>
          <w:tcPr>
            <w:tcW w:w="735"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159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6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5</w:t>
            </w:r>
          </w:p>
        </w:tc>
        <w:tc>
          <w:tcPr>
            <w:tcW w:w="2107" w:type="dxa"/>
            <w:gridSpan w:val="5"/>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施工图纸</w:t>
            </w:r>
          </w:p>
        </w:tc>
        <w:tc>
          <w:tcPr>
            <w:tcW w:w="687" w:type="dxa"/>
            <w:gridSpan w:val="2"/>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4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6</w:t>
            </w:r>
          </w:p>
        </w:tc>
        <w:tc>
          <w:tcPr>
            <w:tcW w:w="2753" w:type="dxa"/>
            <w:gridSpan w:val="6"/>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现场设计变更与签证资料</w:t>
            </w:r>
          </w:p>
        </w:tc>
        <w:tc>
          <w:tcPr>
            <w:tcW w:w="735"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1598" w:type="dxa"/>
            <w:vMerge w:val="continue"/>
            <w:tcBorders>
              <w:top w:val="single" w:color="auto" w:sz="4" w:space="0"/>
              <w:left w:val="single" w:color="auto" w:sz="8" w:space="0"/>
              <w:bottom w:val="single" w:color="auto" w:sz="4" w:space="0"/>
              <w:right w:val="single" w:color="auto" w:sz="4" w:space="0"/>
            </w:tcBorders>
            <w:noWrap w:val="0"/>
            <w:vAlign w:val="center"/>
          </w:tcPr>
          <w:p>
            <w:pPr>
              <w:widowControl/>
              <w:jc w:val="left"/>
              <w:rPr>
                <w:rFonts w:eastAsia="方正仿宋_GBK"/>
                <w:color w:val="000000"/>
                <w:spacing w:val="-2"/>
                <w:szCs w:val="21"/>
              </w:rPr>
            </w:pPr>
          </w:p>
        </w:tc>
        <w:tc>
          <w:tcPr>
            <w:tcW w:w="46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7</w:t>
            </w:r>
          </w:p>
        </w:tc>
        <w:tc>
          <w:tcPr>
            <w:tcW w:w="2107" w:type="dxa"/>
            <w:gridSpan w:val="5"/>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施工组织设计方案</w:t>
            </w:r>
          </w:p>
        </w:tc>
        <w:tc>
          <w:tcPr>
            <w:tcW w:w="687" w:type="dxa"/>
            <w:gridSpan w:val="2"/>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4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8</w:t>
            </w:r>
          </w:p>
        </w:tc>
        <w:tc>
          <w:tcPr>
            <w:tcW w:w="2753" w:type="dxa"/>
            <w:gridSpan w:val="6"/>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hint="eastAsia" w:eastAsia="方正仿宋_GBK"/>
                <w:color w:val="000000"/>
                <w:spacing w:val="-2"/>
                <w:szCs w:val="21"/>
              </w:rPr>
              <w:t>其它</w:t>
            </w:r>
          </w:p>
        </w:tc>
        <w:tc>
          <w:tcPr>
            <w:tcW w:w="735" w:type="dxa"/>
            <w:tcBorders>
              <w:top w:val="single" w:color="auto" w:sz="4" w:space="0"/>
              <w:left w:val="single" w:color="auto" w:sz="4" w:space="0"/>
              <w:bottom w:val="single" w:color="auto" w:sz="4" w:space="0"/>
              <w:right w:val="single" w:color="auto" w:sz="8" w:space="0"/>
            </w:tcBorders>
            <w:noWrap w:val="0"/>
            <w:vAlign w:val="center"/>
          </w:tcPr>
          <w:p>
            <w:pPr>
              <w:jc w:val="left"/>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0" w:hRule="atLeast"/>
        </w:trPr>
        <w:tc>
          <w:tcPr>
            <w:tcW w:w="159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争议内容</w:t>
            </w:r>
          </w:p>
        </w:tc>
        <w:tc>
          <w:tcPr>
            <w:tcW w:w="7197" w:type="dxa"/>
            <w:gridSpan w:val="16"/>
            <w:tcBorders>
              <w:top w:val="single" w:color="auto" w:sz="4" w:space="0"/>
              <w:left w:val="single" w:color="auto" w:sz="4" w:space="0"/>
              <w:bottom w:val="single" w:color="auto" w:sz="4" w:space="0"/>
              <w:right w:val="single" w:color="auto" w:sz="8" w:space="0"/>
            </w:tcBorders>
            <w:noWrap w:val="0"/>
            <w:vAlign w:val="top"/>
          </w:tcPr>
          <w:p>
            <w:pP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40" w:hRule="atLeast"/>
        </w:trPr>
        <w:tc>
          <w:tcPr>
            <w:tcW w:w="159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调解决定</w:t>
            </w:r>
          </w:p>
        </w:tc>
        <w:tc>
          <w:tcPr>
            <w:tcW w:w="7197" w:type="dxa"/>
            <w:gridSpan w:val="16"/>
            <w:tcBorders>
              <w:top w:val="single" w:color="auto" w:sz="4" w:space="0"/>
              <w:left w:val="single" w:color="auto" w:sz="4" w:space="0"/>
              <w:bottom w:val="single" w:color="auto" w:sz="4" w:space="0"/>
              <w:right w:val="single" w:color="auto" w:sz="8" w:space="0"/>
            </w:tcBorders>
            <w:noWrap w:val="0"/>
            <w:vAlign w:val="top"/>
          </w:tcPr>
          <w:p>
            <w:pP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trPr>
        <w:tc>
          <w:tcPr>
            <w:tcW w:w="159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调解人</w:t>
            </w:r>
          </w:p>
        </w:tc>
        <w:tc>
          <w:tcPr>
            <w:tcW w:w="1250" w:type="dxa"/>
            <w:gridSpan w:val="3"/>
            <w:tcBorders>
              <w:top w:val="single" w:color="auto" w:sz="4" w:space="0"/>
              <w:left w:val="single" w:color="auto" w:sz="4" w:space="0"/>
              <w:bottom w:val="single" w:color="auto" w:sz="4" w:space="0"/>
              <w:right w:val="single" w:color="auto" w:sz="4" w:space="0"/>
            </w:tcBorders>
            <w:noWrap w:val="0"/>
            <w:vAlign w:val="top"/>
          </w:tcPr>
          <w:p>
            <w:pPr>
              <w:rPr>
                <w:rFonts w:eastAsia="方正仿宋_GBK"/>
                <w:color w:val="000000"/>
                <w:spacing w:val="-2"/>
                <w:szCs w:val="21"/>
              </w:rPr>
            </w:pPr>
          </w:p>
        </w:tc>
        <w:tc>
          <w:tcPr>
            <w:tcW w:w="917"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审核人</w:t>
            </w:r>
          </w:p>
        </w:tc>
        <w:tc>
          <w:tcPr>
            <w:tcW w:w="1828" w:type="dxa"/>
            <w:gridSpan w:val="5"/>
            <w:tcBorders>
              <w:top w:val="single" w:color="auto" w:sz="4" w:space="0"/>
              <w:left w:val="single" w:color="auto" w:sz="4" w:space="0"/>
              <w:bottom w:val="single" w:color="auto" w:sz="4" w:space="0"/>
              <w:right w:val="single" w:color="auto" w:sz="4" w:space="0"/>
            </w:tcBorders>
            <w:noWrap w:val="0"/>
            <w:vAlign w:val="top"/>
          </w:tcPr>
          <w:p>
            <w:pPr>
              <w:rPr>
                <w:rFonts w:eastAsia="方正仿宋_GBK"/>
                <w:color w:val="000000"/>
                <w:spacing w:val="-2"/>
                <w:szCs w:val="21"/>
              </w:rPr>
            </w:pPr>
          </w:p>
        </w:tc>
        <w:tc>
          <w:tcPr>
            <w:tcW w:w="1024"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答复</w:t>
            </w:r>
          </w:p>
          <w:p>
            <w:pPr>
              <w:jc w:val="center"/>
              <w:rPr>
                <w:rFonts w:eastAsia="方正仿宋_GBK"/>
                <w:color w:val="000000"/>
                <w:spacing w:val="-2"/>
                <w:szCs w:val="21"/>
              </w:rPr>
            </w:pPr>
            <w:r>
              <w:rPr>
                <w:rFonts w:hint="eastAsia" w:eastAsia="方正仿宋_GBK"/>
                <w:color w:val="000000"/>
                <w:spacing w:val="-2"/>
                <w:szCs w:val="21"/>
              </w:rPr>
              <w:t>时间</w:t>
            </w:r>
          </w:p>
        </w:tc>
        <w:tc>
          <w:tcPr>
            <w:tcW w:w="2178" w:type="dxa"/>
            <w:gridSpan w:val="4"/>
            <w:tcBorders>
              <w:top w:val="single" w:color="auto" w:sz="4" w:space="0"/>
              <w:left w:val="single" w:color="auto" w:sz="4" w:space="0"/>
              <w:bottom w:val="single" w:color="auto" w:sz="4" w:space="0"/>
              <w:right w:val="single" w:color="auto" w:sz="8" w:space="0"/>
            </w:tcBorders>
            <w:noWrap w:val="0"/>
            <w:vAlign w:val="top"/>
          </w:tcPr>
          <w:p>
            <w:pP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8" w:hRule="atLeast"/>
        </w:trPr>
        <w:tc>
          <w:tcPr>
            <w:tcW w:w="159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答复形式</w:t>
            </w:r>
          </w:p>
        </w:tc>
        <w:tc>
          <w:tcPr>
            <w:tcW w:w="2167"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eastAsia="方正仿宋_GBK"/>
                <w:color w:val="000000"/>
                <w:spacing w:val="-2"/>
                <w:szCs w:val="21"/>
              </w:rPr>
              <w:t>1</w:t>
            </w:r>
            <w:r>
              <w:rPr>
                <w:rFonts w:hint="eastAsia" w:eastAsia="方正仿宋_GBK"/>
                <w:color w:val="000000"/>
                <w:spacing w:val="-2"/>
                <w:szCs w:val="21"/>
              </w:rPr>
              <w:t>、书面</w:t>
            </w:r>
            <w:r>
              <w:rPr>
                <w:rFonts w:eastAsia="方正仿宋_GBK"/>
                <w:color w:val="000000"/>
                <w:spacing w:val="-2"/>
                <w:szCs w:val="21"/>
              </w:rPr>
              <w:t xml:space="preserve">   2</w:t>
            </w:r>
            <w:r>
              <w:rPr>
                <w:rFonts w:hint="eastAsia" w:eastAsia="方正仿宋_GBK"/>
                <w:color w:val="000000"/>
                <w:spacing w:val="-2"/>
                <w:szCs w:val="21"/>
              </w:rPr>
              <w:t>、口头</w:t>
            </w:r>
          </w:p>
        </w:tc>
        <w:tc>
          <w:tcPr>
            <w:tcW w:w="1828"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书面答复名称</w:t>
            </w:r>
          </w:p>
        </w:tc>
        <w:tc>
          <w:tcPr>
            <w:tcW w:w="3202" w:type="dxa"/>
            <w:gridSpan w:val="6"/>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8" w:hRule="atLeast"/>
        </w:trPr>
        <w:tc>
          <w:tcPr>
            <w:tcW w:w="3023" w:type="dxa"/>
            <w:gridSpan w:val="5"/>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争议当事人同意以上调解决定</w:t>
            </w:r>
          </w:p>
        </w:tc>
        <w:tc>
          <w:tcPr>
            <w:tcW w:w="1266" w:type="dxa"/>
            <w:gridSpan w:val="3"/>
            <w:tcBorders>
              <w:top w:val="nil"/>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甲方签字</w:t>
            </w:r>
          </w:p>
        </w:tc>
        <w:tc>
          <w:tcPr>
            <w:tcW w:w="1731" w:type="dxa"/>
            <w:gridSpan w:val="4"/>
            <w:tcBorders>
              <w:top w:val="nil"/>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p>
        </w:tc>
        <w:tc>
          <w:tcPr>
            <w:tcW w:w="1339" w:type="dxa"/>
            <w:gridSpan w:val="3"/>
            <w:tcBorders>
              <w:top w:val="nil"/>
              <w:left w:val="single" w:color="auto" w:sz="4"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乙方签字</w:t>
            </w:r>
          </w:p>
        </w:tc>
        <w:tc>
          <w:tcPr>
            <w:tcW w:w="1436" w:type="dxa"/>
            <w:gridSpan w:val="2"/>
            <w:tcBorders>
              <w:top w:val="nil"/>
              <w:left w:val="single" w:color="auto" w:sz="4" w:space="0"/>
              <w:bottom w:val="single" w:color="auto" w:sz="8" w:space="0"/>
              <w:right w:val="single" w:color="auto" w:sz="8" w:space="0"/>
            </w:tcBorders>
            <w:noWrap w:val="0"/>
            <w:vAlign w:val="center"/>
          </w:tcPr>
          <w:p>
            <w:pPr>
              <w:jc w:val="center"/>
              <w:rPr>
                <w:rFonts w:eastAsia="方正仿宋_GBK"/>
                <w:color w:val="000000"/>
                <w:spacing w:val="-2"/>
                <w:szCs w:val="21"/>
                <w:highlight w:val="lightGray"/>
              </w:rPr>
            </w:pPr>
          </w:p>
        </w:tc>
      </w:tr>
    </w:tbl>
    <w:p/>
    <w:p/>
    <w:p/>
    <w:p/>
    <w:p/>
    <w:p/>
    <w:p/>
    <w:p/>
    <w:p/>
    <w:p/>
    <w:p/>
    <w:p/>
    <w:p/>
    <w:p>
      <w:pPr>
        <w:pStyle w:val="2"/>
        <w:spacing w:before="590" w:beforeLines="100" w:after="590" w:afterLines="100" w:line="240" w:lineRule="auto"/>
        <w:jc w:val="center"/>
        <w:rPr>
          <w:rFonts w:ascii="Times New Roman" w:eastAsia="方正小标宋_GBK"/>
          <w:b w:val="0"/>
          <w:sz w:val="36"/>
          <w:szCs w:val="36"/>
        </w:rPr>
      </w:pPr>
      <w:bookmarkStart w:id="653" w:name="_Toc20726678"/>
      <w:bookmarkStart w:id="654" w:name="_Toc18315815"/>
      <w:r>
        <w:rPr>
          <w:rFonts w:hint="eastAsia" w:ascii="Times New Roman" w:eastAsia="方正小标宋_GBK"/>
          <w:b w:val="0"/>
          <w:sz w:val="36"/>
          <w:szCs w:val="36"/>
        </w:rPr>
        <w:t>关于印发《江苏省〈工程造价咨询企业管理办法〉实施细则》的通知</w:t>
      </w:r>
      <w:bookmarkEnd w:id="653"/>
      <w:bookmarkEnd w:id="654"/>
      <w:bookmarkStart w:id="655" w:name="_Toc18315816"/>
      <w:bookmarkStart w:id="656" w:name="_Toc20726679"/>
    </w:p>
    <w:p>
      <w:pPr>
        <w:pStyle w:val="2"/>
        <w:spacing w:before="590" w:beforeLines="100" w:after="590" w:afterLines="100" w:line="240" w:lineRule="auto"/>
        <w:jc w:val="center"/>
        <w:rPr>
          <w:rFonts w:hint="eastAsia" w:ascii="Times New Roman" w:eastAsia="方正小标宋_GBK"/>
          <w:b w:val="0"/>
          <w:sz w:val="36"/>
          <w:szCs w:val="36"/>
        </w:rPr>
      </w:pPr>
      <w:r>
        <w:rPr>
          <w:rFonts w:hint="eastAsia" w:eastAsia="方正楷体_GBK"/>
          <w:b w:val="0"/>
          <w:sz w:val="24"/>
        </w:rPr>
        <w:t>苏建价〔</w:t>
      </w:r>
      <w:r>
        <w:rPr>
          <w:rFonts w:eastAsia="方正楷体_GBK"/>
          <w:b w:val="0"/>
          <w:sz w:val="24"/>
        </w:rPr>
        <w:t>2006</w:t>
      </w:r>
      <w:r>
        <w:rPr>
          <w:rFonts w:hint="eastAsia" w:eastAsia="方正楷体_GBK"/>
          <w:b w:val="0"/>
          <w:sz w:val="24"/>
        </w:rPr>
        <w:t>〕</w:t>
      </w:r>
      <w:r>
        <w:rPr>
          <w:rFonts w:eastAsia="方正楷体_GBK"/>
          <w:b w:val="0"/>
          <w:sz w:val="24"/>
        </w:rPr>
        <w:t>433</w:t>
      </w:r>
      <w:r>
        <w:rPr>
          <w:rFonts w:hint="eastAsia" w:eastAsia="方正楷体_GBK"/>
          <w:b w:val="0"/>
          <w:sz w:val="24"/>
        </w:rPr>
        <w:t>号</w:t>
      </w:r>
      <w:bookmarkEnd w:id="655"/>
      <w:bookmarkEnd w:id="656"/>
    </w:p>
    <w:p>
      <w:pPr>
        <w:spacing w:line="460" w:lineRule="exact"/>
        <w:rPr>
          <w:rFonts w:hint="eastAsia" w:eastAsia="方正仿宋_GBK"/>
          <w:color w:val="000000"/>
          <w:spacing w:val="-2"/>
          <w:kern w:val="0"/>
          <w:sz w:val="24"/>
        </w:rPr>
      </w:pPr>
      <w:r>
        <w:rPr>
          <w:rFonts w:hint="eastAsia" w:eastAsia="方正仿宋_GBK"/>
          <w:color w:val="000000"/>
          <w:spacing w:val="-2"/>
          <w:kern w:val="0"/>
          <w:sz w:val="24"/>
        </w:rPr>
        <w:t>各市建设局（建委）：</w:t>
      </w:r>
    </w:p>
    <w:p>
      <w:pPr>
        <w:spacing w:line="460" w:lineRule="exact"/>
        <w:ind w:firstLine="435"/>
        <w:rPr>
          <w:rFonts w:eastAsia="方正仿宋_GBK"/>
          <w:color w:val="000000"/>
          <w:spacing w:val="-2"/>
          <w:kern w:val="0"/>
          <w:sz w:val="24"/>
        </w:rPr>
      </w:pPr>
      <w:r>
        <w:rPr>
          <w:rFonts w:hint="eastAsia" w:eastAsia="方正仿宋_GBK"/>
          <w:color w:val="000000"/>
          <w:spacing w:val="-2"/>
          <w:kern w:val="0"/>
          <w:sz w:val="24"/>
        </w:rPr>
        <w:t>为加强全省工程造价咨询企业的管理，规范造价咨询企业执业行为，维护建设市场秩序和社会公共利益，根据有关法律、法规、规章的规定，结合本省实际，制定了《江苏省〈工程造价咨询企业管理办法〉实施细则》。现予印发，请认真遵照执行。</w:t>
      </w:r>
    </w:p>
    <w:p>
      <w:pPr>
        <w:spacing w:line="460" w:lineRule="exact"/>
        <w:ind w:firstLine="435"/>
        <w:rPr>
          <w:rFonts w:eastAsia="方正仿宋_GBK"/>
          <w:color w:val="000000"/>
          <w:spacing w:val="-2"/>
          <w:kern w:val="0"/>
          <w:sz w:val="24"/>
        </w:rPr>
      </w:pPr>
    </w:p>
    <w:p>
      <w:pPr>
        <w:spacing w:line="460" w:lineRule="exact"/>
        <w:ind w:right="861" w:rightChars="418" w:firstLine="435"/>
        <w:jc w:val="right"/>
        <w:rPr>
          <w:rFonts w:eastAsia="方正仿宋_GBK"/>
          <w:color w:val="000000"/>
          <w:spacing w:val="-2"/>
          <w:kern w:val="0"/>
          <w:sz w:val="24"/>
        </w:rPr>
      </w:pPr>
      <w:r>
        <w:rPr>
          <w:rFonts w:hint="eastAsia" w:eastAsia="方正仿宋_GBK"/>
          <w:color w:val="000000"/>
          <w:spacing w:val="-2"/>
          <w:kern w:val="0"/>
          <w:sz w:val="24"/>
        </w:rPr>
        <w:t>江苏省住建厅</w:t>
      </w:r>
      <w:r>
        <w:rPr>
          <w:rFonts w:eastAsia="方正仿宋_GBK"/>
          <w:color w:val="000000"/>
          <w:spacing w:val="-2"/>
          <w:kern w:val="0"/>
          <w:sz w:val="24"/>
        </w:rPr>
        <w:t xml:space="preserve">       </w:t>
      </w:r>
    </w:p>
    <w:p>
      <w:pPr>
        <w:spacing w:line="460" w:lineRule="exact"/>
        <w:ind w:right="409" w:rightChars="199" w:firstLine="435"/>
        <w:jc w:val="right"/>
        <w:rPr>
          <w:rFonts w:eastAsia="方正仿宋_GBK"/>
          <w:color w:val="000000"/>
          <w:spacing w:val="-2"/>
          <w:kern w:val="0"/>
          <w:sz w:val="24"/>
        </w:rPr>
      </w:pPr>
      <w:r>
        <w:rPr>
          <w:rFonts w:hint="eastAsia" w:eastAsia="方正仿宋_GBK"/>
          <w:color w:val="000000"/>
          <w:spacing w:val="-2"/>
          <w:kern w:val="0"/>
          <w:sz w:val="24"/>
        </w:rPr>
        <w:t>二</w:t>
      </w:r>
      <w:r>
        <w:rPr>
          <w:rFonts w:hint="eastAsia" w:ascii="Times New Roman" w:hAnsi="Times New Roman"/>
          <w:bCs/>
          <w:snapToGrid w:val="0"/>
          <w:color w:val="000000"/>
          <w:spacing w:val="-2"/>
          <w:kern w:val="0"/>
          <w:sz w:val="24"/>
        </w:rPr>
        <w:t>○○</w:t>
      </w:r>
      <w:r>
        <w:rPr>
          <w:rFonts w:hint="eastAsia" w:eastAsia="方正仿宋_GBK"/>
          <w:color w:val="000000"/>
          <w:spacing w:val="-2"/>
          <w:kern w:val="0"/>
          <w:sz w:val="24"/>
        </w:rPr>
        <w:t>六年十月八日</w:t>
      </w:r>
      <w:r>
        <w:rPr>
          <w:rFonts w:eastAsia="方正仿宋_GBK"/>
          <w:color w:val="000000"/>
          <w:spacing w:val="-2"/>
          <w:kern w:val="0"/>
          <w:sz w:val="24"/>
        </w:rPr>
        <w:t xml:space="preserve">    </w:t>
      </w:r>
    </w:p>
    <w:p>
      <w:pPr>
        <w:spacing w:line="460" w:lineRule="exact"/>
        <w:rPr>
          <w:rFonts w:eastAsia="方正仿宋_GBK"/>
          <w:color w:val="000000"/>
          <w:spacing w:val="-2"/>
          <w:kern w:val="0"/>
          <w:sz w:val="24"/>
        </w:rPr>
      </w:pPr>
    </w:p>
    <w:p>
      <w:pPr>
        <w:spacing w:line="460" w:lineRule="exact"/>
        <w:rPr>
          <w:rFonts w:eastAsia="方正仿宋_GBK"/>
          <w:bCs/>
          <w:color w:val="000000"/>
          <w:spacing w:val="-2"/>
          <w:kern w:val="0"/>
          <w:sz w:val="24"/>
        </w:rPr>
      </w:pPr>
    </w:p>
    <w:p>
      <w:pPr>
        <w:spacing w:line="460" w:lineRule="exact"/>
        <w:jc w:val="center"/>
        <w:rPr>
          <w:rFonts w:eastAsia="方正黑体_GBK"/>
          <w:bCs/>
          <w:color w:val="000000"/>
          <w:spacing w:val="-2"/>
          <w:kern w:val="0"/>
          <w:sz w:val="36"/>
          <w:szCs w:val="36"/>
        </w:rPr>
      </w:pPr>
      <w:r>
        <w:rPr>
          <w:rFonts w:hint="eastAsia" w:eastAsia="方正黑体_GBK"/>
          <w:bCs/>
          <w:color w:val="000000"/>
          <w:spacing w:val="-2"/>
          <w:kern w:val="0"/>
          <w:sz w:val="36"/>
          <w:szCs w:val="36"/>
        </w:rPr>
        <w:t>江苏省《工程造价咨询企业管理办法》实施细则</w:t>
      </w:r>
    </w:p>
    <w:p>
      <w:pPr>
        <w:spacing w:line="460" w:lineRule="exact"/>
        <w:rPr>
          <w:rFonts w:eastAsia="方正仿宋_GBK"/>
          <w:bCs/>
          <w:color w:val="000000"/>
          <w:spacing w:val="-2"/>
          <w:kern w:val="0"/>
          <w:sz w:val="24"/>
        </w:rPr>
      </w:pPr>
    </w:p>
    <w:p>
      <w:pPr>
        <w:spacing w:line="460" w:lineRule="exact"/>
        <w:jc w:val="center"/>
        <w:rPr>
          <w:rFonts w:eastAsia="方正黑体_GBK"/>
          <w:bCs/>
          <w:color w:val="000000"/>
          <w:spacing w:val="-2"/>
          <w:kern w:val="0"/>
          <w:sz w:val="24"/>
        </w:rPr>
      </w:pPr>
      <w:r>
        <w:rPr>
          <w:rFonts w:hint="eastAsia" w:eastAsia="方正黑体_GBK"/>
          <w:bCs/>
          <w:color w:val="000000"/>
          <w:spacing w:val="-2"/>
          <w:kern w:val="0"/>
          <w:sz w:val="24"/>
        </w:rPr>
        <w:t>第一章　总则</w:t>
      </w:r>
    </w:p>
    <w:p>
      <w:pPr>
        <w:spacing w:line="460" w:lineRule="exact"/>
        <w:rPr>
          <w:rFonts w:eastAsia="方正仿宋_GBK"/>
          <w:color w:val="000000"/>
          <w:spacing w:val="-2"/>
          <w:kern w:val="0"/>
          <w:sz w:val="24"/>
        </w:rPr>
      </w:pP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第一条</w:t>
      </w:r>
      <w:r>
        <w:rPr>
          <w:rFonts w:hint="eastAsia" w:eastAsia="方正仿宋_GBK"/>
          <w:color w:val="000000"/>
          <w:spacing w:val="-2"/>
          <w:kern w:val="0"/>
          <w:sz w:val="24"/>
        </w:rPr>
        <w:t>　为加强全省工程造价咨询企业的管理，规范造价咨询企业执业行为，维护建设市场秩序和社会公共利益，依据《中华人民共和国建筑法》、《江苏省建筑市场管理条例》和住建部《工程造价咨询企业管理办法》（</w:t>
      </w:r>
      <w:r>
        <w:rPr>
          <w:rFonts w:eastAsia="方正仿宋_GBK"/>
          <w:color w:val="000000"/>
          <w:spacing w:val="-2"/>
          <w:kern w:val="0"/>
          <w:sz w:val="24"/>
        </w:rPr>
        <w:t>149</w:t>
      </w:r>
      <w:r>
        <w:rPr>
          <w:rFonts w:hint="eastAsia" w:eastAsia="方正仿宋_GBK"/>
          <w:color w:val="000000"/>
          <w:spacing w:val="-2"/>
          <w:kern w:val="0"/>
          <w:sz w:val="24"/>
        </w:rPr>
        <w:t>号部令），结合本省实际，制定本细则。</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第二条　</w:t>
      </w:r>
      <w:r>
        <w:rPr>
          <w:rFonts w:hint="eastAsia" w:eastAsia="方正仿宋_GBK"/>
          <w:color w:val="000000"/>
          <w:spacing w:val="-2"/>
          <w:kern w:val="0"/>
          <w:sz w:val="24"/>
        </w:rPr>
        <w:t>凡在本省行政区域内从事工程造价咨询活动和实施对工程造价咨询企业的监督管理，应当遵守本细则。</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第三条</w:t>
      </w:r>
      <w:r>
        <w:rPr>
          <w:rFonts w:hint="eastAsia" w:eastAsia="方正仿宋_GBK"/>
          <w:color w:val="000000"/>
          <w:spacing w:val="-2"/>
          <w:kern w:val="0"/>
          <w:sz w:val="24"/>
        </w:rPr>
        <w:t>　本细则所称工程造价咨询企业是指接受委托，对建设项目投资、工程造价的确定与控制提供专业咨询服务出具工程造价成果文件的企业。</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第四条</w:t>
      </w:r>
      <w:r>
        <w:rPr>
          <w:rFonts w:eastAsia="方正仿宋_GBK"/>
          <w:color w:val="000000"/>
          <w:spacing w:val="-2"/>
          <w:kern w:val="0"/>
          <w:sz w:val="24"/>
        </w:rPr>
        <w:t xml:space="preserve">  </w:t>
      </w:r>
      <w:r>
        <w:rPr>
          <w:rFonts w:hint="eastAsia" w:eastAsia="方正仿宋_GBK"/>
          <w:color w:val="000000"/>
          <w:spacing w:val="-2"/>
          <w:kern w:val="0"/>
          <w:sz w:val="24"/>
        </w:rPr>
        <w:t>工程造价咨询企业从事工程造价咨询活动，应当遵循独立、客观、公正、诚实信用的原则，不得损害社会公共利益和他人的合法权益。</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第五条　</w:t>
      </w:r>
      <w:r>
        <w:rPr>
          <w:rFonts w:hint="eastAsia" w:eastAsia="方正仿宋_GBK"/>
          <w:color w:val="000000"/>
          <w:spacing w:val="-2"/>
          <w:kern w:val="0"/>
          <w:sz w:val="24"/>
        </w:rPr>
        <w:t>省建设行政主管部门（以下简称江苏省住建厅）负责全省工程造价咨询企业及其活动的监督管理。省建设工程造价管理总站</w:t>
      </w:r>
      <w:r>
        <w:rPr>
          <w:rFonts w:eastAsia="方正仿宋_GBK"/>
          <w:color w:val="000000"/>
          <w:spacing w:val="-2"/>
          <w:kern w:val="0"/>
          <w:sz w:val="24"/>
        </w:rPr>
        <w:t>(</w:t>
      </w:r>
      <w:r>
        <w:rPr>
          <w:rFonts w:hint="eastAsia" w:eastAsia="方正仿宋_GBK"/>
          <w:color w:val="000000"/>
          <w:spacing w:val="-2"/>
          <w:kern w:val="0"/>
          <w:sz w:val="24"/>
        </w:rPr>
        <w:t>以下简称省造价总站</w:t>
      </w:r>
      <w:r>
        <w:rPr>
          <w:rFonts w:eastAsia="方正仿宋_GBK"/>
          <w:color w:val="000000"/>
          <w:spacing w:val="-2"/>
          <w:kern w:val="0"/>
          <w:sz w:val="24"/>
        </w:rPr>
        <w:t>)</w:t>
      </w:r>
      <w:r>
        <w:rPr>
          <w:rFonts w:hint="eastAsia" w:eastAsia="方正仿宋_GBK"/>
          <w:color w:val="000000"/>
          <w:spacing w:val="-2"/>
          <w:kern w:val="0"/>
          <w:sz w:val="24"/>
        </w:rPr>
        <w:t>受江苏省住建厅委托具体实施全省工程造价咨询活动的监督检查和日常管理工作。</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县级以上住房和城乡建设行政主管部门负责本行政区域内工程造价咨询活动的监督管理，县级以上造价管理机构负责本行政区域内工程造价咨询活动监督检查和日常管理工作。</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第六条</w:t>
      </w:r>
      <w:r>
        <w:rPr>
          <w:rFonts w:eastAsia="方正仿宋_GBK"/>
          <w:color w:val="000000"/>
          <w:spacing w:val="-2"/>
          <w:kern w:val="0"/>
          <w:sz w:val="24"/>
        </w:rPr>
        <w:t xml:space="preserve">  </w:t>
      </w:r>
      <w:r>
        <w:rPr>
          <w:rFonts w:hint="eastAsia" w:eastAsia="方正仿宋_GBK"/>
          <w:color w:val="000000"/>
          <w:spacing w:val="-2"/>
          <w:kern w:val="0"/>
          <w:sz w:val="24"/>
        </w:rPr>
        <w:t>工程造价咨询企业应当接受行业组织的自律管理，提高自我约束和相互监督水平。</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工程造价行业协会要充分发挥行业自律管理作用，协助住房和城乡建设行政主管部门做好造价市场监督管理工作。</w:t>
      </w:r>
    </w:p>
    <w:p>
      <w:pPr>
        <w:spacing w:line="460" w:lineRule="exact"/>
        <w:rPr>
          <w:rFonts w:eastAsia="方正仿宋_GBK"/>
          <w:color w:val="000000"/>
          <w:spacing w:val="-2"/>
          <w:kern w:val="0"/>
          <w:sz w:val="24"/>
        </w:rPr>
      </w:pPr>
    </w:p>
    <w:p>
      <w:pPr>
        <w:spacing w:line="460" w:lineRule="exact"/>
        <w:jc w:val="center"/>
        <w:rPr>
          <w:rFonts w:eastAsia="方正黑体_GBK"/>
          <w:bCs/>
          <w:color w:val="000000"/>
          <w:spacing w:val="-2"/>
          <w:kern w:val="0"/>
          <w:sz w:val="24"/>
        </w:rPr>
      </w:pPr>
      <w:r>
        <w:rPr>
          <w:rFonts w:hint="eastAsia" w:eastAsia="方正黑体_GBK"/>
          <w:bCs/>
          <w:color w:val="000000"/>
          <w:spacing w:val="-2"/>
          <w:kern w:val="0"/>
          <w:sz w:val="24"/>
        </w:rPr>
        <w:t>第二章　资质许可</w:t>
      </w:r>
    </w:p>
    <w:p>
      <w:pPr>
        <w:spacing w:line="460" w:lineRule="exact"/>
        <w:ind w:firstLine="464" w:firstLineChars="200"/>
        <w:rPr>
          <w:rFonts w:eastAsia="方正黑体_GBK"/>
          <w:color w:val="000000"/>
          <w:spacing w:val="-2"/>
          <w:kern w:val="0"/>
          <w:sz w:val="24"/>
        </w:rPr>
      </w:pP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第七条</w:t>
      </w:r>
      <w:r>
        <w:rPr>
          <w:rFonts w:eastAsia="方正仿宋_GBK"/>
          <w:color w:val="000000"/>
          <w:spacing w:val="-2"/>
          <w:kern w:val="0"/>
          <w:sz w:val="24"/>
        </w:rPr>
        <w:t xml:space="preserve">  </w:t>
      </w:r>
      <w:r>
        <w:rPr>
          <w:rFonts w:hint="eastAsia" w:eastAsia="方正仿宋_GBK"/>
          <w:color w:val="000000"/>
          <w:spacing w:val="-2"/>
          <w:kern w:val="0"/>
          <w:sz w:val="24"/>
        </w:rPr>
        <w:t>工程造价咨询企业资质等级分为甲级、乙级，其资质标准执行建设部</w:t>
      </w:r>
      <w:r>
        <w:rPr>
          <w:rFonts w:eastAsia="方正仿宋_GBK"/>
          <w:color w:val="000000"/>
          <w:spacing w:val="-2"/>
          <w:kern w:val="0"/>
          <w:sz w:val="24"/>
        </w:rPr>
        <w:t>149</w:t>
      </w:r>
      <w:r>
        <w:rPr>
          <w:rFonts w:hint="eastAsia" w:eastAsia="方正仿宋_GBK"/>
          <w:color w:val="000000"/>
          <w:spacing w:val="-2"/>
          <w:kern w:val="0"/>
          <w:sz w:val="24"/>
        </w:rPr>
        <w:t>号令的规定。</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工程造价咨询企业不得与行政机关和其他国家机关存在隶属关系或者其他利益关系。</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第八条</w:t>
      </w:r>
      <w:r>
        <w:rPr>
          <w:rFonts w:eastAsia="方正仿宋_GBK"/>
          <w:color w:val="000000"/>
          <w:spacing w:val="-2"/>
          <w:kern w:val="0"/>
          <w:sz w:val="24"/>
        </w:rPr>
        <w:t xml:space="preserve">  </w:t>
      </w:r>
      <w:r>
        <w:rPr>
          <w:rFonts w:hint="eastAsia" w:eastAsia="方正仿宋_GBK"/>
          <w:color w:val="000000"/>
          <w:spacing w:val="-2"/>
          <w:kern w:val="0"/>
          <w:sz w:val="24"/>
        </w:rPr>
        <w:t>申请甲级工程造价咨询企业资质的程序：</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（一）申请人登录</w:t>
      </w:r>
      <w:r>
        <w:rPr>
          <w:rFonts w:eastAsia="方正仿宋_GBK"/>
          <w:color w:val="000000"/>
          <w:spacing w:val="-2"/>
          <w:kern w:val="0"/>
          <w:sz w:val="24"/>
        </w:rPr>
        <w:t>“</w:t>
      </w:r>
      <w:r>
        <w:rPr>
          <w:rFonts w:hint="eastAsia" w:eastAsia="方正仿宋_GBK"/>
          <w:color w:val="000000"/>
          <w:spacing w:val="-2"/>
          <w:kern w:val="0"/>
          <w:sz w:val="24"/>
        </w:rPr>
        <w:t>中国建设工程造价信息网</w:t>
      </w:r>
      <w:r>
        <w:rPr>
          <w:rFonts w:eastAsia="方正仿宋_GBK"/>
          <w:color w:val="000000"/>
          <w:spacing w:val="-2"/>
          <w:kern w:val="0"/>
          <w:sz w:val="24"/>
        </w:rPr>
        <w:t>”</w:t>
      </w:r>
      <w:r>
        <w:rPr>
          <w:rFonts w:hint="eastAsia" w:eastAsia="方正仿宋_GBK"/>
          <w:color w:val="000000"/>
          <w:spacing w:val="-2"/>
          <w:kern w:val="0"/>
          <w:sz w:val="24"/>
        </w:rPr>
        <w:t>工程造价咨询企业管理系统进行网上申请，填报申请表和扫描相关证明材料，同时登录</w:t>
      </w:r>
      <w:r>
        <w:rPr>
          <w:rFonts w:eastAsia="方正仿宋_GBK"/>
          <w:color w:val="000000"/>
          <w:spacing w:val="-2"/>
          <w:kern w:val="0"/>
          <w:sz w:val="24"/>
        </w:rPr>
        <w:t>“</w:t>
      </w:r>
      <w:r>
        <w:rPr>
          <w:rFonts w:hint="eastAsia" w:eastAsia="方正仿宋_GBK"/>
          <w:color w:val="000000"/>
          <w:spacing w:val="-2"/>
          <w:kern w:val="0"/>
          <w:sz w:val="24"/>
        </w:rPr>
        <w:t>江苏省住房和城乡建设厅行政权力公开透明运行系统</w:t>
      </w:r>
      <w:r>
        <w:rPr>
          <w:rFonts w:eastAsia="方正仿宋_GBK"/>
          <w:color w:val="000000"/>
          <w:spacing w:val="-2"/>
          <w:kern w:val="0"/>
          <w:sz w:val="24"/>
        </w:rPr>
        <w:t>”</w:t>
      </w:r>
      <w:r>
        <w:rPr>
          <w:rFonts w:hint="eastAsia" w:eastAsia="方正仿宋_GBK"/>
          <w:color w:val="000000"/>
          <w:spacing w:val="-2"/>
          <w:kern w:val="0"/>
          <w:sz w:val="24"/>
        </w:rPr>
        <w:t>提交申请材料。（二）江苏省住房和城乡建设厅审批中心（以下简称审批中心）对工程造价咨询企业甲级资质延续的申请材料进行网上审查。对于申请材料不齐全或不符合法定形式的，一次性告知申请人需要补正的材料。自受理申报材料之日起</w:t>
      </w:r>
      <w:r>
        <w:rPr>
          <w:rFonts w:eastAsia="方正仿宋_GBK"/>
          <w:color w:val="000000"/>
          <w:spacing w:val="-2"/>
          <w:kern w:val="0"/>
          <w:sz w:val="24"/>
        </w:rPr>
        <w:t>20</w:t>
      </w:r>
      <w:r>
        <w:rPr>
          <w:rFonts w:hint="eastAsia" w:eastAsia="方正仿宋_GBK"/>
          <w:color w:val="000000"/>
          <w:spacing w:val="-2"/>
          <w:kern w:val="0"/>
          <w:sz w:val="24"/>
        </w:rPr>
        <w:t>个工作日内，办理完毕并将全部申请材料及审核结果报国务院建设主管部门（以下简称住建部）；对工程造价咨询企业晋升甲级资质的不进行初审，将全部申请材料报住建部审批。</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第九条</w:t>
      </w:r>
      <w:r>
        <w:rPr>
          <w:rFonts w:eastAsia="方正仿宋_GBK"/>
          <w:color w:val="000000"/>
          <w:spacing w:val="-2"/>
          <w:kern w:val="0"/>
          <w:sz w:val="24"/>
        </w:rPr>
        <w:t xml:space="preserve">  </w:t>
      </w:r>
      <w:r>
        <w:rPr>
          <w:rFonts w:hint="eastAsia" w:eastAsia="方正仿宋_GBK"/>
          <w:bCs/>
          <w:color w:val="000000"/>
          <w:spacing w:val="-2"/>
          <w:kern w:val="0"/>
          <w:sz w:val="24"/>
        </w:rPr>
        <w:t>申请乙级工程造价咨询企业资质的程序</w:t>
      </w:r>
      <w:r>
        <w:rPr>
          <w:rFonts w:hint="eastAsia" w:eastAsia="方正仿宋_GBK"/>
          <w:color w:val="000000"/>
          <w:spacing w:val="-2"/>
          <w:kern w:val="0"/>
          <w:sz w:val="24"/>
        </w:rPr>
        <w:t>：</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（一）申请人登录</w:t>
      </w:r>
      <w:r>
        <w:rPr>
          <w:rFonts w:eastAsia="方正仿宋_GBK"/>
          <w:color w:val="000000"/>
          <w:spacing w:val="-2"/>
          <w:kern w:val="0"/>
          <w:sz w:val="24"/>
        </w:rPr>
        <w:t>“</w:t>
      </w:r>
      <w:r>
        <w:rPr>
          <w:rFonts w:hint="eastAsia" w:eastAsia="方正仿宋_GBK"/>
          <w:color w:val="000000"/>
          <w:spacing w:val="-2"/>
          <w:kern w:val="0"/>
          <w:sz w:val="24"/>
        </w:rPr>
        <w:t>江苏省住房和城乡建设厅行政权力公开透明运行系统</w:t>
      </w:r>
      <w:r>
        <w:rPr>
          <w:rFonts w:eastAsia="方正仿宋_GBK"/>
          <w:color w:val="000000"/>
          <w:spacing w:val="-2"/>
          <w:kern w:val="0"/>
          <w:sz w:val="24"/>
        </w:rPr>
        <w:t>”</w:t>
      </w:r>
      <w:r>
        <w:rPr>
          <w:rFonts w:hint="eastAsia" w:eastAsia="方正仿宋_GBK"/>
          <w:color w:val="000000"/>
          <w:spacing w:val="-2"/>
          <w:kern w:val="0"/>
          <w:sz w:val="24"/>
        </w:rPr>
        <w:t>进行网上资质申请，填报资质申请书和扫描相关材料。</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（二）审批中心对申报材料进行网上审查。对于申请材料不齐全或不符合法定形式的，一次性告知申请人需要补正的材料。</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（三）审批中心自受理申报材料之日起</w:t>
      </w:r>
      <w:r>
        <w:rPr>
          <w:rFonts w:eastAsia="方正仿宋_GBK"/>
          <w:color w:val="000000"/>
          <w:spacing w:val="-2"/>
          <w:kern w:val="0"/>
          <w:sz w:val="24"/>
        </w:rPr>
        <w:t>20</w:t>
      </w:r>
      <w:r>
        <w:rPr>
          <w:rFonts w:hint="eastAsia" w:eastAsia="方正仿宋_GBK"/>
          <w:color w:val="000000"/>
          <w:spacing w:val="-2"/>
          <w:kern w:val="0"/>
          <w:sz w:val="24"/>
        </w:rPr>
        <w:t>个工作日内，办理完毕并作出行政许可决定。</w:t>
      </w:r>
      <w:r>
        <w:rPr>
          <w:rFonts w:eastAsia="方正仿宋_GBK"/>
          <w:color w:val="000000"/>
          <w:spacing w:val="-2"/>
          <w:kern w:val="0"/>
          <w:sz w:val="24"/>
        </w:rPr>
        <w:t xml:space="preserve"> </w:t>
      </w:r>
    </w:p>
    <w:p>
      <w:pPr>
        <w:spacing w:line="460" w:lineRule="exact"/>
        <w:ind w:firstLine="570"/>
        <w:rPr>
          <w:rFonts w:eastAsia="方正仿宋_GBK"/>
          <w:color w:val="000000"/>
          <w:spacing w:val="-2"/>
          <w:kern w:val="0"/>
          <w:sz w:val="24"/>
        </w:rPr>
      </w:pPr>
      <w:r>
        <w:rPr>
          <w:rFonts w:hint="eastAsia" w:eastAsia="方正仿宋_GBK"/>
          <w:color w:val="000000"/>
          <w:spacing w:val="-2"/>
          <w:kern w:val="0"/>
          <w:sz w:val="24"/>
        </w:rPr>
        <w:t>（四）审批中心对准予许可的，在</w:t>
      </w:r>
      <w:r>
        <w:rPr>
          <w:rFonts w:eastAsia="方正仿宋_GBK"/>
          <w:color w:val="000000"/>
          <w:spacing w:val="-2"/>
          <w:kern w:val="0"/>
          <w:sz w:val="24"/>
        </w:rPr>
        <w:t>“</w:t>
      </w:r>
      <w:r>
        <w:rPr>
          <w:rFonts w:hint="eastAsia" w:eastAsia="方正仿宋_GBK"/>
          <w:color w:val="000000"/>
          <w:spacing w:val="-2"/>
          <w:kern w:val="0"/>
          <w:sz w:val="24"/>
        </w:rPr>
        <w:t>江苏省住房和城乡建设厅</w:t>
      </w:r>
      <w:r>
        <w:rPr>
          <w:rFonts w:eastAsia="方正仿宋_GBK"/>
          <w:color w:val="000000"/>
          <w:spacing w:val="-2"/>
          <w:kern w:val="0"/>
          <w:sz w:val="24"/>
        </w:rPr>
        <w:t>”</w:t>
      </w:r>
      <w:r>
        <w:rPr>
          <w:rFonts w:hint="eastAsia" w:eastAsia="方正仿宋_GBK"/>
          <w:color w:val="000000"/>
          <w:spacing w:val="-2"/>
          <w:kern w:val="0"/>
          <w:sz w:val="24"/>
        </w:rPr>
        <w:t>官网公告许可决定及通知领取资质证书；对不予许可的，作出不予行政许可决定，并将原因告知申请当事人。</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第十条</w:t>
      </w:r>
      <w:r>
        <w:rPr>
          <w:rFonts w:eastAsia="方正仿宋_GBK"/>
          <w:color w:val="000000"/>
          <w:spacing w:val="-2"/>
          <w:kern w:val="0"/>
          <w:sz w:val="24"/>
        </w:rPr>
        <w:t xml:space="preserve">  </w:t>
      </w:r>
      <w:r>
        <w:rPr>
          <w:rFonts w:hint="eastAsia" w:eastAsia="方正仿宋_GBK"/>
          <w:color w:val="000000"/>
          <w:spacing w:val="-2"/>
          <w:kern w:val="0"/>
          <w:sz w:val="24"/>
        </w:rPr>
        <w:t>申请工程造价咨询资质的企业应当提交下列由法定代表人对其真实性声明的申请材料：</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（一）工程造价咨询企业资质申请书（含企业法定代表人承诺书）；</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（二）企业营业执照；</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w:t>
      </w:r>
      <w:r>
        <w:rPr>
          <w:rFonts w:eastAsia="方正仿宋_GBK"/>
          <w:color w:val="000000"/>
          <w:spacing w:val="-2"/>
          <w:kern w:val="0"/>
          <w:sz w:val="24"/>
        </w:rPr>
        <w:t xml:space="preserve"> </w:t>
      </w:r>
      <w:r>
        <w:rPr>
          <w:rFonts w:hint="eastAsia" w:eastAsia="方正仿宋_GBK"/>
          <w:color w:val="000000"/>
          <w:spacing w:val="-2"/>
          <w:kern w:val="0"/>
          <w:sz w:val="24"/>
        </w:rPr>
        <w:t>工程造价咨询企业资质证书（新申请工程造价咨询企业资质的，不需提供）；</w:t>
      </w:r>
    </w:p>
    <w:p>
      <w:pPr>
        <w:spacing w:line="460" w:lineRule="exact"/>
        <w:ind w:firstLine="464" w:firstLineChars="200"/>
        <w:rPr>
          <w:rFonts w:eastAsia="方正仿宋_GBK"/>
          <w:color w:val="000000"/>
          <w:spacing w:val="-8"/>
          <w:kern w:val="0"/>
          <w:sz w:val="24"/>
        </w:rPr>
      </w:pPr>
      <w:r>
        <w:rPr>
          <w:rFonts w:hint="eastAsia" w:eastAsia="方正仿宋_GBK"/>
          <w:color w:val="000000"/>
          <w:spacing w:val="-2"/>
          <w:kern w:val="0"/>
          <w:sz w:val="24"/>
        </w:rPr>
        <w:t>（四）</w:t>
      </w:r>
      <w:r>
        <w:rPr>
          <w:rFonts w:hint="eastAsia" w:eastAsia="方正仿宋_GBK"/>
          <w:color w:val="000000"/>
          <w:spacing w:val="-8"/>
          <w:kern w:val="0"/>
          <w:sz w:val="24"/>
        </w:rPr>
        <w:t>工商部门备案的企业章程：查询日期在近三个月内，能够体现股东出资情况；</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股东出资人中，专职注册造价师人数不低于出资总人数的</w:t>
      </w:r>
      <w:r>
        <w:rPr>
          <w:rFonts w:eastAsia="方正仿宋_GBK"/>
          <w:color w:val="000000"/>
          <w:spacing w:val="-2"/>
          <w:kern w:val="0"/>
          <w:sz w:val="24"/>
        </w:rPr>
        <w:t>60%</w:t>
      </w:r>
      <w:r>
        <w:rPr>
          <w:rFonts w:hint="eastAsia" w:eastAsia="方正仿宋_GBK"/>
          <w:color w:val="000000"/>
          <w:spacing w:val="-2"/>
          <w:kern w:val="0"/>
          <w:sz w:val="24"/>
        </w:rPr>
        <w:t>，且其出资额不低于企业资本总额的</w:t>
      </w:r>
      <w:r>
        <w:rPr>
          <w:rFonts w:eastAsia="方正仿宋_GBK"/>
          <w:color w:val="000000"/>
          <w:spacing w:val="-2"/>
          <w:kern w:val="0"/>
          <w:sz w:val="24"/>
        </w:rPr>
        <w:t>60%</w:t>
      </w:r>
      <w:r>
        <w:rPr>
          <w:rFonts w:hint="eastAsia" w:eastAsia="方正仿宋_GBK"/>
          <w:color w:val="000000"/>
          <w:spacing w:val="-2"/>
          <w:kern w:val="0"/>
          <w:sz w:val="24"/>
        </w:rPr>
        <w:t>。</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（五）注册造价师监管平台的注册情况截图；</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（六）专职专业人员（含技术负责人）的身份证和中级及以上专业技术职称证书；</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专职专业人员是指与申报企业建立劳动合同关系，由申报单位办理人事代理合同和交纳的社会基本养老保险费用（向主管部门作出书面承诺），注册在申报企业的造价工程师及其他人员。专职专业人员要符合国家规定的职业年龄（统一按男、女</w:t>
      </w:r>
      <w:r>
        <w:rPr>
          <w:rFonts w:eastAsia="方正仿宋_GBK"/>
          <w:color w:val="000000"/>
          <w:spacing w:val="-2"/>
          <w:kern w:val="0"/>
          <w:sz w:val="24"/>
        </w:rPr>
        <w:t>60</w:t>
      </w:r>
      <w:r>
        <w:rPr>
          <w:rFonts w:hint="eastAsia" w:eastAsia="方正仿宋_GBK"/>
          <w:color w:val="000000"/>
          <w:spacing w:val="-2"/>
          <w:kern w:val="0"/>
          <w:sz w:val="24"/>
        </w:rPr>
        <w:t>周岁计算）。内退人员和退休人员比例不得超过专职专业人员总人数的</w:t>
      </w:r>
      <w:r>
        <w:rPr>
          <w:rFonts w:eastAsia="方正仿宋_GBK"/>
          <w:color w:val="000000"/>
          <w:spacing w:val="-2"/>
          <w:kern w:val="0"/>
          <w:sz w:val="24"/>
        </w:rPr>
        <w:t>30%</w:t>
      </w:r>
      <w:r>
        <w:rPr>
          <w:rFonts w:hint="eastAsia" w:eastAsia="方正仿宋_GBK"/>
          <w:color w:val="000000"/>
          <w:spacing w:val="-2"/>
          <w:kern w:val="0"/>
          <w:sz w:val="24"/>
        </w:rPr>
        <w:t>。</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中级职称是指工程师、经济师、审计师、会计师、工程或经济系列教授等。已取得造价师注册证书、并有本企业中级职称聘书的可认定为中级职称。</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（七）企业缴纳社保证明：由人力资源社会保障部门出具并盖章的企业员工缴纳社保情况表（退休人员提供退休证）；</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（八）营业收入证明：企业开具的工程造价咨询营业收入发票和对应的工程造价咨询合同（新申请工程造价咨询企业资质的，不需提供）。</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第十一条　</w:t>
      </w:r>
      <w:r>
        <w:rPr>
          <w:rFonts w:hint="eastAsia" w:eastAsia="方正仿宋_GBK"/>
          <w:color w:val="000000"/>
          <w:spacing w:val="-2"/>
          <w:kern w:val="0"/>
          <w:sz w:val="24"/>
        </w:rPr>
        <w:t>新设立的工程造价咨询企业无工作业绩，按照建设部第</w:t>
      </w:r>
      <w:r>
        <w:rPr>
          <w:rFonts w:eastAsia="方正仿宋_GBK"/>
          <w:color w:val="000000"/>
          <w:spacing w:val="-2"/>
          <w:kern w:val="0"/>
          <w:sz w:val="24"/>
        </w:rPr>
        <w:t>149</w:t>
      </w:r>
      <w:r>
        <w:rPr>
          <w:rFonts w:hint="eastAsia" w:eastAsia="方正仿宋_GBK"/>
          <w:color w:val="000000"/>
          <w:spacing w:val="-2"/>
          <w:kern w:val="0"/>
          <w:sz w:val="24"/>
        </w:rPr>
        <w:t>号令中乙级资质标准核定为乙级，暂定资质期限为一年。一年暂定期满需继续从事工程造价咨询活动的，应当在暂定期届满</w:t>
      </w:r>
      <w:r>
        <w:rPr>
          <w:rFonts w:eastAsia="方正仿宋_GBK"/>
          <w:color w:val="000000"/>
          <w:spacing w:val="-2"/>
          <w:kern w:val="0"/>
          <w:sz w:val="24"/>
        </w:rPr>
        <w:t>30</w:t>
      </w:r>
      <w:r>
        <w:rPr>
          <w:rFonts w:hint="eastAsia" w:eastAsia="方正仿宋_GBK"/>
          <w:color w:val="000000"/>
          <w:spacing w:val="-2"/>
          <w:kern w:val="0"/>
          <w:sz w:val="24"/>
        </w:rPr>
        <w:t>日前，向审批中心申请换发资质证书。暂定期满达不到乙级资质条件及逾期不提出申请的，由省住建厅注销其资质证书。</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第十二条　</w:t>
      </w:r>
      <w:r>
        <w:rPr>
          <w:rFonts w:hint="eastAsia" w:eastAsia="方正仿宋_GBK"/>
          <w:color w:val="000000"/>
          <w:spacing w:val="-2"/>
          <w:kern w:val="0"/>
          <w:sz w:val="24"/>
        </w:rPr>
        <w:t>准予资质许可的，住建部或省住建厅向申请人颁发工程造价咨询企业资质证书和执业印章。工程造价咨询企业资质证书分正本和副本。正本和副本具有同等法律效力。</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工程造价咨询企业资质证书遗失补办的，由申请人告知资质许可机关，许可机关在官网上发布信息。</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第十三条</w:t>
      </w:r>
      <w:r>
        <w:rPr>
          <w:rFonts w:eastAsia="方正仿宋_GBK"/>
          <w:color w:val="000000"/>
          <w:spacing w:val="-2"/>
          <w:kern w:val="0"/>
          <w:sz w:val="24"/>
        </w:rPr>
        <w:t xml:space="preserve">  </w:t>
      </w:r>
      <w:r>
        <w:rPr>
          <w:rFonts w:hint="eastAsia" w:eastAsia="方正仿宋_GBK"/>
          <w:color w:val="000000"/>
          <w:spacing w:val="-2"/>
          <w:kern w:val="0"/>
          <w:sz w:val="24"/>
        </w:rPr>
        <w:t>新设立的暂定乙级造价咨询企业应及时做好</w:t>
      </w:r>
      <w:r>
        <w:rPr>
          <w:rFonts w:eastAsia="方正仿宋_GBK"/>
          <w:color w:val="000000"/>
          <w:spacing w:val="-2"/>
          <w:kern w:val="0"/>
          <w:sz w:val="24"/>
        </w:rPr>
        <w:t>“</w:t>
      </w:r>
      <w:r>
        <w:rPr>
          <w:rFonts w:hint="eastAsia" w:eastAsia="方正仿宋_GBK"/>
          <w:color w:val="000000"/>
          <w:spacing w:val="-2"/>
          <w:kern w:val="0"/>
          <w:sz w:val="24"/>
        </w:rPr>
        <w:t>江苏省工程造价信息网</w:t>
      </w:r>
      <w:r>
        <w:rPr>
          <w:rFonts w:eastAsia="方正仿宋_GBK"/>
          <w:color w:val="000000"/>
          <w:spacing w:val="-2"/>
          <w:kern w:val="0"/>
          <w:sz w:val="24"/>
        </w:rPr>
        <w:t>”</w:t>
      </w:r>
      <w:r>
        <w:rPr>
          <w:rFonts w:hint="eastAsia" w:eastAsia="方正仿宋_GBK"/>
          <w:color w:val="000000"/>
          <w:spacing w:val="-2"/>
          <w:kern w:val="0"/>
          <w:sz w:val="24"/>
        </w:rPr>
        <w:t>的初始化维护工作。</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第十四条　</w:t>
      </w:r>
      <w:r>
        <w:rPr>
          <w:rFonts w:hint="eastAsia" w:eastAsia="方正仿宋_GBK"/>
          <w:color w:val="000000"/>
          <w:spacing w:val="-2"/>
          <w:kern w:val="0"/>
          <w:sz w:val="24"/>
        </w:rPr>
        <w:t>工程造价咨询企业资质有效期为</w:t>
      </w:r>
      <w:r>
        <w:rPr>
          <w:rFonts w:eastAsia="方正仿宋_GBK"/>
          <w:color w:val="000000"/>
          <w:spacing w:val="-2"/>
          <w:kern w:val="0"/>
          <w:sz w:val="24"/>
        </w:rPr>
        <w:t>3</w:t>
      </w:r>
      <w:r>
        <w:rPr>
          <w:rFonts w:hint="eastAsia" w:eastAsia="方正仿宋_GBK"/>
          <w:color w:val="000000"/>
          <w:spacing w:val="-2"/>
          <w:kern w:val="0"/>
          <w:sz w:val="24"/>
        </w:rPr>
        <w:t>年。有效期满，需要继续从事工程造价咨询活动的，应当在资质有效期满</w:t>
      </w:r>
      <w:r>
        <w:rPr>
          <w:rFonts w:eastAsia="方正仿宋_GBK"/>
          <w:color w:val="000000"/>
          <w:spacing w:val="-2"/>
          <w:kern w:val="0"/>
          <w:sz w:val="24"/>
        </w:rPr>
        <w:t>30</w:t>
      </w:r>
      <w:r>
        <w:rPr>
          <w:rFonts w:hint="eastAsia" w:eastAsia="方正仿宋_GBK"/>
          <w:color w:val="000000"/>
          <w:spacing w:val="-2"/>
          <w:kern w:val="0"/>
          <w:sz w:val="24"/>
        </w:rPr>
        <w:t>日前向审批中心提出资质延续申请。准予延续的，资质有效期延续</w:t>
      </w:r>
      <w:r>
        <w:rPr>
          <w:rFonts w:eastAsia="方正仿宋_GBK"/>
          <w:color w:val="000000"/>
          <w:spacing w:val="-2"/>
          <w:kern w:val="0"/>
          <w:sz w:val="24"/>
        </w:rPr>
        <w:t>3</w:t>
      </w:r>
      <w:r>
        <w:rPr>
          <w:rFonts w:hint="eastAsia" w:eastAsia="方正仿宋_GBK"/>
          <w:color w:val="000000"/>
          <w:spacing w:val="-2"/>
          <w:kern w:val="0"/>
          <w:sz w:val="24"/>
        </w:rPr>
        <w:t>年。</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资质延续申请按照本细则第七、八、九、十条规定的程序和申请材料内容上报。</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第十五条　</w:t>
      </w:r>
      <w:r>
        <w:rPr>
          <w:rFonts w:hint="eastAsia" w:eastAsia="方正仿宋_GBK"/>
          <w:color w:val="000000"/>
          <w:spacing w:val="-2"/>
          <w:kern w:val="0"/>
          <w:sz w:val="24"/>
        </w:rPr>
        <w:t>工程造价咨询企业的名称、组织形式、认缴资本、注册地、企业的住所、法定代表人、技术负责人等发生变化的，应当自变更确立之日起</w:t>
      </w:r>
      <w:r>
        <w:rPr>
          <w:rFonts w:eastAsia="方正仿宋_GBK"/>
          <w:color w:val="000000"/>
          <w:spacing w:val="-2"/>
          <w:kern w:val="0"/>
          <w:sz w:val="24"/>
        </w:rPr>
        <w:t>30</w:t>
      </w:r>
      <w:r>
        <w:rPr>
          <w:rFonts w:hint="eastAsia" w:eastAsia="方正仿宋_GBK"/>
          <w:color w:val="000000"/>
          <w:spacing w:val="-2"/>
          <w:kern w:val="0"/>
          <w:sz w:val="24"/>
        </w:rPr>
        <w:t>日内，登录</w:t>
      </w:r>
      <w:r>
        <w:rPr>
          <w:rFonts w:eastAsia="方正仿宋_GBK"/>
          <w:color w:val="000000"/>
          <w:spacing w:val="-2"/>
          <w:kern w:val="0"/>
          <w:sz w:val="24"/>
        </w:rPr>
        <w:t>“</w:t>
      </w:r>
      <w:r>
        <w:rPr>
          <w:rFonts w:hint="eastAsia" w:eastAsia="方正仿宋_GBK"/>
          <w:color w:val="000000"/>
          <w:spacing w:val="-2"/>
          <w:kern w:val="0"/>
          <w:sz w:val="24"/>
        </w:rPr>
        <w:t>江苏省住房和城乡建设厅行政权力公开透明运行系统</w:t>
      </w:r>
      <w:r>
        <w:rPr>
          <w:rFonts w:eastAsia="方正仿宋_GBK"/>
          <w:color w:val="000000"/>
          <w:spacing w:val="-2"/>
          <w:kern w:val="0"/>
          <w:sz w:val="24"/>
        </w:rPr>
        <w:t>”</w:t>
      </w:r>
      <w:r>
        <w:rPr>
          <w:rFonts w:hint="eastAsia" w:eastAsia="方正仿宋_GBK"/>
          <w:color w:val="000000"/>
          <w:spacing w:val="-2"/>
          <w:kern w:val="0"/>
          <w:sz w:val="24"/>
        </w:rPr>
        <w:t>提交申请材料（甲级工程造价咨询企业变更的需同时在</w:t>
      </w:r>
      <w:r>
        <w:rPr>
          <w:rFonts w:eastAsia="方正仿宋_GBK"/>
          <w:color w:val="000000"/>
          <w:spacing w:val="-2"/>
          <w:kern w:val="0"/>
          <w:sz w:val="24"/>
        </w:rPr>
        <w:t>“</w:t>
      </w:r>
      <w:r>
        <w:rPr>
          <w:rFonts w:hint="eastAsia" w:eastAsia="方正仿宋_GBK"/>
          <w:color w:val="000000"/>
          <w:spacing w:val="-2"/>
          <w:kern w:val="0"/>
          <w:sz w:val="24"/>
        </w:rPr>
        <w:t>中国建设工程造价信息网</w:t>
      </w:r>
      <w:r>
        <w:rPr>
          <w:rFonts w:eastAsia="方正仿宋_GBK"/>
          <w:color w:val="000000"/>
          <w:spacing w:val="-2"/>
          <w:kern w:val="0"/>
          <w:sz w:val="24"/>
        </w:rPr>
        <w:t>”</w:t>
      </w:r>
      <w:r>
        <w:rPr>
          <w:rFonts w:hint="eastAsia" w:eastAsia="方正仿宋_GBK"/>
          <w:color w:val="000000"/>
          <w:spacing w:val="-2"/>
          <w:kern w:val="0"/>
          <w:sz w:val="24"/>
        </w:rPr>
        <w:t>工程造价咨询企业管理系统进行网上申请）。</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企业注册地跨省级区域变更的，需经原企业工商注册所在地省级住房和建设行政主管部门同意，再由新工商注册所在地省级建设行政主管部门对企业资质证书变更审核表及相关材料进行审核，审核合格后，将变更审核表及相关材料报住建部办理变更。</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第十六条</w:t>
      </w:r>
      <w:r>
        <w:rPr>
          <w:rFonts w:eastAsia="方正仿宋_GBK"/>
          <w:color w:val="000000"/>
          <w:spacing w:val="-2"/>
          <w:kern w:val="0"/>
          <w:sz w:val="24"/>
        </w:rPr>
        <w:t xml:space="preserve">  </w:t>
      </w:r>
      <w:r>
        <w:rPr>
          <w:rFonts w:hint="eastAsia" w:eastAsia="方正仿宋_GBK"/>
          <w:color w:val="000000"/>
          <w:spacing w:val="-2"/>
          <w:kern w:val="0"/>
          <w:sz w:val="24"/>
        </w:rPr>
        <w:t>造价咨询企业申请变更需提交的材料：</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（一）单位名称变更：</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《工程造价咨询企业资质证书变更审核表》；变更后的营业执照或名称预核准通知书；原资质证书正、副本。</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（二）法定代表人变更：</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《工程造价咨询企业资质证书变更审核表》；法定代表人任职文件或股东会会议纪要、身份证；变更后的营业执照；资质证书。</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（三）技术负责人变更：</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《工程造价咨询企业资质证书变更审核表》；技术负责人任职文件、工作简历、身份证、专业技术职务证书、造价工程师注册证书、聘用合同、人事档案关系证明及社会养老保险证明等；资质证书。</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（四）经营地址变更：</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《工程造价咨询企业资质证书变更审核表》；变更后的详细地址、邮编、电话号码及传真号码、联系人（在变更报告中注明）；办公场所产权证明或租赁合同；资质证书。</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（五）认缴资金及股东变更：</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造价咨询企业资质证书变更审核表》；验资报告复印件；变更后营业执照；变更后的公司章程；工商出具的股东变更核准通知书；新增专职造价工程师股东身份证、专业技术职务证书、造价工程师注册证书、人事档案关系证明和社会养老保险证明；资质证书。</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第十七条　</w:t>
      </w:r>
      <w:r>
        <w:rPr>
          <w:rFonts w:hint="eastAsia" w:eastAsia="方正仿宋_GBK"/>
          <w:color w:val="000000"/>
          <w:spacing w:val="-2"/>
          <w:kern w:val="0"/>
          <w:sz w:val="24"/>
        </w:rPr>
        <w:t>工程造价咨询企业合并的（含两个企业的造价咨询部门合并），合并后存续或者新设立的工程造价咨询企业可以承继合并前各方中较高的资质等级，但应当符合相应的资质等级条件；合并后的企业工作业绩可以承继两个合并企业的原有工作业绩总和；合并后企业取得资质时间按照原合并的两个企业中取得资质时间较长的一方计算。</w:t>
      </w:r>
    </w:p>
    <w:p>
      <w:pPr>
        <w:spacing w:line="460" w:lineRule="exact"/>
        <w:ind w:firstLine="570"/>
        <w:rPr>
          <w:rFonts w:eastAsia="方正仿宋_GBK"/>
          <w:color w:val="000000"/>
          <w:spacing w:val="-2"/>
          <w:kern w:val="0"/>
          <w:sz w:val="24"/>
        </w:rPr>
      </w:pPr>
      <w:r>
        <w:rPr>
          <w:rFonts w:hint="eastAsia" w:eastAsia="方正仿宋_GBK"/>
          <w:color w:val="000000"/>
          <w:spacing w:val="-2"/>
          <w:kern w:val="0"/>
          <w:sz w:val="24"/>
        </w:rPr>
        <w:t>工程造价咨询企业分立的，只能由分立后的一方承继原工程造价咨询企业资质，但应当符合原工程造价咨询企业资质等级条件。</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第十八条</w:t>
      </w:r>
      <w:r>
        <w:rPr>
          <w:rFonts w:eastAsia="方正仿宋_GBK"/>
          <w:color w:val="000000"/>
          <w:spacing w:val="-2"/>
          <w:kern w:val="0"/>
          <w:sz w:val="24"/>
        </w:rPr>
        <w:t xml:space="preserve">   </w:t>
      </w:r>
      <w:r>
        <w:rPr>
          <w:rFonts w:hint="eastAsia" w:eastAsia="方正仿宋_GBK"/>
          <w:color w:val="000000"/>
          <w:spacing w:val="-2"/>
          <w:kern w:val="0"/>
          <w:sz w:val="24"/>
        </w:rPr>
        <w:t>工程造价咨询企业合并（或者分立）手续完成后</w:t>
      </w:r>
      <w:r>
        <w:rPr>
          <w:rFonts w:eastAsia="方正仿宋_GBK"/>
          <w:color w:val="000000"/>
          <w:spacing w:val="-2"/>
          <w:kern w:val="0"/>
          <w:sz w:val="24"/>
        </w:rPr>
        <w:t>30</w:t>
      </w:r>
      <w:r>
        <w:rPr>
          <w:rFonts w:hint="eastAsia" w:eastAsia="方正仿宋_GBK"/>
          <w:color w:val="000000"/>
          <w:spacing w:val="-2"/>
          <w:kern w:val="0"/>
          <w:sz w:val="24"/>
        </w:rPr>
        <w:t>日内，需向审批中心提交下列材料办理企业名称变更：</w:t>
      </w:r>
    </w:p>
    <w:p>
      <w:pPr>
        <w:spacing w:line="460" w:lineRule="exact"/>
        <w:ind w:firstLine="570"/>
        <w:rPr>
          <w:rFonts w:eastAsia="方正仿宋_GBK"/>
          <w:color w:val="000000"/>
          <w:spacing w:val="-2"/>
          <w:kern w:val="0"/>
          <w:sz w:val="24"/>
        </w:rPr>
      </w:pPr>
      <w:r>
        <w:rPr>
          <w:rFonts w:hint="eastAsia" w:eastAsia="方正仿宋_GBK"/>
          <w:color w:val="000000"/>
          <w:spacing w:val="-2"/>
          <w:kern w:val="0"/>
          <w:sz w:val="24"/>
        </w:rPr>
        <w:t>（一）各合并（分立）企业的合并（分立）协议；</w:t>
      </w:r>
    </w:p>
    <w:p>
      <w:pPr>
        <w:spacing w:line="460" w:lineRule="exact"/>
        <w:ind w:firstLine="570"/>
        <w:rPr>
          <w:rFonts w:eastAsia="方正仿宋_GBK"/>
          <w:color w:val="000000"/>
          <w:spacing w:val="-2"/>
          <w:kern w:val="0"/>
          <w:sz w:val="24"/>
        </w:rPr>
      </w:pPr>
      <w:r>
        <w:rPr>
          <w:rFonts w:hint="eastAsia" w:eastAsia="方正仿宋_GBK"/>
          <w:color w:val="000000"/>
          <w:spacing w:val="-2"/>
          <w:kern w:val="0"/>
          <w:sz w:val="24"/>
        </w:rPr>
        <w:t>（二）各合并（分立）企业同意合并（分立）的股东会决议；</w:t>
      </w:r>
    </w:p>
    <w:p>
      <w:pPr>
        <w:spacing w:line="460" w:lineRule="exact"/>
        <w:ind w:firstLine="570"/>
        <w:rPr>
          <w:rFonts w:eastAsia="方正仿宋_GBK"/>
          <w:color w:val="000000"/>
          <w:spacing w:val="-2"/>
          <w:kern w:val="0"/>
          <w:sz w:val="24"/>
        </w:rPr>
      </w:pPr>
      <w:r>
        <w:rPr>
          <w:rFonts w:hint="eastAsia" w:eastAsia="方正仿宋_GBK"/>
          <w:color w:val="000000"/>
          <w:spacing w:val="-2"/>
          <w:kern w:val="0"/>
          <w:sz w:val="24"/>
        </w:rPr>
        <w:t>（三）合并（分立）后企业的章程和出资人协议；</w:t>
      </w:r>
    </w:p>
    <w:p>
      <w:pPr>
        <w:spacing w:line="460" w:lineRule="exact"/>
        <w:ind w:firstLine="570"/>
        <w:rPr>
          <w:rFonts w:eastAsia="方正仿宋_GBK"/>
          <w:color w:val="000000"/>
          <w:spacing w:val="-2"/>
          <w:kern w:val="0"/>
          <w:sz w:val="24"/>
        </w:rPr>
      </w:pPr>
      <w:r>
        <w:rPr>
          <w:rFonts w:hint="eastAsia" w:eastAsia="方正仿宋_GBK"/>
          <w:color w:val="000000"/>
          <w:spacing w:val="-2"/>
          <w:kern w:val="0"/>
          <w:sz w:val="24"/>
        </w:rPr>
        <w:t>（四）合并（分立）后企业的工商出资证明；</w:t>
      </w:r>
    </w:p>
    <w:p>
      <w:pPr>
        <w:spacing w:line="460" w:lineRule="exact"/>
        <w:ind w:firstLine="570"/>
        <w:rPr>
          <w:rFonts w:eastAsia="方正仿宋_GBK"/>
          <w:color w:val="000000"/>
          <w:spacing w:val="-2"/>
          <w:kern w:val="0"/>
          <w:sz w:val="24"/>
        </w:rPr>
      </w:pPr>
      <w:r>
        <w:rPr>
          <w:rFonts w:hint="eastAsia" w:eastAsia="方正仿宋_GBK"/>
          <w:color w:val="000000"/>
          <w:spacing w:val="-2"/>
          <w:kern w:val="0"/>
          <w:sz w:val="24"/>
        </w:rPr>
        <w:t>（五）合并（分立）后企业需变更企业名称的按第十六条规定提供相关材料。</w:t>
      </w:r>
    </w:p>
    <w:p>
      <w:pPr>
        <w:spacing w:line="460" w:lineRule="exact"/>
        <w:ind w:firstLine="464" w:firstLineChars="200"/>
        <w:rPr>
          <w:rFonts w:eastAsia="方正黑体_GBK"/>
          <w:color w:val="000000"/>
          <w:spacing w:val="-2"/>
          <w:kern w:val="0"/>
          <w:sz w:val="24"/>
        </w:rPr>
      </w:pPr>
    </w:p>
    <w:p>
      <w:pPr>
        <w:spacing w:line="460" w:lineRule="exact"/>
        <w:jc w:val="center"/>
        <w:rPr>
          <w:rFonts w:eastAsia="方正黑体_GBK"/>
          <w:bCs/>
          <w:color w:val="000000"/>
          <w:spacing w:val="-2"/>
          <w:kern w:val="0"/>
          <w:sz w:val="24"/>
        </w:rPr>
      </w:pPr>
      <w:r>
        <w:rPr>
          <w:rFonts w:hint="eastAsia" w:eastAsia="方正黑体_GBK"/>
          <w:bCs/>
          <w:color w:val="000000"/>
          <w:spacing w:val="-2"/>
          <w:kern w:val="0"/>
          <w:sz w:val="24"/>
        </w:rPr>
        <w:t>第三章</w:t>
      </w:r>
      <w:r>
        <w:rPr>
          <w:rFonts w:eastAsia="方正黑体_GBK"/>
          <w:bCs/>
          <w:color w:val="000000"/>
          <w:spacing w:val="-2"/>
          <w:kern w:val="0"/>
          <w:sz w:val="24"/>
        </w:rPr>
        <w:t xml:space="preserve">  </w:t>
      </w:r>
      <w:r>
        <w:rPr>
          <w:rFonts w:hint="eastAsia" w:eastAsia="方正黑体_GBK"/>
          <w:bCs/>
          <w:color w:val="000000"/>
          <w:spacing w:val="-2"/>
          <w:kern w:val="0"/>
          <w:sz w:val="24"/>
        </w:rPr>
        <w:t>业务承接</w:t>
      </w:r>
    </w:p>
    <w:p>
      <w:pPr>
        <w:spacing w:line="460" w:lineRule="exact"/>
        <w:rPr>
          <w:rFonts w:eastAsia="方正仿宋_GBK"/>
          <w:b/>
          <w:color w:val="000000"/>
          <w:spacing w:val="-2"/>
          <w:kern w:val="0"/>
          <w:sz w:val="24"/>
        </w:rPr>
      </w:pPr>
      <w:r>
        <w:rPr>
          <w:rFonts w:eastAsia="方正仿宋_GBK"/>
          <w:color w:val="000000"/>
          <w:spacing w:val="-2"/>
          <w:kern w:val="0"/>
          <w:sz w:val="24"/>
        </w:rPr>
        <w:t xml:space="preserve">  </w:t>
      </w:r>
      <w:r>
        <w:rPr>
          <w:rFonts w:eastAsia="方正仿宋_GBK"/>
          <w:b/>
          <w:color w:val="000000"/>
          <w:spacing w:val="-2"/>
          <w:kern w:val="0"/>
          <w:sz w:val="24"/>
        </w:rPr>
        <w:t xml:space="preserve">  </w:t>
      </w:r>
    </w:p>
    <w:p>
      <w:pPr>
        <w:spacing w:line="460" w:lineRule="exact"/>
        <w:ind w:left="412" w:leftChars="200"/>
        <w:rPr>
          <w:rFonts w:eastAsia="方正仿宋_GBK"/>
          <w:color w:val="000000"/>
          <w:spacing w:val="-2"/>
          <w:kern w:val="0"/>
          <w:sz w:val="24"/>
        </w:rPr>
      </w:pPr>
      <w:r>
        <w:rPr>
          <w:rFonts w:hint="eastAsia" w:eastAsia="方正黑体_GBK"/>
          <w:color w:val="000000"/>
          <w:spacing w:val="-2"/>
          <w:kern w:val="0"/>
          <w:sz w:val="24"/>
        </w:rPr>
        <w:t>第十九条</w:t>
      </w:r>
      <w:r>
        <w:rPr>
          <w:rFonts w:eastAsia="方正仿宋_GBK"/>
          <w:color w:val="000000"/>
          <w:spacing w:val="-2"/>
          <w:kern w:val="0"/>
          <w:sz w:val="24"/>
        </w:rPr>
        <w:t xml:space="preserve">  </w:t>
      </w:r>
      <w:r>
        <w:rPr>
          <w:rFonts w:hint="eastAsia" w:eastAsia="方正仿宋_GBK"/>
          <w:color w:val="000000"/>
          <w:spacing w:val="-2"/>
          <w:kern w:val="0"/>
          <w:sz w:val="24"/>
        </w:rPr>
        <w:t>工程造价咨询企业依法从事工程造价咨询活动，不受行政区域限制。甲级工程造价咨询企业可以从事各类建设项目的工程造价咨询业务。</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乙级工程造价咨询企业可以从事工程造价</w:t>
      </w:r>
      <w:r>
        <w:rPr>
          <w:rFonts w:eastAsia="方正仿宋_GBK"/>
          <w:color w:val="000000"/>
          <w:spacing w:val="-2"/>
          <w:kern w:val="0"/>
          <w:sz w:val="24"/>
        </w:rPr>
        <w:t>5000</w:t>
      </w:r>
      <w:r>
        <w:rPr>
          <w:rFonts w:hint="eastAsia" w:eastAsia="方正仿宋_GBK"/>
          <w:color w:val="000000"/>
          <w:spacing w:val="-2"/>
          <w:kern w:val="0"/>
          <w:sz w:val="24"/>
        </w:rPr>
        <w:t>万元人民币以下的各类建设项目的工程造价咨询业务。</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第二十条</w:t>
      </w:r>
      <w:r>
        <w:rPr>
          <w:rFonts w:eastAsia="方正仿宋_GBK"/>
          <w:color w:val="000000"/>
          <w:spacing w:val="-2"/>
          <w:kern w:val="0"/>
          <w:sz w:val="24"/>
        </w:rPr>
        <w:t xml:space="preserve">  </w:t>
      </w:r>
      <w:r>
        <w:rPr>
          <w:rFonts w:hint="eastAsia" w:eastAsia="方正仿宋_GBK"/>
          <w:color w:val="000000"/>
          <w:spacing w:val="-2"/>
          <w:kern w:val="0"/>
          <w:sz w:val="24"/>
        </w:rPr>
        <w:t>工程造价咨询业务范围包括：</w:t>
      </w:r>
    </w:p>
    <w:p>
      <w:pPr>
        <w:spacing w:line="460" w:lineRule="exac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（一）建设项目建议书及可行性研究投资估算、项目经济评价报告的编制和审核；</w:t>
      </w:r>
    </w:p>
    <w:p>
      <w:pPr>
        <w:spacing w:line="460" w:lineRule="exac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（二）建设项目概预算的编制与审核，并配合设计方案比选、优化设计、限额设计等工作进行工程造价分析与控制；</w:t>
      </w:r>
    </w:p>
    <w:p>
      <w:pPr>
        <w:spacing w:line="460" w:lineRule="exac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三）建设项目合同价款的确定（包括招标工程工程量清单和标底、投标报价的编制和审核）；合同价款的签订与调整（包括工程变更、工程洽商和索赔费用的计算）及工程款支付，工程结算及竣工结（决）算报告的编制与审核等；</w:t>
      </w:r>
    </w:p>
    <w:p>
      <w:pPr>
        <w:spacing w:line="460" w:lineRule="exact"/>
        <w:ind w:firstLine="420"/>
        <w:rPr>
          <w:rFonts w:eastAsia="方正仿宋_GBK"/>
          <w:color w:val="000000"/>
          <w:spacing w:val="-2"/>
          <w:kern w:val="0"/>
          <w:sz w:val="24"/>
        </w:rPr>
      </w:pPr>
      <w:r>
        <w:rPr>
          <w:rFonts w:hint="eastAsia" w:eastAsia="方正仿宋_GBK"/>
          <w:color w:val="000000"/>
          <w:spacing w:val="-2"/>
          <w:kern w:val="0"/>
          <w:sz w:val="24"/>
        </w:rPr>
        <w:t>（四）工程造价经济纠纷的鉴定和仲裁的咨询；</w:t>
      </w:r>
    </w:p>
    <w:p>
      <w:pPr>
        <w:spacing w:line="460" w:lineRule="exact"/>
        <w:ind w:firstLine="420"/>
        <w:rPr>
          <w:rFonts w:eastAsia="方正仿宋_GBK"/>
          <w:color w:val="000000"/>
          <w:spacing w:val="-2"/>
          <w:kern w:val="0"/>
          <w:sz w:val="24"/>
        </w:rPr>
      </w:pPr>
      <w:r>
        <w:rPr>
          <w:rFonts w:hint="eastAsia" w:eastAsia="方正仿宋_GBK"/>
          <w:color w:val="000000"/>
          <w:spacing w:val="-2"/>
          <w:kern w:val="0"/>
          <w:sz w:val="24"/>
        </w:rPr>
        <w:t>（五）提供工程造价信息服务等；</w:t>
      </w:r>
    </w:p>
    <w:p>
      <w:pPr>
        <w:spacing w:line="460" w:lineRule="exact"/>
        <w:ind w:firstLine="420"/>
        <w:rPr>
          <w:rFonts w:eastAsia="方正仿宋_GBK"/>
          <w:color w:val="000000"/>
          <w:spacing w:val="-2"/>
          <w:kern w:val="0"/>
          <w:sz w:val="24"/>
        </w:rPr>
      </w:pPr>
      <w:r>
        <w:rPr>
          <w:rFonts w:hint="eastAsia" w:eastAsia="方正仿宋_GBK"/>
          <w:color w:val="000000"/>
          <w:spacing w:val="-2"/>
          <w:kern w:val="0"/>
          <w:sz w:val="24"/>
        </w:rPr>
        <w:t>（六）实施建设项目全过程（若干阶段）的造价管理和服务。</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第二十一条</w:t>
      </w:r>
      <w:r>
        <w:rPr>
          <w:rFonts w:eastAsia="方正仿宋_GBK"/>
          <w:color w:val="000000"/>
          <w:spacing w:val="-2"/>
          <w:kern w:val="0"/>
          <w:sz w:val="24"/>
        </w:rPr>
        <w:t xml:space="preserve"> </w:t>
      </w:r>
      <w:r>
        <w:rPr>
          <w:rFonts w:hint="eastAsia" w:eastAsia="方正仿宋_GBK"/>
          <w:color w:val="000000"/>
          <w:spacing w:val="-2"/>
          <w:kern w:val="0"/>
          <w:sz w:val="24"/>
        </w:rPr>
        <w:t>工程造价咨询企业承接工程造价咨询业务时，可以按照国家或省制定的《建设工程造价咨询合同》（示范文本）与委托单位签订工程造价咨询合同，并明确风险和违约责任。</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第二十二条</w:t>
      </w:r>
      <w:r>
        <w:rPr>
          <w:rFonts w:eastAsia="方正仿宋_GBK"/>
          <w:color w:val="000000"/>
          <w:spacing w:val="-2"/>
          <w:kern w:val="0"/>
          <w:sz w:val="24"/>
        </w:rPr>
        <w:t xml:space="preserve"> </w:t>
      </w:r>
      <w:r>
        <w:rPr>
          <w:rFonts w:hint="eastAsia" w:eastAsia="方正仿宋_GBK"/>
          <w:color w:val="000000"/>
          <w:spacing w:val="-2"/>
          <w:kern w:val="0"/>
          <w:sz w:val="24"/>
        </w:rPr>
        <w:t>从事工程造价咨询活动应当依据工程造价咨询服务内容、成本、服务质量和市场供求状况，通过和委托方协商，在造价咨询合同中约定收费标准。</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第二十三条</w:t>
      </w:r>
      <w:r>
        <w:rPr>
          <w:rFonts w:eastAsia="方正仿宋_GBK"/>
          <w:color w:val="000000"/>
          <w:spacing w:val="-2"/>
          <w:kern w:val="0"/>
          <w:sz w:val="24"/>
        </w:rPr>
        <w:t xml:space="preserve">  </w:t>
      </w:r>
      <w:r>
        <w:rPr>
          <w:rFonts w:hint="eastAsia" w:eastAsia="方正仿宋_GBK"/>
          <w:color w:val="000000"/>
          <w:spacing w:val="-2"/>
          <w:kern w:val="0"/>
          <w:sz w:val="24"/>
        </w:rPr>
        <w:t>工程造价咨询企业从事工程造价咨询业务，应执行《江苏省工程造价咨询业务指导规程》，出具工程造价咨询成果文件。工程造价成果文件应当由工程造价咨询企业加盖有企业名称、资质等级及证书编号的执业印章。</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第二十四条</w:t>
      </w:r>
      <w:r>
        <w:rPr>
          <w:rFonts w:eastAsia="方正仿宋_GBK"/>
          <w:color w:val="000000"/>
          <w:spacing w:val="-2"/>
          <w:kern w:val="0"/>
          <w:sz w:val="24"/>
        </w:rPr>
        <w:t xml:space="preserve">  </w:t>
      </w:r>
      <w:r>
        <w:rPr>
          <w:rFonts w:hint="eastAsia" w:eastAsia="方正仿宋_GBK"/>
          <w:color w:val="000000"/>
          <w:spacing w:val="-2"/>
          <w:kern w:val="0"/>
          <w:sz w:val="24"/>
        </w:rPr>
        <w:t>工程造价咨询业绩实行网上报告制度。工程造价咨询企业应在出具造价咨询成果报告后</w:t>
      </w:r>
      <w:r>
        <w:rPr>
          <w:rFonts w:eastAsia="方正仿宋_GBK"/>
          <w:color w:val="000000"/>
          <w:spacing w:val="-2"/>
          <w:kern w:val="0"/>
          <w:sz w:val="24"/>
        </w:rPr>
        <w:t>40</w:t>
      </w:r>
      <w:r>
        <w:rPr>
          <w:rFonts w:hint="eastAsia" w:eastAsia="方正仿宋_GBK"/>
          <w:color w:val="000000"/>
          <w:spacing w:val="-2"/>
          <w:kern w:val="0"/>
          <w:sz w:val="24"/>
        </w:rPr>
        <w:t>日内，在</w:t>
      </w:r>
      <w:r>
        <w:rPr>
          <w:rFonts w:eastAsia="方正仿宋_GBK"/>
          <w:color w:val="000000"/>
          <w:spacing w:val="-2"/>
          <w:kern w:val="0"/>
          <w:sz w:val="24"/>
        </w:rPr>
        <w:t>“</w:t>
      </w:r>
      <w:r>
        <w:rPr>
          <w:rFonts w:hint="eastAsia" w:eastAsia="方正仿宋_GBK"/>
          <w:color w:val="000000"/>
          <w:spacing w:val="-2"/>
          <w:kern w:val="0"/>
          <w:sz w:val="24"/>
        </w:rPr>
        <w:t>江苏工程造价信息网</w:t>
      </w:r>
      <w:r>
        <w:rPr>
          <w:rFonts w:eastAsia="方正仿宋_GBK"/>
          <w:color w:val="000000"/>
          <w:spacing w:val="-2"/>
          <w:kern w:val="0"/>
          <w:sz w:val="24"/>
        </w:rPr>
        <w:t>”</w:t>
      </w:r>
      <w:r>
        <w:rPr>
          <w:rFonts w:hint="eastAsia" w:eastAsia="方正仿宋_GBK"/>
          <w:color w:val="000000"/>
          <w:spacing w:val="-2"/>
          <w:kern w:val="0"/>
          <w:sz w:val="24"/>
        </w:rPr>
        <w:t>咨询企业管理系统填报咨询成果主要信息。</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第二十五条　</w:t>
      </w:r>
      <w:r>
        <w:rPr>
          <w:rFonts w:hint="eastAsia" w:eastAsia="方正仿宋_GBK"/>
          <w:color w:val="000000"/>
          <w:spacing w:val="-2"/>
          <w:kern w:val="0"/>
          <w:sz w:val="24"/>
        </w:rPr>
        <w:t>省外工程造价咨询企业进入本省行政区域内承接工程造价咨询业务的，应当自承接业务之日起</w:t>
      </w:r>
      <w:r>
        <w:rPr>
          <w:rFonts w:eastAsia="方正仿宋_GBK"/>
          <w:color w:val="000000"/>
          <w:spacing w:val="-2"/>
          <w:kern w:val="0"/>
          <w:sz w:val="24"/>
        </w:rPr>
        <w:t>30</w:t>
      </w:r>
      <w:r>
        <w:rPr>
          <w:rFonts w:hint="eastAsia" w:eastAsia="方正仿宋_GBK"/>
          <w:color w:val="000000"/>
          <w:spacing w:val="-2"/>
          <w:kern w:val="0"/>
          <w:sz w:val="24"/>
        </w:rPr>
        <w:t>日内将下列材料的扫描件传输到建设工程所在地的建设行政主管部门办理单项业务告知性备案：</w:t>
      </w:r>
    </w:p>
    <w:p>
      <w:pPr>
        <w:spacing w:line="460" w:lineRule="exact"/>
        <w:ind w:left="120" w:firstLine="420"/>
        <w:rPr>
          <w:rFonts w:eastAsia="方正仿宋_GBK"/>
          <w:color w:val="000000"/>
          <w:spacing w:val="-2"/>
          <w:kern w:val="0"/>
          <w:sz w:val="24"/>
        </w:rPr>
      </w:pPr>
      <w:r>
        <w:rPr>
          <w:rFonts w:hint="eastAsia" w:eastAsia="方正仿宋_GBK"/>
          <w:color w:val="000000"/>
          <w:spacing w:val="-2"/>
          <w:kern w:val="0"/>
          <w:sz w:val="24"/>
        </w:rPr>
        <w:t>（一）《工程造价咨询企业跨地区承接业务单项业务备案表》扫描件；</w:t>
      </w:r>
    </w:p>
    <w:p>
      <w:pPr>
        <w:spacing w:line="460" w:lineRule="exact"/>
        <w:ind w:left="120" w:firstLine="420"/>
        <w:rPr>
          <w:rFonts w:eastAsia="方正仿宋_GBK"/>
          <w:color w:val="000000"/>
          <w:spacing w:val="-2"/>
          <w:kern w:val="0"/>
          <w:sz w:val="24"/>
        </w:rPr>
      </w:pPr>
      <w:r>
        <w:rPr>
          <w:rFonts w:hint="eastAsia" w:eastAsia="方正仿宋_GBK"/>
          <w:color w:val="000000"/>
          <w:spacing w:val="-2"/>
          <w:kern w:val="0"/>
          <w:sz w:val="24"/>
        </w:rPr>
        <w:t>（二）工程造价咨询企业资质证书扫描件；</w:t>
      </w:r>
    </w:p>
    <w:p>
      <w:pPr>
        <w:spacing w:line="460" w:lineRule="exact"/>
        <w:ind w:left="120" w:firstLine="420"/>
        <w:rPr>
          <w:rFonts w:eastAsia="方正仿宋_GBK"/>
          <w:color w:val="000000"/>
          <w:spacing w:val="-2"/>
          <w:kern w:val="0"/>
          <w:sz w:val="24"/>
        </w:rPr>
      </w:pPr>
      <w:r>
        <w:rPr>
          <w:rFonts w:hint="eastAsia" w:eastAsia="方正仿宋_GBK"/>
          <w:color w:val="000000"/>
          <w:spacing w:val="-2"/>
          <w:kern w:val="0"/>
          <w:sz w:val="24"/>
        </w:rPr>
        <w:t>（三）与委托方签订的工程造价咨询业务合同扫描件；</w:t>
      </w:r>
    </w:p>
    <w:p>
      <w:pPr>
        <w:spacing w:line="460" w:lineRule="exact"/>
        <w:ind w:left="120" w:firstLine="420"/>
        <w:rPr>
          <w:rFonts w:eastAsia="方正仿宋_GBK"/>
          <w:color w:val="000000"/>
          <w:spacing w:val="-2"/>
          <w:kern w:val="0"/>
          <w:sz w:val="24"/>
        </w:rPr>
      </w:pPr>
      <w:r>
        <w:rPr>
          <w:rFonts w:hint="eastAsia" w:eastAsia="方正仿宋_GBK"/>
          <w:color w:val="000000"/>
          <w:spacing w:val="-2"/>
          <w:kern w:val="0"/>
          <w:sz w:val="24"/>
        </w:rPr>
        <w:t>（四）在本省境内执业的造价工程师的注册证书扫描件。</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本省工程造价咨询企业在本省行政区域内跨设区的市承接工程造价咨询业务的，应当自承接业务之日起</w:t>
      </w:r>
      <w:r>
        <w:rPr>
          <w:rFonts w:eastAsia="方正仿宋_GBK"/>
          <w:color w:val="000000"/>
          <w:spacing w:val="-2"/>
          <w:kern w:val="0"/>
          <w:sz w:val="24"/>
        </w:rPr>
        <w:t>30</w:t>
      </w:r>
      <w:r>
        <w:rPr>
          <w:rFonts w:hint="eastAsia" w:eastAsia="方正仿宋_GBK"/>
          <w:color w:val="000000"/>
          <w:spacing w:val="-2"/>
          <w:kern w:val="0"/>
          <w:sz w:val="24"/>
        </w:rPr>
        <w:t>日内将上述材料扫描件传输到项目所在地的设区的市造价管理机构办理单项业务告知性备案。</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第二十六条</w:t>
      </w:r>
      <w:r>
        <w:rPr>
          <w:rFonts w:eastAsia="方正仿宋_GBK"/>
          <w:color w:val="000000"/>
          <w:spacing w:val="-2"/>
          <w:kern w:val="0"/>
          <w:sz w:val="24"/>
        </w:rPr>
        <w:t xml:space="preserve">  </w:t>
      </w:r>
      <w:r>
        <w:rPr>
          <w:rFonts w:hint="eastAsia" w:eastAsia="方正仿宋_GBK"/>
          <w:color w:val="000000"/>
          <w:spacing w:val="-2"/>
          <w:kern w:val="0"/>
          <w:sz w:val="24"/>
        </w:rPr>
        <w:t>省外（内）工程造价咨询企业设立分支机构的，应当自领取分支机构营业执照之日起</w:t>
      </w:r>
      <w:r>
        <w:rPr>
          <w:rFonts w:eastAsia="方正仿宋_GBK"/>
          <w:color w:val="000000"/>
          <w:spacing w:val="-2"/>
          <w:kern w:val="0"/>
          <w:sz w:val="24"/>
        </w:rPr>
        <w:t>30</w:t>
      </w:r>
      <w:r>
        <w:rPr>
          <w:rFonts w:hint="eastAsia" w:eastAsia="方正仿宋_GBK"/>
          <w:color w:val="000000"/>
          <w:spacing w:val="-2"/>
          <w:kern w:val="0"/>
          <w:sz w:val="24"/>
        </w:rPr>
        <w:t>日内，将下列资料的扫描件传输到分支机构工商注册所在地的建设行政主管部门办理告知性备案：</w:t>
      </w:r>
    </w:p>
    <w:p>
      <w:pPr>
        <w:spacing w:line="460" w:lineRule="exact"/>
        <w:ind w:firstLine="600"/>
        <w:rPr>
          <w:rFonts w:eastAsia="方正仿宋_GBK"/>
          <w:color w:val="000000"/>
          <w:spacing w:val="-2"/>
          <w:kern w:val="0"/>
          <w:sz w:val="24"/>
        </w:rPr>
      </w:pPr>
      <w:r>
        <w:rPr>
          <w:rFonts w:hint="eastAsia" w:eastAsia="方正仿宋_GBK"/>
          <w:color w:val="000000"/>
          <w:spacing w:val="-2"/>
          <w:kern w:val="0"/>
          <w:sz w:val="24"/>
        </w:rPr>
        <w:t>（一）《工程造价咨询企业设立分支机构备案表》扫描件；</w:t>
      </w:r>
    </w:p>
    <w:p>
      <w:pPr>
        <w:spacing w:line="460" w:lineRule="exact"/>
        <w:ind w:firstLine="600"/>
        <w:rPr>
          <w:rFonts w:eastAsia="方正仿宋_GBK"/>
          <w:color w:val="000000"/>
          <w:spacing w:val="-2"/>
          <w:kern w:val="0"/>
          <w:sz w:val="24"/>
        </w:rPr>
      </w:pPr>
      <w:r>
        <w:rPr>
          <w:rFonts w:hint="eastAsia" w:eastAsia="方正仿宋_GBK"/>
          <w:color w:val="000000"/>
          <w:spacing w:val="-2"/>
          <w:kern w:val="0"/>
          <w:sz w:val="24"/>
        </w:rPr>
        <w:t>（二）工程造价咨询企业和其设立的分支机构的营业执照扫描件；</w:t>
      </w:r>
    </w:p>
    <w:p>
      <w:pPr>
        <w:spacing w:line="460" w:lineRule="exact"/>
        <w:ind w:firstLine="600"/>
        <w:rPr>
          <w:rFonts w:eastAsia="方正仿宋_GBK"/>
          <w:color w:val="000000"/>
          <w:spacing w:val="-2"/>
          <w:kern w:val="0"/>
          <w:sz w:val="24"/>
        </w:rPr>
      </w:pPr>
      <w:r>
        <w:rPr>
          <w:rFonts w:hint="eastAsia" w:eastAsia="方正仿宋_GBK"/>
          <w:color w:val="000000"/>
          <w:spacing w:val="-2"/>
          <w:kern w:val="0"/>
          <w:sz w:val="24"/>
        </w:rPr>
        <w:t>（三）分支机构固定办公场所的租赁合同或产权证明扫描件。</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第二十七条</w:t>
      </w:r>
      <w:r>
        <w:rPr>
          <w:rFonts w:eastAsia="方正黑体_GBK"/>
          <w:color w:val="000000"/>
          <w:spacing w:val="-2"/>
          <w:kern w:val="0"/>
          <w:sz w:val="24"/>
        </w:rPr>
        <w:t xml:space="preserve"> </w:t>
      </w:r>
      <w:r>
        <w:rPr>
          <w:rFonts w:eastAsia="方正仿宋_GBK"/>
          <w:color w:val="000000"/>
          <w:spacing w:val="-2"/>
          <w:kern w:val="0"/>
          <w:sz w:val="24"/>
        </w:rPr>
        <w:t xml:space="preserve"> </w:t>
      </w:r>
      <w:r>
        <w:rPr>
          <w:rFonts w:hint="eastAsia" w:eastAsia="方正仿宋_GBK"/>
          <w:color w:val="000000"/>
          <w:spacing w:val="-2"/>
          <w:kern w:val="0"/>
          <w:sz w:val="24"/>
        </w:rPr>
        <w:t>分支机构常驻专职人员的人数应满足下列条件：</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（一）工程造价咨询企业设立的分支机构应具有从事工程造价专业工作的注册造价工程师不少于</w:t>
      </w:r>
      <w:r>
        <w:rPr>
          <w:rFonts w:eastAsia="方正仿宋_GBK"/>
          <w:color w:val="000000"/>
          <w:spacing w:val="-2"/>
          <w:kern w:val="0"/>
          <w:sz w:val="24"/>
        </w:rPr>
        <w:t>3</w:t>
      </w:r>
      <w:r>
        <w:rPr>
          <w:rFonts w:hint="eastAsia" w:eastAsia="方正仿宋_GBK"/>
          <w:color w:val="000000"/>
          <w:spacing w:val="-2"/>
          <w:kern w:val="0"/>
          <w:sz w:val="24"/>
        </w:rPr>
        <w:t>人。</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（二）分支机构专职人员的人事代理合同、聘用合同、交纳养老保险的凭证必须齐全；</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（三）在分支机构执业的专职人员应注册在分支机所在地，并不作为核定总公司资质的人数。</w:t>
      </w:r>
    </w:p>
    <w:p>
      <w:pPr>
        <w:spacing w:line="460" w:lineRule="exact"/>
        <w:ind w:firstLine="455" w:firstLineChars="196"/>
        <w:rPr>
          <w:rFonts w:eastAsia="方正仿宋_GBK"/>
          <w:color w:val="000000"/>
          <w:spacing w:val="-10"/>
          <w:kern w:val="0"/>
          <w:sz w:val="24"/>
        </w:rPr>
      </w:pPr>
      <w:r>
        <w:rPr>
          <w:rFonts w:hint="eastAsia" w:eastAsia="方正黑体_GBK"/>
          <w:color w:val="000000"/>
          <w:spacing w:val="-2"/>
          <w:kern w:val="0"/>
          <w:sz w:val="24"/>
        </w:rPr>
        <w:t>第二十八条　</w:t>
      </w:r>
      <w:r>
        <w:rPr>
          <w:rFonts w:hint="eastAsia" w:eastAsia="方正仿宋_GBK"/>
          <w:color w:val="000000"/>
          <w:spacing w:val="-10"/>
          <w:kern w:val="0"/>
          <w:sz w:val="24"/>
        </w:rPr>
        <w:t>分支机构从事工程造价咨询业务，应当由设立该分支机构的工程造价咨询企业负责承接工程造价咨询业务、订立工程造价咨询合同、出具工程造价成果文件。</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第二十九条</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分支机构及从业人员应接受所在地造价管理机构的监督管理。</w:t>
      </w:r>
    </w:p>
    <w:p>
      <w:pPr>
        <w:spacing w:line="460" w:lineRule="exact"/>
        <w:ind w:firstLine="464" w:firstLineChars="200"/>
        <w:rPr>
          <w:rFonts w:eastAsia="方正仿宋_GBK"/>
          <w:color w:val="000000"/>
          <w:spacing w:val="-2"/>
          <w:kern w:val="0"/>
          <w:sz w:val="24"/>
        </w:rPr>
      </w:pPr>
    </w:p>
    <w:p>
      <w:pPr>
        <w:spacing w:line="460" w:lineRule="exact"/>
        <w:jc w:val="center"/>
        <w:rPr>
          <w:rFonts w:eastAsia="方正黑体_GBK"/>
          <w:bCs/>
          <w:color w:val="000000"/>
          <w:spacing w:val="-2"/>
          <w:kern w:val="0"/>
          <w:sz w:val="24"/>
        </w:rPr>
      </w:pPr>
      <w:r>
        <w:rPr>
          <w:rFonts w:hint="eastAsia" w:eastAsia="方正黑体_GBK"/>
          <w:bCs/>
          <w:color w:val="000000"/>
          <w:spacing w:val="-2"/>
          <w:kern w:val="0"/>
          <w:sz w:val="24"/>
        </w:rPr>
        <w:t>第四章　监督管理</w:t>
      </w:r>
    </w:p>
    <w:p>
      <w:pPr>
        <w:spacing w:line="460" w:lineRule="exact"/>
        <w:ind w:firstLine="464" w:firstLineChars="200"/>
        <w:rPr>
          <w:rFonts w:eastAsia="方正仿宋_GBK"/>
          <w:b/>
          <w:color w:val="000000"/>
          <w:spacing w:val="-2"/>
          <w:kern w:val="0"/>
          <w:sz w:val="24"/>
        </w:rPr>
      </w:pP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第三十条</w:t>
      </w:r>
      <w:r>
        <w:rPr>
          <w:rFonts w:eastAsia="方正仿宋_GBK"/>
          <w:color w:val="000000"/>
          <w:spacing w:val="-2"/>
          <w:kern w:val="0"/>
          <w:sz w:val="24"/>
        </w:rPr>
        <w:t xml:space="preserve">  </w:t>
      </w:r>
      <w:r>
        <w:rPr>
          <w:rFonts w:hint="eastAsia" w:eastAsia="方正仿宋_GBK"/>
          <w:color w:val="000000"/>
          <w:spacing w:val="-2"/>
          <w:kern w:val="0"/>
          <w:sz w:val="24"/>
        </w:rPr>
        <w:t>工程造价咨询企业不得有下列行为：</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（一）涂改、倒卖、出租、出借资质证书，或者以其他形式非法转让资质证书；</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（二）超越资质等级业务范围承接工程造价咨询业务；</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（三）同时接受招标人和投标人或两个以上投标人对同一工程项目的工程造价咨询业务；</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（四）以商业贿赂、恶意压低收费等方式进行不正当竞争；</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（五）转包承接的工程造价咨询业务；</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（六）除法律、法规另有规定外，未经委托人书面同意，工程造价咨询企业不得对外提供工程造价咨询服务过程中获知的当事人的商业秘密和业务资料；</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（七）法律、法规禁止的其他行为。</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第三十一条</w:t>
      </w:r>
      <w:r>
        <w:rPr>
          <w:rFonts w:eastAsia="方正仿宋_GBK"/>
          <w:color w:val="000000"/>
          <w:spacing w:val="-2"/>
          <w:kern w:val="0"/>
          <w:sz w:val="24"/>
        </w:rPr>
        <w:t xml:space="preserve">  </w:t>
      </w:r>
      <w:r>
        <w:rPr>
          <w:rFonts w:hint="eastAsia" w:eastAsia="方正仿宋_GBK"/>
          <w:color w:val="000000"/>
          <w:spacing w:val="-2"/>
          <w:kern w:val="0"/>
          <w:sz w:val="24"/>
        </w:rPr>
        <w:t>县级以上地方人民政府住房和城乡建设行政主管部门应当依照有关法律、法规和本细则的规定，对工程造价咨询企业从事工程造价咨询业务的活动实施监督检查。</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监督检查可采取定期检查、受理社会各界的举报和投诉、不定期检查等方式进行。</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监督检查内容：</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（一）企业经营活动是否遵循独立、客观、公正、公平和诚实守信的原则；</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（二）企业的质量保证体系和咨询成果质量；</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（三）企业的执业行为、职业道德是否规范和符合行业指导规程；</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（四）企业咨询合同的规范性和履约情况，企业咨询项目的统计和备案情况；</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（五）工程造价咨询企业资质许可条件；</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（六）实施企业信用档案管理制度和不良行为公示制度；</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（七）咨询企业执业中是否存在违法违规行为。</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第三十二条　</w:t>
      </w:r>
      <w:r>
        <w:rPr>
          <w:rFonts w:hint="eastAsia" w:eastAsia="方正仿宋_GBK"/>
          <w:color w:val="000000"/>
          <w:spacing w:val="-2"/>
          <w:kern w:val="0"/>
          <w:sz w:val="24"/>
        </w:rPr>
        <w:t>监督检查机关履行监督检查职责时，有权采取下列措施：</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（一）要求被检查单位提供工程造价咨询企业资质证书、造价工程师注册证书，有关工程造价咨询业务的文档，有关技术档案管理制度、质量控制制度、财务管理制度的文件；</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（二）进入被检查单位进行检查，查阅工程造价咨询成果文件以及工程造价咨询合同等相关资料；</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（三）责成企业纠正违反有关法律、法规和本细则及执业规程规定的行为。</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第三十三条　</w:t>
      </w:r>
      <w:r>
        <w:rPr>
          <w:rFonts w:hint="eastAsia" w:eastAsia="方正仿宋_GBK"/>
          <w:color w:val="000000"/>
          <w:spacing w:val="-2"/>
          <w:kern w:val="0"/>
          <w:sz w:val="24"/>
        </w:rPr>
        <w:t>监督检查机关进行监督检查时，应当有两名以上监督检查人员参加，并出示执法证件，不得妨碍被检查单位的正常经营活动，不得索取或者收受财物、谋取其他利益。</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有关单位和个人对依法进行的监督检查应当协助与配合，不得拒绝或者阻挠。</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第三十四条　</w:t>
      </w:r>
      <w:r>
        <w:rPr>
          <w:rFonts w:hint="eastAsia" w:eastAsia="方正仿宋_GBK"/>
          <w:color w:val="000000"/>
          <w:spacing w:val="-2"/>
          <w:kern w:val="0"/>
          <w:sz w:val="24"/>
        </w:rPr>
        <w:t>有下列情形之一的，住建部或江苏省住建厅根据利害关系人的请求或者依据职权，可以撤销工程造价咨询企业资质：</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（一）工作人员滥用职权、玩忽职守作出准予工程造价咨询企业资质许可的；</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（二）超越法定职权作出准予工程造价咨询企业资质许可的；</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（三）违反法定程序作出准予工程造价咨询企业资质许可的；</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（四）对不具备行政许可条件的申请人作出准予工程造价咨询企业资质许可的；</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（五）工程造价咨询企业以欺骗、贿赂等不正当手段取得工程造价咨询企业资质的；</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（六）依法可以撤销工程造价咨询企业资质的其他情形。</w:t>
      </w:r>
      <w:r>
        <w:rPr>
          <w:rFonts w:eastAsia="方正仿宋_GBK"/>
          <w:color w:val="000000"/>
          <w:spacing w:val="-2"/>
          <w:kern w:val="0"/>
          <w:sz w:val="24"/>
        </w:rPr>
        <w:t xml:space="preserve"> </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第三十五条　</w:t>
      </w:r>
      <w:r>
        <w:rPr>
          <w:rFonts w:hint="eastAsia" w:eastAsia="方正仿宋_GBK"/>
          <w:color w:val="000000"/>
          <w:spacing w:val="-2"/>
          <w:kern w:val="0"/>
          <w:sz w:val="24"/>
        </w:rPr>
        <w:t>工程造价咨询企业取得工程造价咨询企业资质后，不再符合相应资质条件的，住建部或江苏省住建厅根据利害关系人的请求或者依据职权，可以责令其限期改正；逾期不改的，可以撤回其资质。</w:t>
      </w:r>
      <w:r>
        <w:rPr>
          <w:rFonts w:eastAsia="方正仿宋_GBK"/>
          <w:color w:val="000000"/>
          <w:spacing w:val="-2"/>
          <w:kern w:val="0"/>
          <w:sz w:val="24"/>
        </w:rPr>
        <w:t xml:space="preserve"> </w:t>
      </w:r>
    </w:p>
    <w:p>
      <w:pPr>
        <w:spacing w:line="460" w:lineRule="exact"/>
        <w:ind w:firstLine="455" w:firstLineChars="196"/>
        <w:rPr>
          <w:rFonts w:eastAsia="方正仿宋_GBK"/>
          <w:color w:val="000000"/>
          <w:spacing w:val="-2"/>
          <w:kern w:val="0"/>
          <w:sz w:val="24"/>
        </w:rPr>
      </w:pPr>
      <w:r>
        <w:rPr>
          <w:rFonts w:hint="eastAsia" w:eastAsia="方正黑体_GBK"/>
          <w:color w:val="000000"/>
          <w:spacing w:val="-2"/>
          <w:kern w:val="0"/>
          <w:sz w:val="24"/>
        </w:rPr>
        <w:t>第三十六条　</w:t>
      </w:r>
      <w:r>
        <w:rPr>
          <w:rFonts w:hint="eastAsia" w:eastAsia="方正仿宋_GBK"/>
          <w:color w:val="000000"/>
          <w:spacing w:val="-2"/>
          <w:kern w:val="0"/>
          <w:sz w:val="24"/>
        </w:rPr>
        <w:t>有下列情形之一的，住建部或江苏省住建厅应当依法注销工程造价咨询企业资质：</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（一）工程造价咨询企业资质有效期满，未申请延续的；</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（二）工程造价咨询企业资质被撤销、撤回的；</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（三）工程造价咨询企业依法终止的；</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（四）法律、法规规定的应当注销工程造价咨询企业资质的其他情形。</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第三十七条</w:t>
      </w:r>
      <w:r>
        <w:rPr>
          <w:rFonts w:eastAsia="方正仿宋_GBK"/>
          <w:color w:val="000000"/>
          <w:spacing w:val="-2"/>
          <w:kern w:val="0"/>
          <w:sz w:val="24"/>
        </w:rPr>
        <w:t xml:space="preserve">  </w:t>
      </w:r>
      <w:r>
        <w:rPr>
          <w:rFonts w:hint="eastAsia" w:eastAsia="方正仿宋_GBK"/>
          <w:color w:val="000000"/>
          <w:spacing w:val="-2"/>
          <w:kern w:val="0"/>
          <w:sz w:val="24"/>
        </w:rPr>
        <w:t>工程造价咨询企业实行信用档案管理制度。信用档案管理采用网上电子信用档案方式。工程造价咨询企业信用档案应当包括工程造价咨询企业的基本情况、业绩、优良记录、不良记录等内容。任何单位和个人有权查阅信用档案。</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咨询企业的优良记录包括：</w:t>
      </w:r>
    </w:p>
    <w:p>
      <w:pPr>
        <w:spacing w:line="460" w:lineRule="exact"/>
        <w:ind w:left="560"/>
        <w:rPr>
          <w:rFonts w:eastAsia="方正仿宋_GBK"/>
          <w:color w:val="000000"/>
          <w:spacing w:val="-2"/>
          <w:kern w:val="0"/>
          <w:sz w:val="24"/>
        </w:rPr>
      </w:pPr>
      <w:r>
        <w:rPr>
          <w:rFonts w:hint="eastAsia" w:eastAsia="方正仿宋_GBK"/>
          <w:color w:val="000000"/>
          <w:spacing w:val="-2"/>
          <w:kern w:val="0"/>
          <w:sz w:val="24"/>
        </w:rPr>
        <w:t>（一）获得市级以上有关管理部门的表彰和奖励；</w:t>
      </w:r>
    </w:p>
    <w:p>
      <w:pPr>
        <w:spacing w:line="460" w:lineRule="exact"/>
        <w:ind w:left="560"/>
        <w:rPr>
          <w:rFonts w:eastAsia="方正仿宋_GBK"/>
          <w:color w:val="000000"/>
          <w:spacing w:val="-2"/>
          <w:kern w:val="0"/>
          <w:sz w:val="24"/>
        </w:rPr>
      </w:pPr>
      <w:r>
        <w:rPr>
          <w:rFonts w:hint="eastAsia" w:eastAsia="方正仿宋_GBK"/>
          <w:color w:val="000000"/>
          <w:spacing w:val="-2"/>
          <w:kern w:val="0"/>
          <w:sz w:val="24"/>
        </w:rPr>
        <w:t>（二）咨询成果质量检查评为优良；</w:t>
      </w:r>
    </w:p>
    <w:p>
      <w:pPr>
        <w:spacing w:line="460" w:lineRule="exact"/>
        <w:ind w:left="560"/>
        <w:rPr>
          <w:rFonts w:eastAsia="方正仿宋_GBK"/>
          <w:color w:val="000000"/>
          <w:spacing w:val="-2"/>
          <w:kern w:val="0"/>
          <w:sz w:val="24"/>
        </w:rPr>
      </w:pPr>
      <w:r>
        <w:rPr>
          <w:rFonts w:hint="eastAsia" w:eastAsia="方正仿宋_GBK"/>
          <w:color w:val="000000"/>
          <w:spacing w:val="-2"/>
          <w:kern w:val="0"/>
          <w:sz w:val="24"/>
        </w:rPr>
        <w:t>（三）获奖的课题研究成果；</w:t>
      </w:r>
    </w:p>
    <w:p>
      <w:pPr>
        <w:spacing w:line="460" w:lineRule="exact"/>
        <w:ind w:left="560"/>
        <w:rPr>
          <w:rFonts w:eastAsia="方正仿宋_GBK"/>
          <w:color w:val="000000"/>
          <w:spacing w:val="-2"/>
          <w:kern w:val="0"/>
          <w:sz w:val="24"/>
        </w:rPr>
      </w:pPr>
      <w:r>
        <w:rPr>
          <w:rFonts w:hint="eastAsia" w:eastAsia="方正仿宋_GBK"/>
          <w:color w:val="000000"/>
          <w:spacing w:val="-2"/>
          <w:kern w:val="0"/>
          <w:sz w:val="24"/>
        </w:rPr>
        <w:t>（四）有权部门认定的其他优良业绩。</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咨询企业的不良记录包括：</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（一）本细则第三十条规定的禁止行为；</w:t>
      </w:r>
    </w:p>
    <w:p>
      <w:pPr>
        <w:spacing w:line="460" w:lineRule="exact"/>
        <w:ind w:left="-12" w:leftChars="-6" w:firstLine="464" w:firstLineChars="200"/>
        <w:rPr>
          <w:rFonts w:eastAsia="方正仿宋_GBK"/>
          <w:color w:val="000000"/>
          <w:spacing w:val="-6"/>
          <w:kern w:val="0"/>
          <w:sz w:val="24"/>
        </w:rPr>
      </w:pPr>
      <w:r>
        <w:rPr>
          <w:rFonts w:hint="eastAsia" w:eastAsia="方正仿宋_GBK"/>
          <w:color w:val="000000"/>
          <w:spacing w:val="-2"/>
          <w:kern w:val="0"/>
          <w:sz w:val="24"/>
        </w:rPr>
        <w:t>（二）</w:t>
      </w:r>
      <w:r>
        <w:rPr>
          <w:rFonts w:hint="eastAsia" w:eastAsia="方正仿宋_GBK"/>
          <w:color w:val="000000"/>
          <w:spacing w:val="-6"/>
          <w:kern w:val="0"/>
          <w:sz w:val="24"/>
        </w:rPr>
        <w:t>省内外工程造价咨询单位设立分支机构和跨地区经营，未按规定办理备案的；</w:t>
      </w:r>
    </w:p>
    <w:p>
      <w:pPr>
        <w:spacing w:line="460" w:lineRule="exact"/>
        <w:ind w:left="-12" w:leftChars="-6" w:firstLine="464" w:firstLineChars="200"/>
        <w:rPr>
          <w:rFonts w:eastAsia="方正仿宋_GBK"/>
          <w:color w:val="000000"/>
          <w:spacing w:val="-2"/>
          <w:kern w:val="0"/>
          <w:sz w:val="24"/>
        </w:rPr>
      </w:pPr>
      <w:r>
        <w:rPr>
          <w:rFonts w:hint="eastAsia" w:eastAsia="方正仿宋_GBK"/>
          <w:color w:val="000000"/>
          <w:spacing w:val="-2"/>
          <w:kern w:val="0"/>
          <w:sz w:val="24"/>
        </w:rPr>
        <w:t>（三）违背</w:t>
      </w:r>
      <w:r>
        <w:rPr>
          <w:rFonts w:eastAsia="方正仿宋_GBK"/>
          <w:color w:val="000000"/>
          <w:spacing w:val="-2"/>
          <w:kern w:val="0"/>
          <w:sz w:val="24"/>
        </w:rPr>
        <w:t>“</w:t>
      </w:r>
      <w:r>
        <w:rPr>
          <w:rFonts w:hint="eastAsia" w:eastAsia="方正仿宋_GBK"/>
          <w:color w:val="000000"/>
          <w:spacing w:val="-2"/>
          <w:kern w:val="0"/>
          <w:sz w:val="24"/>
        </w:rPr>
        <w:t>独立、客观、公正</w:t>
      </w:r>
      <w:r>
        <w:rPr>
          <w:rFonts w:eastAsia="方正仿宋_GBK"/>
          <w:color w:val="000000"/>
          <w:spacing w:val="-2"/>
          <w:kern w:val="0"/>
          <w:sz w:val="24"/>
        </w:rPr>
        <w:t>”</w:t>
      </w:r>
      <w:r>
        <w:rPr>
          <w:rFonts w:hint="eastAsia" w:eastAsia="方正仿宋_GBK"/>
          <w:color w:val="000000"/>
          <w:spacing w:val="-2"/>
          <w:kern w:val="0"/>
          <w:sz w:val="24"/>
        </w:rPr>
        <w:t>的原则，出具虚假造价文件，或与建设项目市场主体任何一方串通作弊，故意抬高或压低工程造价；</w:t>
      </w:r>
    </w:p>
    <w:p>
      <w:pPr>
        <w:spacing w:line="460" w:lineRule="exact"/>
        <w:ind w:left="123" w:leftChars="60" w:firstLine="348" w:firstLineChars="150"/>
        <w:rPr>
          <w:rFonts w:eastAsia="方正仿宋_GBK"/>
          <w:color w:val="000000"/>
          <w:spacing w:val="-2"/>
          <w:kern w:val="0"/>
          <w:sz w:val="24"/>
        </w:rPr>
      </w:pPr>
      <w:r>
        <w:rPr>
          <w:rFonts w:hint="eastAsia" w:eastAsia="方正仿宋_GBK"/>
          <w:color w:val="000000"/>
          <w:spacing w:val="-2"/>
          <w:kern w:val="0"/>
          <w:sz w:val="24"/>
        </w:rPr>
        <w:t>（四）成果文件无注册造价师签名盖章的，无咨询企业执业印章的；</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（五）故意泄露当事人商业秘密和技术秘密的；</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（六）由于咨询企业行为过错给当事人造成重大经济损失的；</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（七）拒绝接受造价管理机构的监督检查及提供反映活动情况真实材料的；</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（八）法律、法规、规章规定的其他违法违规行为。</w:t>
      </w:r>
    </w:p>
    <w:p>
      <w:pPr>
        <w:spacing w:line="460" w:lineRule="exact"/>
        <w:ind w:firstLine="464" w:firstLineChars="200"/>
        <w:rPr>
          <w:rFonts w:eastAsia="方正仿宋_GBK"/>
          <w:color w:val="000000"/>
          <w:spacing w:val="-2"/>
          <w:kern w:val="0"/>
          <w:sz w:val="24"/>
        </w:rPr>
      </w:pPr>
    </w:p>
    <w:p>
      <w:pPr>
        <w:spacing w:line="460" w:lineRule="exact"/>
        <w:jc w:val="center"/>
        <w:rPr>
          <w:rFonts w:eastAsia="方正黑体_GBK"/>
          <w:bCs/>
          <w:color w:val="000000"/>
          <w:spacing w:val="-2"/>
          <w:kern w:val="0"/>
          <w:sz w:val="24"/>
        </w:rPr>
      </w:pPr>
      <w:r>
        <w:rPr>
          <w:rFonts w:hint="eastAsia" w:eastAsia="方正黑体_GBK"/>
          <w:bCs/>
          <w:color w:val="000000"/>
          <w:spacing w:val="-2"/>
          <w:kern w:val="0"/>
          <w:sz w:val="24"/>
        </w:rPr>
        <w:t>第五章　附则</w:t>
      </w:r>
    </w:p>
    <w:p>
      <w:pPr>
        <w:spacing w:line="460" w:lineRule="exact"/>
        <w:rPr>
          <w:rFonts w:eastAsia="方正仿宋_GBK"/>
          <w:b/>
          <w:color w:val="000000"/>
          <w:spacing w:val="-2"/>
          <w:kern w:val="0"/>
          <w:sz w:val="24"/>
        </w:rPr>
      </w:pPr>
      <w:r>
        <w:rPr>
          <w:rFonts w:eastAsia="方正仿宋_GBK"/>
          <w:b/>
          <w:bCs/>
          <w:color w:val="000000"/>
          <w:spacing w:val="-2"/>
          <w:kern w:val="0"/>
          <w:sz w:val="24"/>
        </w:rPr>
        <w:t xml:space="preserve">   </w:t>
      </w:r>
      <w:r>
        <w:rPr>
          <w:rFonts w:eastAsia="方正仿宋_GBK"/>
          <w:b/>
          <w:color w:val="000000"/>
          <w:spacing w:val="-2"/>
          <w:kern w:val="0"/>
          <w:sz w:val="24"/>
        </w:rPr>
        <w:t xml:space="preserve"> </w:t>
      </w:r>
    </w:p>
    <w:p>
      <w:pPr>
        <w:spacing w:line="460" w:lineRule="exact"/>
        <w:ind w:firstLine="455" w:firstLineChars="196"/>
        <w:rPr>
          <w:rFonts w:eastAsia="方正仿宋_GBK"/>
          <w:b/>
          <w:bCs/>
          <w:color w:val="000000"/>
          <w:spacing w:val="-2"/>
          <w:kern w:val="0"/>
          <w:sz w:val="24"/>
        </w:rPr>
      </w:pPr>
      <w:r>
        <w:rPr>
          <w:rFonts w:hint="eastAsia" w:eastAsia="方正黑体_GBK"/>
          <w:color w:val="000000"/>
          <w:spacing w:val="-2"/>
          <w:kern w:val="0"/>
          <w:sz w:val="24"/>
        </w:rPr>
        <w:t>第三十八条</w:t>
      </w:r>
      <w:r>
        <w:rPr>
          <w:rFonts w:eastAsia="方正仿宋_GBK"/>
          <w:color w:val="000000"/>
          <w:spacing w:val="-2"/>
          <w:kern w:val="0"/>
          <w:sz w:val="24"/>
        </w:rPr>
        <w:t xml:space="preserve">  </w:t>
      </w:r>
      <w:r>
        <w:rPr>
          <w:rFonts w:hint="eastAsia" w:eastAsia="方正仿宋_GBK"/>
          <w:color w:val="000000"/>
          <w:spacing w:val="-2"/>
          <w:kern w:val="0"/>
          <w:sz w:val="24"/>
        </w:rPr>
        <w:t>在工程造价咨询企业资质申报、工程造价咨询企业经营活动和对工程造价咨询企业监督管理过程中，工程造价咨询企业资质申请人、工程造价咨询企业、住房和城乡建设行政主管部门、及相关工作人员违反本细则的相关规定，依据住建部《工程造价咨询企业管理办法》（</w:t>
      </w:r>
      <w:r>
        <w:rPr>
          <w:rFonts w:eastAsia="方正仿宋_GBK"/>
          <w:color w:val="000000"/>
          <w:spacing w:val="-2"/>
          <w:kern w:val="0"/>
          <w:sz w:val="24"/>
        </w:rPr>
        <w:t>149</w:t>
      </w:r>
      <w:r>
        <w:rPr>
          <w:rFonts w:hint="eastAsia" w:eastAsia="方正仿宋_GBK"/>
          <w:color w:val="000000"/>
          <w:spacing w:val="-2"/>
          <w:kern w:val="0"/>
          <w:sz w:val="24"/>
        </w:rPr>
        <w:t>号部令）的相关罚则进行处罚。</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第三十九条</w:t>
      </w:r>
      <w:r>
        <w:rPr>
          <w:rFonts w:hint="eastAsia" w:eastAsia="方正仿宋_GBK"/>
          <w:color w:val="000000"/>
          <w:spacing w:val="-2"/>
          <w:kern w:val="0"/>
          <w:sz w:val="24"/>
        </w:rPr>
        <w:t>　本细则自</w:t>
      </w:r>
      <w:r>
        <w:rPr>
          <w:rFonts w:eastAsia="方正仿宋_GBK"/>
          <w:color w:val="000000"/>
          <w:spacing w:val="-2"/>
          <w:kern w:val="0"/>
          <w:sz w:val="24"/>
        </w:rPr>
        <w:t>2007</w:t>
      </w:r>
      <w:r>
        <w:rPr>
          <w:rFonts w:hint="eastAsia" w:eastAsia="方正仿宋_GBK"/>
          <w:color w:val="000000"/>
          <w:spacing w:val="-2"/>
          <w:kern w:val="0"/>
          <w:sz w:val="24"/>
        </w:rPr>
        <w:t>年</w:t>
      </w:r>
      <w:r>
        <w:rPr>
          <w:rFonts w:eastAsia="方正仿宋_GBK"/>
          <w:color w:val="000000"/>
          <w:spacing w:val="-2"/>
          <w:kern w:val="0"/>
          <w:sz w:val="24"/>
        </w:rPr>
        <w:t>1</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日起施行。本细则施行前我省制定的有关工程造价咨询管理的规定与本细则不符的，以本细则为准。</w:t>
      </w:r>
    </w:p>
    <w:p>
      <w:pPr>
        <w:spacing w:line="460" w:lineRule="exact"/>
        <w:ind w:firstLine="464" w:firstLineChars="200"/>
        <w:rPr>
          <w:rFonts w:eastAsia="方正仿宋_GBK"/>
          <w:color w:val="000000"/>
          <w:spacing w:val="-2"/>
          <w:kern w:val="0"/>
          <w:sz w:val="24"/>
        </w:rPr>
      </w:pPr>
      <w:r>
        <w:rPr>
          <w:rFonts w:hint="eastAsia" w:eastAsia="方正黑体_GBK"/>
          <w:color w:val="000000"/>
          <w:spacing w:val="-2"/>
          <w:kern w:val="0"/>
          <w:sz w:val="24"/>
        </w:rPr>
        <w:t>第四十条</w:t>
      </w:r>
      <w:r>
        <w:rPr>
          <w:rFonts w:eastAsia="方正黑体_GBK"/>
          <w:color w:val="000000"/>
          <w:spacing w:val="-2"/>
          <w:kern w:val="0"/>
          <w:sz w:val="24"/>
        </w:rPr>
        <w:t xml:space="preserve"> </w:t>
      </w:r>
      <w:r>
        <w:rPr>
          <w:rFonts w:eastAsia="方正仿宋_GBK"/>
          <w:color w:val="000000"/>
          <w:spacing w:val="-2"/>
          <w:kern w:val="0"/>
          <w:sz w:val="24"/>
        </w:rPr>
        <w:t xml:space="preserve"> </w:t>
      </w:r>
      <w:r>
        <w:rPr>
          <w:rFonts w:hint="eastAsia" w:eastAsia="方正仿宋_GBK"/>
          <w:color w:val="000000"/>
          <w:spacing w:val="-2"/>
          <w:kern w:val="0"/>
          <w:sz w:val="24"/>
        </w:rPr>
        <w:t>本细则由江苏省住建厅负责解释。</w:t>
      </w:r>
    </w:p>
    <w:p>
      <w:pPr>
        <w:pStyle w:val="2"/>
        <w:spacing w:before="590" w:beforeLines="100" w:after="590" w:afterLines="100" w:line="240" w:lineRule="auto"/>
        <w:jc w:val="center"/>
        <w:rPr>
          <w:rFonts w:ascii="Times New Roman" w:eastAsia="方正小标宋_GBK"/>
          <w:b w:val="0"/>
          <w:sz w:val="36"/>
          <w:szCs w:val="36"/>
        </w:rPr>
      </w:pPr>
      <w:r>
        <w:rPr>
          <w:b w:val="0"/>
          <w:color w:val="000000"/>
          <w:kern w:val="0"/>
          <w:szCs w:val="21"/>
        </w:rPr>
        <w:br w:type="page"/>
      </w:r>
      <w:bookmarkStart w:id="657" w:name="_Toc20726680"/>
      <w:bookmarkStart w:id="658" w:name="_Toc18315817"/>
      <w:r>
        <w:rPr>
          <w:rFonts w:hint="eastAsia" w:ascii="Times New Roman" w:eastAsia="方正小标宋_GBK"/>
          <w:b w:val="0"/>
          <w:sz w:val="36"/>
          <w:szCs w:val="36"/>
        </w:rPr>
        <w:t>关于贯彻实施《江苏省仿古建筑与园林工程计价表》   的通知</w:t>
      </w:r>
      <w:bookmarkEnd w:id="657"/>
      <w:bookmarkEnd w:id="658"/>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659" w:name="_Toc18315818"/>
      <w:bookmarkStart w:id="660" w:name="_Toc20726681"/>
      <w:r>
        <w:rPr>
          <w:rFonts w:hint="eastAsia" w:ascii="Times New Roman" w:hAnsi="Times New Roman" w:eastAsia="方正楷体_GBK"/>
          <w:b w:val="0"/>
          <w:sz w:val="24"/>
          <w:szCs w:val="24"/>
        </w:rPr>
        <w:t>苏建价〔</w:t>
      </w:r>
      <w:r>
        <w:rPr>
          <w:rFonts w:ascii="Times New Roman" w:hAnsi="Times New Roman" w:eastAsia="方正楷体_GBK"/>
          <w:b w:val="0"/>
          <w:sz w:val="24"/>
          <w:szCs w:val="24"/>
        </w:rPr>
        <w:t>2007</w:t>
      </w:r>
      <w:r>
        <w:rPr>
          <w:rFonts w:hint="eastAsia" w:ascii="Times New Roman" w:hAnsi="Times New Roman" w:eastAsia="方正楷体_GBK"/>
          <w:b w:val="0"/>
          <w:sz w:val="24"/>
          <w:szCs w:val="24"/>
        </w:rPr>
        <w:t>〕</w:t>
      </w:r>
      <w:r>
        <w:rPr>
          <w:rFonts w:ascii="Times New Roman" w:hAnsi="Times New Roman" w:eastAsia="方正楷体_GBK"/>
          <w:b w:val="0"/>
          <w:sz w:val="24"/>
          <w:szCs w:val="24"/>
        </w:rPr>
        <w:t>355</w:t>
      </w:r>
      <w:r>
        <w:rPr>
          <w:rFonts w:hint="eastAsia" w:ascii="Times New Roman" w:hAnsi="Times New Roman" w:eastAsia="方正楷体_GBK"/>
          <w:b w:val="0"/>
          <w:sz w:val="24"/>
          <w:szCs w:val="24"/>
        </w:rPr>
        <w:t>号</w:t>
      </w:r>
      <w:bookmarkEnd w:id="659"/>
      <w:bookmarkEnd w:id="660"/>
    </w:p>
    <w:p>
      <w:pPr>
        <w:spacing w:line="460" w:lineRule="exact"/>
        <w:rPr>
          <w:rFonts w:eastAsia="方正仿宋_GBK"/>
          <w:color w:val="000000"/>
          <w:spacing w:val="-2"/>
          <w:kern w:val="0"/>
          <w:sz w:val="24"/>
        </w:rPr>
      </w:pPr>
      <w:r>
        <w:rPr>
          <w:rFonts w:hint="eastAsia" w:eastAsia="方正仿宋_GBK"/>
          <w:color w:val="000000"/>
          <w:spacing w:val="-2"/>
          <w:kern w:val="0"/>
          <w:sz w:val="24"/>
        </w:rPr>
        <w:t>各市建设局（建委）：</w:t>
      </w:r>
    </w:p>
    <w:p>
      <w:pPr>
        <w:spacing w:line="460" w:lineRule="exact"/>
        <w:ind w:firstLine="440" w:firstLineChars="200"/>
        <w:rPr>
          <w:rFonts w:eastAsia="方正仿宋_GBK"/>
          <w:color w:val="000000"/>
          <w:spacing w:val="-8"/>
          <w:kern w:val="0"/>
          <w:sz w:val="24"/>
        </w:rPr>
      </w:pPr>
      <w:r>
        <w:rPr>
          <w:rFonts w:hint="eastAsia" w:eastAsia="方正仿宋_GBK"/>
          <w:color w:val="000000"/>
          <w:spacing w:val="-8"/>
          <w:kern w:val="0"/>
          <w:sz w:val="24"/>
        </w:rPr>
        <w:t>我厅已颁发了《江苏省仿古建筑与园林工程计价表（</w:t>
      </w:r>
      <w:r>
        <w:rPr>
          <w:rFonts w:eastAsia="方正仿宋_GBK"/>
          <w:color w:val="000000"/>
          <w:spacing w:val="-8"/>
          <w:kern w:val="0"/>
          <w:sz w:val="24"/>
        </w:rPr>
        <w:t>2007</w:t>
      </w:r>
      <w:r>
        <w:rPr>
          <w:rFonts w:hint="eastAsia" w:eastAsia="方正仿宋_GBK"/>
          <w:color w:val="000000"/>
          <w:spacing w:val="-8"/>
          <w:kern w:val="0"/>
          <w:sz w:val="24"/>
        </w:rPr>
        <w:t>年版）》（苏建价〔</w:t>
      </w:r>
      <w:r>
        <w:rPr>
          <w:rFonts w:eastAsia="方正仿宋_GBK"/>
          <w:color w:val="000000"/>
          <w:spacing w:val="-8"/>
          <w:kern w:val="0"/>
          <w:sz w:val="24"/>
        </w:rPr>
        <w:t>2007</w:t>
      </w:r>
      <w:r>
        <w:rPr>
          <w:rFonts w:hint="eastAsia" w:eastAsia="方正仿宋_GBK"/>
          <w:color w:val="000000"/>
          <w:spacing w:val="-8"/>
          <w:kern w:val="0"/>
          <w:sz w:val="24"/>
        </w:rPr>
        <w:t>〕</w:t>
      </w:r>
      <w:r>
        <w:rPr>
          <w:rFonts w:eastAsia="方正仿宋_GBK"/>
          <w:color w:val="000000"/>
          <w:spacing w:val="-8"/>
          <w:kern w:val="0"/>
          <w:sz w:val="24"/>
        </w:rPr>
        <w:t>247</w:t>
      </w:r>
      <w:r>
        <w:rPr>
          <w:rFonts w:hint="eastAsia" w:eastAsia="方正仿宋_GBK"/>
          <w:color w:val="000000"/>
          <w:spacing w:val="-8"/>
          <w:kern w:val="0"/>
          <w:sz w:val="24"/>
        </w:rPr>
        <w:t>号）。为推动该计价表在全省顺利贯彻实施，现将有关事项通知如下，请遵照执行。</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一、本计价表于</w:t>
      </w:r>
      <w:r>
        <w:rPr>
          <w:rFonts w:eastAsia="方正仿宋_GBK"/>
          <w:color w:val="000000"/>
          <w:spacing w:val="-2"/>
          <w:kern w:val="0"/>
          <w:sz w:val="24"/>
        </w:rPr>
        <w:t>2007</w:t>
      </w:r>
      <w:r>
        <w:rPr>
          <w:rFonts w:hint="eastAsia" w:eastAsia="方正仿宋_GBK"/>
          <w:color w:val="000000"/>
          <w:spacing w:val="-2"/>
          <w:kern w:val="0"/>
          <w:sz w:val="24"/>
        </w:rPr>
        <w:t>年</w:t>
      </w:r>
      <w:r>
        <w:rPr>
          <w:rFonts w:eastAsia="方正仿宋_GBK"/>
          <w:color w:val="000000"/>
          <w:spacing w:val="-2"/>
          <w:kern w:val="0"/>
          <w:sz w:val="24"/>
        </w:rPr>
        <w:t>12</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日开始实施。</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二、本计价表适用于我省行政区域范围内新建、扩建的仿古建筑及园林工程，同时也适用于市政工程中的景观绿化工程。</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三、施工费用计取规则按照《江苏省仿古建筑与园林工程计价表》上卷卷首</w:t>
      </w:r>
      <w:r>
        <w:rPr>
          <w:rFonts w:eastAsia="方正仿宋_GBK"/>
          <w:color w:val="000000"/>
          <w:spacing w:val="-2"/>
          <w:kern w:val="0"/>
          <w:sz w:val="24"/>
        </w:rPr>
        <w:t>“</w:t>
      </w:r>
      <w:r>
        <w:rPr>
          <w:rFonts w:hint="eastAsia" w:eastAsia="方正仿宋_GBK"/>
          <w:color w:val="000000"/>
          <w:spacing w:val="-2"/>
          <w:kern w:val="0"/>
          <w:sz w:val="24"/>
        </w:rPr>
        <w:t>江苏省仿古建筑与园林工程费用计算规则</w:t>
      </w:r>
      <w:r>
        <w:rPr>
          <w:rFonts w:eastAsia="方正仿宋_GBK"/>
          <w:color w:val="000000"/>
          <w:spacing w:val="-2"/>
          <w:kern w:val="0"/>
          <w:sz w:val="24"/>
        </w:rPr>
        <w:t>”</w:t>
      </w:r>
      <w:r>
        <w:rPr>
          <w:rFonts w:hint="eastAsia" w:eastAsia="方正仿宋_GBK"/>
          <w:color w:val="000000"/>
          <w:spacing w:val="-2"/>
          <w:kern w:val="0"/>
          <w:sz w:val="24"/>
        </w:rPr>
        <w:t>执行。</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四、仿古建筑与园林工程不实行行业劳保统筹。</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五、各市在执行过程中，如有问题和意见，请及时联系省住建厅建设工程造价管理总站。</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xml:space="preserve"> </w:t>
      </w:r>
    </w:p>
    <w:p>
      <w:pPr>
        <w:spacing w:line="460" w:lineRule="exact"/>
        <w:ind w:firstLine="6728" w:firstLineChars="2900"/>
        <w:rPr>
          <w:rFonts w:eastAsia="方正仿宋_GBK"/>
          <w:color w:val="000000"/>
          <w:spacing w:val="-2"/>
          <w:sz w:val="24"/>
        </w:rPr>
      </w:pPr>
      <w:r>
        <w:rPr>
          <w:rFonts w:hint="eastAsia" w:eastAsia="方正仿宋_GBK"/>
          <w:color w:val="000000"/>
          <w:spacing w:val="-2"/>
          <w:sz w:val="24"/>
        </w:rPr>
        <w:t>江苏省住建厅</w:t>
      </w:r>
    </w:p>
    <w:p>
      <w:pPr>
        <w:spacing w:line="460" w:lineRule="exact"/>
        <w:ind w:firstLine="464" w:firstLineChars="200"/>
        <w:jc w:val="right"/>
        <w:rPr>
          <w:rFonts w:eastAsia="方正仿宋_GBK"/>
          <w:color w:val="000000"/>
          <w:spacing w:val="-2"/>
          <w:kern w:val="0"/>
          <w:sz w:val="24"/>
        </w:rPr>
      </w:pPr>
      <w:r>
        <w:rPr>
          <w:rFonts w:hint="eastAsia" w:eastAsia="方正仿宋_GBK"/>
          <w:color w:val="000000"/>
          <w:spacing w:val="-2"/>
          <w:kern w:val="0"/>
          <w:sz w:val="24"/>
        </w:rPr>
        <w:t>二</w:t>
      </w:r>
      <w:r>
        <w:rPr>
          <w:rFonts w:hint="eastAsia" w:ascii="Times New Roman" w:hAnsi="Times New Roman"/>
          <w:bCs/>
          <w:snapToGrid w:val="0"/>
          <w:color w:val="000000"/>
          <w:spacing w:val="-2"/>
          <w:kern w:val="0"/>
          <w:sz w:val="24"/>
        </w:rPr>
        <w:t>○○</w:t>
      </w:r>
      <w:r>
        <w:rPr>
          <w:rFonts w:hint="eastAsia" w:eastAsia="方正仿宋_GBK"/>
          <w:color w:val="000000"/>
          <w:spacing w:val="-2"/>
          <w:kern w:val="0"/>
          <w:sz w:val="24"/>
        </w:rPr>
        <w:t>七年十一月二日</w:t>
      </w:r>
      <w:r>
        <w:rPr>
          <w:rFonts w:eastAsia="方正仿宋_GBK"/>
          <w:color w:val="000000"/>
          <w:spacing w:val="-2"/>
          <w:kern w:val="0"/>
          <w:sz w:val="24"/>
        </w:rPr>
        <w:t xml:space="preserve">    </w:t>
      </w:r>
    </w:p>
    <w:p>
      <w:pPr>
        <w:shd w:val="clear" w:color="auto" w:fill="FFFFFF"/>
        <w:spacing w:line="440" w:lineRule="atLeast"/>
        <w:jc w:val="left"/>
        <w:rPr>
          <w:rFonts w:eastAsia="方正仿宋_GBK"/>
          <w:color w:val="000000"/>
          <w:spacing w:val="-2"/>
          <w:sz w:val="24"/>
        </w:rPr>
      </w:pPr>
    </w:p>
    <w:p>
      <w:pPr>
        <w:shd w:val="clear" w:color="auto" w:fill="FFFFFF"/>
        <w:spacing w:line="440" w:lineRule="atLeast"/>
        <w:jc w:val="left"/>
        <w:rPr>
          <w:color w:val="000000"/>
          <w:kern w:val="0"/>
          <w:szCs w:val="21"/>
        </w:rPr>
      </w:pPr>
    </w:p>
    <w:p/>
    <w:p/>
    <w:p/>
    <w:p/>
    <w:p/>
    <w:p/>
    <w:p/>
    <w:p/>
    <w:p/>
    <w:p/>
    <w:p>
      <w:pPr>
        <w:pStyle w:val="2"/>
        <w:spacing w:before="590" w:beforeLines="100" w:after="590" w:afterLines="100" w:line="240" w:lineRule="auto"/>
        <w:jc w:val="center"/>
        <w:rPr>
          <w:rFonts w:ascii="Times New Roman" w:eastAsia="方正小标宋_GBK"/>
          <w:b w:val="0"/>
          <w:sz w:val="36"/>
          <w:szCs w:val="36"/>
        </w:rPr>
      </w:pPr>
      <w:bookmarkStart w:id="661" w:name="_Toc20726682"/>
      <w:bookmarkStart w:id="662" w:name="_Toc18315819"/>
      <w:r>
        <w:rPr>
          <w:rFonts w:hint="eastAsia" w:ascii="Times New Roman" w:eastAsia="方正小标宋_GBK"/>
          <w:b w:val="0"/>
          <w:sz w:val="36"/>
          <w:szCs w:val="36"/>
        </w:rPr>
        <w:t>省住房和城乡建设厅关于对建设工程关于加强       建筑材料价格风险控制的指导意见</w:t>
      </w:r>
      <w:bookmarkEnd w:id="661"/>
      <w:bookmarkEnd w:id="662"/>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663" w:name="_Toc18315820"/>
      <w:bookmarkStart w:id="664" w:name="_Toc20726683"/>
      <w:r>
        <w:rPr>
          <w:rFonts w:hint="eastAsia" w:ascii="Times New Roman" w:hAnsi="Times New Roman" w:eastAsia="方正楷体_GBK"/>
          <w:b w:val="0"/>
          <w:sz w:val="24"/>
          <w:szCs w:val="24"/>
        </w:rPr>
        <w:t>苏建价〔</w:t>
      </w:r>
      <w:r>
        <w:rPr>
          <w:rFonts w:ascii="Times New Roman" w:hAnsi="Times New Roman" w:eastAsia="方正楷体_GBK"/>
          <w:b w:val="0"/>
          <w:sz w:val="24"/>
          <w:szCs w:val="24"/>
        </w:rPr>
        <w:t>2008</w:t>
      </w:r>
      <w:r>
        <w:rPr>
          <w:rFonts w:hint="eastAsia" w:ascii="Times New Roman" w:hAnsi="Times New Roman" w:eastAsia="方正楷体_GBK"/>
          <w:b w:val="0"/>
          <w:sz w:val="24"/>
          <w:szCs w:val="24"/>
        </w:rPr>
        <w:t>〕</w:t>
      </w:r>
      <w:r>
        <w:rPr>
          <w:rFonts w:ascii="Times New Roman" w:hAnsi="Times New Roman" w:eastAsia="方正楷体_GBK"/>
          <w:b w:val="0"/>
          <w:sz w:val="24"/>
          <w:szCs w:val="24"/>
        </w:rPr>
        <w:t>67</w:t>
      </w:r>
      <w:r>
        <w:rPr>
          <w:rFonts w:hint="eastAsia" w:ascii="Times New Roman" w:hAnsi="Times New Roman" w:eastAsia="方正楷体_GBK"/>
          <w:b w:val="0"/>
          <w:sz w:val="24"/>
          <w:szCs w:val="24"/>
        </w:rPr>
        <w:t>号</w:t>
      </w:r>
      <w:bookmarkEnd w:id="663"/>
      <w:bookmarkEnd w:id="664"/>
    </w:p>
    <w:p>
      <w:pPr>
        <w:snapToGrid w:val="0"/>
        <w:spacing w:line="460" w:lineRule="exact"/>
        <w:ind w:right="-150" w:rightChars="-73"/>
        <w:rPr>
          <w:rFonts w:eastAsia="方正仿宋_GBK"/>
          <w:color w:val="000000"/>
          <w:spacing w:val="-2"/>
          <w:kern w:val="0"/>
          <w:sz w:val="24"/>
        </w:rPr>
      </w:pPr>
      <w:r>
        <w:rPr>
          <w:rFonts w:hint="eastAsia" w:eastAsia="方正仿宋_GBK"/>
          <w:color w:val="000000"/>
          <w:spacing w:val="-2"/>
          <w:kern w:val="0"/>
          <w:sz w:val="24"/>
        </w:rPr>
        <w:t>各市建设局（建委），省各有关委、办、厅、局：</w:t>
      </w:r>
    </w:p>
    <w:p>
      <w:pPr>
        <w:snapToGrid w:val="0"/>
        <w:spacing w:line="460" w:lineRule="exact"/>
        <w:ind w:right="-150" w:rightChars="-73" w:firstLine="448" w:firstLineChars="200"/>
        <w:rPr>
          <w:rFonts w:eastAsia="方正仿宋_GBK"/>
          <w:color w:val="000000"/>
          <w:spacing w:val="-6"/>
          <w:kern w:val="0"/>
          <w:sz w:val="24"/>
        </w:rPr>
      </w:pPr>
      <w:r>
        <w:rPr>
          <w:rFonts w:hint="eastAsia" w:eastAsia="方正仿宋_GBK"/>
          <w:color w:val="000000"/>
          <w:spacing w:val="-6"/>
          <w:kern w:val="0"/>
          <w:sz w:val="24"/>
        </w:rPr>
        <w:t>为稳定建筑市场秩序，降低建筑材料价格波动的风险，维护建设工程发承包双方的合法权益，根据有关法律、法规，按照发承包双方合理分担建筑材料价格风险的原则，现就加强建筑材料价格风险控制提出如下指导意见，请各市结合本地具体情况贯彻实施。</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b/>
          <w:color w:val="000000"/>
          <w:spacing w:val="-2"/>
          <w:kern w:val="0"/>
          <w:sz w:val="24"/>
        </w:rPr>
        <w:t>一</w:t>
      </w:r>
      <w:r>
        <w:rPr>
          <w:rFonts w:hint="eastAsia" w:eastAsia="方正仿宋_GBK"/>
          <w:color w:val="000000"/>
          <w:spacing w:val="-2"/>
          <w:kern w:val="0"/>
          <w:sz w:val="24"/>
        </w:rPr>
        <w:t>、建筑材料价格的大幅波动将严重影响发承包双方对施工合同的正常履行，给工程施工带来潜在的质量安全隐患。工程施工发承包双方在招投标和施工合同签订过程中，应增强风险防范意识，签订合理的材料价格风险控制条款，明确各方承担风险影响的原则，切实保障建设工程的顺利实施。</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w:t>
      </w:r>
      <w:r>
        <w:rPr>
          <w:rFonts w:eastAsia="方正仿宋_GBK"/>
          <w:b/>
          <w:color w:val="000000"/>
          <w:spacing w:val="-2"/>
          <w:kern w:val="0"/>
          <w:sz w:val="24"/>
        </w:rPr>
        <w:t xml:space="preserve"> </w:t>
      </w:r>
      <w:r>
        <w:rPr>
          <w:rFonts w:hint="eastAsia" w:eastAsia="方正仿宋_GBK"/>
          <w:b/>
          <w:color w:val="000000"/>
          <w:spacing w:val="-2"/>
          <w:kern w:val="0"/>
          <w:sz w:val="24"/>
        </w:rPr>
        <w:t>二</w:t>
      </w:r>
      <w:r>
        <w:rPr>
          <w:rFonts w:hint="eastAsia" w:eastAsia="方正仿宋_GBK"/>
          <w:color w:val="000000"/>
          <w:spacing w:val="-2"/>
          <w:kern w:val="0"/>
          <w:sz w:val="24"/>
        </w:rPr>
        <w:t>、依法必须招标的房屋建筑及市政基础设施工程，招标人应在招标文件中明确工程计价中的风险范围、控制和处理原则。发承包双方应当在施工合同中约定：</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1</w:t>
      </w:r>
      <w:r>
        <w:rPr>
          <w:rFonts w:hint="eastAsia" w:eastAsia="方正仿宋_GBK"/>
          <w:color w:val="000000"/>
          <w:spacing w:val="-2"/>
          <w:kern w:val="0"/>
          <w:sz w:val="24"/>
        </w:rPr>
        <w:t>、工程主要建筑材料包含的材料范围；</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2</w:t>
      </w:r>
      <w:r>
        <w:rPr>
          <w:rFonts w:hint="eastAsia" w:eastAsia="方正仿宋_GBK"/>
          <w:color w:val="000000"/>
          <w:spacing w:val="-2"/>
          <w:kern w:val="0"/>
          <w:sz w:val="24"/>
        </w:rPr>
        <w:t>、承包方的投标价格中包含的材料价格风险的幅度（一般风险包干幅度不应大于</w:t>
      </w:r>
      <w:r>
        <w:rPr>
          <w:rFonts w:eastAsia="方正仿宋_GBK"/>
          <w:color w:val="000000"/>
          <w:spacing w:val="-2"/>
          <w:kern w:val="0"/>
          <w:sz w:val="24"/>
        </w:rPr>
        <w:t>10%</w:t>
      </w:r>
      <w:r>
        <w:rPr>
          <w:rFonts w:hint="eastAsia" w:eastAsia="方正仿宋_GBK"/>
          <w:color w:val="000000"/>
          <w:spacing w:val="-2"/>
          <w:kern w:val="0"/>
          <w:sz w:val="24"/>
        </w:rPr>
        <w:t>）；</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3</w:t>
      </w:r>
      <w:r>
        <w:rPr>
          <w:rFonts w:hint="eastAsia" w:eastAsia="方正仿宋_GBK"/>
          <w:color w:val="000000"/>
          <w:spacing w:val="-2"/>
          <w:kern w:val="0"/>
          <w:sz w:val="24"/>
        </w:rPr>
        <w:t>、当主要建筑材料的价格波动超过投标价格中的风险幅度时的材料价格调整办法。</w:t>
      </w:r>
    </w:p>
    <w:p>
      <w:pPr>
        <w:snapToGrid w:val="0"/>
        <w:spacing w:line="460" w:lineRule="exact"/>
        <w:ind w:right="-150" w:rightChars="-73" w:firstLine="464" w:firstLineChars="200"/>
        <w:rPr>
          <w:rFonts w:eastAsia="方正仿宋_GBK"/>
          <w:color w:val="000000"/>
          <w:spacing w:val="-2"/>
          <w:kern w:val="0"/>
          <w:sz w:val="24"/>
        </w:rPr>
      </w:pPr>
      <w:r>
        <w:rPr>
          <w:rFonts w:hint="eastAsia" w:eastAsia="方正仿宋_GBK"/>
          <w:color w:val="000000"/>
          <w:spacing w:val="-2"/>
          <w:kern w:val="0"/>
          <w:sz w:val="24"/>
        </w:rPr>
        <w:t>主要建筑材料是指用量较大，占工程造价比重较高的常用材料，其价格波动对工程造价影响明显。如发承包双方无约定时，是否为主要建筑材料可按照单位工程投标文件中材料费占单位工程费的百分比来划分：材料费占单位工程费</w:t>
      </w:r>
      <w:r>
        <w:rPr>
          <w:rFonts w:eastAsia="方正仿宋_GBK"/>
          <w:color w:val="000000"/>
          <w:spacing w:val="-2"/>
          <w:kern w:val="0"/>
          <w:sz w:val="24"/>
        </w:rPr>
        <w:t>2%</w:t>
      </w:r>
      <w:r>
        <w:rPr>
          <w:rFonts w:hint="eastAsia" w:eastAsia="方正仿宋_GBK"/>
          <w:color w:val="000000"/>
          <w:spacing w:val="-2"/>
          <w:kern w:val="0"/>
          <w:sz w:val="24"/>
        </w:rPr>
        <w:t>以下的各类材料为非主要建筑材料；材料费占单位工程费</w:t>
      </w:r>
      <w:r>
        <w:rPr>
          <w:rFonts w:eastAsia="方正仿宋_GBK"/>
          <w:color w:val="000000"/>
          <w:spacing w:val="-2"/>
          <w:kern w:val="0"/>
          <w:sz w:val="24"/>
        </w:rPr>
        <w:t>2%</w:t>
      </w:r>
      <w:r>
        <w:rPr>
          <w:rFonts w:hint="eastAsia" w:eastAsia="方正仿宋_GBK"/>
          <w:color w:val="000000"/>
          <w:spacing w:val="-2"/>
          <w:kern w:val="0"/>
          <w:sz w:val="24"/>
        </w:rPr>
        <w:t>以上，</w:t>
      </w:r>
      <w:r>
        <w:rPr>
          <w:rFonts w:eastAsia="方正仿宋_GBK"/>
          <w:color w:val="000000"/>
          <w:spacing w:val="-2"/>
          <w:kern w:val="0"/>
          <w:sz w:val="24"/>
        </w:rPr>
        <w:t>10%</w:t>
      </w:r>
      <w:r>
        <w:rPr>
          <w:rFonts w:hint="eastAsia" w:eastAsia="方正仿宋_GBK"/>
          <w:color w:val="000000"/>
          <w:spacing w:val="-2"/>
          <w:kern w:val="0"/>
          <w:sz w:val="24"/>
        </w:rPr>
        <w:t>以内的各类材料为第一类主要建筑材料；材料费占单位工程费</w:t>
      </w:r>
      <w:r>
        <w:rPr>
          <w:rFonts w:eastAsia="方正仿宋_GBK"/>
          <w:color w:val="000000"/>
          <w:spacing w:val="-2"/>
          <w:kern w:val="0"/>
          <w:sz w:val="24"/>
        </w:rPr>
        <w:t>10%</w:t>
      </w:r>
      <w:r>
        <w:rPr>
          <w:rFonts w:hint="eastAsia" w:eastAsia="方正仿宋_GBK"/>
          <w:color w:val="000000"/>
          <w:spacing w:val="-2"/>
          <w:kern w:val="0"/>
          <w:sz w:val="24"/>
        </w:rPr>
        <w:t>以上的各类材料为第二类主要建筑材料。</w:t>
      </w:r>
    </w:p>
    <w:p>
      <w:pPr>
        <w:snapToGrid w:val="0"/>
        <w:spacing w:line="460" w:lineRule="exact"/>
        <w:ind w:right="-150" w:rightChars="-73" w:firstLine="464" w:firstLineChars="200"/>
        <w:rPr>
          <w:rFonts w:eastAsia="方正仿宋_GBK"/>
          <w:color w:val="000000"/>
          <w:spacing w:val="-2"/>
          <w:kern w:val="0"/>
          <w:sz w:val="24"/>
        </w:rPr>
      </w:pPr>
      <w:r>
        <w:rPr>
          <w:rFonts w:hint="eastAsia" w:eastAsia="方正仿宋_GBK"/>
          <w:b/>
          <w:color w:val="000000"/>
          <w:spacing w:val="-2"/>
          <w:kern w:val="0"/>
          <w:sz w:val="24"/>
        </w:rPr>
        <w:t>三</w:t>
      </w:r>
      <w:r>
        <w:rPr>
          <w:rFonts w:hint="eastAsia" w:eastAsia="方正仿宋_GBK"/>
          <w:color w:val="000000"/>
          <w:spacing w:val="-2"/>
          <w:kern w:val="0"/>
          <w:sz w:val="24"/>
        </w:rPr>
        <w:t>、本意见发布前已经签订固定价格施工合同（包括固定总价与固定单价合同），尚未完成工程竣工结算的招投标工程，如果合同中未约定材料价格风险控制条款的，经发承包双方协商一致，可按下述原则签订补充协议，到工程所在地建设行政主管部门备案后调整工程造价。</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1</w:t>
      </w:r>
      <w:r>
        <w:rPr>
          <w:rFonts w:hint="eastAsia" w:eastAsia="方正仿宋_GBK"/>
          <w:color w:val="000000"/>
          <w:spacing w:val="-2"/>
          <w:kern w:val="0"/>
          <w:sz w:val="24"/>
        </w:rPr>
        <w:t>、采用固定价格合同形式的：当工程施工期间非主要建筑材料价格上涨或下降的，其差价均由承包人承担或收益；当工程施工期间第一类主要建筑材料价格上涨或下降幅度在</w:t>
      </w:r>
      <w:r>
        <w:rPr>
          <w:rFonts w:eastAsia="方正仿宋_GBK"/>
          <w:color w:val="000000"/>
          <w:spacing w:val="-2"/>
          <w:kern w:val="0"/>
          <w:sz w:val="24"/>
        </w:rPr>
        <w:t>10%</w:t>
      </w:r>
      <w:r>
        <w:rPr>
          <w:rFonts w:hint="eastAsia" w:eastAsia="方正仿宋_GBK"/>
          <w:color w:val="000000"/>
          <w:spacing w:val="-2"/>
          <w:kern w:val="0"/>
          <w:sz w:val="24"/>
        </w:rPr>
        <w:t>以内的，其差价由承包人承担或受益，超过</w:t>
      </w:r>
      <w:r>
        <w:rPr>
          <w:rFonts w:eastAsia="方正仿宋_GBK"/>
          <w:color w:val="000000"/>
          <w:spacing w:val="-2"/>
          <w:kern w:val="0"/>
          <w:sz w:val="24"/>
        </w:rPr>
        <w:t>10%</w:t>
      </w:r>
      <w:r>
        <w:rPr>
          <w:rFonts w:hint="eastAsia" w:eastAsia="方正仿宋_GBK"/>
          <w:color w:val="000000"/>
          <w:spacing w:val="-2"/>
          <w:kern w:val="0"/>
          <w:sz w:val="24"/>
        </w:rPr>
        <w:t>的部分由发包人承担或受益；当工程施工期间第二类主要建筑材料价格上涨或下降幅度在</w:t>
      </w:r>
      <w:r>
        <w:rPr>
          <w:rFonts w:eastAsia="方正仿宋_GBK"/>
          <w:color w:val="000000"/>
          <w:spacing w:val="-2"/>
          <w:kern w:val="0"/>
          <w:sz w:val="24"/>
        </w:rPr>
        <w:t>5%</w:t>
      </w:r>
      <w:r>
        <w:rPr>
          <w:rFonts w:hint="eastAsia" w:eastAsia="方正仿宋_GBK"/>
          <w:color w:val="000000"/>
          <w:spacing w:val="-2"/>
          <w:kern w:val="0"/>
          <w:sz w:val="24"/>
        </w:rPr>
        <w:t>以内的，其差价由承包人承担或受益，超过</w:t>
      </w:r>
      <w:r>
        <w:rPr>
          <w:rFonts w:eastAsia="方正仿宋_GBK"/>
          <w:color w:val="000000"/>
          <w:spacing w:val="-2"/>
          <w:kern w:val="0"/>
          <w:sz w:val="24"/>
        </w:rPr>
        <w:t>5%</w:t>
      </w:r>
      <w:r>
        <w:rPr>
          <w:rFonts w:hint="eastAsia" w:eastAsia="方正仿宋_GBK"/>
          <w:color w:val="000000"/>
          <w:spacing w:val="-2"/>
          <w:kern w:val="0"/>
          <w:sz w:val="24"/>
        </w:rPr>
        <w:t>的部分由发包人承担或受益。</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2</w:t>
      </w:r>
      <w:r>
        <w:rPr>
          <w:rFonts w:hint="eastAsia" w:eastAsia="方正仿宋_GBK"/>
          <w:color w:val="000000"/>
          <w:spacing w:val="-2"/>
          <w:kern w:val="0"/>
          <w:sz w:val="24"/>
        </w:rPr>
        <w:t>、主要建筑材料差价的取定：应以工程所在地造价管理部门发布的材料指导价格为基准（缺指导价的材料以双方确认的市场信息价为准），差价为施工期同类材料加权平均指导价格与合同工程基准期（招标工程为递交投标文件截止日期前</w:t>
      </w:r>
      <w:r>
        <w:rPr>
          <w:rFonts w:eastAsia="方正仿宋_GBK"/>
          <w:color w:val="000000"/>
          <w:spacing w:val="-2"/>
          <w:kern w:val="0"/>
          <w:sz w:val="24"/>
        </w:rPr>
        <w:t>28</w:t>
      </w:r>
      <w:r>
        <w:rPr>
          <w:rFonts w:hint="eastAsia" w:eastAsia="方正仿宋_GBK"/>
          <w:color w:val="000000"/>
          <w:spacing w:val="-2"/>
          <w:kern w:val="0"/>
          <w:sz w:val="24"/>
        </w:rPr>
        <w:t>天）当月的材料指导价格的差额。</w:t>
      </w:r>
    </w:p>
    <w:p>
      <w:pPr>
        <w:snapToGrid w:val="0"/>
        <w:spacing w:line="460" w:lineRule="exact"/>
        <w:ind w:right="-150" w:rightChars="-73" w:firstLine="570"/>
        <w:rPr>
          <w:rFonts w:eastAsia="方正仿宋_GBK"/>
          <w:dstrike/>
          <w:color w:val="000000"/>
          <w:spacing w:val="-2"/>
          <w:kern w:val="0"/>
          <w:sz w:val="24"/>
        </w:rPr>
      </w:pPr>
      <w:r>
        <w:rPr>
          <w:rFonts w:hint="eastAsia" w:eastAsia="方正仿宋_GBK"/>
          <w:color w:val="000000"/>
          <w:spacing w:val="-2"/>
          <w:kern w:val="0"/>
          <w:sz w:val="24"/>
        </w:rPr>
        <w:t>施工期材料加权平均指导价按下列公式计算：</w:t>
      </w:r>
    </w:p>
    <w:p>
      <w:pPr>
        <w:snapToGrid w:val="0"/>
        <w:spacing w:line="460" w:lineRule="exact"/>
        <w:ind w:right="-150" w:rightChars="-73" w:firstLine="570"/>
        <w:rPr>
          <w:rFonts w:eastAsia="方正仿宋_GBK"/>
          <w:color w:val="000000"/>
          <w:spacing w:val="-10"/>
          <w:kern w:val="0"/>
          <w:sz w:val="24"/>
        </w:rPr>
      </w:pPr>
      <w:r>
        <w:rPr>
          <w:rFonts w:hint="eastAsia" w:eastAsia="方正仿宋_GBK"/>
          <w:color w:val="000000"/>
          <w:spacing w:val="-10"/>
          <w:kern w:val="0"/>
          <w:sz w:val="24"/>
        </w:rPr>
        <w:t>施工期材料加权平均指导价</w:t>
      </w:r>
      <w:r>
        <w:rPr>
          <w:rFonts w:eastAsia="方正仿宋_GBK"/>
          <w:color w:val="000000"/>
          <w:spacing w:val="-10"/>
          <w:kern w:val="0"/>
          <w:sz w:val="24"/>
        </w:rPr>
        <w:t>=Σ</w:t>
      </w:r>
      <w:r>
        <w:rPr>
          <w:rFonts w:hint="eastAsia" w:eastAsia="方正仿宋_GBK"/>
          <w:color w:val="000000"/>
          <w:spacing w:val="-10"/>
          <w:kern w:val="0"/>
          <w:sz w:val="24"/>
        </w:rPr>
        <w:t>（每月实际使用量</w:t>
      </w:r>
      <w:r>
        <w:rPr>
          <w:rFonts w:eastAsia="方正仿宋_GBK"/>
          <w:color w:val="000000"/>
          <w:spacing w:val="-10"/>
          <w:kern w:val="0"/>
          <w:sz w:val="24"/>
        </w:rPr>
        <w:t>×</w:t>
      </w:r>
      <w:r>
        <w:rPr>
          <w:rFonts w:hint="eastAsia" w:eastAsia="方正仿宋_GBK"/>
          <w:color w:val="000000"/>
          <w:spacing w:val="-10"/>
          <w:kern w:val="0"/>
          <w:sz w:val="24"/>
        </w:rPr>
        <w:t>当月材料指导价）</w:t>
      </w:r>
      <w:r>
        <w:rPr>
          <w:rFonts w:eastAsia="方正仿宋_GBK"/>
          <w:color w:val="000000"/>
          <w:spacing w:val="-10"/>
          <w:kern w:val="0"/>
          <w:sz w:val="24"/>
        </w:rPr>
        <w:t>/</w:t>
      </w:r>
      <w:r>
        <w:rPr>
          <w:rFonts w:hint="eastAsia" w:eastAsia="方正仿宋_GBK"/>
          <w:color w:val="000000"/>
          <w:spacing w:val="-10"/>
          <w:kern w:val="0"/>
          <w:sz w:val="24"/>
        </w:rPr>
        <w:t>同类材料总用量</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3</w:t>
      </w:r>
      <w:r>
        <w:rPr>
          <w:rFonts w:hint="eastAsia" w:eastAsia="方正仿宋_GBK"/>
          <w:color w:val="000000"/>
          <w:spacing w:val="-2"/>
          <w:kern w:val="0"/>
          <w:sz w:val="24"/>
        </w:rPr>
        <w:t>、因发包人原因造成工期延误的，延误期间发生的材料价格上涨差额由发包人承担；因承包人原因造成工期延误的，延误期间发生的材料价格上涨差额由承包人承担。</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b/>
          <w:color w:val="000000"/>
          <w:spacing w:val="-2"/>
          <w:kern w:val="0"/>
          <w:sz w:val="24"/>
        </w:rPr>
        <w:t>四</w:t>
      </w:r>
      <w:r>
        <w:rPr>
          <w:rFonts w:hint="eastAsia" w:eastAsia="方正仿宋_GBK"/>
          <w:color w:val="000000"/>
          <w:spacing w:val="-2"/>
          <w:kern w:val="0"/>
          <w:sz w:val="24"/>
        </w:rPr>
        <w:t>、各市工程造价管理部门应加强主要建筑材料价格的动态管理，在价格波动较大时及时发布预警信息并增加价格信息发布频次和范围，有条件的市可通过</w:t>
      </w:r>
      <w:r>
        <w:rPr>
          <w:rFonts w:eastAsia="方正仿宋_GBK"/>
          <w:color w:val="000000"/>
          <w:spacing w:val="-2"/>
          <w:kern w:val="0"/>
          <w:sz w:val="24"/>
        </w:rPr>
        <w:t>“</w:t>
      </w:r>
      <w:r>
        <w:rPr>
          <w:rFonts w:hint="eastAsia" w:eastAsia="方正仿宋_GBK"/>
          <w:color w:val="000000"/>
          <w:spacing w:val="-2"/>
          <w:kern w:val="0"/>
          <w:sz w:val="24"/>
        </w:rPr>
        <w:t>工程造价信息网</w:t>
      </w:r>
      <w:r>
        <w:rPr>
          <w:rFonts w:eastAsia="方正仿宋_GBK"/>
          <w:color w:val="000000"/>
          <w:spacing w:val="-2"/>
          <w:kern w:val="0"/>
          <w:sz w:val="24"/>
        </w:rPr>
        <w:t>”</w:t>
      </w:r>
      <w:r>
        <w:rPr>
          <w:rFonts w:hint="eastAsia" w:eastAsia="方正仿宋_GBK"/>
          <w:color w:val="000000"/>
          <w:spacing w:val="-2"/>
          <w:kern w:val="0"/>
          <w:sz w:val="24"/>
        </w:rPr>
        <w:t>动态发布价格信息，正确引导发承包双方合理确定和有效控制工程造价。</w:t>
      </w:r>
    </w:p>
    <w:p>
      <w:pPr>
        <w:snapToGrid w:val="0"/>
        <w:spacing w:line="460" w:lineRule="exact"/>
        <w:ind w:right="-150" w:rightChars="-73"/>
        <w:rPr>
          <w:rFonts w:eastAsia="方正仿宋_GBK"/>
          <w:color w:val="000000"/>
          <w:spacing w:val="-2"/>
          <w:kern w:val="0"/>
          <w:sz w:val="24"/>
        </w:rPr>
      </w:pPr>
      <w:r>
        <w:rPr>
          <w:rFonts w:eastAsia="方正仿宋_GBK"/>
          <w:color w:val="000000"/>
          <w:spacing w:val="-2"/>
          <w:kern w:val="0"/>
          <w:sz w:val="24"/>
        </w:rPr>
        <w:t xml:space="preserve">  </w:t>
      </w:r>
      <w:r>
        <w:rPr>
          <w:rFonts w:eastAsia="方正仿宋_GBK"/>
          <w:b/>
          <w:color w:val="000000"/>
          <w:spacing w:val="-2"/>
          <w:kern w:val="0"/>
          <w:sz w:val="24"/>
        </w:rPr>
        <w:t xml:space="preserve">  </w:t>
      </w:r>
      <w:r>
        <w:rPr>
          <w:rFonts w:hint="eastAsia" w:eastAsia="方正仿宋_GBK"/>
          <w:b/>
          <w:color w:val="000000"/>
          <w:spacing w:val="-2"/>
          <w:kern w:val="0"/>
          <w:sz w:val="24"/>
        </w:rPr>
        <w:t>五</w:t>
      </w:r>
      <w:r>
        <w:rPr>
          <w:rFonts w:hint="eastAsia" w:eastAsia="方正仿宋_GBK"/>
          <w:color w:val="000000"/>
          <w:spacing w:val="-2"/>
          <w:kern w:val="0"/>
          <w:sz w:val="24"/>
        </w:rPr>
        <w:t>、各级建设行政主管部门应做好对招标文件和施工合同中材料价格风险控制条款的审查工作。当招标文件中无相关条款时，应要求招标方补充材料价格风险控制条款。当施工合同中无相关条款时，应要求发承包双方签订补充协议，增加材料价格风险控制条款，否则不予以合同备案。</w:t>
      </w:r>
    </w:p>
    <w:p>
      <w:pPr>
        <w:snapToGrid w:val="0"/>
        <w:spacing w:line="460" w:lineRule="exact"/>
        <w:ind w:right="-150" w:rightChars="-73" w:firstLine="600"/>
        <w:rPr>
          <w:rFonts w:eastAsia="方正仿宋_GBK"/>
          <w:color w:val="000000"/>
          <w:spacing w:val="-2"/>
          <w:kern w:val="0"/>
          <w:sz w:val="24"/>
        </w:rPr>
      </w:pPr>
      <w:r>
        <w:rPr>
          <w:rFonts w:hint="eastAsia" w:eastAsia="方正仿宋_GBK"/>
          <w:b/>
          <w:color w:val="000000"/>
          <w:spacing w:val="-2"/>
          <w:kern w:val="0"/>
          <w:sz w:val="24"/>
        </w:rPr>
        <w:t>六</w:t>
      </w:r>
      <w:r>
        <w:rPr>
          <w:rFonts w:hint="eastAsia" w:eastAsia="方正仿宋_GBK"/>
          <w:color w:val="000000"/>
          <w:spacing w:val="-2"/>
          <w:kern w:val="0"/>
          <w:sz w:val="24"/>
        </w:rPr>
        <w:t>、依法不招标的建设工程，可参照本意见执行。</w:t>
      </w:r>
    </w:p>
    <w:p>
      <w:pPr>
        <w:snapToGrid w:val="0"/>
        <w:spacing w:line="460" w:lineRule="exact"/>
        <w:ind w:right="-150" w:rightChars="-73" w:firstLine="600"/>
        <w:rPr>
          <w:rFonts w:eastAsia="方正仿宋_GBK"/>
          <w:color w:val="000000"/>
          <w:spacing w:val="-2"/>
          <w:kern w:val="0"/>
          <w:sz w:val="24"/>
        </w:rPr>
      </w:pPr>
      <w:r>
        <w:rPr>
          <w:rFonts w:hint="eastAsia" w:eastAsia="方正仿宋_GBK"/>
          <w:b/>
          <w:color w:val="000000"/>
          <w:spacing w:val="-2"/>
          <w:kern w:val="0"/>
          <w:sz w:val="24"/>
        </w:rPr>
        <w:t>七</w:t>
      </w:r>
      <w:r>
        <w:rPr>
          <w:rFonts w:hint="eastAsia" w:eastAsia="方正仿宋_GBK"/>
          <w:color w:val="000000"/>
          <w:spacing w:val="-2"/>
          <w:kern w:val="0"/>
          <w:sz w:val="24"/>
        </w:rPr>
        <w:t>、各级建设工程造价管理机构在进行计价解释与争议调解时，应将本意见作为处理材料价格调整问题的依据。</w:t>
      </w:r>
    </w:p>
    <w:p>
      <w:pPr>
        <w:snapToGrid w:val="0"/>
        <w:spacing w:line="460" w:lineRule="exact"/>
        <w:ind w:right="-150" w:rightChars="-73" w:firstLine="600"/>
        <w:rPr>
          <w:rFonts w:eastAsia="方正仿宋_GBK"/>
          <w:color w:val="000000"/>
          <w:spacing w:val="-2"/>
          <w:kern w:val="0"/>
          <w:sz w:val="24"/>
        </w:rPr>
      </w:pPr>
      <w:r>
        <w:rPr>
          <w:rFonts w:hint="eastAsia" w:eastAsia="方正仿宋_GBK"/>
          <w:b/>
          <w:color w:val="000000"/>
          <w:spacing w:val="-2"/>
          <w:kern w:val="0"/>
          <w:sz w:val="24"/>
        </w:rPr>
        <w:t>八</w:t>
      </w:r>
      <w:r>
        <w:rPr>
          <w:rFonts w:hint="eastAsia" w:eastAsia="方正仿宋_GBK"/>
          <w:color w:val="000000"/>
          <w:spacing w:val="-2"/>
          <w:kern w:val="0"/>
          <w:sz w:val="24"/>
        </w:rPr>
        <w:t>、本意见自</w:t>
      </w:r>
      <w:r>
        <w:rPr>
          <w:rFonts w:eastAsia="方正仿宋_GBK"/>
          <w:color w:val="000000"/>
          <w:spacing w:val="-2"/>
          <w:kern w:val="0"/>
          <w:sz w:val="24"/>
        </w:rPr>
        <w:t>2008</w:t>
      </w:r>
      <w:r>
        <w:rPr>
          <w:rFonts w:hint="eastAsia" w:eastAsia="方正仿宋_GBK"/>
          <w:color w:val="000000"/>
          <w:spacing w:val="-2"/>
          <w:kern w:val="0"/>
          <w:sz w:val="24"/>
        </w:rPr>
        <w:t>年</w:t>
      </w:r>
      <w:r>
        <w:rPr>
          <w:rFonts w:eastAsia="方正仿宋_GBK"/>
          <w:color w:val="000000"/>
          <w:spacing w:val="-2"/>
          <w:kern w:val="0"/>
          <w:sz w:val="24"/>
        </w:rPr>
        <w:t>4</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日起施行。已完成竣工结算的工程，不再执行本意见。原有关文件中规定与本意见不一致的，按本意见执行。</w:t>
      </w:r>
    </w:p>
    <w:p>
      <w:pPr>
        <w:snapToGrid w:val="0"/>
        <w:spacing w:line="460" w:lineRule="exact"/>
        <w:ind w:right="782" w:rightChars="380"/>
        <w:jc w:val="right"/>
        <w:rPr>
          <w:rFonts w:eastAsia="方正仿宋_GBK"/>
          <w:color w:val="000000"/>
          <w:spacing w:val="-2"/>
          <w:kern w:val="0"/>
          <w:sz w:val="24"/>
        </w:rPr>
      </w:pPr>
      <w:r>
        <w:rPr>
          <w:rFonts w:eastAsia="方正仿宋_GBK"/>
          <w:color w:val="000000"/>
          <w:spacing w:val="-2"/>
          <w:kern w:val="0"/>
          <w:sz w:val="24"/>
        </w:rPr>
        <w:t xml:space="preserve">                     </w:t>
      </w:r>
      <w:r>
        <w:rPr>
          <w:rFonts w:hint="eastAsia" w:eastAsia="方正仿宋_GBK"/>
          <w:color w:val="000000"/>
          <w:spacing w:val="-2"/>
          <w:kern w:val="0"/>
          <w:sz w:val="24"/>
        </w:rPr>
        <w:t>江苏省建设厅</w:t>
      </w:r>
      <w:r>
        <w:rPr>
          <w:rFonts w:eastAsia="方正仿宋_GBK"/>
          <w:color w:val="000000"/>
          <w:spacing w:val="-2"/>
          <w:kern w:val="0"/>
          <w:sz w:val="24"/>
        </w:rPr>
        <w:t xml:space="preserve">      </w:t>
      </w:r>
    </w:p>
    <w:p>
      <w:pPr>
        <w:spacing w:line="440" w:lineRule="exact"/>
        <w:ind w:right="472"/>
        <w:jc w:val="right"/>
        <w:rPr>
          <w:rFonts w:eastAsia="方正仿宋_GBK"/>
          <w:color w:val="000000"/>
          <w:spacing w:val="-2"/>
          <w:kern w:val="0"/>
          <w:sz w:val="24"/>
        </w:rPr>
      </w:pPr>
      <w:r>
        <w:rPr>
          <w:rFonts w:hint="eastAsia" w:eastAsia="方正仿宋_GBK"/>
          <w:color w:val="000000"/>
          <w:spacing w:val="-2"/>
          <w:kern w:val="0"/>
          <w:sz w:val="24"/>
        </w:rPr>
        <w:t>二</w:t>
      </w:r>
      <w:r>
        <w:rPr>
          <w:rFonts w:hint="eastAsia" w:eastAsia="方正仿宋_GBK"/>
          <w:bCs/>
          <w:snapToGrid w:val="0"/>
          <w:color w:val="000000"/>
          <w:spacing w:val="-2"/>
          <w:kern w:val="0"/>
          <w:sz w:val="24"/>
        </w:rPr>
        <w:t>○○</w:t>
      </w:r>
      <w:r>
        <w:rPr>
          <w:rFonts w:hint="eastAsia" w:eastAsia="方正仿宋_GBK"/>
          <w:color w:val="000000"/>
          <w:spacing w:val="-2"/>
          <w:kern w:val="0"/>
          <w:sz w:val="24"/>
        </w:rPr>
        <w:t>八年三月五日</w:t>
      </w:r>
      <w:r>
        <w:rPr>
          <w:rFonts w:eastAsia="方正仿宋_GBK"/>
          <w:color w:val="000000"/>
          <w:spacing w:val="-2"/>
          <w:kern w:val="0"/>
          <w:sz w:val="24"/>
        </w:rPr>
        <w:t xml:space="preserve">    </w:t>
      </w:r>
    </w:p>
    <w:p/>
    <w:p/>
    <w:p/>
    <w:p/>
    <w:p/>
    <w:p/>
    <w:p/>
    <w:p/>
    <w:p/>
    <w:p/>
    <w:p/>
    <w:p/>
    <w:p/>
    <w:p/>
    <w:p/>
    <w:p/>
    <w:p/>
    <w:p/>
    <w:p/>
    <w:p/>
    <w:p/>
    <w:p/>
    <w:p/>
    <w:p/>
    <w:p/>
    <w:p/>
    <w:p/>
    <w:p/>
    <w:p/>
    <w:p/>
    <w:p/>
    <w:p/>
    <w:p/>
    <w:p/>
    <w:p/>
    <w:p/>
    <w:p/>
    <w:p/>
    <w:p/>
    <w:p/>
    <w:p/>
    <w:p>
      <w:pPr>
        <w:pStyle w:val="3"/>
        <w:spacing w:before="590" w:beforeLines="100" w:after="590" w:afterLines="100" w:line="240" w:lineRule="auto"/>
        <w:jc w:val="center"/>
        <w:rPr>
          <w:rFonts w:ascii="Times New Roman" w:hAnsi="Times New Roman" w:eastAsia="方正小标宋_GBK"/>
          <w:b w:val="0"/>
          <w:kern w:val="44"/>
          <w:sz w:val="36"/>
          <w:szCs w:val="36"/>
        </w:rPr>
      </w:pPr>
      <w:bookmarkStart w:id="665" w:name="_Toc18315824"/>
      <w:bookmarkStart w:id="666" w:name="_Toc20726687"/>
      <w:r>
        <w:rPr>
          <w:rFonts w:hint="eastAsia" w:ascii="Times New Roman" w:hAnsi="Times New Roman" w:eastAsia="方正小标宋_GBK"/>
          <w:b w:val="0"/>
          <w:kern w:val="44"/>
          <w:sz w:val="36"/>
          <w:szCs w:val="36"/>
        </w:rPr>
        <w:t>省住房和城乡建设厅关于对建设工程人工工资单价实行动态管理的通知</w:t>
      </w:r>
    </w:p>
    <w:p>
      <w:pPr>
        <w:pStyle w:val="3"/>
        <w:spacing w:before="590" w:beforeLines="100" w:after="590" w:afterLines="100" w:line="240" w:lineRule="auto"/>
        <w:jc w:val="center"/>
        <w:rPr>
          <w:rFonts w:hint="eastAsia" w:ascii="Times New Roman" w:hAnsi="Times New Roman" w:eastAsia="方正楷体_GBK"/>
          <w:b w:val="0"/>
          <w:sz w:val="24"/>
          <w:szCs w:val="24"/>
        </w:rPr>
      </w:pPr>
      <w:r>
        <w:rPr>
          <w:rFonts w:hint="eastAsia" w:ascii="Times New Roman" w:hAnsi="Times New Roman" w:eastAsia="方正楷体_GBK"/>
          <w:b w:val="0"/>
          <w:sz w:val="24"/>
          <w:szCs w:val="24"/>
        </w:rPr>
        <w:t>苏建价〔</w:t>
      </w:r>
      <w:r>
        <w:rPr>
          <w:rFonts w:ascii="Times New Roman" w:hAnsi="Times New Roman" w:eastAsia="方正楷体_GBK"/>
          <w:b w:val="0"/>
          <w:sz w:val="24"/>
          <w:szCs w:val="24"/>
        </w:rPr>
        <w:t>2012</w:t>
      </w:r>
      <w:r>
        <w:rPr>
          <w:rFonts w:hint="eastAsia" w:ascii="Times New Roman" w:hAnsi="Times New Roman" w:eastAsia="方正楷体_GBK"/>
          <w:b w:val="0"/>
          <w:sz w:val="24"/>
          <w:szCs w:val="24"/>
        </w:rPr>
        <w:t>〕</w:t>
      </w:r>
      <w:r>
        <w:rPr>
          <w:rFonts w:ascii="Times New Roman" w:hAnsi="Times New Roman" w:eastAsia="方正楷体_GBK"/>
          <w:b w:val="0"/>
          <w:sz w:val="24"/>
          <w:szCs w:val="24"/>
        </w:rPr>
        <w:t>633</w:t>
      </w:r>
      <w:r>
        <w:rPr>
          <w:rFonts w:hint="eastAsia" w:ascii="Times New Roman" w:hAnsi="Times New Roman" w:eastAsia="方正楷体_GBK"/>
          <w:b w:val="0"/>
          <w:sz w:val="24"/>
          <w:szCs w:val="24"/>
        </w:rPr>
        <w:t>号</w:t>
      </w:r>
      <w:bookmarkEnd w:id="665"/>
      <w:bookmarkEnd w:id="666"/>
    </w:p>
    <w:p>
      <w:pPr>
        <w:spacing w:line="460" w:lineRule="exact"/>
        <w:rPr>
          <w:rFonts w:eastAsia="方正仿宋_GBK"/>
          <w:color w:val="000000"/>
          <w:spacing w:val="-2"/>
          <w:kern w:val="0"/>
          <w:sz w:val="24"/>
        </w:rPr>
      </w:pPr>
      <w:r>
        <w:rPr>
          <w:rFonts w:hint="eastAsia" w:eastAsia="方正仿宋_GBK"/>
          <w:color w:val="000000"/>
          <w:spacing w:val="-2"/>
          <w:kern w:val="0"/>
          <w:sz w:val="24"/>
        </w:rPr>
        <w:t>各省辖市住建局（委）：</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为切实保障建设工程施工人员的合法权益，有效控制和合理确定建设工程造价</w:t>
      </w:r>
      <w:r>
        <w:rPr>
          <w:rFonts w:eastAsia="方正仿宋_GBK"/>
          <w:color w:val="000000"/>
          <w:spacing w:val="-2"/>
          <w:kern w:val="0"/>
          <w:sz w:val="24"/>
        </w:rPr>
        <w:t>,</w:t>
      </w:r>
      <w:r>
        <w:rPr>
          <w:rFonts w:hint="eastAsia" w:eastAsia="方正仿宋_GBK"/>
          <w:color w:val="000000"/>
          <w:spacing w:val="-2"/>
          <w:kern w:val="0"/>
          <w:sz w:val="24"/>
        </w:rPr>
        <w:t>促进我省建筑业健康稳定发展，根据《建设工程工程量清单计价规范》的相关规定及我省建筑市场实际用工情况，经征求有关部门意见，决定对我省建设工程人工工资单价实行动态管理。现将有关事项通知如下：</w:t>
      </w:r>
      <w:r>
        <w:rPr>
          <w:rFonts w:eastAsia="方正仿宋_GBK"/>
          <w:color w:val="000000"/>
          <w:spacing w:val="-2"/>
          <w:kern w:val="0"/>
          <w:sz w:val="24"/>
        </w:rPr>
        <w:t xml:space="preserve"> </w:t>
      </w:r>
    </w:p>
    <w:p>
      <w:pPr>
        <w:tabs>
          <w:tab w:val="left" w:pos="0"/>
        </w:tabs>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一、我省建设工程人工工资单价发布分为预算人工工资单价与人工工资指导价两种形式。</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预算人工工资单价作为建设工程费用定额测算的依据，根据建筑市场用工成本变化适时调整，由省住房和城乡建设厅征求相关部门意见后作为政策性调整文件发布。</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人工工资指导价由各省辖市造价管理机构根据当地市场实际情况测算，报省建设工程造价管理总站审核，由省住房和城乡建设厅统一发布各市人工工资指导价。一般每年发布两次，执行时间分别是</w:t>
      </w:r>
      <w:r>
        <w:rPr>
          <w:rFonts w:eastAsia="方正仿宋_GBK"/>
          <w:color w:val="000000"/>
          <w:spacing w:val="-2"/>
          <w:kern w:val="0"/>
          <w:sz w:val="24"/>
        </w:rPr>
        <w:t>3</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w:t>
      </w:r>
      <w:r>
        <w:rPr>
          <w:rFonts w:eastAsia="方正仿宋_GBK"/>
          <w:color w:val="000000"/>
          <w:spacing w:val="-2"/>
          <w:kern w:val="0"/>
          <w:sz w:val="24"/>
        </w:rPr>
        <w:t>9</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日。当建筑市场用工发生大幅波动时，应适时发布人工工资指导价。</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二、人工工资指导价是建设工程编制概预算、招标控制价（最高限价）的依据，是施工企业投标报价的参考。</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建设单位应在招标文件中考虑人工工资指导价调整因素，原则上不得限制人工费用的合理调整。发承包双方应在施工合同中明确约定人工费调整方法。施工合同没有约定时，人工单价按照施工期间对应的人工工资指导价进行调整，并扣除原投标报价中人工单价相对于基准日人工工资指导价的让利部分。</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三、人工工资指导价作为动态反映市场用工成本变化的价格要素，计入定额基价，并计取相关费用。</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四、人工工资指导价主要依据建筑市场用工成本变化情况进行调整，同时应综合考虑当地居民消费价格指数、最低工资标准以及企业工资指导线等因素。</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五、人工工资指导价发布应按照现行定额人工分类。各市工程造价管理机构应与本地区有代表性的施工企业和建筑劳务公司合作，建立市场劳务用工成本测报机制。要求各市每个工种固定测报点不得少于</w:t>
      </w:r>
      <w:r>
        <w:rPr>
          <w:rFonts w:eastAsia="方正仿宋_GBK"/>
          <w:color w:val="000000"/>
          <w:spacing w:val="-2"/>
          <w:kern w:val="0"/>
          <w:sz w:val="24"/>
        </w:rPr>
        <w:t>5</w:t>
      </w:r>
      <w:r>
        <w:rPr>
          <w:rFonts w:hint="eastAsia" w:eastAsia="方正仿宋_GBK"/>
          <w:color w:val="000000"/>
          <w:spacing w:val="-2"/>
          <w:kern w:val="0"/>
          <w:sz w:val="24"/>
        </w:rPr>
        <w:t>个。具体测报办法另行发文。</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六、测算人工工资指导价应统一按职工每日工作</w:t>
      </w:r>
      <w:r>
        <w:rPr>
          <w:rFonts w:eastAsia="方正仿宋_GBK"/>
          <w:color w:val="000000"/>
          <w:spacing w:val="-2"/>
          <w:kern w:val="0"/>
          <w:sz w:val="24"/>
        </w:rPr>
        <w:t>8</w:t>
      </w:r>
      <w:r>
        <w:rPr>
          <w:rFonts w:hint="eastAsia" w:eastAsia="方正仿宋_GBK"/>
          <w:color w:val="000000"/>
          <w:spacing w:val="-2"/>
          <w:kern w:val="0"/>
          <w:sz w:val="24"/>
        </w:rPr>
        <w:t>小时计算，人工工资指导价是指直接支付给从事建设工程施工的生产职工的工资，其主要构成如下：</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．计时工资：按计时工资标准和工作时间支付给个人的劳动报酬。</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．计件工资：对已做工作按计件单价支付的劳动报酬。</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．奖金：支付给职工的超额劳动报酬和增收节支的劳动报酬。</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．津贴和补贴：为了补偿职工特殊或额外的劳动消耗和因其他特殊原因支付给职工的津贴，以及为了保证职工工资水平不受物价影响支付给职工的物价补贴。</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特殊情况下支付的工资：根据国家法律、法规和政策规定，因病、工伤、产假、计划生育假、婚丧假、事假、探亲假、定期休假、停工学习、执行国家或社会义务等原因按计时工资标准或计件工资标准的一定比例支付的工资。</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上述构成中不包含社会保障费和公积金中企业应为职工缴纳部分。</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七、本通知从</w:t>
      </w:r>
      <w:r>
        <w:rPr>
          <w:rFonts w:eastAsia="方正仿宋_GBK"/>
          <w:color w:val="000000"/>
          <w:spacing w:val="-2"/>
          <w:kern w:val="0"/>
          <w:sz w:val="24"/>
        </w:rPr>
        <w:t>2012</w:t>
      </w:r>
      <w:r>
        <w:rPr>
          <w:rFonts w:hint="eastAsia" w:eastAsia="方正仿宋_GBK"/>
          <w:color w:val="000000"/>
          <w:spacing w:val="-2"/>
          <w:kern w:val="0"/>
          <w:sz w:val="24"/>
        </w:rPr>
        <w:t>年</w:t>
      </w:r>
      <w:r>
        <w:rPr>
          <w:rFonts w:eastAsia="方正仿宋_GBK"/>
          <w:color w:val="000000"/>
          <w:spacing w:val="-2"/>
          <w:kern w:val="0"/>
          <w:sz w:val="24"/>
        </w:rPr>
        <w:t>12</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日起实施。各市应认真拟定措施，尽快实施到位，安排专人负责人工工资指导价的测报工作。</w:t>
      </w:r>
    </w:p>
    <w:p>
      <w:pPr>
        <w:spacing w:line="460" w:lineRule="exact"/>
        <w:ind w:firstLine="464" w:firstLineChars="200"/>
        <w:jc w:val="center"/>
        <w:rPr>
          <w:rFonts w:eastAsia="方正仿宋_GBK"/>
          <w:color w:val="000000"/>
          <w:spacing w:val="-2"/>
          <w:kern w:val="0"/>
          <w:sz w:val="24"/>
        </w:rPr>
      </w:pPr>
      <w:r>
        <w:rPr>
          <w:rFonts w:eastAsia="方正仿宋_GBK"/>
          <w:color w:val="000000"/>
          <w:spacing w:val="-2"/>
          <w:kern w:val="0"/>
          <w:sz w:val="24"/>
        </w:rPr>
        <w:t xml:space="preserve">                         </w:t>
      </w:r>
    </w:p>
    <w:p>
      <w:pPr>
        <w:spacing w:line="460" w:lineRule="exact"/>
        <w:ind w:right="391" w:rightChars="190"/>
        <w:jc w:val="right"/>
        <w:rPr>
          <w:rFonts w:eastAsia="方正仿宋_GBK"/>
          <w:color w:val="000000"/>
          <w:spacing w:val="-2"/>
          <w:kern w:val="0"/>
          <w:sz w:val="24"/>
        </w:rPr>
      </w:pPr>
      <w:r>
        <w:rPr>
          <w:rFonts w:hint="eastAsia" w:eastAsia="方正仿宋_GBK"/>
          <w:color w:val="000000"/>
          <w:spacing w:val="-2"/>
          <w:kern w:val="0"/>
          <w:sz w:val="24"/>
        </w:rPr>
        <w:t>江苏省住房和城乡建设厅</w:t>
      </w:r>
      <w:r>
        <w:rPr>
          <w:rFonts w:eastAsia="方正仿宋_GBK"/>
          <w:color w:val="000000"/>
          <w:spacing w:val="-2"/>
          <w:kern w:val="0"/>
          <w:sz w:val="24"/>
        </w:rPr>
        <w:t xml:space="preserve">    </w:t>
      </w:r>
    </w:p>
    <w:p>
      <w:pPr>
        <w:spacing w:line="460" w:lineRule="exact"/>
        <w:ind w:right="723" w:rightChars="351" w:firstLine="464" w:firstLineChars="200"/>
        <w:jc w:val="right"/>
        <w:rPr>
          <w:rFonts w:eastAsia="方正仿宋_GBK"/>
          <w:color w:val="000000"/>
          <w:spacing w:val="-2"/>
          <w:kern w:val="0"/>
          <w:sz w:val="24"/>
        </w:rPr>
      </w:pPr>
      <w:r>
        <w:rPr>
          <w:rFonts w:eastAsia="方正仿宋_GBK"/>
          <w:color w:val="000000"/>
          <w:spacing w:val="-2"/>
          <w:kern w:val="0"/>
          <w:sz w:val="24"/>
        </w:rPr>
        <w:t xml:space="preserve">                                  2012</w:t>
      </w:r>
      <w:r>
        <w:rPr>
          <w:rFonts w:hint="eastAsia" w:eastAsia="方正仿宋_GBK"/>
          <w:color w:val="000000"/>
          <w:spacing w:val="-2"/>
          <w:kern w:val="0"/>
          <w:sz w:val="24"/>
        </w:rPr>
        <w:t>年</w:t>
      </w:r>
      <w:r>
        <w:rPr>
          <w:rFonts w:eastAsia="方正仿宋_GBK"/>
          <w:color w:val="000000"/>
          <w:spacing w:val="-2"/>
          <w:kern w:val="0"/>
          <w:sz w:val="24"/>
        </w:rPr>
        <w:t>11</w:t>
      </w:r>
      <w:r>
        <w:rPr>
          <w:rFonts w:hint="eastAsia" w:eastAsia="方正仿宋_GBK"/>
          <w:color w:val="000000"/>
          <w:spacing w:val="-2"/>
          <w:kern w:val="0"/>
          <w:sz w:val="24"/>
        </w:rPr>
        <w:t>月</w:t>
      </w:r>
      <w:r>
        <w:rPr>
          <w:rFonts w:eastAsia="方正仿宋_GBK"/>
          <w:color w:val="000000"/>
          <w:spacing w:val="-2"/>
          <w:kern w:val="0"/>
          <w:sz w:val="24"/>
        </w:rPr>
        <w:t>12</w:t>
      </w:r>
      <w:r>
        <w:rPr>
          <w:rFonts w:hint="eastAsia" w:eastAsia="方正仿宋_GBK"/>
          <w:color w:val="000000"/>
          <w:spacing w:val="-2"/>
          <w:kern w:val="0"/>
          <w:sz w:val="24"/>
        </w:rPr>
        <w:t>日</w:t>
      </w:r>
      <w:r>
        <w:rPr>
          <w:rFonts w:eastAsia="方正仿宋_GBK"/>
          <w:color w:val="000000"/>
          <w:spacing w:val="-2"/>
          <w:kern w:val="0"/>
          <w:sz w:val="24"/>
        </w:rPr>
        <w:t xml:space="preserve">  </w:t>
      </w:r>
    </w:p>
    <w:p>
      <w:pPr>
        <w:spacing w:line="460" w:lineRule="exact"/>
        <w:rPr>
          <w:rFonts w:eastAsia="方正仿宋_GBK"/>
          <w:color w:val="000000"/>
          <w:spacing w:val="-2"/>
          <w:kern w:val="0"/>
          <w:sz w:val="24"/>
        </w:rPr>
      </w:pPr>
    </w:p>
    <w:p/>
    <w:p/>
    <w:p/>
    <w:p/>
    <w:p/>
    <w:p/>
    <w:p/>
    <w:p/>
    <w:p/>
    <w:p/>
    <w:p/>
    <w:p/>
    <w:p/>
    <w:p/>
    <w:p/>
    <w:p>
      <w:pPr>
        <w:pStyle w:val="2"/>
        <w:spacing w:before="590" w:beforeLines="100" w:after="590" w:afterLines="100" w:line="240" w:lineRule="auto"/>
        <w:jc w:val="center"/>
        <w:rPr>
          <w:rFonts w:ascii="Times New Roman" w:eastAsia="方正小标宋_GBK"/>
          <w:b w:val="0"/>
          <w:sz w:val="36"/>
          <w:szCs w:val="36"/>
        </w:rPr>
      </w:pPr>
      <w:bookmarkStart w:id="667" w:name="_Toc20726688"/>
      <w:bookmarkStart w:id="668" w:name="_Toc18315825"/>
      <w:r>
        <w:rPr>
          <w:rFonts w:hint="eastAsia" w:ascii="Times New Roman" w:eastAsia="方正小标宋_GBK"/>
          <w:b w:val="0"/>
          <w:sz w:val="36"/>
          <w:szCs w:val="36"/>
        </w:rPr>
        <w:t>省住房城乡建设厅关于简化工程造价咨询企业       设立分支机构备案程序等事项的通知</w:t>
      </w:r>
      <w:bookmarkEnd w:id="667"/>
      <w:bookmarkEnd w:id="668"/>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669" w:name="_Toc20726689"/>
      <w:bookmarkStart w:id="670" w:name="_Toc18315826"/>
      <w:r>
        <w:rPr>
          <w:rFonts w:hint="eastAsia" w:ascii="Times New Roman" w:hAnsi="Times New Roman" w:eastAsia="方正楷体_GBK"/>
          <w:b w:val="0"/>
          <w:sz w:val="24"/>
          <w:szCs w:val="24"/>
        </w:rPr>
        <w:t>苏建价〔</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501</w:t>
      </w:r>
      <w:r>
        <w:rPr>
          <w:rFonts w:hint="eastAsia" w:ascii="Times New Roman" w:hAnsi="Times New Roman" w:eastAsia="方正楷体_GBK"/>
          <w:b w:val="0"/>
          <w:sz w:val="24"/>
          <w:szCs w:val="24"/>
        </w:rPr>
        <w:t>号</w:t>
      </w:r>
      <w:bookmarkEnd w:id="669"/>
      <w:bookmarkEnd w:id="670"/>
    </w:p>
    <w:p>
      <w:pPr>
        <w:spacing w:line="460" w:lineRule="exact"/>
        <w:rPr>
          <w:rFonts w:eastAsia="方正仿宋_GBK"/>
          <w:color w:val="000000"/>
          <w:spacing w:val="-2"/>
          <w:kern w:val="0"/>
          <w:sz w:val="24"/>
        </w:rPr>
      </w:pPr>
      <w:r>
        <w:rPr>
          <w:rFonts w:eastAsia="方正仿宋_GBK"/>
          <w:color w:val="000000"/>
          <w:spacing w:val="-2"/>
          <w:kern w:val="0"/>
          <w:sz w:val="24"/>
        </w:rPr>
        <w:t> </w:t>
      </w:r>
      <w:r>
        <w:rPr>
          <w:rFonts w:hint="eastAsia" w:eastAsia="方正仿宋_GBK"/>
          <w:color w:val="000000"/>
          <w:spacing w:val="-2"/>
          <w:kern w:val="0"/>
          <w:sz w:val="24"/>
        </w:rPr>
        <w:t>各省辖市建设局（委），昆山市、泰兴市、沭阳县建设局：</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为贯彻落实国务院、省政府关于进一步简政放权、推进政府职能转变的要求，提高办事效率，做好服务工作，经研究，决定简化工程造价咨询企业设立分支机构备案程序等事项，具体事项通知如下：</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一、精简工程造价咨询企业设立分支机构备案程序</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xml:space="preserve">1. </w:t>
      </w:r>
      <w:r>
        <w:rPr>
          <w:rFonts w:hint="eastAsia" w:eastAsia="方正仿宋_GBK"/>
          <w:color w:val="000000"/>
          <w:spacing w:val="-2"/>
          <w:kern w:val="0"/>
          <w:sz w:val="24"/>
        </w:rPr>
        <w:t>外省造价咨询企业设立的分支机构所在地省辖市（含省管县，以下同）造价管理机构，将外省造价咨询企业（如系统中已有，则不录入）、分支机构基本信息录入管理系统单位库，通知省造价管理总站开通用户登录系统权限。</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xml:space="preserve">2. </w:t>
      </w:r>
      <w:r>
        <w:rPr>
          <w:rFonts w:hint="eastAsia" w:eastAsia="方正仿宋_GBK"/>
          <w:color w:val="000000"/>
          <w:spacing w:val="-2"/>
          <w:kern w:val="0"/>
          <w:sz w:val="24"/>
        </w:rPr>
        <w:t>外省企业登录系统填报母公司信息，并赋予分公司登陆系统密码，分公司登陆系统填报备案信息，并将备案材料扫描件传输至省辖市造价管理机构初审。</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xml:space="preserve">3. </w:t>
      </w:r>
      <w:r>
        <w:rPr>
          <w:rFonts w:hint="eastAsia" w:eastAsia="方正仿宋_GBK"/>
          <w:color w:val="000000"/>
          <w:spacing w:val="-2"/>
          <w:kern w:val="0"/>
          <w:sz w:val="24"/>
        </w:rPr>
        <w:t>市造价管理机构初审同意后，网上提交到省造价管理总站复核，复核同意的，省造价管理总站在网上发布备案公告。</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二、下放工程造价咨询企业在我省承接业务备案权限</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企业登录系统填报咨询项目备案信息，并网上提交到项目所在地省辖市造价管理机构（属省外企业首次在江苏承接业务的，还需省辖市造价管理机构将其核验其企业资质，录入管理系统单位库，还需省造价管理总站开通用户登录系统权限）。</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．省辖市造价管理机构在网上对备案项目信息进行核查，符合要求的在网上公布备案信息。</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以上工作调整自</w:t>
      </w:r>
      <w:r>
        <w:rPr>
          <w:rFonts w:eastAsia="方正仿宋_GBK"/>
          <w:color w:val="000000"/>
          <w:spacing w:val="-2"/>
          <w:kern w:val="0"/>
          <w:sz w:val="24"/>
        </w:rPr>
        <w:t>2013</w:t>
      </w:r>
      <w:r>
        <w:rPr>
          <w:rFonts w:hint="eastAsia" w:eastAsia="方正仿宋_GBK"/>
          <w:color w:val="000000"/>
          <w:spacing w:val="-2"/>
          <w:kern w:val="0"/>
          <w:sz w:val="24"/>
        </w:rPr>
        <w:t>年</w:t>
      </w:r>
      <w:r>
        <w:rPr>
          <w:rFonts w:eastAsia="方正仿宋_GBK"/>
          <w:color w:val="000000"/>
          <w:spacing w:val="-2"/>
          <w:kern w:val="0"/>
          <w:sz w:val="24"/>
        </w:rPr>
        <w:t>10</w:t>
      </w:r>
      <w:r>
        <w:rPr>
          <w:rFonts w:hint="eastAsia" w:eastAsia="方正仿宋_GBK"/>
          <w:color w:val="000000"/>
          <w:spacing w:val="-2"/>
          <w:kern w:val="0"/>
          <w:sz w:val="24"/>
        </w:rPr>
        <w:t>月</w:t>
      </w:r>
      <w:r>
        <w:rPr>
          <w:rFonts w:eastAsia="方正仿宋_GBK"/>
          <w:color w:val="000000"/>
          <w:spacing w:val="-2"/>
          <w:kern w:val="0"/>
          <w:sz w:val="24"/>
        </w:rPr>
        <w:t>15</w:t>
      </w:r>
      <w:r>
        <w:rPr>
          <w:rFonts w:hint="eastAsia" w:eastAsia="方正仿宋_GBK"/>
          <w:color w:val="000000"/>
          <w:spacing w:val="-2"/>
          <w:kern w:val="0"/>
          <w:sz w:val="24"/>
        </w:rPr>
        <w:t>日起执行。</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w:t>
      </w:r>
    </w:p>
    <w:p>
      <w:pPr>
        <w:spacing w:line="460" w:lineRule="exact"/>
        <w:ind w:right="430" w:rightChars="209" w:firstLine="464" w:firstLineChars="200"/>
        <w:jc w:val="right"/>
        <w:rPr>
          <w:rFonts w:eastAsia="方正仿宋_GBK"/>
          <w:color w:val="000000"/>
          <w:spacing w:val="-2"/>
          <w:kern w:val="0"/>
          <w:sz w:val="24"/>
        </w:rPr>
      </w:pPr>
      <w:r>
        <w:rPr>
          <w:rFonts w:hint="eastAsia" w:eastAsia="方正仿宋_GBK"/>
          <w:color w:val="000000"/>
          <w:spacing w:val="-2"/>
          <w:kern w:val="0"/>
          <w:sz w:val="24"/>
        </w:rPr>
        <w:t>江苏省住房和城乡建设厅</w:t>
      </w:r>
      <w:r>
        <w:rPr>
          <w:rFonts w:eastAsia="方正仿宋_GBK"/>
          <w:color w:val="000000"/>
          <w:spacing w:val="-2"/>
          <w:kern w:val="0"/>
          <w:sz w:val="24"/>
        </w:rPr>
        <w:t xml:space="preserve">    </w:t>
      </w:r>
    </w:p>
    <w:p>
      <w:pPr>
        <w:ind w:right="472" w:firstLine="5568" w:firstLineChars="2400"/>
      </w:pPr>
      <w:r>
        <w:rPr>
          <w:rFonts w:eastAsia="方正仿宋_GBK"/>
          <w:color w:val="000000"/>
          <w:spacing w:val="-2"/>
          <w:kern w:val="0"/>
          <w:sz w:val="24"/>
        </w:rPr>
        <w:t>2013</w:t>
      </w:r>
      <w:r>
        <w:rPr>
          <w:rFonts w:hint="eastAsia" w:eastAsia="方正仿宋_GBK"/>
          <w:color w:val="000000"/>
          <w:spacing w:val="-2"/>
          <w:kern w:val="0"/>
          <w:sz w:val="24"/>
        </w:rPr>
        <w:t>年</w:t>
      </w:r>
      <w:r>
        <w:rPr>
          <w:rFonts w:eastAsia="方正仿宋_GBK"/>
          <w:color w:val="000000"/>
          <w:spacing w:val="-2"/>
          <w:kern w:val="0"/>
          <w:sz w:val="24"/>
        </w:rPr>
        <w:t>10</w:t>
      </w:r>
      <w:r>
        <w:rPr>
          <w:rFonts w:hint="eastAsia" w:eastAsia="方正仿宋_GBK"/>
          <w:color w:val="000000"/>
          <w:spacing w:val="-2"/>
          <w:kern w:val="0"/>
          <w:sz w:val="24"/>
        </w:rPr>
        <w:t>月</w:t>
      </w:r>
      <w:r>
        <w:rPr>
          <w:rFonts w:eastAsia="方正仿宋_GBK"/>
          <w:color w:val="000000"/>
          <w:spacing w:val="-2"/>
          <w:kern w:val="0"/>
          <w:sz w:val="24"/>
        </w:rPr>
        <w:t>08</w:t>
      </w:r>
      <w:r>
        <w:rPr>
          <w:rFonts w:hint="eastAsia" w:eastAsia="方正仿宋_GBK"/>
          <w:color w:val="000000"/>
          <w:spacing w:val="-2"/>
          <w:kern w:val="0"/>
          <w:sz w:val="24"/>
        </w:rPr>
        <w:t>日</w:t>
      </w:r>
      <w:r>
        <w:rPr>
          <w:rFonts w:eastAsia="方正仿宋_GBK"/>
          <w:color w:val="000000"/>
          <w:spacing w:val="-2"/>
          <w:kern w:val="0"/>
          <w:sz w:val="24"/>
        </w:rPr>
        <w:t xml:space="preserve">       </w:t>
      </w:r>
    </w:p>
    <w:p/>
    <w:p/>
    <w:p>
      <w:pPr>
        <w:pStyle w:val="2"/>
        <w:spacing w:before="590" w:beforeLines="100" w:after="590" w:afterLines="100" w:line="240" w:lineRule="auto"/>
        <w:jc w:val="center"/>
        <w:rPr>
          <w:rFonts w:ascii="Times New Roman" w:eastAsia="方正小标宋_GBK"/>
          <w:b w:val="0"/>
          <w:sz w:val="36"/>
          <w:szCs w:val="36"/>
        </w:rPr>
      </w:pPr>
      <w:bookmarkStart w:id="671" w:name="_Toc18315827"/>
      <w:bookmarkStart w:id="672" w:name="_Toc20726690"/>
      <w:r>
        <w:rPr>
          <w:rFonts w:hint="eastAsia" w:ascii="Times New Roman" w:eastAsia="方正小标宋_GBK"/>
          <w:b w:val="0"/>
          <w:sz w:val="36"/>
          <w:szCs w:val="36"/>
        </w:rPr>
        <w:t>省住房城乡建设厅关于《建设工程工程量清单计价规范》（GB50500</w:t>
      </w:r>
      <w:r>
        <w:rPr>
          <w:rFonts w:ascii="Times New Roman" w:eastAsia="方正小标宋_GBK"/>
          <w:b w:val="0"/>
          <w:sz w:val="36"/>
          <w:szCs w:val="36"/>
        </w:rPr>
        <w:t>—</w:t>
      </w:r>
      <w:r>
        <w:rPr>
          <w:rFonts w:hint="eastAsia" w:ascii="Times New Roman" w:eastAsia="方正小标宋_GBK"/>
          <w:b w:val="0"/>
          <w:sz w:val="36"/>
          <w:szCs w:val="36"/>
        </w:rPr>
        <w:t>2013）及其9本工程量计算规范的       贯彻意见</w:t>
      </w:r>
      <w:bookmarkEnd w:id="671"/>
      <w:bookmarkEnd w:id="672"/>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673" w:name="_Toc18315828"/>
      <w:bookmarkStart w:id="674" w:name="_Toc20726691"/>
      <w:r>
        <w:rPr>
          <w:rFonts w:hint="eastAsia" w:ascii="Times New Roman" w:hAnsi="Times New Roman" w:eastAsia="方正楷体_GBK"/>
          <w:b w:val="0"/>
          <w:sz w:val="24"/>
          <w:szCs w:val="24"/>
        </w:rPr>
        <w:t>苏建价〔</w:t>
      </w:r>
      <w:r>
        <w:rPr>
          <w:rFonts w:ascii="Times New Roman" w:hAnsi="Times New Roman" w:eastAsia="方正楷体_GBK"/>
          <w:b w:val="0"/>
          <w:sz w:val="24"/>
          <w:szCs w:val="24"/>
        </w:rPr>
        <w:t>2014</w:t>
      </w:r>
      <w:r>
        <w:rPr>
          <w:rFonts w:hint="eastAsia" w:ascii="Times New Roman" w:hAnsi="Times New Roman" w:eastAsia="方正楷体_GBK"/>
          <w:b w:val="0"/>
          <w:sz w:val="24"/>
          <w:szCs w:val="24"/>
        </w:rPr>
        <w:t>〕</w:t>
      </w:r>
      <w:r>
        <w:rPr>
          <w:rFonts w:ascii="Times New Roman" w:hAnsi="Times New Roman" w:eastAsia="方正楷体_GBK"/>
          <w:b w:val="0"/>
          <w:sz w:val="24"/>
          <w:szCs w:val="24"/>
        </w:rPr>
        <w:t>448</w:t>
      </w:r>
      <w:r>
        <w:rPr>
          <w:rFonts w:hint="eastAsia" w:ascii="Times New Roman" w:hAnsi="Times New Roman" w:eastAsia="方正楷体_GBK"/>
          <w:b w:val="0"/>
          <w:sz w:val="24"/>
          <w:szCs w:val="24"/>
        </w:rPr>
        <w:t>号</w:t>
      </w:r>
      <w:bookmarkEnd w:id="673"/>
      <w:bookmarkEnd w:id="674"/>
    </w:p>
    <w:p>
      <w:pPr>
        <w:spacing w:line="460" w:lineRule="exact"/>
        <w:jc w:val="left"/>
        <w:rPr>
          <w:rFonts w:eastAsia="方正仿宋_GBK"/>
          <w:color w:val="000000"/>
          <w:spacing w:val="-2"/>
          <w:kern w:val="0"/>
          <w:sz w:val="24"/>
        </w:rPr>
      </w:pPr>
      <w:r>
        <w:rPr>
          <w:rFonts w:eastAsia="方正仿宋_GBK"/>
          <w:color w:val="000000"/>
          <w:spacing w:val="-2"/>
          <w:kern w:val="0"/>
          <w:sz w:val="24"/>
        </w:rPr>
        <w:t> </w:t>
      </w:r>
      <w:r>
        <w:rPr>
          <w:rFonts w:hint="eastAsia" w:eastAsia="方正仿宋_GBK"/>
          <w:color w:val="000000"/>
          <w:spacing w:val="-2"/>
          <w:kern w:val="0"/>
          <w:sz w:val="24"/>
        </w:rPr>
        <w:t>各省辖市建设局（建委），省各有关厅（局），各有关单位：</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为贯彻执行《建设工程工程量清单计价规范》（</w:t>
      </w:r>
      <w:r>
        <w:rPr>
          <w:rFonts w:eastAsia="方正仿宋_GBK"/>
          <w:color w:val="000000"/>
          <w:spacing w:val="-2"/>
          <w:kern w:val="0"/>
          <w:sz w:val="24"/>
        </w:rPr>
        <w:t>GB50500—2013</w:t>
      </w:r>
      <w:r>
        <w:rPr>
          <w:rFonts w:hint="eastAsia" w:eastAsia="方正仿宋_GBK"/>
          <w:color w:val="000000"/>
          <w:spacing w:val="-2"/>
          <w:kern w:val="0"/>
          <w:sz w:val="24"/>
        </w:rPr>
        <w:t>）（以下简称</w:t>
      </w:r>
      <w:r>
        <w:rPr>
          <w:rFonts w:eastAsia="方正仿宋_GBK"/>
          <w:color w:val="000000"/>
          <w:spacing w:val="-2"/>
          <w:kern w:val="0"/>
          <w:sz w:val="24"/>
        </w:rPr>
        <w:t>“2013</w:t>
      </w:r>
      <w:r>
        <w:rPr>
          <w:rFonts w:hint="eastAsia" w:eastAsia="方正仿宋_GBK"/>
          <w:color w:val="000000"/>
          <w:spacing w:val="-2"/>
          <w:kern w:val="0"/>
          <w:sz w:val="24"/>
        </w:rPr>
        <w:t>版计价规范</w:t>
      </w:r>
      <w:r>
        <w:rPr>
          <w:rFonts w:eastAsia="方正仿宋_GBK"/>
          <w:color w:val="000000"/>
          <w:spacing w:val="-2"/>
          <w:kern w:val="0"/>
          <w:sz w:val="24"/>
        </w:rPr>
        <w:t>”</w:t>
      </w:r>
      <w:r>
        <w:rPr>
          <w:rFonts w:hint="eastAsia" w:eastAsia="方正仿宋_GBK"/>
          <w:color w:val="000000"/>
          <w:spacing w:val="-2"/>
          <w:kern w:val="0"/>
          <w:sz w:val="24"/>
        </w:rPr>
        <w:t>）及《房屋建筑与装饰工程工程量计算规范》（</w:t>
      </w:r>
      <w:r>
        <w:rPr>
          <w:rFonts w:eastAsia="方正仿宋_GBK"/>
          <w:color w:val="000000"/>
          <w:spacing w:val="-2"/>
          <w:kern w:val="0"/>
          <w:sz w:val="24"/>
        </w:rPr>
        <w:t>GB50854-2013</w:t>
      </w:r>
      <w:r>
        <w:rPr>
          <w:rFonts w:hint="eastAsia" w:eastAsia="方正仿宋_GBK"/>
          <w:color w:val="000000"/>
          <w:spacing w:val="-2"/>
          <w:kern w:val="0"/>
          <w:sz w:val="24"/>
        </w:rPr>
        <w:t>）等</w:t>
      </w:r>
      <w:r>
        <w:rPr>
          <w:rFonts w:eastAsia="方正仿宋_GBK"/>
          <w:color w:val="000000"/>
          <w:spacing w:val="-2"/>
          <w:kern w:val="0"/>
          <w:sz w:val="24"/>
        </w:rPr>
        <w:t>9</w:t>
      </w:r>
      <w:r>
        <w:rPr>
          <w:rFonts w:hint="eastAsia" w:eastAsia="方正仿宋_GBK"/>
          <w:color w:val="000000"/>
          <w:spacing w:val="-2"/>
          <w:kern w:val="0"/>
          <w:sz w:val="24"/>
        </w:rPr>
        <w:t>本工程量计算规范（以下简称</w:t>
      </w:r>
      <w:r>
        <w:rPr>
          <w:rFonts w:eastAsia="方正仿宋_GBK"/>
          <w:color w:val="000000"/>
          <w:spacing w:val="-2"/>
          <w:kern w:val="0"/>
          <w:sz w:val="24"/>
        </w:rPr>
        <w:t>“2013</w:t>
      </w:r>
      <w:r>
        <w:rPr>
          <w:rFonts w:hint="eastAsia" w:eastAsia="方正仿宋_GBK"/>
          <w:color w:val="000000"/>
          <w:spacing w:val="-2"/>
          <w:kern w:val="0"/>
          <w:sz w:val="24"/>
        </w:rPr>
        <w:t>版计算规范</w:t>
      </w:r>
      <w:r>
        <w:rPr>
          <w:rFonts w:eastAsia="方正仿宋_GBK"/>
          <w:color w:val="000000"/>
          <w:spacing w:val="-2"/>
          <w:kern w:val="0"/>
          <w:sz w:val="24"/>
        </w:rPr>
        <w:t>”</w:t>
      </w:r>
      <w:r>
        <w:rPr>
          <w:rFonts w:hint="eastAsia" w:eastAsia="方正仿宋_GBK"/>
          <w:color w:val="000000"/>
          <w:spacing w:val="-2"/>
          <w:kern w:val="0"/>
          <w:sz w:val="24"/>
        </w:rPr>
        <w:t>），现结合我省实际情况，就执行</w:t>
      </w:r>
      <w:r>
        <w:rPr>
          <w:rFonts w:eastAsia="方正仿宋_GBK"/>
          <w:color w:val="000000"/>
          <w:spacing w:val="-2"/>
          <w:kern w:val="0"/>
          <w:sz w:val="24"/>
        </w:rPr>
        <w:t>2013</w:t>
      </w:r>
      <w:r>
        <w:rPr>
          <w:rFonts w:hint="eastAsia" w:eastAsia="方正仿宋_GBK"/>
          <w:color w:val="000000"/>
          <w:spacing w:val="-2"/>
          <w:kern w:val="0"/>
          <w:sz w:val="24"/>
        </w:rPr>
        <w:t>版计价规范和计算规范的有关问题提出如下意见，请遵照执行。</w:t>
      </w:r>
    </w:p>
    <w:p>
      <w:pPr>
        <w:spacing w:line="460" w:lineRule="exact"/>
        <w:ind w:firstLine="464"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一、严格执行2013版计价规范和计算规范</w:t>
      </w:r>
    </w:p>
    <w:p>
      <w:pPr>
        <w:spacing w:line="460" w:lineRule="exact"/>
        <w:ind w:firstLine="464"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w:t>
      </w:r>
      <w:r>
        <w:rPr>
          <w:rFonts w:eastAsia="方正仿宋_GBK"/>
          <w:color w:val="000000"/>
          <w:spacing w:val="-2"/>
          <w:kern w:val="0"/>
          <w:sz w:val="24"/>
        </w:rPr>
        <w:t>2013</w:t>
      </w:r>
      <w:r>
        <w:rPr>
          <w:rFonts w:hint="eastAsia" w:eastAsia="方正仿宋_GBK"/>
          <w:color w:val="000000"/>
          <w:spacing w:val="-2"/>
          <w:kern w:val="0"/>
          <w:sz w:val="24"/>
        </w:rPr>
        <w:t>版计价规范和计算规范作为国家标准，规范了工程建设各方的计价行为，统一了建设工程计价文件的编制原则和计价方法。工程建设各方在建设工程计价管理活动中应严格执行</w:t>
      </w:r>
      <w:r>
        <w:rPr>
          <w:rFonts w:eastAsia="方正仿宋_GBK"/>
          <w:color w:val="000000"/>
          <w:spacing w:val="-2"/>
          <w:kern w:val="0"/>
          <w:sz w:val="24"/>
        </w:rPr>
        <w:t>2013</w:t>
      </w:r>
      <w:r>
        <w:rPr>
          <w:rFonts w:hint="eastAsia" w:eastAsia="方正仿宋_GBK"/>
          <w:color w:val="000000"/>
          <w:spacing w:val="-2"/>
          <w:kern w:val="0"/>
          <w:sz w:val="24"/>
        </w:rPr>
        <w:t>版计价规范和计算规范。</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、国有资金投资的建设工程项目以及依法必须招标的非国有资金投资建设工程项目，必须采用工程量清单计价，严格执行</w:t>
      </w:r>
      <w:r>
        <w:rPr>
          <w:rFonts w:eastAsia="方正仿宋_GBK"/>
          <w:color w:val="000000"/>
          <w:spacing w:val="-2"/>
          <w:kern w:val="0"/>
          <w:sz w:val="24"/>
        </w:rPr>
        <w:t>2013</w:t>
      </w:r>
      <w:r>
        <w:rPr>
          <w:rFonts w:hint="eastAsia" w:eastAsia="方正仿宋_GBK"/>
          <w:color w:val="000000"/>
          <w:spacing w:val="-2"/>
          <w:kern w:val="0"/>
          <w:sz w:val="24"/>
        </w:rPr>
        <w:t>版计价规范和计算规范。</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工程造价文件的编制与审核（核对）应由具有相应资格的工程造价专业人员承担。接受委托从事建设工程造价咨询活动的企业应具有相应的工程造价咨询资质。招标代理机构可以从事其代理招标的建设工程项目的工程量清单与招标控制价的编制工作。</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、国有资金投资的建设工程招标，招标人必须编制招标控制价。招标控制价作为最高投标限价，应按照</w:t>
      </w:r>
      <w:r>
        <w:rPr>
          <w:rFonts w:eastAsia="方正仿宋_GBK"/>
          <w:color w:val="000000"/>
          <w:spacing w:val="-2"/>
          <w:kern w:val="0"/>
          <w:sz w:val="24"/>
        </w:rPr>
        <w:t>2013</w:t>
      </w:r>
      <w:r>
        <w:rPr>
          <w:rFonts w:hint="eastAsia" w:eastAsia="方正仿宋_GBK"/>
          <w:color w:val="000000"/>
          <w:spacing w:val="-2"/>
          <w:kern w:val="0"/>
          <w:sz w:val="24"/>
        </w:rPr>
        <w:t>版计价规范和计算规范的规定编制，不应上调或下浮。各市不再发布招标控制价调整系数。</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招标人应在发布招标文件时公布招标控制价，同时应将招标控制价及有关资料报工程所在地工程造价管理机构备案。公布的招标控制价文件应包括</w:t>
      </w:r>
      <w:r>
        <w:rPr>
          <w:rFonts w:eastAsia="方正仿宋_GBK"/>
          <w:color w:val="000000"/>
          <w:spacing w:val="-2"/>
          <w:kern w:val="0"/>
          <w:sz w:val="24"/>
        </w:rPr>
        <w:t>2013</w:t>
      </w:r>
      <w:r>
        <w:rPr>
          <w:rFonts w:hint="eastAsia" w:eastAsia="方正仿宋_GBK"/>
          <w:color w:val="000000"/>
          <w:spacing w:val="-2"/>
          <w:kern w:val="0"/>
          <w:sz w:val="24"/>
        </w:rPr>
        <w:t>版计价规范规定的除表</w:t>
      </w:r>
      <w:r>
        <w:rPr>
          <w:rFonts w:eastAsia="方正仿宋_GBK"/>
          <w:color w:val="000000"/>
          <w:spacing w:val="-2"/>
          <w:kern w:val="0"/>
          <w:sz w:val="24"/>
        </w:rPr>
        <w:t>-09“</w:t>
      </w:r>
      <w:r>
        <w:rPr>
          <w:rFonts w:hint="eastAsia" w:eastAsia="方正仿宋_GBK"/>
          <w:color w:val="000000"/>
          <w:spacing w:val="-2"/>
          <w:kern w:val="0"/>
          <w:sz w:val="24"/>
        </w:rPr>
        <w:t>综合单价分析表</w:t>
      </w:r>
      <w:r>
        <w:rPr>
          <w:rFonts w:eastAsia="方正仿宋_GBK"/>
          <w:color w:val="000000"/>
          <w:spacing w:val="-2"/>
          <w:kern w:val="0"/>
          <w:sz w:val="24"/>
        </w:rPr>
        <w:t>”</w:t>
      </w:r>
      <w:r>
        <w:rPr>
          <w:rFonts w:hint="eastAsia" w:eastAsia="方正仿宋_GBK"/>
          <w:color w:val="000000"/>
          <w:spacing w:val="-2"/>
          <w:kern w:val="0"/>
          <w:sz w:val="24"/>
        </w:rPr>
        <w:t>以外的所有招标控制价使用表格。投标人对招标控制价有异议的，应向招标人提出；招标人不答复或对招标人答复不满意时，投标人可按规定程序向工程所在地造价管理机构投诉。</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、建设工程发承包，招标文件、施工合同中有关工程计价的条款应根据</w:t>
      </w:r>
      <w:r>
        <w:rPr>
          <w:rFonts w:eastAsia="方正仿宋_GBK"/>
          <w:color w:val="000000"/>
          <w:spacing w:val="-2"/>
          <w:kern w:val="0"/>
          <w:sz w:val="24"/>
        </w:rPr>
        <w:t>2013</w:t>
      </w:r>
      <w:r>
        <w:rPr>
          <w:rFonts w:hint="eastAsia" w:eastAsia="方正仿宋_GBK"/>
          <w:color w:val="000000"/>
          <w:spacing w:val="-2"/>
          <w:kern w:val="0"/>
          <w:sz w:val="24"/>
        </w:rPr>
        <w:t>版计价规范的要求制定。实行工程量清单计价的建设项目应采用单价合同。</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招标文件、施工合同必须明确计价中的风险内容及其范围，不得采用无限风险、所有风险或类似语句规定计价中的风险内容及其范围。在风险因素中，国家法律、法规、规章和政策变化，省级建设行政主管部门发布的建设工程人工工资指导价调整，实行政府定价管理的水、电、燃油、燃气价格调整，应由发包人承担。在招标文件备案时，招投标监管机构发现风险条款设置不合理的，应责令修改。</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、在办理施工合同备案时，建设行政主管部门发现施工合同中合同形式、风险范围、价款调整等条款与招标文件不一致时，应责令改正。</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7</w:t>
      </w:r>
      <w:r>
        <w:rPr>
          <w:rFonts w:hint="eastAsia" w:eastAsia="方正仿宋_GBK"/>
          <w:color w:val="000000"/>
          <w:spacing w:val="-2"/>
          <w:kern w:val="0"/>
          <w:sz w:val="24"/>
        </w:rPr>
        <w:t>、</w:t>
      </w:r>
      <w:r>
        <w:rPr>
          <w:rFonts w:eastAsia="方正仿宋_GBK"/>
          <w:color w:val="000000"/>
          <w:spacing w:val="-2"/>
          <w:kern w:val="0"/>
          <w:sz w:val="24"/>
        </w:rPr>
        <w:t>2013</w:t>
      </w:r>
      <w:r>
        <w:rPr>
          <w:rFonts w:hint="eastAsia" w:eastAsia="方正仿宋_GBK"/>
          <w:color w:val="000000"/>
          <w:spacing w:val="-2"/>
          <w:kern w:val="0"/>
          <w:sz w:val="24"/>
        </w:rPr>
        <w:t>版计价规范和计算规范中以黑体字标志的强制性条文必须严格执行。</w:t>
      </w:r>
    </w:p>
    <w:p>
      <w:pPr>
        <w:spacing w:line="460" w:lineRule="exact"/>
        <w:ind w:firstLine="464"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二、对2013版计价规范和计算规范中有关内容的明确和调整</w:t>
      </w:r>
    </w:p>
    <w:p>
      <w:pPr>
        <w:spacing w:line="460" w:lineRule="exact"/>
        <w:ind w:firstLine="464" w:firstLineChars="200"/>
        <w:rPr>
          <w:rFonts w:hint="eastAsia" w:ascii="Times New Roman" w:eastAsia="方正楷体_GBK"/>
          <w:color w:val="000000"/>
          <w:spacing w:val="-2"/>
          <w:kern w:val="0"/>
          <w:sz w:val="24"/>
        </w:rPr>
      </w:pPr>
      <w:r>
        <w:rPr>
          <w:rFonts w:hint="eastAsia" w:ascii="Times New Roman" w:eastAsia="方正楷体_GBK"/>
          <w:color w:val="000000"/>
          <w:spacing w:val="-2"/>
          <w:kern w:val="0"/>
          <w:sz w:val="24"/>
        </w:rPr>
        <w:t>（一）2013版计价规范</w:t>
      </w:r>
    </w:p>
    <w:p>
      <w:pPr>
        <w:spacing w:line="460" w:lineRule="exact"/>
        <w:ind w:firstLine="464"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、发包人提供的材料和工程设备（以下简称甲供材料）应在招标文件中按照</w:t>
      </w:r>
      <w:r>
        <w:rPr>
          <w:rFonts w:eastAsia="方正仿宋_GBK"/>
          <w:color w:val="000000"/>
          <w:spacing w:val="-2"/>
          <w:kern w:val="0"/>
          <w:sz w:val="24"/>
        </w:rPr>
        <w:t>2013</w:t>
      </w:r>
      <w:r>
        <w:rPr>
          <w:rFonts w:hint="eastAsia" w:eastAsia="方正仿宋_GBK"/>
          <w:color w:val="000000"/>
          <w:spacing w:val="-2"/>
          <w:kern w:val="0"/>
          <w:sz w:val="24"/>
        </w:rPr>
        <w:t>版计价规范附录</w:t>
      </w:r>
      <w:r>
        <w:rPr>
          <w:rFonts w:eastAsia="方正仿宋_GBK"/>
          <w:color w:val="000000"/>
          <w:spacing w:val="-2"/>
          <w:kern w:val="0"/>
          <w:sz w:val="24"/>
        </w:rPr>
        <w:t>L.1</w:t>
      </w:r>
      <w:r>
        <w:rPr>
          <w:rFonts w:hint="eastAsia" w:eastAsia="方正仿宋_GBK"/>
          <w:color w:val="000000"/>
          <w:spacing w:val="-2"/>
          <w:kern w:val="0"/>
          <w:sz w:val="24"/>
        </w:rPr>
        <w:t>的规定填写《发包人提供材料和设备一览表》，写明甲供材料的名称、规格、单价、交货方式、交货地点等。未写明交货方式和交货地点的，视为甲供材料运送至施工现场指定地点并由发包人承担甲供材料的卸力费用。</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投标人投标时，甲供材料的名称、规格、单价、交货方式、交货地点等必须与招标工程量清单一致。甲供材料价格应计入相应项目的综合单价中，数量由投标人根据自身的施工技术和管理水平自主确定。</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、发承包双方应在施工合同专用条款中约定甲供材料价款扣除的价格、时间以及领料量超出或少于所报数量时价款的处理办法。没有约定时，按下述原则执行：</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1</w:t>
      </w:r>
      <w:r>
        <w:rPr>
          <w:rFonts w:hint="eastAsia" w:eastAsia="方正仿宋_GBK"/>
          <w:color w:val="000000"/>
          <w:spacing w:val="-2"/>
          <w:kern w:val="0"/>
          <w:sz w:val="24"/>
        </w:rPr>
        <w:t>）结算时甲供材料应按发包人采购材料的加权平均价格（含采购保管费）计入相应项目的综合单价中。承包人退还甲供材料价款时，应按甲供材料实际采购价格（含采购保管费）除以</w:t>
      </w:r>
      <w:r>
        <w:rPr>
          <w:rFonts w:eastAsia="方正仿宋_GBK"/>
          <w:color w:val="000000"/>
          <w:spacing w:val="-2"/>
          <w:kern w:val="0"/>
          <w:sz w:val="24"/>
        </w:rPr>
        <w:t>1.01</w:t>
      </w:r>
      <w:r>
        <w:rPr>
          <w:rFonts w:hint="eastAsia" w:eastAsia="方正仿宋_GBK"/>
          <w:color w:val="000000"/>
          <w:spacing w:val="-2"/>
          <w:kern w:val="0"/>
          <w:sz w:val="24"/>
        </w:rPr>
        <w:t>，退给发包人（</w:t>
      </w:r>
      <w:r>
        <w:rPr>
          <w:rFonts w:eastAsia="方正仿宋_GBK"/>
          <w:color w:val="000000"/>
          <w:spacing w:val="-2"/>
          <w:kern w:val="0"/>
          <w:sz w:val="24"/>
        </w:rPr>
        <w:t>1%</w:t>
      </w:r>
      <w:r>
        <w:rPr>
          <w:rFonts w:hint="eastAsia" w:eastAsia="方正仿宋_GBK"/>
          <w:color w:val="000000"/>
          <w:spacing w:val="-2"/>
          <w:kern w:val="0"/>
          <w:sz w:val="24"/>
        </w:rPr>
        <w:t>作为承包人的现场保管费）。</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2</w:t>
      </w:r>
      <w:r>
        <w:rPr>
          <w:rFonts w:hint="eastAsia" w:eastAsia="方正仿宋_GBK"/>
          <w:color w:val="000000"/>
          <w:spacing w:val="-2"/>
          <w:kern w:val="0"/>
          <w:sz w:val="24"/>
        </w:rPr>
        <w:t>）领料量超出承包人在投标文件中所报数量时，超出部分的甲供材料由承包人按照发包人采购材料的加权平均价格支付给发包人；领料量少于承包人在投标文件中所报数量时，节余部分的甲供材料归承包人。</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、对</w:t>
      </w:r>
      <w:r>
        <w:rPr>
          <w:rFonts w:eastAsia="方正仿宋_GBK"/>
          <w:color w:val="000000"/>
          <w:spacing w:val="-2"/>
          <w:kern w:val="0"/>
          <w:sz w:val="24"/>
        </w:rPr>
        <w:t>2013</w:t>
      </w:r>
      <w:r>
        <w:rPr>
          <w:rFonts w:hint="eastAsia" w:eastAsia="方正仿宋_GBK"/>
          <w:color w:val="000000"/>
          <w:spacing w:val="-2"/>
          <w:kern w:val="0"/>
          <w:sz w:val="24"/>
        </w:rPr>
        <w:t>版计算规范中未列的措施项目，招标人可根据建设工程实际情况进行补充。对招标人所列的措施项目，投标人可根据工程实际与施工组织设计进行增补，但不应更改招标人已列措施项目。结算时，除工程变更引起施工方案改变外，承包人不得以招标工程措施项目清单缺项为由要求新增措施项目。</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因工程变更造成施工方案变更，引起措施项目发生变化时，措施项目费的调整，合同有约定的，按合同执行。合同中没有约定的按下列原则调整：单价措施项目变更原则同分部分项工程；总价措施项目中以费率报价的，费率不变；总价项目中以费用报价的，按投标时口径折算成费率调整；原措施费中没有的措施项目，由承包人提出适当的措施费变更要求，经发包人确认后调整。</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、暂列金额不宜超过分部分项工程费的</w:t>
      </w:r>
      <w:r>
        <w:rPr>
          <w:rFonts w:eastAsia="方正仿宋_GBK"/>
          <w:color w:val="000000"/>
          <w:spacing w:val="-2"/>
          <w:kern w:val="0"/>
          <w:sz w:val="24"/>
        </w:rPr>
        <w:t>10%</w:t>
      </w:r>
      <w:r>
        <w:rPr>
          <w:rFonts w:hint="eastAsia" w:eastAsia="方正仿宋_GBK"/>
          <w:color w:val="000000"/>
          <w:spacing w:val="-2"/>
          <w:kern w:val="0"/>
          <w:sz w:val="24"/>
        </w:rPr>
        <w:t>。招标工程量清单中暂估价材料的单价由招标人给定，材料单价中应包括场外运输与采购保管费。</w:t>
      </w:r>
      <w:r>
        <w:rPr>
          <w:rFonts w:eastAsia="方正仿宋_GBK"/>
          <w:color w:val="000000"/>
          <w:spacing w:val="-2"/>
          <w:kern w:val="0"/>
          <w:sz w:val="24"/>
        </w:rPr>
        <w:t>“</w:t>
      </w:r>
      <w:r>
        <w:rPr>
          <w:rFonts w:hint="eastAsia" w:eastAsia="方正仿宋_GBK"/>
          <w:color w:val="000000"/>
          <w:spacing w:val="-2"/>
          <w:kern w:val="0"/>
          <w:sz w:val="24"/>
        </w:rPr>
        <w:t>专业工程暂估价</w:t>
      </w:r>
      <w:r>
        <w:rPr>
          <w:rFonts w:eastAsia="方正仿宋_GBK"/>
          <w:color w:val="000000"/>
          <w:spacing w:val="-2"/>
          <w:kern w:val="0"/>
          <w:sz w:val="24"/>
        </w:rPr>
        <w:t>”</w:t>
      </w:r>
      <w:r>
        <w:rPr>
          <w:rFonts w:hint="eastAsia" w:eastAsia="方正仿宋_GBK"/>
          <w:color w:val="000000"/>
          <w:spacing w:val="-2"/>
          <w:kern w:val="0"/>
          <w:sz w:val="24"/>
        </w:rPr>
        <w:t>中不包含规费和税金。暂估价的专业工程达到依法必须招标的标准时，须通过招标确定承包人。</w:t>
      </w:r>
    </w:p>
    <w:p>
      <w:pPr>
        <w:spacing w:line="460" w:lineRule="exact"/>
        <w:ind w:firstLine="464" w:firstLineChars="200"/>
        <w:rPr>
          <w:rFonts w:ascii="Times New Roman" w:eastAsia="方正楷体_GBK"/>
          <w:color w:val="000000"/>
          <w:spacing w:val="-2"/>
          <w:kern w:val="0"/>
          <w:sz w:val="24"/>
        </w:rPr>
      </w:pPr>
      <w:r>
        <w:rPr>
          <w:rFonts w:hint="eastAsia" w:ascii="Times New Roman" w:eastAsia="方正楷体_GBK"/>
          <w:color w:val="000000"/>
          <w:spacing w:val="-2"/>
          <w:kern w:val="0"/>
          <w:sz w:val="24"/>
        </w:rPr>
        <w:t>（二）2013版计算规范</w:t>
      </w:r>
    </w:p>
    <w:p>
      <w:pPr>
        <w:spacing w:line="460" w:lineRule="exact"/>
        <w:ind w:firstLine="464"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、各专业计算规范的共性规定</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1</w:t>
      </w:r>
      <w:r>
        <w:rPr>
          <w:rFonts w:hint="eastAsia" w:eastAsia="方正仿宋_GBK"/>
          <w:color w:val="000000"/>
          <w:spacing w:val="-2"/>
          <w:kern w:val="0"/>
          <w:sz w:val="24"/>
        </w:rPr>
        <w:t>）由于实际招标工程形式多样，为了便于操作，同一单位工程的项目编码不得有重复，不强制要求同一招标工程的项目编码不得重复。</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2</w:t>
      </w:r>
      <w:r>
        <w:rPr>
          <w:rFonts w:hint="eastAsia" w:eastAsia="方正仿宋_GBK"/>
          <w:color w:val="000000"/>
          <w:spacing w:val="-2"/>
          <w:kern w:val="0"/>
          <w:sz w:val="24"/>
        </w:rPr>
        <w:t>）计算规范中工程量计算规则表述不明确时，可以参照江苏省各专业计价定额的工程量计算规则，并且应在工程量清单编制总说明中明确。</w:t>
      </w:r>
    </w:p>
    <w:p>
      <w:pPr>
        <w:spacing w:line="460" w:lineRule="exact"/>
        <w:ind w:firstLine="464" w:firstLineChars="200"/>
        <w:rPr>
          <w:rFonts w:eastAsia="方正仿宋_GBK"/>
          <w:color w:val="000000"/>
          <w:spacing w:val="-6"/>
          <w:kern w:val="0"/>
          <w:sz w:val="24"/>
        </w:rPr>
      </w:pPr>
      <w:r>
        <w:rPr>
          <w:rFonts w:hint="eastAsia" w:eastAsia="方正仿宋_GBK"/>
          <w:color w:val="000000"/>
          <w:spacing w:val="-2"/>
          <w:kern w:val="0"/>
          <w:sz w:val="24"/>
        </w:rPr>
        <w:t>（</w:t>
      </w:r>
      <w:r>
        <w:rPr>
          <w:rFonts w:eastAsia="方正仿宋_GBK"/>
          <w:color w:val="000000"/>
          <w:spacing w:val="-2"/>
          <w:kern w:val="0"/>
          <w:sz w:val="24"/>
        </w:rPr>
        <w:t>3</w:t>
      </w:r>
      <w:r>
        <w:rPr>
          <w:rFonts w:hint="eastAsia" w:eastAsia="方正仿宋_GBK"/>
          <w:color w:val="000000"/>
          <w:spacing w:val="-2"/>
          <w:kern w:val="0"/>
          <w:sz w:val="24"/>
        </w:rPr>
        <w:t>）</w:t>
      </w:r>
      <w:r>
        <w:rPr>
          <w:rFonts w:hint="eastAsia" w:eastAsia="方正仿宋_GBK"/>
          <w:color w:val="000000"/>
          <w:spacing w:val="-6"/>
          <w:kern w:val="0"/>
          <w:sz w:val="24"/>
        </w:rPr>
        <w:t>挖沟槽、基坑、一般土方因工作面和放坡增加的工程量并入各土方工程量中。</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4</w:t>
      </w:r>
      <w:r>
        <w:rPr>
          <w:rFonts w:hint="eastAsia" w:eastAsia="方正仿宋_GBK"/>
          <w:color w:val="000000"/>
          <w:spacing w:val="-2"/>
          <w:kern w:val="0"/>
          <w:sz w:val="24"/>
        </w:rPr>
        <w:t>）采用预拌混凝土（包括屋面、地面细石混凝土）及预拌砂浆时，应在项目特征中描述或在清单编制说明中明确。</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5</w:t>
      </w:r>
      <w:r>
        <w:rPr>
          <w:rFonts w:hint="eastAsia" w:eastAsia="方正仿宋_GBK"/>
          <w:color w:val="000000"/>
          <w:spacing w:val="-2"/>
          <w:kern w:val="0"/>
          <w:sz w:val="24"/>
        </w:rPr>
        <w:t>）除市政工程外，现浇混凝土模板不与混凝土合并，在措施项目中列项。市政工程现浇混凝土模板包含在相应的混凝土的项目中。</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预制混凝土的模板包含在相应预制混凝土的项目中。</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6</w:t>
      </w:r>
      <w:r>
        <w:rPr>
          <w:rFonts w:hint="eastAsia" w:eastAsia="方正仿宋_GBK"/>
          <w:color w:val="000000"/>
          <w:spacing w:val="-2"/>
          <w:kern w:val="0"/>
          <w:sz w:val="24"/>
        </w:rPr>
        <w:t>）单价措施项目中，大型机械设备进出场及安拆计量单位调整为项，项目特征可不描述。</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、各专业计算规范分部分项工程部分</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1</w:t>
      </w:r>
      <w:r>
        <w:rPr>
          <w:rFonts w:hint="eastAsia" w:eastAsia="方正仿宋_GBK"/>
          <w:color w:val="000000"/>
          <w:spacing w:val="-2"/>
          <w:kern w:val="0"/>
          <w:sz w:val="24"/>
        </w:rPr>
        <w:t>）建筑与装饰工程</w:t>
      </w:r>
    </w:p>
    <w:p>
      <w:pPr>
        <w:spacing w:line="460" w:lineRule="exact"/>
        <w:ind w:firstLine="464" w:firstLineChars="200"/>
        <w:rPr>
          <w:rFonts w:eastAsia="方正仿宋_GBK"/>
          <w:color w:val="000000"/>
          <w:spacing w:val="-2"/>
          <w:kern w:val="0"/>
          <w:sz w:val="24"/>
        </w:rPr>
      </w:pPr>
      <w:r>
        <w:rPr>
          <w:rFonts w:hint="eastAsia" w:ascii="Times New Roman" w:hAnsi="Times New Roman" w:cs="宋体"/>
          <w:color w:val="000000"/>
          <w:spacing w:val="-2"/>
          <w:kern w:val="0"/>
          <w:sz w:val="24"/>
        </w:rPr>
        <w:t>①</w:t>
      </w:r>
      <w:r>
        <w:rPr>
          <w:rFonts w:eastAsia="方正仿宋_GBK"/>
          <w:color w:val="000000"/>
          <w:spacing w:val="-2"/>
          <w:kern w:val="0"/>
          <w:sz w:val="24"/>
        </w:rPr>
        <w:t>010401003</w:t>
      </w:r>
      <w:r>
        <w:rPr>
          <w:rFonts w:hint="eastAsia" w:eastAsia="方正仿宋_GBK"/>
          <w:color w:val="000000"/>
          <w:spacing w:val="-2"/>
          <w:kern w:val="0"/>
          <w:sz w:val="24"/>
        </w:rPr>
        <w:t>实心砖墙、</w:t>
      </w:r>
      <w:r>
        <w:rPr>
          <w:rFonts w:eastAsia="方正仿宋_GBK"/>
          <w:color w:val="000000"/>
          <w:spacing w:val="-2"/>
          <w:kern w:val="0"/>
          <w:sz w:val="24"/>
        </w:rPr>
        <w:t>010401004</w:t>
      </w:r>
      <w:r>
        <w:rPr>
          <w:rFonts w:hint="eastAsia" w:eastAsia="方正仿宋_GBK"/>
          <w:color w:val="000000"/>
          <w:spacing w:val="-2"/>
          <w:kern w:val="0"/>
          <w:sz w:val="24"/>
        </w:rPr>
        <w:t>多孔砖墙、</w:t>
      </w:r>
      <w:r>
        <w:rPr>
          <w:rFonts w:eastAsia="方正仿宋_GBK"/>
          <w:color w:val="000000"/>
          <w:spacing w:val="-2"/>
          <w:kern w:val="0"/>
          <w:sz w:val="24"/>
        </w:rPr>
        <w:t>010401005</w:t>
      </w:r>
      <w:r>
        <w:rPr>
          <w:rFonts w:hint="eastAsia" w:eastAsia="方正仿宋_GBK"/>
          <w:color w:val="000000"/>
          <w:spacing w:val="-2"/>
          <w:kern w:val="0"/>
          <w:sz w:val="24"/>
        </w:rPr>
        <w:t>空心砖墙、</w:t>
      </w:r>
      <w:r>
        <w:rPr>
          <w:rFonts w:eastAsia="方正仿宋_GBK"/>
          <w:color w:val="000000"/>
          <w:spacing w:val="-2"/>
          <w:kern w:val="0"/>
          <w:sz w:val="24"/>
        </w:rPr>
        <w:t>010402001</w:t>
      </w:r>
      <w:r>
        <w:rPr>
          <w:rFonts w:hint="eastAsia" w:eastAsia="方正仿宋_GBK"/>
          <w:color w:val="000000"/>
          <w:spacing w:val="-2"/>
          <w:kern w:val="0"/>
          <w:sz w:val="24"/>
        </w:rPr>
        <w:t>砌块墙、</w:t>
      </w:r>
      <w:r>
        <w:rPr>
          <w:rFonts w:eastAsia="方正仿宋_GBK"/>
          <w:color w:val="000000"/>
          <w:spacing w:val="-2"/>
          <w:kern w:val="0"/>
          <w:sz w:val="24"/>
        </w:rPr>
        <w:t>010403003</w:t>
      </w:r>
      <w:r>
        <w:rPr>
          <w:rFonts w:hint="eastAsia" w:eastAsia="方正仿宋_GBK"/>
          <w:color w:val="000000"/>
          <w:spacing w:val="-2"/>
          <w:kern w:val="0"/>
          <w:sz w:val="24"/>
        </w:rPr>
        <w:t>石墙项目工程量计算规则中</w:t>
      </w:r>
      <w:r>
        <w:rPr>
          <w:rFonts w:eastAsia="方正仿宋_GBK"/>
          <w:color w:val="000000"/>
          <w:spacing w:val="-2"/>
          <w:kern w:val="0"/>
          <w:sz w:val="24"/>
        </w:rPr>
        <w:t>“</w:t>
      </w:r>
      <w:r>
        <w:rPr>
          <w:rFonts w:hint="eastAsia" w:eastAsia="方正仿宋_GBK"/>
          <w:color w:val="000000"/>
          <w:spacing w:val="-2"/>
          <w:kern w:val="0"/>
          <w:sz w:val="24"/>
        </w:rPr>
        <w:t>（</w:t>
      </w:r>
      <w:r>
        <w:rPr>
          <w:rFonts w:eastAsia="方正仿宋_GBK"/>
          <w:color w:val="000000"/>
          <w:spacing w:val="-2"/>
          <w:kern w:val="0"/>
          <w:sz w:val="24"/>
        </w:rPr>
        <w:t>2</w:t>
      </w:r>
      <w:r>
        <w:rPr>
          <w:rFonts w:hint="eastAsia" w:eastAsia="方正仿宋_GBK"/>
          <w:color w:val="000000"/>
          <w:spacing w:val="-2"/>
          <w:kern w:val="0"/>
          <w:sz w:val="24"/>
        </w:rPr>
        <w:t>）内墙：</w:t>
      </w:r>
      <w:r>
        <w:rPr>
          <w:rFonts w:hint="eastAsia" w:ascii="Times New Roman" w:hAnsi="Times New Roman"/>
          <w:color w:val="000000"/>
          <w:spacing w:val="-2"/>
          <w:kern w:val="0"/>
          <w:sz w:val="24"/>
        </w:rPr>
        <w:t>……</w:t>
      </w:r>
      <w:r>
        <w:rPr>
          <w:rFonts w:hint="eastAsia" w:eastAsia="方正仿宋_GBK"/>
          <w:color w:val="000000"/>
          <w:spacing w:val="-2"/>
          <w:kern w:val="0"/>
          <w:sz w:val="24"/>
        </w:rPr>
        <w:t>算至楼板顶；有框架梁时算至梁底</w:t>
      </w:r>
      <w:r>
        <w:rPr>
          <w:rFonts w:eastAsia="方正仿宋_GBK"/>
          <w:color w:val="000000"/>
          <w:spacing w:val="-2"/>
          <w:kern w:val="0"/>
          <w:sz w:val="24"/>
        </w:rPr>
        <w:t>”</w:t>
      </w:r>
      <w:r>
        <w:rPr>
          <w:rFonts w:hint="eastAsia" w:eastAsia="方正仿宋_GBK"/>
          <w:color w:val="000000"/>
          <w:spacing w:val="-2"/>
          <w:kern w:val="0"/>
          <w:sz w:val="24"/>
        </w:rPr>
        <w:t>调整为</w:t>
      </w:r>
      <w:r>
        <w:rPr>
          <w:rFonts w:eastAsia="方正仿宋_GBK"/>
          <w:color w:val="000000"/>
          <w:spacing w:val="-2"/>
          <w:kern w:val="0"/>
          <w:sz w:val="24"/>
        </w:rPr>
        <w:t>“</w:t>
      </w:r>
      <w:r>
        <w:rPr>
          <w:rFonts w:hint="eastAsia" w:eastAsia="方正仿宋_GBK"/>
          <w:color w:val="000000"/>
          <w:spacing w:val="-2"/>
          <w:kern w:val="0"/>
          <w:sz w:val="24"/>
        </w:rPr>
        <w:t>（</w:t>
      </w:r>
      <w:r>
        <w:rPr>
          <w:rFonts w:eastAsia="方正仿宋_GBK"/>
          <w:color w:val="000000"/>
          <w:spacing w:val="-2"/>
          <w:kern w:val="0"/>
          <w:sz w:val="24"/>
        </w:rPr>
        <w:t>2</w:t>
      </w:r>
      <w:r>
        <w:rPr>
          <w:rFonts w:hint="eastAsia" w:eastAsia="方正仿宋_GBK"/>
          <w:color w:val="000000"/>
          <w:spacing w:val="-2"/>
          <w:kern w:val="0"/>
          <w:sz w:val="24"/>
        </w:rPr>
        <w:t>）内墙：</w:t>
      </w:r>
      <w:r>
        <w:rPr>
          <w:rFonts w:hint="eastAsia" w:ascii="Times New Roman" w:hAnsi="Times New Roman"/>
          <w:color w:val="000000"/>
          <w:spacing w:val="-2"/>
          <w:kern w:val="0"/>
          <w:sz w:val="24"/>
        </w:rPr>
        <w:t>……</w:t>
      </w:r>
      <w:r>
        <w:rPr>
          <w:rFonts w:hint="eastAsia" w:eastAsia="方正仿宋_GBK"/>
          <w:color w:val="000000"/>
          <w:spacing w:val="-2"/>
          <w:kern w:val="0"/>
          <w:sz w:val="24"/>
        </w:rPr>
        <w:t>算至楼板底；有框架梁时算至梁底</w:t>
      </w:r>
      <w:r>
        <w:rPr>
          <w:rFonts w:eastAsia="方正仿宋_GBK"/>
          <w:color w:val="000000"/>
          <w:spacing w:val="-2"/>
          <w:kern w:val="0"/>
          <w:sz w:val="24"/>
        </w:rPr>
        <w:t>”</w:t>
      </w:r>
      <w:r>
        <w:rPr>
          <w:rFonts w:hint="eastAsia" w:eastAsia="方正仿宋_GBK"/>
          <w:color w:val="000000"/>
          <w:spacing w:val="-2"/>
          <w:kern w:val="0"/>
          <w:sz w:val="24"/>
        </w:rPr>
        <w:t>。</w:t>
      </w:r>
    </w:p>
    <w:p>
      <w:pPr>
        <w:spacing w:line="460" w:lineRule="exact"/>
        <w:ind w:firstLine="464" w:firstLineChars="200"/>
        <w:rPr>
          <w:rFonts w:eastAsia="方正仿宋_GBK"/>
          <w:color w:val="000000"/>
          <w:spacing w:val="-2"/>
          <w:kern w:val="0"/>
          <w:sz w:val="24"/>
        </w:rPr>
      </w:pPr>
      <w:r>
        <w:rPr>
          <w:rFonts w:hint="eastAsia" w:ascii="Times New Roman" w:hAnsi="Times New Roman" w:cs="宋体"/>
          <w:color w:val="000000"/>
          <w:spacing w:val="-2"/>
          <w:kern w:val="0"/>
          <w:sz w:val="24"/>
        </w:rPr>
        <w:t>②</w:t>
      </w:r>
      <w:r>
        <w:rPr>
          <w:rFonts w:hint="eastAsia" w:eastAsia="方正仿宋_GBK"/>
          <w:color w:val="000000"/>
          <w:spacing w:val="-2"/>
          <w:kern w:val="0"/>
          <w:sz w:val="24"/>
        </w:rPr>
        <w:t>桩的工程量计算规则中，桩长不包含超灌部分长度，超灌在清单综合单价中考虑。</w:t>
      </w:r>
    </w:p>
    <w:p>
      <w:pPr>
        <w:spacing w:line="460" w:lineRule="exact"/>
        <w:ind w:firstLine="464" w:firstLineChars="200"/>
        <w:rPr>
          <w:rFonts w:eastAsia="方正仿宋_GBK"/>
          <w:color w:val="000000"/>
          <w:spacing w:val="-2"/>
          <w:kern w:val="0"/>
          <w:sz w:val="24"/>
        </w:rPr>
      </w:pPr>
      <w:r>
        <w:rPr>
          <w:rFonts w:hint="eastAsia" w:ascii="Times New Roman" w:hAnsi="Times New Roman" w:cs="宋体"/>
          <w:color w:val="000000"/>
          <w:spacing w:val="-2"/>
          <w:kern w:val="0"/>
          <w:sz w:val="24"/>
        </w:rPr>
        <w:t>③</w:t>
      </w:r>
      <w:r>
        <w:rPr>
          <w:rFonts w:eastAsia="方正仿宋_GBK"/>
          <w:color w:val="000000"/>
          <w:spacing w:val="-2"/>
          <w:kern w:val="0"/>
          <w:sz w:val="24"/>
        </w:rPr>
        <w:t>010404001</w:t>
      </w:r>
      <w:r>
        <w:rPr>
          <w:rFonts w:hint="eastAsia" w:eastAsia="方正仿宋_GBK"/>
          <w:color w:val="000000"/>
          <w:spacing w:val="-2"/>
          <w:kern w:val="0"/>
          <w:sz w:val="24"/>
        </w:rPr>
        <w:t>、</w:t>
      </w:r>
      <w:r>
        <w:rPr>
          <w:rFonts w:eastAsia="方正仿宋_GBK"/>
          <w:color w:val="000000"/>
          <w:spacing w:val="-2"/>
          <w:kern w:val="0"/>
          <w:sz w:val="24"/>
        </w:rPr>
        <w:t>010501001</w:t>
      </w:r>
      <w:r>
        <w:rPr>
          <w:rFonts w:hint="eastAsia" w:eastAsia="方正仿宋_GBK"/>
          <w:color w:val="000000"/>
          <w:spacing w:val="-2"/>
          <w:kern w:val="0"/>
          <w:sz w:val="24"/>
        </w:rPr>
        <w:t>垫层工程量计算规则中增加：</w:t>
      </w:r>
      <w:r>
        <w:rPr>
          <w:rFonts w:eastAsia="方正仿宋_GBK"/>
          <w:color w:val="000000"/>
          <w:spacing w:val="-2"/>
          <w:kern w:val="0"/>
          <w:sz w:val="24"/>
        </w:rPr>
        <w:t>“</w:t>
      </w:r>
      <w:r>
        <w:rPr>
          <w:rFonts w:hint="eastAsia" w:eastAsia="方正仿宋_GBK"/>
          <w:color w:val="000000"/>
          <w:spacing w:val="-2"/>
          <w:kern w:val="0"/>
          <w:sz w:val="24"/>
        </w:rPr>
        <w:t>其中外墙基础垫层长度按外墙中心线长度计算，内墙基础垫层长度按内墙基础垫层净长计算。</w:t>
      </w:r>
      <w:r>
        <w:rPr>
          <w:rFonts w:eastAsia="方正仿宋_GBK"/>
          <w:color w:val="000000"/>
          <w:spacing w:val="-2"/>
          <w:kern w:val="0"/>
          <w:sz w:val="24"/>
        </w:rPr>
        <w:t>”</w:t>
      </w:r>
    </w:p>
    <w:p>
      <w:pPr>
        <w:spacing w:line="460" w:lineRule="exact"/>
        <w:ind w:firstLine="464" w:firstLineChars="200"/>
        <w:rPr>
          <w:rFonts w:eastAsia="方正仿宋_GBK"/>
          <w:color w:val="000000"/>
          <w:spacing w:val="-2"/>
          <w:kern w:val="0"/>
          <w:sz w:val="24"/>
        </w:rPr>
      </w:pPr>
      <w:r>
        <w:rPr>
          <w:rFonts w:hint="eastAsia" w:ascii="Times New Roman" w:hAnsi="Times New Roman" w:cs="宋体"/>
          <w:color w:val="000000"/>
          <w:spacing w:val="-2"/>
          <w:kern w:val="0"/>
          <w:sz w:val="24"/>
        </w:rPr>
        <w:t>④</w:t>
      </w:r>
      <w:r>
        <w:rPr>
          <w:rFonts w:hint="eastAsia" w:eastAsia="方正仿宋_GBK"/>
          <w:color w:val="000000"/>
          <w:spacing w:val="-2"/>
          <w:kern w:val="0"/>
          <w:sz w:val="24"/>
        </w:rPr>
        <w:t>钢筋连接除机械连接、电渣压力焊接头单独列清单外，其他连接接头费用不单独列清单，在钢筋清单综合单价中考虑。钢筋搭接、锚固长度按照按满足设计图示（规范）的最小值计入钢筋清单工程量中。</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增补</w:t>
      </w:r>
      <w:r>
        <w:rPr>
          <w:rFonts w:eastAsia="方正仿宋_GBK"/>
          <w:color w:val="000000"/>
          <w:spacing w:val="-2"/>
          <w:kern w:val="0"/>
          <w:sz w:val="24"/>
        </w:rPr>
        <w:t>010516004</w:t>
      </w:r>
      <w:r>
        <w:rPr>
          <w:rFonts w:hint="eastAsia" w:eastAsia="方正仿宋_GBK"/>
          <w:color w:val="000000"/>
          <w:spacing w:val="-2"/>
          <w:kern w:val="0"/>
          <w:sz w:val="24"/>
        </w:rPr>
        <w:t>钢筋电渣压力焊接头：</w:t>
      </w:r>
    </w:p>
    <w:tbl>
      <w:tblPr>
        <w:tblStyle w:val="12"/>
        <w:tblW w:w="0" w:type="auto"/>
        <w:jc w:val="center"/>
        <w:tblBorders>
          <w:top w:val="single" w:color="auto" w:sz="8" w:space="0"/>
          <w:left w:val="single" w:color="auto" w:sz="8" w:space="0"/>
          <w:bottom w:val="single" w:color="auto" w:sz="8" w:space="0"/>
          <w:right w:val="single" w:color="auto" w:sz="8" w:space="0"/>
          <w:insideH w:val="outset" w:color="000000" w:sz="6" w:space="0"/>
          <w:insideV w:val="outset" w:color="000000" w:sz="6" w:space="0"/>
        </w:tblBorders>
        <w:tblLayout w:type="fixed"/>
        <w:tblCellMar>
          <w:top w:w="0" w:type="dxa"/>
          <w:left w:w="0" w:type="dxa"/>
          <w:bottom w:w="0" w:type="dxa"/>
          <w:right w:w="0" w:type="dxa"/>
        </w:tblCellMar>
      </w:tblPr>
      <w:tblGrid>
        <w:gridCol w:w="1154"/>
        <w:gridCol w:w="1421"/>
        <w:gridCol w:w="1540"/>
        <w:gridCol w:w="887"/>
        <w:gridCol w:w="1754"/>
        <w:gridCol w:w="1554"/>
      </w:tblGrid>
      <w:tr>
        <w:tblPrEx>
          <w:tblBorders>
            <w:top w:val="single" w:color="auto" w:sz="8" w:space="0"/>
            <w:left w:val="single" w:color="auto" w:sz="8" w:space="0"/>
            <w:bottom w:val="single" w:color="auto" w:sz="8" w:space="0"/>
            <w:right w:val="single" w:color="auto" w:sz="8" w:space="0"/>
            <w:insideH w:val="outset" w:color="000000" w:sz="6" w:space="0"/>
            <w:insideV w:val="outset" w:color="000000" w:sz="6" w:space="0"/>
          </w:tblBorders>
        </w:tblPrEx>
        <w:trPr>
          <w:trHeight w:val="742" w:hRule="atLeast"/>
          <w:jc w:val="center"/>
        </w:trPr>
        <w:tc>
          <w:tcPr>
            <w:tcW w:w="1154" w:type="dxa"/>
            <w:tcBorders>
              <w:top w:val="single" w:color="auto" w:sz="8" w:space="0"/>
              <w:left w:val="single" w:color="auto" w:sz="8" w:space="0"/>
              <w:bottom w:val="outset" w:color="000000" w:sz="6" w:space="0"/>
              <w:right w:val="outset" w:color="000000" w:sz="6" w:space="0"/>
            </w:tcBorders>
            <w:noWrap w:val="0"/>
            <w:vAlign w:val="center"/>
          </w:tcPr>
          <w:p>
            <w:pPr>
              <w:spacing w:line="2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项目编码</w:t>
            </w:r>
          </w:p>
        </w:tc>
        <w:tc>
          <w:tcPr>
            <w:tcW w:w="1421" w:type="dxa"/>
            <w:tcBorders>
              <w:top w:val="single" w:color="auto" w:sz="8" w:space="0"/>
              <w:left w:val="outset" w:color="000000" w:sz="6" w:space="0"/>
              <w:bottom w:val="outset" w:color="000000" w:sz="6" w:space="0"/>
              <w:right w:val="outset" w:color="000000" w:sz="6" w:space="0"/>
            </w:tcBorders>
            <w:noWrap w:val="0"/>
            <w:vAlign w:val="center"/>
          </w:tcPr>
          <w:p>
            <w:pPr>
              <w:spacing w:line="2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项目名称</w:t>
            </w:r>
          </w:p>
        </w:tc>
        <w:tc>
          <w:tcPr>
            <w:tcW w:w="1540" w:type="dxa"/>
            <w:tcBorders>
              <w:top w:val="single" w:color="auto" w:sz="8" w:space="0"/>
              <w:left w:val="outset" w:color="000000" w:sz="6" w:space="0"/>
              <w:bottom w:val="outset" w:color="000000" w:sz="6" w:space="0"/>
              <w:right w:val="outset" w:color="000000" w:sz="6" w:space="0"/>
            </w:tcBorders>
            <w:noWrap w:val="0"/>
            <w:vAlign w:val="center"/>
          </w:tcPr>
          <w:p>
            <w:pPr>
              <w:spacing w:line="2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项目特征</w:t>
            </w:r>
          </w:p>
        </w:tc>
        <w:tc>
          <w:tcPr>
            <w:tcW w:w="887" w:type="dxa"/>
            <w:tcBorders>
              <w:top w:val="single" w:color="auto" w:sz="8" w:space="0"/>
              <w:left w:val="outset" w:color="000000" w:sz="6" w:space="0"/>
              <w:bottom w:val="outset" w:color="000000" w:sz="6" w:space="0"/>
              <w:right w:val="outset" w:color="000000" w:sz="6" w:space="0"/>
            </w:tcBorders>
            <w:noWrap w:val="0"/>
            <w:vAlign w:val="center"/>
          </w:tcPr>
          <w:p>
            <w:pPr>
              <w:spacing w:line="2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计量</w:t>
            </w:r>
          </w:p>
          <w:p>
            <w:pPr>
              <w:spacing w:line="2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单位</w:t>
            </w:r>
          </w:p>
        </w:tc>
        <w:tc>
          <w:tcPr>
            <w:tcW w:w="1754" w:type="dxa"/>
            <w:tcBorders>
              <w:top w:val="single" w:color="auto" w:sz="8" w:space="0"/>
              <w:left w:val="outset" w:color="000000" w:sz="6" w:space="0"/>
              <w:bottom w:val="outset" w:color="000000" w:sz="6" w:space="0"/>
              <w:right w:val="outset" w:color="000000" w:sz="6" w:space="0"/>
            </w:tcBorders>
            <w:noWrap w:val="0"/>
            <w:vAlign w:val="center"/>
          </w:tcPr>
          <w:p>
            <w:pPr>
              <w:spacing w:line="2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工程量计算规则</w:t>
            </w:r>
          </w:p>
        </w:tc>
        <w:tc>
          <w:tcPr>
            <w:tcW w:w="1554" w:type="dxa"/>
            <w:tcBorders>
              <w:top w:val="single" w:color="auto" w:sz="8" w:space="0"/>
              <w:left w:val="outset" w:color="000000" w:sz="6" w:space="0"/>
              <w:bottom w:val="outset" w:color="000000" w:sz="6" w:space="0"/>
              <w:right w:val="single" w:color="auto" w:sz="8" w:space="0"/>
            </w:tcBorders>
            <w:noWrap w:val="0"/>
            <w:vAlign w:val="center"/>
          </w:tcPr>
          <w:p>
            <w:pPr>
              <w:spacing w:line="240" w:lineRule="exact"/>
              <w:jc w:val="center"/>
              <w:rPr>
                <w:rFonts w:ascii="Times New Roman" w:eastAsia="方正黑体_GBK"/>
                <w:color w:val="000000"/>
                <w:spacing w:val="-2"/>
                <w:kern w:val="0"/>
                <w:szCs w:val="21"/>
              </w:rPr>
            </w:pPr>
            <w:r>
              <w:rPr>
                <w:rFonts w:hint="eastAsia" w:ascii="Times New Roman" w:eastAsia="方正黑体_GBK"/>
                <w:color w:val="000000"/>
                <w:spacing w:val="-2"/>
                <w:kern w:val="0"/>
                <w:szCs w:val="21"/>
              </w:rPr>
              <w:t>工作内容</w:t>
            </w:r>
          </w:p>
        </w:tc>
      </w:tr>
      <w:tr>
        <w:tblPrEx>
          <w:tblBorders>
            <w:top w:val="single" w:color="auto" w:sz="8" w:space="0"/>
            <w:left w:val="single" w:color="auto" w:sz="8" w:space="0"/>
            <w:bottom w:val="single" w:color="auto" w:sz="8" w:space="0"/>
            <w:right w:val="single" w:color="auto" w:sz="8" w:space="0"/>
            <w:insideH w:val="outset" w:color="000000" w:sz="6" w:space="0"/>
            <w:insideV w:val="outset" w:color="000000" w:sz="6" w:space="0"/>
          </w:tblBorders>
          <w:tblCellMar>
            <w:top w:w="0" w:type="dxa"/>
            <w:left w:w="0" w:type="dxa"/>
            <w:bottom w:w="0" w:type="dxa"/>
            <w:right w:w="0" w:type="dxa"/>
          </w:tblCellMar>
        </w:tblPrEx>
        <w:trPr>
          <w:trHeight w:val="764" w:hRule="atLeast"/>
          <w:jc w:val="center"/>
        </w:trPr>
        <w:tc>
          <w:tcPr>
            <w:tcW w:w="1154" w:type="dxa"/>
            <w:tcBorders>
              <w:top w:val="outset" w:color="000000" w:sz="6" w:space="0"/>
              <w:left w:val="single" w:color="auto" w:sz="8" w:space="0"/>
              <w:bottom w:val="single" w:color="auto" w:sz="8" w:space="0"/>
              <w:right w:val="outset" w:color="000000" w:sz="6" w:space="0"/>
            </w:tcBorders>
            <w:noWrap w:val="0"/>
            <w:vAlign w:val="center"/>
          </w:tcPr>
          <w:p>
            <w:pPr>
              <w:spacing w:line="240" w:lineRule="exact"/>
              <w:jc w:val="center"/>
              <w:rPr>
                <w:rFonts w:eastAsia="方正仿宋_GBK"/>
                <w:color w:val="000000"/>
                <w:spacing w:val="-2"/>
                <w:kern w:val="0"/>
                <w:szCs w:val="21"/>
              </w:rPr>
            </w:pPr>
            <w:r>
              <w:rPr>
                <w:rFonts w:eastAsia="方正仿宋_GBK"/>
                <w:color w:val="000000"/>
                <w:spacing w:val="-2"/>
                <w:kern w:val="0"/>
                <w:szCs w:val="21"/>
              </w:rPr>
              <w:t>010516004</w:t>
            </w:r>
          </w:p>
        </w:tc>
        <w:tc>
          <w:tcPr>
            <w:tcW w:w="1421" w:type="dxa"/>
            <w:tcBorders>
              <w:top w:val="outset" w:color="000000" w:sz="6" w:space="0"/>
              <w:left w:val="outset" w:color="000000" w:sz="6" w:space="0"/>
              <w:bottom w:val="single" w:color="auto" w:sz="8" w:space="0"/>
              <w:right w:val="outset" w:color="000000" w:sz="6" w:space="0"/>
            </w:tcBorders>
            <w:noWrap w:val="0"/>
            <w:vAlign w:val="center"/>
          </w:tcPr>
          <w:p>
            <w:pPr>
              <w:spacing w:line="240" w:lineRule="exact"/>
              <w:jc w:val="center"/>
              <w:rPr>
                <w:rFonts w:eastAsia="方正仿宋_GBK"/>
                <w:color w:val="000000"/>
                <w:spacing w:val="-2"/>
                <w:kern w:val="0"/>
                <w:szCs w:val="21"/>
              </w:rPr>
            </w:pPr>
            <w:r>
              <w:rPr>
                <w:rFonts w:hint="eastAsia" w:eastAsia="方正仿宋_GBK"/>
                <w:color w:val="000000"/>
                <w:spacing w:val="-2"/>
                <w:kern w:val="0"/>
                <w:szCs w:val="21"/>
              </w:rPr>
              <w:t>钢筋电渣压力焊接头</w:t>
            </w:r>
          </w:p>
        </w:tc>
        <w:tc>
          <w:tcPr>
            <w:tcW w:w="1540" w:type="dxa"/>
            <w:tcBorders>
              <w:top w:val="outset" w:color="000000" w:sz="6" w:space="0"/>
              <w:left w:val="outset" w:color="000000" w:sz="6" w:space="0"/>
              <w:bottom w:val="single" w:color="auto" w:sz="8" w:space="0"/>
              <w:right w:val="outset" w:color="000000" w:sz="6" w:space="0"/>
            </w:tcBorders>
            <w:noWrap w:val="0"/>
            <w:vAlign w:val="center"/>
          </w:tcPr>
          <w:p>
            <w:pPr>
              <w:spacing w:line="240" w:lineRule="exact"/>
              <w:jc w:val="center"/>
              <w:rPr>
                <w:rFonts w:eastAsia="方正仿宋_GBK"/>
                <w:color w:val="000000"/>
                <w:spacing w:val="-2"/>
                <w:kern w:val="0"/>
                <w:szCs w:val="21"/>
              </w:rPr>
            </w:pPr>
            <w:r>
              <w:rPr>
                <w:rFonts w:hint="eastAsia" w:eastAsia="方正仿宋_GBK"/>
                <w:color w:val="000000"/>
                <w:spacing w:val="-2"/>
                <w:kern w:val="0"/>
                <w:szCs w:val="21"/>
              </w:rPr>
              <w:t>钢筋种类、规格</w:t>
            </w:r>
          </w:p>
        </w:tc>
        <w:tc>
          <w:tcPr>
            <w:tcW w:w="887" w:type="dxa"/>
            <w:tcBorders>
              <w:top w:val="outset" w:color="000000" w:sz="6" w:space="0"/>
              <w:left w:val="outset" w:color="000000" w:sz="6" w:space="0"/>
              <w:bottom w:val="single" w:color="auto" w:sz="8" w:space="0"/>
              <w:right w:val="outset" w:color="000000" w:sz="6" w:space="0"/>
            </w:tcBorders>
            <w:noWrap w:val="0"/>
            <w:vAlign w:val="center"/>
          </w:tcPr>
          <w:p>
            <w:pPr>
              <w:spacing w:line="240" w:lineRule="exact"/>
              <w:jc w:val="center"/>
              <w:rPr>
                <w:rFonts w:eastAsia="方正仿宋_GBK"/>
                <w:color w:val="000000"/>
                <w:spacing w:val="-2"/>
                <w:kern w:val="0"/>
                <w:szCs w:val="21"/>
              </w:rPr>
            </w:pPr>
            <w:r>
              <w:rPr>
                <w:rFonts w:hint="eastAsia" w:eastAsia="方正仿宋_GBK"/>
                <w:color w:val="000000"/>
                <w:spacing w:val="-2"/>
                <w:kern w:val="0"/>
                <w:szCs w:val="21"/>
              </w:rPr>
              <w:t>个</w:t>
            </w:r>
          </w:p>
        </w:tc>
        <w:tc>
          <w:tcPr>
            <w:tcW w:w="1754" w:type="dxa"/>
            <w:tcBorders>
              <w:top w:val="outset" w:color="000000" w:sz="6" w:space="0"/>
              <w:left w:val="outset" w:color="000000" w:sz="6" w:space="0"/>
              <w:bottom w:val="single" w:color="auto" w:sz="8" w:space="0"/>
              <w:right w:val="outset" w:color="000000" w:sz="6" w:space="0"/>
            </w:tcBorders>
            <w:noWrap w:val="0"/>
            <w:vAlign w:val="center"/>
          </w:tcPr>
          <w:p>
            <w:pPr>
              <w:spacing w:line="240" w:lineRule="exact"/>
              <w:jc w:val="center"/>
              <w:rPr>
                <w:rFonts w:eastAsia="方正仿宋_GBK"/>
                <w:color w:val="000000"/>
                <w:spacing w:val="-2"/>
                <w:kern w:val="0"/>
                <w:szCs w:val="21"/>
              </w:rPr>
            </w:pPr>
            <w:r>
              <w:rPr>
                <w:rFonts w:hint="eastAsia" w:eastAsia="方正仿宋_GBK"/>
                <w:color w:val="000000"/>
                <w:spacing w:val="-2"/>
                <w:kern w:val="0"/>
                <w:szCs w:val="21"/>
              </w:rPr>
              <w:t>按数量计算</w:t>
            </w:r>
          </w:p>
        </w:tc>
        <w:tc>
          <w:tcPr>
            <w:tcW w:w="1554" w:type="dxa"/>
            <w:tcBorders>
              <w:top w:val="outset" w:color="000000" w:sz="6" w:space="0"/>
              <w:left w:val="outset" w:color="000000" w:sz="6" w:space="0"/>
              <w:bottom w:val="single" w:color="auto" w:sz="8" w:space="0"/>
              <w:right w:val="single" w:color="auto" w:sz="8" w:space="0"/>
            </w:tcBorders>
            <w:noWrap w:val="0"/>
            <w:vAlign w:val="center"/>
          </w:tcPr>
          <w:p>
            <w:pPr>
              <w:spacing w:line="240" w:lineRule="exact"/>
              <w:jc w:val="center"/>
              <w:rPr>
                <w:rFonts w:eastAsia="方正仿宋_GBK"/>
                <w:color w:val="000000"/>
                <w:spacing w:val="-2"/>
                <w:kern w:val="0"/>
                <w:szCs w:val="21"/>
              </w:rPr>
            </w:pPr>
            <w:r>
              <w:rPr>
                <w:rFonts w:eastAsia="方正仿宋_GBK"/>
                <w:color w:val="000000"/>
                <w:spacing w:val="-2"/>
                <w:kern w:val="0"/>
                <w:szCs w:val="21"/>
              </w:rPr>
              <w:t>1.</w:t>
            </w:r>
            <w:r>
              <w:rPr>
                <w:rFonts w:hint="eastAsia" w:eastAsia="方正仿宋_GBK"/>
                <w:color w:val="000000"/>
                <w:spacing w:val="-2"/>
                <w:kern w:val="0"/>
                <w:szCs w:val="21"/>
              </w:rPr>
              <w:t>接头清理</w:t>
            </w:r>
          </w:p>
          <w:p>
            <w:pPr>
              <w:spacing w:line="240" w:lineRule="exact"/>
              <w:jc w:val="center"/>
              <w:rPr>
                <w:rFonts w:eastAsia="方正仿宋_GBK"/>
                <w:color w:val="000000"/>
                <w:spacing w:val="-2"/>
                <w:kern w:val="0"/>
                <w:szCs w:val="21"/>
              </w:rPr>
            </w:pPr>
            <w:r>
              <w:rPr>
                <w:rFonts w:eastAsia="方正仿宋_GBK"/>
                <w:color w:val="000000"/>
                <w:spacing w:val="-2"/>
                <w:kern w:val="0"/>
                <w:szCs w:val="21"/>
              </w:rPr>
              <w:t>2.</w:t>
            </w:r>
            <w:r>
              <w:rPr>
                <w:rFonts w:hint="eastAsia" w:eastAsia="方正仿宋_GBK"/>
                <w:color w:val="000000"/>
                <w:spacing w:val="-2"/>
                <w:kern w:val="0"/>
                <w:szCs w:val="21"/>
              </w:rPr>
              <w:t>焊接固定。</w:t>
            </w:r>
          </w:p>
        </w:tc>
      </w:tr>
    </w:tbl>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2</w:t>
      </w:r>
      <w:r>
        <w:rPr>
          <w:rFonts w:hint="eastAsia" w:eastAsia="方正仿宋_GBK"/>
          <w:color w:val="000000"/>
          <w:spacing w:val="-2"/>
          <w:kern w:val="0"/>
          <w:sz w:val="24"/>
        </w:rPr>
        <w:t>）市政工程</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挖沟槽、基坑、一般石方因超挖量、工作面和放坡增加的工程量并入各石方工程量中。</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、各专业计算规范措施项目部分具体调整见附件一。</w:t>
      </w:r>
    </w:p>
    <w:p>
      <w:pPr>
        <w:spacing w:line="460" w:lineRule="exact"/>
        <w:ind w:firstLine="464" w:firstLineChars="200"/>
        <w:rPr>
          <w:rFonts w:ascii="Times New Roman" w:eastAsia="方正楷体_GBK"/>
          <w:color w:val="000000"/>
          <w:spacing w:val="-2"/>
          <w:kern w:val="0"/>
          <w:sz w:val="24"/>
        </w:rPr>
      </w:pPr>
      <w:r>
        <w:rPr>
          <w:rFonts w:hint="eastAsia" w:ascii="Times New Roman" w:eastAsia="方正楷体_GBK"/>
          <w:color w:val="000000"/>
          <w:spacing w:val="-2"/>
          <w:kern w:val="0"/>
          <w:sz w:val="24"/>
        </w:rPr>
        <w:t>（三）工程量清单计价表格调整</w:t>
      </w:r>
    </w:p>
    <w:p>
      <w:pPr>
        <w:spacing w:line="460" w:lineRule="exact"/>
        <w:ind w:firstLine="464"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w:t>
      </w:r>
      <w:r>
        <w:rPr>
          <w:rFonts w:eastAsia="方正仿宋_GBK"/>
          <w:color w:val="000000"/>
          <w:spacing w:val="-2"/>
          <w:kern w:val="0"/>
          <w:sz w:val="24"/>
        </w:rPr>
        <w:t>2013</w:t>
      </w:r>
      <w:r>
        <w:rPr>
          <w:rFonts w:hint="eastAsia" w:eastAsia="方正仿宋_GBK"/>
          <w:color w:val="000000"/>
          <w:spacing w:val="-2"/>
          <w:kern w:val="0"/>
          <w:sz w:val="24"/>
        </w:rPr>
        <w:t>版计价规范中表</w:t>
      </w:r>
      <w:r>
        <w:rPr>
          <w:rFonts w:eastAsia="方正仿宋_GBK"/>
          <w:color w:val="000000"/>
          <w:spacing w:val="-2"/>
          <w:kern w:val="0"/>
          <w:sz w:val="24"/>
        </w:rPr>
        <w:t>-11“</w:t>
      </w:r>
      <w:r>
        <w:rPr>
          <w:rFonts w:hint="eastAsia" w:eastAsia="方正仿宋_GBK"/>
          <w:color w:val="000000"/>
          <w:spacing w:val="-2"/>
          <w:kern w:val="0"/>
          <w:sz w:val="24"/>
        </w:rPr>
        <w:t>总价措施项目清单与计价表</w:t>
      </w:r>
      <w:r>
        <w:rPr>
          <w:rFonts w:eastAsia="方正仿宋_GBK"/>
          <w:color w:val="000000"/>
          <w:spacing w:val="-2"/>
          <w:kern w:val="0"/>
          <w:sz w:val="24"/>
        </w:rPr>
        <w:t>”</w:t>
      </w:r>
      <w:r>
        <w:rPr>
          <w:rFonts w:hint="eastAsia" w:eastAsia="方正仿宋_GBK"/>
          <w:color w:val="000000"/>
          <w:spacing w:val="-2"/>
          <w:kern w:val="0"/>
          <w:sz w:val="24"/>
        </w:rPr>
        <w:t>的总价措施项目根据</w:t>
      </w:r>
      <w:r>
        <w:rPr>
          <w:rFonts w:eastAsia="方正仿宋_GBK"/>
          <w:color w:val="000000"/>
          <w:spacing w:val="-2"/>
          <w:kern w:val="0"/>
          <w:sz w:val="24"/>
        </w:rPr>
        <w:t>2013</w:t>
      </w:r>
      <w:r>
        <w:rPr>
          <w:rFonts w:hint="eastAsia" w:eastAsia="方正仿宋_GBK"/>
          <w:color w:val="000000"/>
          <w:spacing w:val="-2"/>
          <w:kern w:val="0"/>
          <w:sz w:val="24"/>
        </w:rPr>
        <w:t>版计算规范和我省规定列项。表中注</w:t>
      </w:r>
      <w:r>
        <w:rPr>
          <w:rFonts w:eastAsia="方正仿宋_GBK"/>
          <w:color w:val="000000"/>
          <w:spacing w:val="-2"/>
          <w:kern w:val="0"/>
          <w:sz w:val="24"/>
        </w:rPr>
        <w:t>1</w:t>
      </w:r>
      <w:r>
        <w:rPr>
          <w:rFonts w:hint="eastAsia" w:eastAsia="方正仿宋_GBK"/>
          <w:color w:val="000000"/>
          <w:spacing w:val="-2"/>
          <w:kern w:val="0"/>
          <w:sz w:val="24"/>
        </w:rPr>
        <w:t>取消，</w:t>
      </w:r>
      <w:r>
        <w:rPr>
          <w:rFonts w:eastAsia="方正仿宋_GBK"/>
          <w:color w:val="000000"/>
          <w:spacing w:val="-2"/>
          <w:kern w:val="0"/>
          <w:sz w:val="24"/>
        </w:rPr>
        <w:t>“</w:t>
      </w:r>
      <w:r>
        <w:rPr>
          <w:rFonts w:hint="eastAsia" w:eastAsia="方正仿宋_GBK"/>
          <w:color w:val="000000"/>
          <w:spacing w:val="-2"/>
          <w:kern w:val="0"/>
          <w:sz w:val="24"/>
        </w:rPr>
        <w:t>注</w:t>
      </w:r>
      <w:r>
        <w:rPr>
          <w:rFonts w:eastAsia="方正仿宋_GBK"/>
          <w:color w:val="000000"/>
          <w:spacing w:val="-2"/>
          <w:kern w:val="0"/>
          <w:sz w:val="24"/>
        </w:rPr>
        <w:t>2”</w:t>
      </w:r>
      <w:r>
        <w:rPr>
          <w:rFonts w:hint="eastAsia" w:eastAsia="方正仿宋_GBK"/>
          <w:color w:val="000000"/>
          <w:spacing w:val="-2"/>
          <w:kern w:val="0"/>
          <w:sz w:val="24"/>
        </w:rPr>
        <w:t>改为</w:t>
      </w:r>
      <w:r>
        <w:rPr>
          <w:rFonts w:eastAsia="方正仿宋_GBK"/>
          <w:color w:val="000000"/>
          <w:spacing w:val="-2"/>
          <w:kern w:val="0"/>
          <w:sz w:val="24"/>
        </w:rPr>
        <w:t>“</w:t>
      </w:r>
      <w:r>
        <w:rPr>
          <w:rFonts w:hint="eastAsia" w:eastAsia="方正仿宋_GBK"/>
          <w:color w:val="000000"/>
          <w:spacing w:val="-2"/>
          <w:kern w:val="0"/>
          <w:sz w:val="24"/>
        </w:rPr>
        <w:t>注</w:t>
      </w:r>
      <w:r>
        <w:rPr>
          <w:rFonts w:eastAsia="方正仿宋_GBK"/>
          <w:color w:val="000000"/>
          <w:spacing w:val="-2"/>
          <w:kern w:val="0"/>
          <w:sz w:val="24"/>
        </w:rPr>
        <w:t>”</w:t>
      </w:r>
      <w:r>
        <w:rPr>
          <w:rFonts w:hint="eastAsia" w:eastAsia="方正仿宋_GBK"/>
          <w:color w:val="000000"/>
          <w:spacing w:val="-2"/>
          <w:kern w:val="0"/>
          <w:sz w:val="24"/>
        </w:rPr>
        <w:t>。</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、其他表格具体调整见附件二。</w:t>
      </w:r>
    </w:p>
    <w:p>
      <w:pPr>
        <w:spacing w:line="460" w:lineRule="exact"/>
        <w:ind w:firstLine="464" w:firstLineChars="200"/>
        <w:rPr>
          <w:rFonts w:ascii="Times New Roman" w:eastAsia="方正黑体_GBK"/>
          <w:color w:val="000000"/>
          <w:spacing w:val="-2"/>
          <w:kern w:val="0"/>
          <w:sz w:val="24"/>
        </w:rPr>
      </w:pPr>
      <w:r>
        <w:rPr>
          <w:rFonts w:hint="eastAsia" w:ascii="Times New Roman" w:eastAsia="方正黑体_GBK"/>
          <w:color w:val="000000"/>
          <w:spacing w:val="-2"/>
          <w:kern w:val="0"/>
          <w:sz w:val="24"/>
        </w:rPr>
        <w:t>三、执行时间与要求</w:t>
      </w:r>
    </w:p>
    <w:p>
      <w:pPr>
        <w:spacing w:line="460" w:lineRule="exact"/>
        <w:ind w:firstLine="464"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w:t>
      </w:r>
      <w:r>
        <w:rPr>
          <w:rFonts w:eastAsia="方正仿宋_GBK"/>
          <w:color w:val="000000"/>
          <w:spacing w:val="-2"/>
          <w:kern w:val="0"/>
          <w:sz w:val="24"/>
        </w:rPr>
        <w:t>2014</w:t>
      </w:r>
      <w:r>
        <w:rPr>
          <w:rFonts w:hint="eastAsia" w:eastAsia="方正仿宋_GBK"/>
          <w:color w:val="000000"/>
          <w:spacing w:val="-2"/>
          <w:kern w:val="0"/>
          <w:sz w:val="24"/>
        </w:rPr>
        <w:t>年</w:t>
      </w:r>
      <w:r>
        <w:rPr>
          <w:rFonts w:eastAsia="方正仿宋_GBK"/>
          <w:color w:val="000000"/>
          <w:spacing w:val="-2"/>
          <w:kern w:val="0"/>
          <w:sz w:val="24"/>
        </w:rPr>
        <w:t>10</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日起发布招标文件的招投标工程以及签订施工合同的非招投标工程，应执行</w:t>
      </w:r>
      <w:r>
        <w:rPr>
          <w:rFonts w:eastAsia="方正仿宋_GBK"/>
          <w:color w:val="000000"/>
          <w:spacing w:val="-2"/>
          <w:kern w:val="0"/>
          <w:sz w:val="24"/>
        </w:rPr>
        <w:t>2013</w:t>
      </w:r>
      <w:r>
        <w:rPr>
          <w:rFonts w:hint="eastAsia" w:eastAsia="方正仿宋_GBK"/>
          <w:color w:val="000000"/>
          <w:spacing w:val="-2"/>
          <w:kern w:val="0"/>
          <w:sz w:val="24"/>
        </w:rPr>
        <w:t>版计价规范和计算规范。《江苏省建设工程费用定额》（</w:t>
      </w:r>
      <w:r>
        <w:rPr>
          <w:rFonts w:eastAsia="方正仿宋_GBK"/>
          <w:color w:val="000000"/>
          <w:spacing w:val="-2"/>
          <w:kern w:val="0"/>
          <w:sz w:val="24"/>
        </w:rPr>
        <w:t>2014</w:t>
      </w:r>
      <w:r>
        <w:rPr>
          <w:rFonts w:hint="eastAsia" w:eastAsia="方正仿宋_GBK"/>
          <w:color w:val="000000"/>
          <w:spacing w:val="-2"/>
          <w:kern w:val="0"/>
          <w:sz w:val="24"/>
        </w:rPr>
        <w:t>版）、《江苏省建筑与装饰工程计价定额》（</w:t>
      </w:r>
      <w:r>
        <w:rPr>
          <w:rFonts w:eastAsia="方正仿宋_GBK"/>
          <w:color w:val="000000"/>
          <w:spacing w:val="-2"/>
          <w:kern w:val="0"/>
          <w:sz w:val="24"/>
        </w:rPr>
        <w:t>2014</w:t>
      </w:r>
      <w:r>
        <w:rPr>
          <w:rFonts w:hint="eastAsia" w:eastAsia="方正仿宋_GBK"/>
          <w:color w:val="000000"/>
          <w:spacing w:val="-2"/>
          <w:kern w:val="0"/>
          <w:sz w:val="24"/>
        </w:rPr>
        <w:t>版）、《江苏省安装工程计价定额》（</w:t>
      </w:r>
      <w:r>
        <w:rPr>
          <w:rFonts w:eastAsia="方正仿宋_GBK"/>
          <w:color w:val="000000"/>
          <w:spacing w:val="-2"/>
          <w:kern w:val="0"/>
          <w:sz w:val="24"/>
        </w:rPr>
        <w:t>2014</w:t>
      </w:r>
      <w:r>
        <w:rPr>
          <w:rFonts w:hint="eastAsia" w:eastAsia="方正仿宋_GBK"/>
          <w:color w:val="000000"/>
          <w:spacing w:val="-2"/>
          <w:kern w:val="0"/>
          <w:sz w:val="24"/>
        </w:rPr>
        <w:t>版）、《江苏省市政工程计价定额》（</w:t>
      </w:r>
      <w:r>
        <w:rPr>
          <w:rFonts w:eastAsia="方正仿宋_GBK"/>
          <w:color w:val="000000"/>
          <w:spacing w:val="-2"/>
          <w:kern w:val="0"/>
          <w:sz w:val="24"/>
        </w:rPr>
        <w:t>2014</w:t>
      </w:r>
      <w:r>
        <w:rPr>
          <w:rFonts w:hint="eastAsia" w:eastAsia="方正仿宋_GBK"/>
          <w:color w:val="000000"/>
          <w:spacing w:val="-2"/>
          <w:kern w:val="0"/>
          <w:sz w:val="24"/>
        </w:rPr>
        <w:t>版）、《建筑工程建筑面积计算规范》（</w:t>
      </w:r>
      <w:r>
        <w:rPr>
          <w:rFonts w:eastAsia="方正仿宋_GBK"/>
          <w:color w:val="000000"/>
          <w:spacing w:val="-2"/>
          <w:kern w:val="0"/>
          <w:sz w:val="24"/>
        </w:rPr>
        <w:t>GB/T 50353 -2013</w:t>
      </w:r>
      <w:r>
        <w:rPr>
          <w:rFonts w:hint="eastAsia" w:eastAsia="方正仿宋_GBK"/>
          <w:color w:val="000000"/>
          <w:spacing w:val="-2"/>
          <w:kern w:val="0"/>
          <w:sz w:val="24"/>
        </w:rPr>
        <w:t>）与</w:t>
      </w:r>
      <w:r>
        <w:rPr>
          <w:rFonts w:eastAsia="方正仿宋_GBK"/>
          <w:color w:val="000000"/>
          <w:spacing w:val="-2"/>
          <w:kern w:val="0"/>
          <w:sz w:val="24"/>
        </w:rPr>
        <w:t>2013</w:t>
      </w:r>
      <w:r>
        <w:rPr>
          <w:rFonts w:hint="eastAsia" w:eastAsia="方正仿宋_GBK"/>
          <w:color w:val="000000"/>
          <w:spacing w:val="-2"/>
          <w:kern w:val="0"/>
          <w:sz w:val="24"/>
        </w:rPr>
        <w:t>版计价规范和计算规范同时配套执行。</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、凡依据江苏省</w:t>
      </w:r>
      <w:r>
        <w:rPr>
          <w:rFonts w:eastAsia="方正仿宋_GBK"/>
          <w:color w:val="000000"/>
          <w:spacing w:val="-2"/>
          <w:kern w:val="0"/>
          <w:sz w:val="24"/>
        </w:rPr>
        <w:t>2014</w:t>
      </w:r>
      <w:r>
        <w:rPr>
          <w:rFonts w:hint="eastAsia" w:eastAsia="方正仿宋_GBK"/>
          <w:color w:val="000000"/>
          <w:spacing w:val="-2"/>
          <w:kern w:val="0"/>
          <w:sz w:val="24"/>
        </w:rPr>
        <w:t>版计价定额开发并合法销售的计价软件，其定额和工料机数据库、计价程序、计价功能、成果文件均应符合我省的规定和要求。江苏省建设工程造价管理总站为申请企业提供技术测评服务。</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、各级造价管理机构要做好</w:t>
      </w:r>
      <w:r>
        <w:rPr>
          <w:rFonts w:eastAsia="方正仿宋_GBK"/>
          <w:color w:val="000000"/>
          <w:spacing w:val="-2"/>
          <w:kern w:val="0"/>
          <w:sz w:val="24"/>
        </w:rPr>
        <w:t>2013</w:t>
      </w:r>
      <w:r>
        <w:rPr>
          <w:rFonts w:hint="eastAsia" w:eastAsia="方正仿宋_GBK"/>
          <w:color w:val="000000"/>
          <w:spacing w:val="-2"/>
          <w:kern w:val="0"/>
          <w:sz w:val="24"/>
        </w:rPr>
        <w:t>版计价规范和计算规范及其配套实施文件的宣贯工作，招投标监管机构应及时调整相应的电子评标系统。</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、既往有关规定与本贯彻意见不符的，按本贯彻意见执行。</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、执行中如遇问题请及时反映给江苏省建设工程造价管理总站。</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附件：</w:t>
      </w:r>
      <w:r>
        <w:rPr>
          <w:rFonts w:eastAsia="方正仿宋_GBK"/>
          <w:color w:val="000000"/>
          <w:spacing w:val="-2"/>
          <w:kern w:val="0"/>
          <w:sz w:val="24"/>
        </w:rPr>
        <w:t>1.</w:t>
      </w:r>
      <w:r>
        <w:rPr>
          <w:rFonts w:hint="cs" w:eastAsia="方正仿宋_GBK"/>
          <w:color w:val="000000"/>
          <w:spacing w:val="-2"/>
          <w:kern w:val="0"/>
          <w:sz w:val="24"/>
          <w:cs/>
        </w:rPr>
        <w:t> </w:t>
      </w:r>
      <w:r>
        <w:rPr>
          <w:rFonts w:hint="eastAsia" w:eastAsia="方正仿宋_GBK"/>
          <w:color w:val="000000"/>
          <w:spacing w:val="-2"/>
          <w:kern w:val="0"/>
          <w:sz w:val="24"/>
        </w:rPr>
        <w:t>措施项目清单调整和增加</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2.</w:t>
      </w:r>
      <w:r>
        <w:rPr>
          <w:rFonts w:hint="cs" w:eastAsia="方正仿宋_GBK"/>
          <w:color w:val="000000"/>
          <w:spacing w:val="-2"/>
          <w:kern w:val="0"/>
          <w:sz w:val="24"/>
          <w:cs/>
        </w:rPr>
        <w:t> </w:t>
      </w:r>
      <w:r>
        <w:rPr>
          <w:rFonts w:hint="eastAsia" w:eastAsia="方正仿宋_GBK"/>
          <w:color w:val="000000"/>
          <w:spacing w:val="-2"/>
          <w:kern w:val="0"/>
          <w:sz w:val="24"/>
        </w:rPr>
        <w:t>工程量清单计价表格调整部分（共</w:t>
      </w:r>
      <w:r>
        <w:rPr>
          <w:rFonts w:eastAsia="方正仿宋_GBK"/>
          <w:color w:val="000000"/>
          <w:spacing w:val="-2"/>
          <w:kern w:val="0"/>
          <w:sz w:val="24"/>
        </w:rPr>
        <w:t>5</w:t>
      </w:r>
      <w:r>
        <w:rPr>
          <w:rFonts w:hint="eastAsia" w:eastAsia="方正仿宋_GBK"/>
          <w:color w:val="000000"/>
          <w:spacing w:val="-2"/>
          <w:kern w:val="0"/>
          <w:sz w:val="24"/>
        </w:rPr>
        <w:t>张表）</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xml:space="preserve">    </w:t>
      </w:r>
    </w:p>
    <w:p>
      <w:pPr>
        <w:spacing w:line="460" w:lineRule="exact"/>
        <w:ind w:right="409" w:rightChars="199" w:firstLine="464" w:firstLineChars="200"/>
        <w:jc w:val="right"/>
        <w:rPr>
          <w:rFonts w:eastAsia="方正仿宋_GBK"/>
          <w:color w:val="000000"/>
          <w:spacing w:val="-2"/>
          <w:kern w:val="0"/>
          <w:sz w:val="24"/>
        </w:rPr>
      </w:pPr>
      <w:r>
        <w:rPr>
          <w:rFonts w:hint="eastAsia" w:eastAsia="方正仿宋_GBK"/>
          <w:color w:val="000000"/>
          <w:spacing w:val="-2"/>
          <w:kern w:val="0"/>
          <w:sz w:val="24"/>
        </w:rPr>
        <w:t>江苏省住房和城乡建设厅</w:t>
      </w:r>
      <w:r>
        <w:rPr>
          <w:rFonts w:eastAsia="方正仿宋_GBK"/>
          <w:color w:val="000000"/>
          <w:spacing w:val="-2"/>
          <w:kern w:val="0"/>
          <w:sz w:val="24"/>
        </w:rPr>
        <w:t xml:space="preserve">    </w:t>
      </w:r>
    </w:p>
    <w:p>
      <w:pPr>
        <w:spacing w:line="460" w:lineRule="exact"/>
        <w:ind w:right="881" w:rightChars="428" w:firstLine="4060" w:firstLineChars="1750"/>
        <w:jc w:val="right"/>
        <w:rPr>
          <w:rFonts w:eastAsia="方正仿宋_GBK"/>
          <w:color w:val="000000"/>
          <w:spacing w:val="-2"/>
          <w:kern w:val="0"/>
          <w:sz w:val="24"/>
        </w:rPr>
      </w:pPr>
      <w:r>
        <w:rPr>
          <w:rFonts w:eastAsia="方正仿宋_GBK"/>
          <w:color w:val="000000"/>
          <w:spacing w:val="-2"/>
          <w:kern w:val="0"/>
          <w:sz w:val="24"/>
        </w:rPr>
        <w:t xml:space="preserve"> 2014</w:t>
      </w:r>
      <w:r>
        <w:rPr>
          <w:rFonts w:hint="eastAsia" w:eastAsia="方正仿宋_GBK"/>
          <w:color w:val="000000"/>
          <w:spacing w:val="-2"/>
          <w:kern w:val="0"/>
          <w:sz w:val="24"/>
        </w:rPr>
        <w:t>年</w:t>
      </w:r>
      <w:r>
        <w:rPr>
          <w:rFonts w:eastAsia="方正仿宋_GBK"/>
          <w:color w:val="000000"/>
          <w:spacing w:val="-2"/>
          <w:kern w:val="0"/>
          <w:sz w:val="24"/>
        </w:rPr>
        <w:t>9</w:t>
      </w:r>
      <w:r>
        <w:rPr>
          <w:rFonts w:hint="eastAsia" w:eastAsia="方正仿宋_GBK"/>
          <w:color w:val="000000"/>
          <w:spacing w:val="-2"/>
          <w:kern w:val="0"/>
          <w:sz w:val="24"/>
        </w:rPr>
        <w:t>月</w:t>
      </w:r>
      <w:r>
        <w:rPr>
          <w:rFonts w:eastAsia="方正仿宋_GBK"/>
          <w:color w:val="000000"/>
          <w:spacing w:val="-2"/>
          <w:kern w:val="0"/>
          <w:sz w:val="24"/>
        </w:rPr>
        <w:t>3</w:t>
      </w:r>
      <w:r>
        <w:rPr>
          <w:rFonts w:hint="eastAsia" w:eastAsia="方正仿宋_GBK"/>
          <w:color w:val="000000"/>
          <w:spacing w:val="-2"/>
          <w:kern w:val="0"/>
          <w:sz w:val="24"/>
        </w:rPr>
        <w:t>日</w:t>
      </w:r>
      <w:r>
        <w:rPr>
          <w:rFonts w:eastAsia="方正仿宋_GBK"/>
          <w:color w:val="000000"/>
          <w:spacing w:val="-2"/>
          <w:kern w:val="0"/>
          <w:sz w:val="24"/>
        </w:rPr>
        <w:t xml:space="preserve">        </w:t>
      </w:r>
    </w:p>
    <w:p>
      <w:pPr>
        <w:spacing w:line="460" w:lineRule="exact"/>
        <w:ind w:firstLine="232" w:firstLineChars="100"/>
        <w:rPr>
          <w:rFonts w:eastAsia="方正仿宋_GBK"/>
          <w:color w:val="000000"/>
          <w:spacing w:val="-2"/>
          <w:kern w:val="0"/>
          <w:sz w:val="24"/>
        </w:rPr>
      </w:pPr>
      <w:r>
        <w:rPr>
          <w:rFonts w:eastAsia="方正仿宋_GBK"/>
          <w:color w:val="000000"/>
          <w:spacing w:val="-2"/>
          <w:kern w:val="0"/>
          <w:sz w:val="24"/>
        </w:rPr>
        <w:t> </w:t>
      </w:r>
    </w:p>
    <w:p>
      <w:pPr>
        <w:spacing w:line="460" w:lineRule="exact"/>
        <w:rPr>
          <w:rFonts w:ascii="Times New Roman" w:eastAsia="方正黑体_GBK" w:cs="宋体"/>
          <w:color w:val="000000"/>
          <w:spacing w:val="-2"/>
          <w:kern w:val="0"/>
          <w:sz w:val="28"/>
          <w:szCs w:val="28"/>
        </w:rPr>
      </w:pPr>
      <w:r>
        <w:rPr>
          <w:rFonts w:eastAsia="方正仿宋_GBK"/>
          <w:color w:val="000000"/>
          <w:spacing w:val="-2"/>
          <w:kern w:val="0"/>
          <w:sz w:val="24"/>
        </w:rPr>
        <w:br w:type="page"/>
      </w:r>
      <w:r>
        <w:rPr>
          <w:rFonts w:hint="eastAsia" w:ascii="Times New Roman" w:eastAsia="方正黑体_GBK"/>
          <w:color w:val="000000"/>
          <w:spacing w:val="-2"/>
          <w:kern w:val="0"/>
          <w:sz w:val="28"/>
          <w:szCs w:val="28"/>
        </w:rPr>
        <w:t>附件一：</w:t>
      </w:r>
    </w:p>
    <w:p>
      <w:pPr>
        <w:snapToGrid w:val="0"/>
        <w:spacing w:line="570" w:lineRule="exact"/>
        <w:jc w:val="center"/>
        <w:rPr>
          <w:rFonts w:hint="eastAsia" w:ascii="Times New Roman" w:eastAsia="方正黑体_GBK" w:cs="宋体"/>
          <w:color w:val="000000"/>
          <w:spacing w:val="-2"/>
          <w:kern w:val="0"/>
          <w:sz w:val="28"/>
          <w:szCs w:val="28"/>
        </w:rPr>
      </w:pPr>
      <w:r>
        <w:rPr>
          <w:rFonts w:hint="eastAsia" w:ascii="Times New Roman" w:hAnsi="Times New Roman" w:eastAsia="方正黑体_GBK" w:cs="宋体"/>
          <w:color w:val="000000"/>
          <w:spacing w:val="-2"/>
          <w:kern w:val="0"/>
          <w:sz w:val="28"/>
          <w:szCs w:val="28"/>
        </w:rPr>
        <w:t>措施项目清单调整和增加</w:t>
      </w:r>
    </w:p>
    <w:p>
      <w:pPr>
        <w:snapToGrid w:val="0"/>
        <w:spacing w:line="240" w:lineRule="exact"/>
        <w:ind w:firstLine="204" w:firstLineChars="200"/>
        <w:rPr>
          <w:rFonts w:hint="eastAsia" w:cs="宋体"/>
          <w:b/>
          <w:color w:val="000000"/>
          <w:spacing w:val="-2"/>
          <w:kern w:val="0"/>
          <w:sz w:val="11"/>
          <w:szCs w:val="11"/>
        </w:rPr>
      </w:pPr>
    </w:p>
    <w:p>
      <w:pPr>
        <w:snapToGrid w:val="0"/>
        <w:spacing w:line="460" w:lineRule="exact"/>
        <w:ind w:firstLine="464" w:firstLineChars="200"/>
        <w:rPr>
          <w:rFonts w:ascii="Times New Roman" w:eastAsia="方正黑体_GBK" w:cs="宋体"/>
          <w:color w:val="000000"/>
          <w:spacing w:val="-2"/>
          <w:kern w:val="0"/>
          <w:sz w:val="24"/>
        </w:rPr>
      </w:pPr>
      <w:r>
        <w:rPr>
          <w:rFonts w:hint="eastAsia" w:ascii="Times New Roman" w:hAnsi="Times New Roman" w:eastAsia="方正黑体_GBK" w:cs="宋体"/>
          <w:color w:val="000000"/>
          <w:spacing w:val="-2"/>
          <w:kern w:val="0"/>
          <w:sz w:val="24"/>
        </w:rPr>
        <w:t>一、单价措施项目：</w:t>
      </w:r>
    </w:p>
    <w:p>
      <w:pPr>
        <w:snapToGrid w:val="0"/>
        <w:spacing w:line="570" w:lineRule="exact"/>
        <w:ind w:firstLine="464" w:firstLineChars="200"/>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、房屋建筑与装饰工程中增补电梯井脚手架。</w:t>
      </w:r>
    </w:p>
    <w:p>
      <w:pPr>
        <w:snapToGrid w:val="0"/>
        <w:spacing w:line="240" w:lineRule="exact"/>
        <w:rPr>
          <w:rFonts w:cs="宋体"/>
          <w:color w:val="000000"/>
          <w:spacing w:val="-2"/>
          <w:kern w:val="0"/>
          <w:sz w:val="10"/>
          <w:szCs w:val="10"/>
        </w:rPr>
      </w:pPr>
    </w:p>
    <w:tbl>
      <w:tblPr>
        <w:tblStyle w:val="12"/>
        <w:tblW w:w="0" w:type="auto"/>
        <w:jc w:val="center"/>
        <w:tblBorders>
          <w:top w:val="single" w:color="auto" w:sz="8" w:space="0"/>
          <w:left w:val="single" w:color="auto" w:sz="8" w:space="0"/>
          <w:bottom w:val="single" w:color="auto" w:sz="8" w:space="0"/>
          <w:right w:val="single" w:color="auto" w:sz="8" w:space="0"/>
          <w:insideH w:val="single" w:color="000000" w:sz="6" w:space="0"/>
          <w:insideV w:val="single" w:color="000000" w:sz="2" w:space="0"/>
        </w:tblBorders>
        <w:tblLayout w:type="fixed"/>
        <w:tblCellMar>
          <w:top w:w="0" w:type="dxa"/>
          <w:left w:w="108" w:type="dxa"/>
          <w:bottom w:w="0" w:type="dxa"/>
          <w:right w:w="108" w:type="dxa"/>
        </w:tblCellMar>
      </w:tblPr>
      <w:tblGrid>
        <w:gridCol w:w="1206"/>
        <w:gridCol w:w="925"/>
        <w:gridCol w:w="1296"/>
        <w:gridCol w:w="939"/>
        <w:gridCol w:w="1537"/>
        <w:gridCol w:w="2673"/>
      </w:tblGrid>
      <w:tr>
        <w:tblPrEx>
          <w:tblBorders>
            <w:top w:val="single" w:color="auto" w:sz="8" w:space="0"/>
            <w:left w:val="single" w:color="auto" w:sz="8" w:space="0"/>
            <w:bottom w:val="single" w:color="auto" w:sz="8" w:space="0"/>
            <w:right w:val="single" w:color="auto" w:sz="8" w:space="0"/>
            <w:insideH w:val="single" w:color="000000" w:sz="6" w:space="0"/>
            <w:insideV w:val="single" w:color="000000" w:sz="2" w:space="0"/>
          </w:tblBorders>
          <w:tblCellMar>
            <w:top w:w="0" w:type="dxa"/>
            <w:left w:w="108" w:type="dxa"/>
            <w:bottom w:w="0" w:type="dxa"/>
            <w:right w:w="108" w:type="dxa"/>
          </w:tblCellMar>
        </w:tblPrEx>
        <w:trPr>
          <w:trHeight w:val="536" w:hRule="atLeast"/>
          <w:jc w:val="center"/>
        </w:trPr>
        <w:tc>
          <w:tcPr>
            <w:tcW w:w="1206" w:type="dxa"/>
            <w:tcBorders>
              <w:top w:val="single" w:color="auto" w:sz="8" w:space="0"/>
              <w:left w:val="single" w:color="auto" w:sz="8" w:space="0"/>
              <w:bottom w:val="single" w:color="000000" w:sz="6" w:space="0"/>
              <w:right w:val="single" w:color="000000" w:sz="2"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olor w:val="000000"/>
                <w:spacing w:val="-2"/>
                <w:kern w:val="0"/>
                <w:sz w:val="18"/>
                <w:szCs w:val="18"/>
              </w:rPr>
              <w:t>项目编码</w:t>
            </w:r>
          </w:p>
        </w:tc>
        <w:tc>
          <w:tcPr>
            <w:tcW w:w="925" w:type="dxa"/>
            <w:tcBorders>
              <w:top w:val="single" w:color="auto" w:sz="8" w:space="0"/>
              <w:left w:val="single" w:color="000000" w:sz="2" w:space="0"/>
              <w:bottom w:val="single" w:color="000000" w:sz="6" w:space="0"/>
              <w:right w:val="single" w:color="000000" w:sz="2"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olor w:val="000000"/>
                <w:spacing w:val="-2"/>
                <w:kern w:val="0"/>
                <w:sz w:val="18"/>
                <w:szCs w:val="18"/>
              </w:rPr>
              <w:t>项目</w:t>
            </w:r>
          </w:p>
          <w:p>
            <w:pPr>
              <w:jc w:val="center"/>
              <w:rPr>
                <w:rFonts w:ascii="Times New Roman" w:eastAsia="方正黑体_GBK"/>
                <w:color w:val="000000"/>
                <w:spacing w:val="-2"/>
                <w:kern w:val="0"/>
                <w:sz w:val="18"/>
                <w:szCs w:val="18"/>
              </w:rPr>
            </w:pPr>
            <w:r>
              <w:rPr>
                <w:rFonts w:hint="eastAsia" w:ascii="Times New Roman" w:hAnsi="Times New Roman" w:eastAsia="方正黑体_GBK"/>
                <w:color w:val="000000"/>
                <w:spacing w:val="-2"/>
                <w:kern w:val="0"/>
                <w:sz w:val="18"/>
                <w:szCs w:val="18"/>
              </w:rPr>
              <w:t>名称</w:t>
            </w:r>
          </w:p>
        </w:tc>
        <w:tc>
          <w:tcPr>
            <w:tcW w:w="1296" w:type="dxa"/>
            <w:tcBorders>
              <w:top w:val="single" w:color="auto" w:sz="8" w:space="0"/>
              <w:left w:val="single" w:color="000000" w:sz="2" w:space="0"/>
              <w:bottom w:val="single" w:color="000000" w:sz="6" w:space="0"/>
              <w:right w:val="single" w:color="000000" w:sz="2"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olor w:val="000000"/>
                <w:spacing w:val="-2"/>
                <w:kern w:val="0"/>
                <w:sz w:val="18"/>
                <w:szCs w:val="18"/>
              </w:rPr>
              <w:t>项目特征</w:t>
            </w:r>
          </w:p>
        </w:tc>
        <w:tc>
          <w:tcPr>
            <w:tcW w:w="939" w:type="dxa"/>
            <w:tcBorders>
              <w:top w:val="single" w:color="auto" w:sz="8" w:space="0"/>
              <w:left w:val="single" w:color="000000" w:sz="2" w:space="0"/>
              <w:bottom w:val="single" w:color="000000" w:sz="6" w:space="0"/>
              <w:right w:val="single" w:color="000000" w:sz="2"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olor w:val="000000"/>
                <w:spacing w:val="-2"/>
                <w:kern w:val="0"/>
                <w:sz w:val="18"/>
                <w:szCs w:val="18"/>
              </w:rPr>
              <w:t>计量</w:t>
            </w:r>
          </w:p>
          <w:p>
            <w:pPr>
              <w:jc w:val="center"/>
              <w:rPr>
                <w:rFonts w:ascii="Times New Roman" w:eastAsia="方正黑体_GBK"/>
                <w:color w:val="000000"/>
                <w:spacing w:val="-2"/>
                <w:kern w:val="0"/>
                <w:sz w:val="18"/>
                <w:szCs w:val="18"/>
              </w:rPr>
            </w:pPr>
            <w:r>
              <w:rPr>
                <w:rFonts w:hint="eastAsia" w:ascii="Times New Roman" w:hAnsi="Times New Roman" w:eastAsia="方正黑体_GBK"/>
                <w:color w:val="000000"/>
                <w:spacing w:val="-2"/>
                <w:kern w:val="0"/>
                <w:sz w:val="18"/>
                <w:szCs w:val="18"/>
              </w:rPr>
              <w:t>单位</w:t>
            </w:r>
          </w:p>
        </w:tc>
        <w:tc>
          <w:tcPr>
            <w:tcW w:w="1537" w:type="dxa"/>
            <w:tcBorders>
              <w:top w:val="single" w:color="auto" w:sz="8" w:space="0"/>
              <w:left w:val="single" w:color="000000" w:sz="2" w:space="0"/>
              <w:bottom w:val="single" w:color="000000" w:sz="6" w:space="0"/>
              <w:right w:val="single" w:color="000000" w:sz="2"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olor w:val="000000"/>
                <w:spacing w:val="-2"/>
                <w:kern w:val="0"/>
                <w:sz w:val="18"/>
                <w:szCs w:val="18"/>
              </w:rPr>
              <w:t>工程量计算</w:t>
            </w:r>
          </w:p>
          <w:p>
            <w:pPr>
              <w:jc w:val="center"/>
              <w:rPr>
                <w:rFonts w:ascii="Times New Roman" w:eastAsia="方正黑体_GBK"/>
                <w:color w:val="000000"/>
                <w:spacing w:val="-2"/>
                <w:kern w:val="0"/>
                <w:sz w:val="18"/>
                <w:szCs w:val="18"/>
              </w:rPr>
            </w:pPr>
            <w:r>
              <w:rPr>
                <w:rFonts w:hint="eastAsia" w:ascii="Times New Roman" w:hAnsi="Times New Roman" w:eastAsia="方正黑体_GBK"/>
                <w:color w:val="000000"/>
                <w:spacing w:val="-2"/>
                <w:kern w:val="0"/>
                <w:sz w:val="18"/>
                <w:szCs w:val="18"/>
              </w:rPr>
              <w:t>规则</w:t>
            </w:r>
          </w:p>
        </w:tc>
        <w:tc>
          <w:tcPr>
            <w:tcW w:w="2673" w:type="dxa"/>
            <w:tcBorders>
              <w:top w:val="single" w:color="auto" w:sz="8" w:space="0"/>
              <w:left w:val="single" w:color="000000" w:sz="2" w:space="0"/>
              <w:bottom w:val="single" w:color="000000" w:sz="6" w:space="0"/>
              <w:right w:val="single" w:color="auto" w:sz="8"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olor w:val="000000"/>
                <w:spacing w:val="-2"/>
                <w:kern w:val="0"/>
                <w:sz w:val="18"/>
                <w:szCs w:val="18"/>
              </w:rPr>
              <w:t>工作内容</w:t>
            </w:r>
          </w:p>
        </w:tc>
      </w:tr>
      <w:tr>
        <w:tblPrEx>
          <w:tblBorders>
            <w:top w:val="single" w:color="auto" w:sz="8" w:space="0"/>
            <w:left w:val="single" w:color="auto" w:sz="8" w:space="0"/>
            <w:bottom w:val="single" w:color="auto" w:sz="8" w:space="0"/>
            <w:right w:val="single" w:color="auto" w:sz="8" w:space="0"/>
            <w:insideH w:val="single" w:color="000000" w:sz="6" w:space="0"/>
            <w:insideV w:val="single" w:color="000000" w:sz="2" w:space="0"/>
          </w:tblBorders>
          <w:tblCellMar>
            <w:top w:w="0" w:type="dxa"/>
            <w:left w:w="108" w:type="dxa"/>
            <w:bottom w:w="0" w:type="dxa"/>
            <w:right w:w="108" w:type="dxa"/>
          </w:tblCellMar>
        </w:tblPrEx>
        <w:trPr>
          <w:trHeight w:val="502" w:hRule="atLeast"/>
          <w:jc w:val="center"/>
        </w:trPr>
        <w:tc>
          <w:tcPr>
            <w:tcW w:w="1206" w:type="dxa"/>
            <w:tcBorders>
              <w:top w:val="single" w:color="000000" w:sz="6" w:space="0"/>
              <w:left w:val="single" w:color="auto" w:sz="8" w:space="0"/>
              <w:bottom w:val="single" w:color="auto" w:sz="8" w:space="0"/>
              <w:right w:val="single" w:color="000000" w:sz="2" w:space="0"/>
            </w:tcBorders>
            <w:noWrap w:val="0"/>
            <w:tcMar>
              <w:top w:w="108" w:type="dxa"/>
              <w:left w:w="108" w:type="dxa"/>
              <w:bottom w:w="108" w:type="dxa"/>
              <w:right w:w="108" w:type="dxa"/>
            </w:tcMar>
            <w:vAlign w:val="center"/>
          </w:tcPr>
          <w:p>
            <w:pPr>
              <w:jc w:val="center"/>
              <w:rPr>
                <w:color w:val="000000"/>
                <w:spacing w:val="-2"/>
                <w:kern w:val="0"/>
                <w:sz w:val="18"/>
                <w:szCs w:val="18"/>
              </w:rPr>
            </w:pPr>
            <w:r>
              <w:rPr>
                <w:color w:val="000000"/>
                <w:spacing w:val="-2"/>
                <w:kern w:val="0"/>
                <w:sz w:val="18"/>
                <w:szCs w:val="18"/>
              </w:rPr>
              <w:t>011701009</w:t>
            </w:r>
          </w:p>
        </w:tc>
        <w:tc>
          <w:tcPr>
            <w:tcW w:w="925" w:type="dxa"/>
            <w:tcBorders>
              <w:top w:val="single" w:color="000000" w:sz="6" w:space="0"/>
              <w:left w:val="single" w:color="000000" w:sz="2" w:space="0"/>
              <w:bottom w:val="single" w:color="auto" w:sz="8" w:space="0"/>
              <w:right w:val="single" w:color="000000" w:sz="2" w:space="0"/>
            </w:tcBorders>
            <w:noWrap w:val="0"/>
            <w:tcMar>
              <w:top w:w="108" w:type="dxa"/>
              <w:left w:w="108" w:type="dxa"/>
              <w:bottom w:w="108" w:type="dxa"/>
              <w:right w:w="108" w:type="dxa"/>
            </w:tcMar>
            <w:vAlign w:val="center"/>
          </w:tcPr>
          <w:p>
            <w:pPr>
              <w:jc w:val="center"/>
              <w:rPr>
                <w:color w:val="000000"/>
                <w:spacing w:val="-2"/>
                <w:kern w:val="0"/>
                <w:sz w:val="18"/>
                <w:szCs w:val="18"/>
              </w:rPr>
            </w:pPr>
            <w:r>
              <w:rPr>
                <w:rFonts w:hint="eastAsia" w:hAnsi="Times New Roman"/>
                <w:color w:val="000000"/>
                <w:spacing w:val="-2"/>
                <w:kern w:val="0"/>
                <w:sz w:val="18"/>
                <w:szCs w:val="18"/>
              </w:rPr>
              <w:t>电梯井脚手架</w:t>
            </w:r>
          </w:p>
        </w:tc>
        <w:tc>
          <w:tcPr>
            <w:tcW w:w="1296" w:type="dxa"/>
            <w:tcBorders>
              <w:top w:val="single" w:color="000000" w:sz="6" w:space="0"/>
              <w:left w:val="single" w:color="000000" w:sz="2" w:space="0"/>
              <w:bottom w:val="single" w:color="auto" w:sz="8" w:space="0"/>
              <w:right w:val="single" w:color="000000" w:sz="2" w:space="0"/>
            </w:tcBorders>
            <w:noWrap w:val="0"/>
            <w:tcMar>
              <w:top w:w="108" w:type="dxa"/>
              <w:left w:w="108" w:type="dxa"/>
              <w:bottom w:w="108" w:type="dxa"/>
              <w:right w:w="108" w:type="dxa"/>
            </w:tcMar>
            <w:vAlign w:val="center"/>
          </w:tcPr>
          <w:p>
            <w:pPr>
              <w:jc w:val="center"/>
              <w:rPr>
                <w:color w:val="000000"/>
                <w:spacing w:val="-2"/>
                <w:kern w:val="0"/>
                <w:sz w:val="18"/>
                <w:szCs w:val="18"/>
              </w:rPr>
            </w:pPr>
            <w:r>
              <w:rPr>
                <w:rFonts w:hint="eastAsia" w:hAnsi="Times New Roman"/>
                <w:color w:val="000000"/>
                <w:spacing w:val="-2"/>
                <w:kern w:val="0"/>
                <w:sz w:val="18"/>
                <w:szCs w:val="18"/>
              </w:rPr>
              <w:t>电梯井高度</w:t>
            </w:r>
          </w:p>
        </w:tc>
        <w:tc>
          <w:tcPr>
            <w:tcW w:w="939" w:type="dxa"/>
            <w:tcBorders>
              <w:top w:val="single" w:color="000000" w:sz="6" w:space="0"/>
              <w:left w:val="single" w:color="000000" w:sz="2" w:space="0"/>
              <w:bottom w:val="single" w:color="auto" w:sz="8" w:space="0"/>
              <w:right w:val="single" w:color="000000" w:sz="2" w:space="0"/>
            </w:tcBorders>
            <w:noWrap w:val="0"/>
            <w:tcMar>
              <w:top w:w="108" w:type="dxa"/>
              <w:left w:w="108" w:type="dxa"/>
              <w:bottom w:w="108" w:type="dxa"/>
              <w:right w:w="108" w:type="dxa"/>
            </w:tcMar>
            <w:vAlign w:val="center"/>
          </w:tcPr>
          <w:p>
            <w:pPr>
              <w:jc w:val="center"/>
              <w:rPr>
                <w:color w:val="000000"/>
                <w:spacing w:val="-2"/>
                <w:kern w:val="0"/>
                <w:sz w:val="18"/>
                <w:szCs w:val="18"/>
              </w:rPr>
            </w:pPr>
            <w:r>
              <w:rPr>
                <w:rFonts w:hint="eastAsia" w:hAnsi="Times New Roman"/>
                <w:color w:val="000000"/>
                <w:spacing w:val="-2"/>
                <w:kern w:val="0"/>
                <w:sz w:val="18"/>
                <w:szCs w:val="18"/>
              </w:rPr>
              <w:t>座</w:t>
            </w:r>
          </w:p>
        </w:tc>
        <w:tc>
          <w:tcPr>
            <w:tcW w:w="1537" w:type="dxa"/>
            <w:tcBorders>
              <w:top w:val="single" w:color="000000" w:sz="6" w:space="0"/>
              <w:left w:val="single" w:color="000000" w:sz="2" w:space="0"/>
              <w:bottom w:val="single" w:color="auto" w:sz="8" w:space="0"/>
              <w:right w:val="single" w:color="000000" w:sz="2" w:space="0"/>
            </w:tcBorders>
            <w:noWrap w:val="0"/>
            <w:tcMar>
              <w:top w:w="108" w:type="dxa"/>
              <w:left w:w="108" w:type="dxa"/>
              <w:bottom w:w="108" w:type="dxa"/>
              <w:right w:w="108" w:type="dxa"/>
            </w:tcMar>
            <w:vAlign w:val="center"/>
          </w:tcPr>
          <w:p>
            <w:pPr>
              <w:jc w:val="center"/>
              <w:rPr>
                <w:color w:val="000000"/>
                <w:spacing w:val="-2"/>
                <w:kern w:val="0"/>
                <w:sz w:val="18"/>
                <w:szCs w:val="18"/>
              </w:rPr>
            </w:pPr>
            <w:r>
              <w:rPr>
                <w:rFonts w:hint="eastAsia" w:hAnsi="Times New Roman"/>
                <w:color w:val="000000"/>
                <w:spacing w:val="-2"/>
                <w:kern w:val="0"/>
                <w:sz w:val="18"/>
                <w:szCs w:val="18"/>
              </w:rPr>
              <w:t>按设计图示</w:t>
            </w:r>
          </w:p>
          <w:p>
            <w:pPr>
              <w:jc w:val="center"/>
              <w:rPr>
                <w:color w:val="000000"/>
                <w:spacing w:val="-2"/>
                <w:kern w:val="0"/>
                <w:sz w:val="18"/>
                <w:szCs w:val="18"/>
              </w:rPr>
            </w:pPr>
            <w:r>
              <w:rPr>
                <w:rFonts w:hint="eastAsia" w:hAnsi="Times New Roman"/>
                <w:color w:val="000000"/>
                <w:spacing w:val="-2"/>
                <w:kern w:val="0"/>
                <w:sz w:val="18"/>
                <w:szCs w:val="18"/>
              </w:rPr>
              <w:t>数量计算</w:t>
            </w:r>
          </w:p>
        </w:tc>
        <w:tc>
          <w:tcPr>
            <w:tcW w:w="2673" w:type="dxa"/>
            <w:tcBorders>
              <w:top w:val="single" w:color="000000" w:sz="6" w:space="0"/>
              <w:left w:val="single" w:color="000000" w:sz="2" w:space="0"/>
              <w:bottom w:val="single" w:color="auto" w:sz="8" w:space="0"/>
              <w:right w:val="single" w:color="auto" w:sz="8" w:space="0"/>
            </w:tcBorders>
            <w:noWrap w:val="0"/>
            <w:tcMar>
              <w:top w:w="108" w:type="dxa"/>
              <w:left w:w="108" w:type="dxa"/>
              <w:bottom w:w="108" w:type="dxa"/>
              <w:right w:w="108" w:type="dxa"/>
            </w:tcMar>
            <w:vAlign w:val="center"/>
          </w:tcPr>
          <w:p>
            <w:pPr>
              <w:rPr>
                <w:color w:val="000000"/>
                <w:spacing w:val="-2"/>
                <w:kern w:val="0"/>
                <w:sz w:val="18"/>
                <w:szCs w:val="18"/>
              </w:rPr>
            </w:pPr>
            <w:r>
              <w:rPr>
                <w:color w:val="000000"/>
                <w:spacing w:val="-2"/>
                <w:kern w:val="0"/>
                <w:sz w:val="18"/>
                <w:szCs w:val="18"/>
              </w:rPr>
              <w:t>1.</w:t>
            </w:r>
            <w:r>
              <w:rPr>
                <w:rFonts w:hint="eastAsia" w:hAnsi="Times New Roman"/>
                <w:color w:val="000000"/>
                <w:spacing w:val="-2"/>
                <w:kern w:val="0"/>
                <w:sz w:val="18"/>
                <w:szCs w:val="18"/>
              </w:rPr>
              <w:t>搭设拆除脚手架、安全网</w:t>
            </w:r>
          </w:p>
          <w:p>
            <w:pPr>
              <w:rPr>
                <w:color w:val="000000"/>
                <w:spacing w:val="-2"/>
                <w:kern w:val="0"/>
                <w:sz w:val="18"/>
                <w:szCs w:val="18"/>
              </w:rPr>
            </w:pPr>
            <w:r>
              <w:rPr>
                <w:color w:val="000000"/>
                <w:spacing w:val="-2"/>
                <w:kern w:val="0"/>
                <w:sz w:val="18"/>
                <w:szCs w:val="18"/>
              </w:rPr>
              <w:t>2.</w:t>
            </w:r>
            <w:r>
              <w:rPr>
                <w:rFonts w:hint="eastAsia" w:hAnsi="Times New Roman"/>
                <w:color w:val="000000"/>
                <w:spacing w:val="-2"/>
                <w:kern w:val="0"/>
                <w:sz w:val="18"/>
                <w:szCs w:val="18"/>
              </w:rPr>
              <w:t>铺、翻脚手板</w:t>
            </w:r>
          </w:p>
        </w:tc>
      </w:tr>
    </w:tbl>
    <w:p>
      <w:pPr>
        <w:snapToGrid w:val="0"/>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w:t>
      </w:r>
      <w:r>
        <w:rPr>
          <w:rFonts w:eastAsia="方正仿宋_GBK"/>
          <w:color w:val="000000"/>
          <w:spacing w:val="-2"/>
          <w:kern w:val="0"/>
          <w:sz w:val="24"/>
        </w:rPr>
        <w:t>011702003</w:t>
      </w:r>
      <w:r>
        <w:rPr>
          <w:rFonts w:hint="eastAsia" w:eastAsia="方正仿宋_GBK"/>
          <w:color w:val="000000"/>
          <w:spacing w:val="-2"/>
          <w:kern w:val="0"/>
          <w:sz w:val="24"/>
        </w:rPr>
        <w:t>构造柱模板工程量计算规则调整为：按图示外露部分计算面积（锯齿形按锯齿形最宽面计算模板宽度）。</w:t>
      </w:r>
    </w:p>
    <w:p>
      <w:pPr>
        <w:snapToGrid w:val="0"/>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w:t>
      </w:r>
      <w:r>
        <w:rPr>
          <w:rFonts w:eastAsia="方正仿宋_GBK"/>
          <w:color w:val="000000"/>
          <w:spacing w:val="-2"/>
          <w:kern w:val="0"/>
          <w:sz w:val="24"/>
        </w:rPr>
        <w:t>011703001</w:t>
      </w:r>
      <w:r>
        <w:rPr>
          <w:rFonts w:hint="eastAsia" w:eastAsia="方正仿宋_GBK"/>
          <w:color w:val="000000"/>
          <w:spacing w:val="-2"/>
          <w:kern w:val="0"/>
          <w:sz w:val="24"/>
        </w:rPr>
        <w:t>工程量计算规则中的</w:t>
      </w:r>
      <w:r>
        <w:rPr>
          <w:rFonts w:eastAsia="方正仿宋_GBK"/>
          <w:color w:val="000000"/>
          <w:spacing w:val="-2"/>
          <w:kern w:val="0"/>
          <w:sz w:val="24"/>
        </w:rPr>
        <w:t>“</w:t>
      </w:r>
      <w:r>
        <w:rPr>
          <w:rFonts w:hint="eastAsia" w:eastAsia="方正仿宋_GBK"/>
          <w:color w:val="000000"/>
          <w:spacing w:val="-2"/>
          <w:kern w:val="0"/>
          <w:sz w:val="24"/>
        </w:rPr>
        <w:t>施工工期日历天</w:t>
      </w:r>
      <w:r>
        <w:rPr>
          <w:rFonts w:eastAsia="方正仿宋_GBK"/>
          <w:color w:val="000000"/>
          <w:spacing w:val="-2"/>
          <w:kern w:val="0"/>
          <w:sz w:val="24"/>
        </w:rPr>
        <w:t>”</w:t>
      </w:r>
      <w:r>
        <w:rPr>
          <w:rFonts w:hint="eastAsia" w:eastAsia="方正仿宋_GBK"/>
          <w:color w:val="000000"/>
          <w:spacing w:val="-2"/>
          <w:kern w:val="0"/>
          <w:sz w:val="24"/>
        </w:rPr>
        <w:t>为定额工期。</w:t>
      </w:r>
    </w:p>
    <w:p>
      <w:pPr>
        <w:snapToGrid w:val="0"/>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w:t>
      </w:r>
      <w:r>
        <w:rPr>
          <w:rFonts w:eastAsia="方正仿宋_GBK"/>
          <w:color w:val="000000"/>
          <w:spacing w:val="-2"/>
          <w:kern w:val="0"/>
          <w:sz w:val="24"/>
        </w:rPr>
        <w:t>011704001</w:t>
      </w:r>
      <w:r>
        <w:rPr>
          <w:rFonts w:hint="eastAsia" w:eastAsia="方正仿宋_GBK"/>
          <w:color w:val="000000"/>
          <w:spacing w:val="-2"/>
          <w:kern w:val="0"/>
          <w:sz w:val="24"/>
        </w:rPr>
        <w:t>超高施工增加注</w:t>
      </w:r>
      <w:r>
        <w:rPr>
          <w:rFonts w:eastAsia="方正仿宋_GBK"/>
          <w:color w:val="000000"/>
          <w:spacing w:val="-2"/>
          <w:kern w:val="0"/>
          <w:sz w:val="24"/>
        </w:rPr>
        <w:t>1</w:t>
      </w:r>
      <w:r>
        <w:rPr>
          <w:rFonts w:hint="eastAsia" w:eastAsia="方正仿宋_GBK"/>
          <w:color w:val="000000"/>
          <w:spacing w:val="-2"/>
          <w:kern w:val="0"/>
          <w:sz w:val="24"/>
        </w:rPr>
        <w:t>调整为：超高施工增加适用于建筑物檐口高度超过</w:t>
      </w:r>
      <w:r>
        <w:rPr>
          <w:rFonts w:eastAsia="方正仿宋_GBK"/>
          <w:color w:val="000000"/>
          <w:spacing w:val="-2"/>
          <w:kern w:val="0"/>
          <w:sz w:val="24"/>
        </w:rPr>
        <w:t>20m</w:t>
      </w:r>
      <w:r>
        <w:rPr>
          <w:rFonts w:hint="eastAsia" w:eastAsia="方正仿宋_GBK"/>
          <w:color w:val="000000"/>
          <w:spacing w:val="-2"/>
          <w:kern w:val="0"/>
          <w:sz w:val="24"/>
        </w:rPr>
        <w:t>或层数超过</w:t>
      </w:r>
      <w:r>
        <w:rPr>
          <w:rFonts w:eastAsia="方正仿宋_GBK"/>
          <w:color w:val="000000"/>
          <w:spacing w:val="-2"/>
          <w:kern w:val="0"/>
          <w:sz w:val="24"/>
        </w:rPr>
        <w:t>6</w:t>
      </w:r>
      <w:r>
        <w:rPr>
          <w:rFonts w:hint="eastAsia" w:eastAsia="方正仿宋_GBK"/>
          <w:color w:val="000000"/>
          <w:spacing w:val="-2"/>
          <w:kern w:val="0"/>
          <w:sz w:val="24"/>
        </w:rPr>
        <w:t>层时。工程量按超过</w:t>
      </w:r>
      <w:r>
        <w:rPr>
          <w:rFonts w:eastAsia="方正仿宋_GBK"/>
          <w:color w:val="000000"/>
          <w:spacing w:val="-2"/>
          <w:kern w:val="0"/>
          <w:sz w:val="24"/>
        </w:rPr>
        <w:t>20m</w:t>
      </w:r>
      <w:r>
        <w:rPr>
          <w:rFonts w:hint="eastAsia" w:eastAsia="方正仿宋_GBK"/>
          <w:color w:val="000000"/>
          <w:spacing w:val="-2"/>
          <w:kern w:val="0"/>
          <w:sz w:val="24"/>
        </w:rPr>
        <w:t>部分与超过</w:t>
      </w:r>
      <w:r>
        <w:rPr>
          <w:rFonts w:eastAsia="方正仿宋_GBK"/>
          <w:color w:val="000000"/>
          <w:spacing w:val="-2"/>
          <w:kern w:val="0"/>
          <w:sz w:val="24"/>
        </w:rPr>
        <w:t>6</w:t>
      </w:r>
      <w:r>
        <w:rPr>
          <w:rFonts w:hint="eastAsia" w:eastAsia="方正仿宋_GBK"/>
          <w:color w:val="000000"/>
          <w:spacing w:val="-2"/>
          <w:kern w:val="0"/>
          <w:sz w:val="24"/>
        </w:rPr>
        <w:t>层部分建筑面积中的较大值计算。地下室不计算层数。</w:t>
      </w:r>
    </w:p>
    <w:p>
      <w:pPr>
        <w:snapToGrid w:val="0"/>
        <w:spacing w:line="460" w:lineRule="exact"/>
        <w:ind w:firstLine="464" w:firstLineChars="200"/>
        <w:rPr>
          <w:rFonts w:ascii="Times New Roman" w:hAnsi="Times New Roman" w:eastAsia="方正黑体_GBK" w:cs="宋体"/>
          <w:color w:val="000000"/>
          <w:spacing w:val="-2"/>
          <w:kern w:val="0"/>
          <w:sz w:val="24"/>
        </w:rPr>
      </w:pPr>
      <w:r>
        <w:rPr>
          <w:rFonts w:hint="eastAsia" w:ascii="Times New Roman" w:hAnsi="Times New Roman" w:eastAsia="方正黑体_GBK" w:cs="宋体"/>
          <w:color w:val="000000"/>
          <w:spacing w:val="-2"/>
          <w:kern w:val="0"/>
          <w:sz w:val="24"/>
        </w:rPr>
        <w:t>二、总价措施项目调整和增加如下：</w:t>
      </w:r>
    </w:p>
    <w:tbl>
      <w:tblPr>
        <w:tblStyle w:val="12"/>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88"/>
        <w:gridCol w:w="1200"/>
        <w:gridCol w:w="660"/>
        <w:gridCol w:w="9"/>
        <w:gridCol w:w="6383"/>
        <w:gridCol w:w="8"/>
        <w:gridCol w:w="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2"/>
          <w:wAfter w:w="14" w:type="dxa"/>
          <w:trHeight w:val="588" w:hRule="atLeast"/>
          <w:tblHeader/>
        </w:trPr>
        <w:tc>
          <w:tcPr>
            <w:tcW w:w="788" w:type="dxa"/>
            <w:tcBorders>
              <w:top w:val="single" w:color="auto" w:sz="8" w:space="0"/>
              <w:left w:val="single" w:color="auto" w:sz="8" w:space="0"/>
              <w:bottom w:val="single" w:color="auto" w:sz="4" w:space="0"/>
              <w:right w:val="single" w:color="auto" w:sz="4" w:space="0"/>
            </w:tcBorders>
            <w:noWrap w:val="0"/>
            <w:vAlign w:val="center"/>
          </w:tcPr>
          <w:p>
            <w:pPr>
              <w:spacing w:line="280" w:lineRule="exact"/>
              <w:jc w:val="center"/>
              <w:rPr>
                <w:rFonts w:ascii="Times New Roman" w:hAnsi="Times New Roman" w:eastAsia="方正黑体_GBK" w:cs="宋体"/>
                <w:color w:val="000000"/>
                <w:spacing w:val="-2"/>
                <w:sz w:val="18"/>
                <w:szCs w:val="18"/>
              </w:rPr>
            </w:pPr>
            <w:r>
              <w:rPr>
                <w:rFonts w:hint="eastAsia" w:ascii="Times New Roman" w:hAnsi="Times New Roman" w:eastAsia="方正黑体_GBK" w:cs="宋体"/>
                <w:color w:val="000000"/>
                <w:spacing w:val="-2"/>
                <w:sz w:val="18"/>
                <w:szCs w:val="18"/>
              </w:rPr>
              <w:t>工程</w:t>
            </w:r>
          </w:p>
          <w:p>
            <w:pPr>
              <w:spacing w:line="280" w:lineRule="exact"/>
              <w:jc w:val="center"/>
              <w:rPr>
                <w:rFonts w:ascii="Times New Roman" w:hAnsi="Times New Roman" w:eastAsia="方正黑体_GBK" w:cs="宋体"/>
                <w:color w:val="000000"/>
                <w:spacing w:val="-2"/>
                <w:sz w:val="18"/>
                <w:szCs w:val="18"/>
              </w:rPr>
            </w:pPr>
            <w:r>
              <w:rPr>
                <w:rFonts w:hint="eastAsia" w:ascii="Times New Roman" w:hAnsi="Times New Roman" w:eastAsia="方正黑体_GBK" w:cs="宋体"/>
                <w:color w:val="000000"/>
                <w:spacing w:val="-2"/>
                <w:sz w:val="18"/>
                <w:szCs w:val="18"/>
              </w:rPr>
              <w:t>类型</w:t>
            </w:r>
          </w:p>
        </w:tc>
        <w:tc>
          <w:tcPr>
            <w:tcW w:w="1200" w:type="dxa"/>
            <w:tcBorders>
              <w:top w:val="single" w:color="auto" w:sz="8"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方正黑体_GBK" w:cs="宋体"/>
                <w:color w:val="000000"/>
                <w:spacing w:val="-2"/>
                <w:sz w:val="18"/>
                <w:szCs w:val="18"/>
              </w:rPr>
            </w:pPr>
            <w:r>
              <w:rPr>
                <w:rFonts w:hint="eastAsia" w:ascii="Times New Roman" w:hAnsi="Times New Roman" w:eastAsia="方正黑体_GBK" w:cs="宋体"/>
                <w:color w:val="000000"/>
                <w:spacing w:val="-2"/>
                <w:sz w:val="18"/>
                <w:szCs w:val="18"/>
              </w:rPr>
              <w:t>项目编码</w:t>
            </w:r>
          </w:p>
        </w:tc>
        <w:tc>
          <w:tcPr>
            <w:tcW w:w="669" w:type="dxa"/>
            <w:gridSpan w:val="2"/>
            <w:tcBorders>
              <w:top w:val="single" w:color="auto" w:sz="8"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eastAsia="方正黑体_GBK" w:cs="宋体"/>
                <w:color w:val="000000"/>
                <w:spacing w:val="-2"/>
                <w:sz w:val="18"/>
                <w:szCs w:val="18"/>
              </w:rPr>
            </w:pPr>
            <w:r>
              <w:rPr>
                <w:rFonts w:hint="eastAsia" w:ascii="Times New Roman" w:hAnsi="Times New Roman" w:eastAsia="方正黑体_GBK" w:cs="宋体"/>
                <w:color w:val="000000"/>
                <w:spacing w:val="-2"/>
                <w:sz w:val="18"/>
                <w:szCs w:val="18"/>
              </w:rPr>
              <w:t>项目</w:t>
            </w:r>
          </w:p>
          <w:p>
            <w:pPr>
              <w:spacing w:line="280" w:lineRule="exact"/>
              <w:jc w:val="center"/>
              <w:rPr>
                <w:rFonts w:ascii="Times New Roman" w:hAnsi="Times New Roman" w:eastAsia="方正黑体_GBK" w:cs="宋体"/>
                <w:color w:val="000000"/>
                <w:spacing w:val="-2"/>
                <w:sz w:val="18"/>
                <w:szCs w:val="18"/>
              </w:rPr>
            </w:pPr>
            <w:r>
              <w:rPr>
                <w:rFonts w:hint="eastAsia" w:ascii="Times New Roman" w:hAnsi="Times New Roman" w:eastAsia="方正黑体_GBK" w:cs="宋体"/>
                <w:color w:val="000000"/>
                <w:spacing w:val="-2"/>
                <w:sz w:val="18"/>
                <w:szCs w:val="18"/>
              </w:rPr>
              <w:t>名称</w:t>
            </w:r>
          </w:p>
        </w:tc>
        <w:tc>
          <w:tcPr>
            <w:tcW w:w="6383" w:type="dxa"/>
            <w:tcBorders>
              <w:top w:val="single" w:color="auto" w:sz="8" w:space="0"/>
              <w:left w:val="single" w:color="auto" w:sz="4" w:space="0"/>
              <w:bottom w:val="single" w:color="auto" w:sz="4" w:space="0"/>
              <w:right w:val="single" w:color="auto" w:sz="8" w:space="0"/>
            </w:tcBorders>
            <w:noWrap w:val="0"/>
            <w:vAlign w:val="center"/>
          </w:tcPr>
          <w:p>
            <w:pPr>
              <w:spacing w:line="280" w:lineRule="exact"/>
              <w:jc w:val="center"/>
              <w:rPr>
                <w:rFonts w:ascii="Times New Roman" w:hAnsi="Times New Roman" w:eastAsia="方正黑体_GBK" w:cs="宋体"/>
                <w:color w:val="000000"/>
                <w:spacing w:val="-2"/>
                <w:sz w:val="18"/>
                <w:szCs w:val="18"/>
              </w:rPr>
            </w:pPr>
            <w:r>
              <w:rPr>
                <w:rFonts w:hint="eastAsia" w:ascii="Times New Roman" w:hAnsi="Times New Roman" w:eastAsia="方正黑体_GBK" w:cs="宋体"/>
                <w:color w:val="000000"/>
                <w:spacing w:val="-2"/>
                <w:sz w:val="18"/>
                <w:szCs w:val="18"/>
              </w:rPr>
              <w:t>工作内容及包含范围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2"/>
          <w:wAfter w:w="14" w:type="dxa"/>
          <w:trHeight w:val="1388" w:hRule="atLeast"/>
        </w:trPr>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房屋建筑与装饰工程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011707001</w:t>
            </w:r>
          </w:p>
        </w:tc>
        <w:tc>
          <w:tcPr>
            <w:tcW w:w="66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安全文明施工</w:t>
            </w:r>
          </w:p>
        </w:tc>
        <w:tc>
          <w:tcPr>
            <w:tcW w:w="6383" w:type="dxa"/>
            <w:vMerge w:val="restart"/>
            <w:tcBorders>
              <w:top w:val="single" w:color="auto" w:sz="4" w:space="0"/>
              <w:left w:val="single" w:color="auto" w:sz="4" w:space="0"/>
              <w:bottom w:val="single" w:color="auto" w:sz="4" w:space="0"/>
              <w:right w:val="single" w:color="auto" w:sz="8" w:space="0"/>
            </w:tcBorders>
            <w:noWrap w:val="0"/>
            <w:vAlign w:val="center"/>
          </w:tcPr>
          <w:p>
            <w:pPr>
              <w:spacing w:line="260" w:lineRule="exact"/>
              <w:ind w:firstLine="344" w:firstLineChars="200"/>
              <w:rPr>
                <w:rFonts w:ascii="Times New Roman" w:hAnsi="Times New Roman"/>
                <w:color w:val="000000"/>
                <w:spacing w:val="-2"/>
                <w:sz w:val="18"/>
                <w:szCs w:val="18"/>
              </w:rPr>
            </w:pPr>
            <w:r>
              <w:rPr>
                <w:rFonts w:ascii="Times New Roman" w:hAnsi="Times New Roman"/>
                <w:color w:val="000000"/>
                <w:spacing w:val="-2"/>
                <w:sz w:val="18"/>
                <w:szCs w:val="18"/>
              </w:rPr>
              <w:t>1.</w:t>
            </w:r>
            <w:r>
              <w:rPr>
                <w:rFonts w:hint="eastAsia" w:ascii="Times New Roman" w:hAnsi="Times New Roman"/>
                <w:color w:val="000000"/>
                <w:spacing w:val="-2"/>
                <w:sz w:val="18"/>
                <w:szCs w:val="18"/>
              </w:rPr>
              <w:t>环境保护：现场施工机械设备降低噪音、防扰民措施费用；水泥和其他易飞扬细颗粒建筑材料密闭存放或采取覆盖措施等费用；工程防扬尘洒水费用；土石方、建渣外运车辆冲洗、防洒漏等费用；现场污染源的控制、生活垃圾清理外运、场地排水排污措施的费用；其他环境保护措施费用。</w:t>
            </w:r>
          </w:p>
          <w:p>
            <w:pPr>
              <w:spacing w:line="260" w:lineRule="exact"/>
              <w:ind w:firstLine="344" w:firstLineChars="200"/>
              <w:rPr>
                <w:rFonts w:ascii="Times New Roman" w:hAnsi="Times New Roman"/>
                <w:color w:val="000000"/>
                <w:spacing w:val="-2"/>
                <w:sz w:val="18"/>
                <w:szCs w:val="18"/>
              </w:rPr>
            </w:pPr>
            <w:r>
              <w:rPr>
                <w:rFonts w:ascii="Times New Roman" w:hAnsi="Times New Roman"/>
                <w:color w:val="000000"/>
                <w:spacing w:val="-2"/>
                <w:sz w:val="18"/>
                <w:szCs w:val="18"/>
              </w:rPr>
              <w:t>2.</w:t>
            </w:r>
            <w:r>
              <w:rPr>
                <w:rFonts w:hint="eastAsia" w:ascii="Times New Roman" w:hAnsi="Times New Roman"/>
                <w:color w:val="000000"/>
                <w:spacing w:val="-2"/>
                <w:sz w:val="18"/>
                <w:szCs w:val="18"/>
              </w:rPr>
              <w:t>文明施工：“五牌一图”的费用；现场围挡的墙面美化（包括内外粉刷、刷白、标语等）、压顶装饰费用；现场厕所便槽刷白、贴面砖</w:t>
            </w:r>
            <w:r>
              <w:rPr>
                <w:rFonts w:ascii="Times New Roman" w:hAnsi="Times New Roman"/>
                <w:color w:val="000000"/>
                <w:spacing w:val="-2"/>
                <w:sz w:val="18"/>
                <w:szCs w:val="18"/>
              </w:rPr>
              <w:t>,</w:t>
            </w:r>
            <w:r>
              <w:rPr>
                <w:rFonts w:hint="eastAsia" w:ascii="Times New Roman" w:hAnsi="Times New Roman"/>
                <w:color w:val="000000"/>
                <w:spacing w:val="-2"/>
                <w:sz w:val="18"/>
                <w:szCs w:val="18"/>
              </w:rPr>
              <w:t>水泥砂浆地面或地砖费用，建筑物内临时便溺设施费用；其他施工现场临时设施的装饰装修、美化措施费用；现场生活卫生设施费用；符合卫生要求的饮水设备、淋浴、消毒等设施费用；生活用洁净燃料费用；防煤气中毒、防蚊虫叮咬等措施费用；施工现场操作场地的硬化费用；现场绿化费用、治安综合治理费用、现场电子监控设备费用；现场配备医药保健器材、物品费用和急救人员培训费用；用于现场工人的防暑降温费、电风扇、空调等设备及用电费用；其他文明施工措施费用。</w:t>
            </w:r>
          </w:p>
          <w:p>
            <w:pPr>
              <w:spacing w:line="260" w:lineRule="exact"/>
              <w:ind w:firstLine="344" w:firstLineChars="200"/>
              <w:rPr>
                <w:rFonts w:ascii="Times New Roman" w:hAnsi="Times New Roman" w:cs="宋体"/>
                <w:color w:val="000000"/>
                <w:spacing w:val="-2"/>
                <w:sz w:val="18"/>
                <w:szCs w:val="18"/>
              </w:rPr>
            </w:pPr>
            <w:r>
              <w:rPr>
                <w:rFonts w:ascii="Times New Roman" w:hAnsi="Times New Roman"/>
                <w:color w:val="000000"/>
                <w:spacing w:val="-2"/>
                <w:sz w:val="18"/>
                <w:szCs w:val="18"/>
              </w:rPr>
              <w:t>3.</w:t>
            </w:r>
            <w:r>
              <w:rPr>
                <w:rFonts w:hint="eastAsia" w:ascii="Times New Roman" w:hAnsi="Times New Roman"/>
                <w:color w:val="000000"/>
                <w:spacing w:val="-2"/>
                <w:sz w:val="18"/>
                <w:szCs w:val="18"/>
              </w:rPr>
              <w:t>安全施工：安全资料、特殊作业专项方案的编制，安全施工标志的购置及安全宣传的费用；“三宝”（安全帽、安全带、安全网），“四口”（楼梯口、电梯井口、通道口、预留洞口），</w:t>
            </w:r>
            <w:r>
              <w:rPr>
                <w:rFonts w:ascii="Times New Roman" w:hAnsi="Times New Roman"/>
                <w:color w:val="000000"/>
                <w:spacing w:val="-2"/>
                <w:sz w:val="18"/>
                <w:szCs w:val="18"/>
              </w:rPr>
              <w:t>“</w:t>
            </w:r>
            <w:r>
              <w:rPr>
                <w:rFonts w:hint="eastAsia" w:ascii="Times New Roman" w:hAnsi="Times New Roman"/>
                <w:color w:val="000000"/>
                <w:spacing w:val="-2"/>
                <w:sz w:val="18"/>
                <w:szCs w:val="18"/>
              </w:rPr>
              <w:t>五临边</w:t>
            </w:r>
            <w:r>
              <w:rPr>
                <w:rFonts w:ascii="Times New Roman" w:hAnsi="Times New Roman"/>
                <w:color w:val="000000"/>
                <w:spacing w:val="-2"/>
                <w:sz w:val="18"/>
                <w:szCs w:val="18"/>
              </w:rPr>
              <w:t>”</w:t>
            </w:r>
            <w:r>
              <w:rPr>
                <w:rFonts w:hint="eastAsia" w:ascii="Times New Roman" w:hAnsi="Times New Roman"/>
                <w:color w:val="000000"/>
                <w:spacing w:val="-2"/>
                <w:sz w:val="18"/>
                <w:szCs w:val="18"/>
              </w:rPr>
              <w:t>（阳台围边、楼板围边、屋面围边、槽坑围边、卸料平台两侧）；水平防护架、垂直防护架、外架封闭等防护的费用；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2"/>
          <w:wAfter w:w="14" w:type="dxa"/>
          <w:trHeight w:val="751" w:hRule="atLeast"/>
        </w:trPr>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仿古建筑工程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Cs w:val="21"/>
              </w:rPr>
            </w:pPr>
            <w:r>
              <w:rPr>
                <w:rFonts w:ascii="Times New Roman" w:hAnsi="Times New Roman" w:cs="宋体"/>
                <w:color w:val="000000"/>
                <w:spacing w:val="-2"/>
                <w:szCs w:val="21"/>
              </w:rPr>
              <w:t>021007001</w:t>
            </w:r>
          </w:p>
        </w:tc>
        <w:tc>
          <w:tcPr>
            <w:tcW w:w="66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383"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2"/>
          <w:wAfter w:w="14" w:type="dxa"/>
          <w:trHeight w:val="896" w:hRule="atLeast"/>
        </w:trPr>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通用安装工程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Cs w:val="21"/>
              </w:rPr>
            </w:pPr>
            <w:r>
              <w:rPr>
                <w:rFonts w:ascii="Times New Roman" w:hAnsi="Times New Roman" w:cs="宋体"/>
                <w:color w:val="000000"/>
                <w:spacing w:val="-2"/>
                <w:szCs w:val="21"/>
              </w:rPr>
              <w:t>031302001</w:t>
            </w:r>
          </w:p>
        </w:tc>
        <w:tc>
          <w:tcPr>
            <w:tcW w:w="66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383"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2"/>
          <w:wAfter w:w="14" w:type="dxa"/>
          <w:trHeight w:val="1777" w:hRule="atLeast"/>
        </w:trPr>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市政</w:t>
            </w:r>
          </w:p>
          <w:p>
            <w:pPr>
              <w:spacing w:line="28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Cs w:val="21"/>
              </w:rPr>
            </w:pPr>
            <w:r>
              <w:rPr>
                <w:rFonts w:ascii="Times New Roman" w:hAnsi="Times New Roman" w:cs="宋体"/>
                <w:color w:val="000000"/>
                <w:spacing w:val="-2"/>
                <w:szCs w:val="21"/>
              </w:rPr>
              <w:t>041109001</w:t>
            </w:r>
          </w:p>
        </w:tc>
        <w:tc>
          <w:tcPr>
            <w:tcW w:w="66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383"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2"/>
          <w:wAfter w:w="14" w:type="dxa"/>
          <w:trHeight w:val="2974" w:hRule="atLeast"/>
        </w:trPr>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园林绿化工程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Cs w:val="21"/>
              </w:rPr>
            </w:pPr>
            <w:r>
              <w:rPr>
                <w:rFonts w:ascii="Times New Roman" w:hAnsi="Times New Roman" w:cs="宋体"/>
                <w:color w:val="000000"/>
                <w:spacing w:val="-2"/>
                <w:szCs w:val="21"/>
              </w:rPr>
              <w:t>050405001</w:t>
            </w:r>
          </w:p>
        </w:tc>
        <w:tc>
          <w:tcPr>
            <w:tcW w:w="669"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Cs w:val="21"/>
              </w:rPr>
            </w:pPr>
            <w:r>
              <w:rPr>
                <w:rFonts w:hint="eastAsia" w:ascii="Times New Roman" w:hAnsi="Times New Roman" w:cs="宋体"/>
                <w:color w:val="000000"/>
                <w:spacing w:val="-2"/>
                <w:sz w:val="18"/>
                <w:szCs w:val="18"/>
              </w:rPr>
              <w:t>安全文明施工</w:t>
            </w:r>
          </w:p>
        </w:tc>
        <w:tc>
          <w:tcPr>
            <w:tcW w:w="6383" w:type="dxa"/>
            <w:vMerge w:val="restart"/>
            <w:tcBorders>
              <w:top w:val="single" w:color="auto" w:sz="4" w:space="0"/>
              <w:left w:val="single" w:color="auto" w:sz="4" w:space="0"/>
              <w:bottom w:val="single" w:color="auto" w:sz="4" w:space="0"/>
              <w:right w:val="single" w:color="auto" w:sz="8" w:space="0"/>
            </w:tcBorders>
            <w:noWrap w:val="0"/>
            <w:vAlign w:val="center"/>
          </w:tcPr>
          <w:p>
            <w:pPr>
              <w:spacing w:line="280" w:lineRule="exact"/>
              <w:ind w:left="1" w:leftChars="-16" w:hanging="33" w:hangingChars="19"/>
              <w:rPr>
                <w:rFonts w:ascii="Times New Roman" w:hAnsi="Times New Roman"/>
                <w:color w:val="000000"/>
                <w:spacing w:val="-2"/>
                <w:sz w:val="18"/>
                <w:szCs w:val="18"/>
              </w:rPr>
            </w:pPr>
            <w:r>
              <w:rPr>
                <w:rFonts w:hint="eastAsia" w:ascii="Times New Roman" w:hAnsi="Times New Roman"/>
                <w:color w:val="000000"/>
                <w:spacing w:val="-2"/>
                <w:sz w:val="18"/>
                <w:szCs w:val="18"/>
              </w:rPr>
              <w:t>施工安全用电的费用，包括配电箱三级配电、两级保护装置要求、外电防护措施；起重机、塔吊等起重设备（含井架、门架）及外用电梯的安全防护措施（含警示标志）费用及卸料平台的临边防护、层间安全门、防护棚等设施费用；建筑工地起重机械的检验检测费用；施工机具防护棚及其围栏的安全保护设施费用；施工安全防护通道的费用；工人的安全防护用品、用具购置费用；消防设施与消防器材的配置费用；电气保护、安全照明设施费；其他安全防护措施费用。</w:t>
            </w:r>
          </w:p>
          <w:p>
            <w:pPr>
              <w:spacing w:line="280" w:lineRule="exact"/>
              <w:ind w:firstLine="344" w:firstLineChars="200"/>
              <w:rPr>
                <w:rFonts w:ascii="Times New Roman" w:hAnsi="Times New Roman" w:cs="宋体"/>
                <w:color w:val="000000"/>
                <w:spacing w:val="-2"/>
                <w:szCs w:val="21"/>
              </w:rPr>
            </w:pPr>
            <w:r>
              <w:rPr>
                <w:rFonts w:ascii="Times New Roman" w:hAnsi="Times New Roman"/>
                <w:color w:val="000000"/>
                <w:spacing w:val="-2"/>
                <w:sz w:val="18"/>
                <w:szCs w:val="18"/>
              </w:rPr>
              <w:t>4.</w:t>
            </w:r>
            <w:r>
              <w:rPr>
                <w:rFonts w:hint="eastAsia" w:ascii="Times New Roman" w:hAnsi="Times New Roman"/>
                <w:color w:val="000000"/>
                <w:spacing w:val="-2"/>
                <w:sz w:val="18"/>
                <w:szCs w:val="18"/>
              </w:rPr>
              <w:t>绿色施工：建筑垃圾分类收集及回收利用费用；夜间焊接作业及大型照明灯具的挡光措施费用；施工现场办公区、生活区使用节水器具及节能灯具增加费用；施工现场基坑降水储存使用、雨水收集系统、冲洗设备用水回收利用设施增加费用；施工现场生活区厕所化粪池、厨房隔油池设置及清理费用；从事有毒、有害、有刺激性气味和强光、噪音施工人员的防护器具；现场危险设备、地段、有毒物品存放地安全标识和防护措施；厕所、卫生设施、排水沟、阴暗潮湿地带定期消毒费用；保障现场施工人员劳动强度和工作时间符合国家标准《体力劳动强度分级》</w:t>
            </w:r>
            <w:r>
              <w:rPr>
                <w:rFonts w:ascii="Times New Roman" w:hAnsi="Times New Roman"/>
                <w:color w:val="000000"/>
                <w:spacing w:val="-2"/>
                <w:sz w:val="18"/>
                <w:szCs w:val="18"/>
              </w:rPr>
              <w:t>GB3869</w:t>
            </w:r>
            <w:r>
              <w:rPr>
                <w:rFonts w:hint="eastAsia" w:ascii="Times New Roman" w:hAnsi="Times New Roman"/>
                <w:color w:val="000000"/>
                <w:spacing w:val="-2"/>
                <w:sz w:val="18"/>
                <w:szCs w:val="18"/>
              </w:rPr>
              <w:t>的增加费用等。</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2"/>
          <w:wAfter w:w="14" w:type="dxa"/>
        </w:trPr>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构筑物工程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cs="宋体"/>
                <w:color w:val="000000"/>
                <w:spacing w:val="-2"/>
                <w:szCs w:val="21"/>
              </w:rPr>
            </w:pPr>
            <w:r>
              <w:rPr>
                <w:rFonts w:ascii="Times New Roman" w:hAnsi="Times New Roman" w:cs="宋体"/>
                <w:color w:val="000000"/>
                <w:spacing w:val="-2"/>
                <w:szCs w:val="21"/>
              </w:rPr>
              <w:t>070306001</w:t>
            </w:r>
          </w:p>
        </w:tc>
        <w:tc>
          <w:tcPr>
            <w:tcW w:w="66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Cs w:val="21"/>
              </w:rPr>
            </w:pPr>
          </w:p>
        </w:tc>
        <w:tc>
          <w:tcPr>
            <w:tcW w:w="6383"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2"/>
          <w:wAfter w:w="14" w:type="dxa"/>
        </w:trPr>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8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城市轨道交通工程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80" w:lineRule="exact"/>
              <w:rPr>
                <w:rFonts w:ascii="Times New Roman" w:hAnsi="Times New Roman" w:cs="宋体"/>
                <w:color w:val="000000"/>
                <w:spacing w:val="-2"/>
                <w:szCs w:val="21"/>
              </w:rPr>
            </w:pPr>
            <w:r>
              <w:rPr>
                <w:rFonts w:ascii="Times New Roman" w:hAnsi="Times New Roman" w:cs="宋体"/>
                <w:color w:val="000000"/>
                <w:spacing w:val="-2"/>
                <w:szCs w:val="21"/>
              </w:rPr>
              <w:t>081311001</w:t>
            </w:r>
          </w:p>
        </w:tc>
        <w:tc>
          <w:tcPr>
            <w:tcW w:w="669"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Cs w:val="21"/>
              </w:rPr>
            </w:pPr>
          </w:p>
        </w:tc>
        <w:tc>
          <w:tcPr>
            <w:tcW w:w="6383"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房屋建筑与装饰工程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011707008</w:t>
            </w:r>
          </w:p>
        </w:tc>
        <w:tc>
          <w:tcPr>
            <w:tcW w:w="660" w:type="dxa"/>
            <w:vMerge w:val="restart"/>
            <w:tcBorders>
              <w:top w:val="single" w:color="auto" w:sz="4" w:space="0"/>
              <w:left w:val="single" w:color="auto" w:sz="4" w:space="0"/>
              <w:bottom w:val="single" w:color="auto" w:sz="4" w:space="0"/>
              <w:right w:val="single" w:color="auto" w:sz="4" w:space="0"/>
            </w:tcBorders>
            <w:noWrap w:val="0"/>
            <w:vAlign w:val="center"/>
          </w:tcPr>
          <w:p>
            <w:pPr>
              <w:spacing w:line="420" w:lineRule="atLeas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临时设施</w:t>
            </w:r>
          </w:p>
        </w:tc>
        <w:tc>
          <w:tcPr>
            <w:tcW w:w="6406" w:type="dxa"/>
            <w:gridSpan w:val="4"/>
            <w:vMerge w:val="restart"/>
            <w:tcBorders>
              <w:top w:val="single" w:color="auto" w:sz="4" w:space="0"/>
              <w:left w:val="single" w:color="auto" w:sz="4" w:space="0"/>
              <w:bottom w:val="single" w:color="auto" w:sz="4" w:space="0"/>
              <w:right w:val="single" w:color="auto" w:sz="8" w:space="0"/>
            </w:tcBorders>
            <w:noWrap w:val="0"/>
            <w:vAlign w:val="center"/>
          </w:tcPr>
          <w:p>
            <w:pPr>
              <w:spacing w:line="240" w:lineRule="exact"/>
              <w:ind w:firstLine="344" w:firstLineChars="200"/>
              <w:rPr>
                <w:rFonts w:ascii="Times New Roman" w:hAnsi="Times New Roman"/>
                <w:color w:val="000000"/>
                <w:spacing w:val="-2"/>
                <w:sz w:val="18"/>
                <w:szCs w:val="18"/>
              </w:rPr>
            </w:pPr>
            <w:r>
              <w:rPr>
                <w:rFonts w:hint="eastAsia" w:ascii="Times New Roman" w:hAnsi="Times New Roman"/>
                <w:color w:val="000000"/>
                <w:spacing w:val="-2"/>
                <w:sz w:val="18"/>
                <w:szCs w:val="18"/>
              </w:rPr>
              <w:t>临时设施包括施工所必须搭设的生活和生产用的临时建筑物、构筑物和其他临时设施的费用等。包括施工现场临时宿舍、文化福利及公用事业房屋与构筑物、仓库、办公室、加工厂、工地实验室以及规定范围内的道路、水、电、管线等临时设施和小型临时设施等的搭设、维修、拆除、周转或摊销等费用。</w:t>
            </w:r>
          </w:p>
          <w:p>
            <w:pPr>
              <w:spacing w:line="240" w:lineRule="exact"/>
              <w:ind w:firstLine="344" w:firstLineChars="200"/>
              <w:rPr>
                <w:rFonts w:ascii="Times New Roman" w:hAnsi="Times New Roman"/>
                <w:color w:val="000000"/>
                <w:spacing w:val="-2"/>
                <w:sz w:val="18"/>
                <w:szCs w:val="18"/>
              </w:rPr>
            </w:pPr>
            <w:r>
              <w:rPr>
                <w:rFonts w:hint="eastAsia" w:ascii="Times New Roman" w:hAnsi="Times New Roman"/>
                <w:color w:val="000000"/>
                <w:spacing w:val="-2"/>
                <w:sz w:val="18"/>
                <w:szCs w:val="18"/>
              </w:rPr>
              <w:t>建筑、装饰、安装、修缮、古建园林工程规定范围内是指建筑物沿边起</w:t>
            </w:r>
            <w:r>
              <w:rPr>
                <w:rFonts w:ascii="Times New Roman" w:hAnsi="Times New Roman"/>
                <w:color w:val="000000"/>
                <w:spacing w:val="-2"/>
                <w:sz w:val="18"/>
                <w:szCs w:val="18"/>
              </w:rPr>
              <w:t>50</w:t>
            </w:r>
            <w:r>
              <w:rPr>
                <w:rFonts w:hint="eastAsia" w:ascii="Times New Roman" w:hAnsi="Times New Roman"/>
                <w:color w:val="000000"/>
                <w:spacing w:val="-2"/>
                <w:sz w:val="18"/>
                <w:szCs w:val="18"/>
              </w:rPr>
              <w:t>米以内，多幢建筑两幢间隔</w:t>
            </w:r>
            <w:r>
              <w:rPr>
                <w:rFonts w:ascii="Times New Roman" w:hAnsi="Times New Roman"/>
                <w:color w:val="000000"/>
                <w:spacing w:val="-2"/>
                <w:sz w:val="18"/>
                <w:szCs w:val="18"/>
              </w:rPr>
              <w:t>50</w:t>
            </w:r>
            <w:r>
              <w:rPr>
                <w:rFonts w:hint="eastAsia" w:ascii="Times New Roman" w:hAnsi="Times New Roman"/>
                <w:color w:val="000000"/>
                <w:spacing w:val="-2"/>
                <w:sz w:val="18"/>
                <w:szCs w:val="18"/>
              </w:rPr>
              <w:t>米内。</w:t>
            </w:r>
          </w:p>
          <w:p>
            <w:pPr>
              <w:spacing w:line="240" w:lineRule="exact"/>
              <w:ind w:firstLine="344" w:firstLineChars="200"/>
              <w:rPr>
                <w:rFonts w:ascii="Times New Roman" w:hAnsi="Times New Roman" w:cs="宋体"/>
                <w:color w:val="000000"/>
                <w:spacing w:val="-2"/>
                <w:sz w:val="18"/>
                <w:szCs w:val="18"/>
              </w:rPr>
            </w:pPr>
            <w:r>
              <w:rPr>
                <w:rFonts w:hint="eastAsia" w:ascii="Times New Roman" w:hAnsi="Times New Roman"/>
                <w:color w:val="000000"/>
                <w:spacing w:val="-2"/>
                <w:sz w:val="18"/>
                <w:szCs w:val="18"/>
              </w:rPr>
              <w:t>市政工程规定范围是指定额基本运距范围内的临时给水、排水、供电、供热线路（不包括变压器、锅炉等设备）、临时道路。不包括交通疏解分流通道、现场与公路（市政道路）的连接道路、道路工程的护栏（围挡），也不包括单独的管道工程或单独的驳岸工程施工需要的沿线简易道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仿古建筑工程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021007008</w:t>
            </w:r>
          </w:p>
        </w:tc>
        <w:tc>
          <w:tcPr>
            <w:tcW w:w="66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6" w:type="dxa"/>
            <w:gridSpan w:val="4"/>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通用安装工程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031302008</w:t>
            </w:r>
          </w:p>
        </w:tc>
        <w:tc>
          <w:tcPr>
            <w:tcW w:w="66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6" w:type="dxa"/>
            <w:gridSpan w:val="4"/>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市政工程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041109008</w:t>
            </w:r>
          </w:p>
        </w:tc>
        <w:tc>
          <w:tcPr>
            <w:tcW w:w="66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6" w:type="dxa"/>
            <w:gridSpan w:val="4"/>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园林绿化工程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050405009</w:t>
            </w:r>
          </w:p>
        </w:tc>
        <w:tc>
          <w:tcPr>
            <w:tcW w:w="66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6" w:type="dxa"/>
            <w:gridSpan w:val="4"/>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构筑物工程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070306009</w:t>
            </w:r>
          </w:p>
        </w:tc>
        <w:tc>
          <w:tcPr>
            <w:tcW w:w="66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6" w:type="dxa"/>
            <w:gridSpan w:val="4"/>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88"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城市轨道交通工程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081311007</w:t>
            </w:r>
          </w:p>
        </w:tc>
        <w:tc>
          <w:tcPr>
            <w:tcW w:w="660"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6" w:type="dxa"/>
            <w:gridSpan w:val="4"/>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Pr>
        <w:tc>
          <w:tcPr>
            <w:tcW w:w="788" w:type="dxa"/>
            <w:tcBorders>
              <w:top w:val="single" w:color="auto" w:sz="4" w:space="0"/>
              <w:left w:val="single" w:color="auto" w:sz="8" w:space="0"/>
              <w:bottom w:val="single" w:color="auto" w:sz="4" w:space="0"/>
              <w:right w:val="single" w:color="auto" w:sz="4" w:space="0"/>
            </w:tcBorders>
            <w:noWrap w:val="0"/>
            <w:vAlign w:val="top"/>
          </w:tcPr>
          <w:p>
            <w:pPr>
              <w:spacing w:line="26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房屋建筑与装饰工程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011707009</w:t>
            </w:r>
          </w:p>
        </w:tc>
        <w:tc>
          <w:tcPr>
            <w:tcW w:w="660" w:type="dxa"/>
            <w:vMerge w:val="restart"/>
            <w:tcBorders>
              <w:top w:val="single" w:color="auto" w:sz="4" w:space="0"/>
              <w:left w:val="single" w:color="auto" w:sz="4" w:space="0"/>
              <w:bottom w:val="single" w:color="auto" w:sz="8" w:space="0"/>
              <w:right w:val="single" w:color="auto" w:sz="4" w:space="0"/>
            </w:tcBorders>
            <w:noWrap w:val="0"/>
            <w:vAlign w:val="center"/>
          </w:tcPr>
          <w:p>
            <w:pPr>
              <w:spacing w:line="26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赶工</w:t>
            </w:r>
          </w:p>
          <w:p>
            <w:pPr>
              <w:spacing w:line="26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措施</w:t>
            </w:r>
          </w:p>
        </w:tc>
        <w:tc>
          <w:tcPr>
            <w:tcW w:w="6400" w:type="dxa"/>
            <w:gridSpan w:val="3"/>
            <w:vMerge w:val="restart"/>
            <w:tcBorders>
              <w:top w:val="single" w:color="auto" w:sz="4" w:space="0"/>
              <w:left w:val="single" w:color="auto" w:sz="4" w:space="0"/>
              <w:bottom w:val="single" w:color="auto" w:sz="8" w:space="0"/>
              <w:right w:val="single" w:color="auto" w:sz="8" w:space="0"/>
            </w:tcBorders>
            <w:noWrap w:val="0"/>
            <w:vAlign w:val="center"/>
          </w:tcPr>
          <w:p>
            <w:pPr>
              <w:spacing w:line="260" w:lineRule="exact"/>
              <w:ind w:firstLine="344" w:firstLineChars="200"/>
              <w:rPr>
                <w:rFonts w:ascii="Times New Roman" w:hAnsi="Times New Roman" w:cs="宋体"/>
                <w:color w:val="000000"/>
                <w:spacing w:val="-2"/>
                <w:sz w:val="18"/>
                <w:szCs w:val="18"/>
              </w:rPr>
            </w:pPr>
            <w:r>
              <w:rPr>
                <w:rFonts w:hint="eastAsia" w:ascii="Times New Roman" w:hAnsi="Times New Roman"/>
                <w:color w:val="000000"/>
                <w:spacing w:val="-2"/>
                <w:sz w:val="18"/>
                <w:szCs w:val="18"/>
              </w:rPr>
              <w:t>施工合同约定工期比我省现行工期定额提前，施工企业为缩短工期所发生的费用。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Pr>
        <w:tc>
          <w:tcPr>
            <w:tcW w:w="788" w:type="dxa"/>
            <w:tcBorders>
              <w:top w:val="single" w:color="auto" w:sz="4" w:space="0"/>
              <w:left w:val="single" w:color="auto" w:sz="8" w:space="0"/>
              <w:bottom w:val="single" w:color="auto" w:sz="4" w:space="0"/>
              <w:right w:val="single" w:color="auto" w:sz="4" w:space="0"/>
            </w:tcBorders>
            <w:noWrap w:val="0"/>
            <w:vAlign w:val="top"/>
          </w:tcPr>
          <w:p>
            <w:pPr>
              <w:spacing w:line="26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仿古建筑工程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021007009</w:t>
            </w:r>
          </w:p>
        </w:tc>
        <w:tc>
          <w:tcPr>
            <w:tcW w:w="660"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0" w:type="dxa"/>
            <w:gridSpan w:val="3"/>
            <w:vMerge w:val="continue"/>
            <w:tcBorders>
              <w:top w:val="single" w:color="auto" w:sz="4" w:space="0"/>
              <w:left w:val="single" w:color="auto" w:sz="4" w:space="0"/>
              <w:bottom w:val="single" w:color="auto" w:sz="8"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Pr>
        <w:tc>
          <w:tcPr>
            <w:tcW w:w="788" w:type="dxa"/>
            <w:tcBorders>
              <w:top w:val="single" w:color="auto" w:sz="4" w:space="0"/>
              <w:left w:val="single" w:color="auto" w:sz="8" w:space="0"/>
              <w:bottom w:val="single" w:color="auto" w:sz="4" w:space="0"/>
              <w:right w:val="single" w:color="auto" w:sz="4" w:space="0"/>
            </w:tcBorders>
            <w:noWrap w:val="0"/>
            <w:vAlign w:val="top"/>
          </w:tcPr>
          <w:p>
            <w:pPr>
              <w:spacing w:line="26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通用安装工程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031302009</w:t>
            </w:r>
          </w:p>
        </w:tc>
        <w:tc>
          <w:tcPr>
            <w:tcW w:w="660"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0" w:type="dxa"/>
            <w:gridSpan w:val="3"/>
            <w:vMerge w:val="continue"/>
            <w:tcBorders>
              <w:top w:val="single" w:color="auto" w:sz="4" w:space="0"/>
              <w:left w:val="single" w:color="auto" w:sz="4" w:space="0"/>
              <w:bottom w:val="single" w:color="auto" w:sz="8"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Pr>
        <w:tc>
          <w:tcPr>
            <w:tcW w:w="788" w:type="dxa"/>
            <w:tcBorders>
              <w:top w:val="single" w:color="auto" w:sz="4" w:space="0"/>
              <w:left w:val="single" w:color="auto" w:sz="8" w:space="0"/>
              <w:bottom w:val="single" w:color="auto" w:sz="4" w:space="0"/>
              <w:right w:val="single" w:color="auto" w:sz="4" w:space="0"/>
            </w:tcBorders>
            <w:noWrap w:val="0"/>
            <w:vAlign w:val="top"/>
          </w:tcPr>
          <w:p>
            <w:pPr>
              <w:spacing w:line="26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市政工程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041109009</w:t>
            </w:r>
          </w:p>
        </w:tc>
        <w:tc>
          <w:tcPr>
            <w:tcW w:w="660"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0" w:type="dxa"/>
            <w:gridSpan w:val="3"/>
            <w:vMerge w:val="continue"/>
            <w:tcBorders>
              <w:top w:val="single" w:color="auto" w:sz="4" w:space="0"/>
              <w:left w:val="single" w:color="auto" w:sz="4" w:space="0"/>
              <w:bottom w:val="single" w:color="auto" w:sz="8"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Pr>
        <w:tc>
          <w:tcPr>
            <w:tcW w:w="788" w:type="dxa"/>
            <w:tcBorders>
              <w:top w:val="single" w:color="auto" w:sz="4" w:space="0"/>
              <w:left w:val="single" w:color="auto" w:sz="8" w:space="0"/>
              <w:bottom w:val="single" w:color="auto" w:sz="4" w:space="0"/>
              <w:right w:val="single" w:color="auto" w:sz="4" w:space="0"/>
            </w:tcBorders>
            <w:noWrap w:val="0"/>
            <w:vAlign w:val="top"/>
          </w:tcPr>
          <w:p>
            <w:pPr>
              <w:spacing w:line="26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园林绿化工程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050405010</w:t>
            </w:r>
          </w:p>
        </w:tc>
        <w:tc>
          <w:tcPr>
            <w:tcW w:w="660"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0" w:type="dxa"/>
            <w:gridSpan w:val="3"/>
            <w:vMerge w:val="continue"/>
            <w:tcBorders>
              <w:top w:val="single" w:color="auto" w:sz="4" w:space="0"/>
              <w:left w:val="single" w:color="auto" w:sz="4" w:space="0"/>
              <w:bottom w:val="single" w:color="auto" w:sz="8"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Pr>
        <w:tc>
          <w:tcPr>
            <w:tcW w:w="788" w:type="dxa"/>
            <w:tcBorders>
              <w:top w:val="single" w:color="auto" w:sz="4" w:space="0"/>
              <w:left w:val="single" w:color="auto" w:sz="8" w:space="0"/>
              <w:bottom w:val="single" w:color="auto" w:sz="4" w:space="0"/>
              <w:right w:val="single" w:color="auto" w:sz="4" w:space="0"/>
            </w:tcBorders>
            <w:noWrap w:val="0"/>
            <w:vAlign w:val="top"/>
          </w:tcPr>
          <w:p>
            <w:pPr>
              <w:spacing w:line="26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构筑物工程</w:t>
            </w:r>
          </w:p>
        </w:tc>
        <w:tc>
          <w:tcPr>
            <w:tcW w:w="1200" w:type="dxa"/>
            <w:tcBorders>
              <w:top w:val="single" w:color="auto" w:sz="4" w:space="0"/>
              <w:left w:val="single" w:color="auto" w:sz="4" w:space="0"/>
              <w:bottom w:val="single" w:color="auto" w:sz="4" w:space="0"/>
              <w:right w:val="single" w:color="auto" w:sz="4" w:space="0"/>
            </w:tcBorders>
            <w:noWrap w:val="0"/>
            <w:vAlign w:val="center"/>
          </w:tcPr>
          <w:p>
            <w:pPr>
              <w:spacing w:line="26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070306010</w:t>
            </w:r>
          </w:p>
        </w:tc>
        <w:tc>
          <w:tcPr>
            <w:tcW w:w="660"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0" w:type="dxa"/>
            <w:gridSpan w:val="3"/>
            <w:vMerge w:val="continue"/>
            <w:tcBorders>
              <w:top w:val="single" w:color="auto" w:sz="4" w:space="0"/>
              <w:left w:val="single" w:color="auto" w:sz="4" w:space="0"/>
              <w:bottom w:val="single" w:color="auto" w:sz="8"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6" w:type="dxa"/>
        </w:trPr>
        <w:tc>
          <w:tcPr>
            <w:tcW w:w="788" w:type="dxa"/>
            <w:tcBorders>
              <w:top w:val="single" w:color="auto" w:sz="4" w:space="0"/>
              <w:left w:val="single" w:color="auto" w:sz="8" w:space="0"/>
              <w:bottom w:val="single" w:color="auto" w:sz="8" w:space="0"/>
              <w:right w:val="single" w:color="auto" w:sz="4" w:space="0"/>
            </w:tcBorders>
            <w:noWrap w:val="0"/>
            <w:vAlign w:val="top"/>
          </w:tcPr>
          <w:p>
            <w:pPr>
              <w:spacing w:line="26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城市轨道交通工程</w:t>
            </w:r>
          </w:p>
        </w:tc>
        <w:tc>
          <w:tcPr>
            <w:tcW w:w="1200" w:type="dxa"/>
            <w:tcBorders>
              <w:top w:val="single" w:color="auto" w:sz="4" w:space="0"/>
              <w:left w:val="single" w:color="auto" w:sz="4" w:space="0"/>
              <w:bottom w:val="single" w:color="auto" w:sz="8" w:space="0"/>
              <w:right w:val="single" w:color="auto" w:sz="4" w:space="0"/>
            </w:tcBorders>
            <w:noWrap w:val="0"/>
            <w:vAlign w:val="center"/>
          </w:tcPr>
          <w:p>
            <w:pPr>
              <w:spacing w:line="26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081311008</w:t>
            </w:r>
          </w:p>
        </w:tc>
        <w:tc>
          <w:tcPr>
            <w:tcW w:w="660"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6400" w:type="dxa"/>
            <w:gridSpan w:val="3"/>
            <w:vMerge w:val="continue"/>
            <w:tcBorders>
              <w:top w:val="single" w:color="auto" w:sz="4" w:space="0"/>
              <w:left w:val="single" w:color="auto" w:sz="4" w:space="0"/>
              <w:bottom w:val="single" w:color="auto" w:sz="8"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bl>
    <w:p>
      <w:pPr>
        <w:spacing w:line="420" w:lineRule="atLeast"/>
        <w:ind w:firstLine="344" w:firstLineChars="200"/>
        <w:rPr>
          <w:rFonts w:hint="eastAsia" w:cs="宋体"/>
          <w:color w:val="000000"/>
          <w:spacing w:val="-2"/>
          <w:kern w:val="0"/>
          <w:sz w:val="18"/>
          <w:szCs w:val="18"/>
        </w:rPr>
      </w:pPr>
    </w:p>
    <w:tbl>
      <w:tblPr>
        <w:tblStyle w:val="1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091"/>
        <w:gridCol w:w="1470"/>
        <w:gridCol w:w="1438"/>
        <w:gridCol w:w="8"/>
        <w:gridCol w:w="359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8"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工程类型</w:t>
            </w:r>
          </w:p>
        </w:tc>
        <w:tc>
          <w:tcPr>
            <w:tcW w:w="1470" w:type="dxa"/>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项目编码</w:t>
            </w:r>
          </w:p>
        </w:tc>
        <w:tc>
          <w:tcPr>
            <w:tcW w:w="1446" w:type="dxa"/>
            <w:gridSpan w:val="2"/>
            <w:tcBorders>
              <w:top w:val="single" w:color="auto" w:sz="8"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项目名称</w:t>
            </w:r>
          </w:p>
        </w:tc>
        <w:tc>
          <w:tcPr>
            <w:tcW w:w="3594" w:type="dxa"/>
            <w:tcBorders>
              <w:top w:val="single" w:color="auto" w:sz="8" w:space="0"/>
              <w:left w:val="single" w:color="auto" w:sz="4" w:space="0"/>
              <w:bottom w:val="single" w:color="auto" w:sz="4" w:space="0"/>
              <w:right w:val="single" w:color="auto" w:sz="8"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工作内容及包含范围</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房屋建筑与装饰工程</w:t>
            </w: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011707010</w:t>
            </w:r>
          </w:p>
        </w:tc>
        <w:tc>
          <w:tcPr>
            <w:tcW w:w="1446"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spacing w:line="420" w:lineRule="atLeas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工程按质论价</w:t>
            </w:r>
          </w:p>
        </w:tc>
        <w:tc>
          <w:tcPr>
            <w:tcW w:w="3594" w:type="dxa"/>
            <w:vMerge w:val="restart"/>
            <w:tcBorders>
              <w:top w:val="single" w:color="auto" w:sz="4" w:space="0"/>
              <w:left w:val="single" w:color="auto" w:sz="4" w:space="0"/>
              <w:bottom w:val="single" w:color="auto" w:sz="4" w:space="0"/>
              <w:right w:val="single" w:color="auto" w:sz="8" w:space="0"/>
            </w:tcBorders>
            <w:noWrap w:val="0"/>
            <w:vAlign w:val="center"/>
          </w:tcPr>
          <w:p>
            <w:pPr>
              <w:spacing w:line="240" w:lineRule="exact"/>
              <w:ind w:firstLine="344" w:firstLineChars="200"/>
              <w:jc w:val="left"/>
              <w:rPr>
                <w:rFonts w:ascii="Times New Roman" w:hAnsi="Times New Roman" w:cs="宋体"/>
                <w:color w:val="000000"/>
                <w:spacing w:val="-2"/>
                <w:sz w:val="18"/>
                <w:szCs w:val="18"/>
              </w:rPr>
            </w:pPr>
            <w:r>
              <w:rPr>
                <w:rFonts w:hint="eastAsia" w:ascii="Times New Roman" w:hAnsi="Times New Roman"/>
                <w:color w:val="000000"/>
                <w:spacing w:val="-2"/>
                <w:sz w:val="18"/>
                <w:szCs w:val="18"/>
              </w:rPr>
              <w:t>施工合同约定质量标准超过国家规定，施工企业完成工程质量达到经有权部门鉴定或评定为优质工程（包括优质结构工程）所必须增加的施工成本费。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仿古建筑工程</w:t>
            </w: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021007010</w:t>
            </w:r>
          </w:p>
        </w:tc>
        <w:tc>
          <w:tcPr>
            <w:tcW w:w="14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3594"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通用安装工程</w:t>
            </w: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031302010</w:t>
            </w:r>
          </w:p>
        </w:tc>
        <w:tc>
          <w:tcPr>
            <w:tcW w:w="14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3594"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市政工程</w:t>
            </w: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041109010</w:t>
            </w:r>
          </w:p>
        </w:tc>
        <w:tc>
          <w:tcPr>
            <w:tcW w:w="14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3594"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园林绿化工程</w:t>
            </w: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050405011</w:t>
            </w:r>
          </w:p>
        </w:tc>
        <w:tc>
          <w:tcPr>
            <w:tcW w:w="14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3594"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构筑物工程</w:t>
            </w: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070306011</w:t>
            </w:r>
          </w:p>
        </w:tc>
        <w:tc>
          <w:tcPr>
            <w:tcW w:w="14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3594"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城市轨道交通工程</w:t>
            </w: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081311009</w:t>
            </w:r>
          </w:p>
        </w:tc>
        <w:tc>
          <w:tcPr>
            <w:tcW w:w="1446"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3594" w:type="dxa"/>
            <w:vMerge w:val="continue"/>
            <w:tcBorders>
              <w:top w:val="single" w:color="auto" w:sz="4" w:space="0"/>
              <w:left w:val="single" w:color="auto" w:sz="4" w:space="0"/>
              <w:bottom w:val="single" w:color="auto" w:sz="4"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4" w:space="0"/>
              <w:left w:val="single" w:color="auto" w:sz="8"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房屋建筑与装饰工程</w:t>
            </w:r>
          </w:p>
        </w:tc>
        <w:tc>
          <w:tcPr>
            <w:tcW w:w="1470" w:type="dxa"/>
            <w:tcBorders>
              <w:top w:val="single" w:color="auto" w:sz="4" w:space="0"/>
              <w:left w:val="single" w:color="auto" w:sz="4" w:space="0"/>
              <w:bottom w:val="single" w:color="auto" w:sz="4"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011707011</w:t>
            </w:r>
          </w:p>
        </w:tc>
        <w:tc>
          <w:tcPr>
            <w:tcW w:w="1438" w:type="dxa"/>
            <w:vMerge w:val="restart"/>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住宅分户</w:t>
            </w:r>
          </w:p>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验收</w:t>
            </w:r>
          </w:p>
        </w:tc>
        <w:tc>
          <w:tcPr>
            <w:tcW w:w="3602" w:type="dxa"/>
            <w:gridSpan w:val="2"/>
            <w:vMerge w:val="restart"/>
            <w:tcBorders>
              <w:top w:val="single" w:color="auto" w:sz="4" w:space="0"/>
              <w:left w:val="single" w:color="auto" w:sz="4" w:space="0"/>
              <w:bottom w:val="single" w:color="auto" w:sz="8" w:space="0"/>
              <w:right w:val="single" w:color="auto" w:sz="8" w:space="0"/>
            </w:tcBorders>
            <w:noWrap w:val="0"/>
            <w:vAlign w:val="center"/>
          </w:tcPr>
          <w:p>
            <w:pPr>
              <w:spacing w:line="240" w:lineRule="exact"/>
              <w:ind w:firstLine="344" w:firstLineChars="200"/>
              <w:jc w:val="left"/>
              <w:rPr>
                <w:rFonts w:ascii="Times New Roman" w:hAnsi="Times New Roman" w:cs="宋体"/>
                <w:color w:val="000000"/>
                <w:spacing w:val="-2"/>
                <w:sz w:val="18"/>
                <w:szCs w:val="18"/>
              </w:rPr>
            </w:pPr>
            <w:r>
              <w:rPr>
                <w:rFonts w:hint="eastAsia" w:ascii="Times New Roman" w:hAnsi="Times New Roman"/>
                <w:color w:val="000000"/>
                <w:spacing w:val="-2"/>
                <w:sz w:val="18"/>
                <w:szCs w:val="18"/>
              </w:rPr>
              <w:t>按《住宅工程质量分户验收规程》（</w:t>
            </w:r>
            <w:r>
              <w:rPr>
                <w:rFonts w:ascii="Times New Roman" w:hAnsi="Times New Roman"/>
                <w:color w:val="000000"/>
                <w:spacing w:val="-2"/>
                <w:sz w:val="18"/>
                <w:szCs w:val="18"/>
              </w:rPr>
              <w:t>DGJ32/TJ103-2010</w:t>
            </w:r>
            <w:r>
              <w:rPr>
                <w:rFonts w:hint="eastAsia" w:ascii="Times New Roman" w:hAnsi="Times New Roman"/>
                <w:color w:val="000000"/>
                <w:spacing w:val="-2"/>
                <w:sz w:val="18"/>
                <w:szCs w:val="18"/>
              </w:rPr>
              <w:t>）的要求对住宅工程进行专门验收（包括蓄水、门窗淋水等）发生的费用。不包含室内空气污染测试费用。</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24" w:hRule="exact"/>
          <w:jc w:val="center"/>
        </w:trPr>
        <w:tc>
          <w:tcPr>
            <w:tcW w:w="2091" w:type="dxa"/>
            <w:tcBorders>
              <w:top w:val="single" w:color="auto" w:sz="4" w:space="0"/>
              <w:left w:val="single" w:color="auto" w:sz="8" w:space="0"/>
              <w:bottom w:val="single" w:color="auto" w:sz="8"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hint="eastAsia" w:ascii="Times New Roman" w:hAnsi="Times New Roman" w:cs="宋体"/>
                <w:color w:val="000000"/>
                <w:spacing w:val="-2"/>
                <w:sz w:val="18"/>
                <w:szCs w:val="18"/>
              </w:rPr>
              <w:t>通用安装工程</w:t>
            </w:r>
          </w:p>
        </w:tc>
        <w:tc>
          <w:tcPr>
            <w:tcW w:w="1470" w:type="dxa"/>
            <w:tcBorders>
              <w:top w:val="single" w:color="auto" w:sz="4" w:space="0"/>
              <w:left w:val="single" w:color="auto" w:sz="4" w:space="0"/>
              <w:bottom w:val="single" w:color="auto" w:sz="8" w:space="0"/>
              <w:right w:val="single" w:color="auto" w:sz="4" w:space="0"/>
            </w:tcBorders>
            <w:noWrap w:val="0"/>
            <w:vAlign w:val="center"/>
          </w:tcPr>
          <w:p>
            <w:pPr>
              <w:spacing w:line="240" w:lineRule="exact"/>
              <w:jc w:val="center"/>
              <w:rPr>
                <w:rFonts w:ascii="Times New Roman" w:hAnsi="Times New Roman" w:cs="宋体"/>
                <w:color w:val="000000"/>
                <w:spacing w:val="-2"/>
                <w:sz w:val="18"/>
                <w:szCs w:val="18"/>
              </w:rPr>
            </w:pPr>
            <w:r>
              <w:rPr>
                <w:rFonts w:ascii="Times New Roman" w:hAnsi="Times New Roman" w:cs="宋体"/>
                <w:color w:val="000000"/>
                <w:spacing w:val="-2"/>
                <w:sz w:val="18"/>
                <w:szCs w:val="18"/>
              </w:rPr>
              <w:t>031302011</w:t>
            </w:r>
          </w:p>
        </w:tc>
        <w:tc>
          <w:tcPr>
            <w:tcW w:w="1438" w:type="dxa"/>
            <w:vMerge w:val="continue"/>
            <w:tcBorders>
              <w:top w:val="single" w:color="auto" w:sz="4" w:space="0"/>
              <w:left w:val="single" w:color="auto" w:sz="4" w:space="0"/>
              <w:bottom w:val="single" w:color="auto" w:sz="8" w:space="0"/>
              <w:right w:val="single" w:color="auto" w:sz="4" w:space="0"/>
            </w:tcBorders>
            <w:noWrap w:val="0"/>
            <w:vAlign w:val="center"/>
          </w:tcPr>
          <w:p>
            <w:pPr>
              <w:widowControl/>
              <w:jc w:val="left"/>
              <w:rPr>
                <w:rFonts w:ascii="Times New Roman" w:hAnsi="Times New Roman" w:cs="宋体"/>
                <w:color w:val="000000"/>
                <w:spacing w:val="-2"/>
                <w:sz w:val="18"/>
                <w:szCs w:val="18"/>
              </w:rPr>
            </w:pPr>
          </w:p>
        </w:tc>
        <w:tc>
          <w:tcPr>
            <w:tcW w:w="3602" w:type="dxa"/>
            <w:gridSpan w:val="2"/>
            <w:vMerge w:val="continue"/>
            <w:tcBorders>
              <w:top w:val="single" w:color="auto" w:sz="4" w:space="0"/>
              <w:left w:val="single" w:color="auto" w:sz="4" w:space="0"/>
              <w:bottom w:val="single" w:color="auto" w:sz="8" w:space="0"/>
              <w:right w:val="single" w:color="auto" w:sz="8" w:space="0"/>
            </w:tcBorders>
            <w:noWrap w:val="0"/>
            <w:vAlign w:val="center"/>
          </w:tcPr>
          <w:p>
            <w:pPr>
              <w:widowControl/>
              <w:jc w:val="left"/>
              <w:rPr>
                <w:rFonts w:ascii="Times New Roman" w:hAnsi="Times New Roman" w:cs="宋体"/>
                <w:color w:val="000000"/>
                <w:spacing w:val="-2"/>
                <w:sz w:val="18"/>
                <w:szCs w:val="18"/>
              </w:rPr>
            </w:pPr>
          </w:p>
        </w:tc>
      </w:tr>
    </w:tbl>
    <w:p>
      <w:pPr>
        <w:spacing w:line="460" w:lineRule="exact"/>
        <w:rPr>
          <w:rFonts w:ascii="Times New Roman" w:eastAsia="方正黑体_GBK"/>
          <w:color w:val="000000"/>
          <w:spacing w:val="-2"/>
          <w:kern w:val="0"/>
          <w:sz w:val="28"/>
          <w:szCs w:val="28"/>
        </w:rPr>
      </w:pPr>
      <w:r>
        <w:rPr>
          <w:color w:val="000000"/>
          <w:spacing w:val="-2"/>
          <w:sz w:val="28"/>
          <w:szCs w:val="28"/>
        </w:rPr>
        <w:br w:type="page"/>
      </w:r>
      <w:r>
        <w:rPr>
          <w:rFonts w:hint="eastAsia" w:ascii="Times New Roman" w:eastAsia="方正黑体_GBK"/>
          <w:color w:val="000000"/>
          <w:spacing w:val="-2"/>
          <w:kern w:val="0"/>
          <w:sz w:val="28"/>
          <w:szCs w:val="28"/>
        </w:rPr>
        <w:t>附件二：</w:t>
      </w:r>
    </w:p>
    <w:p>
      <w:pPr>
        <w:tabs>
          <w:tab w:val="left" w:pos="707"/>
        </w:tabs>
        <w:jc w:val="center"/>
        <w:outlineLvl w:val="2"/>
        <w:rPr>
          <w:rFonts w:hint="eastAsia" w:ascii="Times New Roman" w:eastAsia="方正黑体_GBK" w:cs="宋体"/>
          <w:color w:val="000000"/>
          <w:spacing w:val="-2"/>
          <w:kern w:val="0"/>
          <w:sz w:val="24"/>
        </w:rPr>
      </w:pPr>
      <w:bookmarkStart w:id="675" w:name="_Toc359843982"/>
      <w:bookmarkStart w:id="676" w:name="_Toc359930015"/>
      <w:bookmarkStart w:id="677" w:name="_Toc359843523"/>
      <w:bookmarkStart w:id="678" w:name="_Toc359843988"/>
      <w:bookmarkStart w:id="679" w:name="_Toc359843529"/>
      <w:bookmarkStart w:id="680" w:name="_Toc359930021"/>
      <w:bookmarkStart w:id="681" w:name="_Toc359843995"/>
      <w:bookmarkStart w:id="682" w:name="_Toc359930028"/>
      <w:bookmarkStart w:id="683" w:name="_Toc359843536"/>
      <w:bookmarkStart w:id="684" w:name="_Toc359843545"/>
      <w:bookmarkStart w:id="685" w:name="_Toc359930037"/>
      <w:bookmarkStart w:id="686" w:name="_Toc359844004"/>
      <w:r>
        <w:rPr>
          <w:rFonts w:hint="eastAsia" w:ascii="Times New Roman" w:eastAsia="方正黑体_GBK" w:cs="宋体"/>
          <w:color w:val="000000"/>
          <w:spacing w:val="-2"/>
          <w:kern w:val="0"/>
          <w:sz w:val="24"/>
        </w:rPr>
        <w:t>F.2</w:t>
      </w:r>
      <w:r>
        <w:rPr>
          <w:rFonts w:hint="eastAsia" w:ascii="Times New Roman" w:eastAsia="方正黑体_GBK"/>
          <w:color w:val="000000"/>
          <w:spacing w:val="-2"/>
          <w:kern w:val="0"/>
          <w:sz w:val="24"/>
        </w:rPr>
        <w:tab/>
      </w:r>
      <w:r>
        <w:rPr>
          <w:rFonts w:hint="eastAsia" w:ascii="Times New Roman" w:hAnsi="Times New Roman" w:eastAsia="方正黑体_GBK" w:cs="宋体"/>
          <w:color w:val="000000"/>
          <w:spacing w:val="-2"/>
          <w:kern w:val="0"/>
          <w:sz w:val="24"/>
        </w:rPr>
        <w:t>综合单价分析表</w:t>
      </w:r>
      <w:bookmarkEnd w:id="675"/>
      <w:bookmarkEnd w:id="676"/>
      <w:bookmarkEnd w:id="677"/>
    </w:p>
    <w:p>
      <w:pPr>
        <w:tabs>
          <w:tab w:val="left" w:pos="6420"/>
          <w:tab w:val="left" w:pos="7890"/>
          <w:tab w:val="left" w:pos="8416"/>
          <w:tab w:val="left" w:pos="9047"/>
        </w:tabs>
        <w:spacing w:line="240" w:lineRule="exact"/>
        <w:ind w:firstLine="202" w:firstLineChars="100"/>
        <w:rPr>
          <w:rFonts w:hint="eastAsia" w:ascii="Times New Roman" w:eastAsia="方正仿宋_GBK"/>
          <w:color w:val="000000"/>
          <w:spacing w:val="-2"/>
        </w:rPr>
      </w:pPr>
      <w:r>
        <w:rPr>
          <w:rFonts w:hint="eastAsia" w:ascii="Times New Roman" w:eastAsia="方正仿宋_GBK"/>
          <w:color w:val="000000"/>
          <w:spacing w:val="-2"/>
        </w:rPr>
        <w:t>工程名称：</w:t>
      </w:r>
      <w:r>
        <w:rPr>
          <w:rFonts w:hint="eastAsia" w:ascii="Times New Roman" w:eastAsia="方正仿宋_GBK"/>
          <w:color w:val="000000"/>
          <w:spacing w:val="-2"/>
        </w:rPr>
        <w:tab/>
      </w:r>
      <w:r>
        <w:rPr>
          <w:rFonts w:hint="eastAsia" w:ascii="Times New Roman" w:eastAsia="方正仿宋_GBK"/>
          <w:color w:val="000000"/>
          <w:spacing w:val="-2"/>
        </w:rPr>
        <w:t>标段： 第  页  共  页</w:t>
      </w:r>
    </w:p>
    <w:p>
      <w:pPr>
        <w:spacing w:before="9" w:line="40" w:lineRule="exact"/>
        <w:rPr>
          <w:rFonts w:hint="eastAsia"/>
          <w:color w:val="000000"/>
          <w:spacing w:val="-2"/>
          <w:sz w:val="4"/>
          <w:szCs w:val="4"/>
        </w:rPr>
      </w:pPr>
    </w:p>
    <w:tbl>
      <w:tblPr>
        <w:tblStyle w:val="12"/>
        <w:tblW w:w="0" w:type="auto"/>
        <w:jc w:val="center"/>
        <w:tblLayout w:type="fixed"/>
        <w:tblCellMar>
          <w:top w:w="0" w:type="dxa"/>
          <w:left w:w="0" w:type="dxa"/>
          <w:bottom w:w="0" w:type="dxa"/>
          <w:right w:w="0" w:type="dxa"/>
        </w:tblCellMar>
      </w:tblPr>
      <w:tblGrid>
        <w:gridCol w:w="540"/>
        <w:gridCol w:w="180"/>
        <w:gridCol w:w="318"/>
        <w:gridCol w:w="402"/>
        <w:gridCol w:w="540"/>
        <w:gridCol w:w="555"/>
        <w:gridCol w:w="29"/>
        <w:gridCol w:w="639"/>
        <w:gridCol w:w="200"/>
        <w:gridCol w:w="404"/>
        <w:gridCol w:w="630"/>
        <w:gridCol w:w="663"/>
        <w:gridCol w:w="529"/>
        <w:gridCol w:w="12"/>
        <w:gridCol w:w="600"/>
        <w:gridCol w:w="143"/>
        <w:gridCol w:w="551"/>
        <w:gridCol w:w="283"/>
        <w:gridCol w:w="405"/>
        <w:gridCol w:w="87"/>
        <w:gridCol w:w="244"/>
        <w:gridCol w:w="309"/>
        <w:gridCol w:w="677"/>
      </w:tblGrid>
      <w:tr>
        <w:tblPrEx>
          <w:tblCellMar>
            <w:top w:w="0" w:type="dxa"/>
            <w:left w:w="0" w:type="dxa"/>
            <w:bottom w:w="0" w:type="dxa"/>
            <w:right w:w="0" w:type="dxa"/>
          </w:tblCellMar>
        </w:tblPrEx>
        <w:trPr>
          <w:trHeight w:val="576" w:hRule="exact"/>
          <w:jc w:val="center"/>
        </w:trPr>
        <w:tc>
          <w:tcPr>
            <w:tcW w:w="1038" w:type="dxa"/>
            <w:gridSpan w:val="3"/>
            <w:tcBorders>
              <w:top w:val="single" w:color="auto" w:sz="8"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项目编码</w:t>
            </w:r>
          </w:p>
        </w:tc>
        <w:tc>
          <w:tcPr>
            <w:tcW w:w="1497" w:type="dxa"/>
            <w:gridSpan w:val="3"/>
            <w:tcBorders>
              <w:top w:val="single" w:color="auto" w:sz="8" w:space="0"/>
              <w:left w:val="single" w:color="000000" w:sz="4" w:space="0"/>
              <w:bottom w:val="single" w:color="000000" w:sz="4" w:space="0"/>
              <w:right w:val="single" w:color="auto" w:sz="4" w:space="0"/>
            </w:tcBorders>
            <w:noWrap w:val="0"/>
            <w:vAlign w:val="center"/>
          </w:tcPr>
          <w:p>
            <w:pPr>
              <w:jc w:val="center"/>
              <w:rPr>
                <w:color w:val="000000"/>
                <w:spacing w:val="-2"/>
                <w:kern w:val="0"/>
                <w:sz w:val="18"/>
                <w:szCs w:val="18"/>
              </w:rPr>
            </w:pPr>
          </w:p>
        </w:tc>
        <w:tc>
          <w:tcPr>
            <w:tcW w:w="868" w:type="dxa"/>
            <w:gridSpan w:val="3"/>
            <w:tcBorders>
              <w:top w:val="single" w:color="auto" w:sz="8" w:space="0"/>
              <w:left w:val="single" w:color="auto" w:sz="4" w:space="0"/>
              <w:bottom w:val="single" w:color="000000" w:sz="4" w:space="0"/>
              <w:right w:val="single" w:color="auto" w:sz="4" w:space="0"/>
            </w:tcBorders>
            <w:noWrap w:val="0"/>
            <w:vAlign w:val="center"/>
          </w:tcPr>
          <w:p>
            <w:pPr>
              <w:jc w:val="center"/>
              <w:rPr>
                <w:color w:val="000000"/>
                <w:spacing w:val="-2"/>
                <w:sz w:val="18"/>
                <w:szCs w:val="18"/>
              </w:rPr>
            </w:pPr>
            <w:r>
              <w:rPr>
                <w:rFonts w:hint="eastAsia" w:hAnsi="Times New Roman" w:cs="宋体"/>
                <w:color w:val="000000"/>
                <w:spacing w:val="-2"/>
                <w:sz w:val="18"/>
                <w:szCs w:val="18"/>
              </w:rPr>
              <w:t>项目名称</w:t>
            </w:r>
          </w:p>
        </w:tc>
        <w:tc>
          <w:tcPr>
            <w:tcW w:w="2226" w:type="dxa"/>
            <w:gridSpan w:val="4"/>
            <w:tcBorders>
              <w:top w:val="single" w:color="auto" w:sz="8" w:space="0"/>
              <w:left w:val="single" w:color="000000" w:sz="4" w:space="0"/>
              <w:bottom w:val="single" w:color="000000" w:sz="4" w:space="0"/>
              <w:right w:val="single" w:color="auto" w:sz="4" w:space="0"/>
            </w:tcBorders>
            <w:noWrap w:val="0"/>
            <w:vAlign w:val="center"/>
          </w:tcPr>
          <w:p>
            <w:pPr>
              <w:rPr>
                <w:color w:val="000000"/>
                <w:spacing w:val="-2"/>
                <w:sz w:val="18"/>
                <w:szCs w:val="18"/>
              </w:rPr>
            </w:pPr>
          </w:p>
        </w:tc>
        <w:tc>
          <w:tcPr>
            <w:tcW w:w="755" w:type="dxa"/>
            <w:gridSpan w:val="3"/>
            <w:tcBorders>
              <w:top w:val="single" w:color="auto" w:sz="8" w:space="0"/>
              <w:left w:val="single" w:color="auto" w:sz="4" w:space="0"/>
              <w:bottom w:val="single" w:color="000000" w:sz="4" w:space="0"/>
              <w:right w:val="single" w:color="auto" w:sz="2" w:space="0"/>
            </w:tcBorders>
            <w:noWrap w:val="0"/>
            <w:vAlign w:val="center"/>
          </w:tcPr>
          <w:p>
            <w:pPr>
              <w:jc w:val="center"/>
              <w:rPr>
                <w:color w:val="000000"/>
                <w:spacing w:val="-2"/>
                <w:sz w:val="18"/>
                <w:szCs w:val="18"/>
              </w:rPr>
            </w:pPr>
            <w:r>
              <w:rPr>
                <w:rFonts w:hint="eastAsia" w:hAnsi="Times New Roman" w:cs="宋体"/>
                <w:color w:val="000000"/>
                <w:spacing w:val="-2"/>
                <w:sz w:val="18"/>
                <w:szCs w:val="18"/>
              </w:rPr>
              <w:t>计量单位</w:t>
            </w:r>
          </w:p>
        </w:tc>
        <w:tc>
          <w:tcPr>
            <w:tcW w:w="834" w:type="dxa"/>
            <w:gridSpan w:val="2"/>
            <w:tcBorders>
              <w:top w:val="single" w:color="auto" w:sz="8" w:space="0"/>
              <w:left w:val="single" w:color="auto" w:sz="4" w:space="0"/>
              <w:bottom w:val="single" w:color="000000" w:sz="4" w:space="0"/>
              <w:right w:val="single" w:color="auto" w:sz="2" w:space="0"/>
            </w:tcBorders>
            <w:noWrap w:val="0"/>
            <w:vAlign w:val="center"/>
          </w:tcPr>
          <w:p>
            <w:pPr>
              <w:jc w:val="center"/>
              <w:rPr>
                <w:color w:val="000000"/>
                <w:spacing w:val="-2"/>
                <w:sz w:val="18"/>
                <w:szCs w:val="18"/>
              </w:rPr>
            </w:pPr>
          </w:p>
        </w:tc>
        <w:tc>
          <w:tcPr>
            <w:tcW w:w="736" w:type="dxa"/>
            <w:gridSpan w:val="3"/>
            <w:tcBorders>
              <w:top w:val="single" w:color="auto" w:sz="8" w:space="0"/>
              <w:left w:val="single" w:color="auto" w:sz="2" w:space="0"/>
              <w:bottom w:val="single" w:color="000000" w:sz="4" w:space="0"/>
              <w:right w:val="single" w:color="auto" w:sz="4" w:space="0"/>
            </w:tcBorders>
            <w:noWrap w:val="0"/>
            <w:vAlign w:val="center"/>
          </w:tcPr>
          <w:p>
            <w:pPr>
              <w:jc w:val="center"/>
              <w:rPr>
                <w:color w:val="000000"/>
                <w:spacing w:val="-2"/>
              </w:rPr>
            </w:pPr>
            <w:r>
              <w:rPr>
                <w:rFonts w:hint="eastAsia" w:hAnsi="Times New Roman" w:cs="宋体"/>
                <w:color w:val="000000"/>
                <w:spacing w:val="-2"/>
                <w:sz w:val="18"/>
                <w:szCs w:val="18"/>
              </w:rPr>
              <w:t>工程量</w:t>
            </w:r>
          </w:p>
        </w:tc>
        <w:tc>
          <w:tcPr>
            <w:tcW w:w="986" w:type="dxa"/>
            <w:gridSpan w:val="2"/>
            <w:tcBorders>
              <w:top w:val="single" w:color="auto" w:sz="8" w:space="0"/>
              <w:left w:val="single" w:color="auto"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76" w:hRule="atLeast"/>
          <w:jc w:val="center"/>
        </w:trPr>
        <w:tc>
          <w:tcPr>
            <w:tcW w:w="8940" w:type="dxa"/>
            <w:gridSpan w:val="23"/>
            <w:tcBorders>
              <w:top w:val="single" w:color="000000" w:sz="4" w:space="0"/>
              <w:left w:val="single" w:color="auto" w:sz="8" w:space="0"/>
              <w:bottom w:val="single" w:color="000000" w:sz="4" w:space="0"/>
              <w:right w:val="single" w:color="auto" w:sz="8"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清单综合单价组成明细</w:t>
            </w:r>
          </w:p>
        </w:tc>
      </w:tr>
      <w:tr>
        <w:tblPrEx>
          <w:tblCellMar>
            <w:top w:w="0" w:type="dxa"/>
            <w:left w:w="0" w:type="dxa"/>
            <w:bottom w:w="0" w:type="dxa"/>
            <w:right w:w="0" w:type="dxa"/>
          </w:tblCellMar>
        </w:tblPrEx>
        <w:trPr>
          <w:trHeight w:val="578" w:hRule="exact"/>
          <w:jc w:val="center"/>
        </w:trPr>
        <w:tc>
          <w:tcPr>
            <w:tcW w:w="540" w:type="dxa"/>
            <w:vMerge w:val="restart"/>
            <w:tcBorders>
              <w:top w:val="single" w:color="000000" w:sz="4" w:space="0"/>
              <w:left w:val="single" w:color="auto" w:sz="8" w:space="0"/>
              <w:bottom w:val="single" w:color="000000" w:sz="4" w:space="0"/>
              <w:right w:val="single" w:color="000000" w:sz="4" w:space="0"/>
            </w:tcBorders>
            <w:noWrap w:val="0"/>
            <w:vAlign w:val="center"/>
          </w:tcPr>
          <w:p>
            <w:pPr>
              <w:spacing w:line="360" w:lineRule="auto"/>
              <w:jc w:val="center"/>
              <w:rPr>
                <w:rFonts w:cs="宋体"/>
                <w:color w:val="000000"/>
                <w:spacing w:val="-2"/>
                <w:kern w:val="0"/>
                <w:sz w:val="18"/>
                <w:szCs w:val="18"/>
              </w:rPr>
            </w:pPr>
            <w:r>
              <w:rPr>
                <w:rFonts w:hint="eastAsia" w:hAnsi="Times New Roman" w:cs="宋体"/>
                <w:color w:val="000000"/>
                <w:spacing w:val="-2"/>
                <w:kern w:val="0"/>
                <w:sz w:val="18"/>
                <w:szCs w:val="18"/>
              </w:rPr>
              <w:t>定额</w:t>
            </w:r>
          </w:p>
          <w:p>
            <w:pPr>
              <w:spacing w:line="360" w:lineRule="auto"/>
              <w:jc w:val="center"/>
              <w:rPr>
                <w:color w:val="000000"/>
                <w:spacing w:val="-2"/>
                <w:kern w:val="0"/>
                <w:sz w:val="18"/>
                <w:szCs w:val="18"/>
              </w:rPr>
            </w:pPr>
            <w:r>
              <w:rPr>
                <w:rFonts w:hint="eastAsia" w:hAnsi="Times New Roman" w:cs="宋体"/>
                <w:color w:val="000000"/>
                <w:spacing w:val="-2"/>
                <w:kern w:val="0"/>
                <w:sz w:val="18"/>
                <w:szCs w:val="18"/>
              </w:rPr>
              <w:t>编号</w:t>
            </w:r>
          </w:p>
        </w:tc>
        <w:tc>
          <w:tcPr>
            <w:tcW w:w="900"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jc w:val="center"/>
              <w:rPr>
                <w:rFonts w:cs="宋体"/>
                <w:color w:val="000000"/>
                <w:spacing w:val="-2"/>
                <w:kern w:val="0"/>
                <w:sz w:val="18"/>
                <w:szCs w:val="18"/>
              </w:rPr>
            </w:pPr>
            <w:r>
              <w:rPr>
                <w:rFonts w:hint="eastAsia" w:hAnsi="Times New Roman" w:cs="宋体"/>
                <w:color w:val="000000"/>
                <w:spacing w:val="-2"/>
                <w:kern w:val="0"/>
                <w:sz w:val="18"/>
                <w:szCs w:val="18"/>
              </w:rPr>
              <w:t>定额项目</w:t>
            </w:r>
          </w:p>
          <w:p>
            <w:pPr>
              <w:jc w:val="center"/>
              <w:rPr>
                <w:color w:val="000000"/>
                <w:spacing w:val="-2"/>
                <w:kern w:val="0"/>
                <w:sz w:val="18"/>
                <w:szCs w:val="18"/>
              </w:rPr>
            </w:pPr>
            <w:r>
              <w:rPr>
                <w:rFonts w:hint="eastAsia" w:hAnsi="Times New Roman" w:cs="宋体"/>
                <w:color w:val="000000"/>
                <w:spacing w:val="-2"/>
                <w:kern w:val="0"/>
                <w:sz w:val="18"/>
                <w:szCs w:val="18"/>
              </w:rPr>
              <w:t>名称</w:t>
            </w:r>
          </w:p>
        </w:tc>
        <w:tc>
          <w:tcPr>
            <w:tcW w:w="540" w:type="dxa"/>
            <w:vMerge w:val="restart"/>
            <w:tcBorders>
              <w:top w:val="single" w:color="000000" w:sz="4" w:space="0"/>
              <w:left w:val="single" w:color="000000" w:sz="4" w:space="0"/>
              <w:bottom w:val="single" w:color="000000" w:sz="4" w:space="0"/>
              <w:right w:val="single" w:color="000000" w:sz="4" w:space="0"/>
            </w:tcBorders>
            <w:noWrap w:val="0"/>
            <w:vAlign w:val="center"/>
          </w:tcPr>
          <w:p>
            <w:pPr>
              <w:spacing w:line="360" w:lineRule="auto"/>
              <w:jc w:val="center"/>
              <w:rPr>
                <w:rFonts w:cs="宋体"/>
                <w:color w:val="000000"/>
                <w:spacing w:val="-2"/>
                <w:kern w:val="0"/>
                <w:sz w:val="18"/>
                <w:szCs w:val="18"/>
              </w:rPr>
            </w:pPr>
            <w:r>
              <w:rPr>
                <w:rFonts w:hint="eastAsia" w:hAnsi="Times New Roman" w:cs="宋体"/>
                <w:color w:val="000000"/>
                <w:spacing w:val="-2"/>
                <w:kern w:val="0"/>
                <w:sz w:val="18"/>
                <w:szCs w:val="18"/>
              </w:rPr>
              <w:t>定额</w:t>
            </w:r>
          </w:p>
          <w:p>
            <w:pPr>
              <w:spacing w:line="360" w:lineRule="auto"/>
              <w:jc w:val="center"/>
              <w:rPr>
                <w:color w:val="000000"/>
                <w:spacing w:val="-2"/>
                <w:kern w:val="0"/>
                <w:sz w:val="18"/>
                <w:szCs w:val="18"/>
              </w:rPr>
            </w:pPr>
            <w:r>
              <w:rPr>
                <w:rFonts w:hint="eastAsia" w:hAnsi="Times New Roman" w:cs="宋体"/>
                <w:color w:val="000000"/>
                <w:spacing w:val="-2"/>
                <w:kern w:val="0"/>
                <w:sz w:val="18"/>
                <w:szCs w:val="18"/>
              </w:rPr>
              <w:t>单位</w:t>
            </w:r>
          </w:p>
        </w:tc>
        <w:tc>
          <w:tcPr>
            <w:tcW w:w="584"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数量</w:t>
            </w:r>
          </w:p>
        </w:tc>
        <w:tc>
          <w:tcPr>
            <w:tcW w:w="3077" w:type="dxa"/>
            <w:gridSpan w:val="7"/>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单价</w:t>
            </w:r>
          </w:p>
        </w:tc>
        <w:tc>
          <w:tcPr>
            <w:tcW w:w="3299" w:type="dxa"/>
            <w:gridSpan w:val="9"/>
            <w:tcBorders>
              <w:top w:val="single" w:color="000000" w:sz="4" w:space="0"/>
              <w:left w:val="single" w:color="000000" w:sz="4" w:space="0"/>
              <w:bottom w:val="single" w:color="000000" w:sz="4" w:space="0"/>
              <w:right w:val="single" w:color="auto" w:sz="8"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合价</w:t>
            </w:r>
          </w:p>
        </w:tc>
      </w:tr>
      <w:tr>
        <w:tblPrEx>
          <w:tblCellMar>
            <w:top w:w="0" w:type="dxa"/>
            <w:left w:w="0" w:type="dxa"/>
            <w:bottom w:w="0" w:type="dxa"/>
            <w:right w:w="0" w:type="dxa"/>
          </w:tblCellMar>
        </w:tblPrEx>
        <w:trPr>
          <w:trHeight w:val="809" w:hRule="exact"/>
          <w:jc w:val="center"/>
        </w:trPr>
        <w:tc>
          <w:tcPr>
            <w:tcW w:w="540" w:type="dxa"/>
            <w:vMerge w:val="continue"/>
            <w:tcBorders>
              <w:top w:val="single" w:color="000000" w:sz="4" w:space="0"/>
              <w:left w:val="single" w:color="auto" w:sz="8" w:space="0"/>
              <w:bottom w:val="single" w:color="000000" w:sz="4" w:space="0"/>
              <w:right w:val="single" w:color="000000" w:sz="4" w:space="0"/>
            </w:tcBorders>
            <w:noWrap w:val="0"/>
            <w:vAlign w:val="center"/>
          </w:tcPr>
          <w:p>
            <w:pPr>
              <w:widowControl/>
              <w:jc w:val="left"/>
              <w:rPr>
                <w:color w:val="000000"/>
                <w:spacing w:val="-2"/>
                <w:kern w:val="0"/>
                <w:sz w:val="18"/>
                <w:szCs w:val="18"/>
              </w:rPr>
            </w:pPr>
          </w:p>
        </w:tc>
        <w:tc>
          <w:tcPr>
            <w:tcW w:w="900"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color w:val="000000"/>
                <w:spacing w:val="-2"/>
                <w:kern w:val="0"/>
                <w:sz w:val="18"/>
                <w:szCs w:val="18"/>
              </w:rPr>
            </w:pPr>
          </w:p>
        </w:tc>
        <w:tc>
          <w:tcPr>
            <w:tcW w:w="54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color w:val="000000"/>
                <w:spacing w:val="-2"/>
                <w:kern w:val="0"/>
                <w:sz w:val="18"/>
                <w:szCs w:val="18"/>
              </w:rPr>
            </w:pPr>
          </w:p>
        </w:tc>
        <w:tc>
          <w:tcPr>
            <w:tcW w:w="584"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jc w:val="left"/>
              <w:rPr>
                <w:color w:val="000000"/>
                <w:spacing w:val="-2"/>
                <w:kern w:val="0"/>
                <w:sz w:val="18"/>
                <w:szCs w:val="18"/>
              </w:rPr>
            </w:pPr>
          </w:p>
        </w:tc>
        <w:tc>
          <w:tcPr>
            <w:tcW w:w="639"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人工费</w:t>
            </w:r>
          </w:p>
        </w:tc>
        <w:tc>
          <w:tcPr>
            <w:tcW w:w="60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材料费</w:t>
            </w: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机械费</w:t>
            </w:r>
          </w:p>
        </w:tc>
        <w:tc>
          <w:tcPr>
            <w:tcW w:w="663" w:type="dxa"/>
            <w:tcBorders>
              <w:top w:val="single" w:color="000000" w:sz="4" w:space="0"/>
              <w:left w:val="single" w:color="000000" w:sz="4" w:space="0"/>
              <w:bottom w:val="single" w:color="000000" w:sz="4" w:space="0"/>
              <w:right w:val="single" w:color="auto" w:sz="4" w:space="0"/>
            </w:tcBorders>
            <w:noWrap w:val="0"/>
            <w:vAlign w:val="center"/>
          </w:tcPr>
          <w:p>
            <w:pPr>
              <w:jc w:val="center"/>
              <w:rPr>
                <w:rFonts w:cs="宋体"/>
                <w:color w:val="000000"/>
                <w:spacing w:val="-2"/>
                <w:kern w:val="0"/>
                <w:sz w:val="18"/>
                <w:szCs w:val="18"/>
              </w:rPr>
            </w:pPr>
            <w:r>
              <w:rPr>
                <w:rFonts w:hint="eastAsia" w:hAnsi="Times New Roman" w:cs="宋体"/>
                <w:color w:val="000000"/>
                <w:spacing w:val="-2"/>
                <w:kern w:val="0"/>
                <w:sz w:val="18"/>
                <w:szCs w:val="18"/>
              </w:rPr>
              <w:t>管理费</w:t>
            </w:r>
          </w:p>
        </w:tc>
        <w:tc>
          <w:tcPr>
            <w:tcW w:w="541" w:type="dxa"/>
            <w:gridSpan w:val="2"/>
            <w:tcBorders>
              <w:top w:val="single" w:color="000000" w:sz="4" w:space="0"/>
              <w:left w:val="single" w:color="auto" w:sz="4" w:space="0"/>
              <w:bottom w:val="single" w:color="000000" w:sz="4" w:space="0"/>
              <w:right w:val="single" w:color="000000" w:sz="4" w:space="0"/>
            </w:tcBorders>
            <w:noWrap w:val="0"/>
            <w:vAlign w:val="center"/>
          </w:tcPr>
          <w:p>
            <w:pPr>
              <w:jc w:val="center"/>
              <w:rPr>
                <w:rFonts w:cs="宋体"/>
                <w:color w:val="000000"/>
                <w:spacing w:val="-2"/>
                <w:kern w:val="0"/>
                <w:sz w:val="18"/>
                <w:szCs w:val="18"/>
              </w:rPr>
            </w:pPr>
            <w:r>
              <w:rPr>
                <w:rFonts w:hint="eastAsia" w:hAnsi="Times New Roman" w:cs="宋体"/>
                <w:color w:val="000000"/>
                <w:spacing w:val="-2"/>
                <w:kern w:val="0"/>
                <w:sz w:val="18"/>
                <w:szCs w:val="18"/>
              </w:rPr>
              <w:t>利润</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人工费</w:t>
            </w: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材料费</w:t>
            </w:r>
          </w:p>
        </w:tc>
        <w:tc>
          <w:tcPr>
            <w:tcW w:w="688"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机械费</w:t>
            </w:r>
          </w:p>
        </w:tc>
        <w:tc>
          <w:tcPr>
            <w:tcW w:w="640" w:type="dxa"/>
            <w:gridSpan w:val="3"/>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管理费</w:t>
            </w:r>
          </w:p>
        </w:tc>
        <w:tc>
          <w:tcPr>
            <w:tcW w:w="677" w:type="dxa"/>
            <w:tcBorders>
              <w:top w:val="single" w:color="000000" w:sz="4" w:space="0"/>
              <w:left w:val="single" w:color="auto" w:sz="4" w:space="0"/>
              <w:bottom w:val="single" w:color="000000" w:sz="4" w:space="0"/>
              <w:right w:val="single" w:color="auto" w:sz="8" w:space="0"/>
            </w:tcBorders>
            <w:noWrap w:val="0"/>
            <w:vAlign w:val="center"/>
          </w:tcPr>
          <w:p>
            <w:pPr>
              <w:jc w:val="center"/>
              <w:rPr>
                <w:rFonts w:cs="宋体"/>
                <w:color w:val="000000"/>
                <w:spacing w:val="-2"/>
                <w:kern w:val="0"/>
                <w:sz w:val="18"/>
                <w:szCs w:val="18"/>
              </w:rPr>
            </w:pPr>
            <w:r>
              <w:rPr>
                <w:rFonts w:hint="eastAsia" w:hAnsi="Times New Roman" w:cs="宋体"/>
                <w:color w:val="000000"/>
                <w:spacing w:val="-2"/>
                <w:kern w:val="0"/>
                <w:sz w:val="18"/>
                <w:szCs w:val="18"/>
              </w:rPr>
              <w:t>利润</w:t>
            </w:r>
          </w:p>
        </w:tc>
      </w:tr>
      <w:tr>
        <w:tblPrEx>
          <w:tblCellMar>
            <w:top w:w="0" w:type="dxa"/>
            <w:left w:w="0" w:type="dxa"/>
            <w:bottom w:w="0" w:type="dxa"/>
            <w:right w:w="0" w:type="dxa"/>
          </w:tblCellMar>
        </w:tblPrEx>
        <w:trPr>
          <w:trHeight w:val="521" w:hRule="exact"/>
          <w:jc w:val="center"/>
        </w:trPr>
        <w:tc>
          <w:tcPr>
            <w:tcW w:w="540"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rPr>
            </w:pPr>
          </w:p>
        </w:tc>
        <w:tc>
          <w:tcPr>
            <w:tcW w:w="900"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8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9"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63" w:type="dxa"/>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541" w:type="dxa"/>
            <w:gridSpan w:val="2"/>
            <w:tcBorders>
              <w:top w:val="single" w:color="000000" w:sz="4" w:space="0"/>
              <w:left w:val="single" w:color="auto"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88"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40" w:type="dxa"/>
            <w:gridSpan w:val="3"/>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677" w:type="dxa"/>
            <w:tcBorders>
              <w:top w:val="single" w:color="000000" w:sz="4" w:space="0"/>
              <w:left w:val="single" w:color="auto"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21" w:hRule="exact"/>
          <w:jc w:val="center"/>
        </w:trPr>
        <w:tc>
          <w:tcPr>
            <w:tcW w:w="540"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rPr>
            </w:pPr>
          </w:p>
        </w:tc>
        <w:tc>
          <w:tcPr>
            <w:tcW w:w="900"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8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9"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63" w:type="dxa"/>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541" w:type="dxa"/>
            <w:gridSpan w:val="2"/>
            <w:tcBorders>
              <w:top w:val="single" w:color="000000" w:sz="4" w:space="0"/>
              <w:left w:val="single" w:color="auto"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88"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40" w:type="dxa"/>
            <w:gridSpan w:val="3"/>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677" w:type="dxa"/>
            <w:tcBorders>
              <w:top w:val="single" w:color="000000" w:sz="4" w:space="0"/>
              <w:left w:val="single" w:color="auto"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18" w:hRule="exact"/>
          <w:jc w:val="center"/>
        </w:trPr>
        <w:tc>
          <w:tcPr>
            <w:tcW w:w="540"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rPr>
            </w:pPr>
          </w:p>
        </w:tc>
        <w:tc>
          <w:tcPr>
            <w:tcW w:w="900"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8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9"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63" w:type="dxa"/>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541" w:type="dxa"/>
            <w:gridSpan w:val="2"/>
            <w:tcBorders>
              <w:top w:val="single" w:color="000000" w:sz="4" w:space="0"/>
              <w:left w:val="single" w:color="auto"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88"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40" w:type="dxa"/>
            <w:gridSpan w:val="3"/>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677" w:type="dxa"/>
            <w:tcBorders>
              <w:top w:val="single" w:color="000000" w:sz="4" w:space="0"/>
              <w:left w:val="single" w:color="auto"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21" w:hRule="exact"/>
          <w:jc w:val="center"/>
        </w:trPr>
        <w:tc>
          <w:tcPr>
            <w:tcW w:w="540"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rPr>
            </w:pPr>
          </w:p>
        </w:tc>
        <w:tc>
          <w:tcPr>
            <w:tcW w:w="900"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8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9"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63" w:type="dxa"/>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541" w:type="dxa"/>
            <w:gridSpan w:val="2"/>
            <w:tcBorders>
              <w:top w:val="single" w:color="000000" w:sz="4" w:space="0"/>
              <w:left w:val="single" w:color="auto"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88"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40" w:type="dxa"/>
            <w:gridSpan w:val="3"/>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677" w:type="dxa"/>
            <w:tcBorders>
              <w:top w:val="single" w:color="000000" w:sz="4" w:space="0"/>
              <w:left w:val="single" w:color="auto"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21" w:hRule="exact"/>
          <w:jc w:val="center"/>
        </w:trPr>
        <w:tc>
          <w:tcPr>
            <w:tcW w:w="540"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rPr>
            </w:pPr>
          </w:p>
        </w:tc>
        <w:tc>
          <w:tcPr>
            <w:tcW w:w="900"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4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58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9"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63" w:type="dxa"/>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541" w:type="dxa"/>
            <w:gridSpan w:val="2"/>
            <w:tcBorders>
              <w:top w:val="single" w:color="000000" w:sz="4" w:space="0"/>
              <w:left w:val="single" w:color="auto"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88"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40" w:type="dxa"/>
            <w:gridSpan w:val="3"/>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677" w:type="dxa"/>
            <w:tcBorders>
              <w:top w:val="single" w:color="000000" w:sz="4" w:space="0"/>
              <w:left w:val="single" w:color="auto"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18" w:hRule="exact"/>
          <w:jc w:val="center"/>
        </w:trPr>
        <w:tc>
          <w:tcPr>
            <w:tcW w:w="1440" w:type="dxa"/>
            <w:gridSpan w:val="4"/>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综合人工工日</w:t>
            </w:r>
          </w:p>
        </w:tc>
        <w:tc>
          <w:tcPr>
            <w:tcW w:w="4201" w:type="dxa"/>
            <w:gridSpan w:val="10"/>
            <w:tcBorders>
              <w:top w:val="single" w:color="000000" w:sz="4" w:space="0"/>
              <w:left w:val="single" w:color="000000" w:sz="4" w:space="0"/>
              <w:bottom w:val="single" w:color="000000" w:sz="4" w:space="0"/>
              <w:right w:val="single" w:color="000000" w:sz="4" w:space="0"/>
            </w:tcBorders>
            <w:noWrap w:val="0"/>
            <w:vAlign w:val="center"/>
          </w:tcPr>
          <w:p>
            <w:pPr>
              <w:tabs>
                <w:tab w:val="left" w:pos="542"/>
              </w:tabs>
              <w:jc w:val="center"/>
              <w:rPr>
                <w:color w:val="000000"/>
                <w:spacing w:val="-2"/>
                <w:kern w:val="0"/>
                <w:sz w:val="18"/>
                <w:szCs w:val="18"/>
                <w:lang w:eastAsia="en-US"/>
              </w:rPr>
            </w:pPr>
            <w:r>
              <w:rPr>
                <w:rFonts w:hint="eastAsia" w:hAnsi="Times New Roman" w:cs="宋体"/>
                <w:color w:val="000000"/>
                <w:spacing w:val="-2"/>
                <w:kern w:val="0"/>
                <w:sz w:val="18"/>
                <w:szCs w:val="18"/>
                <w:lang w:eastAsia="en-US"/>
              </w:rPr>
              <w:t>小</w:t>
            </w:r>
            <w:r>
              <w:rPr>
                <w:color w:val="000000"/>
                <w:spacing w:val="-2"/>
                <w:kern w:val="0"/>
                <w:sz w:val="18"/>
                <w:szCs w:val="18"/>
                <w:lang w:eastAsia="en-US"/>
              </w:rPr>
              <w:tab/>
            </w:r>
            <w:r>
              <w:rPr>
                <w:rFonts w:hint="eastAsia" w:hAnsi="Times New Roman" w:cs="宋体"/>
                <w:color w:val="000000"/>
                <w:spacing w:val="-2"/>
                <w:kern w:val="0"/>
                <w:sz w:val="18"/>
                <w:szCs w:val="18"/>
                <w:lang w:eastAsia="en-US"/>
              </w:rPr>
              <w:t>计</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88"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40" w:type="dxa"/>
            <w:gridSpan w:val="3"/>
            <w:tcBorders>
              <w:top w:val="single" w:color="000000" w:sz="4" w:space="0"/>
              <w:left w:val="single" w:color="000000" w:sz="4" w:space="0"/>
              <w:bottom w:val="single" w:color="000000" w:sz="4" w:space="0"/>
              <w:right w:val="single" w:color="auto" w:sz="4" w:space="0"/>
            </w:tcBorders>
            <w:noWrap w:val="0"/>
            <w:vAlign w:val="center"/>
          </w:tcPr>
          <w:p>
            <w:pPr>
              <w:jc w:val="center"/>
              <w:rPr>
                <w:color w:val="000000"/>
                <w:spacing w:val="-2"/>
              </w:rPr>
            </w:pPr>
          </w:p>
        </w:tc>
        <w:tc>
          <w:tcPr>
            <w:tcW w:w="677" w:type="dxa"/>
            <w:tcBorders>
              <w:top w:val="single" w:color="000000" w:sz="4" w:space="0"/>
              <w:left w:val="single" w:color="auto"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21" w:hRule="exact"/>
          <w:jc w:val="center"/>
        </w:trPr>
        <w:tc>
          <w:tcPr>
            <w:tcW w:w="1440" w:type="dxa"/>
            <w:gridSpan w:val="4"/>
            <w:tcBorders>
              <w:top w:val="single" w:color="000000" w:sz="4" w:space="0"/>
              <w:left w:val="single" w:color="auto" w:sz="8" w:space="0"/>
              <w:bottom w:val="single" w:color="000000" w:sz="4" w:space="0"/>
              <w:right w:val="single" w:color="000000" w:sz="4" w:space="0"/>
            </w:tcBorders>
            <w:noWrap w:val="0"/>
            <w:vAlign w:val="center"/>
          </w:tcPr>
          <w:p>
            <w:pPr>
              <w:jc w:val="right"/>
              <w:rPr>
                <w:color w:val="000000"/>
                <w:spacing w:val="-2"/>
                <w:kern w:val="0"/>
                <w:sz w:val="18"/>
                <w:szCs w:val="18"/>
                <w:lang w:eastAsia="en-US"/>
              </w:rPr>
            </w:pPr>
            <w:r>
              <w:rPr>
                <w:rFonts w:hint="eastAsia" w:hAnsi="Times New Roman" w:cs="宋体"/>
                <w:color w:val="000000"/>
                <w:spacing w:val="-2"/>
                <w:kern w:val="0"/>
                <w:sz w:val="18"/>
                <w:szCs w:val="18"/>
                <w:lang w:eastAsia="en-US"/>
              </w:rPr>
              <w:t>工日</w:t>
            </w:r>
          </w:p>
        </w:tc>
        <w:tc>
          <w:tcPr>
            <w:tcW w:w="4201" w:type="dxa"/>
            <w:gridSpan w:val="10"/>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lang w:eastAsia="en-US"/>
              </w:rPr>
            </w:pPr>
            <w:r>
              <w:rPr>
                <w:rFonts w:hint="eastAsia" w:hAnsi="Times New Roman" w:cs="宋体"/>
                <w:color w:val="000000"/>
                <w:spacing w:val="-2"/>
                <w:kern w:val="0"/>
                <w:sz w:val="18"/>
                <w:szCs w:val="18"/>
                <w:lang w:eastAsia="en-US"/>
              </w:rPr>
              <w:t>未计价材料费</w:t>
            </w:r>
          </w:p>
        </w:tc>
        <w:tc>
          <w:tcPr>
            <w:tcW w:w="3299" w:type="dxa"/>
            <w:gridSpan w:val="9"/>
            <w:tcBorders>
              <w:top w:val="single" w:color="000000" w:sz="4" w:space="0"/>
              <w:left w:val="single" w:color="000000"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21" w:hRule="exact"/>
          <w:jc w:val="center"/>
        </w:trPr>
        <w:tc>
          <w:tcPr>
            <w:tcW w:w="5641" w:type="dxa"/>
            <w:gridSpan w:val="14"/>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lang w:eastAsia="en-US"/>
              </w:rPr>
            </w:pPr>
            <w:r>
              <w:rPr>
                <w:rFonts w:hint="eastAsia" w:hAnsi="Times New Roman" w:cs="宋体"/>
                <w:color w:val="000000"/>
                <w:spacing w:val="-2"/>
                <w:kern w:val="0"/>
                <w:sz w:val="18"/>
                <w:szCs w:val="18"/>
                <w:lang w:eastAsia="en-US"/>
              </w:rPr>
              <w:t>清单项目综合单价</w:t>
            </w:r>
          </w:p>
        </w:tc>
        <w:tc>
          <w:tcPr>
            <w:tcW w:w="3299" w:type="dxa"/>
            <w:gridSpan w:val="9"/>
            <w:tcBorders>
              <w:top w:val="single" w:color="000000" w:sz="4" w:space="0"/>
              <w:left w:val="single" w:color="000000"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12" w:hRule="exact"/>
          <w:jc w:val="center"/>
        </w:trPr>
        <w:tc>
          <w:tcPr>
            <w:tcW w:w="720" w:type="dxa"/>
            <w:gridSpan w:val="2"/>
            <w:vMerge w:val="restart"/>
            <w:tcBorders>
              <w:top w:val="single" w:color="000000" w:sz="4" w:space="0"/>
              <w:left w:val="single" w:color="auto" w:sz="8" w:space="0"/>
              <w:bottom w:val="single" w:color="auto" w:sz="8" w:space="0"/>
              <w:right w:val="single" w:color="000000" w:sz="4" w:space="0"/>
            </w:tcBorders>
            <w:noWrap w:val="0"/>
            <w:vAlign w:val="center"/>
          </w:tcPr>
          <w:p>
            <w:pPr>
              <w:spacing w:line="360" w:lineRule="auto"/>
              <w:jc w:val="center"/>
              <w:rPr>
                <w:color w:val="000000"/>
                <w:spacing w:val="-2"/>
                <w:kern w:val="0"/>
                <w:sz w:val="18"/>
                <w:szCs w:val="18"/>
                <w:lang w:eastAsia="en-US"/>
              </w:rPr>
            </w:pPr>
            <w:r>
              <w:rPr>
                <w:rFonts w:hint="eastAsia" w:hAnsi="Times New Roman" w:cs="宋体"/>
                <w:color w:val="000000"/>
                <w:spacing w:val="-2"/>
                <w:kern w:val="0"/>
                <w:sz w:val="18"/>
                <w:szCs w:val="18"/>
                <w:lang w:eastAsia="en-US"/>
              </w:rPr>
              <w:t>材料费明细</w:t>
            </w:r>
          </w:p>
        </w:tc>
        <w:tc>
          <w:tcPr>
            <w:tcW w:w="3087" w:type="dxa"/>
            <w:gridSpan w:val="8"/>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rPr>
            </w:pPr>
            <w:r>
              <w:rPr>
                <w:rFonts w:hint="eastAsia" w:hAnsi="Times New Roman" w:cs="宋体"/>
                <w:color w:val="000000"/>
                <w:spacing w:val="-2"/>
                <w:kern w:val="0"/>
                <w:sz w:val="18"/>
                <w:szCs w:val="18"/>
              </w:rPr>
              <w:t>主要材料名称、规格、型号</w:t>
            </w: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lang w:eastAsia="en-US"/>
              </w:rPr>
            </w:pPr>
            <w:r>
              <w:rPr>
                <w:rFonts w:hint="eastAsia" w:hAnsi="Times New Roman" w:cs="宋体"/>
                <w:color w:val="000000"/>
                <w:spacing w:val="-2"/>
                <w:kern w:val="0"/>
                <w:sz w:val="18"/>
                <w:szCs w:val="18"/>
                <w:lang w:eastAsia="en-US"/>
              </w:rPr>
              <w:t>单位</w:t>
            </w:r>
          </w:p>
        </w:tc>
        <w:tc>
          <w:tcPr>
            <w:tcW w:w="1204"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lang w:eastAsia="en-US"/>
              </w:rPr>
            </w:pPr>
            <w:r>
              <w:rPr>
                <w:rFonts w:hint="eastAsia" w:hAnsi="Times New Roman" w:cs="宋体"/>
                <w:color w:val="000000"/>
                <w:spacing w:val="-2"/>
                <w:kern w:val="0"/>
                <w:sz w:val="18"/>
                <w:szCs w:val="18"/>
                <w:lang w:eastAsia="en-US"/>
              </w:rPr>
              <w:t>数量</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spacing w:before="78"/>
              <w:jc w:val="center"/>
              <w:rPr>
                <w:color w:val="000000"/>
                <w:spacing w:val="-2"/>
                <w:kern w:val="0"/>
                <w:sz w:val="18"/>
                <w:szCs w:val="18"/>
                <w:lang w:eastAsia="en-US"/>
              </w:rPr>
            </w:pPr>
            <w:r>
              <w:rPr>
                <w:rFonts w:hint="eastAsia" w:hAnsi="Times New Roman" w:cs="宋体"/>
                <w:color w:val="000000"/>
                <w:spacing w:val="-2"/>
                <w:kern w:val="0"/>
                <w:sz w:val="18"/>
                <w:szCs w:val="18"/>
                <w:lang w:eastAsia="en-US"/>
              </w:rPr>
              <w:t>单价（元）</w:t>
            </w: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spacing w:before="78"/>
              <w:jc w:val="center"/>
              <w:rPr>
                <w:color w:val="000000"/>
                <w:spacing w:val="-2"/>
                <w:kern w:val="0"/>
                <w:sz w:val="18"/>
                <w:szCs w:val="18"/>
                <w:lang w:eastAsia="en-US"/>
              </w:rPr>
            </w:pPr>
            <w:r>
              <w:rPr>
                <w:rFonts w:hint="eastAsia" w:hAnsi="Times New Roman" w:cs="宋体"/>
                <w:color w:val="000000"/>
                <w:spacing w:val="-2"/>
                <w:kern w:val="0"/>
                <w:sz w:val="18"/>
                <w:szCs w:val="18"/>
                <w:lang w:eastAsia="en-US"/>
              </w:rPr>
              <w:t>合价（元）</w:t>
            </w:r>
          </w:p>
        </w:tc>
        <w:tc>
          <w:tcPr>
            <w:tcW w:w="775" w:type="dxa"/>
            <w:gridSpan w:val="3"/>
            <w:tcBorders>
              <w:top w:val="single" w:color="000000" w:sz="4" w:space="0"/>
              <w:left w:val="single" w:color="000000" w:sz="4" w:space="0"/>
              <w:bottom w:val="single" w:color="000000" w:sz="4" w:space="0"/>
              <w:right w:val="single" w:color="000000" w:sz="4" w:space="0"/>
            </w:tcBorders>
            <w:noWrap w:val="0"/>
            <w:vAlign w:val="center"/>
          </w:tcPr>
          <w:p>
            <w:pPr>
              <w:spacing w:before="78"/>
              <w:jc w:val="center"/>
              <w:rPr>
                <w:color w:val="000000"/>
                <w:spacing w:val="-2"/>
                <w:kern w:val="0"/>
                <w:sz w:val="18"/>
                <w:szCs w:val="18"/>
                <w:lang w:eastAsia="en-US"/>
              </w:rPr>
            </w:pPr>
            <w:r>
              <w:rPr>
                <w:rFonts w:hint="eastAsia" w:hAnsi="Times New Roman" w:cs="宋体"/>
                <w:color w:val="000000"/>
                <w:spacing w:val="-2"/>
                <w:kern w:val="0"/>
                <w:sz w:val="18"/>
                <w:szCs w:val="18"/>
                <w:lang w:eastAsia="en-US"/>
              </w:rPr>
              <w:t>暂估单价</w:t>
            </w:r>
            <w:r>
              <w:rPr>
                <w:rFonts w:cs="宋体"/>
                <w:color w:val="000000"/>
                <w:spacing w:val="-2"/>
                <w:kern w:val="0"/>
                <w:sz w:val="18"/>
                <w:szCs w:val="18"/>
                <w:lang w:eastAsia="en-US"/>
              </w:rPr>
              <w:t>(</w:t>
            </w:r>
            <w:r>
              <w:rPr>
                <w:rFonts w:hint="eastAsia" w:hAnsi="Times New Roman" w:cs="宋体"/>
                <w:color w:val="000000"/>
                <w:spacing w:val="-2"/>
                <w:kern w:val="0"/>
                <w:sz w:val="18"/>
                <w:szCs w:val="18"/>
                <w:lang w:eastAsia="en-US"/>
              </w:rPr>
              <w:t>元</w:t>
            </w:r>
            <w:r>
              <w:rPr>
                <w:rFonts w:cs="宋体"/>
                <w:color w:val="000000"/>
                <w:spacing w:val="-2"/>
                <w:kern w:val="0"/>
                <w:sz w:val="18"/>
                <w:szCs w:val="18"/>
                <w:lang w:eastAsia="en-US"/>
              </w:rPr>
              <w:t>)</w:t>
            </w:r>
          </w:p>
        </w:tc>
        <w:tc>
          <w:tcPr>
            <w:tcW w:w="1230" w:type="dxa"/>
            <w:gridSpan w:val="3"/>
            <w:tcBorders>
              <w:top w:val="single" w:color="000000" w:sz="4" w:space="0"/>
              <w:left w:val="single" w:color="000000" w:sz="4" w:space="0"/>
              <w:bottom w:val="single" w:color="000000" w:sz="4" w:space="0"/>
              <w:right w:val="single" w:color="auto" w:sz="8" w:space="0"/>
            </w:tcBorders>
            <w:noWrap w:val="0"/>
            <w:vAlign w:val="center"/>
          </w:tcPr>
          <w:p>
            <w:pPr>
              <w:spacing w:before="78"/>
              <w:jc w:val="center"/>
              <w:rPr>
                <w:color w:val="000000"/>
                <w:spacing w:val="-2"/>
                <w:kern w:val="0"/>
                <w:sz w:val="18"/>
                <w:szCs w:val="18"/>
                <w:lang w:eastAsia="en-US"/>
              </w:rPr>
            </w:pPr>
            <w:r>
              <w:rPr>
                <w:rFonts w:hint="eastAsia" w:hAnsi="Times New Roman" w:cs="宋体"/>
                <w:color w:val="000000"/>
                <w:spacing w:val="-2"/>
                <w:kern w:val="0"/>
                <w:sz w:val="18"/>
                <w:szCs w:val="18"/>
                <w:lang w:eastAsia="en-US"/>
              </w:rPr>
              <w:t>暂估合价（元）</w:t>
            </w:r>
          </w:p>
        </w:tc>
      </w:tr>
      <w:tr>
        <w:tblPrEx>
          <w:tblCellMar>
            <w:top w:w="0" w:type="dxa"/>
            <w:left w:w="0" w:type="dxa"/>
            <w:bottom w:w="0" w:type="dxa"/>
            <w:right w:w="0" w:type="dxa"/>
          </w:tblCellMar>
        </w:tblPrEx>
        <w:trPr>
          <w:trHeight w:val="521" w:hRule="exact"/>
          <w:jc w:val="center"/>
        </w:trPr>
        <w:tc>
          <w:tcPr>
            <w:tcW w:w="720" w:type="dxa"/>
            <w:gridSpan w:val="2"/>
            <w:vMerge w:val="continue"/>
            <w:tcBorders>
              <w:top w:val="single" w:color="000000" w:sz="4" w:space="0"/>
              <w:left w:val="single" w:color="auto" w:sz="8" w:space="0"/>
              <w:bottom w:val="single" w:color="auto" w:sz="8" w:space="0"/>
              <w:right w:val="single" w:color="000000" w:sz="4" w:space="0"/>
            </w:tcBorders>
            <w:noWrap w:val="0"/>
            <w:vAlign w:val="center"/>
          </w:tcPr>
          <w:p>
            <w:pPr>
              <w:widowControl/>
              <w:jc w:val="left"/>
              <w:rPr>
                <w:color w:val="000000"/>
                <w:spacing w:val="-2"/>
                <w:kern w:val="0"/>
                <w:sz w:val="18"/>
                <w:szCs w:val="18"/>
                <w:lang w:eastAsia="en-US"/>
              </w:rPr>
            </w:pPr>
          </w:p>
        </w:tc>
        <w:tc>
          <w:tcPr>
            <w:tcW w:w="3087" w:type="dxa"/>
            <w:gridSpan w:val="8"/>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04"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775"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30" w:type="dxa"/>
            <w:gridSpan w:val="3"/>
            <w:tcBorders>
              <w:top w:val="single" w:color="000000" w:sz="4" w:space="0"/>
              <w:left w:val="single" w:color="000000"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21" w:hRule="exact"/>
          <w:jc w:val="center"/>
        </w:trPr>
        <w:tc>
          <w:tcPr>
            <w:tcW w:w="720" w:type="dxa"/>
            <w:gridSpan w:val="2"/>
            <w:vMerge w:val="continue"/>
            <w:tcBorders>
              <w:top w:val="single" w:color="000000" w:sz="4" w:space="0"/>
              <w:left w:val="single" w:color="auto" w:sz="8" w:space="0"/>
              <w:bottom w:val="single" w:color="auto" w:sz="8" w:space="0"/>
              <w:right w:val="single" w:color="000000" w:sz="4" w:space="0"/>
            </w:tcBorders>
            <w:noWrap w:val="0"/>
            <w:vAlign w:val="center"/>
          </w:tcPr>
          <w:p>
            <w:pPr>
              <w:widowControl/>
              <w:jc w:val="left"/>
              <w:rPr>
                <w:color w:val="000000"/>
                <w:spacing w:val="-2"/>
                <w:kern w:val="0"/>
                <w:sz w:val="18"/>
                <w:szCs w:val="18"/>
                <w:lang w:eastAsia="en-US"/>
              </w:rPr>
            </w:pPr>
          </w:p>
        </w:tc>
        <w:tc>
          <w:tcPr>
            <w:tcW w:w="3087" w:type="dxa"/>
            <w:gridSpan w:val="8"/>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04"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775"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30" w:type="dxa"/>
            <w:gridSpan w:val="3"/>
            <w:tcBorders>
              <w:top w:val="single" w:color="000000" w:sz="4" w:space="0"/>
              <w:left w:val="single" w:color="000000"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18" w:hRule="exact"/>
          <w:jc w:val="center"/>
        </w:trPr>
        <w:tc>
          <w:tcPr>
            <w:tcW w:w="720" w:type="dxa"/>
            <w:gridSpan w:val="2"/>
            <w:vMerge w:val="continue"/>
            <w:tcBorders>
              <w:top w:val="single" w:color="000000" w:sz="4" w:space="0"/>
              <w:left w:val="single" w:color="auto" w:sz="8" w:space="0"/>
              <w:bottom w:val="single" w:color="auto" w:sz="8" w:space="0"/>
              <w:right w:val="single" w:color="000000" w:sz="4" w:space="0"/>
            </w:tcBorders>
            <w:noWrap w:val="0"/>
            <w:vAlign w:val="center"/>
          </w:tcPr>
          <w:p>
            <w:pPr>
              <w:widowControl/>
              <w:jc w:val="left"/>
              <w:rPr>
                <w:color w:val="000000"/>
                <w:spacing w:val="-2"/>
                <w:kern w:val="0"/>
                <w:sz w:val="18"/>
                <w:szCs w:val="18"/>
                <w:lang w:eastAsia="en-US"/>
              </w:rPr>
            </w:pPr>
          </w:p>
        </w:tc>
        <w:tc>
          <w:tcPr>
            <w:tcW w:w="3087" w:type="dxa"/>
            <w:gridSpan w:val="8"/>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04"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775"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30" w:type="dxa"/>
            <w:gridSpan w:val="3"/>
            <w:tcBorders>
              <w:top w:val="single" w:color="000000" w:sz="4" w:space="0"/>
              <w:left w:val="single" w:color="000000"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21" w:hRule="exact"/>
          <w:jc w:val="center"/>
        </w:trPr>
        <w:tc>
          <w:tcPr>
            <w:tcW w:w="720" w:type="dxa"/>
            <w:gridSpan w:val="2"/>
            <w:vMerge w:val="continue"/>
            <w:tcBorders>
              <w:top w:val="single" w:color="000000" w:sz="4" w:space="0"/>
              <w:left w:val="single" w:color="auto" w:sz="8" w:space="0"/>
              <w:bottom w:val="single" w:color="auto" w:sz="8" w:space="0"/>
              <w:right w:val="single" w:color="000000" w:sz="4" w:space="0"/>
            </w:tcBorders>
            <w:noWrap w:val="0"/>
            <w:vAlign w:val="center"/>
          </w:tcPr>
          <w:p>
            <w:pPr>
              <w:widowControl/>
              <w:jc w:val="left"/>
              <w:rPr>
                <w:color w:val="000000"/>
                <w:spacing w:val="-2"/>
                <w:kern w:val="0"/>
                <w:sz w:val="18"/>
                <w:szCs w:val="18"/>
                <w:lang w:eastAsia="en-US"/>
              </w:rPr>
            </w:pPr>
          </w:p>
        </w:tc>
        <w:tc>
          <w:tcPr>
            <w:tcW w:w="3087" w:type="dxa"/>
            <w:gridSpan w:val="8"/>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04"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775"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30" w:type="dxa"/>
            <w:gridSpan w:val="3"/>
            <w:tcBorders>
              <w:top w:val="single" w:color="000000" w:sz="4" w:space="0"/>
              <w:left w:val="single" w:color="000000"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18" w:hRule="exact"/>
          <w:jc w:val="center"/>
        </w:trPr>
        <w:tc>
          <w:tcPr>
            <w:tcW w:w="720" w:type="dxa"/>
            <w:gridSpan w:val="2"/>
            <w:vMerge w:val="continue"/>
            <w:tcBorders>
              <w:top w:val="single" w:color="000000" w:sz="4" w:space="0"/>
              <w:left w:val="single" w:color="auto" w:sz="8" w:space="0"/>
              <w:bottom w:val="single" w:color="auto" w:sz="8" w:space="0"/>
              <w:right w:val="single" w:color="000000" w:sz="4" w:space="0"/>
            </w:tcBorders>
            <w:noWrap w:val="0"/>
            <w:vAlign w:val="center"/>
          </w:tcPr>
          <w:p>
            <w:pPr>
              <w:widowControl/>
              <w:jc w:val="left"/>
              <w:rPr>
                <w:color w:val="000000"/>
                <w:spacing w:val="-2"/>
                <w:kern w:val="0"/>
                <w:sz w:val="18"/>
                <w:szCs w:val="18"/>
                <w:lang w:eastAsia="en-US"/>
              </w:rPr>
            </w:pPr>
          </w:p>
        </w:tc>
        <w:tc>
          <w:tcPr>
            <w:tcW w:w="3087" w:type="dxa"/>
            <w:gridSpan w:val="8"/>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3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04"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775"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1230" w:type="dxa"/>
            <w:gridSpan w:val="3"/>
            <w:tcBorders>
              <w:top w:val="single" w:color="000000" w:sz="4" w:space="0"/>
              <w:left w:val="single" w:color="000000"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21" w:hRule="exact"/>
          <w:jc w:val="center"/>
        </w:trPr>
        <w:tc>
          <w:tcPr>
            <w:tcW w:w="720" w:type="dxa"/>
            <w:gridSpan w:val="2"/>
            <w:vMerge w:val="continue"/>
            <w:tcBorders>
              <w:top w:val="single" w:color="000000" w:sz="4" w:space="0"/>
              <w:left w:val="single" w:color="auto" w:sz="8" w:space="0"/>
              <w:bottom w:val="single" w:color="auto" w:sz="8" w:space="0"/>
              <w:right w:val="single" w:color="000000" w:sz="4" w:space="0"/>
            </w:tcBorders>
            <w:noWrap w:val="0"/>
            <w:vAlign w:val="center"/>
          </w:tcPr>
          <w:p>
            <w:pPr>
              <w:widowControl/>
              <w:jc w:val="left"/>
              <w:rPr>
                <w:color w:val="000000"/>
                <w:spacing w:val="-2"/>
                <w:kern w:val="0"/>
                <w:sz w:val="18"/>
                <w:szCs w:val="18"/>
                <w:lang w:eastAsia="en-US"/>
              </w:rPr>
            </w:pPr>
          </w:p>
        </w:tc>
        <w:tc>
          <w:tcPr>
            <w:tcW w:w="4921" w:type="dxa"/>
            <w:gridSpan w:val="1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lang w:eastAsia="en-US"/>
              </w:rPr>
            </w:pPr>
            <w:r>
              <w:rPr>
                <w:rFonts w:hint="eastAsia" w:hAnsi="Times New Roman" w:cs="宋体"/>
                <w:color w:val="000000"/>
                <w:spacing w:val="-2"/>
                <w:kern w:val="0"/>
                <w:sz w:val="18"/>
                <w:szCs w:val="18"/>
                <w:lang w:eastAsia="en-US"/>
              </w:rPr>
              <w:t>其他材料费</w:t>
            </w:r>
          </w:p>
        </w:tc>
        <w:tc>
          <w:tcPr>
            <w:tcW w:w="6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cs="宋体"/>
                <w:color w:val="000000"/>
                <w:spacing w:val="-2"/>
                <w:kern w:val="0"/>
                <w:sz w:val="18"/>
                <w:szCs w:val="18"/>
              </w:rPr>
            </w:pPr>
            <w:r>
              <w:rPr>
                <w:rFonts w:hint="eastAsia" w:cs="宋体"/>
                <w:color w:val="000000"/>
                <w:spacing w:val="-2"/>
                <w:kern w:val="0"/>
                <w:sz w:val="18"/>
                <w:szCs w:val="18"/>
              </w:rPr>
              <w:t>—</w:t>
            </w:r>
          </w:p>
        </w:tc>
        <w:tc>
          <w:tcPr>
            <w:tcW w:w="694"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rPr>
            </w:pPr>
          </w:p>
        </w:tc>
        <w:tc>
          <w:tcPr>
            <w:tcW w:w="775" w:type="dxa"/>
            <w:gridSpan w:val="3"/>
            <w:tcBorders>
              <w:top w:val="single" w:color="000000" w:sz="4" w:space="0"/>
              <w:left w:val="single" w:color="000000" w:sz="4" w:space="0"/>
              <w:bottom w:val="single" w:color="000000" w:sz="4" w:space="0"/>
              <w:right w:val="single" w:color="000000" w:sz="4" w:space="0"/>
            </w:tcBorders>
            <w:noWrap w:val="0"/>
            <w:vAlign w:val="center"/>
          </w:tcPr>
          <w:p>
            <w:pPr>
              <w:jc w:val="center"/>
              <w:rPr>
                <w:rFonts w:cs="宋体"/>
                <w:color w:val="000000"/>
                <w:spacing w:val="-2"/>
                <w:kern w:val="0"/>
                <w:sz w:val="18"/>
                <w:szCs w:val="18"/>
              </w:rPr>
            </w:pPr>
            <w:r>
              <w:rPr>
                <w:rFonts w:hint="eastAsia" w:cs="宋体"/>
                <w:color w:val="000000"/>
                <w:spacing w:val="-2"/>
                <w:kern w:val="0"/>
                <w:sz w:val="18"/>
                <w:szCs w:val="18"/>
              </w:rPr>
              <w:t>—</w:t>
            </w:r>
          </w:p>
        </w:tc>
        <w:tc>
          <w:tcPr>
            <w:tcW w:w="1230" w:type="dxa"/>
            <w:gridSpan w:val="3"/>
            <w:tcBorders>
              <w:top w:val="single" w:color="000000" w:sz="4" w:space="0"/>
              <w:left w:val="single" w:color="000000" w:sz="4" w:space="0"/>
              <w:bottom w:val="single" w:color="000000" w:sz="4" w:space="0"/>
              <w:right w:val="single" w:color="auto" w:sz="8" w:space="0"/>
            </w:tcBorders>
            <w:noWrap w:val="0"/>
            <w:vAlign w:val="center"/>
          </w:tcPr>
          <w:p>
            <w:pPr>
              <w:jc w:val="center"/>
              <w:rPr>
                <w:color w:val="000000"/>
                <w:spacing w:val="-2"/>
              </w:rPr>
            </w:pPr>
          </w:p>
        </w:tc>
      </w:tr>
      <w:tr>
        <w:tblPrEx>
          <w:tblCellMar>
            <w:top w:w="0" w:type="dxa"/>
            <w:left w:w="0" w:type="dxa"/>
            <w:bottom w:w="0" w:type="dxa"/>
            <w:right w:w="0" w:type="dxa"/>
          </w:tblCellMar>
        </w:tblPrEx>
        <w:trPr>
          <w:trHeight w:val="521" w:hRule="exact"/>
          <w:jc w:val="center"/>
        </w:trPr>
        <w:tc>
          <w:tcPr>
            <w:tcW w:w="720" w:type="dxa"/>
            <w:gridSpan w:val="2"/>
            <w:vMerge w:val="continue"/>
            <w:tcBorders>
              <w:top w:val="single" w:color="000000" w:sz="4" w:space="0"/>
              <w:left w:val="single" w:color="auto" w:sz="8" w:space="0"/>
              <w:bottom w:val="single" w:color="auto" w:sz="8" w:space="0"/>
              <w:right w:val="single" w:color="000000" w:sz="4" w:space="0"/>
            </w:tcBorders>
            <w:noWrap w:val="0"/>
            <w:vAlign w:val="center"/>
          </w:tcPr>
          <w:p>
            <w:pPr>
              <w:widowControl/>
              <w:jc w:val="left"/>
              <w:rPr>
                <w:color w:val="000000"/>
                <w:spacing w:val="-2"/>
                <w:kern w:val="0"/>
                <w:sz w:val="18"/>
                <w:szCs w:val="18"/>
                <w:lang w:eastAsia="en-US"/>
              </w:rPr>
            </w:pPr>
          </w:p>
        </w:tc>
        <w:tc>
          <w:tcPr>
            <w:tcW w:w="4921" w:type="dxa"/>
            <w:gridSpan w:val="12"/>
            <w:tcBorders>
              <w:top w:val="single" w:color="000000" w:sz="4" w:space="0"/>
              <w:left w:val="single" w:color="000000" w:sz="4" w:space="0"/>
              <w:bottom w:val="single" w:color="auto" w:sz="8" w:space="0"/>
              <w:right w:val="single" w:color="000000" w:sz="4" w:space="0"/>
            </w:tcBorders>
            <w:noWrap w:val="0"/>
            <w:vAlign w:val="center"/>
          </w:tcPr>
          <w:p>
            <w:pPr>
              <w:jc w:val="center"/>
              <w:rPr>
                <w:color w:val="000000"/>
                <w:spacing w:val="-2"/>
                <w:kern w:val="0"/>
                <w:sz w:val="18"/>
                <w:szCs w:val="18"/>
                <w:lang w:eastAsia="en-US"/>
              </w:rPr>
            </w:pPr>
            <w:r>
              <w:rPr>
                <w:rFonts w:hint="eastAsia" w:hAnsi="Times New Roman" w:cs="宋体"/>
                <w:color w:val="000000"/>
                <w:spacing w:val="-2"/>
                <w:kern w:val="0"/>
                <w:sz w:val="18"/>
                <w:szCs w:val="18"/>
                <w:lang w:eastAsia="en-US"/>
              </w:rPr>
              <w:t>材料费小计</w:t>
            </w:r>
          </w:p>
        </w:tc>
        <w:tc>
          <w:tcPr>
            <w:tcW w:w="600" w:type="dxa"/>
            <w:tcBorders>
              <w:top w:val="single" w:color="000000" w:sz="4" w:space="0"/>
              <w:left w:val="single" w:color="000000" w:sz="4" w:space="0"/>
              <w:bottom w:val="single" w:color="auto" w:sz="8" w:space="0"/>
              <w:right w:val="single" w:color="000000" w:sz="4" w:space="0"/>
            </w:tcBorders>
            <w:noWrap w:val="0"/>
            <w:vAlign w:val="center"/>
          </w:tcPr>
          <w:p>
            <w:pPr>
              <w:jc w:val="center"/>
              <w:rPr>
                <w:rFonts w:cs="宋体"/>
                <w:color w:val="000000"/>
                <w:spacing w:val="-2"/>
                <w:kern w:val="0"/>
                <w:sz w:val="18"/>
                <w:szCs w:val="18"/>
              </w:rPr>
            </w:pPr>
            <w:r>
              <w:rPr>
                <w:rFonts w:hint="eastAsia" w:cs="宋体"/>
                <w:color w:val="000000"/>
                <w:spacing w:val="-2"/>
                <w:kern w:val="0"/>
                <w:sz w:val="18"/>
                <w:szCs w:val="18"/>
              </w:rPr>
              <w:t>—</w:t>
            </w:r>
          </w:p>
        </w:tc>
        <w:tc>
          <w:tcPr>
            <w:tcW w:w="694" w:type="dxa"/>
            <w:gridSpan w:val="2"/>
            <w:tcBorders>
              <w:top w:val="single" w:color="000000" w:sz="4" w:space="0"/>
              <w:left w:val="single" w:color="000000" w:sz="4" w:space="0"/>
              <w:bottom w:val="single" w:color="auto" w:sz="8" w:space="0"/>
              <w:right w:val="single" w:color="000000" w:sz="4" w:space="0"/>
            </w:tcBorders>
            <w:noWrap w:val="0"/>
            <w:vAlign w:val="center"/>
          </w:tcPr>
          <w:p>
            <w:pPr>
              <w:jc w:val="center"/>
              <w:rPr>
                <w:color w:val="000000"/>
                <w:spacing w:val="-2"/>
              </w:rPr>
            </w:pPr>
          </w:p>
        </w:tc>
        <w:tc>
          <w:tcPr>
            <w:tcW w:w="775" w:type="dxa"/>
            <w:gridSpan w:val="3"/>
            <w:tcBorders>
              <w:top w:val="single" w:color="000000" w:sz="4" w:space="0"/>
              <w:left w:val="single" w:color="000000" w:sz="4" w:space="0"/>
              <w:bottom w:val="single" w:color="auto" w:sz="8" w:space="0"/>
              <w:right w:val="single" w:color="000000" w:sz="4" w:space="0"/>
            </w:tcBorders>
            <w:noWrap w:val="0"/>
            <w:vAlign w:val="center"/>
          </w:tcPr>
          <w:p>
            <w:pPr>
              <w:jc w:val="center"/>
              <w:rPr>
                <w:rFonts w:cs="宋体"/>
                <w:color w:val="000000"/>
                <w:spacing w:val="-2"/>
                <w:kern w:val="0"/>
                <w:sz w:val="18"/>
                <w:szCs w:val="18"/>
              </w:rPr>
            </w:pPr>
            <w:r>
              <w:rPr>
                <w:rFonts w:hint="eastAsia" w:cs="宋体"/>
                <w:color w:val="000000"/>
                <w:spacing w:val="-2"/>
                <w:kern w:val="0"/>
                <w:sz w:val="18"/>
                <w:szCs w:val="18"/>
              </w:rPr>
              <w:t>—</w:t>
            </w:r>
          </w:p>
        </w:tc>
        <w:tc>
          <w:tcPr>
            <w:tcW w:w="1230" w:type="dxa"/>
            <w:gridSpan w:val="3"/>
            <w:tcBorders>
              <w:top w:val="single" w:color="000000" w:sz="4" w:space="0"/>
              <w:left w:val="single" w:color="000000" w:sz="4" w:space="0"/>
              <w:bottom w:val="single" w:color="auto" w:sz="8" w:space="0"/>
              <w:right w:val="single" w:color="auto" w:sz="8" w:space="0"/>
            </w:tcBorders>
            <w:noWrap w:val="0"/>
            <w:vAlign w:val="center"/>
          </w:tcPr>
          <w:p>
            <w:pPr>
              <w:jc w:val="center"/>
              <w:rPr>
                <w:color w:val="000000"/>
                <w:spacing w:val="-2"/>
              </w:rPr>
            </w:pPr>
          </w:p>
        </w:tc>
      </w:tr>
    </w:tbl>
    <w:p>
      <w:pPr>
        <w:spacing w:line="243" w:lineRule="exact"/>
        <w:rPr>
          <w:color w:val="000000"/>
          <w:spacing w:val="-2"/>
          <w:sz w:val="18"/>
          <w:szCs w:val="18"/>
        </w:rPr>
      </w:pPr>
      <w:r>
        <w:rPr>
          <w:rFonts w:hint="eastAsia" w:hAnsi="Times New Roman" w:cs="宋体"/>
          <w:color w:val="000000"/>
          <w:spacing w:val="-2"/>
          <w:sz w:val="18"/>
          <w:szCs w:val="18"/>
        </w:rPr>
        <w:t>注：</w:t>
      </w:r>
      <w:r>
        <w:rPr>
          <w:rFonts w:cs="宋体"/>
          <w:color w:val="000000"/>
          <w:spacing w:val="-2"/>
          <w:sz w:val="18"/>
          <w:szCs w:val="18"/>
        </w:rPr>
        <w:t>1</w:t>
      </w:r>
      <w:r>
        <w:rPr>
          <w:rFonts w:hint="eastAsia" w:hAnsi="Times New Roman" w:cs="宋体"/>
          <w:color w:val="000000"/>
          <w:spacing w:val="-2"/>
          <w:sz w:val="18"/>
          <w:szCs w:val="18"/>
        </w:rPr>
        <w:t>如不使用省级或行业建设主管部门发布的计价依据，可不填定额编号、名称等。</w:t>
      </w:r>
    </w:p>
    <w:p>
      <w:pPr>
        <w:spacing w:before="46"/>
        <w:ind w:firstLine="336" w:firstLineChars="195"/>
        <w:rPr>
          <w:rFonts w:hAnsi="Times New Roman" w:cs="宋体"/>
          <w:color w:val="000000"/>
          <w:spacing w:val="-2"/>
          <w:sz w:val="18"/>
          <w:szCs w:val="18"/>
        </w:rPr>
      </w:pPr>
      <w:r>
        <w:rPr>
          <w:rFonts w:cs="宋体"/>
          <w:color w:val="000000"/>
          <w:spacing w:val="-2"/>
          <w:sz w:val="18"/>
          <w:szCs w:val="18"/>
        </w:rPr>
        <w:t>2</w:t>
      </w:r>
      <w:r>
        <w:rPr>
          <w:rFonts w:hint="eastAsia" w:hAnsi="Times New Roman" w:cs="宋体"/>
          <w:color w:val="000000"/>
          <w:spacing w:val="-2"/>
          <w:sz w:val="18"/>
          <w:szCs w:val="18"/>
        </w:rPr>
        <w:t>招标文件提供了暂估单价的材料，按暂估的单价填入表内</w:t>
      </w:r>
      <w:r>
        <w:rPr>
          <w:rFonts w:hint="eastAsia" w:cs="宋体"/>
          <w:color w:val="000000"/>
          <w:spacing w:val="-2"/>
          <w:sz w:val="18"/>
          <w:szCs w:val="18"/>
        </w:rPr>
        <w:t>“</w:t>
      </w:r>
      <w:r>
        <w:rPr>
          <w:rFonts w:hint="eastAsia" w:hAnsi="Times New Roman" w:cs="宋体"/>
          <w:color w:val="000000"/>
          <w:spacing w:val="-2"/>
          <w:sz w:val="18"/>
          <w:szCs w:val="18"/>
        </w:rPr>
        <w:t>暂估单价</w:t>
      </w:r>
      <w:r>
        <w:rPr>
          <w:rFonts w:hint="eastAsia" w:cs="宋体"/>
          <w:color w:val="000000"/>
          <w:spacing w:val="-2"/>
          <w:sz w:val="18"/>
          <w:szCs w:val="18"/>
        </w:rPr>
        <w:t>”</w:t>
      </w:r>
      <w:r>
        <w:rPr>
          <w:rFonts w:hint="eastAsia" w:hAnsi="Times New Roman" w:cs="宋体"/>
          <w:color w:val="000000"/>
          <w:spacing w:val="-2"/>
          <w:sz w:val="18"/>
          <w:szCs w:val="18"/>
        </w:rPr>
        <w:t>栏及</w:t>
      </w:r>
      <w:r>
        <w:rPr>
          <w:rFonts w:hint="eastAsia" w:cs="宋体"/>
          <w:color w:val="000000"/>
          <w:spacing w:val="-2"/>
          <w:sz w:val="18"/>
          <w:szCs w:val="18"/>
        </w:rPr>
        <w:t>“</w:t>
      </w:r>
      <w:r>
        <w:rPr>
          <w:rFonts w:hint="eastAsia" w:hAnsi="Times New Roman" w:cs="宋体"/>
          <w:color w:val="000000"/>
          <w:spacing w:val="-2"/>
          <w:sz w:val="18"/>
          <w:szCs w:val="18"/>
        </w:rPr>
        <w:t>暂估合价</w:t>
      </w:r>
      <w:r>
        <w:rPr>
          <w:rFonts w:hint="eastAsia" w:cs="宋体"/>
          <w:color w:val="000000"/>
          <w:spacing w:val="-2"/>
          <w:sz w:val="18"/>
          <w:szCs w:val="18"/>
        </w:rPr>
        <w:t>”</w:t>
      </w:r>
      <w:r>
        <w:rPr>
          <w:rFonts w:hint="eastAsia" w:hAnsi="Times New Roman" w:cs="宋体"/>
          <w:color w:val="000000"/>
          <w:spacing w:val="-2"/>
          <w:sz w:val="18"/>
          <w:szCs w:val="18"/>
        </w:rPr>
        <w:t>栏。</w:t>
      </w:r>
    </w:p>
    <w:p>
      <w:pPr>
        <w:spacing w:before="46"/>
        <w:ind w:firstLine="336" w:firstLineChars="195"/>
        <w:jc w:val="right"/>
        <w:rPr>
          <w:color w:val="000000"/>
          <w:spacing w:val="-2"/>
          <w:sz w:val="18"/>
          <w:szCs w:val="18"/>
        </w:rPr>
      </w:pPr>
      <w:r>
        <w:rPr>
          <w:rFonts w:hint="eastAsia" w:hAnsi="Times New Roman" w:cs="宋体"/>
          <w:color w:val="000000"/>
          <w:spacing w:val="-2"/>
          <w:sz w:val="18"/>
          <w:szCs w:val="18"/>
        </w:rPr>
        <w:t>表</w:t>
      </w:r>
      <w:r>
        <w:rPr>
          <w:rFonts w:cs="宋体"/>
          <w:color w:val="000000"/>
          <w:spacing w:val="-2"/>
          <w:sz w:val="18"/>
          <w:szCs w:val="18"/>
        </w:rPr>
        <w:t>-09</w:t>
      </w:r>
    </w:p>
    <w:p>
      <w:pPr>
        <w:tabs>
          <w:tab w:val="left" w:pos="707"/>
        </w:tabs>
        <w:jc w:val="center"/>
        <w:outlineLvl w:val="2"/>
        <w:rPr>
          <w:rFonts w:ascii="Times New Roman" w:eastAsia="方正黑体_GBK" w:cs="宋体"/>
          <w:color w:val="000000"/>
          <w:spacing w:val="-2"/>
          <w:kern w:val="0"/>
          <w:sz w:val="24"/>
        </w:rPr>
      </w:pPr>
      <w:r>
        <w:rPr>
          <w:rFonts w:hint="eastAsia" w:ascii="Times New Roman" w:hAnsi="Times New Roman" w:cs="宋体"/>
          <w:color w:val="000000"/>
          <w:kern w:val="0"/>
          <w:sz w:val="18"/>
          <w:szCs w:val="18"/>
        </w:rPr>
        <w:br w:type="column"/>
      </w:r>
      <w:r>
        <w:rPr>
          <w:rFonts w:hint="eastAsia" w:ascii="Times New Roman" w:eastAsia="方正黑体_GBK" w:cs="宋体"/>
          <w:color w:val="000000"/>
          <w:spacing w:val="-2"/>
          <w:kern w:val="0"/>
          <w:sz w:val="24"/>
        </w:rPr>
        <w:t>G.3</w:t>
      </w:r>
      <w:r>
        <w:rPr>
          <w:rFonts w:hint="eastAsia" w:ascii="Times New Roman" w:eastAsia="方正黑体_GBK" w:cs="宋体"/>
          <w:color w:val="000000"/>
          <w:spacing w:val="-2"/>
          <w:kern w:val="0"/>
          <w:sz w:val="24"/>
        </w:rPr>
        <w:tab/>
      </w:r>
      <w:r>
        <w:rPr>
          <w:rFonts w:hint="eastAsia" w:ascii="Times New Roman" w:eastAsia="方正黑体_GBK" w:cs="宋体"/>
          <w:color w:val="000000"/>
          <w:spacing w:val="-2"/>
          <w:kern w:val="0"/>
          <w:sz w:val="24"/>
        </w:rPr>
        <w:t>材料（工程设备）暂估单价及调整表</w:t>
      </w:r>
      <w:bookmarkEnd w:id="678"/>
      <w:bookmarkEnd w:id="679"/>
      <w:bookmarkEnd w:id="680"/>
    </w:p>
    <w:p>
      <w:pPr>
        <w:spacing w:before="19" w:line="200" w:lineRule="exact"/>
        <w:rPr>
          <w:rFonts w:hint="eastAsia"/>
          <w:color w:val="000000"/>
          <w:spacing w:val="-2"/>
          <w:sz w:val="20"/>
        </w:rPr>
      </w:pPr>
    </w:p>
    <w:p>
      <w:pPr>
        <w:tabs>
          <w:tab w:val="left" w:pos="4529"/>
          <w:tab w:val="left" w:pos="7890"/>
          <w:tab w:val="left" w:pos="8416"/>
          <w:tab w:val="left" w:pos="9047"/>
        </w:tabs>
        <w:spacing w:after="120"/>
        <w:ind w:firstLine="202" w:firstLineChars="100"/>
        <w:rPr>
          <w:rFonts w:ascii="Times New Roman" w:eastAsia="方正仿宋_GBK"/>
          <w:color w:val="000000"/>
          <w:spacing w:val="-2"/>
        </w:rPr>
      </w:pPr>
      <w:r>
        <w:rPr>
          <w:rFonts w:hint="eastAsia" w:ascii="Times New Roman" w:eastAsia="方正仿宋_GBK"/>
          <w:color w:val="000000"/>
          <w:spacing w:val="-2"/>
        </w:rPr>
        <w:t>工程名称：</w:t>
      </w:r>
      <w:r>
        <w:rPr>
          <w:rFonts w:hint="eastAsia" w:ascii="Times New Roman" w:eastAsia="方正仿宋_GBK"/>
          <w:color w:val="000000"/>
          <w:spacing w:val="-2"/>
        </w:rPr>
        <w:tab/>
      </w:r>
      <w:r>
        <w:rPr>
          <w:rFonts w:hint="eastAsia" w:ascii="Times New Roman" w:eastAsia="方正仿宋_GBK"/>
          <w:color w:val="000000"/>
          <w:spacing w:val="-2"/>
        </w:rPr>
        <w:t>标段：                      第  页  共  页</w:t>
      </w:r>
    </w:p>
    <w:p>
      <w:pPr>
        <w:spacing w:before="9" w:line="40" w:lineRule="exact"/>
        <w:rPr>
          <w:rFonts w:hint="eastAsia"/>
          <w:color w:val="000000"/>
          <w:spacing w:val="-2"/>
          <w:sz w:val="4"/>
          <w:szCs w:val="4"/>
        </w:rPr>
      </w:pPr>
    </w:p>
    <w:tbl>
      <w:tblPr>
        <w:tblStyle w:val="12"/>
        <w:tblW w:w="0" w:type="auto"/>
        <w:jc w:val="center"/>
        <w:tblLayout w:type="fixed"/>
        <w:tblCellMar>
          <w:top w:w="0" w:type="dxa"/>
          <w:left w:w="0" w:type="dxa"/>
          <w:bottom w:w="0" w:type="dxa"/>
          <w:right w:w="0" w:type="dxa"/>
        </w:tblCellMar>
      </w:tblPr>
      <w:tblGrid>
        <w:gridCol w:w="648"/>
        <w:gridCol w:w="1060"/>
        <w:gridCol w:w="1787"/>
        <w:gridCol w:w="566"/>
        <w:gridCol w:w="659"/>
        <w:gridCol w:w="630"/>
        <w:gridCol w:w="574"/>
        <w:gridCol w:w="525"/>
        <w:gridCol w:w="549"/>
        <w:gridCol w:w="485"/>
        <w:gridCol w:w="525"/>
        <w:gridCol w:w="525"/>
        <w:gridCol w:w="696"/>
      </w:tblGrid>
      <w:tr>
        <w:tblPrEx>
          <w:tblCellMar>
            <w:top w:w="0" w:type="dxa"/>
            <w:left w:w="0" w:type="dxa"/>
            <w:bottom w:w="0" w:type="dxa"/>
            <w:right w:w="0" w:type="dxa"/>
          </w:tblCellMar>
        </w:tblPrEx>
        <w:trPr>
          <w:trHeight w:val="424" w:hRule="atLeast"/>
          <w:jc w:val="center"/>
        </w:trPr>
        <w:tc>
          <w:tcPr>
            <w:tcW w:w="648" w:type="dxa"/>
            <w:vMerge w:val="restart"/>
            <w:tcBorders>
              <w:top w:val="single" w:color="auto" w:sz="8" w:space="0"/>
              <w:left w:val="single" w:color="auto" w:sz="8" w:space="0"/>
              <w:bottom w:val="single" w:color="000000" w:sz="4" w:space="0"/>
              <w:right w:val="single" w:color="000000"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lang w:eastAsia="en-US"/>
              </w:rPr>
              <w:t>序号</w:t>
            </w:r>
          </w:p>
        </w:tc>
        <w:tc>
          <w:tcPr>
            <w:tcW w:w="1060" w:type="dxa"/>
            <w:vMerge w:val="restart"/>
            <w:tcBorders>
              <w:top w:val="single" w:color="auto" w:sz="8" w:space="0"/>
              <w:left w:val="single" w:color="000000" w:sz="4" w:space="0"/>
              <w:bottom w:val="single" w:color="000000" w:sz="4" w:space="0"/>
              <w:right w:val="single" w:color="000000" w:sz="4" w:space="0"/>
            </w:tcBorders>
            <w:noWrap w:val="0"/>
            <w:tcMar>
              <w:top w:w="28" w:type="dxa"/>
              <w:left w:w="28" w:type="dxa"/>
              <w:bottom w:w="28" w:type="dxa"/>
              <w:right w:w="28" w:type="dxa"/>
            </w:tcMar>
            <w:vAlign w:val="center"/>
          </w:tcPr>
          <w:p>
            <w:pPr>
              <w:spacing w:line="300" w:lineRule="exact"/>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材料编码</w:t>
            </w:r>
          </w:p>
        </w:tc>
        <w:tc>
          <w:tcPr>
            <w:tcW w:w="1787" w:type="dxa"/>
            <w:vMerge w:val="restart"/>
            <w:tcBorders>
              <w:top w:val="single" w:color="auto" w:sz="8" w:space="0"/>
              <w:left w:val="single" w:color="000000" w:sz="4" w:space="0"/>
              <w:bottom w:val="single" w:color="000000" w:sz="4" w:space="0"/>
              <w:right w:val="single" w:color="000000"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材料（工程设备）名称、规格、型号</w:t>
            </w:r>
          </w:p>
        </w:tc>
        <w:tc>
          <w:tcPr>
            <w:tcW w:w="566" w:type="dxa"/>
            <w:vMerge w:val="restart"/>
            <w:tcBorders>
              <w:top w:val="single" w:color="auto" w:sz="8" w:space="0"/>
              <w:left w:val="single" w:color="000000" w:sz="4" w:space="0"/>
              <w:bottom w:val="single" w:color="000000" w:sz="4" w:space="0"/>
              <w:right w:val="single" w:color="000000"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lang w:eastAsia="en-US"/>
              </w:rPr>
              <w:t>计量单位</w:t>
            </w:r>
          </w:p>
        </w:tc>
        <w:tc>
          <w:tcPr>
            <w:tcW w:w="1289" w:type="dxa"/>
            <w:gridSpan w:val="2"/>
            <w:tcBorders>
              <w:top w:val="single" w:color="auto" w:sz="8" w:space="0"/>
              <w:left w:val="single" w:color="000000" w:sz="4" w:space="0"/>
              <w:bottom w:val="single" w:color="auto"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数量</w:t>
            </w:r>
          </w:p>
        </w:tc>
        <w:tc>
          <w:tcPr>
            <w:tcW w:w="1099" w:type="dxa"/>
            <w:gridSpan w:val="2"/>
            <w:tcBorders>
              <w:top w:val="single" w:color="auto" w:sz="8" w:space="0"/>
              <w:left w:val="single" w:color="auto" w:sz="4" w:space="0"/>
              <w:bottom w:val="single" w:color="auto"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rPr>
              <w:t>暂估</w:t>
            </w:r>
            <w:r>
              <w:rPr>
                <w:rFonts w:hint="eastAsia" w:ascii="Times New Roman" w:hAnsi="Times New Roman" w:eastAsia="方正黑体_GBK" w:cs="宋体"/>
                <w:color w:val="000000"/>
                <w:spacing w:val="-2"/>
                <w:kern w:val="0"/>
                <w:sz w:val="18"/>
                <w:szCs w:val="18"/>
                <w:lang w:eastAsia="en-US"/>
              </w:rPr>
              <w:t>（元）</w:t>
            </w:r>
          </w:p>
        </w:tc>
        <w:tc>
          <w:tcPr>
            <w:tcW w:w="1034" w:type="dxa"/>
            <w:gridSpan w:val="2"/>
            <w:tcBorders>
              <w:top w:val="single" w:color="auto" w:sz="8" w:space="0"/>
              <w:left w:val="single" w:color="auto" w:sz="4" w:space="0"/>
              <w:bottom w:val="single" w:color="auto" w:sz="4" w:space="0"/>
              <w:right w:val="single" w:color="000000"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rPr>
              <w:t>确认</w:t>
            </w:r>
            <w:r>
              <w:rPr>
                <w:rFonts w:hint="eastAsia" w:ascii="Times New Roman" w:hAnsi="Times New Roman" w:eastAsia="方正黑体_GBK" w:cs="宋体"/>
                <w:color w:val="000000"/>
                <w:spacing w:val="-2"/>
                <w:kern w:val="0"/>
                <w:sz w:val="18"/>
                <w:szCs w:val="18"/>
                <w:lang w:eastAsia="en-US"/>
              </w:rPr>
              <w:t>（元）</w:t>
            </w:r>
          </w:p>
        </w:tc>
        <w:tc>
          <w:tcPr>
            <w:tcW w:w="1050" w:type="dxa"/>
            <w:gridSpan w:val="2"/>
            <w:tcBorders>
              <w:top w:val="single" w:color="auto" w:sz="8" w:space="0"/>
              <w:left w:val="single" w:color="000000" w:sz="4" w:space="0"/>
              <w:bottom w:val="single" w:color="auto"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rPr>
              <w:t>差额</w:t>
            </w:r>
            <w:r>
              <w:rPr>
                <w:rFonts w:hint="eastAsia" w:ascii="Times New Roman" w:eastAsia="方正黑体_GBK" w:cs="宋体"/>
                <w:color w:val="000000"/>
                <w:spacing w:val="-2"/>
                <w:kern w:val="0"/>
                <w:sz w:val="18"/>
                <w:szCs w:val="18"/>
              </w:rPr>
              <w:t>±</w:t>
            </w:r>
            <w:r>
              <w:rPr>
                <w:rFonts w:hint="eastAsia" w:ascii="Times New Roman" w:hAnsi="Times New Roman" w:eastAsia="方正黑体_GBK" w:cs="宋体"/>
                <w:color w:val="000000"/>
                <w:spacing w:val="-2"/>
                <w:kern w:val="0"/>
                <w:sz w:val="18"/>
                <w:szCs w:val="18"/>
                <w:lang w:eastAsia="en-US"/>
              </w:rPr>
              <w:t>（元）</w:t>
            </w:r>
          </w:p>
        </w:tc>
        <w:tc>
          <w:tcPr>
            <w:tcW w:w="696" w:type="dxa"/>
            <w:vMerge w:val="restart"/>
            <w:tcBorders>
              <w:top w:val="single" w:color="auto" w:sz="8" w:space="0"/>
              <w:left w:val="single" w:color="auto" w:sz="4" w:space="0"/>
              <w:bottom w:val="single" w:color="000000" w:sz="4" w:space="0"/>
              <w:right w:val="single" w:color="auto" w:sz="8"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lang w:eastAsia="en-US"/>
              </w:rPr>
              <w:t>备注</w:t>
            </w:r>
          </w:p>
        </w:tc>
      </w:tr>
      <w:tr>
        <w:tblPrEx>
          <w:tblCellMar>
            <w:top w:w="0" w:type="dxa"/>
            <w:left w:w="0" w:type="dxa"/>
            <w:bottom w:w="0" w:type="dxa"/>
            <w:right w:w="0" w:type="dxa"/>
          </w:tblCellMar>
        </w:tblPrEx>
        <w:trPr>
          <w:trHeight w:val="438" w:hRule="exact"/>
          <w:jc w:val="center"/>
        </w:trPr>
        <w:tc>
          <w:tcPr>
            <w:tcW w:w="648" w:type="dxa"/>
            <w:vMerge w:val="continue"/>
            <w:tcBorders>
              <w:top w:val="single" w:color="auto" w:sz="8" w:space="0"/>
              <w:left w:val="single" w:color="auto" w:sz="8" w:space="0"/>
              <w:bottom w:val="single" w:color="000000" w:sz="4" w:space="0"/>
              <w:right w:val="single" w:color="000000" w:sz="4" w:space="0"/>
            </w:tcBorders>
            <w:noWrap w:val="0"/>
            <w:vAlign w:val="center"/>
          </w:tcPr>
          <w:p>
            <w:pPr>
              <w:widowControl/>
              <w:jc w:val="left"/>
              <w:rPr>
                <w:rFonts w:ascii="Times New Roman" w:eastAsia="方正黑体_GBK"/>
                <w:color w:val="000000"/>
                <w:spacing w:val="-2"/>
                <w:kern w:val="0"/>
                <w:sz w:val="18"/>
                <w:szCs w:val="18"/>
                <w:lang w:eastAsia="en-US"/>
              </w:rPr>
            </w:pPr>
          </w:p>
        </w:tc>
        <w:tc>
          <w:tcPr>
            <w:tcW w:w="1060" w:type="dxa"/>
            <w:vMerge w:val="continue"/>
            <w:tcBorders>
              <w:top w:val="single" w:color="auto" w:sz="8" w:space="0"/>
              <w:left w:val="single" w:color="000000" w:sz="4" w:space="0"/>
              <w:bottom w:val="single" w:color="000000" w:sz="4" w:space="0"/>
              <w:right w:val="single" w:color="000000" w:sz="4" w:space="0"/>
            </w:tcBorders>
            <w:noWrap w:val="0"/>
            <w:vAlign w:val="center"/>
          </w:tcPr>
          <w:p>
            <w:pPr>
              <w:widowControl/>
              <w:jc w:val="left"/>
              <w:rPr>
                <w:rFonts w:ascii="Times New Roman" w:eastAsia="方正黑体_GBK" w:cs="宋体"/>
                <w:color w:val="000000"/>
                <w:spacing w:val="-2"/>
                <w:kern w:val="0"/>
                <w:sz w:val="18"/>
                <w:szCs w:val="18"/>
              </w:rPr>
            </w:pPr>
          </w:p>
        </w:tc>
        <w:tc>
          <w:tcPr>
            <w:tcW w:w="1787" w:type="dxa"/>
            <w:vMerge w:val="continue"/>
            <w:tcBorders>
              <w:top w:val="single" w:color="auto" w:sz="8" w:space="0"/>
              <w:left w:val="single" w:color="000000" w:sz="4" w:space="0"/>
              <w:bottom w:val="single" w:color="000000" w:sz="4" w:space="0"/>
              <w:right w:val="single" w:color="000000" w:sz="4" w:space="0"/>
            </w:tcBorders>
            <w:noWrap w:val="0"/>
            <w:vAlign w:val="center"/>
          </w:tcPr>
          <w:p>
            <w:pPr>
              <w:widowControl/>
              <w:jc w:val="left"/>
              <w:rPr>
                <w:rFonts w:ascii="Times New Roman" w:eastAsia="方正黑体_GBK"/>
                <w:color w:val="000000"/>
                <w:spacing w:val="-2"/>
                <w:kern w:val="0"/>
                <w:sz w:val="18"/>
                <w:szCs w:val="18"/>
              </w:rPr>
            </w:pPr>
          </w:p>
        </w:tc>
        <w:tc>
          <w:tcPr>
            <w:tcW w:w="566" w:type="dxa"/>
            <w:vMerge w:val="continue"/>
            <w:tcBorders>
              <w:top w:val="single" w:color="auto" w:sz="8" w:space="0"/>
              <w:left w:val="single" w:color="000000" w:sz="4" w:space="0"/>
              <w:bottom w:val="single" w:color="000000" w:sz="4" w:space="0"/>
              <w:right w:val="single" w:color="000000" w:sz="4" w:space="0"/>
            </w:tcBorders>
            <w:noWrap w:val="0"/>
            <w:vAlign w:val="center"/>
          </w:tcPr>
          <w:p>
            <w:pPr>
              <w:widowControl/>
              <w:jc w:val="left"/>
              <w:rPr>
                <w:rFonts w:ascii="Times New Roman" w:eastAsia="方正黑体_GBK"/>
                <w:color w:val="000000"/>
                <w:spacing w:val="-2"/>
                <w:kern w:val="0"/>
                <w:sz w:val="18"/>
                <w:szCs w:val="18"/>
                <w:lang w:eastAsia="en-US"/>
              </w:rPr>
            </w:pPr>
          </w:p>
        </w:tc>
        <w:tc>
          <w:tcPr>
            <w:tcW w:w="659" w:type="dxa"/>
            <w:tcBorders>
              <w:top w:val="single" w:color="auto" w:sz="4" w:space="0"/>
              <w:left w:val="single" w:color="000000"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投标</w:t>
            </w:r>
          </w:p>
        </w:tc>
        <w:tc>
          <w:tcPr>
            <w:tcW w:w="630" w:type="dxa"/>
            <w:tcBorders>
              <w:top w:val="single" w:color="auto"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确认</w:t>
            </w:r>
          </w:p>
        </w:tc>
        <w:tc>
          <w:tcPr>
            <w:tcW w:w="574" w:type="dxa"/>
            <w:tcBorders>
              <w:top w:val="single" w:color="auto"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单价</w:t>
            </w:r>
          </w:p>
        </w:tc>
        <w:tc>
          <w:tcPr>
            <w:tcW w:w="525" w:type="dxa"/>
            <w:tcBorders>
              <w:top w:val="single" w:color="auto"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合价</w:t>
            </w:r>
          </w:p>
        </w:tc>
        <w:tc>
          <w:tcPr>
            <w:tcW w:w="549" w:type="dxa"/>
            <w:tcBorders>
              <w:top w:val="single" w:color="auto"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单价</w:t>
            </w:r>
          </w:p>
        </w:tc>
        <w:tc>
          <w:tcPr>
            <w:tcW w:w="485" w:type="dxa"/>
            <w:tcBorders>
              <w:top w:val="single" w:color="auto" w:sz="4" w:space="0"/>
              <w:left w:val="single" w:color="auto" w:sz="4" w:space="0"/>
              <w:bottom w:val="single" w:color="000000" w:sz="4" w:space="0"/>
              <w:right w:val="single" w:color="000000"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合价</w:t>
            </w:r>
          </w:p>
        </w:tc>
        <w:tc>
          <w:tcPr>
            <w:tcW w:w="525" w:type="dxa"/>
            <w:tcBorders>
              <w:top w:val="single" w:color="auto" w:sz="4" w:space="0"/>
              <w:left w:val="single" w:color="000000"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单价</w:t>
            </w:r>
          </w:p>
        </w:tc>
        <w:tc>
          <w:tcPr>
            <w:tcW w:w="525" w:type="dxa"/>
            <w:tcBorders>
              <w:top w:val="single" w:color="auto"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合价</w:t>
            </w:r>
          </w:p>
        </w:tc>
        <w:tc>
          <w:tcPr>
            <w:tcW w:w="696" w:type="dxa"/>
            <w:vMerge w:val="continue"/>
            <w:tcBorders>
              <w:top w:val="single" w:color="auto" w:sz="8" w:space="0"/>
              <w:left w:val="single" w:color="auto" w:sz="4" w:space="0"/>
              <w:bottom w:val="single" w:color="000000" w:sz="4" w:space="0"/>
              <w:right w:val="single" w:color="auto" w:sz="8" w:space="0"/>
            </w:tcBorders>
            <w:noWrap w:val="0"/>
            <w:vAlign w:val="center"/>
          </w:tcPr>
          <w:p>
            <w:pPr>
              <w:widowControl/>
              <w:jc w:val="left"/>
              <w:rPr>
                <w:rFonts w:ascii="Times New Roman" w:eastAsia="方正黑体_GBK"/>
                <w:color w:val="000000"/>
                <w:spacing w:val="-2"/>
                <w:kern w:val="0"/>
                <w:sz w:val="18"/>
                <w:szCs w:val="18"/>
                <w:lang w:eastAsia="en-US"/>
              </w:rPr>
            </w:pPr>
          </w:p>
        </w:tc>
      </w:tr>
      <w:tr>
        <w:tblPrEx>
          <w:tblCellMar>
            <w:top w:w="0" w:type="dxa"/>
            <w:left w:w="0" w:type="dxa"/>
            <w:bottom w:w="0" w:type="dxa"/>
            <w:right w:w="0" w:type="dxa"/>
          </w:tblCellMar>
        </w:tblPrEx>
        <w:trPr>
          <w:trHeight w:val="775" w:hRule="exact"/>
          <w:jc w:val="center"/>
        </w:trPr>
        <w:tc>
          <w:tcPr>
            <w:tcW w:w="648" w:type="dxa"/>
            <w:tcBorders>
              <w:top w:val="single" w:color="000000" w:sz="4" w:space="0"/>
              <w:left w:val="single" w:color="auto" w:sz="8" w:space="0"/>
              <w:bottom w:val="single" w:color="000000" w:sz="4" w:space="0"/>
              <w:right w:val="single" w:color="000000" w:sz="4" w:space="0"/>
            </w:tcBorders>
            <w:noWrap w:val="0"/>
            <w:tcMar>
              <w:top w:w="28" w:type="dxa"/>
              <w:left w:w="28" w:type="dxa"/>
              <w:bottom w:w="28" w:type="dxa"/>
              <w:right w:w="28" w:type="dxa"/>
            </w:tcMar>
            <w:vAlign w:val="center"/>
          </w:tcPr>
          <w:p>
            <w:pPr>
              <w:spacing w:line="300" w:lineRule="exact"/>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tcMar>
              <w:top w:w="28" w:type="dxa"/>
              <w:left w:w="28" w:type="dxa"/>
              <w:bottom w:w="28" w:type="dxa"/>
              <w:right w:w="28" w:type="dxa"/>
            </w:tcMar>
            <w:vAlign w:val="top"/>
          </w:tcPr>
          <w:p>
            <w:pPr>
              <w:spacing w:line="300" w:lineRule="exact"/>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tcMar>
              <w:top w:w="28" w:type="dxa"/>
              <w:left w:w="28" w:type="dxa"/>
              <w:bottom w:w="28" w:type="dxa"/>
              <w:right w:w="28" w:type="dxa"/>
            </w:tcMar>
            <w:vAlign w:val="center"/>
          </w:tcPr>
          <w:p>
            <w:pPr>
              <w:spacing w:line="300" w:lineRule="exact"/>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tcMar>
              <w:top w:w="28" w:type="dxa"/>
              <w:left w:w="28" w:type="dxa"/>
              <w:bottom w:w="28" w:type="dxa"/>
              <w:right w:w="28" w:type="dxa"/>
            </w:tcMar>
            <w:vAlign w:val="center"/>
          </w:tcPr>
          <w:p>
            <w:pPr>
              <w:spacing w:line="300" w:lineRule="exact"/>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tcMar>
              <w:top w:w="28" w:type="dxa"/>
              <w:left w:w="28" w:type="dxa"/>
              <w:bottom w:w="28" w:type="dxa"/>
              <w:right w:w="28" w:type="dxa"/>
            </w:tcMar>
            <w:vAlign w:val="center"/>
          </w:tcPr>
          <w:p>
            <w:pPr>
              <w:spacing w:line="300" w:lineRule="exact"/>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tcMar>
              <w:top w:w="28" w:type="dxa"/>
              <w:left w:w="28" w:type="dxa"/>
              <w:bottom w:w="28" w:type="dxa"/>
              <w:right w:w="28" w:type="dxa"/>
            </w:tcMar>
            <w:vAlign w:val="center"/>
          </w:tcPr>
          <w:p>
            <w:pPr>
              <w:spacing w:line="300" w:lineRule="exact"/>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tcMar>
              <w:top w:w="28" w:type="dxa"/>
              <w:left w:w="28" w:type="dxa"/>
              <w:bottom w:w="28" w:type="dxa"/>
              <w:right w:w="28" w:type="dxa"/>
            </w:tcMar>
            <w:vAlign w:val="center"/>
          </w:tcPr>
          <w:p>
            <w:pPr>
              <w:spacing w:line="300" w:lineRule="exact"/>
              <w:rPr>
                <w:color w:val="000000"/>
                <w:spacing w:val="-2"/>
              </w:rPr>
            </w:pPr>
          </w:p>
        </w:tc>
      </w:tr>
      <w:tr>
        <w:tblPrEx>
          <w:tblCellMar>
            <w:top w:w="0" w:type="dxa"/>
            <w:left w:w="0" w:type="dxa"/>
            <w:bottom w:w="0" w:type="dxa"/>
            <w:right w:w="0" w:type="dxa"/>
          </w:tblCellMar>
        </w:tblPrEx>
        <w:trPr>
          <w:trHeight w:val="775"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776"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775"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775"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773"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775"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776"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775"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775"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775" w:hRule="exact"/>
          <w:jc w:val="center"/>
        </w:trPr>
        <w:tc>
          <w:tcPr>
            <w:tcW w:w="648"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rPr>
            </w:pPr>
          </w:p>
        </w:tc>
        <w:tc>
          <w:tcPr>
            <w:tcW w:w="1060"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78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566"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59"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630"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74"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549"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485" w:type="dxa"/>
            <w:tcBorders>
              <w:top w:val="single" w:color="000000" w:sz="4" w:space="0"/>
              <w:left w:val="single" w:color="auto" w:sz="4" w:space="0"/>
              <w:bottom w:val="single" w:color="000000" w:sz="4" w:space="0"/>
              <w:right w:val="single" w:color="000000" w:sz="4" w:space="0"/>
            </w:tcBorders>
            <w:noWrap w:val="0"/>
            <w:vAlign w:val="center"/>
          </w:tcPr>
          <w:p>
            <w:pPr>
              <w:rPr>
                <w:color w:val="000000"/>
                <w:spacing w:val="-2"/>
              </w:rPr>
            </w:pPr>
          </w:p>
        </w:tc>
        <w:tc>
          <w:tcPr>
            <w:tcW w:w="525" w:type="dxa"/>
            <w:tcBorders>
              <w:top w:val="single" w:color="000000" w:sz="4" w:space="0"/>
              <w:left w:val="single" w:color="000000" w:sz="4" w:space="0"/>
              <w:bottom w:val="single" w:color="000000" w:sz="4" w:space="0"/>
              <w:right w:val="single" w:color="auto" w:sz="4" w:space="0"/>
            </w:tcBorders>
            <w:noWrap w:val="0"/>
            <w:vAlign w:val="center"/>
          </w:tcPr>
          <w:p>
            <w:pPr>
              <w:rPr>
                <w:color w:val="000000"/>
                <w:spacing w:val="-2"/>
              </w:rPr>
            </w:pPr>
          </w:p>
        </w:tc>
        <w:tc>
          <w:tcPr>
            <w:tcW w:w="525" w:type="dxa"/>
            <w:tcBorders>
              <w:top w:val="single" w:color="000000" w:sz="4" w:space="0"/>
              <w:left w:val="single" w:color="auto" w:sz="4" w:space="0"/>
              <w:bottom w:val="single" w:color="000000" w:sz="4"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577" w:hRule="exact"/>
          <w:jc w:val="center"/>
        </w:trPr>
        <w:tc>
          <w:tcPr>
            <w:tcW w:w="5350" w:type="dxa"/>
            <w:gridSpan w:val="6"/>
            <w:tcBorders>
              <w:top w:val="single" w:color="000000" w:sz="4" w:space="0"/>
              <w:left w:val="single" w:color="auto" w:sz="8" w:space="0"/>
              <w:bottom w:val="single" w:color="auto" w:sz="8" w:space="0"/>
              <w:right w:val="single" w:color="auto" w:sz="4" w:space="0"/>
            </w:tcBorders>
            <w:noWrap w:val="0"/>
            <w:vAlign w:val="center"/>
          </w:tcPr>
          <w:p>
            <w:pPr>
              <w:jc w:val="center"/>
              <w:rPr>
                <w:color w:val="000000"/>
                <w:spacing w:val="-2"/>
              </w:rPr>
            </w:pPr>
            <w:r>
              <w:rPr>
                <w:rFonts w:hint="eastAsia"/>
                <w:color w:val="000000"/>
                <w:spacing w:val="-2"/>
              </w:rPr>
              <w:t>合计</w:t>
            </w:r>
          </w:p>
        </w:tc>
        <w:tc>
          <w:tcPr>
            <w:tcW w:w="1099" w:type="dxa"/>
            <w:gridSpan w:val="2"/>
            <w:tcBorders>
              <w:top w:val="single" w:color="000000" w:sz="4" w:space="0"/>
              <w:left w:val="single" w:color="auto" w:sz="4" w:space="0"/>
              <w:bottom w:val="single" w:color="auto" w:sz="8" w:space="0"/>
              <w:right w:val="single" w:color="auto" w:sz="4" w:space="0"/>
            </w:tcBorders>
            <w:noWrap w:val="0"/>
            <w:vAlign w:val="center"/>
          </w:tcPr>
          <w:p>
            <w:pPr>
              <w:rPr>
                <w:color w:val="000000"/>
                <w:spacing w:val="-2"/>
              </w:rPr>
            </w:pPr>
          </w:p>
        </w:tc>
        <w:tc>
          <w:tcPr>
            <w:tcW w:w="1034" w:type="dxa"/>
            <w:gridSpan w:val="2"/>
            <w:tcBorders>
              <w:top w:val="single" w:color="000000" w:sz="4" w:space="0"/>
              <w:left w:val="single" w:color="auto" w:sz="4" w:space="0"/>
              <w:bottom w:val="single" w:color="auto" w:sz="8" w:space="0"/>
              <w:right w:val="single" w:color="000000" w:sz="4" w:space="0"/>
            </w:tcBorders>
            <w:noWrap w:val="0"/>
            <w:vAlign w:val="center"/>
          </w:tcPr>
          <w:p>
            <w:pPr>
              <w:rPr>
                <w:color w:val="000000"/>
                <w:spacing w:val="-2"/>
              </w:rPr>
            </w:pPr>
          </w:p>
        </w:tc>
        <w:tc>
          <w:tcPr>
            <w:tcW w:w="1050" w:type="dxa"/>
            <w:gridSpan w:val="2"/>
            <w:tcBorders>
              <w:top w:val="single" w:color="000000" w:sz="4" w:space="0"/>
              <w:left w:val="single" w:color="000000" w:sz="4" w:space="0"/>
              <w:bottom w:val="single" w:color="auto" w:sz="8" w:space="0"/>
              <w:right w:val="single" w:color="auto" w:sz="4" w:space="0"/>
            </w:tcBorders>
            <w:noWrap w:val="0"/>
            <w:vAlign w:val="center"/>
          </w:tcPr>
          <w:p>
            <w:pPr>
              <w:rPr>
                <w:color w:val="000000"/>
                <w:spacing w:val="-2"/>
              </w:rPr>
            </w:pPr>
          </w:p>
        </w:tc>
        <w:tc>
          <w:tcPr>
            <w:tcW w:w="696" w:type="dxa"/>
            <w:tcBorders>
              <w:top w:val="single" w:color="000000" w:sz="4" w:space="0"/>
              <w:left w:val="single" w:color="auto" w:sz="4" w:space="0"/>
              <w:bottom w:val="single" w:color="auto" w:sz="8" w:space="0"/>
              <w:right w:val="single" w:color="auto" w:sz="8" w:space="0"/>
            </w:tcBorders>
            <w:noWrap w:val="0"/>
            <w:vAlign w:val="center"/>
          </w:tcPr>
          <w:p>
            <w:pPr>
              <w:rPr>
                <w:color w:val="000000"/>
                <w:spacing w:val="-2"/>
              </w:rPr>
            </w:pPr>
          </w:p>
        </w:tc>
      </w:tr>
    </w:tbl>
    <w:p>
      <w:pPr>
        <w:spacing w:line="243" w:lineRule="exact"/>
        <w:ind w:firstLine="258" w:firstLineChars="150"/>
        <w:rPr>
          <w:rFonts w:hAnsi="Times New Roman" w:cs="宋体"/>
          <w:color w:val="000000"/>
          <w:spacing w:val="-2"/>
          <w:sz w:val="18"/>
          <w:szCs w:val="18"/>
        </w:rPr>
      </w:pPr>
    </w:p>
    <w:p>
      <w:pPr>
        <w:spacing w:line="243" w:lineRule="exact"/>
        <w:ind w:firstLine="258" w:firstLineChars="150"/>
        <w:rPr>
          <w:rFonts w:cs="宋体"/>
          <w:color w:val="000000"/>
          <w:spacing w:val="-2"/>
          <w:sz w:val="18"/>
          <w:szCs w:val="18"/>
        </w:rPr>
      </w:pPr>
      <w:r>
        <w:rPr>
          <w:rFonts w:hint="eastAsia" w:hAnsi="Times New Roman" w:cs="宋体"/>
          <w:color w:val="000000"/>
          <w:spacing w:val="-2"/>
          <w:sz w:val="18"/>
          <w:szCs w:val="18"/>
        </w:rPr>
        <w:t>注：</w:t>
      </w:r>
      <w:r>
        <w:rPr>
          <w:rFonts w:cs="宋体"/>
          <w:color w:val="000000"/>
          <w:spacing w:val="-2"/>
          <w:sz w:val="18"/>
          <w:szCs w:val="18"/>
        </w:rPr>
        <w:t>1</w:t>
      </w:r>
      <w:r>
        <w:rPr>
          <w:rFonts w:hint="eastAsia" w:hAnsi="Times New Roman" w:cs="宋体"/>
          <w:color w:val="000000"/>
          <w:spacing w:val="-2"/>
          <w:sz w:val="18"/>
          <w:szCs w:val="18"/>
        </w:rPr>
        <w:t>、此表由招标人填写</w:t>
      </w:r>
      <w:r>
        <w:rPr>
          <w:rFonts w:hint="eastAsia" w:cs="宋体"/>
          <w:color w:val="000000"/>
          <w:spacing w:val="-2"/>
          <w:sz w:val="18"/>
          <w:szCs w:val="18"/>
        </w:rPr>
        <w:t>“</w:t>
      </w:r>
      <w:r>
        <w:rPr>
          <w:rFonts w:hint="eastAsia" w:hAnsi="Times New Roman" w:cs="宋体"/>
          <w:color w:val="000000"/>
          <w:spacing w:val="-2"/>
          <w:sz w:val="18"/>
          <w:szCs w:val="18"/>
        </w:rPr>
        <w:t>材料编码</w:t>
      </w:r>
      <w:r>
        <w:rPr>
          <w:rFonts w:hint="eastAsia" w:cs="宋体"/>
          <w:color w:val="000000"/>
          <w:spacing w:val="-2"/>
          <w:sz w:val="18"/>
          <w:szCs w:val="18"/>
        </w:rPr>
        <w:t>”</w:t>
      </w:r>
      <w:r>
        <w:rPr>
          <w:rFonts w:hint="eastAsia" w:hAnsi="Times New Roman" w:cs="宋体"/>
          <w:color w:val="000000"/>
          <w:spacing w:val="-2"/>
          <w:sz w:val="18"/>
          <w:szCs w:val="18"/>
        </w:rPr>
        <w:t>、</w:t>
      </w:r>
      <w:r>
        <w:rPr>
          <w:rFonts w:hint="eastAsia" w:cs="宋体"/>
          <w:color w:val="000000"/>
          <w:spacing w:val="-2"/>
          <w:sz w:val="18"/>
          <w:szCs w:val="18"/>
        </w:rPr>
        <w:t>“</w:t>
      </w:r>
      <w:r>
        <w:rPr>
          <w:rFonts w:hint="eastAsia" w:hAnsi="Times New Roman" w:cs="宋体"/>
          <w:color w:val="000000"/>
          <w:spacing w:val="-2"/>
          <w:sz w:val="18"/>
          <w:szCs w:val="18"/>
        </w:rPr>
        <w:t>材料（工程设备）名称、规格、型号</w:t>
      </w:r>
      <w:r>
        <w:rPr>
          <w:rFonts w:hint="eastAsia" w:cs="宋体"/>
          <w:color w:val="000000"/>
          <w:spacing w:val="-2"/>
          <w:sz w:val="18"/>
          <w:szCs w:val="18"/>
        </w:rPr>
        <w:t>”</w:t>
      </w:r>
      <w:r>
        <w:rPr>
          <w:rFonts w:hint="eastAsia" w:hAnsi="Times New Roman" w:cs="宋体"/>
          <w:color w:val="000000"/>
          <w:spacing w:val="-2"/>
          <w:sz w:val="18"/>
          <w:szCs w:val="18"/>
        </w:rPr>
        <w:t>、</w:t>
      </w:r>
      <w:r>
        <w:rPr>
          <w:rFonts w:hint="eastAsia" w:cs="宋体"/>
          <w:color w:val="000000"/>
          <w:spacing w:val="-2"/>
          <w:sz w:val="18"/>
          <w:szCs w:val="18"/>
        </w:rPr>
        <w:t>“</w:t>
      </w:r>
      <w:r>
        <w:rPr>
          <w:rFonts w:hint="eastAsia" w:hAnsi="Times New Roman" w:cs="宋体"/>
          <w:color w:val="000000"/>
          <w:spacing w:val="-2"/>
          <w:sz w:val="18"/>
          <w:szCs w:val="18"/>
        </w:rPr>
        <w:t>计量单位</w:t>
      </w:r>
      <w:r>
        <w:rPr>
          <w:rFonts w:hint="eastAsia" w:cs="宋体"/>
          <w:color w:val="000000"/>
          <w:spacing w:val="-2"/>
          <w:sz w:val="18"/>
          <w:szCs w:val="18"/>
        </w:rPr>
        <w:t>”</w:t>
      </w:r>
      <w:r>
        <w:rPr>
          <w:rFonts w:hint="eastAsia" w:hAnsi="Times New Roman" w:cs="宋体"/>
          <w:color w:val="000000"/>
          <w:spacing w:val="-2"/>
          <w:sz w:val="18"/>
          <w:szCs w:val="18"/>
        </w:rPr>
        <w:t>、</w:t>
      </w:r>
      <w:r>
        <w:rPr>
          <w:rFonts w:hint="eastAsia" w:cs="宋体"/>
          <w:color w:val="000000"/>
          <w:spacing w:val="-2"/>
          <w:sz w:val="18"/>
          <w:szCs w:val="18"/>
        </w:rPr>
        <w:t>“</w:t>
      </w:r>
      <w:r>
        <w:rPr>
          <w:rFonts w:hint="eastAsia" w:hAnsi="Times New Roman" w:cs="宋体"/>
          <w:color w:val="000000"/>
          <w:spacing w:val="-2"/>
          <w:sz w:val="18"/>
          <w:szCs w:val="18"/>
        </w:rPr>
        <w:t>暂估单价</w:t>
      </w:r>
      <w:r>
        <w:rPr>
          <w:rFonts w:hint="eastAsia" w:cs="宋体"/>
          <w:color w:val="000000"/>
          <w:spacing w:val="-2"/>
          <w:sz w:val="18"/>
          <w:szCs w:val="18"/>
        </w:rPr>
        <w:t>”</w:t>
      </w:r>
      <w:r>
        <w:rPr>
          <w:rFonts w:hint="eastAsia" w:hAnsi="Times New Roman" w:cs="宋体"/>
          <w:color w:val="000000"/>
          <w:spacing w:val="-2"/>
          <w:sz w:val="18"/>
          <w:szCs w:val="18"/>
        </w:rPr>
        <w:t>，并在备注栏说明暂估价的材料、工程设备拟用在那些清单项目上，投标人应将上述材料、工程设备暂估单价计入工程量清单综合单价报价中，并填写</w:t>
      </w:r>
      <w:r>
        <w:rPr>
          <w:rFonts w:hint="eastAsia" w:cs="宋体"/>
          <w:color w:val="000000"/>
          <w:spacing w:val="-2"/>
          <w:sz w:val="18"/>
          <w:szCs w:val="18"/>
        </w:rPr>
        <w:t>“</w:t>
      </w:r>
      <w:r>
        <w:rPr>
          <w:rFonts w:hint="eastAsia" w:hAnsi="Times New Roman" w:cs="宋体"/>
          <w:color w:val="000000"/>
          <w:spacing w:val="-2"/>
          <w:sz w:val="18"/>
          <w:szCs w:val="18"/>
        </w:rPr>
        <w:t>数量</w:t>
      </w:r>
      <w:r>
        <w:rPr>
          <w:rFonts w:hint="eastAsia" w:cs="宋体"/>
          <w:color w:val="000000"/>
          <w:spacing w:val="-2"/>
          <w:sz w:val="18"/>
          <w:szCs w:val="18"/>
        </w:rPr>
        <w:t>”</w:t>
      </w:r>
      <w:r>
        <w:rPr>
          <w:rFonts w:hint="eastAsia" w:hAnsi="Times New Roman" w:cs="宋体"/>
          <w:color w:val="000000"/>
          <w:spacing w:val="-2"/>
          <w:sz w:val="18"/>
          <w:szCs w:val="18"/>
        </w:rPr>
        <w:t>中的</w:t>
      </w:r>
      <w:r>
        <w:rPr>
          <w:rFonts w:hint="eastAsia" w:cs="宋体"/>
          <w:color w:val="000000"/>
          <w:spacing w:val="-2"/>
          <w:sz w:val="18"/>
          <w:szCs w:val="18"/>
        </w:rPr>
        <w:t>“</w:t>
      </w:r>
      <w:r>
        <w:rPr>
          <w:rFonts w:hint="eastAsia" w:hAnsi="Times New Roman" w:cs="宋体"/>
          <w:color w:val="000000"/>
          <w:spacing w:val="-2"/>
          <w:sz w:val="18"/>
          <w:szCs w:val="18"/>
        </w:rPr>
        <w:t>投标</w:t>
      </w:r>
      <w:r>
        <w:rPr>
          <w:rFonts w:hint="eastAsia" w:cs="宋体"/>
          <w:color w:val="000000"/>
          <w:spacing w:val="-2"/>
          <w:sz w:val="18"/>
          <w:szCs w:val="18"/>
        </w:rPr>
        <w:t>”</w:t>
      </w:r>
      <w:r>
        <w:rPr>
          <w:rFonts w:hint="eastAsia" w:hAnsi="Times New Roman" w:cs="宋体"/>
          <w:color w:val="000000"/>
          <w:spacing w:val="-2"/>
          <w:sz w:val="18"/>
          <w:szCs w:val="18"/>
        </w:rPr>
        <w:t>和</w:t>
      </w:r>
      <w:r>
        <w:rPr>
          <w:rFonts w:hint="eastAsia" w:cs="宋体"/>
          <w:color w:val="000000"/>
          <w:spacing w:val="-2"/>
          <w:sz w:val="18"/>
          <w:szCs w:val="18"/>
        </w:rPr>
        <w:t>“</w:t>
      </w:r>
      <w:r>
        <w:rPr>
          <w:rFonts w:hint="eastAsia" w:hAnsi="Times New Roman" w:cs="宋体"/>
          <w:color w:val="000000"/>
          <w:spacing w:val="-2"/>
          <w:sz w:val="18"/>
          <w:szCs w:val="18"/>
        </w:rPr>
        <w:t>暂估合价</w:t>
      </w:r>
      <w:r>
        <w:rPr>
          <w:rFonts w:hint="eastAsia" w:cs="宋体"/>
          <w:color w:val="000000"/>
          <w:spacing w:val="-2"/>
          <w:sz w:val="18"/>
          <w:szCs w:val="18"/>
        </w:rPr>
        <w:t>”</w:t>
      </w:r>
      <w:r>
        <w:rPr>
          <w:rFonts w:cs="宋体"/>
          <w:color w:val="000000"/>
          <w:spacing w:val="-2"/>
          <w:sz w:val="18"/>
          <w:szCs w:val="18"/>
        </w:rPr>
        <w:t xml:space="preserve"> </w:t>
      </w:r>
      <w:r>
        <w:rPr>
          <w:rFonts w:hint="eastAsia" w:hAnsi="Times New Roman" w:cs="宋体"/>
          <w:color w:val="000000"/>
          <w:spacing w:val="-2"/>
          <w:sz w:val="18"/>
          <w:szCs w:val="18"/>
        </w:rPr>
        <w:t>列。</w:t>
      </w:r>
    </w:p>
    <w:p>
      <w:pPr>
        <w:spacing w:line="243" w:lineRule="exact"/>
        <w:ind w:firstLine="258" w:firstLineChars="150"/>
        <w:rPr>
          <w:color w:val="000000"/>
          <w:spacing w:val="-2"/>
          <w:sz w:val="18"/>
          <w:szCs w:val="18"/>
        </w:rPr>
      </w:pPr>
      <w:r>
        <w:rPr>
          <w:rFonts w:cs="宋体"/>
          <w:color w:val="000000"/>
          <w:spacing w:val="-2"/>
          <w:sz w:val="18"/>
          <w:szCs w:val="18"/>
        </w:rPr>
        <w:t>2</w:t>
      </w:r>
      <w:r>
        <w:rPr>
          <w:rFonts w:hint="eastAsia" w:hAnsi="Times New Roman" w:cs="宋体"/>
          <w:color w:val="000000"/>
          <w:spacing w:val="-2"/>
          <w:sz w:val="18"/>
          <w:szCs w:val="18"/>
        </w:rPr>
        <w:t>、此表中所列暂估材料（工程设备）为暂时不能确定价格的材料（工程设备），不包含发包人供应材料（工程设备）。</w:t>
      </w:r>
    </w:p>
    <w:p>
      <w:pPr>
        <w:spacing w:line="243" w:lineRule="exact"/>
        <w:jc w:val="right"/>
        <w:rPr>
          <w:rFonts w:cs="宋体"/>
          <w:color w:val="000000"/>
          <w:spacing w:val="-2"/>
          <w:sz w:val="18"/>
          <w:szCs w:val="18"/>
        </w:rPr>
      </w:pPr>
      <w:r>
        <w:rPr>
          <w:rFonts w:hint="eastAsia" w:hAnsi="Times New Roman" w:cs="宋体"/>
          <w:color w:val="000000"/>
          <w:spacing w:val="-2"/>
          <w:sz w:val="18"/>
          <w:szCs w:val="18"/>
        </w:rPr>
        <w:t>表</w:t>
      </w:r>
      <w:r>
        <w:rPr>
          <w:color w:val="000000"/>
          <w:spacing w:val="-2"/>
          <w:sz w:val="18"/>
          <w:szCs w:val="18"/>
        </w:rPr>
        <w:t>-12-2</w:t>
      </w:r>
    </w:p>
    <w:p>
      <w:pPr>
        <w:spacing w:line="243" w:lineRule="exact"/>
        <w:jc w:val="center"/>
        <w:rPr>
          <w:rFonts w:ascii="Times New Roman" w:eastAsia="方正黑体_GBK" w:cs="宋体"/>
          <w:color w:val="000000"/>
          <w:spacing w:val="-2"/>
          <w:kern w:val="0"/>
          <w:sz w:val="24"/>
        </w:rPr>
      </w:pPr>
    </w:p>
    <w:p>
      <w:pPr>
        <w:spacing w:line="243" w:lineRule="exact"/>
        <w:jc w:val="center"/>
        <w:rPr>
          <w:rFonts w:hint="eastAsia" w:ascii="Times New Roman" w:eastAsia="方正黑体_GBK" w:cs="宋体"/>
          <w:color w:val="000000"/>
          <w:spacing w:val="-2"/>
          <w:kern w:val="0"/>
          <w:sz w:val="24"/>
        </w:rPr>
      </w:pPr>
    </w:p>
    <w:p>
      <w:pPr>
        <w:spacing w:line="243" w:lineRule="exact"/>
        <w:jc w:val="center"/>
        <w:rPr>
          <w:rFonts w:hint="eastAsia" w:ascii="Times New Roman" w:eastAsia="方正黑体_GBK" w:cs="宋体"/>
          <w:color w:val="000000"/>
          <w:spacing w:val="-2"/>
          <w:kern w:val="0"/>
          <w:sz w:val="24"/>
        </w:rPr>
      </w:pPr>
      <w:r>
        <w:rPr>
          <w:rFonts w:hint="eastAsia" w:ascii="Times New Roman" w:eastAsia="方正黑体_GBK" w:cs="宋体"/>
          <w:color w:val="000000"/>
          <w:spacing w:val="-2"/>
          <w:kern w:val="0"/>
          <w:sz w:val="24"/>
        </w:rPr>
        <w:t>附录H</w:t>
      </w:r>
      <w:r>
        <w:rPr>
          <w:rFonts w:hint="eastAsia" w:ascii="Times New Roman" w:eastAsia="方正黑体_GBK" w:cs="宋体"/>
          <w:color w:val="000000"/>
          <w:spacing w:val="-2"/>
          <w:kern w:val="0"/>
          <w:sz w:val="24"/>
        </w:rPr>
        <w:tab/>
      </w:r>
      <w:r>
        <w:rPr>
          <w:rFonts w:hint="eastAsia" w:ascii="Times New Roman" w:eastAsia="方正黑体_GBK" w:cs="宋体"/>
          <w:color w:val="000000"/>
          <w:spacing w:val="-2"/>
          <w:kern w:val="0"/>
          <w:sz w:val="24"/>
        </w:rPr>
        <w:t>规费、税金项目计价表</w:t>
      </w:r>
      <w:bookmarkEnd w:id="681"/>
      <w:bookmarkEnd w:id="682"/>
      <w:bookmarkEnd w:id="683"/>
    </w:p>
    <w:p>
      <w:pPr>
        <w:spacing w:before="19" w:line="200" w:lineRule="exact"/>
        <w:rPr>
          <w:rFonts w:hint="eastAsia"/>
          <w:color w:val="000000"/>
          <w:spacing w:val="-2"/>
          <w:sz w:val="20"/>
        </w:rPr>
      </w:pPr>
    </w:p>
    <w:p>
      <w:pPr>
        <w:tabs>
          <w:tab w:val="left" w:pos="4094"/>
          <w:tab w:val="left" w:pos="7455"/>
          <w:tab w:val="left" w:pos="7981"/>
          <w:tab w:val="left" w:pos="8715"/>
        </w:tabs>
        <w:spacing w:after="120"/>
        <w:ind w:firstLine="101" w:firstLineChars="50"/>
        <w:rPr>
          <w:rFonts w:ascii="Times New Roman" w:eastAsia="方正仿宋_GBK"/>
          <w:color w:val="000000"/>
          <w:spacing w:val="-2"/>
        </w:rPr>
      </w:pPr>
      <w:r>
        <w:rPr>
          <w:rFonts w:hint="eastAsia" w:ascii="Times New Roman" w:eastAsia="方正仿宋_GBK"/>
          <w:color w:val="000000"/>
          <w:spacing w:val="-2"/>
        </w:rPr>
        <w:t>工程名称：                               标段：                        第  页  共  页</w:t>
      </w:r>
    </w:p>
    <w:p>
      <w:pPr>
        <w:spacing w:before="9" w:line="40" w:lineRule="exact"/>
        <w:rPr>
          <w:rFonts w:hint="eastAsia"/>
          <w:color w:val="000000"/>
          <w:spacing w:val="-2"/>
          <w:sz w:val="4"/>
          <w:szCs w:val="4"/>
        </w:rPr>
      </w:pPr>
    </w:p>
    <w:tbl>
      <w:tblPr>
        <w:tblStyle w:val="12"/>
        <w:tblW w:w="0" w:type="auto"/>
        <w:jc w:val="center"/>
        <w:tblLayout w:type="fixed"/>
        <w:tblCellMar>
          <w:top w:w="0" w:type="dxa"/>
          <w:left w:w="0" w:type="dxa"/>
          <w:bottom w:w="0" w:type="dxa"/>
          <w:right w:w="0" w:type="dxa"/>
        </w:tblCellMar>
      </w:tblPr>
      <w:tblGrid>
        <w:gridCol w:w="740"/>
        <w:gridCol w:w="2458"/>
        <w:gridCol w:w="2211"/>
        <w:gridCol w:w="1134"/>
        <w:gridCol w:w="1134"/>
        <w:gridCol w:w="1042"/>
      </w:tblGrid>
      <w:tr>
        <w:tblPrEx>
          <w:tblCellMar>
            <w:top w:w="0" w:type="dxa"/>
            <w:left w:w="0" w:type="dxa"/>
            <w:bottom w:w="0" w:type="dxa"/>
            <w:right w:w="0" w:type="dxa"/>
          </w:tblCellMar>
        </w:tblPrEx>
        <w:trPr>
          <w:trHeight w:val="888" w:hRule="exact"/>
          <w:jc w:val="center"/>
        </w:trPr>
        <w:tc>
          <w:tcPr>
            <w:tcW w:w="740" w:type="dxa"/>
            <w:tcBorders>
              <w:top w:val="single" w:color="auto" w:sz="8" w:space="0"/>
              <w:left w:val="single" w:color="auto" w:sz="8" w:space="0"/>
              <w:bottom w:val="single" w:color="000000" w:sz="4" w:space="0"/>
              <w:right w:val="single" w:color="000000" w:sz="4"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lang w:eastAsia="en-US"/>
              </w:rPr>
              <w:t>序号</w:t>
            </w:r>
          </w:p>
        </w:tc>
        <w:tc>
          <w:tcPr>
            <w:tcW w:w="2458" w:type="dxa"/>
            <w:tcBorders>
              <w:top w:val="single" w:color="auto" w:sz="8" w:space="0"/>
              <w:left w:val="single" w:color="000000" w:sz="4" w:space="0"/>
              <w:bottom w:val="single" w:color="000000" w:sz="4" w:space="0"/>
              <w:right w:val="single" w:color="000000" w:sz="4"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lang w:eastAsia="en-US"/>
              </w:rPr>
              <w:t>项目名称</w:t>
            </w:r>
          </w:p>
        </w:tc>
        <w:tc>
          <w:tcPr>
            <w:tcW w:w="2211" w:type="dxa"/>
            <w:tcBorders>
              <w:top w:val="single" w:color="auto" w:sz="8" w:space="0"/>
              <w:left w:val="single" w:color="000000" w:sz="4" w:space="0"/>
              <w:bottom w:val="single" w:color="000000" w:sz="4" w:space="0"/>
              <w:right w:val="single" w:color="000000" w:sz="4"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lang w:eastAsia="en-US"/>
              </w:rPr>
              <w:t>计算基础</w:t>
            </w:r>
          </w:p>
        </w:tc>
        <w:tc>
          <w:tcPr>
            <w:tcW w:w="1134" w:type="dxa"/>
            <w:tcBorders>
              <w:top w:val="single" w:color="auto" w:sz="8" w:space="0"/>
              <w:left w:val="single" w:color="000000" w:sz="4" w:space="0"/>
              <w:bottom w:val="single" w:color="000000" w:sz="4" w:space="0"/>
              <w:right w:val="single" w:color="000000" w:sz="6" w:space="0"/>
            </w:tcBorders>
            <w:noWrap w:val="0"/>
            <w:tcMar>
              <w:top w:w="108" w:type="dxa"/>
              <w:left w:w="108" w:type="dxa"/>
              <w:bottom w:w="108" w:type="dxa"/>
              <w:right w:w="108" w:type="dxa"/>
            </w:tcMar>
            <w:vAlign w:val="center"/>
          </w:tcPr>
          <w:p>
            <w:pPr>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计算基数</w:t>
            </w:r>
          </w:p>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（元）</w:t>
            </w:r>
          </w:p>
        </w:tc>
        <w:tc>
          <w:tcPr>
            <w:tcW w:w="1134" w:type="dxa"/>
            <w:tcBorders>
              <w:top w:val="single" w:color="auto" w:sz="8" w:space="0"/>
              <w:left w:val="single" w:color="000000" w:sz="6" w:space="0"/>
              <w:bottom w:val="single" w:color="000000" w:sz="4" w:space="0"/>
              <w:right w:val="single" w:color="000000" w:sz="4"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rPr>
              <w:t>计算</w:t>
            </w:r>
            <w:r>
              <w:rPr>
                <w:rFonts w:hint="eastAsia" w:ascii="Times New Roman" w:hAnsi="Times New Roman" w:eastAsia="方正黑体_GBK" w:cs="宋体"/>
                <w:color w:val="000000"/>
                <w:spacing w:val="-2"/>
                <w:kern w:val="0"/>
                <w:sz w:val="18"/>
                <w:szCs w:val="18"/>
                <w:lang w:eastAsia="en-US"/>
              </w:rPr>
              <w:t>费率（</w:t>
            </w:r>
            <w:r>
              <w:rPr>
                <w:rFonts w:hint="eastAsia" w:ascii="Times New Roman" w:eastAsia="方正黑体_GBK" w:cs="宋体"/>
                <w:color w:val="000000"/>
                <w:spacing w:val="-2"/>
                <w:kern w:val="0"/>
                <w:sz w:val="18"/>
                <w:szCs w:val="18"/>
                <w:lang w:eastAsia="en-US"/>
              </w:rPr>
              <w:t>%</w:t>
            </w:r>
            <w:r>
              <w:rPr>
                <w:rFonts w:hint="eastAsia" w:ascii="Times New Roman" w:hAnsi="Times New Roman" w:eastAsia="方正黑体_GBK" w:cs="宋体"/>
                <w:color w:val="000000"/>
                <w:spacing w:val="-2"/>
                <w:kern w:val="0"/>
                <w:sz w:val="18"/>
                <w:szCs w:val="18"/>
                <w:lang w:eastAsia="en-US"/>
              </w:rPr>
              <w:t>）</w:t>
            </w:r>
          </w:p>
        </w:tc>
        <w:tc>
          <w:tcPr>
            <w:tcW w:w="1042" w:type="dxa"/>
            <w:tcBorders>
              <w:top w:val="single" w:color="auto" w:sz="8" w:space="0"/>
              <w:left w:val="single" w:color="000000" w:sz="4" w:space="0"/>
              <w:bottom w:val="single" w:color="000000" w:sz="4" w:space="0"/>
              <w:right w:val="single" w:color="auto" w:sz="8" w:space="0"/>
            </w:tcBorders>
            <w:noWrap w:val="0"/>
            <w:tcMar>
              <w:top w:w="108" w:type="dxa"/>
              <w:left w:w="108" w:type="dxa"/>
              <w:bottom w:w="108" w:type="dxa"/>
              <w:right w:w="108" w:type="dxa"/>
            </w:tcMar>
            <w:vAlign w:val="center"/>
          </w:tcPr>
          <w:p>
            <w:pPr>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lang w:eastAsia="en-US"/>
              </w:rPr>
              <w:t>金额（元）</w:t>
            </w:r>
          </w:p>
        </w:tc>
      </w:tr>
      <w:tr>
        <w:tblPrEx>
          <w:tblCellMar>
            <w:top w:w="0" w:type="dxa"/>
            <w:left w:w="0" w:type="dxa"/>
            <w:bottom w:w="0" w:type="dxa"/>
            <w:right w:w="0" w:type="dxa"/>
          </w:tblCellMar>
        </w:tblPrEx>
        <w:trPr>
          <w:trHeight w:val="1166" w:hRule="exact"/>
          <w:jc w:val="center"/>
        </w:trPr>
        <w:tc>
          <w:tcPr>
            <w:tcW w:w="740" w:type="dxa"/>
            <w:tcBorders>
              <w:top w:val="single" w:color="000000" w:sz="4" w:space="0"/>
              <w:left w:val="single" w:color="auto" w:sz="8" w:space="0"/>
              <w:bottom w:val="single" w:color="000000" w:sz="4" w:space="0"/>
              <w:right w:val="single" w:color="000000" w:sz="4" w:space="0"/>
            </w:tcBorders>
            <w:noWrap w:val="0"/>
            <w:tcMar>
              <w:top w:w="108" w:type="dxa"/>
              <w:left w:w="108" w:type="dxa"/>
              <w:bottom w:w="108" w:type="dxa"/>
              <w:right w:w="108" w:type="dxa"/>
            </w:tcMar>
            <w:vAlign w:val="center"/>
          </w:tcPr>
          <w:p>
            <w:pPr>
              <w:jc w:val="center"/>
              <w:rPr>
                <w:rFonts w:cs="宋体"/>
                <w:color w:val="000000"/>
                <w:spacing w:val="-2"/>
                <w:kern w:val="0"/>
                <w:sz w:val="18"/>
                <w:szCs w:val="18"/>
                <w:lang w:eastAsia="en-US"/>
              </w:rPr>
            </w:pPr>
            <w:r>
              <w:rPr>
                <w:rFonts w:cs="宋体"/>
                <w:color w:val="000000"/>
                <w:spacing w:val="-2"/>
                <w:kern w:val="0"/>
                <w:sz w:val="18"/>
                <w:szCs w:val="18"/>
                <w:lang w:eastAsia="en-US"/>
              </w:rPr>
              <w:t>1</w:t>
            </w:r>
          </w:p>
        </w:tc>
        <w:tc>
          <w:tcPr>
            <w:tcW w:w="2458" w:type="dxa"/>
            <w:tcBorders>
              <w:top w:val="single" w:color="000000" w:sz="4" w:space="0"/>
              <w:left w:val="single" w:color="000000" w:sz="4" w:space="0"/>
              <w:bottom w:val="single" w:color="000000" w:sz="4" w:space="0"/>
              <w:right w:val="single" w:color="000000" w:sz="4" w:space="0"/>
            </w:tcBorders>
            <w:noWrap w:val="0"/>
            <w:tcMar>
              <w:top w:w="108" w:type="dxa"/>
              <w:left w:w="108" w:type="dxa"/>
              <w:bottom w:w="108" w:type="dxa"/>
              <w:right w:w="108" w:type="dxa"/>
            </w:tcMar>
            <w:vAlign w:val="center"/>
          </w:tcPr>
          <w:p>
            <w:pPr>
              <w:jc w:val="center"/>
              <w:rPr>
                <w:color w:val="000000"/>
                <w:spacing w:val="-2"/>
                <w:kern w:val="0"/>
                <w:sz w:val="18"/>
                <w:szCs w:val="18"/>
                <w:lang w:eastAsia="en-US"/>
              </w:rPr>
            </w:pPr>
            <w:r>
              <w:rPr>
                <w:rFonts w:hint="eastAsia" w:hAnsi="Times New Roman" w:cs="宋体"/>
                <w:color w:val="000000"/>
                <w:spacing w:val="-2"/>
                <w:kern w:val="0"/>
                <w:sz w:val="18"/>
                <w:szCs w:val="18"/>
                <w:lang w:eastAsia="en-US"/>
              </w:rPr>
              <w:t>规费</w:t>
            </w:r>
          </w:p>
        </w:tc>
        <w:tc>
          <w:tcPr>
            <w:tcW w:w="2211" w:type="dxa"/>
            <w:vMerge w:val="restart"/>
            <w:tcBorders>
              <w:top w:val="single" w:color="000000" w:sz="4" w:space="0"/>
              <w:left w:val="single" w:color="000000" w:sz="4" w:space="0"/>
              <w:bottom w:val="single" w:color="000000" w:sz="6" w:space="0"/>
              <w:right w:val="single" w:color="000000" w:sz="4" w:space="0"/>
            </w:tcBorders>
            <w:noWrap w:val="0"/>
            <w:tcMar>
              <w:top w:w="108" w:type="dxa"/>
              <w:left w:w="108" w:type="dxa"/>
              <w:bottom w:w="108" w:type="dxa"/>
              <w:right w:w="108" w:type="dxa"/>
            </w:tcMar>
            <w:vAlign w:val="center"/>
          </w:tcPr>
          <w:p>
            <w:pPr>
              <w:ind w:firstLine="172" w:firstLineChars="100"/>
              <w:jc w:val="center"/>
              <w:rPr>
                <w:rFonts w:cs="宋体"/>
                <w:color w:val="000000"/>
                <w:spacing w:val="-2"/>
                <w:sz w:val="18"/>
                <w:szCs w:val="18"/>
              </w:rPr>
            </w:pPr>
            <w:r>
              <w:rPr>
                <w:rFonts w:hint="eastAsia" w:hAnsi="Times New Roman" w:cs="宋体"/>
                <w:color w:val="000000"/>
                <w:spacing w:val="-2"/>
                <w:sz w:val="18"/>
                <w:szCs w:val="18"/>
              </w:rPr>
              <w:t>分部分项工程费</w:t>
            </w:r>
            <w:r>
              <w:rPr>
                <w:rFonts w:cs="宋体"/>
                <w:color w:val="000000"/>
                <w:spacing w:val="-2"/>
                <w:sz w:val="18"/>
                <w:szCs w:val="18"/>
              </w:rPr>
              <w:t>+</w:t>
            </w:r>
            <w:r>
              <w:rPr>
                <w:rFonts w:hint="eastAsia" w:hAnsi="Times New Roman" w:cs="宋体"/>
                <w:color w:val="000000"/>
                <w:spacing w:val="-2"/>
                <w:sz w:val="18"/>
                <w:szCs w:val="18"/>
              </w:rPr>
              <w:t>措施项目费</w:t>
            </w:r>
            <w:r>
              <w:rPr>
                <w:rFonts w:cs="宋体"/>
                <w:color w:val="000000"/>
                <w:spacing w:val="-2"/>
                <w:sz w:val="18"/>
                <w:szCs w:val="18"/>
              </w:rPr>
              <w:t>+</w:t>
            </w:r>
            <w:r>
              <w:rPr>
                <w:rFonts w:hint="eastAsia" w:hAnsi="Times New Roman" w:cs="宋体"/>
                <w:color w:val="000000"/>
                <w:spacing w:val="-2"/>
                <w:sz w:val="18"/>
                <w:szCs w:val="18"/>
              </w:rPr>
              <w:t>其他项目费</w:t>
            </w:r>
          </w:p>
          <w:p>
            <w:pPr>
              <w:ind w:firstLine="172" w:firstLineChars="100"/>
              <w:jc w:val="center"/>
              <w:rPr>
                <w:color w:val="000000"/>
                <w:spacing w:val="-2"/>
              </w:rPr>
            </w:pPr>
            <w:r>
              <w:rPr>
                <w:rFonts w:cs="宋体"/>
                <w:color w:val="000000"/>
                <w:spacing w:val="-2"/>
                <w:sz w:val="18"/>
                <w:szCs w:val="18"/>
              </w:rPr>
              <w:t>-</w:t>
            </w:r>
            <w:r>
              <w:rPr>
                <w:rFonts w:hint="eastAsia" w:hAnsi="Times New Roman" w:cs="宋体"/>
                <w:color w:val="000000"/>
                <w:spacing w:val="-2"/>
                <w:sz w:val="18"/>
                <w:szCs w:val="18"/>
              </w:rPr>
              <w:t>工程设备费</w:t>
            </w:r>
          </w:p>
        </w:tc>
        <w:tc>
          <w:tcPr>
            <w:tcW w:w="1134" w:type="dxa"/>
            <w:tcBorders>
              <w:top w:val="single" w:color="000000" w:sz="4" w:space="0"/>
              <w:left w:val="single" w:color="000000" w:sz="4" w:space="0"/>
              <w:bottom w:val="single" w:color="000000" w:sz="4" w:space="0"/>
              <w:right w:val="single" w:color="000000" w:sz="6" w:space="0"/>
            </w:tcBorders>
            <w:noWrap w:val="0"/>
            <w:tcMar>
              <w:top w:w="108" w:type="dxa"/>
              <w:left w:w="108" w:type="dxa"/>
              <w:bottom w:w="108" w:type="dxa"/>
              <w:right w:w="108" w:type="dxa"/>
            </w:tcMar>
            <w:vAlign w:val="center"/>
          </w:tcPr>
          <w:p>
            <w:pPr>
              <w:rPr>
                <w:color w:val="000000"/>
                <w:spacing w:val="-2"/>
              </w:rPr>
            </w:pPr>
          </w:p>
        </w:tc>
        <w:tc>
          <w:tcPr>
            <w:tcW w:w="1134" w:type="dxa"/>
            <w:tcBorders>
              <w:top w:val="single" w:color="000000" w:sz="4" w:space="0"/>
              <w:left w:val="single" w:color="000000" w:sz="6" w:space="0"/>
              <w:bottom w:val="single" w:color="000000" w:sz="4" w:space="0"/>
              <w:right w:val="single" w:color="000000" w:sz="4" w:space="0"/>
            </w:tcBorders>
            <w:noWrap w:val="0"/>
            <w:tcMar>
              <w:top w:w="108" w:type="dxa"/>
              <w:left w:w="108" w:type="dxa"/>
              <w:bottom w:w="108" w:type="dxa"/>
              <w:right w:w="108" w:type="dxa"/>
            </w:tcMar>
            <w:vAlign w:val="center"/>
          </w:tcPr>
          <w:p>
            <w:pPr>
              <w:rPr>
                <w:color w:val="000000"/>
                <w:spacing w:val="-2"/>
              </w:rPr>
            </w:pPr>
          </w:p>
        </w:tc>
        <w:tc>
          <w:tcPr>
            <w:tcW w:w="1042" w:type="dxa"/>
            <w:tcBorders>
              <w:top w:val="single" w:color="000000" w:sz="4" w:space="0"/>
              <w:left w:val="single" w:color="000000" w:sz="4" w:space="0"/>
              <w:bottom w:val="single" w:color="000000" w:sz="4" w:space="0"/>
              <w:right w:val="single" w:color="auto" w:sz="8" w:space="0"/>
            </w:tcBorders>
            <w:noWrap w:val="0"/>
            <w:tcMar>
              <w:top w:w="108" w:type="dxa"/>
              <w:left w:w="108" w:type="dxa"/>
              <w:bottom w:w="108" w:type="dxa"/>
              <w:right w:w="108" w:type="dxa"/>
            </w:tcMar>
            <w:vAlign w:val="center"/>
          </w:tcPr>
          <w:p>
            <w:pPr>
              <w:rPr>
                <w:color w:val="000000"/>
                <w:spacing w:val="-2"/>
              </w:rPr>
            </w:pPr>
          </w:p>
        </w:tc>
      </w:tr>
      <w:tr>
        <w:tblPrEx>
          <w:tblCellMar>
            <w:top w:w="0" w:type="dxa"/>
            <w:left w:w="0" w:type="dxa"/>
            <w:bottom w:w="0" w:type="dxa"/>
            <w:right w:w="0" w:type="dxa"/>
          </w:tblCellMar>
        </w:tblPrEx>
        <w:trPr>
          <w:trHeight w:val="1607" w:hRule="exact"/>
          <w:jc w:val="center"/>
        </w:trPr>
        <w:tc>
          <w:tcPr>
            <w:tcW w:w="740" w:type="dxa"/>
            <w:tcBorders>
              <w:top w:val="single" w:color="000000" w:sz="4" w:space="0"/>
              <w:left w:val="single" w:color="auto" w:sz="8" w:space="0"/>
              <w:bottom w:val="single" w:color="000000" w:sz="4" w:space="0"/>
              <w:right w:val="single" w:color="000000" w:sz="4" w:space="0"/>
            </w:tcBorders>
            <w:noWrap w:val="0"/>
            <w:tcMar>
              <w:top w:w="108" w:type="dxa"/>
              <w:left w:w="108" w:type="dxa"/>
              <w:bottom w:w="108" w:type="dxa"/>
              <w:right w:w="108" w:type="dxa"/>
            </w:tcMar>
            <w:vAlign w:val="center"/>
          </w:tcPr>
          <w:p>
            <w:pPr>
              <w:jc w:val="center"/>
              <w:rPr>
                <w:color w:val="000000"/>
                <w:spacing w:val="-2"/>
                <w:kern w:val="0"/>
                <w:sz w:val="18"/>
                <w:szCs w:val="18"/>
                <w:lang w:eastAsia="en-US"/>
              </w:rPr>
            </w:pPr>
            <w:r>
              <w:rPr>
                <w:rFonts w:cs="宋体"/>
                <w:color w:val="000000"/>
                <w:spacing w:val="-2"/>
                <w:kern w:val="0"/>
                <w:sz w:val="18"/>
                <w:szCs w:val="18"/>
                <w:lang w:eastAsia="en-US"/>
              </w:rPr>
              <w:t>1.1</w:t>
            </w:r>
          </w:p>
        </w:tc>
        <w:tc>
          <w:tcPr>
            <w:tcW w:w="2458" w:type="dxa"/>
            <w:tcBorders>
              <w:top w:val="single" w:color="000000" w:sz="4" w:space="0"/>
              <w:left w:val="single" w:color="000000" w:sz="4" w:space="0"/>
              <w:bottom w:val="single" w:color="000000" w:sz="4" w:space="0"/>
              <w:right w:val="single" w:color="000000" w:sz="4" w:space="0"/>
            </w:tcBorders>
            <w:noWrap w:val="0"/>
            <w:tcMar>
              <w:top w:w="108" w:type="dxa"/>
              <w:left w:w="108" w:type="dxa"/>
              <w:bottom w:w="108" w:type="dxa"/>
              <w:right w:w="108" w:type="dxa"/>
            </w:tcMar>
            <w:vAlign w:val="center"/>
          </w:tcPr>
          <w:p>
            <w:pPr>
              <w:jc w:val="center"/>
              <w:rPr>
                <w:color w:val="000000"/>
                <w:spacing w:val="-2"/>
                <w:kern w:val="0"/>
                <w:sz w:val="18"/>
                <w:szCs w:val="18"/>
                <w:lang w:eastAsia="en-US"/>
              </w:rPr>
            </w:pPr>
            <w:r>
              <w:rPr>
                <w:rFonts w:hint="eastAsia" w:hAnsi="Times New Roman" w:cs="宋体"/>
                <w:color w:val="000000"/>
                <w:spacing w:val="-2"/>
                <w:kern w:val="0"/>
                <w:sz w:val="18"/>
                <w:szCs w:val="18"/>
              </w:rPr>
              <w:t>社会保险费</w:t>
            </w:r>
          </w:p>
        </w:tc>
        <w:tc>
          <w:tcPr>
            <w:tcW w:w="2211" w:type="dxa"/>
            <w:vMerge w:val="continue"/>
            <w:tcBorders>
              <w:top w:val="single" w:color="000000" w:sz="4" w:space="0"/>
              <w:left w:val="single" w:color="000000" w:sz="4" w:space="0"/>
              <w:bottom w:val="single" w:color="000000" w:sz="6" w:space="0"/>
              <w:right w:val="single" w:color="000000" w:sz="4" w:space="0"/>
            </w:tcBorders>
            <w:noWrap w:val="0"/>
            <w:tcMar>
              <w:top w:w="108" w:type="dxa"/>
              <w:left w:w="108" w:type="dxa"/>
              <w:bottom w:w="108" w:type="dxa"/>
              <w:right w:w="108" w:type="dxa"/>
            </w:tcMar>
            <w:vAlign w:val="center"/>
          </w:tcPr>
          <w:p>
            <w:pPr>
              <w:widowControl/>
              <w:jc w:val="left"/>
              <w:rPr>
                <w:color w:val="000000"/>
                <w:spacing w:val="-2"/>
              </w:rPr>
            </w:pPr>
          </w:p>
        </w:tc>
        <w:tc>
          <w:tcPr>
            <w:tcW w:w="1134" w:type="dxa"/>
            <w:tcBorders>
              <w:top w:val="single" w:color="000000" w:sz="4" w:space="0"/>
              <w:left w:val="single" w:color="000000" w:sz="4" w:space="0"/>
              <w:bottom w:val="single" w:color="000000" w:sz="4" w:space="0"/>
              <w:right w:val="single" w:color="000000" w:sz="6" w:space="0"/>
            </w:tcBorders>
            <w:noWrap w:val="0"/>
            <w:tcMar>
              <w:top w:w="108" w:type="dxa"/>
              <w:left w:w="108" w:type="dxa"/>
              <w:bottom w:w="108" w:type="dxa"/>
              <w:right w:w="108" w:type="dxa"/>
            </w:tcMar>
            <w:vAlign w:val="center"/>
          </w:tcPr>
          <w:p>
            <w:pPr>
              <w:rPr>
                <w:color w:val="000000"/>
                <w:spacing w:val="-2"/>
              </w:rPr>
            </w:pPr>
          </w:p>
        </w:tc>
        <w:tc>
          <w:tcPr>
            <w:tcW w:w="1134" w:type="dxa"/>
            <w:tcBorders>
              <w:top w:val="single" w:color="000000" w:sz="4" w:space="0"/>
              <w:left w:val="single" w:color="000000" w:sz="6" w:space="0"/>
              <w:bottom w:val="single" w:color="000000" w:sz="4" w:space="0"/>
              <w:right w:val="single" w:color="000000" w:sz="4" w:space="0"/>
            </w:tcBorders>
            <w:noWrap w:val="0"/>
            <w:tcMar>
              <w:top w:w="108" w:type="dxa"/>
              <w:left w:w="108" w:type="dxa"/>
              <w:bottom w:w="108" w:type="dxa"/>
              <w:right w:w="108" w:type="dxa"/>
            </w:tcMar>
            <w:vAlign w:val="center"/>
          </w:tcPr>
          <w:p>
            <w:pPr>
              <w:rPr>
                <w:color w:val="000000"/>
                <w:spacing w:val="-2"/>
              </w:rPr>
            </w:pPr>
          </w:p>
        </w:tc>
        <w:tc>
          <w:tcPr>
            <w:tcW w:w="1042" w:type="dxa"/>
            <w:tcBorders>
              <w:top w:val="single" w:color="000000" w:sz="4" w:space="0"/>
              <w:left w:val="single" w:color="000000" w:sz="4" w:space="0"/>
              <w:bottom w:val="single" w:color="000000" w:sz="4" w:space="0"/>
              <w:right w:val="single" w:color="auto" w:sz="8" w:space="0"/>
            </w:tcBorders>
            <w:noWrap w:val="0"/>
            <w:tcMar>
              <w:top w:w="108" w:type="dxa"/>
              <w:left w:w="108" w:type="dxa"/>
              <w:bottom w:w="108" w:type="dxa"/>
              <w:right w:w="108" w:type="dxa"/>
            </w:tcMar>
            <w:vAlign w:val="center"/>
          </w:tcPr>
          <w:p>
            <w:pPr>
              <w:rPr>
                <w:color w:val="000000"/>
                <w:spacing w:val="-2"/>
              </w:rPr>
            </w:pPr>
          </w:p>
        </w:tc>
      </w:tr>
      <w:tr>
        <w:tblPrEx>
          <w:tblCellMar>
            <w:top w:w="0" w:type="dxa"/>
            <w:left w:w="0" w:type="dxa"/>
            <w:bottom w:w="0" w:type="dxa"/>
            <w:right w:w="0" w:type="dxa"/>
          </w:tblCellMar>
        </w:tblPrEx>
        <w:trPr>
          <w:trHeight w:val="1771" w:hRule="exact"/>
          <w:jc w:val="center"/>
        </w:trPr>
        <w:tc>
          <w:tcPr>
            <w:tcW w:w="740" w:type="dxa"/>
            <w:tcBorders>
              <w:top w:val="single" w:color="000000" w:sz="4" w:space="0"/>
              <w:left w:val="single" w:color="auto" w:sz="8" w:space="0"/>
              <w:bottom w:val="single" w:color="000000" w:sz="4" w:space="0"/>
              <w:right w:val="single" w:color="000000" w:sz="4" w:space="0"/>
            </w:tcBorders>
            <w:noWrap w:val="0"/>
            <w:tcMar>
              <w:top w:w="108" w:type="dxa"/>
              <w:left w:w="108" w:type="dxa"/>
              <w:bottom w:w="108" w:type="dxa"/>
              <w:right w:w="108" w:type="dxa"/>
            </w:tcMar>
            <w:vAlign w:val="center"/>
          </w:tcPr>
          <w:p>
            <w:pPr>
              <w:jc w:val="center"/>
              <w:rPr>
                <w:color w:val="000000"/>
                <w:spacing w:val="-2"/>
                <w:kern w:val="0"/>
                <w:sz w:val="18"/>
                <w:szCs w:val="18"/>
              </w:rPr>
            </w:pPr>
            <w:r>
              <w:rPr>
                <w:rFonts w:cs="宋体"/>
                <w:color w:val="000000"/>
                <w:spacing w:val="-2"/>
                <w:kern w:val="0"/>
                <w:sz w:val="18"/>
                <w:szCs w:val="18"/>
                <w:lang w:eastAsia="en-US"/>
              </w:rPr>
              <w:t>1.</w:t>
            </w:r>
            <w:r>
              <w:rPr>
                <w:rFonts w:cs="宋体"/>
                <w:color w:val="000000"/>
                <w:spacing w:val="-2"/>
                <w:kern w:val="0"/>
                <w:sz w:val="18"/>
                <w:szCs w:val="18"/>
              </w:rPr>
              <w:t>2</w:t>
            </w:r>
          </w:p>
        </w:tc>
        <w:tc>
          <w:tcPr>
            <w:tcW w:w="2458" w:type="dxa"/>
            <w:tcBorders>
              <w:top w:val="single" w:color="000000" w:sz="4" w:space="0"/>
              <w:left w:val="single" w:color="000000" w:sz="4" w:space="0"/>
              <w:bottom w:val="single" w:color="000000" w:sz="4" w:space="0"/>
              <w:right w:val="single" w:color="000000" w:sz="4" w:space="0"/>
            </w:tcBorders>
            <w:noWrap w:val="0"/>
            <w:tcMar>
              <w:top w:w="108" w:type="dxa"/>
              <w:left w:w="108" w:type="dxa"/>
              <w:bottom w:w="108" w:type="dxa"/>
              <w:right w:w="108" w:type="dxa"/>
            </w:tcMar>
            <w:vAlign w:val="center"/>
          </w:tcPr>
          <w:p>
            <w:pPr>
              <w:jc w:val="center"/>
              <w:rPr>
                <w:rFonts w:cs="宋体"/>
                <w:color w:val="000000"/>
                <w:spacing w:val="-2"/>
                <w:kern w:val="0"/>
                <w:sz w:val="18"/>
                <w:szCs w:val="18"/>
              </w:rPr>
            </w:pPr>
            <w:r>
              <w:rPr>
                <w:rFonts w:hint="eastAsia" w:hAnsi="Times New Roman" w:cs="宋体"/>
                <w:color w:val="000000"/>
                <w:spacing w:val="-2"/>
                <w:kern w:val="0"/>
                <w:sz w:val="18"/>
                <w:szCs w:val="18"/>
              </w:rPr>
              <w:t>住房公积金</w:t>
            </w:r>
          </w:p>
        </w:tc>
        <w:tc>
          <w:tcPr>
            <w:tcW w:w="2211" w:type="dxa"/>
            <w:vMerge w:val="continue"/>
            <w:tcBorders>
              <w:top w:val="single" w:color="000000" w:sz="4" w:space="0"/>
              <w:left w:val="single" w:color="000000" w:sz="4" w:space="0"/>
              <w:bottom w:val="single" w:color="000000" w:sz="6" w:space="0"/>
              <w:right w:val="single" w:color="000000" w:sz="4" w:space="0"/>
            </w:tcBorders>
            <w:noWrap w:val="0"/>
            <w:tcMar>
              <w:top w:w="108" w:type="dxa"/>
              <w:left w:w="108" w:type="dxa"/>
              <w:bottom w:w="108" w:type="dxa"/>
              <w:right w:w="108" w:type="dxa"/>
            </w:tcMar>
            <w:vAlign w:val="center"/>
          </w:tcPr>
          <w:p>
            <w:pPr>
              <w:widowControl/>
              <w:jc w:val="left"/>
              <w:rPr>
                <w:color w:val="000000"/>
                <w:spacing w:val="-2"/>
              </w:rPr>
            </w:pPr>
          </w:p>
        </w:tc>
        <w:tc>
          <w:tcPr>
            <w:tcW w:w="1134" w:type="dxa"/>
            <w:tcBorders>
              <w:top w:val="single" w:color="000000" w:sz="4" w:space="0"/>
              <w:left w:val="single" w:color="000000" w:sz="4" w:space="0"/>
              <w:bottom w:val="single" w:color="000000" w:sz="4" w:space="0"/>
              <w:right w:val="single" w:color="000000" w:sz="6" w:space="0"/>
            </w:tcBorders>
            <w:noWrap w:val="0"/>
            <w:tcMar>
              <w:top w:w="108" w:type="dxa"/>
              <w:left w:w="108" w:type="dxa"/>
              <w:bottom w:w="108" w:type="dxa"/>
              <w:right w:w="108" w:type="dxa"/>
            </w:tcMar>
            <w:vAlign w:val="center"/>
          </w:tcPr>
          <w:p>
            <w:pPr>
              <w:rPr>
                <w:color w:val="000000"/>
                <w:spacing w:val="-2"/>
              </w:rPr>
            </w:pPr>
          </w:p>
        </w:tc>
        <w:tc>
          <w:tcPr>
            <w:tcW w:w="1134" w:type="dxa"/>
            <w:tcBorders>
              <w:top w:val="single" w:color="000000" w:sz="4" w:space="0"/>
              <w:left w:val="single" w:color="000000" w:sz="6" w:space="0"/>
              <w:bottom w:val="single" w:color="000000" w:sz="4" w:space="0"/>
              <w:right w:val="single" w:color="000000" w:sz="4" w:space="0"/>
            </w:tcBorders>
            <w:noWrap w:val="0"/>
            <w:tcMar>
              <w:top w:w="108" w:type="dxa"/>
              <w:left w:w="108" w:type="dxa"/>
              <w:bottom w:w="108" w:type="dxa"/>
              <w:right w:w="108" w:type="dxa"/>
            </w:tcMar>
            <w:vAlign w:val="center"/>
          </w:tcPr>
          <w:p>
            <w:pPr>
              <w:rPr>
                <w:color w:val="000000"/>
                <w:spacing w:val="-2"/>
              </w:rPr>
            </w:pPr>
          </w:p>
        </w:tc>
        <w:tc>
          <w:tcPr>
            <w:tcW w:w="1042" w:type="dxa"/>
            <w:tcBorders>
              <w:top w:val="single" w:color="000000" w:sz="4" w:space="0"/>
              <w:left w:val="single" w:color="000000" w:sz="4" w:space="0"/>
              <w:bottom w:val="single" w:color="000000" w:sz="4" w:space="0"/>
              <w:right w:val="single" w:color="auto" w:sz="8" w:space="0"/>
            </w:tcBorders>
            <w:noWrap w:val="0"/>
            <w:tcMar>
              <w:top w:w="108" w:type="dxa"/>
              <w:left w:w="108" w:type="dxa"/>
              <w:bottom w:w="108" w:type="dxa"/>
              <w:right w:w="108" w:type="dxa"/>
            </w:tcMar>
            <w:vAlign w:val="center"/>
          </w:tcPr>
          <w:p>
            <w:pPr>
              <w:rPr>
                <w:color w:val="000000"/>
                <w:spacing w:val="-2"/>
              </w:rPr>
            </w:pPr>
          </w:p>
        </w:tc>
      </w:tr>
      <w:tr>
        <w:tblPrEx>
          <w:tblCellMar>
            <w:top w:w="0" w:type="dxa"/>
            <w:left w:w="0" w:type="dxa"/>
            <w:bottom w:w="0" w:type="dxa"/>
            <w:right w:w="0" w:type="dxa"/>
          </w:tblCellMar>
        </w:tblPrEx>
        <w:trPr>
          <w:trHeight w:val="1542" w:hRule="exact"/>
          <w:jc w:val="center"/>
        </w:trPr>
        <w:tc>
          <w:tcPr>
            <w:tcW w:w="740" w:type="dxa"/>
            <w:tcBorders>
              <w:top w:val="single" w:color="000000" w:sz="4" w:space="0"/>
              <w:left w:val="single" w:color="auto" w:sz="8" w:space="0"/>
              <w:bottom w:val="single" w:color="000000" w:sz="6" w:space="0"/>
              <w:right w:val="single" w:color="000000" w:sz="4" w:space="0"/>
            </w:tcBorders>
            <w:noWrap w:val="0"/>
            <w:tcMar>
              <w:top w:w="108" w:type="dxa"/>
              <w:left w:w="108" w:type="dxa"/>
              <w:bottom w:w="108" w:type="dxa"/>
              <w:right w:w="108" w:type="dxa"/>
            </w:tcMar>
            <w:vAlign w:val="center"/>
          </w:tcPr>
          <w:p>
            <w:pPr>
              <w:jc w:val="center"/>
              <w:rPr>
                <w:color w:val="000000"/>
                <w:spacing w:val="-2"/>
              </w:rPr>
            </w:pPr>
            <w:r>
              <w:rPr>
                <w:rFonts w:cs="宋体"/>
                <w:color w:val="000000"/>
                <w:spacing w:val="-2"/>
                <w:sz w:val="18"/>
                <w:szCs w:val="18"/>
              </w:rPr>
              <w:t>1.3</w:t>
            </w:r>
          </w:p>
        </w:tc>
        <w:tc>
          <w:tcPr>
            <w:tcW w:w="2458" w:type="dxa"/>
            <w:tcBorders>
              <w:top w:val="single" w:color="000000" w:sz="4" w:space="0"/>
              <w:left w:val="single" w:color="000000" w:sz="4" w:space="0"/>
              <w:bottom w:val="single" w:color="000000" w:sz="6" w:space="0"/>
              <w:right w:val="single" w:color="000000" w:sz="4" w:space="0"/>
            </w:tcBorders>
            <w:noWrap w:val="0"/>
            <w:tcMar>
              <w:top w:w="108" w:type="dxa"/>
              <w:left w:w="108" w:type="dxa"/>
              <w:bottom w:w="108" w:type="dxa"/>
              <w:right w:w="108" w:type="dxa"/>
            </w:tcMar>
            <w:vAlign w:val="center"/>
          </w:tcPr>
          <w:p>
            <w:pPr>
              <w:jc w:val="center"/>
              <w:rPr>
                <w:rFonts w:cs="宋体"/>
                <w:color w:val="000000"/>
                <w:spacing w:val="-2"/>
                <w:kern w:val="0"/>
                <w:sz w:val="18"/>
                <w:szCs w:val="18"/>
              </w:rPr>
            </w:pPr>
            <w:r>
              <w:rPr>
                <w:rFonts w:hint="eastAsia" w:hAnsi="Times New Roman" w:cs="宋体"/>
                <w:color w:val="000000"/>
                <w:spacing w:val="-2"/>
                <w:kern w:val="0"/>
                <w:sz w:val="18"/>
                <w:szCs w:val="18"/>
              </w:rPr>
              <w:t>工程排污费</w:t>
            </w:r>
          </w:p>
        </w:tc>
        <w:tc>
          <w:tcPr>
            <w:tcW w:w="2211" w:type="dxa"/>
            <w:vMerge w:val="continue"/>
            <w:tcBorders>
              <w:top w:val="single" w:color="000000" w:sz="4" w:space="0"/>
              <w:left w:val="single" w:color="000000" w:sz="4" w:space="0"/>
              <w:bottom w:val="single" w:color="000000" w:sz="6" w:space="0"/>
              <w:right w:val="single" w:color="000000" w:sz="4" w:space="0"/>
            </w:tcBorders>
            <w:noWrap w:val="0"/>
            <w:tcMar>
              <w:top w:w="108" w:type="dxa"/>
              <w:left w:w="108" w:type="dxa"/>
              <w:bottom w:w="108" w:type="dxa"/>
              <w:right w:w="108" w:type="dxa"/>
            </w:tcMar>
            <w:vAlign w:val="center"/>
          </w:tcPr>
          <w:p>
            <w:pPr>
              <w:widowControl/>
              <w:jc w:val="left"/>
              <w:rPr>
                <w:color w:val="000000"/>
                <w:spacing w:val="-2"/>
              </w:rPr>
            </w:pPr>
          </w:p>
        </w:tc>
        <w:tc>
          <w:tcPr>
            <w:tcW w:w="1134" w:type="dxa"/>
            <w:tcBorders>
              <w:top w:val="single" w:color="000000" w:sz="4" w:space="0"/>
              <w:left w:val="single" w:color="000000" w:sz="4" w:space="0"/>
              <w:bottom w:val="single" w:color="000000" w:sz="6" w:space="0"/>
              <w:right w:val="single" w:color="000000" w:sz="6" w:space="0"/>
            </w:tcBorders>
            <w:noWrap w:val="0"/>
            <w:tcMar>
              <w:top w:w="108" w:type="dxa"/>
              <w:left w:w="108" w:type="dxa"/>
              <w:bottom w:w="108" w:type="dxa"/>
              <w:right w:w="108" w:type="dxa"/>
            </w:tcMar>
            <w:vAlign w:val="center"/>
          </w:tcPr>
          <w:p>
            <w:pPr>
              <w:rPr>
                <w:color w:val="000000"/>
                <w:spacing w:val="-2"/>
              </w:rPr>
            </w:pPr>
          </w:p>
        </w:tc>
        <w:tc>
          <w:tcPr>
            <w:tcW w:w="1134" w:type="dxa"/>
            <w:tcBorders>
              <w:top w:val="single" w:color="000000" w:sz="4" w:space="0"/>
              <w:left w:val="single" w:color="000000" w:sz="6" w:space="0"/>
              <w:bottom w:val="single" w:color="000000" w:sz="6" w:space="0"/>
              <w:right w:val="single" w:color="000000" w:sz="4" w:space="0"/>
            </w:tcBorders>
            <w:noWrap w:val="0"/>
            <w:tcMar>
              <w:top w:w="108" w:type="dxa"/>
              <w:left w:w="108" w:type="dxa"/>
              <w:bottom w:w="108" w:type="dxa"/>
              <w:right w:w="108" w:type="dxa"/>
            </w:tcMar>
            <w:vAlign w:val="center"/>
          </w:tcPr>
          <w:p>
            <w:pPr>
              <w:rPr>
                <w:color w:val="000000"/>
                <w:spacing w:val="-2"/>
              </w:rPr>
            </w:pPr>
          </w:p>
        </w:tc>
        <w:tc>
          <w:tcPr>
            <w:tcW w:w="1042" w:type="dxa"/>
            <w:tcBorders>
              <w:top w:val="single" w:color="000000" w:sz="4" w:space="0"/>
              <w:left w:val="single" w:color="000000" w:sz="4" w:space="0"/>
              <w:bottom w:val="single" w:color="000000" w:sz="6" w:space="0"/>
              <w:right w:val="single" w:color="auto" w:sz="8" w:space="0"/>
            </w:tcBorders>
            <w:noWrap w:val="0"/>
            <w:tcMar>
              <w:top w:w="108" w:type="dxa"/>
              <w:left w:w="108" w:type="dxa"/>
              <w:bottom w:w="108" w:type="dxa"/>
              <w:right w:w="108" w:type="dxa"/>
            </w:tcMar>
            <w:vAlign w:val="center"/>
          </w:tcPr>
          <w:p>
            <w:pPr>
              <w:rPr>
                <w:color w:val="000000"/>
                <w:spacing w:val="-2"/>
              </w:rPr>
            </w:pPr>
          </w:p>
        </w:tc>
      </w:tr>
      <w:tr>
        <w:tblPrEx>
          <w:tblCellMar>
            <w:top w:w="0" w:type="dxa"/>
            <w:left w:w="0" w:type="dxa"/>
            <w:bottom w:w="0" w:type="dxa"/>
            <w:right w:w="0" w:type="dxa"/>
          </w:tblCellMar>
        </w:tblPrEx>
        <w:trPr>
          <w:trHeight w:val="1723" w:hRule="exact"/>
          <w:jc w:val="center"/>
        </w:trPr>
        <w:tc>
          <w:tcPr>
            <w:tcW w:w="740" w:type="dxa"/>
            <w:tcBorders>
              <w:top w:val="single" w:color="000000" w:sz="4" w:space="0"/>
              <w:left w:val="single" w:color="auto" w:sz="8" w:space="0"/>
              <w:bottom w:val="single" w:color="000000" w:sz="4" w:space="0"/>
              <w:right w:val="single" w:color="000000" w:sz="4" w:space="0"/>
            </w:tcBorders>
            <w:noWrap w:val="0"/>
            <w:tcMar>
              <w:top w:w="108" w:type="dxa"/>
              <w:left w:w="108" w:type="dxa"/>
              <w:bottom w:w="108" w:type="dxa"/>
              <w:right w:w="108" w:type="dxa"/>
            </w:tcMar>
            <w:vAlign w:val="center"/>
          </w:tcPr>
          <w:p>
            <w:pPr>
              <w:jc w:val="center"/>
              <w:rPr>
                <w:rFonts w:cs="宋体"/>
                <w:color w:val="000000"/>
                <w:spacing w:val="-2"/>
                <w:kern w:val="0"/>
                <w:sz w:val="18"/>
                <w:szCs w:val="18"/>
                <w:lang w:eastAsia="en-US"/>
              </w:rPr>
            </w:pPr>
            <w:r>
              <w:rPr>
                <w:rFonts w:cs="宋体"/>
                <w:color w:val="000000"/>
                <w:spacing w:val="-2"/>
                <w:kern w:val="0"/>
                <w:sz w:val="18"/>
                <w:szCs w:val="18"/>
                <w:lang w:eastAsia="en-US"/>
              </w:rPr>
              <w:t>2</w:t>
            </w:r>
          </w:p>
        </w:tc>
        <w:tc>
          <w:tcPr>
            <w:tcW w:w="2458" w:type="dxa"/>
            <w:tcBorders>
              <w:top w:val="single" w:color="000000" w:sz="4" w:space="0"/>
              <w:left w:val="single" w:color="000000" w:sz="4" w:space="0"/>
              <w:bottom w:val="single" w:color="000000" w:sz="4" w:space="0"/>
              <w:right w:val="single" w:color="000000" w:sz="4" w:space="0"/>
            </w:tcBorders>
            <w:noWrap w:val="0"/>
            <w:tcMar>
              <w:top w:w="108" w:type="dxa"/>
              <w:left w:w="108" w:type="dxa"/>
              <w:bottom w:w="108" w:type="dxa"/>
              <w:right w:w="108" w:type="dxa"/>
            </w:tcMar>
            <w:vAlign w:val="center"/>
          </w:tcPr>
          <w:p>
            <w:pPr>
              <w:jc w:val="center"/>
              <w:rPr>
                <w:color w:val="000000"/>
                <w:spacing w:val="-2"/>
                <w:kern w:val="0"/>
                <w:sz w:val="18"/>
                <w:szCs w:val="18"/>
                <w:lang w:eastAsia="en-US"/>
              </w:rPr>
            </w:pPr>
            <w:r>
              <w:rPr>
                <w:rFonts w:hint="eastAsia" w:hAnsi="Times New Roman" w:cs="宋体"/>
                <w:color w:val="000000"/>
                <w:spacing w:val="-2"/>
                <w:kern w:val="0"/>
                <w:sz w:val="18"/>
                <w:szCs w:val="18"/>
                <w:lang w:eastAsia="en-US"/>
              </w:rPr>
              <w:t>税金</w:t>
            </w:r>
          </w:p>
        </w:tc>
        <w:tc>
          <w:tcPr>
            <w:tcW w:w="2211" w:type="dxa"/>
            <w:tcBorders>
              <w:top w:val="single" w:color="000000" w:sz="4" w:space="0"/>
              <w:left w:val="single" w:color="000000" w:sz="4" w:space="0"/>
              <w:bottom w:val="single" w:color="000000" w:sz="4" w:space="0"/>
              <w:right w:val="single" w:color="000000" w:sz="4" w:space="0"/>
            </w:tcBorders>
            <w:noWrap w:val="0"/>
            <w:tcMar>
              <w:top w:w="108" w:type="dxa"/>
              <w:left w:w="108" w:type="dxa"/>
              <w:bottom w:w="108" w:type="dxa"/>
              <w:right w:w="108" w:type="dxa"/>
            </w:tcMar>
            <w:vAlign w:val="center"/>
          </w:tcPr>
          <w:p>
            <w:pPr>
              <w:spacing w:line="360" w:lineRule="auto"/>
              <w:ind w:firstLine="172" w:firstLineChars="100"/>
              <w:jc w:val="center"/>
              <w:rPr>
                <w:color w:val="000000"/>
                <w:spacing w:val="-2"/>
                <w:kern w:val="0"/>
                <w:sz w:val="18"/>
                <w:szCs w:val="18"/>
              </w:rPr>
            </w:pPr>
            <w:r>
              <w:rPr>
                <w:rFonts w:hint="eastAsia" w:hAnsi="Times New Roman" w:cs="宋体"/>
                <w:color w:val="000000"/>
                <w:spacing w:val="-2"/>
                <w:kern w:val="0"/>
                <w:sz w:val="18"/>
                <w:szCs w:val="18"/>
              </w:rPr>
              <w:t>分部分项工程费</w:t>
            </w:r>
            <w:r>
              <w:rPr>
                <w:rFonts w:cs="宋体"/>
                <w:color w:val="000000"/>
                <w:spacing w:val="-2"/>
                <w:kern w:val="0"/>
                <w:sz w:val="18"/>
                <w:szCs w:val="18"/>
              </w:rPr>
              <w:t>+</w:t>
            </w:r>
            <w:r>
              <w:rPr>
                <w:rFonts w:hint="eastAsia" w:hAnsi="Times New Roman" w:cs="宋体"/>
                <w:color w:val="000000"/>
                <w:spacing w:val="-2"/>
                <w:kern w:val="0"/>
                <w:sz w:val="18"/>
                <w:szCs w:val="18"/>
              </w:rPr>
              <w:t>措施项目费</w:t>
            </w:r>
            <w:r>
              <w:rPr>
                <w:rFonts w:cs="宋体"/>
                <w:color w:val="000000"/>
                <w:spacing w:val="-2"/>
                <w:kern w:val="0"/>
                <w:sz w:val="18"/>
                <w:szCs w:val="18"/>
              </w:rPr>
              <w:t>+</w:t>
            </w:r>
            <w:r>
              <w:rPr>
                <w:rFonts w:hint="eastAsia" w:hAnsi="Times New Roman" w:cs="宋体"/>
                <w:color w:val="000000"/>
                <w:spacing w:val="-2"/>
                <w:kern w:val="0"/>
                <w:sz w:val="18"/>
                <w:szCs w:val="18"/>
              </w:rPr>
              <w:t>其他项目费</w:t>
            </w:r>
            <w:r>
              <w:rPr>
                <w:rFonts w:cs="宋体"/>
                <w:color w:val="000000"/>
                <w:spacing w:val="-2"/>
                <w:kern w:val="0"/>
                <w:sz w:val="18"/>
                <w:szCs w:val="18"/>
              </w:rPr>
              <w:t>+</w:t>
            </w:r>
            <w:r>
              <w:rPr>
                <w:rFonts w:hint="eastAsia" w:hAnsi="Times New Roman" w:cs="宋体"/>
                <w:color w:val="000000"/>
                <w:spacing w:val="-2"/>
                <w:kern w:val="0"/>
                <w:sz w:val="18"/>
                <w:szCs w:val="18"/>
              </w:rPr>
              <w:t>规费</w:t>
            </w:r>
            <w:r>
              <w:rPr>
                <w:rFonts w:cs="宋体"/>
                <w:color w:val="000000"/>
                <w:spacing w:val="-2"/>
                <w:kern w:val="0"/>
                <w:sz w:val="18"/>
                <w:szCs w:val="18"/>
              </w:rPr>
              <w:t>-</w:t>
            </w:r>
            <w:r>
              <w:rPr>
                <w:rFonts w:hint="eastAsia" w:hAnsi="Times New Roman" w:cs="宋体"/>
                <w:color w:val="000000"/>
                <w:spacing w:val="-2"/>
                <w:kern w:val="0"/>
                <w:sz w:val="18"/>
                <w:szCs w:val="18"/>
              </w:rPr>
              <w:t>按规定不计税的工程设备金额</w:t>
            </w:r>
          </w:p>
        </w:tc>
        <w:tc>
          <w:tcPr>
            <w:tcW w:w="1134" w:type="dxa"/>
            <w:tcBorders>
              <w:top w:val="single" w:color="000000" w:sz="4" w:space="0"/>
              <w:left w:val="single" w:color="000000" w:sz="4" w:space="0"/>
              <w:bottom w:val="single" w:color="000000" w:sz="4" w:space="0"/>
              <w:right w:val="single" w:color="000000" w:sz="6" w:space="0"/>
            </w:tcBorders>
            <w:noWrap w:val="0"/>
            <w:tcMar>
              <w:top w:w="108" w:type="dxa"/>
              <w:left w:w="108" w:type="dxa"/>
              <w:bottom w:w="108" w:type="dxa"/>
              <w:right w:w="108" w:type="dxa"/>
            </w:tcMar>
            <w:vAlign w:val="center"/>
          </w:tcPr>
          <w:p>
            <w:pPr>
              <w:rPr>
                <w:color w:val="000000"/>
                <w:spacing w:val="-2"/>
              </w:rPr>
            </w:pPr>
          </w:p>
        </w:tc>
        <w:tc>
          <w:tcPr>
            <w:tcW w:w="1134" w:type="dxa"/>
            <w:tcBorders>
              <w:top w:val="single" w:color="000000" w:sz="4" w:space="0"/>
              <w:left w:val="single" w:color="000000" w:sz="6" w:space="0"/>
              <w:bottom w:val="single" w:color="000000" w:sz="4" w:space="0"/>
              <w:right w:val="single" w:color="000000" w:sz="4" w:space="0"/>
            </w:tcBorders>
            <w:noWrap w:val="0"/>
            <w:tcMar>
              <w:top w:w="108" w:type="dxa"/>
              <w:left w:w="108" w:type="dxa"/>
              <w:bottom w:w="108" w:type="dxa"/>
              <w:right w:w="108" w:type="dxa"/>
            </w:tcMar>
            <w:vAlign w:val="center"/>
          </w:tcPr>
          <w:p>
            <w:pPr>
              <w:rPr>
                <w:color w:val="000000"/>
                <w:spacing w:val="-2"/>
              </w:rPr>
            </w:pPr>
          </w:p>
        </w:tc>
        <w:tc>
          <w:tcPr>
            <w:tcW w:w="1042" w:type="dxa"/>
            <w:tcBorders>
              <w:top w:val="single" w:color="000000" w:sz="4" w:space="0"/>
              <w:left w:val="single" w:color="000000" w:sz="4" w:space="0"/>
              <w:bottom w:val="single" w:color="000000" w:sz="4" w:space="0"/>
              <w:right w:val="single" w:color="auto" w:sz="8" w:space="0"/>
            </w:tcBorders>
            <w:noWrap w:val="0"/>
            <w:tcMar>
              <w:top w:w="108" w:type="dxa"/>
              <w:left w:w="108" w:type="dxa"/>
              <w:bottom w:w="108" w:type="dxa"/>
              <w:right w:w="108" w:type="dxa"/>
            </w:tcMar>
            <w:vAlign w:val="center"/>
          </w:tcPr>
          <w:p>
            <w:pPr>
              <w:rPr>
                <w:color w:val="000000"/>
                <w:spacing w:val="-2"/>
              </w:rPr>
            </w:pPr>
          </w:p>
        </w:tc>
      </w:tr>
      <w:tr>
        <w:tblPrEx>
          <w:tblCellMar>
            <w:top w:w="0" w:type="dxa"/>
            <w:left w:w="0" w:type="dxa"/>
            <w:bottom w:w="0" w:type="dxa"/>
            <w:right w:w="0" w:type="dxa"/>
          </w:tblCellMar>
        </w:tblPrEx>
        <w:trPr>
          <w:trHeight w:val="896" w:hRule="exact"/>
          <w:jc w:val="center"/>
        </w:trPr>
        <w:tc>
          <w:tcPr>
            <w:tcW w:w="3198" w:type="dxa"/>
            <w:gridSpan w:val="2"/>
            <w:tcBorders>
              <w:top w:val="single" w:color="000000" w:sz="4" w:space="0"/>
              <w:left w:val="single" w:color="auto" w:sz="8" w:space="0"/>
              <w:bottom w:val="single" w:color="auto" w:sz="8" w:space="0"/>
              <w:right w:val="single" w:color="auto" w:sz="4" w:space="0"/>
            </w:tcBorders>
            <w:noWrap w:val="0"/>
            <w:tcMar>
              <w:top w:w="108" w:type="dxa"/>
              <w:left w:w="108" w:type="dxa"/>
              <w:bottom w:w="108" w:type="dxa"/>
              <w:right w:w="108" w:type="dxa"/>
            </w:tcMar>
            <w:vAlign w:val="center"/>
          </w:tcPr>
          <w:p>
            <w:pPr>
              <w:jc w:val="center"/>
              <w:rPr>
                <w:color w:val="000000"/>
                <w:spacing w:val="-2"/>
              </w:rPr>
            </w:pPr>
            <w:r>
              <w:rPr>
                <w:rFonts w:hint="eastAsia" w:hAnsi="Times New Roman" w:cs="宋体"/>
                <w:color w:val="000000"/>
                <w:spacing w:val="-2"/>
                <w:sz w:val="18"/>
                <w:szCs w:val="18"/>
              </w:rPr>
              <w:t>合</w:t>
            </w:r>
            <w:r>
              <w:rPr>
                <w:rFonts w:cs="宋体"/>
                <w:color w:val="000000"/>
                <w:spacing w:val="-2"/>
                <w:sz w:val="18"/>
                <w:szCs w:val="18"/>
              </w:rPr>
              <w:t xml:space="preserve">  </w:t>
            </w:r>
            <w:r>
              <w:rPr>
                <w:rFonts w:hint="eastAsia" w:hAnsi="Times New Roman" w:cs="宋体"/>
                <w:color w:val="000000"/>
                <w:spacing w:val="-2"/>
                <w:sz w:val="18"/>
                <w:szCs w:val="18"/>
              </w:rPr>
              <w:t>计</w:t>
            </w:r>
          </w:p>
        </w:tc>
        <w:tc>
          <w:tcPr>
            <w:tcW w:w="5521" w:type="dxa"/>
            <w:gridSpan w:val="4"/>
            <w:tcBorders>
              <w:top w:val="single" w:color="000000" w:sz="4" w:space="0"/>
              <w:left w:val="single" w:color="auto" w:sz="4" w:space="0"/>
              <w:bottom w:val="single" w:color="auto" w:sz="8" w:space="0"/>
              <w:right w:val="single" w:color="auto" w:sz="8" w:space="0"/>
            </w:tcBorders>
            <w:noWrap w:val="0"/>
            <w:tcMar>
              <w:top w:w="108" w:type="dxa"/>
              <w:left w:w="108" w:type="dxa"/>
              <w:bottom w:w="108" w:type="dxa"/>
              <w:right w:w="108" w:type="dxa"/>
            </w:tcMar>
            <w:vAlign w:val="center"/>
          </w:tcPr>
          <w:p>
            <w:pPr>
              <w:rPr>
                <w:color w:val="000000"/>
                <w:spacing w:val="-2"/>
              </w:rPr>
            </w:pPr>
          </w:p>
        </w:tc>
      </w:tr>
    </w:tbl>
    <w:p>
      <w:pPr>
        <w:tabs>
          <w:tab w:val="left" w:pos="4935"/>
          <w:tab w:val="left" w:pos="7455"/>
          <w:tab w:val="left" w:pos="7981"/>
          <w:tab w:val="left" w:pos="8715"/>
        </w:tabs>
        <w:spacing w:after="120"/>
        <w:ind w:firstLine="86" w:firstLineChars="50"/>
        <w:rPr>
          <w:color w:val="000000"/>
          <w:spacing w:val="-2"/>
        </w:rPr>
      </w:pPr>
      <w:r>
        <w:rPr>
          <w:rFonts w:hint="eastAsia"/>
          <w:color w:val="000000"/>
          <w:spacing w:val="-2"/>
          <w:sz w:val="18"/>
          <w:szCs w:val="18"/>
        </w:rPr>
        <w:t>注：工程排污费费率在招标时暂按</w:t>
      </w:r>
      <w:r>
        <w:rPr>
          <w:color w:val="000000"/>
          <w:spacing w:val="-2"/>
          <w:sz w:val="18"/>
          <w:szCs w:val="18"/>
        </w:rPr>
        <w:t>0.1%</w:t>
      </w:r>
      <w:r>
        <w:rPr>
          <w:rFonts w:hint="eastAsia"/>
          <w:color w:val="000000"/>
          <w:spacing w:val="-2"/>
          <w:sz w:val="18"/>
          <w:szCs w:val="18"/>
        </w:rPr>
        <w:t>计入，结算时按工程所在地环境保护部门收取标准，按实计入。</w:t>
      </w:r>
    </w:p>
    <w:p>
      <w:pPr>
        <w:tabs>
          <w:tab w:val="left" w:pos="5250"/>
          <w:tab w:val="left" w:pos="7455"/>
          <w:tab w:val="left" w:pos="7981"/>
          <w:tab w:val="left" w:pos="8715"/>
        </w:tabs>
        <w:spacing w:after="120"/>
        <w:ind w:firstLine="303" w:firstLineChars="150"/>
        <w:rPr>
          <w:color w:val="000000"/>
          <w:spacing w:val="-2"/>
        </w:rPr>
      </w:pPr>
    </w:p>
    <w:p>
      <w:pPr>
        <w:tabs>
          <w:tab w:val="left" w:pos="5250"/>
          <w:tab w:val="left" w:pos="7455"/>
          <w:tab w:val="left" w:pos="7981"/>
          <w:tab w:val="left" w:pos="8715"/>
        </w:tabs>
        <w:spacing w:after="120"/>
        <w:ind w:firstLine="303" w:firstLineChars="150"/>
        <w:rPr>
          <w:color w:val="000000"/>
          <w:spacing w:val="-2"/>
        </w:rPr>
      </w:pPr>
      <w:r>
        <w:rPr>
          <w:rFonts w:hint="eastAsia"/>
          <w:color w:val="000000"/>
          <w:spacing w:val="-2"/>
        </w:rPr>
        <w:t>编制人</w:t>
      </w:r>
      <w:r>
        <w:rPr>
          <w:color w:val="000000"/>
          <w:spacing w:val="-2"/>
        </w:rPr>
        <w:t>(</w:t>
      </w:r>
      <w:r>
        <w:rPr>
          <w:rFonts w:hint="eastAsia"/>
          <w:color w:val="000000"/>
          <w:spacing w:val="-2"/>
        </w:rPr>
        <w:t>造价人员</w:t>
      </w:r>
      <w:r>
        <w:rPr>
          <w:color w:val="000000"/>
          <w:spacing w:val="-2"/>
        </w:rPr>
        <w:t>)</w:t>
      </w:r>
      <w:r>
        <w:rPr>
          <w:rFonts w:hint="eastAsia"/>
          <w:color w:val="000000"/>
          <w:spacing w:val="-2"/>
        </w:rPr>
        <w:t>：</w:t>
      </w:r>
      <w:r>
        <w:rPr>
          <w:color w:val="000000"/>
          <w:spacing w:val="-2"/>
        </w:rPr>
        <w:tab/>
      </w:r>
      <w:r>
        <w:rPr>
          <w:rFonts w:hint="eastAsia"/>
          <w:color w:val="000000"/>
          <w:spacing w:val="-2"/>
        </w:rPr>
        <w:t>复核人</w:t>
      </w:r>
      <w:r>
        <w:rPr>
          <w:color w:val="000000"/>
          <w:spacing w:val="-2"/>
        </w:rPr>
        <w:t>(</w:t>
      </w:r>
      <w:r>
        <w:rPr>
          <w:rFonts w:hint="eastAsia"/>
          <w:color w:val="000000"/>
          <w:spacing w:val="-2"/>
        </w:rPr>
        <w:t>造价工程师</w:t>
      </w:r>
      <w:r>
        <w:rPr>
          <w:color w:val="000000"/>
          <w:spacing w:val="-2"/>
        </w:rPr>
        <w:t>)</w:t>
      </w:r>
      <w:r>
        <w:rPr>
          <w:rFonts w:hint="eastAsia"/>
          <w:color w:val="000000"/>
          <w:spacing w:val="-2"/>
        </w:rPr>
        <w:t>：</w:t>
      </w:r>
    </w:p>
    <w:p>
      <w:pPr>
        <w:spacing w:before="21" w:after="120"/>
        <w:jc w:val="right"/>
        <w:rPr>
          <w:color w:val="000000"/>
          <w:spacing w:val="-2"/>
          <w:sz w:val="18"/>
          <w:szCs w:val="18"/>
        </w:rPr>
      </w:pPr>
      <w:r>
        <w:rPr>
          <w:rFonts w:hint="eastAsia"/>
          <w:color w:val="000000"/>
          <w:spacing w:val="-2"/>
          <w:sz w:val="18"/>
          <w:szCs w:val="18"/>
        </w:rPr>
        <w:t>表</w:t>
      </w:r>
      <w:r>
        <w:rPr>
          <w:color w:val="000000"/>
          <w:spacing w:val="-2"/>
          <w:sz w:val="18"/>
          <w:szCs w:val="18"/>
        </w:rPr>
        <w:t>-13</w:t>
      </w:r>
    </w:p>
    <w:p>
      <w:pPr>
        <w:tabs>
          <w:tab w:val="left" w:pos="707"/>
        </w:tabs>
        <w:jc w:val="center"/>
        <w:outlineLvl w:val="2"/>
        <w:rPr>
          <w:rFonts w:ascii="Times New Roman" w:eastAsia="方正黑体_GBK" w:cs="宋体"/>
          <w:color w:val="000000"/>
          <w:spacing w:val="-2"/>
          <w:kern w:val="0"/>
          <w:sz w:val="24"/>
        </w:rPr>
      </w:pPr>
      <w:r>
        <w:rPr>
          <w:rFonts w:hint="eastAsia" w:ascii="Times New Roman" w:hAnsi="Times New Roman" w:cs="宋体"/>
          <w:color w:val="000000"/>
          <w:kern w:val="0"/>
          <w:sz w:val="18"/>
          <w:szCs w:val="18"/>
        </w:rPr>
        <w:br w:type="column"/>
      </w:r>
      <w:r>
        <w:rPr>
          <w:rFonts w:hint="eastAsia" w:ascii="Times New Roman" w:eastAsia="方正黑体_GBK" w:cs="宋体"/>
          <w:color w:val="000000"/>
          <w:spacing w:val="-2"/>
          <w:kern w:val="0"/>
          <w:sz w:val="24"/>
        </w:rPr>
        <w:t>L.1</w:t>
      </w:r>
      <w:r>
        <w:rPr>
          <w:rFonts w:hint="eastAsia" w:ascii="Times New Roman" w:eastAsia="方正黑体_GBK" w:cs="宋体"/>
          <w:color w:val="000000"/>
          <w:spacing w:val="-2"/>
          <w:kern w:val="0"/>
          <w:sz w:val="24"/>
        </w:rPr>
        <w:tab/>
      </w:r>
      <w:r>
        <w:rPr>
          <w:rFonts w:hint="eastAsia" w:ascii="Times New Roman" w:eastAsia="方正黑体_GBK" w:cs="宋体"/>
          <w:color w:val="000000"/>
          <w:spacing w:val="-2"/>
          <w:kern w:val="0"/>
          <w:sz w:val="24"/>
        </w:rPr>
        <w:t>发包人提供材料和工程设备一览表</w:t>
      </w:r>
      <w:bookmarkEnd w:id="684"/>
      <w:bookmarkEnd w:id="685"/>
      <w:bookmarkEnd w:id="686"/>
    </w:p>
    <w:p>
      <w:pPr>
        <w:spacing w:before="19" w:line="200" w:lineRule="exact"/>
        <w:rPr>
          <w:rFonts w:hint="eastAsia"/>
          <w:color w:val="000000"/>
          <w:spacing w:val="-2"/>
          <w:sz w:val="28"/>
          <w:szCs w:val="28"/>
        </w:rPr>
      </w:pPr>
    </w:p>
    <w:p>
      <w:pPr>
        <w:tabs>
          <w:tab w:val="left" w:pos="4095"/>
          <w:tab w:val="left" w:pos="7770"/>
          <w:tab w:val="left" w:pos="8819"/>
        </w:tabs>
        <w:spacing w:after="120"/>
        <w:rPr>
          <w:rFonts w:ascii="Times New Roman" w:eastAsia="方正仿宋_GBK"/>
          <w:color w:val="000000"/>
          <w:spacing w:val="-2"/>
        </w:rPr>
      </w:pPr>
      <w:r>
        <w:rPr>
          <w:rFonts w:hint="eastAsia" w:ascii="Times New Roman" w:eastAsia="方正仿宋_GBK"/>
          <w:color w:val="000000"/>
          <w:spacing w:val="-2"/>
        </w:rPr>
        <w:t>工程名称：</w:t>
      </w:r>
      <w:r>
        <w:rPr>
          <w:rFonts w:hint="eastAsia" w:ascii="Times New Roman" w:eastAsia="方正仿宋_GBK"/>
          <w:color w:val="000000"/>
          <w:spacing w:val="-2"/>
        </w:rPr>
        <w:tab/>
      </w:r>
      <w:r>
        <w:rPr>
          <w:rFonts w:hint="eastAsia" w:ascii="Times New Roman" w:eastAsia="方正仿宋_GBK"/>
          <w:color w:val="000000"/>
          <w:spacing w:val="-2"/>
        </w:rPr>
        <w:t>标段:                           第   页共   页</w:t>
      </w:r>
    </w:p>
    <w:p>
      <w:pPr>
        <w:spacing w:before="9" w:line="40" w:lineRule="exact"/>
        <w:rPr>
          <w:rFonts w:hint="eastAsia"/>
          <w:color w:val="000000"/>
          <w:spacing w:val="-2"/>
          <w:sz w:val="28"/>
          <w:szCs w:val="28"/>
        </w:rPr>
      </w:pPr>
    </w:p>
    <w:tbl>
      <w:tblPr>
        <w:tblStyle w:val="12"/>
        <w:tblW w:w="0" w:type="auto"/>
        <w:jc w:val="center"/>
        <w:tblLayout w:type="fixed"/>
        <w:tblCellMar>
          <w:top w:w="0" w:type="dxa"/>
          <w:left w:w="0" w:type="dxa"/>
          <w:bottom w:w="0" w:type="dxa"/>
          <w:right w:w="0" w:type="dxa"/>
        </w:tblCellMar>
      </w:tblPr>
      <w:tblGrid>
        <w:gridCol w:w="600"/>
        <w:gridCol w:w="1077"/>
        <w:gridCol w:w="2005"/>
        <w:gridCol w:w="735"/>
        <w:gridCol w:w="600"/>
        <w:gridCol w:w="757"/>
        <w:gridCol w:w="735"/>
        <w:gridCol w:w="795"/>
        <w:gridCol w:w="765"/>
        <w:gridCol w:w="630"/>
      </w:tblGrid>
      <w:tr>
        <w:tblPrEx>
          <w:tblCellMar>
            <w:top w:w="0" w:type="dxa"/>
            <w:left w:w="0" w:type="dxa"/>
            <w:bottom w:w="0" w:type="dxa"/>
            <w:right w:w="0" w:type="dxa"/>
          </w:tblCellMar>
        </w:tblPrEx>
        <w:trPr>
          <w:trHeight w:val="1072" w:hRule="exact"/>
          <w:jc w:val="center"/>
        </w:trPr>
        <w:tc>
          <w:tcPr>
            <w:tcW w:w="600" w:type="dxa"/>
            <w:tcBorders>
              <w:top w:val="single" w:color="auto" w:sz="8" w:space="0"/>
              <w:left w:val="single" w:color="auto" w:sz="8" w:space="0"/>
              <w:bottom w:val="single" w:color="000000" w:sz="4" w:space="0"/>
              <w:right w:val="single" w:color="000000" w:sz="4"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序号</w:t>
            </w:r>
          </w:p>
        </w:tc>
        <w:tc>
          <w:tcPr>
            <w:tcW w:w="1077" w:type="dxa"/>
            <w:tcBorders>
              <w:top w:val="single" w:color="auto" w:sz="8" w:space="0"/>
              <w:left w:val="single" w:color="000000" w:sz="4" w:space="0"/>
              <w:bottom w:val="single" w:color="000000" w:sz="4" w:space="0"/>
              <w:right w:val="single" w:color="000000" w:sz="4" w:space="0"/>
            </w:tcBorders>
            <w:noWrap w:val="0"/>
            <w:vAlign w:val="center"/>
          </w:tcPr>
          <w:p>
            <w:pPr>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材料编码</w:t>
            </w:r>
          </w:p>
        </w:tc>
        <w:tc>
          <w:tcPr>
            <w:tcW w:w="2005" w:type="dxa"/>
            <w:tcBorders>
              <w:top w:val="single" w:color="auto" w:sz="8" w:space="0"/>
              <w:left w:val="single" w:color="000000" w:sz="4" w:space="0"/>
              <w:bottom w:val="single" w:color="000000" w:sz="4" w:space="0"/>
              <w:right w:val="single" w:color="000000" w:sz="6" w:space="0"/>
            </w:tcBorders>
            <w:noWrap w:val="0"/>
            <w:vAlign w:val="center"/>
          </w:tcPr>
          <w:p>
            <w:pPr>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材料</w:t>
            </w:r>
            <w:r>
              <w:rPr>
                <w:rFonts w:hint="eastAsia" w:ascii="Times New Roman" w:eastAsia="方正黑体_GBK" w:cs="宋体"/>
                <w:color w:val="000000"/>
                <w:spacing w:val="-2"/>
                <w:kern w:val="0"/>
                <w:sz w:val="18"/>
                <w:szCs w:val="18"/>
              </w:rPr>
              <w:t>(</w:t>
            </w:r>
            <w:r>
              <w:rPr>
                <w:rFonts w:hint="eastAsia" w:ascii="Times New Roman" w:hAnsi="Times New Roman" w:eastAsia="方正黑体_GBK" w:cs="宋体"/>
                <w:color w:val="000000"/>
                <w:spacing w:val="-2"/>
                <w:kern w:val="0"/>
                <w:sz w:val="18"/>
                <w:szCs w:val="18"/>
              </w:rPr>
              <w:t>工程设备</w:t>
            </w:r>
            <w:r>
              <w:rPr>
                <w:rFonts w:hint="eastAsia" w:ascii="Times New Roman" w:eastAsia="方正黑体_GBK" w:cs="宋体"/>
                <w:color w:val="000000"/>
                <w:spacing w:val="-2"/>
                <w:kern w:val="0"/>
                <w:sz w:val="18"/>
                <w:szCs w:val="18"/>
              </w:rPr>
              <w:t>)</w:t>
            </w:r>
          </w:p>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名称、规格、型号</w:t>
            </w:r>
          </w:p>
        </w:tc>
        <w:tc>
          <w:tcPr>
            <w:tcW w:w="735" w:type="dxa"/>
            <w:tcBorders>
              <w:top w:val="single" w:color="auto" w:sz="8" w:space="0"/>
              <w:left w:val="single" w:color="000000" w:sz="4" w:space="0"/>
              <w:bottom w:val="single" w:color="000000" w:sz="4" w:space="0"/>
              <w:right w:val="single" w:color="000000" w:sz="6"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单位</w:t>
            </w:r>
          </w:p>
        </w:tc>
        <w:tc>
          <w:tcPr>
            <w:tcW w:w="600" w:type="dxa"/>
            <w:tcBorders>
              <w:top w:val="single" w:color="auto" w:sz="8" w:space="0"/>
              <w:left w:val="single" w:color="000000" w:sz="6" w:space="0"/>
              <w:bottom w:val="single" w:color="000000" w:sz="4" w:space="0"/>
              <w:right w:val="single" w:color="000000" w:sz="4"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数量</w:t>
            </w:r>
          </w:p>
        </w:tc>
        <w:tc>
          <w:tcPr>
            <w:tcW w:w="757" w:type="dxa"/>
            <w:tcBorders>
              <w:top w:val="single" w:color="auto" w:sz="8" w:space="0"/>
              <w:left w:val="single" w:color="000000" w:sz="4" w:space="0"/>
              <w:bottom w:val="single" w:color="000000" w:sz="4" w:space="0"/>
              <w:right w:val="single" w:color="000000" w:sz="4" w:space="0"/>
            </w:tcBorders>
            <w:noWrap w:val="0"/>
            <w:vAlign w:val="center"/>
          </w:tcPr>
          <w:p>
            <w:pPr>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单价</w:t>
            </w:r>
          </w:p>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（元）</w:t>
            </w:r>
          </w:p>
        </w:tc>
        <w:tc>
          <w:tcPr>
            <w:tcW w:w="735" w:type="dxa"/>
            <w:tcBorders>
              <w:top w:val="single" w:color="auto" w:sz="8" w:space="0"/>
              <w:left w:val="single" w:color="000000" w:sz="4" w:space="0"/>
              <w:bottom w:val="single" w:color="000000" w:sz="4" w:space="0"/>
              <w:right w:val="single" w:color="000000" w:sz="4" w:space="0"/>
            </w:tcBorders>
            <w:noWrap w:val="0"/>
            <w:vAlign w:val="center"/>
          </w:tcPr>
          <w:p>
            <w:pPr>
              <w:spacing w:before="78"/>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合价</w:t>
            </w:r>
          </w:p>
          <w:p>
            <w:pPr>
              <w:spacing w:before="78"/>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（元）</w:t>
            </w:r>
          </w:p>
        </w:tc>
        <w:tc>
          <w:tcPr>
            <w:tcW w:w="795" w:type="dxa"/>
            <w:tcBorders>
              <w:top w:val="single" w:color="auto" w:sz="8" w:space="0"/>
              <w:left w:val="single" w:color="000000" w:sz="4" w:space="0"/>
              <w:bottom w:val="single" w:color="000000" w:sz="4" w:space="0"/>
              <w:right w:val="single" w:color="000000" w:sz="4" w:space="0"/>
            </w:tcBorders>
            <w:noWrap w:val="0"/>
            <w:tcMar>
              <w:top w:w="28" w:type="dxa"/>
              <w:left w:w="28" w:type="dxa"/>
              <w:bottom w:w="28" w:type="dxa"/>
              <w:right w:w="28" w:type="dxa"/>
            </w:tcMar>
            <w:vAlign w:val="center"/>
          </w:tcPr>
          <w:p>
            <w:pPr>
              <w:spacing w:before="78"/>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交货</w:t>
            </w:r>
          </w:p>
          <w:p>
            <w:pPr>
              <w:spacing w:before="78"/>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方式</w:t>
            </w:r>
          </w:p>
        </w:tc>
        <w:tc>
          <w:tcPr>
            <w:tcW w:w="765" w:type="dxa"/>
            <w:tcBorders>
              <w:top w:val="single" w:color="auto" w:sz="8" w:space="0"/>
              <w:left w:val="single" w:color="000000" w:sz="4" w:space="0"/>
              <w:bottom w:val="single" w:color="000000" w:sz="4" w:space="0"/>
              <w:right w:val="single" w:color="000000" w:sz="6" w:space="0"/>
            </w:tcBorders>
            <w:noWrap w:val="0"/>
            <w:tcMar>
              <w:top w:w="28" w:type="dxa"/>
              <w:left w:w="28" w:type="dxa"/>
              <w:bottom w:w="28" w:type="dxa"/>
              <w:right w:w="28" w:type="dxa"/>
            </w:tcMar>
            <w:vAlign w:val="center"/>
          </w:tcPr>
          <w:p>
            <w:pPr>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送达</w:t>
            </w:r>
          </w:p>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地点</w:t>
            </w:r>
          </w:p>
        </w:tc>
        <w:tc>
          <w:tcPr>
            <w:tcW w:w="630" w:type="dxa"/>
            <w:tcBorders>
              <w:top w:val="single" w:color="auto" w:sz="8" w:space="0"/>
              <w:left w:val="single" w:color="000000" w:sz="6" w:space="0"/>
              <w:bottom w:val="single" w:color="000000" w:sz="4" w:space="0"/>
              <w:right w:val="single" w:color="auto" w:sz="8" w:space="0"/>
            </w:tcBorders>
            <w:noWrap w:val="0"/>
            <w:tcMar>
              <w:top w:w="28" w:type="dxa"/>
              <w:left w:w="28" w:type="dxa"/>
              <w:bottom w:w="28" w:type="dxa"/>
              <w:right w:w="28" w:type="dxa"/>
            </w:tcMar>
            <w:vAlign w:val="center"/>
          </w:tcPr>
          <w:p>
            <w:pPr>
              <w:jc w:val="center"/>
              <w:rPr>
                <w:rFonts w:ascii="Times New Roman" w:eastAsia="方正黑体_GBK"/>
                <w:color w:val="000000"/>
                <w:spacing w:val="-2"/>
                <w:kern w:val="0"/>
                <w:sz w:val="18"/>
                <w:szCs w:val="18"/>
                <w:lang w:eastAsia="en-US"/>
              </w:rPr>
            </w:pPr>
            <w:r>
              <w:rPr>
                <w:rFonts w:hint="eastAsia" w:ascii="Times New Roman" w:hAnsi="Times New Roman" w:eastAsia="方正黑体_GBK" w:cs="宋体"/>
                <w:color w:val="000000"/>
                <w:spacing w:val="-2"/>
                <w:kern w:val="0"/>
                <w:sz w:val="18"/>
                <w:szCs w:val="18"/>
                <w:lang w:eastAsia="en-US"/>
              </w:rPr>
              <w:t>备注</w:t>
            </w: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kern w:val="0"/>
                <w:sz w:val="28"/>
                <w:szCs w:val="28"/>
                <w:lang w:eastAsia="en-US"/>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00"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75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6"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kern w:val="0"/>
                <w:sz w:val="28"/>
                <w:szCs w:val="28"/>
                <w:lang w:eastAsia="en-US"/>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00"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75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6"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kern w:val="0"/>
                <w:sz w:val="28"/>
                <w:szCs w:val="28"/>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rPr>
            </w:pPr>
          </w:p>
        </w:tc>
        <w:tc>
          <w:tcPr>
            <w:tcW w:w="600"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kern w:val="0"/>
                <w:sz w:val="28"/>
                <w:szCs w:val="28"/>
              </w:rPr>
            </w:pPr>
          </w:p>
        </w:tc>
        <w:tc>
          <w:tcPr>
            <w:tcW w:w="75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kern w:val="0"/>
                <w:sz w:val="28"/>
                <w:szCs w:val="28"/>
                <w:lang w:eastAsia="en-US"/>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6"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kern w:val="0"/>
                <w:sz w:val="28"/>
                <w:szCs w:val="28"/>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rPr>
            </w:pPr>
          </w:p>
        </w:tc>
        <w:tc>
          <w:tcPr>
            <w:tcW w:w="600"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kern w:val="0"/>
                <w:sz w:val="28"/>
                <w:szCs w:val="28"/>
              </w:rPr>
            </w:pPr>
          </w:p>
        </w:tc>
        <w:tc>
          <w:tcPr>
            <w:tcW w:w="75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kern w:val="0"/>
                <w:sz w:val="28"/>
                <w:szCs w:val="28"/>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6"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kern w:val="0"/>
                <w:sz w:val="28"/>
                <w:szCs w:val="28"/>
                <w:lang w:eastAsia="en-US"/>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00"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75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6"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kern w:val="0"/>
                <w:sz w:val="28"/>
                <w:szCs w:val="28"/>
                <w:lang w:eastAsia="en-US"/>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00"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75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kern w:val="0"/>
                <w:sz w:val="28"/>
                <w:szCs w:val="28"/>
                <w:lang w:eastAsia="en-US"/>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600"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sz w:val="28"/>
                <w:szCs w:val="28"/>
              </w:rPr>
            </w:pPr>
          </w:p>
        </w:tc>
        <w:tc>
          <w:tcPr>
            <w:tcW w:w="757"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sz w:val="28"/>
                <w:szCs w:val="28"/>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ind w:left="-238" w:leftChars="-116"/>
              <w:rPr>
                <w:color w:val="000000"/>
                <w:spacing w:val="-2"/>
                <w:sz w:val="28"/>
                <w:szCs w:val="28"/>
              </w:rPr>
            </w:pPr>
          </w:p>
        </w:tc>
        <w:tc>
          <w:tcPr>
            <w:tcW w:w="600"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757"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sz w:val="28"/>
                <w:szCs w:val="28"/>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600"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757"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4" w:space="0"/>
            </w:tcBorders>
            <w:noWrap w:val="0"/>
            <w:vAlign w:val="center"/>
          </w:tcPr>
          <w:p>
            <w:pPr>
              <w:rPr>
                <w:color w:val="000000"/>
                <w:spacing w:val="-2"/>
                <w:sz w:val="28"/>
                <w:szCs w:val="28"/>
              </w:rPr>
            </w:pPr>
          </w:p>
        </w:tc>
        <w:tc>
          <w:tcPr>
            <w:tcW w:w="1077"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200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600"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sz w:val="28"/>
                <w:szCs w:val="28"/>
              </w:rPr>
            </w:pPr>
          </w:p>
        </w:tc>
        <w:tc>
          <w:tcPr>
            <w:tcW w:w="757"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6" w:space="0"/>
            </w:tcBorders>
            <w:noWrap w:val="0"/>
            <w:vAlign w:val="center"/>
          </w:tcPr>
          <w:p>
            <w:pPr>
              <w:rPr>
                <w:color w:val="000000"/>
                <w:spacing w:val="-2"/>
                <w:sz w:val="28"/>
                <w:szCs w:val="28"/>
              </w:rPr>
            </w:pPr>
          </w:p>
        </w:tc>
        <w:tc>
          <w:tcPr>
            <w:tcW w:w="1077" w:type="dxa"/>
            <w:tcBorders>
              <w:top w:val="single" w:color="000000" w:sz="4" w:space="0"/>
              <w:left w:val="single" w:color="000000" w:sz="6" w:space="0"/>
              <w:bottom w:val="single" w:color="000000" w:sz="4" w:space="0"/>
              <w:right w:val="single" w:color="000000" w:sz="6" w:space="0"/>
            </w:tcBorders>
            <w:noWrap w:val="0"/>
            <w:vAlign w:val="top"/>
          </w:tcPr>
          <w:p>
            <w:pPr>
              <w:rPr>
                <w:color w:val="000000"/>
                <w:spacing w:val="-2"/>
                <w:sz w:val="28"/>
                <w:szCs w:val="28"/>
              </w:rPr>
            </w:pPr>
          </w:p>
        </w:tc>
        <w:tc>
          <w:tcPr>
            <w:tcW w:w="2005" w:type="dxa"/>
            <w:tcBorders>
              <w:top w:val="single" w:color="000000" w:sz="4" w:space="0"/>
              <w:left w:val="single" w:color="000000" w:sz="6" w:space="0"/>
              <w:bottom w:val="single" w:color="000000" w:sz="4" w:space="0"/>
              <w:right w:val="single" w:color="auto" w:sz="2" w:space="0"/>
            </w:tcBorders>
            <w:noWrap w:val="0"/>
            <w:vAlign w:val="center"/>
          </w:tcPr>
          <w:p>
            <w:pPr>
              <w:rPr>
                <w:color w:val="000000"/>
                <w:spacing w:val="-2"/>
                <w:sz w:val="28"/>
                <w:szCs w:val="28"/>
              </w:rPr>
            </w:pPr>
          </w:p>
        </w:tc>
        <w:tc>
          <w:tcPr>
            <w:tcW w:w="735" w:type="dxa"/>
            <w:tcBorders>
              <w:top w:val="single" w:color="000000" w:sz="4" w:space="0"/>
              <w:left w:val="single" w:color="000000" w:sz="6" w:space="0"/>
              <w:bottom w:val="single" w:color="000000" w:sz="4" w:space="0"/>
              <w:right w:val="single" w:color="auto" w:sz="2" w:space="0"/>
            </w:tcBorders>
            <w:noWrap w:val="0"/>
            <w:vAlign w:val="center"/>
          </w:tcPr>
          <w:p>
            <w:pPr>
              <w:rPr>
                <w:color w:val="000000"/>
                <w:spacing w:val="-2"/>
                <w:sz w:val="28"/>
                <w:szCs w:val="28"/>
              </w:rPr>
            </w:pPr>
          </w:p>
        </w:tc>
        <w:tc>
          <w:tcPr>
            <w:tcW w:w="600" w:type="dxa"/>
            <w:tcBorders>
              <w:top w:val="single" w:color="000000" w:sz="4" w:space="0"/>
              <w:left w:val="single" w:color="000000" w:sz="6" w:space="0"/>
              <w:bottom w:val="single" w:color="000000" w:sz="4" w:space="0"/>
              <w:right w:val="single" w:color="auto" w:sz="2" w:space="0"/>
            </w:tcBorders>
            <w:noWrap w:val="0"/>
            <w:vAlign w:val="center"/>
          </w:tcPr>
          <w:p>
            <w:pPr>
              <w:rPr>
                <w:color w:val="000000"/>
                <w:spacing w:val="-2"/>
                <w:sz w:val="28"/>
                <w:szCs w:val="28"/>
              </w:rPr>
            </w:pPr>
          </w:p>
        </w:tc>
        <w:tc>
          <w:tcPr>
            <w:tcW w:w="757" w:type="dxa"/>
            <w:tcBorders>
              <w:top w:val="single" w:color="000000" w:sz="4" w:space="0"/>
              <w:left w:val="single" w:color="auto" w:sz="2" w:space="0"/>
              <w:bottom w:val="single" w:color="000000" w:sz="4" w:space="0"/>
              <w:right w:val="single" w:color="000000" w:sz="4"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6"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000000" w:sz="4" w:space="0"/>
              <w:right w:val="single" w:color="000000" w:sz="6" w:space="0"/>
            </w:tcBorders>
            <w:noWrap w:val="0"/>
            <w:vAlign w:val="center"/>
          </w:tcPr>
          <w:p>
            <w:pPr>
              <w:rPr>
                <w:color w:val="000000"/>
                <w:spacing w:val="-2"/>
                <w:sz w:val="28"/>
                <w:szCs w:val="28"/>
              </w:rPr>
            </w:pPr>
          </w:p>
        </w:tc>
        <w:tc>
          <w:tcPr>
            <w:tcW w:w="1077" w:type="dxa"/>
            <w:tcBorders>
              <w:top w:val="single" w:color="000000" w:sz="4" w:space="0"/>
              <w:left w:val="single" w:color="000000" w:sz="6" w:space="0"/>
              <w:bottom w:val="single" w:color="000000" w:sz="4" w:space="0"/>
              <w:right w:val="single" w:color="000000" w:sz="6" w:space="0"/>
            </w:tcBorders>
            <w:noWrap w:val="0"/>
            <w:vAlign w:val="top"/>
          </w:tcPr>
          <w:p>
            <w:pPr>
              <w:rPr>
                <w:color w:val="000000"/>
                <w:spacing w:val="-2"/>
                <w:sz w:val="28"/>
                <w:szCs w:val="28"/>
              </w:rPr>
            </w:pPr>
          </w:p>
        </w:tc>
        <w:tc>
          <w:tcPr>
            <w:tcW w:w="2005" w:type="dxa"/>
            <w:tcBorders>
              <w:top w:val="single" w:color="000000" w:sz="4" w:space="0"/>
              <w:left w:val="single" w:color="000000" w:sz="6" w:space="0"/>
              <w:bottom w:val="single" w:color="000000" w:sz="4" w:space="0"/>
              <w:right w:val="single" w:color="auto" w:sz="2" w:space="0"/>
            </w:tcBorders>
            <w:noWrap w:val="0"/>
            <w:vAlign w:val="center"/>
          </w:tcPr>
          <w:p>
            <w:pPr>
              <w:rPr>
                <w:color w:val="000000"/>
                <w:spacing w:val="-2"/>
                <w:sz w:val="28"/>
                <w:szCs w:val="28"/>
              </w:rPr>
            </w:pPr>
          </w:p>
        </w:tc>
        <w:tc>
          <w:tcPr>
            <w:tcW w:w="735" w:type="dxa"/>
            <w:tcBorders>
              <w:top w:val="single" w:color="000000" w:sz="4" w:space="0"/>
              <w:left w:val="single" w:color="000000" w:sz="6" w:space="0"/>
              <w:bottom w:val="single" w:color="000000" w:sz="4" w:space="0"/>
              <w:right w:val="single" w:color="auto" w:sz="2" w:space="0"/>
            </w:tcBorders>
            <w:noWrap w:val="0"/>
            <w:vAlign w:val="center"/>
          </w:tcPr>
          <w:p>
            <w:pPr>
              <w:rPr>
                <w:color w:val="000000"/>
                <w:spacing w:val="-2"/>
                <w:sz w:val="28"/>
                <w:szCs w:val="28"/>
              </w:rPr>
            </w:pPr>
          </w:p>
        </w:tc>
        <w:tc>
          <w:tcPr>
            <w:tcW w:w="600" w:type="dxa"/>
            <w:tcBorders>
              <w:top w:val="single" w:color="000000" w:sz="4" w:space="0"/>
              <w:left w:val="single" w:color="000000" w:sz="6" w:space="0"/>
              <w:bottom w:val="single" w:color="000000" w:sz="4" w:space="0"/>
              <w:right w:val="single" w:color="auto" w:sz="2" w:space="0"/>
            </w:tcBorders>
            <w:noWrap w:val="0"/>
            <w:vAlign w:val="center"/>
          </w:tcPr>
          <w:p>
            <w:pPr>
              <w:rPr>
                <w:color w:val="000000"/>
                <w:spacing w:val="-2"/>
                <w:sz w:val="28"/>
                <w:szCs w:val="28"/>
              </w:rPr>
            </w:pPr>
          </w:p>
        </w:tc>
        <w:tc>
          <w:tcPr>
            <w:tcW w:w="757" w:type="dxa"/>
            <w:tcBorders>
              <w:top w:val="single" w:color="000000" w:sz="4" w:space="0"/>
              <w:left w:val="single" w:color="auto" w:sz="2" w:space="0"/>
              <w:bottom w:val="single" w:color="000000" w:sz="4" w:space="0"/>
              <w:right w:val="single" w:color="000000" w:sz="4"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6" w:space="0"/>
              <w:bottom w:val="single" w:color="000000" w:sz="4" w:space="0"/>
              <w:right w:val="single" w:color="auto" w:sz="8" w:space="0"/>
            </w:tcBorders>
            <w:noWrap w:val="0"/>
            <w:vAlign w:val="center"/>
          </w:tcPr>
          <w:p>
            <w:pPr>
              <w:rPr>
                <w:color w:val="000000"/>
                <w:spacing w:val="-2"/>
                <w:kern w:val="0"/>
                <w:sz w:val="28"/>
                <w:szCs w:val="28"/>
                <w:lang w:eastAsia="en-US"/>
              </w:rPr>
            </w:pPr>
          </w:p>
        </w:tc>
      </w:tr>
      <w:tr>
        <w:tblPrEx>
          <w:tblCellMar>
            <w:top w:w="0" w:type="dxa"/>
            <w:left w:w="0" w:type="dxa"/>
            <w:bottom w:w="0" w:type="dxa"/>
            <w:right w:w="0" w:type="dxa"/>
          </w:tblCellMar>
        </w:tblPrEx>
        <w:trPr>
          <w:trHeight w:val="680" w:hRule="exact"/>
          <w:jc w:val="center"/>
        </w:trPr>
        <w:tc>
          <w:tcPr>
            <w:tcW w:w="600" w:type="dxa"/>
            <w:tcBorders>
              <w:top w:val="single" w:color="000000" w:sz="4" w:space="0"/>
              <w:left w:val="single" w:color="auto" w:sz="8" w:space="0"/>
              <w:bottom w:val="single" w:color="auto" w:sz="8" w:space="0"/>
              <w:right w:val="single" w:color="000000" w:sz="6" w:space="0"/>
            </w:tcBorders>
            <w:noWrap w:val="0"/>
            <w:vAlign w:val="center"/>
          </w:tcPr>
          <w:p>
            <w:pPr>
              <w:rPr>
                <w:color w:val="000000"/>
                <w:spacing w:val="-2"/>
                <w:sz w:val="28"/>
                <w:szCs w:val="28"/>
              </w:rPr>
            </w:pPr>
          </w:p>
        </w:tc>
        <w:tc>
          <w:tcPr>
            <w:tcW w:w="1077" w:type="dxa"/>
            <w:tcBorders>
              <w:top w:val="single" w:color="000000" w:sz="4" w:space="0"/>
              <w:left w:val="single" w:color="000000" w:sz="6" w:space="0"/>
              <w:bottom w:val="single" w:color="auto" w:sz="8" w:space="0"/>
              <w:right w:val="single" w:color="000000" w:sz="6" w:space="0"/>
            </w:tcBorders>
            <w:noWrap w:val="0"/>
            <w:vAlign w:val="top"/>
          </w:tcPr>
          <w:p>
            <w:pPr>
              <w:rPr>
                <w:color w:val="000000"/>
                <w:spacing w:val="-2"/>
                <w:sz w:val="28"/>
                <w:szCs w:val="28"/>
              </w:rPr>
            </w:pPr>
          </w:p>
        </w:tc>
        <w:tc>
          <w:tcPr>
            <w:tcW w:w="2005" w:type="dxa"/>
            <w:tcBorders>
              <w:top w:val="single" w:color="000000" w:sz="4" w:space="0"/>
              <w:left w:val="single" w:color="000000" w:sz="6" w:space="0"/>
              <w:bottom w:val="single" w:color="auto" w:sz="8" w:space="0"/>
              <w:right w:val="single" w:color="auto" w:sz="2" w:space="0"/>
            </w:tcBorders>
            <w:noWrap w:val="0"/>
            <w:vAlign w:val="center"/>
          </w:tcPr>
          <w:p>
            <w:pPr>
              <w:rPr>
                <w:color w:val="000000"/>
                <w:spacing w:val="-2"/>
                <w:sz w:val="28"/>
                <w:szCs w:val="28"/>
              </w:rPr>
            </w:pPr>
          </w:p>
        </w:tc>
        <w:tc>
          <w:tcPr>
            <w:tcW w:w="735" w:type="dxa"/>
            <w:tcBorders>
              <w:top w:val="single" w:color="000000" w:sz="4" w:space="0"/>
              <w:left w:val="single" w:color="000000" w:sz="6" w:space="0"/>
              <w:bottom w:val="single" w:color="auto" w:sz="8" w:space="0"/>
              <w:right w:val="single" w:color="auto" w:sz="2" w:space="0"/>
            </w:tcBorders>
            <w:noWrap w:val="0"/>
            <w:vAlign w:val="center"/>
          </w:tcPr>
          <w:p>
            <w:pPr>
              <w:rPr>
                <w:color w:val="000000"/>
                <w:spacing w:val="-2"/>
                <w:sz w:val="28"/>
                <w:szCs w:val="28"/>
              </w:rPr>
            </w:pPr>
          </w:p>
        </w:tc>
        <w:tc>
          <w:tcPr>
            <w:tcW w:w="600" w:type="dxa"/>
            <w:tcBorders>
              <w:top w:val="single" w:color="000000" w:sz="4" w:space="0"/>
              <w:left w:val="single" w:color="000000" w:sz="6" w:space="0"/>
              <w:bottom w:val="single" w:color="auto" w:sz="8" w:space="0"/>
              <w:right w:val="single" w:color="auto" w:sz="2" w:space="0"/>
            </w:tcBorders>
            <w:noWrap w:val="0"/>
            <w:vAlign w:val="center"/>
          </w:tcPr>
          <w:p>
            <w:pPr>
              <w:rPr>
                <w:color w:val="000000"/>
                <w:spacing w:val="-2"/>
                <w:sz w:val="28"/>
                <w:szCs w:val="28"/>
              </w:rPr>
            </w:pPr>
          </w:p>
        </w:tc>
        <w:tc>
          <w:tcPr>
            <w:tcW w:w="757" w:type="dxa"/>
            <w:tcBorders>
              <w:top w:val="single" w:color="000000" w:sz="4" w:space="0"/>
              <w:left w:val="single" w:color="auto" w:sz="2" w:space="0"/>
              <w:bottom w:val="single" w:color="auto" w:sz="8" w:space="0"/>
              <w:right w:val="single" w:color="000000" w:sz="4" w:space="0"/>
            </w:tcBorders>
            <w:noWrap w:val="0"/>
            <w:vAlign w:val="center"/>
          </w:tcPr>
          <w:p>
            <w:pPr>
              <w:rPr>
                <w:color w:val="000000"/>
                <w:spacing w:val="-2"/>
                <w:sz w:val="28"/>
                <w:szCs w:val="28"/>
              </w:rPr>
            </w:pPr>
          </w:p>
        </w:tc>
        <w:tc>
          <w:tcPr>
            <w:tcW w:w="735" w:type="dxa"/>
            <w:tcBorders>
              <w:top w:val="single" w:color="000000" w:sz="4" w:space="0"/>
              <w:left w:val="single" w:color="000000" w:sz="4" w:space="0"/>
              <w:bottom w:val="single" w:color="auto" w:sz="8" w:space="0"/>
              <w:right w:val="single" w:color="000000" w:sz="4" w:space="0"/>
            </w:tcBorders>
            <w:noWrap w:val="0"/>
            <w:vAlign w:val="top"/>
          </w:tcPr>
          <w:p>
            <w:pPr>
              <w:rPr>
                <w:color w:val="000000"/>
                <w:spacing w:val="-2"/>
                <w:sz w:val="28"/>
                <w:szCs w:val="28"/>
              </w:rPr>
            </w:pPr>
          </w:p>
        </w:tc>
        <w:tc>
          <w:tcPr>
            <w:tcW w:w="795" w:type="dxa"/>
            <w:tcBorders>
              <w:top w:val="single" w:color="000000" w:sz="4" w:space="0"/>
              <w:left w:val="single" w:color="000000" w:sz="4" w:space="0"/>
              <w:bottom w:val="single" w:color="auto" w:sz="8" w:space="0"/>
              <w:right w:val="single" w:color="000000" w:sz="4" w:space="0"/>
            </w:tcBorders>
            <w:noWrap w:val="0"/>
            <w:vAlign w:val="center"/>
          </w:tcPr>
          <w:p>
            <w:pPr>
              <w:rPr>
                <w:color w:val="000000"/>
                <w:spacing w:val="-2"/>
                <w:sz w:val="28"/>
                <w:szCs w:val="28"/>
              </w:rPr>
            </w:pPr>
          </w:p>
        </w:tc>
        <w:tc>
          <w:tcPr>
            <w:tcW w:w="765" w:type="dxa"/>
            <w:tcBorders>
              <w:top w:val="single" w:color="000000" w:sz="4" w:space="0"/>
              <w:left w:val="single" w:color="000000" w:sz="4" w:space="0"/>
              <w:bottom w:val="single" w:color="auto" w:sz="8" w:space="0"/>
              <w:right w:val="single" w:color="000000" w:sz="6" w:space="0"/>
            </w:tcBorders>
            <w:noWrap w:val="0"/>
            <w:vAlign w:val="center"/>
          </w:tcPr>
          <w:p>
            <w:pPr>
              <w:rPr>
                <w:color w:val="000000"/>
                <w:spacing w:val="-2"/>
                <w:kern w:val="0"/>
                <w:sz w:val="28"/>
                <w:szCs w:val="28"/>
                <w:lang w:eastAsia="en-US"/>
              </w:rPr>
            </w:pPr>
          </w:p>
        </w:tc>
        <w:tc>
          <w:tcPr>
            <w:tcW w:w="630" w:type="dxa"/>
            <w:tcBorders>
              <w:top w:val="single" w:color="000000" w:sz="4" w:space="0"/>
              <w:left w:val="single" w:color="000000" w:sz="6" w:space="0"/>
              <w:bottom w:val="single" w:color="auto" w:sz="8" w:space="0"/>
              <w:right w:val="single" w:color="auto" w:sz="8" w:space="0"/>
            </w:tcBorders>
            <w:noWrap w:val="0"/>
            <w:vAlign w:val="center"/>
          </w:tcPr>
          <w:p>
            <w:pPr>
              <w:rPr>
                <w:color w:val="000000"/>
                <w:spacing w:val="-2"/>
                <w:kern w:val="0"/>
                <w:sz w:val="28"/>
                <w:szCs w:val="28"/>
                <w:lang w:eastAsia="en-US"/>
              </w:rPr>
            </w:pPr>
          </w:p>
        </w:tc>
      </w:tr>
    </w:tbl>
    <w:p>
      <w:pPr>
        <w:tabs>
          <w:tab w:val="left" w:pos="8826"/>
        </w:tabs>
        <w:spacing w:line="261" w:lineRule="exact"/>
        <w:rPr>
          <w:rFonts w:cs="宋体"/>
          <w:color w:val="000000"/>
          <w:spacing w:val="-2"/>
          <w:szCs w:val="21"/>
        </w:rPr>
      </w:pPr>
    </w:p>
    <w:p>
      <w:pPr>
        <w:tabs>
          <w:tab w:val="left" w:pos="8826"/>
        </w:tabs>
        <w:spacing w:line="261" w:lineRule="exact"/>
        <w:ind w:firstLine="172" w:firstLineChars="100"/>
        <w:rPr>
          <w:rFonts w:cs="宋体"/>
          <w:color w:val="000000"/>
          <w:spacing w:val="-2"/>
          <w:sz w:val="18"/>
          <w:szCs w:val="18"/>
        </w:rPr>
      </w:pPr>
      <w:r>
        <w:rPr>
          <w:rFonts w:hint="eastAsia" w:hAnsi="Times New Roman" w:cs="宋体"/>
          <w:color w:val="000000"/>
          <w:spacing w:val="-2"/>
          <w:sz w:val="18"/>
          <w:szCs w:val="18"/>
        </w:rPr>
        <w:t>注</w:t>
      </w:r>
      <w:r>
        <w:rPr>
          <w:rFonts w:cs="宋体"/>
          <w:color w:val="000000"/>
          <w:spacing w:val="-2"/>
          <w:sz w:val="18"/>
          <w:szCs w:val="18"/>
        </w:rPr>
        <w:t>:1.</w:t>
      </w:r>
      <w:r>
        <w:rPr>
          <w:rFonts w:hint="eastAsia" w:hAnsi="Times New Roman" w:cs="宋体"/>
          <w:color w:val="000000"/>
          <w:spacing w:val="-2"/>
          <w:sz w:val="18"/>
          <w:szCs w:val="18"/>
        </w:rPr>
        <w:t>此表由招标人填写除</w:t>
      </w:r>
      <w:r>
        <w:rPr>
          <w:rFonts w:hint="eastAsia" w:cs="宋体"/>
          <w:color w:val="000000"/>
          <w:spacing w:val="-2"/>
          <w:sz w:val="18"/>
          <w:szCs w:val="18"/>
        </w:rPr>
        <w:t>“</w:t>
      </w:r>
      <w:r>
        <w:rPr>
          <w:rFonts w:hint="eastAsia" w:hAnsi="Times New Roman" w:cs="宋体"/>
          <w:color w:val="000000"/>
          <w:spacing w:val="-2"/>
          <w:sz w:val="18"/>
          <w:szCs w:val="18"/>
        </w:rPr>
        <w:t>数量</w:t>
      </w:r>
      <w:r>
        <w:rPr>
          <w:rFonts w:hint="eastAsia" w:cs="宋体"/>
          <w:color w:val="000000"/>
          <w:spacing w:val="-2"/>
          <w:sz w:val="18"/>
          <w:szCs w:val="18"/>
        </w:rPr>
        <w:t>”</w:t>
      </w:r>
      <w:r>
        <w:rPr>
          <w:rFonts w:hint="eastAsia" w:hAnsi="Times New Roman" w:cs="宋体"/>
          <w:color w:val="000000"/>
          <w:spacing w:val="-2"/>
          <w:sz w:val="18"/>
          <w:szCs w:val="18"/>
        </w:rPr>
        <w:t>、</w:t>
      </w:r>
      <w:r>
        <w:rPr>
          <w:rFonts w:hint="eastAsia" w:cs="宋体"/>
          <w:color w:val="000000"/>
          <w:spacing w:val="-2"/>
          <w:sz w:val="18"/>
          <w:szCs w:val="18"/>
        </w:rPr>
        <w:t>“</w:t>
      </w:r>
      <w:r>
        <w:rPr>
          <w:rFonts w:hint="eastAsia" w:hAnsi="Times New Roman" w:cs="宋体"/>
          <w:color w:val="000000"/>
          <w:spacing w:val="-2"/>
          <w:sz w:val="18"/>
          <w:szCs w:val="18"/>
        </w:rPr>
        <w:t>合价</w:t>
      </w:r>
      <w:r>
        <w:rPr>
          <w:rFonts w:hint="eastAsia" w:cs="宋体"/>
          <w:color w:val="000000"/>
          <w:spacing w:val="-2"/>
          <w:sz w:val="18"/>
          <w:szCs w:val="18"/>
        </w:rPr>
        <w:t>”</w:t>
      </w:r>
      <w:r>
        <w:rPr>
          <w:rFonts w:hint="eastAsia" w:hAnsi="Times New Roman" w:cs="宋体"/>
          <w:color w:val="000000"/>
          <w:spacing w:val="-2"/>
          <w:sz w:val="18"/>
          <w:szCs w:val="18"/>
        </w:rPr>
        <w:t>栏之外的内容，</w:t>
      </w:r>
      <w:r>
        <w:rPr>
          <w:rFonts w:hint="eastAsia" w:cs="宋体"/>
          <w:color w:val="000000"/>
          <w:spacing w:val="-2"/>
          <w:sz w:val="18"/>
          <w:szCs w:val="18"/>
        </w:rPr>
        <w:t>“</w:t>
      </w:r>
      <w:r>
        <w:rPr>
          <w:rFonts w:hint="eastAsia" w:hAnsi="Times New Roman" w:cs="宋体"/>
          <w:color w:val="000000"/>
          <w:spacing w:val="-2"/>
          <w:sz w:val="18"/>
          <w:szCs w:val="18"/>
        </w:rPr>
        <w:t>数量</w:t>
      </w:r>
      <w:r>
        <w:rPr>
          <w:rFonts w:hint="eastAsia" w:cs="宋体"/>
          <w:color w:val="000000"/>
          <w:spacing w:val="-2"/>
          <w:sz w:val="18"/>
          <w:szCs w:val="18"/>
        </w:rPr>
        <w:t>”</w:t>
      </w:r>
      <w:r>
        <w:rPr>
          <w:rFonts w:hint="eastAsia" w:hAnsi="Times New Roman" w:cs="宋体"/>
          <w:color w:val="000000"/>
          <w:spacing w:val="-2"/>
          <w:sz w:val="18"/>
          <w:szCs w:val="18"/>
        </w:rPr>
        <w:t>、</w:t>
      </w:r>
      <w:r>
        <w:rPr>
          <w:rFonts w:hint="eastAsia" w:cs="宋体"/>
          <w:color w:val="000000"/>
          <w:spacing w:val="-2"/>
          <w:sz w:val="18"/>
          <w:szCs w:val="18"/>
        </w:rPr>
        <w:t>“</w:t>
      </w:r>
      <w:r>
        <w:rPr>
          <w:rFonts w:hint="eastAsia" w:hAnsi="Times New Roman" w:cs="宋体"/>
          <w:color w:val="000000"/>
          <w:spacing w:val="-2"/>
          <w:sz w:val="18"/>
          <w:szCs w:val="18"/>
        </w:rPr>
        <w:t>合价</w:t>
      </w:r>
      <w:r>
        <w:rPr>
          <w:rFonts w:hint="eastAsia" w:cs="宋体"/>
          <w:color w:val="000000"/>
          <w:spacing w:val="-2"/>
          <w:sz w:val="18"/>
          <w:szCs w:val="18"/>
        </w:rPr>
        <w:t>”</w:t>
      </w:r>
      <w:r>
        <w:rPr>
          <w:rFonts w:hint="eastAsia" w:hAnsi="Times New Roman" w:cs="宋体"/>
          <w:color w:val="000000"/>
          <w:spacing w:val="-2"/>
          <w:sz w:val="18"/>
          <w:szCs w:val="18"/>
        </w:rPr>
        <w:t>由投标人填写。</w:t>
      </w:r>
    </w:p>
    <w:p>
      <w:pPr>
        <w:tabs>
          <w:tab w:val="left" w:pos="8826"/>
        </w:tabs>
        <w:spacing w:line="261" w:lineRule="exact"/>
        <w:ind w:firstLine="430" w:firstLineChars="250"/>
        <w:rPr>
          <w:rFonts w:hAnsi="Times New Roman" w:cs="宋体"/>
          <w:color w:val="000000"/>
          <w:spacing w:val="-2"/>
          <w:sz w:val="18"/>
          <w:szCs w:val="18"/>
        </w:rPr>
      </w:pPr>
      <w:r>
        <w:rPr>
          <w:rFonts w:cs="宋体"/>
          <w:color w:val="000000"/>
          <w:spacing w:val="-2"/>
          <w:sz w:val="18"/>
          <w:szCs w:val="18"/>
        </w:rPr>
        <w:t>2.</w:t>
      </w:r>
      <w:r>
        <w:rPr>
          <w:rFonts w:hint="eastAsia" w:hAnsi="Times New Roman" w:cs="宋体"/>
          <w:color w:val="000000"/>
          <w:spacing w:val="-2"/>
          <w:sz w:val="18"/>
          <w:szCs w:val="18"/>
        </w:rPr>
        <w:t>结算时，</w:t>
      </w:r>
      <w:r>
        <w:rPr>
          <w:rFonts w:hint="eastAsia" w:cs="宋体"/>
          <w:color w:val="000000"/>
          <w:spacing w:val="-2"/>
          <w:sz w:val="18"/>
          <w:szCs w:val="18"/>
        </w:rPr>
        <w:t>“</w:t>
      </w:r>
      <w:r>
        <w:rPr>
          <w:rFonts w:hint="eastAsia" w:hAnsi="Times New Roman" w:cs="宋体"/>
          <w:color w:val="000000"/>
          <w:spacing w:val="-2"/>
          <w:sz w:val="18"/>
          <w:szCs w:val="18"/>
        </w:rPr>
        <w:t>单价</w:t>
      </w:r>
      <w:r>
        <w:rPr>
          <w:rFonts w:hint="eastAsia" w:cs="宋体"/>
          <w:color w:val="000000"/>
          <w:spacing w:val="-2"/>
          <w:sz w:val="18"/>
          <w:szCs w:val="18"/>
        </w:rPr>
        <w:t>”</w:t>
      </w:r>
      <w:r>
        <w:rPr>
          <w:rFonts w:hint="eastAsia" w:hAnsi="Times New Roman" w:cs="宋体"/>
          <w:color w:val="000000"/>
          <w:spacing w:val="-2"/>
          <w:sz w:val="18"/>
          <w:szCs w:val="18"/>
        </w:rPr>
        <w:t>栏按招标人实际采购价（包含采保费）列入。</w:t>
      </w:r>
    </w:p>
    <w:p>
      <w:pPr>
        <w:tabs>
          <w:tab w:val="left" w:pos="8826"/>
        </w:tabs>
        <w:spacing w:line="261" w:lineRule="exact"/>
        <w:ind w:firstLine="430" w:firstLineChars="250"/>
        <w:rPr>
          <w:rFonts w:hAnsi="Times New Roman" w:cs="宋体"/>
          <w:color w:val="000000"/>
          <w:spacing w:val="-2"/>
          <w:sz w:val="18"/>
          <w:szCs w:val="18"/>
        </w:rPr>
      </w:pPr>
    </w:p>
    <w:p>
      <w:pPr>
        <w:tabs>
          <w:tab w:val="left" w:pos="8826"/>
        </w:tabs>
        <w:spacing w:line="261" w:lineRule="exact"/>
        <w:ind w:right="352" w:firstLine="430" w:firstLineChars="250"/>
        <w:rPr>
          <w:rFonts w:cs="宋体"/>
          <w:color w:val="000000"/>
          <w:spacing w:val="-2"/>
          <w:sz w:val="18"/>
          <w:szCs w:val="18"/>
        </w:rPr>
      </w:pPr>
    </w:p>
    <w:p>
      <w:pPr>
        <w:tabs>
          <w:tab w:val="left" w:pos="707"/>
        </w:tabs>
        <w:jc w:val="center"/>
        <w:outlineLvl w:val="2"/>
        <w:rPr>
          <w:rFonts w:ascii="Times New Roman" w:eastAsia="方正黑体_GBK" w:cs="宋体"/>
          <w:color w:val="000000"/>
          <w:spacing w:val="-2"/>
          <w:kern w:val="0"/>
          <w:sz w:val="24"/>
        </w:rPr>
      </w:pPr>
      <w:bookmarkStart w:id="687" w:name="_Toc359844005"/>
      <w:bookmarkStart w:id="688" w:name="_Toc359843546"/>
      <w:bookmarkStart w:id="689" w:name="_Toc359930038"/>
      <w:r>
        <w:rPr>
          <w:rFonts w:hint="eastAsia" w:ascii="Times New Roman" w:eastAsia="方正黑体_GBK" w:cs="宋体"/>
          <w:color w:val="000000"/>
          <w:spacing w:val="-2"/>
          <w:kern w:val="0"/>
          <w:sz w:val="24"/>
        </w:rPr>
        <w:t>L.2</w:t>
      </w:r>
      <w:r>
        <w:rPr>
          <w:rFonts w:hint="eastAsia" w:ascii="Times New Roman" w:eastAsia="方正黑体_GBK" w:cs="宋体"/>
          <w:color w:val="000000"/>
          <w:spacing w:val="-2"/>
          <w:kern w:val="0"/>
          <w:sz w:val="24"/>
        </w:rPr>
        <w:tab/>
      </w:r>
      <w:r>
        <w:rPr>
          <w:rFonts w:hint="eastAsia" w:ascii="Times New Roman" w:eastAsia="方正黑体_GBK" w:cs="宋体"/>
          <w:color w:val="000000"/>
          <w:spacing w:val="-2"/>
          <w:kern w:val="0"/>
          <w:sz w:val="24"/>
        </w:rPr>
        <w:t>承包人提供主要材料和工程设备一览表</w:t>
      </w:r>
      <w:bookmarkEnd w:id="687"/>
      <w:bookmarkEnd w:id="688"/>
      <w:bookmarkEnd w:id="689"/>
    </w:p>
    <w:p>
      <w:pPr>
        <w:spacing w:before="8"/>
        <w:jc w:val="center"/>
        <w:outlineLvl w:val="4"/>
        <w:rPr>
          <w:rFonts w:hint="eastAsia"/>
          <w:color w:val="000000"/>
          <w:spacing w:val="-2"/>
          <w:kern w:val="0"/>
          <w:sz w:val="24"/>
        </w:rPr>
      </w:pPr>
      <w:r>
        <w:rPr>
          <w:rFonts w:cs="宋体"/>
          <w:color w:val="000000"/>
          <w:spacing w:val="-2"/>
          <w:kern w:val="0"/>
          <w:sz w:val="24"/>
        </w:rPr>
        <w:t>(</w:t>
      </w:r>
      <w:r>
        <w:rPr>
          <w:rFonts w:hint="eastAsia" w:hAnsi="Times New Roman" w:cs="宋体"/>
          <w:color w:val="000000"/>
          <w:spacing w:val="-2"/>
          <w:kern w:val="0"/>
          <w:sz w:val="24"/>
        </w:rPr>
        <w:t>适用于造价信息差额调整法</w:t>
      </w:r>
      <w:r>
        <w:rPr>
          <w:rFonts w:cs="宋体"/>
          <w:color w:val="000000"/>
          <w:spacing w:val="-2"/>
          <w:kern w:val="0"/>
          <w:sz w:val="24"/>
        </w:rPr>
        <w:t>)</w:t>
      </w:r>
    </w:p>
    <w:p>
      <w:pPr>
        <w:spacing w:before="19" w:line="200" w:lineRule="exact"/>
        <w:rPr>
          <w:color w:val="000000"/>
          <w:spacing w:val="-2"/>
          <w:sz w:val="20"/>
        </w:rPr>
      </w:pPr>
    </w:p>
    <w:p>
      <w:pPr>
        <w:tabs>
          <w:tab w:val="left" w:pos="4094"/>
          <w:tab w:val="left" w:pos="7455"/>
          <w:tab w:val="left" w:pos="7981"/>
          <w:tab w:val="left" w:pos="8715"/>
        </w:tabs>
        <w:spacing w:after="120"/>
        <w:rPr>
          <w:rFonts w:ascii="Times New Roman" w:eastAsia="方正仿宋_GBK"/>
          <w:color w:val="000000"/>
          <w:spacing w:val="-2"/>
        </w:rPr>
      </w:pPr>
      <w:r>
        <w:rPr>
          <w:rFonts w:hint="eastAsia" w:ascii="Times New Roman" w:eastAsia="方正仿宋_GBK"/>
          <w:color w:val="000000"/>
          <w:spacing w:val="-2"/>
        </w:rPr>
        <w:t>工程名称：                               标段：                        第   页共     页</w:t>
      </w:r>
    </w:p>
    <w:p>
      <w:pPr>
        <w:spacing w:before="9" w:line="40" w:lineRule="exact"/>
        <w:rPr>
          <w:rFonts w:hint="eastAsia"/>
          <w:color w:val="000000"/>
          <w:spacing w:val="-2"/>
          <w:sz w:val="4"/>
          <w:szCs w:val="4"/>
        </w:rPr>
      </w:pPr>
    </w:p>
    <w:tbl>
      <w:tblPr>
        <w:tblStyle w:val="12"/>
        <w:tblW w:w="0" w:type="auto"/>
        <w:jc w:val="center"/>
        <w:tblLayout w:type="fixed"/>
        <w:tblCellMar>
          <w:top w:w="0" w:type="dxa"/>
          <w:left w:w="0" w:type="dxa"/>
          <w:bottom w:w="0" w:type="dxa"/>
          <w:right w:w="0" w:type="dxa"/>
        </w:tblCellMar>
      </w:tblPr>
      <w:tblGrid>
        <w:gridCol w:w="649"/>
        <w:gridCol w:w="1072"/>
        <w:gridCol w:w="1575"/>
        <w:gridCol w:w="611"/>
        <w:gridCol w:w="758"/>
        <w:gridCol w:w="850"/>
        <w:gridCol w:w="851"/>
        <w:gridCol w:w="851"/>
        <w:gridCol w:w="851"/>
        <w:gridCol w:w="768"/>
      </w:tblGrid>
      <w:tr>
        <w:tblPrEx>
          <w:tblCellMar>
            <w:top w:w="0" w:type="dxa"/>
            <w:left w:w="0" w:type="dxa"/>
            <w:bottom w:w="0" w:type="dxa"/>
            <w:right w:w="0" w:type="dxa"/>
          </w:tblCellMar>
        </w:tblPrEx>
        <w:trPr>
          <w:trHeight w:val="1238" w:hRule="exact"/>
          <w:jc w:val="center"/>
        </w:trPr>
        <w:tc>
          <w:tcPr>
            <w:tcW w:w="649" w:type="dxa"/>
            <w:tcBorders>
              <w:top w:val="single" w:color="auto" w:sz="8" w:space="0"/>
              <w:left w:val="single" w:color="auto" w:sz="8" w:space="0"/>
              <w:bottom w:val="single" w:color="000000" w:sz="4" w:space="0"/>
              <w:right w:val="single" w:color="000000" w:sz="4"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序号</w:t>
            </w:r>
          </w:p>
        </w:tc>
        <w:tc>
          <w:tcPr>
            <w:tcW w:w="1072" w:type="dxa"/>
            <w:tcBorders>
              <w:top w:val="single" w:color="auto" w:sz="8" w:space="0"/>
              <w:left w:val="single" w:color="000000" w:sz="4" w:space="0"/>
              <w:bottom w:val="single" w:color="000000" w:sz="4" w:space="0"/>
              <w:right w:val="single" w:color="000000" w:sz="4" w:space="0"/>
            </w:tcBorders>
            <w:noWrap w:val="0"/>
            <w:vAlign w:val="center"/>
          </w:tcPr>
          <w:p>
            <w:pPr>
              <w:jc w:val="center"/>
              <w:rPr>
                <w:rFonts w:ascii="Times New Roman" w:eastAsia="方正黑体_GBK" w:cs="宋体"/>
                <w:color w:val="000000"/>
                <w:spacing w:val="-2"/>
                <w:kern w:val="0"/>
                <w:sz w:val="18"/>
                <w:szCs w:val="18"/>
              </w:rPr>
            </w:pPr>
            <w:r>
              <w:rPr>
                <w:rFonts w:hint="eastAsia" w:ascii="Times New Roman" w:hAnsi="Times New Roman" w:eastAsia="方正黑体_GBK" w:cs="宋体"/>
                <w:color w:val="000000"/>
                <w:spacing w:val="-2"/>
                <w:kern w:val="0"/>
                <w:sz w:val="18"/>
                <w:szCs w:val="18"/>
              </w:rPr>
              <w:t>材料编码</w:t>
            </w:r>
          </w:p>
        </w:tc>
        <w:tc>
          <w:tcPr>
            <w:tcW w:w="1575" w:type="dxa"/>
            <w:tcBorders>
              <w:top w:val="single" w:color="auto" w:sz="8" w:space="0"/>
              <w:left w:val="single" w:color="000000" w:sz="4" w:space="0"/>
              <w:bottom w:val="single" w:color="000000" w:sz="4" w:space="0"/>
              <w:right w:val="single" w:color="000000" w:sz="4"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名称、规格、型号</w:t>
            </w:r>
          </w:p>
        </w:tc>
        <w:tc>
          <w:tcPr>
            <w:tcW w:w="611" w:type="dxa"/>
            <w:tcBorders>
              <w:top w:val="single" w:color="auto" w:sz="8" w:space="0"/>
              <w:left w:val="single" w:color="000000" w:sz="4" w:space="0"/>
              <w:bottom w:val="single" w:color="000000" w:sz="4" w:space="0"/>
              <w:right w:val="single" w:color="000000" w:sz="4" w:space="0"/>
            </w:tcBorders>
            <w:noWrap w:val="0"/>
            <w:vAlign w:val="center"/>
          </w:tcPr>
          <w:p>
            <w:pPr>
              <w:spacing w:line="360" w:lineRule="auto"/>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单位</w:t>
            </w:r>
          </w:p>
        </w:tc>
        <w:tc>
          <w:tcPr>
            <w:tcW w:w="758" w:type="dxa"/>
            <w:tcBorders>
              <w:top w:val="single" w:color="auto" w:sz="8" w:space="0"/>
              <w:left w:val="single" w:color="000000" w:sz="4" w:space="0"/>
              <w:bottom w:val="single" w:color="000000" w:sz="4" w:space="0"/>
              <w:right w:val="single" w:color="000000" w:sz="4" w:space="0"/>
            </w:tcBorders>
            <w:noWrap w:val="0"/>
            <w:vAlign w:val="center"/>
          </w:tcPr>
          <w:p>
            <w:pPr>
              <w:spacing w:line="360" w:lineRule="auto"/>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数量</w:t>
            </w:r>
          </w:p>
        </w:tc>
        <w:tc>
          <w:tcPr>
            <w:tcW w:w="850" w:type="dxa"/>
            <w:tcBorders>
              <w:top w:val="single" w:color="auto" w:sz="8" w:space="0"/>
              <w:left w:val="single" w:color="000000" w:sz="4" w:space="0"/>
              <w:bottom w:val="single" w:color="000000" w:sz="4" w:space="0"/>
              <w:right w:val="single" w:color="000000" w:sz="4"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风险系数</w:t>
            </w:r>
            <w:r>
              <w:rPr>
                <w:rFonts w:hint="eastAsia" w:ascii="Times New Roman" w:hAnsi="Times New Roman" w:eastAsia="方正黑体_GBK" w:cs="宋体"/>
                <w:color w:val="000000"/>
                <w:spacing w:val="-2"/>
                <w:kern w:val="0"/>
                <w:sz w:val="18"/>
                <w:szCs w:val="18"/>
                <w:lang w:eastAsia="en-US"/>
              </w:rPr>
              <w:t>（</w:t>
            </w:r>
            <w:r>
              <w:rPr>
                <w:rFonts w:hint="eastAsia" w:ascii="Times New Roman" w:eastAsia="方正黑体_GBK" w:cs="宋体"/>
                <w:color w:val="000000"/>
                <w:spacing w:val="-2"/>
                <w:kern w:val="0"/>
                <w:sz w:val="18"/>
                <w:szCs w:val="18"/>
                <w:lang w:eastAsia="en-US"/>
              </w:rPr>
              <w:t>%</w:t>
            </w:r>
            <w:r>
              <w:rPr>
                <w:rFonts w:hint="eastAsia" w:ascii="Times New Roman" w:hAnsi="Times New Roman" w:eastAsia="方正黑体_GBK" w:cs="宋体"/>
                <w:color w:val="000000"/>
                <w:spacing w:val="-2"/>
                <w:kern w:val="0"/>
                <w:sz w:val="18"/>
                <w:szCs w:val="18"/>
                <w:lang w:eastAsia="en-US"/>
              </w:rPr>
              <w:t>）</w:t>
            </w:r>
          </w:p>
        </w:tc>
        <w:tc>
          <w:tcPr>
            <w:tcW w:w="851" w:type="dxa"/>
            <w:tcBorders>
              <w:top w:val="single" w:color="auto" w:sz="8" w:space="0"/>
              <w:left w:val="single" w:color="000000" w:sz="4" w:space="0"/>
              <w:bottom w:val="single" w:color="000000" w:sz="4" w:space="0"/>
              <w:right w:val="single" w:color="000000" w:sz="4"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基准单价</w:t>
            </w:r>
            <w:r>
              <w:rPr>
                <w:rFonts w:hint="eastAsia" w:ascii="Times New Roman" w:hAnsi="Times New Roman" w:eastAsia="方正黑体_GBK" w:cs="宋体"/>
                <w:color w:val="000000"/>
                <w:spacing w:val="-2"/>
                <w:kern w:val="0"/>
                <w:sz w:val="18"/>
                <w:szCs w:val="18"/>
                <w:lang w:eastAsia="en-US"/>
              </w:rPr>
              <w:t>（元）</w:t>
            </w:r>
          </w:p>
        </w:tc>
        <w:tc>
          <w:tcPr>
            <w:tcW w:w="851" w:type="dxa"/>
            <w:tcBorders>
              <w:top w:val="single" w:color="auto" w:sz="8" w:space="0"/>
              <w:left w:val="single" w:color="000000" w:sz="4" w:space="0"/>
              <w:bottom w:val="single" w:color="000000" w:sz="4" w:space="0"/>
              <w:right w:val="single" w:color="000000" w:sz="4"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投标单价</w:t>
            </w:r>
            <w:r>
              <w:rPr>
                <w:rFonts w:hint="eastAsia" w:ascii="Times New Roman" w:hAnsi="Times New Roman" w:eastAsia="方正黑体_GBK" w:cs="宋体"/>
                <w:color w:val="000000"/>
                <w:spacing w:val="-2"/>
                <w:kern w:val="0"/>
                <w:sz w:val="18"/>
                <w:szCs w:val="18"/>
                <w:lang w:eastAsia="en-US"/>
              </w:rPr>
              <w:t>（元）</w:t>
            </w:r>
          </w:p>
        </w:tc>
        <w:tc>
          <w:tcPr>
            <w:tcW w:w="851" w:type="dxa"/>
            <w:tcBorders>
              <w:top w:val="single" w:color="auto" w:sz="8" w:space="0"/>
              <w:left w:val="single" w:color="000000" w:sz="4" w:space="0"/>
              <w:bottom w:val="single" w:color="000000" w:sz="4" w:space="0"/>
              <w:right w:val="single" w:color="000000" w:sz="4"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发承包人确认单价（元）</w:t>
            </w:r>
          </w:p>
        </w:tc>
        <w:tc>
          <w:tcPr>
            <w:tcW w:w="768" w:type="dxa"/>
            <w:tcBorders>
              <w:top w:val="single" w:color="auto" w:sz="8" w:space="0"/>
              <w:left w:val="single" w:color="000000" w:sz="4" w:space="0"/>
              <w:bottom w:val="single" w:color="000000" w:sz="4" w:space="0"/>
              <w:right w:val="single" w:color="auto" w:sz="8" w:space="0"/>
            </w:tcBorders>
            <w:noWrap w:val="0"/>
            <w:vAlign w:val="center"/>
          </w:tcPr>
          <w:p>
            <w:pPr>
              <w:jc w:val="center"/>
              <w:rPr>
                <w:rFonts w:ascii="Times New Roman" w:eastAsia="方正黑体_GBK"/>
                <w:color w:val="000000"/>
                <w:spacing w:val="-2"/>
                <w:kern w:val="0"/>
                <w:sz w:val="18"/>
                <w:szCs w:val="18"/>
              </w:rPr>
            </w:pPr>
            <w:r>
              <w:rPr>
                <w:rFonts w:hint="eastAsia" w:ascii="Times New Roman" w:hAnsi="Times New Roman" w:eastAsia="方正黑体_GBK" w:cs="宋体"/>
                <w:color w:val="000000"/>
                <w:spacing w:val="-2"/>
                <w:kern w:val="0"/>
                <w:sz w:val="18"/>
                <w:szCs w:val="18"/>
              </w:rPr>
              <w:t>备注</w:t>
            </w: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58"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jc w:val="center"/>
              <w:rPr>
                <w:color w:val="000000"/>
                <w:spacing w:val="-2"/>
                <w:kern w:val="0"/>
                <w:sz w:val="18"/>
                <w:szCs w:val="18"/>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rPr>
                <w:color w:val="000000"/>
                <w:spacing w:val="-2"/>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611" w:type="dxa"/>
            <w:tcBorders>
              <w:top w:val="single" w:color="000000" w:sz="4" w:space="0"/>
              <w:left w:val="single" w:color="000000" w:sz="4" w:space="0"/>
              <w:bottom w:val="single" w:color="000000" w:sz="4" w:space="0"/>
              <w:right w:val="single" w:color="000000" w:sz="6" w:space="0"/>
            </w:tcBorders>
            <w:noWrap w:val="0"/>
            <w:vAlign w:val="center"/>
          </w:tcPr>
          <w:p>
            <w:pPr>
              <w:rPr>
                <w:color w:val="000000"/>
                <w:spacing w:val="-2"/>
              </w:rPr>
            </w:pPr>
          </w:p>
        </w:tc>
        <w:tc>
          <w:tcPr>
            <w:tcW w:w="758" w:type="dxa"/>
            <w:tcBorders>
              <w:top w:val="single" w:color="000000" w:sz="4" w:space="0"/>
              <w:left w:val="single" w:color="000000" w:sz="6" w:space="0"/>
              <w:bottom w:val="single" w:color="000000" w:sz="4" w:space="0"/>
              <w:right w:val="single" w:color="000000" w:sz="4" w:space="0"/>
            </w:tcBorders>
            <w:noWrap w:val="0"/>
            <w:vAlign w:val="center"/>
          </w:tcPr>
          <w:p>
            <w:pPr>
              <w:rPr>
                <w:color w:val="000000"/>
                <w:spacing w:val="-2"/>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rPr>
                <w:color w:val="000000"/>
                <w:spacing w:val="-2"/>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rPr>
                <w:color w:val="000000"/>
                <w:spacing w:val="-2"/>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000000" w:sz="4" w:space="0"/>
              <w:right w:val="single" w:color="000000" w:sz="4" w:space="0"/>
            </w:tcBorders>
            <w:noWrap w:val="0"/>
            <w:vAlign w:val="center"/>
          </w:tcPr>
          <w:p>
            <w:pPr>
              <w:spacing w:before="4" w:line="140" w:lineRule="exact"/>
              <w:jc w:val="left"/>
              <w:rPr>
                <w:color w:val="000000"/>
                <w:spacing w:val="-2"/>
                <w:kern w:val="0"/>
                <w:sz w:val="14"/>
                <w:szCs w:val="14"/>
              </w:rPr>
            </w:pPr>
          </w:p>
        </w:tc>
        <w:tc>
          <w:tcPr>
            <w:tcW w:w="1072" w:type="dxa"/>
            <w:tcBorders>
              <w:top w:val="single" w:color="000000" w:sz="4" w:space="0"/>
              <w:left w:val="single" w:color="000000" w:sz="4" w:space="0"/>
              <w:bottom w:val="single" w:color="000000" w:sz="4" w:space="0"/>
              <w:right w:val="single" w:color="000000" w:sz="4" w:space="0"/>
            </w:tcBorders>
            <w:noWrap w:val="0"/>
            <w:vAlign w:val="top"/>
          </w:tcPr>
          <w:p>
            <w:pPr>
              <w:tabs>
                <w:tab w:val="left" w:pos="542"/>
              </w:tabs>
              <w:jc w:val="center"/>
              <w:rPr>
                <w:color w:val="000000"/>
                <w:spacing w:val="-2"/>
                <w:kern w:val="0"/>
                <w:sz w:val="18"/>
                <w:szCs w:val="18"/>
              </w:rPr>
            </w:pPr>
          </w:p>
        </w:tc>
        <w:tc>
          <w:tcPr>
            <w:tcW w:w="1575" w:type="dxa"/>
            <w:tcBorders>
              <w:top w:val="single" w:color="000000" w:sz="4" w:space="0"/>
              <w:left w:val="single" w:color="000000" w:sz="4" w:space="0"/>
              <w:bottom w:val="single" w:color="000000" w:sz="4" w:space="0"/>
              <w:right w:val="single" w:color="000000" w:sz="6" w:space="0"/>
            </w:tcBorders>
            <w:noWrap w:val="0"/>
            <w:vAlign w:val="center"/>
          </w:tcPr>
          <w:p>
            <w:pPr>
              <w:tabs>
                <w:tab w:val="left" w:pos="542"/>
              </w:tabs>
              <w:jc w:val="center"/>
              <w:rPr>
                <w:color w:val="000000"/>
                <w:spacing w:val="-2"/>
                <w:kern w:val="0"/>
                <w:sz w:val="18"/>
                <w:szCs w:val="18"/>
              </w:rPr>
            </w:pPr>
          </w:p>
        </w:tc>
        <w:tc>
          <w:tcPr>
            <w:tcW w:w="611" w:type="dxa"/>
            <w:tcBorders>
              <w:top w:val="single" w:color="000000" w:sz="4" w:space="0"/>
              <w:left w:val="single" w:color="000000" w:sz="6" w:space="0"/>
              <w:bottom w:val="single" w:color="000000" w:sz="4" w:space="0"/>
              <w:right w:val="single" w:color="000000" w:sz="4" w:space="0"/>
            </w:tcBorders>
            <w:noWrap w:val="0"/>
            <w:vAlign w:val="center"/>
          </w:tcPr>
          <w:p>
            <w:pPr>
              <w:tabs>
                <w:tab w:val="left" w:pos="542"/>
              </w:tabs>
              <w:jc w:val="center"/>
              <w:rPr>
                <w:color w:val="000000"/>
                <w:spacing w:val="-2"/>
                <w:kern w:val="0"/>
                <w:sz w:val="18"/>
                <w:szCs w:val="18"/>
              </w:rPr>
            </w:pPr>
          </w:p>
        </w:tc>
        <w:tc>
          <w:tcPr>
            <w:tcW w:w="758" w:type="dxa"/>
            <w:tcBorders>
              <w:top w:val="single" w:color="000000" w:sz="4" w:space="0"/>
              <w:left w:val="single" w:color="000000" w:sz="6" w:space="0"/>
              <w:bottom w:val="single" w:color="000000" w:sz="4" w:space="0"/>
              <w:right w:val="single" w:color="000000" w:sz="4" w:space="0"/>
            </w:tcBorders>
            <w:noWrap w:val="0"/>
            <w:vAlign w:val="center"/>
          </w:tcPr>
          <w:p>
            <w:pPr>
              <w:tabs>
                <w:tab w:val="left" w:pos="542"/>
              </w:tabs>
              <w:ind w:left="199"/>
              <w:jc w:val="center"/>
              <w:rPr>
                <w:color w:val="000000"/>
                <w:spacing w:val="-2"/>
                <w:kern w:val="0"/>
                <w:sz w:val="18"/>
                <w:szCs w:val="18"/>
              </w:rPr>
            </w:pPr>
          </w:p>
        </w:tc>
        <w:tc>
          <w:tcPr>
            <w:tcW w:w="850" w:type="dxa"/>
            <w:tcBorders>
              <w:top w:val="single" w:color="000000" w:sz="4" w:space="0"/>
              <w:left w:val="single" w:color="000000" w:sz="4" w:space="0"/>
              <w:bottom w:val="single" w:color="000000" w:sz="4" w:space="0"/>
              <w:right w:val="single" w:color="000000" w:sz="4" w:space="0"/>
            </w:tcBorders>
            <w:noWrap w:val="0"/>
            <w:vAlign w:val="center"/>
          </w:tcPr>
          <w:p>
            <w:pPr>
              <w:jc w:val="left"/>
              <w:rPr>
                <w:color w:val="000000"/>
                <w:spacing w:val="-2"/>
                <w:kern w:val="0"/>
                <w:sz w:val="22"/>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jc w:val="center"/>
              <w:rPr>
                <w:color w:val="000000"/>
                <w:spacing w:val="-2"/>
                <w:kern w:val="0"/>
                <w:sz w:val="18"/>
                <w:szCs w:val="18"/>
                <w:lang w:eastAsia="en-US"/>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spacing w:before="4" w:line="140" w:lineRule="exact"/>
              <w:jc w:val="left"/>
              <w:rPr>
                <w:color w:val="000000"/>
                <w:spacing w:val="-2"/>
                <w:kern w:val="0"/>
                <w:sz w:val="14"/>
                <w:szCs w:val="14"/>
              </w:rPr>
            </w:pPr>
          </w:p>
        </w:tc>
        <w:tc>
          <w:tcPr>
            <w:tcW w:w="851" w:type="dxa"/>
            <w:tcBorders>
              <w:top w:val="single" w:color="000000" w:sz="4" w:space="0"/>
              <w:left w:val="single" w:color="000000" w:sz="4" w:space="0"/>
              <w:bottom w:val="single" w:color="000000" w:sz="4" w:space="0"/>
              <w:right w:val="single" w:color="000000" w:sz="4" w:space="0"/>
            </w:tcBorders>
            <w:noWrap w:val="0"/>
            <w:vAlign w:val="center"/>
          </w:tcPr>
          <w:p>
            <w:pPr>
              <w:spacing w:before="4" w:line="140" w:lineRule="exact"/>
              <w:jc w:val="left"/>
              <w:rPr>
                <w:color w:val="000000"/>
                <w:spacing w:val="-2"/>
                <w:kern w:val="0"/>
                <w:sz w:val="14"/>
                <w:szCs w:val="14"/>
              </w:rPr>
            </w:pPr>
          </w:p>
        </w:tc>
        <w:tc>
          <w:tcPr>
            <w:tcW w:w="768" w:type="dxa"/>
            <w:tcBorders>
              <w:top w:val="single" w:color="000000" w:sz="4" w:space="0"/>
              <w:left w:val="single" w:color="000000" w:sz="4" w:space="0"/>
              <w:bottom w:val="single" w:color="000000" w:sz="4" w:space="0"/>
              <w:right w:val="single" w:color="auto" w:sz="8" w:space="0"/>
            </w:tcBorders>
            <w:noWrap w:val="0"/>
            <w:vAlign w:val="center"/>
          </w:tcPr>
          <w:p>
            <w:pPr>
              <w:spacing w:before="4" w:line="140" w:lineRule="exact"/>
              <w:jc w:val="left"/>
              <w:rPr>
                <w:color w:val="000000"/>
                <w:spacing w:val="-2"/>
                <w:kern w:val="0"/>
                <w:sz w:val="14"/>
                <w:szCs w:val="14"/>
              </w:rPr>
            </w:pPr>
          </w:p>
        </w:tc>
      </w:tr>
      <w:tr>
        <w:tblPrEx>
          <w:tblCellMar>
            <w:top w:w="0" w:type="dxa"/>
            <w:left w:w="0" w:type="dxa"/>
            <w:bottom w:w="0" w:type="dxa"/>
            <w:right w:w="0" w:type="dxa"/>
          </w:tblCellMar>
        </w:tblPrEx>
        <w:trPr>
          <w:trHeight w:val="680" w:hRule="exact"/>
          <w:jc w:val="center"/>
        </w:trPr>
        <w:tc>
          <w:tcPr>
            <w:tcW w:w="649" w:type="dxa"/>
            <w:tcBorders>
              <w:top w:val="single" w:color="000000" w:sz="4" w:space="0"/>
              <w:left w:val="single" w:color="auto" w:sz="8" w:space="0"/>
              <w:bottom w:val="single" w:color="auto" w:sz="8" w:space="0"/>
              <w:right w:val="single" w:color="000000" w:sz="4" w:space="0"/>
            </w:tcBorders>
            <w:noWrap w:val="0"/>
            <w:vAlign w:val="center"/>
          </w:tcPr>
          <w:p>
            <w:pPr>
              <w:spacing w:before="4" w:line="140" w:lineRule="exact"/>
              <w:jc w:val="left"/>
              <w:rPr>
                <w:color w:val="000000"/>
                <w:spacing w:val="-2"/>
                <w:kern w:val="0"/>
                <w:sz w:val="14"/>
                <w:szCs w:val="14"/>
              </w:rPr>
            </w:pPr>
          </w:p>
          <w:p>
            <w:pPr>
              <w:spacing w:before="4" w:line="140" w:lineRule="exact"/>
              <w:jc w:val="left"/>
              <w:rPr>
                <w:color w:val="000000"/>
                <w:spacing w:val="-2"/>
                <w:kern w:val="0"/>
                <w:sz w:val="14"/>
                <w:szCs w:val="14"/>
              </w:rPr>
            </w:pPr>
          </w:p>
        </w:tc>
        <w:tc>
          <w:tcPr>
            <w:tcW w:w="1072" w:type="dxa"/>
            <w:tcBorders>
              <w:top w:val="single" w:color="000000" w:sz="4" w:space="0"/>
              <w:left w:val="single" w:color="000000" w:sz="4" w:space="0"/>
              <w:bottom w:val="single" w:color="auto" w:sz="8" w:space="0"/>
              <w:right w:val="single" w:color="000000" w:sz="4" w:space="0"/>
            </w:tcBorders>
            <w:noWrap w:val="0"/>
            <w:vAlign w:val="top"/>
          </w:tcPr>
          <w:p>
            <w:pPr>
              <w:tabs>
                <w:tab w:val="left" w:pos="542"/>
              </w:tabs>
              <w:jc w:val="center"/>
              <w:rPr>
                <w:color w:val="000000"/>
                <w:spacing w:val="-2"/>
                <w:kern w:val="0"/>
                <w:sz w:val="18"/>
                <w:szCs w:val="18"/>
              </w:rPr>
            </w:pPr>
          </w:p>
        </w:tc>
        <w:tc>
          <w:tcPr>
            <w:tcW w:w="1575" w:type="dxa"/>
            <w:tcBorders>
              <w:top w:val="single" w:color="000000" w:sz="4" w:space="0"/>
              <w:left w:val="single" w:color="000000" w:sz="4" w:space="0"/>
              <w:bottom w:val="single" w:color="auto" w:sz="8" w:space="0"/>
              <w:right w:val="single" w:color="000000" w:sz="6" w:space="0"/>
            </w:tcBorders>
            <w:noWrap w:val="0"/>
            <w:vAlign w:val="center"/>
          </w:tcPr>
          <w:p>
            <w:pPr>
              <w:tabs>
                <w:tab w:val="left" w:pos="542"/>
              </w:tabs>
              <w:jc w:val="center"/>
              <w:rPr>
                <w:color w:val="000000"/>
                <w:spacing w:val="-2"/>
                <w:kern w:val="0"/>
                <w:sz w:val="18"/>
                <w:szCs w:val="18"/>
              </w:rPr>
            </w:pPr>
          </w:p>
        </w:tc>
        <w:tc>
          <w:tcPr>
            <w:tcW w:w="611" w:type="dxa"/>
            <w:tcBorders>
              <w:top w:val="single" w:color="000000" w:sz="4" w:space="0"/>
              <w:left w:val="single" w:color="000000" w:sz="6" w:space="0"/>
              <w:bottom w:val="single" w:color="auto" w:sz="8" w:space="0"/>
              <w:right w:val="single" w:color="000000" w:sz="4" w:space="0"/>
            </w:tcBorders>
            <w:noWrap w:val="0"/>
            <w:vAlign w:val="center"/>
          </w:tcPr>
          <w:p>
            <w:pPr>
              <w:tabs>
                <w:tab w:val="left" w:pos="542"/>
              </w:tabs>
              <w:jc w:val="center"/>
              <w:rPr>
                <w:color w:val="000000"/>
                <w:spacing w:val="-2"/>
                <w:kern w:val="0"/>
                <w:sz w:val="18"/>
                <w:szCs w:val="18"/>
              </w:rPr>
            </w:pPr>
          </w:p>
        </w:tc>
        <w:tc>
          <w:tcPr>
            <w:tcW w:w="758" w:type="dxa"/>
            <w:tcBorders>
              <w:top w:val="single" w:color="000000" w:sz="4" w:space="0"/>
              <w:left w:val="single" w:color="000000" w:sz="6" w:space="0"/>
              <w:bottom w:val="single" w:color="auto" w:sz="8" w:space="0"/>
              <w:right w:val="single" w:color="000000" w:sz="4" w:space="0"/>
            </w:tcBorders>
            <w:noWrap w:val="0"/>
            <w:vAlign w:val="center"/>
          </w:tcPr>
          <w:p>
            <w:pPr>
              <w:tabs>
                <w:tab w:val="left" w:pos="542"/>
              </w:tabs>
              <w:ind w:left="199"/>
              <w:jc w:val="center"/>
              <w:rPr>
                <w:color w:val="000000"/>
                <w:spacing w:val="-2"/>
                <w:kern w:val="0"/>
                <w:sz w:val="18"/>
                <w:szCs w:val="18"/>
              </w:rPr>
            </w:pPr>
          </w:p>
        </w:tc>
        <w:tc>
          <w:tcPr>
            <w:tcW w:w="850" w:type="dxa"/>
            <w:tcBorders>
              <w:top w:val="single" w:color="000000" w:sz="4" w:space="0"/>
              <w:left w:val="single" w:color="000000" w:sz="4" w:space="0"/>
              <w:bottom w:val="single" w:color="auto" w:sz="8" w:space="0"/>
              <w:right w:val="single" w:color="000000" w:sz="4" w:space="0"/>
            </w:tcBorders>
            <w:noWrap w:val="0"/>
            <w:vAlign w:val="center"/>
          </w:tcPr>
          <w:p>
            <w:pPr>
              <w:jc w:val="left"/>
              <w:rPr>
                <w:color w:val="000000"/>
                <w:spacing w:val="-2"/>
                <w:kern w:val="0"/>
                <w:sz w:val="22"/>
              </w:rPr>
            </w:pPr>
          </w:p>
        </w:tc>
        <w:tc>
          <w:tcPr>
            <w:tcW w:w="851" w:type="dxa"/>
            <w:tcBorders>
              <w:top w:val="single" w:color="000000" w:sz="4" w:space="0"/>
              <w:left w:val="single" w:color="000000" w:sz="4" w:space="0"/>
              <w:bottom w:val="single" w:color="auto" w:sz="8" w:space="0"/>
              <w:right w:val="single" w:color="000000" w:sz="4" w:space="0"/>
            </w:tcBorders>
            <w:noWrap w:val="0"/>
            <w:vAlign w:val="center"/>
          </w:tcPr>
          <w:p>
            <w:pPr>
              <w:jc w:val="center"/>
              <w:rPr>
                <w:color w:val="000000"/>
                <w:spacing w:val="-2"/>
                <w:kern w:val="0"/>
                <w:sz w:val="18"/>
                <w:szCs w:val="18"/>
                <w:lang w:eastAsia="en-US"/>
              </w:rPr>
            </w:pPr>
          </w:p>
        </w:tc>
        <w:tc>
          <w:tcPr>
            <w:tcW w:w="851" w:type="dxa"/>
            <w:tcBorders>
              <w:top w:val="single" w:color="000000" w:sz="4" w:space="0"/>
              <w:left w:val="single" w:color="000000" w:sz="4" w:space="0"/>
              <w:bottom w:val="single" w:color="auto" w:sz="8" w:space="0"/>
              <w:right w:val="single" w:color="000000" w:sz="4" w:space="0"/>
            </w:tcBorders>
            <w:noWrap w:val="0"/>
            <w:vAlign w:val="center"/>
          </w:tcPr>
          <w:p>
            <w:pPr>
              <w:spacing w:before="4" w:line="140" w:lineRule="exact"/>
              <w:jc w:val="left"/>
              <w:rPr>
                <w:color w:val="000000"/>
                <w:spacing w:val="-2"/>
                <w:kern w:val="0"/>
                <w:sz w:val="14"/>
                <w:szCs w:val="14"/>
              </w:rPr>
            </w:pPr>
          </w:p>
        </w:tc>
        <w:tc>
          <w:tcPr>
            <w:tcW w:w="851" w:type="dxa"/>
            <w:tcBorders>
              <w:top w:val="single" w:color="000000" w:sz="4" w:space="0"/>
              <w:left w:val="single" w:color="000000" w:sz="4" w:space="0"/>
              <w:bottom w:val="single" w:color="auto" w:sz="8" w:space="0"/>
              <w:right w:val="single" w:color="000000" w:sz="4" w:space="0"/>
            </w:tcBorders>
            <w:noWrap w:val="0"/>
            <w:vAlign w:val="center"/>
          </w:tcPr>
          <w:p>
            <w:pPr>
              <w:spacing w:before="4" w:line="140" w:lineRule="exact"/>
              <w:jc w:val="left"/>
              <w:rPr>
                <w:color w:val="000000"/>
                <w:spacing w:val="-2"/>
                <w:kern w:val="0"/>
                <w:sz w:val="14"/>
                <w:szCs w:val="14"/>
              </w:rPr>
            </w:pPr>
          </w:p>
        </w:tc>
        <w:tc>
          <w:tcPr>
            <w:tcW w:w="768" w:type="dxa"/>
            <w:tcBorders>
              <w:top w:val="single" w:color="000000" w:sz="4" w:space="0"/>
              <w:left w:val="single" w:color="000000" w:sz="4" w:space="0"/>
              <w:bottom w:val="single" w:color="auto" w:sz="8" w:space="0"/>
              <w:right w:val="single" w:color="auto" w:sz="8" w:space="0"/>
            </w:tcBorders>
            <w:noWrap w:val="0"/>
            <w:vAlign w:val="center"/>
          </w:tcPr>
          <w:p>
            <w:pPr>
              <w:spacing w:before="4" w:line="140" w:lineRule="exact"/>
              <w:jc w:val="left"/>
              <w:rPr>
                <w:color w:val="000000"/>
                <w:spacing w:val="-2"/>
                <w:kern w:val="0"/>
                <w:sz w:val="14"/>
                <w:szCs w:val="14"/>
              </w:rPr>
            </w:pPr>
          </w:p>
        </w:tc>
      </w:tr>
    </w:tbl>
    <w:p>
      <w:pPr>
        <w:spacing w:line="243" w:lineRule="exact"/>
        <w:ind w:firstLine="86" w:firstLineChars="50"/>
        <w:rPr>
          <w:color w:val="000000"/>
          <w:spacing w:val="-2"/>
          <w:sz w:val="18"/>
          <w:szCs w:val="18"/>
        </w:rPr>
      </w:pPr>
      <w:r>
        <w:rPr>
          <w:rFonts w:hint="eastAsia" w:hAnsi="Times New Roman" w:cs="宋体"/>
          <w:color w:val="000000"/>
          <w:spacing w:val="-2"/>
          <w:sz w:val="18"/>
          <w:szCs w:val="18"/>
        </w:rPr>
        <w:t>注：</w:t>
      </w:r>
      <w:r>
        <w:rPr>
          <w:rFonts w:cs="宋体"/>
          <w:color w:val="000000"/>
          <w:spacing w:val="-2"/>
          <w:sz w:val="18"/>
          <w:szCs w:val="18"/>
        </w:rPr>
        <w:t>1.</w:t>
      </w:r>
      <w:r>
        <w:rPr>
          <w:rFonts w:hint="eastAsia" w:hAnsi="Times New Roman" w:cs="宋体"/>
          <w:color w:val="000000"/>
          <w:spacing w:val="-2"/>
          <w:sz w:val="18"/>
          <w:szCs w:val="18"/>
        </w:rPr>
        <w:t>此表应由招标人填写除</w:t>
      </w:r>
      <w:r>
        <w:rPr>
          <w:rFonts w:hint="eastAsia" w:cs="宋体"/>
          <w:color w:val="000000"/>
          <w:spacing w:val="-2"/>
          <w:sz w:val="18"/>
          <w:szCs w:val="18"/>
        </w:rPr>
        <w:t>“</w:t>
      </w:r>
      <w:r>
        <w:rPr>
          <w:rFonts w:hint="eastAsia" w:hAnsi="Times New Roman" w:cs="宋体"/>
          <w:color w:val="000000"/>
          <w:spacing w:val="-2"/>
          <w:sz w:val="18"/>
          <w:szCs w:val="18"/>
        </w:rPr>
        <w:t>数量</w:t>
      </w:r>
      <w:r>
        <w:rPr>
          <w:rFonts w:hint="eastAsia" w:cs="宋体"/>
          <w:color w:val="000000"/>
          <w:spacing w:val="-2"/>
          <w:sz w:val="18"/>
          <w:szCs w:val="18"/>
        </w:rPr>
        <w:t>”</w:t>
      </w:r>
      <w:r>
        <w:rPr>
          <w:rFonts w:hint="eastAsia" w:hAnsi="Times New Roman" w:cs="宋体"/>
          <w:color w:val="000000"/>
          <w:spacing w:val="-2"/>
          <w:sz w:val="18"/>
          <w:szCs w:val="18"/>
        </w:rPr>
        <w:t>、</w:t>
      </w:r>
      <w:r>
        <w:rPr>
          <w:rFonts w:hint="eastAsia" w:cs="宋体"/>
          <w:color w:val="000000"/>
          <w:spacing w:val="-2"/>
          <w:sz w:val="18"/>
          <w:szCs w:val="18"/>
        </w:rPr>
        <w:t>“</w:t>
      </w:r>
      <w:r>
        <w:rPr>
          <w:rFonts w:hint="eastAsia" w:hAnsi="Times New Roman" w:cs="宋体"/>
          <w:color w:val="000000"/>
          <w:spacing w:val="-2"/>
          <w:sz w:val="18"/>
          <w:szCs w:val="18"/>
        </w:rPr>
        <w:t>投标单价</w:t>
      </w:r>
      <w:r>
        <w:rPr>
          <w:rFonts w:hint="eastAsia" w:cs="宋体"/>
          <w:color w:val="000000"/>
          <w:spacing w:val="-2"/>
          <w:sz w:val="18"/>
          <w:szCs w:val="18"/>
        </w:rPr>
        <w:t>”</w:t>
      </w:r>
      <w:r>
        <w:rPr>
          <w:rFonts w:hint="eastAsia" w:hAnsi="Times New Roman" w:cs="宋体"/>
          <w:color w:val="000000"/>
          <w:spacing w:val="-2"/>
          <w:sz w:val="18"/>
          <w:szCs w:val="18"/>
        </w:rPr>
        <w:t>栏之外的内容，投标人在投标时自主确定投标数量和单价。</w:t>
      </w:r>
    </w:p>
    <w:p>
      <w:pPr>
        <w:spacing w:line="243" w:lineRule="exact"/>
        <w:ind w:left="508" w:leftChars="205" w:hanging="86" w:hangingChars="50"/>
        <w:rPr>
          <w:rFonts w:cs="宋体"/>
          <w:color w:val="000000"/>
          <w:spacing w:val="-2"/>
          <w:sz w:val="18"/>
          <w:szCs w:val="18"/>
        </w:rPr>
      </w:pPr>
      <w:r>
        <w:rPr>
          <w:rFonts w:cs="宋体"/>
          <w:color w:val="000000"/>
          <w:spacing w:val="-2"/>
          <w:sz w:val="18"/>
          <w:szCs w:val="18"/>
        </w:rPr>
        <w:t>2.</w:t>
      </w:r>
      <w:r>
        <w:rPr>
          <w:rFonts w:hint="eastAsia" w:hAnsi="Times New Roman" w:cs="宋体"/>
          <w:color w:val="000000"/>
          <w:spacing w:val="-2"/>
          <w:sz w:val="18"/>
          <w:szCs w:val="18"/>
        </w:rPr>
        <w:t>招标人应优先采用工程造价管理机构发布的单价作为基准单价，未发布的，通过市场调查确定其基准单价。</w:t>
      </w:r>
    </w:p>
    <w:p>
      <w:pPr>
        <w:spacing w:line="243" w:lineRule="exact"/>
        <w:ind w:left="508" w:leftChars="205" w:hanging="86" w:hangingChars="50"/>
        <w:rPr>
          <w:color w:val="000000"/>
          <w:spacing w:val="-2"/>
          <w:sz w:val="18"/>
          <w:szCs w:val="18"/>
        </w:rPr>
      </w:pPr>
      <w:r>
        <w:rPr>
          <w:rFonts w:cs="宋体"/>
          <w:color w:val="000000"/>
          <w:spacing w:val="-2"/>
          <w:sz w:val="18"/>
          <w:szCs w:val="18"/>
        </w:rPr>
        <w:t>3.</w:t>
      </w:r>
      <w:r>
        <w:rPr>
          <w:rFonts w:hint="eastAsia" w:hAnsi="Times New Roman" w:cs="宋体"/>
          <w:color w:val="000000"/>
          <w:spacing w:val="-2"/>
          <w:sz w:val="18"/>
          <w:szCs w:val="18"/>
        </w:rPr>
        <w:t>此表中不包含暂估单价的材料（工程设备）。</w:t>
      </w:r>
    </w:p>
    <w:p>
      <w:pPr>
        <w:spacing w:after="120" w:line="299" w:lineRule="exact"/>
        <w:jc w:val="right"/>
        <w:rPr>
          <w:color w:val="000000"/>
          <w:spacing w:val="-2"/>
          <w:sz w:val="18"/>
          <w:szCs w:val="18"/>
        </w:rPr>
      </w:pPr>
      <w:r>
        <w:rPr>
          <w:rFonts w:hint="eastAsia"/>
          <w:color w:val="000000"/>
          <w:spacing w:val="-2"/>
          <w:sz w:val="18"/>
          <w:szCs w:val="18"/>
        </w:rPr>
        <w:t>表</w:t>
      </w:r>
      <w:r>
        <w:rPr>
          <w:color w:val="000000"/>
          <w:spacing w:val="-2"/>
          <w:sz w:val="18"/>
          <w:szCs w:val="18"/>
        </w:rPr>
        <w:t>-21</w:t>
      </w:r>
    </w:p>
    <w:p>
      <w:pPr>
        <w:pStyle w:val="2"/>
        <w:spacing w:before="590" w:beforeLines="100" w:after="590" w:afterLines="100" w:line="240" w:lineRule="auto"/>
        <w:jc w:val="center"/>
        <w:rPr>
          <w:rFonts w:ascii="Times New Roman" w:eastAsia="方正小标宋_GBK"/>
          <w:b w:val="0"/>
          <w:sz w:val="36"/>
          <w:szCs w:val="36"/>
        </w:rPr>
      </w:pPr>
      <w:bookmarkStart w:id="690" w:name="_Toc18315843"/>
      <w:bookmarkStart w:id="691" w:name="_Toc20726706"/>
      <w:r>
        <w:rPr>
          <w:rFonts w:hint="eastAsia" w:ascii="Times New Roman" w:eastAsia="方正小标宋_GBK"/>
          <w:b w:val="0"/>
          <w:sz w:val="36"/>
          <w:szCs w:val="36"/>
        </w:rPr>
        <w:t>省住房城乡建设厅关于印发《江苏省房屋建筑和市政基础设施工程招标投标中串通投标和弄虚作假行为认定处理办法（试行）》的通知</w:t>
      </w:r>
      <w:bookmarkEnd w:id="690"/>
      <w:bookmarkEnd w:id="691"/>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692" w:name="_Toc20726707"/>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2014</w:t>
      </w:r>
      <w:r>
        <w:rPr>
          <w:rFonts w:hint="eastAsia" w:ascii="Times New Roman" w:hAnsi="Times New Roman" w:eastAsia="方正楷体_GBK"/>
          <w:b w:val="0"/>
          <w:sz w:val="24"/>
          <w:szCs w:val="24"/>
        </w:rPr>
        <w:t>〕</w:t>
      </w:r>
      <w:r>
        <w:rPr>
          <w:rFonts w:ascii="Times New Roman" w:hAnsi="Times New Roman" w:eastAsia="方正楷体_GBK"/>
          <w:b w:val="0"/>
          <w:sz w:val="24"/>
          <w:szCs w:val="24"/>
        </w:rPr>
        <w:t>2</w:t>
      </w:r>
      <w:r>
        <w:rPr>
          <w:rFonts w:hint="eastAsia" w:ascii="Times New Roman" w:hAnsi="Times New Roman" w:eastAsia="方正楷体_GBK"/>
          <w:b w:val="0"/>
          <w:sz w:val="24"/>
          <w:szCs w:val="24"/>
        </w:rPr>
        <w:t>号</w:t>
      </w:r>
      <w:bookmarkEnd w:id="692"/>
    </w:p>
    <w:p>
      <w:pPr>
        <w:spacing w:line="460" w:lineRule="exact"/>
        <w:jc w:val="left"/>
        <w:rPr>
          <w:rFonts w:eastAsia="方正仿宋_GBK"/>
          <w:color w:val="000000"/>
          <w:spacing w:val="-2"/>
          <w:kern w:val="0"/>
          <w:sz w:val="24"/>
        </w:rPr>
      </w:pPr>
      <w:r>
        <w:rPr>
          <w:rFonts w:hint="eastAsia" w:eastAsia="方正仿宋_GBK"/>
          <w:color w:val="000000"/>
          <w:spacing w:val="-2"/>
          <w:sz w:val="24"/>
        </w:rPr>
        <w:t>各省辖市建设局（委），苏州工业园区、张家港保税区、苏州宿迁工业园区规划建设局，昆山市、泰兴市、沭阳县建设局：</w:t>
      </w:r>
    </w:p>
    <w:p>
      <w:pPr>
        <w:spacing w:line="460" w:lineRule="exact"/>
        <w:ind w:firstLine="464" w:firstLineChars="200"/>
        <w:jc w:val="left"/>
        <w:rPr>
          <w:rFonts w:eastAsia="方正仿宋_GBK"/>
          <w:color w:val="000000"/>
          <w:spacing w:val="-2"/>
          <w:kern w:val="0"/>
          <w:sz w:val="24"/>
        </w:rPr>
      </w:pPr>
      <w:r>
        <w:rPr>
          <w:rFonts w:hint="eastAsia" w:eastAsia="方正仿宋_GBK"/>
          <w:color w:val="000000"/>
          <w:spacing w:val="-2"/>
          <w:sz w:val="24"/>
        </w:rPr>
        <w:t>为进一步规范全省房屋建筑和市政基础设施工程招标投标活动，严厉打击工程建设领域串通投标和弄虚作假等违法行为，我厅制定了《江苏省房屋建筑和市政基础设施工程招标投标中串通投标和弄虚作假行为认定处理办法（试行）》，现印发给你们，请认真贯彻执行。</w:t>
      </w:r>
    </w:p>
    <w:p>
      <w:pPr>
        <w:spacing w:line="460" w:lineRule="exact"/>
        <w:ind w:firstLine="464" w:firstLineChars="200"/>
        <w:jc w:val="left"/>
        <w:rPr>
          <w:rFonts w:eastAsia="方正仿宋_GBK"/>
          <w:color w:val="000000"/>
          <w:spacing w:val="-2"/>
          <w:sz w:val="24"/>
        </w:rPr>
      </w:pPr>
    </w:p>
    <w:p>
      <w:pPr>
        <w:spacing w:line="460" w:lineRule="exact"/>
        <w:ind w:firstLine="464" w:firstLineChars="200"/>
        <w:jc w:val="left"/>
        <w:rPr>
          <w:rFonts w:eastAsia="方正仿宋_GBK"/>
          <w:color w:val="000000"/>
          <w:spacing w:val="-2"/>
          <w:sz w:val="24"/>
        </w:rPr>
      </w:pPr>
      <w:r>
        <w:rPr>
          <w:rFonts w:hint="eastAsia" w:eastAsia="方正仿宋_GBK"/>
          <w:color w:val="000000"/>
          <w:spacing w:val="-2"/>
          <w:sz w:val="24"/>
        </w:rPr>
        <w:t>附件：《江苏省房屋建筑和市政基础设施工程招标投标中串通投标和弄虚作假行</w:t>
      </w:r>
    </w:p>
    <w:p>
      <w:pPr>
        <w:spacing w:line="460" w:lineRule="exact"/>
        <w:ind w:firstLine="1269" w:firstLineChars="547"/>
        <w:jc w:val="left"/>
        <w:rPr>
          <w:rFonts w:eastAsia="方正仿宋_GBK"/>
          <w:color w:val="000000"/>
          <w:spacing w:val="-2"/>
          <w:kern w:val="0"/>
          <w:sz w:val="24"/>
        </w:rPr>
      </w:pPr>
      <w:r>
        <w:rPr>
          <w:rFonts w:hint="eastAsia" w:eastAsia="方正仿宋_GBK"/>
          <w:color w:val="000000"/>
          <w:spacing w:val="-2"/>
          <w:sz w:val="24"/>
        </w:rPr>
        <w:t>为认定处理办法（试行）》</w:t>
      </w:r>
    </w:p>
    <w:p>
      <w:pPr>
        <w:spacing w:line="460" w:lineRule="exact"/>
        <w:ind w:firstLine="464" w:firstLineChars="200"/>
        <w:jc w:val="left"/>
        <w:rPr>
          <w:rFonts w:eastAsia="方正仿宋_GBK"/>
          <w:color w:val="000000"/>
          <w:spacing w:val="-2"/>
          <w:kern w:val="0"/>
          <w:sz w:val="24"/>
        </w:rPr>
      </w:pPr>
    </w:p>
    <w:p>
      <w:pPr>
        <w:spacing w:line="460" w:lineRule="exact"/>
        <w:ind w:right="428" w:rightChars="208" w:firstLine="464" w:firstLineChars="200"/>
        <w:jc w:val="right"/>
        <w:rPr>
          <w:rFonts w:eastAsia="方正仿宋_GBK"/>
          <w:color w:val="000000"/>
          <w:spacing w:val="-2"/>
          <w:kern w:val="0"/>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741" w:rightChars="360" w:firstLine="4292" w:firstLineChars="1850"/>
        <w:jc w:val="right"/>
        <w:rPr>
          <w:rFonts w:eastAsia="方正仿宋_GBK"/>
          <w:color w:val="000000"/>
          <w:spacing w:val="-2"/>
          <w:kern w:val="0"/>
          <w:sz w:val="24"/>
        </w:rPr>
      </w:pPr>
      <w:r>
        <w:rPr>
          <w:rFonts w:eastAsia="方正仿宋_GBK"/>
          <w:color w:val="000000"/>
          <w:spacing w:val="-2"/>
          <w:sz w:val="24"/>
        </w:rPr>
        <w:t>2014</w:t>
      </w:r>
      <w:r>
        <w:rPr>
          <w:rFonts w:hint="eastAsia" w:eastAsia="方正仿宋_GBK"/>
          <w:color w:val="000000"/>
          <w:spacing w:val="-2"/>
          <w:sz w:val="24"/>
        </w:rPr>
        <w:t>年</w:t>
      </w:r>
      <w:r>
        <w:rPr>
          <w:rFonts w:eastAsia="方正仿宋_GBK"/>
          <w:color w:val="000000"/>
          <w:spacing w:val="-2"/>
          <w:sz w:val="24"/>
        </w:rPr>
        <w:t>12</w:t>
      </w:r>
      <w:r>
        <w:rPr>
          <w:rFonts w:hint="eastAsia" w:eastAsia="方正仿宋_GBK"/>
          <w:color w:val="000000"/>
          <w:spacing w:val="-2"/>
          <w:sz w:val="24"/>
        </w:rPr>
        <w:t>月</w:t>
      </w:r>
      <w:r>
        <w:rPr>
          <w:rFonts w:eastAsia="方正仿宋_GBK"/>
          <w:color w:val="000000"/>
          <w:spacing w:val="-2"/>
          <w:sz w:val="24"/>
        </w:rPr>
        <w:t>31</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ind w:firstLine="464" w:firstLineChars="200"/>
        <w:jc w:val="right"/>
        <w:rPr>
          <w:rFonts w:eastAsia="方正仿宋_GBK"/>
          <w:color w:val="000000"/>
          <w:spacing w:val="-2"/>
          <w:sz w:val="24"/>
        </w:rPr>
      </w:pPr>
    </w:p>
    <w:p>
      <w:pPr>
        <w:suppressAutoHyphens/>
        <w:spacing w:line="460" w:lineRule="exact"/>
        <w:ind w:firstLine="464" w:firstLineChars="200"/>
        <w:jc w:val="center"/>
        <w:rPr>
          <w:rFonts w:eastAsia="方正仿宋_GBK"/>
          <w:b/>
          <w:bCs/>
          <w:color w:val="000000"/>
          <w:spacing w:val="-2"/>
          <w:kern w:val="0"/>
          <w:sz w:val="24"/>
        </w:rPr>
      </w:pPr>
    </w:p>
    <w:p>
      <w:pPr>
        <w:suppressAutoHyphens/>
        <w:spacing w:line="460" w:lineRule="exact"/>
        <w:jc w:val="center"/>
        <w:rPr>
          <w:rFonts w:ascii="Times New Roman" w:eastAsia="方正黑体_GBK"/>
          <w:bCs/>
          <w:color w:val="000000"/>
          <w:spacing w:val="-2"/>
          <w:kern w:val="0"/>
          <w:sz w:val="36"/>
          <w:szCs w:val="36"/>
        </w:rPr>
      </w:pPr>
      <w:r>
        <w:rPr>
          <w:rFonts w:hint="eastAsia" w:ascii="Times New Roman" w:eastAsia="方正黑体_GBK"/>
          <w:bCs/>
          <w:color w:val="000000"/>
          <w:spacing w:val="-2"/>
          <w:kern w:val="0"/>
          <w:sz w:val="36"/>
          <w:szCs w:val="36"/>
        </w:rPr>
        <w:t>江苏省房屋建筑和市政基础设施工程招标投标中</w:t>
      </w:r>
    </w:p>
    <w:p>
      <w:pPr>
        <w:suppressAutoHyphens/>
        <w:spacing w:line="460" w:lineRule="exact"/>
        <w:jc w:val="center"/>
        <w:rPr>
          <w:rFonts w:hint="eastAsia" w:ascii="Times New Roman" w:eastAsia="方正黑体_GBK"/>
          <w:color w:val="000000"/>
          <w:spacing w:val="-2"/>
          <w:sz w:val="36"/>
          <w:szCs w:val="36"/>
        </w:rPr>
      </w:pPr>
      <w:r>
        <w:rPr>
          <w:rFonts w:hint="eastAsia" w:ascii="Times New Roman" w:eastAsia="方正黑体_GBK"/>
          <w:bCs/>
          <w:color w:val="000000"/>
          <w:spacing w:val="-2"/>
          <w:kern w:val="0"/>
          <w:sz w:val="36"/>
          <w:szCs w:val="36"/>
        </w:rPr>
        <w:t>串通投标和弄虚作假行为认定处理办法（试行）</w:t>
      </w:r>
    </w:p>
    <w:p>
      <w:pPr>
        <w:suppressAutoHyphens/>
        <w:spacing w:line="460" w:lineRule="exact"/>
        <w:ind w:firstLine="464" w:firstLineChars="200"/>
        <w:jc w:val="left"/>
        <w:rPr>
          <w:rFonts w:hint="eastAsia" w:eastAsia="方正仿宋_GBK"/>
          <w:color w:val="000000"/>
          <w:spacing w:val="-2"/>
          <w:sz w:val="24"/>
        </w:rPr>
      </w:pP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 xml:space="preserve">第一条 </w:t>
      </w:r>
      <w:r>
        <w:rPr>
          <w:rFonts w:eastAsia="方正仿宋_GBK"/>
          <w:b/>
          <w:bCs/>
          <w:color w:val="000000"/>
          <w:spacing w:val="-2"/>
          <w:kern w:val="0"/>
          <w:sz w:val="24"/>
        </w:rPr>
        <w:t xml:space="preserve"> </w:t>
      </w:r>
      <w:r>
        <w:rPr>
          <w:rFonts w:hint="eastAsia" w:eastAsia="方正仿宋_GBK"/>
          <w:color w:val="000000"/>
          <w:spacing w:val="-2"/>
          <w:kern w:val="0"/>
          <w:sz w:val="24"/>
        </w:rPr>
        <w:t>为了进一步规范我省房屋建筑和市政基础设施工程招标投标活动，有效遏制招标投标活动中的串通投标和弄虚作假行为，依据《中华人民共和国招标投标法》、《中华人民共和国招标投标法实施条例》等有关法律法规规定，结合本省实际，制定本办法。</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第二条</w:t>
      </w:r>
      <w:r>
        <w:rPr>
          <w:rFonts w:eastAsia="方正仿宋_GBK"/>
          <w:b/>
          <w:bCs/>
          <w:color w:val="000000"/>
          <w:spacing w:val="-2"/>
          <w:kern w:val="0"/>
          <w:sz w:val="24"/>
        </w:rPr>
        <w:t xml:space="preserve">  </w:t>
      </w:r>
      <w:r>
        <w:rPr>
          <w:rFonts w:hint="eastAsia" w:eastAsia="方正仿宋_GBK"/>
          <w:color w:val="000000"/>
          <w:spacing w:val="-2"/>
          <w:kern w:val="0"/>
          <w:sz w:val="24"/>
        </w:rPr>
        <w:t>本省行政区域内对房屋建筑和市政基础设施工程的招标投标中的串通投标和弄虚作假行为的认定和处理，适用于本办法。</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 xml:space="preserve">第三条 </w:t>
      </w:r>
      <w:r>
        <w:rPr>
          <w:rFonts w:eastAsia="方正仿宋_GBK"/>
          <w:b/>
          <w:bCs/>
          <w:color w:val="000000"/>
          <w:spacing w:val="-2"/>
          <w:kern w:val="0"/>
          <w:sz w:val="24"/>
        </w:rPr>
        <w:t xml:space="preserve"> </w:t>
      </w:r>
      <w:r>
        <w:rPr>
          <w:rFonts w:hint="eastAsia" w:eastAsia="方正仿宋_GBK"/>
          <w:color w:val="000000"/>
          <w:spacing w:val="-2"/>
          <w:kern w:val="0"/>
          <w:sz w:val="24"/>
        </w:rPr>
        <w:t>本办法所称串通投标，是指参与招标投标活动的各方主体及其有关人员采用不正当手段，对招标投标事项进行串通，损害国家利益、社会公共利益或者其他当事人合法权益的行为。</w:t>
      </w:r>
    </w:p>
    <w:p>
      <w:pPr>
        <w:suppressAutoHyphens/>
        <w:spacing w:line="460" w:lineRule="exact"/>
        <w:ind w:firstLine="464" w:firstLineChars="200"/>
        <w:jc w:val="left"/>
        <w:rPr>
          <w:rFonts w:eastAsia="方正仿宋_GBK"/>
          <w:color w:val="000000"/>
          <w:spacing w:val="-2"/>
          <w:sz w:val="24"/>
        </w:rPr>
      </w:pPr>
      <w:r>
        <w:rPr>
          <w:rFonts w:hint="eastAsia" w:eastAsia="方正仿宋_GBK"/>
          <w:color w:val="000000"/>
          <w:spacing w:val="-2"/>
          <w:kern w:val="0"/>
          <w:sz w:val="24"/>
        </w:rPr>
        <w:t>本办法所称弄虚作假，是指投标人或者潜在投标人（以下统称投标人）编制虚假材料以他人名义投标或者以其他方式弄虚作假</w:t>
      </w:r>
      <w:r>
        <w:rPr>
          <w:rFonts w:eastAsia="方正仿宋_GBK"/>
          <w:color w:val="000000"/>
          <w:spacing w:val="-2"/>
          <w:kern w:val="0"/>
          <w:sz w:val="24"/>
        </w:rPr>
        <w:t>,</w:t>
      </w:r>
      <w:r>
        <w:rPr>
          <w:rFonts w:hint="eastAsia" w:eastAsia="方正仿宋_GBK"/>
          <w:color w:val="000000"/>
          <w:spacing w:val="-2"/>
          <w:kern w:val="0"/>
          <w:sz w:val="24"/>
        </w:rPr>
        <w:t>骗取中标的行为。</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第四条</w:t>
      </w:r>
      <w:r>
        <w:rPr>
          <w:rFonts w:eastAsia="方正仿宋_GBK"/>
          <w:b/>
          <w:bCs/>
          <w:color w:val="000000"/>
          <w:spacing w:val="-2"/>
          <w:kern w:val="0"/>
          <w:sz w:val="24"/>
        </w:rPr>
        <w:t xml:space="preserve">  </w:t>
      </w:r>
      <w:r>
        <w:rPr>
          <w:rFonts w:hint="eastAsia" w:eastAsia="方正仿宋_GBK"/>
          <w:color w:val="000000"/>
          <w:spacing w:val="-2"/>
          <w:kern w:val="0"/>
          <w:sz w:val="24"/>
        </w:rPr>
        <w:t>招标人或者其委托的招标代理机构在招标过程中有下列情形之一的，属于与投标人串通投标：</w:t>
      </w:r>
    </w:p>
    <w:p>
      <w:pPr>
        <w:suppressAutoHyphens/>
        <w:spacing w:line="460" w:lineRule="exact"/>
        <w:ind w:firstLine="464" w:firstLineChars="200"/>
        <w:jc w:val="left"/>
        <w:rPr>
          <w:rFonts w:eastAsia="方正仿宋_GBK"/>
          <w:color w:val="000000"/>
          <w:spacing w:val="-2"/>
          <w:sz w:val="24"/>
        </w:rPr>
      </w:pPr>
      <w:r>
        <w:rPr>
          <w:rFonts w:hint="eastAsia" w:eastAsia="方正仿宋_GBK"/>
          <w:color w:val="000000"/>
          <w:spacing w:val="-2"/>
          <w:kern w:val="0"/>
          <w:sz w:val="24"/>
        </w:rPr>
        <w:t>（一）招标人或者招标代理机构在开标前开启投标文件并将有关信息直接或者间接泄露给其他投标人；</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二</w:t>
      </w:r>
      <w:r>
        <w:rPr>
          <w:rFonts w:eastAsia="方正仿宋_GBK"/>
          <w:color w:val="000000"/>
          <w:spacing w:val="-2"/>
          <w:kern w:val="0"/>
          <w:sz w:val="24"/>
        </w:rPr>
        <w:t>)</w:t>
      </w:r>
      <w:r>
        <w:rPr>
          <w:rFonts w:hint="eastAsia" w:eastAsia="方正仿宋_GBK"/>
          <w:color w:val="000000"/>
          <w:spacing w:val="-2"/>
          <w:kern w:val="0"/>
          <w:sz w:val="24"/>
        </w:rPr>
        <w:t>招标人或者招标代理机构直接或者间接向投标人泄露标底、评标委员会成员等信息；</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三</w:t>
      </w:r>
      <w:r>
        <w:rPr>
          <w:rFonts w:eastAsia="方正仿宋_GBK"/>
          <w:color w:val="000000"/>
          <w:spacing w:val="-2"/>
          <w:kern w:val="0"/>
          <w:sz w:val="24"/>
        </w:rPr>
        <w:t>)</w:t>
      </w:r>
      <w:r>
        <w:rPr>
          <w:rFonts w:hint="eastAsia" w:eastAsia="方正仿宋_GBK"/>
          <w:color w:val="000000"/>
          <w:spacing w:val="-2"/>
          <w:kern w:val="0"/>
          <w:sz w:val="24"/>
        </w:rPr>
        <w:t>招标人或者招标代理机构明示或者暗示投标人压低或者抬高投标报价；</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四</w:t>
      </w:r>
      <w:r>
        <w:rPr>
          <w:rFonts w:eastAsia="方正仿宋_GBK"/>
          <w:color w:val="000000"/>
          <w:spacing w:val="-2"/>
          <w:kern w:val="0"/>
          <w:sz w:val="24"/>
        </w:rPr>
        <w:t>)</w:t>
      </w:r>
      <w:r>
        <w:rPr>
          <w:rFonts w:hint="eastAsia" w:eastAsia="方正仿宋_GBK"/>
          <w:color w:val="000000"/>
          <w:spacing w:val="-2"/>
          <w:kern w:val="0"/>
          <w:sz w:val="24"/>
        </w:rPr>
        <w:t>招标人或者招标代理机构授意投标人撤换、修改投标文件；</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五</w:t>
      </w:r>
      <w:r>
        <w:rPr>
          <w:rFonts w:eastAsia="方正仿宋_GBK"/>
          <w:color w:val="000000"/>
          <w:spacing w:val="-2"/>
          <w:kern w:val="0"/>
          <w:sz w:val="24"/>
        </w:rPr>
        <w:t>)</w:t>
      </w:r>
      <w:r>
        <w:rPr>
          <w:rFonts w:hint="eastAsia" w:eastAsia="方正仿宋_GBK"/>
          <w:color w:val="000000"/>
          <w:spacing w:val="-2"/>
          <w:kern w:val="0"/>
          <w:sz w:val="24"/>
        </w:rPr>
        <w:t>招标人或者招标代理机构明示或者暗示投标人为特定投标人中标提供方便；</w:t>
      </w:r>
    </w:p>
    <w:p>
      <w:pPr>
        <w:suppressAutoHyphens/>
        <w:spacing w:line="460" w:lineRule="exact"/>
        <w:ind w:firstLine="464" w:firstLineChars="200"/>
        <w:jc w:val="left"/>
        <w:rPr>
          <w:rFonts w:eastAsia="方正仿宋_GBK"/>
          <w:color w:val="000000"/>
          <w:spacing w:val="-2"/>
          <w:sz w:val="24"/>
        </w:rPr>
      </w:pPr>
      <w:r>
        <w:rPr>
          <w:rFonts w:hint="eastAsia" w:eastAsia="方正仿宋_GBK"/>
          <w:color w:val="000000"/>
          <w:spacing w:val="-2"/>
          <w:kern w:val="0"/>
          <w:sz w:val="24"/>
        </w:rPr>
        <w:t>（六）招标人或者招标代理机构与投标人为谋求特定投标人中标而采取的其他串通行为：</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1</w:t>
      </w:r>
      <w:r>
        <w:rPr>
          <w:rFonts w:hint="eastAsia" w:eastAsia="方正仿宋_GBK"/>
          <w:color w:val="000000"/>
          <w:spacing w:val="-2"/>
          <w:kern w:val="0"/>
          <w:sz w:val="24"/>
        </w:rPr>
        <w:t>、直接或者间接向投标人泄露获取资格预审文件或者通过资格预审的投标申请人，或者已经获取招标文件的潜在投标人的名称、数量的；</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2</w:t>
      </w:r>
      <w:r>
        <w:rPr>
          <w:rFonts w:hint="eastAsia" w:eastAsia="方正仿宋_GBK"/>
          <w:color w:val="000000"/>
          <w:spacing w:val="-2"/>
          <w:kern w:val="0"/>
          <w:sz w:val="24"/>
        </w:rPr>
        <w:t>、直接或者间接向投标利害关系人泄露资格审查或者评标情况的；</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3</w:t>
      </w:r>
      <w:r>
        <w:rPr>
          <w:rFonts w:hint="eastAsia" w:eastAsia="方正仿宋_GBK"/>
          <w:color w:val="000000"/>
          <w:spacing w:val="-2"/>
          <w:kern w:val="0"/>
          <w:sz w:val="24"/>
        </w:rPr>
        <w:t>、与投标人商定压低或者抬高标价，中标后给予投标人或者招标人额外补偿的；</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4</w:t>
      </w:r>
      <w:r>
        <w:rPr>
          <w:rFonts w:hint="eastAsia" w:eastAsia="方正仿宋_GBK"/>
          <w:color w:val="000000"/>
          <w:spacing w:val="-2"/>
          <w:kern w:val="0"/>
          <w:sz w:val="24"/>
        </w:rPr>
        <w:t>、故意损毁、篡改特定投标文件内容，或者在资格预审活动中损毁、篡改特定资格预审申请人提交的资格预审申请文件；</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5</w:t>
      </w:r>
      <w:r>
        <w:rPr>
          <w:rFonts w:hint="eastAsia" w:eastAsia="方正仿宋_GBK"/>
          <w:color w:val="000000"/>
          <w:spacing w:val="-2"/>
          <w:kern w:val="0"/>
          <w:sz w:val="24"/>
        </w:rPr>
        <w:t>、法律、法规、规章规定的其他行为。</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第五条</w:t>
      </w:r>
      <w:r>
        <w:rPr>
          <w:rFonts w:eastAsia="方正仿宋_GBK"/>
          <w:b/>
          <w:bCs/>
          <w:color w:val="000000"/>
          <w:spacing w:val="-2"/>
          <w:kern w:val="0"/>
          <w:sz w:val="24"/>
        </w:rPr>
        <w:t xml:space="preserve">  </w:t>
      </w:r>
      <w:r>
        <w:rPr>
          <w:rFonts w:hint="eastAsia" w:eastAsia="方正仿宋_GBK"/>
          <w:color w:val="000000"/>
          <w:spacing w:val="-2"/>
          <w:kern w:val="0"/>
          <w:sz w:val="24"/>
        </w:rPr>
        <w:t>投标人在投标过程中有下列情形之一的，属于投标人相互串通投标：</w:t>
      </w:r>
    </w:p>
    <w:p>
      <w:pPr>
        <w:spacing w:line="460" w:lineRule="exact"/>
        <w:ind w:left="103" w:leftChars="50"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一</w:t>
      </w:r>
      <w:r>
        <w:rPr>
          <w:rFonts w:eastAsia="方正仿宋_GBK"/>
          <w:color w:val="000000"/>
          <w:spacing w:val="-2"/>
          <w:kern w:val="0"/>
          <w:sz w:val="24"/>
        </w:rPr>
        <w:t>)</w:t>
      </w:r>
      <w:r>
        <w:rPr>
          <w:rFonts w:hint="eastAsia" w:eastAsia="方正仿宋_GBK"/>
          <w:color w:val="000000"/>
          <w:spacing w:val="-2"/>
          <w:kern w:val="0"/>
          <w:sz w:val="24"/>
        </w:rPr>
        <w:t>投标人之间协商投标报价等投标文件的实质性内容；</w:t>
      </w:r>
    </w:p>
    <w:p>
      <w:pPr>
        <w:shd w:val="clear" w:color="auto" w:fill="FFFFFF"/>
        <w:spacing w:line="460" w:lineRule="exact"/>
        <w:ind w:left="103" w:leftChars="50" w:right="103" w:rightChars="50"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二</w:t>
      </w:r>
      <w:r>
        <w:rPr>
          <w:rFonts w:eastAsia="方正仿宋_GBK"/>
          <w:color w:val="000000"/>
          <w:spacing w:val="-2"/>
          <w:kern w:val="0"/>
          <w:sz w:val="24"/>
        </w:rPr>
        <w:t>)</w:t>
      </w:r>
      <w:r>
        <w:rPr>
          <w:rFonts w:hint="eastAsia" w:eastAsia="方正仿宋_GBK"/>
          <w:color w:val="000000"/>
          <w:spacing w:val="-2"/>
          <w:kern w:val="0"/>
          <w:sz w:val="24"/>
        </w:rPr>
        <w:t>投标人之间约定中标人；</w:t>
      </w:r>
    </w:p>
    <w:p>
      <w:pPr>
        <w:shd w:val="clear" w:color="auto" w:fill="FFFFFF"/>
        <w:spacing w:line="460" w:lineRule="exact"/>
        <w:ind w:left="103" w:leftChars="50" w:right="103" w:rightChars="50"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三</w:t>
      </w:r>
      <w:r>
        <w:rPr>
          <w:rFonts w:eastAsia="方正仿宋_GBK"/>
          <w:color w:val="000000"/>
          <w:spacing w:val="-2"/>
          <w:kern w:val="0"/>
          <w:sz w:val="24"/>
        </w:rPr>
        <w:t>)</w:t>
      </w:r>
      <w:r>
        <w:rPr>
          <w:rFonts w:hint="eastAsia" w:eastAsia="方正仿宋_GBK"/>
          <w:color w:val="000000"/>
          <w:spacing w:val="-2"/>
          <w:kern w:val="0"/>
          <w:sz w:val="24"/>
        </w:rPr>
        <w:t>投标人之间约定部分投标人放弃投标或者中标；</w:t>
      </w:r>
    </w:p>
    <w:p>
      <w:pPr>
        <w:shd w:val="clear" w:color="auto" w:fill="FFFFFF"/>
        <w:spacing w:line="460" w:lineRule="exact"/>
        <w:ind w:left="103" w:leftChars="50" w:right="103" w:rightChars="50"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四</w:t>
      </w:r>
      <w:r>
        <w:rPr>
          <w:rFonts w:eastAsia="方正仿宋_GBK"/>
          <w:color w:val="000000"/>
          <w:spacing w:val="-2"/>
          <w:kern w:val="0"/>
          <w:sz w:val="24"/>
        </w:rPr>
        <w:t>)</w:t>
      </w:r>
      <w:r>
        <w:rPr>
          <w:rFonts w:hint="eastAsia" w:eastAsia="方正仿宋_GBK"/>
          <w:color w:val="000000"/>
          <w:spacing w:val="-2"/>
          <w:kern w:val="0"/>
          <w:sz w:val="24"/>
        </w:rPr>
        <w:t>属于同一集团、协会、商会等组织成员的投标人按照该组织要求协同投标；</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五</w:t>
      </w:r>
      <w:r>
        <w:rPr>
          <w:rFonts w:eastAsia="方正仿宋_GBK"/>
          <w:color w:val="000000"/>
          <w:spacing w:val="-2"/>
          <w:kern w:val="0"/>
          <w:sz w:val="24"/>
        </w:rPr>
        <w:t>)</w:t>
      </w:r>
      <w:r>
        <w:rPr>
          <w:rFonts w:hint="eastAsia" w:eastAsia="方正仿宋_GBK"/>
          <w:color w:val="000000"/>
          <w:spacing w:val="-2"/>
          <w:kern w:val="0"/>
          <w:sz w:val="24"/>
        </w:rPr>
        <w:t>投标人之间为谋取中标或者排斥特定投标人而采取的其他联合行动：</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1</w:t>
      </w:r>
      <w:r>
        <w:rPr>
          <w:rFonts w:hint="eastAsia" w:eastAsia="方正仿宋_GBK"/>
          <w:color w:val="000000"/>
          <w:spacing w:val="-2"/>
          <w:kern w:val="0"/>
          <w:sz w:val="24"/>
        </w:rPr>
        <w:t>、根据相互约定不按照资格预审文件要求提交资格申请文件的；</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2</w:t>
      </w:r>
      <w:r>
        <w:rPr>
          <w:rFonts w:hint="eastAsia" w:eastAsia="方正仿宋_GBK"/>
          <w:color w:val="000000"/>
          <w:spacing w:val="-2"/>
          <w:kern w:val="0"/>
          <w:sz w:val="24"/>
        </w:rPr>
        <w:t>、根据相互约定撤回投标的；</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3</w:t>
      </w:r>
      <w:r>
        <w:rPr>
          <w:rFonts w:hint="eastAsia" w:eastAsia="方正仿宋_GBK"/>
          <w:color w:val="000000"/>
          <w:spacing w:val="-2"/>
          <w:kern w:val="0"/>
          <w:sz w:val="24"/>
        </w:rPr>
        <w:t>、按照相互约定不实质性响应招标文件的；</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4</w:t>
      </w:r>
      <w:r>
        <w:rPr>
          <w:rFonts w:hint="eastAsia" w:eastAsia="方正仿宋_GBK"/>
          <w:color w:val="000000"/>
          <w:spacing w:val="-2"/>
          <w:kern w:val="0"/>
          <w:sz w:val="24"/>
        </w:rPr>
        <w:t>、按照相互约定制定投标方案的；</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5</w:t>
      </w:r>
      <w:r>
        <w:rPr>
          <w:rFonts w:hint="eastAsia" w:eastAsia="方正仿宋_GBK"/>
          <w:color w:val="000000"/>
          <w:spacing w:val="-2"/>
          <w:kern w:val="0"/>
          <w:sz w:val="24"/>
        </w:rPr>
        <w:t>、相互约定给予未中标的投标人费用补偿的。</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6</w:t>
      </w:r>
      <w:r>
        <w:rPr>
          <w:rFonts w:hint="eastAsia" w:eastAsia="方正仿宋_GBK"/>
          <w:color w:val="000000"/>
          <w:spacing w:val="-2"/>
          <w:kern w:val="0"/>
          <w:sz w:val="24"/>
        </w:rPr>
        <w:t>、法律、法规、规章规定的其他行为。</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第六条</w:t>
      </w:r>
      <w:r>
        <w:rPr>
          <w:rFonts w:eastAsia="方正仿宋_GBK"/>
          <w:b/>
          <w:bCs/>
          <w:color w:val="000000"/>
          <w:spacing w:val="-2"/>
          <w:kern w:val="0"/>
          <w:sz w:val="24"/>
        </w:rPr>
        <w:t xml:space="preserve">  </w:t>
      </w:r>
      <w:r>
        <w:rPr>
          <w:rFonts w:hint="eastAsia" w:eastAsia="方正仿宋_GBK"/>
          <w:color w:val="000000"/>
          <w:spacing w:val="-2"/>
          <w:kern w:val="0"/>
          <w:sz w:val="24"/>
        </w:rPr>
        <w:t>投标人在投标过程中有下列情形之一的，视为投标人相互串通投标：</w:t>
      </w:r>
    </w:p>
    <w:p>
      <w:pPr>
        <w:shd w:val="clear" w:color="auto" w:fill="FFFFFF"/>
        <w:spacing w:line="460" w:lineRule="exact"/>
        <w:ind w:right="103" w:rightChars="50" w:firstLine="464" w:firstLineChars="200"/>
        <w:jc w:val="left"/>
        <w:rPr>
          <w:rFonts w:eastAsia="方正仿宋_GBK"/>
          <w:color w:val="000000"/>
          <w:spacing w:val="-2"/>
          <w:sz w:val="24"/>
        </w:rPr>
      </w:pPr>
      <w:r>
        <w:rPr>
          <w:rFonts w:hint="eastAsia" w:eastAsia="方正仿宋_GBK"/>
          <w:color w:val="000000"/>
          <w:spacing w:val="-2"/>
          <w:kern w:val="0"/>
          <w:sz w:val="24"/>
        </w:rPr>
        <w:t>（一）不同投标人的投标文件由同一单位或者个人编制：</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1</w:t>
      </w:r>
      <w:r>
        <w:rPr>
          <w:rFonts w:hint="eastAsia" w:eastAsia="方正仿宋_GBK"/>
          <w:color w:val="000000"/>
          <w:spacing w:val="-2"/>
          <w:kern w:val="0"/>
          <w:sz w:val="24"/>
        </w:rPr>
        <w:t>、不同投标人的电子投标文件出自同一台电脑；</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2</w:t>
      </w:r>
      <w:r>
        <w:rPr>
          <w:rFonts w:hint="eastAsia" w:eastAsia="方正仿宋_GBK"/>
          <w:color w:val="000000"/>
          <w:spacing w:val="-2"/>
          <w:kern w:val="0"/>
          <w:sz w:val="24"/>
        </w:rPr>
        <w:t>、不同投标人的投标文件的编制者为同一人；</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3</w:t>
      </w:r>
      <w:r>
        <w:rPr>
          <w:rFonts w:hint="eastAsia" w:eastAsia="方正仿宋_GBK"/>
          <w:color w:val="000000"/>
          <w:spacing w:val="-2"/>
          <w:kern w:val="0"/>
          <w:sz w:val="24"/>
        </w:rPr>
        <w:t>、不同投标人的投标文件由同一投标人的附属设备打印、复印的；</w:t>
      </w:r>
    </w:p>
    <w:p>
      <w:pPr>
        <w:shd w:val="clear" w:color="auto" w:fill="FFFFFF"/>
        <w:spacing w:line="460" w:lineRule="exact"/>
        <w:ind w:right="103" w:rightChars="50" w:firstLine="464" w:firstLineChars="200"/>
        <w:jc w:val="left"/>
        <w:rPr>
          <w:rFonts w:eastAsia="方正仿宋_GBK"/>
          <w:color w:val="000000"/>
          <w:spacing w:val="-2"/>
          <w:sz w:val="24"/>
        </w:rPr>
      </w:pPr>
      <w:r>
        <w:rPr>
          <w:rFonts w:eastAsia="方正仿宋_GBK"/>
          <w:color w:val="000000"/>
          <w:spacing w:val="-2"/>
          <w:kern w:val="0"/>
          <w:sz w:val="24"/>
        </w:rPr>
        <w:t>4</w:t>
      </w:r>
      <w:r>
        <w:rPr>
          <w:rFonts w:hint="eastAsia" w:eastAsia="方正仿宋_GBK"/>
          <w:color w:val="000000"/>
          <w:spacing w:val="-2"/>
          <w:kern w:val="0"/>
          <w:sz w:val="24"/>
        </w:rPr>
        <w:t>、不同投标人的投标报价用同一个预算编制软件密码锁制作或者出自同一电子文档的；</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二</w:t>
      </w:r>
      <w:r>
        <w:rPr>
          <w:rFonts w:eastAsia="方正仿宋_GBK"/>
          <w:color w:val="000000"/>
          <w:spacing w:val="-2"/>
          <w:kern w:val="0"/>
          <w:sz w:val="24"/>
        </w:rPr>
        <w:t>)</w:t>
      </w:r>
      <w:r>
        <w:rPr>
          <w:rFonts w:hint="eastAsia" w:eastAsia="方正仿宋_GBK"/>
          <w:color w:val="000000"/>
          <w:spacing w:val="-2"/>
          <w:kern w:val="0"/>
          <w:sz w:val="24"/>
        </w:rPr>
        <w:t>不同投标人委托同一单位或者个人办理投标事宜；</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三</w:t>
      </w:r>
      <w:r>
        <w:rPr>
          <w:rFonts w:eastAsia="方正仿宋_GBK"/>
          <w:color w:val="000000"/>
          <w:spacing w:val="-2"/>
          <w:kern w:val="0"/>
          <w:sz w:val="24"/>
        </w:rPr>
        <w:t>)</w:t>
      </w:r>
      <w:r>
        <w:rPr>
          <w:rFonts w:hint="eastAsia" w:eastAsia="方正仿宋_GBK"/>
          <w:color w:val="000000"/>
          <w:spacing w:val="-2"/>
          <w:kern w:val="0"/>
          <w:sz w:val="24"/>
        </w:rPr>
        <w:t>不同投标人的投标文件载明的项目管理成员为同一人或同一单位；</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四</w:t>
      </w:r>
      <w:r>
        <w:rPr>
          <w:rFonts w:eastAsia="方正仿宋_GBK"/>
          <w:color w:val="000000"/>
          <w:spacing w:val="-2"/>
          <w:kern w:val="0"/>
          <w:sz w:val="24"/>
        </w:rPr>
        <w:t>)</w:t>
      </w:r>
      <w:r>
        <w:rPr>
          <w:rFonts w:hint="eastAsia" w:eastAsia="方正仿宋_GBK"/>
          <w:color w:val="000000"/>
          <w:spacing w:val="-2"/>
          <w:kern w:val="0"/>
          <w:sz w:val="24"/>
        </w:rPr>
        <w:t>不同投标人的投标文件异常一致或者投标报价呈规律性差异；</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五</w:t>
      </w:r>
      <w:r>
        <w:rPr>
          <w:rFonts w:eastAsia="方正仿宋_GBK"/>
          <w:color w:val="000000"/>
          <w:spacing w:val="-2"/>
          <w:kern w:val="0"/>
          <w:sz w:val="24"/>
        </w:rPr>
        <w:t>)</w:t>
      </w:r>
      <w:r>
        <w:rPr>
          <w:rFonts w:hint="eastAsia" w:eastAsia="方正仿宋_GBK"/>
          <w:color w:val="000000"/>
          <w:spacing w:val="-2"/>
          <w:kern w:val="0"/>
          <w:sz w:val="24"/>
        </w:rPr>
        <w:t>不同投标人的投标文件相互混装；</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w:t>
      </w:r>
      <w:r>
        <w:rPr>
          <w:rFonts w:hint="eastAsia" w:eastAsia="方正仿宋_GBK"/>
          <w:color w:val="000000"/>
          <w:spacing w:val="-2"/>
          <w:kern w:val="0"/>
          <w:sz w:val="24"/>
        </w:rPr>
        <w:t>六</w:t>
      </w:r>
      <w:r>
        <w:rPr>
          <w:rFonts w:eastAsia="方正仿宋_GBK"/>
          <w:color w:val="000000"/>
          <w:spacing w:val="-2"/>
          <w:kern w:val="0"/>
          <w:sz w:val="24"/>
        </w:rPr>
        <w:t>)</w:t>
      </w:r>
      <w:r>
        <w:rPr>
          <w:rFonts w:hint="eastAsia" w:eastAsia="方正仿宋_GBK"/>
          <w:color w:val="000000"/>
          <w:spacing w:val="-2"/>
          <w:kern w:val="0"/>
          <w:sz w:val="24"/>
        </w:rPr>
        <w:t>不同投标人的投标保证金从同一单位或者个人的账户转出，或者不同投标人的投标保证金虽然经由投标人自己的基本账户转出，但所需资金均是来自同一单位或者个人的账户的。</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第七条</w:t>
      </w:r>
      <w:r>
        <w:rPr>
          <w:rFonts w:eastAsia="方正仿宋_GBK"/>
          <w:b/>
          <w:bCs/>
          <w:color w:val="000000"/>
          <w:spacing w:val="-2"/>
          <w:kern w:val="0"/>
          <w:sz w:val="24"/>
        </w:rPr>
        <w:t xml:space="preserve">  </w:t>
      </w:r>
      <w:r>
        <w:rPr>
          <w:rFonts w:hint="eastAsia" w:eastAsia="方正仿宋_GBK"/>
          <w:color w:val="000000"/>
          <w:spacing w:val="-2"/>
          <w:kern w:val="0"/>
          <w:sz w:val="24"/>
        </w:rPr>
        <w:t>投标人有下列情形之一的，属于投标人弄虚作假骗取中标的行为：</w:t>
      </w:r>
    </w:p>
    <w:p>
      <w:pPr>
        <w:suppressAutoHyphens/>
        <w:spacing w:line="460" w:lineRule="exact"/>
        <w:ind w:firstLine="464" w:firstLineChars="200"/>
        <w:jc w:val="left"/>
        <w:rPr>
          <w:rFonts w:eastAsia="方正仿宋_GBK"/>
          <w:color w:val="000000"/>
          <w:spacing w:val="-2"/>
          <w:sz w:val="24"/>
        </w:rPr>
      </w:pPr>
      <w:r>
        <w:rPr>
          <w:rFonts w:hint="eastAsia" w:eastAsia="方正仿宋_GBK"/>
          <w:color w:val="000000"/>
          <w:spacing w:val="-2"/>
          <w:kern w:val="0"/>
          <w:sz w:val="24"/>
        </w:rPr>
        <w:t>（一）以他人名义投标的。具体情形包括：</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1</w:t>
      </w:r>
      <w:r>
        <w:rPr>
          <w:rFonts w:hint="eastAsia" w:eastAsia="方正仿宋_GBK"/>
          <w:color w:val="000000"/>
          <w:spacing w:val="-2"/>
          <w:kern w:val="0"/>
          <w:sz w:val="24"/>
        </w:rPr>
        <w:t>、通过受让或者租借等方式从其他单位获取资格或者资质证书参加投标的；</w:t>
      </w:r>
    </w:p>
    <w:p>
      <w:pPr>
        <w:suppressAutoHyphens/>
        <w:spacing w:line="460" w:lineRule="exact"/>
        <w:ind w:firstLine="464" w:firstLineChars="200"/>
        <w:jc w:val="left"/>
        <w:rPr>
          <w:rFonts w:eastAsia="方正仿宋_GBK"/>
          <w:color w:val="000000"/>
          <w:spacing w:val="-6"/>
          <w:sz w:val="24"/>
        </w:rPr>
      </w:pPr>
      <w:r>
        <w:rPr>
          <w:rFonts w:eastAsia="方正仿宋_GBK"/>
          <w:color w:val="000000"/>
          <w:spacing w:val="-2"/>
          <w:kern w:val="0"/>
          <w:sz w:val="24"/>
        </w:rPr>
        <w:t>2</w:t>
      </w:r>
      <w:r>
        <w:rPr>
          <w:rFonts w:hint="eastAsia" w:eastAsia="方正仿宋_GBK"/>
          <w:color w:val="000000"/>
          <w:spacing w:val="-2"/>
          <w:kern w:val="0"/>
          <w:sz w:val="24"/>
        </w:rPr>
        <w:t>、</w:t>
      </w:r>
      <w:r>
        <w:rPr>
          <w:rFonts w:hint="eastAsia" w:eastAsia="方正仿宋_GBK"/>
          <w:color w:val="000000"/>
          <w:spacing w:val="-6"/>
          <w:kern w:val="0"/>
          <w:sz w:val="24"/>
        </w:rPr>
        <w:t>由其他单位或者其他单位负责人在自己编制的投标文件上加盖印章或者签字的；</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3</w:t>
      </w:r>
      <w:r>
        <w:rPr>
          <w:rFonts w:hint="eastAsia" w:eastAsia="方正仿宋_GBK"/>
          <w:color w:val="000000"/>
          <w:spacing w:val="-2"/>
          <w:kern w:val="0"/>
          <w:sz w:val="24"/>
        </w:rPr>
        <w:t>、项目负责人或者主要技术人员不是本单位人员的；</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4</w:t>
      </w:r>
      <w:r>
        <w:rPr>
          <w:rFonts w:hint="eastAsia" w:eastAsia="方正仿宋_GBK"/>
          <w:color w:val="000000"/>
          <w:spacing w:val="-2"/>
          <w:kern w:val="0"/>
          <w:sz w:val="24"/>
        </w:rPr>
        <w:t>、投标保证金不是从投标人的账户缴纳的；</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5</w:t>
      </w:r>
      <w:r>
        <w:rPr>
          <w:rFonts w:hint="eastAsia" w:eastAsia="方正仿宋_GBK"/>
          <w:color w:val="000000"/>
          <w:spacing w:val="-2"/>
          <w:kern w:val="0"/>
          <w:sz w:val="24"/>
        </w:rPr>
        <w:t>、法律、法规、规章规定的以他人名义投标的其他行为。</w:t>
      </w:r>
    </w:p>
    <w:p>
      <w:pPr>
        <w:suppressAutoHyphens/>
        <w:spacing w:line="460" w:lineRule="exact"/>
        <w:ind w:firstLine="464" w:firstLineChars="200"/>
        <w:jc w:val="left"/>
        <w:rPr>
          <w:rFonts w:eastAsia="方正仿宋_GBK"/>
          <w:color w:val="000000"/>
          <w:spacing w:val="-2"/>
          <w:sz w:val="24"/>
        </w:rPr>
      </w:pPr>
      <w:r>
        <w:rPr>
          <w:rFonts w:hint="eastAsia" w:eastAsia="方正仿宋_GBK"/>
          <w:color w:val="000000"/>
          <w:spacing w:val="-2"/>
          <w:kern w:val="0"/>
          <w:sz w:val="24"/>
        </w:rPr>
        <w:t>（二）以其他方式弄虚作假的。具体情形包括：</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1</w:t>
      </w:r>
      <w:r>
        <w:rPr>
          <w:rFonts w:hint="eastAsia" w:eastAsia="方正仿宋_GBK"/>
          <w:color w:val="000000"/>
          <w:spacing w:val="-2"/>
          <w:kern w:val="0"/>
          <w:sz w:val="24"/>
        </w:rPr>
        <w:t>、使用伪造、变造的许可证件；</w:t>
      </w:r>
    </w:p>
    <w:p>
      <w:pPr>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2</w:t>
      </w:r>
      <w:r>
        <w:rPr>
          <w:rFonts w:hint="eastAsia" w:eastAsia="方正仿宋_GBK"/>
          <w:color w:val="000000"/>
          <w:spacing w:val="-2"/>
          <w:kern w:val="0"/>
          <w:sz w:val="24"/>
        </w:rPr>
        <w:t>、提供虚假的财务状况或者业绩；</w:t>
      </w:r>
    </w:p>
    <w:p>
      <w:pPr>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3</w:t>
      </w:r>
      <w:r>
        <w:rPr>
          <w:rFonts w:hint="eastAsia" w:eastAsia="方正仿宋_GBK"/>
          <w:color w:val="000000"/>
          <w:spacing w:val="-2"/>
          <w:kern w:val="0"/>
          <w:sz w:val="24"/>
        </w:rPr>
        <w:t>、提供虚假的项目负责人或者主要技术人员简历、劳动关系证明；</w:t>
      </w:r>
    </w:p>
    <w:p>
      <w:pPr>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4</w:t>
      </w:r>
      <w:r>
        <w:rPr>
          <w:rFonts w:hint="eastAsia" w:eastAsia="方正仿宋_GBK"/>
          <w:color w:val="000000"/>
          <w:spacing w:val="-2"/>
          <w:kern w:val="0"/>
          <w:sz w:val="24"/>
        </w:rPr>
        <w:t>、提供虚假的信用状况；</w:t>
      </w:r>
    </w:p>
    <w:p>
      <w:pPr>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5</w:t>
      </w:r>
      <w:r>
        <w:rPr>
          <w:rFonts w:hint="eastAsia" w:eastAsia="方正仿宋_GBK"/>
          <w:color w:val="000000"/>
          <w:spacing w:val="-2"/>
          <w:kern w:val="0"/>
          <w:sz w:val="24"/>
        </w:rPr>
        <w:t>、投标文件中有与事实不符的承诺材料；</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6</w:t>
      </w:r>
      <w:r>
        <w:rPr>
          <w:rFonts w:hint="eastAsia" w:eastAsia="方正仿宋_GBK"/>
          <w:color w:val="000000"/>
          <w:spacing w:val="-2"/>
          <w:kern w:val="0"/>
          <w:sz w:val="24"/>
        </w:rPr>
        <w:t>、隐瞒招标文件要求提供的信息，或者提供虚假、引人误解的其他信息；</w:t>
      </w:r>
    </w:p>
    <w:p>
      <w:pPr>
        <w:suppressAutoHyphens/>
        <w:spacing w:line="460" w:lineRule="exact"/>
        <w:ind w:firstLine="464" w:firstLineChars="200"/>
        <w:jc w:val="left"/>
        <w:rPr>
          <w:rFonts w:eastAsia="方正仿宋_GBK"/>
          <w:color w:val="000000"/>
          <w:spacing w:val="-2"/>
          <w:sz w:val="24"/>
        </w:rPr>
      </w:pPr>
      <w:r>
        <w:rPr>
          <w:rFonts w:eastAsia="方正仿宋_GBK"/>
          <w:color w:val="000000"/>
          <w:spacing w:val="-2"/>
          <w:kern w:val="0"/>
          <w:sz w:val="24"/>
        </w:rPr>
        <w:t>7</w:t>
      </w:r>
      <w:r>
        <w:rPr>
          <w:rFonts w:hint="eastAsia" w:eastAsia="方正仿宋_GBK"/>
          <w:color w:val="000000"/>
          <w:spacing w:val="-2"/>
          <w:kern w:val="0"/>
          <w:sz w:val="24"/>
        </w:rPr>
        <w:t>、法律、法规、规章规定的弄虚作假的其他行为。</w:t>
      </w:r>
    </w:p>
    <w:p>
      <w:pPr>
        <w:suppressAutoHyphens/>
        <w:spacing w:line="460" w:lineRule="exact"/>
        <w:ind w:firstLine="464" w:firstLineChars="200"/>
        <w:jc w:val="left"/>
        <w:rPr>
          <w:rFonts w:eastAsia="方正仿宋_GBK"/>
          <w:color w:val="000000"/>
          <w:spacing w:val="-6"/>
          <w:sz w:val="24"/>
        </w:rPr>
      </w:pPr>
      <w:r>
        <w:rPr>
          <w:rFonts w:hint="eastAsia" w:ascii="Times New Roman" w:eastAsia="方正黑体_GBK"/>
          <w:bCs/>
          <w:color w:val="000000"/>
          <w:spacing w:val="-2"/>
          <w:kern w:val="0"/>
          <w:sz w:val="24"/>
        </w:rPr>
        <w:t xml:space="preserve">第八条 </w:t>
      </w:r>
      <w:r>
        <w:rPr>
          <w:rFonts w:eastAsia="方正仿宋_GBK"/>
          <w:b/>
          <w:bCs/>
          <w:color w:val="000000"/>
          <w:spacing w:val="-2"/>
          <w:kern w:val="0"/>
          <w:sz w:val="24"/>
        </w:rPr>
        <w:t xml:space="preserve"> </w:t>
      </w:r>
      <w:r>
        <w:rPr>
          <w:rFonts w:hint="eastAsia" w:eastAsia="方正仿宋_GBK"/>
          <w:color w:val="000000"/>
          <w:spacing w:val="-6"/>
          <w:kern w:val="0"/>
          <w:sz w:val="24"/>
        </w:rPr>
        <w:t>投标人或者其他利害关系人发现招标投标活动中存在串通投标或者弄虚作假行为的，可以向招标人提出或者依法向住房和城乡建设行政主管部门提出书面投诉。</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第九条</w:t>
      </w:r>
      <w:r>
        <w:rPr>
          <w:rFonts w:eastAsia="方正仿宋_GBK"/>
          <w:b/>
          <w:bCs/>
          <w:color w:val="000000"/>
          <w:spacing w:val="-2"/>
          <w:kern w:val="0"/>
          <w:sz w:val="24"/>
        </w:rPr>
        <w:t xml:space="preserve">  </w:t>
      </w:r>
      <w:r>
        <w:rPr>
          <w:rFonts w:hint="eastAsia" w:eastAsia="方正仿宋_GBK"/>
          <w:color w:val="000000"/>
          <w:spacing w:val="-2"/>
          <w:kern w:val="0"/>
          <w:sz w:val="24"/>
        </w:rPr>
        <w:t>评标委员会在评标时，发现有本办法第四条、第五条、第六条、第七条行为的，应当否决其投标，并向有关行政监督部门报告。</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第十条</w:t>
      </w:r>
      <w:r>
        <w:rPr>
          <w:rFonts w:eastAsia="方正仿宋_GBK"/>
          <w:b/>
          <w:bCs/>
          <w:color w:val="000000"/>
          <w:spacing w:val="-2"/>
          <w:kern w:val="0"/>
          <w:sz w:val="24"/>
        </w:rPr>
        <w:t xml:space="preserve">  </w:t>
      </w:r>
      <w:r>
        <w:rPr>
          <w:rFonts w:hint="eastAsia" w:eastAsia="方正仿宋_GBK"/>
          <w:color w:val="000000"/>
          <w:spacing w:val="-2"/>
          <w:kern w:val="0"/>
          <w:sz w:val="24"/>
        </w:rPr>
        <w:t>招标人和投标人存在串通投标行为的，招标无效，应当依法重新招标；</w:t>
      </w:r>
    </w:p>
    <w:p>
      <w:pPr>
        <w:spacing w:line="460" w:lineRule="exact"/>
        <w:ind w:firstLine="464" w:firstLineChars="200"/>
        <w:jc w:val="left"/>
        <w:rPr>
          <w:rFonts w:eastAsia="方正仿宋_GBK"/>
          <w:color w:val="000000"/>
          <w:spacing w:val="-2"/>
          <w:sz w:val="24"/>
        </w:rPr>
      </w:pPr>
      <w:r>
        <w:rPr>
          <w:rFonts w:hint="eastAsia" w:eastAsia="方正仿宋_GBK"/>
          <w:color w:val="000000"/>
          <w:spacing w:val="-2"/>
          <w:kern w:val="0"/>
          <w:sz w:val="24"/>
        </w:rPr>
        <w:t>招标代理机构有串通投标行为的，招标人应取消其对该项目的招标代理资格，重新选择招标代理机构后重新招标；</w:t>
      </w:r>
    </w:p>
    <w:p>
      <w:pPr>
        <w:spacing w:line="460" w:lineRule="exact"/>
        <w:ind w:firstLine="464" w:firstLineChars="200"/>
        <w:jc w:val="left"/>
        <w:rPr>
          <w:rFonts w:eastAsia="方正仿宋_GBK"/>
          <w:color w:val="000000"/>
          <w:spacing w:val="-2"/>
          <w:sz w:val="24"/>
        </w:rPr>
      </w:pPr>
      <w:r>
        <w:rPr>
          <w:rFonts w:hint="eastAsia" w:eastAsia="方正仿宋_GBK"/>
          <w:color w:val="000000"/>
          <w:spacing w:val="-2"/>
          <w:kern w:val="0"/>
          <w:sz w:val="24"/>
        </w:rPr>
        <w:t>投标人有串通投标行为或者弄虚作假行为的，其投标无效，已经中标的，中标无效；</w:t>
      </w:r>
    </w:p>
    <w:p>
      <w:pPr>
        <w:spacing w:line="460" w:lineRule="exact"/>
        <w:ind w:firstLine="464" w:firstLineChars="200"/>
        <w:jc w:val="left"/>
        <w:rPr>
          <w:rFonts w:eastAsia="方正仿宋_GBK"/>
          <w:color w:val="000000"/>
          <w:spacing w:val="-2"/>
          <w:sz w:val="24"/>
        </w:rPr>
      </w:pPr>
      <w:r>
        <w:rPr>
          <w:rFonts w:hint="eastAsia" w:eastAsia="方正仿宋_GBK"/>
          <w:color w:val="000000"/>
          <w:spacing w:val="-2"/>
          <w:kern w:val="0"/>
          <w:sz w:val="24"/>
        </w:rPr>
        <w:t>因投标人串标投标或者弄虚作假行为导致重新招标的，在重新招标时不得再参加本项目投标。</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第十一条</w:t>
      </w:r>
      <w:r>
        <w:rPr>
          <w:rFonts w:eastAsia="方正仿宋_GBK"/>
          <w:b/>
          <w:bCs/>
          <w:color w:val="000000"/>
          <w:spacing w:val="-2"/>
          <w:kern w:val="0"/>
          <w:sz w:val="24"/>
        </w:rPr>
        <w:t xml:space="preserve">  </w:t>
      </w:r>
      <w:r>
        <w:rPr>
          <w:rFonts w:hint="eastAsia" w:eastAsia="方正仿宋_GBK"/>
          <w:color w:val="000000"/>
          <w:spacing w:val="-2"/>
          <w:kern w:val="0"/>
          <w:sz w:val="24"/>
        </w:rPr>
        <w:t>各级住房和城乡建设行政主管部门在实施监督和处理投诉举报工作中，发现串通投标行为或者弄虚作假行为的，应当依法进行认定和处理。</w:t>
      </w:r>
    </w:p>
    <w:p>
      <w:pPr>
        <w:suppressAutoHyphens/>
        <w:adjustRightInd w:val="0"/>
        <w:spacing w:line="460" w:lineRule="exact"/>
        <w:ind w:firstLine="464" w:firstLineChars="200"/>
        <w:jc w:val="left"/>
        <w:rPr>
          <w:rFonts w:eastAsia="方正仿宋_GBK"/>
          <w:color w:val="000000"/>
          <w:spacing w:val="-2"/>
          <w:sz w:val="24"/>
        </w:rPr>
      </w:pPr>
      <w:r>
        <w:rPr>
          <w:rFonts w:hint="eastAsia" w:eastAsia="方正仿宋_GBK"/>
          <w:color w:val="000000"/>
          <w:spacing w:val="-2"/>
          <w:kern w:val="0"/>
          <w:sz w:val="24"/>
        </w:rPr>
        <w:t>招标人、招标代理机构和投标人有串通投标、弄虚作假行为的，由住房和城乡建设行政主管部门按《中华人民共和国招标投标法》、《中华人民共和国招标投标法实施条例》及相关法律、法规和规章予以处理；涉及国家公务员、国家行政机关任命的其他人员的，由监察机关依法予以处理；情节严重构成犯罪的，依法追究刑事责任。</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第十二条</w:t>
      </w:r>
      <w:r>
        <w:rPr>
          <w:rFonts w:eastAsia="方正仿宋_GBK"/>
          <w:b/>
          <w:bCs/>
          <w:color w:val="000000"/>
          <w:spacing w:val="-2"/>
          <w:kern w:val="0"/>
          <w:sz w:val="24"/>
        </w:rPr>
        <w:t xml:space="preserve">  </w:t>
      </w:r>
      <w:r>
        <w:rPr>
          <w:rFonts w:hint="eastAsia" w:eastAsia="方正仿宋_GBK"/>
          <w:color w:val="000000"/>
          <w:spacing w:val="-2"/>
          <w:kern w:val="0"/>
          <w:sz w:val="24"/>
        </w:rPr>
        <w:t>电子招标投标系统运营机构或为其提供技术服务的单位及相关人员发生串通投标或者弄虚作假行为的，由住房和城乡建设行政主管部门按相关法律、法规和规章予以处理，并终止其与住房和城乡建设部门订立的委托服务合同，取消其承担电子招标投标运营机构或者提供服务的资格，构成犯罪的，依法追究刑事责任。</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第十三条</w:t>
      </w:r>
      <w:r>
        <w:rPr>
          <w:rFonts w:eastAsia="方正仿宋_GBK"/>
          <w:b/>
          <w:bCs/>
          <w:color w:val="000000"/>
          <w:spacing w:val="-2"/>
          <w:kern w:val="0"/>
          <w:sz w:val="24"/>
        </w:rPr>
        <w:t xml:space="preserve">  </w:t>
      </w:r>
      <w:r>
        <w:rPr>
          <w:rFonts w:hint="eastAsia" w:eastAsia="方正仿宋_GBK"/>
          <w:color w:val="000000"/>
          <w:spacing w:val="-2"/>
          <w:kern w:val="0"/>
          <w:sz w:val="24"/>
        </w:rPr>
        <w:t>住房和城乡建设行政主管部门自处理串通投标和弄虚作假违法行为的决定作出之日起</w:t>
      </w:r>
      <w:r>
        <w:rPr>
          <w:rFonts w:eastAsia="方正仿宋_GBK"/>
          <w:color w:val="000000"/>
          <w:spacing w:val="-2"/>
          <w:kern w:val="0"/>
          <w:sz w:val="24"/>
        </w:rPr>
        <w:t>3</w:t>
      </w:r>
      <w:r>
        <w:rPr>
          <w:rFonts w:hint="eastAsia" w:eastAsia="方正仿宋_GBK"/>
          <w:color w:val="000000"/>
          <w:spacing w:val="-2"/>
          <w:kern w:val="0"/>
          <w:sz w:val="24"/>
        </w:rPr>
        <w:t>个工作日内，按照国家、省有关规定进行惩戒。</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第十四条</w:t>
      </w:r>
      <w:r>
        <w:rPr>
          <w:rFonts w:eastAsia="方正仿宋_GBK"/>
          <w:b/>
          <w:bCs/>
          <w:color w:val="000000"/>
          <w:spacing w:val="-2"/>
          <w:kern w:val="0"/>
          <w:sz w:val="24"/>
        </w:rPr>
        <w:t xml:space="preserve">  </w:t>
      </w:r>
      <w:r>
        <w:rPr>
          <w:rFonts w:hint="eastAsia" w:eastAsia="方正仿宋_GBK"/>
          <w:color w:val="000000"/>
          <w:spacing w:val="-2"/>
          <w:kern w:val="0"/>
          <w:sz w:val="24"/>
        </w:rPr>
        <w:t>本办法由江苏省住房和城乡建设厅负责解释。</w:t>
      </w:r>
    </w:p>
    <w:p>
      <w:pPr>
        <w:suppressAutoHyphens/>
        <w:spacing w:line="460" w:lineRule="exact"/>
        <w:ind w:firstLine="464" w:firstLineChars="200"/>
        <w:jc w:val="left"/>
        <w:rPr>
          <w:rFonts w:eastAsia="方正仿宋_GBK"/>
          <w:color w:val="000000"/>
          <w:spacing w:val="-2"/>
          <w:sz w:val="24"/>
        </w:rPr>
      </w:pPr>
      <w:r>
        <w:rPr>
          <w:rFonts w:hint="eastAsia" w:ascii="Times New Roman" w:eastAsia="方正黑体_GBK"/>
          <w:bCs/>
          <w:color w:val="000000"/>
          <w:spacing w:val="-2"/>
          <w:kern w:val="0"/>
          <w:sz w:val="24"/>
        </w:rPr>
        <w:t xml:space="preserve">第十五条 </w:t>
      </w:r>
      <w:r>
        <w:rPr>
          <w:rFonts w:eastAsia="方正仿宋_GBK"/>
          <w:b/>
          <w:bCs/>
          <w:color w:val="000000"/>
          <w:spacing w:val="-2"/>
          <w:kern w:val="0"/>
          <w:sz w:val="24"/>
        </w:rPr>
        <w:t xml:space="preserve"> </w:t>
      </w:r>
      <w:r>
        <w:rPr>
          <w:rFonts w:hint="eastAsia" w:eastAsia="方正仿宋_GBK"/>
          <w:color w:val="000000"/>
          <w:spacing w:val="-2"/>
          <w:kern w:val="0"/>
          <w:sz w:val="24"/>
        </w:rPr>
        <w:t>本办法自</w:t>
      </w:r>
      <w:r>
        <w:rPr>
          <w:rFonts w:eastAsia="方正仿宋_GBK"/>
          <w:color w:val="000000"/>
          <w:spacing w:val="-2"/>
          <w:kern w:val="0"/>
          <w:sz w:val="24"/>
        </w:rPr>
        <w:t>2015</w:t>
      </w:r>
      <w:r>
        <w:rPr>
          <w:rFonts w:hint="eastAsia" w:eastAsia="方正仿宋_GBK"/>
          <w:color w:val="000000"/>
          <w:spacing w:val="-2"/>
          <w:kern w:val="0"/>
          <w:sz w:val="24"/>
        </w:rPr>
        <w:t>年</w:t>
      </w:r>
      <w:r>
        <w:rPr>
          <w:rFonts w:eastAsia="方正仿宋_GBK"/>
          <w:color w:val="000000"/>
          <w:spacing w:val="-2"/>
          <w:kern w:val="0"/>
          <w:sz w:val="24"/>
        </w:rPr>
        <w:t>3</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日起施行。</w:t>
      </w:r>
    </w:p>
    <w:p>
      <w:pPr>
        <w:spacing w:line="460" w:lineRule="exact"/>
        <w:ind w:firstLine="464" w:firstLineChars="200"/>
        <w:rPr>
          <w:rFonts w:eastAsia="方正仿宋_GBK"/>
          <w:color w:val="000000"/>
          <w:spacing w:val="-2"/>
          <w:sz w:val="24"/>
        </w:rPr>
      </w:pPr>
    </w:p>
    <w:p>
      <w:pPr>
        <w:pStyle w:val="2"/>
        <w:spacing w:before="590" w:beforeLines="100" w:after="590" w:afterLines="100" w:line="240" w:lineRule="auto"/>
        <w:jc w:val="center"/>
        <w:rPr>
          <w:rFonts w:ascii="Times New Roman" w:eastAsia="方正小标宋_GBK"/>
          <w:b w:val="0"/>
          <w:sz w:val="36"/>
          <w:szCs w:val="36"/>
        </w:rPr>
      </w:pPr>
      <w:r>
        <w:rPr>
          <w:rFonts w:eastAsia="方正仿宋_GBK"/>
          <w:b w:val="0"/>
          <w:color w:val="000000"/>
          <w:spacing w:val="-2"/>
          <w:sz w:val="24"/>
        </w:rPr>
        <w:br w:type="column"/>
      </w:r>
      <w:bookmarkStart w:id="693" w:name="_Toc18315844"/>
      <w:bookmarkStart w:id="694" w:name="_Toc20726708"/>
      <w:r>
        <w:rPr>
          <w:rFonts w:hint="eastAsia" w:ascii="Times New Roman" w:eastAsia="方正小标宋_GBK"/>
          <w:b w:val="0"/>
          <w:sz w:val="36"/>
          <w:szCs w:val="36"/>
        </w:rPr>
        <w:t>江苏省房屋建筑和市政基础设施工程评标专家管理办法</w:t>
      </w:r>
      <w:bookmarkEnd w:id="693"/>
      <w:bookmarkEnd w:id="694"/>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695" w:name="_Toc18315845"/>
      <w:bookmarkStart w:id="696" w:name="_Toc20726709"/>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2014</w:t>
      </w:r>
      <w:r>
        <w:rPr>
          <w:rFonts w:hint="eastAsia" w:ascii="Times New Roman" w:hAnsi="Times New Roman" w:eastAsia="方正楷体_GBK"/>
          <w:b w:val="0"/>
          <w:sz w:val="24"/>
          <w:szCs w:val="24"/>
        </w:rPr>
        <w:t>〕</w:t>
      </w:r>
      <w:r>
        <w:rPr>
          <w:rFonts w:ascii="Times New Roman" w:hAnsi="Times New Roman" w:eastAsia="方正楷体_GBK"/>
          <w:b w:val="0"/>
          <w:sz w:val="24"/>
          <w:szCs w:val="24"/>
        </w:rPr>
        <w:t>4</w:t>
      </w:r>
      <w:r>
        <w:rPr>
          <w:rFonts w:hint="eastAsia" w:ascii="Times New Roman" w:hAnsi="Times New Roman" w:eastAsia="方正楷体_GBK"/>
          <w:b w:val="0"/>
          <w:sz w:val="24"/>
          <w:szCs w:val="24"/>
        </w:rPr>
        <w:t>号</w:t>
      </w:r>
      <w:bookmarkEnd w:id="695"/>
      <w:bookmarkEnd w:id="696"/>
    </w:p>
    <w:p>
      <w:pPr>
        <w:shd w:val="clear" w:color="auto" w:fill="FFFFFF"/>
        <w:spacing w:line="460" w:lineRule="exact"/>
        <w:jc w:val="center"/>
        <w:outlineLvl w:val="0"/>
        <w:rPr>
          <w:rFonts w:ascii="Times New Roman" w:eastAsia="黑体"/>
          <w:color w:val="000000"/>
          <w:kern w:val="36"/>
          <w:sz w:val="24"/>
        </w:rPr>
      </w:pPr>
      <w:bookmarkStart w:id="697" w:name="_Toc20668180"/>
      <w:bookmarkStart w:id="698" w:name="_Toc18315846"/>
      <w:bookmarkStart w:id="699" w:name="_Toc20726710"/>
      <w:r>
        <w:rPr>
          <w:rFonts w:hint="eastAsia" w:ascii="Times New Roman" w:eastAsia="黑体"/>
          <w:bCs/>
          <w:color w:val="000000"/>
          <w:kern w:val="36"/>
          <w:sz w:val="24"/>
        </w:rPr>
        <w:t xml:space="preserve">第一章  </w:t>
      </w:r>
      <w:r>
        <w:rPr>
          <w:rFonts w:eastAsia="黑体"/>
          <w:bCs/>
          <w:color w:val="000000"/>
          <w:kern w:val="36"/>
          <w:sz w:val="24"/>
        </w:rPr>
        <w:t> </w:t>
      </w:r>
      <w:r>
        <w:rPr>
          <w:rFonts w:hint="eastAsia" w:ascii="Times New Roman" w:eastAsia="黑体"/>
          <w:bCs/>
          <w:color w:val="000000"/>
          <w:kern w:val="36"/>
          <w:sz w:val="24"/>
        </w:rPr>
        <w:t>总则</w:t>
      </w:r>
      <w:bookmarkEnd w:id="697"/>
      <w:bookmarkEnd w:id="698"/>
      <w:bookmarkEnd w:id="699"/>
    </w:p>
    <w:p>
      <w:pPr>
        <w:shd w:val="clear" w:color="auto" w:fill="FFFFFF"/>
        <w:spacing w:line="460" w:lineRule="exact"/>
        <w:ind w:firstLine="472" w:firstLineChars="200"/>
        <w:jc w:val="left"/>
        <w:rPr>
          <w:rFonts w:hint="eastAsia" w:ascii="Times New Roman" w:eastAsia="黑体"/>
          <w:bCs/>
          <w:color w:val="000000"/>
          <w:kern w:val="0"/>
          <w:sz w:val="24"/>
        </w:rPr>
      </w:pPr>
    </w:p>
    <w:p>
      <w:pPr>
        <w:shd w:val="clear" w:color="auto" w:fill="FFFFFF"/>
        <w:spacing w:line="460" w:lineRule="exact"/>
        <w:ind w:firstLine="472" w:firstLineChars="200"/>
        <w:jc w:val="left"/>
        <w:rPr>
          <w:rFonts w:hint="eastAsia" w:eastAsia="方正仿宋_GBK"/>
          <w:color w:val="000000"/>
          <w:kern w:val="0"/>
          <w:sz w:val="24"/>
        </w:rPr>
      </w:pPr>
      <w:r>
        <w:rPr>
          <w:rFonts w:hint="eastAsia" w:ascii="Times New Roman" w:eastAsia="黑体"/>
          <w:bCs/>
          <w:color w:val="000000"/>
          <w:kern w:val="0"/>
          <w:sz w:val="24"/>
        </w:rPr>
        <w:t>第一条</w:t>
      </w:r>
      <w:r>
        <w:rPr>
          <w:rFonts w:eastAsia="方正仿宋_GBK"/>
          <w:color w:val="000000"/>
          <w:kern w:val="0"/>
          <w:sz w:val="24"/>
        </w:rPr>
        <w:t xml:space="preserve">  </w:t>
      </w:r>
      <w:r>
        <w:rPr>
          <w:rFonts w:hint="eastAsia" w:eastAsia="方正仿宋_GBK"/>
          <w:color w:val="000000"/>
          <w:kern w:val="0"/>
          <w:sz w:val="24"/>
        </w:rPr>
        <w:t>为加强房屋建筑和市政基础设施工程评标专家（以下简称</w:t>
      </w:r>
      <w:r>
        <w:rPr>
          <w:rFonts w:eastAsia="方正仿宋_GBK"/>
          <w:color w:val="000000"/>
          <w:kern w:val="0"/>
          <w:sz w:val="24"/>
        </w:rPr>
        <w:t>“</w:t>
      </w:r>
      <w:r>
        <w:rPr>
          <w:rFonts w:hint="eastAsia" w:eastAsia="方正仿宋_GBK"/>
          <w:color w:val="000000"/>
          <w:kern w:val="0"/>
          <w:sz w:val="24"/>
        </w:rPr>
        <w:t>评标专家</w:t>
      </w:r>
      <w:r>
        <w:rPr>
          <w:rFonts w:eastAsia="方正仿宋_GBK"/>
          <w:color w:val="000000"/>
          <w:kern w:val="0"/>
          <w:sz w:val="24"/>
        </w:rPr>
        <w:t>”</w:t>
      </w:r>
      <w:r>
        <w:rPr>
          <w:rFonts w:hint="eastAsia" w:eastAsia="方正仿宋_GBK"/>
          <w:color w:val="000000"/>
          <w:kern w:val="0"/>
          <w:sz w:val="24"/>
        </w:rPr>
        <w:t>）的管理，保证评标活动公平、公正，提高评标质量，依据《中华人民共和国招标投标法》、《中华人民共和国招标投标法实施条例》、《评标委员会和评标方法暂行规定》、《评标专家和评标专家库管理暂行办法》，结合我省实际，制定本办法。</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第二条</w:t>
      </w:r>
      <w:r>
        <w:rPr>
          <w:rFonts w:eastAsia="方正仿宋_GBK"/>
          <w:color w:val="000000"/>
          <w:kern w:val="0"/>
          <w:sz w:val="24"/>
        </w:rPr>
        <w:t xml:space="preserve">  </w:t>
      </w:r>
      <w:r>
        <w:rPr>
          <w:rFonts w:hint="eastAsia" w:eastAsia="方正仿宋_GBK"/>
          <w:color w:val="000000"/>
          <w:kern w:val="0"/>
          <w:sz w:val="24"/>
        </w:rPr>
        <w:t>本办法所称的评标专家是指在房屋建筑和市政基础设施工程技术、经济及管理等方面有较高理论水平和丰富实践经验，符合本办法规定条件并经省住房和城乡建设厅聘用从事评标等相关工作的人员。</w:t>
      </w:r>
      <w:r>
        <w:rPr>
          <w:rFonts w:eastAsia="方正仿宋_GBK"/>
          <w:color w:val="000000"/>
          <w:kern w:val="0"/>
          <w:sz w:val="24"/>
        </w:rPr>
        <w:t> </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由上述人员组成省房屋建筑和市政基础设施工程评标专家库（以下简称</w:t>
      </w:r>
      <w:r>
        <w:rPr>
          <w:rFonts w:eastAsia="方正仿宋_GBK"/>
          <w:color w:val="000000"/>
          <w:kern w:val="0"/>
          <w:sz w:val="24"/>
        </w:rPr>
        <w:t>“</w:t>
      </w:r>
      <w:r>
        <w:rPr>
          <w:rFonts w:hint="eastAsia" w:eastAsia="方正仿宋_GBK"/>
          <w:color w:val="000000"/>
          <w:kern w:val="0"/>
          <w:sz w:val="24"/>
        </w:rPr>
        <w:t>省评标专家库</w:t>
      </w:r>
      <w:r>
        <w:rPr>
          <w:rFonts w:eastAsia="方正仿宋_GBK"/>
          <w:color w:val="000000"/>
          <w:kern w:val="0"/>
          <w:sz w:val="24"/>
        </w:rPr>
        <w:t>”</w:t>
      </w:r>
      <w:r>
        <w:rPr>
          <w:rFonts w:hint="eastAsia" w:eastAsia="方正仿宋_GBK"/>
          <w:color w:val="000000"/>
          <w:kern w:val="0"/>
          <w:sz w:val="24"/>
        </w:rPr>
        <w:t>）。省评标专家库由各市、县（市、区）分库组成，评标专家按照其工作或者住所所在地进入各市、县（市、区）分库。</w:t>
      </w:r>
    </w:p>
    <w:p>
      <w:pPr>
        <w:shd w:val="clear" w:color="auto" w:fill="FFFFFF"/>
        <w:spacing w:line="460" w:lineRule="exact"/>
        <w:ind w:firstLine="472" w:firstLineChars="200"/>
        <w:jc w:val="left"/>
        <w:rPr>
          <w:rFonts w:eastAsia="方正仿宋_GBK"/>
          <w:color w:val="000000"/>
          <w:spacing w:val="-6"/>
          <w:kern w:val="0"/>
          <w:sz w:val="24"/>
        </w:rPr>
      </w:pPr>
      <w:r>
        <w:rPr>
          <w:rFonts w:hint="eastAsia" w:ascii="Times New Roman" w:eastAsia="黑体"/>
          <w:bCs/>
          <w:color w:val="000000"/>
          <w:kern w:val="0"/>
          <w:sz w:val="24"/>
        </w:rPr>
        <w:t>第三条</w:t>
      </w:r>
      <w:r>
        <w:rPr>
          <w:rFonts w:eastAsia="方正仿宋_GBK"/>
          <w:color w:val="000000"/>
          <w:kern w:val="0"/>
          <w:sz w:val="24"/>
        </w:rPr>
        <w:t xml:space="preserve">  </w:t>
      </w:r>
      <w:r>
        <w:rPr>
          <w:rFonts w:hint="eastAsia" w:eastAsia="方正仿宋_GBK"/>
          <w:color w:val="000000"/>
          <w:spacing w:val="-6"/>
          <w:kern w:val="0"/>
          <w:sz w:val="24"/>
        </w:rPr>
        <w:t>本省评标专家的认定、动态考核及专家库的组建、使用与管理适用本办法。</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第四条</w:t>
      </w:r>
      <w:r>
        <w:rPr>
          <w:rFonts w:eastAsia="方正仿宋_GBK"/>
          <w:color w:val="000000"/>
          <w:kern w:val="0"/>
          <w:sz w:val="24"/>
        </w:rPr>
        <w:t xml:space="preserve">  </w:t>
      </w:r>
      <w:r>
        <w:rPr>
          <w:rFonts w:hint="eastAsia" w:eastAsia="方正仿宋_GBK"/>
          <w:color w:val="000000"/>
          <w:kern w:val="0"/>
          <w:sz w:val="24"/>
        </w:rPr>
        <w:t>省住房和城乡建设行政主管部门是全省房屋建筑和市政基础设施工程招标投标评标专家的管理部门。省招投标监管机构受省住房和城乡建设厅委托，具体负责省评标专家库的建立和评标专家的动态管理，其主要职责是：</w:t>
      </w:r>
    </w:p>
    <w:p>
      <w:pPr>
        <w:shd w:val="clear" w:color="auto" w:fill="FFFFFF"/>
        <w:spacing w:line="460" w:lineRule="exact"/>
        <w:ind w:firstLine="472" w:firstLineChars="200"/>
        <w:jc w:val="left"/>
        <w:rPr>
          <w:rFonts w:eastAsia="方正仿宋_GBK"/>
          <w:color w:val="000000"/>
          <w:spacing w:val="-6"/>
          <w:kern w:val="0"/>
          <w:sz w:val="24"/>
        </w:rPr>
      </w:pPr>
      <w:r>
        <w:rPr>
          <w:rFonts w:hint="eastAsia" w:eastAsia="方正仿宋_GBK"/>
          <w:color w:val="000000"/>
          <w:kern w:val="0"/>
          <w:sz w:val="24"/>
        </w:rPr>
        <w:t>（一）</w:t>
      </w:r>
      <w:r>
        <w:rPr>
          <w:rFonts w:hint="eastAsia" w:eastAsia="方正仿宋_GBK"/>
          <w:color w:val="000000"/>
          <w:spacing w:val="-6"/>
          <w:kern w:val="0"/>
          <w:sz w:val="24"/>
        </w:rPr>
        <w:t>负责评标专家的资格审查和选聘，指导和监督全省评标专家的培训、考核；</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（二）指导和监督市、县（市、区）评标专家分库的使用和管理；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（三）依法查处评标专家在评标活动中的违法违规行为。</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第五条</w:t>
      </w:r>
      <w:r>
        <w:rPr>
          <w:rFonts w:eastAsia="方正仿宋_GBK"/>
          <w:color w:val="000000"/>
          <w:kern w:val="0"/>
          <w:sz w:val="24"/>
        </w:rPr>
        <w:t xml:space="preserve">  </w:t>
      </w:r>
      <w:r>
        <w:rPr>
          <w:rFonts w:hint="eastAsia" w:eastAsia="方正仿宋_GBK"/>
          <w:color w:val="000000"/>
          <w:kern w:val="0"/>
          <w:sz w:val="24"/>
        </w:rPr>
        <w:t>各市、县（市、区）招投标监管机构负责本地区评标专家分库的日常管理，其主要职责是：</w:t>
      </w:r>
    </w:p>
    <w:p>
      <w:pPr>
        <w:shd w:val="clear" w:color="auto" w:fill="FFFFFF"/>
        <w:spacing w:line="460" w:lineRule="exact"/>
        <w:ind w:firstLine="432" w:firstLineChars="200"/>
        <w:jc w:val="left"/>
        <w:rPr>
          <w:rFonts w:eastAsia="方正仿宋_GBK"/>
          <w:color w:val="000000"/>
          <w:spacing w:val="-10"/>
          <w:kern w:val="0"/>
          <w:sz w:val="24"/>
        </w:rPr>
      </w:pPr>
      <w:r>
        <w:rPr>
          <w:rFonts w:hint="eastAsia" w:eastAsia="方正仿宋_GBK"/>
          <w:color w:val="000000"/>
          <w:spacing w:val="-10"/>
          <w:kern w:val="0"/>
          <w:sz w:val="24"/>
        </w:rPr>
        <w:t>（一）负责本地区申报评标专家的资格初审、推荐和评标专家分库的日常维护管理；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（二）负责监督评标专家的抽取、确定；</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（三）负责本地区评标专家的培训、考核和管理；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（四）依法查处评标专家在评标活动中的违法违规行为。</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第六条</w:t>
      </w:r>
      <w:r>
        <w:rPr>
          <w:rFonts w:eastAsia="方正仿宋_GBK"/>
          <w:b/>
          <w:bCs/>
          <w:color w:val="000000"/>
          <w:kern w:val="0"/>
          <w:sz w:val="24"/>
        </w:rPr>
        <w:t xml:space="preserve">  </w:t>
      </w:r>
      <w:r>
        <w:rPr>
          <w:rFonts w:hint="eastAsia" w:eastAsia="方正仿宋_GBK"/>
          <w:color w:val="000000"/>
          <w:kern w:val="0"/>
          <w:sz w:val="24"/>
        </w:rPr>
        <w:t>评标专家享有以下权利：</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（一）接受招标人聘请，担任评标委员会成员；</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（二）依法对投标文件进行独立评审，提出评审意见，不受任何单位或者个人的干预；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（三）接受参加评标活动的劳务报酬；</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（四）对评标专家的管理工作提出意见和建议。</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第七条</w:t>
      </w:r>
      <w:r>
        <w:rPr>
          <w:rFonts w:eastAsia="方正仿宋_GBK"/>
          <w:b/>
          <w:bCs/>
          <w:color w:val="000000"/>
          <w:kern w:val="0"/>
          <w:sz w:val="24"/>
        </w:rPr>
        <w:t xml:space="preserve">  </w:t>
      </w:r>
      <w:r>
        <w:rPr>
          <w:rFonts w:hint="eastAsia" w:eastAsia="方正仿宋_GBK"/>
          <w:color w:val="000000"/>
          <w:kern w:val="0"/>
          <w:sz w:val="24"/>
        </w:rPr>
        <w:t>评标专家应当履行以下义务：</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（一）符合《评标委员会和评标方法暂行规定》（七部委</w:t>
      </w:r>
      <w:r>
        <w:rPr>
          <w:rFonts w:eastAsia="方正仿宋_GBK"/>
          <w:color w:val="000000"/>
          <w:kern w:val="0"/>
          <w:sz w:val="24"/>
        </w:rPr>
        <w:t>12</w:t>
      </w:r>
      <w:r>
        <w:rPr>
          <w:rFonts w:hint="eastAsia" w:eastAsia="方正仿宋_GBK"/>
          <w:color w:val="000000"/>
          <w:kern w:val="0"/>
          <w:sz w:val="24"/>
        </w:rPr>
        <w:t>号令）第十二条规定情形之一的，应当主动提出回避；</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（二）遵守评标工作纪律，不得私下接触投标人，不得收受他人的财物或者其他好处，不得透露对投标文件的评审和比较、中标候选人的推荐情况以及与评标有关的其他情况；</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（三）客观公正地进行评标；</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（四）协助、配合有关行政监督部门的监督、检查；</w:t>
      </w:r>
    </w:p>
    <w:p>
      <w:pPr>
        <w:shd w:val="clear" w:color="auto" w:fill="FFFFFF"/>
        <w:spacing w:line="460" w:lineRule="exact"/>
        <w:ind w:firstLine="472" w:firstLineChars="200"/>
        <w:jc w:val="left"/>
        <w:rPr>
          <w:rFonts w:eastAsia="方正仿宋_GBK"/>
          <w:color w:val="000000"/>
          <w:spacing w:val="-8"/>
          <w:kern w:val="0"/>
          <w:sz w:val="24"/>
        </w:rPr>
      </w:pPr>
      <w:r>
        <w:rPr>
          <w:rFonts w:hint="eastAsia" w:eastAsia="方正仿宋_GBK"/>
          <w:color w:val="000000"/>
          <w:kern w:val="0"/>
          <w:sz w:val="24"/>
        </w:rPr>
        <w:t>（五）</w:t>
      </w:r>
      <w:r>
        <w:rPr>
          <w:rFonts w:hint="eastAsia" w:eastAsia="方正仿宋_GBK"/>
          <w:color w:val="000000"/>
          <w:spacing w:val="-8"/>
          <w:kern w:val="0"/>
          <w:sz w:val="24"/>
        </w:rPr>
        <w:t>聘用单位信息发生变化，或者个人信息等发生变化的，应及时更新个人信息；</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（六）参加招投标监管机构组织的培训；</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（七）法律、法规规定的其他义务。</w:t>
      </w:r>
    </w:p>
    <w:p>
      <w:pPr>
        <w:shd w:val="clear" w:color="auto" w:fill="FFFFFF"/>
        <w:spacing w:line="460" w:lineRule="exact"/>
        <w:ind w:firstLine="472" w:firstLineChars="200"/>
        <w:jc w:val="left"/>
        <w:rPr>
          <w:rFonts w:eastAsia="方正仿宋_GBK"/>
          <w:color w:val="000000"/>
          <w:kern w:val="0"/>
          <w:sz w:val="24"/>
        </w:rPr>
      </w:pPr>
    </w:p>
    <w:p>
      <w:pPr>
        <w:shd w:val="clear" w:color="auto" w:fill="FFFFFF"/>
        <w:spacing w:line="460" w:lineRule="exact"/>
        <w:jc w:val="center"/>
        <w:outlineLvl w:val="0"/>
        <w:rPr>
          <w:rFonts w:ascii="Times New Roman" w:eastAsia="黑体"/>
          <w:color w:val="000000"/>
          <w:kern w:val="36"/>
          <w:sz w:val="24"/>
        </w:rPr>
      </w:pPr>
      <w:bookmarkStart w:id="700" w:name="_Toc20668181"/>
      <w:bookmarkStart w:id="701" w:name="_Toc20726711"/>
      <w:bookmarkStart w:id="702" w:name="_Toc18315847"/>
      <w:r>
        <w:rPr>
          <w:rFonts w:hint="eastAsia" w:ascii="Times New Roman" w:eastAsia="黑体"/>
          <w:bCs/>
          <w:color w:val="000000"/>
          <w:kern w:val="36"/>
          <w:sz w:val="24"/>
        </w:rPr>
        <w:t>第二章  评标专家库的建立</w:t>
      </w:r>
      <w:bookmarkEnd w:id="700"/>
      <w:bookmarkEnd w:id="701"/>
      <w:bookmarkEnd w:id="702"/>
    </w:p>
    <w:p>
      <w:pPr>
        <w:shd w:val="clear" w:color="auto" w:fill="FFFFFF"/>
        <w:spacing w:line="460" w:lineRule="exact"/>
        <w:ind w:firstLine="472" w:firstLineChars="200"/>
        <w:jc w:val="left"/>
        <w:rPr>
          <w:rFonts w:hint="eastAsia" w:eastAsia="方正仿宋_GBK"/>
          <w:b/>
          <w:bCs/>
          <w:color w:val="000000"/>
          <w:kern w:val="0"/>
          <w:sz w:val="24"/>
        </w:rPr>
      </w:pP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第八条</w:t>
      </w:r>
      <w:r>
        <w:rPr>
          <w:rFonts w:eastAsia="方正仿宋_GBK"/>
          <w:color w:val="000000"/>
          <w:kern w:val="0"/>
          <w:sz w:val="24"/>
        </w:rPr>
        <w:t xml:space="preserve">  </w:t>
      </w:r>
      <w:r>
        <w:rPr>
          <w:rFonts w:hint="eastAsia" w:eastAsia="方正仿宋_GBK"/>
          <w:color w:val="000000"/>
          <w:kern w:val="0"/>
          <w:sz w:val="24"/>
        </w:rPr>
        <w:t>全省建立统一的</w:t>
      </w:r>
      <w:r>
        <w:rPr>
          <w:rFonts w:eastAsia="方正仿宋_GBK"/>
          <w:color w:val="000000"/>
          <w:kern w:val="0"/>
          <w:sz w:val="24"/>
        </w:rPr>
        <w:t>“</w:t>
      </w:r>
      <w:r>
        <w:rPr>
          <w:rFonts w:hint="eastAsia" w:eastAsia="方正仿宋_GBK"/>
          <w:color w:val="000000"/>
          <w:kern w:val="0"/>
          <w:sz w:val="24"/>
        </w:rPr>
        <w:t>评委管理系统</w:t>
      </w:r>
      <w:r>
        <w:rPr>
          <w:rFonts w:eastAsia="方正仿宋_GBK"/>
          <w:color w:val="000000"/>
          <w:kern w:val="0"/>
          <w:sz w:val="24"/>
        </w:rPr>
        <w:t>”</w:t>
      </w:r>
      <w:r>
        <w:rPr>
          <w:rFonts w:hint="eastAsia" w:eastAsia="方正仿宋_GBK"/>
          <w:color w:val="000000"/>
          <w:kern w:val="0"/>
          <w:sz w:val="24"/>
        </w:rPr>
        <w:t>。评标专家的申报、资格审查与管理通过</w:t>
      </w:r>
      <w:r>
        <w:rPr>
          <w:rFonts w:eastAsia="方正仿宋_GBK"/>
          <w:color w:val="000000"/>
          <w:kern w:val="0"/>
          <w:sz w:val="24"/>
        </w:rPr>
        <w:t>“</w:t>
      </w:r>
      <w:r>
        <w:rPr>
          <w:rFonts w:hint="eastAsia" w:eastAsia="方正仿宋_GBK"/>
          <w:color w:val="000000"/>
          <w:kern w:val="0"/>
          <w:sz w:val="24"/>
        </w:rPr>
        <w:t>评委管理系统</w:t>
      </w:r>
      <w:r>
        <w:rPr>
          <w:rFonts w:eastAsia="方正仿宋_GBK"/>
          <w:color w:val="000000"/>
          <w:kern w:val="0"/>
          <w:sz w:val="24"/>
        </w:rPr>
        <w:t>”</w:t>
      </w:r>
      <w:r>
        <w:rPr>
          <w:rFonts w:hint="eastAsia" w:eastAsia="方正仿宋_GBK"/>
          <w:color w:val="000000"/>
          <w:kern w:val="0"/>
          <w:sz w:val="24"/>
        </w:rPr>
        <w:t>进行，评标专家及评标专家库的相关信息通过系统交换、更新和资源共享。</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第九条</w:t>
      </w:r>
      <w:r>
        <w:rPr>
          <w:rFonts w:eastAsia="方正仿宋_GBK"/>
          <w:b/>
          <w:bCs/>
          <w:color w:val="000000"/>
          <w:kern w:val="0"/>
          <w:sz w:val="24"/>
        </w:rPr>
        <w:t xml:space="preserve">  </w:t>
      </w:r>
      <w:r>
        <w:rPr>
          <w:rFonts w:hint="eastAsia" w:eastAsia="方正仿宋_GBK"/>
          <w:color w:val="000000"/>
          <w:kern w:val="0"/>
          <w:sz w:val="24"/>
        </w:rPr>
        <w:t>省评标专家库专业按照《江苏省房屋建筑和市政基础设施工程评标专家专业分类标准》（见附件</w:t>
      </w:r>
      <w:r>
        <w:rPr>
          <w:rFonts w:eastAsia="方正仿宋_GBK"/>
          <w:color w:val="000000"/>
          <w:kern w:val="0"/>
          <w:sz w:val="24"/>
        </w:rPr>
        <w:t>1</w:t>
      </w:r>
      <w:r>
        <w:rPr>
          <w:rFonts w:hint="eastAsia" w:eastAsia="方正仿宋_GBK"/>
          <w:color w:val="000000"/>
          <w:kern w:val="0"/>
          <w:sz w:val="24"/>
        </w:rPr>
        <w:t>）设置。</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申请人申报的专业数量，具有正高级职称的不超过</w:t>
      </w:r>
      <w:r>
        <w:rPr>
          <w:rFonts w:eastAsia="方正仿宋_GBK"/>
          <w:color w:val="000000"/>
          <w:kern w:val="0"/>
          <w:sz w:val="24"/>
        </w:rPr>
        <w:t>9</w:t>
      </w:r>
      <w:r>
        <w:rPr>
          <w:rFonts w:hint="eastAsia" w:eastAsia="方正仿宋_GBK"/>
          <w:color w:val="000000"/>
          <w:kern w:val="0"/>
          <w:sz w:val="24"/>
        </w:rPr>
        <w:t>个专业，高级职称的不超过</w:t>
      </w:r>
      <w:r>
        <w:rPr>
          <w:rFonts w:eastAsia="方正仿宋_GBK"/>
          <w:color w:val="000000"/>
          <w:kern w:val="0"/>
          <w:sz w:val="24"/>
        </w:rPr>
        <w:t>7</w:t>
      </w:r>
      <w:r>
        <w:rPr>
          <w:rFonts w:hint="eastAsia" w:eastAsia="方正仿宋_GBK"/>
          <w:color w:val="000000"/>
          <w:kern w:val="0"/>
          <w:sz w:val="24"/>
        </w:rPr>
        <w:t>个专业，中级职称的不超过</w:t>
      </w:r>
      <w:r>
        <w:rPr>
          <w:rFonts w:eastAsia="方正仿宋_GBK"/>
          <w:color w:val="000000"/>
          <w:kern w:val="0"/>
          <w:sz w:val="24"/>
        </w:rPr>
        <w:t>5</w:t>
      </w:r>
      <w:r>
        <w:rPr>
          <w:rFonts w:hint="eastAsia" w:eastAsia="方正仿宋_GBK"/>
          <w:color w:val="000000"/>
          <w:kern w:val="0"/>
          <w:sz w:val="24"/>
        </w:rPr>
        <w:t>个专业。</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申请人申报的专业应与本人所学专业、工作经历或者执业范围等相符合，且应当提供证明本人工作能力和水平的相关材料。所申报的专业两次被省招投标监管机构审查退回的，一年内不能重新申报。审查通过的专业</w:t>
      </w:r>
      <w:r>
        <w:rPr>
          <w:rFonts w:eastAsia="方正仿宋_GBK"/>
          <w:color w:val="000000"/>
          <w:kern w:val="0"/>
          <w:sz w:val="24"/>
        </w:rPr>
        <w:t>3</w:t>
      </w:r>
      <w:r>
        <w:rPr>
          <w:rFonts w:hint="eastAsia" w:eastAsia="方正仿宋_GBK"/>
          <w:color w:val="000000"/>
          <w:kern w:val="0"/>
          <w:sz w:val="24"/>
        </w:rPr>
        <w:t>年内不得变更。</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第十条</w:t>
      </w:r>
      <w:r>
        <w:rPr>
          <w:rFonts w:eastAsia="方正仿宋_GBK"/>
          <w:color w:val="000000"/>
          <w:kern w:val="0"/>
          <w:sz w:val="24"/>
        </w:rPr>
        <w:t xml:space="preserve">  </w:t>
      </w:r>
      <w:r>
        <w:rPr>
          <w:rFonts w:hint="eastAsia" w:eastAsia="方正仿宋_GBK"/>
          <w:color w:val="000000"/>
          <w:kern w:val="0"/>
          <w:sz w:val="24"/>
        </w:rPr>
        <w:t>申请人申报评标专家按照下列程序进行：</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（一）申请人登录“江苏建设工程招标网”“评委管理系统”进行申报；</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（二）各市、县（市、区）招投标监管机构登录“</w:t>
      </w:r>
      <w:r>
        <w:rPr>
          <w:rFonts w:eastAsia="方正仿宋_GBK"/>
          <w:color w:val="000000"/>
          <w:kern w:val="0"/>
          <w:sz w:val="24"/>
        </w:rPr>
        <w:t>“</w:t>
      </w:r>
      <w:r>
        <w:rPr>
          <w:rFonts w:hint="eastAsia" w:eastAsia="方正仿宋_GBK"/>
          <w:color w:val="000000"/>
          <w:kern w:val="0"/>
          <w:sz w:val="24"/>
        </w:rPr>
        <w:t>评委管理系统”</w:t>
      </w:r>
      <w:r>
        <w:rPr>
          <w:rFonts w:eastAsia="方正仿宋_GBK"/>
          <w:color w:val="000000"/>
          <w:kern w:val="0"/>
          <w:sz w:val="24"/>
        </w:rPr>
        <w:t>”</w:t>
      </w:r>
      <w:r>
        <w:rPr>
          <w:rFonts w:hint="eastAsia" w:eastAsia="方正仿宋_GBK"/>
          <w:color w:val="000000"/>
          <w:kern w:val="0"/>
          <w:sz w:val="24"/>
        </w:rPr>
        <w:t>对申报材料进行初审，省招投标监管机构对各地申报的材料进行审查；</w:t>
      </w:r>
    </w:p>
    <w:p>
      <w:pPr>
        <w:shd w:val="clear" w:color="auto" w:fill="FFFFFF"/>
        <w:spacing w:line="460" w:lineRule="exact"/>
        <w:ind w:firstLine="472" w:firstLineChars="200"/>
        <w:jc w:val="left"/>
        <w:rPr>
          <w:rFonts w:eastAsia="方正仿宋_GBK"/>
          <w:color w:val="000000"/>
          <w:kern w:val="0"/>
          <w:sz w:val="24"/>
        </w:rPr>
      </w:pPr>
      <w:r>
        <w:rPr>
          <w:rFonts w:eastAsia="方正仿宋_GBK"/>
          <w:color w:val="000000"/>
          <w:kern w:val="0"/>
          <w:sz w:val="24"/>
        </w:rPr>
        <w:t> </w:t>
      </w:r>
      <w:r>
        <w:rPr>
          <w:rFonts w:hint="eastAsia" w:eastAsia="方正仿宋_GBK"/>
          <w:color w:val="000000"/>
          <w:kern w:val="0"/>
          <w:sz w:val="24"/>
        </w:rPr>
        <w:t>（三）设区的市招投标监管机构组织对本地区资格审查通过的申请人进行培训考核；</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（四）经考核合格的申请人由省住房和城乡建设厅聘为评标专家，聘期为</w:t>
      </w:r>
      <w:r>
        <w:rPr>
          <w:rFonts w:eastAsia="方正仿宋_GBK"/>
          <w:color w:val="000000"/>
          <w:kern w:val="0"/>
          <w:sz w:val="24"/>
        </w:rPr>
        <w:t>3</w:t>
      </w:r>
      <w:r>
        <w:rPr>
          <w:rFonts w:hint="eastAsia" w:eastAsia="方正仿宋_GBK"/>
          <w:color w:val="000000"/>
          <w:kern w:val="0"/>
          <w:sz w:val="24"/>
        </w:rPr>
        <w:t>年；</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（五）受聘的评标专家登录</w:t>
      </w:r>
      <w:r>
        <w:rPr>
          <w:rFonts w:eastAsia="方正仿宋_GBK"/>
          <w:color w:val="000000"/>
          <w:kern w:val="0"/>
          <w:sz w:val="24"/>
        </w:rPr>
        <w:t>“</w:t>
      </w:r>
      <w:r>
        <w:rPr>
          <w:rFonts w:hint="eastAsia" w:eastAsia="方正仿宋_GBK"/>
          <w:color w:val="000000"/>
          <w:kern w:val="0"/>
          <w:sz w:val="24"/>
        </w:rPr>
        <w:t>评委管理系统</w:t>
      </w:r>
      <w:r>
        <w:rPr>
          <w:rFonts w:eastAsia="方正仿宋_GBK"/>
          <w:color w:val="000000"/>
          <w:kern w:val="0"/>
          <w:sz w:val="24"/>
        </w:rPr>
        <w:t>”</w:t>
      </w:r>
      <w:r>
        <w:rPr>
          <w:rFonts w:hint="eastAsia" w:eastAsia="方正仿宋_GBK"/>
          <w:color w:val="000000"/>
          <w:kern w:val="0"/>
          <w:sz w:val="24"/>
        </w:rPr>
        <w:t>，自行打印省住房和城乡建设厅统一制作的评标专家聘书。</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第十一条</w:t>
      </w:r>
      <w:r>
        <w:rPr>
          <w:rFonts w:eastAsia="方正仿宋_GBK"/>
          <w:b/>
          <w:bCs/>
          <w:color w:val="000000"/>
          <w:kern w:val="0"/>
          <w:sz w:val="24"/>
        </w:rPr>
        <w:t xml:space="preserve">  </w:t>
      </w:r>
      <w:r>
        <w:rPr>
          <w:rFonts w:hint="eastAsia" w:eastAsia="方正仿宋_GBK"/>
          <w:color w:val="000000"/>
          <w:kern w:val="0"/>
          <w:sz w:val="24"/>
        </w:rPr>
        <w:t>评标专家在聘期内应参加所在地招投标监管机构组织的不少于</w:t>
      </w:r>
      <w:r>
        <w:rPr>
          <w:rFonts w:eastAsia="方正仿宋_GBK"/>
          <w:color w:val="000000"/>
          <w:kern w:val="0"/>
          <w:sz w:val="24"/>
        </w:rPr>
        <w:t>12</w:t>
      </w:r>
      <w:r>
        <w:rPr>
          <w:rFonts w:hint="eastAsia" w:eastAsia="方正仿宋_GBK"/>
          <w:color w:val="000000"/>
          <w:kern w:val="0"/>
          <w:sz w:val="24"/>
        </w:rPr>
        <w:t>个学时的培训和考核，聘期届满且考核合格的可以申请续聘。</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第十二条</w:t>
      </w:r>
      <w:r>
        <w:rPr>
          <w:rFonts w:eastAsia="方正仿宋_GBK"/>
          <w:b/>
          <w:bCs/>
          <w:color w:val="000000"/>
          <w:kern w:val="0"/>
          <w:sz w:val="24"/>
        </w:rPr>
        <w:t xml:space="preserve">  </w:t>
      </w:r>
      <w:r>
        <w:rPr>
          <w:rFonts w:hint="eastAsia" w:eastAsia="方正仿宋_GBK"/>
          <w:color w:val="000000"/>
          <w:kern w:val="0"/>
          <w:sz w:val="24"/>
        </w:rPr>
        <w:t>评标专家分为普通评标专家和资深评标专家（资格条件见附件</w:t>
      </w:r>
      <w:r>
        <w:rPr>
          <w:rFonts w:eastAsia="方正仿宋_GBK"/>
          <w:color w:val="000000"/>
          <w:kern w:val="0"/>
          <w:sz w:val="24"/>
        </w:rPr>
        <w:t>2</w:t>
      </w:r>
      <w:r>
        <w:rPr>
          <w:rFonts w:hint="eastAsia" w:eastAsia="方正仿宋_GBK"/>
          <w:color w:val="000000"/>
          <w:kern w:val="0"/>
          <w:sz w:val="24"/>
        </w:rPr>
        <w:t>）。</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第十三条</w:t>
      </w:r>
      <w:r>
        <w:rPr>
          <w:rFonts w:eastAsia="方正仿宋_GBK"/>
          <w:color w:val="000000"/>
          <w:kern w:val="0"/>
          <w:sz w:val="24"/>
        </w:rPr>
        <w:t xml:space="preserve">  </w:t>
      </w:r>
      <w:r>
        <w:rPr>
          <w:rFonts w:hint="eastAsia" w:eastAsia="方正仿宋_GBK"/>
          <w:color w:val="000000"/>
          <w:kern w:val="0"/>
          <w:sz w:val="24"/>
        </w:rPr>
        <w:t>已受聘的评标专家可以申请应急评标专家，并应当在规定时间</w:t>
      </w:r>
      <w:r>
        <w:rPr>
          <w:rFonts w:eastAsia="方正仿宋_GBK"/>
          <w:color w:val="000000"/>
          <w:kern w:val="0"/>
          <w:sz w:val="24"/>
        </w:rPr>
        <w:t>(</w:t>
      </w:r>
      <w:r>
        <w:rPr>
          <w:rFonts w:hint="eastAsia" w:eastAsia="方正仿宋_GBK"/>
          <w:color w:val="000000"/>
          <w:kern w:val="0"/>
          <w:sz w:val="24"/>
        </w:rPr>
        <w:t>一般为半小时</w:t>
      </w:r>
      <w:r>
        <w:rPr>
          <w:rFonts w:eastAsia="方正仿宋_GBK"/>
          <w:color w:val="000000"/>
          <w:kern w:val="0"/>
          <w:sz w:val="24"/>
        </w:rPr>
        <w:t>)</w:t>
      </w:r>
      <w:r>
        <w:rPr>
          <w:rFonts w:hint="eastAsia" w:eastAsia="方正仿宋_GBK"/>
          <w:color w:val="000000"/>
          <w:kern w:val="0"/>
          <w:sz w:val="24"/>
        </w:rPr>
        <w:t>内抵达评标现场。</w:t>
      </w:r>
    </w:p>
    <w:p>
      <w:pPr>
        <w:shd w:val="clear" w:color="auto" w:fill="FFFFFF"/>
        <w:spacing w:line="460" w:lineRule="exact"/>
        <w:ind w:firstLine="472" w:firstLineChars="200"/>
        <w:jc w:val="left"/>
        <w:rPr>
          <w:rFonts w:eastAsia="方正仿宋_GBK"/>
          <w:color w:val="000000"/>
          <w:spacing w:val="-6"/>
          <w:kern w:val="0"/>
          <w:sz w:val="24"/>
        </w:rPr>
      </w:pPr>
      <w:r>
        <w:rPr>
          <w:rFonts w:hint="eastAsia" w:ascii="Times New Roman" w:eastAsia="黑体"/>
          <w:bCs/>
          <w:color w:val="000000"/>
          <w:kern w:val="0"/>
          <w:sz w:val="24"/>
        </w:rPr>
        <w:t>第十四条</w:t>
      </w:r>
      <w:r>
        <w:rPr>
          <w:rFonts w:eastAsia="方正仿宋_GBK"/>
          <w:color w:val="000000"/>
          <w:kern w:val="0"/>
          <w:sz w:val="24"/>
        </w:rPr>
        <w:t xml:space="preserve">  </w:t>
      </w:r>
      <w:r>
        <w:rPr>
          <w:rFonts w:hint="eastAsia" w:eastAsia="方正仿宋_GBK"/>
          <w:color w:val="000000"/>
          <w:spacing w:val="-6"/>
          <w:kern w:val="0"/>
          <w:sz w:val="24"/>
        </w:rPr>
        <w:t>招投标监管机构和建设工程交易中心的工作人员不得申报评标专家。</w:t>
      </w:r>
    </w:p>
    <w:p>
      <w:pPr>
        <w:shd w:val="clear" w:color="auto" w:fill="FFFFFF"/>
        <w:spacing w:line="460" w:lineRule="exact"/>
        <w:ind w:firstLine="472" w:firstLineChars="200"/>
        <w:jc w:val="left"/>
        <w:rPr>
          <w:rFonts w:eastAsia="方正仿宋_GBK"/>
          <w:color w:val="000000"/>
          <w:kern w:val="0"/>
          <w:sz w:val="24"/>
        </w:rPr>
      </w:pPr>
    </w:p>
    <w:p>
      <w:pPr>
        <w:shd w:val="clear" w:color="auto" w:fill="FFFFFF"/>
        <w:spacing w:line="460" w:lineRule="exact"/>
        <w:ind w:left="1" w:leftChars="-3" w:hanging="7" w:hangingChars="3"/>
        <w:jc w:val="center"/>
        <w:outlineLvl w:val="0"/>
        <w:rPr>
          <w:rFonts w:ascii="Times New Roman" w:eastAsia="黑体"/>
          <w:color w:val="000000"/>
          <w:kern w:val="36"/>
          <w:sz w:val="24"/>
        </w:rPr>
      </w:pPr>
      <w:bookmarkStart w:id="703" w:name="_Toc20668182"/>
      <w:bookmarkStart w:id="704" w:name="_Toc20726712"/>
      <w:bookmarkStart w:id="705" w:name="_Toc18315848"/>
      <w:r>
        <w:rPr>
          <w:rFonts w:hint="eastAsia" w:ascii="Times New Roman" w:eastAsia="黑体"/>
          <w:bCs/>
          <w:color w:val="000000"/>
          <w:kern w:val="36"/>
          <w:sz w:val="24"/>
        </w:rPr>
        <w:t xml:space="preserve">第三章 </w:t>
      </w:r>
      <w:r>
        <w:rPr>
          <w:rFonts w:eastAsia="黑体"/>
          <w:bCs/>
          <w:color w:val="000000"/>
          <w:kern w:val="36"/>
          <w:sz w:val="24"/>
        </w:rPr>
        <w:t> </w:t>
      </w:r>
      <w:r>
        <w:rPr>
          <w:rFonts w:hint="eastAsia" w:ascii="Times New Roman" w:eastAsia="黑体"/>
          <w:bCs/>
          <w:color w:val="000000"/>
          <w:kern w:val="36"/>
          <w:sz w:val="24"/>
        </w:rPr>
        <w:t>评标专家库的使用</w:t>
      </w:r>
      <w:bookmarkEnd w:id="703"/>
      <w:bookmarkEnd w:id="704"/>
      <w:bookmarkEnd w:id="705"/>
    </w:p>
    <w:p>
      <w:pPr>
        <w:shd w:val="clear" w:color="auto" w:fill="FFFFFF"/>
        <w:spacing w:line="460" w:lineRule="exact"/>
        <w:ind w:firstLine="472" w:firstLineChars="200"/>
        <w:jc w:val="left"/>
        <w:rPr>
          <w:rFonts w:hint="eastAsia" w:eastAsia="方正仿宋_GBK"/>
          <w:b/>
          <w:bCs/>
          <w:color w:val="000000"/>
          <w:kern w:val="0"/>
          <w:sz w:val="24"/>
        </w:rPr>
      </w:pP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第十五条</w:t>
      </w:r>
      <w:r>
        <w:rPr>
          <w:rFonts w:eastAsia="方正仿宋_GBK"/>
          <w:color w:val="000000"/>
          <w:kern w:val="0"/>
          <w:sz w:val="24"/>
        </w:rPr>
        <w:t xml:space="preserve">  </w:t>
      </w:r>
      <w:r>
        <w:rPr>
          <w:rFonts w:hint="eastAsia" w:eastAsia="方正仿宋_GBK"/>
          <w:color w:val="000000"/>
          <w:kern w:val="0"/>
          <w:sz w:val="24"/>
        </w:rPr>
        <w:t>评标委员会成员原则上由招标人在评标当天通过随机抽取和语音通知系统从评标专家库中抽取通知，特殊情况可以提前半天抽取通知；远程异地评标项目提前</w:t>
      </w:r>
      <w:r>
        <w:rPr>
          <w:rFonts w:eastAsia="方正仿宋_GBK"/>
          <w:color w:val="000000"/>
          <w:kern w:val="0"/>
          <w:sz w:val="24"/>
        </w:rPr>
        <w:t>1</w:t>
      </w:r>
      <w:r>
        <w:rPr>
          <w:rFonts w:hint="eastAsia" w:eastAsia="方正仿宋_GBK"/>
          <w:color w:val="000000"/>
          <w:kern w:val="0"/>
          <w:sz w:val="24"/>
        </w:rPr>
        <w:t>天通过</w:t>
      </w:r>
      <w:r>
        <w:rPr>
          <w:rFonts w:eastAsia="方正仿宋_GBK"/>
          <w:color w:val="000000"/>
          <w:kern w:val="0"/>
          <w:sz w:val="24"/>
        </w:rPr>
        <w:t>“</w:t>
      </w:r>
      <w:r>
        <w:rPr>
          <w:rFonts w:hint="eastAsia" w:eastAsia="方正仿宋_GBK"/>
          <w:color w:val="000000"/>
          <w:kern w:val="0"/>
          <w:sz w:val="24"/>
        </w:rPr>
        <w:t>省招投标监管系统</w:t>
      </w:r>
      <w:r>
        <w:rPr>
          <w:rFonts w:eastAsia="方正仿宋_GBK"/>
          <w:color w:val="000000"/>
          <w:kern w:val="0"/>
          <w:sz w:val="24"/>
        </w:rPr>
        <w:t>”</w:t>
      </w:r>
      <w:r>
        <w:rPr>
          <w:rFonts w:hint="eastAsia" w:eastAsia="方正仿宋_GBK"/>
          <w:color w:val="000000"/>
          <w:kern w:val="0"/>
          <w:sz w:val="24"/>
        </w:rPr>
        <w:t>远程评标协调系统抽取、通知评标专家。抽取结果由招标人和监管人员签字后归入评标资料档案（含电子档案）予以保存。评标专家名单在评标开始时方可打印。</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招投标监管机构应对评标委员会成员的确定方式、抽取和通知的过程进行监督。</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第十六条</w:t>
      </w:r>
      <w:r>
        <w:rPr>
          <w:rFonts w:eastAsia="方正仿宋_GBK"/>
          <w:b/>
          <w:bCs/>
          <w:color w:val="000000"/>
          <w:kern w:val="0"/>
          <w:sz w:val="24"/>
        </w:rPr>
        <w:t xml:space="preserve">  </w:t>
      </w:r>
      <w:r>
        <w:rPr>
          <w:rFonts w:hint="eastAsia" w:eastAsia="方正仿宋_GBK"/>
          <w:color w:val="000000"/>
          <w:kern w:val="0"/>
          <w:sz w:val="24"/>
        </w:rPr>
        <w:t>随机抽取所需专业的评标专家人数应不少于需要抽取人数的</w:t>
      </w:r>
      <w:r>
        <w:rPr>
          <w:rFonts w:eastAsia="方正仿宋_GBK"/>
          <w:color w:val="000000"/>
          <w:kern w:val="0"/>
          <w:sz w:val="24"/>
        </w:rPr>
        <w:t>3</w:t>
      </w:r>
      <w:r>
        <w:rPr>
          <w:rFonts w:hint="eastAsia" w:eastAsia="方正仿宋_GBK"/>
          <w:color w:val="000000"/>
          <w:kern w:val="0"/>
          <w:sz w:val="24"/>
        </w:rPr>
        <w:t>倍。如果本地符合要求的评标专家人数不足需要抽取人数的</w:t>
      </w:r>
      <w:r>
        <w:rPr>
          <w:rFonts w:eastAsia="方正仿宋_GBK"/>
          <w:color w:val="000000"/>
          <w:kern w:val="0"/>
          <w:sz w:val="24"/>
        </w:rPr>
        <w:t>3</w:t>
      </w:r>
      <w:r>
        <w:rPr>
          <w:rFonts w:hint="eastAsia" w:eastAsia="方正仿宋_GBK"/>
          <w:color w:val="000000"/>
          <w:kern w:val="0"/>
          <w:sz w:val="24"/>
        </w:rPr>
        <w:t>倍时，应当通过</w:t>
      </w:r>
      <w:r>
        <w:rPr>
          <w:rFonts w:eastAsia="方正仿宋_GBK"/>
          <w:color w:val="000000"/>
          <w:kern w:val="0"/>
          <w:sz w:val="24"/>
        </w:rPr>
        <w:t>“</w:t>
      </w:r>
      <w:r>
        <w:rPr>
          <w:rFonts w:hint="eastAsia" w:eastAsia="方正仿宋_GBK"/>
          <w:color w:val="000000"/>
          <w:kern w:val="0"/>
          <w:sz w:val="24"/>
        </w:rPr>
        <w:t>省招投标监管系统</w:t>
      </w:r>
      <w:r>
        <w:rPr>
          <w:rFonts w:eastAsia="方正仿宋_GBK"/>
          <w:color w:val="000000"/>
          <w:kern w:val="0"/>
          <w:sz w:val="24"/>
        </w:rPr>
        <w:t>” </w:t>
      </w:r>
      <w:r>
        <w:rPr>
          <w:rFonts w:hint="eastAsia" w:eastAsia="方正仿宋_GBK"/>
          <w:color w:val="000000"/>
          <w:kern w:val="0"/>
          <w:sz w:val="24"/>
        </w:rPr>
        <w:t>远程评标协调系统补充抽取异地评标专家，远程异地评标。</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第十七条</w:t>
      </w:r>
      <w:r>
        <w:rPr>
          <w:rFonts w:eastAsia="方正仿宋_GBK"/>
          <w:b/>
          <w:bCs/>
          <w:color w:val="000000"/>
          <w:kern w:val="0"/>
          <w:sz w:val="24"/>
        </w:rPr>
        <w:t xml:space="preserve">  </w:t>
      </w:r>
      <w:r>
        <w:rPr>
          <w:rFonts w:hint="eastAsia" w:eastAsia="方正仿宋_GBK"/>
          <w:color w:val="000000"/>
          <w:kern w:val="0"/>
          <w:sz w:val="24"/>
        </w:rPr>
        <w:t>评标专家在一段时间内不能参加评标的，应当及时通过</w:t>
      </w:r>
      <w:r>
        <w:rPr>
          <w:rFonts w:eastAsia="方正仿宋_GBK"/>
          <w:color w:val="000000"/>
          <w:kern w:val="0"/>
          <w:sz w:val="24"/>
        </w:rPr>
        <w:t>“</w:t>
      </w:r>
      <w:r>
        <w:rPr>
          <w:rFonts w:hint="eastAsia" w:eastAsia="方正仿宋_GBK"/>
          <w:color w:val="000000"/>
          <w:kern w:val="0"/>
          <w:sz w:val="24"/>
        </w:rPr>
        <w:t>评委管理系统</w:t>
      </w:r>
      <w:r>
        <w:rPr>
          <w:rFonts w:eastAsia="方正仿宋_GBK"/>
          <w:color w:val="000000"/>
          <w:kern w:val="0"/>
          <w:sz w:val="24"/>
        </w:rPr>
        <w:t>”</w:t>
      </w:r>
      <w:r>
        <w:rPr>
          <w:rFonts w:hint="eastAsia" w:eastAsia="方正仿宋_GBK"/>
          <w:color w:val="000000"/>
          <w:kern w:val="0"/>
          <w:sz w:val="24"/>
        </w:rPr>
        <w:t>申请暂停评标。</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评标专家在确认参加评标后不能参加评标的，应当及时向所在地管理部门请假。</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第十八条</w:t>
      </w:r>
      <w:r>
        <w:rPr>
          <w:rFonts w:eastAsia="方正仿宋_GBK"/>
          <w:color w:val="000000"/>
          <w:kern w:val="0"/>
          <w:sz w:val="24"/>
        </w:rPr>
        <w:t xml:space="preserve">  </w:t>
      </w:r>
      <w:r>
        <w:rPr>
          <w:rFonts w:hint="eastAsia" w:eastAsia="方正仿宋_GBK"/>
          <w:color w:val="000000"/>
          <w:kern w:val="0"/>
          <w:sz w:val="24"/>
        </w:rPr>
        <w:t>有下列情形之一的，可以使用应急评标专家：</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（一）评标专家现场回避或者已抽取的评标专家因故不能参加评标导致原定评标专家人数不足的；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（二）发生其它特殊情况需要补充抽取评标专家的。</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第十九条</w:t>
      </w:r>
      <w:r>
        <w:rPr>
          <w:rFonts w:eastAsia="方正仿宋_GBK"/>
          <w:color w:val="000000"/>
          <w:kern w:val="0"/>
          <w:sz w:val="24"/>
        </w:rPr>
        <w:t xml:space="preserve">  </w:t>
      </w:r>
      <w:r>
        <w:rPr>
          <w:rFonts w:hint="eastAsia" w:eastAsia="方正仿宋_GBK"/>
          <w:color w:val="000000"/>
          <w:kern w:val="0"/>
          <w:sz w:val="24"/>
        </w:rPr>
        <w:t>有下列情形之一的，可以使用资深评标专家：</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（一）大型工程、技术要求复杂工程的评标；</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（二）对招投标活动中存在的技术问题、争议等问题进行咨询；（三）对评标结果进行后评估；</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（三）其他招标项目的评标。</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第二十条</w:t>
      </w:r>
      <w:r>
        <w:rPr>
          <w:rFonts w:eastAsia="方正仿宋_GBK"/>
          <w:color w:val="000000"/>
          <w:kern w:val="0"/>
          <w:sz w:val="24"/>
        </w:rPr>
        <w:t xml:space="preserve">  </w:t>
      </w:r>
      <w:r>
        <w:rPr>
          <w:rFonts w:hint="eastAsia" w:eastAsia="方正仿宋_GBK"/>
          <w:color w:val="000000"/>
          <w:kern w:val="0"/>
          <w:sz w:val="24"/>
        </w:rPr>
        <w:t>招标人应当根据评标工作量向评标专家支付评审费。资格预审评审费标准为</w:t>
      </w:r>
      <w:r>
        <w:rPr>
          <w:rFonts w:eastAsia="方正仿宋_GBK"/>
          <w:color w:val="000000"/>
          <w:kern w:val="0"/>
          <w:sz w:val="24"/>
        </w:rPr>
        <w:t>4</w:t>
      </w:r>
      <w:r>
        <w:rPr>
          <w:rFonts w:hint="eastAsia" w:eastAsia="方正仿宋_GBK"/>
          <w:color w:val="000000"/>
          <w:kern w:val="0"/>
          <w:sz w:val="24"/>
        </w:rPr>
        <w:t>小时以内</w:t>
      </w:r>
      <w:r>
        <w:rPr>
          <w:rFonts w:eastAsia="方正仿宋_GBK"/>
          <w:color w:val="000000"/>
          <w:kern w:val="0"/>
          <w:sz w:val="24"/>
        </w:rPr>
        <w:t>200—500</w:t>
      </w:r>
      <w:r>
        <w:rPr>
          <w:rFonts w:hint="eastAsia" w:eastAsia="方正仿宋_GBK"/>
          <w:color w:val="000000"/>
          <w:kern w:val="0"/>
          <w:sz w:val="24"/>
        </w:rPr>
        <w:t>元</w:t>
      </w:r>
      <w:r>
        <w:rPr>
          <w:rFonts w:eastAsia="方正仿宋_GBK"/>
          <w:color w:val="000000"/>
          <w:kern w:val="0"/>
          <w:sz w:val="24"/>
        </w:rPr>
        <w:t>/</w:t>
      </w:r>
      <w:r>
        <w:rPr>
          <w:rFonts w:hint="eastAsia" w:eastAsia="方正仿宋_GBK"/>
          <w:color w:val="000000"/>
          <w:kern w:val="0"/>
          <w:sz w:val="24"/>
        </w:rPr>
        <w:t>人次；评标评审费标准为</w:t>
      </w:r>
      <w:r>
        <w:rPr>
          <w:rFonts w:eastAsia="方正仿宋_GBK"/>
          <w:color w:val="000000"/>
          <w:kern w:val="0"/>
          <w:sz w:val="24"/>
        </w:rPr>
        <w:t>4</w:t>
      </w:r>
      <w:r>
        <w:rPr>
          <w:rFonts w:hint="eastAsia" w:eastAsia="方正仿宋_GBK"/>
          <w:color w:val="000000"/>
          <w:kern w:val="0"/>
          <w:sz w:val="24"/>
        </w:rPr>
        <w:t>小时以内</w:t>
      </w:r>
      <w:r>
        <w:rPr>
          <w:rFonts w:eastAsia="方正仿宋_GBK"/>
          <w:color w:val="000000"/>
          <w:kern w:val="0"/>
          <w:sz w:val="24"/>
        </w:rPr>
        <w:t>300—600</w:t>
      </w:r>
      <w:r>
        <w:rPr>
          <w:rFonts w:hint="eastAsia" w:eastAsia="方正仿宋_GBK"/>
          <w:color w:val="000000"/>
          <w:kern w:val="0"/>
          <w:sz w:val="24"/>
        </w:rPr>
        <w:t>元</w:t>
      </w:r>
      <w:r>
        <w:rPr>
          <w:rFonts w:eastAsia="方正仿宋_GBK"/>
          <w:color w:val="000000"/>
          <w:kern w:val="0"/>
          <w:sz w:val="24"/>
        </w:rPr>
        <w:t>/</w:t>
      </w:r>
      <w:r>
        <w:rPr>
          <w:rFonts w:hint="eastAsia" w:eastAsia="方正仿宋_GBK"/>
          <w:color w:val="000000"/>
          <w:kern w:val="0"/>
          <w:sz w:val="24"/>
        </w:rPr>
        <w:t>人次；远程评标项目评审费为</w:t>
      </w:r>
      <w:r>
        <w:rPr>
          <w:rFonts w:eastAsia="方正仿宋_GBK"/>
          <w:color w:val="000000"/>
          <w:kern w:val="0"/>
          <w:sz w:val="24"/>
        </w:rPr>
        <w:t>4</w:t>
      </w:r>
      <w:r>
        <w:rPr>
          <w:rFonts w:hint="eastAsia" w:eastAsia="方正仿宋_GBK"/>
          <w:color w:val="000000"/>
          <w:kern w:val="0"/>
          <w:sz w:val="24"/>
        </w:rPr>
        <w:t>小时以内</w:t>
      </w:r>
      <w:r>
        <w:rPr>
          <w:rFonts w:eastAsia="方正仿宋_GBK"/>
          <w:color w:val="000000"/>
          <w:kern w:val="0"/>
          <w:sz w:val="24"/>
        </w:rPr>
        <w:t>500</w:t>
      </w:r>
      <w:r>
        <w:rPr>
          <w:rFonts w:hint="eastAsia" w:eastAsia="方正仿宋_GBK"/>
          <w:color w:val="000000"/>
          <w:kern w:val="0"/>
          <w:sz w:val="24"/>
        </w:rPr>
        <w:t>元</w:t>
      </w:r>
      <w:r>
        <w:rPr>
          <w:rFonts w:eastAsia="方正仿宋_GBK"/>
          <w:color w:val="000000"/>
          <w:kern w:val="0"/>
          <w:sz w:val="24"/>
        </w:rPr>
        <w:t>/</w:t>
      </w:r>
      <w:r>
        <w:rPr>
          <w:rFonts w:hint="eastAsia" w:eastAsia="方正仿宋_GBK"/>
          <w:color w:val="000000"/>
          <w:kern w:val="0"/>
          <w:sz w:val="24"/>
        </w:rPr>
        <w:t>人；超过</w:t>
      </w:r>
      <w:r>
        <w:rPr>
          <w:rFonts w:eastAsia="方正仿宋_GBK"/>
          <w:color w:val="000000"/>
          <w:kern w:val="0"/>
          <w:sz w:val="24"/>
        </w:rPr>
        <w:t>4</w:t>
      </w:r>
      <w:r>
        <w:rPr>
          <w:rFonts w:hint="eastAsia" w:eastAsia="方正仿宋_GBK"/>
          <w:color w:val="000000"/>
          <w:kern w:val="0"/>
          <w:sz w:val="24"/>
        </w:rPr>
        <w:t>小时每小时增加</w:t>
      </w:r>
      <w:r>
        <w:rPr>
          <w:rFonts w:eastAsia="方正仿宋_GBK"/>
          <w:color w:val="000000"/>
          <w:kern w:val="0"/>
          <w:sz w:val="24"/>
        </w:rPr>
        <w:t>100</w:t>
      </w:r>
      <w:r>
        <w:rPr>
          <w:rFonts w:hint="eastAsia" w:eastAsia="方正仿宋_GBK"/>
          <w:color w:val="000000"/>
          <w:kern w:val="0"/>
          <w:sz w:val="24"/>
        </w:rPr>
        <w:t>元。设计专业和全部使用资深评标专家的评审费可以上浮</w:t>
      </w:r>
      <w:r>
        <w:rPr>
          <w:rFonts w:eastAsia="方正仿宋_GBK"/>
          <w:color w:val="000000"/>
          <w:kern w:val="0"/>
          <w:sz w:val="24"/>
        </w:rPr>
        <w:t>50%—100%</w:t>
      </w:r>
      <w:r>
        <w:rPr>
          <w:rFonts w:hint="eastAsia" w:eastAsia="方正仿宋_GBK"/>
          <w:color w:val="000000"/>
          <w:kern w:val="0"/>
          <w:sz w:val="24"/>
        </w:rPr>
        <w:t>。对评审时间超过一天，或者在休息日的可以根据实际情况确定评审费。</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除远程评标项目外，各地可以根据当地实际情况对评审费标准进行适当调整。</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省住房和城乡建设行政主管部门将根据经济社会的发展，适时调整评审费标准。国家、省物价部门另有规定的，从其规定。</w:t>
      </w:r>
    </w:p>
    <w:p>
      <w:pPr>
        <w:shd w:val="clear" w:color="auto" w:fill="FFFFFF"/>
        <w:spacing w:line="460" w:lineRule="exact"/>
        <w:ind w:firstLine="472" w:firstLineChars="200"/>
        <w:jc w:val="left"/>
        <w:rPr>
          <w:rFonts w:eastAsia="方正仿宋_GBK"/>
          <w:color w:val="000000"/>
          <w:kern w:val="0"/>
          <w:sz w:val="24"/>
        </w:rPr>
      </w:pPr>
    </w:p>
    <w:p>
      <w:pPr>
        <w:shd w:val="clear" w:color="auto" w:fill="FFFFFF"/>
        <w:spacing w:line="460" w:lineRule="exact"/>
        <w:ind w:left="1" w:leftChars="-3" w:hanging="7" w:hangingChars="3"/>
        <w:jc w:val="center"/>
        <w:outlineLvl w:val="0"/>
        <w:rPr>
          <w:rFonts w:ascii="Times New Roman" w:eastAsia="黑体"/>
          <w:bCs/>
          <w:color w:val="000000"/>
          <w:kern w:val="36"/>
          <w:sz w:val="24"/>
        </w:rPr>
      </w:pPr>
      <w:bookmarkStart w:id="706" w:name="_Toc20668183"/>
      <w:bookmarkStart w:id="707" w:name="_Toc20726713"/>
      <w:bookmarkStart w:id="708" w:name="_Toc18315849"/>
      <w:r>
        <w:rPr>
          <w:rFonts w:hint="eastAsia" w:ascii="Times New Roman" w:eastAsia="黑体"/>
          <w:bCs/>
          <w:color w:val="000000"/>
          <w:kern w:val="36"/>
          <w:sz w:val="24"/>
        </w:rPr>
        <w:t xml:space="preserve">第四章 </w:t>
      </w:r>
      <w:r>
        <w:rPr>
          <w:rFonts w:ascii="Times New Roman" w:eastAsia="黑体"/>
          <w:bCs/>
          <w:color w:val="000000"/>
          <w:kern w:val="36"/>
          <w:sz w:val="24"/>
        </w:rPr>
        <w:t> </w:t>
      </w:r>
      <w:r>
        <w:rPr>
          <w:rFonts w:hint="eastAsia" w:ascii="Times New Roman" w:eastAsia="黑体"/>
          <w:bCs/>
          <w:color w:val="000000"/>
          <w:kern w:val="36"/>
          <w:sz w:val="24"/>
        </w:rPr>
        <w:t>评标专家的考核与管理</w:t>
      </w:r>
      <w:bookmarkEnd w:id="706"/>
      <w:bookmarkEnd w:id="707"/>
      <w:bookmarkEnd w:id="708"/>
    </w:p>
    <w:p>
      <w:pPr>
        <w:shd w:val="clear" w:color="auto" w:fill="FFFFFF"/>
        <w:spacing w:line="460" w:lineRule="exact"/>
        <w:ind w:firstLine="472" w:firstLineChars="200"/>
        <w:jc w:val="left"/>
        <w:rPr>
          <w:rFonts w:hint="eastAsia" w:eastAsia="方正仿宋_GBK"/>
          <w:b/>
          <w:bCs/>
          <w:color w:val="000000"/>
          <w:kern w:val="0"/>
          <w:sz w:val="24"/>
        </w:rPr>
      </w:pP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第二十一条</w:t>
      </w:r>
      <w:r>
        <w:rPr>
          <w:rFonts w:eastAsia="方正仿宋_GBK"/>
          <w:color w:val="000000"/>
          <w:kern w:val="0"/>
          <w:sz w:val="24"/>
        </w:rPr>
        <w:t xml:space="preserve">  </w:t>
      </w:r>
      <w:r>
        <w:rPr>
          <w:rFonts w:hint="eastAsia" w:eastAsia="方正仿宋_GBK"/>
          <w:color w:val="000000"/>
          <w:kern w:val="0"/>
          <w:sz w:val="24"/>
        </w:rPr>
        <w:t>评标专家考核实行</w:t>
      </w:r>
      <w:r>
        <w:rPr>
          <w:rFonts w:eastAsia="方正仿宋_GBK"/>
          <w:color w:val="000000"/>
          <w:kern w:val="0"/>
          <w:sz w:val="24"/>
        </w:rPr>
        <w:t>“</w:t>
      </w:r>
      <w:r>
        <w:rPr>
          <w:rFonts w:hint="eastAsia" w:eastAsia="方正仿宋_GBK"/>
          <w:color w:val="000000"/>
          <w:kern w:val="0"/>
          <w:sz w:val="24"/>
        </w:rPr>
        <w:t>一标一评</w:t>
      </w:r>
      <w:r>
        <w:rPr>
          <w:rFonts w:eastAsia="方正仿宋_GBK"/>
          <w:color w:val="000000"/>
          <w:kern w:val="0"/>
          <w:sz w:val="24"/>
        </w:rPr>
        <w:t>”</w:t>
      </w:r>
      <w:r>
        <w:rPr>
          <w:rFonts w:hint="eastAsia" w:eastAsia="方正仿宋_GBK"/>
          <w:color w:val="000000"/>
          <w:kern w:val="0"/>
          <w:sz w:val="24"/>
        </w:rPr>
        <w:t>的日常考核与年度考核相结合的方法。日常考核在评标专家每次完成资格预审或者评标（以下简称</w:t>
      </w:r>
      <w:r>
        <w:rPr>
          <w:rFonts w:eastAsia="方正仿宋_GBK"/>
          <w:color w:val="000000"/>
          <w:kern w:val="0"/>
          <w:sz w:val="24"/>
        </w:rPr>
        <w:t>“</w:t>
      </w:r>
      <w:r>
        <w:rPr>
          <w:rFonts w:hint="eastAsia" w:eastAsia="方正仿宋_GBK"/>
          <w:color w:val="000000"/>
          <w:kern w:val="0"/>
          <w:sz w:val="24"/>
        </w:rPr>
        <w:t>评标</w:t>
      </w:r>
      <w:r>
        <w:rPr>
          <w:rFonts w:eastAsia="方正仿宋_GBK"/>
          <w:color w:val="000000"/>
          <w:kern w:val="0"/>
          <w:sz w:val="24"/>
        </w:rPr>
        <w:t>”</w:t>
      </w:r>
      <w:r>
        <w:rPr>
          <w:rFonts w:hint="eastAsia" w:eastAsia="方正仿宋_GBK"/>
          <w:color w:val="000000"/>
          <w:kern w:val="0"/>
          <w:sz w:val="24"/>
        </w:rPr>
        <w:t>）工作后由项目监管人员进行现场考核计分。如因投诉等情况经调查证实，由于评标专家自身原因影响评审结果公正的，应当追加计分。远程异地评标项目的副场评标专家考核由主场的项目监管人员与副场的现场管理人员共同考核计分。</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第二十二条</w:t>
      </w:r>
      <w:r>
        <w:rPr>
          <w:rFonts w:eastAsia="方正仿宋_GBK"/>
          <w:color w:val="000000"/>
          <w:kern w:val="0"/>
          <w:sz w:val="24"/>
        </w:rPr>
        <w:t xml:space="preserve">  </w:t>
      </w:r>
      <w:r>
        <w:rPr>
          <w:rFonts w:hint="eastAsia" w:eastAsia="方正仿宋_GBK"/>
          <w:color w:val="000000"/>
          <w:kern w:val="0"/>
          <w:sz w:val="24"/>
        </w:rPr>
        <w:t>评标专家发生以下情况的，每次扣</w:t>
      </w:r>
      <w:r>
        <w:rPr>
          <w:rFonts w:eastAsia="方正仿宋_GBK"/>
          <w:color w:val="000000"/>
          <w:kern w:val="0"/>
          <w:sz w:val="24"/>
        </w:rPr>
        <w:t>3</w:t>
      </w:r>
      <w:r>
        <w:rPr>
          <w:rFonts w:hint="eastAsia" w:eastAsia="方正仿宋_GBK"/>
          <w:color w:val="000000"/>
          <w:kern w:val="0"/>
          <w:sz w:val="24"/>
        </w:rPr>
        <w:t>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（一）参加评标迟到的；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（二）在电子评标过程中因不能熟练操作计算机而影响正常评标的；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（三）个人基本信息发生变化或者不完整，未及时修改完善或者补充的。</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第二十三条</w:t>
      </w:r>
      <w:r>
        <w:rPr>
          <w:rFonts w:eastAsia="方正仿宋_GBK"/>
          <w:color w:val="000000"/>
          <w:kern w:val="0"/>
          <w:sz w:val="24"/>
        </w:rPr>
        <w:t xml:space="preserve">  </w:t>
      </w:r>
      <w:r>
        <w:rPr>
          <w:rFonts w:hint="eastAsia" w:eastAsia="方正仿宋_GBK"/>
          <w:color w:val="000000"/>
          <w:kern w:val="0"/>
          <w:sz w:val="24"/>
        </w:rPr>
        <w:t>评标专家发生以下情况的，每次扣</w:t>
      </w:r>
      <w:r>
        <w:rPr>
          <w:rFonts w:eastAsia="方正仿宋_GBK"/>
          <w:color w:val="000000"/>
          <w:kern w:val="0"/>
          <w:sz w:val="24"/>
        </w:rPr>
        <w:t>5</w:t>
      </w:r>
      <w:r>
        <w:rPr>
          <w:rFonts w:hint="eastAsia" w:eastAsia="方正仿宋_GBK"/>
          <w:color w:val="000000"/>
          <w:kern w:val="0"/>
          <w:sz w:val="24"/>
        </w:rPr>
        <w:t>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（一）未携带有效</w:t>
      </w:r>
      <w:r>
        <w:rPr>
          <w:rFonts w:eastAsia="方正仿宋_GBK"/>
          <w:color w:val="000000"/>
          <w:kern w:val="0"/>
          <w:sz w:val="24"/>
        </w:rPr>
        <w:t>CA</w:t>
      </w:r>
      <w:r>
        <w:rPr>
          <w:rFonts w:hint="eastAsia" w:eastAsia="方正仿宋_GBK"/>
          <w:color w:val="000000"/>
          <w:kern w:val="0"/>
          <w:sz w:val="24"/>
        </w:rPr>
        <w:t>数字证书参加评标活动的；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（二）评审前不能认真阅读招标文件或者资格预审文件文件的；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（三）在评审过程中做与评审无关事情的；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（四）评审过程中催促其他评委评审的；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（五）一年内累计</w:t>
      </w:r>
      <w:r>
        <w:rPr>
          <w:rFonts w:eastAsia="方正仿宋_GBK"/>
          <w:color w:val="000000"/>
          <w:kern w:val="0"/>
          <w:sz w:val="24"/>
        </w:rPr>
        <w:t>2</w:t>
      </w:r>
      <w:r>
        <w:rPr>
          <w:rFonts w:hint="eastAsia" w:eastAsia="方正仿宋_GBK"/>
          <w:color w:val="000000"/>
          <w:kern w:val="0"/>
          <w:sz w:val="24"/>
        </w:rPr>
        <w:t>次发生评标专家的打分与其他评标专家的平均分正负偏离</w:t>
      </w:r>
      <w:r>
        <w:rPr>
          <w:rFonts w:eastAsia="方正仿宋_GBK"/>
          <w:color w:val="000000"/>
          <w:kern w:val="0"/>
          <w:sz w:val="24"/>
        </w:rPr>
        <w:t>20%</w:t>
      </w:r>
      <w:r>
        <w:rPr>
          <w:rFonts w:hint="eastAsia" w:eastAsia="方正仿宋_GBK"/>
          <w:color w:val="000000"/>
          <w:kern w:val="0"/>
          <w:sz w:val="24"/>
        </w:rPr>
        <w:t>及以上，且不能作出书面合理说明的；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（六）一年内累计</w:t>
      </w:r>
      <w:r>
        <w:rPr>
          <w:rFonts w:eastAsia="方正仿宋_GBK"/>
          <w:color w:val="000000"/>
          <w:kern w:val="0"/>
          <w:sz w:val="24"/>
        </w:rPr>
        <w:t>12</w:t>
      </w:r>
      <w:r>
        <w:rPr>
          <w:rFonts w:hint="eastAsia" w:eastAsia="方正仿宋_GBK"/>
          <w:color w:val="000000"/>
          <w:kern w:val="0"/>
          <w:sz w:val="24"/>
        </w:rPr>
        <w:t>次拒绝参加评标的（包括电话无人接听、直接挂机的）。</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第二十四条</w:t>
      </w:r>
      <w:r>
        <w:rPr>
          <w:rFonts w:eastAsia="方正仿宋_GBK"/>
          <w:color w:val="000000"/>
          <w:kern w:val="0"/>
          <w:sz w:val="24"/>
        </w:rPr>
        <w:t xml:space="preserve">  </w:t>
      </w:r>
      <w:r>
        <w:rPr>
          <w:rFonts w:hint="eastAsia" w:eastAsia="方正仿宋_GBK"/>
          <w:color w:val="000000"/>
          <w:kern w:val="0"/>
          <w:sz w:val="24"/>
        </w:rPr>
        <w:t>评标专家发生以下情况的，每次扣</w:t>
      </w:r>
      <w:r>
        <w:rPr>
          <w:rFonts w:eastAsia="方正仿宋_GBK"/>
          <w:color w:val="000000"/>
          <w:kern w:val="0"/>
          <w:sz w:val="24"/>
        </w:rPr>
        <w:t>10</w:t>
      </w:r>
      <w:r>
        <w:rPr>
          <w:rFonts w:hint="eastAsia" w:eastAsia="方正仿宋_GBK"/>
          <w:color w:val="000000"/>
          <w:kern w:val="0"/>
          <w:sz w:val="24"/>
        </w:rPr>
        <w:t>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（一）确认参加评标后不参加评标，且未请假或者未在评标开始时间半小时前请假的；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（二）将个人通讯工具带入评标区的；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（三）未经评标现场监管人员或者见证人员许可，擅自进入其他评标室、离开评标区或者早退的；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（四）一年内累计</w:t>
      </w:r>
      <w:r>
        <w:rPr>
          <w:rFonts w:eastAsia="方正仿宋_GBK"/>
          <w:color w:val="000000"/>
          <w:kern w:val="0"/>
          <w:sz w:val="24"/>
        </w:rPr>
        <w:t>4</w:t>
      </w:r>
      <w:r>
        <w:rPr>
          <w:rFonts w:hint="eastAsia" w:eastAsia="方正仿宋_GBK"/>
          <w:color w:val="000000"/>
          <w:kern w:val="0"/>
          <w:sz w:val="24"/>
        </w:rPr>
        <w:t>次发生评标专家的打分与其他评标专家的平均分正负偏离</w:t>
      </w:r>
      <w:r>
        <w:rPr>
          <w:rFonts w:eastAsia="方正仿宋_GBK"/>
          <w:color w:val="000000"/>
          <w:kern w:val="0"/>
          <w:sz w:val="24"/>
        </w:rPr>
        <w:t>20%</w:t>
      </w:r>
      <w:r>
        <w:rPr>
          <w:rFonts w:hint="eastAsia" w:eastAsia="方正仿宋_GBK"/>
          <w:color w:val="000000"/>
          <w:kern w:val="0"/>
          <w:sz w:val="24"/>
        </w:rPr>
        <w:t>及以上，且不能作出书面合理说明的；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（五）将有关评标材料携带出评标现场的；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（六）未认真填写或者未完整提交评审报告，或者拒绝在评标报告上签字（签章）且无书面陈述理由的；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（七）对按照规定发放的评审费不满，且有过激言行的；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（八）在评标过程中因评标专家个人操作失误导致评标结果改变，或者因评标专家个人原因导致两次及以上评标复议的；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（九）无故拒绝参加复议的；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（十）其他不服从评标现场监督与工作人员管理的。</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第二十五条</w:t>
      </w:r>
      <w:r>
        <w:rPr>
          <w:rFonts w:eastAsia="方正仿宋_GBK"/>
          <w:color w:val="000000"/>
          <w:kern w:val="0"/>
          <w:sz w:val="24"/>
        </w:rPr>
        <w:t xml:space="preserve">  </w:t>
      </w:r>
      <w:r>
        <w:rPr>
          <w:rFonts w:hint="eastAsia" w:eastAsia="方正仿宋_GBK"/>
          <w:color w:val="000000"/>
          <w:kern w:val="0"/>
          <w:sz w:val="24"/>
        </w:rPr>
        <w:t>评标专家发生以下情况的，每次扣</w:t>
      </w:r>
      <w:r>
        <w:rPr>
          <w:rFonts w:eastAsia="方正仿宋_GBK"/>
          <w:color w:val="000000"/>
          <w:kern w:val="0"/>
          <w:sz w:val="24"/>
        </w:rPr>
        <w:t>20</w:t>
      </w:r>
      <w:r>
        <w:rPr>
          <w:rFonts w:hint="eastAsia" w:eastAsia="方正仿宋_GBK"/>
          <w:color w:val="000000"/>
          <w:kern w:val="0"/>
          <w:sz w:val="24"/>
        </w:rPr>
        <w:t>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（一）应当回避而未回避的；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（二）未按招标文件或者资格审查文件规定的评审标准和方法评审，导致中标结果改变的；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（三）评标委员会成员私下接触投标人，或者向招标人征询确定中标人的意向，或者接受任何单位或者个人明示或者暗示提出的倾向或者排斥特定投标人的要求；</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（四）以明示或者暗示的方式发表诱导性意见、授意其他评标专家给特定投标人进行倾向性打分的；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（五）委托他人代替评标或者委托他人代替在评审报告上签字（签章）的；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（六）暗示或者诱导投标人做出澄清、说明或者接受投标人主动提出的澄清、说明，影响公正评标的；</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（七）对依法应当否决的投标不提出否决意见；</w:t>
      </w:r>
    </w:p>
    <w:p>
      <w:pPr>
        <w:shd w:val="clear" w:color="auto" w:fill="FFFFFF"/>
        <w:spacing w:line="460" w:lineRule="exact"/>
        <w:ind w:firstLine="472" w:firstLineChars="200"/>
        <w:jc w:val="left"/>
        <w:rPr>
          <w:rFonts w:eastAsia="方正仿宋_GBK"/>
          <w:color w:val="000000"/>
          <w:kern w:val="0"/>
          <w:sz w:val="24"/>
        </w:rPr>
      </w:pPr>
      <w:r>
        <w:rPr>
          <w:rFonts w:eastAsia="方正仿宋_GBK"/>
          <w:color w:val="000000"/>
          <w:kern w:val="0"/>
          <w:sz w:val="24"/>
        </w:rPr>
        <w:t> </w:t>
      </w:r>
      <w:r>
        <w:rPr>
          <w:rFonts w:hint="eastAsia" w:eastAsia="方正仿宋_GBK"/>
          <w:color w:val="000000"/>
          <w:kern w:val="0"/>
          <w:sz w:val="24"/>
        </w:rPr>
        <w:t>（八）其他不客观、不公正履行职务的行为。</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第二十六条</w:t>
      </w:r>
      <w:r>
        <w:rPr>
          <w:rFonts w:eastAsia="方正仿宋_GBK"/>
          <w:color w:val="000000"/>
          <w:kern w:val="0"/>
          <w:sz w:val="24"/>
        </w:rPr>
        <w:t xml:space="preserve">  </w:t>
      </w:r>
      <w:r>
        <w:rPr>
          <w:rFonts w:hint="eastAsia" w:eastAsia="方正仿宋_GBK"/>
          <w:color w:val="000000"/>
          <w:kern w:val="0"/>
          <w:sz w:val="24"/>
        </w:rPr>
        <w:t>评标专家发生以下情况的，予以加分奖励。</w:t>
      </w:r>
    </w:p>
    <w:p>
      <w:pPr>
        <w:shd w:val="clear" w:color="auto" w:fill="FFFFFF"/>
        <w:spacing w:line="460" w:lineRule="exact"/>
        <w:ind w:firstLine="472" w:firstLineChars="200"/>
        <w:jc w:val="left"/>
        <w:rPr>
          <w:rFonts w:eastAsia="方正仿宋_GBK"/>
          <w:color w:val="000000"/>
          <w:spacing w:val="-10"/>
          <w:kern w:val="0"/>
          <w:sz w:val="24"/>
        </w:rPr>
      </w:pPr>
      <w:r>
        <w:rPr>
          <w:rFonts w:hint="eastAsia" w:eastAsia="方正仿宋_GBK"/>
          <w:color w:val="000000"/>
          <w:kern w:val="0"/>
          <w:sz w:val="24"/>
        </w:rPr>
        <w:t>（一）</w:t>
      </w:r>
      <w:r>
        <w:rPr>
          <w:rFonts w:hint="eastAsia" w:eastAsia="方正仿宋_GBK"/>
          <w:color w:val="000000"/>
          <w:spacing w:val="-10"/>
          <w:kern w:val="0"/>
          <w:sz w:val="24"/>
        </w:rPr>
        <w:t>在依法必须招标的项目中，积极配合有关部门对评标情况进行调查的，加</w:t>
      </w:r>
      <w:r>
        <w:rPr>
          <w:rFonts w:eastAsia="方正仿宋_GBK"/>
          <w:color w:val="000000"/>
          <w:spacing w:val="-10"/>
          <w:kern w:val="0"/>
          <w:sz w:val="24"/>
        </w:rPr>
        <w:t>3</w:t>
      </w:r>
      <w:r>
        <w:rPr>
          <w:rFonts w:hint="eastAsia" w:eastAsia="方正仿宋_GBK"/>
          <w:color w:val="000000"/>
          <w:spacing w:val="-10"/>
          <w:kern w:val="0"/>
          <w:sz w:val="24"/>
        </w:rPr>
        <w:t>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（二）向当地招投标监管机构书面提出合理化建议被采纳的，加</w:t>
      </w:r>
      <w:r>
        <w:rPr>
          <w:rFonts w:eastAsia="方正仿宋_GBK"/>
          <w:color w:val="000000"/>
          <w:kern w:val="0"/>
          <w:sz w:val="24"/>
        </w:rPr>
        <w:t>5</w:t>
      </w:r>
      <w:r>
        <w:rPr>
          <w:rFonts w:hint="eastAsia" w:eastAsia="方正仿宋_GBK"/>
          <w:color w:val="000000"/>
          <w:kern w:val="0"/>
          <w:sz w:val="24"/>
        </w:rPr>
        <w:t>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（三）主动向招投标监管机构反映评标过程中的违法违规行为且被查证属实的，加</w:t>
      </w:r>
      <w:r>
        <w:rPr>
          <w:rFonts w:eastAsia="方正仿宋_GBK"/>
          <w:color w:val="000000"/>
          <w:kern w:val="0"/>
          <w:sz w:val="24"/>
        </w:rPr>
        <w:t>10</w:t>
      </w:r>
      <w:r>
        <w:rPr>
          <w:rFonts w:hint="eastAsia" w:eastAsia="方正仿宋_GBK"/>
          <w:color w:val="000000"/>
          <w:kern w:val="0"/>
          <w:sz w:val="24"/>
        </w:rPr>
        <w:t>分。</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第二十七条</w:t>
      </w:r>
      <w:r>
        <w:rPr>
          <w:rFonts w:eastAsia="方正仿宋_GBK"/>
          <w:color w:val="000000"/>
          <w:kern w:val="0"/>
          <w:sz w:val="24"/>
        </w:rPr>
        <w:t xml:space="preserve">  </w:t>
      </w:r>
      <w:r>
        <w:rPr>
          <w:rFonts w:hint="eastAsia" w:eastAsia="方正仿宋_GBK"/>
          <w:color w:val="000000"/>
          <w:kern w:val="0"/>
          <w:sz w:val="24"/>
        </w:rPr>
        <w:t>评标专家在一个计分周期内累计扣满</w:t>
      </w:r>
      <w:r>
        <w:rPr>
          <w:rFonts w:eastAsia="方正仿宋_GBK"/>
          <w:color w:val="000000"/>
          <w:kern w:val="0"/>
          <w:sz w:val="24"/>
        </w:rPr>
        <w:t>15</w:t>
      </w:r>
      <w:r>
        <w:rPr>
          <w:rFonts w:hint="eastAsia" w:eastAsia="方正仿宋_GBK"/>
          <w:color w:val="000000"/>
          <w:kern w:val="0"/>
          <w:sz w:val="24"/>
        </w:rPr>
        <w:t>分的，暂停</w:t>
      </w:r>
      <w:r>
        <w:rPr>
          <w:rFonts w:eastAsia="方正仿宋_GBK"/>
          <w:color w:val="000000"/>
          <w:kern w:val="0"/>
          <w:sz w:val="24"/>
        </w:rPr>
        <w:t>3</w:t>
      </w:r>
      <w:r>
        <w:rPr>
          <w:rFonts w:hint="eastAsia" w:eastAsia="方正仿宋_GBK"/>
          <w:color w:val="000000"/>
          <w:kern w:val="0"/>
          <w:sz w:val="24"/>
        </w:rPr>
        <w:t>个月评标资格；累计扣满</w:t>
      </w:r>
      <w:r>
        <w:rPr>
          <w:rFonts w:eastAsia="方正仿宋_GBK"/>
          <w:color w:val="000000"/>
          <w:kern w:val="0"/>
          <w:sz w:val="24"/>
        </w:rPr>
        <w:t>20</w:t>
      </w:r>
      <w:r>
        <w:rPr>
          <w:rFonts w:hint="eastAsia" w:eastAsia="方正仿宋_GBK"/>
          <w:color w:val="000000"/>
          <w:kern w:val="0"/>
          <w:sz w:val="24"/>
        </w:rPr>
        <w:t>分的，暂停</w:t>
      </w:r>
      <w:r>
        <w:rPr>
          <w:rFonts w:eastAsia="方正仿宋_GBK"/>
          <w:color w:val="000000"/>
          <w:kern w:val="0"/>
          <w:sz w:val="24"/>
        </w:rPr>
        <w:t>6</w:t>
      </w:r>
      <w:r>
        <w:rPr>
          <w:rFonts w:hint="eastAsia" w:eastAsia="方正仿宋_GBK"/>
          <w:color w:val="000000"/>
          <w:kern w:val="0"/>
          <w:sz w:val="24"/>
        </w:rPr>
        <w:t>个月评标资格；累计暂停</w:t>
      </w:r>
      <w:r>
        <w:rPr>
          <w:rFonts w:eastAsia="方正仿宋_GBK"/>
          <w:color w:val="000000"/>
          <w:kern w:val="0"/>
          <w:sz w:val="24"/>
        </w:rPr>
        <w:t>9</w:t>
      </w:r>
      <w:r>
        <w:rPr>
          <w:rFonts w:hint="eastAsia" w:eastAsia="方正仿宋_GBK"/>
          <w:color w:val="000000"/>
          <w:kern w:val="0"/>
          <w:sz w:val="24"/>
        </w:rPr>
        <w:t>个月及以上的，自暂停之日起三年内不得续聘评标专家资格；一次被扣</w:t>
      </w:r>
      <w:r>
        <w:rPr>
          <w:rFonts w:eastAsia="方正仿宋_GBK"/>
          <w:color w:val="000000"/>
          <w:kern w:val="0"/>
          <w:sz w:val="24"/>
        </w:rPr>
        <w:t>20</w:t>
      </w:r>
      <w:r>
        <w:rPr>
          <w:rFonts w:hint="eastAsia" w:eastAsia="方正仿宋_GBK"/>
          <w:color w:val="000000"/>
          <w:kern w:val="0"/>
          <w:sz w:val="24"/>
        </w:rPr>
        <w:t>分的，暂停</w:t>
      </w:r>
      <w:r>
        <w:rPr>
          <w:rFonts w:eastAsia="方正仿宋_GBK"/>
          <w:color w:val="000000"/>
          <w:kern w:val="0"/>
          <w:sz w:val="24"/>
        </w:rPr>
        <w:t>12</w:t>
      </w:r>
      <w:r>
        <w:rPr>
          <w:rFonts w:hint="eastAsia" w:eastAsia="方正仿宋_GBK"/>
          <w:color w:val="000000"/>
          <w:kern w:val="0"/>
          <w:sz w:val="24"/>
        </w:rPr>
        <w:t>个月评标资格或者视情节依法取消其评标专家资格。</w:t>
      </w:r>
    </w:p>
    <w:p>
      <w:pPr>
        <w:shd w:val="clear" w:color="auto" w:fill="FFFFFF"/>
        <w:spacing w:line="460" w:lineRule="exact"/>
        <w:ind w:firstLine="456" w:firstLineChars="200"/>
        <w:jc w:val="left"/>
        <w:rPr>
          <w:rFonts w:eastAsia="方正仿宋_GBK"/>
          <w:color w:val="000000"/>
          <w:spacing w:val="-4"/>
          <w:kern w:val="0"/>
          <w:sz w:val="24"/>
        </w:rPr>
      </w:pPr>
      <w:r>
        <w:rPr>
          <w:rFonts w:hint="eastAsia" w:eastAsia="方正仿宋_GBK"/>
          <w:color w:val="000000"/>
          <w:spacing w:val="-4"/>
          <w:kern w:val="0"/>
          <w:sz w:val="24"/>
        </w:rPr>
        <w:t>普通评标专家被暂停</w:t>
      </w:r>
      <w:r>
        <w:rPr>
          <w:rFonts w:eastAsia="方正仿宋_GBK"/>
          <w:color w:val="000000"/>
          <w:spacing w:val="-4"/>
          <w:kern w:val="0"/>
          <w:sz w:val="24"/>
        </w:rPr>
        <w:t>6</w:t>
      </w:r>
      <w:r>
        <w:rPr>
          <w:rFonts w:hint="eastAsia" w:eastAsia="方正仿宋_GBK"/>
          <w:color w:val="000000"/>
          <w:spacing w:val="-4"/>
          <w:kern w:val="0"/>
          <w:sz w:val="24"/>
        </w:rPr>
        <w:t>个月及以上评标资格的，三年内不得申报资深评标专家；资深评标专家被暂停</w:t>
      </w:r>
      <w:r>
        <w:rPr>
          <w:rFonts w:eastAsia="方正仿宋_GBK"/>
          <w:color w:val="000000"/>
          <w:spacing w:val="-4"/>
          <w:kern w:val="0"/>
          <w:sz w:val="24"/>
        </w:rPr>
        <w:t>6</w:t>
      </w:r>
      <w:r>
        <w:rPr>
          <w:rFonts w:hint="eastAsia" w:eastAsia="方正仿宋_GBK"/>
          <w:color w:val="000000"/>
          <w:spacing w:val="-4"/>
          <w:kern w:val="0"/>
          <w:sz w:val="24"/>
        </w:rPr>
        <w:t>个月及以上评标资格的，应降为普通评标专家且三年内不得晋升。</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第十二八条</w:t>
      </w:r>
      <w:r>
        <w:rPr>
          <w:rFonts w:eastAsia="方正仿宋_GBK"/>
          <w:b/>
          <w:bCs/>
          <w:color w:val="000000"/>
          <w:kern w:val="0"/>
          <w:sz w:val="24"/>
        </w:rPr>
        <w:t xml:space="preserve">  </w:t>
      </w:r>
      <w:r>
        <w:rPr>
          <w:rFonts w:hint="eastAsia" w:eastAsia="方正仿宋_GBK"/>
          <w:color w:val="000000"/>
          <w:kern w:val="0"/>
          <w:sz w:val="24"/>
        </w:rPr>
        <w:t>评标委员会成员收受投标人、其他利害关系人的财物或者者其他好处，向他人透露对投标文件的评审和比较、中标候选人的推荐以及与评标有关的其他情况的，取消其评标专家的资格。</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第二十九条</w:t>
      </w:r>
      <w:r>
        <w:rPr>
          <w:rFonts w:eastAsia="方正仿宋_GBK"/>
          <w:color w:val="000000"/>
          <w:kern w:val="0"/>
          <w:sz w:val="24"/>
        </w:rPr>
        <w:t xml:space="preserve">  </w:t>
      </w:r>
      <w:r>
        <w:rPr>
          <w:rFonts w:hint="eastAsia" w:eastAsia="方正仿宋_GBK"/>
          <w:color w:val="000000"/>
          <w:kern w:val="0"/>
          <w:sz w:val="24"/>
        </w:rPr>
        <w:t>评标专家实行动态管理，计分项有效期为一年，自计分之日起算，有效期满后该项计分归零。计分后符合本办法第二十七条被暂停的，暂停期满后各项计分（含加分项）归零。计分周期内奖励加分可与第二十二条、第二十三条、第二十四条规定的扣分实时冲抵。</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第三十条</w:t>
      </w:r>
      <w:r>
        <w:rPr>
          <w:rFonts w:eastAsia="方正仿宋_GBK"/>
          <w:color w:val="000000"/>
          <w:kern w:val="0"/>
          <w:sz w:val="24"/>
        </w:rPr>
        <w:t xml:space="preserve">  </w:t>
      </w:r>
      <w:r>
        <w:rPr>
          <w:rFonts w:hint="eastAsia" w:eastAsia="方正仿宋_GBK"/>
          <w:color w:val="000000"/>
          <w:kern w:val="0"/>
          <w:sz w:val="24"/>
        </w:rPr>
        <w:t>评标专家一次被扣</w:t>
      </w:r>
      <w:r>
        <w:rPr>
          <w:rFonts w:eastAsia="方正仿宋_GBK"/>
          <w:color w:val="000000"/>
          <w:kern w:val="0"/>
          <w:sz w:val="24"/>
        </w:rPr>
        <w:t>10</w:t>
      </w:r>
      <w:r>
        <w:rPr>
          <w:rFonts w:hint="eastAsia" w:eastAsia="方正仿宋_GBK"/>
          <w:color w:val="000000"/>
          <w:kern w:val="0"/>
          <w:sz w:val="24"/>
        </w:rPr>
        <w:t>分、</w:t>
      </w:r>
      <w:r>
        <w:rPr>
          <w:rFonts w:eastAsia="方正仿宋_GBK"/>
          <w:color w:val="000000"/>
          <w:kern w:val="0"/>
          <w:sz w:val="24"/>
        </w:rPr>
        <w:t>20</w:t>
      </w:r>
      <w:r>
        <w:rPr>
          <w:rFonts w:hint="eastAsia" w:eastAsia="方正仿宋_GBK"/>
          <w:color w:val="000000"/>
          <w:kern w:val="0"/>
          <w:sz w:val="24"/>
        </w:rPr>
        <w:t>分和奖励加分的，由项目监管人员和或者负责评标专家管理的工作人员计分后，经招投标监管机构审核后计分生效。</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第三十一条</w:t>
      </w:r>
      <w:r>
        <w:rPr>
          <w:rFonts w:eastAsia="方正仿宋_GBK"/>
          <w:color w:val="000000"/>
          <w:kern w:val="0"/>
          <w:sz w:val="24"/>
        </w:rPr>
        <w:t xml:space="preserve">  </w:t>
      </w:r>
      <w:r>
        <w:rPr>
          <w:rFonts w:hint="eastAsia" w:eastAsia="方正仿宋_GBK"/>
          <w:color w:val="000000"/>
          <w:kern w:val="0"/>
          <w:sz w:val="24"/>
        </w:rPr>
        <w:t>考核计分应实时同步至省</w:t>
      </w:r>
      <w:r>
        <w:rPr>
          <w:rFonts w:eastAsia="方正仿宋_GBK"/>
          <w:color w:val="000000"/>
          <w:kern w:val="0"/>
          <w:sz w:val="24"/>
        </w:rPr>
        <w:t>“</w:t>
      </w:r>
      <w:r>
        <w:rPr>
          <w:rFonts w:hint="eastAsia" w:eastAsia="方正仿宋_GBK"/>
          <w:color w:val="000000"/>
          <w:kern w:val="0"/>
          <w:sz w:val="24"/>
        </w:rPr>
        <w:t>评委管理系统</w:t>
      </w:r>
      <w:r>
        <w:rPr>
          <w:rFonts w:eastAsia="方正仿宋_GBK"/>
          <w:color w:val="000000"/>
          <w:kern w:val="0"/>
          <w:sz w:val="24"/>
        </w:rPr>
        <w:t>”</w:t>
      </w:r>
      <w:r>
        <w:rPr>
          <w:rFonts w:hint="eastAsia" w:eastAsia="方正仿宋_GBK"/>
          <w:color w:val="000000"/>
          <w:kern w:val="0"/>
          <w:sz w:val="24"/>
        </w:rPr>
        <w:t>，并实时通过短信告知评标专家，评标专家对计分结果有异议的，应当自计分之日起</w:t>
      </w:r>
      <w:r>
        <w:rPr>
          <w:rFonts w:eastAsia="方正仿宋_GBK"/>
          <w:color w:val="000000"/>
          <w:kern w:val="0"/>
          <w:sz w:val="24"/>
        </w:rPr>
        <w:t>3</w:t>
      </w:r>
      <w:r>
        <w:rPr>
          <w:rFonts w:hint="eastAsia" w:eastAsia="方正仿宋_GBK"/>
          <w:color w:val="000000"/>
          <w:kern w:val="0"/>
          <w:sz w:val="24"/>
        </w:rPr>
        <w:t>个工作日内通过</w:t>
      </w:r>
      <w:r>
        <w:rPr>
          <w:rFonts w:eastAsia="方正仿宋_GBK"/>
          <w:color w:val="000000"/>
          <w:kern w:val="0"/>
          <w:sz w:val="24"/>
        </w:rPr>
        <w:t>“</w:t>
      </w:r>
      <w:r>
        <w:rPr>
          <w:rFonts w:hint="eastAsia" w:eastAsia="方正仿宋_GBK"/>
          <w:color w:val="000000"/>
          <w:kern w:val="0"/>
          <w:sz w:val="24"/>
        </w:rPr>
        <w:t>评委管理系统</w:t>
      </w:r>
      <w:r>
        <w:rPr>
          <w:rFonts w:eastAsia="方正仿宋_GBK"/>
          <w:color w:val="000000"/>
          <w:kern w:val="0"/>
          <w:sz w:val="24"/>
        </w:rPr>
        <w:t>”</w:t>
      </w:r>
      <w:r>
        <w:rPr>
          <w:rFonts w:hint="eastAsia" w:eastAsia="方正仿宋_GBK"/>
          <w:color w:val="000000"/>
          <w:kern w:val="0"/>
          <w:sz w:val="24"/>
        </w:rPr>
        <w:t>向属地招投标监管机构提出申诉，招投标监管机构应当自收到申诉之日起</w:t>
      </w:r>
      <w:r>
        <w:rPr>
          <w:rFonts w:eastAsia="方正仿宋_GBK"/>
          <w:color w:val="000000"/>
          <w:kern w:val="0"/>
          <w:sz w:val="24"/>
        </w:rPr>
        <w:t>5</w:t>
      </w:r>
      <w:r>
        <w:rPr>
          <w:rFonts w:hint="eastAsia" w:eastAsia="方正仿宋_GBK"/>
          <w:color w:val="000000"/>
          <w:kern w:val="0"/>
          <w:sz w:val="24"/>
        </w:rPr>
        <w:t>个工作日内作出答复；对答复结果无异议的计分时间从被计分之日算起。</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第三十二条</w:t>
      </w:r>
      <w:r>
        <w:rPr>
          <w:rFonts w:eastAsia="方正仿宋_GBK"/>
          <w:color w:val="000000"/>
          <w:kern w:val="0"/>
          <w:sz w:val="24"/>
        </w:rPr>
        <w:t xml:space="preserve">  </w:t>
      </w:r>
      <w:r>
        <w:rPr>
          <w:rFonts w:hint="eastAsia" w:eastAsia="方正仿宋_GBK"/>
          <w:color w:val="000000"/>
          <w:kern w:val="0"/>
          <w:sz w:val="24"/>
        </w:rPr>
        <w:t>各级招投标监管机构根据本地实际，每季度或者半年公布被暂停评标专家名单；设区的市招投标监管机构每年应对本地评标专家进行一次综合考核和总结，并通报考核及管理情况。</w:t>
      </w:r>
    </w:p>
    <w:p>
      <w:pPr>
        <w:shd w:val="clear" w:color="auto" w:fill="FFFFFF"/>
        <w:spacing w:line="460" w:lineRule="exact"/>
        <w:ind w:firstLine="472" w:firstLineChars="200"/>
        <w:jc w:val="left"/>
        <w:rPr>
          <w:rFonts w:eastAsia="方正仿宋_GBK"/>
          <w:color w:val="000000"/>
          <w:kern w:val="0"/>
          <w:sz w:val="24"/>
        </w:rPr>
      </w:pPr>
    </w:p>
    <w:p>
      <w:pPr>
        <w:shd w:val="clear" w:color="auto" w:fill="FFFFFF"/>
        <w:spacing w:line="460" w:lineRule="exact"/>
        <w:ind w:left="1" w:leftChars="-3" w:hanging="7" w:hangingChars="3"/>
        <w:jc w:val="center"/>
        <w:outlineLvl w:val="0"/>
        <w:rPr>
          <w:rFonts w:ascii="Times New Roman" w:eastAsia="黑体"/>
          <w:bCs/>
          <w:color w:val="000000"/>
          <w:kern w:val="36"/>
          <w:sz w:val="24"/>
        </w:rPr>
      </w:pPr>
      <w:bookmarkStart w:id="709" w:name="_Toc20668184"/>
      <w:bookmarkStart w:id="710" w:name="_Toc18315850"/>
      <w:bookmarkStart w:id="711" w:name="_Toc20726714"/>
      <w:r>
        <w:rPr>
          <w:rFonts w:hint="eastAsia" w:ascii="Times New Roman" w:eastAsia="黑体"/>
          <w:bCs/>
          <w:color w:val="000000"/>
          <w:kern w:val="36"/>
          <w:sz w:val="24"/>
        </w:rPr>
        <w:t>第五章</w:t>
      </w:r>
      <w:r>
        <w:rPr>
          <w:rFonts w:ascii="Times New Roman" w:eastAsia="黑体"/>
          <w:bCs/>
          <w:color w:val="000000"/>
          <w:kern w:val="36"/>
          <w:sz w:val="24"/>
        </w:rPr>
        <w:t> </w:t>
      </w:r>
      <w:r>
        <w:rPr>
          <w:rFonts w:hint="eastAsia" w:ascii="Times New Roman" w:eastAsia="黑体"/>
          <w:bCs/>
          <w:color w:val="000000"/>
          <w:kern w:val="36"/>
          <w:sz w:val="24"/>
        </w:rPr>
        <w:t xml:space="preserve"> 附则</w:t>
      </w:r>
      <w:bookmarkEnd w:id="709"/>
      <w:bookmarkEnd w:id="710"/>
      <w:bookmarkEnd w:id="711"/>
    </w:p>
    <w:p>
      <w:pPr>
        <w:shd w:val="clear" w:color="auto" w:fill="FFFFFF"/>
        <w:spacing w:line="460" w:lineRule="exact"/>
        <w:ind w:left="1" w:leftChars="-3" w:hanging="7" w:hangingChars="3"/>
        <w:jc w:val="center"/>
        <w:outlineLvl w:val="0"/>
        <w:rPr>
          <w:rFonts w:hint="eastAsia" w:ascii="Times New Roman" w:eastAsia="黑体"/>
          <w:bCs/>
          <w:color w:val="000000"/>
          <w:kern w:val="36"/>
          <w:sz w:val="24"/>
        </w:rPr>
      </w:pPr>
    </w:p>
    <w:p>
      <w:pPr>
        <w:shd w:val="clear" w:color="auto" w:fill="FFFFFF"/>
        <w:spacing w:line="460" w:lineRule="exact"/>
        <w:ind w:firstLine="472" w:firstLineChars="200"/>
        <w:jc w:val="left"/>
        <w:rPr>
          <w:rFonts w:hint="eastAsia" w:eastAsia="方正仿宋_GBK"/>
          <w:color w:val="000000"/>
          <w:kern w:val="0"/>
          <w:sz w:val="24"/>
        </w:rPr>
      </w:pPr>
      <w:r>
        <w:rPr>
          <w:rFonts w:hint="eastAsia" w:ascii="Times New Roman" w:eastAsia="黑体"/>
          <w:bCs/>
          <w:color w:val="000000"/>
          <w:kern w:val="0"/>
          <w:sz w:val="24"/>
        </w:rPr>
        <w:t>第三十三条</w:t>
      </w:r>
      <w:r>
        <w:rPr>
          <w:rFonts w:eastAsia="方正仿宋_GBK"/>
          <w:color w:val="000000"/>
          <w:kern w:val="0"/>
          <w:sz w:val="24"/>
        </w:rPr>
        <w:t xml:space="preserve">  </w:t>
      </w:r>
      <w:r>
        <w:rPr>
          <w:rFonts w:hint="eastAsia" w:eastAsia="方正仿宋_GBK"/>
          <w:color w:val="000000"/>
          <w:kern w:val="0"/>
          <w:sz w:val="24"/>
        </w:rPr>
        <w:t>评标专家在评标中有违法违规行为，按《中华人民共和国招标投标法》《评标委员会和评标方法暂行规定》等法律法规的有关规定处理，触犯刑律的，依法追究刑事责任。</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第三十四条</w:t>
      </w:r>
      <w:r>
        <w:rPr>
          <w:rFonts w:eastAsia="方正仿宋_GBK"/>
          <w:b/>
          <w:bCs/>
          <w:color w:val="000000"/>
          <w:kern w:val="0"/>
          <w:sz w:val="24"/>
        </w:rPr>
        <w:t xml:space="preserve">  </w:t>
      </w:r>
      <w:r>
        <w:rPr>
          <w:rFonts w:hint="eastAsia" w:eastAsia="方正仿宋_GBK"/>
          <w:color w:val="000000"/>
          <w:kern w:val="0"/>
          <w:sz w:val="24"/>
        </w:rPr>
        <w:t>本办法中所称大型工程、技术要求复杂工程，执行《关于房屋建筑和市政基础设施工程贯彻招标投标法实施条例的意见》（苏建规字〔</w:t>
      </w:r>
      <w:r>
        <w:rPr>
          <w:rFonts w:eastAsia="方正仿宋_GBK"/>
          <w:color w:val="000000"/>
          <w:kern w:val="0"/>
          <w:sz w:val="24"/>
        </w:rPr>
        <w:t>2013</w:t>
      </w:r>
      <w:r>
        <w:rPr>
          <w:rFonts w:hint="eastAsia" w:eastAsia="方正仿宋_GBK"/>
          <w:color w:val="000000"/>
          <w:kern w:val="0"/>
          <w:sz w:val="24"/>
        </w:rPr>
        <w:t>〕</w:t>
      </w:r>
      <w:r>
        <w:rPr>
          <w:rFonts w:eastAsia="方正仿宋_GBK"/>
          <w:color w:val="000000"/>
          <w:kern w:val="0"/>
          <w:sz w:val="24"/>
        </w:rPr>
        <w:t>4</w:t>
      </w:r>
      <w:r>
        <w:rPr>
          <w:rFonts w:hint="eastAsia" w:eastAsia="方正仿宋_GBK"/>
          <w:color w:val="000000"/>
          <w:kern w:val="0"/>
          <w:sz w:val="24"/>
        </w:rPr>
        <w:t>号）附件</w:t>
      </w:r>
      <w:r>
        <w:rPr>
          <w:rFonts w:eastAsia="方正仿宋_GBK"/>
          <w:color w:val="000000"/>
          <w:kern w:val="0"/>
          <w:sz w:val="24"/>
        </w:rPr>
        <w:t>1</w:t>
      </w:r>
      <w:r>
        <w:rPr>
          <w:rFonts w:hint="eastAsia" w:eastAsia="方正仿宋_GBK"/>
          <w:color w:val="000000"/>
          <w:kern w:val="0"/>
          <w:sz w:val="24"/>
        </w:rPr>
        <w:t>中的标准。</w:t>
      </w: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本办法附件二中所称中型及以上工程，执行《民用建筑工程设计等级分类表》中的标准。</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第三十五条</w:t>
      </w:r>
      <w:r>
        <w:rPr>
          <w:rFonts w:eastAsia="方正仿宋_GBK"/>
          <w:color w:val="000000"/>
          <w:kern w:val="0"/>
          <w:sz w:val="24"/>
        </w:rPr>
        <w:t xml:space="preserve">  </w:t>
      </w:r>
      <w:r>
        <w:rPr>
          <w:rFonts w:hint="eastAsia" w:eastAsia="方正仿宋_GBK"/>
          <w:color w:val="000000"/>
          <w:kern w:val="0"/>
          <w:sz w:val="24"/>
        </w:rPr>
        <w:t>评标专家出现第二十二条、第二十三条、第二十四条、第二十五条规定情形列为失信行为的，应当按照国家、省有关规定实施失信惩戒管理。</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第三十六条</w:t>
      </w:r>
      <w:r>
        <w:rPr>
          <w:rFonts w:eastAsia="方正仿宋_GBK"/>
          <w:color w:val="000000"/>
          <w:kern w:val="0"/>
          <w:sz w:val="24"/>
        </w:rPr>
        <w:t xml:space="preserve">  </w:t>
      </w:r>
      <w:r>
        <w:rPr>
          <w:rFonts w:hint="eastAsia" w:eastAsia="方正仿宋_GBK"/>
          <w:color w:val="000000"/>
          <w:kern w:val="0"/>
          <w:sz w:val="24"/>
        </w:rPr>
        <w:t>本办法由省住房和城乡建设厅负责解释。</w:t>
      </w:r>
    </w:p>
    <w:p>
      <w:pPr>
        <w:shd w:val="clear" w:color="auto" w:fill="FFFFFF"/>
        <w:spacing w:line="460" w:lineRule="exact"/>
        <w:ind w:firstLine="472" w:firstLineChars="200"/>
        <w:jc w:val="left"/>
        <w:rPr>
          <w:rFonts w:eastAsia="方正仿宋_GBK"/>
          <w:color w:val="000000"/>
          <w:kern w:val="0"/>
          <w:sz w:val="24"/>
        </w:rPr>
      </w:pPr>
      <w:r>
        <w:rPr>
          <w:rFonts w:hint="eastAsia" w:ascii="Times New Roman" w:eastAsia="黑体"/>
          <w:bCs/>
          <w:color w:val="000000"/>
          <w:kern w:val="0"/>
          <w:sz w:val="24"/>
        </w:rPr>
        <w:t>第三十七条</w:t>
      </w:r>
      <w:r>
        <w:rPr>
          <w:rFonts w:eastAsia="方正仿宋_GBK"/>
          <w:color w:val="000000"/>
          <w:kern w:val="0"/>
          <w:sz w:val="24"/>
        </w:rPr>
        <w:t xml:space="preserve">  </w:t>
      </w:r>
      <w:r>
        <w:rPr>
          <w:rFonts w:hint="eastAsia" w:eastAsia="方正仿宋_GBK"/>
          <w:color w:val="000000"/>
          <w:kern w:val="0"/>
          <w:sz w:val="24"/>
        </w:rPr>
        <w:t>本办法自</w:t>
      </w:r>
      <w:r>
        <w:rPr>
          <w:rFonts w:eastAsia="方正仿宋_GBK"/>
          <w:color w:val="000000"/>
          <w:kern w:val="0"/>
          <w:sz w:val="24"/>
        </w:rPr>
        <w:t>2015</w:t>
      </w:r>
      <w:r>
        <w:rPr>
          <w:rFonts w:hint="eastAsia" w:eastAsia="方正仿宋_GBK"/>
          <w:color w:val="000000"/>
          <w:kern w:val="0"/>
          <w:sz w:val="24"/>
        </w:rPr>
        <w:t>年</w:t>
      </w:r>
      <w:r>
        <w:rPr>
          <w:rFonts w:eastAsia="方正仿宋_GBK"/>
          <w:color w:val="000000"/>
          <w:kern w:val="0"/>
          <w:sz w:val="24"/>
        </w:rPr>
        <w:t>3</w:t>
      </w:r>
      <w:r>
        <w:rPr>
          <w:rFonts w:hint="eastAsia" w:eastAsia="方正仿宋_GBK"/>
          <w:color w:val="000000"/>
          <w:kern w:val="0"/>
          <w:sz w:val="24"/>
        </w:rPr>
        <w:t>月</w:t>
      </w:r>
      <w:r>
        <w:rPr>
          <w:rFonts w:eastAsia="方正仿宋_GBK"/>
          <w:color w:val="000000"/>
          <w:kern w:val="0"/>
          <w:sz w:val="24"/>
        </w:rPr>
        <w:t>1</w:t>
      </w:r>
      <w:r>
        <w:rPr>
          <w:rFonts w:hint="eastAsia" w:eastAsia="方正仿宋_GBK"/>
          <w:color w:val="000000"/>
          <w:kern w:val="0"/>
          <w:sz w:val="24"/>
        </w:rPr>
        <w:t>日起施行，《江苏省房屋建筑和市政基础设施工程招标投标评标专家名册管理办法》（苏建招〔</w:t>
      </w:r>
      <w:r>
        <w:rPr>
          <w:rFonts w:eastAsia="方正仿宋_GBK"/>
          <w:color w:val="000000"/>
          <w:kern w:val="0"/>
          <w:sz w:val="24"/>
        </w:rPr>
        <w:t>2006</w:t>
      </w:r>
      <w:r>
        <w:rPr>
          <w:rFonts w:hint="eastAsia" w:eastAsia="方正仿宋_GBK"/>
          <w:color w:val="000000"/>
          <w:kern w:val="0"/>
          <w:sz w:val="24"/>
        </w:rPr>
        <w:t>〕</w:t>
      </w:r>
      <w:r>
        <w:rPr>
          <w:rFonts w:eastAsia="方正仿宋_GBK"/>
          <w:color w:val="000000"/>
          <w:kern w:val="0"/>
          <w:sz w:val="24"/>
        </w:rPr>
        <w:t>240</w:t>
      </w:r>
      <w:r>
        <w:rPr>
          <w:rFonts w:hint="eastAsia" w:eastAsia="方正仿宋_GBK"/>
          <w:color w:val="000000"/>
          <w:kern w:val="0"/>
          <w:sz w:val="24"/>
        </w:rPr>
        <w:t>号）同时废止。</w:t>
      </w:r>
    </w:p>
    <w:p>
      <w:pPr>
        <w:shd w:val="clear" w:color="auto" w:fill="FFFFFF"/>
        <w:spacing w:line="460" w:lineRule="exact"/>
        <w:ind w:firstLine="472" w:firstLineChars="200"/>
        <w:jc w:val="left"/>
        <w:rPr>
          <w:rFonts w:eastAsia="方正仿宋_GBK"/>
          <w:color w:val="000000"/>
          <w:kern w:val="0"/>
          <w:sz w:val="24"/>
        </w:rPr>
      </w:pPr>
    </w:p>
    <w:p>
      <w:pPr>
        <w:shd w:val="clear" w:color="auto" w:fill="FFFFFF"/>
        <w:spacing w:line="460" w:lineRule="exact"/>
        <w:ind w:firstLine="472" w:firstLineChars="200"/>
        <w:jc w:val="left"/>
        <w:rPr>
          <w:rFonts w:eastAsia="方正仿宋_GBK"/>
          <w:color w:val="000000"/>
          <w:kern w:val="0"/>
          <w:sz w:val="24"/>
        </w:rPr>
      </w:pPr>
      <w:r>
        <w:rPr>
          <w:rFonts w:hint="eastAsia" w:eastAsia="方正仿宋_GBK"/>
          <w:color w:val="000000"/>
          <w:kern w:val="0"/>
          <w:sz w:val="24"/>
        </w:rPr>
        <w:t>附件：</w:t>
      </w:r>
      <w:r>
        <w:rPr>
          <w:rFonts w:eastAsia="方正仿宋_GBK"/>
          <w:color w:val="000000"/>
          <w:kern w:val="0"/>
          <w:sz w:val="24"/>
        </w:rPr>
        <w:t>1.</w:t>
      </w:r>
      <w:r>
        <w:rPr>
          <w:rFonts w:hint="cs" w:eastAsia="方正仿宋_GBK"/>
          <w:color w:val="000000"/>
          <w:kern w:val="0"/>
          <w:sz w:val="24"/>
          <w:cs/>
        </w:rPr>
        <w:t> </w:t>
      </w:r>
      <w:r>
        <w:rPr>
          <w:rFonts w:hint="eastAsia" w:eastAsia="方正仿宋_GBK"/>
          <w:color w:val="000000"/>
          <w:kern w:val="0"/>
          <w:sz w:val="24"/>
        </w:rPr>
        <w:t>江苏省房屋建筑和市政基础设施工程评标专家专业分类标准</w:t>
      </w:r>
    </w:p>
    <w:p>
      <w:pPr>
        <w:shd w:val="clear" w:color="auto" w:fill="FFFFFF"/>
        <w:spacing w:line="460" w:lineRule="exact"/>
        <w:ind w:firstLine="1180" w:firstLineChars="500"/>
        <w:jc w:val="left"/>
        <w:rPr>
          <w:rFonts w:eastAsia="方正仿宋_GBK"/>
          <w:color w:val="000000"/>
          <w:kern w:val="0"/>
          <w:sz w:val="24"/>
        </w:rPr>
      </w:pPr>
      <w:r>
        <w:rPr>
          <w:rFonts w:eastAsia="方正仿宋_GBK"/>
          <w:color w:val="000000"/>
          <w:kern w:val="0"/>
          <w:sz w:val="24"/>
        </w:rPr>
        <w:t>2.</w:t>
      </w:r>
      <w:r>
        <w:rPr>
          <w:rFonts w:hint="cs" w:eastAsia="方正仿宋_GBK"/>
          <w:color w:val="000000"/>
          <w:kern w:val="0"/>
          <w:sz w:val="24"/>
          <w:cs/>
        </w:rPr>
        <w:t> </w:t>
      </w:r>
      <w:r>
        <w:rPr>
          <w:rFonts w:hint="eastAsia" w:eastAsia="方正仿宋_GBK"/>
          <w:color w:val="000000"/>
          <w:kern w:val="0"/>
          <w:sz w:val="24"/>
        </w:rPr>
        <w:t>评标专家资格条件</w:t>
      </w:r>
    </w:p>
    <w:p>
      <w:pPr>
        <w:shd w:val="clear" w:color="auto" w:fill="FFFFFF"/>
        <w:spacing w:line="460" w:lineRule="exact"/>
        <w:ind w:firstLine="1180" w:firstLineChars="500"/>
        <w:jc w:val="left"/>
        <w:rPr>
          <w:rFonts w:eastAsia="方正仿宋_GBK"/>
          <w:color w:val="000000"/>
          <w:kern w:val="0"/>
          <w:sz w:val="24"/>
        </w:rPr>
      </w:pPr>
    </w:p>
    <w:p>
      <w:pPr>
        <w:shd w:val="clear" w:color="auto" w:fill="FFFFFF"/>
        <w:tabs>
          <w:tab w:val="left" w:pos="5188"/>
        </w:tabs>
        <w:spacing w:line="440" w:lineRule="atLeast"/>
        <w:jc w:val="left"/>
        <w:rPr>
          <w:color w:val="000000"/>
          <w:sz w:val="24"/>
        </w:rPr>
      </w:pPr>
      <w:r>
        <w:rPr>
          <w:color w:val="000000"/>
          <w:kern w:val="0"/>
          <w:sz w:val="28"/>
          <w:szCs w:val="28"/>
        </w:rPr>
        <w:tab/>
      </w:r>
      <w:r>
        <w:rPr>
          <w:rFonts w:hint="eastAsia"/>
          <w:color w:val="000000"/>
          <w:sz w:val="24"/>
        </w:rPr>
        <w:t>江苏省住房和城乡建设厅</w:t>
      </w:r>
    </w:p>
    <w:p>
      <w:pPr>
        <w:shd w:val="clear" w:color="auto" w:fill="FFFFFF"/>
        <w:tabs>
          <w:tab w:val="left" w:pos="5216"/>
        </w:tabs>
        <w:spacing w:line="440" w:lineRule="atLeast"/>
        <w:jc w:val="left"/>
        <w:rPr>
          <w:sz w:val="24"/>
        </w:rPr>
      </w:pPr>
      <w:r>
        <w:rPr>
          <w:sz w:val="24"/>
        </w:rPr>
        <w:tab/>
      </w:r>
      <w:r>
        <w:rPr>
          <w:color w:val="000000"/>
          <w:sz w:val="24"/>
        </w:rPr>
        <w:t>2014</w:t>
      </w:r>
      <w:r>
        <w:rPr>
          <w:rFonts w:hint="eastAsia"/>
          <w:color w:val="000000"/>
          <w:sz w:val="24"/>
        </w:rPr>
        <w:t>年</w:t>
      </w:r>
      <w:r>
        <w:rPr>
          <w:color w:val="000000"/>
          <w:sz w:val="24"/>
        </w:rPr>
        <w:t>12</w:t>
      </w:r>
      <w:r>
        <w:rPr>
          <w:rFonts w:hint="eastAsia"/>
          <w:color w:val="000000"/>
          <w:sz w:val="24"/>
        </w:rPr>
        <w:t>月</w:t>
      </w:r>
      <w:r>
        <w:rPr>
          <w:color w:val="000000"/>
          <w:sz w:val="24"/>
        </w:rPr>
        <w:t>31</w:t>
      </w:r>
      <w:r>
        <w:rPr>
          <w:rFonts w:hint="eastAsia"/>
          <w:color w:val="000000"/>
          <w:sz w:val="24"/>
        </w:rPr>
        <w:t>日</w:t>
      </w:r>
    </w:p>
    <w:p>
      <w:pPr>
        <w:shd w:val="clear" w:color="auto" w:fill="FFFFFF"/>
        <w:spacing w:line="440" w:lineRule="atLeast"/>
        <w:jc w:val="left"/>
        <w:rPr>
          <w:rFonts w:ascii="Times New Roman" w:eastAsia="黑体"/>
          <w:color w:val="000000"/>
          <w:kern w:val="0"/>
          <w:sz w:val="18"/>
          <w:szCs w:val="18"/>
        </w:rPr>
      </w:pPr>
      <w:r>
        <w:rPr>
          <w:sz w:val="28"/>
          <w:szCs w:val="28"/>
        </w:rPr>
        <w:br w:type="column"/>
      </w:r>
      <w:r>
        <w:rPr>
          <w:rFonts w:hint="eastAsia" w:ascii="Times New Roman" w:eastAsia="黑体"/>
          <w:color w:val="000000"/>
          <w:kern w:val="0"/>
          <w:sz w:val="28"/>
          <w:szCs w:val="28"/>
        </w:rPr>
        <w:t>附件1∶</w:t>
      </w:r>
    </w:p>
    <w:p>
      <w:pPr>
        <w:shd w:val="clear" w:color="auto" w:fill="FFFFFF"/>
        <w:spacing w:line="440" w:lineRule="atLeast"/>
        <w:jc w:val="center"/>
        <w:rPr>
          <w:rFonts w:hint="eastAsia" w:ascii="Times New Roman" w:eastAsia="黑体"/>
          <w:color w:val="000000"/>
          <w:kern w:val="0"/>
          <w:sz w:val="24"/>
        </w:rPr>
      </w:pPr>
      <w:r>
        <w:rPr>
          <w:rFonts w:hint="eastAsia" w:ascii="Times New Roman" w:eastAsia="黑体"/>
          <w:bCs/>
          <w:color w:val="000000"/>
          <w:kern w:val="0"/>
          <w:sz w:val="24"/>
        </w:rPr>
        <w:t>江苏省房屋建筑和市政基础设施工程评标专家专业分类标准</w:t>
      </w:r>
    </w:p>
    <w:p>
      <w:pPr>
        <w:shd w:val="clear" w:color="auto" w:fill="FFFFFF"/>
        <w:spacing w:line="440" w:lineRule="atLeast"/>
        <w:jc w:val="center"/>
        <w:rPr>
          <w:rFonts w:hint="eastAsia"/>
          <w:color w:val="000000"/>
          <w:kern w:val="0"/>
          <w:sz w:val="18"/>
          <w:szCs w:val="18"/>
        </w:rPr>
      </w:pPr>
      <w:r>
        <w:rPr>
          <w:color w:val="000000"/>
          <w:kern w:val="0"/>
          <w:sz w:val="18"/>
          <w:szCs w:val="18"/>
        </w:rPr>
        <w:t>  </w:t>
      </w:r>
    </w:p>
    <w:tbl>
      <w:tblPr>
        <w:tblStyle w:val="12"/>
        <w:tblW w:w="0" w:type="auto"/>
        <w:jc w:val="center"/>
        <w:tblLayout w:type="fixed"/>
        <w:tblCellMar>
          <w:top w:w="0" w:type="dxa"/>
          <w:left w:w="0" w:type="dxa"/>
          <w:bottom w:w="0" w:type="dxa"/>
          <w:right w:w="0" w:type="dxa"/>
        </w:tblCellMar>
      </w:tblPr>
      <w:tblGrid>
        <w:gridCol w:w="1008"/>
        <w:gridCol w:w="1545"/>
        <w:gridCol w:w="1680"/>
        <w:gridCol w:w="1320"/>
        <w:gridCol w:w="3107"/>
      </w:tblGrid>
      <w:tr>
        <w:tblPrEx>
          <w:tblCellMar>
            <w:top w:w="0" w:type="dxa"/>
            <w:left w:w="0" w:type="dxa"/>
            <w:bottom w:w="0" w:type="dxa"/>
            <w:right w:w="0" w:type="dxa"/>
          </w:tblCellMar>
        </w:tblPrEx>
        <w:trPr>
          <w:trHeight w:val="340" w:hRule="exact"/>
          <w:tblHeader/>
          <w:jc w:val="center"/>
        </w:trPr>
        <w:tc>
          <w:tcPr>
            <w:tcW w:w="1008" w:type="dxa"/>
            <w:tcBorders>
              <w:top w:val="single" w:color="auto" w:sz="4" w:space="0"/>
              <w:left w:val="single" w:color="auto" w:sz="4" w:space="0"/>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rFonts w:ascii="Times New Roman" w:eastAsia="黑体"/>
                <w:color w:val="000000"/>
                <w:kern w:val="0"/>
                <w:sz w:val="18"/>
                <w:szCs w:val="18"/>
              </w:rPr>
            </w:pPr>
            <w:r>
              <w:rPr>
                <w:rFonts w:hint="eastAsia" w:ascii="Times New Roman" w:eastAsia="黑体"/>
                <w:bCs/>
                <w:color w:val="000000"/>
                <w:kern w:val="0"/>
                <w:sz w:val="18"/>
                <w:szCs w:val="18"/>
              </w:rPr>
              <w:t>一级类别</w:t>
            </w:r>
          </w:p>
        </w:tc>
        <w:tc>
          <w:tcPr>
            <w:tcW w:w="1545" w:type="dxa"/>
            <w:tcBorders>
              <w:top w:val="single" w:color="auto" w:sz="4" w:space="0"/>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rFonts w:ascii="Times New Roman" w:eastAsia="黑体"/>
                <w:color w:val="000000"/>
                <w:kern w:val="0"/>
                <w:sz w:val="18"/>
                <w:szCs w:val="18"/>
              </w:rPr>
            </w:pPr>
            <w:r>
              <w:rPr>
                <w:rFonts w:hint="eastAsia" w:ascii="Times New Roman" w:eastAsia="黑体"/>
                <w:bCs/>
                <w:color w:val="000000"/>
                <w:kern w:val="0"/>
                <w:sz w:val="18"/>
                <w:szCs w:val="18"/>
              </w:rPr>
              <w:t>　二级类别</w:t>
            </w:r>
          </w:p>
        </w:tc>
        <w:tc>
          <w:tcPr>
            <w:tcW w:w="1680" w:type="dxa"/>
            <w:tcBorders>
              <w:top w:val="single" w:color="auto" w:sz="4" w:space="0"/>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rFonts w:ascii="Times New Roman" w:eastAsia="黑体"/>
                <w:color w:val="000000"/>
                <w:kern w:val="0"/>
                <w:sz w:val="18"/>
                <w:szCs w:val="18"/>
              </w:rPr>
            </w:pPr>
            <w:r>
              <w:rPr>
                <w:rFonts w:hint="eastAsia" w:ascii="Times New Roman" w:eastAsia="黑体"/>
                <w:bCs/>
                <w:color w:val="000000"/>
                <w:kern w:val="0"/>
                <w:sz w:val="18"/>
                <w:szCs w:val="18"/>
              </w:rPr>
              <w:t>三级类别</w:t>
            </w:r>
          </w:p>
        </w:tc>
        <w:tc>
          <w:tcPr>
            <w:tcW w:w="4427" w:type="dxa"/>
            <w:gridSpan w:val="2"/>
            <w:tcBorders>
              <w:top w:val="single" w:color="auto" w:sz="4" w:space="0"/>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rFonts w:ascii="Times New Roman" w:eastAsia="黑体"/>
                <w:color w:val="000000"/>
                <w:kern w:val="0"/>
                <w:sz w:val="18"/>
                <w:szCs w:val="18"/>
              </w:rPr>
            </w:pPr>
            <w:r>
              <w:rPr>
                <w:rFonts w:hint="eastAsia" w:ascii="Times New Roman" w:eastAsia="黑体"/>
                <w:bCs/>
                <w:color w:val="000000"/>
                <w:kern w:val="0"/>
                <w:sz w:val="18"/>
                <w:szCs w:val="18"/>
              </w:rPr>
              <w:t>专</w:t>
            </w:r>
            <w:r>
              <w:rPr>
                <w:rFonts w:eastAsia="黑体"/>
                <w:bCs/>
                <w:color w:val="000000"/>
                <w:kern w:val="0"/>
                <w:sz w:val="18"/>
                <w:szCs w:val="18"/>
              </w:rPr>
              <w:t>      </w:t>
            </w:r>
            <w:r>
              <w:rPr>
                <w:rFonts w:hint="eastAsia" w:ascii="Times New Roman" w:eastAsia="黑体"/>
                <w:bCs/>
                <w:color w:val="000000"/>
                <w:kern w:val="0"/>
                <w:sz w:val="18"/>
                <w:szCs w:val="18"/>
              </w:rPr>
              <w:t>业</w:t>
            </w:r>
          </w:p>
        </w:tc>
      </w:tr>
      <w:tr>
        <w:tblPrEx>
          <w:tblCellMar>
            <w:top w:w="0" w:type="dxa"/>
            <w:left w:w="0" w:type="dxa"/>
            <w:bottom w:w="0" w:type="dxa"/>
            <w:right w:w="0" w:type="dxa"/>
          </w:tblCellMar>
        </w:tblPrEx>
        <w:trPr>
          <w:trHeight w:val="340" w:hRule="exact"/>
          <w:jc w:val="center"/>
        </w:trPr>
        <w:tc>
          <w:tcPr>
            <w:tcW w:w="1008" w:type="dxa"/>
            <w:vMerge w:val="restart"/>
            <w:tcBorders>
              <w:top w:val="nil"/>
              <w:left w:val="single" w:color="auto" w:sz="4" w:space="0"/>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color w:val="000000"/>
                <w:kern w:val="0"/>
                <w:sz w:val="18"/>
                <w:szCs w:val="18"/>
              </w:rPr>
            </w:pPr>
            <w:r>
              <w:rPr>
                <w:color w:val="000000"/>
                <w:kern w:val="0"/>
                <w:sz w:val="18"/>
                <w:szCs w:val="18"/>
              </w:rPr>
              <w:t>A</w:t>
            </w:r>
            <w:r>
              <w:rPr>
                <w:rFonts w:hint="eastAsia"/>
                <w:color w:val="000000"/>
                <w:kern w:val="0"/>
                <w:sz w:val="18"/>
                <w:szCs w:val="18"/>
              </w:rPr>
              <w:t>工程</w:t>
            </w: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color w:val="000000"/>
                <w:kern w:val="0"/>
                <w:sz w:val="18"/>
                <w:szCs w:val="18"/>
              </w:rPr>
            </w:pPr>
            <w:r>
              <w:rPr>
                <w:color w:val="000000"/>
                <w:kern w:val="0"/>
                <w:sz w:val="18"/>
                <w:szCs w:val="18"/>
              </w:rPr>
              <w:t>A01</w:t>
            </w:r>
            <w:r>
              <w:rPr>
                <w:rFonts w:hint="eastAsia"/>
                <w:color w:val="000000"/>
                <w:kern w:val="0"/>
                <w:sz w:val="18"/>
                <w:szCs w:val="18"/>
              </w:rPr>
              <w:t>规划</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A0101</w:t>
            </w:r>
            <w:r>
              <w:rPr>
                <w:rFonts w:hint="eastAsia"/>
                <w:color w:val="000000"/>
                <w:kern w:val="0"/>
                <w:sz w:val="18"/>
                <w:szCs w:val="18"/>
              </w:rPr>
              <w:t>国民经济和社会发展规划</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A010101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总体规划</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A010104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城市轨道交通</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A010133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市政公用工程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A010134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A010141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古建、风景区</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A0102 </w:t>
            </w:r>
            <w:r>
              <w:rPr>
                <w:rFonts w:hint="eastAsia"/>
                <w:color w:val="000000"/>
                <w:kern w:val="0"/>
                <w:sz w:val="18"/>
                <w:szCs w:val="18"/>
              </w:rPr>
              <w:t>城乡规划</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A010201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城镇体系规划</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A010202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城市规划</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A010203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镇规划</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A010204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乡和村庄规划</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A02</w:t>
            </w:r>
            <w:r>
              <w:rPr>
                <w:rFonts w:hint="eastAsia"/>
                <w:color w:val="000000"/>
                <w:kern w:val="0"/>
                <w:sz w:val="18"/>
                <w:szCs w:val="18"/>
              </w:rPr>
              <w:t>投资策划与决策</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A0201 </w:t>
            </w:r>
            <w:r>
              <w:rPr>
                <w:rFonts w:hint="eastAsia"/>
                <w:color w:val="000000"/>
                <w:kern w:val="0"/>
                <w:sz w:val="18"/>
                <w:szCs w:val="18"/>
              </w:rPr>
              <w:t>项目建议、可行性研究、评估及后评价</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A020103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城市轨道交通</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A020132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市政公用工程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A020133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A020134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城乡规划</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color w:val="000000"/>
                <w:kern w:val="0"/>
                <w:sz w:val="18"/>
                <w:szCs w:val="18"/>
              </w:rPr>
            </w:pPr>
            <w:r>
              <w:rPr>
                <w:color w:val="000000"/>
                <w:kern w:val="0"/>
                <w:sz w:val="18"/>
                <w:szCs w:val="18"/>
              </w:rPr>
              <w:t>A03</w:t>
            </w:r>
            <w:r>
              <w:rPr>
                <w:rFonts w:hint="eastAsia"/>
                <w:color w:val="000000"/>
                <w:kern w:val="0"/>
                <w:sz w:val="18"/>
                <w:szCs w:val="18"/>
              </w:rPr>
              <w:t>勘察</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A0301</w:t>
            </w:r>
            <w:r>
              <w:rPr>
                <w:rFonts w:hint="eastAsia"/>
                <w:color w:val="000000"/>
                <w:kern w:val="0"/>
                <w:sz w:val="18"/>
                <w:szCs w:val="18"/>
              </w:rPr>
              <w:t>岩土工程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A030101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岩土工程勘察</w:t>
            </w:r>
            <w:r>
              <w:rPr>
                <w:color w:val="000000"/>
                <w:kern w:val="0"/>
                <w:sz w:val="18"/>
                <w:szCs w:val="18"/>
              </w:rPr>
              <w:t>/</w:t>
            </w:r>
            <w:r>
              <w:rPr>
                <w:rFonts w:hint="eastAsia"/>
                <w:color w:val="000000"/>
                <w:kern w:val="0"/>
                <w:sz w:val="18"/>
                <w:szCs w:val="18"/>
              </w:rPr>
              <w:t>工程地质勘察</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A030102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岩土工程设计</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A030103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岩土工程物探测试检测监测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color w:val="000000"/>
                <w:kern w:val="0"/>
                <w:sz w:val="18"/>
                <w:szCs w:val="18"/>
              </w:rPr>
            </w:pPr>
            <w:r>
              <w:rPr>
                <w:color w:val="000000"/>
                <w:kern w:val="0"/>
                <w:sz w:val="18"/>
                <w:szCs w:val="18"/>
              </w:rPr>
              <w:t>A04</w:t>
            </w:r>
            <w:r>
              <w:rPr>
                <w:rFonts w:hint="eastAsia"/>
                <w:color w:val="000000"/>
                <w:kern w:val="0"/>
                <w:sz w:val="18"/>
                <w:szCs w:val="18"/>
              </w:rPr>
              <w:t>设计</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w:t>
            </w:r>
            <w:r>
              <w:rPr>
                <w:rFonts w:hint="eastAsia"/>
                <w:color w:val="000000"/>
                <w:kern w:val="0"/>
                <w:sz w:val="18"/>
                <w:szCs w:val="18"/>
              </w:rPr>
              <w:t>建筑工程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建筑总平面规划</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结构</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给水排水</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暖通空调</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电气、通信及弱电</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A040107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装饰</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A040108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幕墙</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A040109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防护</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A040110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防化</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A040111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钢结构</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A040112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照明</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A040113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环保</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A040114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消防</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w:t>
            </w:r>
            <w:r>
              <w:rPr>
                <w:rFonts w:hint="eastAsia"/>
                <w:color w:val="000000"/>
                <w:kern w:val="0"/>
                <w:sz w:val="18"/>
                <w:szCs w:val="18"/>
              </w:rPr>
              <w:t>市政工程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市政线路、站场</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市政道路</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市政桥梁</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市政道路照明</w:t>
            </w:r>
          </w:p>
        </w:tc>
      </w:tr>
      <w:tr>
        <w:tblPrEx>
          <w:tblCellMar>
            <w:top w:w="0" w:type="dxa"/>
            <w:left w:w="0" w:type="dxa"/>
            <w:bottom w:w="0" w:type="dxa"/>
            <w:right w:w="0" w:type="dxa"/>
          </w:tblCellMar>
        </w:tblPrEx>
        <w:trPr>
          <w:trHeight w:val="397" w:hRule="exact"/>
          <w:jc w:val="center"/>
        </w:trPr>
        <w:tc>
          <w:tcPr>
            <w:tcW w:w="1008" w:type="dxa"/>
            <w:vMerge w:val="restart"/>
            <w:tcBorders>
              <w:top w:val="nil"/>
              <w:left w:val="single" w:color="auto" w:sz="4" w:space="0"/>
              <w:bottom w:val="single" w:color="auto" w:sz="4" w:space="0"/>
              <w:right w:val="single" w:color="auto" w:sz="4" w:space="0"/>
            </w:tcBorders>
            <w:shd w:val="clear" w:color="auto" w:fill="FFFFFF"/>
            <w:noWrap w:val="0"/>
            <w:vAlign w:val="center"/>
          </w:tcPr>
          <w:p>
            <w:pPr>
              <w:spacing w:line="240" w:lineRule="exact"/>
              <w:jc w:val="center"/>
              <w:rPr>
                <w:color w:val="000000"/>
                <w:kern w:val="0"/>
                <w:sz w:val="18"/>
                <w:szCs w:val="18"/>
              </w:rPr>
            </w:pPr>
            <w:r>
              <w:rPr>
                <w:color w:val="000000"/>
                <w:kern w:val="0"/>
                <w:sz w:val="18"/>
                <w:szCs w:val="18"/>
              </w:rPr>
              <w:t>A</w:t>
            </w:r>
            <w:r>
              <w:rPr>
                <w:rFonts w:hint="eastAsia"/>
                <w:color w:val="000000"/>
                <w:kern w:val="0"/>
                <w:sz w:val="18"/>
                <w:szCs w:val="18"/>
              </w:rPr>
              <w:t>工程</w:t>
            </w:r>
          </w:p>
        </w:tc>
        <w:tc>
          <w:tcPr>
            <w:tcW w:w="1545" w:type="dxa"/>
            <w:vMerge w:val="restart"/>
            <w:tcBorders>
              <w:top w:val="nil"/>
              <w:left w:val="nil"/>
              <w:bottom w:val="single" w:color="auto" w:sz="4" w:space="0"/>
              <w:right w:val="single" w:color="auto" w:sz="4" w:space="0"/>
            </w:tcBorders>
            <w:shd w:val="clear" w:color="auto" w:fill="FFFFFF"/>
            <w:noWrap w:val="0"/>
            <w:vAlign w:val="center"/>
          </w:tcPr>
          <w:p>
            <w:pPr>
              <w:spacing w:line="240" w:lineRule="exact"/>
              <w:jc w:val="center"/>
              <w:rPr>
                <w:color w:val="000000"/>
                <w:kern w:val="0"/>
                <w:sz w:val="18"/>
                <w:szCs w:val="18"/>
              </w:rPr>
            </w:pPr>
            <w:r>
              <w:rPr>
                <w:color w:val="000000"/>
                <w:kern w:val="0"/>
                <w:sz w:val="18"/>
                <w:szCs w:val="18"/>
              </w:rPr>
              <w:t>A04</w:t>
            </w:r>
            <w:r>
              <w:rPr>
                <w:rFonts w:hint="eastAsia"/>
                <w:color w:val="000000"/>
                <w:kern w:val="0"/>
                <w:sz w:val="18"/>
                <w:szCs w:val="18"/>
              </w:rPr>
              <w:t>设计</w:t>
            </w:r>
          </w:p>
        </w:tc>
        <w:tc>
          <w:tcPr>
            <w:tcW w:w="1680" w:type="dxa"/>
            <w:vMerge w:val="restart"/>
            <w:tcBorders>
              <w:top w:val="nil"/>
              <w:left w:val="nil"/>
              <w:bottom w:val="single" w:color="auto" w:sz="4" w:space="0"/>
              <w:right w:val="single" w:color="auto" w:sz="4" w:space="0"/>
            </w:tcBorders>
            <w:shd w:val="clear" w:color="auto" w:fill="FFFFFF"/>
            <w:noWrap w:val="0"/>
            <w:vAlign w:val="center"/>
          </w:tcPr>
          <w:p>
            <w:pPr>
              <w:spacing w:line="240" w:lineRule="exact"/>
              <w:jc w:val="left"/>
              <w:rPr>
                <w:color w:val="000000"/>
                <w:kern w:val="0"/>
                <w:sz w:val="18"/>
                <w:szCs w:val="18"/>
              </w:rPr>
            </w:pPr>
            <w:r>
              <w:rPr>
                <w:color w:val="000000"/>
                <w:kern w:val="0"/>
                <w:sz w:val="18"/>
                <w:szCs w:val="18"/>
              </w:rPr>
              <w:t>A0402</w:t>
            </w:r>
            <w:r>
              <w:rPr>
                <w:rFonts w:hint="eastAsia"/>
                <w:color w:val="000000"/>
                <w:kern w:val="0"/>
                <w:sz w:val="18"/>
                <w:szCs w:val="18"/>
              </w:rPr>
              <w:t>市政工程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市政机械</w:t>
            </w:r>
          </w:p>
        </w:tc>
      </w:tr>
      <w:tr>
        <w:tblPrEx>
          <w:tblCellMar>
            <w:top w:w="0" w:type="dxa"/>
            <w:left w:w="0" w:type="dxa"/>
            <w:bottom w:w="0" w:type="dxa"/>
            <w:right w:w="0" w:type="dxa"/>
          </w:tblCellMar>
        </w:tblPrEx>
        <w:trPr>
          <w:trHeight w:val="397"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市政给水排水</w:t>
            </w:r>
          </w:p>
        </w:tc>
      </w:tr>
      <w:tr>
        <w:tblPrEx>
          <w:tblCellMar>
            <w:top w:w="0" w:type="dxa"/>
            <w:left w:w="0" w:type="dxa"/>
            <w:bottom w:w="0" w:type="dxa"/>
            <w:right w:w="0" w:type="dxa"/>
          </w:tblCellMar>
        </w:tblPrEx>
        <w:trPr>
          <w:trHeight w:val="397"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A040207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市政信号与控制</w:t>
            </w:r>
          </w:p>
        </w:tc>
      </w:tr>
      <w:tr>
        <w:tblPrEx>
          <w:tblCellMar>
            <w:top w:w="0" w:type="dxa"/>
            <w:left w:w="0" w:type="dxa"/>
            <w:bottom w:w="0" w:type="dxa"/>
            <w:right w:w="0" w:type="dxa"/>
          </w:tblCellMar>
        </w:tblPrEx>
        <w:trPr>
          <w:trHeight w:val="397"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A040208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城市燃气</w:t>
            </w:r>
          </w:p>
        </w:tc>
      </w:tr>
      <w:tr>
        <w:tblPrEx>
          <w:tblCellMar>
            <w:top w:w="0" w:type="dxa"/>
            <w:left w:w="0" w:type="dxa"/>
            <w:bottom w:w="0" w:type="dxa"/>
            <w:right w:w="0" w:type="dxa"/>
          </w:tblCellMar>
        </w:tblPrEx>
        <w:trPr>
          <w:trHeight w:val="397"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A040209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城市热力</w:t>
            </w:r>
          </w:p>
        </w:tc>
      </w:tr>
      <w:tr>
        <w:tblPrEx>
          <w:tblCellMar>
            <w:top w:w="0" w:type="dxa"/>
            <w:left w:w="0" w:type="dxa"/>
            <w:bottom w:w="0" w:type="dxa"/>
            <w:right w:w="0" w:type="dxa"/>
          </w:tblCellMar>
        </w:tblPrEx>
        <w:trPr>
          <w:trHeight w:val="397"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A040210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电气</w:t>
            </w:r>
          </w:p>
        </w:tc>
      </w:tr>
      <w:tr>
        <w:tblPrEx>
          <w:tblCellMar>
            <w:top w:w="0" w:type="dxa"/>
            <w:left w:w="0" w:type="dxa"/>
            <w:bottom w:w="0" w:type="dxa"/>
            <w:right w:w="0" w:type="dxa"/>
          </w:tblCellMar>
        </w:tblPrEx>
        <w:trPr>
          <w:trHeight w:val="397"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A040211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环保</w:t>
            </w:r>
          </w:p>
        </w:tc>
      </w:tr>
      <w:tr>
        <w:tblPrEx>
          <w:tblCellMar>
            <w:top w:w="0" w:type="dxa"/>
            <w:left w:w="0" w:type="dxa"/>
            <w:bottom w:w="0" w:type="dxa"/>
            <w:right w:w="0" w:type="dxa"/>
          </w:tblCellMar>
        </w:tblPrEx>
        <w:trPr>
          <w:trHeight w:val="397"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A040212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园林</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w:t>
            </w:r>
            <w:r>
              <w:rPr>
                <w:rFonts w:hint="eastAsia"/>
                <w:color w:val="000000"/>
                <w:kern w:val="0"/>
                <w:sz w:val="18"/>
                <w:szCs w:val="18"/>
              </w:rPr>
              <w:t>城市轨道交通工程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车站、区间</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线路、轨道</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信号</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通信与信息</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机车车辆</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通风</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A040507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防灾监控</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A040508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暖通空调</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A040509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给水排水</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A040510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桥梁</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color w:val="000000"/>
                <w:kern w:val="0"/>
                <w:sz w:val="18"/>
                <w:szCs w:val="18"/>
              </w:rPr>
            </w:pPr>
            <w:r>
              <w:rPr>
                <w:color w:val="000000"/>
                <w:kern w:val="0"/>
                <w:sz w:val="18"/>
                <w:szCs w:val="18"/>
              </w:rPr>
              <w:t>A05</w:t>
            </w:r>
            <w:r>
              <w:rPr>
                <w:rFonts w:hint="eastAsia"/>
                <w:color w:val="000000"/>
                <w:kern w:val="0"/>
                <w:sz w:val="18"/>
                <w:szCs w:val="18"/>
              </w:rPr>
              <w:t>监理</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A0501</w:t>
            </w:r>
            <w:r>
              <w:rPr>
                <w:rFonts w:hint="eastAsia"/>
                <w:color w:val="000000"/>
                <w:kern w:val="0"/>
                <w:sz w:val="18"/>
                <w:szCs w:val="18"/>
              </w:rPr>
              <w:t>建筑工程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A050101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A050102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结构</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A050103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给水排水</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A050104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暖通空调</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A050105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电气</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A050106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机电设备安装</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A050107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装饰</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A050108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幕墙</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A0502</w:t>
            </w:r>
            <w:r>
              <w:rPr>
                <w:rFonts w:hint="eastAsia"/>
                <w:color w:val="000000"/>
                <w:kern w:val="0"/>
                <w:sz w:val="18"/>
                <w:szCs w:val="18"/>
              </w:rPr>
              <w:t>市政工程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A050201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土木工程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A050202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给水排水</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A050203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供配电、信号</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A050204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机电设备建议改为机电设备安装</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A050205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园林与绿化</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A0505</w:t>
            </w:r>
            <w:r>
              <w:rPr>
                <w:rFonts w:hint="eastAsia"/>
                <w:color w:val="000000"/>
                <w:kern w:val="0"/>
                <w:sz w:val="18"/>
                <w:szCs w:val="18"/>
              </w:rPr>
              <w:t>城市轨道交通</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A050501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土木工程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A050502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机电安装</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A050503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系统设备、集成</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A050504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通风</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A050505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通信与信息</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A0520</w:t>
            </w:r>
            <w:r>
              <w:rPr>
                <w:rFonts w:hint="eastAsia"/>
                <w:color w:val="000000"/>
                <w:kern w:val="0"/>
                <w:sz w:val="18"/>
                <w:szCs w:val="18"/>
              </w:rPr>
              <w:t>机电安装工程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A052001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机电安装工程</w:t>
            </w:r>
          </w:p>
        </w:tc>
      </w:tr>
      <w:tr>
        <w:tblPrEx>
          <w:tblCellMar>
            <w:top w:w="0" w:type="dxa"/>
            <w:left w:w="0" w:type="dxa"/>
            <w:bottom w:w="0" w:type="dxa"/>
            <w:right w:w="0" w:type="dxa"/>
          </w:tblCellMar>
        </w:tblPrEx>
        <w:trPr>
          <w:trHeight w:val="340" w:hRule="exact"/>
          <w:jc w:val="center"/>
        </w:trPr>
        <w:tc>
          <w:tcPr>
            <w:tcW w:w="1008" w:type="dxa"/>
            <w:vMerge w:val="restart"/>
            <w:tcBorders>
              <w:top w:val="nil"/>
              <w:left w:val="single" w:color="auto" w:sz="4" w:space="0"/>
              <w:bottom w:val="single" w:color="auto" w:sz="4" w:space="0"/>
              <w:right w:val="single" w:color="auto" w:sz="4" w:space="0"/>
            </w:tcBorders>
            <w:shd w:val="clear" w:color="auto" w:fill="FFFFFF"/>
            <w:noWrap w:val="0"/>
            <w:vAlign w:val="center"/>
          </w:tcPr>
          <w:p>
            <w:pPr>
              <w:spacing w:line="240" w:lineRule="exact"/>
              <w:jc w:val="center"/>
              <w:rPr>
                <w:color w:val="000000"/>
                <w:kern w:val="0"/>
                <w:sz w:val="18"/>
                <w:szCs w:val="18"/>
              </w:rPr>
            </w:pPr>
            <w:r>
              <w:rPr>
                <w:color w:val="000000"/>
                <w:kern w:val="0"/>
                <w:sz w:val="18"/>
                <w:szCs w:val="18"/>
              </w:rPr>
              <w:t>A</w:t>
            </w:r>
            <w:r>
              <w:rPr>
                <w:rFonts w:hint="eastAsia"/>
                <w:color w:val="000000"/>
                <w:kern w:val="0"/>
                <w:sz w:val="18"/>
                <w:szCs w:val="18"/>
              </w:rPr>
              <w:t>工程</w:t>
            </w: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color w:val="000000"/>
                <w:kern w:val="0"/>
                <w:sz w:val="18"/>
                <w:szCs w:val="18"/>
              </w:rPr>
            </w:pPr>
            <w:r>
              <w:rPr>
                <w:color w:val="000000"/>
                <w:kern w:val="0"/>
                <w:sz w:val="18"/>
                <w:szCs w:val="18"/>
              </w:rPr>
              <w:t>A06</w:t>
            </w:r>
            <w:r>
              <w:rPr>
                <w:rFonts w:hint="eastAsia"/>
                <w:color w:val="000000"/>
                <w:kern w:val="0"/>
                <w:sz w:val="18"/>
                <w:szCs w:val="18"/>
              </w:rPr>
              <w:t>工程造价</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A0601</w:t>
            </w:r>
            <w:r>
              <w:rPr>
                <w:rFonts w:hint="eastAsia"/>
                <w:color w:val="000000"/>
                <w:kern w:val="0"/>
                <w:sz w:val="18"/>
                <w:szCs w:val="18"/>
              </w:rPr>
              <w:t>土建工程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A060101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A060102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A060104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城市轨道交通</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A0602</w:t>
            </w:r>
            <w:r>
              <w:rPr>
                <w:rFonts w:hint="eastAsia"/>
                <w:color w:val="000000"/>
                <w:kern w:val="0"/>
                <w:sz w:val="18"/>
                <w:szCs w:val="18"/>
              </w:rPr>
              <w:t>安装工程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A060201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A060202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市政</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A060204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城市轨道交通</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color w:val="000000"/>
                <w:kern w:val="0"/>
                <w:sz w:val="18"/>
                <w:szCs w:val="18"/>
              </w:rPr>
            </w:pPr>
            <w:r>
              <w:rPr>
                <w:color w:val="000000"/>
                <w:kern w:val="0"/>
                <w:sz w:val="18"/>
                <w:szCs w:val="18"/>
              </w:rPr>
              <w:t>A08</w:t>
            </w:r>
            <w:r>
              <w:rPr>
                <w:rFonts w:hint="eastAsia"/>
                <w:color w:val="000000"/>
                <w:kern w:val="0"/>
                <w:sz w:val="18"/>
                <w:szCs w:val="18"/>
              </w:rPr>
              <w:t>工程施工</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w:t>
            </w:r>
            <w:r>
              <w:rPr>
                <w:rFonts w:hint="eastAsia"/>
                <w:color w:val="000000"/>
                <w:kern w:val="0"/>
                <w:sz w:val="18"/>
                <w:szCs w:val="18"/>
              </w:rPr>
              <w:t>建筑工程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土石方工程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地基处理工程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爆破与拆除工程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土建工程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电气工程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建筑给水排水工程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A080107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钢结构工程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A080108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通风与空调工程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A080109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室内装饰装修工程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幕墙工程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建筑智能化工程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电梯工程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消防设施工程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机电设备安装工程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动力工程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高耸构筑物工程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建筑防水、防腐、保温工程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仿古建筑及修缮工程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A080119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广播、音响和会议系统工程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A080120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大屏幕显示系统工程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A080121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智能灯光工程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A080122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无损检测工程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A080123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其他特种工程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w:t>
            </w:r>
            <w:r>
              <w:rPr>
                <w:rFonts w:hint="eastAsia"/>
                <w:color w:val="000000"/>
                <w:kern w:val="0"/>
                <w:sz w:val="18"/>
                <w:szCs w:val="18"/>
              </w:rPr>
              <w:t>市政工程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道路工程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桥梁工程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隧道工程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给水工程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排水工程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防洪堤防工程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A080207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燃气工程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A080208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热能及供热工程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A080209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体育场地设施工程</w:t>
            </w:r>
          </w:p>
        </w:tc>
      </w:tr>
      <w:tr>
        <w:tblPrEx>
          <w:tblCellMar>
            <w:top w:w="0" w:type="dxa"/>
            <w:left w:w="0" w:type="dxa"/>
            <w:bottom w:w="0" w:type="dxa"/>
            <w:right w:w="0" w:type="dxa"/>
          </w:tblCellMar>
        </w:tblPrEx>
        <w:trPr>
          <w:trHeight w:val="340" w:hRule="exact"/>
          <w:jc w:val="center"/>
        </w:trPr>
        <w:tc>
          <w:tcPr>
            <w:tcW w:w="1008" w:type="dxa"/>
            <w:vMerge w:val="restart"/>
            <w:tcBorders>
              <w:top w:val="nil"/>
              <w:left w:val="single" w:color="auto" w:sz="4" w:space="0"/>
              <w:bottom w:val="single" w:color="auto" w:sz="4" w:space="0"/>
              <w:right w:val="single" w:color="auto" w:sz="4" w:space="0"/>
            </w:tcBorders>
            <w:shd w:val="clear" w:color="auto" w:fill="FFFFFF"/>
            <w:noWrap w:val="0"/>
            <w:vAlign w:val="center"/>
          </w:tcPr>
          <w:p>
            <w:pPr>
              <w:spacing w:line="240" w:lineRule="exact"/>
              <w:jc w:val="center"/>
              <w:rPr>
                <w:color w:val="000000"/>
                <w:kern w:val="0"/>
                <w:sz w:val="18"/>
                <w:szCs w:val="18"/>
              </w:rPr>
            </w:pPr>
            <w:r>
              <w:rPr>
                <w:color w:val="000000"/>
                <w:kern w:val="0"/>
                <w:sz w:val="18"/>
                <w:szCs w:val="18"/>
              </w:rPr>
              <w:t>A</w:t>
            </w:r>
            <w:r>
              <w:rPr>
                <w:rFonts w:hint="eastAsia"/>
                <w:color w:val="000000"/>
                <w:kern w:val="0"/>
                <w:sz w:val="18"/>
                <w:szCs w:val="18"/>
              </w:rPr>
              <w:t>工程</w:t>
            </w:r>
          </w:p>
        </w:tc>
        <w:tc>
          <w:tcPr>
            <w:tcW w:w="1545" w:type="dxa"/>
            <w:vMerge w:val="restart"/>
            <w:tcBorders>
              <w:top w:val="nil"/>
              <w:left w:val="nil"/>
              <w:bottom w:val="single" w:color="auto" w:sz="4" w:space="0"/>
              <w:right w:val="single" w:color="auto" w:sz="4" w:space="0"/>
            </w:tcBorders>
            <w:shd w:val="clear" w:color="auto" w:fill="FFFFFF"/>
            <w:noWrap w:val="0"/>
            <w:vAlign w:val="center"/>
          </w:tcPr>
          <w:p>
            <w:pPr>
              <w:spacing w:line="240" w:lineRule="exact"/>
              <w:jc w:val="center"/>
              <w:rPr>
                <w:color w:val="000000"/>
                <w:kern w:val="0"/>
                <w:sz w:val="18"/>
                <w:szCs w:val="18"/>
              </w:rPr>
            </w:pPr>
            <w:r>
              <w:rPr>
                <w:color w:val="000000"/>
                <w:kern w:val="0"/>
                <w:sz w:val="18"/>
                <w:szCs w:val="18"/>
              </w:rPr>
              <w:t>A08</w:t>
            </w:r>
            <w:r>
              <w:rPr>
                <w:rFonts w:hint="eastAsia"/>
                <w:color w:val="000000"/>
                <w:kern w:val="0"/>
                <w:sz w:val="18"/>
                <w:szCs w:val="18"/>
              </w:rPr>
              <w:t>工程施工</w:t>
            </w:r>
          </w:p>
        </w:tc>
        <w:tc>
          <w:tcPr>
            <w:tcW w:w="1680" w:type="dxa"/>
            <w:vMerge w:val="restart"/>
            <w:tcBorders>
              <w:top w:val="nil"/>
              <w:left w:val="nil"/>
              <w:bottom w:val="single" w:color="auto" w:sz="4" w:space="0"/>
              <w:right w:val="single" w:color="auto" w:sz="4" w:space="0"/>
            </w:tcBorders>
            <w:shd w:val="clear" w:color="auto" w:fill="FFFFFF"/>
            <w:noWrap w:val="0"/>
            <w:vAlign w:val="center"/>
          </w:tcPr>
          <w:p>
            <w:pPr>
              <w:spacing w:line="240" w:lineRule="exact"/>
              <w:jc w:val="left"/>
              <w:rPr>
                <w:color w:val="000000"/>
                <w:kern w:val="0"/>
                <w:sz w:val="18"/>
                <w:szCs w:val="18"/>
              </w:rPr>
            </w:pPr>
            <w:r>
              <w:rPr>
                <w:color w:val="000000"/>
                <w:kern w:val="0"/>
                <w:sz w:val="18"/>
                <w:szCs w:val="18"/>
              </w:rPr>
              <w:t>A0802</w:t>
            </w:r>
            <w:r>
              <w:rPr>
                <w:rFonts w:hint="eastAsia"/>
                <w:color w:val="000000"/>
                <w:kern w:val="0"/>
                <w:sz w:val="18"/>
                <w:szCs w:val="18"/>
              </w:rPr>
              <w:t>市政工程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A080210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道路照明工程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A080211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城市景观、户外广告工程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A080212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垃圾处理工程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A080213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市容环境综合整治工程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A080214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城市公共广场工程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w:t>
            </w:r>
            <w:r>
              <w:rPr>
                <w:rFonts w:hint="eastAsia"/>
                <w:color w:val="000000"/>
                <w:kern w:val="0"/>
                <w:sz w:val="18"/>
                <w:szCs w:val="18"/>
              </w:rPr>
              <w:t>城市轨道交通工程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路基工程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轨道工程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桥涵工程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隧道、地下结构工程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给水排水工程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供电工程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A080507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智能和控制系统工程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A080508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信号工程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A080509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通信工程</w:t>
            </w:r>
          </w:p>
        </w:tc>
      </w:tr>
      <w:tr>
        <w:tblPrEx>
          <w:tblCellMar>
            <w:top w:w="0" w:type="dxa"/>
            <w:left w:w="0" w:type="dxa"/>
            <w:bottom w:w="0" w:type="dxa"/>
            <w:right w:w="0" w:type="dxa"/>
          </w:tblCellMar>
        </w:tblPrEx>
        <w:trPr>
          <w:trHeight w:val="679" w:hRule="atLeas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A0821 </w:t>
            </w:r>
            <w:r>
              <w:rPr>
                <w:rFonts w:hint="eastAsia"/>
                <w:color w:val="000000"/>
                <w:kern w:val="0"/>
                <w:sz w:val="18"/>
                <w:szCs w:val="18"/>
              </w:rPr>
              <w:t>电子工程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A082110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洁净室工程（含空调净化、洁净装修、洁净室地板）</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A0830</w:t>
            </w:r>
            <w:r>
              <w:rPr>
                <w:rFonts w:hint="eastAsia"/>
                <w:color w:val="000000"/>
                <w:kern w:val="0"/>
                <w:sz w:val="18"/>
                <w:szCs w:val="18"/>
              </w:rPr>
              <w:t>园林绿化工程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A083001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园林工程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A083002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绿化工程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A0832 </w:t>
            </w:r>
            <w:r>
              <w:rPr>
                <w:rFonts w:hint="eastAsia"/>
                <w:color w:val="000000"/>
                <w:kern w:val="0"/>
                <w:sz w:val="18"/>
                <w:szCs w:val="18"/>
              </w:rPr>
              <w:t>信息工程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A083201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计算机信息系统集成</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A083202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计算机网络工程</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A083203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软件系统开发</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A083204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信息安全系统集成</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A083205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信息系统机房建设</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A083206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涉密信息系统机房建设</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center"/>
              <w:rPr>
                <w:color w:val="000000"/>
                <w:kern w:val="0"/>
                <w:sz w:val="18"/>
                <w:szCs w:val="18"/>
              </w:rPr>
            </w:pPr>
            <w:r>
              <w:rPr>
                <w:color w:val="000000"/>
                <w:kern w:val="0"/>
                <w:sz w:val="18"/>
                <w:szCs w:val="18"/>
              </w:rPr>
              <w:t>A09</w:t>
            </w:r>
            <w:r>
              <w:rPr>
                <w:rFonts w:hint="eastAsia"/>
                <w:color w:val="000000"/>
                <w:kern w:val="0"/>
                <w:sz w:val="18"/>
                <w:szCs w:val="18"/>
              </w:rPr>
              <w:t>其他工程</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A0902</w:t>
            </w:r>
            <w:r>
              <w:rPr>
                <w:rFonts w:hint="eastAsia"/>
                <w:color w:val="000000"/>
                <w:kern w:val="0"/>
                <w:sz w:val="18"/>
                <w:szCs w:val="18"/>
              </w:rPr>
              <w:t>节能工程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A090207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建筑节能工程</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A090208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绿色照明工程</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A0906</w:t>
            </w:r>
            <w:r>
              <w:rPr>
                <w:rFonts w:hint="eastAsia"/>
                <w:color w:val="000000"/>
                <w:kern w:val="0"/>
                <w:sz w:val="18"/>
                <w:szCs w:val="18"/>
              </w:rPr>
              <w:t>文物保护工程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A090601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文物建筑修缮与保护</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A090602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古遗址、古墓葬修缮与保护</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A090603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石窟寺、石刻及壁画保护</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A090604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文物安全消防</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A0907</w:t>
            </w:r>
            <w:r>
              <w:rPr>
                <w:rFonts w:hint="eastAsia"/>
                <w:color w:val="000000"/>
                <w:kern w:val="0"/>
                <w:sz w:val="18"/>
                <w:szCs w:val="18"/>
              </w:rPr>
              <w:t>安全防范工程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A090701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安全防范系统工程</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A090702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防爆安全检查工程</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A090703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网络安全工程</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A0908</w:t>
            </w:r>
            <w:r>
              <w:rPr>
                <w:rFonts w:hint="eastAsia"/>
                <w:color w:val="000000"/>
                <w:kern w:val="0"/>
                <w:sz w:val="18"/>
                <w:szCs w:val="18"/>
              </w:rPr>
              <w:t>展陈工程</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A090801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文物布展陈列</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A090802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非文物布展陈列</w:t>
            </w:r>
          </w:p>
        </w:tc>
      </w:tr>
      <w:tr>
        <w:tblPrEx>
          <w:tblCellMar>
            <w:top w:w="0" w:type="dxa"/>
            <w:left w:w="0" w:type="dxa"/>
            <w:bottom w:w="0" w:type="dxa"/>
            <w:right w:w="0" w:type="dxa"/>
          </w:tblCellMar>
        </w:tblPrEx>
        <w:trPr>
          <w:trHeight w:val="369"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A090803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模型制作</w:t>
            </w:r>
          </w:p>
        </w:tc>
      </w:tr>
      <w:tr>
        <w:tblPrEx>
          <w:tblCellMar>
            <w:top w:w="0" w:type="dxa"/>
            <w:left w:w="0" w:type="dxa"/>
            <w:bottom w:w="0" w:type="dxa"/>
            <w:right w:w="0" w:type="dxa"/>
          </w:tblCellMar>
        </w:tblPrEx>
        <w:trPr>
          <w:trHeight w:val="397"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A090804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声光电配置</w:t>
            </w:r>
          </w:p>
        </w:tc>
      </w:tr>
      <w:tr>
        <w:tblPrEx>
          <w:tblCellMar>
            <w:top w:w="0" w:type="dxa"/>
            <w:left w:w="0" w:type="dxa"/>
            <w:bottom w:w="0" w:type="dxa"/>
            <w:right w:w="0" w:type="dxa"/>
          </w:tblCellMar>
        </w:tblPrEx>
        <w:trPr>
          <w:trHeight w:val="340" w:hRule="exact"/>
          <w:jc w:val="center"/>
        </w:trPr>
        <w:tc>
          <w:tcPr>
            <w:tcW w:w="1008" w:type="dxa"/>
            <w:vMerge w:val="restart"/>
            <w:tcBorders>
              <w:top w:val="nil"/>
              <w:left w:val="single" w:color="auto" w:sz="4" w:space="0"/>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w:t>
            </w:r>
            <w:r>
              <w:rPr>
                <w:rFonts w:hint="eastAsia"/>
                <w:color w:val="000000"/>
                <w:kern w:val="0"/>
                <w:sz w:val="18"/>
                <w:szCs w:val="18"/>
              </w:rPr>
              <w:t>货物类</w:t>
            </w: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w:t>
            </w:r>
            <w:r>
              <w:rPr>
                <w:rFonts w:hint="eastAsia"/>
                <w:color w:val="000000"/>
                <w:kern w:val="0"/>
                <w:sz w:val="18"/>
                <w:szCs w:val="18"/>
              </w:rPr>
              <w:t>机械、设备类</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B0102</w:t>
            </w:r>
            <w:r>
              <w:rPr>
                <w:rFonts w:hint="eastAsia"/>
                <w:color w:val="000000"/>
                <w:kern w:val="0"/>
                <w:sz w:val="18"/>
                <w:szCs w:val="18"/>
              </w:rPr>
              <w:t>城市轨道工程设备</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B010201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通风设备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B010202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自动售检票</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B010203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防灾报警设备及消防</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B010204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屏蔽门设备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B010205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综合监控设备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B010206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车辆段设备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B0114</w:t>
            </w:r>
            <w:r>
              <w:rPr>
                <w:rFonts w:hint="eastAsia"/>
                <w:color w:val="000000"/>
                <w:kern w:val="0"/>
                <w:sz w:val="18"/>
                <w:szCs w:val="18"/>
              </w:rPr>
              <w:t>广播、影视、舞台设备</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B011405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灯光、音响、舞台设备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B0117</w:t>
            </w:r>
            <w:r>
              <w:rPr>
                <w:rFonts w:hint="eastAsia"/>
                <w:color w:val="000000"/>
                <w:kern w:val="0"/>
                <w:sz w:val="18"/>
                <w:szCs w:val="18"/>
              </w:rPr>
              <w:t>锅炉</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B011702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工业锅炉及辅机</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B0119</w:t>
            </w:r>
            <w:r>
              <w:rPr>
                <w:rFonts w:hint="eastAsia"/>
                <w:color w:val="000000"/>
                <w:kern w:val="0"/>
                <w:sz w:val="18"/>
                <w:szCs w:val="18"/>
              </w:rPr>
              <w:t>起重运输机械</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B011904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扶梯与电梯</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B0125</w:t>
            </w:r>
            <w:r>
              <w:rPr>
                <w:rFonts w:hint="eastAsia"/>
                <w:color w:val="000000"/>
                <w:kern w:val="0"/>
                <w:sz w:val="18"/>
                <w:szCs w:val="18"/>
              </w:rPr>
              <w:t>车辆</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B012509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城市轨道车辆</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B0130 </w:t>
            </w:r>
            <w:r>
              <w:rPr>
                <w:rFonts w:hint="eastAsia"/>
                <w:color w:val="000000"/>
                <w:kern w:val="0"/>
                <w:sz w:val="18"/>
                <w:szCs w:val="18"/>
              </w:rPr>
              <w:t>电机</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B013001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发电设备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B013002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电动机</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w:t>
            </w:r>
            <w:r>
              <w:rPr>
                <w:rFonts w:hint="eastAsia"/>
                <w:color w:val="000000"/>
                <w:kern w:val="0"/>
                <w:sz w:val="18"/>
                <w:szCs w:val="18"/>
              </w:rPr>
              <w:t>输变电设备、设施</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变压器</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高压开关</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低压电器</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换流装置</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电线、电缆与光缆</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电力电容器</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B013107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电池、电源</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B013108</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绝缘产品</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B013109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电动工具</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B013110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电动机拖动装置</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B0132</w:t>
            </w:r>
            <w:r>
              <w:rPr>
                <w:rFonts w:hint="eastAsia"/>
                <w:color w:val="000000"/>
                <w:kern w:val="0"/>
                <w:sz w:val="18"/>
                <w:szCs w:val="18"/>
              </w:rPr>
              <w:t>计算机及网络设备</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B013202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小型、微型计算机及工作站</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B013204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计算机网络安全设备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B013205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计算机配件及外设</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B0133</w:t>
            </w:r>
            <w:r>
              <w:rPr>
                <w:rFonts w:hint="eastAsia"/>
                <w:color w:val="000000"/>
                <w:kern w:val="0"/>
                <w:sz w:val="18"/>
                <w:szCs w:val="18"/>
              </w:rPr>
              <w:t>计算机系统</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B013301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系统软件</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B013302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支撑软件</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B013303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应用软件</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B0134 </w:t>
            </w:r>
            <w:r>
              <w:rPr>
                <w:rFonts w:hint="eastAsia"/>
                <w:color w:val="000000"/>
                <w:kern w:val="0"/>
                <w:sz w:val="18"/>
                <w:szCs w:val="18"/>
              </w:rPr>
              <w:t>环保设备</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B013410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 </w:t>
            </w:r>
            <w:r>
              <w:rPr>
                <w:rFonts w:hint="eastAsia"/>
                <w:color w:val="000000"/>
                <w:kern w:val="0"/>
                <w:sz w:val="18"/>
                <w:szCs w:val="18"/>
              </w:rPr>
              <w:t>城市固体废弃物处理设备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B013412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 </w:t>
            </w:r>
            <w:r>
              <w:rPr>
                <w:rFonts w:hint="eastAsia"/>
                <w:color w:val="000000"/>
                <w:kern w:val="0"/>
                <w:sz w:val="18"/>
                <w:szCs w:val="18"/>
              </w:rPr>
              <w:t>水处理设备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B013413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 </w:t>
            </w:r>
            <w:r>
              <w:rPr>
                <w:rFonts w:hint="eastAsia"/>
                <w:color w:val="000000"/>
                <w:kern w:val="0"/>
                <w:sz w:val="18"/>
                <w:szCs w:val="18"/>
              </w:rPr>
              <w:t>污泥处理设备</w:t>
            </w:r>
          </w:p>
        </w:tc>
      </w:tr>
      <w:tr>
        <w:tblPrEx>
          <w:tblCellMar>
            <w:top w:w="0" w:type="dxa"/>
            <w:left w:w="0" w:type="dxa"/>
            <w:bottom w:w="0" w:type="dxa"/>
            <w:right w:w="0" w:type="dxa"/>
          </w:tblCellMar>
        </w:tblPrEx>
        <w:trPr>
          <w:trHeight w:val="496"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B0136</w:t>
            </w:r>
            <w:r>
              <w:rPr>
                <w:rFonts w:hint="eastAsia"/>
                <w:color w:val="000000"/>
                <w:kern w:val="0"/>
                <w:sz w:val="18"/>
                <w:szCs w:val="18"/>
              </w:rPr>
              <w:t>交通信号专用设备</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B013602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城市轨道信号设备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B0138</w:t>
            </w:r>
            <w:r>
              <w:rPr>
                <w:rFonts w:hint="eastAsia"/>
                <w:color w:val="000000"/>
                <w:kern w:val="0"/>
                <w:sz w:val="18"/>
                <w:szCs w:val="18"/>
              </w:rPr>
              <w:t>节能设备</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B013801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节电器</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B013802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变频器</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B013803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高效节能设备（锅炉、风机、水泵、电机等）</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B013804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余热余压利用装备</w:t>
            </w:r>
          </w:p>
        </w:tc>
      </w:tr>
      <w:tr>
        <w:tblPrEx>
          <w:tblCellMar>
            <w:top w:w="0" w:type="dxa"/>
            <w:left w:w="0" w:type="dxa"/>
            <w:bottom w:w="0" w:type="dxa"/>
            <w:right w:w="0" w:type="dxa"/>
          </w:tblCellMar>
        </w:tblPrEx>
        <w:trPr>
          <w:trHeight w:val="340"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B013805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节油器</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B0140</w:t>
            </w:r>
            <w:r>
              <w:rPr>
                <w:rFonts w:hint="eastAsia"/>
                <w:color w:val="000000"/>
                <w:kern w:val="0"/>
                <w:sz w:val="18"/>
                <w:szCs w:val="18"/>
              </w:rPr>
              <w:t>安全技术防范设备</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B014001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安防视频监控设备</w:t>
            </w:r>
          </w:p>
        </w:tc>
      </w:tr>
      <w:tr>
        <w:tblPrEx>
          <w:tblCellMar>
            <w:top w:w="0" w:type="dxa"/>
            <w:left w:w="0" w:type="dxa"/>
            <w:bottom w:w="0" w:type="dxa"/>
            <w:right w:w="0" w:type="dxa"/>
          </w:tblCellMar>
        </w:tblPrEx>
        <w:trPr>
          <w:trHeight w:val="284" w:hRule="exact"/>
          <w:jc w:val="center"/>
        </w:trPr>
        <w:tc>
          <w:tcPr>
            <w:tcW w:w="1008" w:type="dxa"/>
            <w:vMerge w:val="restart"/>
            <w:tcBorders>
              <w:top w:val="nil"/>
              <w:left w:val="single" w:color="auto" w:sz="4" w:space="0"/>
              <w:bottom w:val="single" w:color="auto" w:sz="4" w:space="0"/>
              <w:right w:val="single" w:color="auto" w:sz="4" w:space="0"/>
            </w:tcBorders>
            <w:shd w:val="clear" w:color="auto" w:fill="FFFFFF"/>
            <w:noWrap w:val="0"/>
            <w:vAlign w:val="center"/>
          </w:tcPr>
          <w:p>
            <w:pPr>
              <w:spacing w:line="240" w:lineRule="exact"/>
              <w:jc w:val="center"/>
              <w:rPr>
                <w:color w:val="000000"/>
                <w:kern w:val="0"/>
                <w:sz w:val="18"/>
                <w:szCs w:val="18"/>
              </w:rPr>
            </w:pPr>
            <w:r>
              <w:rPr>
                <w:color w:val="000000"/>
                <w:kern w:val="0"/>
                <w:sz w:val="18"/>
                <w:szCs w:val="18"/>
              </w:rPr>
              <w:t>B</w:t>
            </w:r>
            <w:r>
              <w:rPr>
                <w:rFonts w:hint="eastAsia"/>
                <w:color w:val="000000"/>
                <w:kern w:val="0"/>
                <w:sz w:val="18"/>
                <w:szCs w:val="18"/>
              </w:rPr>
              <w:t>货物类</w:t>
            </w:r>
          </w:p>
        </w:tc>
        <w:tc>
          <w:tcPr>
            <w:tcW w:w="1545" w:type="dxa"/>
            <w:vMerge w:val="restart"/>
            <w:tcBorders>
              <w:top w:val="nil"/>
              <w:left w:val="nil"/>
              <w:bottom w:val="single" w:color="auto" w:sz="4" w:space="0"/>
              <w:right w:val="single" w:color="auto" w:sz="4" w:space="0"/>
            </w:tcBorders>
            <w:shd w:val="clear" w:color="auto" w:fill="FFFFFF"/>
            <w:noWrap w:val="0"/>
            <w:vAlign w:val="center"/>
          </w:tcPr>
          <w:p>
            <w:pPr>
              <w:spacing w:line="240" w:lineRule="exact"/>
              <w:jc w:val="left"/>
              <w:rPr>
                <w:color w:val="000000"/>
                <w:kern w:val="0"/>
                <w:sz w:val="18"/>
                <w:szCs w:val="18"/>
              </w:rPr>
            </w:pPr>
            <w:r>
              <w:rPr>
                <w:color w:val="000000"/>
                <w:kern w:val="0"/>
                <w:sz w:val="18"/>
                <w:szCs w:val="18"/>
              </w:rPr>
              <w:t>B01</w:t>
            </w:r>
            <w:r>
              <w:rPr>
                <w:rFonts w:hint="eastAsia"/>
                <w:color w:val="000000"/>
                <w:kern w:val="0"/>
                <w:sz w:val="18"/>
                <w:szCs w:val="18"/>
              </w:rPr>
              <w:t>机械、设备类</w:t>
            </w:r>
          </w:p>
        </w:tc>
        <w:tc>
          <w:tcPr>
            <w:tcW w:w="1680" w:type="dxa"/>
            <w:vMerge w:val="restart"/>
            <w:tcBorders>
              <w:top w:val="nil"/>
              <w:left w:val="nil"/>
              <w:bottom w:val="single" w:color="auto" w:sz="4" w:space="0"/>
              <w:right w:val="single" w:color="auto" w:sz="4" w:space="0"/>
            </w:tcBorders>
            <w:shd w:val="clear" w:color="auto" w:fill="FFFFFF"/>
            <w:noWrap w:val="0"/>
            <w:vAlign w:val="center"/>
          </w:tcPr>
          <w:p>
            <w:pPr>
              <w:spacing w:line="240" w:lineRule="exact"/>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B014002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入侵探测与防盗报警设备</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B014003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安防出入口目标识别与控制设备</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B014004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安防实体防护设备</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B014005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防爆安全检查设备</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B014006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移动目标反劫防盗设备</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B0141</w:t>
            </w:r>
            <w:r>
              <w:rPr>
                <w:rFonts w:hint="eastAsia"/>
                <w:color w:val="000000"/>
                <w:kern w:val="0"/>
                <w:sz w:val="18"/>
                <w:szCs w:val="18"/>
              </w:rPr>
              <w:t>其他专用机械</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B014114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道路交通安全设备</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B014116 </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风机与压缩机</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B014117</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制冷与采暖空调设备</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B014119</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泵与阀门</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B014120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消防设备</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B02 </w:t>
            </w:r>
            <w:r>
              <w:rPr>
                <w:rFonts w:hint="eastAsia"/>
                <w:color w:val="000000"/>
                <w:kern w:val="0"/>
                <w:sz w:val="18"/>
                <w:szCs w:val="18"/>
              </w:rPr>
              <w:t>医疗器械</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B0201</w:t>
            </w:r>
            <w:r>
              <w:rPr>
                <w:rFonts w:hint="eastAsia"/>
                <w:color w:val="000000"/>
                <w:kern w:val="0"/>
                <w:sz w:val="18"/>
                <w:szCs w:val="18"/>
              </w:rPr>
              <w:t>医疗器械</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B020130</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医院网络设备及软件</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B020132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医疗垃圾处理系统</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B03</w:t>
            </w:r>
            <w:r>
              <w:rPr>
                <w:rFonts w:hint="eastAsia"/>
                <w:color w:val="000000"/>
                <w:kern w:val="0"/>
                <w:sz w:val="18"/>
                <w:szCs w:val="18"/>
              </w:rPr>
              <w:t>金属材料</w:t>
            </w: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B0301</w:t>
            </w:r>
            <w:r>
              <w:rPr>
                <w:rFonts w:hint="eastAsia"/>
                <w:color w:val="000000"/>
                <w:kern w:val="0"/>
                <w:sz w:val="18"/>
                <w:szCs w:val="18"/>
              </w:rPr>
              <w:t>黑色金属</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B030102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黑色金属产品</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B0302</w:t>
            </w:r>
            <w:r>
              <w:rPr>
                <w:rFonts w:hint="eastAsia"/>
                <w:color w:val="000000"/>
                <w:kern w:val="0"/>
                <w:sz w:val="18"/>
                <w:szCs w:val="18"/>
              </w:rPr>
              <w:t>有色金属</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B030203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有色金属制品</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B0303</w:t>
            </w:r>
            <w:r>
              <w:rPr>
                <w:rFonts w:hint="eastAsia"/>
                <w:color w:val="000000"/>
                <w:kern w:val="0"/>
                <w:sz w:val="18"/>
                <w:szCs w:val="18"/>
              </w:rPr>
              <w:t>合金</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B030303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合金产品</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B04</w:t>
            </w:r>
            <w:r>
              <w:rPr>
                <w:rFonts w:hint="eastAsia"/>
                <w:color w:val="000000"/>
                <w:kern w:val="0"/>
                <w:sz w:val="18"/>
                <w:szCs w:val="18"/>
              </w:rPr>
              <w:t>石油及其制品</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B0403</w:t>
            </w:r>
            <w:r>
              <w:rPr>
                <w:rFonts w:hint="eastAsia"/>
                <w:color w:val="000000"/>
                <w:kern w:val="0"/>
                <w:sz w:val="18"/>
                <w:szCs w:val="18"/>
              </w:rPr>
              <w:t>石油制品</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B040301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汽油、煤油、柴油和润滑油</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B040302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沥青焦、石油焦</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B040304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石蜡</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B040305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沥青混凝土</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B06</w:t>
            </w:r>
            <w:r>
              <w:rPr>
                <w:rFonts w:hint="eastAsia"/>
                <w:color w:val="000000"/>
                <w:kern w:val="0"/>
                <w:sz w:val="18"/>
                <w:szCs w:val="18"/>
              </w:rPr>
              <w:t>化工材料及其制品</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B0603</w:t>
            </w:r>
            <w:r>
              <w:rPr>
                <w:rFonts w:hint="eastAsia"/>
                <w:color w:val="000000"/>
                <w:kern w:val="0"/>
                <w:sz w:val="18"/>
                <w:szCs w:val="18"/>
              </w:rPr>
              <w:t>合成材料及专用化工品</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B060301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防护、防腐与涂料</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B060303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橡胶、塑料及其制品</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B060304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玻璃及其制品</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B060305</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颜料、染料</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w:t>
            </w:r>
            <w:r>
              <w:rPr>
                <w:rFonts w:hint="eastAsia"/>
                <w:color w:val="000000"/>
                <w:kern w:val="0"/>
                <w:sz w:val="18"/>
                <w:szCs w:val="18"/>
              </w:rPr>
              <w:t>建筑材料</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B0701</w:t>
            </w:r>
            <w:r>
              <w:rPr>
                <w:rFonts w:hint="eastAsia"/>
                <w:color w:val="000000"/>
                <w:kern w:val="0"/>
                <w:sz w:val="18"/>
                <w:szCs w:val="18"/>
              </w:rPr>
              <w:t>水泥及水泥制品</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B070101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水泥与水泥熟料</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B070102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水泥制品</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B070103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商品混凝土</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B0702</w:t>
            </w:r>
            <w:r>
              <w:rPr>
                <w:rFonts w:hint="eastAsia"/>
                <w:color w:val="000000"/>
                <w:kern w:val="0"/>
                <w:sz w:val="18"/>
                <w:szCs w:val="18"/>
              </w:rPr>
              <w:t>木材</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B070201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原木、板方材</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B070202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复合板材</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B0703</w:t>
            </w:r>
            <w:r>
              <w:rPr>
                <w:rFonts w:hint="eastAsia"/>
                <w:color w:val="000000"/>
                <w:kern w:val="0"/>
                <w:sz w:val="18"/>
                <w:szCs w:val="18"/>
              </w:rPr>
              <w:t>石材</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B070301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人造石材</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B070302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天然石材</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B0704</w:t>
            </w:r>
            <w:r>
              <w:rPr>
                <w:rFonts w:hint="eastAsia"/>
                <w:color w:val="000000"/>
                <w:kern w:val="0"/>
                <w:sz w:val="18"/>
                <w:szCs w:val="18"/>
              </w:rPr>
              <w:t>陶瓷制品</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B070401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建筑陶瓷及制品</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B070402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卫生陶瓷及制品</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B0705</w:t>
            </w:r>
            <w:r>
              <w:rPr>
                <w:rFonts w:hint="eastAsia"/>
                <w:color w:val="000000"/>
                <w:kern w:val="0"/>
                <w:sz w:val="18"/>
                <w:szCs w:val="18"/>
              </w:rPr>
              <w:t>其他建筑材料</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B070501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隔热保温材料</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B070502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防水材料、密封材料</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B070503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电工绝缘材料</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B070504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特种建筑材料</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B0706</w:t>
            </w:r>
            <w:r>
              <w:rPr>
                <w:rFonts w:hint="eastAsia"/>
                <w:color w:val="000000"/>
                <w:kern w:val="0"/>
                <w:sz w:val="18"/>
                <w:szCs w:val="18"/>
              </w:rPr>
              <w:t>新型材料</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B070601</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纳米技术与纳米材料</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B070602</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其他新型建筑材料</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B070603</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利废建筑材料</w:t>
            </w:r>
          </w:p>
        </w:tc>
      </w:tr>
      <w:tr>
        <w:tblPrEx>
          <w:tblCellMar>
            <w:top w:w="0" w:type="dxa"/>
            <w:left w:w="0" w:type="dxa"/>
            <w:bottom w:w="0" w:type="dxa"/>
            <w:right w:w="0" w:type="dxa"/>
          </w:tblCellMar>
        </w:tblPrEx>
        <w:trPr>
          <w:trHeight w:val="284" w:hRule="exact"/>
          <w:jc w:val="center"/>
        </w:trPr>
        <w:tc>
          <w:tcPr>
            <w:tcW w:w="1008" w:type="dxa"/>
            <w:vMerge w:val="restart"/>
            <w:tcBorders>
              <w:top w:val="nil"/>
              <w:left w:val="single" w:color="auto" w:sz="4" w:space="0"/>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C</w:t>
            </w:r>
            <w:r>
              <w:rPr>
                <w:rFonts w:hint="eastAsia"/>
                <w:color w:val="000000"/>
                <w:kern w:val="0"/>
                <w:sz w:val="18"/>
                <w:szCs w:val="18"/>
              </w:rPr>
              <w:t>服务类</w:t>
            </w:r>
          </w:p>
        </w:tc>
        <w:tc>
          <w:tcPr>
            <w:tcW w:w="1545"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C02</w:t>
            </w:r>
            <w:r>
              <w:rPr>
                <w:rFonts w:hint="eastAsia"/>
                <w:color w:val="000000"/>
                <w:kern w:val="0"/>
                <w:sz w:val="18"/>
                <w:szCs w:val="18"/>
              </w:rPr>
              <w:t>公共咨询</w:t>
            </w:r>
          </w:p>
        </w:tc>
        <w:tc>
          <w:tcPr>
            <w:tcW w:w="1680" w:type="dxa"/>
            <w:vMerge w:val="restart"/>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C0201</w:t>
            </w:r>
            <w:r>
              <w:rPr>
                <w:rFonts w:hint="eastAsia"/>
                <w:color w:val="000000"/>
                <w:kern w:val="0"/>
                <w:sz w:val="18"/>
                <w:szCs w:val="18"/>
              </w:rPr>
              <w:t>咨询服务</w:t>
            </w: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C020114</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招标投标咨询</w:t>
            </w:r>
          </w:p>
        </w:tc>
      </w:tr>
      <w:tr>
        <w:tblPrEx>
          <w:tblCellMar>
            <w:top w:w="0" w:type="dxa"/>
            <w:left w:w="0" w:type="dxa"/>
            <w:bottom w:w="0" w:type="dxa"/>
            <w:right w:w="0" w:type="dxa"/>
          </w:tblCellMar>
        </w:tblPrEx>
        <w:trPr>
          <w:trHeight w:val="284" w:hRule="exact"/>
          <w:jc w:val="center"/>
        </w:trPr>
        <w:tc>
          <w:tcPr>
            <w:tcW w:w="1008"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545"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680" w:type="dxa"/>
            <w:vMerge w:val="continue"/>
            <w:tcBorders>
              <w:top w:val="nil"/>
              <w:left w:val="nil"/>
              <w:bottom w:val="single" w:color="auto" w:sz="4" w:space="0"/>
              <w:right w:val="single" w:color="auto" w:sz="4" w:space="0"/>
            </w:tcBorders>
            <w:shd w:val="clear" w:color="auto" w:fill="auto"/>
            <w:noWrap w:val="0"/>
            <w:vAlign w:val="center"/>
          </w:tcPr>
          <w:p>
            <w:pPr>
              <w:widowControl/>
              <w:jc w:val="left"/>
              <w:rPr>
                <w:color w:val="000000"/>
                <w:kern w:val="0"/>
                <w:sz w:val="18"/>
                <w:szCs w:val="18"/>
              </w:rPr>
            </w:pPr>
          </w:p>
        </w:tc>
        <w:tc>
          <w:tcPr>
            <w:tcW w:w="1320"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color w:val="000000"/>
                <w:kern w:val="0"/>
                <w:sz w:val="18"/>
                <w:szCs w:val="18"/>
              </w:rPr>
              <w:t>C020116</w:t>
            </w:r>
          </w:p>
        </w:tc>
        <w:tc>
          <w:tcPr>
            <w:tcW w:w="3107" w:type="dxa"/>
            <w:tcBorders>
              <w:top w:val="nil"/>
              <w:left w:val="nil"/>
              <w:bottom w:val="single" w:color="auto" w:sz="4" w:space="0"/>
              <w:right w:val="single" w:color="auto" w:sz="4" w:space="0"/>
            </w:tcBorders>
            <w:shd w:val="clear" w:color="auto" w:fill="FFFFFF"/>
            <w:noWrap w:val="0"/>
            <w:tcMar>
              <w:top w:w="0" w:type="dxa"/>
              <w:left w:w="108" w:type="dxa"/>
              <w:bottom w:w="0" w:type="dxa"/>
              <w:right w:w="108" w:type="dxa"/>
            </w:tcMar>
            <w:vAlign w:val="center"/>
          </w:tcPr>
          <w:p>
            <w:pPr>
              <w:spacing w:line="240" w:lineRule="exact"/>
              <w:jc w:val="left"/>
              <w:rPr>
                <w:color w:val="000000"/>
                <w:kern w:val="0"/>
                <w:sz w:val="18"/>
                <w:szCs w:val="18"/>
              </w:rPr>
            </w:pPr>
            <w:r>
              <w:rPr>
                <w:rFonts w:hint="eastAsia"/>
                <w:color w:val="000000"/>
                <w:kern w:val="0"/>
                <w:sz w:val="18"/>
                <w:szCs w:val="18"/>
              </w:rPr>
              <w:t>拆迁评估</w:t>
            </w:r>
            <w:r>
              <w:rPr>
                <w:color w:val="000000"/>
                <w:kern w:val="0"/>
                <w:sz w:val="18"/>
                <w:szCs w:val="18"/>
              </w:rPr>
              <w:t> </w:t>
            </w:r>
          </w:p>
        </w:tc>
      </w:tr>
    </w:tbl>
    <w:p>
      <w:pPr>
        <w:shd w:val="clear" w:color="auto" w:fill="FFFFFF"/>
        <w:jc w:val="left"/>
        <w:rPr>
          <w:color w:val="000000"/>
          <w:kern w:val="0"/>
          <w:sz w:val="18"/>
          <w:szCs w:val="18"/>
        </w:rPr>
      </w:pPr>
      <w:r>
        <w:rPr>
          <w:color w:val="000000"/>
          <w:kern w:val="0"/>
          <w:sz w:val="18"/>
          <w:szCs w:val="18"/>
        </w:rPr>
        <w:t>  </w:t>
      </w:r>
    </w:p>
    <w:p>
      <w:pPr>
        <w:shd w:val="clear" w:color="auto" w:fill="FFFFFF"/>
        <w:spacing w:line="440" w:lineRule="atLeast"/>
        <w:jc w:val="left"/>
        <w:rPr>
          <w:color w:val="000000"/>
          <w:kern w:val="0"/>
          <w:sz w:val="18"/>
          <w:szCs w:val="18"/>
        </w:rPr>
      </w:pPr>
      <w:r>
        <w:rPr>
          <w:rFonts w:hint="eastAsia"/>
          <w:color w:val="000000"/>
          <w:kern w:val="0"/>
          <w:sz w:val="18"/>
          <w:szCs w:val="18"/>
        </w:rPr>
        <w:t>注：省建设行政主管部门可以根据实际情况，适时对评标专家库的专业类别设置进行调整。</w:t>
      </w:r>
    </w:p>
    <w:p>
      <w:pPr>
        <w:shd w:val="clear" w:color="auto" w:fill="FFFFFF"/>
        <w:spacing w:line="440" w:lineRule="atLeast"/>
        <w:jc w:val="left"/>
        <w:rPr>
          <w:rFonts w:ascii="Times New Roman" w:eastAsia="黑体"/>
          <w:color w:val="000000"/>
          <w:kern w:val="0"/>
          <w:szCs w:val="21"/>
        </w:rPr>
      </w:pPr>
      <w:r>
        <w:rPr>
          <w:color w:val="000000"/>
          <w:kern w:val="0"/>
          <w:szCs w:val="21"/>
        </w:rPr>
        <w:br w:type="column"/>
      </w:r>
      <w:r>
        <w:rPr>
          <w:rFonts w:hint="eastAsia" w:ascii="Times New Roman" w:eastAsia="黑体"/>
          <w:color w:val="000000"/>
          <w:kern w:val="0"/>
          <w:sz w:val="28"/>
          <w:szCs w:val="28"/>
        </w:rPr>
        <w:t>附件2:</w:t>
      </w:r>
    </w:p>
    <w:p>
      <w:pPr>
        <w:shd w:val="clear" w:color="auto" w:fill="FFFFFF"/>
        <w:jc w:val="center"/>
        <w:rPr>
          <w:rFonts w:hint="eastAsia" w:ascii="Times New Roman" w:eastAsia="方正小标宋简体"/>
          <w:color w:val="000000"/>
          <w:kern w:val="0"/>
          <w:szCs w:val="21"/>
        </w:rPr>
      </w:pPr>
      <w:r>
        <w:rPr>
          <w:rFonts w:hint="eastAsia" w:ascii="Times New Roman" w:eastAsia="方正小标宋简体"/>
          <w:bCs/>
          <w:color w:val="000000"/>
          <w:kern w:val="0"/>
          <w:sz w:val="36"/>
          <w:szCs w:val="36"/>
        </w:rPr>
        <w:t>评标专家资格条件</w:t>
      </w:r>
    </w:p>
    <w:p>
      <w:pPr>
        <w:shd w:val="clear" w:color="auto" w:fill="FFFFFF"/>
        <w:spacing w:line="460" w:lineRule="exact"/>
        <w:rPr>
          <w:rFonts w:hint="eastAsia" w:eastAsia="方正仿宋_GBK"/>
          <w:color w:val="000000"/>
          <w:kern w:val="0"/>
          <w:sz w:val="24"/>
        </w:rPr>
      </w:pPr>
      <w:r>
        <w:rPr>
          <w:color w:val="000000"/>
          <w:kern w:val="0"/>
          <w:sz w:val="24"/>
        </w:rPr>
        <w:t> </w:t>
      </w:r>
    </w:p>
    <w:p>
      <w:pPr>
        <w:shd w:val="clear" w:color="auto" w:fill="FFFFFF"/>
        <w:spacing w:line="460" w:lineRule="exact"/>
        <w:ind w:firstLine="472" w:firstLineChars="200"/>
        <w:rPr>
          <w:rFonts w:ascii="Times New Roman" w:eastAsia="黑体"/>
          <w:color w:val="000000"/>
          <w:kern w:val="0"/>
          <w:sz w:val="24"/>
        </w:rPr>
      </w:pPr>
      <w:r>
        <w:rPr>
          <w:rFonts w:eastAsia="黑体"/>
          <w:bCs/>
          <w:color w:val="000000"/>
          <w:kern w:val="0"/>
          <w:sz w:val="24"/>
        </w:rPr>
        <w:t> </w:t>
      </w:r>
      <w:r>
        <w:rPr>
          <w:rFonts w:hint="eastAsia" w:ascii="Times New Roman" w:eastAsia="黑体"/>
          <w:bCs/>
          <w:color w:val="000000"/>
          <w:kern w:val="0"/>
          <w:sz w:val="24"/>
        </w:rPr>
        <w:t>一、普通评标专家条件</w:t>
      </w:r>
    </w:p>
    <w:p>
      <w:pPr>
        <w:shd w:val="clear" w:color="auto" w:fill="FFFFFF"/>
        <w:spacing w:line="460" w:lineRule="exact"/>
        <w:ind w:firstLine="472" w:firstLineChars="200"/>
        <w:rPr>
          <w:rFonts w:hint="eastAsia" w:eastAsia="方正仿宋_GBK"/>
          <w:color w:val="000000"/>
          <w:kern w:val="0"/>
          <w:sz w:val="24"/>
        </w:rPr>
      </w:pPr>
      <w:r>
        <w:rPr>
          <w:rFonts w:hint="eastAsia" w:eastAsia="方正仿宋_GBK"/>
          <w:color w:val="000000"/>
          <w:kern w:val="0"/>
          <w:sz w:val="24"/>
        </w:rPr>
        <w:t>（一）熟悉国家、省以及当地政府制定的有关建设工程招标投标的法律、法规、规章和标准规范；</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（二）能够熟练操作计算机；</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（三）能够认真、公正、诚实、廉洁地履行职责；</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（四）职业道德良好，遵纪守法，无不良行为记录；</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（五）身体健康，能够胜任评标工作，年龄一般在</w:t>
      </w:r>
      <w:r>
        <w:rPr>
          <w:rFonts w:eastAsia="方正仿宋_GBK"/>
          <w:color w:val="000000"/>
          <w:kern w:val="0"/>
          <w:sz w:val="24"/>
        </w:rPr>
        <w:t>35</w:t>
      </w:r>
      <w:r>
        <w:rPr>
          <w:rFonts w:hint="eastAsia" w:eastAsia="方正仿宋_GBK"/>
          <w:color w:val="000000"/>
          <w:kern w:val="0"/>
          <w:sz w:val="24"/>
        </w:rPr>
        <w:t>周岁以上</w:t>
      </w:r>
      <w:r>
        <w:rPr>
          <w:rFonts w:eastAsia="方正仿宋_GBK"/>
          <w:color w:val="000000"/>
          <w:kern w:val="0"/>
          <w:sz w:val="24"/>
        </w:rPr>
        <w:t>65</w:t>
      </w:r>
      <w:r>
        <w:rPr>
          <w:rFonts w:hint="eastAsia" w:eastAsia="方正仿宋_GBK"/>
          <w:color w:val="000000"/>
          <w:kern w:val="0"/>
          <w:sz w:val="24"/>
        </w:rPr>
        <w:t>周岁以下；</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（六）从事相关领域工作满</w:t>
      </w:r>
      <w:r>
        <w:rPr>
          <w:rFonts w:eastAsia="方正仿宋_GBK"/>
          <w:color w:val="000000"/>
          <w:kern w:val="0"/>
          <w:sz w:val="24"/>
        </w:rPr>
        <w:t>8</w:t>
      </w:r>
      <w:r>
        <w:rPr>
          <w:rFonts w:hint="eastAsia" w:eastAsia="方正仿宋_GBK"/>
          <w:color w:val="000000"/>
          <w:kern w:val="0"/>
          <w:sz w:val="24"/>
        </w:rPr>
        <w:t>年，担任过</w:t>
      </w:r>
      <w:r>
        <w:rPr>
          <w:rFonts w:eastAsia="方正仿宋_GBK"/>
          <w:color w:val="000000"/>
          <w:kern w:val="0"/>
          <w:sz w:val="24"/>
        </w:rPr>
        <w:t>3</w:t>
      </w:r>
      <w:r>
        <w:rPr>
          <w:rFonts w:hint="eastAsia" w:eastAsia="方正仿宋_GBK"/>
          <w:color w:val="000000"/>
          <w:kern w:val="0"/>
          <w:sz w:val="24"/>
        </w:rPr>
        <w:t>项及以上工程建设或者施工技术、经济负责人或者总监理工程师，或者在技术创新、新技术推广应用以及解决工程建设技术难题方面成效显著。具有工程类高级职称；或者取得工程类中级职称满</w:t>
      </w:r>
      <w:r>
        <w:rPr>
          <w:rFonts w:eastAsia="方正仿宋_GBK"/>
          <w:color w:val="000000"/>
          <w:kern w:val="0"/>
          <w:sz w:val="24"/>
        </w:rPr>
        <w:t>5</w:t>
      </w:r>
      <w:r>
        <w:rPr>
          <w:rFonts w:hint="eastAsia" w:eastAsia="方正仿宋_GBK"/>
          <w:color w:val="000000"/>
          <w:kern w:val="0"/>
          <w:sz w:val="24"/>
        </w:rPr>
        <w:t>年并具有国家注册的建造师、城市规划师、监理工程师、结构工程师、造价工程师、设备工程师等执业资格；或者从事相关领域工作满</w:t>
      </w:r>
      <w:r>
        <w:rPr>
          <w:rFonts w:eastAsia="方正仿宋_GBK"/>
          <w:color w:val="000000"/>
          <w:kern w:val="0"/>
          <w:sz w:val="24"/>
        </w:rPr>
        <w:t>15</w:t>
      </w:r>
      <w:r>
        <w:rPr>
          <w:rFonts w:hint="eastAsia" w:eastAsia="方正仿宋_GBK"/>
          <w:color w:val="000000"/>
          <w:kern w:val="0"/>
          <w:sz w:val="24"/>
        </w:rPr>
        <w:t>年，取得工程类中级职称满８年。</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申报勘察设计专业应具备以下条件：从事勘察设计工作满</w:t>
      </w:r>
      <w:r>
        <w:rPr>
          <w:rFonts w:eastAsia="方正仿宋_GBK"/>
          <w:color w:val="000000"/>
          <w:kern w:val="0"/>
          <w:sz w:val="24"/>
        </w:rPr>
        <w:t>10</w:t>
      </w:r>
      <w:r>
        <w:rPr>
          <w:rFonts w:hint="eastAsia" w:eastAsia="方正仿宋_GBK"/>
          <w:color w:val="000000"/>
          <w:kern w:val="0"/>
          <w:sz w:val="24"/>
        </w:rPr>
        <w:t>年，作为项目负责人或者专业技术负责人完成的中型及以上工程项目不少于</w:t>
      </w:r>
      <w:r>
        <w:rPr>
          <w:rFonts w:eastAsia="方正仿宋_GBK"/>
          <w:color w:val="000000"/>
          <w:kern w:val="0"/>
          <w:sz w:val="24"/>
        </w:rPr>
        <w:t>3</w:t>
      </w:r>
      <w:r>
        <w:rPr>
          <w:rFonts w:hint="eastAsia" w:eastAsia="方正仿宋_GBK"/>
          <w:color w:val="000000"/>
          <w:kern w:val="0"/>
          <w:sz w:val="24"/>
        </w:rPr>
        <w:t>项。已实行注册执业制度的专业应具有相应专业的注册执业资格（其中建筑、结构专业应分别具有一级注册建筑师、一级注册结构工程师执业资格），并具有工程类高级职称或者取得工程类中级职称满</w:t>
      </w:r>
      <w:r>
        <w:rPr>
          <w:rFonts w:eastAsia="方正仿宋_GBK"/>
          <w:color w:val="000000"/>
          <w:kern w:val="0"/>
          <w:sz w:val="24"/>
        </w:rPr>
        <w:t>5</w:t>
      </w:r>
      <w:r>
        <w:rPr>
          <w:rFonts w:hint="eastAsia" w:eastAsia="方正仿宋_GBK"/>
          <w:color w:val="000000"/>
          <w:kern w:val="0"/>
          <w:sz w:val="24"/>
        </w:rPr>
        <w:t>年，其他勘察设计专业应具有工程类高级职称。</w:t>
      </w:r>
    </w:p>
    <w:p>
      <w:pPr>
        <w:shd w:val="clear" w:color="auto" w:fill="FFFFFF"/>
        <w:spacing w:line="460" w:lineRule="exact"/>
        <w:ind w:firstLine="472" w:firstLineChars="200"/>
        <w:rPr>
          <w:rFonts w:eastAsia="黑体"/>
          <w:bCs/>
          <w:color w:val="000000"/>
          <w:kern w:val="0"/>
          <w:sz w:val="24"/>
        </w:rPr>
      </w:pPr>
      <w:r>
        <w:rPr>
          <w:rFonts w:hint="eastAsia" w:eastAsia="黑体"/>
          <w:bCs/>
          <w:color w:val="000000"/>
          <w:kern w:val="0"/>
          <w:sz w:val="24"/>
        </w:rPr>
        <w:t>二、资深评标专家条件</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资深评标专家除应满足普通评标专家（一）至（四）条件外，还应当具备以下条件：</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（一）一般应有</w:t>
      </w:r>
      <w:r>
        <w:rPr>
          <w:rFonts w:eastAsia="方正仿宋_GBK"/>
          <w:color w:val="000000"/>
          <w:kern w:val="0"/>
          <w:sz w:val="24"/>
        </w:rPr>
        <w:t>8</w:t>
      </w:r>
      <w:r>
        <w:rPr>
          <w:rFonts w:hint="eastAsia" w:eastAsia="方正仿宋_GBK"/>
          <w:color w:val="000000"/>
          <w:kern w:val="0"/>
          <w:sz w:val="24"/>
        </w:rPr>
        <w:t>年以上评标专家工作经历且考核优良（特殊情况经批准可以适当放宽）；</w:t>
      </w:r>
    </w:p>
    <w:p>
      <w:pPr>
        <w:shd w:val="clear" w:color="auto" w:fill="FFFFFF"/>
        <w:spacing w:line="460" w:lineRule="exact"/>
        <w:ind w:firstLine="472" w:firstLineChars="200"/>
        <w:rPr>
          <w:rFonts w:eastAsia="方正仿宋_GBK"/>
          <w:color w:val="000000"/>
          <w:kern w:val="0"/>
          <w:sz w:val="24"/>
        </w:rPr>
      </w:pPr>
      <w:r>
        <w:rPr>
          <w:rFonts w:eastAsia="方正仿宋_GBK"/>
          <w:color w:val="000000"/>
          <w:kern w:val="0"/>
          <w:sz w:val="24"/>
        </w:rPr>
        <w:t>(</w:t>
      </w:r>
      <w:r>
        <w:rPr>
          <w:rFonts w:hint="eastAsia" w:eastAsia="方正仿宋_GBK"/>
          <w:color w:val="000000"/>
          <w:kern w:val="0"/>
          <w:sz w:val="24"/>
        </w:rPr>
        <w:t>二</w:t>
      </w:r>
      <w:r>
        <w:rPr>
          <w:rFonts w:eastAsia="方正仿宋_GBK"/>
          <w:color w:val="000000"/>
          <w:kern w:val="0"/>
          <w:sz w:val="24"/>
        </w:rPr>
        <w:t>)</w:t>
      </w:r>
      <w:r>
        <w:rPr>
          <w:rFonts w:hint="eastAsia" w:eastAsia="方正仿宋_GBK"/>
          <w:color w:val="000000"/>
          <w:kern w:val="0"/>
          <w:sz w:val="24"/>
        </w:rPr>
        <w:t>身体健康，能够胜任评标工作，年龄在</w:t>
      </w:r>
      <w:r>
        <w:rPr>
          <w:rFonts w:eastAsia="方正仿宋_GBK"/>
          <w:color w:val="000000"/>
          <w:kern w:val="0"/>
          <w:sz w:val="24"/>
        </w:rPr>
        <w:t>70</w:t>
      </w:r>
      <w:r>
        <w:rPr>
          <w:rFonts w:hint="eastAsia" w:eastAsia="方正仿宋_GBK"/>
          <w:color w:val="000000"/>
          <w:kern w:val="0"/>
          <w:sz w:val="24"/>
        </w:rPr>
        <w:t>周岁以下（全国工程勘察设计大师的年龄不受限制）；凡评标专家年龄超过</w:t>
      </w:r>
      <w:r>
        <w:rPr>
          <w:rFonts w:eastAsia="方正仿宋_GBK"/>
          <w:color w:val="000000"/>
          <w:kern w:val="0"/>
          <w:sz w:val="24"/>
        </w:rPr>
        <w:t>65</w:t>
      </w:r>
      <w:r>
        <w:rPr>
          <w:rFonts w:hint="eastAsia" w:eastAsia="方正仿宋_GBK"/>
          <w:color w:val="000000"/>
          <w:kern w:val="0"/>
          <w:sz w:val="24"/>
        </w:rPr>
        <w:t>周岁的评标专家，本人应当向属地招投标监管机构提交书面申请材料，对本人的身体状况、专业能力等方面进行说明，经属地招投标监管机构初审合格后予以推荐同意后申报</w:t>
      </w:r>
      <w:r>
        <w:rPr>
          <w:rFonts w:eastAsia="方正仿宋_GBK"/>
          <w:color w:val="000000"/>
          <w:kern w:val="0"/>
          <w:sz w:val="24"/>
        </w:rPr>
        <w:t xml:space="preserve">                                       </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三）具有工程类正高级职称，或者工程类高级职称满五年并取得国家注册的建造师、城市规划师、监理工程师、结构工程师、造价工程师、设备工程师等执业资格，有大型工程或者技术特别复杂工程建设及管理的经历，担任过</w:t>
      </w:r>
      <w:r>
        <w:rPr>
          <w:rFonts w:eastAsia="方正仿宋_GBK"/>
          <w:color w:val="000000"/>
          <w:kern w:val="0"/>
          <w:sz w:val="24"/>
        </w:rPr>
        <w:t>2</w:t>
      </w:r>
      <w:r>
        <w:rPr>
          <w:rFonts w:hint="eastAsia" w:eastAsia="方正仿宋_GBK"/>
          <w:color w:val="000000"/>
          <w:kern w:val="0"/>
          <w:sz w:val="24"/>
        </w:rPr>
        <w:t>项及以上国家、省重点工程建设或者施工技术、经济负责人或者总监理工程师，或者在技术创新、新技术推广应用以及解决重大工程建设技术难题方面成效显著，或者获省部级科技进步三等奖以上奖项的前</w:t>
      </w:r>
      <w:r>
        <w:rPr>
          <w:rFonts w:eastAsia="方正仿宋_GBK"/>
          <w:color w:val="000000"/>
          <w:kern w:val="0"/>
          <w:sz w:val="24"/>
        </w:rPr>
        <w:t>5</w:t>
      </w:r>
      <w:r>
        <w:rPr>
          <w:rFonts w:hint="eastAsia" w:eastAsia="方正仿宋_GBK"/>
          <w:color w:val="000000"/>
          <w:kern w:val="0"/>
          <w:sz w:val="24"/>
        </w:rPr>
        <w:t>位人员。</w:t>
      </w:r>
    </w:p>
    <w:p>
      <w:pPr>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申报勘察设计专业应具备以下条件：</w:t>
      </w:r>
    </w:p>
    <w:p>
      <w:pPr>
        <w:shd w:val="clear" w:color="auto" w:fill="FFFFFF"/>
        <w:spacing w:line="460" w:lineRule="exact"/>
        <w:ind w:firstLine="472" w:firstLineChars="200"/>
        <w:rPr>
          <w:rFonts w:eastAsia="方正仿宋_GBK"/>
          <w:color w:val="000000"/>
          <w:kern w:val="0"/>
          <w:sz w:val="24"/>
        </w:rPr>
      </w:pPr>
      <w:r>
        <w:rPr>
          <w:rFonts w:eastAsia="方正仿宋_GBK"/>
          <w:color w:val="000000"/>
          <w:kern w:val="0"/>
          <w:sz w:val="24"/>
        </w:rPr>
        <w:t>1</w:t>
      </w:r>
      <w:r>
        <w:rPr>
          <w:rFonts w:hint="eastAsia" w:eastAsia="方正仿宋_GBK"/>
          <w:color w:val="000000"/>
          <w:kern w:val="0"/>
          <w:sz w:val="24"/>
        </w:rPr>
        <w:t>、获得省级及以上勘察设计大师称号，或者具有工程类正高级职称（高校人员取得高级职称满</w:t>
      </w:r>
      <w:r>
        <w:rPr>
          <w:rFonts w:eastAsia="方正仿宋_GBK"/>
          <w:color w:val="000000"/>
          <w:kern w:val="0"/>
          <w:sz w:val="24"/>
        </w:rPr>
        <w:t>5</w:t>
      </w:r>
      <w:r>
        <w:rPr>
          <w:rFonts w:hint="eastAsia" w:eastAsia="方正仿宋_GBK"/>
          <w:color w:val="000000"/>
          <w:kern w:val="0"/>
          <w:sz w:val="24"/>
        </w:rPr>
        <w:t>年），已实行注册执业制度的专业应具有相应专业的注册执业资格，其中建筑、结构专业应分别具有一级注册建筑师、一级注册结构工程师执业资格。</w:t>
      </w:r>
    </w:p>
    <w:p>
      <w:pPr>
        <w:shd w:val="clear" w:color="auto" w:fill="FFFFFF"/>
        <w:spacing w:line="460" w:lineRule="exact"/>
        <w:ind w:firstLine="472" w:firstLineChars="200"/>
        <w:rPr>
          <w:rFonts w:eastAsia="方正仿宋_GBK"/>
          <w:color w:val="000000"/>
          <w:kern w:val="0"/>
          <w:sz w:val="24"/>
        </w:rPr>
      </w:pPr>
      <w:r>
        <w:rPr>
          <w:rFonts w:eastAsia="方正仿宋_GBK"/>
          <w:color w:val="000000"/>
          <w:kern w:val="0"/>
          <w:sz w:val="24"/>
        </w:rPr>
        <w:t>2</w:t>
      </w:r>
      <w:r>
        <w:rPr>
          <w:rFonts w:hint="eastAsia" w:eastAsia="方正仿宋_GBK"/>
          <w:color w:val="000000"/>
          <w:kern w:val="0"/>
          <w:sz w:val="24"/>
        </w:rPr>
        <w:t>、自取得大学本科学历后，累计从事工程勘察设计工作（含研究生就读时间）</w:t>
      </w:r>
      <w:r>
        <w:rPr>
          <w:rFonts w:eastAsia="方正仿宋_GBK"/>
          <w:color w:val="000000"/>
          <w:kern w:val="0"/>
          <w:sz w:val="24"/>
        </w:rPr>
        <w:t>20</w:t>
      </w:r>
      <w:r>
        <w:rPr>
          <w:rFonts w:hint="eastAsia" w:eastAsia="方正仿宋_GBK"/>
          <w:color w:val="000000"/>
          <w:kern w:val="0"/>
          <w:sz w:val="24"/>
        </w:rPr>
        <w:t>年以上；</w:t>
      </w:r>
    </w:p>
    <w:p>
      <w:pPr>
        <w:shd w:val="clear" w:color="auto" w:fill="FFFFFF"/>
        <w:spacing w:line="460" w:lineRule="exact"/>
        <w:ind w:firstLine="472" w:firstLineChars="200"/>
        <w:rPr>
          <w:rFonts w:eastAsia="方正仿宋_GBK"/>
          <w:color w:val="000000"/>
          <w:spacing w:val="-2"/>
          <w:sz w:val="24"/>
        </w:rPr>
      </w:pPr>
      <w:r>
        <w:rPr>
          <w:rFonts w:eastAsia="方正仿宋_GBK"/>
          <w:color w:val="000000"/>
          <w:kern w:val="0"/>
          <w:sz w:val="24"/>
        </w:rPr>
        <w:t>3</w:t>
      </w:r>
      <w:r>
        <w:rPr>
          <w:rFonts w:hint="eastAsia" w:eastAsia="方正仿宋_GBK"/>
          <w:color w:val="000000"/>
          <w:kern w:val="0"/>
          <w:sz w:val="24"/>
        </w:rPr>
        <w:t>、在技术创新、新技术推广应用以及解决重大工程建设技术难题方面成效显著，作为项目负责人或者专业技术负责人至少获得过一项省（部）级优秀工程勘察设计二等奖以上奖项，其中建筑专业人员完成的民用建筑项目须为项目负责人。</w:t>
      </w:r>
    </w:p>
    <w:p>
      <w:pPr>
        <w:pStyle w:val="2"/>
        <w:spacing w:before="590" w:beforeLines="100" w:after="590" w:afterLines="100" w:line="240" w:lineRule="auto"/>
        <w:jc w:val="center"/>
        <w:rPr>
          <w:rFonts w:ascii="Times New Roman" w:eastAsia="方正小标宋_GBK"/>
          <w:b w:val="0"/>
          <w:sz w:val="36"/>
          <w:szCs w:val="36"/>
        </w:rPr>
      </w:pPr>
      <w:r>
        <w:rPr>
          <w:rFonts w:eastAsia="方正仿宋_GBK"/>
          <w:b w:val="0"/>
          <w:color w:val="000000"/>
          <w:spacing w:val="-2"/>
          <w:sz w:val="24"/>
        </w:rPr>
        <w:br w:type="column"/>
      </w:r>
      <w:bookmarkStart w:id="712" w:name="_Toc20726715"/>
      <w:bookmarkStart w:id="713" w:name="_Toc18315851"/>
      <w:r>
        <w:rPr>
          <w:rFonts w:hint="eastAsia" w:ascii="Times New Roman" w:eastAsia="方正小标宋_GBK"/>
          <w:b w:val="0"/>
          <w:sz w:val="36"/>
          <w:szCs w:val="36"/>
        </w:rPr>
        <w:t>江苏省住房和城乡建设厅关于明确非国有资金投资工程发包方式等有关问题的通知</w:t>
      </w:r>
      <w:bookmarkEnd w:id="712"/>
      <w:bookmarkEnd w:id="713"/>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14" w:name="_Toc20726716"/>
      <w:bookmarkStart w:id="715" w:name="_Toc18315852"/>
      <w:r>
        <w:rPr>
          <w:rFonts w:hint="eastAsia" w:ascii="Times New Roman" w:hAnsi="Times New Roman" w:eastAsia="方正楷体_GBK"/>
          <w:b w:val="0"/>
          <w:sz w:val="24"/>
          <w:szCs w:val="24"/>
        </w:rPr>
        <w:t>苏建招〔</w:t>
      </w:r>
      <w:r>
        <w:rPr>
          <w:rFonts w:ascii="Times New Roman" w:hAnsi="Times New Roman" w:eastAsia="方正楷体_GBK"/>
          <w:b w:val="0"/>
          <w:sz w:val="24"/>
          <w:szCs w:val="24"/>
        </w:rPr>
        <w:t>2015</w:t>
      </w:r>
      <w:r>
        <w:rPr>
          <w:rFonts w:hint="eastAsia" w:ascii="Times New Roman" w:hAnsi="Times New Roman" w:eastAsia="方正楷体_GBK"/>
          <w:b w:val="0"/>
          <w:sz w:val="24"/>
          <w:szCs w:val="24"/>
        </w:rPr>
        <w:t>〕</w:t>
      </w:r>
      <w:r>
        <w:rPr>
          <w:rFonts w:ascii="Times New Roman" w:hAnsi="Times New Roman" w:eastAsia="方正楷体_GBK"/>
          <w:b w:val="0"/>
          <w:sz w:val="24"/>
          <w:szCs w:val="24"/>
        </w:rPr>
        <w:t>29</w:t>
      </w:r>
      <w:r>
        <w:rPr>
          <w:rFonts w:hint="eastAsia" w:ascii="Times New Roman" w:hAnsi="Times New Roman" w:eastAsia="方正楷体_GBK"/>
          <w:b w:val="0"/>
          <w:sz w:val="24"/>
          <w:szCs w:val="24"/>
        </w:rPr>
        <w:t>号</w:t>
      </w:r>
      <w:bookmarkEnd w:id="714"/>
      <w:bookmarkEnd w:id="715"/>
    </w:p>
    <w:p>
      <w:pPr>
        <w:shd w:val="clear" w:color="auto" w:fill="FFFFFF"/>
        <w:spacing w:line="460" w:lineRule="exact"/>
        <w:rPr>
          <w:rFonts w:eastAsia="方正仿宋_GBK"/>
          <w:color w:val="000000"/>
          <w:spacing w:val="-2"/>
          <w:kern w:val="0"/>
          <w:sz w:val="24"/>
        </w:rPr>
      </w:pPr>
      <w:r>
        <w:rPr>
          <w:rFonts w:hint="eastAsia" w:eastAsia="方正仿宋_GBK"/>
          <w:color w:val="000000"/>
          <w:spacing w:val="-2"/>
          <w:kern w:val="0"/>
          <w:sz w:val="24"/>
        </w:rPr>
        <w:t>各市、县</w:t>
      </w:r>
      <w:r>
        <w:rPr>
          <w:rFonts w:eastAsia="方正仿宋_GBK"/>
          <w:color w:val="000000"/>
          <w:spacing w:val="-2"/>
          <w:kern w:val="0"/>
          <w:sz w:val="24"/>
        </w:rPr>
        <w:t>(</w:t>
      </w:r>
      <w:r>
        <w:rPr>
          <w:rFonts w:hint="eastAsia" w:eastAsia="方正仿宋_GBK"/>
          <w:color w:val="000000"/>
          <w:spacing w:val="-2"/>
          <w:kern w:val="0"/>
          <w:sz w:val="24"/>
        </w:rPr>
        <w:t>市、区</w:t>
      </w:r>
      <w:r>
        <w:rPr>
          <w:rFonts w:eastAsia="方正仿宋_GBK"/>
          <w:color w:val="000000"/>
          <w:spacing w:val="-2"/>
          <w:kern w:val="0"/>
          <w:sz w:val="24"/>
        </w:rPr>
        <w:t>)</w:t>
      </w:r>
      <w:r>
        <w:rPr>
          <w:rFonts w:hint="eastAsia" w:eastAsia="方正仿宋_GBK"/>
          <w:color w:val="000000"/>
          <w:spacing w:val="-2"/>
          <w:kern w:val="0"/>
          <w:sz w:val="24"/>
        </w:rPr>
        <w:t>建设局（委），各有关单位：</w:t>
      </w:r>
    </w:p>
    <w:p>
      <w:pPr>
        <w:shd w:val="clear" w:color="auto" w:fill="FFFFFF"/>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为贯彻工程质量治理两年行动方案要求</w:t>
      </w:r>
      <w:r>
        <w:rPr>
          <w:rFonts w:eastAsia="方正仿宋_GBK"/>
          <w:color w:val="000000"/>
          <w:spacing w:val="-2"/>
          <w:kern w:val="0"/>
          <w:sz w:val="24"/>
        </w:rPr>
        <w:t>,</w:t>
      </w:r>
      <w:r>
        <w:rPr>
          <w:rFonts w:hint="eastAsia" w:eastAsia="方正仿宋_GBK"/>
          <w:color w:val="000000"/>
          <w:spacing w:val="-2"/>
          <w:kern w:val="0"/>
          <w:sz w:val="24"/>
        </w:rPr>
        <w:t>进一步规范建设市场秩序，根据住房城乡建设部《关于推进建筑业发展和改革的若干意见》（建市〔</w:t>
      </w:r>
      <w:r>
        <w:rPr>
          <w:rFonts w:eastAsia="方正仿宋_GBK"/>
          <w:color w:val="000000"/>
          <w:spacing w:val="-2"/>
          <w:kern w:val="0"/>
          <w:sz w:val="24"/>
        </w:rPr>
        <w:t>2014</w:t>
      </w:r>
      <w:r>
        <w:rPr>
          <w:rFonts w:hint="eastAsia" w:eastAsia="方正仿宋_GBK"/>
          <w:color w:val="000000"/>
          <w:spacing w:val="-2"/>
          <w:kern w:val="0"/>
          <w:sz w:val="24"/>
        </w:rPr>
        <w:t>〕</w:t>
      </w:r>
      <w:r>
        <w:rPr>
          <w:rFonts w:eastAsia="方正仿宋_GBK"/>
          <w:color w:val="000000"/>
          <w:spacing w:val="-2"/>
          <w:kern w:val="0"/>
          <w:sz w:val="24"/>
        </w:rPr>
        <w:t>92</w:t>
      </w:r>
      <w:r>
        <w:rPr>
          <w:rFonts w:hint="eastAsia" w:eastAsia="方正仿宋_GBK"/>
          <w:color w:val="000000"/>
          <w:spacing w:val="-2"/>
          <w:kern w:val="0"/>
          <w:sz w:val="24"/>
        </w:rPr>
        <w:t>号）、住房城乡建设部批复的《江苏省建筑市场监管综合试点工作方案》（建市综函〔</w:t>
      </w:r>
      <w:r>
        <w:rPr>
          <w:rFonts w:eastAsia="方正仿宋_GBK"/>
          <w:color w:val="000000"/>
          <w:spacing w:val="-2"/>
          <w:kern w:val="0"/>
          <w:sz w:val="24"/>
        </w:rPr>
        <w:t>2014)164</w:t>
      </w:r>
      <w:r>
        <w:rPr>
          <w:rFonts w:hint="eastAsia" w:eastAsia="方正仿宋_GBK"/>
          <w:color w:val="000000"/>
          <w:spacing w:val="-2"/>
          <w:kern w:val="0"/>
          <w:sz w:val="24"/>
        </w:rPr>
        <w:t>号），现就非国有资金投资工程发包管理等有关事项通知如下</w:t>
      </w:r>
      <w:r>
        <w:rPr>
          <w:rFonts w:eastAsia="方正仿宋_GBK"/>
          <w:color w:val="000000"/>
          <w:spacing w:val="-2"/>
          <w:kern w:val="0"/>
          <w:sz w:val="24"/>
        </w:rPr>
        <w:t>:</w:t>
      </w:r>
    </w:p>
    <w:p>
      <w:pPr>
        <w:shd w:val="clear" w:color="auto" w:fill="FFFFFF"/>
        <w:spacing w:line="460" w:lineRule="exact"/>
        <w:ind w:firstLine="464" w:firstLineChars="200"/>
        <w:outlineLvl w:val="2"/>
        <w:rPr>
          <w:rFonts w:ascii="Times New Roman" w:eastAsia="方正黑体_GBK"/>
          <w:bCs/>
          <w:color w:val="000000"/>
          <w:spacing w:val="-2"/>
          <w:kern w:val="0"/>
          <w:sz w:val="24"/>
        </w:rPr>
      </w:pPr>
      <w:r>
        <w:rPr>
          <w:rFonts w:hint="eastAsia" w:ascii="Times New Roman" w:eastAsia="方正黑体_GBK"/>
          <w:bCs/>
          <w:color w:val="000000"/>
          <w:spacing w:val="-2"/>
          <w:kern w:val="0"/>
          <w:sz w:val="24"/>
        </w:rPr>
        <w:t>一、调整非国有资金投资工程发包方式</w:t>
      </w:r>
    </w:p>
    <w:p>
      <w:pPr>
        <w:shd w:val="clear" w:color="auto" w:fill="FFFFFF"/>
        <w:spacing w:line="460" w:lineRule="exact"/>
        <w:ind w:firstLine="540"/>
        <w:rPr>
          <w:rFonts w:hint="eastAsia" w:eastAsia="方正仿宋_GBK"/>
          <w:color w:val="000000"/>
          <w:spacing w:val="-2"/>
          <w:kern w:val="0"/>
          <w:sz w:val="24"/>
        </w:rPr>
      </w:pPr>
      <w:r>
        <w:rPr>
          <w:rFonts w:hint="eastAsia" w:eastAsia="方正仿宋_GBK"/>
          <w:color w:val="000000"/>
          <w:spacing w:val="-2"/>
          <w:kern w:val="0"/>
          <w:sz w:val="24"/>
        </w:rPr>
        <w:t>（一）使用非国有资金投资的工业用房、商业用房和商品住宅等房屋建筑工程（包括勘察、设计、施工、监理材料设备等，下同），发包人可以自主决定采用招标发包或直接发包，以及是否进入有形市场进行交易。</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其他非国有资金投资的房屋建筑和市政工程是否进行招标发包，是否进入有形市场进行交易，各地按照住房城乡建设部建市〔</w:t>
      </w:r>
      <w:r>
        <w:rPr>
          <w:rFonts w:eastAsia="方正仿宋_GBK"/>
          <w:color w:val="000000"/>
          <w:spacing w:val="-2"/>
          <w:kern w:val="0"/>
          <w:sz w:val="24"/>
        </w:rPr>
        <w:t>2014</w:t>
      </w:r>
      <w:r>
        <w:rPr>
          <w:rFonts w:hint="eastAsia" w:eastAsia="方正仿宋_GBK"/>
          <w:color w:val="000000"/>
          <w:spacing w:val="-2"/>
          <w:kern w:val="0"/>
          <w:sz w:val="24"/>
        </w:rPr>
        <w:t>〕</w:t>
      </w:r>
      <w:r>
        <w:rPr>
          <w:rFonts w:eastAsia="方正仿宋_GBK"/>
          <w:color w:val="000000"/>
          <w:spacing w:val="-2"/>
          <w:kern w:val="0"/>
          <w:sz w:val="24"/>
        </w:rPr>
        <w:t>92</w:t>
      </w:r>
      <w:r>
        <w:rPr>
          <w:rFonts w:hint="eastAsia" w:eastAsia="方正仿宋_GBK"/>
          <w:color w:val="000000"/>
          <w:spacing w:val="-2"/>
          <w:kern w:val="0"/>
          <w:sz w:val="24"/>
        </w:rPr>
        <w:t>号文件要求试行。</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（二）非国有资金投资工程选择直接发包的，发包人应当依法将工程发包给具有相应资质的承包单位，对勘察、设计、施工、监理、材料设备供应商等单位的选择承担相应的责任。</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各级建设行政主管部门应加强对非国有资金投资工程的日常监管，严格履行基本建设程序，加大检查力度，防止出现无资质或超越资质承揽工程。</w:t>
      </w:r>
    </w:p>
    <w:p>
      <w:pPr>
        <w:shd w:val="clear" w:color="auto" w:fill="FFFFFF"/>
        <w:spacing w:line="460" w:lineRule="exact"/>
        <w:ind w:firstLine="464" w:firstLineChars="200"/>
        <w:outlineLvl w:val="2"/>
        <w:rPr>
          <w:rFonts w:ascii="Times New Roman" w:eastAsia="方正黑体_GBK"/>
          <w:bCs/>
          <w:color w:val="000000"/>
          <w:spacing w:val="-2"/>
          <w:kern w:val="0"/>
          <w:sz w:val="24"/>
        </w:rPr>
      </w:pPr>
      <w:r>
        <w:rPr>
          <w:rFonts w:hint="eastAsia" w:ascii="Times New Roman" w:eastAsia="方正黑体_GBK"/>
          <w:bCs/>
          <w:color w:val="000000"/>
          <w:spacing w:val="-2"/>
          <w:kern w:val="0"/>
          <w:sz w:val="24"/>
        </w:rPr>
        <w:t>二、进一步规范招投标和项目负责人变更备案</w:t>
      </w:r>
    </w:p>
    <w:p>
      <w:pPr>
        <w:shd w:val="clear" w:color="auto" w:fill="FFFFFF"/>
        <w:spacing w:line="460" w:lineRule="exact"/>
        <w:ind w:firstLine="540"/>
        <w:rPr>
          <w:rFonts w:hint="eastAsia" w:eastAsia="方正仿宋_GBK"/>
          <w:color w:val="000000"/>
          <w:spacing w:val="-2"/>
          <w:kern w:val="0"/>
          <w:sz w:val="24"/>
        </w:rPr>
      </w:pPr>
      <w:r>
        <w:rPr>
          <w:rFonts w:hint="eastAsia" w:eastAsia="方正仿宋_GBK"/>
          <w:color w:val="000000"/>
          <w:spacing w:val="-2"/>
          <w:kern w:val="0"/>
          <w:sz w:val="24"/>
        </w:rPr>
        <w:t>（一）招标项目设置的资格条件应符合国家的有关规定，并与项目的具体特点和实际需要相适应，招标人不得设置高于招标项目实际需要和脱离市场实际的不合理条件排斥或限制潜在投标人投标。招标人除应当按照苏建规字〔</w:t>
      </w:r>
      <w:r>
        <w:rPr>
          <w:rFonts w:eastAsia="方正仿宋_GBK"/>
          <w:color w:val="000000"/>
          <w:spacing w:val="-2"/>
          <w:kern w:val="0"/>
          <w:sz w:val="24"/>
        </w:rPr>
        <w:t>2013</w:t>
      </w:r>
      <w:r>
        <w:rPr>
          <w:rFonts w:hint="eastAsia" w:eastAsia="方正仿宋_GBK"/>
          <w:color w:val="000000"/>
          <w:spacing w:val="-2"/>
          <w:kern w:val="0"/>
          <w:sz w:val="24"/>
        </w:rPr>
        <w:t>〕</w:t>
      </w:r>
      <w:r>
        <w:rPr>
          <w:rFonts w:eastAsia="方正仿宋_GBK"/>
          <w:color w:val="000000"/>
          <w:spacing w:val="-2"/>
          <w:kern w:val="0"/>
          <w:sz w:val="24"/>
        </w:rPr>
        <w:t>4</w:t>
      </w:r>
      <w:r>
        <w:rPr>
          <w:rFonts w:hint="eastAsia" w:eastAsia="方正仿宋_GBK"/>
          <w:color w:val="000000"/>
          <w:spacing w:val="-2"/>
          <w:kern w:val="0"/>
          <w:sz w:val="24"/>
        </w:rPr>
        <w:t>号和苏建建管〔</w:t>
      </w:r>
      <w:r>
        <w:rPr>
          <w:rFonts w:eastAsia="方正仿宋_GBK"/>
          <w:color w:val="000000"/>
          <w:spacing w:val="-2"/>
          <w:kern w:val="0"/>
          <w:sz w:val="24"/>
        </w:rPr>
        <w:t>2013</w:t>
      </w:r>
      <w:r>
        <w:rPr>
          <w:rFonts w:hint="eastAsia" w:eastAsia="方正仿宋_GBK"/>
          <w:color w:val="000000"/>
          <w:spacing w:val="-2"/>
          <w:kern w:val="0"/>
          <w:sz w:val="24"/>
        </w:rPr>
        <w:t>〕</w:t>
      </w:r>
      <w:r>
        <w:rPr>
          <w:rFonts w:eastAsia="方正仿宋_GBK"/>
          <w:color w:val="000000"/>
          <w:spacing w:val="-2"/>
          <w:kern w:val="0"/>
          <w:sz w:val="24"/>
        </w:rPr>
        <w:t>671</w:t>
      </w:r>
      <w:r>
        <w:rPr>
          <w:rFonts w:hint="eastAsia" w:eastAsia="方正仿宋_GBK"/>
          <w:color w:val="000000"/>
          <w:spacing w:val="-2"/>
          <w:kern w:val="0"/>
          <w:sz w:val="24"/>
        </w:rPr>
        <w:t>号文件合理划分标段外，单一的房屋建筑或市政工程总承包招标时，一个招标项目（标段）不得要求投标人同时具备两个及以上类别的总承包资质。</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（二）依法公开招标项目的招标公告（资格预审公告）的发布时间，招标文件（资格预审文件）的发售时间，资格预审不合格申请人公示、中标候选人公示的时间均不应当包含连续</w:t>
      </w:r>
      <w:r>
        <w:rPr>
          <w:rFonts w:eastAsia="方正仿宋_GBK"/>
          <w:color w:val="000000"/>
          <w:spacing w:val="-2"/>
          <w:kern w:val="0"/>
          <w:sz w:val="24"/>
        </w:rPr>
        <w:t>3</w:t>
      </w:r>
      <w:r>
        <w:rPr>
          <w:rFonts w:hint="eastAsia" w:eastAsia="方正仿宋_GBK"/>
          <w:color w:val="000000"/>
          <w:spacing w:val="-2"/>
          <w:kern w:val="0"/>
          <w:sz w:val="24"/>
        </w:rPr>
        <w:t>日及以上的节假日时间；最后一日不是工作日的，应当顺延至工作日。</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三）电子招标投标活动中的资格审查和业绩认定等以投标企业诚信库中的信息、数据为准。投标企业按诚信库要求填报相关信息、上传有关扫描件，并在项目所在地招投标网站公示，接受社会监督。企业对所填报信息的真实性负责。如有弄虚作假，经查实作为失信行为（不良行为）在全省通报，并按有关规定处理。</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（四）为强化两场联动，推进招投标诚信建设，除综合评估法外，采用合理低价法评标的项目增加</w:t>
      </w:r>
      <w:r>
        <w:rPr>
          <w:rFonts w:eastAsia="方正仿宋_GBK"/>
          <w:color w:val="000000"/>
          <w:spacing w:val="-2"/>
          <w:kern w:val="0"/>
          <w:sz w:val="24"/>
        </w:rPr>
        <w:t>“</w:t>
      </w:r>
      <w:r>
        <w:rPr>
          <w:rFonts w:hint="eastAsia" w:eastAsia="方正仿宋_GBK"/>
          <w:color w:val="000000"/>
          <w:spacing w:val="-2"/>
          <w:kern w:val="0"/>
          <w:sz w:val="24"/>
        </w:rPr>
        <w:t>信用评价</w:t>
      </w:r>
      <w:r>
        <w:rPr>
          <w:rFonts w:eastAsia="方正仿宋_GBK"/>
          <w:color w:val="000000"/>
          <w:spacing w:val="-2"/>
          <w:kern w:val="0"/>
          <w:sz w:val="24"/>
        </w:rPr>
        <w:t>”</w:t>
      </w:r>
      <w:r>
        <w:rPr>
          <w:rFonts w:hint="eastAsia" w:eastAsia="方正仿宋_GBK"/>
          <w:color w:val="000000"/>
          <w:spacing w:val="-2"/>
          <w:kern w:val="0"/>
          <w:sz w:val="24"/>
        </w:rPr>
        <w:t>评审因素；各市、县</w:t>
      </w:r>
      <w:r>
        <w:rPr>
          <w:rFonts w:eastAsia="方正仿宋_GBK"/>
          <w:color w:val="000000"/>
          <w:spacing w:val="-2"/>
          <w:kern w:val="0"/>
          <w:sz w:val="24"/>
        </w:rPr>
        <w:t>(</w:t>
      </w:r>
      <w:r>
        <w:rPr>
          <w:rFonts w:hint="eastAsia" w:eastAsia="方正仿宋_GBK"/>
          <w:color w:val="000000"/>
          <w:spacing w:val="-2"/>
          <w:kern w:val="0"/>
          <w:sz w:val="24"/>
        </w:rPr>
        <w:t>区</w:t>
      </w:r>
      <w:r>
        <w:rPr>
          <w:rFonts w:eastAsia="方正仿宋_GBK"/>
          <w:color w:val="000000"/>
          <w:spacing w:val="-2"/>
          <w:kern w:val="0"/>
          <w:sz w:val="24"/>
        </w:rPr>
        <w:t>)</w:t>
      </w:r>
      <w:r>
        <w:rPr>
          <w:rFonts w:hint="eastAsia" w:eastAsia="方正仿宋_GBK"/>
          <w:color w:val="000000"/>
          <w:spacing w:val="-2"/>
          <w:kern w:val="0"/>
          <w:sz w:val="24"/>
        </w:rPr>
        <w:t>可以试行对采用经评审的最低投标价法和合理价随机确定中标人法评标的项目增加</w:t>
      </w:r>
      <w:r>
        <w:rPr>
          <w:rFonts w:eastAsia="方正仿宋_GBK"/>
          <w:color w:val="000000"/>
          <w:spacing w:val="-2"/>
          <w:kern w:val="0"/>
          <w:sz w:val="24"/>
        </w:rPr>
        <w:t>“</w:t>
      </w:r>
      <w:r>
        <w:rPr>
          <w:rFonts w:hint="eastAsia" w:eastAsia="方正仿宋_GBK"/>
          <w:color w:val="000000"/>
          <w:spacing w:val="-2"/>
          <w:kern w:val="0"/>
          <w:sz w:val="24"/>
        </w:rPr>
        <w:t>信用评价</w:t>
      </w:r>
      <w:r>
        <w:rPr>
          <w:rFonts w:eastAsia="方正仿宋_GBK"/>
          <w:color w:val="000000"/>
          <w:spacing w:val="-2"/>
          <w:kern w:val="0"/>
          <w:sz w:val="24"/>
        </w:rPr>
        <w:t>”</w:t>
      </w:r>
      <w:r>
        <w:rPr>
          <w:rFonts w:hint="eastAsia" w:eastAsia="方正仿宋_GBK"/>
          <w:color w:val="000000"/>
          <w:spacing w:val="-2"/>
          <w:kern w:val="0"/>
          <w:sz w:val="24"/>
        </w:rPr>
        <w:t>评审因素。</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五）项目负责人变更备案、限制原项目负责人承接工程的期限应当在江苏建设工程招标网上子以公告，备案时间或者限制原项目负责人承接工程的起止时间应当与江苏建设工程招标网上的公告时问一致，不一致的以江苏建设工程招标网上的公告时间为准。</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（六）调整项目停工</w:t>
      </w:r>
      <w:r>
        <w:rPr>
          <w:rFonts w:eastAsia="方正仿宋_GBK"/>
          <w:color w:val="000000"/>
          <w:spacing w:val="-2"/>
          <w:kern w:val="0"/>
          <w:sz w:val="24"/>
        </w:rPr>
        <w:t>120</w:t>
      </w:r>
      <w:r>
        <w:rPr>
          <w:rFonts w:hint="eastAsia" w:eastAsia="方正仿宋_GBK"/>
          <w:color w:val="000000"/>
          <w:spacing w:val="-2"/>
          <w:kern w:val="0"/>
          <w:sz w:val="24"/>
        </w:rPr>
        <w:t>项天目经理变更备案规定。因非承包人原因致使工程项目停工超过</w:t>
      </w:r>
      <w:r>
        <w:rPr>
          <w:rFonts w:eastAsia="方正仿宋_GBK"/>
          <w:color w:val="000000"/>
          <w:spacing w:val="-2"/>
          <w:kern w:val="0"/>
          <w:sz w:val="24"/>
        </w:rPr>
        <w:t>120</w:t>
      </w:r>
      <w:r>
        <w:rPr>
          <w:rFonts w:hint="eastAsia" w:eastAsia="方正仿宋_GBK"/>
          <w:color w:val="000000"/>
          <w:spacing w:val="-2"/>
          <w:kern w:val="0"/>
          <w:sz w:val="24"/>
        </w:rPr>
        <w:t>天（含）的，承包人可以凭发包人及其现场负责人发出的停工通知、项目所在地工程质量或者安全或者市场管理机构核实的停工证明（具体部门由各地建设行政主管部门确定），办理解除项目负责人锁定事宜；实行监理的，停工通知还应当由监理单位及总监理工程师签署意见。</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解除项目负责人锁定的备案事宜办理完毕后，企业可以选派被解除锁定的项目负责人担任其他工程项目的项目负责人。</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停工的工程项目恢复施工，被解除锁定的原项目负责人无未完工程任务的，可以恢复担任该工程项目的项目负责人；有未完工程任务的，承包人应当选派与原项目负责人资格条件相当的其他人员担任项目负责人，并应事先征得发包人同意。承包人有不低于原项目负责人资格条件的人员而不选派的，属于严重不履行合同的行为。</w:t>
      </w:r>
    </w:p>
    <w:p>
      <w:pPr>
        <w:shd w:val="clear" w:color="auto" w:fill="FFFFFF"/>
        <w:spacing w:line="460" w:lineRule="exact"/>
        <w:ind w:firstLine="464" w:firstLineChars="200"/>
        <w:outlineLvl w:val="2"/>
        <w:rPr>
          <w:rFonts w:ascii="Times New Roman" w:eastAsia="方正黑体_GBK"/>
          <w:bCs/>
          <w:color w:val="000000"/>
          <w:spacing w:val="-2"/>
          <w:kern w:val="0"/>
          <w:sz w:val="24"/>
        </w:rPr>
      </w:pPr>
      <w:r>
        <w:rPr>
          <w:rFonts w:hint="eastAsia" w:ascii="Times New Roman" w:eastAsia="方正黑体_GBK"/>
          <w:bCs/>
          <w:color w:val="000000"/>
          <w:spacing w:val="-2"/>
          <w:kern w:val="0"/>
          <w:sz w:val="24"/>
        </w:rPr>
        <w:t>三、对现行资格审查办法和评标办法的调整</w:t>
      </w:r>
    </w:p>
    <w:p>
      <w:pPr>
        <w:shd w:val="clear" w:color="auto" w:fill="FFFFFF"/>
        <w:spacing w:line="460" w:lineRule="exact"/>
        <w:ind w:firstLine="540"/>
        <w:rPr>
          <w:rFonts w:hint="eastAsia" w:eastAsia="方正仿宋_GBK"/>
          <w:color w:val="000000"/>
          <w:spacing w:val="-2"/>
          <w:kern w:val="0"/>
          <w:sz w:val="24"/>
        </w:rPr>
      </w:pPr>
      <w:r>
        <w:rPr>
          <w:rFonts w:hint="eastAsia" w:eastAsia="方正仿宋_GBK"/>
          <w:color w:val="000000"/>
          <w:spacing w:val="-2"/>
          <w:kern w:val="0"/>
          <w:sz w:val="24"/>
        </w:rPr>
        <w:t>（一）对于中型且技术复杂或者具有特殊专业技术要求的工程项目，经招投标监管机构批准，也可以采用合格制资格预审。</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（二）采用资格后审的工程项目，合格投标人的资格条件一般仅限于必要条件。除工程技术复杂或者具有特殊专业技术要求外，大型及以上工程项目，招标人也可以增设</w:t>
      </w:r>
      <w:r>
        <w:rPr>
          <w:rFonts w:eastAsia="方正仿宋_GBK"/>
          <w:color w:val="000000"/>
          <w:spacing w:val="-2"/>
          <w:kern w:val="0"/>
          <w:sz w:val="24"/>
        </w:rPr>
        <w:t>“</w:t>
      </w:r>
      <w:r>
        <w:rPr>
          <w:rFonts w:hint="eastAsia" w:eastAsia="方正仿宋_GBK"/>
          <w:color w:val="000000"/>
          <w:spacing w:val="-2"/>
          <w:kern w:val="0"/>
          <w:sz w:val="24"/>
        </w:rPr>
        <w:t>企业承担过类似及以上工程</w:t>
      </w:r>
      <w:r>
        <w:rPr>
          <w:rFonts w:eastAsia="方正仿宋_GBK"/>
          <w:color w:val="000000"/>
          <w:spacing w:val="-2"/>
          <w:kern w:val="0"/>
          <w:sz w:val="24"/>
        </w:rPr>
        <w:t>”</w:t>
      </w:r>
      <w:r>
        <w:rPr>
          <w:rFonts w:hint="eastAsia" w:eastAsia="方正仿宋_GBK"/>
          <w:color w:val="000000"/>
          <w:spacing w:val="-2"/>
          <w:kern w:val="0"/>
          <w:sz w:val="24"/>
        </w:rPr>
        <w:t>、</w:t>
      </w:r>
      <w:r>
        <w:rPr>
          <w:rFonts w:eastAsia="方正仿宋_GBK"/>
          <w:color w:val="000000"/>
          <w:spacing w:val="-2"/>
          <w:kern w:val="0"/>
          <w:sz w:val="24"/>
        </w:rPr>
        <w:t>“</w:t>
      </w:r>
      <w:r>
        <w:rPr>
          <w:rFonts w:hint="eastAsia" w:eastAsia="方正仿宋_GBK"/>
          <w:color w:val="000000"/>
          <w:spacing w:val="-2"/>
          <w:kern w:val="0"/>
          <w:sz w:val="24"/>
        </w:rPr>
        <w:t>项目负责人承担过类似及以上工程</w:t>
      </w:r>
      <w:r>
        <w:rPr>
          <w:rFonts w:eastAsia="方正仿宋_GBK"/>
          <w:color w:val="000000"/>
          <w:spacing w:val="-2"/>
          <w:kern w:val="0"/>
          <w:sz w:val="24"/>
        </w:rPr>
        <w:t>”</w:t>
      </w:r>
      <w:r>
        <w:rPr>
          <w:rFonts w:hint="eastAsia" w:eastAsia="方正仿宋_GBK"/>
          <w:color w:val="000000"/>
          <w:spacing w:val="-2"/>
          <w:kern w:val="0"/>
          <w:sz w:val="24"/>
        </w:rPr>
        <w:t>作为合格条件。</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三）在建工程是指：处于中标人公告到合同约定的工程全部完成且验收合格期内的工程。验收合格证明是指由建设单位（或监理）组织工程建设各方验收合格，并签署单位工程质量竣工验收记录或者分部工程质量验收记录等验收证明文件。</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（四）投标报价的评标基准价，评标委员会在评标报告上签字后，方法一和方法二的评标基准价不因招投标当事人质疑、投诉、复议以及其它任何情形而改变，但评标过程中的计算错误可作调整。</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（五）在评标基准价计算方法二中，</w:t>
      </w:r>
      <w:r>
        <w:rPr>
          <w:rFonts w:eastAsia="方正仿宋_GBK"/>
          <w:color w:val="000000"/>
          <w:spacing w:val="-2"/>
          <w:kern w:val="0"/>
          <w:sz w:val="24"/>
        </w:rPr>
        <w:t>Q1</w:t>
      </w:r>
      <w:r>
        <w:rPr>
          <w:rFonts w:hint="eastAsia" w:eastAsia="方正仿宋_GBK"/>
          <w:color w:val="000000"/>
          <w:spacing w:val="-2"/>
          <w:kern w:val="0"/>
          <w:sz w:val="24"/>
        </w:rPr>
        <w:t>取值限定为</w:t>
      </w:r>
      <w:r>
        <w:rPr>
          <w:rFonts w:eastAsia="方正仿宋_GBK"/>
          <w:color w:val="000000"/>
          <w:spacing w:val="-2"/>
          <w:kern w:val="0"/>
          <w:sz w:val="24"/>
        </w:rPr>
        <w:t>50%</w:t>
      </w:r>
      <w:r>
        <w:rPr>
          <w:rFonts w:hint="eastAsia" w:eastAsia="方正仿宋_GBK"/>
          <w:color w:val="000000"/>
          <w:spacing w:val="-2"/>
          <w:kern w:val="0"/>
          <w:sz w:val="24"/>
        </w:rPr>
        <w:t>、</w:t>
      </w:r>
      <w:r>
        <w:rPr>
          <w:rFonts w:eastAsia="方正仿宋_GBK"/>
          <w:color w:val="000000"/>
          <w:spacing w:val="-2"/>
          <w:kern w:val="0"/>
          <w:sz w:val="24"/>
        </w:rPr>
        <w:t>55%</w:t>
      </w:r>
      <w:r>
        <w:rPr>
          <w:rFonts w:hint="eastAsia" w:eastAsia="方正仿宋_GBK"/>
          <w:color w:val="000000"/>
          <w:spacing w:val="-2"/>
          <w:kern w:val="0"/>
          <w:sz w:val="24"/>
        </w:rPr>
        <w:t>、</w:t>
      </w:r>
      <w:r>
        <w:rPr>
          <w:rFonts w:eastAsia="方正仿宋_GBK"/>
          <w:color w:val="000000"/>
          <w:spacing w:val="-2"/>
          <w:kern w:val="0"/>
          <w:sz w:val="24"/>
        </w:rPr>
        <w:t>60%</w:t>
      </w:r>
      <w:r>
        <w:rPr>
          <w:rFonts w:hint="eastAsia" w:eastAsia="方正仿宋_GBK"/>
          <w:color w:val="000000"/>
          <w:spacing w:val="-2"/>
          <w:kern w:val="0"/>
          <w:sz w:val="24"/>
        </w:rPr>
        <w:t>、</w:t>
      </w:r>
      <w:r>
        <w:rPr>
          <w:rFonts w:eastAsia="方正仿宋_GBK"/>
          <w:color w:val="000000"/>
          <w:spacing w:val="-2"/>
          <w:kern w:val="0"/>
          <w:sz w:val="24"/>
        </w:rPr>
        <w:t>65%</w:t>
      </w:r>
      <w:r>
        <w:rPr>
          <w:rFonts w:hint="eastAsia" w:eastAsia="方正仿宋_GBK"/>
          <w:color w:val="000000"/>
          <w:spacing w:val="-2"/>
          <w:kern w:val="0"/>
          <w:sz w:val="24"/>
        </w:rPr>
        <w:t>、</w:t>
      </w:r>
      <w:r>
        <w:rPr>
          <w:rFonts w:eastAsia="方正仿宋_GBK"/>
          <w:color w:val="000000"/>
          <w:spacing w:val="-2"/>
          <w:kern w:val="0"/>
          <w:sz w:val="24"/>
        </w:rPr>
        <w:t>70%</w:t>
      </w:r>
      <w:r>
        <w:rPr>
          <w:rFonts w:hint="eastAsia" w:eastAsia="方正仿宋_GBK"/>
          <w:color w:val="000000"/>
          <w:spacing w:val="-2"/>
          <w:kern w:val="0"/>
          <w:sz w:val="24"/>
        </w:rPr>
        <w:t>。</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（六）综合评估法中投标报价合理性分值调整为</w:t>
      </w:r>
      <w:r>
        <w:rPr>
          <w:rFonts w:eastAsia="方正仿宋_GBK"/>
          <w:color w:val="000000"/>
          <w:spacing w:val="-2"/>
          <w:kern w:val="0"/>
          <w:sz w:val="24"/>
        </w:rPr>
        <w:t>≤1</w:t>
      </w:r>
      <w:r>
        <w:rPr>
          <w:rFonts w:hint="eastAsia" w:eastAsia="方正仿宋_GBK"/>
          <w:color w:val="000000"/>
          <w:spacing w:val="-2"/>
          <w:kern w:val="0"/>
          <w:sz w:val="24"/>
        </w:rPr>
        <w:t>。其</w:t>
      </w:r>
      <w:r>
        <w:rPr>
          <w:rFonts w:eastAsia="方正仿宋_GBK"/>
          <w:color w:val="000000"/>
          <w:spacing w:val="-2"/>
          <w:kern w:val="0"/>
          <w:sz w:val="24"/>
        </w:rPr>
        <w:t>“2</w:t>
      </w:r>
      <w:r>
        <w:rPr>
          <w:rFonts w:hint="eastAsia" w:eastAsia="方正仿宋_GBK"/>
          <w:color w:val="000000"/>
          <w:spacing w:val="-2"/>
          <w:kern w:val="0"/>
          <w:sz w:val="24"/>
        </w:rPr>
        <w:t>、</w:t>
      </w:r>
      <w:r>
        <w:rPr>
          <w:rFonts w:eastAsia="方正仿宋_GBK"/>
          <w:color w:val="000000"/>
          <w:spacing w:val="-2"/>
          <w:kern w:val="0"/>
          <w:sz w:val="24"/>
        </w:rPr>
        <w:t>”</w:t>
      </w:r>
      <w:r>
        <w:rPr>
          <w:rFonts w:hint="eastAsia" w:eastAsia="方正仿宋_GBK"/>
          <w:color w:val="000000"/>
          <w:spacing w:val="-2"/>
          <w:kern w:val="0"/>
          <w:sz w:val="24"/>
        </w:rPr>
        <w:t>修改为</w:t>
      </w:r>
      <w:r>
        <w:rPr>
          <w:rFonts w:eastAsia="方正仿宋_GBK"/>
          <w:color w:val="000000"/>
          <w:spacing w:val="-2"/>
          <w:kern w:val="0"/>
          <w:sz w:val="24"/>
        </w:rPr>
        <w:t>“</w:t>
      </w:r>
      <w:r>
        <w:rPr>
          <w:rFonts w:hint="eastAsia" w:eastAsia="方正仿宋_GBK"/>
          <w:color w:val="000000"/>
          <w:spacing w:val="-2"/>
          <w:kern w:val="0"/>
          <w:sz w:val="24"/>
        </w:rPr>
        <w:t>将工程量清单各子目的综合单价金额与合理性分析基准值相比较，其偏差率的绝对值</w:t>
      </w:r>
      <w:r>
        <w:rPr>
          <w:rFonts w:eastAsia="方正仿宋_GBK"/>
          <w:color w:val="000000"/>
          <w:spacing w:val="-2"/>
          <w:kern w:val="0"/>
          <w:sz w:val="24"/>
        </w:rPr>
        <w:t>&gt;10%</w:t>
      </w:r>
      <w:r>
        <w:rPr>
          <w:rFonts w:hint="eastAsia" w:eastAsia="方正仿宋_GBK"/>
          <w:color w:val="000000"/>
          <w:spacing w:val="-2"/>
          <w:kern w:val="0"/>
          <w:sz w:val="24"/>
        </w:rPr>
        <w:t>且合价金额在该投标文件的评标价一定幅度</w:t>
      </w:r>
      <w:r>
        <w:rPr>
          <w:rFonts w:eastAsia="方正仿宋_GBK"/>
          <w:color w:val="000000"/>
          <w:spacing w:val="-2"/>
          <w:kern w:val="0"/>
          <w:sz w:val="24"/>
        </w:rPr>
        <w:t> (</w:t>
      </w:r>
      <w:r>
        <w:rPr>
          <w:rFonts w:hint="eastAsia" w:eastAsia="方正仿宋_GBK"/>
          <w:color w:val="000000"/>
          <w:spacing w:val="-2"/>
          <w:kern w:val="0"/>
          <w:sz w:val="24"/>
        </w:rPr>
        <w:t>一般为评标价的</w:t>
      </w:r>
      <w:r>
        <w:rPr>
          <w:rFonts w:eastAsia="方正仿宋_GBK"/>
          <w:color w:val="000000"/>
          <w:spacing w:val="-2"/>
          <w:kern w:val="0"/>
          <w:sz w:val="24"/>
        </w:rPr>
        <w:t>0.5%-1%)</w:t>
      </w:r>
      <w:r>
        <w:rPr>
          <w:rFonts w:hint="eastAsia" w:eastAsia="方正仿宋_GBK"/>
          <w:color w:val="000000"/>
          <w:spacing w:val="-2"/>
          <w:kern w:val="0"/>
          <w:sz w:val="24"/>
        </w:rPr>
        <w:t>以上的工程量清单子目，有一项扣</w:t>
      </w:r>
      <w:r>
        <w:rPr>
          <w:rFonts w:eastAsia="方正仿宋_GBK"/>
          <w:color w:val="000000"/>
          <w:spacing w:val="-2"/>
          <w:kern w:val="0"/>
          <w:sz w:val="24"/>
        </w:rPr>
        <w:t>0.1</w:t>
      </w:r>
      <w:r>
        <w:rPr>
          <w:rFonts w:hint="eastAsia" w:eastAsia="方正仿宋_GBK"/>
          <w:color w:val="000000"/>
          <w:spacing w:val="-2"/>
          <w:kern w:val="0"/>
          <w:sz w:val="24"/>
        </w:rPr>
        <w:t>分</w:t>
      </w:r>
      <w:r>
        <w:rPr>
          <w:rFonts w:eastAsia="方正仿宋_GBK"/>
          <w:color w:val="000000"/>
          <w:spacing w:val="-2"/>
          <w:kern w:val="0"/>
          <w:sz w:val="24"/>
        </w:rPr>
        <w:t>,</w:t>
      </w:r>
      <w:r>
        <w:rPr>
          <w:rFonts w:hint="eastAsia" w:eastAsia="方正仿宋_GBK"/>
          <w:color w:val="000000"/>
          <w:spacing w:val="-2"/>
          <w:kern w:val="0"/>
          <w:sz w:val="24"/>
        </w:rPr>
        <w:t>最多扣</w:t>
      </w:r>
      <w:r>
        <w:rPr>
          <w:rFonts w:eastAsia="方正仿宋_GBK"/>
          <w:color w:val="000000"/>
          <w:spacing w:val="-2"/>
          <w:kern w:val="0"/>
          <w:sz w:val="24"/>
        </w:rPr>
        <w:t>1</w:t>
      </w:r>
      <w:r>
        <w:rPr>
          <w:rFonts w:hint="eastAsia" w:eastAsia="方正仿宋_GBK"/>
          <w:color w:val="000000"/>
          <w:spacing w:val="-2"/>
          <w:kern w:val="0"/>
          <w:sz w:val="24"/>
        </w:rPr>
        <w:t>分。</w:t>
      </w:r>
      <w:r>
        <w:rPr>
          <w:rFonts w:eastAsia="方正仿宋_GBK"/>
          <w:color w:val="000000"/>
          <w:spacing w:val="-2"/>
          <w:kern w:val="0"/>
          <w:sz w:val="24"/>
        </w:rPr>
        <w:t>”</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（七）采用综合评估法评标，施工组织设计中除缺少相应内容的评审要点不得分外，其它各项评审要点得分不应低于该评审要点满分的</w:t>
      </w:r>
      <w:r>
        <w:rPr>
          <w:rFonts w:eastAsia="方正仿宋_GBK"/>
          <w:color w:val="000000"/>
          <w:spacing w:val="-2"/>
          <w:kern w:val="0"/>
          <w:sz w:val="24"/>
        </w:rPr>
        <w:t>70%</w:t>
      </w:r>
      <w:r>
        <w:rPr>
          <w:rFonts w:hint="eastAsia" w:eastAsia="方正仿宋_GBK"/>
          <w:color w:val="000000"/>
          <w:spacing w:val="-2"/>
          <w:kern w:val="0"/>
          <w:sz w:val="24"/>
        </w:rPr>
        <w:t>。</w:t>
      </w:r>
    </w:p>
    <w:p>
      <w:pPr>
        <w:shd w:val="clear" w:color="auto" w:fill="FFFFFF"/>
        <w:spacing w:line="460" w:lineRule="exact"/>
        <w:ind w:firstLine="540"/>
        <w:rPr>
          <w:rFonts w:eastAsia="方正仿宋_GBK"/>
          <w:color w:val="000000"/>
          <w:spacing w:val="-2"/>
          <w:kern w:val="0"/>
          <w:sz w:val="24"/>
        </w:rPr>
      </w:pPr>
      <w:r>
        <w:rPr>
          <w:rFonts w:hint="eastAsia" w:eastAsia="方正仿宋_GBK"/>
          <w:color w:val="000000"/>
          <w:spacing w:val="-2"/>
          <w:kern w:val="0"/>
          <w:sz w:val="24"/>
        </w:rPr>
        <w:t>本通知自</w:t>
      </w:r>
      <w:r>
        <w:rPr>
          <w:rFonts w:eastAsia="方正仿宋_GBK"/>
          <w:color w:val="000000"/>
          <w:spacing w:val="-2"/>
          <w:kern w:val="0"/>
          <w:sz w:val="24"/>
        </w:rPr>
        <w:t>2015</w:t>
      </w:r>
      <w:r>
        <w:rPr>
          <w:rFonts w:hint="eastAsia" w:eastAsia="方正仿宋_GBK"/>
          <w:color w:val="000000"/>
          <w:spacing w:val="-2"/>
          <w:kern w:val="0"/>
          <w:sz w:val="24"/>
        </w:rPr>
        <w:t>年</w:t>
      </w:r>
      <w:r>
        <w:rPr>
          <w:rFonts w:eastAsia="方正仿宋_GBK"/>
          <w:color w:val="000000"/>
          <w:spacing w:val="-2"/>
          <w:kern w:val="0"/>
          <w:sz w:val="24"/>
        </w:rPr>
        <w:t>3</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日起施行。</w:t>
      </w:r>
    </w:p>
    <w:p>
      <w:pPr>
        <w:shd w:val="clear" w:color="auto" w:fill="FFFFFF"/>
        <w:spacing w:line="460" w:lineRule="exact"/>
        <w:ind w:firstLine="540"/>
        <w:rPr>
          <w:rFonts w:eastAsia="方正仿宋_GBK"/>
          <w:color w:val="000000"/>
          <w:spacing w:val="-2"/>
          <w:kern w:val="0"/>
          <w:sz w:val="24"/>
        </w:rPr>
      </w:pPr>
    </w:p>
    <w:p>
      <w:pPr>
        <w:spacing w:line="460" w:lineRule="exact"/>
        <w:ind w:right="409" w:rightChars="199"/>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782" w:rightChars="380" w:firstLine="4292" w:firstLineChars="1850"/>
        <w:jc w:val="right"/>
        <w:rPr>
          <w:rFonts w:eastAsia="方正仿宋_GBK"/>
          <w:color w:val="000000"/>
          <w:spacing w:val="-2"/>
          <w:sz w:val="24"/>
        </w:rPr>
      </w:pPr>
      <w:r>
        <w:rPr>
          <w:rFonts w:eastAsia="方正仿宋_GBK"/>
          <w:color w:val="000000"/>
          <w:spacing w:val="-2"/>
          <w:sz w:val="24"/>
        </w:rPr>
        <w:t>2015</w:t>
      </w:r>
      <w:r>
        <w:rPr>
          <w:rFonts w:hint="eastAsia" w:eastAsia="方正仿宋_GBK"/>
          <w:color w:val="000000"/>
          <w:spacing w:val="-2"/>
          <w:sz w:val="24"/>
        </w:rPr>
        <w:t>年</w:t>
      </w:r>
      <w:r>
        <w:rPr>
          <w:rFonts w:eastAsia="方正仿宋_GBK"/>
          <w:color w:val="000000"/>
          <w:spacing w:val="-2"/>
          <w:sz w:val="24"/>
        </w:rPr>
        <w:t>1</w:t>
      </w:r>
      <w:r>
        <w:rPr>
          <w:rFonts w:hint="eastAsia" w:eastAsia="方正仿宋_GBK"/>
          <w:color w:val="000000"/>
          <w:spacing w:val="-2"/>
          <w:sz w:val="24"/>
        </w:rPr>
        <w:t>月</w:t>
      </w:r>
      <w:r>
        <w:rPr>
          <w:rFonts w:eastAsia="方正仿宋_GBK"/>
          <w:color w:val="000000"/>
          <w:spacing w:val="-2"/>
          <w:sz w:val="24"/>
        </w:rPr>
        <w:t>21</w:t>
      </w:r>
      <w:r>
        <w:rPr>
          <w:rFonts w:hint="eastAsia" w:eastAsia="方正仿宋_GBK"/>
          <w:color w:val="000000"/>
          <w:spacing w:val="-2"/>
          <w:sz w:val="24"/>
        </w:rPr>
        <w:t>日</w:t>
      </w:r>
      <w:r>
        <w:rPr>
          <w:rFonts w:eastAsia="方正仿宋_GBK"/>
          <w:color w:val="000000"/>
          <w:spacing w:val="-2"/>
          <w:sz w:val="24"/>
        </w:rPr>
        <w:t xml:space="preserve">       </w:t>
      </w:r>
    </w:p>
    <w:p>
      <w:pPr>
        <w:spacing w:line="460" w:lineRule="exact"/>
        <w:ind w:firstLine="4292" w:firstLineChars="1850"/>
        <w:jc w:val="left"/>
        <w:rPr>
          <w:rFonts w:eastAsia="方正仿宋_GBK"/>
          <w:color w:val="000000"/>
          <w:spacing w:val="-2"/>
          <w:sz w:val="24"/>
        </w:rPr>
      </w:pPr>
    </w:p>
    <w:p/>
    <w:p/>
    <w:p/>
    <w:p/>
    <w:p/>
    <w:p/>
    <w:p/>
    <w:p/>
    <w:p/>
    <w:p>
      <w:pPr>
        <w:pStyle w:val="2"/>
        <w:spacing w:before="590" w:beforeLines="100" w:after="590" w:afterLines="100" w:line="240" w:lineRule="auto"/>
        <w:jc w:val="center"/>
        <w:rPr>
          <w:rFonts w:ascii="Times New Roman" w:eastAsia="方正小标宋_GBK"/>
          <w:b w:val="0"/>
          <w:sz w:val="36"/>
          <w:szCs w:val="36"/>
        </w:rPr>
      </w:pPr>
      <w:bookmarkStart w:id="716" w:name="_Toc20726721"/>
      <w:bookmarkStart w:id="717" w:name="_Toc18315857"/>
      <w:r>
        <w:rPr>
          <w:rFonts w:hint="eastAsia" w:ascii="Times New Roman" w:eastAsia="方正小标宋_GBK"/>
          <w:b w:val="0"/>
          <w:sz w:val="36"/>
          <w:szCs w:val="36"/>
        </w:rPr>
        <w:t>省住房城乡建设厅关于印发《江苏省房屋建筑和市政基础设施工程招标投标活动异议与投诉处理实施办法》  的通知</w:t>
      </w:r>
      <w:bookmarkEnd w:id="716"/>
      <w:bookmarkEnd w:id="717"/>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18" w:name="_Toc18315858"/>
      <w:bookmarkStart w:id="719" w:name="_Toc20726722"/>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2016</w:t>
      </w:r>
      <w:r>
        <w:rPr>
          <w:rFonts w:hint="eastAsia" w:ascii="Times New Roman" w:hAnsi="Times New Roman" w:eastAsia="方正楷体_GBK"/>
          <w:b w:val="0"/>
          <w:sz w:val="24"/>
          <w:szCs w:val="24"/>
        </w:rPr>
        <w:t>）</w:t>
      </w:r>
      <w:r>
        <w:rPr>
          <w:rFonts w:ascii="Times New Roman" w:hAnsi="Times New Roman" w:eastAsia="方正楷体_GBK"/>
          <w:b w:val="0"/>
          <w:sz w:val="24"/>
          <w:szCs w:val="24"/>
        </w:rPr>
        <w:t>4</w:t>
      </w:r>
      <w:r>
        <w:rPr>
          <w:rFonts w:hint="eastAsia" w:ascii="Times New Roman" w:hAnsi="Times New Roman" w:eastAsia="方正楷体_GBK"/>
          <w:b w:val="0"/>
          <w:sz w:val="24"/>
          <w:szCs w:val="24"/>
        </w:rPr>
        <w:t>号</w:t>
      </w:r>
      <w:bookmarkEnd w:id="718"/>
      <w:bookmarkEnd w:id="719"/>
    </w:p>
    <w:p>
      <w:pPr>
        <w:widowControl/>
        <w:spacing w:line="460" w:lineRule="exact"/>
        <w:rPr>
          <w:rFonts w:eastAsia="方正仿宋_GBK"/>
          <w:b/>
          <w:bCs/>
          <w:color w:val="000000"/>
          <w:kern w:val="0"/>
          <w:sz w:val="28"/>
          <w:szCs w:val="28"/>
        </w:rPr>
      </w:pPr>
    </w:p>
    <w:p>
      <w:pPr>
        <w:shd w:val="clear" w:color="auto" w:fill="FFFFFF"/>
        <w:spacing w:line="460" w:lineRule="exact"/>
        <w:jc w:val="center"/>
        <w:rPr>
          <w:rFonts w:ascii="Times New Roman" w:eastAsia="黑体"/>
          <w:bCs/>
          <w:color w:val="000000"/>
          <w:kern w:val="0"/>
          <w:sz w:val="32"/>
          <w:szCs w:val="32"/>
        </w:rPr>
      </w:pPr>
      <w:r>
        <w:rPr>
          <w:rFonts w:hint="eastAsia" w:ascii="Times New Roman" w:eastAsia="黑体"/>
          <w:bCs/>
          <w:color w:val="000000"/>
          <w:kern w:val="0"/>
          <w:sz w:val="32"/>
          <w:szCs w:val="32"/>
        </w:rPr>
        <w:t>江苏省房屋建筑和市政基础设施工程</w:t>
      </w:r>
    </w:p>
    <w:p>
      <w:pPr>
        <w:shd w:val="clear" w:color="auto" w:fill="FFFFFF"/>
        <w:spacing w:line="460" w:lineRule="exact"/>
        <w:jc w:val="center"/>
        <w:rPr>
          <w:rFonts w:hint="eastAsia" w:ascii="Times New Roman" w:eastAsia="黑体"/>
          <w:bCs/>
          <w:color w:val="000000"/>
          <w:kern w:val="0"/>
          <w:sz w:val="32"/>
          <w:szCs w:val="32"/>
        </w:rPr>
      </w:pPr>
      <w:r>
        <w:rPr>
          <w:rFonts w:hint="eastAsia" w:ascii="Times New Roman" w:eastAsia="黑体"/>
          <w:bCs/>
          <w:color w:val="000000"/>
          <w:kern w:val="0"/>
          <w:sz w:val="32"/>
          <w:szCs w:val="32"/>
        </w:rPr>
        <w:t>招标投标活动异议与投诉处理实施办法</w:t>
      </w:r>
    </w:p>
    <w:p>
      <w:pPr>
        <w:widowControl/>
        <w:spacing w:line="460" w:lineRule="exact"/>
        <w:rPr>
          <w:rFonts w:hint="eastAsia" w:eastAsia="方正仿宋_GBK"/>
          <w:color w:val="000000"/>
          <w:kern w:val="0"/>
          <w:sz w:val="24"/>
        </w:rPr>
      </w:pPr>
      <w:r>
        <w:rPr>
          <w:rFonts w:eastAsia="方正仿宋_GBK"/>
          <w:color w:val="000000"/>
          <w:kern w:val="0"/>
          <w:sz w:val="28"/>
          <w:szCs w:val="28"/>
        </w:rPr>
        <w:t> </w:t>
      </w:r>
    </w:p>
    <w:p>
      <w:pPr>
        <w:widowControl/>
        <w:spacing w:line="460" w:lineRule="exact"/>
        <w:jc w:val="center"/>
        <w:rPr>
          <w:rFonts w:ascii="Times New Roman" w:eastAsia="黑体"/>
          <w:color w:val="000000"/>
          <w:kern w:val="0"/>
          <w:sz w:val="24"/>
        </w:rPr>
      </w:pPr>
      <w:r>
        <w:rPr>
          <w:rFonts w:hint="eastAsia" w:ascii="Times New Roman" w:eastAsia="黑体"/>
          <w:color w:val="000000"/>
          <w:kern w:val="0"/>
          <w:sz w:val="24"/>
        </w:rPr>
        <w:t>第一章</w:t>
      </w:r>
      <w:r>
        <w:rPr>
          <w:rFonts w:eastAsia="黑体"/>
          <w:color w:val="000000"/>
          <w:kern w:val="0"/>
          <w:sz w:val="24"/>
        </w:rPr>
        <w:t>    </w:t>
      </w:r>
      <w:r>
        <w:rPr>
          <w:rFonts w:hint="eastAsia" w:ascii="Times New Roman" w:eastAsia="黑体"/>
          <w:color w:val="000000"/>
          <w:kern w:val="0"/>
          <w:sz w:val="24"/>
        </w:rPr>
        <w:t xml:space="preserve"> 总</w:t>
      </w:r>
      <w:r>
        <w:rPr>
          <w:rFonts w:eastAsia="黑体"/>
          <w:color w:val="000000"/>
          <w:kern w:val="0"/>
          <w:sz w:val="24"/>
        </w:rPr>
        <w:t> </w:t>
      </w:r>
      <w:r>
        <w:rPr>
          <w:rFonts w:hint="eastAsia" w:ascii="Times New Roman" w:eastAsia="黑体"/>
          <w:color w:val="000000"/>
          <w:kern w:val="0"/>
          <w:sz w:val="24"/>
        </w:rPr>
        <w:t xml:space="preserve"> 则</w:t>
      </w:r>
    </w:p>
    <w:p>
      <w:pPr>
        <w:widowControl/>
        <w:spacing w:line="460" w:lineRule="exact"/>
        <w:rPr>
          <w:rFonts w:hint="eastAsia" w:eastAsia="方正仿宋_GBK"/>
          <w:color w:val="000000"/>
          <w:kern w:val="0"/>
          <w:sz w:val="24"/>
        </w:rPr>
      </w:pPr>
      <w:r>
        <w:rPr>
          <w:rFonts w:eastAsia="方正仿宋_GBK"/>
          <w:color w:val="000000"/>
          <w:kern w:val="0"/>
          <w:sz w:val="24"/>
        </w:rPr>
        <w:t> </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第一条</w:t>
      </w:r>
      <w:r>
        <w:rPr>
          <w:rFonts w:eastAsia="方正仿宋_GBK"/>
          <w:b/>
          <w:bCs/>
          <w:color w:val="000000"/>
          <w:kern w:val="0"/>
          <w:sz w:val="24"/>
        </w:rPr>
        <w:t xml:space="preserve"> </w:t>
      </w:r>
      <w:r>
        <w:rPr>
          <w:rFonts w:hint="eastAsia" w:eastAsia="方正仿宋_GBK"/>
          <w:color w:val="000000"/>
          <w:kern w:val="0"/>
          <w:sz w:val="24"/>
          <w:shd w:val="clear" w:color="auto" w:fill="FFFFFF"/>
        </w:rPr>
        <w:t>为维护社会公共利益和招标投标当事人合法权益，建立公平、公正、高效的招标投标活动异议和投诉处理机制，根据《中华人民共和国招标投标法》、《中华人民共和国招标投标法实施条例》、《工程建设项目招标投标活动投诉处理办法》（七部委</w:t>
      </w:r>
      <w:r>
        <w:rPr>
          <w:rFonts w:eastAsia="方正仿宋_GBK"/>
          <w:color w:val="000000"/>
          <w:kern w:val="0"/>
          <w:sz w:val="24"/>
          <w:shd w:val="clear" w:color="auto" w:fill="FFFFFF"/>
        </w:rPr>
        <w:t>11</w:t>
      </w:r>
      <w:r>
        <w:rPr>
          <w:rFonts w:hint="eastAsia" w:eastAsia="方正仿宋_GBK"/>
          <w:color w:val="000000"/>
          <w:kern w:val="0"/>
          <w:sz w:val="24"/>
          <w:shd w:val="clear" w:color="auto" w:fill="FFFFFF"/>
        </w:rPr>
        <w:t>号令）等法律、法规及有关规章规定，结合我省实际，</w:t>
      </w:r>
      <w:r>
        <w:rPr>
          <w:rFonts w:hint="eastAsia" w:eastAsia="方正仿宋_GBK"/>
          <w:color w:val="000000"/>
          <w:kern w:val="0"/>
          <w:sz w:val="24"/>
        </w:rPr>
        <w:t>制定本办法。</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第二条</w:t>
      </w:r>
      <w:r>
        <w:rPr>
          <w:rFonts w:eastAsia="方正仿宋_GBK"/>
          <w:b/>
          <w:bCs/>
          <w:color w:val="000000"/>
          <w:kern w:val="0"/>
          <w:sz w:val="24"/>
        </w:rPr>
        <w:t xml:space="preserve"> </w:t>
      </w:r>
      <w:r>
        <w:rPr>
          <w:rFonts w:hint="eastAsia" w:eastAsia="方正仿宋_GBK"/>
          <w:color w:val="000000"/>
          <w:kern w:val="0"/>
          <w:sz w:val="24"/>
        </w:rPr>
        <w:t>本办法适用于本省范围内依法必须招标的房屋建筑和市政基</w:t>
      </w:r>
      <w:r>
        <w:rPr>
          <w:rFonts w:hint="eastAsia" w:eastAsia="方正仿宋_GBK"/>
          <w:color w:val="000000"/>
          <w:kern w:val="0"/>
          <w:sz w:val="24"/>
          <w:shd w:val="clear" w:color="auto" w:fill="FFFFFF"/>
        </w:rPr>
        <w:t>础设施工程招标投标活动的异议与投诉、受理与处理活动。</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第三条</w:t>
      </w:r>
      <w:r>
        <w:rPr>
          <w:rFonts w:eastAsia="方正仿宋_GBK"/>
          <w:b/>
          <w:bCs/>
          <w:color w:val="000000"/>
          <w:kern w:val="0"/>
          <w:sz w:val="24"/>
        </w:rPr>
        <w:t xml:space="preserve"> </w:t>
      </w:r>
      <w:r>
        <w:rPr>
          <w:rFonts w:hint="eastAsia" w:eastAsia="方正仿宋_GBK"/>
          <w:color w:val="000000"/>
          <w:kern w:val="0"/>
          <w:sz w:val="24"/>
          <w:shd w:val="clear" w:color="auto" w:fill="FFFFFF"/>
        </w:rPr>
        <w:t>省住房和城乡建设行政主管部门负责指导监督全省</w:t>
      </w:r>
      <w:r>
        <w:rPr>
          <w:rFonts w:hint="eastAsia" w:eastAsia="方正仿宋_GBK"/>
          <w:color w:val="000000"/>
          <w:kern w:val="0"/>
          <w:sz w:val="24"/>
        </w:rPr>
        <w:t>房屋建筑和市政基</w:t>
      </w:r>
      <w:r>
        <w:rPr>
          <w:rFonts w:hint="eastAsia" w:eastAsia="方正仿宋_GBK"/>
          <w:color w:val="000000"/>
          <w:kern w:val="0"/>
          <w:sz w:val="24"/>
          <w:shd w:val="clear" w:color="auto" w:fill="FFFFFF"/>
        </w:rPr>
        <w:t>础设施工程招标投标活动异议和投诉的处理。</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shd w:val="clear" w:color="auto" w:fill="FFFFFF"/>
        </w:rPr>
        <w:t>县级以上人民政府住房和城乡建设行政主管部门（以下统称行政监督部门）按照职责分工和监管权限，受理和处理招标投标投诉，对招标投标的异议处理进行监督。县级以上人民政府对招标投标活动监督职责分工另有规定的，从其规定。</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第四条</w:t>
      </w:r>
      <w:r>
        <w:rPr>
          <w:rFonts w:eastAsia="方正仿宋_GBK"/>
          <w:b/>
          <w:bCs/>
          <w:color w:val="000000"/>
          <w:kern w:val="0"/>
          <w:sz w:val="24"/>
        </w:rPr>
        <w:t xml:space="preserve"> </w:t>
      </w:r>
      <w:r>
        <w:rPr>
          <w:rFonts w:hint="eastAsia" w:eastAsia="方正仿宋_GBK"/>
          <w:color w:val="000000"/>
          <w:kern w:val="0"/>
          <w:sz w:val="24"/>
          <w:shd w:val="clear" w:color="auto" w:fill="FFFFFF"/>
        </w:rPr>
        <w:t>投标人或者其他利害关系人认为招标投标活动不符合法律、法规和规章规定的</w:t>
      </w:r>
      <w:r>
        <w:rPr>
          <w:rFonts w:eastAsia="方正仿宋_GBK"/>
          <w:color w:val="000000"/>
          <w:kern w:val="0"/>
          <w:sz w:val="24"/>
          <w:shd w:val="clear" w:color="auto" w:fill="FFFFFF"/>
        </w:rPr>
        <w:t>,</w:t>
      </w:r>
      <w:r>
        <w:rPr>
          <w:rFonts w:hint="eastAsia" w:eastAsia="方正仿宋_GBK"/>
          <w:color w:val="000000"/>
          <w:kern w:val="0"/>
          <w:sz w:val="24"/>
          <w:shd w:val="clear" w:color="auto" w:fill="FFFFFF"/>
        </w:rPr>
        <w:t>可以依法向招标人提出异议，也可以在知道或者应当知道之日起</w:t>
      </w:r>
      <w:r>
        <w:rPr>
          <w:rFonts w:eastAsia="方正仿宋_GBK"/>
          <w:color w:val="000000"/>
          <w:kern w:val="0"/>
          <w:sz w:val="24"/>
          <w:shd w:val="clear" w:color="auto" w:fill="FFFFFF"/>
        </w:rPr>
        <w:t>10</w:t>
      </w:r>
      <w:r>
        <w:rPr>
          <w:rFonts w:hint="eastAsia" w:eastAsia="方正仿宋_GBK"/>
          <w:color w:val="000000"/>
          <w:kern w:val="0"/>
          <w:sz w:val="24"/>
          <w:shd w:val="clear" w:color="auto" w:fill="FFFFFF"/>
        </w:rPr>
        <w:t>日内，向有关行政监督部门投诉，但就《中华人民共和国招标投标法实施条例》第二十二条、第四十四条、第五十四条规定事项进行投诉的，应当依法先向招标人提出异议。异议答复期间不计入投诉受理期限内。</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第五条</w:t>
      </w:r>
      <w:r>
        <w:rPr>
          <w:rFonts w:eastAsia="方正仿宋_GBK"/>
          <w:color w:val="000000"/>
          <w:kern w:val="0"/>
          <w:sz w:val="24"/>
        </w:rPr>
        <w:t xml:space="preserve"> </w:t>
      </w:r>
      <w:r>
        <w:rPr>
          <w:rFonts w:hint="eastAsia" w:eastAsia="方正仿宋_GBK"/>
          <w:color w:val="000000"/>
          <w:kern w:val="0"/>
          <w:sz w:val="24"/>
        </w:rPr>
        <w:t>招标人应当在资格预审文件、招标文件中明确异议、投诉受理的机构及其电话、传真、电子信箱和通讯地址等信息。同时在招标文件中告知投标人及其他利害关系人在法定的时限内行使异议或者投诉的权利。</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第六条</w:t>
      </w:r>
      <w:r>
        <w:rPr>
          <w:rFonts w:eastAsia="方正仿宋_GBK"/>
          <w:color w:val="000000"/>
          <w:kern w:val="0"/>
          <w:sz w:val="24"/>
        </w:rPr>
        <w:t xml:space="preserve"> </w:t>
      </w:r>
      <w:r>
        <w:rPr>
          <w:rFonts w:hint="eastAsia" w:eastAsia="方正仿宋_GBK"/>
          <w:color w:val="000000"/>
          <w:kern w:val="0"/>
          <w:sz w:val="24"/>
        </w:rPr>
        <w:t>异议、投诉的处理</w:t>
      </w:r>
      <w:r>
        <w:rPr>
          <w:rFonts w:hint="eastAsia" w:eastAsia="方正仿宋_GBK"/>
          <w:color w:val="000000"/>
          <w:kern w:val="0"/>
          <w:sz w:val="24"/>
          <w:shd w:val="clear" w:color="auto" w:fill="FFFFFF"/>
        </w:rPr>
        <w:t>应当坚持公平、公正、效率原则，在法定的期限内作出处理决定，维护国家利益、社会公共利益和招标投标当事人及其他利害关系人的合法权益。</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第七条</w:t>
      </w:r>
      <w:r>
        <w:rPr>
          <w:rFonts w:eastAsia="方正仿宋_GBK"/>
          <w:color w:val="000000"/>
          <w:kern w:val="0"/>
          <w:sz w:val="24"/>
          <w:shd w:val="clear" w:color="auto" w:fill="FFFFFF"/>
        </w:rPr>
        <w:t xml:space="preserve"> </w:t>
      </w:r>
      <w:r>
        <w:rPr>
          <w:rFonts w:hint="eastAsia" w:eastAsia="方正仿宋_GBK"/>
          <w:color w:val="000000"/>
          <w:kern w:val="0"/>
          <w:sz w:val="24"/>
        </w:rPr>
        <w:t>房屋建筑和市政基础设施工程项目招标投标实行招标人负责制。招标人应当依法处理异议，配合行政监督部门处理投诉。</w:t>
      </w:r>
    </w:p>
    <w:p>
      <w:pPr>
        <w:widowControl/>
        <w:spacing w:line="460" w:lineRule="exact"/>
        <w:ind w:firstLine="560"/>
        <w:rPr>
          <w:rFonts w:eastAsia="方正仿宋_GBK"/>
          <w:color w:val="000000"/>
          <w:kern w:val="0"/>
          <w:sz w:val="24"/>
        </w:rPr>
      </w:pPr>
      <w:r>
        <w:rPr>
          <w:rFonts w:eastAsia="方正仿宋_GBK"/>
          <w:color w:val="000000"/>
          <w:kern w:val="0"/>
          <w:sz w:val="24"/>
        </w:rPr>
        <w:t>  </w:t>
      </w:r>
    </w:p>
    <w:p>
      <w:pPr>
        <w:widowControl/>
        <w:spacing w:line="460" w:lineRule="exact"/>
        <w:jc w:val="center"/>
        <w:rPr>
          <w:rFonts w:ascii="Times New Roman" w:eastAsia="黑体"/>
          <w:color w:val="000000"/>
          <w:kern w:val="0"/>
          <w:sz w:val="24"/>
        </w:rPr>
      </w:pPr>
      <w:r>
        <w:rPr>
          <w:rFonts w:hint="eastAsia" w:ascii="Times New Roman" w:eastAsia="黑体"/>
          <w:color w:val="000000"/>
          <w:kern w:val="0"/>
          <w:sz w:val="24"/>
        </w:rPr>
        <w:t>第二章</w:t>
      </w:r>
      <w:r>
        <w:rPr>
          <w:rFonts w:ascii="Times New Roman" w:eastAsia="黑体"/>
          <w:color w:val="000000"/>
          <w:kern w:val="0"/>
          <w:sz w:val="24"/>
        </w:rPr>
        <w:t> </w:t>
      </w:r>
      <w:r>
        <w:rPr>
          <w:rFonts w:hint="eastAsia" w:ascii="Times New Roman" w:eastAsia="黑体"/>
          <w:color w:val="000000"/>
          <w:kern w:val="0"/>
          <w:sz w:val="24"/>
        </w:rPr>
        <w:t xml:space="preserve"> 异议的提出与处理</w:t>
      </w:r>
    </w:p>
    <w:p>
      <w:pPr>
        <w:widowControl/>
        <w:spacing w:line="460" w:lineRule="exact"/>
        <w:ind w:firstLine="160"/>
        <w:rPr>
          <w:rFonts w:hint="eastAsia" w:eastAsia="方正仿宋_GBK"/>
          <w:color w:val="000000"/>
          <w:kern w:val="0"/>
          <w:sz w:val="24"/>
        </w:rPr>
      </w:pPr>
      <w:r>
        <w:rPr>
          <w:rFonts w:eastAsia="方正仿宋_GBK"/>
          <w:color w:val="000000"/>
          <w:kern w:val="0"/>
          <w:sz w:val="24"/>
        </w:rPr>
        <w:t> </w:t>
      </w:r>
    </w:p>
    <w:p>
      <w:pPr>
        <w:widowControl/>
        <w:shd w:val="clear" w:color="auto" w:fill="FFFFFF"/>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第八条</w:t>
      </w:r>
      <w:r>
        <w:rPr>
          <w:rFonts w:eastAsia="方正仿宋_GBK"/>
          <w:color w:val="000000"/>
          <w:kern w:val="0"/>
          <w:sz w:val="24"/>
        </w:rPr>
        <w:t xml:space="preserve"> </w:t>
      </w:r>
      <w:r>
        <w:rPr>
          <w:rFonts w:hint="eastAsia" w:eastAsia="方正仿宋_GBK"/>
          <w:color w:val="000000"/>
          <w:kern w:val="0"/>
          <w:sz w:val="24"/>
        </w:rPr>
        <w:t>异议提出的期限规定如下：</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（一）对资格预审文件有异议的，潜在投标人或者其他利害关系人应当在提交资格预审申请文件截止时间</w:t>
      </w:r>
      <w:r>
        <w:rPr>
          <w:rFonts w:eastAsia="方正仿宋_GBK"/>
          <w:color w:val="000000"/>
          <w:kern w:val="0"/>
          <w:sz w:val="24"/>
        </w:rPr>
        <w:t>2</w:t>
      </w:r>
      <w:r>
        <w:rPr>
          <w:rFonts w:hint="eastAsia" w:eastAsia="方正仿宋_GBK"/>
          <w:color w:val="000000"/>
          <w:kern w:val="0"/>
          <w:sz w:val="24"/>
        </w:rPr>
        <w:t>日前提出；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（二）对招标文件有异议的，潜在投标人或者其他利害关系人应当在投标截止时间</w:t>
      </w:r>
      <w:r>
        <w:rPr>
          <w:rFonts w:eastAsia="方正仿宋_GBK"/>
          <w:color w:val="000000"/>
          <w:kern w:val="0"/>
          <w:sz w:val="24"/>
        </w:rPr>
        <w:t>10</w:t>
      </w:r>
      <w:r>
        <w:rPr>
          <w:rFonts w:hint="eastAsia" w:eastAsia="方正仿宋_GBK"/>
          <w:color w:val="000000"/>
          <w:kern w:val="0"/>
          <w:sz w:val="24"/>
        </w:rPr>
        <w:t>日前提出，其中对采用合理价随机确定中标人法发包的，在提交投标文件截止时间</w:t>
      </w:r>
      <w:r>
        <w:rPr>
          <w:rFonts w:eastAsia="方正仿宋_GBK"/>
          <w:color w:val="000000"/>
          <w:kern w:val="0"/>
          <w:sz w:val="24"/>
        </w:rPr>
        <w:t>1</w:t>
      </w:r>
      <w:r>
        <w:rPr>
          <w:rFonts w:hint="eastAsia" w:eastAsia="方正仿宋_GBK"/>
          <w:color w:val="000000"/>
          <w:kern w:val="0"/>
          <w:sz w:val="24"/>
        </w:rPr>
        <w:t>日前提出；</w:t>
      </w:r>
    </w:p>
    <w:p>
      <w:pPr>
        <w:widowControl/>
        <w:spacing w:line="460" w:lineRule="exact"/>
        <w:ind w:firstLine="472" w:firstLineChars="200"/>
        <w:rPr>
          <w:rFonts w:eastAsia="方正仿宋_GBK"/>
          <w:color w:val="000000"/>
          <w:spacing w:val="-6"/>
          <w:kern w:val="0"/>
          <w:sz w:val="24"/>
        </w:rPr>
      </w:pPr>
      <w:r>
        <w:rPr>
          <w:rFonts w:hint="eastAsia" w:eastAsia="方正仿宋_GBK"/>
          <w:color w:val="000000"/>
          <w:kern w:val="0"/>
          <w:sz w:val="24"/>
        </w:rPr>
        <w:t>（三）</w:t>
      </w:r>
      <w:r>
        <w:rPr>
          <w:rFonts w:hint="eastAsia" w:eastAsia="方正仿宋_GBK"/>
          <w:color w:val="000000"/>
          <w:spacing w:val="-6"/>
          <w:kern w:val="0"/>
          <w:sz w:val="24"/>
        </w:rPr>
        <w:t>对资格预审不合格结果有异议的，应在资格预审未入围结果公示期内提出；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（四）对开标有异议的，应当在开标现场提出；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（五）对评标结果有异议的，投标人或者其他利害关系人应当在中标候选人的公示期间提出。</w:t>
      </w:r>
    </w:p>
    <w:p>
      <w:pPr>
        <w:widowControl/>
        <w:spacing w:line="460" w:lineRule="exact"/>
        <w:ind w:firstLine="472" w:firstLineChars="200"/>
        <w:rPr>
          <w:rFonts w:eastAsia="方正仿宋_GBK"/>
          <w:color w:val="000000"/>
          <w:spacing w:val="-6"/>
          <w:kern w:val="0"/>
          <w:sz w:val="24"/>
        </w:rPr>
      </w:pPr>
      <w:r>
        <w:rPr>
          <w:rFonts w:hint="eastAsia" w:ascii="Times New Roman" w:eastAsia="黑体"/>
          <w:bCs/>
          <w:color w:val="000000"/>
          <w:kern w:val="0"/>
          <w:sz w:val="24"/>
        </w:rPr>
        <w:t>第九条</w:t>
      </w:r>
      <w:r>
        <w:rPr>
          <w:rFonts w:eastAsia="方正仿宋_GBK"/>
          <w:color w:val="000000"/>
          <w:kern w:val="0"/>
          <w:sz w:val="24"/>
        </w:rPr>
        <w:t xml:space="preserve"> </w:t>
      </w:r>
      <w:r>
        <w:rPr>
          <w:rFonts w:hint="eastAsia" w:eastAsia="方正仿宋_GBK"/>
          <w:color w:val="000000"/>
          <w:spacing w:val="-6"/>
          <w:kern w:val="0"/>
          <w:sz w:val="24"/>
        </w:rPr>
        <w:t>异议人对涉及开标事项提出异议的，应当在开标现场以书面形式提出，招标人应当当场作出答复，并制作记录。开标结束后投标人不得对开标事项再提出异议。</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第十条</w:t>
      </w:r>
      <w:r>
        <w:rPr>
          <w:rFonts w:eastAsia="方正仿宋_GBK"/>
          <w:color w:val="000000"/>
          <w:kern w:val="0"/>
          <w:sz w:val="24"/>
        </w:rPr>
        <w:t xml:space="preserve"> </w:t>
      </w:r>
      <w:r>
        <w:rPr>
          <w:rFonts w:hint="eastAsia" w:eastAsia="方正仿宋_GBK"/>
          <w:color w:val="000000"/>
          <w:kern w:val="0"/>
          <w:sz w:val="24"/>
        </w:rPr>
        <w:t>异议人对除涉及开标事项提出异议的，应当向招标人提交异议书（格式见附件</w:t>
      </w:r>
      <w:r>
        <w:rPr>
          <w:rFonts w:eastAsia="方正仿宋_GBK"/>
          <w:color w:val="000000"/>
          <w:kern w:val="0"/>
          <w:sz w:val="24"/>
        </w:rPr>
        <w:t>1</w:t>
      </w:r>
      <w:r>
        <w:rPr>
          <w:rFonts w:hint="eastAsia" w:eastAsia="方正仿宋_GBK"/>
          <w:color w:val="000000"/>
          <w:kern w:val="0"/>
          <w:sz w:val="24"/>
        </w:rPr>
        <w:t>），异议书应当包括下列主要内容：</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（一）异议人名称、地址及有效联系方式；</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（二）异议的基本事实、有效线索和相关证明材料；</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（三）相关请求及主张；</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（四）异议人系其他利害关系人的相关说明。</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第十一条</w:t>
      </w:r>
      <w:r>
        <w:rPr>
          <w:rFonts w:eastAsia="方正仿宋_GBK"/>
          <w:color w:val="000000"/>
          <w:kern w:val="0"/>
          <w:sz w:val="24"/>
        </w:rPr>
        <w:t xml:space="preserve"> </w:t>
      </w:r>
      <w:r>
        <w:rPr>
          <w:rFonts w:hint="eastAsia" w:eastAsia="方正仿宋_GBK"/>
          <w:color w:val="000000"/>
          <w:kern w:val="0"/>
          <w:sz w:val="24"/>
        </w:rPr>
        <w:t>异议人要求撤回异议的，应当以书面形式提出。招标人同意撤回的，异议程序终止。</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异议人撤回异议的，不得以同一理由再次提出异议和提出投诉。</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第十二条</w:t>
      </w:r>
      <w:r>
        <w:rPr>
          <w:rFonts w:eastAsia="方正仿宋_GBK"/>
          <w:color w:val="000000"/>
          <w:kern w:val="0"/>
          <w:sz w:val="24"/>
        </w:rPr>
        <w:t xml:space="preserve"> </w:t>
      </w:r>
      <w:r>
        <w:rPr>
          <w:rFonts w:hint="eastAsia" w:eastAsia="方正仿宋_GBK"/>
          <w:color w:val="000000"/>
          <w:kern w:val="0"/>
          <w:sz w:val="24"/>
        </w:rPr>
        <w:t>招标人应当在法定时限内完成异议处理。对资格预审文件、招标文件、评标结果的异议，招标人应当自异议受理之日起</w:t>
      </w:r>
      <w:r>
        <w:rPr>
          <w:rFonts w:eastAsia="方正仿宋_GBK"/>
          <w:color w:val="000000"/>
          <w:kern w:val="0"/>
          <w:sz w:val="24"/>
        </w:rPr>
        <w:t>3</w:t>
      </w:r>
      <w:r>
        <w:rPr>
          <w:rFonts w:hint="eastAsia" w:eastAsia="方正仿宋_GBK"/>
          <w:color w:val="000000"/>
          <w:kern w:val="0"/>
          <w:sz w:val="24"/>
        </w:rPr>
        <w:t>日内作出书面答复（格式见附件</w:t>
      </w:r>
      <w:r>
        <w:rPr>
          <w:rFonts w:eastAsia="方正仿宋_GBK"/>
          <w:color w:val="000000"/>
          <w:kern w:val="0"/>
          <w:sz w:val="24"/>
        </w:rPr>
        <w:t>2</w:t>
      </w:r>
      <w:r>
        <w:rPr>
          <w:rFonts w:hint="eastAsia" w:eastAsia="方正仿宋_GBK"/>
          <w:color w:val="000000"/>
          <w:kern w:val="0"/>
          <w:sz w:val="24"/>
        </w:rPr>
        <w:t>），答复内容不得涉及商业秘密。未在规定时限内答复的，行政监督部门应当责令招标人依法作出答复。</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招标人处理异议需要进行检验、检测、鉴定、调查取证、组织专家评审或到外地调查的，所需时间不计入前款规定时限。</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异议答复前应当暂停招标投标活动。</w:t>
      </w:r>
    </w:p>
    <w:p>
      <w:pPr>
        <w:widowControl/>
        <w:spacing w:line="460" w:lineRule="exact"/>
        <w:ind w:firstLine="472" w:firstLineChars="200"/>
        <w:rPr>
          <w:rFonts w:eastAsia="方正仿宋_GBK"/>
          <w:color w:val="000000"/>
          <w:spacing w:val="-6"/>
          <w:kern w:val="0"/>
          <w:sz w:val="24"/>
        </w:rPr>
      </w:pPr>
      <w:r>
        <w:rPr>
          <w:rFonts w:hint="eastAsia" w:ascii="Times New Roman" w:eastAsia="黑体"/>
          <w:bCs/>
          <w:color w:val="000000"/>
          <w:kern w:val="0"/>
          <w:sz w:val="24"/>
        </w:rPr>
        <w:t>第十三条</w:t>
      </w:r>
      <w:r>
        <w:rPr>
          <w:rFonts w:eastAsia="方正仿宋_GBK"/>
          <w:color w:val="000000"/>
          <w:kern w:val="0"/>
          <w:sz w:val="24"/>
        </w:rPr>
        <w:t xml:space="preserve"> </w:t>
      </w:r>
      <w:r>
        <w:rPr>
          <w:rFonts w:hint="eastAsia" w:eastAsia="方正仿宋_GBK"/>
          <w:color w:val="000000"/>
          <w:spacing w:val="-6"/>
          <w:kern w:val="0"/>
          <w:sz w:val="24"/>
        </w:rPr>
        <w:t>招标人应当将书面答复自作出之日起</w:t>
      </w:r>
      <w:r>
        <w:rPr>
          <w:rFonts w:eastAsia="方正仿宋_GBK"/>
          <w:color w:val="000000"/>
          <w:spacing w:val="-6"/>
          <w:kern w:val="0"/>
          <w:sz w:val="24"/>
        </w:rPr>
        <w:t>2</w:t>
      </w:r>
      <w:r>
        <w:rPr>
          <w:rFonts w:hint="eastAsia" w:eastAsia="方正仿宋_GBK"/>
          <w:color w:val="000000"/>
          <w:spacing w:val="-6"/>
          <w:kern w:val="0"/>
          <w:sz w:val="24"/>
        </w:rPr>
        <w:t>个工作日内抄送行政监督部门。</w:t>
      </w:r>
    </w:p>
    <w:p>
      <w:pPr>
        <w:widowControl/>
        <w:spacing w:line="460" w:lineRule="exact"/>
        <w:ind w:firstLine="560"/>
        <w:rPr>
          <w:rFonts w:eastAsia="方正仿宋_GBK"/>
          <w:color w:val="000000"/>
          <w:kern w:val="0"/>
          <w:sz w:val="24"/>
        </w:rPr>
      </w:pPr>
      <w:r>
        <w:rPr>
          <w:rFonts w:eastAsia="方正仿宋_GBK"/>
          <w:color w:val="000000"/>
          <w:kern w:val="0"/>
          <w:sz w:val="24"/>
        </w:rPr>
        <w:t> </w:t>
      </w:r>
    </w:p>
    <w:p>
      <w:pPr>
        <w:widowControl/>
        <w:spacing w:line="460" w:lineRule="exact"/>
        <w:jc w:val="center"/>
        <w:rPr>
          <w:rFonts w:ascii="Times New Roman" w:eastAsia="黑体"/>
          <w:color w:val="000000"/>
          <w:kern w:val="0"/>
          <w:sz w:val="24"/>
        </w:rPr>
      </w:pPr>
      <w:r>
        <w:rPr>
          <w:rFonts w:hint="eastAsia" w:ascii="Times New Roman" w:eastAsia="黑体"/>
          <w:color w:val="000000"/>
          <w:kern w:val="0"/>
          <w:sz w:val="24"/>
        </w:rPr>
        <w:t>第三章</w:t>
      </w:r>
      <w:r>
        <w:rPr>
          <w:rFonts w:ascii="Times New Roman" w:eastAsia="黑体"/>
          <w:color w:val="000000"/>
          <w:kern w:val="0"/>
          <w:sz w:val="24"/>
        </w:rPr>
        <w:t> </w:t>
      </w:r>
      <w:r>
        <w:rPr>
          <w:rFonts w:hint="eastAsia" w:ascii="Times New Roman" w:eastAsia="黑体"/>
          <w:color w:val="000000"/>
          <w:kern w:val="0"/>
          <w:sz w:val="24"/>
        </w:rPr>
        <w:t xml:space="preserve"> 投诉的提出和处理</w:t>
      </w:r>
    </w:p>
    <w:p>
      <w:pPr>
        <w:widowControl/>
        <w:spacing w:line="460" w:lineRule="exact"/>
        <w:rPr>
          <w:rFonts w:hint="eastAsia" w:eastAsia="方正仿宋_GBK"/>
          <w:color w:val="000000"/>
          <w:kern w:val="0"/>
          <w:sz w:val="24"/>
        </w:rPr>
      </w:pPr>
      <w:r>
        <w:rPr>
          <w:rFonts w:eastAsia="方正仿宋_GBK"/>
          <w:color w:val="000000"/>
          <w:kern w:val="0"/>
          <w:sz w:val="24"/>
        </w:rPr>
        <w:t> </w:t>
      </w:r>
    </w:p>
    <w:p>
      <w:pPr>
        <w:widowControl/>
        <w:shd w:val="clear" w:color="auto" w:fill="FFFFFF"/>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第十四条</w:t>
      </w:r>
      <w:r>
        <w:rPr>
          <w:rFonts w:eastAsia="方正仿宋_GBK"/>
          <w:color w:val="000000"/>
          <w:kern w:val="0"/>
          <w:sz w:val="24"/>
        </w:rPr>
        <w:t xml:space="preserve"> </w:t>
      </w:r>
      <w:r>
        <w:rPr>
          <w:rFonts w:hint="eastAsia" w:eastAsia="方正仿宋_GBK"/>
          <w:color w:val="000000"/>
          <w:kern w:val="0"/>
          <w:sz w:val="24"/>
        </w:rPr>
        <w:t>对资格预审公告、招标公告、资格预审文件、招标文件、招标控制价、资格预审结果、评标结果提出投诉的，以其发布或者公示之日作为投诉人知道或者应当知道之日。</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第十五条</w:t>
      </w:r>
      <w:r>
        <w:rPr>
          <w:rFonts w:eastAsia="方正仿宋_GBK"/>
          <w:color w:val="000000"/>
          <w:kern w:val="0"/>
          <w:sz w:val="24"/>
        </w:rPr>
        <w:t xml:space="preserve"> </w:t>
      </w:r>
      <w:r>
        <w:rPr>
          <w:rFonts w:hint="eastAsia" w:eastAsia="方正仿宋_GBK"/>
          <w:color w:val="000000"/>
          <w:kern w:val="0"/>
          <w:sz w:val="24"/>
        </w:rPr>
        <w:t>投诉人应当向项目所在地行政监督部门投诉。投诉应当提交投诉书（格式见附件</w:t>
      </w:r>
      <w:r>
        <w:rPr>
          <w:rFonts w:eastAsia="方正仿宋_GBK"/>
          <w:color w:val="000000"/>
          <w:kern w:val="0"/>
          <w:sz w:val="24"/>
        </w:rPr>
        <w:t>3</w:t>
      </w:r>
      <w:r>
        <w:rPr>
          <w:rFonts w:hint="eastAsia" w:eastAsia="方正仿宋_GBK"/>
          <w:color w:val="000000"/>
          <w:kern w:val="0"/>
          <w:sz w:val="24"/>
        </w:rPr>
        <w:t>），投诉书应当包括下列内容：</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（一）投诉人的名称、地址及有效联系方式；</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（二）被投诉人的名称、地址及有效联系方式；</w:t>
      </w:r>
      <w:r>
        <w:rPr>
          <w:rFonts w:eastAsia="方正仿宋_GBK"/>
          <w:color w:val="000000"/>
          <w:kern w:val="0"/>
          <w:sz w:val="24"/>
        </w:rPr>
        <w:t> </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（三）投诉事项的基本事实；</w:t>
      </w:r>
      <w:r>
        <w:rPr>
          <w:rFonts w:eastAsia="方正仿宋_GBK"/>
          <w:color w:val="000000"/>
          <w:kern w:val="0"/>
          <w:sz w:val="24"/>
        </w:rPr>
        <w:t> </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（四）相关请求及主张；</w:t>
      </w:r>
      <w:r>
        <w:rPr>
          <w:rFonts w:eastAsia="方正仿宋_GBK"/>
          <w:color w:val="000000"/>
          <w:kern w:val="0"/>
          <w:sz w:val="24"/>
        </w:rPr>
        <w:t> </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（五）有效线索和相关证明材料。</w:t>
      </w:r>
      <w:r>
        <w:rPr>
          <w:rFonts w:eastAsia="方正仿宋_GBK"/>
          <w:color w:val="000000"/>
          <w:kern w:val="0"/>
          <w:sz w:val="24"/>
        </w:rPr>
        <w:br w:type="textWrapping"/>
      </w:r>
      <w:r>
        <w:rPr>
          <w:rFonts w:hint="eastAsia" w:eastAsia="方正仿宋_GBK"/>
          <w:color w:val="000000"/>
          <w:kern w:val="0"/>
          <w:sz w:val="24"/>
        </w:rPr>
        <w:t>　　对依法应当在投诉前提出异议的事项，投诉时应当同时附上异议书和招标人异议答复函。</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第十六条</w:t>
      </w:r>
      <w:r>
        <w:rPr>
          <w:rFonts w:eastAsia="方正仿宋_GBK"/>
          <w:color w:val="000000"/>
          <w:kern w:val="0"/>
          <w:sz w:val="24"/>
        </w:rPr>
        <w:t xml:space="preserve"> </w:t>
      </w:r>
      <w:r>
        <w:rPr>
          <w:rFonts w:hint="eastAsia" w:eastAsia="方正仿宋_GBK"/>
          <w:color w:val="000000"/>
          <w:kern w:val="0"/>
          <w:sz w:val="24"/>
        </w:rPr>
        <w:t>行政监督部门收到投诉书后，应当在</w:t>
      </w:r>
      <w:r>
        <w:rPr>
          <w:rFonts w:eastAsia="方正仿宋_GBK"/>
          <w:color w:val="000000"/>
          <w:kern w:val="0"/>
          <w:sz w:val="24"/>
        </w:rPr>
        <w:t>3</w:t>
      </w:r>
      <w:r>
        <w:rPr>
          <w:rFonts w:hint="eastAsia" w:eastAsia="方正仿宋_GBK"/>
          <w:color w:val="000000"/>
          <w:kern w:val="0"/>
          <w:sz w:val="24"/>
        </w:rPr>
        <w:t>个工作日内进行审查，视情况分别作出以下处理决定：</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（一）对不符合投诉处理条件的，决定不予受理，并将不予受理的理由书面（格式见附件</w:t>
      </w:r>
      <w:r>
        <w:rPr>
          <w:rFonts w:eastAsia="方正仿宋_GBK"/>
          <w:color w:val="000000"/>
          <w:kern w:val="0"/>
          <w:sz w:val="24"/>
        </w:rPr>
        <w:t>4</w:t>
      </w:r>
      <w:r>
        <w:rPr>
          <w:rFonts w:hint="eastAsia" w:eastAsia="方正仿宋_GBK"/>
          <w:color w:val="000000"/>
          <w:kern w:val="0"/>
          <w:sz w:val="24"/>
        </w:rPr>
        <w:t>）告知投诉人，其中对依法应当在投诉前提出异议且仍在异议期限内的，告知投诉人及时向招标人提出异议；</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（二）投诉事项有多项但有部分事项不符合投诉处理条件的，对其中符合投诉处理条件的事项应当予以受理，对不符合投诉处理条件的事项不予受理，并书面告知投诉人不予受理的理由</w:t>
      </w:r>
      <w:r>
        <w:rPr>
          <w:rFonts w:eastAsia="方正仿宋_GBK"/>
          <w:color w:val="000000"/>
          <w:kern w:val="0"/>
          <w:sz w:val="24"/>
        </w:rPr>
        <w:t>;</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（三）对符合投诉处理条件，但不属于本部门受理的投诉，书面告知投诉人向其他行政监督部门提出投诉；</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对于符合投诉处理条件并决定受理的，收到投诉书之日即为受理日。必要时，行政监督部门可以责令暂停招标投标活动。</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第十七条</w:t>
      </w:r>
      <w:r>
        <w:rPr>
          <w:rFonts w:eastAsia="方正仿宋_GBK"/>
          <w:color w:val="000000"/>
          <w:kern w:val="0"/>
          <w:sz w:val="24"/>
        </w:rPr>
        <w:t xml:space="preserve"> </w:t>
      </w:r>
      <w:r>
        <w:rPr>
          <w:rFonts w:hint="eastAsia" w:eastAsia="方正仿宋_GBK"/>
          <w:color w:val="000000"/>
          <w:kern w:val="0"/>
          <w:sz w:val="24"/>
        </w:rPr>
        <w:t>有下列情形之一的投诉，不予受理：</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（一）投诉人不是所投诉招标投标活动的参与者，或者与投诉项目无任何利害关系，或者无法证明其为招投标活动的参与者或者其它利害关系的；</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（二）投诉事项不具体，且未提供有效线索，难以查证的；</w:t>
      </w:r>
      <w:r>
        <w:rPr>
          <w:rFonts w:eastAsia="方正仿宋_GBK"/>
          <w:color w:val="000000"/>
          <w:kern w:val="0"/>
          <w:sz w:val="24"/>
        </w:rPr>
        <w:t> </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（三）投诉书未署具投诉人真实姓名、签字和有效联系方式的；以法人名义投诉的，投诉书未经法定代表人或者授权委托人签字并加盖公章的；</w:t>
      </w:r>
      <w:r>
        <w:rPr>
          <w:rFonts w:eastAsia="方正仿宋_GBK"/>
          <w:color w:val="000000"/>
          <w:kern w:val="0"/>
          <w:sz w:val="24"/>
        </w:rPr>
        <w:t> </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（四）超过投诉时效的；</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（五）已经作出处理决定，并且投诉人没有提出新的证据；</w:t>
      </w:r>
      <w:r>
        <w:rPr>
          <w:rFonts w:eastAsia="方正仿宋_GBK"/>
          <w:color w:val="000000"/>
          <w:kern w:val="0"/>
          <w:sz w:val="24"/>
        </w:rPr>
        <w:t> </w:t>
      </w:r>
    </w:p>
    <w:p>
      <w:pPr>
        <w:widowControl/>
        <w:shd w:val="clear" w:color="auto" w:fill="FFFFFF"/>
        <w:spacing w:line="460" w:lineRule="exact"/>
        <w:ind w:firstLine="472" w:firstLineChars="200"/>
        <w:rPr>
          <w:rFonts w:eastAsia="方正仿宋_GBK"/>
          <w:color w:val="000000"/>
          <w:kern w:val="0"/>
          <w:sz w:val="24"/>
        </w:rPr>
      </w:pPr>
      <w:r>
        <w:rPr>
          <w:rFonts w:hint="eastAsia" w:eastAsia="方正仿宋_GBK"/>
          <w:color w:val="000000"/>
          <w:kern w:val="0"/>
          <w:sz w:val="24"/>
        </w:rPr>
        <w:t>（六）准予撤回投诉后又以同一事实和理由提出投诉的；</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（七）应先提出异议的投诉事项没有提出异议的，或者招标人已暂停招投标活动并正在对异议人提出的异议进行调查处理的；</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（八）投诉事项已进入行政复议或者行政诉讼程序的；</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（九）投诉人就同一事实和理由再提出投诉的。</w:t>
      </w:r>
      <w:r>
        <w:rPr>
          <w:rFonts w:eastAsia="方正仿宋_GBK"/>
          <w:color w:val="000000"/>
          <w:kern w:val="0"/>
          <w:sz w:val="24"/>
        </w:rPr>
        <w:t> </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第十八条</w:t>
      </w:r>
      <w:r>
        <w:rPr>
          <w:rFonts w:eastAsia="方正仿宋_GBK"/>
          <w:color w:val="000000"/>
          <w:kern w:val="0"/>
          <w:sz w:val="24"/>
        </w:rPr>
        <w:t xml:space="preserve"> </w:t>
      </w:r>
      <w:r>
        <w:rPr>
          <w:rFonts w:hint="eastAsia" w:eastAsia="方正仿宋_GBK"/>
          <w:color w:val="000000"/>
          <w:kern w:val="0"/>
          <w:sz w:val="24"/>
        </w:rPr>
        <w:t>行政监督部门负责投诉处理的工作人员，有下列情形之一的，应当主动回避：</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（一）近亲属是被投诉人、投诉人，或者是被投诉人、投诉人的主要负责人；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（二）在近三年内本人曾经在投诉人或者被投诉人单位担任高级管理职务；</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（三）与被投诉人、投诉人有其他利害关系，可能影响对投诉事项公正处理的。</w:t>
      </w:r>
    </w:p>
    <w:p>
      <w:pPr>
        <w:widowControl/>
        <w:spacing w:line="460" w:lineRule="exact"/>
        <w:ind w:firstLine="472" w:firstLineChars="200"/>
        <w:rPr>
          <w:rFonts w:eastAsia="方正仿宋_GBK"/>
          <w:color w:val="000000"/>
          <w:spacing w:val="-6"/>
          <w:kern w:val="0"/>
          <w:sz w:val="24"/>
        </w:rPr>
      </w:pPr>
      <w:r>
        <w:rPr>
          <w:rFonts w:hint="eastAsia" w:ascii="Times New Roman" w:eastAsia="黑体"/>
          <w:bCs/>
          <w:color w:val="000000"/>
          <w:kern w:val="0"/>
          <w:sz w:val="24"/>
        </w:rPr>
        <w:t>第十九条</w:t>
      </w:r>
      <w:r>
        <w:rPr>
          <w:rFonts w:eastAsia="方正仿宋_GBK"/>
          <w:color w:val="000000"/>
          <w:kern w:val="0"/>
          <w:sz w:val="24"/>
        </w:rPr>
        <w:t xml:space="preserve"> </w:t>
      </w:r>
      <w:r>
        <w:rPr>
          <w:rFonts w:hint="eastAsia" w:eastAsia="方正仿宋_GBK"/>
          <w:color w:val="000000"/>
          <w:spacing w:val="-6"/>
          <w:kern w:val="0"/>
          <w:sz w:val="24"/>
        </w:rPr>
        <w:t>行政监督部门处理投诉，有权查阅、复制有关文件、资料，调查有关情况。调查应当由两名以上行政执法人员进行。调查笔录应当交被调查人签字确认。</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对行政监督部门依法进行的调查，投诉人、被投诉人以及评标委员会成员等与投诉事项有关的当事人应当予以配合，如实提供有关资料及情况，不得拒绝、隐匿或者伪报。</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第二十条</w:t>
      </w:r>
      <w:r>
        <w:rPr>
          <w:rFonts w:eastAsia="方正仿宋_GBK"/>
          <w:color w:val="000000"/>
          <w:kern w:val="0"/>
          <w:sz w:val="24"/>
        </w:rPr>
        <w:t xml:space="preserve"> </w:t>
      </w:r>
      <w:r>
        <w:rPr>
          <w:rFonts w:hint="eastAsia" w:eastAsia="方正仿宋_GBK"/>
          <w:color w:val="000000"/>
          <w:kern w:val="0"/>
          <w:sz w:val="24"/>
        </w:rPr>
        <w:t>在投诉处理过程中，行政监督部门应当听取被投诉人的陈述和申辩，必要时可通知投诉人和被投诉人按照下例程序进行质证。</w:t>
      </w:r>
    </w:p>
    <w:p>
      <w:pPr>
        <w:widowControl/>
        <w:spacing w:line="460" w:lineRule="exact"/>
        <w:ind w:firstLine="472" w:firstLineChars="200"/>
        <w:rPr>
          <w:rFonts w:eastAsia="方正仿宋_GBK"/>
          <w:color w:val="000000"/>
          <w:kern w:val="0"/>
          <w:sz w:val="24"/>
        </w:rPr>
      </w:pPr>
      <w:r>
        <w:rPr>
          <w:rFonts w:eastAsia="方正仿宋_GBK"/>
          <w:color w:val="000000"/>
          <w:kern w:val="0"/>
          <w:sz w:val="24"/>
        </w:rPr>
        <w:t>(</w:t>
      </w:r>
      <w:r>
        <w:rPr>
          <w:rFonts w:hint="eastAsia" w:eastAsia="方正仿宋_GBK"/>
          <w:color w:val="000000"/>
          <w:kern w:val="0"/>
          <w:sz w:val="24"/>
        </w:rPr>
        <w:t>一</w:t>
      </w:r>
      <w:r>
        <w:rPr>
          <w:rFonts w:eastAsia="方正仿宋_GBK"/>
          <w:color w:val="000000"/>
          <w:kern w:val="0"/>
          <w:sz w:val="24"/>
        </w:rPr>
        <w:t>)</w:t>
      </w:r>
      <w:r>
        <w:rPr>
          <w:rFonts w:hint="eastAsia" w:eastAsia="方正仿宋_GBK"/>
          <w:color w:val="000000"/>
          <w:kern w:val="0"/>
          <w:sz w:val="24"/>
        </w:rPr>
        <w:t>投诉人就提出投诉的事实、理由和主张进行陈述，并出示证据，被投诉人就投诉人提供的证据进行质证；</w:t>
      </w:r>
      <w:r>
        <w:rPr>
          <w:rFonts w:eastAsia="方正仿宋_GBK"/>
          <w:color w:val="000000"/>
          <w:kern w:val="0"/>
          <w:sz w:val="24"/>
        </w:rPr>
        <w:t xml:space="preserve"> </w:t>
      </w:r>
    </w:p>
    <w:p>
      <w:pPr>
        <w:widowControl/>
        <w:spacing w:line="460" w:lineRule="exact"/>
        <w:ind w:firstLine="472" w:firstLineChars="200"/>
        <w:rPr>
          <w:rFonts w:eastAsia="方正仿宋_GBK"/>
          <w:color w:val="000000"/>
          <w:kern w:val="0"/>
          <w:sz w:val="24"/>
        </w:rPr>
      </w:pPr>
      <w:r>
        <w:rPr>
          <w:rFonts w:eastAsia="方正仿宋_GBK"/>
          <w:color w:val="000000"/>
          <w:kern w:val="0"/>
          <w:sz w:val="24"/>
        </w:rPr>
        <w:t>(</w:t>
      </w:r>
      <w:r>
        <w:rPr>
          <w:rFonts w:hint="eastAsia" w:eastAsia="方正仿宋_GBK"/>
          <w:color w:val="000000"/>
          <w:kern w:val="0"/>
          <w:sz w:val="24"/>
        </w:rPr>
        <w:t>二</w:t>
      </w:r>
      <w:r>
        <w:rPr>
          <w:rFonts w:eastAsia="方正仿宋_GBK"/>
          <w:color w:val="000000"/>
          <w:kern w:val="0"/>
          <w:sz w:val="24"/>
        </w:rPr>
        <w:t>)</w:t>
      </w:r>
      <w:r>
        <w:rPr>
          <w:rFonts w:hint="eastAsia" w:eastAsia="方正仿宋_GBK"/>
          <w:color w:val="000000"/>
          <w:kern w:val="0"/>
          <w:sz w:val="24"/>
        </w:rPr>
        <w:t>被投诉人就提出投诉的事实、理由和主张进行答复，并出示证据，投诉人就被投诉人提供的证据进行质证；</w:t>
      </w:r>
    </w:p>
    <w:p>
      <w:pPr>
        <w:widowControl/>
        <w:spacing w:line="460" w:lineRule="exact"/>
        <w:ind w:firstLine="472" w:firstLineChars="200"/>
        <w:rPr>
          <w:rFonts w:eastAsia="方正仿宋_GBK"/>
          <w:color w:val="000000"/>
          <w:kern w:val="0"/>
          <w:sz w:val="24"/>
        </w:rPr>
      </w:pPr>
      <w:r>
        <w:rPr>
          <w:rFonts w:eastAsia="方正仿宋_GBK"/>
          <w:color w:val="000000"/>
          <w:kern w:val="0"/>
          <w:sz w:val="24"/>
        </w:rPr>
        <w:t>(</w:t>
      </w:r>
      <w:r>
        <w:rPr>
          <w:rFonts w:hint="eastAsia" w:eastAsia="方正仿宋_GBK"/>
          <w:color w:val="000000"/>
          <w:kern w:val="0"/>
          <w:sz w:val="24"/>
        </w:rPr>
        <w:t>三</w:t>
      </w:r>
      <w:r>
        <w:rPr>
          <w:rFonts w:eastAsia="方正仿宋_GBK"/>
          <w:color w:val="000000"/>
          <w:kern w:val="0"/>
          <w:sz w:val="24"/>
        </w:rPr>
        <w:t>)</w:t>
      </w:r>
      <w:r>
        <w:rPr>
          <w:rFonts w:hint="eastAsia" w:eastAsia="方正仿宋_GBK"/>
          <w:color w:val="000000"/>
          <w:kern w:val="0"/>
          <w:sz w:val="24"/>
        </w:rPr>
        <w:t>投诉人和被投诉人分别作最后陈述。</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行政监督部门调查收集的证据可在质证时出示，听取投诉人和被投诉人意见，并可就调查收集该证据情况予以说明。</w:t>
      </w:r>
      <w:r>
        <w:rPr>
          <w:rFonts w:eastAsia="方正仿宋_GBK"/>
          <w:color w:val="000000"/>
          <w:kern w:val="0"/>
          <w:sz w:val="24"/>
        </w:rPr>
        <w:t xml:space="preserve"> </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第二十一条</w:t>
      </w:r>
      <w:r>
        <w:rPr>
          <w:rFonts w:eastAsia="方正仿宋_GBK"/>
          <w:color w:val="000000"/>
          <w:kern w:val="0"/>
          <w:sz w:val="24"/>
        </w:rPr>
        <w:t xml:space="preserve"> </w:t>
      </w:r>
      <w:r>
        <w:rPr>
          <w:rFonts w:hint="eastAsia" w:eastAsia="方正仿宋_GBK"/>
          <w:color w:val="000000"/>
          <w:kern w:val="0"/>
          <w:sz w:val="24"/>
        </w:rPr>
        <w:t>相关单位和人员拒不配合行政监督部门调查的，按以下规定处理：</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（一）对于投标人，行政监督部门可以驳回其投诉，记录不良行为并予以公示；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（二）对于招标人，行政监督部门可以责令其暂停招标投标活动；</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（三）对于评标委员会成员，可以取消其列入评标专家库的资格。</w:t>
      </w:r>
    </w:p>
    <w:p>
      <w:pPr>
        <w:widowControl/>
        <w:spacing w:line="460" w:lineRule="exact"/>
        <w:ind w:firstLine="472" w:firstLineChars="200"/>
        <w:rPr>
          <w:rFonts w:eastAsia="方正仿宋_GBK"/>
          <w:color w:val="000000"/>
          <w:kern w:val="0"/>
          <w:sz w:val="24"/>
        </w:rPr>
      </w:pPr>
      <w:r>
        <w:rPr>
          <w:rFonts w:hint="eastAsia" w:eastAsia="方正仿宋_GBK"/>
          <w:b/>
          <w:bCs/>
          <w:color w:val="000000"/>
          <w:kern w:val="0"/>
          <w:sz w:val="24"/>
        </w:rPr>
        <w:t>第二</w:t>
      </w:r>
      <w:r>
        <w:rPr>
          <w:rFonts w:hint="eastAsia" w:ascii="Times New Roman" w:eastAsia="黑体"/>
          <w:bCs/>
          <w:color w:val="000000"/>
          <w:kern w:val="0"/>
          <w:sz w:val="24"/>
        </w:rPr>
        <w:t>十</w:t>
      </w:r>
      <w:r>
        <w:rPr>
          <w:rFonts w:hint="eastAsia" w:eastAsia="方正仿宋_GBK"/>
          <w:b/>
          <w:bCs/>
          <w:color w:val="000000"/>
          <w:kern w:val="0"/>
          <w:sz w:val="24"/>
        </w:rPr>
        <w:t>二条</w:t>
      </w:r>
      <w:r>
        <w:rPr>
          <w:rFonts w:eastAsia="方正仿宋_GBK"/>
          <w:color w:val="000000"/>
          <w:kern w:val="0"/>
          <w:sz w:val="24"/>
        </w:rPr>
        <w:t xml:space="preserve"> </w:t>
      </w:r>
      <w:r>
        <w:rPr>
          <w:rFonts w:hint="eastAsia" w:eastAsia="方正仿宋_GBK"/>
          <w:color w:val="000000"/>
          <w:kern w:val="0"/>
          <w:sz w:val="24"/>
        </w:rPr>
        <w:t>下列行为属于拒不配合行政监督部门调查的行为：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（一）拒绝向行政监督部门提交相关证据或者材料的；</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（二）伪造证明或者证明材料的；</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（三）拒绝调查约谈、实地取证的；</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（四）在行政执法调查中隐瞒或者捏造事实的；</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（五）阻挠有关人员配合行政监督部门依法进行调查的。</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第二十三条</w:t>
      </w:r>
      <w:r>
        <w:rPr>
          <w:rFonts w:eastAsia="方正仿宋_GBK"/>
          <w:color w:val="000000"/>
          <w:kern w:val="0"/>
          <w:sz w:val="24"/>
        </w:rPr>
        <w:t xml:space="preserve"> </w:t>
      </w:r>
      <w:r>
        <w:rPr>
          <w:rFonts w:hint="eastAsia" w:eastAsia="方正仿宋_GBK"/>
          <w:color w:val="000000"/>
          <w:kern w:val="0"/>
          <w:sz w:val="24"/>
        </w:rPr>
        <w:t>投诉涉及项目信息需要跨区进行调查的，住房城乡建设主管部门可向工程所在地住房城乡建设主管部门发函，提出协助调查要求；工程所在地住房城乡建设主管部门应当积极协助，并据实回复。</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第二十四条</w:t>
      </w:r>
      <w:r>
        <w:rPr>
          <w:rFonts w:eastAsia="方正仿宋_GBK"/>
          <w:color w:val="000000"/>
          <w:kern w:val="0"/>
          <w:sz w:val="24"/>
        </w:rPr>
        <w:t xml:space="preserve"> </w:t>
      </w:r>
      <w:r>
        <w:rPr>
          <w:rFonts w:hint="eastAsia" w:eastAsia="方正仿宋_GBK"/>
          <w:color w:val="000000"/>
          <w:kern w:val="0"/>
          <w:sz w:val="24"/>
        </w:rPr>
        <w:t>投诉事项涉及专业性或者技术性问题的，下列方式得出的结论可作为行政监督部门处理投诉的依据：</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（一）原资格审查委员会或者评标委员会复核说明；</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（二）专家论证或者评议意见；</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（三）听证会意见。</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组织专家论证时，优先抽取专家库中的资深专家。</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第二十五条</w:t>
      </w:r>
      <w:r>
        <w:rPr>
          <w:rFonts w:eastAsia="方正仿宋_GBK"/>
          <w:color w:val="000000"/>
          <w:kern w:val="0"/>
          <w:sz w:val="24"/>
        </w:rPr>
        <w:t xml:space="preserve"> </w:t>
      </w:r>
      <w:r>
        <w:rPr>
          <w:rFonts w:hint="eastAsia" w:eastAsia="方正仿宋_GBK"/>
          <w:color w:val="000000"/>
          <w:kern w:val="0"/>
          <w:sz w:val="24"/>
        </w:rPr>
        <w:t>投诉处理决定做出前，投诉人要求撤回投诉的，应当以书面形式提出并说明理由，由行政监督部门视以下情况，决定是否准予撤回：</w:t>
      </w:r>
      <w:r>
        <w:rPr>
          <w:rFonts w:eastAsia="方正仿宋_GBK"/>
          <w:color w:val="000000"/>
          <w:kern w:val="0"/>
          <w:sz w:val="24"/>
        </w:rPr>
        <w:t xml:space="preserve"> </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（一）已经查实有明显违法行为的，应当不准撤回，并继续调查直至做出处理决定；</w:t>
      </w:r>
      <w:r>
        <w:rPr>
          <w:rFonts w:eastAsia="方正仿宋_GBK"/>
          <w:color w:val="000000"/>
          <w:kern w:val="0"/>
          <w:sz w:val="24"/>
        </w:rPr>
        <w:t xml:space="preserve"> </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（二）撤回投诉不损害国家利益、社会公共利益或者其他当事人合法权益的，应当准予撤回，投诉处理过程终止。</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第二十六条</w:t>
      </w:r>
      <w:r>
        <w:rPr>
          <w:rFonts w:eastAsia="方正仿宋_GBK"/>
          <w:color w:val="000000"/>
          <w:kern w:val="0"/>
          <w:sz w:val="24"/>
        </w:rPr>
        <w:t xml:space="preserve"> </w:t>
      </w:r>
      <w:r>
        <w:rPr>
          <w:rFonts w:hint="eastAsia" w:eastAsia="方正仿宋_GBK"/>
          <w:color w:val="000000"/>
          <w:kern w:val="0"/>
          <w:sz w:val="24"/>
        </w:rPr>
        <w:t>行政监督部门应当根据调查和取证情况，对投诉事项进行审查，按照下列规定做出处理决定：</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（一）投诉缺乏事实根据或者法律依据的，或者投诉人捏造事实、伪造材料或者以非法手段取得证明材料进行投诉的，驳回投诉；</w:t>
      </w:r>
      <w:r>
        <w:rPr>
          <w:rFonts w:eastAsia="方正仿宋_GBK"/>
          <w:color w:val="000000"/>
          <w:kern w:val="0"/>
          <w:sz w:val="24"/>
        </w:rPr>
        <w:t> </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（二）投诉情况属实，招标投标活动确实存在违法违规行为的，依据国家法律、法规和规章及本办法对相关单位或者人员予以处理，并按《中华人民共和国行政处罚法》实施行政处罚。</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第二十七条</w:t>
      </w:r>
      <w:r>
        <w:rPr>
          <w:rFonts w:eastAsia="方正仿宋_GBK"/>
          <w:color w:val="000000"/>
          <w:kern w:val="0"/>
          <w:sz w:val="24"/>
        </w:rPr>
        <w:t xml:space="preserve"> </w:t>
      </w:r>
      <w:r>
        <w:rPr>
          <w:rFonts w:hint="eastAsia" w:eastAsia="方正仿宋_GBK"/>
          <w:color w:val="000000"/>
          <w:kern w:val="0"/>
          <w:sz w:val="24"/>
        </w:rPr>
        <w:t>行政监督部门应当自受理投诉之日起</w:t>
      </w:r>
      <w:r>
        <w:rPr>
          <w:rFonts w:eastAsia="方正仿宋_GBK"/>
          <w:color w:val="000000"/>
          <w:kern w:val="0"/>
          <w:sz w:val="24"/>
        </w:rPr>
        <w:t>30</w:t>
      </w:r>
      <w:r>
        <w:rPr>
          <w:rFonts w:hint="eastAsia" w:eastAsia="方正仿宋_GBK"/>
          <w:color w:val="000000"/>
          <w:kern w:val="0"/>
          <w:sz w:val="24"/>
        </w:rPr>
        <w:t>个工作日内，对投诉事项做出处理决定，并以书面形式通知投诉人、被投诉人和其他与投诉处理结果有关的当事人。需要检验、检测、鉴定、专家评审的，所需时间不计算在内。</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第二十八条</w:t>
      </w:r>
      <w:r>
        <w:rPr>
          <w:rFonts w:eastAsia="方正仿宋_GBK"/>
          <w:color w:val="000000"/>
          <w:kern w:val="0"/>
          <w:sz w:val="24"/>
        </w:rPr>
        <w:t xml:space="preserve"> </w:t>
      </w:r>
      <w:r>
        <w:rPr>
          <w:rFonts w:hint="eastAsia" w:eastAsia="方正仿宋_GBK"/>
          <w:color w:val="000000"/>
          <w:kern w:val="0"/>
          <w:sz w:val="24"/>
        </w:rPr>
        <w:t>投诉处理决定书应当包括下列内容（格式见附件</w:t>
      </w:r>
      <w:r>
        <w:rPr>
          <w:rFonts w:eastAsia="方正仿宋_GBK"/>
          <w:color w:val="000000"/>
          <w:kern w:val="0"/>
          <w:sz w:val="24"/>
        </w:rPr>
        <w:t>5</w:t>
      </w:r>
      <w:r>
        <w:rPr>
          <w:rFonts w:hint="eastAsia" w:eastAsia="方正仿宋_GBK"/>
          <w:color w:val="000000"/>
          <w:kern w:val="0"/>
          <w:sz w:val="24"/>
        </w:rPr>
        <w:t>）：</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shd w:val="clear" w:color="auto" w:fill="FFFFFF"/>
        </w:rPr>
        <w:t>（一）投诉人和被投诉人的名称、住址；</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shd w:val="clear" w:color="auto" w:fill="FFFFFF"/>
        </w:rPr>
        <w:t>（二）投诉人的投诉事项及主张；</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shd w:val="clear" w:color="auto" w:fill="FFFFFF"/>
        </w:rPr>
        <w:t>（三）被投诉人的答辩及请求；</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shd w:val="clear" w:color="auto" w:fill="FFFFFF"/>
        </w:rPr>
        <w:t>（四）调查认定的基本事实；</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shd w:val="clear" w:color="auto" w:fill="FFFFFF"/>
        </w:rPr>
        <w:t>（五）行政监督部门的处理意见及依据。</w:t>
      </w:r>
      <w:r>
        <w:rPr>
          <w:rFonts w:eastAsia="方正仿宋_GBK"/>
          <w:color w:val="000000"/>
          <w:kern w:val="0"/>
          <w:sz w:val="24"/>
        </w:rPr>
        <w:t> </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第二十九条</w:t>
      </w:r>
      <w:r>
        <w:rPr>
          <w:rFonts w:eastAsia="方正仿宋_GBK"/>
          <w:color w:val="000000"/>
          <w:kern w:val="0"/>
          <w:sz w:val="24"/>
        </w:rPr>
        <w:t xml:space="preserve"> </w:t>
      </w:r>
      <w:r>
        <w:rPr>
          <w:rFonts w:hint="eastAsia" w:eastAsia="方正仿宋_GBK"/>
          <w:color w:val="000000"/>
          <w:kern w:val="0"/>
          <w:sz w:val="24"/>
        </w:rPr>
        <w:t>行政监督部门应当建立投诉处理档案，并做好保存和管理工作，接受有关方面的监督检查。</w:t>
      </w:r>
    </w:p>
    <w:p>
      <w:pPr>
        <w:widowControl/>
        <w:spacing w:line="460" w:lineRule="exact"/>
        <w:rPr>
          <w:rFonts w:eastAsia="方正仿宋_GBK"/>
          <w:color w:val="000000"/>
          <w:kern w:val="0"/>
          <w:sz w:val="24"/>
        </w:rPr>
      </w:pPr>
      <w:r>
        <w:rPr>
          <w:rFonts w:eastAsia="方正仿宋_GBK"/>
          <w:color w:val="000000"/>
          <w:kern w:val="0"/>
          <w:sz w:val="24"/>
        </w:rPr>
        <w:t> </w:t>
      </w:r>
    </w:p>
    <w:p>
      <w:pPr>
        <w:widowControl/>
        <w:spacing w:line="460" w:lineRule="exact"/>
        <w:jc w:val="center"/>
        <w:rPr>
          <w:rFonts w:ascii="Times New Roman" w:eastAsia="黑体"/>
          <w:color w:val="000000"/>
          <w:kern w:val="0"/>
          <w:sz w:val="24"/>
        </w:rPr>
      </w:pPr>
      <w:r>
        <w:rPr>
          <w:rFonts w:hint="eastAsia" w:ascii="Times New Roman" w:eastAsia="黑体"/>
          <w:color w:val="000000"/>
          <w:kern w:val="0"/>
          <w:sz w:val="24"/>
        </w:rPr>
        <w:t>第四章</w:t>
      </w:r>
      <w:r>
        <w:rPr>
          <w:rFonts w:ascii="Times New Roman" w:eastAsia="黑体"/>
          <w:color w:val="000000"/>
          <w:kern w:val="0"/>
          <w:sz w:val="24"/>
        </w:rPr>
        <w:t> </w:t>
      </w:r>
      <w:r>
        <w:rPr>
          <w:rFonts w:hint="eastAsia" w:ascii="Times New Roman" w:eastAsia="黑体"/>
          <w:color w:val="000000"/>
          <w:kern w:val="0"/>
          <w:sz w:val="24"/>
        </w:rPr>
        <w:t xml:space="preserve"> 监督管理</w:t>
      </w:r>
    </w:p>
    <w:p>
      <w:pPr>
        <w:widowControl/>
        <w:spacing w:line="460" w:lineRule="exact"/>
        <w:rPr>
          <w:rFonts w:hint="eastAsia" w:eastAsia="方正仿宋_GBK"/>
          <w:color w:val="000000"/>
          <w:kern w:val="0"/>
          <w:sz w:val="24"/>
        </w:rPr>
      </w:pPr>
      <w:r>
        <w:rPr>
          <w:rFonts w:eastAsia="方正仿宋_GBK"/>
          <w:color w:val="000000"/>
          <w:kern w:val="0"/>
          <w:sz w:val="24"/>
        </w:rPr>
        <w:t> </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第三十条</w:t>
      </w:r>
      <w:r>
        <w:rPr>
          <w:rFonts w:eastAsia="方正仿宋_GBK"/>
          <w:color w:val="000000"/>
          <w:kern w:val="0"/>
          <w:sz w:val="24"/>
        </w:rPr>
        <w:t xml:space="preserve"> </w:t>
      </w:r>
      <w:r>
        <w:rPr>
          <w:rFonts w:hint="eastAsia" w:eastAsia="方正仿宋_GBK"/>
          <w:color w:val="000000"/>
          <w:spacing w:val="-6"/>
          <w:kern w:val="0"/>
          <w:sz w:val="24"/>
        </w:rPr>
        <w:t>异议处理过程中发现有违纪违法的线索或者证据的，招标人应当依法移送行政监督</w:t>
      </w:r>
      <w:r>
        <w:rPr>
          <w:rFonts w:hint="eastAsia" w:eastAsia="方正仿宋_GBK"/>
          <w:color w:val="000000"/>
          <w:kern w:val="0"/>
          <w:sz w:val="24"/>
        </w:rPr>
        <w:t>部门或者监察机关、公安或者司法机关予以查处，不得隐匿或者掩盖。</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招标人不按照规定受理异议或者对异议作出答复，继续进行招标投标活动的，由有关行政监督部门责令改正。拒不改正或者不能改正并影响中标结果的，依照《中华人民共和国招标投标法实施条例》有关规定处理。</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第三十一条</w:t>
      </w:r>
      <w:r>
        <w:rPr>
          <w:rFonts w:eastAsia="方正仿宋_GBK"/>
          <w:color w:val="000000"/>
          <w:kern w:val="0"/>
          <w:sz w:val="24"/>
        </w:rPr>
        <w:t xml:space="preserve"> </w:t>
      </w:r>
      <w:r>
        <w:rPr>
          <w:rFonts w:hint="eastAsia" w:eastAsia="方正仿宋_GBK"/>
          <w:color w:val="000000"/>
          <w:kern w:val="0"/>
          <w:sz w:val="24"/>
        </w:rPr>
        <w:t>在招投标异议、投诉处理过程中涉及的各方主体及其工作人员有失信行为的，按照国家、省有关规定进行信用惩戒。</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招标代理机构、评标专家有违法违规行为，依据招标投标相关法律法规规章给予处理。</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第三十二条</w:t>
      </w:r>
      <w:r>
        <w:rPr>
          <w:rFonts w:eastAsia="方正仿宋_GBK"/>
          <w:color w:val="000000"/>
          <w:kern w:val="0"/>
          <w:sz w:val="24"/>
        </w:rPr>
        <w:t xml:space="preserve"> </w:t>
      </w:r>
      <w:r>
        <w:rPr>
          <w:rFonts w:hint="eastAsia" w:eastAsia="方正仿宋_GBK"/>
          <w:color w:val="000000"/>
          <w:kern w:val="0"/>
          <w:sz w:val="24"/>
        </w:rPr>
        <w:t>投诉人故意捏造事实、伪造证明材料的，或者以非法手段取得证明材料等进行恶意投诉，给他人造成损失的，依法承担赔偿责任。</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前款情形投诉的，由行政监督部门驳回投诉，对其记录不良行为并予以公示。</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第三十三条</w:t>
      </w:r>
      <w:r>
        <w:rPr>
          <w:rFonts w:eastAsia="方正仿宋_GBK"/>
          <w:color w:val="000000"/>
          <w:kern w:val="0"/>
          <w:sz w:val="24"/>
        </w:rPr>
        <w:t xml:space="preserve"> </w:t>
      </w:r>
      <w:r>
        <w:rPr>
          <w:rFonts w:hint="eastAsia" w:eastAsia="方正仿宋_GBK"/>
          <w:color w:val="000000"/>
          <w:kern w:val="0"/>
          <w:sz w:val="24"/>
        </w:rPr>
        <w:t>负责投诉处理的工作人员应当严格遵守保密规定。对于在投诉处理过程中所接触到的国家秘密、商业秘密应当依法予以保密，不得将投诉事项透露给与投诉无关的其他单位和个人。</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第三十四条</w:t>
      </w:r>
      <w:r>
        <w:rPr>
          <w:rFonts w:eastAsia="方正仿宋_GBK"/>
          <w:color w:val="000000"/>
          <w:kern w:val="0"/>
          <w:sz w:val="24"/>
        </w:rPr>
        <w:t xml:space="preserve"> </w:t>
      </w:r>
      <w:r>
        <w:rPr>
          <w:rFonts w:hint="eastAsia" w:eastAsia="方正仿宋_GBK"/>
          <w:color w:val="000000"/>
          <w:kern w:val="0"/>
          <w:sz w:val="24"/>
        </w:rPr>
        <w:t>受理、调查和处理投诉有关的人员必须遵守纪律、依法办事、廉洁自律，不得有以下行为：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（一）以任何方式非法干涉投诉受理、调查、处理活动；</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（二）徇私舞弊、滥用职权或者玩忽职守；</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（三）泄露依法应当保密的资料或情况；</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（四）隐瞒、压制、截留、撤换、拖延投诉信息或者调查事实及情况；</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（五）受利害关系人委托，威胁、利诱投诉人撤诉；</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（六）索要、收受投诉人、被投诉人或者中间人的财物；</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（七）利用工作之便为自己或者他人谋取私利；</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（八）违反法律、法规、规章的其他行为。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行政监督部门工作人员在处理投诉过程中徇私舞弊、滥用职权或者玩忽职守，对投诉人打击报复的，报有关部门依纪依法予以处理。</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 xml:space="preserve">第三十五条 </w:t>
      </w:r>
      <w:r>
        <w:rPr>
          <w:rFonts w:hint="eastAsia" w:eastAsia="方正仿宋_GBK"/>
          <w:color w:val="000000"/>
          <w:kern w:val="0"/>
          <w:sz w:val="24"/>
        </w:rPr>
        <w:t>行政监督部门处理投诉过程中，不得向投诉人和被投诉人收取任何费用。</w:t>
      </w:r>
    </w:p>
    <w:p>
      <w:pPr>
        <w:widowControl/>
        <w:spacing w:line="460" w:lineRule="exact"/>
        <w:ind w:firstLine="560"/>
        <w:rPr>
          <w:rFonts w:ascii="Times New Roman" w:eastAsia="黑体"/>
          <w:color w:val="000000"/>
          <w:kern w:val="0"/>
          <w:sz w:val="24"/>
        </w:rPr>
      </w:pPr>
      <w:r>
        <w:rPr>
          <w:rFonts w:eastAsia="方正仿宋_GBK"/>
          <w:color w:val="000000"/>
          <w:kern w:val="0"/>
          <w:sz w:val="24"/>
        </w:rPr>
        <w:t> </w:t>
      </w:r>
      <w:r>
        <w:rPr>
          <w:rFonts w:hint="eastAsia" w:ascii="Times New Roman" w:eastAsia="黑体"/>
          <w:color w:val="000000"/>
          <w:kern w:val="0"/>
          <w:sz w:val="24"/>
        </w:rPr>
        <w:t>第五章</w:t>
      </w:r>
      <w:r>
        <w:rPr>
          <w:rFonts w:ascii="Times New Roman" w:eastAsia="黑体"/>
          <w:color w:val="000000"/>
          <w:kern w:val="0"/>
          <w:sz w:val="24"/>
        </w:rPr>
        <w:t> </w:t>
      </w:r>
      <w:r>
        <w:rPr>
          <w:rFonts w:hint="eastAsia" w:ascii="Times New Roman" w:eastAsia="黑体"/>
          <w:color w:val="000000"/>
          <w:kern w:val="0"/>
          <w:sz w:val="24"/>
        </w:rPr>
        <w:t xml:space="preserve"> 附</w:t>
      </w:r>
      <w:r>
        <w:rPr>
          <w:rFonts w:ascii="Times New Roman" w:eastAsia="黑体"/>
          <w:color w:val="000000"/>
          <w:kern w:val="0"/>
          <w:sz w:val="24"/>
        </w:rPr>
        <w:t> </w:t>
      </w:r>
      <w:r>
        <w:rPr>
          <w:rFonts w:hint="eastAsia" w:ascii="Times New Roman" w:eastAsia="黑体"/>
          <w:color w:val="000000"/>
          <w:kern w:val="0"/>
          <w:sz w:val="24"/>
        </w:rPr>
        <w:t xml:space="preserve"> 则</w:t>
      </w:r>
    </w:p>
    <w:p>
      <w:pPr>
        <w:widowControl/>
        <w:spacing w:line="460" w:lineRule="exact"/>
        <w:rPr>
          <w:rFonts w:hint="eastAsia" w:eastAsia="方正仿宋_GBK"/>
          <w:color w:val="000000"/>
          <w:kern w:val="0"/>
          <w:sz w:val="24"/>
        </w:rPr>
      </w:pPr>
      <w:r>
        <w:rPr>
          <w:rFonts w:eastAsia="方正仿宋_GBK"/>
          <w:color w:val="000000"/>
          <w:kern w:val="0"/>
          <w:sz w:val="24"/>
        </w:rPr>
        <w:t> </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第三十六条</w:t>
      </w:r>
      <w:r>
        <w:rPr>
          <w:rFonts w:eastAsia="方正仿宋_GBK"/>
          <w:color w:val="000000"/>
          <w:kern w:val="0"/>
          <w:sz w:val="24"/>
        </w:rPr>
        <w:t xml:space="preserve"> </w:t>
      </w:r>
      <w:r>
        <w:rPr>
          <w:rFonts w:hint="eastAsia" w:eastAsia="方正仿宋_GBK"/>
          <w:color w:val="000000"/>
          <w:kern w:val="0"/>
          <w:sz w:val="24"/>
        </w:rPr>
        <w:t>本办法下列用语的含义是：</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（一）异议是指投标人或者其他利害关系人对资格预审文件、资格预审不合格结果、招标文件、开标或者评标结果可能存在的违反法律、法规和规章规定的问题，依法向招标人提出不同意见的行为。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潜在投标人对资格预审文件和招标文件中可能存在的遗漏、错误、含义不清甚至相互矛盾等问题提出疑问的，不属于本办法规定的异议。疑问应当在资格预审文件或者招标文件规定的时间内提出。</w:t>
      </w:r>
    </w:p>
    <w:p>
      <w:pPr>
        <w:widowControl/>
        <w:spacing w:line="460" w:lineRule="exact"/>
        <w:ind w:firstLine="472" w:firstLineChars="200"/>
        <w:rPr>
          <w:rFonts w:eastAsia="方正仿宋_GBK"/>
          <w:color w:val="000000"/>
          <w:spacing w:val="-6"/>
          <w:kern w:val="0"/>
          <w:sz w:val="24"/>
        </w:rPr>
      </w:pPr>
      <w:r>
        <w:rPr>
          <w:rFonts w:hint="eastAsia" w:eastAsia="方正仿宋_GBK"/>
          <w:color w:val="000000"/>
          <w:kern w:val="0"/>
          <w:sz w:val="24"/>
        </w:rPr>
        <w:t>（二）</w:t>
      </w:r>
      <w:r>
        <w:rPr>
          <w:rFonts w:hint="eastAsia" w:eastAsia="方正仿宋_GBK"/>
          <w:color w:val="000000"/>
          <w:spacing w:val="-6"/>
          <w:kern w:val="0"/>
          <w:sz w:val="24"/>
        </w:rPr>
        <w:t>投诉是指投标人或者其他利害关系人认为招标投标活动不符合法律、法规和规章规定，或者其自身合法权益受到侵害，以及异议人对招标人的异议答复不服，依法在规定的期限内向行政监督部门提出要求制止违法行为或者保护其合法权益的行为。</w:t>
      </w:r>
    </w:p>
    <w:p>
      <w:pPr>
        <w:widowControl/>
        <w:spacing w:line="460" w:lineRule="exact"/>
        <w:ind w:firstLine="472" w:firstLineChars="200"/>
        <w:rPr>
          <w:rFonts w:eastAsia="方正仿宋_GBK"/>
          <w:color w:val="000000"/>
          <w:kern w:val="0"/>
          <w:sz w:val="24"/>
        </w:rPr>
      </w:pPr>
      <w:r>
        <w:rPr>
          <w:rFonts w:hint="eastAsia" w:eastAsia="方正仿宋_GBK"/>
          <w:color w:val="000000"/>
          <w:kern w:val="0"/>
          <w:sz w:val="24"/>
        </w:rPr>
        <w:t>（三）其他利害关系人是指投标人以外的，与招标项目或者招标投标活动有直接或者间接利益关系的法人、其他组织和个人，主要包括招标人、招标项目的使用人、潜在投标人、与招标项目相关的货物或者服务的特定供应商或者分包人等。</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第三十七条</w:t>
      </w:r>
      <w:r>
        <w:rPr>
          <w:rFonts w:eastAsia="方正仿宋_GBK"/>
          <w:color w:val="000000"/>
          <w:kern w:val="0"/>
          <w:sz w:val="24"/>
        </w:rPr>
        <w:t xml:space="preserve"> </w:t>
      </w:r>
      <w:r>
        <w:rPr>
          <w:rFonts w:hint="eastAsia" w:eastAsia="方正仿宋_GBK"/>
          <w:color w:val="000000"/>
          <w:kern w:val="0"/>
          <w:sz w:val="24"/>
        </w:rPr>
        <w:t>本办法自</w:t>
      </w:r>
      <w:r>
        <w:rPr>
          <w:rFonts w:eastAsia="方正仿宋_GBK"/>
          <w:color w:val="000000"/>
          <w:kern w:val="0"/>
          <w:sz w:val="24"/>
        </w:rPr>
        <w:t>2016</w:t>
      </w:r>
      <w:r>
        <w:rPr>
          <w:rFonts w:hint="eastAsia" w:eastAsia="方正仿宋_GBK"/>
          <w:color w:val="000000"/>
          <w:kern w:val="0"/>
          <w:sz w:val="24"/>
        </w:rPr>
        <w:t>年</w:t>
      </w:r>
      <w:r>
        <w:rPr>
          <w:rFonts w:eastAsia="方正仿宋_GBK"/>
          <w:color w:val="000000"/>
          <w:kern w:val="0"/>
          <w:sz w:val="24"/>
        </w:rPr>
        <w:t>7</w:t>
      </w:r>
      <w:r>
        <w:rPr>
          <w:rFonts w:hint="eastAsia" w:eastAsia="方正仿宋_GBK"/>
          <w:color w:val="000000"/>
          <w:kern w:val="0"/>
          <w:sz w:val="24"/>
        </w:rPr>
        <w:t>月</w:t>
      </w:r>
      <w:r>
        <w:rPr>
          <w:rFonts w:eastAsia="方正仿宋_GBK"/>
          <w:color w:val="000000"/>
          <w:kern w:val="0"/>
          <w:sz w:val="24"/>
        </w:rPr>
        <w:t>1</w:t>
      </w:r>
      <w:r>
        <w:rPr>
          <w:rFonts w:hint="eastAsia" w:eastAsia="方正仿宋_GBK"/>
          <w:color w:val="000000"/>
          <w:kern w:val="0"/>
          <w:sz w:val="24"/>
        </w:rPr>
        <w:t>日起施行。以往颁布的其他文件与本办法不一致的，以本办法为准。</w:t>
      </w:r>
    </w:p>
    <w:p>
      <w:pPr>
        <w:widowControl/>
        <w:spacing w:line="460" w:lineRule="exact"/>
        <w:ind w:firstLine="472" w:firstLineChars="200"/>
        <w:rPr>
          <w:rFonts w:eastAsia="方正仿宋_GBK"/>
          <w:color w:val="000000"/>
          <w:kern w:val="0"/>
          <w:sz w:val="24"/>
        </w:rPr>
      </w:pPr>
      <w:r>
        <w:rPr>
          <w:rFonts w:hint="eastAsia" w:ascii="Times New Roman" w:eastAsia="黑体"/>
          <w:bCs/>
          <w:color w:val="000000"/>
          <w:kern w:val="0"/>
          <w:sz w:val="24"/>
        </w:rPr>
        <w:t>第三十八条</w:t>
      </w:r>
      <w:r>
        <w:rPr>
          <w:rFonts w:eastAsia="方正仿宋_GBK"/>
          <w:color w:val="000000"/>
          <w:kern w:val="0"/>
          <w:sz w:val="24"/>
        </w:rPr>
        <w:t xml:space="preserve"> </w:t>
      </w:r>
      <w:r>
        <w:rPr>
          <w:rFonts w:hint="eastAsia" w:eastAsia="方正仿宋_GBK"/>
          <w:color w:val="000000"/>
          <w:spacing w:val="-4"/>
          <w:kern w:val="0"/>
          <w:sz w:val="24"/>
        </w:rPr>
        <w:t>本办法由省住房和城乡建设厅负责解释。</w:t>
      </w:r>
    </w:p>
    <w:p>
      <w:pPr>
        <w:widowControl/>
        <w:spacing w:line="460" w:lineRule="exact"/>
        <w:ind w:firstLine="456" w:firstLineChars="200"/>
        <w:rPr>
          <w:rFonts w:eastAsia="方正仿宋_GBK"/>
          <w:color w:val="000000"/>
          <w:kern w:val="0"/>
          <w:sz w:val="24"/>
        </w:rPr>
      </w:pPr>
      <w:r>
        <w:rPr>
          <w:rFonts w:hint="eastAsia" w:eastAsia="方正仿宋_GBK"/>
          <w:color w:val="000000"/>
          <w:spacing w:val="-4"/>
          <w:kern w:val="0"/>
          <w:sz w:val="24"/>
        </w:rPr>
        <w:t>附件</w:t>
      </w:r>
      <w:r>
        <w:rPr>
          <w:rFonts w:eastAsia="方正仿宋_GBK"/>
          <w:color w:val="000000"/>
          <w:spacing w:val="-4"/>
          <w:kern w:val="0"/>
          <w:sz w:val="24"/>
        </w:rPr>
        <w:t>1</w:t>
      </w:r>
      <w:r>
        <w:rPr>
          <w:rFonts w:hint="eastAsia" w:eastAsia="方正仿宋_GBK"/>
          <w:color w:val="000000"/>
          <w:spacing w:val="-4"/>
          <w:kern w:val="0"/>
          <w:sz w:val="24"/>
        </w:rPr>
        <w:t>：异议书</w:t>
      </w:r>
    </w:p>
    <w:p>
      <w:pPr>
        <w:widowControl/>
        <w:spacing w:line="460" w:lineRule="exact"/>
        <w:ind w:firstLine="456" w:firstLineChars="200"/>
        <w:rPr>
          <w:rFonts w:eastAsia="方正仿宋_GBK"/>
          <w:color w:val="000000"/>
          <w:kern w:val="0"/>
          <w:sz w:val="24"/>
        </w:rPr>
      </w:pPr>
      <w:r>
        <w:rPr>
          <w:rFonts w:hint="eastAsia" w:eastAsia="方正仿宋_GBK"/>
          <w:color w:val="000000"/>
          <w:spacing w:val="-4"/>
          <w:kern w:val="0"/>
          <w:sz w:val="24"/>
        </w:rPr>
        <w:t>附件</w:t>
      </w:r>
      <w:r>
        <w:rPr>
          <w:rFonts w:eastAsia="方正仿宋_GBK"/>
          <w:color w:val="000000"/>
          <w:spacing w:val="-4"/>
          <w:kern w:val="0"/>
          <w:sz w:val="24"/>
        </w:rPr>
        <w:t>2</w:t>
      </w:r>
      <w:r>
        <w:rPr>
          <w:rFonts w:hint="eastAsia" w:eastAsia="方正仿宋_GBK"/>
          <w:color w:val="000000"/>
          <w:spacing w:val="-4"/>
          <w:kern w:val="0"/>
          <w:sz w:val="24"/>
        </w:rPr>
        <w:t>：异议答复函</w:t>
      </w:r>
    </w:p>
    <w:p>
      <w:pPr>
        <w:widowControl/>
        <w:spacing w:line="460" w:lineRule="exact"/>
        <w:ind w:firstLine="456" w:firstLineChars="200"/>
        <w:rPr>
          <w:rFonts w:eastAsia="方正仿宋_GBK"/>
          <w:color w:val="000000"/>
          <w:kern w:val="0"/>
          <w:sz w:val="24"/>
        </w:rPr>
      </w:pPr>
      <w:r>
        <w:rPr>
          <w:rFonts w:hint="eastAsia" w:eastAsia="方正仿宋_GBK"/>
          <w:color w:val="000000"/>
          <w:spacing w:val="-4"/>
          <w:kern w:val="0"/>
          <w:sz w:val="24"/>
        </w:rPr>
        <w:t>附件</w:t>
      </w:r>
      <w:r>
        <w:rPr>
          <w:rFonts w:eastAsia="方正仿宋_GBK"/>
          <w:color w:val="000000"/>
          <w:spacing w:val="-4"/>
          <w:kern w:val="0"/>
          <w:sz w:val="24"/>
        </w:rPr>
        <w:t>3</w:t>
      </w:r>
      <w:r>
        <w:rPr>
          <w:rFonts w:hint="eastAsia" w:eastAsia="方正仿宋_GBK"/>
          <w:color w:val="000000"/>
          <w:spacing w:val="-4"/>
          <w:kern w:val="0"/>
          <w:sz w:val="24"/>
        </w:rPr>
        <w:t>：项目投诉书</w:t>
      </w:r>
    </w:p>
    <w:p>
      <w:pPr>
        <w:widowControl/>
        <w:spacing w:line="460" w:lineRule="exact"/>
        <w:ind w:firstLine="456" w:firstLineChars="200"/>
        <w:rPr>
          <w:rFonts w:eastAsia="方正仿宋_GBK"/>
          <w:color w:val="000000"/>
          <w:kern w:val="0"/>
          <w:sz w:val="24"/>
        </w:rPr>
      </w:pPr>
      <w:r>
        <w:rPr>
          <w:rFonts w:hint="eastAsia" w:eastAsia="方正仿宋_GBK"/>
          <w:color w:val="000000"/>
          <w:spacing w:val="-4"/>
          <w:kern w:val="0"/>
          <w:sz w:val="24"/>
        </w:rPr>
        <w:t>附件</w:t>
      </w:r>
      <w:r>
        <w:rPr>
          <w:rFonts w:eastAsia="方正仿宋_GBK"/>
          <w:color w:val="000000"/>
          <w:spacing w:val="-4"/>
          <w:kern w:val="0"/>
          <w:sz w:val="24"/>
        </w:rPr>
        <w:t>4</w:t>
      </w:r>
      <w:r>
        <w:rPr>
          <w:rFonts w:hint="eastAsia" w:eastAsia="方正仿宋_GBK"/>
          <w:color w:val="000000"/>
          <w:spacing w:val="-4"/>
          <w:kern w:val="0"/>
          <w:sz w:val="24"/>
        </w:rPr>
        <w:t>：不予受理通知书</w:t>
      </w:r>
    </w:p>
    <w:p>
      <w:pPr>
        <w:widowControl/>
        <w:spacing w:line="460" w:lineRule="exact"/>
        <w:ind w:firstLine="456" w:firstLineChars="200"/>
        <w:rPr>
          <w:rFonts w:eastAsia="方正仿宋_GBK"/>
          <w:color w:val="000000"/>
          <w:kern w:val="0"/>
          <w:sz w:val="24"/>
        </w:rPr>
      </w:pPr>
      <w:r>
        <w:rPr>
          <w:rFonts w:hint="eastAsia" w:eastAsia="方正仿宋_GBK"/>
          <w:color w:val="000000"/>
          <w:spacing w:val="-4"/>
          <w:kern w:val="0"/>
          <w:sz w:val="24"/>
        </w:rPr>
        <w:t>附件</w:t>
      </w:r>
      <w:r>
        <w:rPr>
          <w:rFonts w:eastAsia="方正仿宋_GBK"/>
          <w:color w:val="000000"/>
          <w:spacing w:val="-4"/>
          <w:kern w:val="0"/>
          <w:sz w:val="24"/>
        </w:rPr>
        <w:t>5</w:t>
      </w:r>
      <w:r>
        <w:rPr>
          <w:rFonts w:hint="eastAsia" w:eastAsia="方正仿宋_GBK"/>
          <w:color w:val="000000"/>
          <w:spacing w:val="-4"/>
          <w:kern w:val="0"/>
          <w:sz w:val="24"/>
        </w:rPr>
        <w:t>：投诉处理决定书</w:t>
      </w:r>
    </w:p>
    <w:p>
      <w:pPr>
        <w:widowControl/>
        <w:spacing w:line="560" w:lineRule="atLeast"/>
        <w:rPr>
          <w:rFonts w:ascii="Times New Roman" w:hAnsi="Times New Roman" w:eastAsia="黑体" w:cs="Arial"/>
          <w:color w:val="000000"/>
          <w:kern w:val="0"/>
          <w:szCs w:val="21"/>
        </w:rPr>
      </w:pPr>
      <w:r>
        <w:rPr>
          <w:rFonts w:hint="eastAsia" w:ascii="Times New Roman" w:hAnsi="Times New Roman" w:eastAsia="黑体" w:cs="Arial"/>
          <w:color w:val="000000"/>
          <w:kern w:val="0"/>
          <w:sz w:val="28"/>
          <w:szCs w:val="28"/>
        </w:rPr>
        <w:t>附件1：</w:t>
      </w:r>
    </w:p>
    <w:p>
      <w:pPr>
        <w:widowControl/>
        <w:spacing w:line="560" w:lineRule="atLeast"/>
        <w:jc w:val="center"/>
        <w:rPr>
          <w:rFonts w:hint="eastAsia" w:ascii="Times New Roman" w:hAnsi="Times New Roman" w:eastAsia="黑体" w:cs="Arial"/>
          <w:color w:val="000000"/>
          <w:kern w:val="0"/>
          <w:szCs w:val="21"/>
        </w:rPr>
      </w:pPr>
      <w:r>
        <w:rPr>
          <w:rFonts w:hint="eastAsia" w:ascii="Times New Roman" w:hAnsi="Times New Roman" w:cs="Arial"/>
          <w:b/>
          <w:bCs/>
          <w:color w:val="000000"/>
          <w:kern w:val="0"/>
          <w:sz w:val="36"/>
          <w:szCs w:val="36"/>
        </w:rPr>
        <w:t>异议书（格式）</w:t>
      </w:r>
    </w:p>
    <w:p>
      <w:pPr>
        <w:widowControl/>
        <w:spacing w:line="480" w:lineRule="atLeast"/>
        <w:rPr>
          <w:rFonts w:hint="eastAsia" w:ascii="Times New Roman" w:hAnsi="Times New Roman" w:cs="Arial"/>
          <w:color w:val="000000"/>
          <w:kern w:val="0"/>
          <w:sz w:val="24"/>
        </w:rPr>
      </w:pPr>
      <w:r>
        <w:rPr>
          <w:rFonts w:ascii="Times New Roman" w:hAnsi="Times New Roman" w:cs="Arial"/>
          <w:color w:val="000000"/>
          <w:kern w:val="0"/>
          <w:szCs w:val="21"/>
        </w:rPr>
        <w:t> </w:t>
      </w:r>
    </w:p>
    <w:p>
      <w:pPr>
        <w:widowControl/>
        <w:spacing w:line="460" w:lineRule="atLeas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项目名称：</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atLeas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异议人：</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atLeas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住所地：</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邮编：</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atLeas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法定代表人：</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联系电话</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atLeas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异议人授权代表：</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性别：</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年龄：</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atLeas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住址：</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联系电话：</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atLeast"/>
        <w:ind w:firstLine="472" w:firstLineChars="200"/>
        <w:rPr>
          <w:rFonts w:ascii="Times New Roman" w:hAnsi="Times New Roman" w:eastAsia="仿宋_GB2312" w:cs="Arial"/>
          <w:color w:val="000000"/>
          <w:kern w:val="0"/>
          <w:sz w:val="24"/>
        </w:rPr>
      </w:pPr>
    </w:p>
    <w:p>
      <w:pPr>
        <w:widowControl/>
        <w:spacing w:line="460" w:lineRule="atLeast"/>
        <w:ind w:firstLine="472" w:firstLineChars="200"/>
        <w:rPr>
          <w:rFonts w:hint="eastAsia" w:ascii="Times New Roman" w:hAnsi="Times New Roman" w:cs="Arial"/>
          <w:color w:val="000000"/>
          <w:kern w:val="0"/>
          <w:sz w:val="24"/>
        </w:rPr>
      </w:pPr>
      <w:r>
        <w:rPr>
          <w:rFonts w:hint="eastAsia" w:ascii="Times New Roman" w:hAnsi="Times New Roman" w:eastAsia="仿宋_GB2312" w:cs="Arial"/>
          <w:color w:val="000000"/>
          <w:kern w:val="0"/>
          <w:sz w:val="24"/>
        </w:rPr>
        <w:t>提起异议事项的基本事实：</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atLeast"/>
        <w:ind w:firstLine="472" w:firstLineChars="200"/>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atLeas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相关请求及主张：</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p>
    <w:p>
      <w:pPr>
        <w:widowControl/>
        <w:spacing w:line="460" w:lineRule="atLeast"/>
        <w:ind w:firstLine="472" w:firstLineChars="200"/>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atLeas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有效线索和相关证明材料：</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atLeast"/>
        <w:ind w:firstLine="472" w:firstLineChars="200"/>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atLeas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异议人与提起项目有利害关系的证明材料：</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atLeas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atLeast"/>
        <w:rPr>
          <w:rFonts w:ascii="Times New Roman" w:hAnsi="Times New Roman" w:cs="Arial"/>
          <w:color w:val="000000"/>
          <w:kern w:val="0"/>
          <w:sz w:val="24"/>
        </w:rPr>
      </w:pPr>
    </w:p>
    <w:p>
      <w:pPr>
        <w:widowControl/>
        <w:spacing w:line="460" w:lineRule="atLeast"/>
        <w:jc w:val="center"/>
        <w:rPr>
          <w:rFonts w:ascii="Times New Roman" w:hAnsi="Times New Roman" w:cs="Arial"/>
          <w:color w:val="000000"/>
          <w:kern w:val="0"/>
          <w:sz w:val="24"/>
        </w:rPr>
      </w:pP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异议人（公章）：</w:t>
      </w:r>
    </w:p>
    <w:p>
      <w:pPr>
        <w:widowControl/>
        <w:spacing w:line="460" w:lineRule="atLeast"/>
        <w:jc w:val="center"/>
        <w:rPr>
          <w:rFonts w:ascii="Times New Roman" w:hAnsi="Times New Roman" w:cs="Arial"/>
          <w:color w:val="000000"/>
          <w:kern w:val="0"/>
          <w:sz w:val="24"/>
        </w:rPr>
      </w:pP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法定代表人或授权代表（签字）</w:t>
      </w:r>
    </w:p>
    <w:p>
      <w:pPr>
        <w:widowControl/>
        <w:spacing w:line="460" w:lineRule="atLeast"/>
        <w:rPr>
          <w:rFonts w:ascii="Times New Roman" w:hAnsi="Times New Roman" w:cs="Arial"/>
          <w:color w:val="000000"/>
          <w:kern w:val="0"/>
          <w:sz w:val="24"/>
        </w:rPr>
      </w:pP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年</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月</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日</w:t>
      </w:r>
    </w:p>
    <w:p>
      <w:pPr>
        <w:widowControl/>
        <w:spacing w:line="460" w:lineRule="atLeast"/>
        <w:rPr>
          <w:rFonts w:ascii="Times New Roman" w:hAnsi="Times New Roman" w:cs="Arial"/>
          <w:color w:val="000000"/>
          <w:kern w:val="0"/>
          <w:szCs w:val="21"/>
        </w:rPr>
      </w:pPr>
      <w:r>
        <w:rPr>
          <w:rFonts w:ascii="Times New Roman" w:hAnsi="Times New Roman" w:cs="Arial"/>
          <w:color w:val="000000"/>
          <w:kern w:val="0"/>
          <w:szCs w:val="21"/>
        </w:rPr>
        <w:t> </w:t>
      </w:r>
    </w:p>
    <w:p>
      <w:pPr>
        <w:widowControl/>
        <w:spacing w:line="460" w:lineRule="atLeast"/>
        <w:rPr>
          <w:rFonts w:ascii="Times New Roman" w:hAnsi="Times New Roman" w:cs="Arial"/>
          <w:color w:val="000000"/>
          <w:kern w:val="0"/>
          <w:szCs w:val="21"/>
        </w:rPr>
      </w:pPr>
      <w:r>
        <w:rPr>
          <w:rFonts w:hint="eastAsia" w:ascii="Times New Roman" w:hAnsi="Times New Roman" w:eastAsia="仿宋_GB2312" w:cs="Arial"/>
          <w:color w:val="000000"/>
          <w:kern w:val="0"/>
          <w:sz w:val="24"/>
        </w:rPr>
        <w:t>说明：</w:t>
      </w:r>
    </w:p>
    <w:p>
      <w:pPr>
        <w:widowControl/>
        <w:spacing w:line="400" w:lineRule="atLeast"/>
        <w:ind w:firstLine="472" w:firstLineChars="200"/>
        <w:rPr>
          <w:rFonts w:ascii="Times New Roman" w:hAnsi="Times New Roman" w:cs="Arial"/>
          <w:color w:val="000000"/>
          <w:kern w:val="0"/>
          <w:szCs w:val="21"/>
        </w:rPr>
      </w:pPr>
      <w:r>
        <w:rPr>
          <w:rFonts w:hint="eastAsia" w:ascii="Times New Roman" w:hAnsi="Times New Roman" w:eastAsia="仿宋_GB2312" w:cs="Arial"/>
          <w:color w:val="000000"/>
          <w:kern w:val="0"/>
          <w:sz w:val="24"/>
        </w:rPr>
        <w:t>1.异议人是法人的，异议书必须由其法定代表人或者授权代表签字并盖章。</w:t>
      </w:r>
    </w:p>
    <w:p>
      <w:pPr>
        <w:widowControl/>
        <w:spacing w:line="560" w:lineRule="atLeast"/>
        <w:ind w:firstLine="472" w:firstLineChars="200"/>
        <w:rPr>
          <w:rFonts w:ascii="Times New Roman" w:hAnsi="Times New Roman" w:cs="Arial"/>
          <w:color w:val="000000"/>
          <w:kern w:val="0"/>
          <w:szCs w:val="21"/>
        </w:rPr>
      </w:pPr>
      <w:r>
        <w:rPr>
          <w:rFonts w:hint="eastAsia" w:ascii="Times New Roman" w:hAnsi="Times New Roman" w:eastAsia="仿宋_GB2312" w:cs="Arial"/>
          <w:color w:val="000000"/>
          <w:kern w:val="0"/>
          <w:sz w:val="24"/>
        </w:rPr>
        <w:t>2.异议书有关材料是外文的，异议人应当同时提供其中文译本。</w:t>
      </w:r>
    </w:p>
    <w:p>
      <w:pPr>
        <w:widowControl/>
        <w:spacing w:line="560" w:lineRule="atLeast"/>
        <w:rPr>
          <w:rFonts w:ascii="Times New Roman" w:hAnsi="Times New Roman" w:cs="Arial"/>
          <w:color w:val="000000"/>
          <w:kern w:val="0"/>
          <w:sz w:val="28"/>
          <w:szCs w:val="28"/>
        </w:rPr>
      </w:pPr>
    </w:p>
    <w:p>
      <w:pPr>
        <w:widowControl/>
        <w:spacing w:line="560" w:lineRule="atLeast"/>
        <w:rPr>
          <w:rFonts w:hint="eastAsia" w:ascii="Times New Roman" w:hAnsi="Times New Roman" w:eastAsia="黑体" w:cs="Arial"/>
          <w:color w:val="000000"/>
          <w:kern w:val="0"/>
          <w:szCs w:val="21"/>
        </w:rPr>
      </w:pPr>
      <w:r>
        <w:rPr>
          <w:rFonts w:hint="eastAsia" w:ascii="Times New Roman" w:hAnsi="Times New Roman" w:eastAsia="黑体" w:cs="Arial"/>
          <w:color w:val="000000"/>
          <w:kern w:val="0"/>
          <w:sz w:val="28"/>
          <w:szCs w:val="28"/>
        </w:rPr>
        <w:t>附件2：</w:t>
      </w:r>
    </w:p>
    <w:p>
      <w:pPr>
        <w:widowControl/>
        <w:spacing w:line="480" w:lineRule="atLeast"/>
        <w:jc w:val="center"/>
        <w:rPr>
          <w:rFonts w:hint="eastAsia" w:ascii="Times New Roman" w:hAnsi="Times New Roman" w:cs="Arial"/>
          <w:color w:val="000000"/>
          <w:kern w:val="0"/>
          <w:szCs w:val="21"/>
        </w:rPr>
      </w:pPr>
      <w:r>
        <w:rPr>
          <w:rFonts w:ascii="Times New Roman" w:hAnsi="Times New Roman" w:cs="Arial"/>
          <w:color w:val="000000"/>
          <w:kern w:val="0"/>
          <w:szCs w:val="21"/>
        </w:rPr>
        <w:t> </w:t>
      </w:r>
    </w:p>
    <w:p>
      <w:pPr>
        <w:widowControl/>
        <w:spacing w:line="480" w:lineRule="atLeast"/>
        <w:jc w:val="center"/>
        <w:rPr>
          <w:rFonts w:ascii="Times New Roman" w:hAnsi="Times New Roman" w:cs="Arial"/>
          <w:color w:val="000000"/>
          <w:kern w:val="0"/>
          <w:szCs w:val="21"/>
        </w:rPr>
      </w:pPr>
      <w:r>
        <w:rPr>
          <w:rFonts w:hint="eastAsia" w:ascii="Times New Roman" w:hAnsi="Times New Roman" w:cs="Arial"/>
          <w:b/>
          <w:bCs/>
          <w:color w:val="000000"/>
          <w:kern w:val="0"/>
          <w:sz w:val="36"/>
          <w:szCs w:val="36"/>
        </w:rPr>
        <w:t>异议答复函（格式）</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Cs w:val="21"/>
        </w:rPr>
        <w:t> </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color w:val="000000"/>
          <w:kern w:val="0"/>
          <w:sz w:val="24"/>
          <w:u w:val="single"/>
        </w:rPr>
        <w:t>（异议人名称）：</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贵单位对（招标项目名称）招标活动向本单位提出了有关异议：</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（一）………；</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（二）………；</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（三）………。</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同时提供了（相关事实和依据）的证明材料。</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本单位于</w:t>
      </w:r>
      <w:r>
        <w:rPr>
          <w:rFonts w:hint="eastAsia" w:ascii="Times New Roman" w:hAnsi="Times New Roman" w:cs="Arial"/>
          <w:color w:val="000000"/>
          <w:kern w:val="0"/>
          <w:sz w:val="24"/>
        </w:rPr>
        <w:t>    </w:t>
      </w:r>
      <w:r>
        <w:rPr>
          <w:rFonts w:hint="eastAsia" w:ascii="Times New Roman" w:hAnsi="Times New Roman" w:eastAsia="仿宋_GB2312" w:cs="Arial"/>
          <w:color w:val="000000"/>
          <w:kern w:val="0"/>
          <w:sz w:val="24"/>
        </w:rPr>
        <w:t>年</w:t>
      </w:r>
      <w:r>
        <w:rPr>
          <w:rFonts w:hint="eastAsia" w:ascii="Times New Roman" w:hAnsi="Times New Roman" w:cs="Arial"/>
          <w:color w:val="000000"/>
          <w:kern w:val="0"/>
          <w:sz w:val="24"/>
        </w:rPr>
        <w:t>  </w:t>
      </w:r>
      <w:r>
        <w:rPr>
          <w:rFonts w:hint="eastAsia" w:ascii="Times New Roman" w:hAnsi="Times New Roman" w:eastAsia="仿宋_GB2312" w:cs="Arial"/>
          <w:color w:val="000000"/>
          <w:kern w:val="0"/>
          <w:sz w:val="24"/>
        </w:rPr>
        <w:t>月</w:t>
      </w:r>
      <w:r>
        <w:rPr>
          <w:rFonts w:hint="eastAsia" w:ascii="Times New Roman" w:hAnsi="Times New Roman" w:cs="Arial"/>
          <w:color w:val="000000"/>
          <w:kern w:val="0"/>
          <w:sz w:val="24"/>
        </w:rPr>
        <w:t>  </w:t>
      </w:r>
      <w:r>
        <w:rPr>
          <w:rFonts w:hint="eastAsia" w:ascii="Times New Roman" w:hAnsi="Times New Roman" w:eastAsia="仿宋_GB2312" w:cs="Arial"/>
          <w:color w:val="000000"/>
          <w:kern w:val="0"/>
          <w:sz w:val="24"/>
        </w:rPr>
        <w:t>日予以受理，经对本次招标活动的相关材料进行审查，并依据（法律、法规）和本次招标文件等有关规定，现答复如下：</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（一）………；</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（二）………；</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（三）………。</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color w:val="000000"/>
          <w:kern w:val="0"/>
          <w:sz w:val="24"/>
        </w:rPr>
        <w:t>综上，本单位认为：</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rPr>
          <w:rFonts w:ascii="Times New Roman" w:hAnsi="Times New Roman" w:cs="Arial"/>
          <w:color w:val="000000"/>
          <w:kern w:val="0"/>
          <w:sz w:val="24"/>
        </w:rPr>
      </w:pPr>
      <w:r>
        <w:rPr>
          <w:rFonts w:hint="eastAsia" w:ascii="Times New Roman" w:hAnsi="Times New Roman" w:cs="Arial"/>
          <w:color w:val="000000"/>
          <w:kern w:val="0"/>
          <w:sz w:val="24"/>
        </w:rPr>
        <w:t>                                  </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jc w:val="left"/>
        <w:rPr>
          <w:rFonts w:ascii="Times New Roman" w:hAnsi="Times New Roman" w:cs="Arial"/>
          <w:color w:val="000000"/>
          <w:kern w:val="0"/>
          <w:sz w:val="24"/>
        </w:rPr>
      </w:pP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单位：（盖章）</w:t>
      </w:r>
    </w:p>
    <w:p>
      <w:pPr>
        <w:widowControl/>
        <w:spacing w:line="460" w:lineRule="exact"/>
        <w:jc w:val="left"/>
        <w:rPr>
          <w:rFonts w:ascii="Times New Roman" w:hAnsi="Times New Roman" w:cs="Arial"/>
          <w:color w:val="000000"/>
          <w:kern w:val="0"/>
          <w:sz w:val="24"/>
        </w:rPr>
      </w:pPr>
      <w:r>
        <w:rPr>
          <w:rFonts w:hint="eastAsia" w:ascii="Times New Roman" w:hAnsi="Times New Roman" w:cs="Arial"/>
          <w:color w:val="000000"/>
          <w:kern w:val="0"/>
          <w:sz w:val="24"/>
        </w:rPr>
        <w:t>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联系电话：</w:t>
      </w:r>
    </w:p>
    <w:p>
      <w:pPr>
        <w:widowControl/>
        <w:spacing w:line="460" w:lineRule="exact"/>
        <w:jc w:val="left"/>
        <w:rPr>
          <w:rFonts w:ascii="Times New Roman" w:hAnsi="Times New Roman" w:cs="Arial"/>
          <w:color w:val="000000"/>
          <w:kern w:val="0"/>
          <w:sz w:val="24"/>
        </w:rPr>
      </w:pPr>
      <w:r>
        <w:rPr>
          <w:rFonts w:hint="eastAsia" w:ascii="Times New Roman" w:hAnsi="Times New Roman" w:cs="Arial"/>
          <w:color w:val="000000"/>
          <w:kern w:val="0"/>
          <w:sz w:val="24"/>
        </w:rPr>
        <w:t>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hint="eastAsia" w:ascii="Times New Roman" w:hAnsi="Times New Roman" w:cs="Arial"/>
          <w:color w:val="000000"/>
          <w:kern w:val="0"/>
          <w:sz w:val="24"/>
        </w:rPr>
        <w:t>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年</w:t>
      </w:r>
      <w:r>
        <w:rPr>
          <w:rFonts w:hint="eastAsia" w:ascii="Times New Roman" w:hAnsi="Times New Roman" w:cs="Arial"/>
          <w:color w:val="000000"/>
          <w:kern w:val="0"/>
          <w:sz w:val="24"/>
        </w:rPr>
        <w:t> </w:t>
      </w:r>
      <w:r>
        <w:rPr>
          <w:rFonts w:hint="eastAsia" w:ascii="Times New Roman" w:hAnsi="Times New Roman" w:eastAsia="仿宋_GB2312" w:cs="Arial"/>
          <w:color w:val="000000"/>
          <w:kern w:val="0"/>
          <w:sz w:val="24"/>
        </w:rPr>
        <w:t xml:space="preserve"> 月 </w:t>
      </w:r>
      <w:r>
        <w:rPr>
          <w:rFonts w:hint="eastAsia" w:ascii="Times New Roman" w:hAnsi="Times New Roman" w:cs="Arial"/>
          <w:color w:val="000000"/>
          <w:kern w:val="0"/>
          <w:sz w:val="24"/>
        </w:rPr>
        <w:t> </w:t>
      </w:r>
      <w:r>
        <w:rPr>
          <w:rFonts w:hint="eastAsia" w:ascii="Times New Roman" w:hAnsi="Times New Roman" w:eastAsia="仿宋_GB2312" w:cs="Arial"/>
          <w:color w:val="000000"/>
          <w:kern w:val="0"/>
          <w:sz w:val="24"/>
        </w:rPr>
        <w:t>日</w:t>
      </w:r>
    </w:p>
    <w:p>
      <w:pPr>
        <w:widowControl/>
        <w:spacing w:line="460" w:lineRule="exact"/>
        <w:jc w:val="lef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rPr>
          <w:rFonts w:ascii="Times New Roman" w:hAnsi="Times New Roman" w:eastAsia="黑体" w:cs="Arial"/>
          <w:color w:val="000000"/>
          <w:kern w:val="0"/>
          <w:sz w:val="28"/>
          <w:szCs w:val="28"/>
        </w:rPr>
      </w:pPr>
      <w:r>
        <w:rPr>
          <w:rFonts w:hint="eastAsia" w:ascii="Times New Roman" w:hAnsi="Times New Roman" w:cs="Arial"/>
          <w:color w:val="000000"/>
          <w:kern w:val="0"/>
          <w:sz w:val="24"/>
        </w:rPr>
        <w:br w:type="column"/>
      </w:r>
      <w:r>
        <w:rPr>
          <w:rFonts w:hint="eastAsia" w:ascii="Times New Roman" w:hAnsi="Times New Roman" w:eastAsia="黑体" w:cs="Arial"/>
          <w:color w:val="000000"/>
          <w:kern w:val="0"/>
          <w:sz w:val="28"/>
          <w:szCs w:val="28"/>
        </w:rPr>
        <w:t>附件3：</w:t>
      </w:r>
    </w:p>
    <w:p>
      <w:pPr>
        <w:widowControl/>
        <w:spacing w:line="460" w:lineRule="exact"/>
        <w:jc w:val="center"/>
        <w:rPr>
          <w:rFonts w:hint="eastAsia" w:ascii="Times New Roman" w:hAnsi="Times New Roman" w:cs="Arial"/>
          <w:b/>
          <w:bCs/>
          <w:color w:val="000000"/>
          <w:kern w:val="0"/>
          <w:sz w:val="36"/>
          <w:szCs w:val="36"/>
        </w:rPr>
      </w:pPr>
      <w:r>
        <w:rPr>
          <w:rFonts w:hint="eastAsia" w:ascii="Times New Roman" w:hAnsi="Times New Roman" w:cs="Arial"/>
          <w:b/>
          <w:bCs/>
          <w:color w:val="000000"/>
          <w:kern w:val="0"/>
          <w:sz w:val="36"/>
          <w:szCs w:val="36"/>
        </w:rPr>
        <w:t>投诉书（格式）</w:t>
      </w:r>
    </w:p>
    <w:p>
      <w:pPr>
        <w:widowControl/>
        <w:spacing w:line="460" w:lineRule="exact"/>
        <w:jc w:val="center"/>
        <w:rPr>
          <w:rFonts w:hint="eastAsia"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b/>
          <w:bCs/>
          <w:color w:val="000000"/>
          <w:kern w:val="0"/>
          <w:sz w:val="24"/>
        </w:rPr>
        <w:t>投诉人（名称）：</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color w:val="000000"/>
          <w:kern w:val="0"/>
          <w:sz w:val="24"/>
        </w:rPr>
        <w:t>住所地：</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邮编：</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color w:val="000000"/>
          <w:kern w:val="0"/>
          <w:sz w:val="24"/>
        </w:rPr>
        <w:t>联系电话：</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传真：</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color w:val="000000"/>
          <w:kern w:val="0"/>
          <w:sz w:val="24"/>
        </w:rPr>
        <w:t>法定代表人姓名：</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职务：</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电话：</w:t>
      </w:r>
    </w:p>
    <w:p>
      <w:pPr>
        <w:widowControl/>
        <w:spacing w:line="460" w:lineRule="exact"/>
        <w:ind w:left="1"/>
        <w:rPr>
          <w:rFonts w:ascii="Times New Roman" w:hAnsi="Times New Roman" w:cs="Arial"/>
          <w:color w:val="000000"/>
          <w:kern w:val="0"/>
          <w:sz w:val="24"/>
        </w:rPr>
      </w:pPr>
      <w:r>
        <w:rPr>
          <w:rFonts w:hint="eastAsia" w:ascii="Times New Roman" w:hAnsi="Times New Roman" w:eastAsia="仿宋_GB2312" w:cs="Arial"/>
          <w:color w:val="000000"/>
          <w:kern w:val="0"/>
          <w:sz w:val="24"/>
        </w:rPr>
        <w:t>授权委托人姓名（如有）：</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职务：</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电话：</w:t>
      </w:r>
    </w:p>
    <w:p>
      <w:pPr>
        <w:widowControl/>
        <w:spacing w:line="460" w:lineRule="exact"/>
        <w:ind w:left="1" w:firstLine="3972" w:firstLineChars="1683"/>
        <w:rPr>
          <w:rFonts w:ascii="Times New Roman" w:hAnsi="Times New Roman" w:cs="Arial"/>
          <w:color w:val="000000"/>
          <w:kern w:val="0"/>
          <w:sz w:val="24"/>
        </w:rPr>
      </w:pPr>
      <w:r>
        <w:rPr>
          <w:rFonts w:hint="eastAsia" w:ascii="Times New Roman" w:hAnsi="Times New Roman" w:eastAsia="仿宋_GB2312" w:cs="Arial"/>
          <w:color w:val="000000"/>
          <w:kern w:val="0"/>
          <w:sz w:val="24"/>
        </w:rPr>
        <w:t>居民身份证号码：</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b/>
          <w:bCs/>
          <w:color w:val="000000"/>
          <w:kern w:val="0"/>
          <w:sz w:val="24"/>
        </w:rPr>
        <w:t>被投诉人（名称）</w:t>
      </w:r>
      <w:r>
        <w:rPr>
          <w:rFonts w:hint="eastAsia" w:ascii="Times New Roman" w:hAnsi="Times New Roman" w:eastAsia="仿宋_GB2312" w:cs="Arial"/>
          <w:color w:val="000000"/>
          <w:kern w:val="0"/>
          <w:sz w:val="24"/>
        </w:rPr>
        <w:t>：</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color w:val="000000"/>
          <w:kern w:val="0"/>
          <w:sz w:val="24"/>
        </w:rPr>
        <w:t>住所地：</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color w:val="000000"/>
          <w:kern w:val="0"/>
          <w:sz w:val="24"/>
        </w:rPr>
        <w:t>邮编：</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电话：</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color w:val="000000"/>
          <w:kern w:val="0"/>
          <w:sz w:val="24"/>
        </w:rPr>
        <w:t>法定代表人姓名：</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职务：</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电话：</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b/>
          <w:bCs/>
          <w:color w:val="000000"/>
          <w:kern w:val="0"/>
          <w:sz w:val="24"/>
        </w:rPr>
        <w:t>投诉事项的基本事实：</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b/>
          <w:bCs/>
          <w:color w:val="000000"/>
          <w:kern w:val="0"/>
          <w:sz w:val="24"/>
        </w:rPr>
        <w:t>相关请求及主张:</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b/>
          <w:bCs/>
          <w:color w:val="000000"/>
          <w:kern w:val="0"/>
          <w:sz w:val="24"/>
        </w:rPr>
        <w:t>相关证明材料及有效线索:</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b/>
          <w:bCs/>
          <w:color w:val="000000"/>
          <w:kern w:val="0"/>
          <w:sz w:val="24"/>
        </w:rPr>
        <w:t>投诉人与投诉项目有利害关系的证明材料:</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rPr>
          <w:rFonts w:ascii="Times New Roman" w:hAnsi="Times New Roman" w:cs="Arial"/>
          <w:color w:val="000000"/>
          <w:kern w:val="0"/>
          <w:sz w:val="24"/>
        </w:rPr>
      </w:pPr>
      <w:r>
        <w:rPr>
          <w:rFonts w:hint="eastAsia" w:ascii="Times New Roman" w:hAnsi="Times New Roman" w:eastAsia="仿宋_GB2312" w:cs="Arial"/>
          <w:b/>
          <w:bCs/>
          <w:color w:val="000000"/>
          <w:kern w:val="0"/>
          <w:sz w:val="24"/>
        </w:rPr>
        <w:t>对异议事项进行投诉的，异议的证明文件及招标人异议答复书：</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ind w:left="99" w:firstLine="3780"/>
        <w:rPr>
          <w:rFonts w:ascii="Times New Roman" w:hAnsi="Times New Roman" w:cs="Arial"/>
          <w:color w:val="000000"/>
          <w:kern w:val="0"/>
          <w:sz w:val="24"/>
        </w:rPr>
      </w:pPr>
      <w:r>
        <w:rPr>
          <w:rFonts w:hint="eastAsia" w:ascii="Times New Roman" w:hAnsi="Times New Roman" w:eastAsia="仿宋_GB2312" w:cs="Arial"/>
          <w:color w:val="000000"/>
          <w:kern w:val="0"/>
          <w:sz w:val="24"/>
        </w:rPr>
        <w:t>投诉人（加盖公章）</w:t>
      </w:r>
    </w:p>
    <w:p>
      <w:pPr>
        <w:widowControl/>
        <w:spacing w:line="460" w:lineRule="exact"/>
        <w:ind w:left="99" w:firstLine="3780"/>
        <w:rPr>
          <w:rFonts w:ascii="Times New Roman" w:hAnsi="Times New Roman" w:cs="Arial"/>
          <w:color w:val="000000"/>
          <w:kern w:val="0"/>
          <w:sz w:val="24"/>
        </w:rPr>
      </w:pPr>
      <w:r>
        <w:rPr>
          <w:rFonts w:hint="eastAsia" w:ascii="Times New Roman" w:hAnsi="Times New Roman" w:eastAsia="仿宋_GB2312" w:cs="Arial"/>
          <w:color w:val="000000"/>
          <w:kern w:val="0"/>
          <w:sz w:val="24"/>
        </w:rPr>
        <w:t>法定代表人（签字）</w:t>
      </w:r>
    </w:p>
    <w:p>
      <w:pPr>
        <w:widowControl/>
        <w:spacing w:line="460" w:lineRule="exact"/>
        <w:ind w:left="99" w:firstLine="5600"/>
        <w:rPr>
          <w:rFonts w:ascii="Times New Roman" w:hAnsi="Times New Roman" w:cs="Arial"/>
          <w:color w:val="000000"/>
          <w:kern w:val="0"/>
          <w:sz w:val="24"/>
        </w:rPr>
      </w:pPr>
      <w:r>
        <w:rPr>
          <w:rFonts w:hint="eastAsia" w:ascii="Times New Roman" w:hAnsi="Times New Roman" w:eastAsia="仿宋_GB2312" w:cs="Arial"/>
          <w:color w:val="000000"/>
          <w:kern w:val="0"/>
          <w:sz w:val="24"/>
        </w:rPr>
        <w:t>年</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月</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日</w:t>
      </w:r>
    </w:p>
    <w:p>
      <w:pPr>
        <w:widowControl/>
        <w:spacing w:line="460" w:lineRule="exact"/>
        <w:rPr>
          <w:rFonts w:ascii="Times New Roman" w:hAnsi="Times New Roman" w:cs="Arial"/>
          <w:color w:val="000000"/>
          <w:kern w:val="0"/>
          <w:sz w:val="24"/>
        </w:rPr>
      </w:pPr>
      <w:r>
        <w:rPr>
          <w:rFonts w:ascii="Times New Roman" w:hAnsi="Times New Roman" w:cs="Arial"/>
          <w:color w:val="000000"/>
          <w:kern w:val="0"/>
          <w:sz w:val="24"/>
        </w:rPr>
        <w:t> </w:t>
      </w:r>
      <w:r>
        <w:rPr>
          <w:rFonts w:hint="eastAsia" w:ascii="Times New Roman" w:hAnsi="Times New Roman" w:eastAsia="仿宋_GB2312" w:cs="Arial"/>
          <w:color w:val="000000"/>
          <w:kern w:val="0"/>
          <w:sz w:val="24"/>
        </w:rPr>
        <w:t>说明：</w:t>
      </w:r>
    </w:p>
    <w:p>
      <w:pPr>
        <w:widowControl/>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1.投诉人是法人的，投诉书必须由其法定代表人或者授权代表签字并盖章。</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2.投诉书有关材料是外文的，投诉人应当同时提供其中文译本。</w:t>
      </w:r>
    </w:p>
    <w:p>
      <w:pPr>
        <w:widowControl/>
        <w:spacing w:line="460" w:lineRule="exact"/>
        <w:rPr>
          <w:rFonts w:ascii="Times New Roman" w:hAnsi="Times New Roman" w:eastAsia="黑体" w:cs="Arial"/>
          <w:color w:val="000000"/>
          <w:kern w:val="0"/>
          <w:sz w:val="28"/>
          <w:szCs w:val="28"/>
        </w:rPr>
      </w:pPr>
      <w:r>
        <w:rPr>
          <w:rFonts w:hint="eastAsia" w:ascii="Times New Roman" w:hAnsi="Times New Roman" w:eastAsia="黑体" w:cs="Arial"/>
          <w:color w:val="000000"/>
          <w:kern w:val="0"/>
          <w:sz w:val="28"/>
          <w:szCs w:val="28"/>
        </w:rPr>
        <w:t>附件4：</w:t>
      </w:r>
    </w:p>
    <w:p>
      <w:pPr>
        <w:widowControl/>
        <w:spacing w:line="460" w:lineRule="exact"/>
        <w:jc w:val="center"/>
        <w:rPr>
          <w:rFonts w:hint="eastAsia"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jc w:val="center"/>
        <w:rPr>
          <w:rFonts w:ascii="Times New Roman" w:hAnsi="Times New Roman" w:cs="Arial"/>
          <w:b/>
          <w:bCs/>
          <w:color w:val="000000"/>
          <w:kern w:val="0"/>
          <w:sz w:val="36"/>
          <w:szCs w:val="36"/>
        </w:rPr>
      </w:pPr>
      <w:r>
        <w:rPr>
          <w:rFonts w:hint="eastAsia" w:ascii="Times New Roman" w:hAnsi="Times New Roman" w:cs="Arial"/>
          <w:b/>
          <w:bCs/>
          <w:color w:val="000000"/>
          <w:kern w:val="0"/>
          <w:sz w:val="36"/>
          <w:szCs w:val="36"/>
        </w:rPr>
        <w:t>不予受理通知书（格式）</w:t>
      </w:r>
    </w:p>
    <w:p>
      <w:pPr>
        <w:widowControl/>
        <w:spacing w:line="460" w:lineRule="exact"/>
        <w:jc w:val="center"/>
        <w:rPr>
          <w:rFonts w:hint="eastAsia" w:ascii="Times New Roman" w:hAnsi="Times New Roman" w:cs="Arial"/>
          <w:color w:val="000000"/>
          <w:kern w:val="0"/>
          <w:sz w:val="24"/>
        </w:rPr>
      </w:pPr>
      <w:r>
        <w:rPr>
          <w:rFonts w:ascii="Times New Roman" w:hAnsi="Times New Roman" w:cs="Arial"/>
          <w:color w:val="000000"/>
          <w:kern w:val="0"/>
          <w:sz w:val="24"/>
        </w:rPr>
        <w:t> </w:t>
      </w:r>
    </w:p>
    <w:p>
      <w:pPr>
        <w:widowControl/>
        <w:shd w:val="clear" w:color="auto" w:fill="FFFFFF"/>
        <w:spacing w:line="460" w:lineRule="exact"/>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编号：</w:t>
      </w:r>
    </w:p>
    <w:p>
      <w:pPr>
        <w:widowControl/>
        <w:shd w:val="clear" w:color="auto" w:fill="FFFFFF"/>
        <w:spacing w:line="460" w:lineRule="exact"/>
        <w:ind w:firstLine="4248" w:firstLineChars="18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w:t>
      </w:r>
    </w:p>
    <w:p>
      <w:pPr>
        <w:widowControl/>
        <w:shd w:val="clear" w:color="auto" w:fill="FFFFFF"/>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你单位于</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年</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月</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日递交的对</w:t>
      </w:r>
      <w:r>
        <w:rPr>
          <w:rFonts w:ascii="Times New Roman" w:hAnsi="Times New Roman" w:eastAsia="仿宋_GB2312" w:cs="Arial"/>
          <w:color w:val="000000"/>
          <w:kern w:val="0"/>
          <w:sz w:val="24"/>
        </w:rPr>
        <w:t> </w:t>
      </w:r>
      <w:r>
        <w:rPr>
          <w:rFonts w:ascii="Times New Roman" w:hAnsi="Times New Roman" w:eastAsia="仿宋_GB2312" w:cs="Arial"/>
          <w:color w:val="000000"/>
          <w:kern w:val="0"/>
          <w:sz w:val="24"/>
          <w:u w:val="single"/>
        </w:rPr>
        <w:t>           </w:t>
      </w:r>
      <w:r>
        <w:rPr>
          <w:rFonts w:hint="eastAsia" w:ascii="Times New Roman" w:hAnsi="Times New Roman" w:eastAsia="仿宋_GB2312" w:cs="Arial"/>
          <w:color w:val="000000"/>
          <w:kern w:val="0"/>
          <w:sz w:val="24"/>
          <w:u w:val="single"/>
        </w:rPr>
        <w:t xml:space="preserve">                    </w:t>
      </w:r>
      <w:r>
        <w:rPr>
          <w:rFonts w:ascii="Times New Roman" w:hAnsi="Times New Roman" w:eastAsia="仿宋_GB2312" w:cs="Arial"/>
          <w:color w:val="000000"/>
          <w:kern w:val="0"/>
          <w:sz w:val="24"/>
          <w:u w:val="single"/>
        </w:rPr>
        <w:t>     </w:t>
      </w:r>
      <w:r>
        <w:rPr>
          <w:rFonts w:hint="eastAsia" w:ascii="Times New Roman" w:hAnsi="Times New Roman" w:eastAsia="仿宋_GB2312" w:cs="Arial"/>
          <w:color w:val="000000"/>
          <w:kern w:val="0"/>
          <w:sz w:val="24"/>
          <w:u w:val="single"/>
        </w:rPr>
        <w:t xml:space="preserve"> </w:t>
      </w:r>
      <w:r>
        <w:rPr>
          <w:rFonts w:hint="eastAsia" w:ascii="Times New Roman" w:hAnsi="Times New Roman" w:eastAsia="仿宋_GB2312" w:cs="Arial"/>
          <w:color w:val="000000"/>
          <w:kern w:val="0"/>
          <w:sz w:val="24"/>
        </w:rPr>
        <w:t>工程的投诉材料已审查结束，根据招标投标相关法律、法规和规章规定，你单位投诉存在以下问题：</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□投诉人不是所投诉招标投标活动的参与者，或者与投诉项目无任何利害关系，或者无法证明其为招投标活动的参与者或者其它利害关系的；</w:t>
      </w:r>
    </w:p>
    <w:p>
      <w:pPr>
        <w:widowControl/>
        <w:shd w:val="clear" w:color="auto" w:fill="FFFFFF"/>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□投诉事项不具体，且未提供有效线索，难以查证；</w:t>
      </w:r>
    </w:p>
    <w:p>
      <w:pPr>
        <w:widowControl/>
        <w:shd w:val="clear" w:color="auto" w:fill="FFFFFF"/>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□投诉书未署具投诉人真实姓名、签字和有效联系方式的；以法人名义投诉的，投诉书未经法定代表人或授权委托人签字并加盖公章的；</w:t>
      </w:r>
    </w:p>
    <w:p>
      <w:pPr>
        <w:widowControl/>
        <w:shd w:val="clear" w:color="auto" w:fill="FFFFFF"/>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□超过投诉时效；</w:t>
      </w:r>
    </w:p>
    <w:p>
      <w:pPr>
        <w:widowControl/>
        <w:shd w:val="clear" w:color="auto" w:fill="FFFFFF"/>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□已经作出处理决定，并且投诉人没有提出新的证据；</w:t>
      </w:r>
    </w:p>
    <w:p>
      <w:pPr>
        <w:widowControl/>
        <w:shd w:val="clear" w:color="auto" w:fill="FFFFFF"/>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□准予撤回投诉后又以同一事实和理由提出投诉；</w:t>
      </w:r>
    </w:p>
    <w:p>
      <w:pPr>
        <w:widowControl/>
        <w:shd w:val="clear" w:color="auto" w:fill="FFFFFF"/>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□应先提出异议的投诉事项没有提出异议或投诉事项已进入行政复议或行政诉讼程序；或者招标人受理异议后虽未回复但已在调查处理中且已暂停招投标活动；</w:t>
      </w:r>
    </w:p>
    <w:p>
      <w:pPr>
        <w:widowControl/>
        <w:shd w:val="clear" w:color="auto" w:fill="FFFFFF"/>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□投诉人就同一事实和理由再提出投诉的。</w:t>
      </w:r>
    </w:p>
    <w:p>
      <w:pPr>
        <w:widowControl/>
        <w:shd w:val="clear" w:color="auto" w:fill="FFFFFF"/>
        <w:spacing w:line="460" w:lineRule="exact"/>
        <w:ind w:firstLine="472" w:firstLineChars="20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经研究，决定对你单位投诉不予受理。</w:t>
      </w:r>
    </w:p>
    <w:p>
      <w:pPr>
        <w:widowControl/>
        <w:shd w:val="clear" w:color="auto" w:fill="FFFFFF"/>
        <w:spacing w:line="460" w:lineRule="exact"/>
        <w:jc w:val="left"/>
        <w:rPr>
          <w:rFonts w:ascii="Times New Roman" w:hAnsi="Times New Roman" w:cs="Arial"/>
          <w:color w:val="000000"/>
          <w:kern w:val="0"/>
          <w:sz w:val="24"/>
        </w:rPr>
      </w:pPr>
      <w:r>
        <w:rPr>
          <w:rFonts w:ascii="Times New Roman" w:hAnsi="Times New Roman" w:cs="Arial"/>
          <w:color w:val="000000"/>
          <w:kern w:val="0"/>
          <w:sz w:val="24"/>
        </w:rPr>
        <w:t> </w:t>
      </w:r>
    </w:p>
    <w:p>
      <w:pPr>
        <w:widowControl/>
        <w:shd w:val="clear" w:color="auto" w:fill="FFFFFF"/>
        <w:spacing w:line="460" w:lineRule="exact"/>
        <w:jc w:val="left"/>
        <w:rPr>
          <w:rFonts w:ascii="Times New Roman" w:hAnsi="Times New Roman" w:cs="Arial"/>
          <w:color w:val="000000"/>
          <w:kern w:val="0"/>
          <w:sz w:val="24"/>
        </w:rPr>
      </w:pPr>
      <w:r>
        <w:rPr>
          <w:rFonts w:ascii="Times New Roman" w:hAnsi="Times New Roman" w:cs="Arial"/>
          <w:color w:val="000000"/>
          <w:kern w:val="0"/>
          <w:sz w:val="24"/>
        </w:rPr>
        <w:t> </w:t>
      </w:r>
    </w:p>
    <w:p>
      <w:pPr>
        <w:widowControl/>
        <w:shd w:val="clear" w:color="auto" w:fill="FFFFFF"/>
        <w:spacing w:line="460" w:lineRule="exact"/>
        <w:ind w:firstLine="560"/>
        <w:jc w:val="left"/>
        <w:rPr>
          <w:rFonts w:ascii="Times New Roman" w:hAnsi="Times New Roman" w:cs="Arial"/>
          <w:color w:val="000000"/>
          <w:kern w:val="0"/>
          <w:sz w:val="24"/>
        </w:rPr>
      </w:pP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招标投标行政监督部门（公章）</w:t>
      </w:r>
    </w:p>
    <w:p>
      <w:pPr>
        <w:widowControl/>
        <w:shd w:val="clear" w:color="auto" w:fill="FFFFFF"/>
        <w:spacing w:line="460" w:lineRule="exact"/>
        <w:ind w:firstLine="6018" w:firstLineChars="2550"/>
        <w:jc w:val="left"/>
        <w:rPr>
          <w:rFonts w:ascii="Times New Roman" w:hAnsi="Times New Roman" w:cs="Arial"/>
          <w:color w:val="000000"/>
          <w:kern w:val="0"/>
          <w:sz w:val="24"/>
        </w:rPr>
      </w:pPr>
      <w:r>
        <w:rPr>
          <w:rFonts w:hint="eastAsia" w:ascii="Times New Roman" w:hAnsi="Times New Roman" w:eastAsia="仿宋_GB2312" w:cs="Arial"/>
          <w:color w:val="000000"/>
          <w:kern w:val="0"/>
          <w:sz w:val="24"/>
        </w:rPr>
        <w:t>年</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月</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日</w:t>
      </w:r>
    </w:p>
    <w:p>
      <w:pPr>
        <w:widowControl/>
        <w:spacing w:line="460" w:lineRule="exact"/>
        <w:rPr>
          <w:rFonts w:ascii="Times New Roman" w:hAnsi="Times New Roman" w:eastAsia="黑体" w:cs="Arial"/>
          <w:color w:val="000000"/>
          <w:kern w:val="0"/>
          <w:sz w:val="28"/>
          <w:szCs w:val="28"/>
        </w:rPr>
      </w:pPr>
      <w:r>
        <w:rPr>
          <w:rFonts w:hint="eastAsia" w:ascii="Times New Roman" w:hAnsi="Times New Roman" w:cs="Arial"/>
          <w:color w:val="000000"/>
          <w:kern w:val="0"/>
          <w:sz w:val="24"/>
        </w:rPr>
        <w:br w:type="column"/>
      </w:r>
      <w:r>
        <w:rPr>
          <w:rFonts w:hint="eastAsia" w:ascii="Times New Roman" w:hAnsi="Times New Roman" w:eastAsia="黑体" w:cs="Arial"/>
          <w:color w:val="000000"/>
          <w:kern w:val="0"/>
          <w:sz w:val="28"/>
          <w:szCs w:val="28"/>
        </w:rPr>
        <w:t>附件5：</w:t>
      </w:r>
    </w:p>
    <w:p>
      <w:pPr>
        <w:widowControl/>
        <w:shd w:val="clear" w:color="auto" w:fill="FFFFFF"/>
        <w:spacing w:line="460" w:lineRule="exact"/>
        <w:jc w:val="center"/>
        <w:rPr>
          <w:rFonts w:hint="eastAsia"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jc w:val="center"/>
        <w:rPr>
          <w:rFonts w:ascii="Times New Roman" w:hAnsi="Times New Roman" w:cs="Arial"/>
          <w:b/>
          <w:bCs/>
          <w:color w:val="000000"/>
          <w:kern w:val="0"/>
          <w:sz w:val="36"/>
          <w:szCs w:val="36"/>
        </w:rPr>
      </w:pPr>
      <w:r>
        <w:rPr>
          <w:rFonts w:hint="eastAsia" w:ascii="Times New Roman" w:hAnsi="Times New Roman" w:cs="Arial"/>
          <w:b/>
          <w:bCs/>
          <w:color w:val="000000"/>
          <w:kern w:val="0"/>
          <w:sz w:val="36"/>
          <w:szCs w:val="36"/>
        </w:rPr>
        <w:t>投诉处理决定书（格式）</w:t>
      </w:r>
    </w:p>
    <w:p>
      <w:pPr>
        <w:widowControl/>
        <w:spacing w:line="460" w:lineRule="exact"/>
        <w:jc w:val="center"/>
        <w:rPr>
          <w:rFonts w:hint="eastAsia"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 xml:space="preserve">投 诉 人：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 xml:space="preserve">联系电话：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 xml:space="preserve">联系地址：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 xml:space="preserve">被投诉人：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 xml:space="preserve">联系电话：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 xml:space="preserve">联系地址： </w:t>
      </w:r>
    </w:p>
    <w:p>
      <w:pPr>
        <w:widowControl/>
        <w:spacing w:line="460" w:lineRule="exact"/>
        <w:ind w:firstLine="472" w:firstLineChars="200"/>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投诉人的投诉事项及主张：</w:t>
      </w:r>
    </w:p>
    <w:p>
      <w:pPr>
        <w:widowControl/>
        <w:spacing w:line="460" w:lineRule="exact"/>
        <w:ind w:firstLine="472" w:firstLineChars="200"/>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被投诉人的答辩及请求：</w:t>
      </w:r>
    </w:p>
    <w:p>
      <w:pPr>
        <w:widowControl/>
        <w:spacing w:line="460" w:lineRule="exact"/>
        <w:ind w:firstLine="472" w:firstLineChars="200"/>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调查认定的基本事实：</w:t>
      </w:r>
    </w:p>
    <w:p>
      <w:pPr>
        <w:widowControl/>
        <w:spacing w:line="460" w:lineRule="exact"/>
        <w:ind w:firstLine="472" w:firstLineChars="200"/>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ind w:firstLine="472" w:firstLineChars="200"/>
        <w:rPr>
          <w:rFonts w:ascii="Times New Roman" w:hAnsi="Times New Roman" w:cs="Arial"/>
          <w:color w:val="000000"/>
          <w:kern w:val="0"/>
          <w:sz w:val="24"/>
        </w:rPr>
      </w:pPr>
      <w:r>
        <w:rPr>
          <w:rFonts w:hint="eastAsia" w:ascii="Times New Roman" w:hAnsi="Times New Roman" w:eastAsia="仿宋_GB2312" w:cs="Arial"/>
          <w:color w:val="000000"/>
          <w:kern w:val="0"/>
          <w:sz w:val="24"/>
        </w:rPr>
        <w:t>投诉受理部门的处理意见及依据：</w:t>
      </w:r>
    </w:p>
    <w:p>
      <w:pPr>
        <w:widowControl/>
        <w:spacing w:line="460" w:lineRule="exact"/>
        <w:jc w:val="left"/>
        <w:rPr>
          <w:rFonts w:ascii="Times New Roman" w:hAnsi="Times New Roman" w:cs="Arial"/>
          <w:color w:val="000000"/>
          <w:kern w:val="0"/>
          <w:sz w:val="24"/>
        </w:rPr>
      </w:pPr>
      <w:r>
        <w:rPr>
          <w:rFonts w:ascii="Times New Roman" w:hAnsi="Times New Roman" w:cs="Arial"/>
          <w:color w:val="000000"/>
          <w:kern w:val="0"/>
          <w:sz w:val="24"/>
        </w:rPr>
        <w:t> </w:t>
      </w:r>
    </w:p>
    <w:p>
      <w:pPr>
        <w:widowControl/>
        <w:spacing w:line="460" w:lineRule="exact"/>
        <w:ind w:firstLine="560"/>
        <w:rPr>
          <w:rFonts w:ascii="Times New Roman" w:hAnsi="Times New Roman" w:cs="Arial"/>
          <w:color w:val="000000"/>
          <w:kern w:val="0"/>
          <w:sz w:val="24"/>
        </w:rPr>
      </w:pPr>
      <w:r>
        <w:rPr>
          <w:rFonts w:hint="eastAsia" w:ascii="Times New Roman" w:hAnsi="Times New Roman" w:eastAsia="仿宋_GB2312" w:cs="Arial"/>
          <w:color w:val="000000"/>
          <w:kern w:val="0"/>
          <w:sz w:val="24"/>
        </w:rPr>
        <w:t>当事人如不服本处理决定，可在收到本处理决定书之日起六十日内向申请复议或按照《中华人民共和国行政诉讼法》的规定在收到本处理决定书之日起三个月内直接向提起诉讼。</w:t>
      </w:r>
    </w:p>
    <w:p>
      <w:pPr>
        <w:widowControl/>
        <w:shd w:val="clear" w:color="auto" w:fill="FFFFFF"/>
        <w:spacing w:line="460" w:lineRule="exact"/>
        <w:ind w:left="3671" w:firstLine="384"/>
        <w:rPr>
          <w:rFonts w:ascii="Times New Roman" w:hAnsi="Times New Roman" w:cs="Arial"/>
          <w:color w:val="000000"/>
          <w:kern w:val="0"/>
          <w:sz w:val="24"/>
        </w:rPr>
      </w:pPr>
      <w:r>
        <w:rPr>
          <w:rFonts w:ascii="Times New Roman" w:hAnsi="Times New Roman" w:cs="Arial"/>
          <w:color w:val="000000"/>
          <w:kern w:val="0"/>
          <w:sz w:val="24"/>
        </w:rPr>
        <w:t> </w:t>
      </w:r>
    </w:p>
    <w:p>
      <w:pPr>
        <w:widowControl/>
        <w:shd w:val="clear" w:color="auto" w:fill="FFFFFF"/>
        <w:spacing w:line="460" w:lineRule="exact"/>
        <w:ind w:left="3671" w:firstLine="384"/>
        <w:rPr>
          <w:rFonts w:ascii="Times New Roman" w:hAnsi="Times New Roman" w:cs="Arial"/>
          <w:color w:val="000000"/>
          <w:kern w:val="0"/>
          <w:sz w:val="24"/>
        </w:rPr>
      </w:pPr>
      <w:r>
        <w:rPr>
          <w:rFonts w:ascii="Times New Roman" w:hAnsi="Times New Roman" w:cs="Arial"/>
          <w:color w:val="000000"/>
          <w:kern w:val="0"/>
          <w:sz w:val="24"/>
        </w:rPr>
        <w:t> </w:t>
      </w:r>
    </w:p>
    <w:p>
      <w:pPr>
        <w:widowControl/>
        <w:shd w:val="clear" w:color="auto" w:fill="FFFFFF"/>
        <w:spacing w:line="460" w:lineRule="exact"/>
        <w:ind w:left="3671" w:firstLine="336"/>
        <w:rPr>
          <w:rFonts w:ascii="Times New Roman" w:hAnsi="Times New Roman" w:cs="Arial"/>
          <w:color w:val="000000"/>
          <w:kern w:val="0"/>
          <w:sz w:val="24"/>
        </w:rPr>
      </w:pPr>
      <w:r>
        <w:rPr>
          <w:rFonts w:hint="eastAsia" w:ascii="Times New Roman" w:hAnsi="Times New Roman" w:eastAsia="仿宋_GB2312" w:cs="Arial"/>
          <w:color w:val="000000"/>
          <w:kern w:val="0"/>
          <w:sz w:val="24"/>
        </w:rPr>
        <w:t>招标投标行政监督部门（公章）</w:t>
      </w:r>
    </w:p>
    <w:p>
      <w:pPr>
        <w:ind w:firstLine="5074" w:firstLineChars="2150"/>
        <w:rPr>
          <w:color w:val="000000"/>
          <w:spacing w:val="-2"/>
        </w:rPr>
      </w:pPr>
      <w:r>
        <w:rPr>
          <w:rFonts w:hint="eastAsia" w:ascii="Times New Roman" w:hAnsi="Times New Roman" w:eastAsia="仿宋_GB2312" w:cs="Arial"/>
          <w:color w:val="000000"/>
          <w:kern w:val="0"/>
          <w:sz w:val="24"/>
        </w:rPr>
        <w:t>年</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月</w:t>
      </w:r>
      <w:r>
        <w:rPr>
          <w:rFonts w:ascii="Times New Roman" w:hAnsi="Times New Roman" w:eastAsia="仿宋_GB2312" w:cs="Arial"/>
          <w:color w:val="000000"/>
          <w:kern w:val="0"/>
          <w:sz w:val="24"/>
        </w:rPr>
        <w:t> </w:t>
      </w:r>
      <w:r>
        <w:rPr>
          <w:rFonts w:hint="eastAsia" w:ascii="Times New Roman" w:hAnsi="Times New Roman" w:eastAsia="仿宋_GB2312" w:cs="Arial"/>
          <w:color w:val="000000"/>
          <w:kern w:val="0"/>
          <w:sz w:val="24"/>
        </w:rPr>
        <w:t xml:space="preserve"> 日</w:t>
      </w:r>
    </w:p>
    <w:p>
      <w:pPr>
        <w:pStyle w:val="2"/>
        <w:spacing w:before="590" w:beforeLines="100" w:after="590" w:afterLines="100" w:line="240" w:lineRule="auto"/>
        <w:jc w:val="center"/>
        <w:rPr>
          <w:rFonts w:ascii="Times New Roman" w:eastAsia="方正小标宋_GBK"/>
          <w:b w:val="0"/>
          <w:sz w:val="36"/>
          <w:szCs w:val="36"/>
        </w:rPr>
      </w:pPr>
      <w:r>
        <w:rPr>
          <w:b w:val="0"/>
          <w:color w:val="000000"/>
          <w:spacing w:val="-2"/>
        </w:rPr>
        <w:br w:type="column"/>
      </w:r>
      <w:bookmarkStart w:id="720" w:name="_Toc18315859"/>
      <w:bookmarkStart w:id="721" w:name="_Toc20726723"/>
      <w:r>
        <w:rPr>
          <w:rFonts w:hint="eastAsia" w:ascii="Times New Roman" w:eastAsia="方正小标宋_GBK"/>
          <w:b w:val="0"/>
          <w:sz w:val="36"/>
          <w:szCs w:val="36"/>
        </w:rPr>
        <w:t>《关于改革和完善房屋建筑和市政基础设施工程招标投标制度的实施意见》</w:t>
      </w:r>
      <w:bookmarkEnd w:id="720"/>
      <w:bookmarkEnd w:id="721"/>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22" w:name="_Toc18315860"/>
      <w:bookmarkStart w:id="723" w:name="_Toc20726724"/>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2017</w:t>
      </w:r>
      <w:r>
        <w:rPr>
          <w:rFonts w:hint="eastAsia" w:ascii="Times New Roman" w:hAnsi="Times New Roman" w:eastAsia="方正楷体_GBK"/>
          <w:b w:val="0"/>
          <w:sz w:val="24"/>
          <w:szCs w:val="24"/>
        </w:rPr>
        <w:t>〕</w:t>
      </w:r>
      <w:r>
        <w:rPr>
          <w:rFonts w:ascii="Times New Roman" w:hAnsi="Times New Roman" w:eastAsia="方正楷体_GBK"/>
          <w:b w:val="0"/>
          <w:sz w:val="24"/>
          <w:szCs w:val="24"/>
        </w:rPr>
        <w:t>1</w:t>
      </w:r>
      <w:r>
        <w:rPr>
          <w:rFonts w:hint="eastAsia" w:ascii="Times New Roman" w:hAnsi="Times New Roman" w:eastAsia="方正楷体_GBK"/>
          <w:b w:val="0"/>
          <w:sz w:val="24"/>
          <w:szCs w:val="24"/>
        </w:rPr>
        <w:t>号</w:t>
      </w:r>
      <w:bookmarkEnd w:id="722"/>
      <w:bookmarkEnd w:id="723"/>
    </w:p>
    <w:p>
      <w:pPr>
        <w:spacing w:line="480" w:lineRule="exact"/>
        <w:ind w:firstLine="463" w:firstLineChars="196"/>
        <w:jc w:val="left"/>
        <w:rPr>
          <w:rFonts w:eastAsia="方正仿宋_GBK"/>
          <w:color w:val="000000"/>
          <w:sz w:val="24"/>
        </w:rPr>
      </w:pPr>
      <w:r>
        <w:rPr>
          <w:rFonts w:hint="eastAsia" w:eastAsia="方正仿宋_GBK"/>
          <w:color w:val="000000"/>
          <w:sz w:val="24"/>
        </w:rPr>
        <w:t>《关于改革和完善房屋建筑和市政基础设施工程招标投标制度的实施意见》已于</w:t>
      </w:r>
      <w:r>
        <w:rPr>
          <w:rFonts w:eastAsia="方正仿宋_GBK"/>
          <w:color w:val="000000"/>
          <w:sz w:val="24"/>
        </w:rPr>
        <w:t>2017</w:t>
      </w:r>
      <w:r>
        <w:rPr>
          <w:rFonts w:hint="eastAsia" w:eastAsia="方正仿宋_GBK"/>
          <w:color w:val="000000"/>
          <w:sz w:val="24"/>
        </w:rPr>
        <w:t>年</w:t>
      </w:r>
      <w:r>
        <w:rPr>
          <w:rFonts w:eastAsia="方正仿宋_GBK"/>
          <w:color w:val="000000"/>
          <w:sz w:val="24"/>
        </w:rPr>
        <w:t>7</w:t>
      </w:r>
      <w:r>
        <w:rPr>
          <w:rFonts w:hint="eastAsia" w:eastAsia="方正仿宋_GBK"/>
          <w:color w:val="000000"/>
          <w:sz w:val="24"/>
        </w:rPr>
        <w:t>月</w:t>
      </w:r>
      <w:r>
        <w:rPr>
          <w:rFonts w:eastAsia="方正仿宋_GBK"/>
          <w:color w:val="000000"/>
          <w:sz w:val="24"/>
        </w:rPr>
        <w:t>28</w:t>
      </w:r>
      <w:r>
        <w:rPr>
          <w:rFonts w:hint="eastAsia" w:eastAsia="方正仿宋_GBK"/>
          <w:color w:val="000000"/>
          <w:sz w:val="24"/>
        </w:rPr>
        <w:t>日经厅常务会议审议通过，现予印发，自</w:t>
      </w:r>
      <w:r>
        <w:rPr>
          <w:rFonts w:eastAsia="方正仿宋_GBK"/>
          <w:color w:val="000000"/>
          <w:sz w:val="24"/>
        </w:rPr>
        <w:t>2017</w:t>
      </w:r>
      <w:r>
        <w:rPr>
          <w:rFonts w:hint="eastAsia" w:eastAsia="方正仿宋_GBK"/>
          <w:color w:val="000000"/>
          <w:sz w:val="24"/>
        </w:rPr>
        <w:t>年</w:t>
      </w:r>
      <w:r>
        <w:rPr>
          <w:rFonts w:eastAsia="方正仿宋_GBK"/>
          <w:color w:val="000000"/>
          <w:sz w:val="24"/>
        </w:rPr>
        <w:t>10</w:t>
      </w:r>
      <w:r>
        <w:rPr>
          <w:rFonts w:hint="eastAsia" w:eastAsia="方正仿宋_GBK"/>
          <w:color w:val="000000"/>
          <w:sz w:val="24"/>
        </w:rPr>
        <w:t>月</w:t>
      </w:r>
      <w:r>
        <w:rPr>
          <w:rFonts w:eastAsia="方正仿宋_GBK"/>
          <w:color w:val="000000"/>
          <w:sz w:val="24"/>
        </w:rPr>
        <w:t>1</w:t>
      </w:r>
      <w:r>
        <w:rPr>
          <w:rFonts w:hint="eastAsia" w:eastAsia="方正仿宋_GBK"/>
          <w:color w:val="000000"/>
          <w:sz w:val="24"/>
        </w:rPr>
        <w:t>日起施行。</w:t>
      </w:r>
    </w:p>
    <w:p>
      <w:pPr>
        <w:autoSpaceDE w:val="0"/>
        <w:autoSpaceDN w:val="0"/>
        <w:snapToGrid w:val="0"/>
        <w:spacing w:line="480" w:lineRule="exact"/>
        <w:ind w:firstLine="624"/>
        <w:rPr>
          <w:rFonts w:eastAsia="方正仿宋_GBK"/>
          <w:snapToGrid w:val="0"/>
          <w:color w:val="000000"/>
          <w:kern w:val="0"/>
          <w:sz w:val="24"/>
        </w:rPr>
      </w:pPr>
    </w:p>
    <w:p>
      <w:pPr>
        <w:autoSpaceDE w:val="0"/>
        <w:autoSpaceDN w:val="0"/>
        <w:snapToGrid w:val="0"/>
        <w:spacing w:line="480" w:lineRule="exact"/>
        <w:ind w:right="1260" w:firstLine="1418"/>
        <w:jc w:val="right"/>
        <w:rPr>
          <w:rFonts w:eastAsia="方正仿宋_GBK"/>
          <w:snapToGrid w:val="0"/>
          <w:color w:val="000000"/>
          <w:kern w:val="0"/>
          <w:sz w:val="24"/>
        </w:rPr>
      </w:pPr>
      <w:r>
        <w:rPr>
          <w:rFonts w:eastAsia="方正仿宋_GBK"/>
          <w:snapToGrid w:val="0"/>
          <w:color w:val="000000"/>
          <w:kern w:val="0"/>
          <w:sz w:val="24"/>
        </w:rPr>
        <w:t xml:space="preserve"> </w:t>
      </w:r>
      <w:r>
        <w:rPr>
          <w:rFonts w:hint="eastAsia" w:eastAsia="方正仿宋_GBK"/>
          <w:snapToGrid w:val="0"/>
          <w:color w:val="000000"/>
          <w:kern w:val="0"/>
          <w:sz w:val="24"/>
        </w:rPr>
        <w:t>江苏省住房和城乡建设厅</w:t>
      </w:r>
    </w:p>
    <w:p>
      <w:pPr>
        <w:autoSpaceDE w:val="0"/>
        <w:autoSpaceDN w:val="0"/>
        <w:snapToGrid w:val="0"/>
        <w:spacing w:line="480" w:lineRule="exact"/>
        <w:ind w:right="1260" w:firstLine="624"/>
        <w:jc w:val="center"/>
        <w:rPr>
          <w:rFonts w:eastAsia="方正仿宋_GBK"/>
          <w:snapToGrid w:val="0"/>
          <w:color w:val="000000"/>
          <w:kern w:val="0"/>
          <w:sz w:val="24"/>
        </w:rPr>
      </w:pPr>
      <w:r>
        <w:rPr>
          <w:rFonts w:eastAsia="方正仿宋_GBK"/>
          <w:snapToGrid w:val="0"/>
          <w:color w:val="000000"/>
          <w:kern w:val="0"/>
          <w:sz w:val="24"/>
        </w:rPr>
        <w:t xml:space="preserve">                                     2017</w:t>
      </w:r>
      <w:r>
        <w:rPr>
          <w:rFonts w:hint="eastAsia" w:eastAsia="方正仿宋_GBK"/>
          <w:snapToGrid w:val="0"/>
          <w:color w:val="000000"/>
          <w:kern w:val="0"/>
          <w:sz w:val="24"/>
        </w:rPr>
        <w:t>年</w:t>
      </w:r>
      <w:r>
        <w:rPr>
          <w:rFonts w:eastAsia="方正仿宋_GBK"/>
          <w:snapToGrid w:val="0"/>
          <w:color w:val="000000"/>
          <w:kern w:val="0"/>
          <w:sz w:val="24"/>
        </w:rPr>
        <w:t xml:space="preserve">  </w:t>
      </w:r>
      <w:r>
        <w:rPr>
          <w:rFonts w:hint="eastAsia" w:eastAsia="方正仿宋_GBK"/>
          <w:snapToGrid w:val="0"/>
          <w:color w:val="000000"/>
          <w:kern w:val="0"/>
          <w:sz w:val="24"/>
        </w:rPr>
        <w:t>月</w:t>
      </w:r>
      <w:r>
        <w:rPr>
          <w:rFonts w:eastAsia="方正仿宋_GBK"/>
          <w:snapToGrid w:val="0"/>
          <w:color w:val="000000"/>
          <w:kern w:val="0"/>
          <w:sz w:val="24"/>
        </w:rPr>
        <w:t xml:space="preserve">  </w:t>
      </w:r>
      <w:r>
        <w:rPr>
          <w:rFonts w:hint="eastAsia" w:eastAsia="方正仿宋_GBK"/>
          <w:snapToGrid w:val="0"/>
          <w:color w:val="000000"/>
          <w:kern w:val="0"/>
          <w:sz w:val="24"/>
        </w:rPr>
        <w:t>日</w:t>
      </w:r>
    </w:p>
    <w:p>
      <w:pPr>
        <w:tabs>
          <w:tab w:val="left" w:pos="9193"/>
          <w:tab w:val="left" w:pos="9827"/>
        </w:tabs>
        <w:autoSpaceDE w:val="0"/>
        <w:autoSpaceDN w:val="0"/>
        <w:snapToGrid w:val="0"/>
        <w:spacing w:line="640" w:lineRule="atLeast"/>
        <w:jc w:val="center"/>
        <w:rPr>
          <w:rFonts w:eastAsia="方正小标宋_GBK"/>
          <w:snapToGrid w:val="0"/>
          <w:color w:val="000000"/>
          <w:kern w:val="0"/>
          <w:sz w:val="36"/>
          <w:szCs w:val="36"/>
        </w:rPr>
      </w:pPr>
    </w:p>
    <w:p>
      <w:pPr>
        <w:tabs>
          <w:tab w:val="left" w:pos="9193"/>
          <w:tab w:val="left" w:pos="9827"/>
        </w:tabs>
        <w:autoSpaceDE w:val="0"/>
        <w:autoSpaceDN w:val="0"/>
        <w:snapToGrid w:val="0"/>
        <w:spacing w:line="640" w:lineRule="atLeast"/>
        <w:jc w:val="center"/>
        <w:rPr>
          <w:rFonts w:eastAsia="方正小标宋_GBK"/>
          <w:snapToGrid w:val="0"/>
          <w:color w:val="000000"/>
          <w:kern w:val="0"/>
          <w:sz w:val="36"/>
          <w:szCs w:val="36"/>
        </w:rPr>
      </w:pPr>
    </w:p>
    <w:p>
      <w:pPr>
        <w:tabs>
          <w:tab w:val="left" w:pos="9193"/>
          <w:tab w:val="left" w:pos="9827"/>
        </w:tabs>
        <w:autoSpaceDE w:val="0"/>
        <w:autoSpaceDN w:val="0"/>
        <w:snapToGrid w:val="0"/>
        <w:spacing w:line="640" w:lineRule="atLeast"/>
        <w:jc w:val="center"/>
        <w:rPr>
          <w:rFonts w:ascii="Times New Roman" w:eastAsia="方正黑体_GBK"/>
          <w:snapToGrid w:val="0"/>
          <w:color w:val="000000"/>
          <w:kern w:val="0"/>
          <w:sz w:val="36"/>
          <w:szCs w:val="36"/>
        </w:rPr>
      </w:pPr>
      <w:r>
        <w:rPr>
          <w:rFonts w:hint="eastAsia" w:ascii="Times New Roman" w:eastAsia="方正黑体_GBK"/>
          <w:snapToGrid w:val="0"/>
          <w:color w:val="000000"/>
          <w:kern w:val="0"/>
          <w:sz w:val="36"/>
          <w:szCs w:val="36"/>
        </w:rPr>
        <w:t>省住房和城乡建设厅关于改革和完善房屋建筑和市政基础设施工程招标投标制度的实施意见</w:t>
      </w:r>
    </w:p>
    <w:p>
      <w:pPr>
        <w:autoSpaceDE w:val="0"/>
        <w:autoSpaceDN w:val="0"/>
        <w:snapToGrid w:val="0"/>
        <w:spacing w:line="570" w:lineRule="atLeast"/>
        <w:rPr>
          <w:rFonts w:hint="eastAsia" w:eastAsia="方正仿宋_GBK"/>
          <w:snapToGrid w:val="0"/>
          <w:color w:val="000000"/>
          <w:kern w:val="32"/>
          <w:sz w:val="32"/>
        </w:rPr>
      </w:pP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根据住房城乡建设部《关于开展建筑业改革发展试点工作的通知》（建市〔</w:t>
      </w:r>
      <w:r>
        <w:rPr>
          <w:rFonts w:eastAsia="方正仿宋_GBK"/>
          <w:snapToGrid w:val="0"/>
          <w:color w:val="000000"/>
          <w:kern w:val="32"/>
          <w:sz w:val="24"/>
        </w:rPr>
        <w:t>2014</w:t>
      </w:r>
      <w:r>
        <w:rPr>
          <w:rFonts w:hint="eastAsia" w:eastAsia="方正仿宋_GBK"/>
          <w:snapToGrid w:val="0"/>
          <w:color w:val="000000"/>
          <w:kern w:val="32"/>
          <w:sz w:val="24"/>
        </w:rPr>
        <w:t>〕</w:t>
      </w:r>
      <w:r>
        <w:rPr>
          <w:rFonts w:eastAsia="方正仿宋_GBK"/>
          <w:snapToGrid w:val="0"/>
          <w:color w:val="000000"/>
          <w:kern w:val="32"/>
          <w:sz w:val="24"/>
        </w:rPr>
        <w:t>64</w:t>
      </w:r>
      <w:r>
        <w:rPr>
          <w:rFonts w:hint="eastAsia" w:eastAsia="方正仿宋_GBK"/>
          <w:snapToGrid w:val="0"/>
          <w:color w:val="000000"/>
          <w:kern w:val="32"/>
          <w:sz w:val="24"/>
        </w:rPr>
        <w:t>号）、《住房城乡建设部办公厅关于同意江苏省开展房屋市政工程领域招投标制度和工程监理制度改革试点工作的函》（建办市函〔</w:t>
      </w:r>
      <w:r>
        <w:rPr>
          <w:rFonts w:eastAsia="方正仿宋_GBK"/>
          <w:snapToGrid w:val="0"/>
          <w:color w:val="000000"/>
          <w:kern w:val="32"/>
          <w:sz w:val="24"/>
        </w:rPr>
        <w:t>2016</w:t>
      </w:r>
      <w:r>
        <w:rPr>
          <w:rFonts w:hint="eastAsia" w:eastAsia="方正仿宋_GBK"/>
          <w:snapToGrid w:val="0"/>
          <w:color w:val="000000"/>
          <w:kern w:val="32"/>
          <w:sz w:val="24"/>
        </w:rPr>
        <w:t>〕</w:t>
      </w:r>
      <w:r>
        <w:rPr>
          <w:rFonts w:eastAsia="方正仿宋_GBK"/>
          <w:snapToGrid w:val="0"/>
          <w:color w:val="000000"/>
          <w:kern w:val="32"/>
          <w:sz w:val="24"/>
        </w:rPr>
        <w:t>474</w:t>
      </w:r>
      <w:r>
        <w:rPr>
          <w:rFonts w:hint="eastAsia" w:eastAsia="方正仿宋_GBK"/>
          <w:snapToGrid w:val="0"/>
          <w:color w:val="000000"/>
          <w:kern w:val="32"/>
          <w:sz w:val="24"/>
        </w:rPr>
        <w:t>号）的精神，自</w:t>
      </w:r>
      <w:r>
        <w:rPr>
          <w:rFonts w:eastAsia="方正仿宋_GBK"/>
          <w:snapToGrid w:val="0"/>
          <w:color w:val="000000"/>
          <w:kern w:val="32"/>
          <w:sz w:val="24"/>
        </w:rPr>
        <w:t>2016</w:t>
      </w:r>
      <w:r>
        <w:rPr>
          <w:rFonts w:hint="eastAsia" w:eastAsia="方正仿宋_GBK"/>
          <w:snapToGrid w:val="0"/>
          <w:color w:val="000000"/>
          <w:kern w:val="32"/>
          <w:sz w:val="24"/>
        </w:rPr>
        <w:t>年</w:t>
      </w:r>
      <w:r>
        <w:rPr>
          <w:rFonts w:eastAsia="方正仿宋_GBK"/>
          <w:snapToGrid w:val="0"/>
          <w:color w:val="000000"/>
          <w:kern w:val="32"/>
          <w:sz w:val="24"/>
        </w:rPr>
        <w:t>7</w:t>
      </w:r>
      <w:r>
        <w:rPr>
          <w:rFonts w:hint="eastAsia" w:eastAsia="方正仿宋_GBK"/>
          <w:snapToGrid w:val="0"/>
          <w:color w:val="000000"/>
          <w:kern w:val="32"/>
          <w:sz w:val="24"/>
        </w:rPr>
        <w:t>月起，我省部分市、县（市、区）开展了房屋建筑和市政基础设施工程（以下简称建设工程）招标投标改革试点工作，在创新建设工程招投标制度方面取得了一定成效。为进一步推进我省建设工程招投标事业的改革与发展，解决当前招投标中出现的新情况、新问题，现就全面推进我省建设工程招标投标制度改革完善工作，提出如下具体意见。</w:t>
      </w:r>
    </w:p>
    <w:p>
      <w:pPr>
        <w:autoSpaceDE w:val="0"/>
        <w:autoSpaceDN w:val="0"/>
        <w:snapToGrid w:val="0"/>
        <w:spacing w:line="480" w:lineRule="exact"/>
        <w:ind w:firstLine="624"/>
        <w:rPr>
          <w:rFonts w:eastAsia="方正黑体_GBK"/>
          <w:snapToGrid w:val="0"/>
          <w:color w:val="000000"/>
          <w:kern w:val="32"/>
          <w:sz w:val="24"/>
        </w:rPr>
      </w:pPr>
      <w:r>
        <w:rPr>
          <w:rFonts w:hint="eastAsia" w:eastAsia="方正黑体_GBK"/>
          <w:snapToGrid w:val="0"/>
          <w:color w:val="000000"/>
          <w:kern w:val="32"/>
          <w:sz w:val="24"/>
        </w:rPr>
        <w:t>一、总体要求</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认真贯彻《国务院办公厅关于促进建筑业持续健康发展的意见》（国办发〔</w:t>
      </w:r>
      <w:r>
        <w:rPr>
          <w:rFonts w:eastAsia="方正仿宋_GBK"/>
          <w:snapToGrid w:val="0"/>
          <w:color w:val="000000"/>
          <w:kern w:val="32"/>
          <w:sz w:val="24"/>
        </w:rPr>
        <w:t>2017</w:t>
      </w:r>
      <w:r>
        <w:rPr>
          <w:rFonts w:hint="eastAsia" w:eastAsia="方正仿宋_GBK"/>
          <w:snapToGrid w:val="0"/>
          <w:color w:val="000000"/>
          <w:kern w:val="32"/>
          <w:sz w:val="24"/>
        </w:rPr>
        <w:t>〕</w:t>
      </w:r>
      <w:r>
        <w:rPr>
          <w:rFonts w:eastAsia="方正仿宋_GBK"/>
          <w:snapToGrid w:val="0"/>
          <w:color w:val="000000"/>
          <w:kern w:val="32"/>
          <w:sz w:val="24"/>
        </w:rPr>
        <w:t>19</w:t>
      </w:r>
      <w:r>
        <w:rPr>
          <w:rFonts w:hint="eastAsia" w:eastAsia="方正仿宋_GBK"/>
          <w:snapToGrid w:val="0"/>
          <w:color w:val="000000"/>
          <w:kern w:val="32"/>
          <w:sz w:val="24"/>
        </w:rPr>
        <w:t>号），以落实工程项目法人负责制为核心，强化主体责任，放管结合；以注重公平兼顾效率为目标，进一步简化程序，优化流程；以提高信息公开度为抓手，着力打造合法高效、阳光有序的招投标市场环境；以维护招标投标各方合法权益为根本，创新方法，强化监管。认真总结、广泛汲取省内外招投标改革的成功经验和先进做法，进一步健全完善我省建设工程招投标制度和机制，推动我省招投标事业健康有序发展。</w:t>
      </w:r>
    </w:p>
    <w:p>
      <w:pPr>
        <w:autoSpaceDE w:val="0"/>
        <w:autoSpaceDN w:val="0"/>
        <w:snapToGrid w:val="0"/>
        <w:spacing w:line="480" w:lineRule="exact"/>
        <w:ind w:firstLine="624"/>
        <w:rPr>
          <w:rFonts w:eastAsia="方正黑体_GBK"/>
          <w:snapToGrid w:val="0"/>
          <w:color w:val="000000"/>
          <w:kern w:val="32"/>
          <w:sz w:val="24"/>
        </w:rPr>
      </w:pPr>
      <w:r>
        <w:rPr>
          <w:rFonts w:hint="eastAsia" w:eastAsia="方正黑体_GBK"/>
          <w:snapToGrid w:val="0"/>
          <w:color w:val="000000"/>
          <w:kern w:val="32"/>
          <w:sz w:val="24"/>
        </w:rPr>
        <w:t>二、突出重点，放管结合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（一）</w:t>
      </w:r>
      <w:r>
        <w:rPr>
          <w:rFonts w:hint="eastAsia" w:eastAsia="方正仿宋_GBK"/>
          <w:snapToGrid w:val="0"/>
          <w:color w:val="000000"/>
          <w:kern w:val="32"/>
          <w:sz w:val="24"/>
        </w:rPr>
        <w:t>国有资金占控股或者主导地位的建设工程项目（以下简称国有资金投资项目）的施工、货物、服务，以单项合同估算价是否达到依法必须招标的规模标准确定是否必须招标发包（不受项目总投资额大小的限制）。但同一工程建设项目</w:t>
      </w:r>
      <w:r>
        <w:rPr>
          <w:rFonts w:eastAsia="方正仿宋_GBK"/>
          <w:snapToGrid w:val="0"/>
          <w:color w:val="000000"/>
          <w:kern w:val="32"/>
          <w:sz w:val="24"/>
        </w:rPr>
        <w:t>12</w:t>
      </w:r>
      <w:r>
        <w:rPr>
          <w:rFonts w:hint="eastAsia" w:eastAsia="方正仿宋_GBK"/>
          <w:snapToGrid w:val="0"/>
          <w:color w:val="000000"/>
          <w:kern w:val="32"/>
          <w:sz w:val="24"/>
        </w:rPr>
        <w:t>个月内发生的同类勘察、施工、监理以及与工程建设有关的重要设备、材料等的采购，总估算价达到规定标准的，必须进行招标。</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（二）</w:t>
      </w:r>
      <w:r>
        <w:rPr>
          <w:rFonts w:hint="eastAsia" w:eastAsia="方正仿宋_GBK"/>
          <w:snapToGrid w:val="0"/>
          <w:color w:val="000000"/>
          <w:kern w:val="32"/>
          <w:sz w:val="24"/>
        </w:rPr>
        <w:t>非国有资金占控股或主导地位的工程建设项目，发包人自主决定采用招标发包或直接发包，以及是否进入公共资源交易平台进行交易。但总投资中使用财政预算资金、纳入财政管理的各种政府性专项建设基金或者行政事业性收费资金、国家融资的金额在</w:t>
      </w:r>
      <w:r>
        <w:rPr>
          <w:rFonts w:eastAsia="方正仿宋_GBK"/>
          <w:snapToGrid w:val="0"/>
          <w:color w:val="000000"/>
          <w:kern w:val="32"/>
          <w:sz w:val="24"/>
        </w:rPr>
        <w:t>100</w:t>
      </w:r>
      <w:r>
        <w:rPr>
          <w:rFonts w:hint="eastAsia" w:eastAsia="方正仿宋_GBK"/>
          <w:snapToGrid w:val="0"/>
          <w:color w:val="000000"/>
          <w:kern w:val="32"/>
          <w:sz w:val="24"/>
        </w:rPr>
        <w:t>万元人民币以上且单项合同估算价达到依法必须招标规模标准的项目除外。</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（三）</w:t>
      </w:r>
      <w:r>
        <w:rPr>
          <w:rFonts w:hint="eastAsia" w:eastAsia="方正仿宋_GBK"/>
          <w:snapToGrid w:val="0"/>
          <w:color w:val="000000"/>
          <w:kern w:val="32"/>
          <w:sz w:val="24"/>
        </w:rPr>
        <w:t>使用非财政性资金建设的经营性项目（如国有企业新建、改建、扩建的生产性项目，房地产项目等），发包人有控股或被控股的企业依法能够建设、生产或者提供，发包人可以将项目的施工、货物或者服务直接发包给上述企业。</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财政性资金是指纳入各级预算管理的资金和以财政性资金作为还款来源的借贷资金。</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（四）</w:t>
      </w:r>
      <w:r>
        <w:rPr>
          <w:rFonts w:hint="eastAsia" w:eastAsia="方正仿宋_GBK"/>
          <w:snapToGrid w:val="0"/>
          <w:color w:val="000000"/>
          <w:kern w:val="32"/>
          <w:sz w:val="24"/>
        </w:rPr>
        <w:t>根据我省建设工程代理市场的实际，乙级、暂定级工程招标代理机构可分别承担单个标段合同估算价</w:t>
      </w:r>
      <w:r>
        <w:rPr>
          <w:rFonts w:eastAsia="方正仿宋_GBK"/>
          <w:snapToGrid w:val="0"/>
          <w:color w:val="000000"/>
          <w:kern w:val="32"/>
          <w:sz w:val="24"/>
        </w:rPr>
        <w:t>1</w:t>
      </w:r>
      <w:r>
        <w:rPr>
          <w:rFonts w:hint="eastAsia" w:eastAsia="方正仿宋_GBK"/>
          <w:snapToGrid w:val="0"/>
          <w:color w:val="000000"/>
          <w:kern w:val="32"/>
          <w:sz w:val="24"/>
        </w:rPr>
        <w:t>亿元和</w:t>
      </w:r>
      <w:r>
        <w:rPr>
          <w:rFonts w:eastAsia="方正仿宋_GBK"/>
          <w:snapToGrid w:val="0"/>
          <w:color w:val="000000"/>
          <w:kern w:val="32"/>
          <w:sz w:val="24"/>
        </w:rPr>
        <w:t>6000</w:t>
      </w:r>
      <w:r>
        <w:rPr>
          <w:rFonts w:hint="eastAsia" w:eastAsia="方正仿宋_GBK"/>
          <w:snapToGrid w:val="0"/>
          <w:color w:val="000000"/>
          <w:kern w:val="32"/>
          <w:sz w:val="24"/>
        </w:rPr>
        <w:t>万元人民币以下的工程招标代理业务。</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（五）</w:t>
      </w:r>
      <w:r>
        <w:rPr>
          <w:rFonts w:hint="eastAsia" w:eastAsia="方正仿宋_GBK"/>
          <w:snapToGrid w:val="0"/>
          <w:color w:val="000000"/>
          <w:kern w:val="32"/>
          <w:sz w:val="24"/>
        </w:rPr>
        <w:t>招标人自行决定开始招标活动，并承担因项目各种条件发生变化而导致招标失败的风险。</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建设工程施工、监理招标应当具备满足招标需要的设计文件。</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招标人自行招标的，应当在提交发包初步方案的同时，就自行招标事宜向招投标监管机构备案（格式见附件四）。</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（六）</w:t>
      </w:r>
      <w:r>
        <w:rPr>
          <w:rFonts w:hint="eastAsia" w:eastAsia="方正仿宋_GBK"/>
          <w:snapToGrid w:val="0"/>
          <w:color w:val="000000"/>
          <w:kern w:val="32"/>
          <w:sz w:val="24"/>
        </w:rPr>
        <w:t>建筑设计方案招标项目、采用工程总承包的招标项目、政府集中建设的大型及以上或技术复杂项目（不含社会代建项目），可采用“评定分离”制。具体办法由省建设工程招标投标办公室另行制定。</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（七）</w:t>
      </w:r>
      <w:r>
        <w:rPr>
          <w:rFonts w:hint="eastAsia" w:eastAsia="方正仿宋_GBK"/>
          <w:snapToGrid w:val="0"/>
          <w:color w:val="000000"/>
          <w:kern w:val="32"/>
          <w:sz w:val="24"/>
        </w:rPr>
        <w:t>采用经评审的最低投标价法的施工招标项目，招标公告或者招标文件中应当明确中标人向招标人提供保函形式的差额履约担保，担保金额为招标控制价和中标价的差值，但不超过中标价的</w:t>
      </w:r>
      <w:r>
        <w:rPr>
          <w:rFonts w:eastAsia="方正仿宋_GBK"/>
          <w:snapToGrid w:val="0"/>
          <w:color w:val="000000"/>
          <w:kern w:val="32"/>
          <w:sz w:val="24"/>
        </w:rPr>
        <w:t>10</w:t>
      </w:r>
      <w:r>
        <w:rPr>
          <w:rFonts w:hint="eastAsia" w:eastAsia="方正仿宋_GBK"/>
          <w:snapToGrid w:val="0"/>
          <w:color w:val="000000"/>
          <w:kern w:val="32"/>
          <w:sz w:val="24"/>
        </w:rPr>
        <w:t>％。</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（八）</w:t>
      </w:r>
      <w:r>
        <w:rPr>
          <w:rFonts w:hint="eastAsia" w:eastAsia="方正仿宋_GBK"/>
          <w:snapToGrid w:val="0"/>
          <w:color w:val="000000"/>
          <w:kern w:val="32"/>
          <w:sz w:val="24"/>
        </w:rPr>
        <w:t>施工招标文件中设定的暂估价应当符合市场价格水平。以暂估价形式包括在承包范围内的工程、货物属于依法必须进行招标的项目范围且达到规定的规模标准的，应当依法进行招标。招标人在总承包招标文件中，应当明确暂估价招标的招标主体以及双方的权利义务。暂估价招标可以由发包人或者承包人组织招标，也可以由发包人和承包人共同招标。</w:t>
      </w:r>
    </w:p>
    <w:p>
      <w:pPr>
        <w:autoSpaceDE w:val="0"/>
        <w:autoSpaceDN w:val="0"/>
        <w:snapToGrid w:val="0"/>
        <w:spacing w:line="480" w:lineRule="exact"/>
        <w:ind w:firstLine="624"/>
        <w:rPr>
          <w:rFonts w:eastAsia="方正黑体_GBK"/>
          <w:snapToGrid w:val="0"/>
          <w:color w:val="000000"/>
          <w:kern w:val="32"/>
          <w:sz w:val="24"/>
        </w:rPr>
      </w:pPr>
      <w:r>
        <w:rPr>
          <w:rFonts w:hint="eastAsia" w:eastAsia="方正黑体_GBK"/>
          <w:snapToGrid w:val="0"/>
          <w:color w:val="000000"/>
          <w:kern w:val="32"/>
          <w:sz w:val="24"/>
        </w:rPr>
        <w:t>三、创新方法，提高效率</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（九）</w:t>
      </w:r>
      <w:r>
        <w:rPr>
          <w:rFonts w:hint="eastAsia" w:eastAsia="方正仿宋_GBK"/>
          <w:snapToGrid w:val="0"/>
          <w:color w:val="000000"/>
          <w:kern w:val="32"/>
          <w:sz w:val="24"/>
        </w:rPr>
        <w:t>同一招标人在一定的时间段内（一般为半年至一年）同类小型、简单、通用的房屋修缮、园林绿化养护、市政设施维修或者与工程建设有关的货物、服务等，可采用“预选招标”的方式确定中标人，具体办法由省建设工程招标投标办公室另行制定。</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w:t>
      </w:r>
      <w:r>
        <w:rPr>
          <w:rFonts w:hint="eastAsia" w:eastAsia="方正仿宋_GBK"/>
          <w:snapToGrid w:val="0"/>
          <w:color w:val="000000"/>
          <w:kern w:val="32"/>
          <w:sz w:val="24"/>
        </w:rPr>
        <w:t>招标人应根据招标项目特点，确定投标人编制投标文件的合理时间。招标文件中明确投标人无需编制施工组织设计、服务大纲或设备安装调试方案等技术标评审内容的，自招标文件开始发出之日起至递交投标文件截止之日止不少于</w:t>
      </w:r>
      <w:r>
        <w:rPr>
          <w:rFonts w:eastAsia="方正仿宋_GBK"/>
          <w:snapToGrid w:val="0"/>
          <w:color w:val="000000"/>
          <w:kern w:val="32"/>
          <w:sz w:val="24"/>
        </w:rPr>
        <w:t>10</w:t>
      </w:r>
      <w:r>
        <w:rPr>
          <w:rFonts w:hint="eastAsia" w:eastAsia="方正仿宋_GBK"/>
          <w:snapToGrid w:val="0"/>
          <w:color w:val="000000"/>
          <w:kern w:val="32"/>
          <w:sz w:val="24"/>
        </w:rPr>
        <w:t>日。采用合理价随机确定中标人法的，自招标文件开始发出之日起至递交投标文件截止之日止不少于</w:t>
      </w:r>
      <w:r>
        <w:rPr>
          <w:rFonts w:eastAsia="方正仿宋_GBK"/>
          <w:snapToGrid w:val="0"/>
          <w:color w:val="000000"/>
          <w:kern w:val="32"/>
          <w:sz w:val="24"/>
        </w:rPr>
        <w:t>7</w:t>
      </w:r>
      <w:r>
        <w:rPr>
          <w:rFonts w:hint="eastAsia" w:eastAsia="方正仿宋_GBK"/>
          <w:snapToGrid w:val="0"/>
          <w:color w:val="000000"/>
          <w:kern w:val="32"/>
          <w:sz w:val="24"/>
        </w:rPr>
        <w:t>日。</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招标人对已发出的招标文件进行必要的澄清或者修改，澄清或者修改的内容可能影响投标文件编制的，应当在递交投标文件截止时间至少</w:t>
      </w:r>
      <w:r>
        <w:rPr>
          <w:rFonts w:eastAsia="方正仿宋_GBK"/>
          <w:snapToGrid w:val="0"/>
          <w:color w:val="000000"/>
          <w:kern w:val="32"/>
          <w:sz w:val="24"/>
        </w:rPr>
        <w:t>3</w:t>
      </w:r>
      <w:r>
        <w:rPr>
          <w:rFonts w:hint="eastAsia" w:eastAsia="方正仿宋_GBK"/>
          <w:snapToGrid w:val="0"/>
          <w:color w:val="000000"/>
          <w:kern w:val="32"/>
          <w:sz w:val="24"/>
        </w:rPr>
        <w:t>日前（采用合理价随机确定中标人法的，应当在递交投标文件截止时间至少</w:t>
      </w:r>
      <w:r>
        <w:rPr>
          <w:rFonts w:eastAsia="方正仿宋_GBK"/>
          <w:snapToGrid w:val="0"/>
          <w:color w:val="000000"/>
          <w:kern w:val="32"/>
          <w:sz w:val="24"/>
        </w:rPr>
        <w:t>1</w:t>
      </w:r>
      <w:r>
        <w:rPr>
          <w:rFonts w:hint="eastAsia" w:eastAsia="方正仿宋_GBK"/>
          <w:snapToGrid w:val="0"/>
          <w:color w:val="000000"/>
          <w:kern w:val="32"/>
          <w:sz w:val="24"/>
        </w:rPr>
        <w:t>日前），以答疑形式告知所有已获取招标文件的潜在投标人。不足上述时限的，招标人应当顺延递交投标文件的截止时间。</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（十一）</w:t>
      </w:r>
      <w:r>
        <w:rPr>
          <w:rFonts w:hint="eastAsia" w:eastAsia="方正仿宋_GBK"/>
          <w:snapToGrid w:val="0"/>
          <w:color w:val="000000"/>
          <w:kern w:val="32"/>
          <w:sz w:val="24"/>
        </w:rPr>
        <w:t>招标人根据项目实际情况组建评标委员会。评标委员会应符合以下要求：</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、招标人可以委派</w:t>
      </w:r>
      <w:r>
        <w:rPr>
          <w:rFonts w:eastAsia="方正仿宋_GBK"/>
          <w:snapToGrid w:val="0"/>
          <w:color w:val="000000"/>
          <w:kern w:val="32"/>
          <w:sz w:val="24"/>
        </w:rPr>
        <w:t>1</w:t>
      </w:r>
      <w:r>
        <w:rPr>
          <w:rFonts w:hint="eastAsia" w:eastAsia="方正仿宋_GBK"/>
          <w:snapToGrid w:val="0"/>
          <w:color w:val="000000"/>
          <w:kern w:val="32"/>
          <w:sz w:val="24"/>
        </w:rPr>
        <w:t>名具备中级及以上工程类相关职称或者具有工程建设类执业资格的代表参与评标（“评定分离”项目除外）或者资格审查。招标代理机构的人员不得担任其所代理项目的评标委员会成员或者资格审查委员会成员。</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、施工招标需要对施工组织设计进行评分的，评标委员会成员数量为不少于</w:t>
      </w:r>
      <w:r>
        <w:rPr>
          <w:rFonts w:eastAsia="方正仿宋_GBK"/>
          <w:snapToGrid w:val="0"/>
          <w:color w:val="000000"/>
          <w:kern w:val="32"/>
          <w:sz w:val="24"/>
        </w:rPr>
        <w:t>7</w:t>
      </w:r>
      <w:r>
        <w:rPr>
          <w:rFonts w:hint="eastAsia" w:eastAsia="方正仿宋_GBK"/>
          <w:snapToGrid w:val="0"/>
          <w:color w:val="000000"/>
          <w:kern w:val="32"/>
          <w:sz w:val="24"/>
        </w:rPr>
        <w:t>人的单数。其中，评审技术标的评委不少于</w:t>
      </w:r>
      <w:r>
        <w:rPr>
          <w:rFonts w:eastAsia="方正仿宋_GBK"/>
          <w:snapToGrid w:val="0"/>
          <w:color w:val="000000"/>
          <w:kern w:val="32"/>
          <w:sz w:val="24"/>
        </w:rPr>
        <w:t>5</w:t>
      </w:r>
      <w:r>
        <w:rPr>
          <w:rFonts w:hint="eastAsia" w:eastAsia="方正仿宋_GBK"/>
          <w:snapToGrid w:val="0"/>
          <w:color w:val="000000"/>
          <w:kern w:val="32"/>
          <w:sz w:val="24"/>
        </w:rPr>
        <w:t>人的单数。服务、货物招标需对服务大纲或设备安装调试方案进行评审的，其评标委员会成员数量为不少于</w:t>
      </w:r>
      <w:r>
        <w:rPr>
          <w:rFonts w:eastAsia="方正仿宋_GBK"/>
          <w:snapToGrid w:val="0"/>
          <w:color w:val="000000"/>
          <w:kern w:val="32"/>
          <w:sz w:val="24"/>
        </w:rPr>
        <w:t>5</w:t>
      </w:r>
      <w:r>
        <w:rPr>
          <w:rFonts w:hint="eastAsia" w:eastAsia="方正仿宋_GBK"/>
          <w:snapToGrid w:val="0"/>
          <w:color w:val="000000"/>
          <w:kern w:val="32"/>
          <w:sz w:val="24"/>
        </w:rPr>
        <w:t>人的单数。</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、招标文件中明确投标人无需编制施工组织设计、服务大纲或设备安装调试方案等技术标评审内容的，评标委员会成员数量为不少于</w:t>
      </w:r>
      <w:r>
        <w:rPr>
          <w:rFonts w:eastAsia="方正仿宋_GBK"/>
          <w:snapToGrid w:val="0"/>
          <w:color w:val="000000"/>
          <w:kern w:val="32"/>
          <w:sz w:val="24"/>
        </w:rPr>
        <w:t>3</w:t>
      </w:r>
      <w:r>
        <w:rPr>
          <w:rFonts w:hint="eastAsia" w:eastAsia="方正仿宋_GBK"/>
          <w:snapToGrid w:val="0"/>
          <w:color w:val="000000"/>
          <w:kern w:val="32"/>
          <w:sz w:val="24"/>
        </w:rPr>
        <w:t>人的单数，其中经济类评委不少于</w:t>
      </w:r>
      <w:r>
        <w:rPr>
          <w:rFonts w:eastAsia="方正仿宋_GBK"/>
          <w:snapToGrid w:val="0"/>
          <w:color w:val="000000"/>
          <w:kern w:val="32"/>
          <w:sz w:val="24"/>
        </w:rPr>
        <w:t>2</w:t>
      </w:r>
      <w:r>
        <w:rPr>
          <w:rFonts w:hint="eastAsia" w:eastAsia="方正仿宋_GBK"/>
          <w:snapToGrid w:val="0"/>
          <w:color w:val="000000"/>
          <w:kern w:val="32"/>
          <w:sz w:val="24"/>
        </w:rPr>
        <w:t>人。</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4</w:t>
      </w:r>
      <w:r>
        <w:rPr>
          <w:rFonts w:hint="eastAsia" w:eastAsia="方正仿宋_GBK"/>
          <w:snapToGrid w:val="0"/>
          <w:color w:val="000000"/>
          <w:kern w:val="32"/>
          <w:sz w:val="24"/>
        </w:rPr>
        <w:t>、资格审查委员会成员数量为不少于</w:t>
      </w:r>
      <w:r>
        <w:rPr>
          <w:rFonts w:eastAsia="方正仿宋_GBK"/>
          <w:snapToGrid w:val="0"/>
          <w:color w:val="000000"/>
          <w:kern w:val="32"/>
          <w:sz w:val="24"/>
        </w:rPr>
        <w:t>3</w:t>
      </w:r>
      <w:r>
        <w:rPr>
          <w:rFonts w:hint="eastAsia" w:eastAsia="方正仿宋_GBK"/>
          <w:snapToGrid w:val="0"/>
          <w:color w:val="000000"/>
          <w:kern w:val="32"/>
          <w:sz w:val="24"/>
        </w:rPr>
        <w:t>人的单数。</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5</w:t>
      </w:r>
      <w:r>
        <w:rPr>
          <w:rFonts w:hint="eastAsia" w:eastAsia="方正仿宋_GBK"/>
          <w:snapToGrid w:val="0"/>
          <w:color w:val="000000"/>
          <w:kern w:val="32"/>
          <w:sz w:val="24"/>
        </w:rPr>
        <w:t>、来自同一单位的评标专家不得超过</w:t>
      </w:r>
      <w:r>
        <w:rPr>
          <w:rFonts w:eastAsia="方正仿宋_GBK"/>
          <w:snapToGrid w:val="0"/>
          <w:color w:val="000000"/>
          <w:kern w:val="32"/>
          <w:sz w:val="24"/>
        </w:rPr>
        <w:t>1</w:t>
      </w:r>
      <w:r>
        <w:rPr>
          <w:rFonts w:hint="eastAsia" w:eastAsia="方正仿宋_GBK"/>
          <w:snapToGrid w:val="0"/>
          <w:color w:val="000000"/>
          <w:kern w:val="32"/>
          <w:sz w:val="24"/>
        </w:rPr>
        <w:t>人。</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6</w:t>
      </w:r>
      <w:r>
        <w:rPr>
          <w:rFonts w:hint="eastAsia" w:eastAsia="方正仿宋_GBK"/>
          <w:snapToGrid w:val="0"/>
          <w:color w:val="000000"/>
          <w:kern w:val="32"/>
          <w:sz w:val="24"/>
        </w:rPr>
        <w:t>、评标专家的评审费用由招标人支付。</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（十二）</w:t>
      </w:r>
      <w:r>
        <w:rPr>
          <w:rFonts w:hint="eastAsia" w:eastAsia="方正仿宋_GBK"/>
          <w:snapToGrid w:val="0"/>
          <w:color w:val="000000"/>
          <w:kern w:val="32"/>
          <w:sz w:val="24"/>
        </w:rPr>
        <w:t>施工招标项目中，属于承包人自行采购的主要材料、设备，招标人可以在招标文件中提出材料、设备的技术标准或者质量要求，或者提供</w:t>
      </w:r>
      <w:r>
        <w:rPr>
          <w:rFonts w:eastAsia="方正仿宋_GBK"/>
          <w:snapToGrid w:val="0"/>
          <w:color w:val="000000"/>
          <w:kern w:val="32"/>
          <w:sz w:val="24"/>
        </w:rPr>
        <w:t>3</w:t>
      </w:r>
      <w:r>
        <w:rPr>
          <w:rFonts w:hint="eastAsia" w:eastAsia="方正仿宋_GBK"/>
          <w:snapToGrid w:val="0"/>
          <w:color w:val="000000"/>
          <w:kern w:val="32"/>
          <w:sz w:val="24"/>
        </w:rPr>
        <w:t>个以上符合要求的不同厂家品牌的同档次产品供投标人选择。投标人拟选择推荐的厂家或品牌以外的产品，应满足招标文件中提出技术标准和质量要求，并由招标人同意。</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招标人可以要求投标人在投标时明确所选的厂家品牌产品；也可以要求投标人在投标时承诺使用招标人提供的品牌，在合同履行过程中进行选择。具体要求应在招标文件中明确。</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（十三）</w:t>
      </w:r>
      <w:r>
        <w:rPr>
          <w:rFonts w:hint="eastAsia" w:eastAsia="方正仿宋_GBK"/>
          <w:snapToGrid w:val="0"/>
          <w:color w:val="000000"/>
          <w:kern w:val="32"/>
          <w:sz w:val="24"/>
        </w:rPr>
        <w:t>全面实行电子招投标。施工、服务和货物除因技术等原因不能采用电子招标的以外，应当实行电子招投标。采用综合评估法且对技术标进行量化评审的施工、合同估算价</w:t>
      </w:r>
      <w:r>
        <w:rPr>
          <w:rFonts w:eastAsia="方正仿宋_GBK"/>
          <w:snapToGrid w:val="0"/>
          <w:color w:val="000000"/>
          <w:kern w:val="32"/>
          <w:sz w:val="24"/>
        </w:rPr>
        <w:t>100</w:t>
      </w:r>
      <w:r>
        <w:rPr>
          <w:rFonts w:hint="eastAsia" w:eastAsia="方正仿宋_GBK"/>
          <w:snapToGrid w:val="0"/>
          <w:color w:val="000000"/>
          <w:kern w:val="32"/>
          <w:sz w:val="24"/>
        </w:rPr>
        <w:t>万元以上的监理招标项目，必须实行远程异地评标。有条件的市、县（市、区），可以对货物、其他服务招标项目实行远程异地评标。电子招投标应当使用“江苏省建筑市场监管与诚信信息一体化平台”的信息数据。</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实行电子招投标的项目，其施工、服务、货物的技术标评审应当采用暗标和横向评审制，项目负责人答辩亦应采用暗标方式评审，具体要求在招标文件中明确。</w:t>
      </w:r>
    </w:p>
    <w:p>
      <w:pPr>
        <w:autoSpaceDE w:val="0"/>
        <w:autoSpaceDN w:val="0"/>
        <w:snapToGrid w:val="0"/>
        <w:spacing w:line="480" w:lineRule="exact"/>
        <w:ind w:firstLine="624"/>
        <w:rPr>
          <w:rFonts w:eastAsia="方正黑体_GBK"/>
          <w:snapToGrid w:val="0"/>
          <w:color w:val="000000"/>
          <w:kern w:val="32"/>
          <w:sz w:val="24"/>
        </w:rPr>
      </w:pPr>
      <w:r>
        <w:rPr>
          <w:rFonts w:hint="eastAsia" w:eastAsia="方正黑体_GBK"/>
          <w:snapToGrid w:val="0"/>
          <w:color w:val="000000"/>
          <w:kern w:val="32"/>
          <w:sz w:val="24"/>
        </w:rPr>
        <w:t>四、信息公开，阳光操作</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（十四）</w:t>
      </w:r>
      <w:r>
        <w:rPr>
          <w:rFonts w:hint="eastAsia" w:eastAsia="方正仿宋_GBK"/>
          <w:snapToGrid w:val="0"/>
          <w:color w:val="000000"/>
          <w:kern w:val="32"/>
          <w:sz w:val="24"/>
        </w:rPr>
        <w:t>招标信息公开。招标公告（包括资格预审公告，下同）、开标情况、评标结果公示、中标结果公告等应当在“江苏建设工程招标网”等指定媒介上发布。</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信息发布时间和有关招标文件（资格预审文件）的发售时间不应当包含连续</w:t>
      </w:r>
      <w:r>
        <w:rPr>
          <w:rFonts w:eastAsia="方正仿宋_GBK"/>
          <w:snapToGrid w:val="0"/>
          <w:color w:val="000000"/>
          <w:kern w:val="32"/>
          <w:sz w:val="24"/>
        </w:rPr>
        <w:t>3</w:t>
      </w:r>
      <w:r>
        <w:rPr>
          <w:rFonts w:hint="eastAsia" w:eastAsia="方正仿宋_GBK"/>
          <w:snapToGrid w:val="0"/>
          <w:color w:val="000000"/>
          <w:kern w:val="32"/>
          <w:sz w:val="24"/>
        </w:rPr>
        <w:t>日及以上的节假日时间；开始时间应为工作日，结束时间不是工作日的，应当顺延至工作日。</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实行资格预审的资格预审文件或者实行资格后审的招标文件，除工程图纸外，应当与招标公告同时公布。在不同媒介发布的招标公告、招标文件（资格预审文件），以及潜在投标人（资格预审申请人）实际获取的招标文件（资格预审文件）应当一致，否则应当重新发布招标公告。</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（十五）</w:t>
      </w:r>
      <w:r>
        <w:rPr>
          <w:rFonts w:hint="eastAsia" w:eastAsia="方正仿宋_GBK"/>
          <w:snapToGrid w:val="0"/>
          <w:color w:val="000000"/>
          <w:kern w:val="32"/>
          <w:sz w:val="24"/>
        </w:rPr>
        <w:t>评标结果公示。招标人在收到评标报告之日起</w:t>
      </w:r>
      <w:r>
        <w:rPr>
          <w:rFonts w:eastAsia="方正仿宋_GBK"/>
          <w:snapToGrid w:val="0"/>
          <w:color w:val="000000"/>
          <w:kern w:val="32"/>
          <w:sz w:val="24"/>
        </w:rPr>
        <w:t>3</w:t>
      </w:r>
      <w:r>
        <w:rPr>
          <w:rFonts w:hint="eastAsia" w:eastAsia="方正仿宋_GBK"/>
          <w:snapToGrid w:val="0"/>
          <w:color w:val="000000"/>
          <w:kern w:val="32"/>
          <w:sz w:val="24"/>
        </w:rPr>
        <w:t>日内应当发布评标结果公示，公示期不得少于</w:t>
      </w:r>
      <w:r>
        <w:rPr>
          <w:rFonts w:eastAsia="方正仿宋_GBK"/>
          <w:snapToGrid w:val="0"/>
          <w:color w:val="000000"/>
          <w:kern w:val="32"/>
          <w:sz w:val="24"/>
        </w:rPr>
        <w:t>3</w:t>
      </w:r>
      <w:r>
        <w:rPr>
          <w:rFonts w:hint="eastAsia" w:eastAsia="方正仿宋_GBK"/>
          <w:snapToGrid w:val="0"/>
          <w:color w:val="000000"/>
          <w:kern w:val="32"/>
          <w:sz w:val="24"/>
        </w:rPr>
        <w:t>日。采用资格预审的项目，还应当公示中标候选人资格预审的相关信息，包括企业或项目负责人奖项、业绩等；采用有限数量制资格预审的，还应公布中标候选人的资格审查得分。因招投标当事人异议、投诉改变拟中标人的，应当重新公示拟中标人，公示期不得少于</w:t>
      </w:r>
      <w:r>
        <w:rPr>
          <w:rFonts w:eastAsia="方正仿宋_GBK"/>
          <w:snapToGrid w:val="0"/>
          <w:color w:val="000000"/>
          <w:kern w:val="32"/>
          <w:sz w:val="24"/>
        </w:rPr>
        <w:t>3</w:t>
      </w:r>
      <w:r>
        <w:rPr>
          <w:rFonts w:hint="eastAsia" w:eastAsia="方正仿宋_GBK"/>
          <w:snapToGrid w:val="0"/>
          <w:color w:val="000000"/>
          <w:kern w:val="32"/>
          <w:sz w:val="24"/>
        </w:rPr>
        <w:t>日。</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（十六）</w:t>
      </w:r>
      <w:r>
        <w:rPr>
          <w:rFonts w:hint="eastAsia" w:eastAsia="方正仿宋_GBK"/>
          <w:snapToGrid w:val="0"/>
          <w:color w:val="000000"/>
          <w:kern w:val="32"/>
          <w:sz w:val="24"/>
        </w:rPr>
        <w:t>中标结果公告。中标人确定后，招标人在发出中标通知书的同时，应当发布中标结果公告，内容包括：中标人名称、项目负责人姓名、中标价、中标工期、招标人定标原因及依据和评标委员会成员等。</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（十七）</w:t>
      </w:r>
      <w:r>
        <w:rPr>
          <w:rFonts w:hint="eastAsia" w:eastAsia="方正仿宋_GBK"/>
          <w:snapToGrid w:val="0"/>
          <w:color w:val="000000"/>
          <w:kern w:val="32"/>
          <w:sz w:val="24"/>
        </w:rPr>
        <w:t>招投标失信行为信息公开。招投标相关单位及个人在招投标活动中存在失信行为的，招投标监管机构应当及时在“江苏建设工程招标网”等指定媒介上公示。在公示期间，投标人有下列行为的，其他国有投资项目的招标人可以在招标文件中明确拒绝其投标；评委有下列行为的，不得担任评标委员会成员；招标代理机构有下列行为的，不得承揽国有投资项目的招标代理业务。</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、招投标各方主体及个人在招投标活动中违反法律法规和规章规定受到行政处罚的，公示不少于</w:t>
      </w:r>
      <w:r>
        <w:rPr>
          <w:rFonts w:eastAsia="方正仿宋_GBK"/>
          <w:snapToGrid w:val="0"/>
          <w:color w:val="000000"/>
          <w:kern w:val="32"/>
          <w:sz w:val="24"/>
        </w:rPr>
        <w:t>3</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、投标人在招投标活动中出现如下失信行为，公示</w:t>
      </w:r>
      <w:r>
        <w:rPr>
          <w:rFonts w:eastAsia="方正仿宋_GBK"/>
          <w:snapToGrid w:val="0"/>
          <w:color w:val="000000"/>
          <w:kern w:val="32"/>
          <w:sz w:val="24"/>
        </w:rPr>
        <w:t>1-3</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1</w:t>
      </w:r>
      <w:r>
        <w:rPr>
          <w:rFonts w:hint="eastAsia" w:eastAsia="方正仿宋_GBK"/>
          <w:snapToGrid w:val="0"/>
          <w:color w:val="000000"/>
          <w:kern w:val="32"/>
          <w:sz w:val="24"/>
        </w:rPr>
        <w:t>）除不可抗力的外，资格预审合格的投标人无故不获取招标文件或者获取招标文件后放弃投标，或者投标人在投标截止后无故撤销投标文件等，公示</w:t>
      </w:r>
      <w:r>
        <w:rPr>
          <w:rFonts w:eastAsia="方正仿宋_GBK"/>
          <w:snapToGrid w:val="0"/>
          <w:color w:val="000000"/>
          <w:kern w:val="32"/>
          <w:sz w:val="24"/>
        </w:rPr>
        <w:t>2</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2</w:t>
      </w:r>
      <w:r>
        <w:rPr>
          <w:rFonts w:hint="eastAsia" w:eastAsia="方正仿宋_GBK"/>
          <w:snapToGrid w:val="0"/>
          <w:color w:val="000000"/>
          <w:kern w:val="32"/>
          <w:sz w:val="24"/>
        </w:rPr>
        <w:t>）递交无竞争力的投标文件的（无竞争力投标是指不以中标为目的的投标，包括投标报价畸高、投标文件故意漏项缺项、施工组织设计文件不符合篇幅要求、以及故意违反招标文件中已醒目标识的无效投标条款且事先未质疑等情形），公示</w:t>
      </w:r>
      <w:r>
        <w:rPr>
          <w:rFonts w:eastAsia="方正仿宋_GBK"/>
          <w:snapToGrid w:val="0"/>
          <w:color w:val="000000"/>
          <w:kern w:val="32"/>
          <w:sz w:val="24"/>
        </w:rPr>
        <w:t>1</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3</w:t>
      </w:r>
      <w:r>
        <w:rPr>
          <w:rFonts w:hint="eastAsia" w:eastAsia="方正仿宋_GBK"/>
          <w:snapToGrid w:val="0"/>
          <w:color w:val="000000"/>
          <w:kern w:val="32"/>
          <w:sz w:val="24"/>
        </w:rPr>
        <w:t>）企业一年内</w:t>
      </w:r>
      <w:r>
        <w:rPr>
          <w:rFonts w:eastAsia="方正仿宋_GBK"/>
          <w:snapToGrid w:val="0"/>
          <w:color w:val="000000"/>
          <w:kern w:val="32"/>
          <w:sz w:val="24"/>
        </w:rPr>
        <w:t>4</w:t>
      </w:r>
      <w:r>
        <w:rPr>
          <w:rFonts w:hint="eastAsia" w:eastAsia="方正仿宋_GBK"/>
          <w:snapToGrid w:val="0"/>
          <w:color w:val="000000"/>
          <w:kern w:val="32"/>
          <w:sz w:val="24"/>
        </w:rPr>
        <w:t>次在全省投诉反映情况不属实，缺乏事实或法律依据的，公示</w:t>
      </w:r>
      <w:r>
        <w:rPr>
          <w:rFonts w:eastAsia="方正仿宋_GBK"/>
          <w:snapToGrid w:val="0"/>
          <w:color w:val="000000"/>
          <w:kern w:val="32"/>
          <w:sz w:val="24"/>
        </w:rPr>
        <w:t>1</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4</w:t>
      </w:r>
      <w:r>
        <w:rPr>
          <w:rFonts w:hint="eastAsia" w:eastAsia="方正仿宋_GBK"/>
          <w:snapToGrid w:val="0"/>
          <w:color w:val="000000"/>
          <w:kern w:val="32"/>
          <w:sz w:val="24"/>
        </w:rPr>
        <w:t>）投诉人故意捏造事实、伪造证明材料的，或者以非法手段取得证明材料等进行恶意投诉的，公示</w:t>
      </w:r>
      <w:r>
        <w:rPr>
          <w:rFonts w:eastAsia="方正仿宋_GBK"/>
          <w:snapToGrid w:val="0"/>
          <w:color w:val="000000"/>
          <w:kern w:val="32"/>
          <w:sz w:val="24"/>
        </w:rPr>
        <w:t>3</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、评委在招投标活动出现如下失信行为，公示</w:t>
      </w:r>
      <w:r>
        <w:rPr>
          <w:rFonts w:eastAsia="方正仿宋_GBK"/>
          <w:snapToGrid w:val="0"/>
          <w:color w:val="000000"/>
          <w:kern w:val="32"/>
          <w:sz w:val="24"/>
        </w:rPr>
        <w:t>3</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1</w:t>
      </w:r>
      <w:r>
        <w:rPr>
          <w:rFonts w:hint="eastAsia" w:eastAsia="方正仿宋_GBK"/>
          <w:snapToGrid w:val="0"/>
          <w:color w:val="000000"/>
          <w:kern w:val="32"/>
          <w:sz w:val="24"/>
        </w:rPr>
        <w:t>）一次性被扣</w:t>
      </w:r>
      <w:r>
        <w:rPr>
          <w:rFonts w:eastAsia="方正仿宋_GBK"/>
          <w:snapToGrid w:val="0"/>
          <w:color w:val="000000"/>
          <w:kern w:val="32"/>
          <w:sz w:val="24"/>
        </w:rPr>
        <w:t>20</w:t>
      </w:r>
      <w:r>
        <w:rPr>
          <w:rFonts w:hint="eastAsia" w:eastAsia="方正仿宋_GBK"/>
          <w:snapToGrid w:val="0"/>
          <w:color w:val="000000"/>
          <w:kern w:val="32"/>
          <w:sz w:val="24"/>
        </w:rPr>
        <w:t>分的；</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2</w:t>
      </w:r>
      <w:r>
        <w:rPr>
          <w:rFonts w:hint="eastAsia" w:eastAsia="方正仿宋_GBK"/>
          <w:snapToGrid w:val="0"/>
          <w:color w:val="000000"/>
          <w:kern w:val="32"/>
          <w:sz w:val="24"/>
        </w:rPr>
        <w:t>）将个人通讯工具带入评标区的；</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3</w:t>
      </w:r>
      <w:r>
        <w:rPr>
          <w:rFonts w:hint="eastAsia" w:eastAsia="方正仿宋_GBK"/>
          <w:snapToGrid w:val="0"/>
          <w:color w:val="000000"/>
          <w:kern w:val="32"/>
          <w:sz w:val="24"/>
        </w:rPr>
        <w:t>）未经评标现场监管人员或者见证人员许可，擅自进入其他评标室、离开评标区或者早退，以及不服从评标现场监督与工作人员管理的；</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4</w:t>
      </w:r>
      <w:r>
        <w:rPr>
          <w:rFonts w:hint="eastAsia" w:eastAsia="方正仿宋_GBK"/>
          <w:snapToGrid w:val="0"/>
          <w:color w:val="000000"/>
          <w:kern w:val="32"/>
          <w:sz w:val="24"/>
        </w:rPr>
        <w:t>）无故拒绝参加复议的。</w:t>
      </w:r>
    </w:p>
    <w:p>
      <w:pPr>
        <w:autoSpaceDE w:val="0"/>
        <w:autoSpaceDN w:val="0"/>
        <w:snapToGrid w:val="0"/>
        <w:spacing w:line="480" w:lineRule="exact"/>
        <w:ind w:firstLine="624"/>
        <w:rPr>
          <w:rFonts w:eastAsia="方正仿宋_GBK"/>
          <w:snapToGrid w:val="0"/>
          <w:color w:val="000000"/>
          <w:kern w:val="32"/>
          <w:sz w:val="24"/>
        </w:rPr>
      </w:pPr>
      <w:r>
        <w:rPr>
          <w:rFonts w:eastAsia="方正仿宋_GBK"/>
          <w:snapToGrid w:val="0"/>
          <w:color w:val="000000"/>
          <w:kern w:val="32"/>
          <w:sz w:val="24"/>
        </w:rPr>
        <w:t>4</w:t>
      </w:r>
      <w:r>
        <w:rPr>
          <w:rFonts w:hint="eastAsia" w:eastAsia="方正仿宋_GBK"/>
          <w:snapToGrid w:val="0"/>
          <w:color w:val="000000"/>
          <w:kern w:val="32"/>
          <w:sz w:val="24"/>
        </w:rPr>
        <w:t>、招标代理机构在招投标活动中出现如下失信行为，公示</w:t>
      </w:r>
      <w:r>
        <w:rPr>
          <w:rFonts w:eastAsia="方正仿宋_GBK"/>
          <w:snapToGrid w:val="0"/>
          <w:color w:val="000000"/>
          <w:kern w:val="32"/>
          <w:sz w:val="24"/>
        </w:rPr>
        <w:t>1-3</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1</w:t>
      </w:r>
      <w:r>
        <w:rPr>
          <w:rFonts w:hint="eastAsia" w:eastAsia="方正仿宋_GBK"/>
          <w:snapToGrid w:val="0"/>
          <w:color w:val="000000"/>
          <w:kern w:val="32"/>
          <w:sz w:val="24"/>
        </w:rPr>
        <w:t>）出现较重失信行为的公示</w:t>
      </w:r>
      <w:r>
        <w:rPr>
          <w:rFonts w:eastAsia="方正仿宋_GBK"/>
          <w:snapToGrid w:val="0"/>
          <w:color w:val="000000"/>
          <w:kern w:val="32"/>
          <w:sz w:val="24"/>
        </w:rPr>
        <w:t>1</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2</w:t>
      </w:r>
      <w:r>
        <w:rPr>
          <w:rFonts w:hint="eastAsia" w:eastAsia="方正仿宋_GBK"/>
          <w:snapToGrid w:val="0"/>
          <w:color w:val="000000"/>
          <w:kern w:val="32"/>
          <w:sz w:val="24"/>
        </w:rPr>
        <w:t>）出现严重失信行为，公示</w:t>
      </w:r>
      <w:r>
        <w:rPr>
          <w:rFonts w:eastAsia="方正仿宋_GBK"/>
          <w:snapToGrid w:val="0"/>
          <w:color w:val="000000"/>
          <w:kern w:val="32"/>
          <w:sz w:val="24"/>
        </w:rPr>
        <w:t>3</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3</w:t>
      </w:r>
      <w:r>
        <w:rPr>
          <w:rFonts w:hint="eastAsia" w:eastAsia="方正仿宋_GBK"/>
          <w:snapToGrid w:val="0"/>
          <w:color w:val="000000"/>
          <w:kern w:val="32"/>
          <w:sz w:val="24"/>
        </w:rPr>
        <w:t>）单位日常行为考评一年内累计扣分达到</w:t>
      </w:r>
      <w:r>
        <w:rPr>
          <w:rFonts w:eastAsia="方正仿宋_GBK"/>
          <w:snapToGrid w:val="0"/>
          <w:color w:val="000000"/>
          <w:kern w:val="32"/>
          <w:sz w:val="24"/>
        </w:rPr>
        <w:t>8</w:t>
      </w:r>
      <w:r>
        <w:rPr>
          <w:rFonts w:hint="eastAsia" w:eastAsia="方正仿宋_GBK"/>
          <w:snapToGrid w:val="0"/>
          <w:color w:val="000000"/>
          <w:kern w:val="32"/>
          <w:sz w:val="24"/>
        </w:rPr>
        <w:t>分的，公示</w:t>
      </w:r>
      <w:r>
        <w:rPr>
          <w:rFonts w:eastAsia="方正仿宋_GBK"/>
          <w:snapToGrid w:val="0"/>
          <w:color w:val="000000"/>
          <w:kern w:val="32"/>
          <w:sz w:val="24"/>
        </w:rPr>
        <w:t>2</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4</w:t>
      </w:r>
      <w:r>
        <w:rPr>
          <w:rFonts w:hint="eastAsia" w:eastAsia="方正仿宋_GBK"/>
          <w:snapToGrid w:val="0"/>
          <w:color w:val="000000"/>
          <w:kern w:val="32"/>
          <w:sz w:val="24"/>
        </w:rPr>
        <w:t>）从业人员日常行为考评一年内累计扣分达到</w:t>
      </w:r>
      <w:r>
        <w:rPr>
          <w:rFonts w:eastAsia="方正仿宋_GBK"/>
          <w:snapToGrid w:val="0"/>
          <w:color w:val="000000"/>
          <w:kern w:val="32"/>
          <w:sz w:val="24"/>
        </w:rPr>
        <w:t>3</w:t>
      </w:r>
      <w:r>
        <w:rPr>
          <w:rFonts w:hint="eastAsia" w:eastAsia="方正仿宋_GBK"/>
          <w:snapToGrid w:val="0"/>
          <w:color w:val="000000"/>
          <w:kern w:val="32"/>
          <w:sz w:val="24"/>
        </w:rPr>
        <w:t>分的，公示</w:t>
      </w:r>
      <w:r>
        <w:rPr>
          <w:rFonts w:eastAsia="方正仿宋_GBK"/>
          <w:snapToGrid w:val="0"/>
          <w:color w:val="000000"/>
          <w:kern w:val="32"/>
          <w:sz w:val="24"/>
        </w:rPr>
        <w:t>2</w:t>
      </w:r>
      <w:r>
        <w:rPr>
          <w:rFonts w:hint="eastAsia" w:eastAsia="方正仿宋_GBK"/>
          <w:snapToGrid w:val="0"/>
          <w:color w:val="000000"/>
          <w:kern w:val="32"/>
          <w:sz w:val="24"/>
        </w:rPr>
        <w:t>个月。</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（十八）</w:t>
      </w:r>
      <w:r>
        <w:rPr>
          <w:rFonts w:hint="eastAsia" w:eastAsia="方正仿宋_GBK"/>
          <w:snapToGrid w:val="0"/>
          <w:color w:val="000000"/>
          <w:kern w:val="32"/>
          <w:sz w:val="24"/>
        </w:rPr>
        <w:t>其他信息公开。与招投标相关的在建工程信息、项目负责人变更信息、招标终止信息和投标保证金提交情况等均应当及时在“江苏建设工程招标网”和“江苏省建筑市场监管与诚信信息一体化平台”上发布。</w:t>
      </w:r>
    </w:p>
    <w:p>
      <w:pPr>
        <w:autoSpaceDE w:val="0"/>
        <w:autoSpaceDN w:val="0"/>
        <w:snapToGrid w:val="0"/>
        <w:spacing w:line="480" w:lineRule="exact"/>
        <w:ind w:firstLine="624"/>
        <w:rPr>
          <w:rFonts w:eastAsia="方正黑体_GBK"/>
          <w:snapToGrid w:val="0"/>
          <w:color w:val="000000"/>
          <w:kern w:val="32"/>
          <w:sz w:val="24"/>
        </w:rPr>
      </w:pPr>
      <w:r>
        <w:rPr>
          <w:rFonts w:hint="eastAsia" w:eastAsia="方正黑体_GBK"/>
          <w:snapToGrid w:val="0"/>
          <w:color w:val="000000"/>
          <w:kern w:val="32"/>
          <w:sz w:val="24"/>
        </w:rPr>
        <w:t>五、规范流程，强化监管</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（十九）</w:t>
      </w:r>
      <w:r>
        <w:rPr>
          <w:rFonts w:hint="eastAsia" w:eastAsia="方正仿宋_GBK"/>
          <w:snapToGrid w:val="0"/>
          <w:color w:val="000000"/>
          <w:kern w:val="32"/>
          <w:sz w:val="24"/>
        </w:rPr>
        <w:t>招标人编制的资格预审文件和招标文件，应当使用国家、省有关部门制定的标准文本。</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施工、服务、货物和工程总承包招标，招标人应当设定招标控制价（最高投标限价）。招标控制价或者其计算方法应当在招标文件中载明。</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施工招标资格审查应当使用附件二《江苏省房屋建筑和市政基础设施工程施工招标资格审查办法》；施工招标评标应当使用附件三《江苏省房屋建筑和市政基础设施工程施工招标评标办法》。</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（二十）</w:t>
      </w:r>
      <w:r>
        <w:rPr>
          <w:rFonts w:hint="eastAsia" w:eastAsia="方正仿宋_GBK"/>
          <w:snapToGrid w:val="0"/>
          <w:color w:val="000000"/>
          <w:kern w:val="32"/>
          <w:sz w:val="24"/>
        </w:rPr>
        <w:t>资格预审文件设定的资格审查合格条件和招标文件中设定的无效标条款应当清晰、明确，并集中单列。其中，无效标条款应当仅限定为本意见附件三第六条所列情形。特殊情况招标人需要另行规定无效标条款的，应当在招标文件备案时作出说明后写入招标文件。凡招标文件未集中单列的无效标条款，评标委员会不得作为否决投标、判定无效标的依据。招标人不得要求投标报价文件必须加盖造价从业人员执业章，也不得将投标人法定代表人未参加开标活动作为拒绝其投标或判断无效投标的依据。</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招标人可以对招标文件或资格预审文件进行必要的澄清或者修改。但对资格审查条件、资格审查标准和方法、评标标准和方法、以及付款方式等实质性内容进行修改，应当重新发布招标公告。</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（二十一）</w:t>
      </w:r>
      <w:r>
        <w:rPr>
          <w:rFonts w:hint="eastAsia" w:eastAsia="方正仿宋_GBK"/>
          <w:snapToGrid w:val="0"/>
          <w:color w:val="000000"/>
          <w:kern w:val="32"/>
          <w:sz w:val="24"/>
        </w:rPr>
        <w:t>在评标过程中，除出现《中华人民共和国招标投标法实施条例》第二十三条情形外，评标委员会认为因招标文件缺陷无法确定中标候选人或中标人的，招标人应当重新组织招标。</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（二十二）</w:t>
      </w:r>
      <w:r>
        <w:rPr>
          <w:rFonts w:hint="eastAsia" w:eastAsia="方正仿宋_GBK"/>
          <w:snapToGrid w:val="0"/>
          <w:color w:val="000000"/>
          <w:kern w:val="32"/>
          <w:sz w:val="24"/>
        </w:rPr>
        <w:t>建立专家评议制度。招标人在处理异议的过程中，或招投标监管机构在处理投诉的过程中，对于出现难以认定或解决的法律、技术问题时，可以组建争议评议专家组评议，评议意见作为异议、投诉处理的主要依据。</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（二十三）</w:t>
      </w:r>
      <w:r>
        <w:rPr>
          <w:rFonts w:hint="eastAsia" w:eastAsia="方正仿宋_GBK"/>
          <w:snapToGrid w:val="0"/>
          <w:color w:val="000000"/>
          <w:kern w:val="32"/>
          <w:sz w:val="24"/>
        </w:rPr>
        <w:t>建立招投标后评估制度和招标代理机构的“双随机”检查制度。各招投标监管机构每年要组织资深评标专家对一些社会影响较大的项目、招标中存在异议和投诉的项目，以及有代表性的专业项目实施评标后评估，通过后评估规范招投标各方、特别是评标专家的行为。对代理机构的代理行为实施定期“双随机”检查，检查的内容、程序及处理结果应及时公开，并将检查的结果与代理机构信用考核挂钩。</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（二十四）</w:t>
      </w:r>
      <w:r>
        <w:rPr>
          <w:rFonts w:hint="eastAsia" w:eastAsia="方正仿宋_GBK"/>
          <w:snapToGrid w:val="0"/>
          <w:color w:val="000000"/>
          <w:kern w:val="32"/>
          <w:sz w:val="24"/>
        </w:rPr>
        <w:t>异议和投诉应严格执行《江苏省房屋建筑和市政基础设施工程招标投标活动异议与投诉处理实施办法》，一般应在招投标交易、监督平台上受理和处理。招标人在异议处理过程中认为需要重新评标的，应书面报告招投标监管机构。</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采用资格预审的项目，投标人或者其他利害关系人对中标候选人的资格审查结果有异议或投诉的，应当在中标候选人公示期间提出。异议或投诉反映的内容需要重新评审的，由原评标委员会或者原资格审查委员会（在招标文件中明确）重新评审，但不因此重新确定投标人入围资格和评标基准价。</w:t>
      </w:r>
    </w:p>
    <w:p>
      <w:pPr>
        <w:autoSpaceDE w:val="0"/>
        <w:autoSpaceDN w:val="0"/>
        <w:snapToGrid w:val="0"/>
        <w:spacing w:line="480" w:lineRule="exact"/>
        <w:ind w:firstLine="624"/>
        <w:rPr>
          <w:rFonts w:eastAsia="方正黑体_GBK"/>
          <w:snapToGrid w:val="0"/>
          <w:color w:val="000000"/>
          <w:kern w:val="32"/>
          <w:sz w:val="24"/>
        </w:rPr>
      </w:pPr>
      <w:r>
        <w:rPr>
          <w:rFonts w:hint="eastAsia" w:eastAsia="方正黑体_GBK"/>
          <w:snapToGrid w:val="0"/>
          <w:color w:val="000000"/>
          <w:kern w:val="32"/>
          <w:sz w:val="24"/>
        </w:rPr>
        <w:t>六、切实加强招投标改革意见的组织实施</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（二十五）</w:t>
      </w:r>
      <w:r>
        <w:rPr>
          <w:rFonts w:hint="eastAsia" w:eastAsia="方正仿宋_GBK"/>
          <w:snapToGrid w:val="0"/>
          <w:color w:val="000000"/>
          <w:kern w:val="32"/>
          <w:sz w:val="24"/>
        </w:rPr>
        <w:t>各级建设行政主管部门要高度重视建设工程招投标的改革与创新工作，加强领导、明确责任，全面贯彻各项意见和措施。要加强与纪检监察、发展改革、政务服务、公安等相关部门的沟通协调，对实施过程中遇到的困难和问题争取支持、形成合力，切实通过意见的实施，进一步健全和完善建设工程招标投标制度。</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（二十六）</w:t>
      </w:r>
      <w:r>
        <w:rPr>
          <w:rFonts w:hint="eastAsia" w:eastAsia="方正仿宋_GBK"/>
          <w:snapToGrid w:val="0"/>
          <w:color w:val="000000"/>
          <w:kern w:val="32"/>
          <w:sz w:val="24"/>
        </w:rPr>
        <w:t>各级建设工程招投标监管机构要提高认识，主动作为。要坚持备案管理、过程监督、依法查处的监管方式，解放思想，勇于探索，积极创新监管模式。要切实加大对招标公告、招标文件备案</w:t>
      </w:r>
      <w:r>
        <w:rPr>
          <w:rFonts w:eastAsia="方正仿宋_GBK"/>
          <w:snapToGrid w:val="0"/>
          <w:color w:val="000000"/>
          <w:kern w:val="32"/>
          <w:sz w:val="24"/>
        </w:rPr>
        <w:t>,</w:t>
      </w:r>
      <w:r>
        <w:rPr>
          <w:rFonts w:hint="eastAsia" w:eastAsia="方正仿宋_GBK"/>
          <w:snapToGrid w:val="0"/>
          <w:color w:val="000000"/>
          <w:kern w:val="32"/>
          <w:sz w:val="24"/>
        </w:rPr>
        <w:t>资格预审、开标评标等重点环节的监管力度，及时纠正、制止招投标市场存在的违法违规行为。</w:t>
      </w:r>
    </w:p>
    <w:p>
      <w:pPr>
        <w:autoSpaceDE w:val="0"/>
        <w:autoSpaceDN w:val="0"/>
        <w:snapToGrid w:val="0"/>
        <w:spacing w:line="480" w:lineRule="exact"/>
        <w:ind w:firstLine="624"/>
        <w:rPr>
          <w:rFonts w:eastAsia="方正仿宋_GBK"/>
          <w:snapToGrid w:val="0"/>
          <w:color w:val="000000"/>
          <w:kern w:val="32"/>
          <w:sz w:val="24"/>
        </w:rPr>
      </w:pPr>
      <w:r>
        <w:rPr>
          <w:rFonts w:hint="eastAsia" w:eastAsia="方正楷体_GBK"/>
          <w:snapToGrid w:val="0"/>
          <w:color w:val="000000"/>
          <w:kern w:val="32"/>
          <w:sz w:val="24"/>
        </w:rPr>
        <w:t>（二十七）</w:t>
      </w:r>
      <w:r>
        <w:rPr>
          <w:rFonts w:hint="eastAsia" w:eastAsia="方正仿宋_GBK"/>
          <w:snapToGrid w:val="0"/>
          <w:color w:val="000000"/>
          <w:kern w:val="32"/>
          <w:sz w:val="24"/>
        </w:rPr>
        <w:t>本意见中的服务招标包括全过程工程咨询招标。单独发包的房屋建筑和市政基础设施工程设计招标执行《建筑工程设计招标投标管理办法》（住建部第</w:t>
      </w:r>
      <w:r>
        <w:rPr>
          <w:rFonts w:eastAsia="方正仿宋_GBK"/>
          <w:snapToGrid w:val="0"/>
          <w:color w:val="000000"/>
          <w:kern w:val="32"/>
          <w:sz w:val="24"/>
        </w:rPr>
        <w:t>33</w:t>
      </w:r>
      <w:r>
        <w:rPr>
          <w:rFonts w:hint="eastAsia" w:eastAsia="方正仿宋_GBK"/>
          <w:snapToGrid w:val="0"/>
          <w:color w:val="000000"/>
          <w:kern w:val="32"/>
          <w:sz w:val="24"/>
        </w:rPr>
        <w:t>号令）。</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本意见及附件由江苏省住房和城乡建设厅负责解释，自</w:t>
      </w:r>
      <w:r>
        <w:rPr>
          <w:rFonts w:eastAsia="方正仿宋_GBK"/>
          <w:snapToGrid w:val="0"/>
          <w:color w:val="000000"/>
          <w:kern w:val="32"/>
          <w:sz w:val="24"/>
        </w:rPr>
        <w:t>2017</w:t>
      </w:r>
      <w:r>
        <w:rPr>
          <w:rFonts w:hint="eastAsia" w:eastAsia="方正仿宋_GBK"/>
          <w:snapToGrid w:val="0"/>
          <w:color w:val="000000"/>
          <w:kern w:val="32"/>
          <w:sz w:val="24"/>
        </w:rPr>
        <w:t>年</w:t>
      </w:r>
      <w:r>
        <w:rPr>
          <w:rFonts w:eastAsia="方正仿宋_GBK"/>
          <w:snapToGrid w:val="0"/>
          <w:color w:val="000000"/>
          <w:kern w:val="32"/>
          <w:sz w:val="24"/>
        </w:rPr>
        <w:t>10</w:t>
      </w:r>
      <w:r>
        <w:rPr>
          <w:rFonts w:hint="eastAsia" w:eastAsia="方正仿宋_GBK"/>
          <w:snapToGrid w:val="0"/>
          <w:color w:val="000000"/>
          <w:kern w:val="32"/>
          <w:sz w:val="24"/>
        </w:rPr>
        <w:t>月</w:t>
      </w:r>
      <w:r>
        <w:rPr>
          <w:rFonts w:eastAsia="方正仿宋_GBK"/>
          <w:snapToGrid w:val="0"/>
          <w:color w:val="000000"/>
          <w:kern w:val="32"/>
          <w:sz w:val="24"/>
        </w:rPr>
        <w:t>1</w:t>
      </w:r>
      <w:r>
        <w:rPr>
          <w:rFonts w:hint="eastAsia" w:eastAsia="方正仿宋_GBK"/>
          <w:snapToGrid w:val="0"/>
          <w:color w:val="000000"/>
          <w:kern w:val="32"/>
          <w:sz w:val="24"/>
        </w:rPr>
        <w:t>日起施行。各地在执行过程中要注意分析总结，对存在的不足及应改进的地方，及时反馈到省住房城乡建设厅。</w:t>
      </w:r>
    </w:p>
    <w:p>
      <w:pPr>
        <w:autoSpaceDE w:val="0"/>
        <w:autoSpaceDN w:val="0"/>
        <w:snapToGrid w:val="0"/>
        <w:spacing w:line="480" w:lineRule="exact"/>
        <w:ind w:firstLine="624"/>
        <w:rPr>
          <w:rFonts w:eastAsia="方正仿宋_GBK"/>
          <w:snapToGrid w:val="0"/>
          <w:color w:val="000000"/>
          <w:kern w:val="32"/>
          <w:sz w:val="24"/>
        </w:rPr>
      </w:pPr>
      <w:r>
        <w:rPr>
          <w:rFonts w:hint="eastAsia" w:eastAsia="方正仿宋_GBK"/>
          <w:snapToGrid w:val="0"/>
          <w:color w:val="000000"/>
          <w:kern w:val="32"/>
          <w:sz w:val="24"/>
        </w:rPr>
        <w:t>《关于房屋建筑和市政基础设施工程贯彻招标投标法实施条例的意见》（苏建规字〔</w:t>
      </w:r>
      <w:r>
        <w:rPr>
          <w:rFonts w:eastAsia="方正仿宋_GBK"/>
          <w:snapToGrid w:val="0"/>
          <w:color w:val="000000"/>
          <w:kern w:val="32"/>
          <w:sz w:val="24"/>
        </w:rPr>
        <w:t>2013</w:t>
      </w:r>
      <w:r>
        <w:rPr>
          <w:rFonts w:hint="eastAsia" w:eastAsia="方正仿宋_GBK"/>
          <w:snapToGrid w:val="0"/>
          <w:color w:val="000000"/>
          <w:kern w:val="32"/>
          <w:sz w:val="24"/>
        </w:rPr>
        <w:t>〕</w:t>
      </w:r>
      <w:r>
        <w:rPr>
          <w:rFonts w:eastAsia="方正仿宋_GBK"/>
          <w:snapToGrid w:val="0"/>
          <w:color w:val="000000"/>
          <w:kern w:val="32"/>
          <w:sz w:val="24"/>
        </w:rPr>
        <w:t>4</w:t>
      </w:r>
      <w:r>
        <w:rPr>
          <w:rFonts w:hint="eastAsia" w:eastAsia="方正仿宋_GBK"/>
          <w:snapToGrid w:val="0"/>
          <w:color w:val="000000"/>
          <w:kern w:val="32"/>
          <w:sz w:val="24"/>
        </w:rPr>
        <w:t>号文）作废，之前文件与本意见不一致的，以本意见为准。</w:t>
      </w:r>
    </w:p>
    <w:p>
      <w:pPr>
        <w:autoSpaceDE w:val="0"/>
        <w:autoSpaceDN w:val="0"/>
        <w:snapToGrid w:val="0"/>
        <w:spacing w:line="480" w:lineRule="exact"/>
        <w:ind w:firstLine="236" w:firstLineChars="100"/>
        <w:rPr>
          <w:rFonts w:eastAsia="方正仿宋_GBK"/>
          <w:snapToGrid w:val="0"/>
          <w:color w:val="000000"/>
          <w:kern w:val="32"/>
          <w:sz w:val="24"/>
        </w:rPr>
      </w:pPr>
      <w:r>
        <w:rPr>
          <w:rFonts w:hint="eastAsia" w:eastAsia="方正仿宋_GBK"/>
          <w:snapToGrid w:val="0"/>
          <w:color w:val="000000"/>
          <w:kern w:val="32"/>
          <w:sz w:val="24"/>
        </w:rPr>
        <w:t>附件</w:t>
      </w:r>
      <w:r>
        <w:rPr>
          <w:rFonts w:eastAsia="方正仿宋_GBK"/>
          <w:snapToGrid w:val="0"/>
          <w:color w:val="000000"/>
          <w:kern w:val="32"/>
          <w:sz w:val="24"/>
        </w:rPr>
        <w:t>:  1.</w:t>
      </w:r>
      <w:r>
        <w:rPr>
          <w:rFonts w:hint="eastAsia" w:eastAsia="方正仿宋_GBK"/>
          <w:snapToGrid w:val="0"/>
          <w:color w:val="000000"/>
          <w:kern w:val="32"/>
          <w:sz w:val="24"/>
        </w:rPr>
        <w:t>相关概念定义</w:t>
      </w:r>
    </w:p>
    <w:p>
      <w:pPr>
        <w:autoSpaceDE w:val="0"/>
        <w:autoSpaceDN w:val="0"/>
        <w:snapToGrid w:val="0"/>
        <w:spacing w:line="480" w:lineRule="exact"/>
        <w:ind w:left="1926" w:leftChars="501" w:hanging="894" w:hangingChars="379"/>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《江苏省房屋建筑和市政基础工程施工招标资格审查办法》</w:t>
      </w:r>
    </w:p>
    <w:p>
      <w:pPr>
        <w:autoSpaceDE w:val="0"/>
        <w:autoSpaceDN w:val="0"/>
        <w:snapToGrid w:val="0"/>
        <w:spacing w:line="480" w:lineRule="exact"/>
        <w:ind w:left="1926" w:leftChars="501" w:hanging="894" w:hangingChars="379"/>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《江苏省房屋建筑和市政基础设施工程施工招标评标办法》</w:t>
      </w:r>
    </w:p>
    <w:p>
      <w:pPr>
        <w:autoSpaceDE w:val="0"/>
        <w:autoSpaceDN w:val="0"/>
        <w:snapToGrid w:val="0"/>
        <w:spacing w:line="480" w:lineRule="exact"/>
        <w:ind w:left="1926" w:leftChars="501" w:hanging="894" w:hangingChars="379"/>
        <w:rPr>
          <w:rFonts w:eastAsia="方正仿宋_GBK"/>
          <w:snapToGrid w:val="0"/>
          <w:color w:val="000000"/>
          <w:kern w:val="0"/>
          <w:sz w:val="24"/>
        </w:rPr>
      </w:pPr>
      <w:r>
        <w:rPr>
          <w:rFonts w:eastAsia="方正仿宋_GBK"/>
          <w:snapToGrid w:val="0"/>
          <w:color w:val="000000"/>
          <w:kern w:val="32"/>
          <w:sz w:val="24"/>
        </w:rPr>
        <w:t>4.</w:t>
      </w:r>
      <w:r>
        <w:rPr>
          <w:rFonts w:hint="eastAsia" w:eastAsia="方正仿宋_GBK"/>
          <w:snapToGrid w:val="0"/>
          <w:color w:val="000000"/>
          <w:kern w:val="32"/>
          <w:sz w:val="24"/>
        </w:rPr>
        <w:t>江苏省房屋建筑和市政基础设施工程施工招标投标部分用表（格式）</w:t>
      </w:r>
      <w:r>
        <w:rPr>
          <w:rFonts w:eastAsia="方正仿宋_GBK"/>
          <w:snapToGrid w:val="0"/>
          <w:color w:val="000000"/>
          <w:kern w:val="32"/>
          <w:sz w:val="24"/>
        </w:rPr>
        <w:t xml:space="preserve"> </w:t>
      </w:r>
    </w:p>
    <w:p>
      <w:pPr>
        <w:tabs>
          <w:tab w:val="left" w:pos="1442"/>
        </w:tabs>
        <w:autoSpaceDE w:val="0"/>
        <w:autoSpaceDN w:val="0"/>
        <w:adjustRightInd w:val="0"/>
        <w:snapToGrid w:val="0"/>
        <w:spacing w:line="480" w:lineRule="exact"/>
        <w:ind w:left="2987" w:leftChars="1450" w:right="103" w:rightChars="50"/>
        <w:jc w:val="center"/>
        <w:rPr>
          <w:rFonts w:eastAsia="方正仿宋_GBK"/>
          <w:snapToGrid w:val="0"/>
          <w:color w:val="000000"/>
          <w:kern w:val="0"/>
          <w:sz w:val="24"/>
        </w:rPr>
      </w:pPr>
    </w:p>
    <w:p>
      <w:pPr>
        <w:tabs>
          <w:tab w:val="left" w:pos="1442"/>
        </w:tabs>
        <w:autoSpaceDE w:val="0"/>
        <w:autoSpaceDN w:val="0"/>
        <w:adjustRightInd w:val="0"/>
        <w:snapToGrid w:val="0"/>
        <w:spacing w:line="480" w:lineRule="exact"/>
        <w:ind w:left="2987" w:leftChars="1450" w:right="103" w:rightChars="50"/>
        <w:jc w:val="center"/>
        <w:rPr>
          <w:rFonts w:eastAsia="方正仿宋_GBK"/>
          <w:snapToGrid w:val="0"/>
          <w:color w:val="000000"/>
          <w:kern w:val="0"/>
          <w:sz w:val="24"/>
        </w:rPr>
      </w:pPr>
      <w:r>
        <w:rPr>
          <w:rFonts w:hint="eastAsia" w:eastAsia="方正仿宋_GBK"/>
          <w:snapToGrid w:val="0"/>
          <w:color w:val="000000"/>
          <w:kern w:val="0"/>
          <w:sz w:val="24"/>
        </w:rPr>
        <w:t>江苏省住房和城乡建设厅</w:t>
      </w:r>
    </w:p>
    <w:p>
      <w:pPr>
        <w:autoSpaceDE w:val="0"/>
        <w:autoSpaceDN w:val="0"/>
        <w:adjustRightInd w:val="0"/>
        <w:snapToGrid w:val="0"/>
        <w:spacing w:line="480" w:lineRule="exact"/>
        <w:ind w:left="2987" w:leftChars="1450" w:right="103" w:rightChars="50"/>
        <w:jc w:val="center"/>
        <w:rPr>
          <w:rFonts w:eastAsia="方正仿宋_GBK"/>
          <w:snapToGrid w:val="0"/>
          <w:color w:val="000000"/>
          <w:kern w:val="0"/>
          <w:sz w:val="24"/>
        </w:rPr>
      </w:pPr>
      <w:r>
        <w:rPr>
          <w:rFonts w:eastAsia="方正仿宋_GBK"/>
          <w:snapToGrid w:val="0"/>
          <w:color w:val="000000"/>
          <w:kern w:val="0"/>
          <w:sz w:val="24"/>
        </w:rPr>
        <w:t>2017</w:t>
      </w:r>
      <w:r>
        <w:rPr>
          <w:rFonts w:hint="eastAsia" w:eastAsia="方正仿宋_GBK"/>
          <w:snapToGrid w:val="0"/>
          <w:color w:val="000000"/>
          <w:kern w:val="0"/>
          <w:sz w:val="24"/>
        </w:rPr>
        <w:t>年</w:t>
      </w:r>
      <w:r>
        <w:rPr>
          <w:rFonts w:eastAsia="方正仿宋_GBK"/>
          <w:snapToGrid w:val="0"/>
          <w:color w:val="000000"/>
          <w:kern w:val="0"/>
          <w:sz w:val="24"/>
        </w:rPr>
        <w:t>##</w:t>
      </w:r>
      <w:r>
        <w:rPr>
          <w:rFonts w:hint="eastAsia" w:eastAsia="方正仿宋_GBK"/>
          <w:snapToGrid w:val="0"/>
          <w:color w:val="000000"/>
          <w:kern w:val="0"/>
          <w:sz w:val="24"/>
        </w:rPr>
        <w:t>月</w:t>
      </w:r>
      <w:r>
        <w:rPr>
          <w:rFonts w:eastAsia="方正仿宋_GBK"/>
          <w:snapToGrid w:val="0"/>
          <w:color w:val="000000"/>
          <w:kern w:val="0"/>
          <w:sz w:val="24"/>
        </w:rPr>
        <w:t>##</w:t>
      </w:r>
      <w:r>
        <w:rPr>
          <w:rFonts w:hint="eastAsia" w:eastAsia="方正仿宋_GBK"/>
          <w:snapToGrid w:val="0"/>
          <w:color w:val="000000"/>
          <w:kern w:val="0"/>
          <w:sz w:val="24"/>
        </w:rPr>
        <w:t>日</w:t>
      </w:r>
    </w:p>
    <w:p>
      <w:pPr>
        <w:autoSpaceDE w:val="0"/>
        <w:autoSpaceDN w:val="0"/>
        <w:snapToGrid w:val="0"/>
        <w:spacing w:line="480" w:lineRule="exact"/>
        <w:ind w:firstLine="624"/>
        <w:rPr>
          <w:rFonts w:eastAsia="方正仿宋_GBK"/>
          <w:snapToGrid w:val="0"/>
          <w:color w:val="000000"/>
          <w:kern w:val="0"/>
          <w:sz w:val="28"/>
          <w:szCs w:val="28"/>
        </w:rPr>
      </w:pPr>
      <w:r>
        <w:rPr>
          <w:rFonts w:hint="eastAsia" w:eastAsia="方正仿宋_GBK"/>
          <w:snapToGrid w:val="0"/>
          <w:color w:val="000000"/>
          <w:kern w:val="0"/>
          <w:sz w:val="24"/>
        </w:rPr>
        <w:t>（此件公开发布）</w:t>
      </w:r>
    </w:p>
    <w:p>
      <w:pPr>
        <w:spacing w:line="570" w:lineRule="exact"/>
        <w:rPr>
          <w:rFonts w:ascii="Times New Roman" w:eastAsia="方正黑体_GBK"/>
          <w:snapToGrid w:val="0"/>
          <w:color w:val="000000"/>
          <w:kern w:val="0"/>
          <w:sz w:val="32"/>
        </w:rPr>
      </w:pPr>
    </w:p>
    <w:p>
      <w:pPr>
        <w:spacing w:line="570" w:lineRule="exact"/>
        <w:rPr>
          <w:rFonts w:hint="eastAsia" w:ascii="Times New Roman" w:eastAsia="方正黑体_GBK"/>
          <w:snapToGrid w:val="0"/>
          <w:color w:val="000000"/>
          <w:kern w:val="0"/>
          <w:sz w:val="32"/>
        </w:rPr>
      </w:pPr>
    </w:p>
    <w:p>
      <w:pPr>
        <w:spacing w:line="570" w:lineRule="exact"/>
        <w:rPr>
          <w:rFonts w:hint="eastAsia" w:ascii="Times New Roman" w:eastAsia="方正黑体_GBK"/>
          <w:snapToGrid w:val="0"/>
          <w:color w:val="000000"/>
          <w:kern w:val="0"/>
          <w:sz w:val="32"/>
        </w:rPr>
      </w:pPr>
    </w:p>
    <w:p>
      <w:pPr>
        <w:spacing w:line="570" w:lineRule="exact"/>
        <w:rPr>
          <w:rFonts w:hint="eastAsia" w:ascii="Times New Roman" w:eastAsia="方正黑体_GBK"/>
          <w:snapToGrid w:val="0"/>
          <w:color w:val="000000"/>
          <w:kern w:val="0"/>
          <w:sz w:val="32"/>
        </w:rPr>
      </w:pPr>
    </w:p>
    <w:p>
      <w:pPr>
        <w:spacing w:line="570" w:lineRule="exact"/>
        <w:rPr>
          <w:rFonts w:hint="eastAsia" w:ascii="Times New Roman" w:eastAsia="方正黑体_GBK"/>
          <w:snapToGrid w:val="0"/>
          <w:color w:val="000000"/>
          <w:kern w:val="0"/>
          <w:sz w:val="32"/>
        </w:rPr>
      </w:pPr>
    </w:p>
    <w:p>
      <w:pPr>
        <w:spacing w:line="570" w:lineRule="exact"/>
        <w:rPr>
          <w:rFonts w:hint="eastAsia" w:ascii="Times New Roman" w:eastAsia="方正黑体_GBK"/>
          <w:snapToGrid w:val="0"/>
          <w:color w:val="000000"/>
          <w:kern w:val="0"/>
          <w:sz w:val="32"/>
        </w:rPr>
      </w:pPr>
    </w:p>
    <w:p>
      <w:pPr>
        <w:spacing w:line="570" w:lineRule="exact"/>
        <w:rPr>
          <w:rFonts w:hint="eastAsia" w:ascii="Times New Roman" w:eastAsia="方正黑体_GBK"/>
          <w:snapToGrid w:val="0"/>
          <w:color w:val="000000"/>
          <w:kern w:val="0"/>
          <w:sz w:val="32"/>
        </w:rPr>
      </w:pPr>
    </w:p>
    <w:p>
      <w:pPr>
        <w:spacing w:line="570" w:lineRule="exact"/>
        <w:rPr>
          <w:rFonts w:hint="eastAsia" w:ascii="Times New Roman" w:eastAsia="方正黑体_GBK"/>
          <w:snapToGrid w:val="0"/>
          <w:color w:val="000000"/>
          <w:kern w:val="0"/>
          <w:sz w:val="32"/>
        </w:rPr>
      </w:pPr>
      <w:r>
        <w:rPr>
          <w:rFonts w:hint="eastAsia" w:ascii="Times New Roman" w:eastAsia="方正黑体_GBK"/>
          <w:snapToGrid w:val="0"/>
          <w:color w:val="000000"/>
          <w:kern w:val="0"/>
          <w:sz w:val="32"/>
        </w:rPr>
        <w:br w:type="column"/>
      </w:r>
      <w:r>
        <w:rPr>
          <w:rFonts w:hint="eastAsia" w:ascii="Times New Roman" w:eastAsia="方正黑体_GBK"/>
          <w:snapToGrid w:val="0"/>
          <w:color w:val="000000"/>
          <w:kern w:val="0"/>
          <w:sz w:val="32"/>
        </w:rPr>
        <w:t>附件1</w:t>
      </w:r>
    </w:p>
    <w:p>
      <w:pPr>
        <w:tabs>
          <w:tab w:val="left" w:pos="0"/>
        </w:tabs>
        <w:spacing w:line="540" w:lineRule="exact"/>
        <w:ind w:right="-36"/>
        <w:rPr>
          <w:rFonts w:hint="eastAsia" w:ascii="Times New Roman" w:hAnsi="Times New Roman" w:eastAsia="方正仿宋_GBK" w:cs="宋体"/>
          <w:b/>
          <w:color w:val="000000"/>
          <w:kern w:val="0"/>
          <w:sz w:val="28"/>
          <w:szCs w:val="28"/>
        </w:rPr>
      </w:pPr>
    </w:p>
    <w:p>
      <w:pPr>
        <w:spacing w:line="570" w:lineRule="exact"/>
        <w:jc w:val="center"/>
        <w:rPr>
          <w:rFonts w:hint="eastAsia" w:ascii="Times New Roman" w:eastAsia="方正小标宋_GBK"/>
          <w:snapToGrid w:val="0"/>
          <w:color w:val="000000"/>
          <w:kern w:val="0"/>
          <w:sz w:val="44"/>
          <w:szCs w:val="44"/>
        </w:rPr>
      </w:pPr>
      <w:r>
        <w:rPr>
          <w:rFonts w:hint="eastAsia" w:ascii="Times New Roman" w:eastAsia="方正小标宋_GBK"/>
          <w:snapToGrid w:val="0"/>
          <w:color w:val="000000"/>
          <w:kern w:val="0"/>
          <w:sz w:val="44"/>
          <w:szCs w:val="44"/>
        </w:rPr>
        <w:t>相关概念定义</w:t>
      </w:r>
    </w:p>
    <w:p>
      <w:pPr>
        <w:tabs>
          <w:tab w:val="left" w:pos="0"/>
        </w:tabs>
        <w:spacing w:line="540" w:lineRule="exact"/>
        <w:ind w:right="-36"/>
        <w:jc w:val="center"/>
        <w:rPr>
          <w:rFonts w:hint="eastAsia" w:eastAsia="方正仿宋_GBK"/>
          <w:snapToGrid w:val="0"/>
          <w:color w:val="000000"/>
          <w:kern w:val="32"/>
          <w:sz w:val="32"/>
        </w:rPr>
      </w:pPr>
    </w:p>
    <w:p>
      <w:pPr>
        <w:tabs>
          <w:tab w:val="left" w:pos="0"/>
        </w:tabs>
        <w:spacing w:line="480" w:lineRule="exact"/>
        <w:ind w:right="-34" w:firstLine="476" w:firstLineChars="202"/>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、工程分类</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特大型工程是指施工单项合同估算价在</w:t>
      </w:r>
      <w:r>
        <w:rPr>
          <w:rFonts w:eastAsia="方正仿宋_GBK"/>
          <w:snapToGrid w:val="0"/>
          <w:color w:val="000000"/>
          <w:kern w:val="32"/>
          <w:sz w:val="24"/>
        </w:rPr>
        <w:t>10000</w:t>
      </w:r>
      <w:r>
        <w:rPr>
          <w:rFonts w:hint="eastAsia" w:eastAsia="方正仿宋_GBK"/>
          <w:snapToGrid w:val="0"/>
          <w:color w:val="000000"/>
          <w:kern w:val="32"/>
          <w:sz w:val="24"/>
        </w:rPr>
        <w:t>万元以上的房屋建筑和市政基础设施总承包工程，单项合同估算价在</w:t>
      </w:r>
      <w:r>
        <w:rPr>
          <w:rFonts w:eastAsia="方正仿宋_GBK"/>
          <w:snapToGrid w:val="0"/>
          <w:color w:val="000000"/>
          <w:kern w:val="32"/>
          <w:sz w:val="24"/>
        </w:rPr>
        <w:t>5000</w:t>
      </w:r>
      <w:r>
        <w:rPr>
          <w:rFonts w:hint="eastAsia" w:eastAsia="方正仿宋_GBK"/>
          <w:snapToGrid w:val="0"/>
          <w:color w:val="000000"/>
          <w:kern w:val="32"/>
          <w:sz w:val="24"/>
        </w:rPr>
        <w:t>万元以上的装饰装修、安装、钢结构、幕墙工程，单项合同估算价在</w:t>
      </w:r>
      <w:r>
        <w:rPr>
          <w:rFonts w:eastAsia="方正仿宋_GBK"/>
          <w:snapToGrid w:val="0"/>
          <w:color w:val="000000"/>
          <w:kern w:val="32"/>
          <w:sz w:val="24"/>
        </w:rPr>
        <w:t>2000</w:t>
      </w:r>
      <w:r>
        <w:rPr>
          <w:rFonts w:hint="eastAsia" w:eastAsia="方正仿宋_GBK"/>
          <w:snapToGrid w:val="0"/>
          <w:color w:val="000000"/>
          <w:kern w:val="32"/>
          <w:sz w:val="24"/>
        </w:rPr>
        <w:t>万元以上的智能化、土石方、桩基、基坑支护、园林绿化等专业工程。</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大型工程是指施工单项合同估算价在</w:t>
      </w:r>
      <w:r>
        <w:rPr>
          <w:rFonts w:eastAsia="方正仿宋_GBK"/>
          <w:snapToGrid w:val="0"/>
          <w:color w:val="000000"/>
          <w:kern w:val="32"/>
          <w:sz w:val="24"/>
        </w:rPr>
        <w:t>5000</w:t>
      </w:r>
      <w:r>
        <w:rPr>
          <w:rFonts w:hint="eastAsia" w:eastAsia="方正仿宋_GBK"/>
          <w:snapToGrid w:val="0"/>
          <w:color w:val="000000"/>
          <w:kern w:val="32"/>
          <w:sz w:val="24"/>
        </w:rPr>
        <w:t>万元</w:t>
      </w:r>
      <w:r>
        <w:rPr>
          <w:rFonts w:eastAsia="方正仿宋_GBK"/>
          <w:snapToGrid w:val="0"/>
          <w:color w:val="000000"/>
          <w:kern w:val="32"/>
          <w:sz w:val="24"/>
        </w:rPr>
        <w:t>-10000</w:t>
      </w:r>
      <w:r>
        <w:rPr>
          <w:rFonts w:hint="eastAsia" w:eastAsia="方正仿宋_GBK"/>
          <w:snapToGrid w:val="0"/>
          <w:color w:val="000000"/>
          <w:kern w:val="32"/>
          <w:sz w:val="24"/>
        </w:rPr>
        <w:t>万元的房屋建筑和市政基础设施总承包工程，单项合同估算价在</w:t>
      </w:r>
      <w:r>
        <w:rPr>
          <w:rFonts w:eastAsia="方正仿宋_GBK"/>
          <w:snapToGrid w:val="0"/>
          <w:color w:val="000000"/>
          <w:kern w:val="32"/>
          <w:sz w:val="24"/>
        </w:rPr>
        <w:t>2000</w:t>
      </w:r>
      <w:r>
        <w:rPr>
          <w:rFonts w:hint="eastAsia" w:eastAsia="方正仿宋_GBK"/>
          <w:snapToGrid w:val="0"/>
          <w:color w:val="000000"/>
          <w:kern w:val="32"/>
          <w:sz w:val="24"/>
        </w:rPr>
        <w:t>万元</w:t>
      </w:r>
      <w:r>
        <w:rPr>
          <w:rFonts w:eastAsia="方正仿宋_GBK"/>
          <w:snapToGrid w:val="0"/>
          <w:color w:val="000000"/>
          <w:kern w:val="32"/>
          <w:sz w:val="24"/>
        </w:rPr>
        <w:t>-5000</w:t>
      </w:r>
      <w:r>
        <w:rPr>
          <w:rFonts w:hint="eastAsia" w:eastAsia="方正仿宋_GBK"/>
          <w:snapToGrid w:val="0"/>
          <w:color w:val="000000"/>
          <w:kern w:val="32"/>
          <w:sz w:val="24"/>
        </w:rPr>
        <w:t>万元的装饰装修、安装、钢结构、幕墙工程，单项合同估算价在</w:t>
      </w:r>
      <w:r>
        <w:rPr>
          <w:rFonts w:eastAsia="方正仿宋_GBK"/>
          <w:snapToGrid w:val="0"/>
          <w:color w:val="000000"/>
          <w:kern w:val="32"/>
          <w:sz w:val="24"/>
        </w:rPr>
        <w:t>1000</w:t>
      </w:r>
      <w:r>
        <w:rPr>
          <w:rFonts w:hint="eastAsia" w:eastAsia="方正仿宋_GBK"/>
          <w:snapToGrid w:val="0"/>
          <w:color w:val="000000"/>
          <w:kern w:val="32"/>
          <w:sz w:val="24"/>
        </w:rPr>
        <w:t>万元</w:t>
      </w:r>
      <w:r>
        <w:rPr>
          <w:rFonts w:eastAsia="方正仿宋_GBK"/>
          <w:snapToGrid w:val="0"/>
          <w:color w:val="000000"/>
          <w:kern w:val="32"/>
          <w:sz w:val="24"/>
        </w:rPr>
        <w:t>-2000</w:t>
      </w:r>
      <w:r>
        <w:rPr>
          <w:rFonts w:hint="eastAsia" w:eastAsia="方正仿宋_GBK"/>
          <w:snapToGrid w:val="0"/>
          <w:color w:val="000000"/>
          <w:kern w:val="32"/>
          <w:sz w:val="24"/>
        </w:rPr>
        <w:t>万元的智能化、土石方、桩基、基坑支护、园林绿化等专业工程。</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中型工程是指施工单项合同估算价在</w:t>
      </w:r>
      <w:r>
        <w:rPr>
          <w:rFonts w:eastAsia="方正仿宋_GBK"/>
          <w:snapToGrid w:val="0"/>
          <w:color w:val="000000"/>
          <w:kern w:val="32"/>
          <w:sz w:val="24"/>
        </w:rPr>
        <w:t>1000</w:t>
      </w:r>
      <w:r>
        <w:rPr>
          <w:rFonts w:hint="eastAsia" w:eastAsia="方正仿宋_GBK"/>
          <w:snapToGrid w:val="0"/>
          <w:color w:val="000000"/>
          <w:kern w:val="32"/>
          <w:sz w:val="24"/>
        </w:rPr>
        <w:t>万元</w:t>
      </w:r>
      <w:r>
        <w:rPr>
          <w:rFonts w:eastAsia="方正仿宋_GBK"/>
          <w:snapToGrid w:val="0"/>
          <w:color w:val="000000"/>
          <w:kern w:val="32"/>
          <w:sz w:val="24"/>
        </w:rPr>
        <w:t>-5000</w:t>
      </w:r>
      <w:r>
        <w:rPr>
          <w:rFonts w:hint="eastAsia" w:eastAsia="方正仿宋_GBK"/>
          <w:snapToGrid w:val="0"/>
          <w:color w:val="000000"/>
          <w:kern w:val="32"/>
          <w:sz w:val="24"/>
        </w:rPr>
        <w:t>万元的房屋建筑和市政基础设施总承包工程，单项合同估算价在</w:t>
      </w:r>
      <w:r>
        <w:rPr>
          <w:rFonts w:eastAsia="方正仿宋_GBK"/>
          <w:snapToGrid w:val="0"/>
          <w:color w:val="000000"/>
          <w:kern w:val="32"/>
          <w:sz w:val="24"/>
        </w:rPr>
        <w:t>500</w:t>
      </w:r>
      <w:r>
        <w:rPr>
          <w:rFonts w:hint="eastAsia" w:eastAsia="方正仿宋_GBK"/>
          <w:snapToGrid w:val="0"/>
          <w:color w:val="000000"/>
          <w:kern w:val="32"/>
          <w:sz w:val="24"/>
        </w:rPr>
        <w:t>万元</w:t>
      </w:r>
      <w:r>
        <w:rPr>
          <w:rFonts w:eastAsia="方正仿宋_GBK"/>
          <w:snapToGrid w:val="0"/>
          <w:color w:val="000000"/>
          <w:kern w:val="32"/>
          <w:sz w:val="24"/>
        </w:rPr>
        <w:t>-2000</w:t>
      </w:r>
      <w:r>
        <w:rPr>
          <w:rFonts w:hint="eastAsia" w:eastAsia="方正仿宋_GBK"/>
          <w:snapToGrid w:val="0"/>
          <w:color w:val="000000"/>
          <w:kern w:val="32"/>
          <w:sz w:val="24"/>
        </w:rPr>
        <w:t>万元的装饰装修、安装、钢结构、幕墙工程，单项合同估算价在</w:t>
      </w:r>
      <w:r>
        <w:rPr>
          <w:rFonts w:eastAsia="方正仿宋_GBK"/>
          <w:snapToGrid w:val="0"/>
          <w:color w:val="000000"/>
          <w:kern w:val="32"/>
          <w:sz w:val="24"/>
        </w:rPr>
        <w:t>300</w:t>
      </w:r>
      <w:r>
        <w:rPr>
          <w:rFonts w:hint="eastAsia" w:eastAsia="方正仿宋_GBK"/>
          <w:snapToGrid w:val="0"/>
          <w:color w:val="000000"/>
          <w:kern w:val="32"/>
          <w:sz w:val="24"/>
        </w:rPr>
        <w:t>万元</w:t>
      </w:r>
      <w:r>
        <w:rPr>
          <w:rFonts w:eastAsia="方正仿宋_GBK"/>
          <w:snapToGrid w:val="0"/>
          <w:color w:val="000000"/>
          <w:kern w:val="32"/>
          <w:sz w:val="24"/>
        </w:rPr>
        <w:t>-1000</w:t>
      </w:r>
      <w:r>
        <w:rPr>
          <w:rFonts w:hint="eastAsia" w:eastAsia="方正仿宋_GBK"/>
          <w:snapToGrid w:val="0"/>
          <w:color w:val="000000"/>
          <w:kern w:val="32"/>
          <w:sz w:val="24"/>
        </w:rPr>
        <w:t>万元的智能化、土石方、桩基、基坑支护、园林绿化等专业工程。</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小型工程是指中型规模以下工程。各省辖市建设行政主管部门可以根据当地实际，对上述规模进行适当调整。</w:t>
      </w:r>
    </w:p>
    <w:p>
      <w:pPr>
        <w:tabs>
          <w:tab w:val="left" w:pos="0"/>
        </w:tabs>
        <w:spacing w:line="480" w:lineRule="exact"/>
        <w:ind w:right="-34" w:firstLine="476" w:firstLineChars="202"/>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、技术复杂工程</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1</w:t>
      </w:r>
      <w:r>
        <w:rPr>
          <w:rFonts w:hint="eastAsia" w:eastAsia="方正仿宋_GBK"/>
          <w:snapToGrid w:val="0"/>
          <w:color w:val="000000"/>
          <w:kern w:val="32"/>
          <w:sz w:val="24"/>
        </w:rPr>
        <w:t>）房屋建筑：建筑高度</w:t>
      </w:r>
      <w:r>
        <w:rPr>
          <w:rFonts w:eastAsia="方正仿宋_GBK"/>
          <w:snapToGrid w:val="0"/>
          <w:color w:val="000000"/>
          <w:kern w:val="32"/>
          <w:sz w:val="24"/>
        </w:rPr>
        <w:t>100</w:t>
      </w:r>
      <w:r>
        <w:rPr>
          <w:rFonts w:hint="eastAsia" w:eastAsia="方正仿宋_GBK"/>
          <w:snapToGrid w:val="0"/>
          <w:color w:val="000000"/>
          <w:kern w:val="32"/>
          <w:sz w:val="24"/>
        </w:rPr>
        <w:t>米以上、单跨跨度</w:t>
      </w:r>
      <w:r>
        <w:rPr>
          <w:rFonts w:eastAsia="方正仿宋_GBK"/>
          <w:snapToGrid w:val="0"/>
          <w:color w:val="000000"/>
          <w:kern w:val="32"/>
          <w:sz w:val="24"/>
        </w:rPr>
        <w:t>39</w:t>
      </w:r>
      <w:r>
        <w:rPr>
          <w:rFonts w:hint="eastAsia" w:eastAsia="方正仿宋_GBK"/>
          <w:snapToGrid w:val="0"/>
          <w:color w:val="000000"/>
          <w:kern w:val="32"/>
          <w:sz w:val="24"/>
        </w:rPr>
        <w:t>米以上或者单体建筑面积</w:t>
      </w:r>
      <w:r>
        <w:rPr>
          <w:rFonts w:eastAsia="方正仿宋_GBK"/>
          <w:snapToGrid w:val="0"/>
          <w:color w:val="000000"/>
          <w:kern w:val="32"/>
          <w:sz w:val="24"/>
        </w:rPr>
        <w:t>10</w:t>
      </w:r>
      <w:r>
        <w:rPr>
          <w:rFonts w:hint="eastAsia" w:eastAsia="方正仿宋_GBK"/>
          <w:snapToGrid w:val="0"/>
          <w:color w:val="000000"/>
          <w:kern w:val="32"/>
          <w:sz w:val="24"/>
        </w:rPr>
        <w:t>万平米以上建筑物；</w:t>
      </w:r>
      <w:r>
        <w:rPr>
          <w:rFonts w:eastAsia="方正仿宋_GBK"/>
          <w:snapToGrid w:val="0"/>
          <w:color w:val="000000"/>
          <w:kern w:val="32"/>
          <w:sz w:val="24"/>
        </w:rPr>
        <w:t>75</w:t>
      </w:r>
      <w:r>
        <w:rPr>
          <w:rFonts w:hint="eastAsia" w:eastAsia="方正仿宋_GBK"/>
          <w:snapToGrid w:val="0"/>
          <w:color w:val="000000"/>
          <w:kern w:val="32"/>
          <w:sz w:val="24"/>
        </w:rPr>
        <w:t>米以上大跨度钢结构工程；高度</w:t>
      </w:r>
      <w:r>
        <w:rPr>
          <w:rFonts w:eastAsia="方正仿宋_GBK"/>
          <w:snapToGrid w:val="0"/>
          <w:color w:val="000000"/>
          <w:kern w:val="32"/>
          <w:sz w:val="24"/>
        </w:rPr>
        <w:t xml:space="preserve">120 </w:t>
      </w:r>
      <w:r>
        <w:rPr>
          <w:rFonts w:hint="eastAsia" w:eastAsia="方正仿宋_GBK"/>
          <w:snapToGrid w:val="0"/>
          <w:color w:val="000000"/>
          <w:kern w:val="32"/>
          <w:sz w:val="24"/>
        </w:rPr>
        <w:t>米以上的高耸构筑物；深度或者高度</w:t>
      </w:r>
      <w:r>
        <w:rPr>
          <w:rFonts w:eastAsia="方正仿宋_GBK"/>
          <w:snapToGrid w:val="0"/>
          <w:color w:val="000000"/>
          <w:kern w:val="32"/>
          <w:sz w:val="24"/>
        </w:rPr>
        <w:t>10</w:t>
      </w:r>
      <w:r>
        <w:rPr>
          <w:rFonts w:hint="eastAsia" w:eastAsia="方正仿宋_GBK"/>
          <w:snapToGrid w:val="0"/>
          <w:color w:val="000000"/>
          <w:kern w:val="32"/>
          <w:sz w:val="24"/>
        </w:rPr>
        <w:t>米以上的深基坑或者边坡支护（局部开挖面积不一致的，超过</w:t>
      </w:r>
      <w:r>
        <w:rPr>
          <w:rFonts w:eastAsia="方正仿宋_GBK"/>
          <w:snapToGrid w:val="0"/>
          <w:color w:val="000000"/>
          <w:kern w:val="32"/>
          <w:sz w:val="24"/>
        </w:rPr>
        <w:t>10</w:t>
      </w:r>
      <w:r>
        <w:rPr>
          <w:rFonts w:hint="eastAsia" w:eastAsia="方正仿宋_GBK"/>
          <w:snapToGrid w:val="0"/>
          <w:color w:val="000000"/>
          <w:kern w:val="32"/>
          <w:sz w:val="24"/>
        </w:rPr>
        <w:t>米深度的基坑面积须超过基坑总开挖面积的</w:t>
      </w:r>
      <w:r>
        <w:rPr>
          <w:rFonts w:eastAsia="方正仿宋_GBK"/>
          <w:snapToGrid w:val="0"/>
          <w:color w:val="000000"/>
          <w:kern w:val="32"/>
          <w:sz w:val="24"/>
        </w:rPr>
        <w:t>50%</w:t>
      </w:r>
      <w:r>
        <w:rPr>
          <w:rFonts w:hint="eastAsia" w:eastAsia="方正仿宋_GBK"/>
          <w:snapToGrid w:val="0"/>
          <w:color w:val="000000"/>
          <w:kern w:val="32"/>
          <w:sz w:val="24"/>
        </w:rPr>
        <w:t>以上）工程；按五星及以上标准设计的宾馆；大型仿古建筑（单体面积</w:t>
      </w:r>
      <w:r>
        <w:rPr>
          <w:rFonts w:eastAsia="方正仿宋_GBK"/>
          <w:snapToGrid w:val="0"/>
          <w:color w:val="000000"/>
          <w:kern w:val="32"/>
          <w:sz w:val="24"/>
        </w:rPr>
        <w:t>1000</w:t>
      </w:r>
      <w:r>
        <w:rPr>
          <w:rFonts w:hint="eastAsia" w:eastAsia="方正仿宋_GBK"/>
          <w:snapToGrid w:val="0"/>
          <w:color w:val="000000"/>
          <w:kern w:val="32"/>
          <w:sz w:val="24"/>
        </w:rPr>
        <w:t>平米以上）；音乐厅、博物馆、体育场馆、影剧院、候机楼、会展中心等大型公共建筑工程；采用装配式等新型技术建设的房屋建筑。</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2</w:t>
      </w:r>
      <w:r>
        <w:rPr>
          <w:rFonts w:hint="eastAsia" w:eastAsia="方正仿宋_GBK"/>
          <w:snapToGrid w:val="0"/>
          <w:color w:val="000000"/>
          <w:kern w:val="32"/>
          <w:sz w:val="24"/>
        </w:rPr>
        <w:t>）市政工程：断面面积超过</w:t>
      </w:r>
      <w:r>
        <w:rPr>
          <w:rFonts w:eastAsia="方正仿宋_GBK"/>
          <w:snapToGrid w:val="0"/>
          <w:color w:val="000000"/>
          <w:kern w:val="32"/>
          <w:sz w:val="24"/>
        </w:rPr>
        <w:t>25</w:t>
      </w:r>
      <w:r>
        <w:rPr>
          <w:rFonts w:hint="eastAsia" w:eastAsia="方正仿宋_GBK"/>
          <w:snapToGrid w:val="0"/>
          <w:color w:val="000000"/>
          <w:kern w:val="32"/>
          <w:sz w:val="24"/>
        </w:rPr>
        <w:t>平米以上或单洞长度</w:t>
      </w:r>
      <w:r>
        <w:rPr>
          <w:rFonts w:eastAsia="方正仿宋_GBK"/>
          <w:snapToGrid w:val="0"/>
          <w:color w:val="000000"/>
          <w:kern w:val="32"/>
          <w:sz w:val="24"/>
        </w:rPr>
        <w:t>1000</w:t>
      </w:r>
      <w:r>
        <w:rPr>
          <w:rFonts w:hint="eastAsia" w:eastAsia="方正仿宋_GBK"/>
          <w:snapToGrid w:val="0"/>
          <w:color w:val="000000"/>
          <w:kern w:val="32"/>
          <w:sz w:val="24"/>
        </w:rPr>
        <w:t>米以上的隧道工程、单跨</w:t>
      </w:r>
      <w:r>
        <w:rPr>
          <w:rFonts w:eastAsia="方正仿宋_GBK"/>
          <w:snapToGrid w:val="0"/>
          <w:color w:val="000000"/>
          <w:kern w:val="32"/>
          <w:sz w:val="24"/>
        </w:rPr>
        <w:t>45</w:t>
      </w:r>
      <w:r>
        <w:rPr>
          <w:rFonts w:hint="eastAsia" w:eastAsia="方正仿宋_GBK"/>
          <w:snapToGrid w:val="0"/>
          <w:color w:val="000000"/>
          <w:kern w:val="32"/>
          <w:sz w:val="24"/>
        </w:rPr>
        <w:t>米以上的城市桥梁、直径２米以上的大口径顶管工程、</w:t>
      </w:r>
      <w:r>
        <w:rPr>
          <w:rFonts w:eastAsia="方正仿宋_GBK"/>
          <w:snapToGrid w:val="0"/>
          <w:color w:val="000000"/>
          <w:kern w:val="32"/>
          <w:sz w:val="24"/>
        </w:rPr>
        <w:t>15</w:t>
      </w:r>
      <w:r>
        <w:rPr>
          <w:rFonts w:hint="eastAsia" w:eastAsia="方正仿宋_GBK"/>
          <w:snapToGrid w:val="0"/>
          <w:color w:val="000000"/>
          <w:kern w:val="32"/>
          <w:sz w:val="24"/>
        </w:rPr>
        <w:t>万吨</w:t>
      </w:r>
      <w:r>
        <w:rPr>
          <w:rFonts w:eastAsia="方正仿宋_GBK"/>
          <w:snapToGrid w:val="0"/>
          <w:color w:val="000000"/>
          <w:kern w:val="32"/>
          <w:sz w:val="24"/>
        </w:rPr>
        <w:t>/</w:t>
      </w:r>
      <w:r>
        <w:rPr>
          <w:rFonts w:hint="eastAsia" w:eastAsia="方正仿宋_GBK"/>
          <w:snapToGrid w:val="0"/>
          <w:color w:val="000000"/>
          <w:kern w:val="32"/>
          <w:sz w:val="24"/>
        </w:rPr>
        <w:t>日以上污水泵站或雨水泵站、</w:t>
      </w:r>
      <w:r>
        <w:rPr>
          <w:rFonts w:eastAsia="方正仿宋_GBK"/>
          <w:snapToGrid w:val="0"/>
          <w:color w:val="000000"/>
          <w:kern w:val="32"/>
          <w:sz w:val="24"/>
        </w:rPr>
        <w:t xml:space="preserve">25 </w:t>
      </w:r>
      <w:r>
        <w:rPr>
          <w:rFonts w:hint="eastAsia" w:eastAsia="方正仿宋_GBK"/>
          <w:snapToGrid w:val="0"/>
          <w:color w:val="000000"/>
          <w:kern w:val="32"/>
          <w:sz w:val="24"/>
        </w:rPr>
        <w:t>万吨</w:t>
      </w:r>
      <w:r>
        <w:rPr>
          <w:rFonts w:eastAsia="方正仿宋_GBK"/>
          <w:snapToGrid w:val="0"/>
          <w:color w:val="000000"/>
          <w:kern w:val="32"/>
          <w:sz w:val="24"/>
        </w:rPr>
        <w:t>/</w:t>
      </w:r>
      <w:r>
        <w:rPr>
          <w:rFonts w:hint="eastAsia" w:eastAsia="方正仿宋_GBK"/>
          <w:snapToGrid w:val="0"/>
          <w:color w:val="000000"/>
          <w:kern w:val="32"/>
          <w:sz w:val="24"/>
        </w:rPr>
        <w:t>日以上的给水泵站、垃圾处理场、高压或者次高压天然气场站及管线工程、液化天然气（</w:t>
      </w:r>
      <w:r>
        <w:rPr>
          <w:rFonts w:eastAsia="方正仿宋_GBK"/>
          <w:snapToGrid w:val="0"/>
          <w:color w:val="000000"/>
          <w:kern w:val="32"/>
          <w:sz w:val="24"/>
        </w:rPr>
        <w:t>LNG</w:t>
      </w:r>
      <w:r>
        <w:rPr>
          <w:rFonts w:hint="eastAsia" w:eastAsia="方正仿宋_GBK"/>
          <w:snapToGrid w:val="0"/>
          <w:color w:val="000000"/>
          <w:kern w:val="32"/>
          <w:sz w:val="24"/>
        </w:rPr>
        <w:t>）储罐项目、长距离输水隧洞、综合管廊、深度或者高度</w:t>
      </w:r>
      <w:r>
        <w:rPr>
          <w:rFonts w:eastAsia="方正仿宋_GBK"/>
          <w:snapToGrid w:val="0"/>
          <w:color w:val="000000"/>
          <w:kern w:val="32"/>
          <w:sz w:val="24"/>
        </w:rPr>
        <w:t>10</w:t>
      </w:r>
      <w:r>
        <w:rPr>
          <w:rFonts w:hint="eastAsia" w:eastAsia="方正仿宋_GBK"/>
          <w:snapToGrid w:val="0"/>
          <w:color w:val="000000"/>
          <w:kern w:val="32"/>
          <w:sz w:val="24"/>
        </w:rPr>
        <w:t>米以上的深基坑或者边坡支护（局部开挖面积不一致的，超过</w:t>
      </w:r>
      <w:r>
        <w:rPr>
          <w:rFonts w:eastAsia="方正仿宋_GBK"/>
          <w:snapToGrid w:val="0"/>
          <w:color w:val="000000"/>
          <w:kern w:val="32"/>
          <w:sz w:val="24"/>
        </w:rPr>
        <w:t>10</w:t>
      </w:r>
      <w:r>
        <w:rPr>
          <w:rFonts w:hint="eastAsia" w:eastAsia="方正仿宋_GBK"/>
          <w:snapToGrid w:val="0"/>
          <w:color w:val="000000"/>
          <w:kern w:val="32"/>
          <w:sz w:val="24"/>
        </w:rPr>
        <w:t>米深度的基坑面积须超过基坑总开挖面积的</w:t>
      </w:r>
      <w:r>
        <w:rPr>
          <w:rFonts w:eastAsia="方正仿宋_GBK"/>
          <w:snapToGrid w:val="0"/>
          <w:color w:val="000000"/>
          <w:kern w:val="32"/>
          <w:sz w:val="24"/>
        </w:rPr>
        <w:t>50%</w:t>
      </w:r>
      <w:r>
        <w:rPr>
          <w:rFonts w:hint="eastAsia" w:eastAsia="方正仿宋_GBK"/>
          <w:snapToGrid w:val="0"/>
          <w:color w:val="000000"/>
          <w:kern w:val="32"/>
          <w:sz w:val="24"/>
        </w:rPr>
        <w:t>以上）。</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3</w:t>
      </w:r>
      <w:r>
        <w:rPr>
          <w:rFonts w:hint="eastAsia" w:eastAsia="方正仿宋_GBK"/>
          <w:snapToGrid w:val="0"/>
          <w:color w:val="000000"/>
          <w:kern w:val="32"/>
          <w:sz w:val="24"/>
        </w:rPr>
        <w:t>）轨道交通区间车站主体、轨道铺设、监控信号安装、智能化等有特殊专业要求的工程。</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4</w:t>
      </w:r>
      <w:r>
        <w:rPr>
          <w:rFonts w:hint="eastAsia" w:eastAsia="方正仿宋_GBK"/>
          <w:snapToGrid w:val="0"/>
          <w:color w:val="000000"/>
          <w:kern w:val="32"/>
          <w:sz w:val="24"/>
        </w:rPr>
        <w:t>）施工有特殊要求或者采用新技术的各类实验（检验）室工程。</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5</w:t>
      </w:r>
      <w:r>
        <w:rPr>
          <w:rFonts w:hint="eastAsia" w:eastAsia="方正仿宋_GBK"/>
          <w:snapToGrid w:val="0"/>
          <w:color w:val="000000"/>
          <w:kern w:val="32"/>
          <w:sz w:val="24"/>
        </w:rPr>
        <w:t>）其他有特殊专业技术要求的工程。如：采用曲面幕墙、爆破拆除、建筑物平移、金库、大型建筑物的抗震加固工程、大型网架工程等，以及经</w:t>
      </w:r>
      <w:r>
        <w:rPr>
          <w:rFonts w:eastAsia="方正仿宋_GBK"/>
          <w:snapToGrid w:val="0"/>
          <w:color w:val="000000"/>
          <w:kern w:val="32"/>
          <w:sz w:val="24"/>
        </w:rPr>
        <w:t>5</w:t>
      </w:r>
      <w:r>
        <w:rPr>
          <w:rFonts w:hint="eastAsia" w:eastAsia="方正仿宋_GBK"/>
          <w:snapToGrid w:val="0"/>
          <w:color w:val="000000"/>
          <w:kern w:val="32"/>
          <w:sz w:val="24"/>
        </w:rPr>
        <w:t>名以上专家论证确定的其他有特殊专业技术要求的工程。</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上述“工程分类”、“技术复杂工程”仅用于招投标环节，“技术复杂工程”指标段特征符合上述规定；其表述“以上”均包括本数。</w:t>
      </w:r>
    </w:p>
    <w:p>
      <w:pPr>
        <w:tabs>
          <w:tab w:val="left" w:pos="0"/>
        </w:tabs>
        <w:spacing w:line="480" w:lineRule="exact"/>
        <w:ind w:right="-34" w:firstLine="476" w:firstLineChars="202"/>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、类似工程</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类似工程是指项目在高度、面积、造价、层次、跨度、结构形式、施工工艺、特殊施工技术等量化指标与招标工程相类似。</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设置同类工程业绩应当符合下列规定</w:t>
      </w:r>
      <w:r>
        <w:rPr>
          <w:rFonts w:eastAsia="方正仿宋_GBK"/>
          <w:snapToGrid w:val="0"/>
          <w:color w:val="000000"/>
          <w:kern w:val="32"/>
          <w:sz w:val="24"/>
        </w:rPr>
        <w:t>:</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1</w:t>
      </w:r>
      <w:r>
        <w:rPr>
          <w:rFonts w:hint="eastAsia" w:eastAsia="方正仿宋_GBK"/>
          <w:snapToGrid w:val="0"/>
          <w:color w:val="000000"/>
          <w:kern w:val="32"/>
          <w:sz w:val="24"/>
        </w:rPr>
        <w:t>）一般只能设置不超过</w:t>
      </w:r>
      <w:r>
        <w:rPr>
          <w:rFonts w:eastAsia="方正仿宋_GBK"/>
          <w:snapToGrid w:val="0"/>
          <w:color w:val="000000"/>
          <w:kern w:val="32"/>
          <w:sz w:val="24"/>
        </w:rPr>
        <w:t>2</w:t>
      </w:r>
      <w:r>
        <w:rPr>
          <w:rFonts w:hint="eastAsia" w:eastAsia="方正仿宋_GBK"/>
          <w:snapToGrid w:val="0"/>
          <w:color w:val="000000"/>
          <w:kern w:val="32"/>
          <w:sz w:val="24"/>
        </w:rPr>
        <w:t>个量化指标。其中面积、造价量化规模指标</w:t>
      </w:r>
      <w:r>
        <w:rPr>
          <w:rFonts w:eastAsia="方正仿宋_GBK"/>
          <w:snapToGrid w:val="0"/>
          <w:color w:val="000000"/>
          <w:kern w:val="32"/>
          <w:sz w:val="24"/>
        </w:rPr>
        <w:t>,</w:t>
      </w:r>
      <w:r>
        <w:rPr>
          <w:rFonts w:hint="eastAsia" w:eastAsia="方正仿宋_GBK"/>
          <w:snapToGrid w:val="0"/>
          <w:color w:val="000000"/>
          <w:kern w:val="32"/>
          <w:sz w:val="24"/>
        </w:rPr>
        <w:t>大型及以下工程、技术复杂的特大型工程可以设置不超过招标工程相应指标的</w:t>
      </w:r>
      <w:r>
        <w:rPr>
          <w:rFonts w:eastAsia="方正仿宋_GBK"/>
          <w:snapToGrid w:val="0"/>
          <w:color w:val="000000"/>
          <w:kern w:val="32"/>
          <w:sz w:val="24"/>
        </w:rPr>
        <w:t>80%</w:t>
      </w:r>
      <w:r>
        <w:rPr>
          <w:rFonts w:hint="eastAsia" w:eastAsia="方正仿宋_GBK"/>
          <w:snapToGrid w:val="0"/>
          <w:color w:val="000000"/>
          <w:kern w:val="32"/>
          <w:sz w:val="24"/>
        </w:rPr>
        <w:t>，特大型工程不超过</w:t>
      </w:r>
      <w:r>
        <w:rPr>
          <w:rFonts w:eastAsia="方正仿宋_GBK"/>
          <w:snapToGrid w:val="0"/>
          <w:color w:val="000000"/>
          <w:kern w:val="32"/>
          <w:sz w:val="24"/>
        </w:rPr>
        <w:t>60%</w:t>
      </w:r>
      <w:r>
        <w:rPr>
          <w:rFonts w:hint="eastAsia" w:eastAsia="方正仿宋_GBK"/>
          <w:snapToGrid w:val="0"/>
          <w:color w:val="000000"/>
          <w:kern w:val="32"/>
          <w:sz w:val="24"/>
        </w:rPr>
        <w:t>。其他指标的设置不得超过招标工程相应指标。</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w:t>
      </w:r>
      <w:r>
        <w:rPr>
          <w:rFonts w:eastAsia="方正仿宋_GBK"/>
          <w:snapToGrid w:val="0"/>
          <w:color w:val="000000"/>
          <w:kern w:val="32"/>
          <w:sz w:val="24"/>
        </w:rPr>
        <w:t>2</w:t>
      </w:r>
      <w:r>
        <w:rPr>
          <w:rFonts w:hint="eastAsia" w:eastAsia="方正仿宋_GBK"/>
          <w:snapToGrid w:val="0"/>
          <w:color w:val="000000"/>
          <w:kern w:val="32"/>
          <w:sz w:val="24"/>
        </w:rPr>
        <w:t>）“类似工程”期限一般不得低于</w:t>
      </w:r>
      <w:r>
        <w:rPr>
          <w:rFonts w:eastAsia="方正仿宋_GBK"/>
          <w:snapToGrid w:val="0"/>
          <w:color w:val="000000"/>
          <w:kern w:val="32"/>
          <w:sz w:val="24"/>
        </w:rPr>
        <w:t>3</w:t>
      </w:r>
      <w:r>
        <w:rPr>
          <w:rFonts w:hint="eastAsia" w:eastAsia="方正仿宋_GBK"/>
          <w:snapToGrid w:val="0"/>
          <w:color w:val="000000"/>
          <w:kern w:val="32"/>
          <w:sz w:val="24"/>
        </w:rPr>
        <w:t>年，以竣工验收时间为准。</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“类似工程”证明材料一般为合同、竣工验收证明及招标工程的中标通知书。招标人应当根据工程项目的具体情况，在招标公告、招标文件中明确相应的量化指标及期限。</w:t>
      </w:r>
    </w:p>
    <w:p>
      <w:pPr>
        <w:tabs>
          <w:tab w:val="left" w:pos="0"/>
        </w:tabs>
        <w:spacing w:line="480" w:lineRule="exact"/>
        <w:ind w:right="-34" w:firstLine="476" w:firstLineChars="202"/>
        <w:rPr>
          <w:rFonts w:eastAsia="方正仿宋_GBK"/>
          <w:snapToGrid w:val="0"/>
          <w:color w:val="000000"/>
          <w:kern w:val="32"/>
          <w:sz w:val="24"/>
        </w:rPr>
      </w:pPr>
      <w:r>
        <w:rPr>
          <w:rFonts w:eastAsia="方正仿宋_GBK"/>
          <w:snapToGrid w:val="0"/>
          <w:color w:val="000000"/>
          <w:kern w:val="32"/>
          <w:sz w:val="24"/>
        </w:rPr>
        <w:t>4</w:t>
      </w:r>
      <w:r>
        <w:rPr>
          <w:rFonts w:hint="eastAsia" w:eastAsia="方正仿宋_GBK"/>
          <w:snapToGrid w:val="0"/>
          <w:color w:val="000000"/>
          <w:kern w:val="32"/>
          <w:sz w:val="24"/>
        </w:rPr>
        <w:t>、在建工程</w:t>
      </w:r>
    </w:p>
    <w:p>
      <w:pPr>
        <w:tabs>
          <w:tab w:val="left" w:pos="0"/>
        </w:tabs>
        <w:spacing w:line="480" w:lineRule="exact"/>
        <w:ind w:right="-34" w:firstLine="476" w:firstLineChars="202"/>
        <w:rPr>
          <w:rFonts w:eastAsia="方正仿宋_GBK"/>
          <w:snapToGrid w:val="0"/>
          <w:color w:val="000000"/>
          <w:kern w:val="32"/>
          <w:sz w:val="24"/>
        </w:rPr>
      </w:pPr>
      <w:r>
        <w:rPr>
          <w:rFonts w:hint="eastAsia" w:eastAsia="方正仿宋_GBK"/>
          <w:snapToGrid w:val="0"/>
          <w:color w:val="000000"/>
          <w:kern w:val="32"/>
          <w:sz w:val="24"/>
        </w:rPr>
        <w:t>处于中标结果公告（直接发包的项目以网上合同备案为准）到合同约定的工程全部完成且竣工验收合格期间的工程。竣工验收证明是指由建设单位（或监理）组织工程建设各方验收合格，并签署相应的单位工程质量竣工验收记录或者分部工程质量验收记录等验收文件。</w:t>
      </w:r>
    </w:p>
    <w:p>
      <w:pPr>
        <w:tabs>
          <w:tab w:val="left" w:pos="0"/>
        </w:tabs>
        <w:spacing w:line="540" w:lineRule="exact"/>
        <w:ind w:firstLine="378" w:firstLineChars="160"/>
        <w:rPr>
          <w:rFonts w:eastAsia="方正仿宋_GBK"/>
          <w:snapToGrid w:val="0"/>
          <w:color w:val="000000"/>
          <w:kern w:val="32"/>
          <w:sz w:val="24"/>
        </w:rPr>
      </w:pPr>
    </w:p>
    <w:p>
      <w:pPr>
        <w:tabs>
          <w:tab w:val="left" w:pos="0"/>
        </w:tabs>
        <w:spacing w:line="540" w:lineRule="exact"/>
        <w:ind w:firstLine="506" w:firstLineChars="160"/>
        <w:rPr>
          <w:rFonts w:eastAsia="方正仿宋_GBK"/>
          <w:snapToGrid w:val="0"/>
          <w:color w:val="000000"/>
          <w:kern w:val="32"/>
          <w:sz w:val="32"/>
        </w:rPr>
      </w:pPr>
    </w:p>
    <w:p>
      <w:pPr>
        <w:widowControl/>
        <w:spacing w:line="540" w:lineRule="exact"/>
        <w:jc w:val="left"/>
        <w:rPr>
          <w:rFonts w:ascii="Times New Roman" w:eastAsia="方正黑体_GBK"/>
          <w:snapToGrid w:val="0"/>
          <w:color w:val="000000"/>
          <w:kern w:val="0"/>
          <w:sz w:val="32"/>
        </w:rPr>
      </w:pPr>
      <w:r>
        <w:rPr>
          <w:rFonts w:hint="eastAsia" w:ascii="Times New Roman" w:eastAsia="方正黑体_GBK"/>
          <w:snapToGrid w:val="0"/>
          <w:color w:val="000000"/>
          <w:kern w:val="0"/>
          <w:sz w:val="32"/>
        </w:rPr>
        <w:br w:type="column"/>
      </w:r>
      <w:r>
        <w:rPr>
          <w:rFonts w:hint="eastAsia" w:ascii="Times New Roman" w:eastAsia="方正黑体_GBK"/>
          <w:snapToGrid w:val="0"/>
          <w:color w:val="000000"/>
          <w:kern w:val="0"/>
          <w:sz w:val="32"/>
        </w:rPr>
        <w:t>附件2</w:t>
      </w:r>
    </w:p>
    <w:p>
      <w:pPr>
        <w:tabs>
          <w:tab w:val="left" w:pos="0"/>
        </w:tabs>
        <w:spacing w:line="540" w:lineRule="exact"/>
        <w:rPr>
          <w:rFonts w:hint="eastAsia" w:eastAsia="方正仿宋_GBK"/>
          <w:snapToGrid w:val="0"/>
          <w:color w:val="000000"/>
          <w:kern w:val="32"/>
          <w:sz w:val="32"/>
        </w:rPr>
      </w:pPr>
    </w:p>
    <w:p>
      <w:pPr>
        <w:spacing w:line="570" w:lineRule="exact"/>
        <w:jc w:val="center"/>
        <w:rPr>
          <w:rFonts w:ascii="Times New Roman" w:eastAsia="方正小标宋_GBK"/>
          <w:snapToGrid w:val="0"/>
          <w:color w:val="000000"/>
          <w:kern w:val="0"/>
          <w:sz w:val="44"/>
          <w:szCs w:val="44"/>
        </w:rPr>
      </w:pPr>
      <w:r>
        <w:rPr>
          <w:rFonts w:hint="eastAsia" w:ascii="Times New Roman" w:eastAsia="方正小标宋_GBK"/>
          <w:snapToGrid w:val="0"/>
          <w:color w:val="000000"/>
          <w:kern w:val="0"/>
          <w:sz w:val="44"/>
          <w:szCs w:val="44"/>
        </w:rPr>
        <w:t>江苏省房屋建筑和市政基础设施工程</w:t>
      </w:r>
    </w:p>
    <w:p>
      <w:pPr>
        <w:spacing w:line="570" w:lineRule="exact"/>
        <w:jc w:val="center"/>
        <w:rPr>
          <w:rFonts w:hint="eastAsia" w:ascii="Times New Roman" w:eastAsia="方正小标宋_GBK"/>
          <w:snapToGrid w:val="0"/>
          <w:color w:val="000000"/>
          <w:kern w:val="0"/>
          <w:sz w:val="44"/>
          <w:szCs w:val="44"/>
        </w:rPr>
      </w:pPr>
      <w:r>
        <w:rPr>
          <w:rFonts w:hint="eastAsia" w:ascii="Times New Roman" w:eastAsia="方正小标宋_GBK"/>
          <w:snapToGrid w:val="0"/>
          <w:color w:val="000000"/>
          <w:kern w:val="0"/>
          <w:sz w:val="44"/>
          <w:szCs w:val="44"/>
        </w:rPr>
        <w:t>施工招标资格审查办法</w:t>
      </w:r>
    </w:p>
    <w:p>
      <w:pPr>
        <w:tabs>
          <w:tab w:val="left" w:pos="0"/>
        </w:tabs>
        <w:spacing w:line="540" w:lineRule="exact"/>
        <w:jc w:val="center"/>
        <w:rPr>
          <w:rFonts w:hint="eastAsia" w:eastAsia="方正仿宋_GBK"/>
          <w:snapToGrid w:val="0"/>
          <w:color w:val="000000"/>
          <w:kern w:val="32"/>
          <w:sz w:val="32"/>
        </w:rPr>
      </w:pPr>
    </w:p>
    <w:p>
      <w:pPr>
        <w:tabs>
          <w:tab w:val="left" w:pos="0"/>
        </w:tabs>
        <w:spacing w:line="480" w:lineRule="exact"/>
        <w:rPr>
          <w:rFonts w:eastAsia="方正仿宋_GBK"/>
          <w:snapToGrid w:val="0"/>
          <w:color w:val="000000"/>
          <w:kern w:val="32"/>
          <w:sz w:val="24"/>
        </w:rPr>
      </w:pPr>
      <w:r>
        <w:rPr>
          <w:rFonts w:hint="eastAsia" w:eastAsia="方正仿宋_GBK"/>
          <w:snapToGrid w:val="0"/>
          <w:color w:val="000000"/>
          <w:kern w:val="32"/>
          <w:sz w:val="24"/>
        </w:rPr>
        <w:t>第一章</w:t>
      </w:r>
      <w:r>
        <w:rPr>
          <w:rFonts w:eastAsia="方正仿宋_GBK"/>
          <w:snapToGrid w:val="0"/>
          <w:color w:val="000000"/>
          <w:kern w:val="32"/>
          <w:sz w:val="24"/>
        </w:rPr>
        <w:t xml:space="preserve"> </w:t>
      </w:r>
      <w:r>
        <w:rPr>
          <w:rFonts w:hint="eastAsia" w:eastAsia="方正仿宋_GBK"/>
          <w:snapToGrid w:val="0"/>
          <w:color w:val="000000"/>
          <w:kern w:val="32"/>
          <w:sz w:val="24"/>
        </w:rPr>
        <w:t>总则</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第一条</w:t>
      </w:r>
      <w:r>
        <w:rPr>
          <w:rFonts w:eastAsia="方正仿宋_GBK"/>
          <w:snapToGrid w:val="0"/>
          <w:color w:val="000000"/>
          <w:kern w:val="32"/>
          <w:sz w:val="24"/>
        </w:rPr>
        <w:t xml:space="preserve"> </w:t>
      </w:r>
      <w:r>
        <w:rPr>
          <w:rFonts w:hint="eastAsia" w:eastAsia="方正仿宋_GBK"/>
          <w:snapToGrid w:val="0"/>
          <w:color w:val="000000"/>
          <w:kern w:val="32"/>
          <w:sz w:val="24"/>
        </w:rPr>
        <w:t>为规范我省房屋建筑和市政基础设施工程施工招标的资格审查行为，维护招标投标当事人的合法权益，依据《中华人民共和国招标投标法》、《中华人民共和国招标投标法实施条例》等，制定本办法。</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第二条</w:t>
      </w:r>
      <w:r>
        <w:rPr>
          <w:rFonts w:eastAsia="方正仿宋_GBK"/>
          <w:snapToGrid w:val="0"/>
          <w:color w:val="000000"/>
          <w:kern w:val="32"/>
          <w:sz w:val="24"/>
        </w:rPr>
        <w:t xml:space="preserve"> </w:t>
      </w:r>
      <w:r>
        <w:rPr>
          <w:rFonts w:hint="eastAsia" w:eastAsia="方正仿宋_GBK"/>
          <w:snapToGrid w:val="0"/>
          <w:color w:val="000000"/>
          <w:kern w:val="32"/>
          <w:sz w:val="24"/>
        </w:rPr>
        <w:t>本省行政区域内，国有资金项目施工招标的资格审查活动，适用本办法。</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第三条</w:t>
      </w:r>
      <w:r>
        <w:rPr>
          <w:rFonts w:eastAsia="方正仿宋_GBK"/>
          <w:snapToGrid w:val="0"/>
          <w:color w:val="000000"/>
          <w:kern w:val="32"/>
          <w:sz w:val="24"/>
        </w:rPr>
        <w:t xml:space="preserve"> </w:t>
      </w:r>
      <w:r>
        <w:rPr>
          <w:rFonts w:hint="eastAsia" w:eastAsia="方正仿宋_GBK"/>
          <w:snapToGrid w:val="0"/>
          <w:color w:val="000000"/>
          <w:kern w:val="32"/>
          <w:sz w:val="24"/>
        </w:rPr>
        <w:t>资格审查分为资格预审和资格后审。</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资格预审是指在投标前对资格预审申请人进行的资格审查。</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资格后审是指在开标后对投标人进行的资格审查。</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第四条</w:t>
      </w:r>
      <w:r>
        <w:rPr>
          <w:rFonts w:eastAsia="方正仿宋_GBK"/>
          <w:snapToGrid w:val="0"/>
          <w:color w:val="000000"/>
          <w:kern w:val="32"/>
          <w:sz w:val="24"/>
        </w:rPr>
        <w:t xml:space="preserve"> </w:t>
      </w:r>
      <w:r>
        <w:rPr>
          <w:rFonts w:hint="eastAsia" w:eastAsia="方正仿宋_GBK"/>
          <w:snapToGrid w:val="0"/>
          <w:color w:val="000000"/>
          <w:kern w:val="32"/>
          <w:sz w:val="24"/>
        </w:rPr>
        <w:t>资格预审分为合格制和有限数量制两种方法。资格后审均采用合格制。</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合格制是指凡符合资格预审公告或者资格预审文件规定资格审查标准的申请人均通过资格审查。</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有限数量制是指对通过初步审查和详细审查的资格预审申请人进行量化打分，按得分高低顺序确定通过资格预审的申请人。</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第五条</w:t>
      </w:r>
      <w:r>
        <w:rPr>
          <w:rFonts w:eastAsia="方正仿宋_GBK"/>
          <w:snapToGrid w:val="0"/>
          <w:color w:val="000000"/>
          <w:kern w:val="32"/>
          <w:sz w:val="24"/>
        </w:rPr>
        <w:t xml:space="preserve"> </w:t>
      </w:r>
      <w:r>
        <w:rPr>
          <w:rFonts w:hint="eastAsia" w:eastAsia="方正仿宋_GBK"/>
          <w:snapToGrid w:val="0"/>
          <w:color w:val="000000"/>
          <w:kern w:val="32"/>
          <w:sz w:val="24"/>
        </w:rPr>
        <w:t>资格审查的方式选用应当符合下列规定：</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（一）对于具有通用技术标准的工程项目，一般应当采用资格后审；</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（二）对于大型且技术复杂的工程项目，可以采用合格制资格预审；</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（三）对于特大型且技术复杂的工程项目，可以选用有限数量制资格预审，对有限数量制的使用应当严格控制。</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第六条</w:t>
      </w:r>
      <w:r>
        <w:rPr>
          <w:rFonts w:eastAsia="方正仿宋_GBK"/>
          <w:snapToGrid w:val="0"/>
          <w:color w:val="000000"/>
          <w:kern w:val="32"/>
          <w:sz w:val="24"/>
        </w:rPr>
        <w:t xml:space="preserve"> </w:t>
      </w:r>
      <w:r>
        <w:rPr>
          <w:rFonts w:hint="eastAsia" w:eastAsia="方正仿宋_GBK"/>
          <w:snapToGrid w:val="0"/>
          <w:color w:val="000000"/>
          <w:kern w:val="32"/>
          <w:sz w:val="24"/>
        </w:rPr>
        <w:t>资格审查活动应当遵循公平、公正、科学、择优的原则。任何单位和个人不得以不合理的条件限制、排斥资格预审申请人或者潜在投标人，不得对资格预审申请人或者潜在投标人实行歧视待遇。</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任何单位和个人不得非法干预或者影响依法进行的资格审查活动。</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第七条</w:t>
      </w:r>
      <w:r>
        <w:rPr>
          <w:rFonts w:eastAsia="方正仿宋_GBK"/>
          <w:snapToGrid w:val="0"/>
          <w:color w:val="000000"/>
          <w:kern w:val="32"/>
          <w:sz w:val="24"/>
        </w:rPr>
        <w:t xml:space="preserve"> </w:t>
      </w:r>
      <w:r>
        <w:rPr>
          <w:rFonts w:hint="eastAsia" w:eastAsia="方正仿宋_GBK"/>
          <w:snapToGrid w:val="0"/>
          <w:color w:val="000000"/>
          <w:kern w:val="32"/>
          <w:sz w:val="24"/>
        </w:rPr>
        <w:t>资格审查实行网上电子审查，资格审查活动应当在项目所在地公共资源交易中心进行，并接受招投标监管机构依法实施的监督。</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第二章</w:t>
      </w:r>
      <w:r>
        <w:rPr>
          <w:rFonts w:eastAsia="方正仿宋_GBK"/>
          <w:snapToGrid w:val="0"/>
          <w:color w:val="000000"/>
          <w:kern w:val="32"/>
          <w:sz w:val="24"/>
        </w:rPr>
        <w:t xml:space="preserve"> </w:t>
      </w:r>
      <w:r>
        <w:rPr>
          <w:rFonts w:hint="eastAsia" w:eastAsia="方正仿宋_GBK"/>
          <w:snapToGrid w:val="0"/>
          <w:color w:val="000000"/>
          <w:kern w:val="32"/>
          <w:sz w:val="24"/>
        </w:rPr>
        <w:t>资格审查条件和要求</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第八条</w:t>
      </w:r>
      <w:r>
        <w:rPr>
          <w:rFonts w:eastAsia="方正仿宋_GBK"/>
          <w:snapToGrid w:val="0"/>
          <w:color w:val="000000"/>
          <w:kern w:val="32"/>
          <w:sz w:val="24"/>
        </w:rPr>
        <w:t xml:space="preserve"> </w:t>
      </w:r>
      <w:r>
        <w:rPr>
          <w:rFonts w:hint="eastAsia" w:eastAsia="方正仿宋_GBK"/>
          <w:snapToGrid w:val="0"/>
          <w:color w:val="000000"/>
          <w:kern w:val="32"/>
          <w:sz w:val="24"/>
        </w:rPr>
        <w:t>招标人应当根据有关法律、法规和规章的规定，结合工程项目的内容和特点，在资格预审文件、招标文件和相应的招标公告中，明确合格投标人的资格条件以及资格评审的方法、标准。</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第九条</w:t>
      </w:r>
      <w:bookmarkStart w:id="724" w:name="_Hlk485459645"/>
      <w:r>
        <w:rPr>
          <w:rFonts w:hint="eastAsia" w:eastAsia="方正仿宋_GBK"/>
          <w:snapToGrid w:val="0"/>
          <w:color w:val="000000"/>
          <w:kern w:val="32"/>
          <w:sz w:val="24"/>
        </w:rPr>
        <w:t>资格审查条件分为必要条件</w:t>
      </w:r>
      <w:bookmarkEnd w:id="724"/>
      <w:r>
        <w:rPr>
          <w:rFonts w:hint="eastAsia" w:eastAsia="方正仿宋_GBK"/>
          <w:snapToGrid w:val="0"/>
          <w:color w:val="000000"/>
          <w:kern w:val="32"/>
          <w:sz w:val="24"/>
        </w:rPr>
        <w:t>和可选条件。</w:t>
      </w:r>
    </w:p>
    <w:p>
      <w:pPr>
        <w:tabs>
          <w:tab w:val="left" w:pos="0"/>
        </w:tabs>
        <w:spacing w:line="480" w:lineRule="exact"/>
        <w:ind w:firstLine="476" w:firstLineChars="202"/>
        <w:rPr>
          <w:rFonts w:eastAsia="方正仿宋_GBK"/>
          <w:snapToGrid w:val="0"/>
          <w:color w:val="000000"/>
          <w:kern w:val="32"/>
          <w:sz w:val="24"/>
        </w:rPr>
      </w:pPr>
      <w:bookmarkStart w:id="725" w:name="_Hlk485459696"/>
      <w:r>
        <w:rPr>
          <w:rFonts w:hint="eastAsia" w:eastAsia="方正仿宋_GBK"/>
          <w:snapToGrid w:val="0"/>
          <w:color w:val="000000"/>
          <w:kern w:val="32"/>
          <w:sz w:val="24"/>
        </w:rPr>
        <w:t>资格审查必要条件即招标人在资格审查过程中必选的，资格审查合格至少应当满足的条件。</w:t>
      </w:r>
      <w:bookmarkEnd w:id="725"/>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资格审查可选条件即招标人根据项目实际可以选择全部或者部分作为资格审查的合格条件。</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资格预审和资格后审可根据招标项目需要设置资格审查必选条件和可选条件。但采用资格后审的工程项目，设置“企业或者项目负责人承担过类似工程”作为合格条件，仅限于技术复杂或者大型及以上工程项目、采用合理价随机确定中标人法的工程项目和无资质要求的专业工程项目。</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第十条</w:t>
      </w:r>
      <w:r>
        <w:rPr>
          <w:rFonts w:eastAsia="方正仿宋_GBK"/>
          <w:snapToGrid w:val="0"/>
          <w:color w:val="000000"/>
          <w:kern w:val="32"/>
          <w:sz w:val="24"/>
        </w:rPr>
        <w:t xml:space="preserve"> </w:t>
      </w:r>
      <w:r>
        <w:rPr>
          <w:rFonts w:hint="eastAsia" w:eastAsia="方正仿宋_GBK"/>
          <w:snapToGrid w:val="0"/>
          <w:color w:val="000000"/>
          <w:kern w:val="32"/>
          <w:sz w:val="24"/>
        </w:rPr>
        <w:t>以下条件属于资格审查必要条件：</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（一）有独立订立合同的能力；</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（二）企业的资质类别、等级和项目负责人注册专业、资格等级符合国家有关规定；</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（三）以联合体形式投标的，联合体的资格（资质）条件必须符合资格预审文件或招标文件要求，并附有共同投标协议；</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（四）企业具备安全生产条件，并取得安全生产许可证（相关规定不作要求的除外）；</w:t>
      </w:r>
      <w:r>
        <w:rPr>
          <w:rFonts w:eastAsia="方正仿宋_GBK"/>
          <w:snapToGrid w:val="0"/>
          <w:color w:val="000000"/>
          <w:kern w:val="32"/>
          <w:sz w:val="24"/>
        </w:rPr>
        <w:t xml:space="preserve"> </w:t>
      </w:r>
    </w:p>
    <w:p>
      <w:pPr>
        <w:pStyle w:val="10"/>
        <w:tabs>
          <w:tab w:val="left" w:pos="0"/>
        </w:tabs>
        <w:spacing w:line="480" w:lineRule="exact"/>
        <w:ind w:firstLine="476" w:firstLineChars="202"/>
        <w:jc w:val="both"/>
        <w:rPr>
          <w:rFonts w:ascii="Times New Roman" w:hAnsi="Times New Roman" w:eastAsia="方正仿宋_GBK"/>
          <w:snapToGrid w:val="0"/>
          <w:color w:val="000000"/>
          <w:kern w:val="32"/>
        </w:rPr>
      </w:pPr>
      <w:r>
        <w:rPr>
          <w:rFonts w:hint="eastAsia" w:ascii="Times New Roman" w:hAnsi="Times New Roman" w:eastAsia="方正仿宋_GBK"/>
          <w:snapToGrid w:val="0"/>
          <w:color w:val="000000"/>
          <w:kern w:val="32"/>
        </w:rPr>
        <w:t>（五）项目负责人必须满足下列条件：</w:t>
      </w:r>
    </w:p>
    <w:p>
      <w:pPr>
        <w:tabs>
          <w:tab w:val="left" w:pos="0"/>
        </w:tabs>
        <w:spacing w:line="480" w:lineRule="exact"/>
        <w:ind w:firstLine="594" w:firstLineChars="252"/>
        <w:rPr>
          <w:rFonts w:hint="eastAsia"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项目负责人不得同时在两个或者两个以上单位受聘或者执业。</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项目负责人是非变更后无在建工程，或项目负责人是变更后无在建工程（必须原合同工期已满且变更备案之日已满</w:t>
      </w:r>
      <w:r>
        <w:rPr>
          <w:rFonts w:eastAsia="方正仿宋_GBK"/>
          <w:snapToGrid w:val="0"/>
          <w:color w:val="000000"/>
          <w:kern w:val="32"/>
          <w:sz w:val="24"/>
        </w:rPr>
        <w:t>6</w:t>
      </w:r>
      <w:r>
        <w:rPr>
          <w:rFonts w:hint="eastAsia" w:eastAsia="方正仿宋_GBK"/>
          <w:snapToGrid w:val="0"/>
          <w:color w:val="000000"/>
          <w:kern w:val="32"/>
          <w:sz w:val="24"/>
        </w:rPr>
        <w:t>个月），或因非承包方原因致使工程项目停工或因故不能按期开工、且已办理了项目负责人解锁手续，或项目负责人有在建工程，但该在建工程与本次招标的工程属于同一工程项目、同一项目批文、同一施工地点分段发包或分期施工的情况且总的工程规模在项目负责人执业范围之内。</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项目负责人无行贿犯罪行为记录；或者有行贿犯罪行为记录，但自记录之日起已超过</w:t>
      </w:r>
      <w:r>
        <w:rPr>
          <w:rFonts w:eastAsia="方正仿宋_GBK"/>
          <w:snapToGrid w:val="0"/>
          <w:color w:val="000000"/>
          <w:kern w:val="32"/>
          <w:sz w:val="24"/>
        </w:rPr>
        <w:t>5</w:t>
      </w:r>
      <w:r>
        <w:rPr>
          <w:rFonts w:hint="eastAsia" w:eastAsia="方正仿宋_GBK"/>
          <w:snapToGrid w:val="0"/>
          <w:color w:val="000000"/>
          <w:kern w:val="32"/>
          <w:sz w:val="24"/>
        </w:rPr>
        <w:t>年的。</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（六）资格预审申请人或者投标人不得存在下列情形之一：</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为招标人不具有独立法人资格的附属机构（单位）；</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为本招标项目的监理人、代建人、项目管理人，以及为本招标项目提供招标代理、设计服务的；</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与本招标项目的监理人、代建人、招标代理机构同为一个法定代表人的，或者相互控股、参股的；</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4.</w:t>
      </w:r>
      <w:r>
        <w:rPr>
          <w:rFonts w:hint="eastAsia" w:eastAsia="方正仿宋_GBK"/>
          <w:snapToGrid w:val="0"/>
          <w:color w:val="000000"/>
          <w:kern w:val="32"/>
          <w:sz w:val="24"/>
        </w:rPr>
        <w:t>与招标人存在利害关系可能影响招标公正性的；</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5.</w:t>
      </w:r>
      <w:r>
        <w:rPr>
          <w:rFonts w:hint="eastAsia" w:eastAsia="方正仿宋_GBK"/>
          <w:snapToGrid w:val="0"/>
          <w:color w:val="000000"/>
          <w:kern w:val="32"/>
          <w:sz w:val="24"/>
        </w:rPr>
        <w:t>单位负责人为同一人或者存在控股、管理关系的不同单位；</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6.</w:t>
      </w:r>
      <w:r>
        <w:rPr>
          <w:rFonts w:hint="eastAsia" w:eastAsia="方正仿宋_GBK"/>
          <w:snapToGrid w:val="0"/>
          <w:color w:val="000000"/>
          <w:kern w:val="32"/>
          <w:sz w:val="24"/>
        </w:rPr>
        <w:t>处于被责令停业、财产被接管、冻结和破产状态，以及投标资格被取消或者被暂停且在暂停期内；</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7.</w:t>
      </w:r>
      <w:r>
        <w:rPr>
          <w:rFonts w:hint="eastAsia" w:eastAsia="方正仿宋_GBK"/>
          <w:snapToGrid w:val="0"/>
          <w:color w:val="000000"/>
          <w:kern w:val="32"/>
          <w:sz w:val="24"/>
        </w:rPr>
        <w:t>因拖欠工人工资或者因发生质量安全事故被有关部门限制在招标项目所在地承接工程的；</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8.</w:t>
      </w:r>
      <w:r>
        <w:rPr>
          <w:rFonts w:hint="eastAsia" w:eastAsia="方正仿宋_GBK"/>
          <w:snapToGrid w:val="0"/>
          <w:color w:val="000000"/>
          <w:kern w:val="32"/>
          <w:sz w:val="24"/>
        </w:rPr>
        <w:t>投标人近</w:t>
      </w:r>
      <w:r>
        <w:rPr>
          <w:rFonts w:eastAsia="方正仿宋_GBK"/>
          <w:snapToGrid w:val="0"/>
          <w:color w:val="000000"/>
          <w:kern w:val="32"/>
          <w:sz w:val="24"/>
        </w:rPr>
        <w:t>3</w:t>
      </w:r>
      <w:r>
        <w:rPr>
          <w:rFonts w:hint="eastAsia" w:eastAsia="方正仿宋_GBK"/>
          <w:snapToGrid w:val="0"/>
          <w:color w:val="000000"/>
          <w:kern w:val="32"/>
          <w:sz w:val="24"/>
        </w:rPr>
        <w:t>年内有行贿犯罪行为且被记录，或者法定代表人有行贿犯罪记录且自记录之日起未超过</w:t>
      </w:r>
      <w:r>
        <w:rPr>
          <w:rFonts w:eastAsia="方正仿宋_GBK"/>
          <w:snapToGrid w:val="0"/>
          <w:color w:val="000000"/>
          <w:kern w:val="32"/>
          <w:sz w:val="24"/>
        </w:rPr>
        <w:t>5</w:t>
      </w:r>
      <w:r>
        <w:rPr>
          <w:rFonts w:hint="eastAsia" w:eastAsia="方正仿宋_GBK"/>
          <w:snapToGrid w:val="0"/>
          <w:color w:val="000000"/>
          <w:kern w:val="32"/>
          <w:sz w:val="24"/>
        </w:rPr>
        <w:t>年的。</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（七）不符合法律、法规规定的其他条件。</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第十一条</w:t>
      </w:r>
      <w:r>
        <w:rPr>
          <w:rFonts w:eastAsia="方正仿宋_GBK"/>
          <w:snapToGrid w:val="0"/>
          <w:color w:val="000000"/>
          <w:kern w:val="32"/>
          <w:sz w:val="24"/>
        </w:rPr>
        <w:t xml:space="preserve"> </w:t>
      </w:r>
      <w:r>
        <w:rPr>
          <w:rFonts w:hint="eastAsia" w:eastAsia="方正仿宋_GBK"/>
          <w:snapToGrid w:val="0"/>
          <w:color w:val="000000"/>
          <w:kern w:val="32"/>
          <w:sz w:val="24"/>
        </w:rPr>
        <w:t>以下条件属于</w:t>
      </w:r>
      <w:bookmarkStart w:id="726" w:name="_Hlk485457906"/>
      <w:r>
        <w:rPr>
          <w:rFonts w:hint="eastAsia" w:eastAsia="方正仿宋_GBK"/>
          <w:snapToGrid w:val="0"/>
          <w:color w:val="000000"/>
          <w:kern w:val="32"/>
          <w:sz w:val="24"/>
        </w:rPr>
        <w:t>资格审查可选条件</w:t>
      </w:r>
      <w:bookmarkEnd w:id="726"/>
      <w:r>
        <w:rPr>
          <w:rFonts w:hint="eastAsia" w:eastAsia="方正仿宋_GBK"/>
          <w:snapToGrid w:val="0"/>
          <w:color w:val="000000"/>
          <w:kern w:val="32"/>
          <w:sz w:val="24"/>
        </w:rPr>
        <w:t>：</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（一）企业或者项目负责人承担过类似工程（</w:t>
      </w:r>
      <w:bookmarkStart w:id="727" w:name="_Hlk485468160"/>
      <w:r>
        <w:rPr>
          <w:rFonts w:hint="eastAsia" w:eastAsia="方正仿宋_GBK"/>
          <w:snapToGrid w:val="0"/>
          <w:color w:val="000000"/>
          <w:kern w:val="32"/>
          <w:sz w:val="24"/>
        </w:rPr>
        <w:t>类似工程业绩</w:t>
      </w:r>
      <w:bookmarkEnd w:id="727"/>
      <w:r>
        <w:rPr>
          <w:rFonts w:hint="eastAsia" w:eastAsia="方正仿宋_GBK"/>
          <w:snapToGrid w:val="0"/>
          <w:color w:val="000000"/>
          <w:kern w:val="32"/>
          <w:sz w:val="24"/>
        </w:rPr>
        <w:t>企业或者项目负责人仅可选</w:t>
      </w:r>
      <w:r>
        <w:rPr>
          <w:rFonts w:eastAsia="方正仿宋_GBK"/>
          <w:snapToGrid w:val="0"/>
          <w:color w:val="000000"/>
          <w:kern w:val="32"/>
          <w:sz w:val="24"/>
        </w:rPr>
        <w:t>1</w:t>
      </w:r>
      <w:r>
        <w:rPr>
          <w:rFonts w:hint="eastAsia" w:eastAsia="方正仿宋_GBK"/>
          <w:snapToGrid w:val="0"/>
          <w:color w:val="000000"/>
          <w:kern w:val="32"/>
          <w:sz w:val="24"/>
        </w:rPr>
        <w:t>个</w:t>
      </w:r>
      <w:r>
        <w:rPr>
          <w:rFonts w:eastAsia="方正仿宋_GBK"/>
          <w:snapToGrid w:val="0"/>
          <w:color w:val="000000"/>
          <w:kern w:val="32"/>
          <w:sz w:val="24"/>
        </w:rPr>
        <w:t>,</w:t>
      </w:r>
      <w:r>
        <w:rPr>
          <w:rFonts w:hint="eastAsia" w:eastAsia="方正仿宋_GBK"/>
          <w:snapToGrid w:val="0"/>
          <w:color w:val="000000"/>
          <w:kern w:val="32"/>
          <w:sz w:val="24"/>
        </w:rPr>
        <w:t>时间范围不得少于</w:t>
      </w:r>
      <w:r>
        <w:rPr>
          <w:rFonts w:eastAsia="方正仿宋_GBK"/>
          <w:snapToGrid w:val="0"/>
          <w:color w:val="000000"/>
          <w:kern w:val="32"/>
          <w:sz w:val="24"/>
        </w:rPr>
        <w:t>3</w:t>
      </w:r>
      <w:r>
        <w:rPr>
          <w:rFonts w:hint="eastAsia" w:eastAsia="方正仿宋_GBK"/>
          <w:snapToGrid w:val="0"/>
          <w:color w:val="000000"/>
          <w:kern w:val="32"/>
          <w:sz w:val="24"/>
        </w:rPr>
        <w:t>年）；</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（二）企业和拟派项目负责人近</w:t>
      </w:r>
      <w:r>
        <w:rPr>
          <w:rFonts w:eastAsia="方正仿宋_GBK"/>
          <w:snapToGrid w:val="0"/>
          <w:color w:val="000000"/>
          <w:kern w:val="32"/>
          <w:sz w:val="24"/>
        </w:rPr>
        <w:t>2</w:t>
      </w:r>
      <w:r>
        <w:rPr>
          <w:rFonts w:hint="eastAsia" w:eastAsia="方正仿宋_GBK"/>
          <w:snapToGrid w:val="0"/>
          <w:color w:val="000000"/>
          <w:kern w:val="32"/>
          <w:sz w:val="24"/>
        </w:rPr>
        <w:t>年内没有因串通投标、弄虚作假、以他人名义投标、骗取中标、转包、违法分包等违法行为受到建设等有关部门行政处罚的；</w:t>
      </w:r>
    </w:p>
    <w:p>
      <w:pPr>
        <w:tabs>
          <w:tab w:val="left" w:pos="0"/>
        </w:tabs>
        <w:spacing w:line="480" w:lineRule="exact"/>
        <w:ind w:firstLine="594" w:firstLineChars="252"/>
        <w:rPr>
          <w:rFonts w:eastAsia="方正仿宋_GBK"/>
          <w:snapToGrid w:val="0"/>
          <w:color w:val="000000"/>
          <w:kern w:val="32"/>
          <w:sz w:val="24"/>
        </w:rPr>
      </w:pPr>
      <w:r>
        <w:rPr>
          <w:rFonts w:hint="eastAsia" w:eastAsia="方正仿宋_GBK"/>
          <w:snapToGrid w:val="0"/>
          <w:color w:val="000000"/>
          <w:kern w:val="32"/>
          <w:sz w:val="24"/>
        </w:rPr>
        <w:t>（三）企业近</w:t>
      </w:r>
      <w:r>
        <w:rPr>
          <w:rFonts w:eastAsia="方正仿宋_GBK"/>
          <w:snapToGrid w:val="0"/>
          <w:color w:val="000000"/>
          <w:kern w:val="32"/>
          <w:sz w:val="24"/>
        </w:rPr>
        <w:t>1</w:t>
      </w:r>
      <w:r>
        <w:rPr>
          <w:rFonts w:hint="eastAsia" w:eastAsia="方正仿宋_GBK"/>
          <w:snapToGrid w:val="0"/>
          <w:color w:val="000000"/>
          <w:kern w:val="32"/>
          <w:sz w:val="24"/>
        </w:rPr>
        <w:t>年内没有无正当理由放弃中标资格（不含项目负责人多投多中后放弃）、不与招标人订立合同、拒不提供履约担保情形的；</w:t>
      </w:r>
    </w:p>
    <w:p>
      <w:pPr>
        <w:tabs>
          <w:tab w:val="left" w:pos="0"/>
        </w:tabs>
        <w:spacing w:line="480" w:lineRule="exact"/>
        <w:ind w:firstLine="594" w:firstLineChars="252"/>
        <w:rPr>
          <w:rFonts w:eastAsia="方正仿宋_GBK"/>
          <w:snapToGrid w:val="0"/>
          <w:color w:val="000000"/>
          <w:kern w:val="32"/>
          <w:sz w:val="24"/>
        </w:rPr>
      </w:pPr>
      <w:r>
        <w:rPr>
          <w:rFonts w:hint="eastAsia" w:eastAsia="方正仿宋_GBK"/>
          <w:snapToGrid w:val="0"/>
          <w:color w:val="000000"/>
          <w:kern w:val="32"/>
          <w:sz w:val="24"/>
        </w:rPr>
        <w:t>（四）企业近三个月内没有因拖欠工人工资被招标项目所在地省、市、县（市、区）建设行政主管部门通报批评的；</w:t>
      </w:r>
    </w:p>
    <w:p>
      <w:pPr>
        <w:tabs>
          <w:tab w:val="left" w:pos="0"/>
        </w:tabs>
        <w:spacing w:line="480" w:lineRule="exact"/>
        <w:ind w:firstLine="594" w:firstLineChars="252"/>
        <w:rPr>
          <w:rFonts w:eastAsia="方正仿宋_GBK"/>
          <w:snapToGrid w:val="0"/>
          <w:color w:val="000000"/>
          <w:kern w:val="32"/>
          <w:sz w:val="24"/>
        </w:rPr>
      </w:pPr>
      <w:r>
        <w:rPr>
          <w:rFonts w:hint="eastAsia" w:eastAsia="方正仿宋_GBK"/>
          <w:snapToGrid w:val="0"/>
          <w:color w:val="000000"/>
          <w:kern w:val="32"/>
          <w:sz w:val="24"/>
        </w:rPr>
        <w:t>（五）投标人或者拟派项目负责人近五年内在招标人之前的工程中没有履约评价不合格的</w:t>
      </w:r>
      <w:r>
        <w:rPr>
          <w:rFonts w:eastAsia="方正仿宋_GBK"/>
          <w:snapToGrid w:val="0"/>
          <w:color w:val="000000"/>
          <w:kern w:val="32"/>
          <w:sz w:val="24"/>
        </w:rPr>
        <w:t>(</w:t>
      </w:r>
      <w:r>
        <w:rPr>
          <w:rFonts w:hint="eastAsia" w:eastAsia="方正仿宋_GBK"/>
          <w:snapToGrid w:val="0"/>
          <w:color w:val="000000"/>
          <w:kern w:val="32"/>
          <w:sz w:val="24"/>
        </w:rPr>
        <w:t>履约评价不合格的名单应当在资格预审公告与招标公告中予以明示</w:t>
      </w:r>
      <w:r>
        <w:rPr>
          <w:rFonts w:eastAsia="方正仿宋_GBK"/>
          <w:snapToGrid w:val="0"/>
          <w:color w:val="000000"/>
          <w:kern w:val="32"/>
          <w:sz w:val="24"/>
        </w:rPr>
        <w:t>)</w:t>
      </w:r>
      <w:r>
        <w:rPr>
          <w:rFonts w:hint="eastAsia" w:eastAsia="方正仿宋_GBK"/>
          <w:snapToGrid w:val="0"/>
          <w:color w:val="000000"/>
          <w:kern w:val="32"/>
          <w:sz w:val="24"/>
        </w:rPr>
        <w:t>。</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第十二条</w:t>
      </w:r>
      <w:r>
        <w:rPr>
          <w:rFonts w:eastAsia="方正仿宋_GBK"/>
          <w:snapToGrid w:val="0"/>
          <w:color w:val="000000"/>
          <w:kern w:val="32"/>
          <w:sz w:val="24"/>
        </w:rPr>
        <w:t xml:space="preserve"> </w:t>
      </w:r>
      <w:r>
        <w:rPr>
          <w:rFonts w:hint="eastAsia" w:eastAsia="方正仿宋_GBK"/>
          <w:snapToGrid w:val="0"/>
          <w:color w:val="000000"/>
          <w:kern w:val="32"/>
          <w:sz w:val="24"/>
        </w:rPr>
        <w:t>采用合格制资格预审的，招标人必须邀请所有资格预审合格的申请人参加投标。</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第十三条</w:t>
      </w:r>
      <w:r>
        <w:rPr>
          <w:rFonts w:eastAsia="方正仿宋_GBK"/>
          <w:snapToGrid w:val="0"/>
          <w:color w:val="000000"/>
          <w:kern w:val="32"/>
          <w:sz w:val="24"/>
        </w:rPr>
        <w:t xml:space="preserve"> </w:t>
      </w:r>
      <w:r>
        <w:rPr>
          <w:rFonts w:hint="eastAsia" w:eastAsia="方正仿宋_GBK"/>
          <w:snapToGrid w:val="0"/>
          <w:color w:val="000000"/>
          <w:kern w:val="32"/>
          <w:sz w:val="24"/>
        </w:rPr>
        <w:t>采用有限数量制的，招标人应当制定具体的“有限数量制资格预审办法”，并在招标公告和资格预审文件中明确。可以选取以下部分或全部因素进行评价：</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（一）财务状况；</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（二）类似项目业绩：企业、项目负责人承担类似工程情况；</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（三）信誉：企业诉讼和仲裁、不良行为等情况，企业获得过“重合同、守信用”称号等；</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（四）认证体系：企业通过质量管理体系、环境管理体系、职业安全健康管理体系认证等；</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（五）信用评价；</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（六）工程奖项：企业、项目负责人承担类似工程获奖情况，</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（七）拟派项目负责人进行答辩，无论是书面答辩还是口头答辩，必须“暗标”法进行评审；</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（八）法律、法规规定的其他内容。</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各市建设行政主管部门可以结合当地实际，对有限数量制资格预审的评分内容和标准进行细化，制定有限数量制资格预审的实施细则。</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第十四条</w:t>
      </w:r>
      <w:r>
        <w:rPr>
          <w:rFonts w:eastAsia="方正仿宋_GBK"/>
          <w:snapToGrid w:val="0"/>
          <w:color w:val="000000"/>
          <w:kern w:val="32"/>
          <w:sz w:val="24"/>
        </w:rPr>
        <w:t xml:space="preserve"> </w:t>
      </w:r>
      <w:r>
        <w:rPr>
          <w:rFonts w:hint="eastAsia" w:eastAsia="方正仿宋_GBK"/>
          <w:snapToGrid w:val="0"/>
          <w:color w:val="000000"/>
          <w:kern w:val="32"/>
          <w:sz w:val="24"/>
        </w:rPr>
        <w:t>采用有限数量制资格预审的，通过资格条件审查的申请人多于</w:t>
      </w:r>
      <w:r>
        <w:rPr>
          <w:rFonts w:eastAsia="方正仿宋_GBK"/>
          <w:snapToGrid w:val="0"/>
          <w:color w:val="000000"/>
          <w:kern w:val="32"/>
          <w:sz w:val="24"/>
        </w:rPr>
        <w:t>9</w:t>
      </w:r>
      <w:r>
        <w:rPr>
          <w:rFonts w:hint="eastAsia" w:eastAsia="方正仿宋_GBK"/>
          <w:snapToGrid w:val="0"/>
          <w:color w:val="000000"/>
          <w:kern w:val="32"/>
          <w:sz w:val="24"/>
        </w:rPr>
        <w:t>家的，招标人应当按得分由高到低顺序选择不少于</w:t>
      </w:r>
      <w:r>
        <w:rPr>
          <w:rFonts w:eastAsia="方正仿宋_GBK"/>
          <w:snapToGrid w:val="0"/>
          <w:color w:val="000000"/>
          <w:kern w:val="32"/>
          <w:sz w:val="24"/>
        </w:rPr>
        <w:t>9</w:t>
      </w:r>
      <w:r>
        <w:rPr>
          <w:rFonts w:hint="eastAsia" w:eastAsia="方正仿宋_GBK"/>
          <w:snapToGrid w:val="0"/>
          <w:color w:val="000000"/>
          <w:kern w:val="32"/>
          <w:sz w:val="24"/>
        </w:rPr>
        <w:t>家通过资格预审的申请人参加投标，其通过资格预审不少于</w:t>
      </w:r>
      <w:r>
        <w:rPr>
          <w:rFonts w:eastAsia="方正仿宋_GBK"/>
          <w:snapToGrid w:val="0"/>
          <w:color w:val="000000"/>
          <w:kern w:val="32"/>
          <w:sz w:val="24"/>
        </w:rPr>
        <w:t>9</w:t>
      </w:r>
      <w:r>
        <w:rPr>
          <w:rFonts w:hint="eastAsia" w:eastAsia="方正仿宋_GBK"/>
          <w:snapToGrid w:val="0"/>
          <w:color w:val="000000"/>
          <w:kern w:val="32"/>
          <w:sz w:val="24"/>
        </w:rPr>
        <w:t>家合格投标人的数量应当在招标公告中明确。</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第十五条资格预审项目招标人未设置企业或者项目负责人承担过类似工程条件，通过资格条件审查的申请人不足</w:t>
      </w:r>
      <w:r>
        <w:rPr>
          <w:rFonts w:eastAsia="方正仿宋_GBK"/>
          <w:snapToGrid w:val="0"/>
          <w:color w:val="000000"/>
          <w:kern w:val="32"/>
          <w:sz w:val="24"/>
        </w:rPr>
        <w:t>9</w:t>
      </w:r>
      <w:r>
        <w:rPr>
          <w:rFonts w:hint="eastAsia" w:eastAsia="方正仿宋_GBK"/>
          <w:snapToGrid w:val="0"/>
          <w:color w:val="000000"/>
          <w:kern w:val="32"/>
          <w:sz w:val="24"/>
        </w:rPr>
        <w:t>家（少于</w:t>
      </w:r>
      <w:r>
        <w:rPr>
          <w:rFonts w:eastAsia="方正仿宋_GBK"/>
          <w:snapToGrid w:val="0"/>
          <w:color w:val="000000"/>
          <w:kern w:val="32"/>
          <w:sz w:val="24"/>
        </w:rPr>
        <w:t>3</w:t>
      </w:r>
      <w:r>
        <w:rPr>
          <w:rFonts w:hint="eastAsia" w:eastAsia="方正仿宋_GBK"/>
          <w:snapToGrid w:val="0"/>
          <w:color w:val="000000"/>
          <w:kern w:val="32"/>
          <w:sz w:val="24"/>
        </w:rPr>
        <w:t>家除外）的，招标人应邀请所有通过资格预审的申请人参加投标。</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第十六条</w:t>
      </w:r>
      <w:r>
        <w:rPr>
          <w:rFonts w:eastAsia="方正仿宋_GBK"/>
          <w:snapToGrid w:val="0"/>
          <w:color w:val="000000"/>
          <w:kern w:val="32"/>
          <w:sz w:val="24"/>
        </w:rPr>
        <w:t xml:space="preserve"> </w:t>
      </w:r>
      <w:r>
        <w:rPr>
          <w:rFonts w:hint="eastAsia" w:eastAsia="方正仿宋_GBK"/>
          <w:snapToGrid w:val="0"/>
          <w:color w:val="000000"/>
          <w:kern w:val="32"/>
          <w:sz w:val="24"/>
        </w:rPr>
        <w:t>资格预审项目因招标人设置企业或者项目负责人承担过类似工程业绩，导致资格预审合格的申请人不足</w:t>
      </w:r>
      <w:r>
        <w:rPr>
          <w:rFonts w:eastAsia="方正仿宋_GBK"/>
          <w:snapToGrid w:val="0"/>
          <w:color w:val="000000"/>
          <w:kern w:val="32"/>
          <w:sz w:val="24"/>
        </w:rPr>
        <w:t>9</w:t>
      </w:r>
      <w:r>
        <w:rPr>
          <w:rFonts w:hint="eastAsia" w:eastAsia="方正仿宋_GBK"/>
          <w:snapToGrid w:val="0"/>
          <w:color w:val="000000"/>
          <w:kern w:val="32"/>
          <w:sz w:val="24"/>
        </w:rPr>
        <w:t>家，招标人应当降低企业承担过类似工程业绩条件（量化指标不超过</w:t>
      </w:r>
      <w:r>
        <w:rPr>
          <w:rFonts w:eastAsia="方正仿宋_GBK"/>
          <w:snapToGrid w:val="0"/>
          <w:color w:val="000000"/>
          <w:kern w:val="32"/>
          <w:sz w:val="24"/>
        </w:rPr>
        <w:t>50%</w:t>
      </w:r>
      <w:r>
        <w:rPr>
          <w:rFonts w:hint="eastAsia" w:eastAsia="方正仿宋_GBK"/>
          <w:snapToGrid w:val="0"/>
          <w:color w:val="000000"/>
          <w:kern w:val="32"/>
          <w:sz w:val="24"/>
        </w:rPr>
        <w:t>）或者取消项目负责人承担过类似工程业绩条件，改为资格后审重新发布招标公告。</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第十七条招标人编制的资格预审文件或者招标文件不得含有以下内容：</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（一）设定与招标项目的具体特点和实际需要不相适应的资格、技术、商务条件；</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（二）以特定行政区域或者特定行业的业绩、奖项作为加分或者通过资格审查的条件；</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（三）对潜在投标人或者投标人采用不同的资格审查标准；</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（四）非法限定潜在投标人或者投标人的所有制形式或者组织形式；</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（五）以其他不合理条件限制、排斥潜在投标人或者投标人：</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提高潜在投标人、投标人或者项目负责人的资质（资格）等级，对企业注册地提出要求的；</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施工总承包项目，招标人要求投标人同时具备总承包资质承接范围内的专业承包资质的，但钢结构分部工程估算价超过总承包工程项目估算价</w:t>
      </w:r>
      <w:r>
        <w:rPr>
          <w:rFonts w:eastAsia="方正仿宋_GBK"/>
          <w:snapToGrid w:val="0"/>
          <w:color w:val="000000"/>
          <w:kern w:val="32"/>
          <w:sz w:val="24"/>
        </w:rPr>
        <w:t>50%</w:t>
      </w:r>
      <w:r>
        <w:rPr>
          <w:rFonts w:hint="eastAsia" w:eastAsia="方正仿宋_GBK"/>
          <w:snapToGrid w:val="0"/>
          <w:color w:val="000000"/>
          <w:kern w:val="32"/>
          <w:sz w:val="24"/>
        </w:rPr>
        <w:t>的除外；</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专业工程发包，招标人要求投标人同时具备两个及以上的专业承包资质的，不允许联合体参加投标的；</w:t>
      </w:r>
    </w:p>
    <w:p>
      <w:pPr>
        <w:tabs>
          <w:tab w:val="left" w:pos="0"/>
        </w:tabs>
        <w:spacing w:line="480" w:lineRule="exact"/>
        <w:ind w:firstLine="594" w:firstLineChars="252"/>
        <w:rPr>
          <w:rFonts w:eastAsia="方正仿宋_GBK"/>
          <w:snapToGrid w:val="0"/>
          <w:color w:val="000000"/>
          <w:kern w:val="32"/>
          <w:sz w:val="24"/>
        </w:rPr>
      </w:pPr>
      <w:r>
        <w:rPr>
          <w:rFonts w:eastAsia="方正仿宋_GBK"/>
          <w:snapToGrid w:val="0"/>
          <w:color w:val="000000"/>
          <w:kern w:val="32"/>
          <w:sz w:val="24"/>
        </w:rPr>
        <w:t>4.</w:t>
      </w:r>
      <w:r>
        <w:rPr>
          <w:rFonts w:hint="eastAsia" w:eastAsia="方正仿宋_GBK"/>
          <w:snapToGrid w:val="0"/>
          <w:color w:val="000000"/>
          <w:kern w:val="32"/>
          <w:sz w:val="24"/>
        </w:rPr>
        <w:t>单一的房屋建筑或市政工程总承包招标时</w:t>
      </w:r>
      <w:r>
        <w:rPr>
          <w:rFonts w:eastAsia="方正仿宋_GBK"/>
          <w:snapToGrid w:val="0"/>
          <w:color w:val="000000"/>
          <w:kern w:val="32"/>
          <w:sz w:val="24"/>
        </w:rPr>
        <w:t>,</w:t>
      </w:r>
      <w:r>
        <w:rPr>
          <w:rFonts w:hint="eastAsia" w:eastAsia="方正仿宋_GBK"/>
          <w:snapToGrid w:val="0"/>
          <w:color w:val="000000"/>
          <w:kern w:val="32"/>
          <w:sz w:val="24"/>
        </w:rPr>
        <w:t>一个招标项目</w:t>
      </w:r>
      <w:r>
        <w:rPr>
          <w:rFonts w:eastAsia="方正仿宋_GBK"/>
          <w:snapToGrid w:val="0"/>
          <w:color w:val="000000"/>
          <w:kern w:val="32"/>
          <w:sz w:val="24"/>
        </w:rPr>
        <w:t>(</w:t>
      </w:r>
      <w:r>
        <w:rPr>
          <w:rFonts w:hint="eastAsia" w:eastAsia="方正仿宋_GBK"/>
          <w:snapToGrid w:val="0"/>
          <w:color w:val="000000"/>
          <w:kern w:val="32"/>
          <w:sz w:val="24"/>
        </w:rPr>
        <w:t>标段</w:t>
      </w:r>
      <w:r>
        <w:rPr>
          <w:rFonts w:eastAsia="方正仿宋_GBK"/>
          <w:snapToGrid w:val="0"/>
          <w:color w:val="000000"/>
          <w:kern w:val="32"/>
          <w:sz w:val="24"/>
        </w:rPr>
        <w:t>)</w:t>
      </w:r>
      <w:r>
        <w:rPr>
          <w:rFonts w:hint="eastAsia" w:eastAsia="方正仿宋_GBK"/>
          <w:snapToGrid w:val="0"/>
          <w:color w:val="000000"/>
          <w:kern w:val="32"/>
          <w:sz w:val="24"/>
        </w:rPr>
        <w:t>要求投标人同时具备两个及以上类别的总承包资质的。</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第十八条</w:t>
      </w:r>
      <w:r>
        <w:rPr>
          <w:rFonts w:eastAsia="方正仿宋_GBK"/>
          <w:snapToGrid w:val="0"/>
          <w:color w:val="000000"/>
          <w:kern w:val="32"/>
          <w:sz w:val="24"/>
        </w:rPr>
        <w:t xml:space="preserve"> </w:t>
      </w:r>
      <w:r>
        <w:rPr>
          <w:rFonts w:hint="eastAsia" w:eastAsia="方正仿宋_GBK"/>
          <w:snapToGrid w:val="0"/>
          <w:color w:val="000000"/>
          <w:kern w:val="32"/>
          <w:sz w:val="24"/>
        </w:rPr>
        <w:t>联合体投标的，联合体各成员单位应当具备与联合体协议中约定的分工相适应的施工资质和施工能力。</w:t>
      </w:r>
    </w:p>
    <w:p>
      <w:pPr>
        <w:tabs>
          <w:tab w:val="left" w:pos="0"/>
        </w:tabs>
        <w:spacing w:line="480" w:lineRule="exact"/>
        <w:rPr>
          <w:rFonts w:eastAsia="方正仿宋_GBK"/>
          <w:snapToGrid w:val="0"/>
          <w:color w:val="000000"/>
          <w:kern w:val="32"/>
          <w:sz w:val="24"/>
        </w:rPr>
      </w:pPr>
      <w:r>
        <w:rPr>
          <w:rFonts w:hint="eastAsia" w:eastAsia="方正仿宋_GBK"/>
          <w:snapToGrid w:val="0"/>
          <w:color w:val="000000"/>
          <w:kern w:val="32"/>
          <w:sz w:val="24"/>
        </w:rPr>
        <w:t>第三章</w:t>
      </w:r>
      <w:r>
        <w:rPr>
          <w:rFonts w:eastAsia="方正仿宋_GBK"/>
          <w:snapToGrid w:val="0"/>
          <w:color w:val="000000"/>
          <w:kern w:val="32"/>
          <w:sz w:val="24"/>
        </w:rPr>
        <w:t xml:space="preserve"> </w:t>
      </w:r>
      <w:r>
        <w:rPr>
          <w:rFonts w:hint="eastAsia" w:eastAsia="方正仿宋_GBK"/>
          <w:snapToGrid w:val="0"/>
          <w:color w:val="000000"/>
          <w:kern w:val="32"/>
          <w:sz w:val="24"/>
        </w:rPr>
        <w:t>资格审查</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第十九条</w:t>
      </w:r>
      <w:r>
        <w:rPr>
          <w:rFonts w:eastAsia="方正仿宋_GBK"/>
          <w:snapToGrid w:val="0"/>
          <w:color w:val="000000"/>
          <w:kern w:val="32"/>
          <w:sz w:val="24"/>
        </w:rPr>
        <w:t xml:space="preserve"> </w:t>
      </w:r>
      <w:r>
        <w:rPr>
          <w:rFonts w:hint="eastAsia" w:eastAsia="方正仿宋_GBK"/>
          <w:snapToGrid w:val="0"/>
          <w:color w:val="000000"/>
          <w:kern w:val="32"/>
          <w:sz w:val="24"/>
        </w:rPr>
        <w:t>申请人应当按照资格预审文件要求在资格预审申请文件的截止时间前提交资格预审申请文件。资格预审开始时间与提交资格预审申请文件的截止时间一致。</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在资格预审文件要求提交资格预审申请文件的截止时间后送达的资格预审申请文件，招标人应当拒绝。</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第二十条</w:t>
      </w:r>
      <w:r>
        <w:rPr>
          <w:rFonts w:eastAsia="方正仿宋_GBK"/>
          <w:snapToGrid w:val="0"/>
          <w:color w:val="000000"/>
          <w:kern w:val="32"/>
          <w:sz w:val="24"/>
        </w:rPr>
        <w:t xml:space="preserve"> </w:t>
      </w:r>
      <w:r>
        <w:rPr>
          <w:rFonts w:hint="eastAsia" w:eastAsia="方正仿宋_GBK"/>
          <w:snapToGrid w:val="0"/>
          <w:color w:val="000000"/>
          <w:kern w:val="32"/>
          <w:sz w:val="24"/>
        </w:rPr>
        <w:t>申请人在规定的提交截止时间前，可以对已经提交的资格预审申请文件进行替换或者撤回。</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第二十一条</w:t>
      </w:r>
      <w:r>
        <w:rPr>
          <w:rFonts w:eastAsia="方正仿宋_GBK"/>
          <w:snapToGrid w:val="0"/>
          <w:color w:val="000000"/>
          <w:kern w:val="32"/>
          <w:sz w:val="24"/>
        </w:rPr>
        <w:t xml:space="preserve"> </w:t>
      </w:r>
      <w:r>
        <w:rPr>
          <w:rFonts w:hint="eastAsia" w:eastAsia="方正仿宋_GBK"/>
          <w:snapToGrid w:val="0"/>
          <w:color w:val="000000"/>
          <w:kern w:val="32"/>
          <w:sz w:val="24"/>
        </w:rPr>
        <w:t>招标人采用资格预审方式对申请人进行资格审查的，应当组建资格审查委员会。评审专家应当从省级建设行政主管部门设立的评标专家名册或公共资源综合专家库中随机抽取。资格审查委员会成员名单在评审工作结束前应当保密。</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招标人采用资格后审方式进行资格审查的，应当在开标后由评标委员会按照招标文件规定的标准和方法对投标人的资格进行审查。</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第二十二条</w:t>
      </w:r>
      <w:r>
        <w:rPr>
          <w:rFonts w:eastAsia="方正仿宋_GBK"/>
          <w:snapToGrid w:val="0"/>
          <w:color w:val="000000"/>
          <w:kern w:val="32"/>
          <w:sz w:val="24"/>
        </w:rPr>
        <w:t xml:space="preserve"> </w:t>
      </w:r>
      <w:r>
        <w:rPr>
          <w:rFonts w:hint="eastAsia" w:eastAsia="方正仿宋_GBK"/>
          <w:snapToGrid w:val="0"/>
          <w:color w:val="000000"/>
          <w:kern w:val="32"/>
          <w:sz w:val="24"/>
        </w:rPr>
        <w:t>对申请人或投标人的资格审查，应当严格按照资格预审文件或者招标文件中规定的审查标准和办法进行。资格预审文件或者招标文件中没有载明的审查标准和办法不得作为评审的依据。否则，应当责令资格审查委员会重新进行评审。</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第二十三条</w:t>
      </w:r>
      <w:r>
        <w:rPr>
          <w:rFonts w:eastAsia="方正仿宋_GBK"/>
          <w:snapToGrid w:val="0"/>
          <w:color w:val="000000"/>
          <w:kern w:val="32"/>
          <w:sz w:val="24"/>
        </w:rPr>
        <w:t xml:space="preserve"> </w:t>
      </w:r>
      <w:r>
        <w:rPr>
          <w:rFonts w:hint="eastAsia" w:eastAsia="方正仿宋_GBK"/>
          <w:snapToGrid w:val="0"/>
          <w:color w:val="000000"/>
          <w:kern w:val="32"/>
          <w:sz w:val="24"/>
        </w:rPr>
        <w:t>对资格预审申请文件中不明确的内容或者缺乏证明材料的，资格审查委员会可以要求申请人进行澄清。澄清应当采用书面形式，并不得改变资格预审申请文件的实质性内容。</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申请人澄清的内容属于资格预审申请文件的组成部分。</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资格审查委员会不接受申请人主动提出的澄清。</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第二十四条</w:t>
      </w:r>
      <w:r>
        <w:rPr>
          <w:rFonts w:eastAsia="方正仿宋_GBK"/>
          <w:snapToGrid w:val="0"/>
          <w:color w:val="000000"/>
          <w:kern w:val="32"/>
          <w:sz w:val="24"/>
        </w:rPr>
        <w:t xml:space="preserve"> </w:t>
      </w:r>
      <w:r>
        <w:rPr>
          <w:rFonts w:hint="eastAsia" w:eastAsia="方正仿宋_GBK"/>
          <w:snapToGrid w:val="0"/>
          <w:color w:val="000000"/>
          <w:kern w:val="32"/>
          <w:sz w:val="24"/>
        </w:rPr>
        <w:t>资格审查委员会在审查申请人的业绩、信誉、主要人员情况等内容时，可以对重要内容进行核实，经核实存在弄虚作假的，不予通过资格审查。</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第二十五条</w:t>
      </w:r>
      <w:r>
        <w:rPr>
          <w:rFonts w:eastAsia="方正仿宋_GBK"/>
          <w:snapToGrid w:val="0"/>
          <w:color w:val="000000"/>
          <w:kern w:val="32"/>
          <w:sz w:val="24"/>
        </w:rPr>
        <w:t xml:space="preserve"> </w:t>
      </w:r>
      <w:r>
        <w:rPr>
          <w:rFonts w:hint="eastAsia" w:eastAsia="方正仿宋_GBK"/>
          <w:snapToGrid w:val="0"/>
          <w:color w:val="000000"/>
          <w:kern w:val="32"/>
          <w:sz w:val="24"/>
        </w:rPr>
        <w:t>资格预审的评审工作结束后，由资格审查委员会编制资格评审报告，其内容包括：</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（一）资格审查基本情况；</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（二）申请人未通过资格预审的主要理由及相关证明；</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（三）采用合格制的，提供通过资格预审的申请人名单；采用有限数量制的，提供通过资格预审的申请人排序表名单；</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（四）资格审查记录表等附件。</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采用资格后审的，评标报告中应当包括对投标人进行资格审查的情况。</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第二十六条</w:t>
      </w:r>
      <w:r>
        <w:rPr>
          <w:rFonts w:eastAsia="方正仿宋_GBK"/>
          <w:snapToGrid w:val="0"/>
          <w:color w:val="000000"/>
          <w:kern w:val="32"/>
          <w:sz w:val="24"/>
        </w:rPr>
        <w:t xml:space="preserve"> </w:t>
      </w:r>
      <w:r>
        <w:rPr>
          <w:rFonts w:hint="eastAsia" w:eastAsia="方正仿宋_GBK"/>
          <w:snapToGrid w:val="0"/>
          <w:color w:val="000000"/>
          <w:kern w:val="32"/>
          <w:sz w:val="24"/>
        </w:rPr>
        <w:t>资格预审结束后，招标人应当及时向申请人发出资格预审结果通知书，并将资格预审报告抄送招投标监管机构，在</w:t>
      </w:r>
      <w:bookmarkStart w:id="728" w:name="_Hlk485482848"/>
      <w:r>
        <w:rPr>
          <w:rFonts w:hint="eastAsia" w:eastAsia="方正仿宋_GBK"/>
          <w:snapToGrid w:val="0"/>
          <w:color w:val="000000"/>
          <w:kern w:val="32"/>
          <w:sz w:val="24"/>
        </w:rPr>
        <w:t>资格预审公告发布</w:t>
      </w:r>
      <w:bookmarkEnd w:id="728"/>
      <w:r>
        <w:rPr>
          <w:rFonts w:hint="eastAsia" w:eastAsia="方正仿宋_GBK"/>
          <w:snapToGrid w:val="0"/>
          <w:color w:val="000000"/>
          <w:kern w:val="32"/>
          <w:sz w:val="24"/>
        </w:rPr>
        <w:t>媒介上公示资格预审不合格的申请人的名单和原因，公示期不少于</w:t>
      </w:r>
      <w:r>
        <w:rPr>
          <w:rFonts w:eastAsia="方正仿宋_GBK"/>
          <w:snapToGrid w:val="0"/>
          <w:color w:val="000000"/>
          <w:kern w:val="32"/>
          <w:sz w:val="24"/>
        </w:rPr>
        <w:t>3</w:t>
      </w:r>
      <w:r>
        <w:rPr>
          <w:rFonts w:hint="eastAsia" w:eastAsia="方正仿宋_GBK"/>
          <w:snapToGrid w:val="0"/>
          <w:color w:val="000000"/>
          <w:kern w:val="32"/>
          <w:sz w:val="24"/>
        </w:rPr>
        <w:t>日。</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第二十七条资格预审活动中出现下列情况之一的，招标人应当按照相关规定重新组建资格审查委员会进行评审：</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（一）使用资格预审文件未规定的评审标准和方法且拒不改正的；</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（二）应当回避担任资格审查委员会成员的人参与评审的；</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（三）资格审查委员会的组建及人员组成不符合要求的；</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（四）资格审查委员会及其成员在评审过程中有违法行为，且影响评审结果的；</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（五）法律、行政法规规定的其他情况。</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第二十八条</w:t>
      </w:r>
      <w:r>
        <w:rPr>
          <w:rFonts w:eastAsia="方正仿宋_GBK"/>
          <w:snapToGrid w:val="0"/>
          <w:color w:val="000000"/>
          <w:kern w:val="32"/>
          <w:sz w:val="24"/>
        </w:rPr>
        <w:t xml:space="preserve"> </w:t>
      </w:r>
      <w:r>
        <w:rPr>
          <w:rFonts w:hint="eastAsia" w:eastAsia="方正仿宋_GBK"/>
          <w:snapToGrid w:val="0"/>
          <w:color w:val="000000"/>
          <w:kern w:val="32"/>
          <w:sz w:val="24"/>
        </w:rPr>
        <w:t>投标文件确定的项目负责人与资格预审结果不一致的，采用有限数量制资格预审的，应当在投标文件截止时间前征得招标人书面同意（项目负责人进行答辩的不得更换），并由原资格审查委员会审查确定；采用合格制资格预审的项目，应当在投标文件截止时间前征得招标人书面同意，在评标时，由评标委员会按照资格预审文件规定的标准和方法审查确认。</w:t>
      </w:r>
    </w:p>
    <w:p>
      <w:pPr>
        <w:tabs>
          <w:tab w:val="left" w:pos="0"/>
        </w:tabs>
        <w:spacing w:line="480" w:lineRule="exact"/>
        <w:rPr>
          <w:rFonts w:eastAsia="方正仿宋_GBK"/>
          <w:snapToGrid w:val="0"/>
          <w:color w:val="000000"/>
          <w:kern w:val="32"/>
          <w:sz w:val="24"/>
        </w:rPr>
      </w:pPr>
      <w:r>
        <w:rPr>
          <w:rFonts w:hint="eastAsia" w:eastAsia="方正仿宋_GBK"/>
          <w:snapToGrid w:val="0"/>
          <w:color w:val="000000"/>
          <w:kern w:val="32"/>
          <w:sz w:val="24"/>
        </w:rPr>
        <w:t>第四章</w:t>
      </w:r>
      <w:r>
        <w:rPr>
          <w:rFonts w:eastAsia="方正仿宋_GBK"/>
          <w:snapToGrid w:val="0"/>
          <w:color w:val="000000"/>
          <w:kern w:val="32"/>
          <w:sz w:val="24"/>
        </w:rPr>
        <w:t xml:space="preserve"> </w:t>
      </w:r>
      <w:r>
        <w:rPr>
          <w:rFonts w:hint="eastAsia" w:eastAsia="方正仿宋_GBK"/>
          <w:snapToGrid w:val="0"/>
          <w:color w:val="000000"/>
          <w:kern w:val="32"/>
          <w:sz w:val="24"/>
        </w:rPr>
        <w:t>附则</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第二十九条</w:t>
      </w:r>
      <w:r>
        <w:rPr>
          <w:rFonts w:eastAsia="方正仿宋_GBK"/>
          <w:snapToGrid w:val="0"/>
          <w:color w:val="000000"/>
          <w:kern w:val="32"/>
          <w:sz w:val="24"/>
        </w:rPr>
        <w:t xml:space="preserve"> </w:t>
      </w:r>
      <w:r>
        <w:rPr>
          <w:rFonts w:hint="eastAsia" w:eastAsia="方正仿宋_GBK"/>
          <w:snapToGrid w:val="0"/>
          <w:color w:val="000000"/>
          <w:kern w:val="32"/>
          <w:sz w:val="24"/>
        </w:rPr>
        <w:t>投标人存在串通投标、以他人名义投标、弄虚作假等违法违规行为，或者无正当理由放弃投标、中标资格，造成项目招标失败的，不得参加该项目重新招标的投标。</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第三十条</w:t>
      </w:r>
      <w:r>
        <w:rPr>
          <w:rFonts w:eastAsia="方正仿宋_GBK"/>
          <w:snapToGrid w:val="0"/>
          <w:color w:val="000000"/>
          <w:kern w:val="32"/>
          <w:sz w:val="24"/>
        </w:rPr>
        <w:t xml:space="preserve"> </w:t>
      </w:r>
      <w:r>
        <w:rPr>
          <w:rFonts w:hint="eastAsia" w:eastAsia="方正仿宋_GBK"/>
          <w:snapToGrid w:val="0"/>
          <w:color w:val="000000"/>
          <w:kern w:val="32"/>
          <w:sz w:val="24"/>
        </w:rPr>
        <w:t>在资格审查活动中，有违反法律、法规、规章行为的，由建设行政主管部门依照法律、法规、规章的规定予以处理或者处罚。</w:t>
      </w:r>
    </w:p>
    <w:p>
      <w:pPr>
        <w:tabs>
          <w:tab w:val="left" w:pos="0"/>
        </w:tabs>
        <w:spacing w:line="540" w:lineRule="exact"/>
        <w:ind w:firstLine="638" w:firstLineChars="202"/>
        <w:outlineLvl w:val="0"/>
        <w:rPr>
          <w:rFonts w:eastAsia="方正仿宋_GBK"/>
          <w:snapToGrid w:val="0"/>
          <w:color w:val="000000"/>
          <w:kern w:val="32"/>
          <w:sz w:val="32"/>
        </w:rPr>
      </w:pPr>
    </w:p>
    <w:p>
      <w:pPr>
        <w:spacing w:line="570" w:lineRule="exact"/>
        <w:rPr>
          <w:rFonts w:ascii="Times New Roman" w:eastAsia="方正黑体_GBK"/>
          <w:snapToGrid w:val="0"/>
          <w:color w:val="000000"/>
          <w:kern w:val="0"/>
          <w:sz w:val="32"/>
        </w:rPr>
      </w:pPr>
      <w:r>
        <w:rPr>
          <w:rFonts w:eastAsia="方正仿宋_GBK"/>
          <w:snapToGrid w:val="0"/>
          <w:color w:val="000000"/>
          <w:kern w:val="32"/>
          <w:sz w:val="32"/>
        </w:rPr>
        <w:br w:type="page"/>
      </w:r>
      <w:r>
        <w:rPr>
          <w:rFonts w:hint="eastAsia" w:ascii="Times New Roman" w:eastAsia="方正黑体_GBK"/>
          <w:snapToGrid w:val="0"/>
          <w:color w:val="000000"/>
          <w:kern w:val="0"/>
          <w:sz w:val="32"/>
        </w:rPr>
        <w:t>附件3</w:t>
      </w:r>
    </w:p>
    <w:p>
      <w:pPr>
        <w:tabs>
          <w:tab w:val="left" w:pos="0"/>
        </w:tabs>
        <w:spacing w:line="540" w:lineRule="exact"/>
        <w:outlineLvl w:val="0"/>
        <w:rPr>
          <w:rFonts w:hint="eastAsia" w:eastAsia="方正仿宋_GBK"/>
          <w:snapToGrid w:val="0"/>
          <w:color w:val="000000"/>
          <w:kern w:val="32"/>
          <w:sz w:val="32"/>
        </w:rPr>
      </w:pPr>
    </w:p>
    <w:p>
      <w:pPr>
        <w:spacing w:line="570" w:lineRule="exact"/>
        <w:jc w:val="center"/>
        <w:rPr>
          <w:rFonts w:ascii="Times New Roman" w:eastAsia="方正小标宋_GBK"/>
          <w:snapToGrid w:val="0"/>
          <w:color w:val="000000"/>
          <w:kern w:val="0"/>
          <w:sz w:val="36"/>
          <w:szCs w:val="36"/>
        </w:rPr>
      </w:pPr>
      <w:r>
        <w:rPr>
          <w:rFonts w:hint="eastAsia" w:ascii="Times New Roman" w:eastAsia="方正小标宋_GBK"/>
          <w:snapToGrid w:val="0"/>
          <w:color w:val="000000"/>
          <w:kern w:val="0"/>
          <w:sz w:val="36"/>
          <w:szCs w:val="36"/>
        </w:rPr>
        <w:t>江苏省房屋建筑和市政基础设施工程</w:t>
      </w:r>
    </w:p>
    <w:p>
      <w:pPr>
        <w:spacing w:line="570" w:lineRule="exact"/>
        <w:jc w:val="center"/>
        <w:rPr>
          <w:rFonts w:hint="eastAsia" w:ascii="Times New Roman" w:eastAsia="方正小标宋_GBK"/>
          <w:snapToGrid w:val="0"/>
          <w:color w:val="000000"/>
          <w:kern w:val="0"/>
          <w:sz w:val="36"/>
          <w:szCs w:val="36"/>
        </w:rPr>
      </w:pPr>
      <w:r>
        <w:rPr>
          <w:rFonts w:hint="eastAsia" w:ascii="Times New Roman" w:eastAsia="方正小标宋_GBK"/>
          <w:snapToGrid w:val="0"/>
          <w:color w:val="000000"/>
          <w:kern w:val="0"/>
          <w:sz w:val="36"/>
          <w:szCs w:val="36"/>
        </w:rPr>
        <w:t>施工招标评标办法</w:t>
      </w:r>
    </w:p>
    <w:p>
      <w:pPr>
        <w:tabs>
          <w:tab w:val="left" w:pos="0"/>
        </w:tabs>
        <w:spacing w:line="540" w:lineRule="exact"/>
        <w:ind w:firstLine="559" w:firstLineChars="177"/>
        <w:jc w:val="center"/>
        <w:outlineLvl w:val="0"/>
        <w:rPr>
          <w:rFonts w:hint="eastAsia" w:eastAsia="方正仿宋_GBK"/>
          <w:snapToGrid w:val="0"/>
          <w:color w:val="000000"/>
          <w:kern w:val="32"/>
          <w:sz w:val="32"/>
        </w:rPr>
      </w:pP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第一条</w:t>
      </w:r>
      <w:r>
        <w:rPr>
          <w:rFonts w:eastAsia="方正仿宋_GBK"/>
          <w:snapToGrid w:val="0"/>
          <w:color w:val="000000"/>
          <w:kern w:val="32"/>
          <w:sz w:val="24"/>
        </w:rPr>
        <w:t xml:space="preserve"> </w:t>
      </w:r>
      <w:r>
        <w:rPr>
          <w:rFonts w:hint="eastAsia" w:eastAsia="方正仿宋_GBK"/>
          <w:snapToGrid w:val="0"/>
          <w:color w:val="000000"/>
          <w:kern w:val="32"/>
          <w:sz w:val="24"/>
        </w:rPr>
        <w:t>为进一步规范我省房屋建筑和市政基础设施工程施工招标评标活动，根据招标投标相关法律、法规、规章的规定，结合我省实际，制定本办法。</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第二条</w:t>
      </w:r>
      <w:r>
        <w:rPr>
          <w:rFonts w:eastAsia="方正仿宋_GBK"/>
          <w:snapToGrid w:val="0"/>
          <w:color w:val="000000"/>
          <w:kern w:val="32"/>
          <w:sz w:val="24"/>
        </w:rPr>
        <w:t xml:space="preserve"> </w:t>
      </w:r>
      <w:r>
        <w:rPr>
          <w:rFonts w:hint="eastAsia" w:eastAsia="方正仿宋_GBK"/>
          <w:snapToGrid w:val="0"/>
          <w:color w:val="000000"/>
          <w:kern w:val="32"/>
          <w:sz w:val="24"/>
        </w:rPr>
        <w:t>我省行政区域内，国有资金占控股或者主导地位的依法必须进行招标的施工项目的评标活动，适用本办法。</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第三条</w:t>
      </w:r>
      <w:r>
        <w:rPr>
          <w:rFonts w:eastAsia="方正仿宋_GBK"/>
          <w:snapToGrid w:val="0"/>
          <w:color w:val="000000"/>
          <w:kern w:val="32"/>
          <w:sz w:val="24"/>
        </w:rPr>
        <w:t xml:space="preserve"> </w:t>
      </w:r>
      <w:r>
        <w:rPr>
          <w:rFonts w:hint="eastAsia" w:eastAsia="方正仿宋_GBK"/>
          <w:snapToGrid w:val="0"/>
          <w:color w:val="000000"/>
          <w:kern w:val="32"/>
          <w:sz w:val="24"/>
        </w:rPr>
        <w:t>评标办法包括“综合评估法”、“经评审的最低投标价法”、“合理低价法”、“合理价随机确定中标人法”和法律、法规允许的其他方法。</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第四条</w:t>
      </w:r>
      <w:r>
        <w:rPr>
          <w:rFonts w:eastAsia="方正仿宋_GBK"/>
          <w:snapToGrid w:val="0"/>
          <w:color w:val="000000"/>
          <w:kern w:val="32"/>
          <w:sz w:val="24"/>
        </w:rPr>
        <w:t xml:space="preserve"> </w:t>
      </w:r>
      <w:r>
        <w:rPr>
          <w:rFonts w:hint="eastAsia" w:eastAsia="方正仿宋_GBK"/>
          <w:snapToGrid w:val="0"/>
          <w:color w:val="000000"/>
          <w:kern w:val="32"/>
          <w:sz w:val="24"/>
        </w:rPr>
        <w:t>经评审的最低投标价法、合理低价法、合理价随机确定中标人法，适用于具有通用技术标准或者招标人对其技术、性能没有特殊要求的工程。中、小型工程提倡采用合理价随机确定中标人法。</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综合评估法一般适用于技术复杂工程或者特大型工程。</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第五条</w:t>
      </w:r>
      <w:r>
        <w:rPr>
          <w:rFonts w:eastAsia="方正仿宋_GBK"/>
          <w:snapToGrid w:val="0"/>
          <w:color w:val="000000"/>
          <w:kern w:val="32"/>
          <w:sz w:val="24"/>
        </w:rPr>
        <w:t xml:space="preserve"> </w:t>
      </w:r>
      <w:r>
        <w:rPr>
          <w:rFonts w:hint="eastAsia" w:eastAsia="方正仿宋_GBK"/>
          <w:snapToGrid w:val="0"/>
          <w:color w:val="000000"/>
          <w:kern w:val="32"/>
          <w:sz w:val="24"/>
        </w:rPr>
        <w:t>评标入围。招标人可以在招标文件中明确评标入围条件和评标入围方法，确定一定数量的投标人进行后续评标。</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（一）投标文件存在下列情况之一的，不再进行后续评标：</w:t>
      </w:r>
    </w:p>
    <w:p>
      <w:pPr>
        <w:tabs>
          <w:tab w:val="left" w:pos="0"/>
        </w:tabs>
        <w:spacing w:line="480" w:lineRule="exact"/>
        <w:ind w:right="-36" w:firstLine="594" w:firstLineChars="252"/>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至投标截止时间止，未足额递交投标保证金；</w:t>
      </w:r>
    </w:p>
    <w:p>
      <w:pPr>
        <w:tabs>
          <w:tab w:val="left" w:pos="0"/>
        </w:tabs>
        <w:spacing w:line="480" w:lineRule="exact"/>
        <w:ind w:right="-36" w:firstLine="594" w:firstLineChars="252"/>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投标函中载明的招标项目完成期限超过招标文件规定的期限；</w:t>
      </w:r>
    </w:p>
    <w:p>
      <w:pPr>
        <w:tabs>
          <w:tab w:val="left" w:pos="0"/>
        </w:tabs>
        <w:spacing w:line="480" w:lineRule="exact"/>
        <w:ind w:right="-36" w:firstLine="594" w:firstLineChars="252"/>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投标函中载明的投标质量标准未响应招标文件的实质性要求和条件；</w:t>
      </w:r>
    </w:p>
    <w:p>
      <w:pPr>
        <w:tabs>
          <w:tab w:val="left" w:pos="0"/>
        </w:tabs>
        <w:spacing w:line="480" w:lineRule="exact"/>
        <w:ind w:right="-36" w:firstLine="594" w:firstLineChars="252"/>
        <w:rPr>
          <w:rFonts w:eastAsia="方正仿宋_GBK"/>
          <w:snapToGrid w:val="0"/>
          <w:color w:val="000000"/>
          <w:kern w:val="32"/>
          <w:sz w:val="24"/>
        </w:rPr>
      </w:pPr>
      <w:r>
        <w:rPr>
          <w:rFonts w:eastAsia="方正仿宋_GBK"/>
          <w:snapToGrid w:val="0"/>
          <w:color w:val="000000"/>
          <w:kern w:val="32"/>
          <w:sz w:val="24"/>
        </w:rPr>
        <w:t>4.</w:t>
      </w:r>
      <w:r>
        <w:rPr>
          <w:rFonts w:hint="eastAsia" w:eastAsia="方正仿宋_GBK"/>
          <w:snapToGrid w:val="0"/>
          <w:color w:val="000000"/>
          <w:kern w:val="32"/>
          <w:sz w:val="24"/>
        </w:rPr>
        <w:t>投标函中载明的投标报价高于</w:t>
      </w:r>
      <w:r>
        <w:rPr>
          <w:rFonts w:hint="eastAsia" w:ascii="Times New Roman" w:hAnsi="Times New Roman" w:eastAsia="仿宋_GB2312"/>
          <w:color w:val="000000"/>
          <w:sz w:val="24"/>
        </w:rPr>
        <w:t>招标控制价或者招标人期望值</w:t>
      </w:r>
      <w:r>
        <w:rPr>
          <w:rFonts w:hint="eastAsia" w:eastAsia="方正仿宋_GBK"/>
          <w:snapToGrid w:val="0"/>
          <w:color w:val="000000"/>
          <w:kern w:val="32"/>
          <w:sz w:val="24"/>
        </w:rPr>
        <w:t>的（招标控制价乘以</w:t>
      </w:r>
      <w:r>
        <w:rPr>
          <w:rFonts w:eastAsia="方正仿宋_GBK"/>
          <w:snapToGrid w:val="0"/>
          <w:color w:val="000000"/>
          <w:kern w:val="32"/>
          <w:sz w:val="24"/>
        </w:rPr>
        <w:t>95%-100%</w:t>
      </w:r>
      <w:r>
        <w:rPr>
          <w:rFonts w:hint="eastAsia" w:eastAsia="方正仿宋_GBK"/>
          <w:snapToGrid w:val="0"/>
          <w:color w:val="000000"/>
          <w:kern w:val="32"/>
          <w:sz w:val="24"/>
        </w:rPr>
        <w:t>，具体数值在招标文件中明确）。</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招标人应在招标文件中载明评标入围的合格条件，并明确开标后初步评审前，由评标委员会根据招标文件载明的评标入围合格条件，确定进入后续评标或评标入围的投标文件。</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（二）当满足评标入围条件的投标文件超过</w:t>
      </w:r>
      <w:r>
        <w:rPr>
          <w:rFonts w:eastAsia="方正仿宋_GBK"/>
          <w:snapToGrid w:val="0"/>
          <w:color w:val="000000"/>
          <w:kern w:val="32"/>
          <w:sz w:val="24"/>
        </w:rPr>
        <w:t>20</w:t>
      </w:r>
      <w:r>
        <w:rPr>
          <w:rFonts w:hint="eastAsia" w:eastAsia="方正仿宋_GBK"/>
          <w:snapToGrid w:val="0"/>
          <w:color w:val="000000"/>
          <w:kern w:val="32"/>
          <w:sz w:val="24"/>
        </w:rPr>
        <w:t>家时，评标委员会根据招标文件规定的评标入围方法和数量，确定进入后续评标程序入围投标人。采用经评审的最低投标价法和合理低价法的，一般在评标入围评审后，确定评标入围的投标人；采用综合评估法的，可在初步评审结束后进入评标入围环节，确定评标入围的投标人。</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第六条</w:t>
      </w:r>
      <w:r>
        <w:rPr>
          <w:rFonts w:eastAsia="方正仿宋_GBK"/>
          <w:snapToGrid w:val="0"/>
          <w:color w:val="000000"/>
          <w:kern w:val="32"/>
          <w:sz w:val="24"/>
        </w:rPr>
        <w:t xml:space="preserve"> </w:t>
      </w:r>
      <w:r>
        <w:rPr>
          <w:rFonts w:hint="eastAsia" w:eastAsia="方正仿宋_GBK"/>
          <w:snapToGrid w:val="0"/>
          <w:color w:val="000000"/>
          <w:kern w:val="32"/>
          <w:sz w:val="24"/>
        </w:rPr>
        <w:t>投标文件有下列情况之一的，属于重大偏差，视为未能对招标文件作出实质性响应，应当作为无效投标予以否决：</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投标文件中的投标函未加盖投标人的公章；</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投标文件中的投标函未加盖企业法定代表人（或企业法定代表人委托代理人）印章（或签字）的；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投标函加盖企业法定代表人委托代理人印章（或签字），企业法定代表人委托代理人没有合法、有效的委托书（原件）的；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4.</w:t>
      </w:r>
      <w:r>
        <w:rPr>
          <w:rFonts w:hint="eastAsia" w:eastAsia="方正仿宋_GBK"/>
          <w:snapToGrid w:val="0"/>
          <w:color w:val="000000"/>
          <w:kern w:val="32"/>
          <w:sz w:val="24"/>
        </w:rPr>
        <w:t>投标人资质条件不符合国家有关规定，或者不满足招标文件规定的资格条件的；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5.</w:t>
      </w:r>
      <w:r>
        <w:rPr>
          <w:rFonts w:hint="eastAsia" w:eastAsia="方正仿宋_GBK"/>
          <w:snapToGrid w:val="0"/>
          <w:color w:val="000000"/>
          <w:kern w:val="32"/>
          <w:sz w:val="24"/>
        </w:rPr>
        <w:t>投标人名称或组织结构与资格预审时不一致的；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6.</w:t>
      </w:r>
      <w:r>
        <w:rPr>
          <w:rFonts w:hint="eastAsia" w:eastAsia="方正仿宋_GBK"/>
          <w:snapToGrid w:val="0"/>
          <w:color w:val="000000"/>
          <w:kern w:val="32"/>
          <w:sz w:val="24"/>
        </w:rPr>
        <w:t>除在投标截止时间前经招标人书面同意外，项目负责人与资格预审时不一致的；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7.</w:t>
      </w:r>
      <w:r>
        <w:rPr>
          <w:rFonts w:hint="eastAsia" w:eastAsia="方正仿宋_GBK"/>
          <w:snapToGrid w:val="0"/>
          <w:color w:val="000000"/>
          <w:kern w:val="32"/>
          <w:sz w:val="24"/>
        </w:rPr>
        <w:t>组成联合体投标未提供联合体各方共同投标协议的；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8.</w:t>
      </w:r>
      <w:r>
        <w:rPr>
          <w:rFonts w:hint="eastAsia" w:eastAsia="方正仿宋_GBK"/>
          <w:snapToGrid w:val="0"/>
          <w:color w:val="000000"/>
          <w:kern w:val="32"/>
          <w:sz w:val="24"/>
        </w:rPr>
        <w:t>在同一招标项目中，联合体成员以自己名义单独投标或者参加其他联合体投标的；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9.</w:t>
      </w:r>
      <w:r>
        <w:rPr>
          <w:rFonts w:hint="eastAsia" w:eastAsia="方正仿宋_GBK"/>
          <w:snapToGrid w:val="0"/>
          <w:color w:val="000000"/>
          <w:kern w:val="32"/>
          <w:sz w:val="24"/>
        </w:rPr>
        <w:t>联合体成员与资格预审确定的结果不一致的；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10.</w:t>
      </w:r>
      <w:r>
        <w:rPr>
          <w:rFonts w:hint="eastAsia" w:eastAsia="方正仿宋_GBK"/>
          <w:snapToGrid w:val="0"/>
          <w:color w:val="000000"/>
          <w:kern w:val="32"/>
          <w:sz w:val="24"/>
        </w:rPr>
        <w:t>投标报价低于工程成本或者高于招标文件设定的招标控制价或者招标人设置的投标限价的；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11.</w:t>
      </w:r>
      <w:r>
        <w:rPr>
          <w:rFonts w:hint="eastAsia" w:eastAsia="方正仿宋_GBK"/>
          <w:snapToGrid w:val="0"/>
          <w:color w:val="000000"/>
          <w:kern w:val="32"/>
          <w:sz w:val="24"/>
        </w:rPr>
        <w:t>同一投标人提交两个及以上不同的投标文件或者投标报价，但招标文件要求提交备选投标的除外；</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12.</w:t>
      </w:r>
      <w:r>
        <w:rPr>
          <w:rFonts w:hint="eastAsia" w:eastAsia="方正仿宋_GBK"/>
          <w:snapToGrid w:val="0"/>
          <w:color w:val="000000"/>
          <w:kern w:val="32"/>
          <w:sz w:val="24"/>
        </w:rPr>
        <w:t>投标文件中已标价工程量清单与招标文件规定的暂估价、暂列金额及甲供材料价格不一致的；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13.</w:t>
      </w:r>
      <w:r>
        <w:rPr>
          <w:rFonts w:hint="eastAsia" w:eastAsia="方正仿宋_GBK"/>
          <w:snapToGrid w:val="0"/>
          <w:color w:val="000000"/>
          <w:kern w:val="32"/>
          <w:sz w:val="24"/>
        </w:rPr>
        <w:t>投标文件中已标价工程量清单与招标文件明确列出的不可竞争费用项目或费率或计算基础不一致的；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14.</w:t>
      </w:r>
      <w:r>
        <w:rPr>
          <w:rFonts w:hint="eastAsia" w:eastAsia="方正仿宋_GBK"/>
          <w:snapToGrid w:val="0"/>
          <w:color w:val="000000"/>
          <w:kern w:val="32"/>
          <w:sz w:val="24"/>
        </w:rPr>
        <w:t>投标文件的已标价工程量清单与招标文件提供的工程量清单中的项目编码、项目名称、项目特征、计量单位、工程量不一致的；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15.</w:t>
      </w:r>
      <w:r>
        <w:rPr>
          <w:rFonts w:hint="eastAsia" w:eastAsia="方正仿宋_GBK"/>
          <w:snapToGrid w:val="0"/>
          <w:color w:val="000000"/>
          <w:kern w:val="32"/>
          <w:sz w:val="24"/>
        </w:rPr>
        <w:t>未按招标文件要求提供投标保证金的；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16.</w:t>
      </w:r>
      <w:r>
        <w:rPr>
          <w:rFonts w:hint="eastAsia" w:eastAsia="方正仿宋_GBK"/>
          <w:snapToGrid w:val="0"/>
          <w:color w:val="000000"/>
          <w:kern w:val="32"/>
          <w:sz w:val="24"/>
        </w:rPr>
        <w:t>投标文件载明的招标项目完成期限超过招标文件规定的期限的；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17.</w:t>
      </w:r>
      <w:r>
        <w:rPr>
          <w:rFonts w:hint="eastAsia" w:eastAsia="方正仿宋_GBK"/>
          <w:snapToGrid w:val="0"/>
          <w:color w:val="000000"/>
          <w:kern w:val="32"/>
          <w:sz w:val="24"/>
        </w:rPr>
        <w:t>明显不符合技术规范、技术标准的要求的；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18.</w:t>
      </w:r>
      <w:r>
        <w:rPr>
          <w:rFonts w:hint="eastAsia" w:eastAsia="方正仿宋_GBK"/>
          <w:snapToGrid w:val="0"/>
          <w:color w:val="000000"/>
          <w:kern w:val="32"/>
          <w:sz w:val="24"/>
        </w:rPr>
        <w:t>投标文件载明的货物包装方式、检验标准和方法等不符合招标文件的要求的；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19.</w:t>
      </w:r>
      <w:r>
        <w:rPr>
          <w:rFonts w:hint="eastAsia" w:eastAsia="方正仿宋_GBK"/>
          <w:snapToGrid w:val="0"/>
          <w:color w:val="000000"/>
          <w:kern w:val="32"/>
          <w:sz w:val="24"/>
        </w:rPr>
        <w:t>投标文件提出了不能满足招标文件要求或招标人不能接受的工程验收、计量、价款结算和支付办法的；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20.</w:t>
      </w:r>
      <w:r>
        <w:rPr>
          <w:rFonts w:hint="eastAsia" w:eastAsia="方正仿宋_GBK"/>
          <w:snapToGrid w:val="0"/>
          <w:color w:val="000000"/>
          <w:kern w:val="32"/>
          <w:sz w:val="24"/>
        </w:rPr>
        <w:t>未按招标文件要求提供电子投标文件，或者投标文件未能解密且按照招标文件明确的投标文件解密失败的补救方案补救不成功的；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21.</w:t>
      </w:r>
      <w:r>
        <w:rPr>
          <w:rFonts w:hint="eastAsia" w:eastAsia="方正仿宋_GBK"/>
          <w:snapToGrid w:val="0"/>
          <w:color w:val="000000"/>
          <w:kern w:val="32"/>
          <w:sz w:val="24"/>
        </w:rPr>
        <w:t>不同投标人的投标文件以及投标文件制作过程出现了评标委员会认为不应当雷同的情况的；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22.</w:t>
      </w:r>
      <w:r>
        <w:rPr>
          <w:rFonts w:hint="eastAsia" w:eastAsia="方正仿宋_GBK"/>
          <w:snapToGrid w:val="0"/>
          <w:color w:val="000000"/>
          <w:kern w:val="32"/>
          <w:sz w:val="24"/>
        </w:rPr>
        <w:t>以他人的名义投标、串通投标、以行贿手段谋取中标或者以其他弄虚作假方式投标的；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23.</w:t>
      </w:r>
      <w:r>
        <w:rPr>
          <w:rFonts w:hint="eastAsia" w:eastAsia="方正仿宋_GBK"/>
          <w:snapToGrid w:val="0"/>
          <w:color w:val="000000"/>
          <w:kern w:val="32"/>
          <w:sz w:val="24"/>
        </w:rPr>
        <w:t>施工组织设计（施工方案）存在明显技术方案错误、或者不符合招标文件有关暗标要求的；</w:t>
      </w:r>
    </w:p>
    <w:p>
      <w:pPr>
        <w:tabs>
          <w:tab w:val="left" w:pos="0"/>
        </w:tabs>
        <w:spacing w:line="480" w:lineRule="exact"/>
        <w:ind w:right="-36" w:firstLine="472" w:firstLineChars="200"/>
        <w:rPr>
          <w:rFonts w:eastAsia="方正仿宋_GBK"/>
          <w:snapToGrid w:val="0"/>
          <w:color w:val="000000"/>
          <w:kern w:val="32"/>
          <w:sz w:val="24"/>
        </w:rPr>
      </w:pPr>
      <w:r>
        <w:rPr>
          <w:rFonts w:eastAsia="方正仿宋_GBK"/>
          <w:snapToGrid w:val="0"/>
          <w:color w:val="000000"/>
          <w:kern w:val="32"/>
          <w:sz w:val="24"/>
        </w:rPr>
        <w:t>24.</w:t>
      </w:r>
      <w:r>
        <w:rPr>
          <w:rFonts w:hint="eastAsia" w:eastAsia="方正仿宋_GBK"/>
          <w:snapToGrid w:val="0"/>
          <w:color w:val="000000"/>
          <w:kern w:val="32"/>
          <w:sz w:val="24"/>
        </w:rPr>
        <w:t>投标文件关键内容模糊、无法辨认的。</w:t>
      </w:r>
    </w:p>
    <w:p>
      <w:pPr>
        <w:tabs>
          <w:tab w:val="left" w:pos="0"/>
        </w:tabs>
        <w:spacing w:line="480" w:lineRule="exact"/>
        <w:ind w:right="-36" w:firstLine="472" w:firstLineChars="200"/>
        <w:rPr>
          <w:rFonts w:eastAsia="方正仿宋_GBK"/>
          <w:snapToGrid w:val="0"/>
          <w:color w:val="000000"/>
          <w:kern w:val="32"/>
          <w:sz w:val="24"/>
        </w:rPr>
      </w:pPr>
      <w:r>
        <w:rPr>
          <w:rFonts w:hint="eastAsia" w:eastAsia="方正仿宋_GBK"/>
          <w:snapToGrid w:val="0"/>
          <w:color w:val="000000"/>
          <w:kern w:val="32"/>
          <w:sz w:val="24"/>
        </w:rPr>
        <w:t>招标文件中的重大偏差条款应当意思表示明确、易于判断，不得含有“实质性不响应招标文件要求”“投标文件中附有招标人不可接受的条件”等评标委员会难以界定的条款。</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第七条</w:t>
      </w:r>
      <w:r>
        <w:rPr>
          <w:rFonts w:eastAsia="方正仿宋_GBK"/>
          <w:snapToGrid w:val="0"/>
          <w:color w:val="000000"/>
          <w:kern w:val="32"/>
          <w:sz w:val="24"/>
        </w:rPr>
        <w:t xml:space="preserve"> </w:t>
      </w:r>
      <w:r>
        <w:rPr>
          <w:rFonts w:hint="eastAsia" w:eastAsia="方正仿宋_GBK"/>
          <w:snapToGrid w:val="0"/>
          <w:color w:val="000000"/>
          <w:kern w:val="32"/>
          <w:sz w:val="24"/>
        </w:rPr>
        <w:t>技术标评审。评标委员会应根据招标文件明确的评审要点、评审办法及相应要求，对施工组织设计进行独立评审。</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（一）施工组织设计的评审分为合格制和打分制。</w:t>
      </w:r>
    </w:p>
    <w:p>
      <w:pPr>
        <w:tabs>
          <w:tab w:val="left" w:pos="0"/>
        </w:tabs>
        <w:spacing w:line="480" w:lineRule="exact"/>
        <w:ind w:right="-36" w:firstLine="594" w:firstLineChars="252"/>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合格制。仅对施工组织设计是否满足招标项目要求进行定性判断是否合格，不合格的作无效投标处理。一般适用于经评审的最低投标价法。</w:t>
      </w:r>
    </w:p>
    <w:p>
      <w:pPr>
        <w:tabs>
          <w:tab w:val="left" w:pos="0"/>
        </w:tabs>
        <w:spacing w:line="480" w:lineRule="exact"/>
        <w:ind w:right="-36" w:firstLine="594" w:firstLineChars="252"/>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打分制。由评标委员会对各投标人的施工组织设计进行打分，汇总后作为相应投标人施工组织设计得分。一般适用于综合评估法。</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施工组织设计各评分点得分应当取所有技术标评委评分中分别去掉一个最高和最低评分后的平均值为最终得分。施工组织设计中除缺少相应内容的评审要点不得分外，其它各项评审要点得分不应低于该评审要点满分的</w:t>
      </w:r>
      <w:r>
        <w:rPr>
          <w:rFonts w:eastAsia="方正仿宋_GBK"/>
          <w:snapToGrid w:val="0"/>
          <w:color w:val="000000"/>
          <w:kern w:val="32"/>
          <w:sz w:val="24"/>
        </w:rPr>
        <w:t>70%</w:t>
      </w:r>
      <w:r>
        <w:rPr>
          <w:rFonts w:hint="eastAsia" w:eastAsia="方正仿宋_GBK"/>
          <w:snapToGrid w:val="0"/>
          <w:color w:val="000000"/>
          <w:kern w:val="32"/>
          <w:sz w:val="24"/>
        </w:rPr>
        <w:t>。</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（二）招标人应根据招标项目实际，在招标文件中明确招标中施工组织设计评审要点，主要包括：</w:t>
      </w:r>
    </w:p>
    <w:p>
      <w:pPr>
        <w:tabs>
          <w:tab w:val="left" w:pos="0"/>
        </w:tabs>
        <w:spacing w:line="480" w:lineRule="exact"/>
        <w:ind w:right="-36" w:firstLine="597" w:firstLineChars="253"/>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总体概述：施工组织总体设想、方案针对性及施工标段划分（建议页数</w:t>
      </w:r>
      <w:r>
        <w:rPr>
          <w:rFonts w:eastAsia="方正仿宋_GBK"/>
          <w:snapToGrid w:val="0"/>
          <w:color w:val="000000"/>
          <w:kern w:val="32"/>
          <w:sz w:val="24"/>
        </w:rPr>
        <w:t>2-5</w:t>
      </w:r>
      <w:r>
        <w:rPr>
          <w:rFonts w:hint="eastAsia" w:eastAsia="方正仿宋_GBK"/>
          <w:snapToGrid w:val="0"/>
          <w:color w:val="000000"/>
          <w:kern w:val="32"/>
          <w:sz w:val="24"/>
        </w:rPr>
        <w:t>页）；</w:t>
      </w:r>
    </w:p>
    <w:p>
      <w:pPr>
        <w:tabs>
          <w:tab w:val="left" w:pos="0"/>
        </w:tabs>
        <w:spacing w:line="480" w:lineRule="exact"/>
        <w:ind w:right="-36" w:firstLine="597" w:firstLineChars="253"/>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施工现场平面布置和临时设施、临时道路布置（建议页数</w:t>
      </w:r>
      <w:r>
        <w:rPr>
          <w:rFonts w:eastAsia="方正仿宋_GBK"/>
          <w:snapToGrid w:val="0"/>
          <w:color w:val="000000"/>
          <w:kern w:val="32"/>
          <w:sz w:val="24"/>
        </w:rPr>
        <w:t>2-4</w:t>
      </w:r>
      <w:r>
        <w:rPr>
          <w:rFonts w:hint="eastAsia" w:eastAsia="方正仿宋_GBK"/>
          <w:snapToGrid w:val="0"/>
          <w:color w:val="000000"/>
          <w:kern w:val="32"/>
          <w:sz w:val="24"/>
        </w:rPr>
        <w:t>页）；</w:t>
      </w:r>
    </w:p>
    <w:p>
      <w:pPr>
        <w:tabs>
          <w:tab w:val="left" w:pos="0"/>
        </w:tabs>
        <w:spacing w:line="480" w:lineRule="exact"/>
        <w:ind w:right="-36" w:firstLine="597" w:firstLineChars="253"/>
        <w:rPr>
          <w:rFonts w:eastAsia="方正仿宋_GBK"/>
          <w:snapToGrid w:val="0"/>
          <w:color w:val="000000"/>
          <w:kern w:val="32"/>
          <w:sz w:val="24"/>
        </w:rPr>
      </w:pPr>
      <w:r>
        <w:rPr>
          <w:rFonts w:eastAsia="方正仿宋_GBK"/>
          <w:snapToGrid w:val="0"/>
          <w:color w:val="000000"/>
          <w:kern w:val="32"/>
          <w:sz w:val="24"/>
        </w:rPr>
        <w:t>3.</w:t>
      </w:r>
      <w:r>
        <w:rPr>
          <w:rFonts w:hint="eastAsia" w:eastAsia="方正仿宋_GBK"/>
          <w:snapToGrid w:val="0"/>
          <w:color w:val="000000"/>
          <w:kern w:val="32"/>
          <w:sz w:val="24"/>
        </w:rPr>
        <w:t>施工进度计划和各阶段进度的保证措施（建议页数</w:t>
      </w:r>
      <w:r>
        <w:rPr>
          <w:rFonts w:eastAsia="方正仿宋_GBK"/>
          <w:snapToGrid w:val="0"/>
          <w:color w:val="000000"/>
          <w:kern w:val="32"/>
          <w:sz w:val="24"/>
        </w:rPr>
        <w:t>5-10</w:t>
      </w:r>
      <w:r>
        <w:rPr>
          <w:rFonts w:hint="eastAsia" w:eastAsia="方正仿宋_GBK"/>
          <w:snapToGrid w:val="0"/>
          <w:color w:val="000000"/>
          <w:kern w:val="32"/>
          <w:sz w:val="24"/>
        </w:rPr>
        <w:t>页）；</w:t>
      </w:r>
    </w:p>
    <w:p>
      <w:pPr>
        <w:tabs>
          <w:tab w:val="left" w:pos="0"/>
        </w:tabs>
        <w:spacing w:line="480" w:lineRule="exact"/>
        <w:ind w:right="-36" w:firstLine="597" w:firstLineChars="253"/>
        <w:rPr>
          <w:rFonts w:eastAsia="方正仿宋_GBK"/>
          <w:snapToGrid w:val="0"/>
          <w:color w:val="000000"/>
          <w:kern w:val="32"/>
          <w:sz w:val="24"/>
        </w:rPr>
      </w:pPr>
      <w:r>
        <w:rPr>
          <w:rFonts w:eastAsia="方正仿宋_GBK"/>
          <w:snapToGrid w:val="0"/>
          <w:color w:val="000000"/>
          <w:kern w:val="32"/>
          <w:sz w:val="24"/>
        </w:rPr>
        <w:t>4.</w:t>
      </w:r>
      <w:r>
        <w:rPr>
          <w:rFonts w:hint="eastAsia" w:eastAsia="方正仿宋_GBK"/>
          <w:snapToGrid w:val="0"/>
          <w:color w:val="000000"/>
          <w:kern w:val="32"/>
          <w:sz w:val="24"/>
        </w:rPr>
        <w:t>劳动力、机械设备和材料投入计划（建议页数</w:t>
      </w:r>
      <w:r>
        <w:rPr>
          <w:rFonts w:eastAsia="方正仿宋_GBK"/>
          <w:snapToGrid w:val="0"/>
          <w:color w:val="000000"/>
          <w:kern w:val="32"/>
          <w:sz w:val="24"/>
        </w:rPr>
        <w:t>6-12</w:t>
      </w:r>
      <w:r>
        <w:rPr>
          <w:rFonts w:hint="eastAsia" w:eastAsia="方正仿宋_GBK"/>
          <w:snapToGrid w:val="0"/>
          <w:color w:val="000000"/>
          <w:kern w:val="32"/>
          <w:sz w:val="24"/>
        </w:rPr>
        <w:t>页）；</w:t>
      </w:r>
    </w:p>
    <w:p>
      <w:pPr>
        <w:tabs>
          <w:tab w:val="left" w:pos="0"/>
        </w:tabs>
        <w:spacing w:line="480" w:lineRule="exact"/>
        <w:ind w:right="-36" w:firstLine="597" w:firstLineChars="253"/>
        <w:rPr>
          <w:rFonts w:eastAsia="方正仿宋_GBK"/>
          <w:snapToGrid w:val="0"/>
          <w:color w:val="000000"/>
          <w:kern w:val="32"/>
          <w:sz w:val="24"/>
        </w:rPr>
      </w:pPr>
      <w:r>
        <w:rPr>
          <w:rFonts w:eastAsia="方正仿宋_GBK"/>
          <w:snapToGrid w:val="0"/>
          <w:color w:val="000000"/>
          <w:kern w:val="32"/>
          <w:sz w:val="24"/>
        </w:rPr>
        <w:t>5.</w:t>
      </w:r>
      <w:r>
        <w:rPr>
          <w:rFonts w:hint="eastAsia" w:eastAsia="方正仿宋_GBK"/>
          <w:snapToGrid w:val="0"/>
          <w:color w:val="000000"/>
          <w:kern w:val="32"/>
          <w:sz w:val="24"/>
        </w:rPr>
        <w:t>关键施工技术、工艺及工程项目实施的重点、难点和解决方案（建议页数</w:t>
      </w:r>
      <w:r>
        <w:rPr>
          <w:rFonts w:eastAsia="方正仿宋_GBK"/>
          <w:snapToGrid w:val="0"/>
          <w:color w:val="000000"/>
          <w:kern w:val="32"/>
          <w:sz w:val="24"/>
        </w:rPr>
        <w:t>15-28</w:t>
      </w:r>
      <w:r>
        <w:rPr>
          <w:rFonts w:hint="eastAsia" w:eastAsia="方正仿宋_GBK"/>
          <w:snapToGrid w:val="0"/>
          <w:color w:val="000000"/>
          <w:kern w:val="32"/>
          <w:sz w:val="24"/>
        </w:rPr>
        <w:t>页）；</w:t>
      </w:r>
    </w:p>
    <w:p>
      <w:pPr>
        <w:tabs>
          <w:tab w:val="left" w:pos="0"/>
        </w:tabs>
        <w:spacing w:line="480" w:lineRule="exact"/>
        <w:ind w:right="-36" w:firstLine="597" w:firstLineChars="253"/>
        <w:rPr>
          <w:rFonts w:eastAsia="方正仿宋_GBK"/>
          <w:snapToGrid w:val="0"/>
          <w:color w:val="000000"/>
          <w:kern w:val="32"/>
          <w:sz w:val="24"/>
        </w:rPr>
      </w:pPr>
      <w:r>
        <w:rPr>
          <w:rFonts w:eastAsia="方正仿宋_GBK"/>
          <w:snapToGrid w:val="0"/>
          <w:color w:val="000000"/>
          <w:kern w:val="32"/>
          <w:sz w:val="24"/>
        </w:rPr>
        <w:t>6.</w:t>
      </w:r>
      <w:r>
        <w:rPr>
          <w:rFonts w:hint="eastAsia" w:eastAsia="方正仿宋_GBK"/>
          <w:snapToGrid w:val="0"/>
          <w:color w:val="000000"/>
          <w:kern w:val="32"/>
          <w:sz w:val="24"/>
        </w:rPr>
        <w:t>新技术、新产品、新工艺、新材料应用（建议页数</w:t>
      </w:r>
      <w:r>
        <w:rPr>
          <w:rFonts w:eastAsia="方正仿宋_GBK"/>
          <w:snapToGrid w:val="0"/>
          <w:color w:val="000000"/>
          <w:kern w:val="32"/>
          <w:sz w:val="24"/>
        </w:rPr>
        <w:t>6-15</w:t>
      </w:r>
      <w:r>
        <w:rPr>
          <w:rFonts w:hint="eastAsia" w:eastAsia="方正仿宋_GBK"/>
          <w:snapToGrid w:val="0"/>
          <w:color w:val="000000"/>
          <w:kern w:val="32"/>
          <w:sz w:val="24"/>
        </w:rPr>
        <w:t>页）；</w:t>
      </w:r>
    </w:p>
    <w:p>
      <w:pPr>
        <w:tabs>
          <w:tab w:val="left" w:pos="0"/>
        </w:tabs>
        <w:spacing w:line="480" w:lineRule="exact"/>
        <w:ind w:right="-36" w:firstLine="597" w:firstLineChars="253"/>
        <w:rPr>
          <w:rFonts w:eastAsia="方正仿宋_GBK"/>
          <w:snapToGrid w:val="0"/>
          <w:color w:val="000000"/>
          <w:kern w:val="32"/>
          <w:sz w:val="24"/>
        </w:rPr>
      </w:pPr>
      <w:r>
        <w:rPr>
          <w:rFonts w:eastAsia="方正仿宋_GBK"/>
          <w:snapToGrid w:val="0"/>
          <w:color w:val="000000"/>
          <w:kern w:val="32"/>
          <w:sz w:val="24"/>
        </w:rPr>
        <w:t>7.BIM</w:t>
      </w:r>
      <w:r>
        <w:rPr>
          <w:rFonts w:hint="eastAsia" w:eastAsia="方正仿宋_GBK"/>
          <w:snapToGrid w:val="0"/>
          <w:color w:val="000000"/>
          <w:kern w:val="32"/>
          <w:sz w:val="24"/>
        </w:rPr>
        <w:t>等信息技术的使用；</w:t>
      </w:r>
    </w:p>
    <w:p>
      <w:pPr>
        <w:tabs>
          <w:tab w:val="left" w:pos="0"/>
        </w:tabs>
        <w:spacing w:line="480" w:lineRule="exact"/>
        <w:ind w:right="-36" w:firstLine="597" w:firstLineChars="253"/>
        <w:rPr>
          <w:rFonts w:eastAsia="方正仿宋_GBK"/>
          <w:snapToGrid w:val="0"/>
          <w:color w:val="000000"/>
          <w:kern w:val="32"/>
          <w:sz w:val="24"/>
        </w:rPr>
      </w:pPr>
      <w:r>
        <w:rPr>
          <w:rFonts w:eastAsia="方正仿宋_GBK"/>
          <w:snapToGrid w:val="0"/>
          <w:color w:val="000000"/>
          <w:kern w:val="32"/>
          <w:sz w:val="24"/>
        </w:rPr>
        <w:t>8.</w:t>
      </w:r>
      <w:r>
        <w:rPr>
          <w:rFonts w:hint="eastAsia" w:eastAsia="方正仿宋_GBK"/>
          <w:snapToGrid w:val="0"/>
          <w:color w:val="000000"/>
          <w:kern w:val="32"/>
          <w:sz w:val="24"/>
        </w:rPr>
        <w:t>项目负责人陈述及答辩。</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其中评审要点</w:t>
      </w:r>
      <w:r>
        <w:rPr>
          <w:rFonts w:eastAsia="方正仿宋_GBK"/>
          <w:snapToGrid w:val="0"/>
          <w:color w:val="000000"/>
          <w:kern w:val="32"/>
          <w:sz w:val="24"/>
        </w:rPr>
        <w:t>6</w:t>
      </w:r>
      <w:r>
        <w:rPr>
          <w:rFonts w:hint="eastAsia" w:eastAsia="方正仿宋_GBK"/>
          <w:snapToGrid w:val="0"/>
          <w:color w:val="000000"/>
          <w:kern w:val="32"/>
          <w:sz w:val="24"/>
        </w:rPr>
        <w:t>至</w:t>
      </w:r>
      <w:r>
        <w:rPr>
          <w:rFonts w:eastAsia="方正仿宋_GBK"/>
          <w:snapToGrid w:val="0"/>
          <w:color w:val="000000"/>
          <w:kern w:val="32"/>
          <w:sz w:val="24"/>
        </w:rPr>
        <w:t>8</w:t>
      </w:r>
      <w:r>
        <w:rPr>
          <w:rFonts w:hint="eastAsia" w:eastAsia="方正仿宋_GBK"/>
          <w:snapToGrid w:val="0"/>
          <w:color w:val="000000"/>
          <w:kern w:val="32"/>
          <w:sz w:val="24"/>
        </w:rPr>
        <w:t>项由招标人根据工程项目的实际情况在招标文件中明确。施工组织设计总篇幅一般不超过</w:t>
      </w:r>
      <w:r>
        <w:rPr>
          <w:rFonts w:eastAsia="方正仿宋_GBK"/>
          <w:snapToGrid w:val="0"/>
          <w:color w:val="000000"/>
          <w:kern w:val="32"/>
          <w:sz w:val="24"/>
        </w:rPr>
        <w:t>80</w:t>
      </w:r>
      <w:r>
        <w:rPr>
          <w:rFonts w:hint="eastAsia" w:eastAsia="方正仿宋_GBK"/>
          <w:snapToGrid w:val="0"/>
          <w:color w:val="000000"/>
          <w:kern w:val="32"/>
          <w:sz w:val="24"/>
        </w:rPr>
        <w:t>页（技术特别复杂的工程可适当增加），具体篇幅</w:t>
      </w:r>
      <w:r>
        <w:rPr>
          <w:rFonts w:eastAsia="方正仿宋_GBK"/>
          <w:snapToGrid w:val="0"/>
          <w:color w:val="000000"/>
          <w:kern w:val="32"/>
          <w:sz w:val="24"/>
        </w:rPr>
        <w:t>(</w:t>
      </w:r>
      <w:r>
        <w:rPr>
          <w:rFonts w:hint="eastAsia" w:eastAsia="方正仿宋_GBK"/>
          <w:snapToGrid w:val="0"/>
          <w:color w:val="000000"/>
          <w:kern w:val="32"/>
          <w:sz w:val="24"/>
        </w:rPr>
        <w:t>字数</w:t>
      </w:r>
      <w:r>
        <w:rPr>
          <w:rFonts w:eastAsia="方正仿宋_GBK"/>
          <w:snapToGrid w:val="0"/>
          <w:color w:val="000000"/>
          <w:kern w:val="32"/>
          <w:sz w:val="24"/>
        </w:rPr>
        <w:t>)</w:t>
      </w:r>
      <w:r>
        <w:rPr>
          <w:rFonts w:hint="eastAsia" w:eastAsia="方正仿宋_GBK"/>
          <w:snapToGrid w:val="0"/>
          <w:color w:val="000000"/>
          <w:kern w:val="32"/>
          <w:sz w:val="24"/>
        </w:rPr>
        <w:t>要求及扣分标准，招标人应在招标文件中明确。</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（三）采用合理低价法、合理价随机确定中标人法招标的工程均不得要求编制施工组织设计；采用经评审的最低投标价评标法，招标人要求投标人编制施工组织设计的，应在招标文件中明确。</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第八条</w:t>
      </w:r>
      <w:r>
        <w:rPr>
          <w:rFonts w:eastAsia="方正仿宋_GBK"/>
          <w:snapToGrid w:val="0"/>
          <w:color w:val="000000"/>
          <w:kern w:val="32"/>
          <w:sz w:val="24"/>
        </w:rPr>
        <w:t xml:space="preserve"> </w:t>
      </w:r>
      <w:r>
        <w:rPr>
          <w:rFonts w:hint="eastAsia" w:eastAsia="方正仿宋_GBK"/>
          <w:snapToGrid w:val="0"/>
          <w:color w:val="000000"/>
          <w:kern w:val="32"/>
          <w:sz w:val="24"/>
        </w:rPr>
        <w:t>采用综合评估法的，评标委员会应当按照招标文件规定的各项因素进行综合评审。其评审因素和标准如下：</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（一）投标报价评审（≥</w:t>
      </w:r>
      <w:r>
        <w:rPr>
          <w:rFonts w:eastAsia="方正仿宋_GBK"/>
          <w:snapToGrid w:val="0"/>
          <w:color w:val="000000"/>
          <w:kern w:val="32"/>
          <w:sz w:val="24"/>
        </w:rPr>
        <w:t xml:space="preserve">82 </w:t>
      </w:r>
      <w:r>
        <w:rPr>
          <w:rFonts w:hint="eastAsia" w:eastAsia="方正仿宋_GBK"/>
          <w:snapToGrid w:val="0"/>
          <w:color w:val="000000"/>
          <w:kern w:val="32"/>
          <w:sz w:val="24"/>
        </w:rPr>
        <w:t>分）</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评标委员会应根据招标文件中明确的投标报价评审方法和评分细则对进入详细评审投标报价进行评审、打分。</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（二）施工组织设计（≤</w:t>
      </w:r>
      <w:r>
        <w:rPr>
          <w:rFonts w:eastAsia="方正仿宋_GBK"/>
          <w:snapToGrid w:val="0"/>
          <w:color w:val="000000"/>
          <w:kern w:val="32"/>
          <w:sz w:val="24"/>
        </w:rPr>
        <w:t>10</w:t>
      </w:r>
      <w:r>
        <w:rPr>
          <w:rFonts w:hint="eastAsia" w:eastAsia="方正仿宋_GBK"/>
          <w:snapToGrid w:val="0"/>
          <w:color w:val="000000"/>
          <w:kern w:val="32"/>
          <w:sz w:val="24"/>
        </w:rPr>
        <w:t>分）</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施工组织设计的评审标准和方法见第七条。招标文件中要求投标项目负责人陈述及答辩的，该项评分分值不得超过</w:t>
      </w:r>
      <w:r>
        <w:rPr>
          <w:rFonts w:eastAsia="方正仿宋_GBK"/>
          <w:snapToGrid w:val="0"/>
          <w:color w:val="000000"/>
          <w:kern w:val="32"/>
          <w:sz w:val="24"/>
        </w:rPr>
        <w:t xml:space="preserve"> 2 </w:t>
      </w:r>
      <w:r>
        <w:rPr>
          <w:rFonts w:hint="eastAsia" w:eastAsia="方正仿宋_GBK"/>
          <w:snapToGrid w:val="0"/>
          <w:color w:val="000000"/>
          <w:kern w:val="32"/>
          <w:sz w:val="24"/>
        </w:rPr>
        <w:t>分。</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（三）投标人业绩</w:t>
      </w:r>
      <w:r>
        <w:rPr>
          <w:rFonts w:eastAsia="方正仿宋_GBK"/>
          <w:snapToGrid w:val="0"/>
          <w:color w:val="000000"/>
          <w:kern w:val="32"/>
          <w:sz w:val="24"/>
        </w:rPr>
        <w:t xml:space="preserve"> </w:t>
      </w:r>
      <w:r>
        <w:rPr>
          <w:rFonts w:hint="eastAsia" w:eastAsia="方正仿宋_GBK"/>
          <w:snapToGrid w:val="0"/>
          <w:color w:val="000000"/>
          <w:kern w:val="32"/>
          <w:sz w:val="24"/>
        </w:rPr>
        <w:t>（≤</w:t>
      </w:r>
      <w:r>
        <w:rPr>
          <w:rFonts w:eastAsia="方正仿宋_GBK"/>
          <w:snapToGrid w:val="0"/>
          <w:color w:val="000000"/>
          <w:kern w:val="32"/>
          <w:sz w:val="24"/>
        </w:rPr>
        <w:t>1</w:t>
      </w:r>
      <w:r>
        <w:rPr>
          <w:rFonts w:hint="eastAsia" w:eastAsia="方正仿宋_GBK"/>
          <w:snapToGrid w:val="0"/>
          <w:color w:val="000000"/>
          <w:kern w:val="32"/>
          <w:sz w:val="24"/>
        </w:rPr>
        <w:t>分）</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招标人可以对投标企业或项目负责人承担过类似及以上工程（其类似工程执行附件一第</w:t>
      </w:r>
      <w:r>
        <w:rPr>
          <w:rFonts w:eastAsia="方正仿宋_GBK"/>
          <w:snapToGrid w:val="0"/>
          <w:color w:val="000000"/>
          <w:kern w:val="32"/>
          <w:sz w:val="24"/>
        </w:rPr>
        <w:t>3</w:t>
      </w:r>
      <w:r>
        <w:rPr>
          <w:rFonts w:hint="eastAsia" w:eastAsia="方正仿宋_GBK"/>
          <w:snapToGrid w:val="0"/>
          <w:color w:val="000000"/>
          <w:kern w:val="32"/>
          <w:sz w:val="24"/>
        </w:rPr>
        <w:t>条的相应规定）进行加分，招标文件中应当明确投标企业或者项目负责人承担过单个类似及以上工程的分值。</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（四）投标人市场信用评价（</w:t>
      </w:r>
      <w:r>
        <w:rPr>
          <w:rFonts w:eastAsia="方正仿宋_GBK"/>
          <w:snapToGrid w:val="0"/>
          <w:color w:val="000000"/>
          <w:kern w:val="32"/>
          <w:sz w:val="24"/>
        </w:rPr>
        <w:t>2-6</w:t>
      </w:r>
      <w:r>
        <w:rPr>
          <w:rFonts w:hint="eastAsia" w:eastAsia="方正仿宋_GBK"/>
          <w:snapToGrid w:val="0"/>
          <w:color w:val="000000"/>
          <w:kern w:val="32"/>
          <w:sz w:val="24"/>
        </w:rPr>
        <w:t>分）</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招标人选择投标人市场信用评价作为评审因素的，其评审方法应当在招标文件中明确。</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（五）投标报价合理性（≤</w:t>
      </w:r>
      <w:r>
        <w:rPr>
          <w:rFonts w:eastAsia="方正仿宋_GBK"/>
          <w:snapToGrid w:val="0"/>
          <w:color w:val="000000"/>
          <w:kern w:val="32"/>
          <w:sz w:val="24"/>
        </w:rPr>
        <w:t xml:space="preserve">1 </w:t>
      </w:r>
      <w:r>
        <w:rPr>
          <w:rFonts w:hint="eastAsia" w:eastAsia="方正仿宋_GBK"/>
          <w:snapToGrid w:val="0"/>
          <w:color w:val="000000"/>
          <w:kern w:val="32"/>
          <w:sz w:val="24"/>
        </w:rPr>
        <w:t>分）</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投标报价合理性评审方法如下：</w:t>
      </w:r>
    </w:p>
    <w:p>
      <w:pPr>
        <w:tabs>
          <w:tab w:val="left" w:pos="0"/>
        </w:tabs>
        <w:spacing w:line="480" w:lineRule="exact"/>
        <w:ind w:right="-36" w:firstLine="594" w:firstLineChars="252"/>
        <w:rPr>
          <w:rFonts w:eastAsia="方正仿宋_GBK"/>
          <w:snapToGrid w:val="0"/>
          <w:color w:val="000000"/>
          <w:kern w:val="32"/>
          <w:sz w:val="24"/>
        </w:rPr>
      </w:pPr>
      <w:r>
        <w:rPr>
          <w:rFonts w:eastAsia="方正仿宋_GBK"/>
          <w:snapToGrid w:val="0"/>
          <w:color w:val="000000"/>
          <w:kern w:val="32"/>
          <w:sz w:val="24"/>
        </w:rPr>
        <w:t>1.</w:t>
      </w:r>
      <w:r>
        <w:rPr>
          <w:rFonts w:hint="eastAsia" w:eastAsia="方正仿宋_GBK"/>
          <w:snapToGrid w:val="0"/>
          <w:color w:val="000000"/>
          <w:kern w:val="32"/>
          <w:sz w:val="24"/>
        </w:rPr>
        <w:t>报价合理性分析基准值的确定。招标控制价各子目综合单价下浮一定比率后〔下浮比率：建筑工程一般下浮</w:t>
      </w:r>
      <w:r>
        <w:rPr>
          <w:rFonts w:eastAsia="方正仿宋_GBK"/>
          <w:snapToGrid w:val="0"/>
          <w:color w:val="000000"/>
          <w:kern w:val="32"/>
          <w:sz w:val="24"/>
        </w:rPr>
        <w:t>6</w:t>
      </w:r>
      <w:r>
        <w:rPr>
          <w:rFonts w:hint="eastAsia" w:eastAsia="方正仿宋_GBK"/>
          <w:snapToGrid w:val="0"/>
          <w:color w:val="000000"/>
          <w:kern w:val="32"/>
          <w:sz w:val="24"/>
        </w:rPr>
        <w:t>～</w:t>
      </w:r>
      <w:r>
        <w:rPr>
          <w:rFonts w:eastAsia="方正仿宋_GBK"/>
          <w:snapToGrid w:val="0"/>
          <w:color w:val="000000"/>
          <w:kern w:val="32"/>
          <w:sz w:val="24"/>
        </w:rPr>
        <w:t>10%</w:t>
      </w:r>
      <w:r>
        <w:rPr>
          <w:rFonts w:hint="eastAsia" w:eastAsia="方正仿宋_GBK"/>
          <w:snapToGrid w:val="0"/>
          <w:color w:val="000000"/>
          <w:kern w:val="32"/>
          <w:sz w:val="24"/>
        </w:rPr>
        <w:t>，安装、装饰及幕墙工程</w:t>
      </w:r>
      <w:r>
        <w:rPr>
          <w:rFonts w:eastAsia="方正仿宋_GBK"/>
          <w:snapToGrid w:val="0"/>
          <w:color w:val="000000"/>
          <w:kern w:val="32"/>
          <w:sz w:val="24"/>
        </w:rPr>
        <w:t>6</w:t>
      </w:r>
      <w:r>
        <w:rPr>
          <w:rFonts w:hint="eastAsia" w:eastAsia="方正仿宋_GBK"/>
          <w:snapToGrid w:val="0"/>
          <w:color w:val="000000"/>
          <w:kern w:val="32"/>
          <w:sz w:val="24"/>
        </w:rPr>
        <w:t>～</w:t>
      </w:r>
      <w:r>
        <w:rPr>
          <w:rFonts w:eastAsia="方正仿宋_GBK"/>
          <w:snapToGrid w:val="0"/>
          <w:color w:val="000000"/>
          <w:kern w:val="32"/>
          <w:sz w:val="24"/>
        </w:rPr>
        <w:t>16%</w:t>
      </w:r>
      <w:r>
        <w:rPr>
          <w:rFonts w:hint="eastAsia" w:eastAsia="方正仿宋_GBK"/>
          <w:snapToGrid w:val="0"/>
          <w:color w:val="000000"/>
          <w:kern w:val="32"/>
          <w:sz w:val="24"/>
        </w:rPr>
        <w:t>，桩基和基坑支护工程</w:t>
      </w:r>
      <w:r>
        <w:rPr>
          <w:rFonts w:eastAsia="方正仿宋_GBK"/>
          <w:snapToGrid w:val="0"/>
          <w:color w:val="000000"/>
          <w:kern w:val="32"/>
          <w:sz w:val="24"/>
        </w:rPr>
        <w:t>7</w:t>
      </w:r>
      <w:r>
        <w:rPr>
          <w:rFonts w:hint="eastAsia" w:eastAsia="方正仿宋_GBK"/>
          <w:snapToGrid w:val="0"/>
          <w:color w:val="000000"/>
          <w:kern w:val="32"/>
          <w:sz w:val="24"/>
        </w:rPr>
        <w:t>－</w:t>
      </w:r>
      <w:r>
        <w:rPr>
          <w:rFonts w:eastAsia="方正仿宋_GBK"/>
          <w:snapToGrid w:val="0"/>
          <w:color w:val="000000"/>
          <w:kern w:val="32"/>
          <w:sz w:val="24"/>
        </w:rPr>
        <w:t>16%</w:t>
      </w:r>
      <w:r>
        <w:rPr>
          <w:rFonts w:hint="eastAsia" w:eastAsia="方正仿宋_GBK"/>
          <w:snapToGrid w:val="0"/>
          <w:color w:val="000000"/>
          <w:kern w:val="32"/>
          <w:sz w:val="24"/>
        </w:rPr>
        <w:t>，市政工程</w:t>
      </w:r>
      <w:r>
        <w:rPr>
          <w:rFonts w:eastAsia="方正仿宋_GBK"/>
          <w:snapToGrid w:val="0"/>
          <w:color w:val="000000"/>
          <w:kern w:val="32"/>
          <w:sz w:val="24"/>
        </w:rPr>
        <w:t>7</w:t>
      </w:r>
      <w:r>
        <w:rPr>
          <w:rFonts w:hint="eastAsia" w:eastAsia="方正仿宋_GBK"/>
          <w:snapToGrid w:val="0"/>
          <w:color w:val="000000"/>
          <w:kern w:val="32"/>
          <w:sz w:val="24"/>
        </w:rPr>
        <w:t>～</w:t>
      </w:r>
      <w:r>
        <w:rPr>
          <w:rFonts w:eastAsia="方正仿宋_GBK"/>
          <w:snapToGrid w:val="0"/>
          <w:color w:val="000000"/>
          <w:kern w:val="32"/>
          <w:sz w:val="24"/>
        </w:rPr>
        <w:t>18%</w:t>
      </w:r>
      <w:r>
        <w:rPr>
          <w:rFonts w:hint="eastAsia" w:eastAsia="方正仿宋_GBK"/>
          <w:snapToGrid w:val="0"/>
          <w:color w:val="000000"/>
          <w:kern w:val="32"/>
          <w:sz w:val="24"/>
        </w:rPr>
        <w:t>，园林绿化工程</w:t>
      </w:r>
      <w:r>
        <w:rPr>
          <w:rFonts w:eastAsia="方正仿宋_GBK"/>
          <w:snapToGrid w:val="0"/>
          <w:color w:val="000000"/>
          <w:kern w:val="32"/>
          <w:sz w:val="24"/>
        </w:rPr>
        <w:t>7</w:t>
      </w:r>
      <w:r>
        <w:rPr>
          <w:rFonts w:hint="eastAsia" w:eastAsia="方正仿宋_GBK"/>
          <w:snapToGrid w:val="0"/>
          <w:color w:val="000000"/>
          <w:kern w:val="32"/>
          <w:sz w:val="24"/>
        </w:rPr>
        <w:t>～</w:t>
      </w:r>
      <w:r>
        <w:rPr>
          <w:rFonts w:eastAsia="方正仿宋_GBK"/>
          <w:snapToGrid w:val="0"/>
          <w:color w:val="000000"/>
          <w:kern w:val="32"/>
          <w:sz w:val="24"/>
        </w:rPr>
        <w:t>20%</w:t>
      </w:r>
      <w:r>
        <w:rPr>
          <w:rFonts w:hint="eastAsia" w:eastAsia="方正仿宋_GBK"/>
          <w:snapToGrid w:val="0"/>
          <w:color w:val="000000"/>
          <w:kern w:val="32"/>
          <w:sz w:val="24"/>
        </w:rPr>
        <w:t>，其他工程</w:t>
      </w:r>
      <w:r>
        <w:rPr>
          <w:rFonts w:eastAsia="方正仿宋_GBK"/>
          <w:snapToGrid w:val="0"/>
          <w:color w:val="000000"/>
          <w:kern w:val="32"/>
          <w:sz w:val="24"/>
        </w:rPr>
        <w:t>6</w:t>
      </w:r>
      <w:r>
        <w:rPr>
          <w:rFonts w:hint="eastAsia" w:eastAsia="方正仿宋_GBK"/>
          <w:snapToGrid w:val="0"/>
          <w:color w:val="000000"/>
          <w:kern w:val="32"/>
          <w:sz w:val="24"/>
        </w:rPr>
        <w:t>～</w:t>
      </w:r>
      <w:r>
        <w:rPr>
          <w:rFonts w:eastAsia="方正仿宋_GBK"/>
          <w:snapToGrid w:val="0"/>
          <w:color w:val="000000"/>
          <w:kern w:val="32"/>
          <w:sz w:val="24"/>
        </w:rPr>
        <w:t>12%</w:t>
      </w:r>
      <w:r>
        <w:rPr>
          <w:rFonts w:hint="eastAsia" w:eastAsia="方正仿宋_GBK"/>
          <w:snapToGrid w:val="0"/>
          <w:color w:val="000000"/>
          <w:kern w:val="32"/>
          <w:sz w:val="24"/>
        </w:rPr>
        <w:t>。各市、县（市、区）建设主管部门可以根据当地情况对上述下浮比率作适当动态调整〕乘以权重系数（</w:t>
      </w:r>
      <w:r>
        <w:rPr>
          <w:rFonts w:eastAsia="方正仿宋_GBK"/>
          <w:snapToGrid w:val="0"/>
          <w:color w:val="000000"/>
          <w:kern w:val="32"/>
          <w:sz w:val="24"/>
        </w:rPr>
        <w:t>50%</w:t>
      </w:r>
      <w:r>
        <w:rPr>
          <w:rFonts w:hint="eastAsia" w:eastAsia="方正仿宋_GBK"/>
          <w:snapToGrid w:val="0"/>
          <w:color w:val="000000"/>
          <w:kern w:val="32"/>
          <w:sz w:val="24"/>
        </w:rPr>
        <w:t>及以上），加所有通过评标入围的投标报价中相应子目综合单价的算术平均值（剔除超过招标控制价中相应价格正负</w:t>
      </w:r>
      <w:r>
        <w:rPr>
          <w:rFonts w:eastAsia="方正仿宋_GBK"/>
          <w:snapToGrid w:val="0"/>
          <w:color w:val="000000"/>
          <w:kern w:val="32"/>
          <w:sz w:val="24"/>
        </w:rPr>
        <w:t>20%</w:t>
      </w:r>
      <w:r>
        <w:rPr>
          <w:rFonts w:hint="eastAsia" w:eastAsia="方正仿宋_GBK"/>
          <w:snapToGrid w:val="0"/>
          <w:color w:val="000000"/>
          <w:kern w:val="32"/>
          <w:sz w:val="24"/>
        </w:rPr>
        <w:t>的综合单价）乘以权重系数（</w:t>
      </w:r>
      <w:r>
        <w:rPr>
          <w:rFonts w:eastAsia="方正仿宋_GBK"/>
          <w:snapToGrid w:val="0"/>
          <w:color w:val="000000"/>
          <w:kern w:val="32"/>
          <w:sz w:val="24"/>
        </w:rPr>
        <w:t>50%</w:t>
      </w:r>
      <w:r>
        <w:rPr>
          <w:rFonts w:hint="eastAsia" w:eastAsia="方正仿宋_GBK"/>
          <w:snapToGrid w:val="0"/>
          <w:color w:val="000000"/>
          <w:kern w:val="32"/>
          <w:sz w:val="24"/>
        </w:rPr>
        <w:t>及以下），确定报价合理性分析基准价。</w:t>
      </w:r>
    </w:p>
    <w:p>
      <w:pPr>
        <w:tabs>
          <w:tab w:val="left" w:pos="0"/>
        </w:tabs>
        <w:spacing w:line="480" w:lineRule="exact"/>
        <w:ind w:right="-36" w:firstLine="594" w:firstLineChars="252"/>
        <w:rPr>
          <w:rFonts w:eastAsia="方正仿宋_GBK"/>
          <w:snapToGrid w:val="0"/>
          <w:color w:val="000000"/>
          <w:kern w:val="32"/>
          <w:sz w:val="24"/>
        </w:rPr>
      </w:pPr>
      <w:r>
        <w:rPr>
          <w:rFonts w:eastAsia="方正仿宋_GBK"/>
          <w:snapToGrid w:val="0"/>
          <w:color w:val="000000"/>
          <w:kern w:val="32"/>
          <w:sz w:val="24"/>
        </w:rPr>
        <w:t>2.</w:t>
      </w:r>
      <w:r>
        <w:rPr>
          <w:rFonts w:hint="eastAsia" w:eastAsia="方正仿宋_GBK"/>
          <w:snapToGrid w:val="0"/>
          <w:color w:val="000000"/>
          <w:kern w:val="32"/>
          <w:sz w:val="24"/>
        </w:rPr>
        <w:t>将投标文件中工程量清单相应子目的综合单价金额与报价合理性分析基准值进行比较，其偏差率的绝对值</w:t>
      </w:r>
      <w:r>
        <w:rPr>
          <w:rFonts w:eastAsia="方正仿宋_GBK"/>
          <w:snapToGrid w:val="0"/>
          <w:color w:val="000000"/>
          <w:kern w:val="32"/>
          <w:sz w:val="24"/>
        </w:rPr>
        <w:t>&gt;10%</w:t>
      </w:r>
      <w:r>
        <w:rPr>
          <w:rFonts w:hint="eastAsia" w:eastAsia="方正仿宋_GBK"/>
          <w:snapToGrid w:val="0"/>
          <w:color w:val="000000"/>
          <w:kern w:val="32"/>
          <w:sz w:val="24"/>
        </w:rPr>
        <w:t>且该子目的合价金额超过该投标文件的评标价一定幅度</w:t>
      </w:r>
      <w:r>
        <w:rPr>
          <w:rFonts w:eastAsia="方正仿宋_GBK"/>
          <w:snapToGrid w:val="0"/>
          <w:color w:val="000000"/>
          <w:kern w:val="32"/>
          <w:sz w:val="24"/>
        </w:rPr>
        <w:t xml:space="preserve"> (</w:t>
      </w:r>
      <w:r>
        <w:rPr>
          <w:rFonts w:hint="eastAsia" w:eastAsia="方正仿宋_GBK"/>
          <w:snapToGrid w:val="0"/>
          <w:color w:val="000000"/>
          <w:kern w:val="32"/>
          <w:sz w:val="24"/>
        </w:rPr>
        <w:t>一般为评标价的</w:t>
      </w:r>
      <w:r>
        <w:rPr>
          <w:rFonts w:eastAsia="方正仿宋_GBK"/>
          <w:snapToGrid w:val="0"/>
          <w:color w:val="000000"/>
          <w:kern w:val="32"/>
          <w:sz w:val="24"/>
        </w:rPr>
        <w:t>0.5%-1%)</w:t>
      </w:r>
      <w:r>
        <w:rPr>
          <w:rFonts w:hint="eastAsia" w:eastAsia="方正仿宋_GBK"/>
          <w:snapToGrid w:val="0"/>
          <w:color w:val="000000"/>
          <w:kern w:val="32"/>
          <w:sz w:val="24"/>
        </w:rPr>
        <w:t>的，有一项扣</w:t>
      </w:r>
      <w:r>
        <w:rPr>
          <w:rFonts w:eastAsia="方正仿宋_GBK"/>
          <w:snapToGrid w:val="0"/>
          <w:color w:val="000000"/>
          <w:kern w:val="32"/>
          <w:sz w:val="24"/>
        </w:rPr>
        <w:t>0.1</w:t>
      </w:r>
      <w:r>
        <w:rPr>
          <w:rFonts w:hint="eastAsia" w:eastAsia="方正仿宋_GBK"/>
          <w:snapToGrid w:val="0"/>
          <w:color w:val="000000"/>
          <w:kern w:val="32"/>
          <w:sz w:val="24"/>
        </w:rPr>
        <w:t>分</w:t>
      </w:r>
      <w:r>
        <w:rPr>
          <w:rFonts w:eastAsia="方正仿宋_GBK"/>
          <w:snapToGrid w:val="0"/>
          <w:color w:val="000000"/>
          <w:kern w:val="32"/>
          <w:sz w:val="24"/>
        </w:rPr>
        <w:t>,</w:t>
      </w:r>
      <w:r>
        <w:rPr>
          <w:rFonts w:hint="eastAsia" w:eastAsia="方正仿宋_GBK"/>
          <w:snapToGrid w:val="0"/>
          <w:color w:val="000000"/>
          <w:kern w:val="32"/>
          <w:sz w:val="24"/>
        </w:rPr>
        <w:t>最多扣</w:t>
      </w:r>
      <w:r>
        <w:rPr>
          <w:rFonts w:eastAsia="方正仿宋_GBK"/>
          <w:snapToGrid w:val="0"/>
          <w:color w:val="000000"/>
          <w:kern w:val="32"/>
          <w:sz w:val="24"/>
        </w:rPr>
        <w:t>1</w:t>
      </w:r>
      <w:r>
        <w:rPr>
          <w:rFonts w:hint="eastAsia" w:eastAsia="方正仿宋_GBK"/>
          <w:snapToGrid w:val="0"/>
          <w:color w:val="000000"/>
          <w:kern w:val="32"/>
          <w:sz w:val="24"/>
        </w:rPr>
        <w:t>分。</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第九条</w:t>
      </w:r>
      <w:r>
        <w:rPr>
          <w:rFonts w:eastAsia="方正仿宋_GBK"/>
          <w:snapToGrid w:val="0"/>
          <w:color w:val="000000"/>
          <w:kern w:val="32"/>
          <w:sz w:val="24"/>
        </w:rPr>
        <w:t xml:space="preserve"> </w:t>
      </w:r>
      <w:r>
        <w:rPr>
          <w:rFonts w:hint="eastAsia" w:eastAsia="方正仿宋_GBK"/>
          <w:snapToGrid w:val="0"/>
          <w:color w:val="000000"/>
          <w:kern w:val="32"/>
          <w:sz w:val="24"/>
        </w:rPr>
        <w:t>采用合理低价法和经评审的最低投标价法，一般以投标报价作为评审因素。评标委员会应根据招标文件中明确的投标报价评审方法对进入详细评审投标报价进行评审。</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除综合评估法外，采用经评审的最低投标价法、合理低价法、合理价随机确定中标人法的，招标人也可以增加投标人市场信用评价作为评审因素，所占权重一般为</w:t>
      </w:r>
      <w:r>
        <w:rPr>
          <w:rFonts w:eastAsia="方正仿宋_GBK"/>
          <w:snapToGrid w:val="0"/>
          <w:color w:val="000000"/>
          <w:kern w:val="32"/>
          <w:sz w:val="24"/>
        </w:rPr>
        <w:t>2%-6%</w:t>
      </w:r>
      <w:r>
        <w:rPr>
          <w:rFonts w:hint="eastAsia" w:eastAsia="方正仿宋_GBK"/>
          <w:snapToGrid w:val="0"/>
          <w:color w:val="000000"/>
          <w:kern w:val="32"/>
          <w:sz w:val="24"/>
        </w:rPr>
        <w:t>，具体评审方法应当在招标文件中明确。</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第十条</w:t>
      </w:r>
      <w:r>
        <w:rPr>
          <w:rFonts w:eastAsia="方正仿宋_GBK"/>
          <w:snapToGrid w:val="0"/>
          <w:color w:val="000000"/>
          <w:kern w:val="32"/>
          <w:sz w:val="24"/>
        </w:rPr>
        <w:t xml:space="preserve"> </w:t>
      </w:r>
      <w:r>
        <w:rPr>
          <w:rFonts w:hint="eastAsia" w:eastAsia="方正仿宋_GBK"/>
          <w:snapToGrid w:val="0"/>
          <w:color w:val="000000"/>
          <w:kern w:val="32"/>
          <w:sz w:val="24"/>
        </w:rPr>
        <w:t>采用合理价随机确定中标人法的，招标人应在招标文件中载明招标控制价及其组成、发包价及其组成或者计算方法、资格审查条件、投标承诺格式等内容。</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发包价由招标控制价下浮一定比率计算〔下浮比率：建筑工程一般下浮</w:t>
      </w:r>
      <w:r>
        <w:rPr>
          <w:rFonts w:eastAsia="方正仿宋_GBK"/>
          <w:snapToGrid w:val="0"/>
          <w:color w:val="000000"/>
          <w:kern w:val="32"/>
          <w:sz w:val="24"/>
        </w:rPr>
        <w:t>6</w:t>
      </w:r>
      <w:r>
        <w:rPr>
          <w:rFonts w:hint="eastAsia" w:eastAsia="方正仿宋_GBK"/>
          <w:snapToGrid w:val="0"/>
          <w:color w:val="000000"/>
          <w:kern w:val="32"/>
          <w:sz w:val="24"/>
        </w:rPr>
        <w:t>～</w:t>
      </w:r>
      <w:r>
        <w:rPr>
          <w:rFonts w:eastAsia="方正仿宋_GBK"/>
          <w:snapToGrid w:val="0"/>
          <w:color w:val="000000"/>
          <w:kern w:val="32"/>
          <w:sz w:val="24"/>
        </w:rPr>
        <w:t>10%</w:t>
      </w:r>
      <w:r>
        <w:rPr>
          <w:rFonts w:hint="eastAsia" w:eastAsia="方正仿宋_GBK"/>
          <w:snapToGrid w:val="0"/>
          <w:color w:val="000000"/>
          <w:kern w:val="32"/>
          <w:sz w:val="24"/>
        </w:rPr>
        <w:t>，安装、装饰及幕墙工程</w:t>
      </w:r>
      <w:r>
        <w:rPr>
          <w:rFonts w:eastAsia="方正仿宋_GBK"/>
          <w:snapToGrid w:val="0"/>
          <w:color w:val="000000"/>
          <w:kern w:val="32"/>
          <w:sz w:val="24"/>
        </w:rPr>
        <w:t>6</w:t>
      </w:r>
      <w:r>
        <w:rPr>
          <w:rFonts w:hint="eastAsia" w:eastAsia="方正仿宋_GBK"/>
          <w:snapToGrid w:val="0"/>
          <w:color w:val="000000"/>
          <w:kern w:val="32"/>
          <w:sz w:val="24"/>
        </w:rPr>
        <w:t>～</w:t>
      </w:r>
      <w:r>
        <w:rPr>
          <w:rFonts w:eastAsia="方正仿宋_GBK"/>
          <w:snapToGrid w:val="0"/>
          <w:color w:val="000000"/>
          <w:kern w:val="32"/>
          <w:sz w:val="24"/>
        </w:rPr>
        <w:t>16%</w:t>
      </w:r>
      <w:r>
        <w:rPr>
          <w:rFonts w:hint="eastAsia" w:eastAsia="方正仿宋_GBK"/>
          <w:snapToGrid w:val="0"/>
          <w:color w:val="000000"/>
          <w:kern w:val="32"/>
          <w:sz w:val="24"/>
        </w:rPr>
        <w:t>，桩基和基坑支护工程</w:t>
      </w:r>
      <w:r>
        <w:rPr>
          <w:rFonts w:eastAsia="方正仿宋_GBK"/>
          <w:snapToGrid w:val="0"/>
          <w:color w:val="000000"/>
          <w:kern w:val="32"/>
          <w:sz w:val="24"/>
        </w:rPr>
        <w:t>7</w:t>
      </w:r>
      <w:r>
        <w:rPr>
          <w:rFonts w:hint="eastAsia" w:eastAsia="方正仿宋_GBK"/>
          <w:snapToGrid w:val="0"/>
          <w:color w:val="000000"/>
          <w:kern w:val="32"/>
          <w:sz w:val="24"/>
        </w:rPr>
        <w:t>－</w:t>
      </w:r>
      <w:r>
        <w:rPr>
          <w:rFonts w:eastAsia="方正仿宋_GBK"/>
          <w:snapToGrid w:val="0"/>
          <w:color w:val="000000"/>
          <w:kern w:val="32"/>
          <w:sz w:val="24"/>
        </w:rPr>
        <w:t>16%</w:t>
      </w:r>
      <w:r>
        <w:rPr>
          <w:rFonts w:hint="eastAsia" w:eastAsia="方正仿宋_GBK"/>
          <w:snapToGrid w:val="0"/>
          <w:color w:val="000000"/>
          <w:kern w:val="32"/>
          <w:sz w:val="24"/>
        </w:rPr>
        <w:t>，市政工程</w:t>
      </w:r>
      <w:r>
        <w:rPr>
          <w:rFonts w:eastAsia="方正仿宋_GBK"/>
          <w:snapToGrid w:val="0"/>
          <w:color w:val="000000"/>
          <w:kern w:val="32"/>
          <w:sz w:val="24"/>
        </w:rPr>
        <w:t>7</w:t>
      </w:r>
      <w:r>
        <w:rPr>
          <w:rFonts w:hint="eastAsia" w:eastAsia="方正仿宋_GBK"/>
          <w:snapToGrid w:val="0"/>
          <w:color w:val="000000"/>
          <w:kern w:val="32"/>
          <w:sz w:val="24"/>
        </w:rPr>
        <w:t>～</w:t>
      </w:r>
      <w:r>
        <w:rPr>
          <w:rFonts w:eastAsia="方正仿宋_GBK"/>
          <w:snapToGrid w:val="0"/>
          <w:color w:val="000000"/>
          <w:kern w:val="32"/>
          <w:sz w:val="24"/>
        </w:rPr>
        <w:t>18%</w:t>
      </w:r>
      <w:r>
        <w:rPr>
          <w:rFonts w:hint="eastAsia" w:eastAsia="方正仿宋_GBK"/>
          <w:snapToGrid w:val="0"/>
          <w:color w:val="000000"/>
          <w:kern w:val="32"/>
          <w:sz w:val="24"/>
        </w:rPr>
        <w:t>，园林绿化工程</w:t>
      </w:r>
      <w:r>
        <w:rPr>
          <w:rFonts w:eastAsia="方正仿宋_GBK"/>
          <w:snapToGrid w:val="0"/>
          <w:color w:val="000000"/>
          <w:kern w:val="32"/>
          <w:sz w:val="24"/>
        </w:rPr>
        <w:t>7</w:t>
      </w:r>
      <w:r>
        <w:rPr>
          <w:rFonts w:hint="eastAsia" w:eastAsia="方正仿宋_GBK"/>
          <w:snapToGrid w:val="0"/>
          <w:color w:val="000000"/>
          <w:kern w:val="32"/>
          <w:sz w:val="24"/>
        </w:rPr>
        <w:t>～</w:t>
      </w:r>
      <w:r>
        <w:rPr>
          <w:rFonts w:eastAsia="方正仿宋_GBK"/>
          <w:snapToGrid w:val="0"/>
          <w:color w:val="000000"/>
          <w:kern w:val="32"/>
          <w:sz w:val="24"/>
        </w:rPr>
        <w:t>20%</w:t>
      </w:r>
      <w:r>
        <w:rPr>
          <w:rFonts w:hint="eastAsia" w:eastAsia="方正仿宋_GBK"/>
          <w:snapToGrid w:val="0"/>
          <w:color w:val="000000"/>
          <w:kern w:val="32"/>
          <w:sz w:val="24"/>
        </w:rPr>
        <w:t>，其他工程</w:t>
      </w:r>
      <w:r>
        <w:rPr>
          <w:rFonts w:eastAsia="方正仿宋_GBK"/>
          <w:snapToGrid w:val="0"/>
          <w:color w:val="000000"/>
          <w:kern w:val="32"/>
          <w:sz w:val="24"/>
        </w:rPr>
        <w:t>6</w:t>
      </w:r>
      <w:r>
        <w:rPr>
          <w:rFonts w:hint="eastAsia" w:eastAsia="方正仿宋_GBK"/>
          <w:snapToGrid w:val="0"/>
          <w:color w:val="000000"/>
          <w:kern w:val="32"/>
          <w:sz w:val="24"/>
        </w:rPr>
        <w:t>～</w:t>
      </w:r>
      <w:r>
        <w:rPr>
          <w:rFonts w:eastAsia="方正仿宋_GBK"/>
          <w:snapToGrid w:val="0"/>
          <w:color w:val="000000"/>
          <w:kern w:val="32"/>
          <w:sz w:val="24"/>
        </w:rPr>
        <w:t>12%</w:t>
      </w:r>
      <w:r>
        <w:rPr>
          <w:rFonts w:hint="eastAsia" w:eastAsia="方正仿宋_GBK"/>
          <w:snapToGrid w:val="0"/>
          <w:color w:val="000000"/>
          <w:kern w:val="32"/>
          <w:sz w:val="24"/>
        </w:rPr>
        <w:t>。各市、县（市、区）建设主管部门可以根据当地情况对上述下浮比率作适当动态调整〕。</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采用合理价随机确定中标人法的，招标人可以选择以下方法评审推荐中标候选人：</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（一）评标委员会按照招标文件的规定对所有投标文件进行评审，确定符合招标文件规定的资格条件，且完全响应招标文件规定各项商务条款的投标人进入公开随机抽取中标人程序。</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按递交投标文件的顺序，由进入公开随机抽取中标人程序的投标人的法定代表人或其授权代表公开随机抽取代表该投标人的号码，并当场公布。</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招标人公开随机抽取其中</w:t>
      </w:r>
      <w:r>
        <w:rPr>
          <w:rFonts w:eastAsia="方正仿宋_GBK"/>
          <w:snapToGrid w:val="0"/>
          <w:color w:val="000000"/>
          <w:kern w:val="32"/>
          <w:sz w:val="24"/>
        </w:rPr>
        <w:t>3</w:t>
      </w:r>
      <w:r>
        <w:rPr>
          <w:rFonts w:hint="eastAsia" w:eastAsia="方正仿宋_GBK"/>
          <w:snapToGrid w:val="0"/>
          <w:color w:val="000000"/>
          <w:kern w:val="32"/>
          <w:sz w:val="24"/>
        </w:rPr>
        <w:t>个号码，第一个号码对应的投标人为第一中标候选人，第二个号码对应的投标人为第二中标候选人，第三个号码对应的投标人为第三中标候选人。</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（二）当投标人较多时，招标人可以在解密投标文件前，采取随机抽取方式确定不少于一定数量的投标人进入评审程序，从评审合格的投标人中随机抽取确定</w:t>
      </w:r>
      <w:r>
        <w:rPr>
          <w:rFonts w:eastAsia="方正仿宋_GBK"/>
          <w:snapToGrid w:val="0"/>
          <w:color w:val="000000"/>
          <w:kern w:val="32"/>
          <w:sz w:val="24"/>
        </w:rPr>
        <w:t>1-3</w:t>
      </w:r>
      <w:r>
        <w:rPr>
          <w:rFonts w:hint="eastAsia" w:eastAsia="方正仿宋_GBK"/>
          <w:snapToGrid w:val="0"/>
          <w:color w:val="000000"/>
          <w:kern w:val="32"/>
          <w:sz w:val="24"/>
        </w:rPr>
        <w:t>名中标候选人；也可以在解密投标文件前，采取随机抽取的方式，产生有排序的拟中标候选人若干，再按顺序依次进行评审，剔除无效投标，直至确定</w:t>
      </w:r>
      <w:r>
        <w:rPr>
          <w:rFonts w:eastAsia="方正仿宋_GBK"/>
          <w:snapToGrid w:val="0"/>
          <w:color w:val="000000"/>
          <w:kern w:val="32"/>
          <w:sz w:val="24"/>
        </w:rPr>
        <w:t>1-3</w:t>
      </w:r>
      <w:r>
        <w:rPr>
          <w:rFonts w:hint="eastAsia" w:eastAsia="方正仿宋_GBK"/>
          <w:snapToGrid w:val="0"/>
          <w:color w:val="000000"/>
          <w:kern w:val="32"/>
          <w:sz w:val="24"/>
        </w:rPr>
        <w:t>名中标候选人。</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（三）各地根据本地实际制定的其他方法。</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第十一条</w:t>
      </w:r>
      <w:r>
        <w:rPr>
          <w:rFonts w:eastAsia="方正仿宋_GBK"/>
          <w:snapToGrid w:val="0"/>
          <w:color w:val="000000"/>
          <w:kern w:val="32"/>
          <w:sz w:val="24"/>
        </w:rPr>
        <w:t xml:space="preserve"> </w:t>
      </w:r>
      <w:r>
        <w:rPr>
          <w:rFonts w:hint="eastAsia" w:eastAsia="方正仿宋_GBK"/>
          <w:snapToGrid w:val="0"/>
          <w:color w:val="000000"/>
          <w:kern w:val="32"/>
          <w:sz w:val="24"/>
        </w:rPr>
        <w:t>采用综合评估法的工程，提倡实行两阶段评标。投标人按照招标文件的要求编制、递交投标文件（包括商务技术文件和报价文件两部分）。开标、评标活动分两个阶段进行：</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第一阶段：商务技术文件开标评标。评标委员会先评审商务技术文件（包括投标项目负责人答辩）。选择商务技术文件得分汇总排前几名的投标人（具体数量在招标文件中明确，投标人超过</w:t>
      </w:r>
      <w:r>
        <w:rPr>
          <w:rFonts w:eastAsia="方正仿宋_GBK"/>
          <w:snapToGrid w:val="0"/>
          <w:color w:val="000000"/>
          <w:kern w:val="32"/>
          <w:sz w:val="24"/>
        </w:rPr>
        <w:t>12</w:t>
      </w:r>
      <w:r>
        <w:rPr>
          <w:rFonts w:hint="eastAsia" w:eastAsia="方正仿宋_GBK"/>
          <w:snapToGrid w:val="0"/>
          <w:color w:val="000000"/>
          <w:kern w:val="32"/>
          <w:sz w:val="24"/>
        </w:rPr>
        <w:t>个的，取前</w:t>
      </w:r>
      <w:r>
        <w:rPr>
          <w:rFonts w:eastAsia="方正仿宋_GBK"/>
          <w:snapToGrid w:val="0"/>
          <w:color w:val="000000"/>
          <w:kern w:val="32"/>
          <w:sz w:val="24"/>
        </w:rPr>
        <w:t>9</w:t>
      </w:r>
      <w:r>
        <w:rPr>
          <w:rFonts w:hint="eastAsia" w:eastAsia="方正仿宋_GBK"/>
          <w:snapToGrid w:val="0"/>
          <w:color w:val="000000"/>
          <w:kern w:val="32"/>
          <w:sz w:val="24"/>
        </w:rPr>
        <w:t>名；投标人为</w:t>
      </w:r>
      <w:r>
        <w:rPr>
          <w:rFonts w:eastAsia="方正仿宋_GBK"/>
          <w:snapToGrid w:val="0"/>
          <w:color w:val="000000"/>
          <w:kern w:val="32"/>
          <w:sz w:val="24"/>
        </w:rPr>
        <w:t>9-11</w:t>
      </w:r>
      <w:r>
        <w:rPr>
          <w:rFonts w:hint="eastAsia" w:eastAsia="方正仿宋_GBK"/>
          <w:snapToGrid w:val="0"/>
          <w:color w:val="000000"/>
          <w:kern w:val="32"/>
          <w:sz w:val="24"/>
        </w:rPr>
        <w:t>个的，取前</w:t>
      </w:r>
      <w:r>
        <w:rPr>
          <w:rFonts w:eastAsia="方正仿宋_GBK"/>
          <w:snapToGrid w:val="0"/>
          <w:color w:val="000000"/>
          <w:kern w:val="32"/>
          <w:sz w:val="24"/>
        </w:rPr>
        <w:t>7</w:t>
      </w:r>
      <w:r>
        <w:rPr>
          <w:rFonts w:hint="eastAsia" w:eastAsia="方正仿宋_GBK"/>
          <w:snapToGrid w:val="0"/>
          <w:color w:val="000000"/>
          <w:kern w:val="32"/>
          <w:sz w:val="24"/>
        </w:rPr>
        <w:t>名；投标人为</w:t>
      </w:r>
      <w:r>
        <w:rPr>
          <w:rFonts w:eastAsia="方正仿宋_GBK"/>
          <w:snapToGrid w:val="0"/>
          <w:color w:val="000000"/>
          <w:kern w:val="32"/>
          <w:sz w:val="24"/>
        </w:rPr>
        <w:t>8</w:t>
      </w:r>
      <w:r>
        <w:rPr>
          <w:rFonts w:hint="eastAsia" w:eastAsia="方正仿宋_GBK"/>
          <w:snapToGrid w:val="0"/>
          <w:color w:val="000000"/>
          <w:kern w:val="32"/>
          <w:sz w:val="24"/>
        </w:rPr>
        <w:t>个及以下的，取前</w:t>
      </w:r>
      <w:r>
        <w:rPr>
          <w:rFonts w:eastAsia="方正仿宋_GBK"/>
          <w:snapToGrid w:val="0"/>
          <w:color w:val="000000"/>
          <w:kern w:val="32"/>
          <w:sz w:val="24"/>
        </w:rPr>
        <w:t>5</w:t>
      </w:r>
      <w:r>
        <w:rPr>
          <w:rFonts w:hint="eastAsia" w:eastAsia="方正仿宋_GBK"/>
          <w:snapToGrid w:val="0"/>
          <w:color w:val="000000"/>
          <w:kern w:val="32"/>
          <w:sz w:val="24"/>
        </w:rPr>
        <w:t>名）才能进入第二阶段开标评标。</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第二阶段：报价文件开标评标（仅针对进入第二阶段的投标文件进行）。商务技术标得分是否带入第二阶段，由招标人在招标文件中明确。</w:t>
      </w:r>
    </w:p>
    <w:p>
      <w:pPr>
        <w:tabs>
          <w:tab w:val="left" w:pos="0"/>
        </w:tabs>
        <w:spacing w:line="480" w:lineRule="exact"/>
        <w:ind w:right="-36" w:firstLine="476" w:firstLineChars="202"/>
        <w:rPr>
          <w:rFonts w:eastAsia="方正仿宋_GBK"/>
          <w:snapToGrid w:val="0"/>
          <w:color w:val="000000"/>
          <w:kern w:val="32"/>
          <w:sz w:val="24"/>
        </w:rPr>
      </w:pPr>
      <w:r>
        <w:rPr>
          <w:rFonts w:hint="eastAsia" w:eastAsia="方正仿宋_GBK"/>
          <w:snapToGrid w:val="0"/>
          <w:color w:val="000000"/>
          <w:kern w:val="32"/>
          <w:sz w:val="24"/>
        </w:rPr>
        <w:t>第十二条</w:t>
      </w:r>
      <w:r>
        <w:rPr>
          <w:rFonts w:eastAsia="方正仿宋_GBK"/>
          <w:snapToGrid w:val="0"/>
          <w:color w:val="000000"/>
          <w:kern w:val="32"/>
          <w:sz w:val="24"/>
        </w:rPr>
        <w:t xml:space="preserve"> </w:t>
      </w:r>
      <w:r>
        <w:rPr>
          <w:rFonts w:hint="eastAsia" w:eastAsia="方正仿宋_GBK"/>
          <w:snapToGrid w:val="0"/>
          <w:color w:val="000000"/>
          <w:kern w:val="32"/>
          <w:sz w:val="24"/>
        </w:rPr>
        <w:t>推荐中标候选人。评标委员会按照招标文件的要求推荐中标候选人。评标委员会在推荐中标候选人时，如因投标人的评标价、综合得分相同而影响排序，原则上综合得分相同的应以评标价较低的优先，评标价相同及其它情形应以抽签方式确定排序。具体要求应在招标文件中明确。</w:t>
      </w:r>
    </w:p>
    <w:p>
      <w:pPr>
        <w:tabs>
          <w:tab w:val="left" w:pos="0"/>
        </w:tabs>
        <w:spacing w:line="480" w:lineRule="exact"/>
        <w:ind w:firstLine="476" w:firstLineChars="202"/>
        <w:jc w:val="left"/>
        <w:rPr>
          <w:rFonts w:eastAsia="方正仿宋_GBK"/>
          <w:snapToGrid w:val="0"/>
          <w:color w:val="000000"/>
          <w:kern w:val="32"/>
          <w:sz w:val="24"/>
        </w:rPr>
      </w:pPr>
      <w:r>
        <w:rPr>
          <w:rFonts w:hint="eastAsia" w:eastAsia="方正仿宋_GBK"/>
          <w:snapToGrid w:val="0"/>
          <w:color w:val="000000"/>
          <w:kern w:val="32"/>
          <w:sz w:val="24"/>
        </w:rPr>
        <w:t>第十三条</w:t>
      </w:r>
      <w:r>
        <w:rPr>
          <w:rFonts w:eastAsia="方正仿宋_GBK"/>
          <w:snapToGrid w:val="0"/>
          <w:color w:val="000000"/>
          <w:kern w:val="32"/>
          <w:sz w:val="24"/>
        </w:rPr>
        <w:t xml:space="preserve"> </w:t>
      </w:r>
      <w:r>
        <w:rPr>
          <w:rFonts w:hint="eastAsia" w:eastAsia="方正仿宋_GBK"/>
          <w:snapToGrid w:val="0"/>
          <w:color w:val="000000"/>
          <w:kern w:val="32"/>
          <w:sz w:val="24"/>
        </w:rPr>
        <w:t>招标人可以采取“评定分离”方式确定中标人。</w:t>
      </w:r>
    </w:p>
    <w:p>
      <w:pPr>
        <w:tabs>
          <w:tab w:val="left" w:pos="0"/>
        </w:tabs>
        <w:spacing w:line="480" w:lineRule="exact"/>
        <w:ind w:firstLine="476" w:firstLineChars="202"/>
        <w:jc w:val="left"/>
        <w:rPr>
          <w:rFonts w:eastAsia="方正仿宋_GBK"/>
          <w:snapToGrid w:val="0"/>
          <w:color w:val="000000"/>
          <w:kern w:val="32"/>
          <w:sz w:val="24"/>
        </w:rPr>
      </w:pPr>
      <w:r>
        <w:rPr>
          <w:rFonts w:hint="eastAsia" w:eastAsia="方正仿宋_GBK"/>
          <w:snapToGrid w:val="0"/>
          <w:color w:val="000000"/>
          <w:kern w:val="32"/>
          <w:sz w:val="24"/>
        </w:rPr>
        <w:t>“评定分离”是指招标人依法组建的评标委员会对投标文件进行定性或定量评审，并向招标人推荐一定数量不排序的定标候选人，由招标人组建的定标委员会根据评标报告，结合项目规模、技术难度及其他项目关键考虑因素，采用票决法、抽签法、集体议事法或招标文件规定的其它定标方法，在定标候选人中择优确定中标人。</w:t>
      </w:r>
    </w:p>
    <w:p>
      <w:pPr>
        <w:tabs>
          <w:tab w:val="left" w:pos="0"/>
        </w:tabs>
        <w:spacing w:line="480" w:lineRule="exact"/>
        <w:ind w:left="1" w:firstLine="474" w:firstLineChars="201"/>
        <w:jc w:val="left"/>
        <w:rPr>
          <w:rFonts w:eastAsia="方正仿宋_GBK"/>
          <w:snapToGrid w:val="0"/>
          <w:color w:val="000000"/>
          <w:kern w:val="32"/>
          <w:sz w:val="24"/>
        </w:rPr>
      </w:pPr>
      <w:r>
        <w:rPr>
          <w:rFonts w:hint="eastAsia" w:eastAsia="方正仿宋_GBK"/>
          <w:snapToGrid w:val="0"/>
          <w:color w:val="000000"/>
          <w:kern w:val="32"/>
          <w:sz w:val="24"/>
        </w:rPr>
        <w:t>第十四条</w:t>
      </w:r>
      <w:r>
        <w:rPr>
          <w:rFonts w:eastAsia="方正仿宋_GBK"/>
          <w:snapToGrid w:val="0"/>
          <w:color w:val="000000"/>
          <w:kern w:val="32"/>
          <w:sz w:val="24"/>
        </w:rPr>
        <w:t xml:space="preserve"> </w:t>
      </w:r>
      <w:r>
        <w:rPr>
          <w:rFonts w:hint="eastAsia" w:eastAsia="方正仿宋_GBK"/>
          <w:snapToGrid w:val="0"/>
          <w:color w:val="000000"/>
          <w:kern w:val="32"/>
          <w:sz w:val="24"/>
        </w:rPr>
        <w:t>评标入围、投标报价和“评定分离”的评审程序及评审方法由省建设工程招标投标办公室另行制定，招标人在招标文件中明确。</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第十五条</w:t>
      </w:r>
      <w:r>
        <w:rPr>
          <w:rFonts w:eastAsia="方正仿宋_GBK"/>
          <w:snapToGrid w:val="0"/>
          <w:color w:val="000000"/>
          <w:kern w:val="32"/>
          <w:sz w:val="24"/>
        </w:rPr>
        <w:t xml:space="preserve"> </w:t>
      </w:r>
      <w:r>
        <w:rPr>
          <w:rFonts w:hint="eastAsia" w:eastAsia="方正仿宋_GBK"/>
          <w:snapToGrid w:val="0"/>
          <w:color w:val="000000"/>
          <w:kern w:val="32"/>
          <w:sz w:val="24"/>
        </w:rPr>
        <w:t>本办法所称的特大型、大型、中型、小型工程和技术复杂工程、类似工程的标准和要求见附件一的相关定义。</w:t>
      </w:r>
    </w:p>
    <w:p>
      <w:pPr>
        <w:tabs>
          <w:tab w:val="left" w:pos="0"/>
        </w:tabs>
        <w:spacing w:line="480" w:lineRule="exact"/>
        <w:ind w:firstLine="476" w:firstLineChars="202"/>
        <w:rPr>
          <w:rFonts w:eastAsia="方正仿宋_GBK"/>
          <w:snapToGrid w:val="0"/>
          <w:color w:val="000000"/>
          <w:kern w:val="32"/>
          <w:sz w:val="24"/>
        </w:rPr>
      </w:pPr>
      <w:r>
        <w:rPr>
          <w:rFonts w:hint="eastAsia" w:eastAsia="方正仿宋_GBK"/>
          <w:snapToGrid w:val="0"/>
          <w:color w:val="000000"/>
          <w:kern w:val="32"/>
          <w:sz w:val="24"/>
        </w:rPr>
        <w:t>第十六条</w:t>
      </w:r>
      <w:r>
        <w:rPr>
          <w:rFonts w:eastAsia="方正仿宋_GBK"/>
          <w:snapToGrid w:val="0"/>
          <w:color w:val="000000"/>
          <w:kern w:val="32"/>
          <w:sz w:val="24"/>
        </w:rPr>
        <w:t xml:space="preserve"> </w:t>
      </w:r>
      <w:r>
        <w:rPr>
          <w:rFonts w:hint="eastAsia" w:eastAsia="方正仿宋_GBK"/>
          <w:snapToGrid w:val="0"/>
          <w:color w:val="000000"/>
          <w:kern w:val="32"/>
          <w:sz w:val="24"/>
        </w:rPr>
        <w:t>各地可以根据本办法的有关规定，结合本地区实际情况，对评标细则进行适当调整。</w:t>
      </w:r>
    </w:p>
    <w:p>
      <w:pPr>
        <w:tabs>
          <w:tab w:val="left" w:pos="0"/>
        </w:tabs>
        <w:spacing w:line="480" w:lineRule="exact"/>
        <w:rPr>
          <w:rFonts w:eastAsia="方正仿宋_GBK"/>
          <w:snapToGrid w:val="0"/>
          <w:color w:val="000000"/>
          <w:kern w:val="32"/>
          <w:sz w:val="24"/>
        </w:rPr>
      </w:pPr>
    </w:p>
    <w:p>
      <w:pPr>
        <w:pStyle w:val="2"/>
        <w:spacing w:before="590" w:beforeLines="100" w:after="590" w:afterLines="100" w:line="240" w:lineRule="auto"/>
        <w:jc w:val="center"/>
        <w:rPr>
          <w:rFonts w:ascii="Times New Roman" w:eastAsia="方正小标宋_GBK"/>
          <w:b w:val="0"/>
          <w:sz w:val="36"/>
          <w:szCs w:val="36"/>
        </w:rPr>
      </w:pPr>
      <w:r>
        <w:rPr>
          <w:rFonts w:eastAsia="方正仿宋_GBK"/>
          <w:snapToGrid w:val="0"/>
          <w:color w:val="000000"/>
          <w:kern w:val="32"/>
          <w:sz w:val="24"/>
        </w:rPr>
        <w:br w:type="column"/>
      </w:r>
      <w:bookmarkStart w:id="729" w:name="_Toc18315835"/>
      <w:bookmarkStart w:id="730" w:name="_Toc20726698"/>
      <w:r>
        <w:rPr>
          <w:rFonts w:hint="eastAsia" w:ascii="Times New Roman" w:eastAsia="方正小标宋_GBK"/>
          <w:b w:val="0"/>
          <w:sz w:val="36"/>
          <w:szCs w:val="36"/>
        </w:rPr>
        <w:t>关于进一步加强村镇建设档案工作的通知</w:t>
      </w:r>
      <w:bookmarkEnd w:id="729"/>
      <w:bookmarkEnd w:id="730"/>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31" w:name="_Toc20726699"/>
      <w:bookmarkStart w:id="732" w:name="_Toc18315836"/>
      <w:r>
        <w:rPr>
          <w:rFonts w:hint="eastAsia" w:ascii="Times New Roman" w:hAnsi="Times New Roman" w:eastAsia="方正楷体_GBK"/>
          <w:b w:val="0"/>
          <w:sz w:val="24"/>
          <w:szCs w:val="24"/>
        </w:rPr>
        <w:t>苏建档〔</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262</w:t>
      </w:r>
      <w:r>
        <w:rPr>
          <w:rFonts w:hint="eastAsia" w:ascii="Times New Roman" w:hAnsi="Times New Roman" w:eastAsia="方正楷体_GBK"/>
          <w:b w:val="0"/>
          <w:sz w:val="24"/>
          <w:szCs w:val="24"/>
        </w:rPr>
        <w:t>号</w:t>
      </w:r>
      <w:bookmarkEnd w:id="731"/>
      <w:bookmarkEnd w:id="732"/>
    </w:p>
    <w:p>
      <w:pPr>
        <w:spacing w:line="380" w:lineRule="exact"/>
        <w:rPr>
          <w:rFonts w:eastAsia="方正仿宋_GBK"/>
          <w:bCs/>
          <w:color w:val="000000"/>
          <w:spacing w:val="-2"/>
          <w:kern w:val="0"/>
          <w:sz w:val="24"/>
        </w:rPr>
      </w:pPr>
      <w:r>
        <w:rPr>
          <w:rFonts w:hint="eastAsia" w:eastAsia="方正仿宋_GBK"/>
          <w:bCs/>
          <w:color w:val="000000"/>
          <w:spacing w:val="-2"/>
          <w:kern w:val="0"/>
          <w:sz w:val="24"/>
        </w:rPr>
        <w:t>各省辖市建设局、规划局：</w:t>
      </w:r>
    </w:p>
    <w:p>
      <w:pPr>
        <w:spacing w:line="380" w:lineRule="exact"/>
        <w:ind w:firstLine="464" w:firstLineChars="200"/>
        <w:rPr>
          <w:rFonts w:eastAsia="方正仿宋_GBK"/>
          <w:bCs/>
          <w:color w:val="000000"/>
          <w:spacing w:val="-2"/>
          <w:kern w:val="0"/>
          <w:sz w:val="24"/>
        </w:rPr>
      </w:pPr>
      <w:r>
        <w:rPr>
          <w:rFonts w:hint="eastAsia" w:eastAsia="方正仿宋_GBK"/>
          <w:bCs/>
          <w:color w:val="000000"/>
          <w:spacing w:val="-2"/>
          <w:kern w:val="0"/>
          <w:sz w:val="24"/>
        </w:rPr>
        <w:t>随着社会主义新农村建设和城乡一体化建设进程的加快，村镇面貌日新月异，在村镇各项建设活动过程中，形成和积累了大量的村镇建设档案。但是，由于乡镇撤并、投资主体多元化以及村镇建设管理程序中规划、房产管理权限的相对集中等新情况、新形势，部分地区和部门在村镇建设档案的形成、积累和指导服务过程中，出现了管理职能不明确、归档内容不清晰等问题，为了进一步加强和规范全省村镇建设档案管理工作，保证社会主义新农村建设持续、健康、稳步发展，现就有关工作通知如下。</w:t>
      </w:r>
    </w:p>
    <w:p>
      <w:pPr>
        <w:spacing w:line="380" w:lineRule="exact"/>
        <w:ind w:firstLine="464" w:firstLineChars="200"/>
        <w:rPr>
          <w:rFonts w:eastAsia="方正仿宋_GBK"/>
          <w:bCs/>
          <w:color w:val="000000"/>
          <w:spacing w:val="-2"/>
          <w:kern w:val="0"/>
          <w:sz w:val="24"/>
        </w:rPr>
      </w:pPr>
      <w:r>
        <w:rPr>
          <w:rFonts w:hint="eastAsia" w:eastAsia="方正仿宋_GBK"/>
          <w:bCs/>
          <w:color w:val="000000"/>
          <w:spacing w:val="-2"/>
          <w:kern w:val="0"/>
          <w:sz w:val="24"/>
        </w:rPr>
        <w:t>一、各级城建档案行政主管部门要依据《城乡规划法》、《档案法》、《建设工程质量管理条例》等城建档案管理法律法规，按照集中统一管理的原则，切实履行对辖区内村镇建设档案工作的管理和监督、指导职能，建立有效的制约措施，实现城乡建设档案管理全覆盖。</w:t>
      </w:r>
    </w:p>
    <w:p>
      <w:pPr>
        <w:spacing w:line="380" w:lineRule="exact"/>
        <w:ind w:firstLine="464" w:firstLineChars="200"/>
        <w:rPr>
          <w:rFonts w:eastAsia="方正仿宋_GBK"/>
          <w:bCs/>
          <w:color w:val="000000"/>
          <w:spacing w:val="-2"/>
          <w:kern w:val="0"/>
          <w:sz w:val="24"/>
        </w:rPr>
      </w:pPr>
      <w:r>
        <w:rPr>
          <w:rFonts w:hint="eastAsia" w:eastAsia="方正仿宋_GBK"/>
          <w:bCs/>
          <w:color w:val="000000"/>
          <w:spacing w:val="-2"/>
          <w:kern w:val="0"/>
          <w:sz w:val="24"/>
        </w:rPr>
        <w:t>二、各市、县（市）城建档案管理机构要认真贯彻落实建设部《关于加强中小城市城乡建设档案工作的意见》（建办〔</w:t>
      </w:r>
      <w:r>
        <w:rPr>
          <w:rFonts w:eastAsia="方正仿宋_GBK"/>
          <w:bCs/>
          <w:color w:val="000000"/>
          <w:spacing w:val="-2"/>
          <w:kern w:val="0"/>
          <w:sz w:val="24"/>
        </w:rPr>
        <w:t>2007</w:t>
      </w:r>
      <w:r>
        <w:rPr>
          <w:rFonts w:hint="eastAsia" w:eastAsia="方正仿宋_GBK"/>
          <w:bCs/>
          <w:color w:val="000000"/>
          <w:spacing w:val="-2"/>
          <w:kern w:val="0"/>
          <w:sz w:val="24"/>
        </w:rPr>
        <w:t>〕</w:t>
      </w:r>
      <w:r>
        <w:rPr>
          <w:rFonts w:eastAsia="方正仿宋_GBK"/>
          <w:bCs/>
          <w:color w:val="000000"/>
          <w:spacing w:val="-2"/>
          <w:kern w:val="0"/>
          <w:sz w:val="24"/>
        </w:rPr>
        <w:t>68</w:t>
      </w:r>
      <w:r>
        <w:rPr>
          <w:rFonts w:hint="eastAsia" w:eastAsia="方正仿宋_GBK"/>
          <w:bCs/>
          <w:color w:val="000000"/>
          <w:spacing w:val="-2"/>
          <w:kern w:val="0"/>
          <w:sz w:val="24"/>
        </w:rPr>
        <w:t>号），加强对本行政区域内村镇建设档案工作的业务监督和指导，接收和保管本地具有永久和长期保存价值的村镇建设档案与相关资料，并加快城建档案信息化、数字化建设步伐，建立本地区城建档案目录数据中心，积极主动为新农村建设提供优质高效的服务。</w:t>
      </w:r>
    </w:p>
    <w:p>
      <w:pPr>
        <w:spacing w:line="380" w:lineRule="exact"/>
        <w:ind w:firstLine="464" w:firstLineChars="200"/>
        <w:rPr>
          <w:rFonts w:eastAsia="方正仿宋_GBK"/>
          <w:bCs/>
          <w:color w:val="000000"/>
          <w:spacing w:val="-2"/>
          <w:kern w:val="0"/>
          <w:sz w:val="24"/>
        </w:rPr>
      </w:pPr>
      <w:r>
        <w:rPr>
          <w:rFonts w:hint="eastAsia" w:eastAsia="方正仿宋_GBK"/>
          <w:bCs/>
          <w:color w:val="000000"/>
          <w:spacing w:val="-2"/>
          <w:kern w:val="0"/>
          <w:sz w:val="24"/>
        </w:rPr>
        <w:t>三、乡（镇）人民政府村镇建设管理部门应当建立村镇建设档案室，完善村镇建设档案管理制度</w:t>
      </w:r>
      <w:r>
        <w:rPr>
          <w:rFonts w:eastAsia="方正仿宋_GBK"/>
          <w:bCs/>
          <w:color w:val="000000"/>
          <w:spacing w:val="-2"/>
          <w:kern w:val="0"/>
          <w:sz w:val="24"/>
        </w:rPr>
        <w:t>,</w:t>
      </w:r>
      <w:r>
        <w:rPr>
          <w:rFonts w:hint="eastAsia" w:eastAsia="方正仿宋_GBK"/>
          <w:bCs/>
          <w:color w:val="000000"/>
          <w:spacing w:val="-2"/>
          <w:kern w:val="0"/>
          <w:sz w:val="24"/>
        </w:rPr>
        <w:t>配备专（兼）职工作人员，安排符合规范要求的档案库房和管理用房，购置必要设备，做好村镇建设管理档案、村镇基础设施建设档案、村镇历史文化资料的收集整理和保管利用工作。当前尤其要做好撤并乡镇档案的集中统一管理工作，并按照国家规定向上级城建档案管理部门移交村镇建设档案目录以及村镇基础设施档案等重要的村镇建设档案，保证村镇建设档案得到安全保管和合理利用。</w:t>
      </w:r>
    </w:p>
    <w:p>
      <w:pPr>
        <w:spacing w:line="380" w:lineRule="exact"/>
        <w:ind w:firstLine="464" w:firstLineChars="200"/>
        <w:rPr>
          <w:rFonts w:eastAsia="方正仿宋_GBK"/>
          <w:bCs/>
          <w:color w:val="000000"/>
          <w:spacing w:val="-2"/>
          <w:kern w:val="0"/>
          <w:sz w:val="24"/>
        </w:rPr>
      </w:pPr>
      <w:r>
        <w:rPr>
          <w:rFonts w:hint="eastAsia" w:eastAsia="方正仿宋_GBK"/>
          <w:bCs/>
          <w:color w:val="000000"/>
          <w:spacing w:val="-2"/>
          <w:kern w:val="0"/>
          <w:sz w:val="24"/>
        </w:rPr>
        <w:t>四、产生村镇建设档案的建设单位要提高对村镇建设档案工作重要性的认识，认真学习和贯彻落实国家、省、市、县（市）制定的有关村镇建设档案管理的各项规定，主动接受城建档案业务部门的辅导培训，及时向城建档案管理机构或村镇建设档案室移交一套符合规范要求的村镇建设档案。</w:t>
      </w:r>
    </w:p>
    <w:p>
      <w:pPr>
        <w:spacing w:line="380" w:lineRule="exact"/>
        <w:ind w:right="900" w:rightChars="437" w:firstLine="4408" w:firstLineChars="1900"/>
        <w:jc w:val="right"/>
        <w:rPr>
          <w:rFonts w:eastAsia="方正仿宋_GBK"/>
          <w:bCs/>
          <w:color w:val="000000"/>
          <w:spacing w:val="-2"/>
          <w:kern w:val="0"/>
          <w:sz w:val="24"/>
        </w:rPr>
      </w:pPr>
      <w:r>
        <w:rPr>
          <w:rFonts w:hint="eastAsia" w:eastAsia="方正仿宋_GBK"/>
          <w:bCs/>
          <w:color w:val="000000"/>
          <w:spacing w:val="-2"/>
          <w:kern w:val="0"/>
          <w:sz w:val="24"/>
        </w:rPr>
        <w:t>江苏省建设厅</w:t>
      </w:r>
      <w:r>
        <w:rPr>
          <w:rFonts w:eastAsia="方正仿宋_GBK"/>
          <w:bCs/>
          <w:color w:val="000000"/>
          <w:spacing w:val="-2"/>
          <w:kern w:val="0"/>
          <w:sz w:val="24"/>
        </w:rPr>
        <w:t xml:space="preserve">       </w:t>
      </w:r>
    </w:p>
    <w:p>
      <w:pPr>
        <w:spacing w:line="380" w:lineRule="exact"/>
        <w:ind w:right="409" w:rightChars="199" w:firstLine="4060" w:firstLineChars="1750"/>
        <w:jc w:val="right"/>
        <w:rPr>
          <w:rFonts w:eastAsia="方正仿宋_GBK"/>
          <w:bCs/>
          <w:color w:val="000000"/>
          <w:spacing w:val="-2"/>
          <w:kern w:val="0"/>
          <w:sz w:val="24"/>
        </w:rPr>
      </w:pPr>
      <w:r>
        <w:rPr>
          <w:rFonts w:hint="eastAsia" w:eastAsia="方正仿宋_GBK"/>
          <w:bCs/>
          <w:color w:val="000000"/>
          <w:spacing w:val="-2"/>
          <w:kern w:val="0"/>
          <w:sz w:val="24"/>
        </w:rPr>
        <w:t>二</w:t>
      </w:r>
      <w:r>
        <w:rPr>
          <w:rFonts w:hint="eastAsia" w:eastAsia="方正仿宋_GBK"/>
          <w:bCs/>
          <w:snapToGrid w:val="0"/>
          <w:color w:val="000000"/>
          <w:spacing w:val="-2"/>
          <w:kern w:val="0"/>
          <w:sz w:val="24"/>
        </w:rPr>
        <w:t>○○</w:t>
      </w:r>
      <w:r>
        <w:rPr>
          <w:rFonts w:hint="eastAsia" w:eastAsia="方正仿宋_GBK"/>
          <w:bCs/>
          <w:color w:val="000000"/>
          <w:spacing w:val="-2"/>
          <w:kern w:val="0"/>
          <w:sz w:val="24"/>
        </w:rPr>
        <w:t>九年七月十六日</w:t>
      </w:r>
      <w:r>
        <w:rPr>
          <w:rFonts w:eastAsia="方正仿宋_GBK"/>
          <w:bCs/>
          <w:color w:val="000000"/>
          <w:spacing w:val="-2"/>
          <w:kern w:val="0"/>
          <w:sz w:val="24"/>
        </w:rPr>
        <w:t xml:space="preserve">    </w:t>
      </w:r>
    </w:p>
    <w:p>
      <w:pPr>
        <w:spacing w:line="460" w:lineRule="exact"/>
        <w:rPr>
          <w:rFonts w:eastAsia="方正仿宋_GBK"/>
          <w:bCs/>
          <w:color w:val="000000"/>
          <w:spacing w:val="-2"/>
          <w:kern w:val="0"/>
          <w:sz w:val="24"/>
        </w:rPr>
      </w:pPr>
    </w:p>
    <w:p>
      <w:pPr>
        <w:pStyle w:val="2"/>
        <w:spacing w:before="590" w:beforeLines="100" w:after="590" w:afterLines="100" w:line="240" w:lineRule="auto"/>
        <w:jc w:val="center"/>
        <w:rPr>
          <w:rFonts w:ascii="Times New Roman" w:eastAsia="方正小标宋_GBK"/>
          <w:b w:val="0"/>
          <w:sz w:val="36"/>
          <w:szCs w:val="36"/>
        </w:rPr>
      </w:pPr>
      <w:bookmarkStart w:id="733" w:name="_Toc18315837"/>
      <w:bookmarkStart w:id="734" w:name="_Toc20726700"/>
      <w:r>
        <w:rPr>
          <w:rFonts w:hint="eastAsia" w:ascii="Times New Roman" w:eastAsia="方正小标宋_GBK"/>
          <w:b w:val="0"/>
          <w:sz w:val="36"/>
          <w:szCs w:val="36"/>
        </w:rPr>
        <w:t>关于进一步加强开发区建设档案管理工作的通知</w:t>
      </w:r>
      <w:bookmarkEnd w:id="733"/>
      <w:bookmarkEnd w:id="734"/>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35" w:name="_Toc20726701"/>
      <w:bookmarkStart w:id="736" w:name="_Toc18315838"/>
      <w:r>
        <w:rPr>
          <w:rFonts w:hint="eastAsia" w:ascii="Times New Roman" w:hAnsi="Times New Roman" w:eastAsia="方正楷体_GBK"/>
          <w:b w:val="0"/>
          <w:sz w:val="24"/>
          <w:szCs w:val="24"/>
        </w:rPr>
        <w:t>苏建档〔</w:t>
      </w:r>
      <w:r>
        <w:rPr>
          <w:rFonts w:ascii="Times New Roman" w:hAnsi="Times New Roman" w:eastAsia="方正楷体_GBK"/>
          <w:b w:val="0"/>
          <w:sz w:val="24"/>
          <w:szCs w:val="24"/>
        </w:rPr>
        <w:t>2009</w:t>
      </w:r>
      <w:r>
        <w:rPr>
          <w:rFonts w:hint="eastAsia" w:ascii="Times New Roman" w:hAnsi="Times New Roman" w:eastAsia="方正楷体_GBK"/>
          <w:b w:val="0"/>
          <w:sz w:val="24"/>
          <w:szCs w:val="24"/>
        </w:rPr>
        <w:t>〕</w:t>
      </w:r>
      <w:r>
        <w:rPr>
          <w:rFonts w:ascii="Times New Roman" w:hAnsi="Times New Roman" w:eastAsia="方正楷体_GBK"/>
          <w:b w:val="0"/>
          <w:sz w:val="24"/>
          <w:szCs w:val="24"/>
        </w:rPr>
        <w:t>285</w:t>
      </w:r>
      <w:r>
        <w:rPr>
          <w:rFonts w:hint="eastAsia" w:ascii="Times New Roman" w:hAnsi="Times New Roman" w:eastAsia="方正楷体_GBK"/>
          <w:b w:val="0"/>
          <w:sz w:val="24"/>
          <w:szCs w:val="24"/>
        </w:rPr>
        <w:t>号</w:t>
      </w:r>
      <w:bookmarkEnd w:id="735"/>
      <w:bookmarkEnd w:id="736"/>
    </w:p>
    <w:p>
      <w:pPr>
        <w:spacing w:line="420" w:lineRule="exact"/>
        <w:rPr>
          <w:rFonts w:eastAsia="方正仿宋_GBK"/>
          <w:color w:val="000000"/>
          <w:spacing w:val="-2"/>
          <w:sz w:val="24"/>
        </w:rPr>
      </w:pPr>
      <w:r>
        <w:rPr>
          <w:rFonts w:hint="eastAsia" w:eastAsia="方正仿宋_GBK"/>
          <w:color w:val="000000"/>
          <w:spacing w:val="-2"/>
          <w:sz w:val="24"/>
        </w:rPr>
        <w:t>各省辖市建设局、规划局，各级开发区管委会：</w:t>
      </w:r>
    </w:p>
    <w:p>
      <w:pPr>
        <w:spacing w:line="420" w:lineRule="exact"/>
        <w:ind w:firstLine="464" w:firstLineChars="200"/>
        <w:rPr>
          <w:rFonts w:eastAsia="方正仿宋_GBK"/>
          <w:color w:val="000000"/>
          <w:spacing w:val="-2"/>
          <w:sz w:val="24"/>
        </w:rPr>
      </w:pPr>
      <w:r>
        <w:rPr>
          <w:rFonts w:hint="eastAsia" w:eastAsia="方正仿宋_GBK"/>
          <w:color w:val="000000"/>
          <w:spacing w:val="-2"/>
          <w:sz w:val="24"/>
        </w:rPr>
        <w:t>开发区是各地经济建设和社会发展的重点区域，开发区建设过程中形成的各类建设档案是所在地城市建设档案的重要组成部分。为了进一步加强开发区的建设档案管理工作，特作如下通知：</w:t>
      </w:r>
    </w:p>
    <w:p>
      <w:pPr>
        <w:spacing w:line="420" w:lineRule="exact"/>
        <w:ind w:firstLine="464" w:firstLineChars="200"/>
        <w:rPr>
          <w:rFonts w:eastAsia="方正仿宋_GBK"/>
          <w:color w:val="000000"/>
          <w:spacing w:val="-6"/>
          <w:sz w:val="24"/>
        </w:rPr>
      </w:pPr>
      <w:r>
        <w:rPr>
          <w:rFonts w:hint="eastAsia" w:eastAsia="方正仿宋_GBK"/>
          <w:color w:val="000000"/>
          <w:spacing w:val="-2"/>
          <w:sz w:val="24"/>
        </w:rPr>
        <w:t>一、</w:t>
      </w:r>
      <w:r>
        <w:rPr>
          <w:rFonts w:hint="eastAsia" w:eastAsia="方正仿宋_GBK"/>
          <w:color w:val="000000"/>
          <w:spacing w:val="-6"/>
          <w:sz w:val="24"/>
        </w:rPr>
        <w:t>各级各类开发区是城市规划建设用地的组成部分，是城市的重点开发建设区域，它在规划、建设、管理过程中形成的档案资料是城市建设档案不可分割的组成部分，必须按照《江苏省城建档案管理办法》纳入所在城市城建档案主管部门的统一管理。</w:t>
      </w:r>
    </w:p>
    <w:p>
      <w:pPr>
        <w:spacing w:line="420" w:lineRule="exact"/>
        <w:ind w:firstLine="464" w:firstLineChars="200"/>
        <w:rPr>
          <w:rFonts w:eastAsia="方正仿宋_GBK"/>
          <w:color w:val="000000"/>
          <w:spacing w:val="-2"/>
          <w:sz w:val="24"/>
        </w:rPr>
      </w:pPr>
      <w:r>
        <w:rPr>
          <w:rFonts w:hint="eastAsia" w:eastAsia="方正仿宋_GBK"/>
          <w:color w:val="000000"/>
          <w:spacing w:val="-2"/>
          <w:sz w:val="24"/>
        </w:rPr>
        <w:t>二、各级建设（规划）行政主管部门要认真贯彻落实《中华人民共和国城乡规划法》、《中华人民共和国档案法》、《建设工程质量管理条例》等法律、法规，按照集中统一管理的原则，依法履行对各级各类开发区城建档案工作的管理职能，采取切实有效的措施，将开发区的城建档案管理纳入规划、建设管理程序，保证开发区城建档案得到妥善保管和合理利用。</w:t>
      </w:r>
    </w:p>
    <w:p>
      <w:pPr>
        <w:spacing w:line="420" w:lineRule="exact"/>
        <w:ind w:firstLine="464" w:firstLineChars="200"/>
        <w:rPr>
          <w:rFonts w:eastAsia="方正仿宋_GBK"/>
          <w:color w:val="000000"/>
          <w:spacing w:val="-2"/>
          <w:sz w:val="24"/>
        </w:rPr>
      </w:pPr>
      <w:r>
        <w:rPr>
          <w:rFonts w:hint="eastAsia" w:eastAsia="方正仿宋_GBK"/>
          <w:color w:val="000000"/>
          <w:spacing w:val="-2"/>
          <w:sz w:val="24"/>
        </w:rPr>
        <w:t>三、各市、县（市）城建档案管理机构作为开发区城建档案日常管理部门，要加强对开发区城建档案工作的检查、督促和指导，保证开发区的项目建档工作与工程建设</w:t>
      </w:r>
      <w:r>
        <w:rPr>
          <w:rFonts w:eastAsia="方正仿宋_GBK"/>
          <w:color w:val="000000"/>
          <w:spacing w:val="-2"/>
          <w:sz w:val="24"/>
        </w:rPr>
        <w:t>“</w:t>
      </w:r>
      <w:r>
        <w:rPr>
          <w:rFonts w:hint="eastAsia" w:eastAsia="方正仿宋_GBK"/>
          <w:color w:val="000000"/>
          <w:spacing w:val="-2"/>
          <w:sz w:val="24"/>
        </w:rPr>
        <w:t>三同步</w:t>
      </w:r>
      <w:r>
        <w:rPr>
          <w:rFonts w:eastAsia="方正仿宋_GBK"/>
          <w:color w:val="000000"/>
          <w:spacing w:val="-2"/>
          <w:sz w:val="24"/>
        </w:rPr>
        <w:t>”</w:t>
      </w:r>
      <w:r>
        <w:rPr>
          <w:rFonts w:hint="eastAsia" w:eastAsia="方正仿宋_GBK"/>
          <w:color w:val="000000"/>
          <w:spacing w:val="-2"/>
          <w:sz w:val="24"/>
        </w:rPr>
        <w:t>。要认真做好服务工作，积极采用现代化管理手段，实现开发区建设档案的远程查询和服务利用，满足开发区经济建设和社会发展各项工作的需要。</w:t>
      </w:r>
    </w:p>
    <w:p>
      <w:pPr>
        <w:spacing w:line="420" w:lineRule="exact"/>
        <w:ind w:firstLine="464" w:firstLineChars="200"/>
        <w:rPr>
          <w:rFonts w:eastAsia="方正仿宋_GBK"/>
          <w:color w:val="000000"/>
          <w:spacing w:val="-2"/>
          <w:sz w:val="24"/>
        </w:rPr>
      </w:pPr>
      <w:r>
        <w:rPr>
          <w:rFonts w:hint="eastAsia" w:eastAsia="方正仿宋_GBK"/>
          <w:color w:val="000000"/>
          <w:spacing w:val="-2"/>
          <w:sz w:val="24"/>
        </w:rPr>
        <w:t>四、各级各类开发区内的建设单位要认真学习和贯彻执行有关开发区城建档案管理工作的法律、法规和有关规定，主动接受城建档案业务管理部门的工作检查和指导，及时向所在地的城建档案馆报送需要永久和长期保存的城建档案。</w:t>
      </w:r>
    </w:p>
    <w:p>
      <w:pPr>
        <w:spacing w:line="420" w:lineRule="exact"/>
        <w:ind w:firstLine="464" w:firstLineChars="200"/>
        <w:rPr>
          <w:rFonts w:eastAsia="方正仿宋_GBK"/>
          <w:color w:val="000000"/>
          <w:spacing w:val="-2"/>
          <w:sz w:val="24"/>
        </w:rPr>
      </w:pPr>
      <w:r>
        <w:rPr>
          <w:rFonts w:hint="eastAsia" w:eastAsia="方正仿宋_GBK"/>
          <w:color w:val="000000"/>
          <w:spacing w:val="-2"/>
          <w:sz w:val="24"/>
        </w:rPr>
        <w:t>五、各级建设（规划）行政主管部门要加强城建档案执法检查工作，对违反《中华人民共和国档案法》、《中华人民共和国城乡规划法》、《建设工程质量管理条例》、《城市建设档案管理规定》、《城市地下管线工程档案管理办法》等法律、法规和规章，拒不向城建档案馆移交档案的单位和个人，依法给予处罚。</w:t>
      </w:r>
    </w:p>
    <w:p>
      <w:pPr>
        <w:spacing w:line="460" w:lineRule="exact"/>
        <w:ind w:right="409" w:rightChars="199" w:firstLine="464" w:firstLineChars="200"/>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ind w:right="472"/>
        <w:jc w:val="center"/>
      </w:pPr>
      <w:r>
        <w:rPr>
          <w:rFonts w:eastAsia="方正仿宋_GBK"/>
          <w:color w:val="000000"/>
          <w:spacing w:val="-2"/>
          <w:sz w:val="24"/>
        </w:rPr>
        <w:t xml:space="preserve">                                            </w:t>
      </w:r>
      <w:r>
        <w:rPr>
          <w:rFonts w:hint="eastAsia" w:eastAsia="方正仿宋_GBK"/>
          <w:color w:val="000000"/>
          <w:spacing w:val="-2"/>
          <w:sz w:val="24"/>
        </w:rPr>
        <w:t>二</w:t>
      </w:r>
      <w:r>
        <w:rPr>
          <w:rFonts w:hint="eastAsia" w:eastAsia="方正仿宋_GBK"/>
          <w:bCs/>
          <w:snapToGrid w:val="0"/>
          <w:color w:val="000000"/>
          <w:spacing w:val="-2"/>
          <w:kern w:val="0"/>
          <w:sz w:val="24"/>
        </w:rPr>
        <w:t>○○</w:t>
      </w:r>
      <w:r>
        <w:rPr>
          <w:rFonts w:hint="eastAsia" w:eastAsia="方正仿宋_GBK"/>
          <w:color w:val="000000"/>
          <w:spacing w:val="-2"/>
          <w:sz w:val="24"/>
        </w:rPr>
        <w:t>九年九月十六日</w:t>
      </w:r>
      <w:r>
        <w:rPr>
          <w:rFonts w:eastAsia="方正仿宋_GBK"/>
          <w:color w:val="000000"/>
          <w:spacing w:val="-2"/>
          <w:sz w:val="24"/>
        </w:rPr>
        <w:t xml:space="preserve">  </w:t>
      </w:r>
    </w:p>
    <w:p/>
    <w:p/>
    <w:p/>
    <w:p/>
    <w:p/>
    <w:p/>
    <w:p/>
    <w:p/>
    <w:p/>
    <w:p/>
    <w:p/>
    <w:p/>
    <w:p/>
    <w:p/>
    <w:p/>
    <w:p/>
    <w:p/>
    <w:p/>
    <w:p/>
    <w:p/>
    <w:p/>
    <w:p/>
    <w:p/>
    <w:p/>
    <w:p/>
    <w:p/>
    <w:p/>
    <w:p/>
    <w:p/>
    <w:p/>
    <w:p/>
    <w:p/>
    <w:p/>
    <w:p/>
    <w:p/>
    <w:p/>
    <w:p/>
    <w:p/>
    <w:p/>
    <w:p/>
    <w:p/>
    <w:p/>
    <w:p>
      <w:pPr>
        <w:pStyle w:val="2"/>
        <w:spacing w:before="590" w:beforeLines="100" w:after="590" w:afterLines="100" w:line="240" w:lineRule="auto"/>
        <w:jc w:val="center"/>
        <w:rPr>
          <w:rFonts w:ascii="Times New Roman" w:eastAsia="方正小标宋_GBK"/>
          <w:b w:val="0"/>
          <w:sz w:val="36"/>
          <w:szCs w:val="36"/>
        </w:rPr>
      </w:pPr>
      <w:bookmarkStart w:id="737" w:name="_Toc20726702"/>
      <w:bookmarkStart w:id="738" w:name="_Toc18315839"/>
      <w:r>
        <w:rPr>
          <w:rFonts w:hint="eastAsia" w:ascii="Times New Roman" w:eastAsia="方正小标宋_GBK"/>
          <w:b w:val="0"/>
          <w:sz w:val="36"/>
          <w:szCs w:val="36"/>
        </w:rPr>
        <w:t>省住房城乡建设厅关于印发《江苏省建设工程声像档案管理办法（暂行）》的通知</w:t>
      </w:r>
      <w:bookmarkEnd w:id="737"/>
      <w:bookmarkEnd w:id="738"/>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39" w:name="_Toc20726703"/>
      <w:bookmarkStart w:id="740" w:name="_Toc18315840"/>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1</w:t>
      </w:r>
      <w:r>
        <w:rPr>
          <w:rFonts w:hint="eastAsia" w:ascii="Times New Roman" w:hAnsi="Times New Roman" w:eastAsia="方正楷体_GBK"/>
          <w:b w:val="0"/>
          <w:sz w:val="24"/>
          <w:szCs w:val="24"/>
        </w:rPr>
        <w:t>号</w:t>
      </w:r>
      <w:bookmarkEnd w:id="739"/>
      <w:bookmarkEnd w:id="740"/>
    </w:p>
    <w:p>
      <w:pPr>
        <w:snapToGrid w:val="0"/>
        <w:spacing w:line="460" w:lineRule="exact"/>
        <w:rPr>
          <w:rFonts w:eastAsia="方正仿宋_GBK"/>
          <w:color w:val="000000"/>
          <w:spacing w:val="-2"/>
          <w:sz w:val="24"/>
        </w:rPr>
      </w:pPr>
      <w:r>
        <w:rPr>
          <w:rFonts w:hint="eastAsia" w:eastAsia="方正仿宋_GBK"/>
          <w:color w:val="000000"/>
          <w:spacing w:val="-2"/>
          <w:sz w:val="24"/>
        </w:rPr>
        <w:t>各省辖市建设局（委）、规划局，昆山市、泰兴市、沭阳县建设局：</w:t>
      </w:r>
    </w:p>
    <w:p>
      <w:pPr>
        <w:snapToGrid w:val="0"/>
        <w:spacing w:line="460" w:lineRule="exact"/>
        <w:ind w:firstLine="464" w:firstLineChars="200"/>
        <w:rPr>
          <w:rFonts w:eastAsia="方正仿宋_GBK"/>
          <w:color w:val="000000"/>
          <w:spacing w:val="-2"/>
          <w:sz w:val="24"/>
        </w:rPr>
      </w:pPr>
      <w:r>
        <w:rPr>
          <w:rFonts w:hint="eastAsia" w:eastAsia="方正仿宋_GBK"/>
          <w:color w:val="000000"/>
          <w:spacing w:val="-2"/>
          <w:sz w:val="24"/>
        </w:rPr>
        <w:t>为加强和规范全省城市建设声像档案管理工作，进一步提升各级城建档案馆的声像档案管理水平和服务能力，特制定《江苏省建设工程声像档案管理办法（暂行）》，现予印发，请遵照执行。</w:t>
      </w:r>
    </w:p>
    <w:p>
      <w:pPr>
        <w:snapToGrid w:val="0"/>
        <w:spacing w:line="460" w:lineRule="exact"/>
        <w:ind w:firstLine="651"/>
        <w:rPr>
          <w:rFonts w:eastAsia="方正仿宋_GBK"/>
          <w:color w:val="000000"/>
          <w:spacing w:val="-2"/>
          <w:sz w:val="24"/>
        </w:rPr>
      </w:pPr>
    </w:p>
    <w:p>
      <w:pPr>
        <w:snapToGrid w:val="0"/>
        <w:spacing w:line="460" w:lineRule="exact"/>
        <w:ind w:firstLine="651"/>
        <w:rPr>
          <w:rFonts w:eastAsia="方正仿宋_GBK"/>
          <w:color w:val="000000"/>
          <w:spacing w:val="-2"/>
          <w:sz w:val="24"/>
        </w:rPr>
      </w:pPr>
      <w:r>
        <w:rPr>
          <w:rFonts w:hint="eastAsia" w:eastAsia="方正仿宋_GBK"/>
          <w:color w:val="000000"/>
          <w:spacing w:val="-2"/>
          <w:sz w:val="24"/>
        </w:rPr>
        <w:t>附件：《江苏省建设工程声像档案管理办法（暂行）》</w:t>
      </w:r>
    </w:p>
    <w:p>
      <w:pPr>
        <w:snapToGrid w:val="0"/>
        <w:spacing w:line="460" w:lineRule="exact"/>
        <w:rPr>
          <w:rFonts w:eastAsia="方正仿宋_GBK"/>
          <w:color w:val="000000"/>
          <w:spacing w:val="-2"/>
          <w:sz w:val="24"/>
        </w:rPr>
      </w:pPr>
    </w:p>
    <w:p>
      <w:pPr>
        <w:snapToGrid w:val="0"/>
        <w:spacing w:line="460" w:lineRule="exact"/>
        <w:ind w:right="428" w:rightChars="208" w:firstLine="3364" w:firstLineChars="1450"/>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napToGrid w:val="0"/>
        <w:spacing w:line="460" w:lineRule="exact"/>
        <w:ind w:right="861" w:rightChars="418"/>
        <w:jc w:val="right"/>
        <w:rPr>
          <w:rFonts w:eastAsia="方正仿宋_GBK"/>
          <w:color w:val="000000"/>
          <w:spacing w:val="-2"/>
          <w:sz w:val="24"/>
        </w:rPr>
      </w:pP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4</w:t>
      </w:r>
      <w:r>
        <w:rPr>
          <w:rFonts w:hint="eastAsia" w:eastAsia="方正仿宋_GBK"/>
          <w:color w:val="000000"/>
          <w:spacing w:val="-2"/>
          <w:sz w:val="24"/>
        </w:rPr>
        <w:t>月</w:t>
      </w:r>
      <w:r>
        <w:rPr>
          <w:rFonts w:eastAsia="方正仿宋_GBK"/>
          <w:color w:val="000000"/>
          <w:spacing w:val="-2"/>
          <w:sz w:val="24"/>
        </w:rPr>
        <w:t>10</w:t>
      </w:r>
      <w:r>
        <w:rPr>
          <w:rFonts w:hint="eastAsia" w:eastAsia="方正仿宋_GBK"/>
          <w:color w:val="000000"/>
          <w:spacing w:val="-2"/>
          <w:sz w:val="24"/>
        </w:rPr>
        <w:t>日</w:t>
      </w:r>
      <w:r>
        <w:rPr>
          <w:rFonts w:eastAsia="方正仿宋_GBK"/>
          <w:color w:val="000000"/>
          <w:spacing w:val="-2"/>
          <w:sz w:val="24"/>
        </w:rPr>
        <w:t xml:space="preserve">        </w:t>
      </w:r>
    </w:p>
    <w:p>
      <w:pPr>
        <w:snapToGrid w:val="0"/>
        <w:spacing w:line="460" w:lineRule="exact"/>
        <w:rPr>
          <w:rFonts w:eastAsia="方正仿宋_GBK"/>
          <w:color w:val="000000"/>
          <w:spacing w:val="-2"/>
          <w:sz w:val="24"/>
        </w:rPr>
      </w:pPr>
    </w:p>
    <w:p>
      <w:pPr>
        <w:snapToGrid w:val="0"/>
        <w:spacing w:line="460" w:lineRule="exact"/>
        <w:rPr>
          <w:rFonts w:eastAsia="方正仿宋_GBK"/>
          <w:color w:val="000000"/>
          <w:spacing w:val="-2"/>
          <w:sz w:val="24"/>
        </w:rPr>
      </w:pPr>
    </w:p>
    <w:p>
      <w:pPr>
        <w:snapToGrid w:val="0"/>
        <w:spacing w:line="460" w:lineRule="exact"/>
        <w:jc w:val="center"/>
        <w:rPr>
          <w:rFonts w:ascii="Times New Roman" w:eastAsia="方正黑体_GBK"/>
          <w:color w:val="000000"/>
          <w:spacing w:val="-2"/>
          <w:sz w:val="36"/>
          <w:szCs w:val="36"/>
        </w:rPr>
      </w:pPr>
      <w:r>
        <w:rPr>
          <w:rFonts w:hint="eastAsia" w:ascii="Times New Roman" w:eastAsia="方正黑体_GBK"/>
          <w:color w:val="000000"/>
          <w:spacing w:val="-2"/>
          <w:sz w:val="36"/>
          <w:szCs w:val="36"/>
        </w:rPr>
        <w:t>江苏省建设工程声像档案管理办法（暂行）</w:t>
      </w:r>
    </w:p>
    <w:p>
      <w:pPr>
        <w:snapToGrid w:val="0"/>
        <w:spacing w:line="460" w:lineRule="exact"/>
        <w:jc w:val="center"/>
        <w:rPr>
          <w:rFonts w:hint="eastAsia" w:eastAsia="方正仿宋_GBK"/>
          <w:color w:val="000000"/>
          <w:spacing w:val="-2"/>
          <w:sz w:val="24"/>
        </w:rPr>
      </w:pPr>
    </w:p>
    <w:p>
      <w:pPr>
        <w:spacing w:line="460" w:lineRule="exact"/>
        <w:ind w:firstLine="464" w:firstLineChars="200"/>
        <w:rPr>
          <w:rFonts w:eastAsia="方正仿宋_GBK"/>
          <w:color w:val="000000"/>
          <w:spacing w:val="-2"/>
          <w:sz w:val="24"/>
        </w:rPr>
      </w:pPr>
      <w:r>
        <w:rPr>
          <w:rFonts w:hint="eastAsia" w:ascii="Times New Roman" w:eastAsia="方正黑体_GBK"/>
          <w:color w:val="000000"/>
          <w:spacing w:val="-2"/>
          <w:sz w:val="24"/>
        </w:rPr>
        <w:t>第一条　</w:t>
      </w:r>
      <w:r>
        <w:rPr>
          <w:rFonts w:hint="eastAsia" w:eastAsia="方正仿宋_GBK"/>
          <w:color w:val="000000"/>
          <w:spacing w:val="-2"/>
          <w:sz w:val="24"/>
        </w:rPr>
        <w:t>为加强和规范全省城市建设声像档案管理工作，进一步提升各级城建档案馆的声像档案管理水平和服务能力，依据国务院《建设工程质量管理条例》（国务院第</w:t>
      </w:r>
      <w:r>
        <w:rPr>
          <w:rFonts w:eastAsia="方正仿宋_GBK"/>
          <w:color w:val="000000"/>
          <w:spacing w:val="-2"/>
          <w:sz w:val="24"/>
        </w:rPr>
        <w:t>279</w:t>
      </w:r>
      <w:r>
        <w:rPr>
          <w:rFonts w:hint="eastAsia" w:eastAsia="方正仿宋_GBK"/>
          <w:color w:val="000000"/>
          <w:spacing w:val="-2"/>
          <w:sz w:val="24"/>
        </w:rPr>
        <w:t>号令），建设部《城市建设档案管理规定》（建设部令第</w:t>
      </w:r>
      <w:r>
        <w:rPr>
          <w:rFonts w:eastAsia="方正仿宋_GBK"/>
          <w:color w:val="000000"/>
          <w:spacing w:val="-2"/>
          <w:sz w:val="24"/>
        </w:rPr>
        <w:t>90</w:t>
      </w:r>
      <w:r>
        <w:rPr>
          <w:rFonts w:hint="eastAsia" w:eastAsia="方正仿宋_GBK"/>
          <w:color w:val="000000"/>
          <w:spacing w:val="-2"/>
          <w:sz w:val="24"/>
        </w:rPr>
        <w:t>号）、</w:t>
      </w:r>
      <w:r>
        <w:rPr>
          <w:rFonts w:hint="eastAsia" w:eastAsia="方正仿宋_GBK"/>
          <w:bCs/>
          <w:color w:val="000000"/>
          <w:spacing w:val="-2"/>
          <w:sz w:val="24"/>
        </w:rPr>
        <w:t>《城市地下管线工程档案管理办法》（建设部令第</w:t>
      </w:r>
      <w:r>
        <w:rPr>
          <w:rFonts w:eastAsia="方正仿宋_GBK"/>
          <w:bCs/>
          <w:color w:val="000000"/>
          <w:spacing w:val="-2"/>
          <w:sz w:val="24"/>
        </w:rPr>
        <w:t>136</w:t>
      </w:r>
      <w:r>
        <w:rPr>
          <w:rFonts w:hint="eastAsia" w:eastAsia="方正仿宋_GBK"/>
          <w:bCs/>
          <w:color w:val="000000"/>
          <w:spacing w:val="-2"/>
          <w:sz w:val="24"/>
        </w:rPr>
        <w:t>号）、《江苏省城建档案管理办法》（江苏省政府令第</w:t>
      </w:r>
      <w:r>
        <w:rPr>
          <w:rFonts w:eastAsia="方正仿宋_GBK"/>
          <w:bCs/>
          <w:color w:val="000000"/>
          <w:spacing w:val="-2"/>
          <w:sz w:val="24"/>
        </w:rPr>
        <w:t>196</w:t>
      </w:r>
      <w:r>
        <w:rPr>
          <w:rFonts w:hint="eastAsia" w:eastAsia="方正仿宋_GBK"/>
          <w:bCs/>
          <w:color w:val="000000"/>
          <w:spacing w:val="-2"/>
          <w:sz w:val="24"/>
        </w:rPr>
        <w:t>号）</w:t>
      </w:r>
      <w:r>
        <w:rPr>
          <w:rFonts w:hint="eastAsia" w:eastAsia="方正仿宋_GBK"/>
          <w:color w:val="000000"/>
          <w:spacing w:val="-2"/>
          <w:sz w:val="24"/>
        </w:rPr>
        <w:t>等相关规定，结合本省实际，制定本办法。</w:t>
      </w:r>
    </w:p>
    <w:p>
      <w:pPr>
        <w:spacing w:line="460" w:lineRule="exact"/>
        <w:ind w:firstLine="464" w:firstLineChars="200"/>
        <w:rPr>
          <w:rFonts w:eastAsia="方正仿宋_GBK"/>
          <w:color w:val="000000"/>
          <w:spacing w:val="-2"/>
          <w:sz w:val="24"/>
        </w:rPr>
      </w:pPr>
      <w:r>
        <w:rPr>
          <w:rFonts w:hint="eastAsia" w:ascii="Times New Roman" w:eastAsia="方正黑体_GBK"/>
          <w:color w:val="000000"/>
          <w:spacing w:val="-2"/>
          <w:sz w:val="24"/>
        </w:rPr>
        <w:t>第二条　</w:t>
      </w:r>
      <w:r>
        <w:rPr>
          <w:rFonts w:hint="eastAsia" w:eastAsia="方正仿宋_GBK"/>
          <w:color w:val="000000"/>
          <w:spacing w:val="-2"/>
          <w:sz w:val="24"/>
        </w:rPr>
        <w:t>本办法所称的建设工程声像档案，是指在城乡工程建设过程中直接形成的，具有保存价值的照片、录音、录像等各种载体形式的历史记录。</w:t>
      </w:r>
    </w:p>
    <w:p>
      <w:pPr>
        <w:spacing w:line="460" w:lineRule="exact"/>
        <w:ind w:firstLine="464" w:firstLineChars="200"/>
        <w:rPr>
          <w:rFonts w:eastAsia="方正仿宋_GBK"/>
          <w:color w:val="000000"/>
          <w:spacing w:val="-2"/>
          <w:sz w:val="24"/>
        </w:rPr>
      </w:pPr>
      <w:r>
        <w:rPr>
          <w:rFonts w:hint="eastAsia" w:ascii="Times New Roman" w:eastAsia="方正黑体_GBK"/>
          <w:color w:val="000000"/>
          <w:spacing w:val="-2"/>
          <w:sz w:val="24"/>
        </w:rPr>
        <w:t>第</w:t>
      </w:r>
      <w:r>
        <w:rPr>
          <w:rFonts w:hint="eastAsia" w:ascii="Times New Roman" w:eastAsia="方正黑体_GBK"/>
          <w:bCs/>
          <w:color w:val="000000"/>
          <w:spacing w:val="-2"/>
          <w:sz w:val="24"/>
        </w:rPr>
        <w:t>三</w:t>
      </w:r>
      <w:r>
        <w:rPr>
          <w:rFonts w:hint="eastAsia" w:ascii="Times New Roman" w:eastAsia="方正黑体_GBK"/>
          <w:color w:val="000000"/>
          <w:spacing w:val="-2"/>
          <w:sz w:val="24"/>
        </w:rPr>
        <w:t>条</w:t>
      </w:r>
      <w:r>
        <w:rPr>
          <w:rFonts w:eastAsia="方正仿宋_GBK"/>
          <w:b/>
          <w:color w:val="000000"/>
          <w:spacing w:val="-2"/>
          <w:sz w:val="24"/>
        </w:rPr>
        <w:t xml:space="preserve">  </w:t>
      </w:r>
      <w:r>
        <w:rPr>
          <w:rFonts w:hint="eastAsia" w:eastAsia="方正仿宋_GBK"/>
          <w:color w:val="000000"/>
          <w:spacing w:val="-2"/>
          <w:sz w:val="24"/>
        </w:rPr>
        <w:t>建设单位应当开展建设工程声像档案的拍摄、收集、整理、报送和管理工作。</w:t>
      </w:r>
    </w:p>
    <w:p>
      <w:pPr>
        <w:spacing w:line="460" w:lineRule="exact"/>
        <w:ind w:firstLine="464" w:firstLineChars="200"/>
        <w:rPr>
          <w:rFonts w:eastAsia="方正仿宋_GBK"/>
          <w:bCs/>
          <w:color w:val="000000"/>
          <w:spacing w:val="-2"/>
          <w:sz w:val="24"/>
        </w:rPr>
      </w:pPr>
      <w:r>
        <w:rPr>
          <w:rFonts w:hint="eastAsia" w:ascii="Times New Roman" w:eastAsia="方正黑体_GBK"/>
          <w:color w:val="000000"/>
          <w:spacing w:val="-2"/>
          <w:sz w:val="24"/>
        </w:rPr>
        <w:t>第四条</w:t>
      </w:r>
      <w:r>
        <w:rPr>
          <w:rFonts w:eastAsia="方正仿宋_GBK"/>
          <w:b/>
          <w:bCs/>
          <w:color w:val="000000"/>
          <w:spacing w:val="-2"/>
          <w:sz w:val="24"/>
        </w:rPr>
        <w:t xml:space="preserve">  </w:t>
      </w:r>
      <w:r>
        <w:rPr>
          <w:rFonts w:hint="eastAsia" w:eastAsia="方正仿宋_GBK"/>
          <w:bCs/>
          <w:color w:val="000000"/>
          <w:spacing w:val="-2"/>
          <w:sz w:val="24"/>
        </w:rPr>
        <w:t>在本省城市和乡镇进行各类工程建设，应当拍摄、保存声像档案。列为市级以上重点工程或者需要申报市级以上优质工程的，应当编辑录像专题片。</w:t>
      </w:r>
    </w:p>
    <w:p>
      <w:pPr>
        <w:spacing w:line="460" w:lineRule="exact"/>
        <w:ind w:firstLine="464" w:firstLineChars="200"/>
        <w:rPr>
          <w:rFonts w:eastAsia="方正仿宋_GBK"/>
          <w:color w:val="000000"/>
          <w:spacing w:val="-2"/>
          <w:sz w:val="24"/>
        </w:rPr>
      </w:pPr>
      <w:r>
        <w:rPr>
          <w:rFonts w:hint="eastAsia" w:ascii="Times New Roman" w:eastAsia="方正黑体_GBK"/>
          <w:color w:val="000000"/>
          <w:spacing w:val="-2"/>
          <w:sz w:val="24"/>
        </w:rPr>
        <w:t>第五条</w:t>
      </w:r>
      <w:r>
        <w:rPr>
          <w:rFonts w:eastAsia="方正仿宋_GBK"/>
          <w:b/>
          <w:color w:val="000000"/>
          <w:spacing w:val="-2"/>
          <w:sz w:val="24"/>
        </w:rPr>
        <w:t xml:space="preserve">  </w:t>
      </w:r>
      <w:r>
        <w:rPr>
          <w:rFonts w:hint="eastAsia" w:eastAsia="方正仿宋_GBK"/>
          <w:color w:val="000000"/>
          <w:spacing w:val="-2"/>
          <w:sz w:val="24"/>
        </w:rPr>
        <w:t>建设工程声像档案的具体收集范围和内容，以及归档整理和保管利用等按照《建设工程文件归档整理规范》（</w:t>
      </w:r>
      <w:r>
        <w:rPr>
          <w:rFonts w:eastAsia="方正仿宋_GBK"/>
          <w:color w:val="000000"/>
          <w:spacing w:val="-2"/>
          <w:sz w:val="24"/>
        </w:rPr>
        <w:t>GB/T 50328</w:t>
      </w:r>
      <w:r>
        <w:rPr>
          <w:rFonts w:hint="eastAsia" w:eastAsia="方正仿宋_GBK"/>
          <w:color w:val="000000"/>
          <w:spacing w:val="-2"/>
          <w:sz w:val="24"/>
        </w:rPr>
        <w:t>）、《城建档案业务管理规范》（</w:t>
      </w:r>
      <w:r>
        <w:rPr>
          <w:rFonts w:eastAsia="方正仿宋_GBK"/>
          <w:color w:val="000000"/>
          <w:spacing w:val="-2"/>
          <w:sz w:val="24"/>
        </w:rPr>
        <w:t>CJJ/T 158</w:t>
      </w:r>
      <w:r>
        <w:rPr>
          <w:rFonts w:hint="eastAsia" w:eastAsia="方正仿宋_GBK"/>
          <w:color w:val="000000"/>
          <w:spacing w:val="-2"/>
          <w:sz w:val="24"/>
        </w:rPr>
        <w:t>）和《建设电子文件与电子档案管理规范》（</w:t>
      </w:r>
      <w:r>
        <w:rPr>
          <w:rFonts w:eastAsia="方正仿宋_GBK"/>
          <w:color w:val="000000"/>
          <w:spacing w:val="-2"/>
          <w:sz w:val="24"/>
        </w:rPr>
        <w:t>CJJ/T 117</w:t>
      </w:r>
      <w:r>
        <w:rPr>
          <w:rFonts w:hint="eastAsia" w:eastAsia="方正仿宋_GBK"/>
          <w:color w:val="000000"/>
          <w:spacing w:val="-2"/>
          <w:sz w:val="24"/>
        </w:rPr>
        <w:t>）的规定执行。</w:t>
      </w:r>
    </w:p>
    <w:p>
      <w:pPr>
        <w:spacing w:line="460" w:lineRule="exact"/>
        <w:ind w:firstLine="464" w:firstLineChars="200"/>
        <w:rPr>
          <w:rFonts w:eastAsia="方正仿宋_GBK"/>
          <w:color w:val="000000"/>
          <w:spacing w:val="-2"/>
          <w:sz w:val="24"/>
        </w:rPr>
      </w:pPr>
      <w:r>
        <w:rPr>
          <w:rFonts w:hint="eastAsia" w:ascii="Times New Roman" w:eastAsia="方正黑体_GBK"/>
          <w:color w:val="000000"/>
          <w:spacing w:val="-2"/>
          <w:sz w:val="24"/>
        </w:rPr>
        <w:t>第六条</w:t>
      </w:r>
      <w:r>
        <w:rPr>
          <w:rFonts w:eastAsia="方正仿宋_GBK"/>
          <w:b/>
          <w:color w:val="000000"/>
          <w:spacing w:val="-2"/>
          <w:sz w:val="24"/>
        </w:rPr>
        <w:t xml:space="preserve">  </w:t>
      </w:r>
      <w:r>
        <w:rPr>
          <w:rFonts w:hint="eastAsia" w:eastAsia="方正仿宋_GBK"/>
          <w:color w:val="000000"/>
          <w:spacing w:val="-2"/>
          <w:sz w:val="24"/>
        </w:rPr>
        <w:t>建设工程声像档案的拍摄应当与工程建设同步，真实记录工程建设过程的实际状况，全面反映建筑物（构筑物）的整体面貌，包括开工前原貌、基础工程、隐蔽工程、主体工程、屋面、质量事故及处理情况、竣工面貌等，有特殊要求的工程应当据实增加拍摄内容。</w:t>
      </w:r>
    </w:p>
    <w:p>
      <w:pPr>
        <w:spacing w:line="460" w:lineRule="exact"/>
        <w:ind w:firstLine="464" w:firstLineChars="200"/>
        <w:rPr>
          <w:rFonts w:eastAsia="方正仿宋_GBK"/>
          <w:color w:val="000000"/>
          <w:spacing w:val="-2"/>
          <w:sz w:val="24"/>
        </w:rPr>
      </w:pPr>
      <w:r>
        <w:rPr>
          <w:rFonts w:hint="eastAsia" w:ascii="Times New Roman" w:eastAsia="方正黑体_GBK"/>
          <w:color w:val="000000"/>
          <w:spacing w:val="-2"/>
          <w:sz w:val="24"/>
        </w:rPr>
        <w:t>第七条</w:t>
      </w:r>
      <w:r>
        <w:rPr>
          <w:rFonts w:eastAsia="方正仿宋_GBK"/>
          <w:b/>
          <w:color w:val="000000"/>
          <w:spacing w:val="-2"/>
          <w:sz w:val="24"/>
        </w:rPr>
        <w:t xml:space="preserve">  </w:t>
      </w:r>
      <w:r>
        <w:rPr>
          <w:rFonts w:hint="eastAsia" w:eastAsia="方正仿宋_GBK"/>
          <w:color w:val="000000"/>
          <w:spacing w:val="-2"/>
          <w:sz w:val="24"/>
        </w:rPr>
        <w:t>建设工程声像档案必须图像清晰、稳定，色彩还原准确，被摄主体没有明显失真变形，避免有损原真性的技术处理。建设工程声像档案的数量，以能够系统记录工程项目建设过程和成果为准。</w:t>
      </w:r>
    </w:p>
    <w:p>
      <w:pPr>
        <w:spacing w:line="460" w:lineRule="exact"/>
        <w:ind w:firstLine="464" w:firstLineChars="200"/>
        <w:rPr>
          <w:rFonts w:eastAsia="方正仿宋_GBK"/>
          <w:color w:val="000000"/>
          <w:spacing w:val="-2"/>
          <w:sz w:val="24"/>
        </w:rPr>
      </w:pPr>
      <w:r>
        <w:rPr>
          <w:rFonts w:hint="eastAsia" w:ascii="Times New Roman" w:eastAsia="方正黑体_GBK"/>
          <w:color w:val="000000"/>
          <w:spacing w:val="-2"/>
          <w:sz w:val="24"/>
        </w:rPr>
        <w:t>第八条　</w:t>
      </w:r>
      <w:r>
        <w:rPr>
          <w:rFonts w:hint="eastAsia" w:eastAsia="方正仿宋_GBK"/>
          <w:color w:val="000000"/>
          <w:spacing w:val="-2"/>
          <w:sz w:val="24"/>
        </w:rPr>
        <w:t>凡列入城建档案管理机构接收范围内的建设工程，建设单位应将建设工程声像档案和其它载体形式的工程档案一并报送当地城建档案管理机构进行预验收，未报送声像档案的，城建档案管理机构不予预验收。</w:t>
      </w:r>
    </w:p>
    <w:p>
      <w:pPr>
        <w:spacing w:line="460" w:lineRule="exact"/>
        <w:ind w:firstLine="464" w:firstLineChars="200"/>
        <w:rPr>
          <w:rFonts w:eastAsia="方正仿宋_GBK"/>
          <w:color w:val="000000"/>
          <w:spacing w:val="-2"/>
          <w:sz w:val="24"/>
        </w:rPr>
      </w:pPr>
      <w:r>
        <w:rPr>
          <w:rFonts w:hint="eastAsia" w:ascii="Times New Roman" w:eastAsia="方正黑体_GBK"/>
          <w:color w:val="000000"/>
          <w:spacing w:val="-2"/>
          <w:sz w:val="24"/>
        </w:rPr>
        <w:t>第九条</w:t>
      </w:r>
      <w:r>
        <w:rPr>
          <w:rFonts w:eastAsia="方正仿宋_GBK"/>
          <w:b/>
          <w:bCs/>
          <w:color w:val="000000"/>
          <w:spacing w:val="-2"/>
          <w:sz w:val="24"/>
        </w:rPr>
        <w:t xml:space="preserve">  </w:t>
      </w:r>
      <w:r>
        <w:rPr>
          <w:rFonts w:hint="eastAsia" w:eastAsia="方正仿宋_GBK"/>
          <w:color w:val="000000"/>
          <w:spacing w:val="-2"/>
          <w:sz w:val="24"/>
        </w:rPr>
        <w:t>各级城建档案管理机构负责指导监督本地区建设工程声像档案工作，对建设单位声像档案工作进行不定期检查，对不按时报送或报送的声像档案不完整、不符合声像档案质量要求的，按照《建设工程质量管理条例》、《城市建设档案管理规定》和《江苏省城建档案管理办法》等有关规定处理。</w:t>
      </w:r>
    </w:p>
    <w:p>
      <w:pPr>
        <w:spacing w:line="460" w:lineRule="exact"/>
        <w:ind w:firstLine="464" w:firstLineChars="200"/>
        <w:rPr>
          <w:rFonts w:eastAsia="方正仿宋_GBK"/>
          <w:color w:val="000000"/>
          <w:spacing w:val="-2"/>
          <w:kern w:val="0"/>
          <w:sz w:val="24"/>
        </w:rPr>
      </w:pPr>
      <w:r>
        <w:rPr>
          <w:rFonts w:hint="eastAsia" w:ascii="Times New Roman" w:eastAsia="方正黑体_GBK"/>
          <w:color w:val="000000"/>
          <w:spacing w:val="-2"/>
          <w:sz w:val="24"/>
        </w:rPr>
        <w:t>第十条</w:t>
      </w:r>
      <w:r>
        <w:rPr>
          <w:rFonts w:eastAsia="方正仿宋_GBK"/>
          <w:b/>
          <w:color w:val="000000"/>
          <w:spacing w:val="-2"/>
          <w:sz w:val="24"/>
        </w:rPr>
        <w:t xml:space="preserve"> </w:t>
      </w:r>
      <w:r>
        <w:rPr>
          <w:rFonts w:eastAsia="方正仿宋_GBK"/>
          <w:color w:val="000000"/>
          <w:spacing w:val="-2"/>
          <w:sz w:val="24"/>
        </w:rPr>
        <w:t xml:space="preserve"> </w:t>
      </w:r>
      <w:r>
        <w:rPr>
          <w:rFonts w:hint="eastAsia" w:eastAsia="方正仿宋_GBK"/>
          <w:color w:val="000000"/>
          <w:spacing w:val="-2"/>
          <w:sz w:val="24"/>
        </w:rPr>
        <w:t>本办法自</w:t>
      </w:r>
      <w:r>
        <w:rPr>
          <w:rFonts w:eastAsia="方正仿宋_GBK"/>
          <w:color w:val="000000"/>
          <w:spacing w:val="-2"/>
          <w:sz w:val="24"/>
        </w:rPr>
        <w:t xml:space="preserve"> 2013</w:t>
      </w:r>
      <w:r>
        <w:rPr>
          <w:rFonts w:hint="eastAsia" w:eastAsia="方正仿宋_GBK"/>
          <w:color w:val="000000"/>
          <w:spacing w:val="-2"/>
          <w:sz w:val="24"/>
        </w:rPr>
        <w:t>年</w:t>
      </w:r>
      <w:r>
        <w:rPr>
          <w:rFonts w:eastAsia="方正仿宋_GBK"/>
          <w:color w:val="000000"/>
          <w:spacing w:val="-2"/>
          <w:sz w:val="24"/>
        </w:rPr>
        <w:t>6</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日起执行。本办法应用中的具体问题，由江苏省住房和城乡建设厅负责解释。</w:t>
      </w:r>
    </w:p>
    <w:p>
      <w:pPr>
        <w:spacing w:line="460" w:lineRule="exact"/>
        <w:rPr>
          <w:rFonts w:eastAsia="方正仿宋_GBK"/>
          <w:color w:val="000000"/>
          <w:spacing w:val="-2"/>
          <w:kern w:val="0"/>
          <w:sz w:val="24"/>
        </w:rPr>
      </w:pPr>
    </w:p>
    <w:p>
      <w:pPr>
        <w:spacing w:line="460" w:lineRule="exact"/>
        <w:rPr>
          <w:rFonts w:eastAsia="方正仿宋_GBK"/>
          <w:color w:val="000000"/>
          <w:spacing w:val="-2"/>
          <w:sz w:val="24"/>
        </w:rPr>
      </w:pPr>
    </w:p>
    <w:p>
      <w:pPr>
        <w:spacing w:line="460" w:lineRule="exact"/>
        <w:ind w:firstLine="412" w:firstLineChars="200"/>
        <w:outlineLvl w:val="0"/>
      </w:pPr>
    </w:p>
    <w:p>
      <w:pPr>
        <w:spacing w:line="460" w:lineRule="exact"/>
        <w:ind w:firstLine="412" w:firstLineChars="200"/>
        <w:outlineLvl w:val="0"/>
      </w:pPr>
    </w:p>
    <w:p/>
    <w:p/>
    <w:p/>
    <w:p/>
    <w:p/>
    <w:p/>
    <w:p/>
    <w:p/>
    <w:p/>
    <w:p/>
    <w:p>
      <w:pPr>
        <w:pStyle w:val="2"/>
        <w:spacing w:before="590" w:beforeLines="100" w:after="590" w:afterLines="100" w:line="240" w:lineRule="auto"/>
        <w:jc w:val="center"/>
        <w:rPr>
          <w:rFonts w:ascii="Times New Roman" w:eastAsia="方正小标宋_GBK"/>
          <w:b w:val="0"/>
          <w:sz w:val="36"/>
          <w:szCs w:val="36"/>
        </w:rPr>
      </w:pPr>
      <w:bookmarkStart w:id="741" w:name="_Toc18315841"/>
      <w:bookmarkStart w:id="742" w:name="_Toc20726704"/>
      <w:r>
        <w:rPr>
          <w:rFonts w:hint="eastAsia" w:ascii="Times New Roman" w:eastAsia="方正小标宋_GBK"/>
          <w:b w:val="0"/>
          <w:sz w:val="36"/>
          <w:szCs w:val="36"/>
        </w:rPr>
        <w:t>省住房城乡建设厅关于做好全省建设工程电子档案编报工作的通知</w:t>
      </w:r>
      <w:bookmarkEnd w:id="741"/>
      <w:bookmarkEnd w:id="742"/>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43" w:name="_Toc20726705"/>
      <w:bookmarkStart w:id="744" w:name="_Toc18315842"/>
      <w:r>
        <w:rPr>
          <w:rFonts w:hint="eastAsia" w:ascii="Times New Roman" w:hAnsi="Times New Roman" w:eastAsia="方正楷体_GBK"/>
          <w:b w:val="0"/>
          <w:sz w:val="24"/>
          <w:szCs w:val="24"/>
        </w:rPr>
        <w:t>苏建函档〔</w:t>
      </w:r>
      <w:r>
        <w:rPr>
          <w:rFonts w:ascii="Times New Roman" w:hAnsi="Times New Roman" w:eastAsia="方正楷体_GBK"/>
          <w:b w:val="0"/>
          <w:sz w:val="24"/>
          <w:szCs w:val="24"/>
        </w:rPr>
        <w:t>2013</w:t>
      </w:r>
      <w:r>
        <w:rPr>
          <w:rFonts w:hint="eastAsia" w:ascii="Times New Roman" w:hAnsi="Times New Roman" w:eastAsia="方正楷体_GBK"/>
          <w:b w:val="0"/>
          <w:sz w:val="24"/>
          <w:szCs w:val="24"/>
        </w:rPr>
        <w:t>〕</w:t>
      </w:r>
      <w:r>
        <w:rPr>
          <w:rFonts w:ascii="Times New Roman" w:hAnsi="Times New Roman" w:eastAsia="方正楷体_GBK"/>
          <w:b w:val="0"/>
          <w:sz w:val="24"/>
          <w:szCs w:val="24"/>
        </w:rPr>
        <w:t>81</w:t>
      </w:r>
      <w:r>
        <w:rPr>
          <w:rFonts w:hint="eastAsia" w:ascii="Times New Roman" w:hAnsi="Times New Roman" w:eastAsia="方正楷体_GBK"/>
          <w:b w:val="0"/>
          <w:sz w:val="24"/>
          <w:szCs w:val="24"/>
        </w:rPr>
        <w:t>号</w:t>
      </w:r>
      <w:bookmarkEnd w:id="743"/>
      <w:bookmarkEnd w:id="744"/>
    </w:p>
    <w:p>
      <w:pPr>
        <w:spacing w:line="360" w:lineRule="exact"/>
        <w:rPr>
          <w:rFonts w:eastAsia="方正仿宋_GBK"/>
          <w:color w:val="000000"/>
          <w:spacing w:val="-2"/>
          <w:sz w:val="24"/>
        </w:rPr>
      </w:pPr>
      <w:r>
        <w:rPr>
          <w:rFonts w:hint="eastAsia" w:eastAsia="方正仿宋_GBK"/>
          <w:color w:val="000000"/>
          <w:spacing w:val="-2"/>
          <w:sz w:val="24"/>
        </w:rPr>
        <w:t>各省辖市建设局（委）、规划局，昆山市、泰兴市、沭阳县建设局，各相关单位：</w:t>
      </w:r>
    </w:p>
    <w:p>
      <w:pPr>
        <w:spacing w:line="360" w:lineRule="exact"/>
        <w:ind w:firstLine="464" w:firstLineChars="200"/>
        <w:rPr>
          <w:rFonts w:eastAsia="方正仿宋_GBK"/>
          <w:color w:val="000000"/>
          <w:spacing w:val="-2"/>
          <w:sz w:val="24"/>
        </w:rPr>
      </w:pPr>
      <w:r>
        <w:rPr>
          <w:rFonts w:hint="eastAsia" w:eastAsia="方正仿宋_GBK"/>
          <w:color w:val="000000"/>
          <w:spacing w:val="-2"/>
          <w:sz w:val="24"/>
        </w:rPr>
        <w:t>为进一步贯彻落实《江苏省城建档案信息化建设纲要（</w:t>
      </w:r>
      <w:r>
        <w:rPr>
          <w:rFonts w:eastAsia="方正仿宋_GBK"/>
          <w:color w:val="000000"/>
          <w:spacing w:val="-2"/>
          <w:sz w:val="24"/>
        </w:rPr>
        <w:t>2008-2015</w:t>
      </w:r>
      <w:r>
        <w:rPr>
          <w:rFonts w:hint="eastAsia" w:eastAsia="方正仿宋_GBK"/>
          <w:color w:val="000000"/>
          <w:spacing w:val="-2"/>
          <w:sz w:val="24"/>
        </w:rPr>
        <w:t>）》，切实提高全省建设工程档案信息化建设与管理水平，经研究决定，在全省组织开展建设工程电子档案编报工作。现将有关事项通知如下：</w:t>
      </w:r>
    </w:p>
    <w:p>
      <w:pPr>
        <w:pStyle w:val="30"/>
        <w:spacing w:line="360" w:lineRule="exact"/>
        <w:ind w:left="28" w:leftChars="14" w:firstLine="462"/>
        <w:rPr>
          <w:rFonts w:eastAsia="方正仿宋_GBK"/>
          <w:color w:val="000000"/>
          <w:spacing w:val="-2"/>
          <w:sz w:val="24"/>
        </w:rPr>
      </w:pPr>
      <w:r>
        <w:rPr>
          <w:rFonts w:hint="eastAsia" w:eastAsia="方正仿宋_GBK"/>
          <w:color w:val="000000"/>
          <w:spacing w:val="-2"/>
          <w:sz w:val="24"/>
        </w:rPr>
        <w:t>一、凡</w:t>
      </w: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1</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日以后开工建设的工程，均应建立建设工程电子档案。档案资料编报要按照《建设电子文件与电子档案管理规范》（</w:t>
      </w:r>
      <w:r>
        <w:rPr>
          <w:rFonts w:eastAsia="方正仿宋_GBK"/>
          <w:color w:val="000000"/>
          <w:spacing w:val="-2"/>
          <w:sz w:val="24"/>
        </w:rPr>
        <w:t>CJJ/T117-2007</w:t>
      </w:r>
      <w:r>
        <w:rPr>
          <w:rFonts w:hint="eastAsia" w:eastAsia="方正仿宋_GBK"/>
          <w:color w:val="000000"/>
          <w:spacing w:val="-2"/>
          <w:sz w:val="24"/>
        </w:rPr>
        <w:t>）和《房屋建筑和市政基础设施工程档案资料管理规范》（</w:t>
      </w:r>
      <w:r>
        <w:rPr>
          <w:rFonts w:eastAsia="方正仿宋_GBK"/>
          <w:color w:val="000000"/>
          <w:spacing w:val="-2"/>
          <w:sz w:val="24"/>
        </w:rPr>
        <w:t>DGJ/TJ143-2012</w:t>
      </w:r>
      <w:r>
        <w:rPr>
          <w:rFonts w:hint="eastAsia" w:eastAsia="方正仿宋_GBK"/>
          <w:color w:val="000000"/>
          <w:spacing w:val="-2"/>
          <w:sz w:val="24"/>
        </w:rPr>
        <w:t>）执行。</w:t>
      </w:r>
    </w:p>
    <w:p>
      <w:pPr>
        <w:spacing w:line="360" w:lineRule="exact"/>
        <w:ind w:firstLine="464" w:firstLineChars="200"/>
        <w:rPr>
          <w:rFonts w:eastAsia="方正仿宋_GBK"/>
          <w:color w:val="000000"/>
          <w:spacing w:val="-2"/>
          <w:sz w:val="24"/>
        </w:rPr>
      </w:pPr>
      <w:r>
        <w:rPr>
          <w:rFonts w:hint="eastAsia" w:eastAsia="方正仿宋_GBK"/>
          <w:color w:val="000000"/>
          <w:spacing w:val="-2"/>
          <w:sz w:val="24"/>
        </w:rPr>
        <w:t>二、建设工程参建各方为建设工程电子档案编报主体。各单位要积极组织本单位质量员、城建档案管理员、资料员和相关业务人员参加相关规范专题培训，确保电子档案的建立与编报符合相关要求。</w:t>
      </w:r>
    </w:p>
    <w:p>
      <w:pPr>
        <w:spacing w:line="360" w:lineRule="exact"/>
        <w:ind w:firstLine="464" w:firstLineChars="200"/>
        <w:rPr>
          <w:rFonts w:eastAsia="方正仿宋_GBK"/>
          <w:color w:val="000000"/>
          <w:spacing w:val="-2"/>
          <w:sz w:val="24"/>
        </w:rPr>
      </w:pPr>
      <w:r>
        <w:rPr>
          <w:rFonts w:hint="eastAsia" w:eastAsia="方正仿宋_GBK"/>
          <w:color w:val="000000"/>
          <w:spacing w:val="-2"/>
          <w:sz w:val="24"/>
        </w:rPr>
        <w:t>三、建设工程电子档案编报通过</w:t>
      </w:r>
      <w:r>
        <w:rPr>
          <w:rFonts w:eastAsia="方正仿宋_GBK"/>
          <w:color w:val="000000"/>
          <w:spacing w:val="-2"/>
          <w:sz w:val="24"/>
        </w:rPr>
        <w:t>“</w:t>
      </w:r>
      <w:r>
        <w:rPr>
          <w:rFonts w:hint="eastAsia" w:eastAsia="方正仿宋_GBK"/>
          <w:color w:val="000000"/>
          <w:spacing w:val="-2"/>
          <w:sz w:val="24"/>
        </w:rPr>
        <w:t>江苏省工程档案资料管理系统</w:t>
      </w:r>
      <w:r>
        <w:rPr>
          <w:rFonts w:eastAsia="方正仿宋_GBK"/>
          <w:color w:val="000000"/>
          <w:spacing w:val="-2"/>
          <w:sz w:val="24"/>
        </w:rPr>
        <w:t>”</w:t>
      </w:r>
      <w:r>
        <w:rPr>
          <w:rFonts w:hint="eastAsia" w:eastAsia="方正仿宋_GBK"/>
          <w:color w:val="000000"/>
          <w:spacing w:val="-2"/>
          <w:sz w:val="24"/>
        </w:rPr>
        <w:t>（</w:t>
      </w:r>
      <w:r>
        <w:rPr>
          <w:rFonts w:eastAsia="方正仿宋_GBK"/>
          <w:color w:val="000000"/>
          <w:spacing w:val="-2"/>
          <w:sz w:val="24"/>
        </w:rPr>
        <w:t>www.jsgcda.com</w:t>
      </w:r>
      <w:r>
        <w:rPr>
          <w:rFonts w:hint="eastAsia" w:eastAsia="方正仿宋_GBK"/>
          <w:color w:val="000000"/>
          <w:spacing w:val="-2"/>
          <w:sz w:val="24"/>
        </w:rPr>
        <w:t>）进行。建设工程参建各方要准确填写建设工程档案信息。建设单位通过</w:t>
      </w:r>
      <w:r>
        <w:rPr>
          <w:rFonts w:eastAsia="方正仿宋_GBK"/>
          <w:color w:val="000000"/>
          <w:spacing w:val="-2"/>
          <w:sz w:val="24"/>
        </w:rPr>
        <w:t>“</w:t>
      </w:r>
      <w:r>
        <w:rPr>
          <w:rFonts w:hint="eastAsia" w:eastAsia="方正仿宋_GBK"/>
          <w:color w:val="000000"/>
          <w:spacing w:val="-2"/>
          <w:sz w:val="24"/>
        </w:rPr>
        <w:t>江苏省工程档案资料管理系统</w:t>
      </w:r>
      <w:r>
        <w:rPr>
          <w:rFonts w:eastAsia="方正仿宋_GBK"/>
          <w:color w:val="000000"/>
          <w:spacing w:val="-2"/>
          <w:sz w:val="24"/>
        </w:rPr>
        <w:t>”</w:t>
      </w:r>
      <w:r>
        <w:rPr>
          <w:rFonts w:hint="eastAsia" w:eastAsia="方正仿宋_GBK"/>
          <w:color w:val="000000"/>
          <w:spacing w:val="-2"/>
          <w:sz w:val="24"/>
        </w:rPr>
        <w:t>申报电子档案验收。</w:t>
      </w:r>
    </w:p>
    <w:p>
      <w:pPr>
        <w:spacing w:line="360" w:lineRule="exact"/>
        <w:ind w:firstLine="464" w:firstLineChars="200"/>
        <w:rPr>
          <w:rFonts w:eastAsia="方正仿宋_GBK"/>
          <w:color w:val="000000"/>
          <w:spacing w:val="-2"/>
          <w:sz w:val="24"/>
        </w:rPr>
      </w:pPr>
      <w:r>
        <w:rPr>
          <w:rFonts w:hint="eastAsia" w:eastAsia="方正仿宋_GBK"/>
          <w:color w:val="000000"/>
          <w:spacing w:val="-2"/>
          <w:sz w:val="24"/>
        </w:rPr>
        <w:t>四、工程质量监督机构要加强对建设工程电子档案编报工作的监督。对档案建立过程中违反要求或弄虚作假的，予以督促整改；对未建立电子档案或未按要求整理工程档案资料的，不得出具建设工程质量监督报告。</w:t>
      </w:r>
    </w:p>
    <w:p>
      <w:pPr>
        <w:spacing w:line="360" w:lineRule="exact"/>
        <w:ind w:firstLine="464" w:firstLineChars="200"/>
        <w:rPr>
          <w:rFonts w:eastAsia="方正仿宋_GBK"/>
          <w:color w:val="000000"/>
          <w:spacing w:val="-2"/>
          <w:sz w:val="24"/>
        </w:rPr>
      </w:pPr>
      <w:r>
        <w:rPr>
          <w:rFonts w:hint="eastAsia" w:eastAsia="方正仿宋_GBK"/>
          <w:color w:val="000000"/>
          <w:spacing w:val="-2"/>
          <w:sz w:val="24"/>
        </w:rPr>
        <w:t>五、城建档案管理机构要做好建设工程电子档案编报宣贯、业务指导和预验收工作，并牵头组织</w:t>
      </w:r>
      <w:r>
        <w:rPr>
          <w:rFonts w:eastAsia="方正仿宋_GBK"/>
          <w:color w:val="000000"/>
          <w:spacing w:val="-2"/>
          <w:sz w:val="24"/>
        </w:rPr>
        <w:t>“</w:t>
      </w:r>
      <w:r>
        <w:rPr>
          <w:rFonts w:hint="eastAsia" w:eastAsia="方正仿宋_GBK"/>
          <w:color w:val="000000"/>
          <w:spacing w:val="-2"/>
          <w:sz w:val="24"/>
        </w:rPr>
        <w:t>江苏省工程档案资料管理系统</w:t>
      </w:r>
      <w:r>
        <w:rPr>
          <w:rFonts w:eastAsia="方正仿宋_GBK"/>
          <w:color w:val="000000"/>
          <w:spacing w:val="-2"/>
          <w:sz w:val="24"/>
        </w:rPr>
        <w:t>”</w:t>
      </w:r>
      <w:r>
        <w:rPr>
          <w:rFonts w:hint="eastAsia" w:eastAsia="方正仿宋_GBK"/>
          <w:color w:val="000000"/>
          <w:spacing w:val="-2"/>
          <w:sz w:val="24"/>
        </w:rPr>
        <w:t>维护工作。对未按规定建立电子档案资料或不符合规范要求的，应监督整改；对未建立电子档案或档案资料不符合要求的，不得出具建设工程档案验收意见，不予通过建设工程档案验收。</w:t>
      </w:r>
    </w:p>
    <w:p>
      <w:pPr>
        <w:spacing w:line="360" w:lineRule="exact"/>
        <w:ind w:firstLine="464" w:firstLineChars="200"/>
        <w:rPr>
          <w:rFonts w:eastAsia="方正仿宋_GBK"/>
          <w:color w:val="000000"/>
          <w:spacing w:val="-2"/>
          <w:sz w:val="24"/>
        </w:rPr>
      </w:pPr>
      <w:r>
        <w:rPr>
          <w:rFonts w:hint="eastAsia" w:eastAsia="方正仿宋_GBK"/>
          <w:color w:val="000000"/>
          <w:spacing w:val="-2"/>
          <w:sz w:val="24"/>
        </w:rPr>
        <w:t>六、原江苏省建设厅《关于统一使用</w:t>
      </w:r>
      <w:r>
        <w:rPr>
          <w:rFonts w:eastAsia="方正仿宋_GBK"/>
          <w:color w:val="000000"/>
          <w:spacing w:val="-2"/>
          <w:sz w:val="24"/>
        </w:rPr>
        <w:t>&lt;</w:t>
      </w:r>
      <w:r>
        <w:rPr>
          <w:rFonts w:hint="eastAsia" w:eastAsia="方正仿宋_GBK"/>
          <w:color w:val="000000"/>
          <w:spacing w:val="-2"/>
          <w:sz w:val="24"/>
        </w:rPr>
        <w:t>建筑工程施工质量验收资料</w:t>
      </w:r>
      <w:r>
        <w:rPr>
          <w:rFonts w:eastAsia="方正仿宋_GBK"/>
          <w:color w:val="000000"/>
          <w:spacing w:val="-2"/>
          <w:sz w:val="24"/>
        </w:rPr>
        <w:t>&gt;</w:t>
      </w:r>
      <w:r>
        <w:rPr>
          <w:rFonts w:hint="eastAsia" w:eastAsia="方正仿宋_GBK"/>
          <w:color w:val="000000"/>
          <w:spacing w:val="-2"/>
          <w:sz w:val="24"/>
        </w:rPr>
        <w:t>的通知》（苏建质〔</w:t>
      </w:r>
      <w:r>
        <w:rPr>
          <w:rFonts w:eastAsia="方正仿宋_GBK"/>
          <w:color w:val="000000"/>
          <w:spacing w:val="-2"/>
          <w:sz w:val="24"/>
        </w:rPr>
        <w:t>2002</w:t>
      </w:r>
      <w:r>
        <w:rPr>
          <w:rFonts w:hint="eastAsia" w:eastAsia="方正仿宋_GBK"/>
          <w:color w:val="000000"/>
          <w:spacing w:val="-2"/>
          <w:sz w:val="24"/>
        </w:rPr>
        <w:t>〕</w:t>
      </w:r>
      <w:r>
        <w:rPr>
          <w:rFonts w:eastAsia="方正仿宋_GBK"/>
          <w:color w:val="000000"/>
          <w:spacing w:val="-2"/>
          <w:sz w:val="24"/>
        </w:rPr>
        <w:t>332</w:t>
      </w:r>
      <w:r>
        <w:rPr>
          <w:rFonts w:hint="eastAsia" w:eastAsia="方正仿宋_GBK"/>
          <w:color w:val="000000"/>
          <w:spacing w:val="-2"/>
          <w:sz w:val="24"/>
        </w:rPr>
        <w:t>号）和原江苏省建设厅《关于统一使用</w:t>
      </w:r>
      <w:r>
        <w:rPr>
          <w:rFonts w:eastAsia="方正仿宋_GBK"/>
          <w:color w:val="000000"/>
          <w:spacing w:val="-2"/>
          <w:sz w:val="24"/>
        </w:rPr>
        <w:t>&lt;</w:t>
      </w:r>
      <w:r>
        <w:rPr>
          <w:rFonts w:hint="eastAsia" w:eastAsia="方正仿宋_GBK"/>
          <w:color w:val="000000"/>
          <w:spacing w:val="-2"/>
          <w:sz w:val="24"/>
        </w:rPr>
        <w:t>建筑节能工程质量验收资料</w:t>
      </w:r>
      <w:r>
        <w:rPr>
          <w:rFonts w:eastAsia="方正仿宋_GBK"/>
          <w:color w:val="000000"/>
          <w:spacing w:val="-2"/>
          <w:sz w:val="24"/>
        </w:rPr>
        <w:t>&gt;</w:t>
      </w:r>
      <w:r>
        <w:rPr>
          <w:rFonts w:hint="eastAsia" w:eastAsia="方正仿宋_GBK"/>
          <w:color w:val="000000"/>
          <w:spacing w:val="-2"/>
          <w:sz w:val="24"/>
        </w:rPr>
        <w:t>的通知》（苏建质〔</w:t>
      </w:r>
      <w:r>
        <w:rPr>
          <w:rFonts w:eastAsia="方正仿宋_GBK"/>
          <w:color w:val="000000"/>
          <w:spacing w:val="-2"/>
          <w:sz w:val="24"/>
        </w:rPr>
        <w:t>2007</w:t>
      </w:r>
      <w:r>
        <w:rPr>
          <w:rFonts w:hint="eastAsia" w:eastAsia="方正仿宋_GBK"/>
          <w:color w:val="000000"/>
          <w:spacing w:val="-2"/>
          <w:sz w:val="24"/>
        </w:rPr>
        <w:t>〕</w:t>
      </w:r>
      <w:r>
        <w:rPr>
          <w:rFonts w:eastAsia="方正仿宋_GBK"/>
          <w:color w:val="000000"/>
          <w:spacing w:val="-2"/>
          <w:sz w:val="24"/>
        </w:rPr>
        <w:t>371</w:t>
      </w:r>
      <w:r>
        <w:rPr>
          <w:rFonts w:hint="eastAsia" w:eastAsia="方正仿宋_GBK"/>
          <w:color w:val="000000"/>
          <w:spacing w:val="-2"/>
          <w:sz w:val="24"/>
        </w:rPr>
        <w:t>号）同时作废。</w:t>
      </w:r>
    </w:p>
    <w:p>
      <w:pPr>
        <w:spacing w:line="360" w:lineRule="exact"/>
        <w:ind w:right="409" w:rightChars="199"/>
        <w:jc w:val="right"/>
        <w:rPr>
          <w:rFonts w:eastAsia="方正仿宋_GBK"/>
          <w:color w:val="000000"/>
          <w:spacing w:val="-2"/>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360" w:lineRule="exact"/>
        <w:ind w:firstLine="6032" w:firstLineChars="2600"/>
        <w:rPr>
          <w:rFonts w:eastAsia="方正仿宋_GBK"/>
          <w:color w:val="000000"/>
          <w:spacing w:val="-2"/>
          <w:sz w:val="24"/>
        </w:rPr>
      </w:pPr>
      <w:r>
        <w:rPr>
          <w:rFonts w:eastAsia="方正仿宋_GBK"/>
          <w:color w:val="000000"/>
          <w:spacing w:val="-2"/>
          <w:sz w:val="24"/>
        </w:rPr>
        <w:t>2013</w:t>
      </w:r>
      <w:r>
        <w:rPr>
          <w:rFonts w:hint="eastAsia" w:eastAsia="方正仿宋_GBK"/>
          <w:color w:val="000000"/>
          <w:spacing w:val="-2"/>
          <w:sz w:val="24"/>
        </w:rPr>
        <w:t>年</w:t>
      </w:r>
      <w:r>
        <w:rPr>
          <w:rFonts w:eastAsia="方正仿宋_GBK"/>
          <w:color w:val="000000"/>
          <w:spacing w:val="-2"/>
          <w:sz w:val="24"/>
        </w:rPr>
        <w:t>2</w:t>
      </w:r>
      <w:r>
        <w:rPr>
          <w:rFonts w:hint="eastAsia" w:eastAsia="方正仿宋_GBK"/>
          <w:color w:val="000000"/>
          <w:spacing w:val="-2"/>
          <w:sz w:val="24"/>
        </w:rPr>
        <w:t>月</w:t>
      </w:r>
      <w:r>
        <w:rPr>
          <w:rFonts w:eastAsia="方正仿宋_GBK"/>
          <w:color w:val="000000"/>
          <w:spacing w:val="-2"/>
          <w:sz w:val="24"/>
        </w:rPr>
        <w:t>4</w:t>
      </w:r>
      <w:r>
        <w:rPr>
          <w:rFonts w:hint="eastAsia" w:eastAsia="方正仿宋_GBK"/>
          <w:color w:val="000000"/>
          <w:spacing w:val="-2"/>
          <w:sz w:val="24"/>
        </w:rPr>
        <w:t>日</w:t>
      </w:r>
      <w:r>
        <w:rPr>
          <w:rFonts w:eastAsia="方正仿宋_GBK"/>
          <w:color w:val="000000"/>
          <w:spacing w:val="-2"/>
          <w:sz w:val="24"/>
        </w:rPr>
        <w:t xml:space="preserve">   </w:t>
      </w:r>
    </w:p>
    <w:p>
      <w:pPr>
        <w:rPr>
          <w:color w:val="000000"/>
          <w:spacing w:val="-2"/>
          <w:sz w:val="32"/>
          <w:szCs w:val="32"/>
        </w:rPr>
      </w:pPr>
    </w:p>
    <w:p/>
    <w:p/>
    <w:p/>
    <w:p/>
    <w:p/>
    <w:p/>
    <w:p>
      <w:pPr>
        <w:pStyle w:val="2"/>
        <w:spacing w:before="590" w:beforeLines="100" w:after="590" w:afterLines="100" w:line="240" w:lineRule="auto"/>
        <w:jc w:val="center"/>
        <w:rPr>
          <w:rFonts w:ascii="Times New Roman" w:eastAsia="方正小标宋_GBK"/>
          <w:b w:val="0"/>
          <w:sz w:val="36"/>
          <w:szCs w:val="36"/>
        </w:rPr>
      </w:pPr>
      <w:bookmarkStart w:id="745" w:name="_Toc18315756"/>
      <w:bookmarkStart w:id="746" w:name="_Toc20726615"/>
      <w:r>
        <w:rPr>
          <w:rFonts w:hint="eastAsia" w:ascii="Times New Roman" w:eastAsia="方正小标宋_GBK"/>
          <w:b w:val="0"/>
          <w:sz w:val="36"/>
          <w:szCs w:val="36"/>
        </w:rPr>
        <w:t>关于改变我省建设工程质量见证取样检测委托方有关事项的通知</w:t>
      </w:r>
      <w:bookmarkEnd w:id="745"/>
      <w:bookmarkEnd w:id="746"/>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47" w:name="_Toc20726616"/>
      <w:bookmarkStart w:id="748" w:name="_Toc18315757"/>
      <w:r>
        <w:rPr>
          <w:rFonts w:hint="eastAsia" w:ascii="Times New Roman" w:hAnsi="Times New Roman" w:eastAsia="方正楷体_GBK"/>
          <w:b w:val="0"/>
          <w:sz w:val="24"/>
          <w:szCs w:val="24"/>
        </w:rPr>
        <w:t>苏建质〔</w:t>
      </w:r>
      <w:r>
        <w:rPr>
          <w:rFonts w:ascii="Times New Roman" w:hAnsi="Times New Roman" w:eastAsia="方正楷体_GBK"/>
          <w:b w:val="0"/>
          <w:sz w:val="24"/>
          <w:szCs w:val="24"/>
        </w:rPr>
        <w:t>2004</w:t>
      </w:r>
      <w:r>
        <w:rPr>
          <w:rFonts w:hint="eastAsia" w:ascii="Times New Roman" w:hAnsi="Times New Roman" w:eastAsia="方正楷体_GBK"/>
          <w:b w:val="0"/>
          <w:sz w:val="24"/>
          <w:szCs w:val="24"/>
        </w:rPr>
        <w:t>〕</w:t>
      </w:r>
      <w:r>
        <w:rPr>
          <w:rFonts w:ascii="Times New Roman" w:hAnsi="Times New Roman" w:eastAsia="方正楷体_GBK"/>
          <w:b w:val="0"/>
          <w:sz w:val="24"/>
          <w:szCs w:val="24"/>
        </w:rPr>
        <w:t>372</w:t>
      </w:r>
      <w:r>
        <w:rPr>
          <w:rFonts w:hint="eastAsia" w:ascii="Times New Roman" w:hAnsi="Times New Roman" w:eastAsia="方正楷体_GBK"/>
          <w:b w:val="0"/>
          <w:sz w:val="24"/>
          <w:szCs w:val="24"/>
        </w:rPr>
        <w:t>号</w:t>
      </w:r>
      <w:bookmarkEnd w:id="747"/>
      <w:bookmarkEnd w:id="748"/>
    </w:p>
    <w:p>
      <w:pPr>
        <w:spacing w:line="460" w:lineRule="exact"/>
        <w:rPr>
          <w:rFonts w:eastAsia="方正仿宋_GBK"/>
          <w:color w:val="000000"/>
          <w:spacing w:val="-2"/>
          <w:kern w:val="0"/>
          <w:sz w:val="24"/>
        </w:rPr>
      </w:pPr>
      <w:r>
        <w:rPr>
          <w:rFonts w:hint="eastAsia" w:eastAsia="方正仿宋_GBK"/>
          <w:color w:val="000000"/>
          <w:spacing w:val="-2"/>
          <w:kern w:val="0"/>
          <w:sz w:val="24"/>
        </w:rPr>
        <w:t>各省辖市建委（建工局）、建设局：</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根据我厅《关于进一步加强我省建设工程质量检测管理的若干意见》苏建质（</w:t>
      </w:r>
      <w:r>
        <w:rPr>
          <w:rFonts w:eastAsia="方正仿宋_GBK"/>
          <w:color w:val="000000"/>
          <w:spacing w:val="-2"/>
          <w:kern w:val="0"/>
          <w:sz w:val="24"/>
        </w:rPr>
        <w:t>2004</w:t>
      </w:r>
      <w:r>
        <w:rPr>
          <w:rFonts w:hint="eastAsia" w:eastAsia="方正仿宋_GBK"/>
          <w:color w:val="000000"/>
          <w:spacing w:val="-2"/>
          <w:kern w:val="0"/>
          <w:sz w:val="24"/>
        </w:rPr>
        <w:t>）</w:t>
      </w:r>
      <w:r>
        <w:rPr>
          <w:rFonts w:eastAsia="方正仿宋_GBK"/>
          <w:color w:val="000000"/>
          <w:spacing w:val="-2"/>
          <w:kern w:val="0"/>
          <w:sz w:val="24"/>
        </w:rPr>
        <w:t>318</w:t>
      </w:r>
      <w:r>
        <w:rPr>
          <w:rFonts w:hint="eastAsia" w:eastAsia="方正仿宋_GBK"/>
          <w:color w:val="000000"/>
          <w:spacing w:val="-2"/>
          <w:kern w:val="0"/>
          <w:sz w:val="24"/>
        </w:rPr>
        <w:t>号精神，经研究，特就改变我省建设工程质量见证取样检测委托方有关事项通知如下：</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一、工程质量见证取样检测的委托</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从</w:t>
      </w:r>
      <w:r>
        <w:rPr>
          <w:rFonts w:eastAsia="方正仿宋_GBK"/>
          <w:color w:val="000000"/>
          <w:spacing w:val="-2"/>
          <w:kern w:val="0"/>
          <w:sz w:val="24"/>
        </w:rPr>
        <w:t>2004</w:t>
      </w:r>
      <w:r>
        <w:rPr>
          <w:rFonts w:hint="eastAsia" w:eastAsia="方正仿宋_GBK"/>
          <w:color w:val="000000"/>
          <w:spacing w:val="-2"/>
          <w:kern w:val="0"/>
          <w:sz w:val="24"/>
        </w:rPr>
        <w:t>年</w:t>
      </w:r>
      <w:r>
        <w:rPr>
          <w:rFonts w:eastAsia="方正仿宋_GBK"/>
          <w:color w:val="000000"/>
          <w:spacing w:val="-2"/>
          <w:kern w:val="0"/>
          <w:sz w:val="24"/>
        </w:rPr>
        <w:t>12</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日起，我省新开工项目的建设工程质量见证取样检测，一律由建设单位直接委托工程质量检测机构进行。</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建设单位委托工程质量检测机构进行工程质量见证取样检测应依据以下原则：</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、所委托的检测机构应具有江苏省建设厅核准的检测机构资质并通过江苏省质量技术监督局计量认证。</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、检测机构不得转包检测业务。</w:t>
      </w:r>
      <w:r>
        <w:rPr>
          <w:rFonts w:eastAsia="方正仿宋_GBK"/>
          <w:color w:val="000000"/>
          <w:spacing w:val="-2"/>
          <w:kern w:val="0"/>
          <w:sz w:val="24"/>
        </w:rPr>
        <w:t>3</w:t>
      </w:r>
      <w:r>
        <w:rPr>
          <w:rFonts w:hint="eastAsia" w:eastAsia="方正仿宋_GBK"/>
          <w:color w:val="000000"/>
          <w:spacing w:val="-2"/>
          <w:kern w:val="0"/>
          <w:sz w:val="24"/>
        </w:rPr>
        <w:t>、签订书面的工程质量检测委托合同。</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二、工程质量检测取样、送检及检测报告</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、工程质量检测见证取样送检应严格执行相关规定。</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、工程质量检测取样由施工单位负责。施工单位应按规定配备取样员。</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、工程质量检测试样抽取的数量、部位等应按国家有关规范、标准实施。施工单位负责按工程进度和施工组织设计或施工方案提出取样方案，监理（建设）单位负责审核批准。</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、工程质量检测试样实行封样制度。要采取切实有效的措施确保试样的真实性。</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、监理（建设）单位负责取样、送检的现场见证工作。监理（建设）单位应按规定配备工程质量检测见证人员。</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、检测机构应按检测委托合同约定，向建设单位或由其授权的监理单位提交检测报告。建设单位或由其授权的监理单位应及时将检测报告原件提供给施工单位。</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三、工程质量检测的费用</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工程质量检测委托方改变后，原由施工单位承担的检测费将在测算的基础上，通过调整定额，费用由建设方直接支付给检测机构。施工单位按定额向建设单位收取试样制作、封样、送达等必要的费用。</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定额调整的具体规定我厅另行文。</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四、监督管理</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、将是否违反本规定作为工程质量监督巡查及工程质量检测飞行检查的重要内容之一。</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、要保证取样、见证人员的数量和质量，使取样员、见证员能够满足工程质量检测工作的需要。</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各建设工程质量监督站，要结合日常质量监督工作，将现场取样、见证人员配置，取样见证工作的开展等作为行为监督的内容之一。对于不具备江苏省建设厅核准的检测机构资质证书和江苏省质量技术监督局核发的计量认证证书的检测机构出具的检测报告不予认可。</w:t>
      </w:r>
    </w:p>
    <w:p>
      <w:pPr>
        <w:spacing w:line="460" w:lineRule="exact"/>
        <w:jc w:val="right"/>
        <w:rPr>
          <w:rFonts w:eastAsia="方正仿宋_GBK"/>
          <w:color w:val="000000"/>
          <w:spacing w:val="-2"/>
          <w:kern w:val="0"/>
          <w:sz w:val="24"/>
        </w:rPr>
      </w:pPr>
    </w:p>
    <w:p>
      <w:pPr>
        <w:spacing w:line="460" w:lineRule="exact"/>
        <w:ind w:right="900" w:rightChars="437" w:firstLine="4640" w:firstLineChars="2000"/>
        <w:jc w:val="right"/>
        <w:rPr>
          <w:rFonts w:eastAsia="方正仿宋_GBK"/>
          <w:color w:val="000000"/>
          <w:spacing w:val="-2"/>
          <w:kern w:val="0"/>
          <w:sz w:val="24"/>
        </w:rPr>
      </w:pPr>
      <w:r>
        <w:rPr>
          <w:rFonts w:hint="eastAsia" w:eastAsia="方正仿宋_GBK"/>
          <w:color w:val="000000"/>
          <w:spacing w:val="-2"/>
          <w:kern w:val="0"/>
          <w:sz w:val="24"/>
        </w:rPr>
        <w:t>江苏省建设厅</w:t>
      </w:r>
      <w:r>
        <w:rPr>
          <w:rFonts w:eastAsia="方正仿宋_GBK"/>
          <w:color w:val="000000"/>
          <w:spacing w:val="-2"/>
          <w:kern w:val="0"/>
          <w:sz w:val="24"/>
        </w:rPr>
        <w:t xml:space="preserve">   </w:t>
      </w:r>
    </w:p>
    <w:p>
      <w:pPr>
        <w:spacing w:line="460" w:lineRule="exact"/>
        <w:ind w:right="428" w:rightChars="208"/>
        <w:jc w:val="right"/>
        <w:rPr>
          <w:rFonts w:eastAsia="方正仿宋_GBK"/>
          <w:color w:val="000000"/>
          <w:spacing w:val="-2"/>
          <w:kern w:val="0"/>
          <w:sz w:val="24"/>
        </w:rPr>
      </w:pPr>
      <w:r>
        <w:rPr>
          <w:rFonts w:hint="eastAsia" w:eastAsia="方正仿宋_GBK"/>
          <w:color w:val="000000"/>
          <w:spacing w:val="-2"/>
          <w:kern w:val="0"/>
          <w:sz w:val="24"/>
        </w:rPr>
        <w:t>二</w:t>
      </w:r>
      <w:r>
        <w:rPr>
          <w:rFonts w:hint="eastAsia" w:ascii="Times New Roman" w:hAnsi="Times New Roman"/>
          <w:bCs/>
          <w:snapToGrid w:val="0"/>
          <w:color w:val="000000"/>
          <w:spacing w:val="-2"/>
          <w:kern w:val="0"/>
          <w:sz w:val="24"/>
        </w:rPr>
        <w:t>○○</w:t>
      </w:r>
      <w:r>
        <w:rPr>
          <w:rFonts w:hint="eastAsia" w:eastAsia="方正仿宋_GBK"/>
          <w:color w:val="000000"/>
          <w:spacing w:val="-2"/>
          <w:kern w:val="0"/>
          <w:sz w:val="24"/>
        </w:rPr>
        <w:t>四年十月十四日</w:t>
      </w:r>
      <w:r>
        <w:rPr>
          <w:rFonts w:eastAsia="方正仿宋_GBK"/>
          <w:color w:val="000000"/>
          <w:spacing w:val="-2"/>
          <w:kern w:val="0"/>
          <w:sz w:val="24"/>
        </w:rPr>
        <w:t xml:space="preserve">    </w:t>
      </w:r>
    </w:p>
    <w:tbl>
      <w:tblPr>
        <w:tblStyle w:val="12"/>
        <w:tblW w:w="0" w:type="auto"/>
        <w:jc w:val="center"/>
        <w:tblLayout w:type="fixed"/>
        <w:tblCellMar>
          <w:top w:w="0" w:type="dxa"/>
          <w:left w:w="0" w:type="dxa"/>
          <w:bottom w:w="0" w:type="dxa"/>
          <w:right w:w="0" w:type="dxa"/>
        </w:tblCellMar>
      </w:tblPr>
      <w:tblGrid>
        <w:gridCol w:w="8730"/>
      </w:tblGrid>
      <w:tr>
        <w:tblPrEx>
          <w:tblCellMar>
            <w:top w:w="0" w:type="dxa"/>
            <w:left w:w="0" w:type="dxa"/>
            <w:bottom w:w="0" w:type="dxa"/>
            <w:right w:w="0" w:type="dxa"/>
          </w:tblCellMar>
        </w:tblPrEx>
        <w:trPr>
          <w:trHeight w:val="15" w:hRule="atLeast"/>
          <w:jc w:val="center"/>
          <w:hidden/>
        </w:trPr>
        <w:tc>
          <w:tcPr>
            <w:tcW w:w="8730" w:type="dxa"/>
            <w:noWrap w:val="0"/>
            <w:vAlign w:val="center"/>
          </w:tcPr>
          <w:p>
            <w:pPr>
              <w:spacing w:line="460" w:lineRule="exact"/>
              <w:jc w:val="left"/>
              <w:rPr>
                <w:rFonts w:eastAsia="方正仿宋_GBK"/>
                <w:vanish/>
                <w:color w:val="000000"/>
                <w:spacing w:val="-2"/>
                <w:kern w:val="0"/>
                <w:sz w:val="24"/>
              </w:rPr>
            </w:pPr>
          </w:p>
        </w:tc>
      </w:tr>
    </w:tbl>
    <w:p>
      <w:pPr>
        <w:spacing w:line="460" w:lineRule="exact"/>
        <w:rPr>
          <w:rFonts w:eastAsia="方正仿宋_GBK"/>
          <w:color w:val="000000"/>
          <w:spacing w:val="-2"/>
          <w:kern w:val="0"/>
          <w:sz w:val="24"/>
        </w:rPr>
      </w:pPr>
    </w:p>
    <w:p>
      <w:pPr>
        <w:spacing w:line="460" w:lineRule="exact"/>
        <w:rPr>
          <w:rFonts w:eastAsia="方正仿宋_GBK"/>
          <w:color w:val="000000"/>
          <w:spacing w:val="-2"/>
          <w:sz w:val="24"/>
        </w:rPr>
      </w:pPr>
    </w:p>
    <w:p/>
    <w:p/>
    <w:p/>
    <w:p/>
    <w:p/>
    <w:p/>
    <w:p/>
    <w:p/>
    <w:p/>
    <w:p/>
    <w:p>
      <w:pPr>
        <w:ind w:firstLine="412" w:firstLineChars="200"/>
      </w:pPr>
    </w:p>
    <w:p>
      <w:pPr>
        <w:ind w:firstLine="412" w:firstLineChars="200"/>
      </w:pPr>
    </w:p>
    <w:p>
      <w:pPr>
        <w:ind w:firstLine="412" w:firstLineChars="200"/>
      </w:pPr>
    </w:p>
    <w:p>
      <w:pPr>
        <w:ind w:firstLine="412" w:firstLineChars="200"/>
      </w:pPr>
    </w:p>
    <w:p>
      <w:pPr>
        <w:ind w:firstLine="412" w:firstLineChars="200"/>
      </w:pPr>
    </w:p>
    <w:p>
      <w:pPr>
        <w:ind w:firstLine="412" w:firstLineChars="200"/>
      </w:pPr>
    </w:p>
    <w:p>
      <w:pPr>
        <w:pStyle w:val="2"/>
        <w:spacing w:before="590" w:beforeLines="100" w:after="590" w:afterLines="100" w:line="240" w:lineRule="auto"/>
        <w:jc w:val="center"/>
        <w:rPr>
          <w:rFonts w:ascii="Times New Roman" w:eastAsia="方正小标宋_GBK"/>
          <w:b w:val="0"/>
          <w:sz w:val="36"/>
          <w:szCs w:val="36"/>
        </w:rPr>
      </w:pPr>
      <w:bookmarkStart w:id="749" w:name="_Toc20726619"/>
      <w:bookmarkStart w:id="750" w:name="_Toc18315760"/>
      <w:r>
        <w:rPr>
          <w:rFonts w:hint="eastAsia" w:ascii="Times New Roman" w:eastAsia="方正小标宋_GBK"/>
          <w:b w:val="0"/>
          <w:sz w:val="36"/>
          <w:szCs w:val="36"/>
        </w:rPr>
        <w:t>关于印发《江苏省建设工程质量检测管理实施细则</w:t>
      </w:r>
      <w:r>
        <w:rPr>
          <w:rFonts w:ascii="Times New Roman" w:eastAsia="方正小标宋_GBK"/>
          <w:b w:val="0"/>
          <w:sz w:val="36"/>
          <w:szCs w:val="36"/>
        </w:rPr>
        <w:t> </w:t>
      </w:r>
      <w:r>
        <w:rPr>
          <w:rFonts w:hint="eastAsia" w:ascii="Times New Roman" w:eastAsia="方正小标宋_GBK"/>
          <w:b w:val="0"/>
          <w:sz w:val="36"/>
          <w:szCs w:val="36"/>
        </w:rPr>
        <w:t>》的通知</w:t>
      </w:r>
      <w:bookmarkEnd w:id="749"/>
      <w:bookmarkEnd w:id="750"/>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51" w:name="_Toc20726620"/>
      <w:bookmarkStart w:id="752" w:name="_Toc18315761"/>
      <w:r>
        <w:rPr>
          <w:rFonts w:hint="eastAsia" w:ascii="Times New Roman" w:hAnsi="Times New Roman" w:eastAsia="方正楷体_GBK"/>
          <w:b w:val="0"/>
          <w:sz w:val="24"/>
          <w:szCs w:val="24"/>
        </w:rPr>
        <w:t>苏建法〔</w:t>
      </w:r>
      <w:r>
        <w:rPr>
          <w:rFonts w:ascii="Times New Roman" w:hAnsi="Times New Roman" w:eastAsia="方正楷体_GBK"/>
          <w:b w:val="0"/>
          <w:sz w:val="24"/>
          <w:szCs w:val="24"/>
        </w:rPr>
        <w:t>2006</w:t>
      </w:r>
      <w:r>
        <w:rPr>
          <w:rFonts w:hint="eastAsia" w:ascii="Times New Roman" w:hAnsi="Times New Roman" w:eastAsia="方正楷体_GBK"/>
          <w:b w:val="0"/>
          <w:sz w:val="24"/>
          <w:szCs w:val="24"/>
        </w:rPr>
        <w:t>〕</w:t>
      </w:r>
      <w:r>
        <w:rPr>
          <w:rFonts w:ascii="Times New Roman" w:hAnsi="Times New Roman" w:eastAsia="方正楷体_GBK"/>
          <w:b w:val="0"/>
          <w:sz w:val="24"/>
          <w:szCs w:val="24"/>
        </w:rPr>
        <w:t>97</w:t>
      </w:r>
      <w:r>
        <w:rPr>
          <w:rFonts w:hint="eastAsia" w:ascii="Times New Roman" w:hAnsi="Times New Roman" w:eastAsia="方正楷体_GBK"/>
          <w:b w:val="0"/>
          <w:sz w:val="24"/>
          <w:szCs w:val="24"/>
        </w:rPr>
        <w:t>号</w:t>
      </w:r>
      <w:bookmarkEnd w:id="751"/>
      <w:bookmarkEnd w:id="752"/>
    </w:p>
    <w:p>
      <w:pPr>
        <w:spacing w:line="460" w:lineRule="exact"/>
        <w:rPr>
          <w:rFonts w:eastAsia="方正仿宋_GBK"/>
          <w:color w:val="000000"/>
          <w:spacing w:val="-2"/>
          <w:sz w:val="24"/>
        </w:rPr>
      </w:pPr>
      <w:r>
        <w:rPr>
          <w:rFonts w:hint="eastAsia" w:eastAsia="方正仿宋_GBK"/>
          <w:color w:val="000000"/>
          <w:spacing w:val="-2"/>
          <w:sz w:val="24"/>
        </w:rPr>
        <w:t>各省辖市建设局（建委）、建工局：</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为了加强对我省建设工程检测管理，根据《中华人民共和国建筑法》、《建设工程质量管理条例》、《建设工程质量检测管理办法》、及建设部建质（</w:t>
      </w:r>
      <w:r>
        <w:rPr>
          <w:rFonts w:eastAsia="方正仿宋_GBK"/>
          <w:color w:val="000000"/>
          <w:spacing w:val="-2"/>
          <w:sz w:val="24"/>
        </w:rPr>
        <w:t>2006</w:t>
      </w:r>
      <w:r>
        <w:rPr>
          <w:rFonts w:hint="eastAsia" w:eastAsia="方正仿宋_GBK"/>
          <w:color w:val="000000"/>
          <w:spacing w:val="-2"/>
          <w:sz w:val="24"/>
        </w:rPr>
        <w:t>）</w:t>
      </w:r>
      <w:r>
        <w:rPr>
          <w:rFonts w:eastAsia="方正仿宋_GBK"/>
          <w:color w:val="000000"/>
          <w:spacing w:val="-2"/>
          <w:sz w:val="24"/>
        </w:rPr>
        <w:t>25</w:t>
      </w:r>
      <w:r>
        <w:rPr>
          <w:rFonts w:hint="eastAsia" w:eastAsia="方正仿宋_GBK"/>
          <w:color w:val="000000"/>
          <w:spacing w:val="-2"/>
          <w:sz w:val="24"/>
        </w:rPr>
        <w:t>号《关于实施（建设工程质量检测管理办法）》有关问题的通知》，结合我省实际，特制定《江苏省建设工程质量检测管理实施细则</w:t>
      </w:r>
      <w:r>
        <w:rPr>
          <w:rFonts w:eastAsia="方正仿宋_GBK"/>
          <w:color w:val="000000"/>
          <w:spacing w:val="-2"/>
          <w:sz w:val="24"/>
        </w:rPr>
        <w:t> </w:t>
      </w:r>
      <w:r>
        <w:rPr>
          <w:rFonts w:hint="eastAsia" w:eastAsia="方正仿宋_GBK"/>
          <w:color w:val="000000"/>
          <w:spacing w:val="-2"/>
          <w:sz w:val="24"/>
        </w:rPr>
        <w:t>》，请认真贯彻执行。</w:t>
      </w:r>
    </w:p>
    <w:p>
      <w:pPr>
        <w:spacing w:line="460" w:lineRule="exact"/>
        <w:ind w:firstLine="464" w:firstLineChars="200"/>
        <w:rPr>
          <w:rFonts w:eastAsia="方正仿宋_GBK"/>
          <w:color w:val="000000"/>
          <w:spacing w:val="-2"/>
          <w:sz w:val="24"/>
        </w:rPr>
      </w:pP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附件：《江苏省建设工程质量检测管理实施细则</w:t>
      </w:r>
      <w:r>
        <w:rPr>
          <w:rFonts w:eastAsia="方正仿宋_GBK"/>
          <w:color w:val="000000"/>
          <w:spacing w:val="-2"/>
          <w:sz w:val="24"/>
        </w:rPr>
        <w:t> </w:t>
      </w:r>
      <w:r>
        <w:rPr>
          <w:rFonts w:hint="eastAsia" w:eastAsia="方正仿宋_GBK"/>
          <w:color w:val="000000"/>
          <w:spacing w:val="-2"/>
          <w:sz w:val="24"/>
        </w:rPr>
        <w:t>》。</w:t>
      </w:r>
    </w:p>
    <w:p>
      <w:pPr>
        <w:spacing w:line="460" w:lineRule="exact"/>
        <w:ind w:firstLine="464" w:firstLineChars="200"/>
        <w:rPr>
          <w:rFonts w:eastAsia="方正仿宋_GBK"/>
          <w:color w:val="000000"/>
          <w:spacing w:val="-2"/>
          <w:sz w:val="24"/>
        </w:rPr>
      </w:pPr>
    </w:p>
    <w:p>
      <w:pPr>
        <w:spacing w:line="460" w:lineRule="exact"/>
        <w:ind w:right="605" w:rightChars="294" w:firstLine="6380" w:firstLineChars="2750"/>
        <w:rPr>
          <w:rFonts w:eastAsia="方正仿宋_GBK"/>
          <w:color w:val="000000"/>
          <w:spacing w:val="-2"/>
          <w:sz w:val="24"/>
        </w:rPr>
      </w:pPr>
      <w:r>
        <w:rPr>
          <w:rFonts w:hint="eastAsia" w:eastAsia="方正仿宋_GBK"/>
          <w:color w:val="000000"/>
          <w:spacing w:val="-2"/>
          <w:sz w:val="24"/>
        </w:rPr>
        <w:t>江苏省建设厅</w:t>
      </w:r>
    </w:p>
    <w:p>
      <w:pPr>
        <w:spacing w:line="460" w:lineRule="exact"/>
        <w:ind w:right="428" w:rightChars="208" w:firstLine="464" w:firstLineChars="200"/>
        <w:jc w:val="right"/>
        <w:rPr>
          <w:rFonts w:eastAsia="方正仿宋_GBK"/>
          <w:color w:val="000000"/>
          <w:spacing w:val="-2"/>
          <w:sz w:val="24"/>
        </w:rPr>
      </w:pPr>
      <w:r>
        <w:rPr>
          <w:rFonts w:hint="eastAsia" w:eastAsia="方正仿宋_GBK"/>
          <w:color w:val="000000"/>
          <w:spacing w:val="-2"/>
          <w:sz w:val="24"/>
        </w:rPr>
        <w:t>二○○六年三月十五日</w:t>
      </w:r>
    </w:p>
    <w:p>
      <w:pPr>
        <w:spacing w:line="460" w:lineRule="exact"/>
        <w:rPr>
          <w:rFonts w:eastAsia="方正仿宋_GBK"/>
          <w:color w:val="000000"/>
          <w:spacing w:val="-2"/>
          <w:sz w:val="24"/>
        </w:rPr>
      </w:pPr>
    </w:p>
    <w:p>
      <w:pPr>
        <w:spacing w:line="460" w:lineRule="exact"/>
        <w:rPr>
          <w:rFonts w:eastAsia="方正仿宋_GBK"/>
          <w:color w:val="000000"/>
          <w:spacing w:val="-2"/>
          <w:sz w:val="24"/>
        </w:rPr>
      </w:pPr>
    </w:p>
    <w:p>
      <w:pPr>
        <w:spacing w:line="460" w:lineRule="exact"/>
        <w:jc w:val="center"/>
        <w:rPr>
          <w:rFonts w:eastAsia="方正黑体_GBK"/>
          <w:color w:val="000000"/>
          <w:spacing w:val="-2"/>
          <w:sz w:val="36"/>
          <w:szCs w:val="36"/>
        </w:rPr>
      </w:pPr>
      <w:r>
        <w:rPr>
          <w:rFonts w:hint="eastAsia" w:eastAsia="方正黑体_GBK"/>
          <w:color w:val="000000"/>
          <w:spacing w:val="-2"/>
          <w:sz w:val="36"/>
          <w:szCs w:val="36"/>
        </w:rPr>
        <w:t>江苏省建设工程质量检测管理实施细则</w:t>
      </w:r>
    </w:p>
    <w:p>
      <w:pPr>
        <w:spacing w:line="460" w:lineRule="exact"/>
        <w:ind w:firstLine="464" w:firstLineChars="200"/>
        <w:rPr>
          <w:rFonts w:eastAsia="方正仿宋_GBK"/>
          <w:color w:val="000000"/>
          <w:spacing w:val="-2"/>
          <w:sz w:val="24"/>
        </w:rPr>
      </w:pP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第一条</w:t>
      </w:r>
      <w:r>
        <w:rPr>
          <w:rFonts w:eastAsia="方正黑体_GBK"/>
          <w:color w:val="000000"/>
          <w:spacing w:val="-2"/>
          <w:sz w:val="24"/>
        </w:rPr>
        <w:t xml:space="preserve"> </w:t>
      </w:r>
      <w:r>
        <w:rPr>
          <w:rFonts w:eastAsia="方正仿宋_GBK"/>
          <w:color w:val="000000"/>
          <w:spacing w:val="-2"/>
          <w:sz w:val="24"/>
        </w:rPr>
        <w:t>  </w:t>
      </w:r>
      <w:r>
        <w:rPr>
          <w:rFonts w:hint="eastAsia" w:eastAsia="方正仿宋_GBK"/>
          <w:color w:val="000000"/>
          <w:spacing w:val="-2"/>
          <w:sz w:val="24"/>
        </w:rPr>
        <w:t>为了加强对本省建设工程质量检测管理，根据《中华人民共和国建筑法》、《建设工程质量管理条例》、《建设工程质量检测管理办法》及建设部建质（</w:t>
      </w:r>
      <w:r>
        <w:rPr>
          <w:rFonts w:eastAsia="方正仿宋_GBK"/>
          <w:color w:val="000000"/>
          <w:spacing w:val="-2"/>
          <w:sz w:val="24"/>
        </w:rPr>
        <w:t>2006</w:t>
      </w:r>
      <w:r>
        <w:rPr>
          <w:rFonts w:hint="eastAsia" w:eastAsia="方正仿宋_GBK"/>
          <w:color w:val="000000"/>
          <w:spacing w:val="-2"/>
          <w:sz w:val="24"/>
        </w:rPr>
        <w:t>）</w:t>
      </w:r>
      <w:r>
        <w:rPr>
          <w:rFonts w:eastAsia="方正仿宋_GBK"/>
          <w:color w:val="000000"/>
          <w:spacing w:val="-2"/>
          <w:sz w:val="24"/>
        </w:rPr>
        <w:t>25</w:t>
      </w:r>
      <w:r>
        <w:rPr>
          <w:rFonts w:hint="eastAsia" w:eastAsia="方正仿宋_GBK"/>
          <w:color w:val="000000"/>
          <w:spacing w:val="-2"/>
          <w:sz w:val="24"/>
        </w:rPr>
        <w:t>号《关于实施〈建设工程质量检测管理办法〉有关问题的通知》，结合本省实际、制定本细则。</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第二条</w:t>
      </w:r>
      <w:r>
        <w:rPr>
          <w:rFonts w:eastAsia="方正仿宋_GBK"/>
          <w:color w:val="000000"/>
          <w:spacing w:val="-2"/>
          <w:sz w:val="24"/>
        </w:rPr>
        <w:t xml:space="preserve">   </w:t>
      </w:r>
      <w:r>
        <w:rPr>
          <w:rFonts w:hint="eastAsia" w:eastAsia="方正仿宋_GBK"/>
          <w:color w:val="000000"/>
          <w:spacing w:val="-2"/>
          <w:sz w:val="24"/>
        </w:rPr>
        <w:t>凡在本省行政区域内从事建设工程质量检测活动，以及实施对建设工程质量检测活动的监督管理应当遵守本细则。</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本细则称建设工程质量检测（以下简称质量检测），是指工程质量检测机构（以下简称检测机构）接受委托，依据国家有关法律、法规和工程建设强制性标准，对涉及工程结构安全及功能项目的抽样检测和对进入施工现场的建筑材料、构配件的见证取样检测。</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第三条</w:t>
      </w:r>
      <w:r>
        <w:rPr>
          <w:rFonts w:eastAsia="方正仿宋_GBK"/>
          <w:color w:val="000000"/>
          <w:spacing w:val="-2"/>
          <w:sz w:val="24"/>
        </w:rPr>
        <w:t xml:space="preserve">  </w:t>
      </w:r>
      <w:r>
        <w:rPr>
          <w:rFonts w:hint="eastAsia" w:eastAsia="方正仿宋_GBK"/>
          <w:color w:val="000000"/>
          <w:spacing w:val="-2"/>
          <w:sz w:val="24"/>
        </w:rPr>
        <w:t>省建设厅负责对本省行政区域内质量检测活动实施监督管理，并负责检测机构的资质审批。</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设区的市、县（市）建设行政主管部门对本行政区域内质量检测活动实施监督管理。</w:t>
      </w:r>
    </w:p>
    <w:p>
      <w:pPr>
        <w:spacing w:line="460" w:lineRule="exact"/>
        <w:ind w:firstLine="464" w:firstLineChars="200"/>
        <w:rPr>
          <w:rFonts w:eastAsia="方正仿宋_GBK"/>
          <w:color w:val="000000"/>
          <w:spacing w:val="-2"/>
          <w:sz w:val="24"/>
        </w:rPr>
      </w:pPr>
      <w:r>
        <w:rPr>
          <w:rFonts w:eastAsia="方正仿宋_GBK"/>
          <w:color w:val="000000"/>
          <w:spacing w:val="-2"/>
          <w:sz w:val="24"/>
        </w:rPr>
        <w:t> </w:t>
      </w:r>
      <w:r>
        <w:rPr>
          <w:rFonts w:hint="eastAsia" w:eastAsia="方正黑体_GBK"/>
          <w:color w:val="000000"/>
          <w:spacing w:val="-2"/>
          <w:sz w:val="24"/>
        </w:rPr>
        <w:t>第四条</w:t>
      </w:r>
      <w:r>
        <w:rPr>
          <w:rFonts w:eastAsia="方正仿宋_GBK"/>
          <w:color w:val="000000"/>
          <w:spacing w:val="-2"/>
          <w:sz w:val="24"/>
        </w:rPr>
        <w:t>   </w:t>
      </w:r>
      <w:r>
        <w:rPr>
          <w:rFonts w:hint="eastAsia" w:eastAsia="方正仿宋_GBK"/>
          <w:color w:val="000000"/>
          <w:spacing w:val="-2"/>
          <w:sz w:val="24"/>
        </w:rPr>
        <w:t>检测机构是具有独立法人资格的中介机构。检测机构从事本细则附件一规定的质量检测业务，应当依据本细则取得省建设厅核发的资质证书。检测机构资质按照其承担的检测业务内容分为专项检测机构资质和见证取样检测机构资质。检测机构资质标准由附件二规定。</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第五条</w:t>
      </w:r>
      <w:r>
        <w:rPr>
          <w:rFonts w:eastAsia="方正仿宋_GBK"/>
          <w:color w:val="000000"/>
          <w:spacing w:val="-2"/>
          <w:sz w:val="24"/>
        </w:rPr>
        <w:t xml:space="preserve">  </w:t>
      </w:r>
      <w:r>
        <w:rPr>
          <w:rFonts w:hint="eastAsia" w:eastAsia="方正仿宋_GBK"/>
          <w:color w:val="000000"/>
          <w:spacing w:val="-2"/>
          <w:sz w:val="24"/>
        </w:rPr>
        <w:t>检测机构的资质申请、受理、审查、许可、延期及变更等按有关规定执行。</w:t>
      </w:r>
      <w:r>
        <w:rPr>
          <w:rFonts w:hint="eastAsia" w:ascii="Times New Roman" w:hAnsi="Times New Roman" w:cs="宋体"/>
          <w:b/>
          <w:color w:val="000000"/>
          <w:spacing w:val="-6"/>
          <w:kern w:val="0"/>
          <w:sz w:val="18"/>
          <w:szCs w:val="18"/>
        </w:rPr>
        <w:t xml:space="preserve">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第六条</w:t>
      </w:r>
      <w:r>
        <w:rPr>
          <w:rFonts w:eastAsia="方正仿宋_GBK"/>
          <w:color w:val="000000"/>
          <w:spacing w:val="-2"/>
          <w:sz w:val="24"/>
        </w:rPr>
        <w:t>    </w:t>
      </w:r>
      <w:r>
        <w:rPr>
          <w:rFonts w:hint="eastAsia" w:eastAsia="方正仿宋_GBK"/>
          <w:color w:val="000000"/>
          <w:spacing w:val="-2"/>
          <w:sz w:val="24"/>
        </w:rPr>
        <w:t>任何单位和个人不得涂改、倒卖、出租、出借或者以其他形式非法转让资质证书。</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eastAsia="方正黑体_GBK"/>
          <w:color w:val="000000"/>
          <w:spacing w:val="-2"/>
          <w:sz w:val="24"/>
        </w:rPr>
        <w:t> </w:t>
      </w:r>
      <w:r>
        <w:rPr>
          <w:rFonts w:hint="eastAsia" w:eastAsia="方正黑体_GBK"/>
          <w:color w:val="000000"/>
          <w:spacing w:val="-2"/>
          <w:sz w:val="24"/>
        </w:rPr>
        <w:t>第七条</w:t>
      </w:r>
      <w:r>
        <w:rPr>
          <w:rFonts w:eastAsia="方正仿宋_GBK"/>
          <w:color w:val="000000"/>
          <w:spacing w:val="-2"/>
          <w:sz w:val="24"/>
        </w:rPr>
        <w:t xml:space="preserve">   </w:t>
      </w:r>
      <w:r>
        <w:rPr>
          <w:rFonts w:hint="eastAsia" w:eastAsia="方正仿宋_GBK"/>
          <w:color w:val="000000"/>
          <w:spacing w:val="-2"/>
          <w:sz w:val="24"/>
        </w:rPr>
        <w:t>本细则规定的质量检测业务，由工程项目建设单位委托具有相应资质的检测机构进行检测。检测机构不得转包检测业务。委托方与被委托方应当签订书面合同。其内容包括委托检测的内容、执行标准、义务、责任以及争议仲裁等内容。行政机关和法律法规授权的具有管理公共事务职能的单位及个人不得明示或暗示建设单位将检测业务委托给指定检测机构。</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检测结果利害关系人对检测结果发生争议，由双方共同认可的检测机构进行复检，复检结果由提出复检方报当地建设主管部门备案。</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第八条</w:t>
      </w:r>
      <w:r>
        <w:rPr>
          <w:rFonts w:eastAsia="方正黑体_GBK"/>
          <w:color w:val="000000"/>
          <w:spacing w:val="-2"/>
          <w:sz w:val="24"/>
        </w:rPr>
        <w:t>   </w:t>
      </w:r>
      <w:r>
        <w:rPr>
          <w:rFonts w:hint="eastAsia" w:eastAsia="方正仿宋_GBK"/>
          <w:color w:val="000000"/>
          <w:spacing w:val="-2"/>
          <w:sz w:val="24"/>
        </w:rPr>
        <w:t>工程质量检测应当严格执行国家和省有关规定、标准等，在建设单位或者工程监理单位监督下现场取样。提供质量检测试样的单位和个人，应当对试样的真实性负责。</w:t>
      </w:r>
      <w:r>
        <w:rPr>
          <w:rFonts w:eastAsia="方正仿宋_GBK"/>
          <w:color w:val="000000"/>
          <w:spacing w:val="-2"/>
          <w:sz w:val="24"/>
        </w:rPr>
        <w:t> </w:t>
      </w:r>
      <w:r>
        <w:rPr>
          <w:rFonts w:hint="eastAsia" w:eastAsia="方正仿宋_GBK"/>
          <w:color w:val="000000"/>
          <w:spacing w:val="-2"/>
          <w:sz w:val="24"/>
        </w:rPr>
        <w:t>程见证人由建设单位或工程监理单位具备建筑施工试验知识并经相关技术培训的专业技术人员担任。建设单位或者工程监理单位应在工程开工前，指定见证人，并将见证人单位、姓名等基本情况书面告知所委托的检测机构。</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第九条</w:t>
      </w:r>
      <w:r>
        <w:rPr>
          <w:rFonts w:eastAsia="方正黑体_GBK"/>
          <w:color w:val="000000"/>
          <w:spacing w:val="-2"/>
          <w:sz w:val="24"/>
        </w:rPr>
        <w:t xml:space="preserve"> </w:t>
      </w:r>
      <w:r>
        <w:rPr>
          <w:rFonts w:eastAsia="方正仿宋_GBK"/>
          <w:color w:val="000000"/>
          <w:spacing w:val="-2"/>
          <w:sz w:val="24"/>
        </w:rPr>
        <w:t>   </w:t>
      </w:r>
      <w:r>
        <w:rPr>
          <w:rFonts w:hint="eastAsia" w:eastAsia="方正仿宋_GBK"/>
          <w:color w:val="000000"/>
          <w:spacing w:val="-2"/>
          <w:sz w:val="24"/>
        </w:rPr>
        <w:t>检测原始记录应当全面、真实、准确、并经主检人、审核人签字。检测机构完成检测后，应当依据检测数据及时出具检测报告。检测报告经检测人员签字、审核人员签字、检测机构法定代表人或者其授权的签字人签署，并加盖资质专用章和检测机构公章或者检测专用章后方可生效。</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见证取样检测的检测报告中应当注明见证人单位及姓名，加盖见证取样章。</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第十条</w:t>
      </w:r>
      <w:r>
        <w:rPr>
          <w:rFonts w:eastAsia="方正仿宋_GBK"/>
          <w:color w:val="000000"/>
          <w:spacing w:val="-2"/>
          <w:sz w:val="24"/>
        </w:rPr>
        <w:t>   </w:t>
      </w:r>
      <w:r>
        <w:rPr>
          <w:rFonts w:hint="eastAsia" w:eastAsia="方正仿宋_GBK"/>
          <w:color w:val="000000"/>
          <w:spacing w:val="-2"/>
          <w:sz w:val="24"/>
        </w:rPr>
        <w:t>任何单位和个人不得明示或者暗示检测机构出具虚假检测报告，不得篡改或者伪造检测报告。</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第十一条</w:t>
      </w:r>
      <w:r>
        <w:rPr>
          <w:rFonts w:eastAsia="方正黑体_GBK"/>
          <w:color w:val="000000"/>
          <w:spacing w:val="-2"/>
          <w:sz w:val="24"/>
        </w:rPr>
        <w:t xml:space="preserve">    </w:t>
      </w:r>
      <w:r>
        <w:rPr>
          <w:rFonts w:hint="eastAsia" w:eastAsia="方正仿宋_GBK"/>
          <w:color w:val="000000"/>
          <w:spacing w:val="-2"/>
          <w:sz w:val="24"/>
        </w:rPr>
        <w:t>检测人员应当严守职业道德和工作程序，保证试验检测数据科学、客观、公正，并对试验检测结果承担法律责任。</w:t>
      </w:r>
      <w:r>
        <w:rPr>
          <w:rFonts w:eastAsia="方正仿宋_GBK"/>
          <w:color w:val="000000"/>
          <w:spacing w:val="-2"/>
          <w:sz w:val="24"/>
        </w:rPr>
        <w:t> </w:t>
      </w:r>
      <w:r>
        <w:rPr>
          <w:rFonts w:hint="eastAsia" w:eastAsia="方正仿宋_GBK"/>
          <w:color w:val="000000"/>
          <w:spacing w:val="-2"/>
          <w:sz w:val="24"/>
        </w:rPr>
        <w:t>测检测人员应当经过相关检测技术培训。</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检测人员不得同时受聘于两个或者两个以上检测机构。检测人员单位变动的，应当办理变更手续。</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检测机构和人员不得推荐或者监制建筑材料、构配件和设备等。</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检测机构不得与行政机关、法律、法规授权的具有管理公共事务职能的组织以及所检测工程项目相关的设计单位、施工单位、监理单位有隶属关系或者其他利害关系。</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第十二条</w:t>
      </w:r>
      <w:r>
        <w:rPr>
          <w:rFonts w:eastAsia="方正仿宋_GBK"/>
          <w:color w:val="000000"/>
          <w:spacing w:val="-2"/>
          <w:sz w:val="24"/>
        </w:rPr>
        <w:t xml:space="preserve">   </w:t>
      </w:r>
      <w:r>
        <w:rPr>
          <w:rFonts w:hint="eastAsia" w:eastAsia="方正仿宋_GBK"/>
          <w:color w:val="000000"/>
          <w:spacing w:val="-2"/>
          <w:sz w:val="24"/>
        </w:rPr>
        <w:t>检测机构不得转包检测业务。</w:t>
      </w:r>
      <w:r>
        <w:rPr>
          <w:rFonts w:eastAsia="方正仿宋_GBK"/>
          <w:color w:val="000000"/>
          <w:spacing w:val="-2"/>
          <w:sz w:val="24"/>
        </w:rPr>
        <w:t> </w:t>
      </w:r>
    </w:p>
    <w:p>
      <w:pPr>
        <w:spacing w:line="460" w:lineRule="exact"/>
        <w:ind w:firstLine="448" w:firstLineChars="200"/>
        <w:rPr>
          <w:rFonts w:eastAsia="方正仿宋_GBK"/>
          <w:color w:val="000000"/>
          <w:spacing w:val="-6"/>
          <w:sz w:val="24"/>
        </w:rPr>
      </w:pPr>
      <w:r>
        <w:rPr>
          <w:rFonts w:hint="eastAsia" w:eastAsia="方正仿宋_GBK"/>
          <w:color w:val="000000"/>
          <w:spacing w:val="-6"/>
          <w:sz w:val="24"/>
        </w:rPr>
        <w:t>省外检测机构在本省行政区域内从事工程质量检测业务的，应当向省建设厅备案。设区的市、县（市）建设行政主管部门应当以对其在当地的检测活动加强监督检查。</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第十三条</w:t>
      </w:r>
      <w:r>
        <w:rPr>
          <w:rFonts w:eastAsia="方正仿宋_GBK"/>
          <w:color w:val="000000"/>
          <w:spacing w:val="-2"/>
          <w:sz w:val="24"/>
        </w:rPr>
        <w:t>    </w:t>
      </w:r>
      <w:r>
        <w:rPr>
          <w:rFonts w:hint="eastAsia" w:eastAsia="方正仿宋_GBK"/>
          <w:color w:val="000000"/>
          <w:spacing w:val="-2"/>
          <w:sz w:val="24"/>
        </w:rPr>
        <w:t>检测机构应当对其检测数据和检测报告的真实性和准确性负责。检测机构违反法律、法规和工程建设强制性标准，给他人造成损失的，应当依法承担相应的赔偿责任。</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第十四条</w:t>
      </w:r>
      <w:r>
        <w:rPr>
          <w:rFonts w:eastAsia="方正仿宋_GBK"/>
          <w:color w:val="000000"/>
          <w:spacing w:val="-2"/>
          <w:sz w:val="24"/>
        </w:rPr>
        <w:t xml:space="preserve">   </w:t>
      </w:r>
      <w:r>
        <w:rPr>
          <w:rFonts w:hint="eastAsia" w:eastAsia="方正仿宋_GBK"/>
          <w:color w:val="000000"/>
          <w:spacing w:val="-2"/>
          <w:sz w:val="24"/>
        </w:rPr>
        <w:t>检测机构应当将检测过程中发现的建设单位、监理单位、施工单位违反有关法律、法规和工程建设强制性标准的情况，及时报告工程所在地建设行政主管部门。</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检测机构应当单独建立检测结果不合格项目台帐，并定期上报工程所在地质量监督机构。其中涉及结构安全检测结果为不合格时，应当在一个工作日内报至该工程项目的质量监督机构。</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第十五条</w:t>
      </w:r>
      <w:r>
        <w:rPr>
          <w:rFonts w:eastAsia="方正仿宋_GBK"/>
          <w:color w:val="000000"/>
          <w:spacing w:val="-2"/>
          <w:sz w:val="24"/>
        </w:rPr>
        <w:t>   </w:t>
      </w:r>
      <w:r>
        <w:rPr>
          <w:rFonts w:hint="eastAsia" w:eastAsia="方正仿宋_GBK"/>
          <w:color w:val="000000"/>
          <w:spacing w:val="-2"/>
          <w:sz w:val="24"/>
        </w:rPr>
        <w:t>检测机构应当建立档案管理制度。检测合同、委托单、原始记录、检测报告应当按年度统一编号，编号应当连续，不得抽撤、涂改。</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第十六条</w:t>
      </w:r>
      <w:r>
        <w:rPr>
          <w:rFonts w:eastAsia="方正黑体_GBK"/>
          <w:color w:val="000000"/>
          <w:spacing w:val="-2"/>
          <w:sz w:val="24"/>
        </w:rPr>
        <w:t xml:space="preserve"> </w:t>
      </w:r>
      <w:r>
        <w:rPr>
          <w:rFonts w:eastAsia="方正仿宋_GBK"/>
          <w:color w:val="000000"/>
          <w:spacing w:val="-2"/>
          <w:sz w:val="24"/>
        </w:rPr>
        <w:t>  </w:t>
      </w:r>
      <w:r>
        <w:rPr>
          <w:rFonts w:hint="eastAsia" w:eastAsia="方正仿宋_GBK"/>
          <w:color w:val="000000"/>
          <w:spacing w:val="-2"/>
          <w:sz w:val="24"/>
        </w:rPr>
        <w:t>各级建设行政主管部门应当加强对检测机构的监督检查，主要检查下列内容：</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（一）是否符合本细则规定的资质标准；</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（二）是否超出资质范围从事质量检测活动；</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（三）是否有涂改、倒卖、出租、出借或者以其他形式非法转让资质证书的行为；</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（四）是否按规定在检测报告上签字盖章，检测报告是否真实；</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（五）检测机构是否按有关技术标准和规定进行检测；</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（六）仪器设备及环境条件是否符合计量认证要求；</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（七）法律、法规规定的其他事项。</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第十七条</w:t>
      </w:r>
      <w:r>
        <w:rPr>
          <w:rFonts w:eastAsia="方正仿宋_GBK"/>
          <w:color w:val="000000"/>
          <w:spacing w:val="-2"/>
          <w:sz w:val="24"/>
        </w:rPr>
        <w:t>    </w:t>
      </w:r>
      <w:r>
        <w:rPr>
          <w:rFonts w:hint="eastAsia" w:eastAsia="方正仿宋_GBK"/>
          <w:color w:val="000000"/>
          <w:spacing w:val="-2"/>
          <w:sz w:val="24"/>
        </w:rPr>
        <w:t>各级建设行政主管部门实施监督检查时，有权采取下列措施：</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（一）要求检测机构或者委托方提供相关的文件和资料；</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（二）进入检测机构的工作场地（包括施工现场）进行抽查；</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（三）组织进行比对试验以验证检测机构的检测能力；</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（四）发现有不符合国家有关法律、法规和工程建设标准要求的检测行为时，责令改正。</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省建设厅对检测机构不定期组织监督检查和比对试验，对发现的违规行为进行处理，对检测能力验证不合格的检测机构进行二次验证，仍不合格的，暂停该比对项目的检测工作。</w:t>
      </w:r>
      <w:r>
        <w:rPr>
          <w:rFonts w:eastAsia="方正仿宋_GBK"/>
          <w:color w:val="000000"/>
          <w:spacing w:val="-2"/>
          <w:sz w:val="24"/>
        </w:rPr>
        <w:t> </w:t>
      </w:r>
    </w:p>
    <w:p>
      <w:pPr>
        <w:spacing w:line="460" w:lineRule="exact"/>
        <w:ind w:firstLine="464" w:firstLineChars="200"/>
        <w:rPr>
          <w:rFonts w:eastAsia="方正仿宋_GBK"/>
          <w:color w:val="000000"/>
          <w:spacing w:val="-6"/>
          <w:sz w:val="24"/>
        </w:rPr>
      </w:pPr>
      <w:r>
        <w:rPr>
          <w:rFonts w:hint="eastAsia" w:eastAsia="方正黑体_GBK"/>
          <w:color w:val="000000"/>
          <w:spacing w:val="-2"/>
          <w:sz w:val="24"/>
        </w:rPr>
        <w:t>第十八条</w:t>
      </w:r>
      <w:r>
        <w:rPr>
          <w:rFonts w:eastAsia="方正仿宋_GBK"/>
          <w:color w:val="000000"/>
          <w:spacing w:val="-2"/>
          <w:sz w:val="24"/>
        </w:rPr>
        <w:t xml:space="preserve">   </w:t>
      </w:r>
      <w:r>
        <w:rPr>
          <w:rFonts w:hint="eastAsia" w:eastAsia="方正仿宋_GBK"/>
          <w:color w:val="000000"/>
          <w:spacing w:val="-6"/>
          <w:sz w:val="24"/>
        </w:rPr>
        <w:t>各级建设行政主管部门在监督检查中为收集证据的需要，可以对有关试样和检测资料采取抽样取证的方法；在证据可能灭失或者以后难以取得的情况下，经部门负责人批准，可以先行登记保存有关试样和检测资料，并应当在</w:t>
      </w:r>
      <w:r>
        <w:rPr>
          <w:rFonts w:eastAsia="方正仿宋_GBK"/>
          <w:color w:val="000000"/>
          <w:spacing w:val="-6"/>
          <w:sz w:val="24"/>
        </w:rPr>
        <w:t>7</w:t>
      </w:r>
      <w:r>
        <w:rPr>
          <w:rFonts w:hint="eastAsia" w:eastAsia="方正仿宋_GBK"/>
          <w:color w:val="000000"/>
          <w:spacing w:val="-6"/>
          <w:sz w:val="24"/>
        </w:rPr>
        <w:t>日内及时作出处理决定，在此期间，当事人或者有关人员不得销毁或者转移有关试样和检测资料。</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第十九条</w:t>
      </w:r>
      <w:r>
        <w:rPr>
          <w:rFonts w:eastAsia="方正仿宋_GBK"/>
          <w:color w:val="000000"/>
          <w:spacing w:val="-2"/>
          <w:sz w:val="24"/>
        </w:rPr>
        <w:t xml:space="preserve">   </w:t>
      </w:r>
      <w:r>
        <w:rPr>
          <w:rFonts w:hint="eastAsia" w:eastAsia="方正仿宋_GBK"/>
          <w:color w:val="000000"/>
          <w:spacing w:val="-2"/>
          <w:sz w:val="24"/>
        </w:rPr>
        <w:t>各级建设行政主管部门对监督检查中发现的问题应当按规定权限进行处理，并及时报告省建设厅。</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第二十条</w:t>
      </w:r>
      <w:r>
        <w:rPr>
          <w:rFonts w:eastAsia="方正仿宋_GBK"/>
          <w:color w:val="000000"/>
          <w:spacing w:val="-2"/>
          <w:sz w:val="24"/>
        </w:rPr>
        <w:t>   </w:t>
      </w:r>
      <w:r>
        <w:rPr>
          <w:rFonts w:hint="eastAsia" w:eastAsia="方正仿宋_GBK"/>
          <w:color w:val="000000"/>
          <w:spacing w:val="-2"/>
          <w:sz w:val="24"/>
        </w:rPr>
        <w:t>各级建设行政主管部门应当建立投诉受理和处理制度，公开投诉电话号码、通讯地址和电子邮件信箱。</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检测机构违反国家有关法律、法规和工程建设标准规定进行检测的，任何单位和个人都有权向建设行政主管部门投诉或举报。各级建设行政主管部门收到投诉或举报后，应当及时核实并依据本办法对检测机构作出相应的处理决定，于</w:t>
      </w:r>
      <w:r>
        <w:rPr>
          <w:rFonts w:eastAsia="方正仿宋_GBK"/>
          <w:color w:val="000000"/>
          <w:spacing w:val="-2"/>
          <w:sz w:val="24"/>
        </w:rPr>
        <w:t>30</w:t>
      </w:r>
      <w:r>
        <w:rPr>
          <w:rFonts w:hint="eastAsia" w:eastAsia="方正仿宋_GBK"/>
          <w:color w:val="000000"/>
          <w:spacing w:val="-2"/>
          <w:sz w:val="24"/>
        </w:rPr>
        <w:t>日内将处理意见答复投诉人。</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各级建设行政主管部门应建立检测机构和检测人员信用档案，记录检测机构及人员违法违规行为以及其他行为。信用档案是审批检测机构申请资质和资质延期及检测备案管理的重要依据。检测机构及人员的信用档案应公开。</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第二十一条</w:t>
      </w:r>
      <w:r>
        <w:rPr>
          <w:rFonts w:eastAsia="方正仿宋_GBK"/>
          <w:color w:val="000000"/>
          <w:spacing w:val="-2"/>
          <w:sz w:val="24"/>
        </w:rPr>
        <w:t>   </w:t>
      </w:r>
      <w:r>
        <w:rPr>
          <w:rFonts w:hint="eastAsia" w:eastAsia="方正仿宋_GBK"/>
          <w:color w:val="000000"/>
          <w:spacing w:val="-2"/>
          <w:sz w:val="24"/>
        </w:rPr>
        <w:t>违反本细则有关规定的，按有关规定依法实施处罚。</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黑体_GBK"/>
          <w:color w:val="000000"/>
          <w:spacing w:val="-2"/>
          <w:sz w:val="24"/>
        </w:rPr>
        <w:t>第二十二条</w:t>
      </w:r>
      <w:r>
        <w:rPr>
          <w:rFonts w:eastAsia="方正仿宋_GBK"/>
          <w:color w:val="000000"/>
          <w:spacing w:val="-2"/>
          <w:sz w:val="24"/>
        </w:rPr>
        <w:t>   </w:t>
      </w:r>
      <w:r>
        <w:rPr>
          <w:rFonts w:hint="eastAsia" w:eastAsia="方正仿宋_GBK"/>
          <w:color w:val="000000"/>
          <w:spacing w:val="-2"/>
          <w:sz w:val="24"/>
        </w:rPr>
        <w:t>本细则由省建设厅负责解释。</w:t>
      </w:r>
      <w:r>
        <w:rPr>
          <w:rFonts w:eastAsia="方正仿宋_GBK"/>
          <w:color w:val="000000"/>
          <w:spacing w:val="-2"/>
          <w:sz w:val="24"/>
        </w:rPr>
        <w:t> </w:t>
      </w:r>
      <w:r>
        <w:rPr>
          <w:rFonts w:hint="eastAsia" w:eastAsia="方正仿宋_GBK"/>
          <w:color w:val="000000"/>
          <w:spacing w:val="-2"/>
          <w:sz w:val="24"/>
        </w:rPr>
        <w:t>第三十七条</w:t>
      </w:r>
      <w:r>
        <w:rPr>
          <w:rFonts w:eastAsia="方正仿宋_GBK"/>
          <w:color w:val="000000"/>
          <w:spacing w:val="-2"/>
          <w:sz w:val="24"/>
        </w:rPr>
        <w:t>   </w:t>
      </w:r>
      <w:r>
        <w:rPr>
          <w:rFonts w:hint="eastAsia" w:eastAsia="方正仿宋_GBK"/>
          <w:color w:val="000000"/>
          <w:spacing w:val="-2"/>
          <w:sz w:val="24"/>
        </w:rPr>
        <w:t>本细则自</w:t>
      </w:r>
      <w:r>
        <w:rPr>
          <w:rFonts w:eastAsia="方正仿宋_GBK"/>
          <w:color w:val="000000"/>
          <w:spacing w:val="-2"/>
          <w:sz w:val="24"/>
        </w:rPr>
        <w:t>2006</w:t>
      </w:r>
      <w:r>
        <w:rPr>
          <w:rFonts w:hint="eastAsia" w:eastAsia="方正仿宋_GBK"/>
          <w:color w:val="000000"/>
          <w:spacing w:val="-2"/>
          <w:sz w:val="24"/>
        </w:rPr>
        <w:t>年</w:t>
      </w:r>
      <w:r>
        <w:rPr>
          <w:rFonts w:eastAsia="方正仿宋_GBK"/>
          <w:color w:val="000000"/>
          <w:spacing w:val="-2"/>
          <w:sz w:val="24"/>
        </w:rPr>
        <w:t>7</w:t>
      </w:r>
      <w:r>
        <w:rPr>
          <w:rFonts w:hint="eastAsia" w:eastAsia="方正仿宋_GBK"/>
          <w:color w:val="000000"/>
          <w:spacing w:val="-2"/>
          <w:sz w:val="24"/>
        </w:rPr>
        <w:t>月</w:t>
      </w:r>
      <w:r>
        <w:rPr>
          <w:rFonts w:eastAsia="方正仿宋_GBK"/>
          <w:color w:val="000000"/>
          <w:spacing w:val="-2"/>
          <w:sz w:val="24"/>
        </w:rPr>
        <w:t>1</w:t>
      </w:r>
      <w:r>
        <w:rPr>
          <w:rFonts w:hint="eastAsia" w:eastAsia="方正仿宋_GBK"/>
          <w:color w:val="000000"/>
          <w:spacing w:val="-2"/>
          <w:sz w:val="24"/>
        </w:rPr>
        <w:t>日起施行。</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p>
    <w:p>
      <w:pPr>
        <w:spacing w:line="460" w:lineRule="exact"/>
        <w:ind w:firstLine="464" w:firstLineChars="200"/>
        <w:rPr>
          <w:rFonts w:eastAsia="方正仿宋_GBK"/>
          <w:color w:val="000000"/>
          <w:spacing w:val="-2"/>
          <w:sz w:val="24"/>
        </w:rPr>
      </w:pPr>
    </w:p>
    <w:p>
      <w:pPr>
        <w:spacing w:line="460" w:lineRule="exact"/>
        <w:rPr>
          <w:rFonts w:eastAsia="方正黑体_GBK"/>
          <w:color w:val="000000"/>
          <w:spacing w:val="-2"/>
          <w:sz w:val="28"/>
          <w:szCs w:val="28"/>
        </w:rPr>
      </w:pPr>
      <w:r>
        <w:rPr>
          <w:rFonts w:eastAsia="方正仿宋_GBK"/>
          <w:color w:val="000000"/>
          <w:spacing w:val="-2"/>
          <w:sz w:val="24"/>
        </w:rPr>
        <w:br w:type="column"/>
      </w:r>
      <w:r>
        <w:rPr>
          <w:rFonts w:eastAsia="方正黑体_GBK"/>
          <w:color w:val="000000"/>
          <w:spacing w:val="-2"/>
          <w:sz w:val="28"/>
          <w:szCs w:val="28"/>
        </w:rPr>
        <w:t> </w:t>
      </w:r>
      <w:r>
        <w:rPr>
          <w:rFonts w:hint="eastAsia" w:eastAsia="方正黑体_GBK"/>
          <w:color w:val="000000"/>
          <w:spacing w:val="-2"/>
          <w:sz w:val="28"/>
          <w:szCs w:val="28"/>
        </w:rPr>
        <w:t>附件一：</w:t>
      </w:r>
      <w:r>
        <w:rPr>
          <w:rFonts w:eastAsia="方正黑体_GBK"/>
          <w:color w:val="000000"/>
          <w:spacing w:val="-2"/>
          <w:sz w:val="28"/>
          <w:szCs w:val="28"/>
        </w:rPr>
        <w:t> </w:t>
      </w:r>
    </w:p>
    <w:p>
      <w:pPr>
        <w:spacing w:line="460" w:lineRule="exact"/>
        <w:rPr>
          <w:rFonts w:eastAsia="方正仿宋_GBK"/>
          <w:color w:val="000000"/>
          <w:spacing w:val="-2"/>
          <w:sz w:val="24"/>
        </w:rPr>
      </w:pPr>
    </w:p>
    <w:p>
      <w:pPr>
        <w:spacing w:line="460" w:lineRule="exact"/>
        <w:jc w:val="center"/>
        <w:rPr>
          <w:rFonts w:eastAsia="方正小标宋简体"/>
          <w:color w:val="000000"/>
          <w:spacing w:val="-2"/>
          <w:sz w:val="36"/>
          <w:szCs w:val="36"/>
        </w:rPr>
      </w:pPr>
      <w:r>
        <w:rPr>
          <w:rFonts w:hint="eastAsia" w:eastAsia="方正小标宋简体"/>
          <w:color w:val="000000"/>
          <w:spacing w:val="-2"/>
          <w:sz w:val="36"/>
          <w:szCs w:val="36"/>
        </w:rPr>
        <w:t>质量检测的业务内容</w:t>
      </w:r>
    </w:p>
    <w:p>
      <w:pPr>
        <w:spacing w:line="400" w:lineRule="exact"/>
        <w:rPr>
          <w:rFonts w:eastAsia="方正仿宋_GBK"/>
          <w:color w:val="000000"/>
          <w:spacing w:val="-2"/>
          <w:sz w:val="24"/>
        </w:rPr>
      </w:pPr>
    </w:p>
    <w:p>
      <w:pPr>
        <w:spacing w:line="400" w:lineRule="exact"/>
        <w:ind w:firstLine="464" w:firstLineChars="200"/>
        <w:rPr>
          <w:rFonts w:eastAsia="方正黑体_GBK"/>
          <w:color w:val="000000"/>
          <w:spacing w:val="-2"/>
          <w:sz w:val="24"/>
        </w:rPr>
      </w:pPr>
      <w:r>
        <w:rPr>
          <w:rFonts w:hint="eastAsia" w:eastAsia="方正黑体_GBK"/>
          <w:color w:val="000000"/>
          <w:spacing w:val="-2"/>
          <w:sz w:val="24"/>
        </w:rPr>
        <w:t>一、专项检测</w:t>
      </w:r>
    </w:p>
    <w:p>
      <w:pPr>
        <w:spacing w:line="400" w:lineRule="exact"/>
        <w:ind w:firstLine="464" w:firstLineChars="200"/>
        <w:rPr>
          <w:rFonts w:eastAsia="方正楷体_GBK"/>
          <w:color w:val="000000"/>
          <w:spacing w:val="-2"/>
          <w:sz w:val="24"/>
        </w:rPr>
      </w:pPr>
      <w:r>
        <w:rPr>
          <w:rFonts w:hint="eastAsia" w:eastAsia="方正楷体_GBK"/>
          <w:color w:val="000000"/>
          <w:spacing w:val="-2"/>
          <w:sz w:val="24"/>
        </w:rPr>
        <w:t>（一）地基基础工程检测</w:t>
      </w:r>
      <w:r>
        <w:rPr>
          <w:rFonts w:eastAsia="方正楷体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、地基及复合地基承载力静载检测；</w:t>
      </w:r>
    </w:p>
    <w:p>
      <w:pPr>
        <w:spacing w:line="400" w:lineRule="exact"/>
        <w:ind w:firstLine="464"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、桩的承载力检测；</w:t>
      </w:r>
    </w:p>
    <w:p>
      <w:pPr>
        <w:spacing w:line="400" w:lineRule="exact"/>
        <w:ind w:firstLine="464"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、桩身完整性检测；</w:t>
      </w:r>
    </w:p>
    <w:p>
      <w:pPr>
        <w:spacing w:line="400" w:lineRule="exact"/>
        <w:ind w:firstLine="464"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、锚杆锁定力检测。</w:t>
      </w:r>
      <w:r>
        <w:rPr>
          <w:rFonts w:eastAsia="方正仿宋_GBK"/>
          <w:color w:val="000000"/>
          <w:spacing w:val="-2"/>
          <w:sz w:val="24"/>
        </w:rPr>
        <w:t>      </w:t>
      </w:r>
    </w:p>
    <w:p>
      <w:pPr>
        <w:spacing w:line="400" w:lineRule="exact"/>
        <w:ind w:firstLine="464" w:firstLineChars="200"/>
        <w:rPr>
          <w:rFonts w:eastAsia="方正楷体_GBK"/>
          <w:color w:val="000000"/>
          <w:spacing w:val="-2"/>
          <w:sz w:val="24"/>
        </w:rPr>
      </w:pPr>
      <w:r>
        <w:rPr>
          <w:rFonts w:hint="eastAsia" w:eastAsia="方正楷体_GBK"/>
          <w:color w:val="000000"/>
          <w:spacing w:val="-2"/>
          <w:sz w:val="24"/>
        </w:rPr>
        <w:t>（二）主体结构工程现场检测</w:t>
      </w:r>
      <w:r>
        <w:rPr>
          <w:rFonts w:eastAsia="方正楷体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、混凝土、砂桨、砌体强度现场检测；</w:t>
      </w:r>
    </w:p>
    <w:p>
      <w:pPr>
        <w:spacing w:line="400" w:lineRule="exact"/>
        <w:ind w:firstLine="464"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、钢筋保护层厚度检测；</w:t>
      </w:r>
    </w:p>
    <w:p>
      <w:pPr>
        <w:spacing w:line="400" w:lineRule="exact"/>
        <w:ind w:firstLine="464"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、混凝土预制构件结构性能检测；</w:t>
      </w:r>
    </w:p>
    <w:p>
      <w:pPr>
        <w:spacing w:line="400" w:lineRule="exact"/>
        <w:ind w:firstLine="464"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、后置埋件的力学性能检测。</w:t>
      </w:r>
    </w:p>
    <w:p>
      <w:pPr>
        <w:spacing w:line="400" w:lineRule="exact"/>
        <w:ind w:firstLine="464" w:firstLineChars="200"/>
        <w:rPr>
          <w:rFonts w:eastAsia="方正楷体_GBK"/>
          <w:color w:val="000000"/>
          <w:spacing w:val="-2"/>
          <w:sz w:val="24"/>
        </w:rPr>
      </w:pPr>
      <w:r>
        <w:rPr>
          <w:rFonts w:hint="eastAsia" w:eastAsia="方正楷体_GBK"/>
          <w:color w:val="000000"/>
          <w:spacing w:val="-2"/>
          <w:sz w:val="24"/>
        </w:rPr>
        <w:t>（三）建筑幕墙工程检测</w:t>
      </w:r>
      <w:r>
        <w:rPr>
          <w:rFonts w:eastAsia="方正楷体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、建筑幕墙的气密性、水密性、风压变形性能、层间变位性能检测；</w:t>
      </w:r>
      <w:r>
        <w:rPr>
          <w:rFonts w:eastAsia="方正仿宋_GBK"/>
          <w:color w:val="000000"/>
          <w:spacing w:val="-2"/>
          <w:sz w:val="24"/>
        </w:rPr>
        <w:t>2</w:t>
      </w:r>
      <w:r>
        <w:rPr>
          <w:rFonts w:hint="eastAsia" w:eastAsia="方正仿宋_GBK"/>
          <w:color w:val="000000"/>
          <w:spacing w:val="-2"/>
          <w:sz w:val="24"/>
        </w:rPr>
        <w:t>、硅酮结构胶相容性检测。</w:t>
      </w:r>
    </w:p>
    <w:p>
      <w:pPr>
        <w:spacing w:line="400" w:lineRule="exact"/>
        <w:ind w:firstLine="464" w:firstLineChars="200"/>
        <w:rPr>
          <w:rFonts w:eastAsia="方正楷体_GBK"/>
          <w:color w:val="000000"/>
          <w:spacing w:val="-2"/>
          <w:sz w:val="24"/>
        </w:rPr>
      </w:pPr>
      <w:r>
        <w:rPr>
          <w:rFonts w:hint="eastAsia" w:eastAsia="方正楷体_GBK"/>
          <w:color w:val="000000"/>
          <w:spacing w:val="-2"/>
          <w:sz w:val="24"/>
        </w:rPr>
        <w:t>（四）钢结构工程检测</w:t>
      </w:r>
      <w:r>
        <w:rPr>
          <w:rFonts w:eastAsia="方正楷体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、钢结构焊接质量无损检测；</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、钢结构防腐及防火涂装检测；</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、钢结构节点、机械连接紧固标准件及高强度螺栓力学性能检测；</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、钢网架结构的变形检测。</w:t>
      </w:r>
      <w:r>
        <w:rPr>
          <w:rFonts w:eastAsia="方正仿宋_GBK"/>
          <w:color w:val="000000"/>
          <w:spacing w:val="-2"/>
          <w:sz w:val="24"/>
        </w:rPr>
        <w:t> </w:t>
      </w:r>
    </w:p>
    <w:p>
      <w:pPr>
        <w:spacing w:line="400" w:lineRule="exact"/>
        <w:ind w:firstLine="464" w:firstLineChars="200"/>
        <w:rPr>
          <w:rFonts w:eastAsia="方正黑体_GBK"/>
          <w:color w:val="000000"/>
          <w:spacing w:val="-2"/>
          <w:sz w:val="24"/>
        </w:rPr>
      </w:pPr>
      <w:r>
        <w:rPr>
          <w:rFonts w:hint="eastAsia" w:eastAsia="方正黑体_GBK"/>
          <w:color w:val="000000"/>
          <w:spacing w:val="-2"/>
          <w:sz w:val="24"/>
        </w:rPr>
        <w:t>二、见证取样检测</w:t>
      </w:r>
      <w:r>
        <w:rPr>
          <w:rFonts w:eastAsia="方正黑体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1</w:t>
      </w:r>
      <w:r>
        <w:rPr>
          <w:rFonts w:hint="eastAsia" w:eastAsia="方正仿宋_GBK"/>
          <w:color w:val="000000"/>
          <w:spacing w:val="-2"/>
          <w:sz w:val="24"/>
        </w:rPr>
        <w:t>、水泥物理力学性能检验；</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2</w:t>
      </w:r>
      <w:r>
        <w:rPr>
          <w:rFonts w:hint="eastAsia" w:eastAsia="方正仿宋_GBK"/>
          <w:color w:val="000000"/>
          <w:spacing w:val="-2"/>
          <w:sz w:val="24"/>
        </w:rPr>
        <w:t>、钢筋（含焊接与机械连接）力学性能检验；</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3</w:t>
      </w:r>
      <w:r>
        <w:rPr>
          <w:rFonts w:hint="eastAsia" w:eastAsia="方正仿宋_GBK"/>
          <w:color w:val="000000"/>
          <w:spacing w:val="-2"/>
          <w:sz w:val="24"/>
        </w:rPr>
        <w:t>、砂、石常规检验；</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4</w:t>
      </w:r>
      <w:r>
        <w:rPr>
          <w:rFonts w:hint="eastAsia" w:eastAsia="方正仿宋_GBK"/>
          <w:color w:val="000000"/>
          <w:spacing w:val="-2"/>
          <w:sz w:val="24"/>
        </w:rPr>
        <w:t>、混凝土、砂浆强度检验；</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5</w:t>
      </w:r>
      <w:r>
        <w:rPr>
          <w:rFonts w:hint="eastAsia" w:eastAsia="方正仿宋_GBK"/>
          <w:color w:val="000000"/>
          <w:spacing w:val="-2"/>
          <w:sz w:val="24"/>
        </w:rPr>
        <w:t>、简易土工试验；</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6</w:t>
      </w:r>
      <w:r>
        <w:rPr>
          <w:rFonts w:hint="eastAsia" w:eastAsia="方正仿宋_GBK"/>
          <w:color w:val="000000"/>
          <w:spacing w:val="-2"/>
          <w:sz w:val="24"/>
        </w:rPr>
        <w:t>、混凝土掺加剂检验；</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7</w:t>
      </w:r>
      <w:r>
        <w:rPr>
          <w:rFonts w:hint="eastAsia" w:eastAsia="方正仿宋_GBK"/>
          <w:color w:val="000000"/>
          <w:spacing w:val="-2"/>
          <w:sz w:val="24"/>
        </w:rPr>
        <w:t>、预应力钢绞线、锚夹具检验；</w:t>
      </w:r>
      <w:r>
        <w:rPr>
          <w:rFonts w:eastAsia="方正仿宋_GBK"/>
          <w:color w:val="000000"/>
          <w:spacing w:val="-2"/>
          <w:sz w:val="24"/>
        </w:rPr>
        <w:t> </w:t>
      </w:r>
    </w:p>
    <w:p>
      <w:pPr>
        <w:spacing w:line="400" w:lineRule="exact"/>
        <w:ind w:firstLine="464" w:firstLineChars="200"/>
        <w:rPr>
          <w:rFonts w:eastAsia="方正仿宋_GBK"/>
          <w:color w:val="000000"/>
          <w:spacing w:val="-2"/>
          <w:sz w:val="24"/>
        </w:rPr>
      </w:pPr>
      <w:r>
        <w:rPr>
          <w:rFonts w:eastAsia="方正仿宋_GBK"/>
          <w:color w:val="000000"/>
          <w:spacing w:val="-2"/>
          <w:sz w:val="24"/>
        </w:rPr>
        <w:t>8</w:t>
      </w:r>
      <w:r>
        <w:rPr>
          <w:rFonts w:hint="eastAsia" w:eastAsia="方正仿宋_GBK"/>
          <w:color w:val="000000"/>
          <w:spacing w:val="-2"/>
          <w:sz w:val="24"/>
        </w:rPr>
        <w:t>、沥青、沥青混合料检验。</w:t>
      </w:r>
      <w:r>
        <w:rPr>
          <w:rFonts w:eastAsia="方正仿宋_GBK"/>
          <w:color w:val="000000"/>
          <w:spacing w:val="-2"/>
          <w:sz w:val="24"/>
        </w:rPr>
        <w:t>      </w:t>
      </w:r>
    </w:p>
    <w:p>
      <w:pPr>
        <w:spacing w:line="460" w:lineRule="exact"/>
        <w:rPr>
          <w:rFonts w:eastAsia="方正黑体_GBK"/>
          <w:color w:val="000000"/>
          <w:spacing w:val="-2"/>
          <w:sz w:val="28"/>
          <w:szCs w:val="28"/>
        </w:rPr>
      </w:pPr>
      <w:r>
        <w:rPr>
          <w:rFonts w:eastAsia="方正仿宋_GBK"/>
          <w:color w:val="000000"/>
          <w:spacing w:val="-2"/>
          <w:sz w:val="24"/>
        </w:rPr>
        <w:br w:type="column"/>
      </w:r>
      <w:r>
        <w:rPr>
          <w:rFonts w:hint="eastAsia" w:eastAsia="方正黑体_GBK"/>
          <w:color w:val="000000"/>
          <w:spacing w:val="-2"/>
          <w:sz w:val="28"/>
          <w:szCs w:val="28"/>
        </w:rPr>
        <w:t>附件二：</w:t>
      </w:r>
      <w:r>
        <w:rPr>
          <w:rFonts w:eastAsia="方正黑体_GBK"/>
          <w:color w:val="000000"/>
          <w:spacing w:val="-2"/>
          <w:sz w:val="28"/>
          <w:szCs w:val="28"/>
        </w:rPr>
        <w:t> </w:t>
      </w:r>
    </w:p>
    <w:p>
      <w:pPr>
        <w:spacing w:line="460" w:lineRule="exact"/>
        <w:rPr>
          <w:rFonts w:eastAsia="方正仿宋_GBK"/>
          <w:color w:val="000000"/>
          <w:spacing w:val="-2"/>
          <w:sz w:val="24"/>
        </w:rPr>
      </w:pPr>
    </w:p>
    <w:p>
      <w:pPr>
        <w:spacing w:line="460" w:lineRule="exact"/>
        <w:jc w:val="center"/>
        <w:rPr>
          <w:rFonts w:eastAsia="方正小标宋简体"/>
          <w:color w:val="000000"/>
          <w:spacing w:val="-2"/>
          <w:sz w:val="36"/>
          <w:szCs w:val="36"/>
        </w:rPr>
      </w:pPr>
      <w:r>
        <w:rPr>
          <w:rFonts w:hint="eastAsia" w:eastAsia="方正小标宋简体"/>
          <w:color w:val="000000"/>
          <w:spacing w:val="-2"/>
          <w:sz w:val="36"/>
          <w:szCs w:val="36"/>
        </w:rPr>
        <w:t>检测机构资质标准</w:t>
      </w:r>
    </w:p>
    <w:p>
      <w:pPr>
        <w:spacing w:line="460" w:lineRule="exact"/>
        <w:ind w:firstLine="464" w:firstLineChars="200"/>
        <w:rPr>
          <w:rFonts w:eastAsia="方正仿宋_GBK"/>
          <w:color w:val="000000"/>
          <w:spacing w:val="-2"/>
          <w:sz w:val="24"/>
        </w:rPr>
      </w:pP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一、专项检测机构和见证取样检测机构应满足下列基本条件：</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（一）所申请检测资质对应的项目应通过计量认证；</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（二）有质量检测、施工、监理或设计经历，并接受了相关检测技术培训的专业技术人员不少于</w:t>
      </w:r>
      <w:r>
        <w:rPr>
          <w:rFonts w:eastAsia="方正仿宋_GBK"/>
          <w:color w:val="000000"/>
          <w:spacing w:val="-2"/>
          <w:sz w:val="24"/>
        </w:rPr>
        <w:t>10</w:t>
      </w:r>
      <w:r>
        <w:rPr>
          <w:rFonts w:hint="eastAsia" w:eastAsia="方正仿宋_GBK"/>
          <w:color w:val="000000"/>
          <w:spacing w:val="-2"/>
          <w:sz w:val="24"/>
        </w:rPr>
        <w:t>人；边远的县（区）的专业技术人员可不少于</w:t>
      </w:r>
      <w:r>
        <w:rPr>
          <w:rFonts w:eastAsia="方正仿宋_GBK"/>
          <w:color w:val="000000"/>
          <w:spacing w:val="-2"/>
          <w:sz w:val="24"/>
        </w:rPr>
        <w:t>6</w:t>
      </w:r>
      <w:r>
        <w:rPr>
          <w:rFonts w:hint="eastAsia" w:eastAsia="方正仿宋_GBK"/>
          <w:color w:val="000000"/>
          <w:spacing w:val="-2"/>
          <w:sz w:val="24"/>
        </w:rPr>
        <w:t>人；</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（三）有符合开展检测工作所需的仪器、设备和工作场所；其中，使用属于强制检定的计量器具，要经过计量检定合格后，方可使用；</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（四）有健全的技术管理和质量保证体系。</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二、专项检测机构除应满足基本条件外，还需满足下列条件：</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（一）地基基础工程检测类</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专业技术人员中从事工程桩检测工作</w:t>
      </w:r>
      <w:r>
        <w:rPr>
          <w:rFonts w:eastAsia="方正仿宋_GBK"/>
          <w:color w:val="000000"/>
          <w:spacing w:val="-2"/>
          <w:sz w:val="24"/>
        </w:rPr>
        <w:t> 3</w:t>
      </w:r>
      <w:r>
        <w:rPr>
          <w:rFonts w:hint="eastAsia" w:eastAsia="方正仿宋_GBK"/>
          <w:color w:val="000000"/>
          <w:spacing w:val="-2"/>
          <w:sz w:val="24"/>
        </w:rPr>
        <w:t>年以上并具有高级或者中级职称的不得少于</w:t>
      </w:r>
      <w:r>
        <w:rPr>
          <w:rFonts w:eastAsia="方正仿宋_GBK"/>
          <w:color w:val="000000"/>
          <w:spacing w:val="-2"/>
          <w:sz w:val="24"/>
        </w:rPr>
        <w:t>4</w:t>
      </w:r>
      <w:r>
        <w:rPr>
          <w:rFonts w:hint="eastAsia" w:eastAsia="方正仿宋_GBK"/>
          <w:color w:val="000000"/>
          <w:spacing w:val="-2"/>
          <w:sz w:val="24"/>
        </w:rPr>
        <w:t>名，其中</w:t>
      </w:r>
      <w:r>
        <w:rPr>
          <w:rFonts w:eastAsia="方正仿宋_GBK"/>
          <w:color w:val="000000"/>
          <w:spacing w:val="-2"/>
          <w:sz w:val="24"/>
        </w:rPr>
        <w:t>1</w:t>
      </w:r>
      <w:r>
        <w:rPr>
          <w:rFonts w:hint="eastAsia" w:eastAsia="方正仿宋_GBK"/>
          <w:color w:val="000000"/>
          <w:spacing w:val="-2"/>
          <w:sz w:val="24"/>
        </w:rPr>
        <w:t>人应当具备注册岩土工程师资格。</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（二）主体结构工程检测类</w:t>
      </w:r>
      <w:r>
        <w:rPr>
          <w:rFonts w:eastAsia="方正仿宋_GBK"/>
          <w:color w:val="000000"/>
          <w:spacing w:val="-2"/>
          <w:sz w:val="24"/>
        </w:rPr>
        <w:t> </w:t>
      </w:r>
      <w:r>
        <w:rPr>
          <w:rFonts w:hint="eastAsia" w:eastAsia="方正仿宋_GBK"/>
          <w:color w:val="000000"/>
          <w:spacing w:val="-2"/>
          <w:sz w:val="24"/>
        </w:rPr>
        <w:t>专业技术人员从事结构工程检测工作</w:t>
      </w:r>
      <w:r>
        <w:rPr>
          <w:rFonts w:eastAsia="方正仿宋_GBK"/>
          <w:color w:val="000000"/>
          <w:spacing w:val="-2"/>
          <w:sz w:val="24"/>
        </w:rPr>
        <w:t>3</w:t>
      </w:r>
      <w:r>
        <w:rPr>
          <w:rFonts w:hint="eastAsia" w:eastAsia="方正仿宋_GBK"/>
          <w:color w:val="000000"/>
          <w:spacing w:val="-2"/>
          <w:sz w:val="24"/>
        </w:rPr>
        <w:t>年以上并具有高级或者中级职称的不得少于</w:t>
      </w:r>
      <w:r>
        <w:rPr>
          <w:rFonts w:eastAsia="方正仿宋_GBK"/>
          <w:color w:val="000000"/>
          <w:spacing w:val="-2"/>
          <w:sz w:val="24"/>
        </w:rPr>
        <w:t>4</w:t>
      </w:r>
      <w:r>
        <w:rPr>
          <w:rFonts w:hint="eastAsia" w:eastAsia="方正仿宋_GBK"/>
          <w:color w:val="000000"/>
          <w:spacing w:val="-2"/>
          <w:sz w:val="24"/>
        </w:rPr>
        <w:t>名，其中</w:t>
      </w:r>
      <w:r>
        <w:rPr>
          <w:rFonts w:eastAsia="方正仿宋_GBK"/>
          <w:color w:val="000000"/>
          <w:spacing w:val="-2"/>
          <w:sz w:val="24"/>
        </w:rPr>
        <w:t>1</w:t>
      </w:r>
      <w:r>
        <w:rPr>
          <w:rFonts w:hint="eastAsia" w:eastAsia="方正仿宋_GBK"/>
          <w:color w:val="000000"/>
          <w:spacing w:val="-2"/>
          <w:sz w:val="24"/>
        </w:rPr>
        <w:t>人应当具备二级注册结构工程师资格。</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（三）建筑幕墙工程测类</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专业技术人员中从事建筑幕墙检测工作</w:t>
      </w:r>
      <w:r>
        <w:rPr>
          <w:rFonts w:eastAsia="方正仿宋_GBK"/>
          <w:color w:val="000000"/>
          <w:spacing w:val="-2"/>
          <w:sz w:val="24"/>
        </w:rPr>
        <w:t>3</w:t>
      </w:r>
      <w:r>
        <w:rPr>
          <w:rFonts w:hint="eastAsia" w:eastAsia="方正仿宋_GBK"/>
          <w:color w:val="000000"/>
          <w:spacing w:val="-2"/>
          <w:sz w:val="24"/>
        </w:rPr>
        <w:t>年以上并具有高级或者中级职称的不得少于</w:t>
      </w:r>
      <w:r>
        <w:rPr>
          <w:rFonts w:eastAsia="方正仿宋_GBK"/>
          <w:color w:val="000000"/>
          <w:spacing w:val="-2"/>
          <w:sz w:val="24"/>
        </w:rPr>
        <w:t>4</w:t>
      </w:r>
      <w:r>
        <w:rPr>
          <w:rFonts w:hint="eastAsia" w:eastAsia="方正仿宋_GBK"/>
          <w:color w:val="000000"/>
          <w:spacing w:val="-2"/>
          <w:sz w:val="24"/>
        </w:rPr>
        <w:t>名。</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（四）钢结构工程检测类</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专业技术人员中从事</w:t>
      </w:r>
      <w:r>
        <w:rPr>
          <w:rFonts w:eastAsia="方正仿宋_GBK"/>
          <w:color w:val="000000"/>
          <w:spacing w:val="-2"/>
          <w:sz w:val="24"/>
        </w:rPr>
        <w:t> </w:t>
      </w:r>
      <w:r>
        <w:rPr>
          <w:rFonts w:hint="eastAsia" w:eastAsia="方正仿宋_GBK"/>
          <w:color w:val="000000"/>
          <w:spacing w:val="-2"/>
          <w:sz w:val="24"/>
        </w:rPr>
        <w:t>钢结构机械连接检测、钢网架结构变形检测工作工作</w:t>
      </w:r>
      <w:r>
        <w:rPr>
          <w:rFonts w:eastAsia="方正仿宋_GBK"/>
          <w:color w:val="000000"/>
          <w:spacing w:val="-2"/>
          <w:sz w:val="24"/>
        </w:rPr>
        <w:t>3</w:t>
      </w:r>
      <w:r>
        <w:rPr>
          <w:rFonts w:hint="eastAsia" w:eastAsia="方正仿宋_GBK"/>
          <w:color w:val="000000"/>
          <w:spacing w:val="-2"/>
          <w:sz w:val="24"/>
        </w:rPr>
        <w:t>年以上并具有高级或者中级职称的不得少于</w:t>
      </w:r>
      <w:r>
        <w:rPr>
          <w:rFonts w:eastAsia="方正仿宋_GBK"/>
          <w:color w:val="000000"/>
          <w:spacing w:val="-2"/>
          <w:sz w:val="24"/>
        </w:rPr>
        <w:t>4</w:t>
      </w:r>
      <w:r>
        <w:rPr>
          <w:rFonts w:hint="eastAsia" w:eastAsia="方正仿宋_GBK"/>
          <w:color w:val="000000"/>
          <w:spacing w:val="-2"/>
          <w:sz w:val="24"/>
        </w:rPr>
        <w:t>名，其中</w:t>
      </w:r>
      <w:r>
        <w:rPr>
          <w:rFonts w:eastAsia="方正仿宋_GBK"/>
          <w:color w:val="000000"/>
          <w:spacing w:val="-2"/>
          <w:sz w:val="24"/>
        </w:rPr>
        <w:t>1</w:t>
      </w:r>
      <w:r>
        <w:rPr>
          <w:rFonts w:hint="eastAsia" w:eastAsia="方正仿宋_GBK"/>
          <w:color w:val="000000"/>
          <w:spacing w:val="-2"/>
          <w:sz w:val="24"/>
        </w:rPr>
        <w:t>人应当具备二级注册结构工程师资格。</w:t>
      </w:r>
      <w:r>
        <w:rPr>
          <w:rFonts w:eastAsia="方正仿宋_GBK"/>
          <w:color w:val="000000"/>
          <w:spacing w:val="-2"/>
          <w:sz w:val="24"/>
        </w:rPr>
        <w:t> </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三、见证取样检测机构除应满足基本条件外，专业技术人员中从事检测工作</w:t>
      </w:r>
      <w:r>
        <w:rPr>
          <w:rFonts w:eastAsia="方正仿宋_GBK"/>
          <w:color w:val="000000"/>
          <w:spacing w:val="-2"/>
          <w:sz w:val="24"/>
        </w:rPr>
        <w:t>3</w:t>
      </w:r>
      <w:r>
        <w:rPr>
          <w:rFonts w:hint="eastAsia" w:eastAsia="方正仿宋_GBK"/>
          <w:color w:val="000000"/>
          <w:spacing w:val="-2"/>
          <w:sz w:val="24"/>
        </w:rPr>
        <w:t>以上并具有高级或者中级职称的不得少于</w:t>
      </w:r>
      <w:r>
        <w:rPr>
          <w:rFonts w:eastAsia="方正仿宋_GBK"/>
          <w:color w:val="000000"/>
          <w:spacing w:val="-2"/>
          <w:sz w:val="24"/>
        </w:rPr>
        <w:t>3</w:t>
      </w:r>
      <w:r>
        <w:rPr>
          <w:rFonts w:hint="eastAsia" w:eastAsia="方正仿宋_GBK"/>
          <w:color w:val="000000"/>
          <w:spacing w:val="-2"/>
          <w:sz w:val="24"/>
        </w:rPr>
        <w:t>名；边远的县（区）可不少于</w:t>
      </w:r>
      <w:r>
        <w:rPr>
          <w:rFonts w:eastAsia="方正仿宋_GBK"/>
          <w:color w:val="000000"/>
          <w:spacing w:val="-2"/>
          <w:sz w:val="24"/>
        </w:rPr>
        <w:t>2</w:t>
      </w:r>
      <w:r>
        <w:rPr>
          <w:rFonts w:hint="eastAsia" w:eastAsia="方正仿宋_GBK"/>
          <w:color w:val="000000"/>
          <w:spacing w:val="-2"/>
          <w:sz w:val="24"/>
        </w:rPr>
        <w:t>人。</w:t>
      </w:r>
    </w:p>
    <w:p>
      <w:pPr>
        <w:pStyle w:val="2"/>
        <w:spacing w:before="590" w:beforeLines="100" w:after="590" w:afterLines="100" w:line="240" w:lineRule="auto"/>
        <w:jc w:val="center"/>
        <w:rPr>
          <w:rFonts w:ascii="Times New Roman" w:eastAsia="方正小标宋_GBK"/>
          <w:b w:val="0"/>
          <w:sz w:val="36"/>
          <w:szCs w:val="36"/>
        </w:rPr>
      </w:pPr>
      <w:r>
        <w:rPr>
          <w:rFonts w:eastAsia="方正仿宋_GBK"/>
          <w:b w:val="0"/>
          <w:color w:val="000000"/>
          <w:spacing w:val="-2"/>
          <w:sz w:val="24"/>
        </w:rPr>
        <w:br w:type="column"/>
      </w:r>
      <w:bookmarkStart w:id="753" w:name="_Toc18315758"/>
      <w:bookmarkStart w:id="754" w:name="_Toc20726617"/>
      <w:r>
        <w:rPr>
          <w:rFonts w:hint="eastAsia" w:ascii="Times New Roman" w:eastAsia="方正小标宋_GBK"/>
          <w:b w:val="0"/>
          <w:sz w:val="36"/>
          <w:szCs w:val="36"/>
        </w:rPr>
        <w:t>关于印发《江苏省建设工程质量检测机构与人员信用管理规定》的通知</w:t>
      </w:r>
      <w:bookmarkEnd w:id="753"/>
      <w:bookmarkEnd w:id="754"/>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55" w:name="_Toc20726618"/>
      <w:bookmarkStart w:id="756" w:name="_Toc18315759"/>
      <w:r>
        <w:rPr>
          <w:rFonts w:hint="eastAsia" w:ascii="Times New Roman" w:hAnsi="Times New Roman" w:eastAsia="方正楷体_GBK"/>
          <w:b w:val="0"/>
          <w:sz w:val="24"/>
          <w:szCs w:val="24"/>
        </w:rPr>
        <w:t>苏建质〔</w:t>
      </w:r>
      <w:r>
        <w:rPr>
          <w:rFonts w:ascii="Times New Roman" w:hAnsi="Times New Roman" w:eastAsia="方正楷体_GBK"/>
          <w:b w:val="0"/>
          <w:sz w:val="24"/>
          <w:szCs w:val="24"/>
        </w:rPr>
        <w:t>2006</w:t>
      </w:r>
      <w:r>
        <w:rPr>
          <w:rFonts w:hint="eastAsia" w:ascii="Times New Roman" w:hAnsi="Times New Roman" w:eastAsia="方正楷体_GBK"/>
          <w:b w:val="0"/>
          <w:sz w:val="24"/>
          <w:szCs w:val="24"/>
        </w:rPr>
        <w:t>〕</w:t>
      </w:r>
      <w:r>
        <w:rPr>
          <w:rFonts w:ascii="Times New Roman" w:hAnsi="Times New Roman" w:eastAsia="方正楷体_GBK"/>
          <w:b w:val="0"/>
          <w:sz w:val="24"/>
          <w:szCs w:val="24"/>
        </w:rPr>
        <w:t>487</w:t>
      </w:r>
      <w:r>
        <w:rPr>
          <w:rFonts w:hint="eastAsia" w:ascii="Times New Roman" w:hAnsi="Times New Roman" w:eastAsia="方正楷体_GBK"/>
          <w:b w:val="0"/>
          <w:sz w:val="24"/>
          <w:szCs w:val="24"/>
        </w:rPr>
        <w:t>号</w:t>
      </w:r>
      <w:bookmarkEnd w:id="755"/>
      <w:bookmarkEnd w:id="756"/>
    </w:p>
    <w:p>
      <w:pPr>
        <w:spacing w:line="440" w:lineRule="exact"/>
        <w:jc w:val="left"/>
        <w:rPr>
          <w:rFonts w:eastAsia="方正仿宋_GBK"/>
          <w:color w:val="000000"/>
          <w:spacing w:val="-2"/>
          <w:kern w:val="0"/>
          <w:sz w:val="24"/>
        </w:rPr>
      </w:pPr>
      <w:r>
        <w:rPr>
          <w:rFonts w:hint="eastAsia" w:eastAsia="方正仿宋_GBK"/>
          <w:color w:val="000000"/>
          <w:spacing w:val="-2"/>
          <w:kern w:val="0"/>
          <w:sz w:val="24"/>
        </w:rPr>
        <w:t>各省辖市建设局（建委）、建工局：</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为全面贯彻落实《建设工程质量检测管理办法》（建设部</w:t>
      </w:r>
      <w:r>
        <w:rPr>
          <w:rFonts w:eastAsia="方正仿宋_GBK"/>
          <w:color w:val="000000"/>
          <w:spacing w:val="-2"/>
          <w:kern w:val="0"/>
          <w:sz w:val="24"/>
        </w:rPr>
        <w:t>141</w:t>
      </w:r>
      <w:r>
        <w:rPr>
          <w:rFonts w:hint="eastAsia" w:eastAsia="方正仿宋_GBK"/>
          <w:color w:val="000000"/>
          <w:spacing w:val="-2"/>
          <w:kern w:val="0"/>
          <w:sz w:val="24"/>
        </w:rPr>
        <w:t>号令）、《江苏省建设工程质量检测管理实施细则》（苏建法〔</w:t>
      </w:r>
      <w:r>
        <w:rPr>
          <w:rFonts w:eastAsia="方正仿宋_GBK"/>
          <w:color w:val="000000"/>
          <w:spacing w:val="-2"/>
          <w:kern w:val="0"/>
          <w:sz w:val="24"/>
        </w:rPr>
        <w:t>2006</w:t>
      </w:r>
      <w:r>
        <w:rPr>
          <w:rFonts w:hint="eastAsia" w:eastAsia="方正仿宋_GBK"/>
          <w:color w:val="000000"/>
          <w:spacing w:val="-2"/>
          <w:kern w:val="0"/>
          <w:sz w:val="24"/>
        </w:rPr>
        <w:t>〕</w:t>
      </w:r>
      <w:r>
        <w:rPr>
          <w:rFonts w:eastAsia="方正仿宋_GBK"/>
          <w:color w:val="000000"/>
          <w:spacing w:val="-2"/>
          <w:kern w:val="0"/>
          <w:sz w:val="24"/>
        </w:rPr>
        <w:t>97</w:t>
      </w:r>
      <w:r>
        <w:rPr>
          <w:rFonts w:hint="eastAsia" w:eastAsia="方正仿宋_GBK"/>
          <w:color w:val="000000"/>
          <w:spacing w:val="-2"/>
          <w:kern w:val="0"/>
          <w:sz w:val="24"/>
        </w:rPr>
        <w:t>号）和江苏省工程建设标准《建设工程质量检测规程》，进一步加强建设工程质量检测市场的监管，按照建设部《关于加快推进建筑市场信用体系建设工作的意见》和《建设工程质量责任主体和有关机构不良行为记录管理办法》等文件精神，结合我省实际，特制定《江苏省建设工程质量检测机构与人员信用管理规定》，望认真贯彻执行。</w:t>
      </w:r>
    </w:p>
    <w:p>
      <w:pPr>
        <w:spacing w:line="440" w:lineRule="exact"/>
        <w:ind w:firstLine="450"/>
        <w:jc w:val="left"/>
        <w:rPr>
          <w:rFonts w:eastAsia="方正仿宋_GBK"/>
          <w:color w:val="000000"/>
          <w:spacing w:val="-2"/>
          <w:kern w:val="0"/>
          <w:sz w:val="24"/>
        </w:rPr>
      </w:pPr>
    </w:p>
    <w:p>
      <w:pPr>
        <w:spacing w:line="440" w:lineRule="exact"/>
        <w:ind w:firstLine="450"/>
        <w:jc w:val="left"/>
        <w:rPr>
          <w:rFonts w:eastAsia="方正仿宋_GBK"/>
          <w:color w:val="000000"/>
          <w:spacing w:val="-2"/>
          <w:kern w:val="0"/>
          <w:sz w:val="24"/>
        </w:rPr>
      </w:pPr>
      <w:r>
        <w:rPr>
          <w:rFonts w:hint="eastAsia" w:eastAsia="方正仿宋_GBK"/>
          <w:color w:val="000000"/>
          <w:spacing w:val="-2"/>
          <w:kern w:val="0"/>
          <w:sz w:val="24"/>
        </w:rPr>
        <w:t>附件：《江苏省建设工程质量检测机构与人员信用管理规定》</w:t>
      </w:r>
    </w:p>
    <w:p>
      <w:pPr>
        <w:spacing w:line="440" w:lineRule="exact"/>
        <w:rPr>
          <w:rFonts w:eastAsia="方正仿宋_GBK"/>
          <w:color w:val="000000"/>
          <w:spacing w:val="-2"/>
          <w:kern w:val="0"/>
          <w:sz w:val="24"/>
        </w:rPr>
      </w:pPr>
    </w:p>
    <w:p>
      <w:pPr>
        <w:spacing w:line="440" w:lineRule="exact"/>
        <w:ind w:right="900" w:rightChars="437" w:firstLine="3712" w:firstLineChars="1600"/>
        <w:jc w:val="right"/>
        <w:rPr>
          <w:rFonts w:eastAsia="方正仿宋_GBK"/>
          <w:color w:val="000000"/>
          <w:spacing w:val="-2"/>
          <w:kern w:val="0"/>
          <w:sz w:val="24"/>
        </w:rPr>
      </w:pPr>
      <w:r>
        <w:rPr>
          <w:rFonts w:hint="eastAsia" w:eastAsia="方正仿宋_GBK"/>
          <w:color w:val="000000"/>
          <w:spacing w:val="-2"/>
          <w:kern w:val="0"/>
          <w:sz w:val="24"/>
        </w:rPr>
        <w:t>江苏省建设厅</w:t>
      </w:r>
      <w:r>
        <w:rPr>
          <w:rFonts w:eastAsia="方正仿宋_GBK"/>
          <w:color w:val="000000"/>
          <w:spacing w:val="-2"/>
          <w:kern w:val="0"/>
          <w:sz w:val="24"/>
        </w:rPr>
        <w:t xml:space="preserve">        </w:t>
      </w:r>
    </w:p>
    <w:p>
      <w:pPr>
        <w:spacing w:line="440" w:lineRule="exact"/>
        <w:ind w:right="428" w:rightChars="208"/>
        <w:jc w:val="right"/>
        <w:rPr>
          <w:rFonts w:eastAsia="方正仿宋_GBK"/>
          <w:color w:val="000000"/>
          <w:spacing w:val="-2"/>
          <w:kern w:val="0"/>
          <w:sz w:val="24"/>
        </w:rPr>
      </w:pPr>
      <w:r>
        <w:rPr>
          <w:rFonts w:hint="eastAsia" w:eastAsia="方正仿宋_GBK"/>
          <w:color w:val="000000"/>
          <w:spacing w:val="-2"/>
          <w:kern w:val="0"/>
          <w:sz w:val="24"/>
        </w:rPr>
        <w:t>二</w:t>
      </w:r>
      <w:r>
        <w:rPr>
          <w:rFonts w:hint="eastAsia" w:eastAsia="方正仿宋_GBK"/>
          <w:bCs/>
          <w:snapToGrid w:val="0"/>
          <w:color w:val="000000"/>
          <w:spacing w:val="-2"/>
          <w:kern w:val="0"/>
          <w:sz w:val="24"/>
        </w:rPr>
        <w:t>○○</w:t>
      </w:r>
      <w:r>
        <w:rPr>
          <w:rFonts w:hint="eastAsia" w:eastAsia="方正仿宋_GBK"/>
          <w:color w:val="000000"/>
          <w:spacing w:val="-2"/>
          <w:kern w:val="0"/>
          <w:sz w:val="24"/>
        </w:rPr>
        <w:t>六年十二月五日</w:t>
      </w:r>
      <w:r>
        <w:rPr>
          <w:rFonts w:eastAsia="方正仿宋_GBK"/>
          <w:color w:val="000000"/>
          <w:spacing w:val="-2"/>
          <w:kern w:val="0"/>
          <w:sz w:val="24"/>
        </w:rPr>
        <w:t xml:space="preserve">    </w:t>
      </w:r>
    </w:p>
    <w:p>
      <w:pPr>
        <w:spacing w:line="440" w:lineRule="exact"/>
        <w:jc w:val="left"/>
        <w:rPr>
          <w:rFonts w:eastAsia="方正仿宋_GBK"/>
          <w:color w:val="000000"/>
          <w:spacing w:val="-2"/>
          <w:kern w:val="0"/>
          <w:sz w:val="24"/>
        </w:rPr>
      </w:pPr>
    </w:p>
    <w:p>
      <w:pPr>
        <w:spacing w:line="440" w:lineRule="exact"/>
        <w:rPr>
          <w:rFonts w:eastAsia="方正仿宋_GBK"/>
          <w:color w:val="000000"/>
          <w:spacing w:val="-2"/>
          <w:kern w:val="0"/>
          <w:sz w:val="24"/>
        </w:rPr>
      </w:pPr>
    </w:p>
    <w:p>
      <w:pPr>
        <w:spacing w:line="440" w:lineRule="exact"/>
        <w:jc w:val="center"/>
        <w:rPr>
          <w:rFonts w:ascii="Times New Roman" w:eastAsia="方正黑体_GBK"/>
          <w:color w:val="000000"/>
          <w:spacing w:val="-2"/>
          <w:kern w:val="0"/>
          <w:sz w:val="36"/>
          <w:szCs w:val="36"/>
        </w:rPr>
      </w:pPr>
      <w:r>
        <w:rPr>
          <w:rFonts w:hint="eastAsia" w:ascii="Times New Roman" w:eastAsia="方正黑体_GBK"/>
          <w:bCs/>
          <w:color w:val="000000"/>
          <w:spacing w:val="-2"/>
          <w:kern w:val="0"/>
          <w:sz w:val="36"/>
          <w:szCs w:val="36"/>
        </w:rPr>
        <w:t>江苏省建设工程质量检测机构与人员信用管理规定</w:t>
      </w:r>
    </w:p>
    <w:p>
      <w:pPr>
        <w:spacing w:line="440" w:lineRule="exact"/>
        <w:rPr>
          <w:rFonts w:hint="eastAsia" w:eastAsia="方正仿宋_GBK"/>
          <w:color w:val="000000"/>
          <w:spacing w:val="-2"/>
          <w:kern w:val="0"/>
          <w:sz w:val="24"/>
        </w:rPr>
      </w:pPr>
      <w:r>
        <w:rPr>
          <w:rFonts w:eastAsia="方正仿宋_GBK"/>
          <w:color w:val="000000"/>
          <w:spacing w:val="-2"/>
          <w:kern w:val="0"/>
          <w:sz w:val="24"/>
        </w:rPr>
        <w:t> </w:t>
      </w:r>
    </w:p>
    <w:p>
      <w:pPr>
        <w:spacing w:line="44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第一章  总</w:t>
      </w:r>
      <w:r>
        <w:rPr>
          <w:rFonts w:ascii="Times New Roman" w:eastAsia="方正黑体_GBK"/>
          <w:color w:val="000000"/>
          <w:spacing w:val="-2"/>
          <w:kern w:val="0"/>
          <w:sz w:val="24"/>
        </w:rPr>
        <w:t> </w:t>
      </w:r>
      <w:r>
        <w:rPr>
          <w:rFonts w:hint="eastAsia" w:ascii="Times New Roman" w:eastAsia="方正黑体_GBK"/>
          <w:color w:val="000000"/>
          <w:spacing w:val="-2"/>
          <w:kern w:val="0"/>
          <w:sz w:val="24"/>
        </w:rPr>
        <w:t xml:space="preserve"> 则</w:t>
      </w:r>
    </w:p>
    <w:p>
      <w:pPr>
        <w:spacing w:line="440" w:lineRule="exact"/>
        <w:rPr>
          <w:rFonts w:hint="eastAsia" w:eastAsia="方正仿宋_GBK"/>
          <w:color w:val="000000"/>
          <w:spacing w:val="-2"/>
          <w:kern w:val="0"/>
          <w:sz w:val="24"/>
        </w:rPr>
      </w:pP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第一条</w:t>
      </w:r>
      <w:r>
        <w:rPr>
          <w:rFonts w:eastAsia="方正仿宋_GBK"/>
          <w:color w:val="000000"/>
          <w:spacing w:val="-2"/>
          <w:kern w:val="0"/>
          <w:sz w:val="24"/>
        </w:rPr>
        <w:t xml:space="preserve">  </w:t>
      </w:r>
      <w:r>
        <w:rPr>
          <w:rFonts w:hint="eastAsia" w:eastAsia="方正仿宋_GBK"/>
          <w:color w:val="000000"/>
          <w:spacing w:val="-2"/>
          <w:kern w:val="0"/>
          <w:sz w:val="24"/>
        </w:rPr>
        <w:t>为了加强对建设工程质量检测机构和从业人员的信用管理，按照建设部《关于加快推进建筑市场信用体系建设工作的意见》和《建设工程质量责任主体和有关机构不良行为记录管理办法》等文件精神，结合本省实际，制定本规定。</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第二条　</w:t>
      </w:r>
      <w:r>
        <w:rPr>
          <w:rFonts w:hint="eastAsia" w:eastAsia="方正仿宋_GBK"/>
          <w:color w:val="000000"/>
          <w:spacing w:val="-2"/>
          <w:kern w:val="0"/>
          <w:sz w:val="24"/>
        </w:rPr>
        <w:t>在本省行政区域内从事建设工程质量检测活动的建设工程质量检测机构与人员，应当遵守本办法。</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第三条</w:t>
      </w:r>
      <w:r>
        <w:rPr>
          <w:rFonts w:eastAsia="方正仿宋_GBK"/>
          <w:color w:val="000000"/>
          <w:spacing w:val="-2"/>
          <w:kern w:val="0"/>
          <w:sz w:val="24"/>
        </w:rPr>
        <w:t xml:space="preserve">  </w:t>
      </w:r>
      <w:r>
        <w:rPr>
          <w:rFonts w:hint="eastAsia" w:eastAsia="方正仿宋_GBK"/>
          <w:color w:val="000000"/>
          <w:spacing w:val="-2"/>
          <w:kern w:val="0"/>
          <w:sz w:val="24"/>
        </w:rPr>
        <w:t>省建设行政主管部门负责全省行政区域内建设工程质量检测机构与人员信用管理工作，具体工作委托省建设工程质量监督总站（以下简称省质监总站）负责。</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第四条　</w:t>
      </w:r>
      <w:r>
        <w:rPr>
          <w:rFonts w:hint="eastAsia" w:eastAsia="方正仿宋_GBK"/>
          <w:color w:val="000000"/>
          <w:spacing w:val="-2"/>
          <w:kern w:val="0"/>
          <w:sz w:val="24"/>
        </w:rPr>
        <w:t>信用管理工作主要包括信用档案的建立，信用行为的认定、记录和公布，信用考核、评定和应用。</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第五条　</w:t>
      </w:r>
      <w:r>
        <w:rPr>
          <w:rFonts w:hint="eastAsia" w:eastAsia="方正仿宋_GBK"/>
          <w:color w:val="000000"/>
          <w:spacing w:val="-2"/>
          <w:kern w:val="0"/>
          <w:sz w:val="24"/>
        </w:rPr>
        <w:t>检测机构和人员的信用行为分为良好行为和不良行为。</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良好行为包括检测机构与人员受到县级以上建设行政主管部门和相关专业部门的奖励和表彰及其他良好评价、认定、认证等。</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不良行为包括：</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（一）检测机构与人员因违反有关工程建设的法律、法规、规章、规范性文件或强制性标准受到县级以上建设行政主管部门行政处罚或其他行政处理（含通报批评、记入不良行为记录等）。</w:t>
      </w:r>
      <w:r>
        <w:rPr>
          <w:rFonts w:eastAsia="方正仿宋_GBK"/>
          <w:color w:val="000000"/>
          <w:spacing w:val="-2"/>
          <w:kern w:val="0"/>
          <w:sz w:val="24"/>
        </w:rPr>
        <w:t xml:space="preserve"> </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（二）检测机构与人员因失信、违约、不正当竞争等情况受到有关部门或者行业协会不良评价、认定的。</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第六条　</w:t>
      </w:r>
      <w:r>
        <w:rPr>
          <w:rFonts w:hint="eastAsia" w:eastAsia="方正仿宋_GBK"/>
          <w:color w:val="000000"/>
          <w:spacing w:val="-2"/>
          <w:kern w:val="0"/>
          <w:sz w:val="24"/>
        </w:rPr>
        <w:t>建设工程质量检测机构与人员信用管理，应遵循公开、公正和统一的原则，建立检测机构与人员的信用档案，对检测机构信用等级进行评定，实行分等级监督管理，形成诚信激励和失信惩戒机制。</w:t>
      </w:r>
    </w:p>
    <w:p>
      <w:pPr>
        <w:spacing w:line="440" w:lineRule="exact"/>
        <w:rPr>
          <w:rFonts w:eastAsia="方正仿宋_GBK"/>
          <w:color w:val="000000"/>
          <w:spacing w:val="-2"/>
          <w:kern w:val="0"/>
          <w:sz w:val="24"/>
        </w:rPr>
      </w:pPr>
    </w:p>
    <w:p>
      <w:pPr>
        <w:spacing w:line="44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第二章</w:t>
      </w:r>
      <w:r>
        <w:rPr>
          <w:rFonts w:ascii="Times New Roman" w:eastAsia="方正黑体_GBK"/>
          <w:color w:val="000000"/>
          <w:spacing w:val="-2"/>
          <w:kern w:val="0"/>
          <w:sz w:val="24"/>
        </w:rPr>
        <w:t>  </w:t>
      </w:r>
      <w:r>
        <w:rPr>
          <w:rFonts w:hint="eastAsia" w:ascii="Times New Roman" w:eastAsia="方正黑体_GBK"/>
          <w:color w:val="000000"/>
          <w:spacing w:val="-2"/>
          <w:kern w:val="0"/>
          <w:sz w:val="24"/>
        </w:rPr>
        <w:t xml:space="preserve"> 检测机构的信用</w:t>
      </w:r>
    </w:p>
    <w:p>
      <w:pPr>
        <w:spacing w:line="440" w:lineRule="exact"/>
        <w:rPr>
          <w:rFonts w:hint="eastAsia" w:eastAsia="方正仿宋_GBK"/>
          <w:color w:val="000000"/>
          <w:spacing w:val="-2"/>
          <w:kern w:val="0"/>
          <w:sz w:val="24"/>
        </w:rPr>
      </w:pP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第七条</w:t>
      </w:r>
      <w:r>
        <w:rPr>
          <w:rFonts w:eastAsia="方正仿宋_GBK"/>
          <w:color w:val="000000"/>
          <w:spacing w:val="-2"/>
          <w:kern w:val="0"/>
          <w:sz w:val="24"/>
        </w:rPr>
        <w:t xml:space="preserve">  </w:t>
      </w:r>
      <w:r>
        <w:rPr>
          <w:rFonts w:hint="eastAsia" w:eastAsia="方正仿宋_GBK"/>
          <w:color w:val="000000"/>
          <w:spacing w:val="-2"/>
          <w:kern w:val="0"/>
          <w:sz w:val="24"/>
        </w:rPr>
        <w:t>建设工程质量检测机构信用档案应包括以下内容：</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（一）基本情况：机构名称、地址、法定代表人姓名，工商营业执照复印件、资质证书（副本）复印件，检测机构人员名单，其它认证、认可或授权证书（副本）复印件等。</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（二）变更情况：变更事项、变更内容、变更时间等情况。</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（二）良好行为记录。</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（三）不良行为记录。</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（四）信用评定情况。</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第八条</w:t>
      </w:r>
      <w:r>
        <w:rPr>
          <w:rFonts w:eastAsia="方正仿宋_GBK"/>
          <w:color w:val="000000"/>
          <w:spacing w:val="-2"/>
          <w:kern w:val="0"/>
          <w:sz w:val="24"/>
        </w:rPr>
        <w:t xml:space="preserve"> </w:t>
      </w:r>
      <w:r>
        <w:rPr>
          <w:rFonts w:hint="eastAsia" w:eastAsia="方正仿宋_GBK"/>
          <w:color w:val="000000"/>
          <w:spacing w:val="-2"/>
          <w:kern w:val="0"/>
          <w:sz w:val="24"/>
        </w:rPr>
        <w:t>检测机构有下列情形之一的行为，认定为不良行为：</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（一）违反《中华人民共和国建筑法》、《建设工程质量管理条例》、《建设工程质量检测管理办法》（建设部</w:t>
      </w:r>
      <w:r>
        <w:rPr>
          <w:rFonts w:eastAsia="方正仿宋_GBK"/>
          <w:color w:val="000000"/>
          <w:spacing w:val="-2"/>
          <w:kern w:val="0"/>
          <w:sz w:val="24"/>
        </w:rPr>
        <w:t>141</w:t>
      </w:r>
      <w:r>
        <w:rPr>
          <w:rFonts w:hint="eastAsia" w:eastAsia="方正仿宋_GBK"/>
          <w:color w:val="000000"/>
          <w:spacing w:val="-2"/>
          <w:kern w:val="0"/>
          <w:sz w:val="24"/>
        </w:rPr>
        <w:t>号令）、《江苏省建设工程管理条例》、《江苏省建筑市场管理条例》、《江苏省建设工程质量检测管理实施细则》（苏建法〔</w:t>
      </w:r>
      <w:r>
        <w:rPr>
          <w:rFonts w:eastAsia="方正仿宋_GBK"/>
          <w:color w:val="000000"/>
          <w:spacing w:val="-2"/>
          <w:kern w:val="0"/>
          <w:sz w:val="24"/>
        </w:rPr>
        <w:t>2006</w:t>
      </w:r>
      <w:r>
        <w:rPr>
          <w:rFonts w:hint="eastAsia" w:eastAsia="方正仿宋_GBK"/>
          <w:color w:val="000000"/>
          <w:spacing w:val="-2"/>
          <w:kern w:val="0"/>
          <w:sz w:val="24"/>
        </w:rPr>
        <w:t>〕</w:t>
      </w:r>
      <w:r>
        <w:rPr>
          <w:rFonts w:eastAsia="方正仿宋_GBK"/>
          <w:color w:val="000000"/>
          <w:spacing w:val="-2"/>
          <w:kern w:val="0"/>
          <w:sz w:val="24"/>
        </w:rPr>
        <w:t>97</w:t>
      </w:r>
      <w:r>
        <w:rPr>
          <w:rFonts w:hint="eastAsia" w:eastAsia="方正仿宋_GBK"/>
          <w:color w:val="000000"/>
          <w:spacing w:val="-2"/>
          <w:kern w:val="0"/>
          <w:sz w:val="24"/>
        </w:rPr>
        <w:t>号）以及江苏省工程建设标准《建设工程质量检测规程》（</w:t>
      </w:r>
      <w:r>
        <w:rPr>
          <w:rFonts w:eastAsia="方正仿宋_GBK"/>
          <w:color w:val="000000"/>
          <w:spacing w:val="-2"/>
          <w:kern w:val="0"/>
          <w:sz w:val="24"/>
        </w:rPr>
        <w:t>DGJ32/J21-2006</w:t>
      </w:r>
      <w:r>
        <w:rPr>
          <w:rFonts w:hint="eastAsia" w:eastAsia="方正仿宋_GBK"/>
          <w:color w:val="000000"/>
          <w:spacing w:val="-2"/>
          <w:kern w:val="0"/>
          <w:sz w:val="24"/>
        </w:rPr>
        <w:t>）等法律、法规、规章、规程和规范性文件的有关规定的；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（二）检测机构背离诚信，违约或者不正当竞争等扰乱检测市场秩序的。</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第九条</w:t>
      </w:r>
      <w:r>
        <w:rPr>
          <w:rFonts w:eastAsia="方正仿宋_GBK"/>
          <w:color w:val="000000"/>
          <w:spacing w:val="-2"/>
          <w:kern w:val="0"/>
          <w:sz w:val="24"/>
        </w:rPr>
        <w:t xml:space="preserve">  </w:t>
      </w:r>
      <w:r>
        <w:rPr>
          <w:rFonts w:hint="eastAsia" w:eastAsia="方正仿宋_GBK"/>
          <w:color w:val="000000"/>
          <w:spacing w:val="-2"/>
          <w:kern w:val="0"/>
          <w:sz w:val="24"/>
        </w:rPr>
        <w:t>检测机构信用档案应通过以下途径建立：</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基本情况记录：检测机构根据建设工程质量检测机构的基本情况、变更情况等，填写《建设工程质量检测机构基本情况表》（附表一）和《建设工程质量检测人员基本信息表》（附表二），并在取得检测机构资质或许可变更后的</w:t>
      </w:r>
      <w:r>
        <w:rPr>
          <w:rFonts w:eastAsia="方正仿宋_GBK"/>
          <w:color w:val="000000"/>
          <w:spacing w:val="-2"/>
          <w:kern w:val="0"/>
          <w:sz w:val="24"/>
        </w:rPr>
        <w:t>15</w:t>
      </w:r>
      <w:r>
        <w:rPr>
          <w:rFonts w:hint="eastAsia" w:eastAsia="方正仿宋_GBK"/>
          <w:color w:val="000000"/>
          <w:spacing w:val="-2"/>
          <w:kern w:val="0"/>
          <w:sz w:val="24"/>
        </w:rPr>
        <w:t>个工作日内，以书面和电子文稿两种方式发送至省建设工程质量监督总站。如有变更应及时申报更新。</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（二）市、县（区）级建设行政主管部门负责收集本地区所认定的建设工程质量检测机构良好行为和不良行为信息，并附上良好行为和不良行为相关证明文件，报省建设工程质量监督总站。</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（三）省级建设行政主管部门开展的各类检查评比以及收到的投诉举报所反映的建设工程质量检测机构的信用信息，由省建设工程质量监督总站负责收集。</w:t>
      </w:r>
    </w:p>
    <w:p>
      <w:pPr>
        <w:spacing w:line="440" w:lineRule="exact"/>
        <w:rPr>
          <w:rFonts w:eastAsia="方正仿宋_GBK"/>
          <w:color w:val="000000"/>
          <w:spacing w:val="-2"/>
          <w:kern w:val="0"/>
          <w:sz w:val="24"/>
        </w:rPr>
      </w:pPr>
    </w:p>
    <w:p>
      <w:pPr>
        <w:spacing w:line="44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第三章</w:t>
      </w:r>
      <w:r>
        <w:rPr>
          <w:rFonts w:ascii="Times New Roman" w:eastAsia="方正黑体_GBK"/>
          <w:color w:val="000000"/>
          <w:spacing w:val="-2"/>
          <w:kern w:val="0"/>
          <w:sz w:val="24"/>
        </w:rPr>
        <w:t> </w:t>
      </w:r>
      <w:r>
        <w:rPr>
          <w:rFonts w:hint="eastAsia" w:ascii="Times New Roman" w:eastAsia="方正黑体_GBK"/>
          <w:color w:val="000000"/>
          <w:spacing w:val="-2"/>
          <w:kern w:val="0"/>
          <w:sz w:val="24"/>
        </w:rPr>
        <w:t xml:space="preserve"> 检测人员的信用</w:t>
      </w:r>
    </w:p>
    <w:p>
      <w:pPr>
        <w:spacing w:line="440" w:lineRule="exact"/>
        <w:rPr>
          <w:rFonts w:hint="eastAsia" w:eastAsia="方正仿宋_GBK"/>
          <w:color w:val="000000"/>
          <w:spacing w:val="-2"/>
          <w:kern w:val="0"/>
          <w:sz w:val="24"/>
        </w:rPr>
      </w:pP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第十条</w:t>
      </w:r>
      <w:r>
        <w:rPr>
          <w:rFonts w:eastAsia="方正仿宋_GBK"/>
          <w:color w:val="000000"/>
          <w:spacing w:val="-2"/>
          <w:kern w:val="0"/>
          <w:sz w:val="24"/>
        </w:rPr>
        <w:t xml:space="preserve">  </w:t>
      </w:r>
      <w:r>
        <w:rPr>
          <w:rFonts w:hint="eastAsia" w:eastAsia="方正仿宋_GBK"/>
          <w:color w:val="000000"/>
          <w:spacing w:val="-2"/>
          <w:kern w:val="0"/>
          <w:sz w:val="24"/>
        </w:rPr>
        <w:t>检测人员信用档案包含检测人员基本信息、检测人员良好行为记录、检测人员不良行为记录。</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第十一条</w:t>
      </w:r>
      <w:r>
        <w:rPr>
          <w:rFonts w:eastAsia="方正仿宋_GBK"/>
          <w:color w:val="000000"/>
          <w:spacing w:val="-2"/>
          <w:kern w:val="0"/>
          <w:sz w:val="24"/>
        </w:rPr>
        <w:t xml:space="preserve">  </w:t>
      </w:r>
      <w:r>
        <w:rPr>
          <w:rFonts w:hint="eastAsia" w:eastAsia="方正仿宋_GBK"/>
          <w:color w:val="000000"/>
          <w:spacing w:val="-2"/>
          <w:kern w:val="0"/>
          <w:sz w:val="24"/>
        </w:rPr>
        <w:t>检测人员基本信息包含：姓名、性别、出生年月、学历、职称、检测人员岗位合格证书编号及可从事检测项目、当前工作岗位、工作简历等。</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第十二条</w:t>
      </w:r>
      <w:r>
        <w:rPr>
          <w:rFonts w:eastAsia="方正仿宋_GBK"/>
          <w:color w:val="000000"/>
          <w:spacing w:val="-2"/>
          <w:kern w:val="0"/>
          <w:sz w:val="24"/>
        </w:rPr>
        <w:t xml:space="preserve">  </w:t>
      </w:r>
      <w:r>
        <w:rPr>
          <w:rFonts w:hint="eastAsia" w:eastAsia="方正仿宋_GBK"/>
          <w:color w:val="000000"/>
          <w:spacing w:val="-2"/>
          <w:kern w:val="0"/>
          <w:sz w:val="24"/>
        </w:rPr>
        <w:t>检测人员在日常检测工作、技术创新、教育培训等方面表现良好，受到各类个人表彰、荣誉称号、奖励的行为，应当认定为良好行为。</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第十三条</w:t>
      </w:r>
      <w:r>
        <w:rPr>
          <w:rFonts w:eastAsia="方正仿宋_GBK"/>
          <w:color w:val="000000"/>
          <w:spacing w:val="-2"/>
          <w:kern w:val="0"/>
          <w:sz w:val="24"/>
        </w:rPr>
        <w:t xml:space="preserve">  </w:t>
      </w:r>
      <w:r>
        <w:rPr>
          <w:rFonts w:hint="eastAsia" w:eastAsia="方正仿宋_GBK"/>
          <w:color w:val="000000"/>
          <w:spacing w:val="-2"/>
          <w:kern w:val="0"/>
          <w:sz w:val="24"/>
        </w:rPr>
        <w:t>检测人员的以下行为为不良行为：</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（一）同时受聘于两个或两个以上检测机构的；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（二）推荐或者监制建筑材料、构配件和设备的；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（三）涂改、倒卖、出租、出借或者以其他形式非法转让资质证书和上岗证书的；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（四）出具虚假检测报告的；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（五）伪造或修改检测报告的；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（六）未按相关标准、规范、作业指导书规定的方法开展检测工作，造成检测数据失真的；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（七）因玩忽职守，在检测工作中出现失误，造成重大质量安全事故或致使事故损失扩大的；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（八）超出本人岗位合格证书中规定项目范围进行检测活动的；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（九）在各级建设行政主管部门组织的监督检查中，被发现不能胜任相关项目检测工作的；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（十）未及时参加上岗继续教育培训和检测能力考核的；</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（十一）其他不良行为。</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第十四条</w:t>
      </w:r>
      <w:r>
        <w:rPr>
          <w:rFonts w:eastAsia="方正仿宋_GBK"/>
          <w:color w:val="000000"/>
          <w:spacing w:val="-2"/>
          <w:kern w:val="0"/>
          <w:sz w:val="24"/>
        </w:rPr>
        <w:t xml:space="preserve">  </w:t>
      </w:r>
      <w:r>
        <w:rPr>
          <w:rFonts w:hint="eastAsia" w:eastAsia="方正仿宋_GBK"/>
          <w:color w:val="000000"/>
          <w:spacing w:val="-2"/>
          <w:kern w:val="0"/>
          <w:sz w:val="24"/>
        </w:rPr>
        <w:t>检测人员信用档案建立与检测机构同步进行。途径与方式与检测机构信用档案建立一致。</w:t>
      </w:r>
    </w:p>
    <w:p>
      <w:pPr>
        <w:spacing w:line="440" w:lineRule="exact"/>
        <w:rPr>
          <w:rFonts w:eastAsia="方正仿宋_GBK"/>
          <w:color w:val="000000"/>
          <w:spacing w:val="-2"/>
          <w:kern w:val="0"/>
          <w:sz w:val="24"/>
        </w:rPr>
      </w:pPr>
    </w:p>
    <w:p>
      <w:pPr>
        <w:spacing w:line="44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第四章</w:t>
      </w:r>
      <w:r>
        <w:rPr>
          <w:rFonts w:ascii="Times New Roman" w:eastAsia="方正黑体_GBK"/>
          <w:color w:val="000000"/>
          <w:spacing w:val="-2"/>
          <w:kern w:val="0"/>
          <w:sz w:val="24"/>
        </w:rPr>
        <w:t> </w:t>
      </w:r>
      <w:r>
        <w:rPr>
          <w:rFonts w:hint="eastAsia" w:ascii="Times New Roman" w:eastAsia="方正黑体_GBK"/>
          <w:color w:val="000000"/>
          <w:spacing w:val="-2"/>
          <w:kern w:val="0"/>
          <w:sz w:val="24"/>
        </w:rPr>
        <w:t xml:space="preserve"> 信用管理</w:t>
      </w:r>
    </w:p>
    <w:p>
      <w:pPr>
        <w:spacing w:line="440" w:lineRule="exact"/>
        <w:jc w:val="center"/>
        <w:rPr>
          <w:rFonts w:hint="eastAsia" w:eastAsia="方正仿宋_GBK"/>
          <w:color w:val="000000"/>
          <w:spacing w:val="-2"/>
          <w:kern w:val="0"/>
          <w:sz w:val="24"/>
        </w:rPr>
      </w:pP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第十五条</w:t>
      </w:r>
      <w:r>
        <w:rPr>
          <w:rFonts w:eastAsia="方正仿宋_GBK"/>
          <w:color w:val="000000"/>
          <w:spacing w:val="-2"/>
          <w:kern w:val="0"/>
          <w:sz w:val="24"/>
        </w:rPr>
        <w:t xml:space="preserve">  </w:t>
      </w:r>
      <w:r>
        <w:rPr>
          <w:rFonts w:hint="eastAsia" w:eastAsia="方正仿宋_GBK"/>
          <w:color w:val="000000"/>
          <w:spacing w:val="-2"/>
          <w:kern w:val="0"/>
          <w:sz w:val="24"/>
        </w:rPr>
        <w:t>省质监总站建立全省建设工程质量检测机构与人员信用档案及信用管理信息平台，加强对检测机构与人员信用行为的监督管理。</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第十六条</w:t>
      </w:r>
      <w:r>
        <w:rPr>
          <w:rFonts w:eastAsia="方正仿宋_GBK"/>
          <w:color w:val="000000"/>
          <w:spacing w:val="-2"/>
          <w:kern w:val="0"/>
          <w:sz w:val="24"/>
        </w:rPr>
        <w:t xml:space="preserve">  </w:t>
      </w:r>
      <w:r>
        <w:rPr>
          <w:rFonts w:hint="eastAsia" w:eastAsia="方正仿宋_GBK"/>
          <w:color w:val="000000"/>
          <w:spacing w:val="-2"/>
          <w:kern w:val="0"/>
          <w:sz w:val="24"/>
        </w:rPr>
        <w:t>市、县建设行政主管部门负责对辖区内检测机构与人员的信用行为进行检查、记录，并将记录信息及时报送省质监总站。</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第十七条</w:t>
      </w:r>
      <w:r>
        <w:rPr>
          <w:rFonts w:eastAsia="方正仿宋_GBK"/>
          <w:color w:val="000000"/>
          <w:spacing w:val="-2"/>
          <w:kern w:val="0"/>
          <w:sz w:val="24"/>
        </w:rPr>
        <w:t xml:space="preserve">  </w:t>
      </w:r>
      <w:r>
        <w:rPr>
          <w:rFonts w:hint="eastAsia" w:eastAsia="方正仿宋_GBK"/>
          <w:color w:val="000000"/>
          <w:spacing w:val="-2"/>
          <w:kern w:val="0"/>
          <w:sz w:val="24"/>
        </w:rPr>
        <w:t>省质监总站每年对检测机构信用和能力进行综合评定和考核。根据检测机构和人员信用档案记录，以及检测能力、业绩情况、职业道德准则遵守情况等，将全省检测机构分为</w:t>
      </w:r>
      <w:r>
        <w:rPr>
          <w:rFonts w:eastAsia="方正仿宋_GBK"/>
          <w:color w:val="000000"/>
          <w:spacing w:val="-2"/>
          <w:kern w:val="0"/>
          <w:sz w:val="24"/>
        </w:rPr>
        <w:t>A</w:t>
      </w:r>
      <w:r>
        <w:rPr>
          <w:rFonts w:hint="eastAsia" w:eastAsia="方正仿宋_GBK"/>
          <w:color w:val="000000"/>
          <w:spacing w:val="-2"/>
          <w:kern w:val="0"/>
          <w:sz w:val="24"/>
        </w:rPr>
        <w:t>、</w:t>
      </w:r>
      <w:r>
        <w:rPr>
          <w:rFonts w:eastAsia="方正仿宋_GBK"/>
          <w:color w:val="000000"/>
          <w:spacing w:val="-2"/>
          <w:kern w:val="0"/>
          <w:sz w:val="24"/>
        </w:rPr>
        <w:t>B</w:t>
      </w:r>
      <w:r>
        <w:rPr>
          <w:rFonts w:hint="eastAsia" w:eastAsia="方正仿宋_GBK"/>
          <w:color w:val="000000"/>
          <w:spacing w:val="-2"/>
          <w:kern w:val="0"/>
          <w:sz w:val="24"/>
        </w:rPr>
        <w:t>、</w:t>
      </w:r>
      <w:r>
        <w:rPr>
          <w:rFonts w:eastAsia="方正仿宋_GBK"/>
          <w:color w:val="000000"/>
          <w:spacing w:val="-2"/>
          <w:kern w:val="0"/>
          <w:sz w:val="24"/>
        </w:rPr>
        <w:t>C</w:t>
      </w:r>
      <w:r>
        <w:rPr>
          <w:rFonts w:hint="eastAsia" w:eastAsia="方正仿宋_GBK"/>
          <w:color w:val="000000"/>
          <w:spacing w:val="-2"/>
          <w:kern w:val="0"/>
          <w:sz w:val="24"/>
        </w:rPr>
        <w:t>三个等级，具体评定等级要求由省质监总站另行通知。</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省质监总站每年公布</w:t>
      </w:r>
      <w:r>
        <w:rPr>
          <w:rFonts w:eastAsia="方正仿宋_GBK"/>
          <w:color w:val="000000"/>
          <w:spacing w:val="-2"/>
          <w:kern w:val="0"/>
          <w:sz w:val="24"/>
        </w:rPr>
        <w:t>“</w:t>
      </w:r>
      <w:r>
        <w:rPr>
          <w:rFonts w:hint="eastAsia" w:eastAsia="方正仿宋_GBK"/>
          <w:color w:val="000000"/>
          <w:spacing w:val="-2"/>
          <w:kern w:val="0"/>
          <w:sz w:val="24"/>
        </w:rPr>
        <w:t>江苏省建设工程质量检测机构等级评级名单</w:t>
      </w:r>
      <w:r>
        <w:rPr>
          <w:rFonts w:eastAsia="方正仿宋_GBK"/>
          <w:color w:val="000000"/>
          <w:spacing w:val="-2"/>
          <w:kern w:val="0"/>
          <w:sz w:val="24"/>
        </w:rPr>
        <w:t>”</w:t>
      </w:r>
      <w:r>
        <w:rPr>
          <w:rFonts w:hint="eastAsia" w:eastAsia="方正仿宋_GBK"/>
          <w:color w:val="000000"/>
          <w:spacing w:val="-2"/>
          <w:kern w:val="0"/>
          <w:sz w:val="24"/>
        </w:rPr>
        <w:t>，并将各检测机构的等级录入信用档案。</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第十八条</w:t>
      </w:r>
      <w:r>
        <w:rPr>
          <w:rFonts w:eastAsia="方正仿宋_GBK"/>
          <w:color w:val="000000"/>
          <w:spacing w:val="-2"/>
          <w:kern w:val="0"/>
          <w:sz w:val="24"/>
        </w:rPr>
        <w:t xml:space="preserve">  </w:t>
      </w:r>
      <w:r>
        <w:rPr>
          <w:rFonts w:hint="eastAsia" w:eastAsia="方正仿宋_GBK"/>
          <w:color w:val="000000"/>
          <w:spacing w:val="-2"/>
          <w:kern w:val="0"/>
          <w:sz w:val="24"/>
        </w:rPr>
        <w:t>建立《承担政府投资和重大、重要项目工程质量检测机构推荐目录》。在</w:t>
      </w:r>
      <w:r>
        <w:rPr>
          <w:rFonts w:eastAsia="方正仿宋_GBK"/>
          <w:color w:val="000000"/>
          <w:spacing w:val="-2"/>
          <w:kern w:val="0"/>
          <w:sz w:val="24"/>
        </w:rPr>
        <w:t>A</w:t>
      </w:r>
      <w:r>
        <w:rPr>
          <w:rFonts w:hint="eastAsia" w:eastAsia="方正仿宋_GBK"/>
          <w:color w:val="000000"/>
          <w:spacing w:val="-2"/>
          <w:kern w:val="0"/>
          <w:sz w:val="24"/>
        </w:rPr>
        <w:t>级检测机构中选择一批能力强、信誉好的纳入目录，推荐承担政府投资和重大、重要项目工程的检测工作。每半年对目录进行调整，实行动态管理。</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对未列入目录的检测机构承接政府投资和重大、重要项目工程的，要加大工程监督检查和监督抽测力度，确保政府投资和重大、重要项目工程的质量。</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第十九条</w:t>
      </w:r>
      <w:r>
        <w:rPr>
          <w:rFonts w:eastAsia="方正仿宋_GBK"/>
          <w:color w:val="000000"/>
          <w:spacing w:val="-2"/>
          <w:kern w:val="0"/>
          <w:sz w:val="24"/>
        </w:rPr>
        <w:t xml:space="preserve">  </w:t>
      </w:r>
      <w:r>
        <w:rPr>
          <w:rFonts w:hint="eastAsia" w:eastAsia="方正仿宋_GBK"/>
          <w:color w:val="000000"/>
          <w:spacing w:val="-2"/>
          <w:kern w:val="0"/>
          <w:sz w:val="24"/>
        </w:rPr>
        <w:t>根据检测机构的年度信用等级，实行差别化监督管理。具体为：</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（一）对</w:t>
      </w:r>
      <w:r>
        <w:rPr>
          <w:rFonts w:eastAsia="方正仿宋_GBK"/>
          <w:color w:val="000000"/>
          <w:spacing w:val="-2"/>
          <w:kern w:val="0"/>
          <w:sz w:val="24"/>
        </w:rPr>
        <w:t>A</w:t>
      </w:r>
      <w:r>
        <w:rPr>
          <w:rFonts w:hint="eastAsia" w:eastAsia="方正仿宋_GBK"/>
          <w:color w:val="000000"/>
          <w:spacing w:val="-2"/>
          <w:kern w:val="0"/>
          <w:sz w:val="24"/>
        </w:rPr>
        <w:t>级检测机构：实行信用激励机制，实施简化监督和较低频率的日常检查及抽检，减少省级飞行检查次数或不进行飞行检查。</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（二）对</w:t>
      </w:r>
      <w:r>
        <w:rPr>
          <w:rFonts w:eastAsia="方正仿宋_GBK"/>
          <w:color w:val="000000"/>
          <w:spacing w:val="-2"/>
          <w:kern w:val="0"/>
          <w:sz w:val="24"/>
        </w:rPr>
        <w:t>B</w:t>
      </w:r>
      <w:r>
        <w:rPr>
          <w:rFonts w:hint="eastAsia" w:eastAsia="方正仿宋_GBK"/>
          <w:color w:val="000000"/>
          <w:spacing w:val="-2"/>
          <w:kern w:val="0"/>
          <w:sz w:val="24"/>
        </w:rPr>
        <w:t>级检测机构：实施常规监督和适度频率的日常检查及抽检。</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（三）对</w:t>
      </w:r>
      <w:r>
        <w:rPr>
          <w:rFonts w:eastAsia="方正仿宋_GBK"/>
          <w:color w:val="000000"/>
          <w:spacing w:val="-2"/>
          <w:kern w:val="0"/>
          <w:sz w:val="24"/>
        </w:rPr>
        <w:t>C</w:t>
      </w:r>
      <w:r>
        <w:rPr>
          <w:rFonts w:hint="eastAsia" w:eastAsia="方正仿宋_GBK"/>
          <w:color w:val="000000"/>
          <w:spacing w:val="-2"/>
          <w:kern w:val="0"/>
          <w:sz w:val="24"/>
        </w:rPr>
        <w:t>级检测机构：实行信用预警机制和信用惩戒机制，实施较高频率或抽检率的日常检查，增加省级飞行检查次数。</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对连续三次被评定为</w:t>
      </w:r>
      <w:r>
        <w:rPr>
          <w:rFonts w:eastAsia="方正仿宋_GBK"/>
          <w:color w:val="000000"/>
          <w:spacing w:val="-2"/>
          <w:kern w:val="0"/>
          <w:sz w:val="24"/>
        </w:rPr>
        <w:t>C</w:t>
      </w:r>
      <w:r>
        <w:rPr>
          <w:rFonts w:hint="eastAsia" w:eastAsia="方正仿宋_GBK"/>
          <w:color w:val="000000"/>
          <w:spacing w:val="-2"/>
          <w:kern w:val="0"/>
          <w:sz w:val="24"/>
        </w:rPr>
        <w:t>级的工程质量检测机构将被列入</w:t>
      </w:r>
      <w:r>
        <w:rPr>
          <w:rFonts w:eastAsia="方正仿宋_GBK"/>
          <w:color w:val="000000"/>
          <w:spacing w:val="-2"/>
          <w:kern w:val="0"/>
          <w:sz w:val="24"/>
        </w:rPr>
        <w:t>“</w:t>
      </w:r>
      <w:r>
        <w:rPr>
          <w:rFonts w:hint="eastAsia" w:eastAsia="方正仿宋_GBK"/>
          <w:color w:val="000000"/>
          <w:spacing w:val="-2"/>
          <w:kern w:val="0"/>
          <w:sz w:val="24"/>
        </w:rPr>
        <w:t>黑名单</w:t>
      </w:r>
      <w:r>
        <w:rPr>
          <w:rFonts w:eastAsia="方正仿宋_GBK"/>
          <w:color w:val="000000"/>
          <w:spacing w:val="-2"/>
          <w:kern w:val="0"/>
          <w:sz w:val="24"/>
        </w:rPr>
        <w:t>”</w:t>
      </w:r>
      <w:r>
        <w:rPr>
          <w:rFonts w:hint="eastAsia" w:eastAsia="方正仿宋_GBK"/>
          <w:color w:val="000000"/>
          <w:spacing w:val="-2"/>
          <w:kern w:val="0"/>
          <w:sz w:val="24"/>
        </w:rPr>
        <w:t>，重点监管。</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第二十条</w:t>
      </w:r>
      <w:r>
        <w:rPr>
          <w:rFonts w:eastAsia="方正仿宋_GBK"/>
          <w:color w:val="000000"/>
          <w:spacing w:val="-2"/>
          <w:kern w:val="0"/>
          <w:sz w:val="24"/>
        </w:rPr>
        <w:t xml:space="preserve">  </w:t>
      </w:r>
      <w:r>
        <w:rPr>
          <w:rFonts w:hint="eastAsia" w:eastAsia="方正仿宋_GBK"/>
          <w:color w:val="000000"/>
          <w:spacing w:val="-2"/>
          <w:kern w:val="0"/>
          <w:sz w:val="24"/>
        </w:rPr>
        <w:t>对新设立的检测机构，在持证一年内，不进行信用等级评定，按照</w:t>
      </w:r>
      <w:r>
        <w:rPr>
          <w:rFonts w:eastAsia="方正仿宋_GBK"/>
          <w:color w:val="000000"/>
          <w:spacing w:val="-2"/>
          <w:kern w:val="0"/>
          <w:sz w:val="24"/>
        </w:rPr>
        <w:t>C</w:t>
      </w:r>
      <w:r>
        <w:rPr>
          <w:rFonts w:hint="eastAsia" w:eastAsia="方正仿宋_GBK"/>
          <w:color w:val="000000"/>
          <w:spacing w:val="-2"/>
          <w:kern w:val="0"/>
          <w:sz w:val="24"/>
        </w:rPr>
        <w:t>级检测机构的标准进行监管。</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第二十一条</w:t>
      </w:r>
      <w:r>
        <w:rPr>
          <w:rFonts w:eastAsia="方正仿宋_GBK"/>
          <w:color w:val="000000"/>
          <w:spacing w:val="-2"/>
          <w:kern w:val="0"/>
          <w:sz w:val="24"/>
        </w:rPr>
        <w:t xml:space="preserve">  </w:t>
      </w:r>
      <w:r>
        <w:rPr>
          <w:rFonts w:hint="eastAsia" w:eastAsia="方正仿宋_GBK"/>
          <w:color w:val="000000"/>
          <w:spacing w:val="-2"/>
          <w:kern w:val="0"/>
          <w:sz w:val="24"/>
        </w:rPr>
        <w:t>信用档案实行公布制度。建设工程质量检测机构和人员信用档案中基本情况、变更情况、信用等级的记录期至终止从业时止，良好行为和不良行为的记录期为</w:t>
      </w:r>
      <w:r>
        <w:rPr>
          <w:rFonts w:eastAsia="方正仿宋_GBK"/>
          <w:color w:val="000000"/>
          <w:spacing w:val="-2"/>
          <w:kern w:val="0"/>
          <w:sz w:val="24"/>
        </w:rPr>
        <w:t>5</w:t>
      </w:r>
      <w:r>
        <w:rPr>
          <w:rFonts w:hint="eastAsia" w:eastAsia="方正仿宋_GBK"/>
          <w:color w:val="000000"/>
          <w:spacing w:val="-2"/>
          <w:kern w:val="0"/>
          <w:sz w:val="24"/>
        </w:rPr>
        <w:t>年。</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信用档案在江苏省建设工程质量监督网上向社会公开后，任何单位或个人均可在网站上查询检测机构和检测人员的信用档案。</w:t>
      </w:r>
    </w:p>
    <w:p>
      <w:pPr>
        <w:spacing w:line="44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基本情况、变更情况、信用等级和良好行为记录在记录期内对外公布。不良行为记录公布时间原则上为一年，可视被公布检测机构的整改情况，对公布期限进行调整，但最短不得少于六个月。</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第二十二条</w:t>
      </w:r>
      <w:r>
        <w:rPr>
          <w:rFonts w:eastAsia="方正仿宋_GBK"/>
          <w:color w:val="000000"/>
          <w:spacing w:val="-2"/>
          <w:kern w:val="0"/>
          <w:sz w:val="24"/>
        </w:rPr>
        <w:t xml:space="preserve">  </w:t>
      </w:r>
      <w:r>
        <w:rPr>
          <w:rFonts w:hint="eastAsia" w:eastAsia="方正仿宋_GBK"/>
          <w:color w:val="000000"/>
          <w:spacing w:val="-2"/>
          <w:kern w:val="0"/>
          <w:sz w:val="24"/>
        </w:rPr>
        <w:t>有不良行为记录的检测机构与人员注册所在地在外省的，由省质监总站将不良行为记录通知其注册所在地的建设行政主管部门。</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第二十三条</w:t>
      </w:r>
      <w:r>
        <w:rPr>
          <w:rFonts w:eastAsia="方正仿宋_GBK"/>
          <w:color w:val="000000"/>
          <w:spacing w:val="-2"/>
          <w:kern w:val="0"/>
          <w:sz w:val="24"/>
        </w:rPr>
        <w:t xml:space="preserve">  </w:t>
      </w:r>
      <w:r>
        <w:rPr>
          <w:rFonts w:hint="eastAsia" w:eastAsia="方正仿宋_GBK"/>
          <w:color w:val="000000"/>
          <w:spacing w:val="-2"/>
          <w:kern w:val="0"/>
          <w:sz w:val="24"/>
        </w:rPr>
        <w:t>检测机构和检测人员认为其被公布的信用信息与事实不符的，可以向报送该信息的当地建设行政主管部门提出更正申请，并提交相关证明资料。报送该信用信息的建设行政主管部门应及时组织核实，并提出更正或不予更正的意见，报省质监总站，省质监总站审定后作出更正或不予更正的答复。</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第二十四条</w:t>
      </w:r>
      <w:r>
        <w:rPr>
          <w:rFonts w:eastAsia="方正仿宋_GBK"/>
          <w:color w:val="000000"/>
          <w:spacing w:val="-2"/>
          <w:kern w:val="0"/>
          <w:sz w:val="24"/>
        </w:rPr>
        <w:t xml:space="preserve">  </w:t>
      </w:r>
      <w:r>
        <w:rPr>
          <w:rFonts w:hint="eastAsia" w:eastAsia="方正仿宋_GBK"/>
          <w:color w:val="000000"/>
          <w:spacing w:val="-2"/>
          <w:kern w:val="0"/>
          <w:sz w:val="24"/>
        </w:rPr>
        <w:t>在信用管理工作中应当建立严格的责任奖罚机制，对在信用行为信息的收集、认定、记录、公布中，表现突出的相关人员和单位，以及敢于披露不良行为的有关检测人员，应当给予奖励；对玩忽职守、弄虚作假、隐瞒不报或徇私舞弊的责任单位和责任人，依法给予行政处分或追究相关责任。</w:t>
      </w:r>
    </w:p>
    <w:p>
      <w:pPr>
        <w:spacing w:line="440" w:lineRule="exact"/>
        <w:rPr>
          <w:rFonts w:eastAsia="方正仿宋_GBK"/>
          <w:color w:val="000000"/>
          <w:spacing w:val="-2"/>
          <w:kern w:val="0"/>
          <w:sz w:val="24"/>
        </w:rPr>
      </w:pPr>
    </w:p>
    <w:p>
      <w:pPr>
        <w:spacing w:line="440" w:lineRule="exact"/>
        <w:jc w:val="center"/>
        <w:rPr>
          <w:rFonts w:ascii="Times New Roman" w:eastAsia="方正黑体_GBK"/>
          <w:color w:val="000000"/>
          <w:spacing w:val="-2"/>
          <w:kern w:val="0"/>
          <w:sz w:val="24"/>
        </w:rPr>
      </w:pPr>
      <w:r>
        <w:rPr>
          <w:rFonts w:hint="eastAsia" w:ascii="Times New Roman" w:eastAsia="方正黑体_GBK"/>
          <w:color w:val="000000"/>
          <w:spacing w:val="-2"/>
          <w:kern w:val="0"/>
          <w:sz w:val="24"/>
        </w:rPr>
        <w:t>第五章　附　　则</w:t>
      </w:r>
    </w:p>
    <w:p>
      <w:pPr>
        <w:spacing w:line="440" w:lineRule="exact"/>
        <w:rPr>
          <w:rFonts w:hint="eastAsia" w:eastAsia="方正仿宋_GBK"/>
          <w:color w:val="000000"/>
          <w:spacing w:val="-2"/>
          <w:kern w:val="0"/>
          <w:sz w:val="24"/>
        </w:rPr>
      </w:pP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第二十五条</w:t>
      </w:r>
      <w:r>
        <w:rPr>
          <w:rFonts w:eastAsia="方正仿宋_GBK"/>
          <w:color w:val="000000"/>
          <w:spacing w:val="-2"/>
          <w:kern w:val="0"/>
          <w:sz w:val="24"/>
        </w:rPr>
        <w:t xml:space="preserve">   </w:t>
      </w:r>
      <w:r>
        <w:rPr>
          <w:rFonts w:hint="eastAsia" w:eastAsia="方正仿宋_GBK"/>
          <w:color w:val="000000"/>
          <w:spacing w:val="-2"/>
          <w:kern w:val="0"/>
          <w:sz w:val="24"/>
        </w:rPr>
        <w:t>本规定由省建设厅负责解释。</w:t>
      </w:r>
    </w:p>
    <w:p>
      <w:pPr>
        <w:spacing w:line="440" w:lineRule="exact"/>
        <w:ind w:firstLine="464" w:firstLineChars="200"/>
        <w:rPr>
          <w:rFonts w:eastAsia="方正仿宋_GBK"/>
          <w:color w:val="000000"/>
          <w:spacing w:val="-2"/>
          <w:kern w:val="0"/>
          <w:sz w:val="24"/>
        </w:rPr>
      </w:pPr>
      <w:r>
        <w:rPr>
          <w:rFonts w:hint="eastAsia" w:ascii="Times New Roman" w:eastAsia="方正黑体_GBK"/>
          <w:color w:val="000000"/>
          <w:spacing w:val="-2"/>
          <w:kern w:val="0"/>
          <w:sz w:val="24"/>
        </w:rPr>
        <w:t>第二十六条</w:t>
      </w:r>
      <w:r>
        <w:rPr>
          <w:rFonts w:eastAsia="方正仿宋_GBK"/>
          <w:color w:val="000000"/>
          <w:spacing w:val="-2"/>
          <w:kern w:val="0"/>
          <w:sz w:val="24"/>
        </w:rPr>
        <w:t xml:space="preserve">   </w:t>
      </w:r>
      <w:r>
        <w:rPr>
          <w:rFonts w:hint="eastAsia" w:eastAsia="方正仿宋_GBK"/>
          <w:color w:val="000000"/>
          <w:spacing w:val="-2"/>
          <w:kern w:val="0"/>
          <w:sz w:val="24"/>
        </w:rPr>
        <w:t>本规定自</w:t>
      </w:r>
      <w:r>
        <w:rPr>
          <w:rFonts w:eastAsia="方正仿宋_GBK"/>
          <w:color w:val="000000"/>
          <w:spacing w:val="-2"/>
          <w:kern w:val="0"/>
          <w:sz w:val="24"/>
        </w:rPr>
        <w:t>2007</w:t>
      </w:r>
      <w:r>
        <w:rPr>
          <w:rFonts w:hint="eastAsia" w:eastAsia="方正仿宋_GBK"/>
          <w:color w:val="000000"/>
          <w:spacing w:val="-2"/>
          <w:kern w:val="0"/>
          <w:sz w:val="24"/>
        </w:rPr>
        <w:t>年</w:t>
      </w:r>
      <w:r>
        <w:rPr>
          <w:rFonts w:eastAsia="方正仿宋_GBK"/>
          <w:color w:val="000000"/>
          <w:spacing w:val="-2"/>
          <w:kern w:val="0"/>
          <w:sz w:val="24"/>
        </w:rPr>
        <w:t>1</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日起施行。</w:t>
      </w:r>
    </w:p>
    <w:p>
      <w:pPr>
        <w:spacing w:line="460" w:lineRule="exact"/>
        <w:rPr>
          <w:rFonts w:eastAsia="方正仿宋_GBK"/>
          <w:color w:val="000000"/>
          <w:spacing w:val="-2"/>
          <w:sz w:val="24"/>
        </w:rPr>
      </w:pPr>
    </w:p>
    <w:p>
      <w:pPr>
        <w:spacing w:line="460" w:lineRule="exact"/>
        <w:rPr>
          <w:rFonts w:ascii="Times New Roman" w:eastAsia="方正黑体_GBK"/>
          <w:color w:val="000000"/>
          <w:spacing w:val="-2"/>
          <w:kern w:val="0"/>
          <w:sz w:val="28"/>
          <w:szCs w:val="28"/>
        </w:rPr>
      </w:pPr>
      <w:r>
        <w:rPr>
          <w:rFonts w:eastAsia="方正仿宋_GBK"/>
          <w:color w:val="000000"/>
          <w:spacing w:val="-2"/>
          <w:sz w:val="24"/>
        </w:rPr>
        <w:br w:type="column"/>
      </w:r>
      <w:r>
        <w:rPr>
          <w:rFonts w:hint="eastAsia" w:ascii="Times New Roman" w:eastAsia="方正黑体_GBK"/>
          <w:color w:val="000000"/>
          <w:spacing w:val="-2"/>
          <w:kern w:val="0"/>
          <w:sz w:val="28"/>
          <w:szCs w:val="28"/>
        </w:rPr>
        <w:t>附表一</w:t>
      </w:r>
    </w:p>
    <w:p>
      <w:pPr>
        <w:spacing w:line="460" w:lineRule="exact"/>
        <w:rPr>
          <w:rFonts w:hint="eastAsia" w:eastAsia="方正仿宋_GBK"/>
          <w:color w:val="000000"/>
          <w:spacing w:val="-2"/>
          <w:kern w:val="0"/>
          <w:sz w:val="24"/>
        </w:rPr>
      </w:pPr>
    </w:p>
    <w:p>
      <w:pPr>
        <w:jc w:val="center"/>
        <w:rPr>
          <w:rFonts w:ascii="Times New Roman" w:eastAsia="方正黑体_GBK"/>
          <w:bCs/>
          <w:color w:val="000000"/>
          <w:spacing w:val="-2"/>
          <w:sz w:val="28"/>
          <w:szCs w:val="28"/>
        </w:rPr>
      </w:pPr>
      <w:r>
        <w:rPr>
          <w:rFonts w:hint="eastAsia" w:ascii="Times New Roman" w:eastAsia="方正黑体_GBK"/>
          <w:bCs/>
          <w:color w:val="000000"/>
          <w:spacing w:val="-2"/>
          <w:sz w:val="28"/>
          <w:szCs w:val="28"/>
        </w:rPr>
        <w:t>建设工程质量检测机构基本情况表</w:t>
      </w:r>
    </w:p>
    <w:p>
      <w:pPr>
        <w:jc w:val="center"/>
        <w:rPr>
          <w:rFonts w:hint="eastAsia" w:ascii="Times New Roman" w:eastAsia="方正黑体_GBK"/>
          <w:bCs/>
          <w:color w:val="000000"/>
          <w:spacing w:val="-2"/>
          <w:sz w:val="28"/>
          <w:szCs w:val="28"/>
        </w:rPr>
      </w:pPr>
    </w:p>
    <w:tbl>
      <w:tblPr>
        <w:tblStyle w:val="12"/>
        <w:tblW w:w="0" w:type="auto"/>
        <w:tblInd w:w="148"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858"/>
        <w:gridCol w:w="1850"/>
        <w:gridCol w:w="1080"/>
        <w:gridCol w:w="1065"/>
        <w:gridCol w:w="1263"/>
        <w:gridCol w:w="158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1858" w:type="dxa"/>
            <w:tcBorders>
              <w:top w:val="single" w:color="auto" w:sz="8"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机构名称</w:t>
            </w:r>
          </w:p>
        </w:tc>
        <w:tc>
          <w:tcPr>
            <w:tcW w:w="3995" w:type="dxa"/>
            <w:gridSpan w:val="3"/>
            <w:tcBorders>
              <w:top w:val="single" w:color="auto" w:sz="8"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1263" w:type="dxa"/>
            <w:tcBorders>
              <w:top w:val="single" w:color="auto" w:sz="8"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设立时间</w:t>
            </w:r>
          </w:p>
        </w:tc>
        <w:tc>
          <w:tcPr>
            <w:tcW w:w="1584" w:type="dxa"/>
            <w:tcBorders>
              <w:top w:val="single" w:color="auto" w:sz="8"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机构地址</w:t>
            </w:r>
          </w:p>
        </w:tc>
        <w:tc>
          <w:tcPr>
            <w:tcW w:w="6842" w:type="dxa"/>
            <w:gridSpan w:val="5"/>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联系电话</w:t>
            </w:r>
          </w:p>
        </w:tc>
        <w:tc>
          <w:tcPr>
            <w:tcW w:w="3995"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126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邮政编码</w:t>
            </w:r>
          </w:p>
        </w:tc>
        <w:tc>
          <w:tcPr>
            <w:tcW w:w="1584"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4" w:hRule="exac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传</w:t>
            </w:r>
            <w:r>
              <w:rPr>
                <w:rFonts w:eastAsia="方正仿宋_GBK"/>
                <w:color w:val="000000"/>
                <w:spacing w:val="-2"/>
                <w:szCs w:val="21"/>
              </w:rPr>
              <w:t xml:space="preserve">   </w:t>
            </w:r>
            <w:r>
              <w:rPr>
                <w:rFonts w:hint="eastAsia" w:eastAsia="方正仿宋_GBK"/>
                <w:color w:val="000000"/>
                <w:spacing w:val="-2"/>
                <w:szCs w:val="21"/>
              </w:rPr>
              <w:t>真</w:t>
            </w:r>
          </w:p>
        </w:tc>
        <w:tc>
          <w:tcPr>
            <w:tcW w:w="3995"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126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电子邮箱</w:t>
            </w:r>
          </w:p>
        </w:tc>
        <w:tc>
          <w:tcPr>
            <w:tcW w:w="1584"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工商营业执照</w:t>
            </w:r>
          </w:p>
          <w:p>
            <w:pPr>
              <w:jc w:val="center"/>
              <w:rPr>
                <w:rFonts w:eastAsia="方正仿宋_GBK"/>
                <w:color w:val="000000"/>
                <w:spacing w:val="-2"/>
                <w:szCs w:val="21"/>
              </w:rPr>
            </w:pPr>
            <w:r>
              <w:rPr>
                <w:rFonts w:hint="eastAsia" w:eastAsia="方正仿宋_GBK"/>
                <w:color w:val="000000"/>
                <w:spacing w:val="-2"/>
                <w:szCs w:val="21"/>
              </w:rPr>
              <w:t>注册号</w:t>
            </w:r>
          </w:p>
        </w:tc>
        <w:tc>
          <w:tcPr>
            <w:tcW w:w="3995"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r>
              <w:rPr>
                <w:rFonts w:eastAsia="方正仿宋_GBK"/>
                <w:color w:val="000000"/>
                <w:spacing w:val="-2"/>
                <w:szCs w:val="21"/>
              </w:rPr>
              <w:t>---</w:t>
            </w:r>
          </w:p>
        </w:tc>
        <w:tc>
          <w:tcPr>
            <w:tcW w:w="126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发证机关</w:t>
            </w:r>
          </w:p>
        </w:tc>
        <w:tc>
          <w:tcPr>
            <w:tcW w:w="1584"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r>
              <w:rPr>
                <w:rFonts w:eastAsia="方正仿宋_GBK"/>
                <w:color w:val="000000"/>
                <w:spacing w:val="-2"/>
                <w:szCs w:val="21"/>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注册资金</w:t>
            </w:r>
          </w:p>
        </w:tc>
        <w:tc>
          <w:tcPr>
            <w:tcW w:w="3995"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126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经济性质</w:t>
            </w:r>
          </w:p>
        </w:tc>
        <w:tc>
          <w:tcPr>
            <w:tcW w:w="1584"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计量认证</w:t>
            </w:r>
          </w:p>
          <w:p>
            <w:pPr>
              <w:jc w:val="center"/>
              <w:rPr>
                <w:rFonts w:eastAsia="方正仿宋_GBK"/>
                <w:color w:val="000000"/>
                <w:spacing w:val="-2"/>
                <w:szCs w:val="21"/>
              </w:rPr>
            </w:pPr>
            <w:r>
              <w:rPr>
                <w:rFonts w:hint="eastAsia" w:eastAsia="方正仿宋_GBK"/>
                <w:color w:val="000000"/>
                <w:spacing w:val="-2"/>
                <w:szCs w:val="21"/>
              </w:rPr>
              <w:t>证书号</w:t>
            </w:r>
          </w:p>
        </w:tc>
        <w:tc>
          <w:tcPr>
            <w:tcW w:w="3995" w:type="dxa"/>
            <w:gridSpan w:val="3"/>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szCs w:val="21"/>
              </w:rPr>
            </w:pPr>
          </w:p>
        </w:tc>
        <w:tc>
          <w:tcPr>
            <w:tcW w:w="126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发证机关</w:t>
            </w:r>
          </w:p>
        </w:tc>
        <w:tc>
          <w:tcPr>
            <w:tcW w:w="1584"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法定代表人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ind w:firstLine="404" w:firstLineChars="200"/>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职务</w:t>
            </w:r>
          </w:p>
        </w:tc>
        <w:tc>
          <w:tcPr>
            <w:tcW w:w="106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26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职称</w:t>
            </w:r>
          </w:p>
        </w:tc>
        <w:tc>
          <w:tcPr>
            <w:tcW w:w="1584"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技术负责人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职务</w:t>
            </w:r>
          </w:p>
        </w:tc>
        <w:tc>
          <w:tcPr>
            <w:tcW w:w="106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26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职称</w:t>
            </w:r>
          </w:p>
        </w:tc>
        <w:tc>
          <w:tcPr>
            <w:tcW w:w="1584"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质量负责人</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职务</w:t>
            </w:r>
          </w:p>
        </w:tc>
        <w:tc>
          <w:tcPr>
            <w:tcW w:w="1065"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1263"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职称</w:t>
            </w:r>
          </w:p>
        </w:tc>
        <w:tc>
          <w:tcPr>
            <w:tcW w:w="1584" w:type="dxa"/>
            <w:tcBorders>
              <w:top w:val="single" w:color="auto" w:sz="4" w:space="0"/>
              <w:left w:val="single" w:color="auto" w:sz="4" w:space="0"/>
              <w:bottom w:val="single" w:color="auto" w:sz="4" w:space="0"/>
              <w:right w:val="single" w:color="auto" w:sz="8" w:space="0"/>
            </w:tcBorders>
            <w:noWrap w:val="0"/>
            <w:vAlign w:val="center"/>
          </w:tcPr>
          <w:p>
            <w:pP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在编人员总数</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2145" w:type="dxa"/>
            <w:gridSpan w:val="2"/>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jc w:val="center"/>
              <w:rPr>
                <w:rFonts w:eastAsia="方正仿宋_GBK"/>
                <w:color w:val="000000"/>
                <w:spacing w:val="-2"/>
                <w:szCs w:val="21"/>
              </w:rPr>
            </w:pPr>
            <w:r>
              <w:rPr>
                <w:rFonts w:hint="eastAsia" w:eastAsia="方正仿宋_GBK"/>
                <w:color w:val="000000"/>
                <w:spacing w:val="-2"/>
                <w:szCs w:val="21"/>
              </w:rPr>
              <w:t>专业技术人员数</w:t>
            </w:r>
          </w:p>
        </w:tc>
        <w:tc>
          <w:tcPr>
            <w:tcW w:w="2847"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中级职称人数</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2145"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高级职称人数</w:t>
            </w:r>
          </w:p>
        </w:tc>
        <w:tc>
          <w:tcPr>
            <w:tcW w:w="2847" w:type="dxa"/>
            <w:gridSpan w:val="2"/>
            <w:tcBorders>
              <w:top w:val="single" w:color="auto" w:sz="4" w:space="0"/>
              <w:left w:val="single" w:color="auto" w:sz="4" w:space="0"/>
              <w:bottom w:val="single" w:color="auto" w:sz="4" w:space="0"/>
              <w:right w:val="single" w:color="auto" w:sz="8" w:space="0"/>
            </w:tcBorders>
            <w:noWrap w:val="0"/>
            <w:vAlign w:val="center"/>
          </w:tcPr>
          <w:p>
            <w:pPr>
              <w:ind w:firstLine="1212" w:firstLineChars="600"/>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仪器设备</w:t>
            </w:r>
          </w:p>
          <w:p>
            <w:pPr>
              <w:jc w:val="center"/>
              <w:rPr>
                <w:rFonts w:eastAsia="方正仿宋_GBK"/>
                <w:color w:val="000000"/>
                <w:spacing w:val="-2"/>
                <w:szCs w:val="21"/>
              </w:rPr>
            </w:pPr>
            <w:r>
              <w:rPr>
                <w:rFonts w:hint="eastAsia" w:eastAsia="方正仿宋_GBK"/>
                <w:color w:val="000000"/>
                <w:spacing w:val="-2"/>
                <w:szCs w:val="21"/>
              </w:rPr>
              <w:t>总台（套）数</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p>
        </w:tc>
        <w:tc>
          <w:tcPr>
            <w:tcW w:w="2145"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仪器设备固定</w:t>
            </w:r>
          </w:p>
          <w:p>
            <w:pPr>
              <w:jc w:val="center"/>
              <w:rPr>
                <w:rFonts w:eastAsia="方正仿宋_GBK"/>
                <w:color w:val="000000"/>
                <w:spacing w:val="-2"/>
                <w:szCs w:val="21"/>
              </w:rPr>
            </w:pPr>
            <w:r>
              <w:rPr>
                <w:rFonts w:hint="eastAsia" w:eastAsia="方正仿宋_GBK"/>
                <w:color w:val="000000"/>
                <w:spacing w:val="-2"/>
                <w:szCs w:val="21"/>
              </w:rPr>
              <w:t>资产原值（万元）</w:t>
            </w:r>
          </w:p>
        </w:tc>
        <w:tc>
          <w:tcPr>
            <w:tcW w:w="2847"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80" w:hRule="atLeast"/>
        </w:trPr>
        <w:tc>
          <w:tcPr>
            <w:tcW w:w="1858" w:type="dxa"/>
            <w:tcBorders>
              <w:top w:val="single" w:color="auto" w:sz="4" w:space="0"/>
              <w:left w:val="single" w:color="auto" w:sz="8"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工作面积（</w:t>
            </w:r>
            <w:r>
              <w:rPr>
                <w:rFonts w:eastAsia="方正仿宋_GBK"/>
                <w:color w:val="000000"/>
                <w:spacing w:val="-2"/>
                <w:szCs w:val="21"/>
              </w:rPr>
              <w:t>m</w:t>
            </w:r>
            <w:r>
              <w:rPr>
                <w:rFonts w:eastAsia="方正仿宋_GBK"/>
                <w:color w:val="000000"/>
                <w:spacing w:val="-2"/>
                <w:szCs w:val="21"/>
                <w:vertAlign w:val="superscript"/>
              </w:rPr>
              <w:t>2</w:t>
            </w:r>
            <w:r>
              <w:rPr>
                <w:rFonts w:hint="eastAsia" w:eastAsia="方正仿宋_GBK"/>
                <w:color w:val="000000"/>
                <w:spacing w:val="-2"/>
                <w:szCs w:val="21"/>
              </w:rPr>
              <w:t>）</w:t>
            </w:r>
          </w:p>
        </w:tc>
        <w:tc>
          <w:tcPr>
            <w:tcW w:w="1850" w:type="dxa"/>
            <w:tcBorders>
              <w:top w:val="single" w:color="auto" w:sz="4" w:space="0"/>
              <w:left w:val="single" w:color="auto" w:sz="4" w:space="0"/>
              <w:bottom w:val="single" w:color="auto" w:sz="4" w:space="0"/>
              <w:right w:val="single" w:color="auto" w:sz="4" w:space="0"/>
            </w:tcBorders>
            <w:noWrap w:val="0"/>
            <w:vAlign w:val="center"/>
          </w:tcPr>
          <w:p>
            <w:pPr>
              <w:ind w:firstLine="404" w:firstLineChars="200"/>
              <w:rPr>
                <w:rFonts w:eastAsia="方正仿宋_GBK"/>
                <w:color w:val="000000"/>
                <w:spacing w:val="-2"/>
                <w:szCs w:val="21"/>
              </w:rPr>
            </w:pPr>
          </w:p>
        </w:tc>
        <w:tc>
          <w:tcPr>
            <w:tcW w:w="2145"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房屋建筑面积（</w:t>
            </w:r>
            <w:r>
              <w:rPr>
                <w:rFonts w:eastAsia="方正仿宋_GBK"/>
                <w:color w:val="000000"/>
                <w:spacing w:val="-2"/>
                <w:szCs w:val="21"/>
              </w:rPr>
              <w:t>m</w:t>
            </w:r>
            <w:r>
              <w:rPr>
                <w:rFonts w:eastAsia="方正仿宋_GBK"/>
                <w:color w:val="000000"/>
                <w:spacing w:val="-2"/>
                <w:szCs w:val="21"/>
                <w:vertAlign w:val="superscript"/>
              </w:rPr>
              <w:t>2</w:t>
            </w:r>
            <w:r>
              <w:rPr>
                <w:rFonts w:hint="eastAsia" w:eastAsia="方正仿宋_GBK"/>
                <w:color w:val="000000"/>
                <w:spacing w:val="-2"/>
                <w:szCs w:val="21"/>
              </w:rPr>
              <w:t>）</w:t>
            </w:r>
          </w:p>
        </w:tc>
        <w:tc>
          <w:tcPr>
            <w:tcW w:w="2847" w:type="dxa"/>
            <w:gridSpan w:val="2"/>
            <w:tcBorders>
              <w:top w:val="single" w:color="auto" w:sz="4" w:space="0"/>
              <w:left w:val="single" w:color="auto" w:sz="4" w:space="0"/>
              <w:bottom w:val="single" w:color="auto" w:sz="4" w:space="0"/>
              <w:right w:val="single" w:color="auto" w:sz="8" w:space="0"/>
            </w:tcBorders>
            <w:noWrap w:val="0"/>
            <w:vAlign w:val="center"/>
          </w:tcPr>
          <w:p>
            <w:pPr>
              <w:jc w:val="center"/>
              <w:rPr>
                <w:rFonts w:eastAsia="方正仿宋_GBK"/>
                <w:color w:val="000000"/>
                <w:spacing w:val="-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47" w:hRule="atLeast"/>
        </w:trPr>
        <w:tc>
          <w:tcPr>
            <w:tcW w:w="1858" w:type="dxa"/>
            <w:tcBorders>
              <w:top w:val="single" w:color="auto" w:sz="4" w:space="0"/>
              <w:left w:val="single" w:color="auto" w:sz="8" w:space="0"/>
              <w:bottom w:val="single" w:color="auto" w:sz="8" w:space="0"/>
              <w:right w:val="single" w:color="auto" w:sz="4" w:space="0"/>
            </w:tcBorders>
            <w:noWrap w:val="0"/>
            <w:vAlign w:val="center"/>
          </w:tcPr>
          <w:p>
            <w:pPr>
              <w:jc w:val="center"/>
              <w:rPr>
                <w:rFonts w:eastAsia="方正仿宋_GBK"/>
                <w:color w:val="000000"/>
                <w:spacing w:val="-2"/>
                <w:szCs w:val="21"/>
              </w:rPr>
            </w:pPr>
            <w:r>
              <w:rPr>
                <w:rFonts w:hint="eastAsia" w:eastAsia="方正仿宋_GBK"/>
                <w:color w:val="000000"/>
                <w:spacing w:val="-2"/>
                <w:szCs w:val="21"/>
              </w:rPr>
              <w:t>资质内容及</w:t>
            </w:r>
          </w:p>
          <w:p>
            <w:pPr>
              <w:jc w:val="center"/>
              <w:rPr>
                <w:rFonts w:eastAsia="方正仿宋_GBK"/>
                <w:color w:val="000000"/>
                <w:spacing w:val="-2"/>
                <w:szCs w:val="21"/>
              </w:rPr>
            </w:pPr>
            <w:r>
              <w:rPr>
                <w:rFonts w:hint="eastAsia" w:eastAsia="方正仿宋_GBK"/>
                <w:color w:val="000000"/>
                <w:spacing w:val="-2"/>
                <w:szCs w:val="21"/>
              </w:rPr>
              <w:t>有效期</w:t>
            </w:r>
          </w:p>
        </w:tc>
        <w:tc>
          <w:tcPr>
            <w:tcW w:w="6842" w:type="dxa"/>
            <w:gridSpan w:val="5"/>
            <w:tcBorders>
              <w:top w:val="single" w:color="auto" w:sz="4" w:space="0"/>
              <w:left w:val="single" w:color="auto" w:sz="4" w:space="0"/>
              <w:bottom w:val="single" w:color="auto" w:sz="8" w:space="0"/>
              <w:right w:val="single" w:color="auto" w:sz="8" w:space="0"/>
            </w:tcBorders>
            <w:noWrap w:val="0"/>
            <w:vAlign w:val="center"/>
          </w:tcPr>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p>
            <w:pPr>
              <w:rPr>
                <w:rFonts w:eastAsia="方正仿宋_GBK"/>
                <w:color w:val="000000"/>
                <w:spacing w:val="-2"/>
                <w:szCs w:val="21"/>
              </w:rPr>
            </w:pPr>
          </w:p>
        </w:tc>
      </w:tr>
    </w:tbl>
    <w:p>
      <w:pPr>
        <w:spacing w:line="460" w:lineRule="exact"/>
        <w:rPr>
          <w:rFonts w:hint="eastAsia" w:ascii="Times New Roman" w:eastAsia="方正黑体_GBK"/>
          <w:color w:val="000000"/>
          <w:spacing w:val="-2"/>
          <w:sz w:val="28"/>
          <w:szCs w:val="28"/>
        </w:rPr>
      </w:pPr>
      <w:r>
        <w:rPr>
          <w:rFonts w:eastAsia="仿宋_GB2312"/>
          <w:color w:val="000000"/>
          <w:spacing w:val="-2"/>
          <w:sz w:val="28"/>
          <w:szCs w:val="28"/>
        </w:rPr>
        <w:br w:type="column"/>
      </w:r>
      <w:r>
        <w:rPr>
          <w:rFonts w:hint="eastAsia" w:ascii="Times New Roman" w:eastAsia="方正黑体_GBK"/>
          <w:color w:val="000000"/>
          <w:spacing w:val="-2"/>
          <w:kern w:val="0"/>
          <w:sz w:val="28"/>
          <w:szCs w:val="28"/>
        </w:rPr>
        <w:t>附表二</w:t>
      </w:r>
      <w:r>
        <w:rPr>
          <w:rFonts w:hint="eastAsia" w:ascii="Times New Roman" w:eastAsia="方正黑体_GBK"/>
          <w:color w:val="000000"/>
          <w:spacing w:val="-2"/>
          <w:sz w:val="28"/>
          <w:szCs w:val="28"/>
        </w:rPr>
        <w:t xml:space="preserve">  </w:t>
      </w:r>
    </w:p>
    <w:p>
      <w:pPr>
        <w:jc w:val="center"/>
        <w:rPr>
          <w:rFonts w:hint="eastAsia" w:ascii="Times New Roman" w:eastAsia="方正黑体_GBK"/>
          <w:bCs/>
          <w:color w:val="000000"/>
          <w:spacing w:val="-2"/>
          <w:sz w:val="28"/>
          <w:szCs w:val="28"/>
        </w:rPr>
      </w:pPr>
      <w:r>
        <w:rPr>
          <w:rFonts w:hint="eastAsia" w:ascii="Times New Roman" w:eastAsia="方正黑体_GBK"/>
          <w:bCs/>
          <w:color w:val="000000"/>
          <w:spacing w:val="-2"/>
          <w:sz w:val="28"/>
          <w:szCs w:val="28"/>
        </w:rPr>
        <w:t>建设工程质量检测人员基本信息表</w:t>
      </w:r>
    </w:p>
    <w:tbl>
      <w:tblPr>
        <w:tblStyle w:val="12"/>
        <w:tblW w:w="0" w:type="auto"/>
        <w:tblInd w:w="14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2340"/>
        <w:gridCol w:w="1080"/>
        <w:gridCol w:w="1080"/>
        <w:gridCol w:w="360"/>
        <w:gridCol w:w="1080"/>
        <w:gridCol w:w="540"/>
        <w:gridCol w:w="10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18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姓名</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性别</w:t>
            </w: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出生年月</w:t>
            </w:r>
          </w:p>
        </w:tc>
        <w:tc>
          <w:tcPr>
            <w:tcW w:w="161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18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毕业院校</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专业</w:t>
            </w:r>
          </w:p>
        </w:tc>
        <w:tc>
          <w:tcPr>
            <w:tcW w:w="1440"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学历</w:t>
            </w:r>
          </w:p>
        </w:tc>
        <w:tc>
          <w:tcPr>
            <w:tcW w:w="161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18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职称</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上岗证号</w:t>
            </w: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980"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从事检测工作年限</w:t>
            </w:r>
          </w:p>
        </w:tc>
        <w:tc>
          <w:tcPr>
            <w:tcW w:w="1072"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18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工作单位</w:t>
            </w:r>
          </w:p>
        </w:tc>
        <w:tc>
          <w:tcPr>
            <w:tcW w:w="7552" w:type="dxa"/>
            <w:gridSpan w:val="7"/>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18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工作岗位</w:t>
            </w:r>
          </w:p>
        </w:tc>
        <w:tc>
          <w:tcPr>
            <w:tcW w:w="234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职务</w:t>
            </w:r>
          </w:p>
        </w:tc>
        <w:tc>
          <w:tcPr>
            <w:tcW w:w="4132" w:type="dxa"/>
            <w:gridSpan w:val="5"/>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3" w:hRule="atLeast"/>
        </w:trPr>
        <w:tc>
          <w:tcPr>
            <w:tcW w:w="1188" w:type="dxa"/>
            <w:tcBorders>
              <w:top w:val="single" w:color="auto" w:sz="4" w:space="0"/>
              <w:left w:val="single" w:color="auto" w:sz="4" w:space="0"/>
              <w:bottom w:val="single" w:color="auto" w:sz="4" w:space="0"/>
              <w:right w:val="single" w:color="auto" w:sz="4" w:space="0"/>
            </w:tcBorders>
            <w:noWrap w:val="0"/>
            <w:vAlign w:val="center"/>
          </w:tcPr>
          <w:p>
            <w:pPr>
              <w:rPr>
                <w:rFonts w:eastAsia="方正仿宋_GBK"/>
                <w:color w:val="000000"/>
                <w:spacing w:val="-2"/>
              </w:rPr>
            </w:pPr>
            <w:r>
              <w:rPr>
                <w:rFonts w:hint="eastAsia" w:eastAsia="方正仿宋_GBK"/>
                <w:color w:val="000000"/>
                <w:spacing w:val="-2"/>
              </w:rPr>
              <w:t>持证检测</w:t>
            </w:r>
          </w:p>
          <w:p>
            <w:pPr>
              <w:rPr>
                <w:rFonts w:eastAsia="方正仿宋_GBK"/>
                <w:color w:val="000000"/>
                <w:spacing w:val="-2"/>
              </w:rPr>
            </w:pPr>
            <w:r>
              <w:rPr>
                <w:rFonts w:hint="eastAsia" w:eastAsia="方正仿宋_GBK"/>
                <w:color w:val="000000"/>
                <w:spacing w:val="-2"/>
              </w:rPr>
              <w:t>项目</w:t>
            </w:r>
            <w:r>
              <w:rPr>
                <w:rFonts w:eastAsia="方正仿宋_GBK"/>
                <w:color w:val="000000"/>
                <w:spacing w:val="-2"/>
              </w:rPr>
              <w:t>(</w:t>
            </w:r>
            <w:r>
              <w:rPr>
                <w:rFonts w:hint="eastAsia" w:eastAsia="方正仿宋_GBK"/>
                <w:color w:val="000000"/>
                <w:spacing w:val="-2"/>
              </w:rPr>
              <w:t>项目</w:t>
            </w:r>
          </w:p>
          <w:p>
            <w:pPr>
              <w:rPr>
                <w:rFonts w:eastAsia="方正仿宋_GBK"/>
                <w:color w:val="000000"/>
                <w:spacing w:val="-2"/>
              </w:rPr>
            </w:pPr>
            <w:r>
              <w:rPr>
                <w:rFonts w:hint="eastAsia" w:eastAsia="方正仿宋_GBK"/>
                <w:color w:val="000000"/>
                <w:spacing w:val="-2"/>
              </w:rPr>
              <w:t>代号</w:t>
            </w:r>
            <w:r>
              <w:rPr>
                <w:rFonts w:eastAsia="方正仿宋_GBK"/>
                <w:color w:val="000000"/>
                <w:spacing w:val="-2"/>
              </w:rPr>
              <w:t>)</w:t>
            </w:r>
            <w:r>
              <w:rPr>
                <w:rFonts w:hint="eastAsia" w:eastAsia="方正仿宋_GBK"/>
                <w:color w:val="000000"/>
                <w:spacing w:val="-2"/>
              </w:rPr>
              <w:t>及获得时间</w:t>
            </w:r>
          </w:p>
        </w:tc>
        <w:tc>
          <w:tcPr>
            <w:tcW w:w="7552" w:type="dxa"/>
            <w:gridSpan w:val="7"/>
            <w:tcBorders>
              <w:top w:val="single" w:color="auto" w:sz="4" w:space="0"/>
              <w:left w:val="single" w:color="auto" w:sz="4" w:space="0"/>
              <w:bottom w:val="single" w:color="auto" w:sz="4" w:space="0"/>
              <w:right w:val="single" w:color="auto" w:sz="4" w:space="0"/>
            </w:tcBorders>
            <w:noWrap w:val="0"/>
            <w:vAlign w:val="top"/>
          </w:tcPr>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0" w:hRule="atLeast"/>
        </w:trPr>
        <w:tc>
          <w:tcPr>
            <w:tcW w:w="1188" w:type="dxa"/>
            <w:tcBorders>
              <w:top w:val="single" w:color="auto" w:sz="4" w:space="0"/>
              <w:left w:val="single" w:color="auto" w:sz="4" w:space="0"/>
              <w:bottom w:val="single" w:color="auto" w:sz="4" w:space="0"/>
              <w:right w:val="single" w:color="auto" w:sz="4" w:space="0"/>
            </w:tcBorders>
            <w:noWrap w:val="0"/>
            <w:vAlign w:val="center"/>
          </w:tcPr>
          <w:p>
            <w:pPr>
              <w:jc w:val="center"/>
              <w:rPr>
                <w:rFonts w:eastAsia="方正仿宋_GBK"/>
                <w:color w:val="000000"/>
                <w:spacing w:val="-2"/>
              </w:rPr>
            </w:pPr>
            <w:r>
              <w:rPr>
                <w:rFonts w:hint="eastAsia" w:eastAsia="方正仿宋_GBK"/>
                <w:color w:val="000000"/>
                <w:spacing w:val="-2"/>
              </w:rPr>
              <w:t>工</w:t>
            </w:r>
          </w:p>
          <w:p>
            <w:pPr>
              <w:jc w:val="center"/>
              <w:rPr>
                <w:rFonts w:eastAsia="方正仿宋_GBK"/>
                <w:color w:val="000000"/>
                <w:spacing w:val="-2"/>
              </w:rPr>
            </w:pPr>
            <w:r>
              <w:rPr>
                <w:rFonts w:hint="eastAsia" w:eastAsia="方正仿宋_GBK"/>
                <w:color w:val="000000"/>
                <w:spacing w:val="-2"/>
              </w:rPr>
              <w:t>作</w:t>
            </w:r>
          </w:p>
          <w:p>
            <w:pPr>
              <w:jc w:val="center"/>
              <w:rPr>
                <w:rFonts w:eastAsia="方正仿宋_GBK"/>
                <w:color w:val="000000"/>
                <w:spacing w:val="-2"/>
              </w:rPr>
            </w:pPr>
            <w:r>
              <w:rPr>
                <w:rFonts w:hint="eastAsia" w:eastAsia="方正仿宋_GBK"/>
                <w:color w:val="000000"/>
                <w:spacing w:val="-2"/>
              </w:rPr>
              <w:t>简</w:t>
            </w:r>
          </w:p>
          <w:p>
            <w:pPr>
              <w:jc w:val="center"/>
              <w:rPr>
                <w:rFonts w:eastAsia="方正仿宋_GBK"/>
                <w:color w:val="000000"/>
                <w:spacing w:val="-2"/>
              </w:rPr>
            </w:pPr>
            <w:r>
              <w:rPr>
                <w:rFonts w:hint="eastAsia" w:eastAsia="方正仿宋_GBK"/>
                <w:color w:val="000000"/>
                <w:spacing w:val="-2"/>
              </w:rPr>
              <w:t>历</w:t>
            </w:r>
          </w:p>
        </w:tc>
        <w:tc>
          <w:tcPr>
            <w:tcW w:w="7552" w:type="dxa"/>
            <w:gridSpan w:val="7"/>
            <w:tcBorders>
              <w:top w:val="single" w:color="auto" w:sz="4" w:space="0"/>
              <w:left w:val="single" w:color="auto" w:sz="4" w:space="0"/>
              <w:bottom w:val="single" w:color="auto" w:sz="4" w:space="0"/>
              <w:right w:val="single" w:color="auto" w:sz="4" w:space="0"/>
            </w:tcBorders>
            <w:noWrap w:val="0"/>
            <w:vAlign w:val="top"/>
          </w:tcPr>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p>
            <w:pPr>
              <w:rPr>
                <w:rFonts w:eastAsia="方正仿宋_GBK"/>
                <w:color w:val="000000"/>
                <w:spacing w:val="-2"/>
              </w:rPr>
            </w:pPr>
          </w:p>
        </w:tc>
      </w:tr>
    </w:tbl>
    <w:p>
      <w:pPr>
        <w:spacing w:before="295" w:beforeLines="50"/>
        <w:jc w:val="right"/>
        <w:rPr>
          <w:rFonts w:hint="eastAsia"/>
          <w:color w:val="000000"/>
          <w:spacing w:val="-2"/>
        </w:rPr>
      </w:pPr>
      <w:r>
        <w:rPr>
          <w:rFonts w:hint="eastAsia" w:eastAsia="仿宋_GB2312"/>
          <w:color w:val="000000"/>
          <w:spacing w:val="-2"/>
        </w:rPr>
        <w:t>填写日期</w:t>
      </w:r>
      <w:r>
        <w:rPr>
          <w:rFonts w:eastAsia="仿宋_GB2312"/>
          <w:color w:val="000000"/>
          <w:spacing w:val="-2"/>
        </w:rPr>
        <w:t xml:space="preserve">:  </w:t>
      </w:r>
      <w:r>
        <w:rPr>
          <w:rFonts w:hint="eastAsia" w:eastAsia="仿宋_GB2312"/>
          <w:color w:val="000000"/>
          <w:spacing w:val="-2"/>
        </w:rPr>
        <w:t>年</w:t>
      </w:r>
      <w:r>
        <w:rPr>
          <w:rFonts w:eastAsia="仿宋_GB2312"/>
          <w:color w:val="000000"/>
          <w:spacing w:val="-2"/>
        </w:rPr>
        <w:t xml:space="preserve">   </w:t>
      </w:r>
      <w:r>
        <w:rPr>
          <w:rFonts w:hint="eastAsia" w:eastAsia="仿宋_GB2312"/>
          <w:color w:val="000000"/>
          <w:spacing w:val="-2"/>
        </w:rPr>
        <w:t>月</w:t>
      </w:r>
      <w:r>
        <w:rPr>
          <w:rFonts w:eastAsia="仿宋_GB2312"/>
          <w:color w:val="000000"/>
          <w:spacing w:val="-2"/>
        </w:rPr>
        <w:t xml:space="preserve">   </w:t>
      </w:r>
      <w:r>
        <w:rPr>
          <w:rFonts w:hint="eastAsia" w:eastAsia="仿宋_GB2312"/>
          <w:color w:val="000000"/>
          <w:spacing w:val="-2"/>
        </w:rPr>
        <w:t>日</w:t>
      </w:r>
    </w:p>
    <w:p>
      <w:pPr>
        <w:pStyle w:val="2"/>
        <w:spacing w:before="590" w:beforeLines="100" w:after="590" w:afterLines="100" w:line="240" w:lineRule="auto"/>
        <w:jc w:val="center"/>
        <w:rPr>
          <w:rFonts w:ascii="Times New Roman" w:eastAsia="方正小标宋_GBK"/>
          <w:b w:val="0"/>
          <w:sz w:val="36"/>
          <w:szCs w:val="36"/>
        </w:rPr>
      </w:pPr>
      <w:r>
        <w:rPr>
          <w:b w:val="0"/>
          <w:color w:val="000000"/>
          <w:spacing w:val="-2"/>
        </w:rPr>
        <w:br w:type="column"/>
      </w:r>
      <w:bookmarkStart w:id="757" w:name="_Toc20726621"/>
      <w:bookmarkStart w:id="758" w:name="_Toc18315762"/>
      <w:r>
        <w:rPr>
          <w:rFonts w:hint="eastAsia" w:ascii="Times New Roman" w:eastAsia="方正小标宋_GBK"/>
          <w:b w:val="0"/>
          <w:sz w:val="36"/>
          <w:szCs w:val="36"/>
        </w:rPr>
        <w:t>关于进一步加强我省地基基础工程检测管理的若干意见</w:t>
      </w:r>
      <w:bookmarkEnd w:id="757"/>
      <w:bookmarkEnd w:id="758"/>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59" w:name="_Toc20726622"/>
      <w:bookmarkStart w:id="760" w:name="_Toc18315763"/>
      <w:r>
        <w:rPr>
          <w:rFonts w:hint="eastAsia" w:ascii="Times New Roman" w:hAnsi="Times New Roman" w:eastAsia="方正楷体_GBK"/>
          <w:b w:val="0"/>
          <w:sz w:val="24"/>
          <w:szCs w:val="24"/>
        </w:rPr>
        <w:t>苏建工〔</w:t>
      </w:r>
      <w:r>
        <w:rPr>
          <w:rFonts w:ascii="Times New Roman" w:hAnsi="Times New Roman" w:eastAsia="方正楷体_GBK"/>
          <w:b w:val="0"/>
          <w:sz w:val="24"/>
          <w:szCs w:val="24"/>
        </w:rPr>
        <w:t>2008</w:t>
      </w:r>
      <w:r>
        <w:rPr>
          <w:rFonts w:hint="eastAsia" w:ascii="Times New Roman" w:hAnsi="Times New Roman" w:eastAsia="方正楷体_GBK"/>
          <w:b w:val="0"/>
          <w:sz w:val="24"/>
          <w:szCs w:val="24"/>
        </w:rPr>
        <w:t>〕</w:t>
      </w:r>
      <w:r>
        <w:rPr>
          <w:rFonts w:ascii="Times New Roman" w:hAnsi="Times New Roman" w:eastAsia="方正楷体_GBK"/>
          <w:b w:val="0"/>
          <w:sz w:val="24"/>
          <w:szCs w:val="24"/>
        </w:rPr>
        <w:t>343</w:t>
      </w:r>
      <w:r>
        <w:rPr>
          <w:rFonts w:hint="eastAsia" w:ascii="Times New Roman" w:hAnsi="Times New Roman" w:eastAsia="方正楷体_GBK"/>
          <w:b w:val="0"/>
          <w:sz w:val="24"/>
          <w:szCs w:val="24"/>
        </w:rPr>
        <w:t>号</w:t>
      </w:r>
      <w:bookmarkEnd w:id="759"/>
      <w:bookmarkEnd w:id="760"/>
    </w:p>
    <w:p>
      <w:pPr>
        <w:spacing w:line="460" w:lineRule="exact"/>
        <w:rPr>
          <w:rFonts w:eastAsia="方正仿宋_GBK"/>
          <w:color w:val="000000"/>
          <w:spacing w:val="-2"/>
          <w:kern w:val="0"/>
          <w:sz w:val="24"/>
        </w:rPr>
      </w:pPr>
      <w:r>
        <w:rPr>
          <w:rFonts w:hint="eastAsia" w:eastAsia="方正仿宋_GBK"/>
          <w:color w:val="000000"/>
          <w:spacing w:val="-2"/>
          <w:kern w:val="0"/>
          <w:sz w:val="24"/>
        </w:rPr>
        <w:t>各省辖市建设局（委）、苏州工业园区规划建设局：</w:t>
      </w:r>
    </w:p>
    <w:p>
      <w:pPr>
        <w:spacing w:line="460" w:lineRule="exact"/>
        <w:ind w:right="-150" w:rightChars="-73" w:firstLine="464" w:firstLineChars="200"/>
        <w:rPr>
          <w:rFonts w:eastAsia="方正仿宋_GBK"/>
          <w:color w:val="000000"/>
          <w:spacing w:val="-2"/>
          <w:kern w:val="0"/>
          <w:sz w:val="24"/>
        </w:rPr>
      </w:pPr>
      <w:r>
        <w:rPr>
          <w:rFonts w:hint="eastAsia" w:eastAsia="方正仿宋_GBK"/>
          <w:color w:val="000000"/>
          <w:spacing w:val="-2"/>
          <w:kern w:val="0"/>
          <w:sz w:val="24"/>
        </w:rPr>
        <w:t>为了进一步加强我省地基基础工程检测（以下简称检测）管理，规范检测市场行为，提高检测能力和水平，确保地基基础工程质量，根据建设部《建设工程质量检测管理办法》等有关规定，提出以下意见，请遵照执行。</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一、进一步规范建设单位市场行为</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一）在检测工作中，建设单位必须按照《建筑地基基础施工质量验收规范》、《江苏省规范基桩质量检测工作实施导则》等现行技术规范和规程，对地基及复合地基承载力、桩的承载力、桩身完整性、锚杆锁定力等进行委托检测。</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建设单位必须将检测工作委托给具有相应资质的地基基础工程检测机构（以下简称检测机构）承担。同一地基基础工程项目（或标段）的检测工作宜由同一检测机构承担完成，相同的检测项目不得分解给不同的检测机构检测。</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（三）建设单位不得明示或暗示检测机构减少检测内容和比例，不得降低检测标准，应与检测机构签定检测合同，按合同约定及时支付检测费用。</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二、进一步规范检测机构市场行为</w:t>
      </w:r>
    </w:p>
    <w:p>
      <w:pPr>
        <w:spacing w:line="460" w:lineRule="exact"/>
        <w:ind w:right="-150" w:rightChars="-73" w:firstLine="464" w:firstLineChars="200"/>
        <w:rPr>
          <w:rFonts w:eastAsia="方正仿宋_GBK"/>
          <w:color w:val="000000"/>
          <w:spacing w:val="-2"/>
          <w:kern w:val="0"/>
          <w:sz w:val="24"/>
        </w:rPr>
      </w:pPr>
      <w:r>
        <w:rPr>
          <w:rFonts w:hint="eastAsia" w:eastAsia="方正仿宋_GBK"/>
          <w:color w:val="000000"/>
          <w:spacing w:val="-2"/>
          <w:kern w:val="0"/>
          <w:sz w:val="24"/>
        </w:rPr>
        <w:t>（四）检测机构从事检测工作，必须取得省建设厅核发的资质证书或备案证书，并在核准的检测方法范围内，按照法律、法规、规章、规范、标准和合同约定等实施检测，承担相应的责任。</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（五）检测机构取得资质后实行后续监督管理。资质条件不达标的，应当责令其限期整改。</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（六）检测机构开展检测业务时，应与建设单位签定合同。检测合同必须由法定代表人或其委托代理人签定，合同中应当明确检测目的、检测方法、检测比例、检测标准、检测费用等内容。</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（七）检测机构不得有下列行为：</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、超出资质范围从事检测活动的；</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、以商业贿赂、诋毁他人等不正当竞争手段承接业务的；</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、转包检测业务的；</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、伪造、倒卖、出租、出借或者以其他形式非法转让资质证书的；</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、与所检测工程相关的设计单位、施工单位、监理单位有隶属关系或者其他利害关系的；</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、未按照国家有关工程建设强制性标准进行检测，造成质量安全事故或致使事故损失扩大的；</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7</w:t>
      </w:r>
      <w:r>
        <w:rPr>
          <w:rFonts w:hint="eastAsia" w:eastAsia="方正仿宋_GBK"/>
          <w:color w:val="000000"/>
          <w:spacing w:val="-2"/>
          <w:kern w:val="0"/>
          <w:sz w:val="24"/>
        </w:rPr>
        <w:t>、伪造检测数据，出具虚假检测报告或者鉴定结论的；</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8</w:t>
      </w:r>
      <w:r>
        <w:rPr>
          <w:rFonts w:hint="eastAsia" w:eastAsia="方正仿宋_GBK"/>
          <w:color w:val="000000"/>
          <w:spacing w:val="-2"/>
          <w:kern w:val="0"/>
          <w:sz w:val="24"/>
        </w:rPr>
        <w:t>、使用其他检测机构检测人员的；</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w:t>
      </w:r>
      <w:r>
        <w:rPr>
          <w:rFonts w:hint="eastAsia" w:eastAsia="方正仿宋_GBK"/>
          <w:color w:val="000000"/>
          <w:spacing w:val="-2"/>
          <w:kern w:val="0"/>
          <w:sz w:val="24"/>
        </w:rPr>
        <w:t>、有其他违法违规行为的。</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（八）实行检测机构自律承诺书制度。检测机构应向项目所在地建设行政主管部门提供检测机构自律承诺书（见附件</w:t>
      </w:r>
      <w:r>
        <w:rPr>
          <w:rFonts w:eastAsia="方正仿宋_GBK"/>
          <w:color w:val="000000"/>
          <w:spacing w:val="-2"/>
          <w:kern w:val="0"/>
          <w:sz w:val="24"/>
        </w:rPr>
        <w:t>3</w:t>
      </w:r>
      <w:r>
        <w:rPr>
          <w:rFonts w:hint="eastAsia" w:eastAsia="方正仿宋_GBK"/>
          <w:color w:val="000000"/>
          <w:spacing w:val="-2"/>
          <w:kern w:val="0"/>
          <w:sz w:val="24"/>
        </w:rPr>
        <w:t>）。</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三、进一步加强检测人员管理</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（九）检测机构的检测人员分为技术负责人、检测工程师和检测员三类。所有检测人员应经相关检测技术培训。</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技术负责人应是具有建设工程类高级职称的检测工程师。主要负责检测方案的审核。</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检测工程师应是具有建设工程类中级以上职称的人员，主要负责检测方案的实施、检测过程的质量控制和检测数据的分析并编写、审核报告。</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检测员应是具有高中以上学历的人员，主要配合检测工程师完成现场检测工作。</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w:t>
      </w:r>
      <w:r>
        <w:rPr>
          <w:rFonts w:eastAsia="方正仿宋_GBK"/>
          <w:color w:val="000000"/>
          <w:spacing w:val="-2"/>
          <w:kern w:val="0"/>
          <w:sz w:val="24"/>
        </w:rPr>
        <w:t xml:space="preserve"> </w:t>
      </w:r>
      <w:r>
        <w:rPr>
          <w:rFonts w:hint="eastAsia" w:eastAsia="方正仿宋_GBK"/>
          <w:color w:val="000000"/>
          <w:spacing w:val="-2"/>
          <w:kern w:val="0"/>
          <w:sz w:val="24"/>
        </w:rPr>
        <w:t>检测人员应在其检测技术培训范围内的检测方法和职责范围内从事检测工作。</w:t>
      </w:r>
    </w:p>
    <w:p>
      <w:pPr>
        <w:spacing w:line="460" w:lineRule="exact"/>
        <w:ind w:right="-150" w:rightChars="-73" w:firstLine="464" w:firstLineChars="200"/>
        <w:rPr>
          <w:rFonts w:eastAsia="方正仿宋_GBK"/>
          <w:color w:val="000000"/>
          <w:spacing w:val="-2"/>
          <w:kern w:val="0"/>
          <w:sz w:val="24"/>
        </w:rPr>
      </w:pPr>
      <w:r>
        <w:rPr>
          <w:rFonts w:hint="eastAsia" w:eastAsia="方正仿宋_GBK"/>
          <w:color w:val="000000"/>
          <w:spacing w:val="-2"/>
          <w:kern w:val="0"/>
          <w:sz w:val="24"/>
        </w:rPr>
        <w:t>（十一）项目检测实行检测工程师负责制。检测人员应按照检测方案，完成合同约定的各项检测内容。在检测过程中检测机构不宜随意更改检测项目负责人。</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（十二）检测机构应加强检测人员的继续教育管理工作。</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三）检测人员必须遵守职业道德，保证检测数据和检测报告的客观、公正，确保对地基基础工程质量检测的有效控制。不得伪造数据、出具虚假报告，不得与建设单位、施工单位串通，隐瞒地基基础工程质量的真实情况。</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四、进一步加强检测现场管理</w:t>
      </w:r>
    </w:p>
    <w:p>
      <w:pPr>
        <w:spacing w:line="460" w:lineRule="exact"/>
        <w:ind w:right="-150" w:rightChars="-73" w:firstLine="464" w:firstLineChars="200"/>
        <w:rPr>
          <w:rFonts w:eastAsia="方正仿宋_GBK"/>
          <w:color w:val="000000"/>
          <w:spacing w:val="-2"/>
          <w:kern w:val="0"/>
          <w:sz w:val="24"/>
        </w:rPr>
      </w:pPr>
      <w:r>
        <w:rPr>
          <w:rFonts w:hint="eastAsia" w:eastAsia="方正仿宋_GBK"/>
          <w:color w:val="000000"/>
          <w:spacing w:val="-2"/>
          <w:kern w:val="0"/>
          <w:sz w:val="24"/>
        </w:rPr>
        <w:t>（十四）检测机构必须向项目的建设单位或监理单位提交检测方案。建设单位或监理单位应对检测方案的实施进行监督。检测人员至少由一名检测工程师和若干名检测员组成。</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（十五）检测机构应当在实施检测前至少提前一天，将检测项目名称、项目地点、检测方法、联系人等信息告知项目所在地建设行政主管部门或其指定的机构。</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（十六）检测设备必须在检定校准的有效期内。现场检测设备安装必须满足《建筑基桩检测技术规范》（</w:t>
      </w:r>
      <w:r>
        <w:rPr>
          <w:rFonts w:eastAsia="方正仿宋_GBK"/>
          <w:color w:val="000000"/>
          <w:spacing w:val="-2"/>
          <w:kern w:val="0"/>
          <w:sz w:val="24"/>
        </w:rPr>
        <w:t>JGJ106</w:t>
      </w:r>
      <w:r>
        <w:rPr>
          <w:rFonts w:hint="eastAsia" w:eastAsia="方正仿宋_GBK"/>
          <w:color w:val="000000"/>
          <w:spacing w:val="-2"/>
          <w:kern w:val="0"/>
          <w:sz w:val="24"/>
        </w:rPr>
        <w:t>）规定要求。提倡使用检测数据现场自动采集系统。相关证明文件和质量、技术记录须符合相应技术标准和《实验室资质认定评审准则》的要求。</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（十七）检测中发现检测结果不能满足规范、设计要求时，检测机构应在</w:t>
      </w:r>
      <w:r>
        <w:rPr>
          <w:rFonts w:eastAsia="方正仿宋_GBK"/>
          <w:color w:val="000000"/>
          <w:spacing w:val="-2"/>
          <w:kern w:val="0"/>
          <w:sz w:val="24"/>
        </w:rPr>
        <w:t>24</w:t>
      </w:r>
      <w:r>
        <w:rPr>
          <w:rFonts w:hint="eastAsia" w:eastAsia="方正仿宋_GBK"/>
          <w:color w:val="000000"/>
          <w:spacing w:val="-2"/>
          <w:kern w:val="0"/>
          <w:sz w:val="24"/>
        </w:rPr>
        <w:t>小时内报告建设单位或监理单位，由建设单位及时组织有关各方采取措施予以解决。</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（十八）检测报告应当按年度统一编号，编号应当连续，不得随意抽撤、涂改。</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（十九）检测机构应当建立档案管理制度。检测合同、原始记录、检测报告等应当按档案管理要求统一建立卷宗，并妥善保管。</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（二十）检测机构必须加强现场检测安全管理工作，建立检测安全责任制，确保检测过程安全作业。</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（二十一）检测机构要加强对地基基础工程现场检测的质量管理，确保现场检测的各项工作处于受控状态。</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五、进一步加强信用体系建设</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（二十二）对在我省开展检测工作的所有检测机构和检测人员实行信用管理制度。</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建设工程质量检测机构与人员信用管理，应遵循公开、公正和统一的原则，建立检测机构与人员的信用档案，对检测机构信用等级进行评定，实行分等级监督管理，形成诚信激励和失信惩戒机制。</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六、进一步加大检查工作力度</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（二十三）各级建设行政主管部门应加强本地区检测机构监督检查力度，制定地区年度监督检查计划，确保地区监督检查覆盖率</w:t>
      </w:r>
      <w:r>
        <w:rPr>
          <w:rFonts w:eastAsia="方正仿宋_GBK"/>
          <w:color w:val="000000"/>
          <w:spacing w:val="-2"/>
          <w:kern w:val="0"/>
          <w:sz w:val="24"/>
        </w:rPr>
        <w:t>100%</w:t>
      </w:r>
      <w:r>
        <w:rPr>
          <w:rFonts w:hint="eastAsia" w:eastAsia="方正仿宋_GBK"/>
          <w:color w:val="000000"/>
          <w:spacing w:val="-2"/>
          <w:kern w:val="0"/>
          <w:sz w:val="24"/>
        </w:rPr>
        <w:t>。</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（二十四）各工程质量监督机构应依据《江苏省房屋和建筑市政设施工程质量监督管理方法》（江苏省人民政府令第</w:t>
      </w:r>
      <w:r>
        <w:rPr>
          <w:rFonts w:eastAsia="方正仿宋_GBK"/>
          <w:color w:val="000000"/>
          <w:spacing w:val="-2"/>
          <w:kern w:val="0"/>
          <w:sz w:val="24"/>
        </w:rPr>
        <w:t>89</w:t>
      </w:r>
      <w:r>
        <w:rPr>
          <w:rFonts w:hint="eastAsia" w:eastAsia="方正仿宋_GBK"/>
          <w:color w:val="000000"/>
          <w:spacing w:val="-2"/>
          <w:kern w:val="0"/>
          <w:sz w:val="24"/>
        </w:rPr>
        <w:t>号）建立工程质量信用档案，对检测机构工程质量行为检查中发现的问题应及时报建设行政主管部门，形成工程现场和检测现场监管联动。</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（二十五）完善投诉举报处理制度。各级建设行政主管部门要认真处理举报投诉，做到有诉必查，有查必果，及时印发查处结果通报，将检测机构和检测人员不良行为记入信用档案，录入管理信息系统。</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七、进一步加大联动工作力度</w:t>
      </w:r>
    </w:p>
    <w:p>
      <w:pPr>
        <w:spacing w:line="460" w:lineRule="exact"/>
        <w:ind w:right="-150" w:rightChars="-73" w:firstLine="464" w:firstLineChars="200"/>
        <w:rPr>
          <w:rFonts w:eastAsia="方正仿宋_GBK"/>
          <w:color w:val="000000"/>
          <w:spacing w:val="-2"/>
          <w:kern w:val="0"/>
          <w:sz w:val="24"/>
        </w:rPr>
      </w:pPr>
      <w:r>
        <w:rPr>
          <w:rFonts w:hint="eastAsia" w:eastAsia="方正仿宋_GBK"/>
          <w:color w:val="000000"/>
          <w:spacing w:val="-2"/>
          <w:kern w:val="0"/>
          <w:sz w:val="24"/>
        </w:rPr>
        <w:t>（二十六）建设行政主管部门系统内加强工作联动。质量监督、安全监督等部门应当及时将涉及检测机构和检测人员的不良行为报送建设行政主管部门。</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（二十七）检测机构之间加强相互监督。积极举报扰乱检测市场秩序，特别是有压低收费标准恶性竞争行为的检测机构，并积极配合建设行政主管部门调查和核查。</w:t>
      </w:r>
    </w:p>
    <w:p>
      <w:pPr>
        <w:spacing w:line="460" w:lineRule="exact"/>
        <w:ind w:firstLine="464" w:firstLineChars="200"/>
        <w:rPr>
          <w:rFonts w:eastAsia="方正黑体_GBK"/>
          <w:color w:val="000000"/>
          <w:spacing w:val="-2"/>
          <w:kern w:val="0"/>
          <w:sz w:val="24"/>
        </w:rPr>
      </w:pPr>
      <w:r>
        <w:rPr>
          <w:rFonts w:hint="eastAsia" w:eastAsia="方正黑体_GBK"/>
          <w:color w:val="000000"/>
          <w:spacing w:val="-2"/>
          <w:kern w:val="0"/>
          <w:sz w:val="24"/>
        </w:rPr>
        <w:t>八、进一步营造检测市场的良好环境</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十八）各级建设行政主管部门要树立服务意识，提供优质服务，不得设置外地检测机构到本地承接检测业务的歧视性规定。加强不同部门之间的沟通协调，提高工作效率。积极研究新情况，发现新问题，提出新措施，提高行政和技术管理的可操作性。采用走出去、请进来的办法，为检测机构创造交流学习的机会。</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（二十九）鼓励检测机构树立以服务对象为中心的理念，加强检测新技术、新方法的研究和应用，更好地保证检测工作、成果质量，为建设工程的设计、验收提供公正、科学、准确的数据。</w:t>
      </w:r>
      <w:r>
        <w:rPr>
          <w:rFonts w:eastAsia="方正仿宋_GBK"/>
          <w:color w:val="000000"/>
          <w:spacing w:val="-2"/>
          <w:kern w:val="0"/>
          <w:sz w:val="24"/>
        </w:rPr>
        <w:t xml:space="preserve"> </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（三十）加强对行业协会的指导，充分发挥行业协会桥梁和纽带的作用，鼓励和支持行业协会做好检测机构自律工作。</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本意见自</w:t>
      </w:r>
      <w:r>
        <w:rPr>
          <w:rFonts w:eastAsia="方正仿宋_GBK"/>
          <w:color w:val="000000"/>
          <w:spacing w:val="-2"/>
          <w:kern w:val="0"/>
          <w:sz w:val="24"/>
        </w:rPr>
        <w:t>2009</w:t>
      </w:r>
      <w:r>
        <w:rPr>
          <w:rFonts w:hint="eastAsia" w:eastAsia="方正仿宋_GBK"/>
          <w:color w:val="000000"/>
          <w:spacing w:val="-2"/>
          <w:kern w:val="0"/>
          <w:sz w:val="24"/>
        </w:rPr>
        <w:t>年</w:t>
      </w:r>
      <w:r>
        <w:rPr>
          <w:rFonts w:eastAsia="方正仿宋_GBK"/>
          <w:color w:val="000000"/>
          <w:spacing w:val="-2"/>
          <w:kern w:val="0"/>
          <w:sz w:val="24"/>
        </w:rPr>
        <w:t>3</w:t>
      </w:r>
      <w:r>
        <w:rPr>
          <w:rFonts w:hint="eastAsia" w:eastAsia="方正仿宋_GBK"/>
          <w:color w:val="000000"/>
          <w:spacing w:val="-2"/>
          <w:kern w:val="0"/>
          <w:sz w:val="24"/>
        </w:rPr>
        <w:t>月</w:t>
      </w:r>
      <w:r>
        <w:rPr>
          <w:rFonts w:eastAsia="方正仿宋_GBK"/>
          <w:color w:val="000000"/>
          <w:spacing w:val="-2"/>
          <w:kern w:val="0"/>
          <w:sz w:val="24"/>
        </w:rPr>
        <w:t>1</w:t>
      </w:r>
      <w:r>
        <w:rPr>
          <w:rFonts w:hint="eastAsia" w:eastAsia="方正仿宋_GBK"/>
          <w:color w:val="000000"/>
          <w:spacing w:val="-2"/>
          <w:kern w:val="0"/>
          <w:sz w:val="24"/>
        </w:rPr>
        <w:t>日起执行。</w:t>
      </w:r>
    </w:p>
    <w:p>
      <w:pPr>
        <w:spacing w:line="460" w:lineRule="exact"/>
        <w:ind w:firstLine="464" w:firstLineChars="200"/>
        <w:rPr>
          <w:rFonts w:eastAsia="方正仿宋_GBK"/>
          <w:color w:val="000000"/>
          <w:spacing w:val="-2"/>
          <w:kern w:val="0"/>
          <w:sz w:val="24"/>
        </w:rPr>
      </w:pPr>
    </w:p>
    <w:p>
      <w:pPr>
        <w:spacing w:line="460" w:lineRule="exact"/>
        <w:ind w:right="428" w:rightChars="208" w:firstLine="464" w:firstLineChars="200"/>
        <w:jc w:val="right"/>
        <w:rPr>
          <w:rFonts w:eastAsia="方正仿宋_GBK"/>
          <w:color w:val="000000"/>
          <w:spacing w:val="-2"/>
          <w:kern w:val="0"/>
          <w:sz w:val="24"/>
        </w:rPr>
      </w:pPr>
      <w:r>
        <w:rPr>
          <w:rFonts w:hint="eastAsia" w:eastAsia="方正仿宋_GBK"/>
          <w:color w:val="000000"/>
          <w:spacing w:val="-2"/>
          <w:sz w:val="24"/>
        </w:rPr>
        <w:t>江苏省住房和城乡建设厅</w:t>
      </w:r>
      <w:r>
        <w:rPr>
          <w:rFonts w:eastAsia="方正仿宋_GBK"/>
          <w:color w:val="000000"/>
          <w:spacing w:val="-2"/>
          <w:sz w:val="24"/>
        </w:rPr>
        <w:t xml:space="preserve">    </w:t>
      </w:r>
    </w:p>
    <w:p>
      <w:pPr>
        <w:spacing w:line="460" w:lineRule="exact"/>
        <w:ind w:right="438" w:firstLine="464" w:firstLineChars="200"/>
        <w:jc w:val="right"/>
        <w:rPr>
          <w:rFonts w:eastAsia="方正仿宋_GBK"/>
          <w:color w:val="000000"/>
          <w:spacing w:val="-2"/>
          <w:kern w:val="0"/>
          <w:sz w:val="24"/>
        </w:rPr>
      </w:pPr>
      <w:r>
        <w:rPr>
          <w:rFonts w:hint="eastAsia" w:eastAsia="方正仿宋_GBK"/>
          <w:color w:val="000000"/>
          <w:spacing w:val="-2"/>
          <w:kern w:val="0"/>
          <w:sz w:val="24"/>
        </w:rPr>
        <w:t>二</w:t>
      </w:r>
      <w:r>
        <w:rPr>
          <w:rFonts w:hint="eastAsia" w:ascii="Times New Roman" w:hAnsi="Times New Roman"/>
          <w:bCs/>
          <w:snapToGrid w:val="0"/>
          <w:color w:val="000000"/>
          <w:spacing w:val="-2"/>
          <w:kern w:val="0"/>
          <w:sz w:val="24"/>
        </w:rPr>
        <w:t>○○</w:t>
      </w:r>
      <w:r>
        <w:rPr>
          <w:rFonts w:hint="eastAsia" w:eastAsia="方正仿宋_GBK"/>
          <w:color w:val="000000"/>
          <w:spacing w:val="-2"/>
          <w:kern w:val="0"/>
          <w:sz w:val="24"/>
        </w:rPr>
        <w:t>八年十二月十一日</w:t>
      </w:r>
      <w:r>
        <w:rPr>
          <w:rFonts w:eastAsia="方正仿宋_GBK"/>
          <w:color w:val="000000"/>
          <w:spacing w:val="-2"/>
          <w:kern w:val="0"/>
          <w:sz w:val="24"/>
        </w:rPr>
        <w:t> </w:t>
      </w:r>
    </w:p>
    <w:p>
      <w:pPr>
        <w:pStyle w:val="2"/>
        <w:spacing w:before="590" w:beforeLines="100" w:after="590" w:afterLines="100" w:line="240" w:lineRule="auto"/>
        <w:jc w:val="center"/>
        <w:rPr>
          <w:rFonts w:ascii="Times New Roman" w:eastAsia="方正小标宋_GBK"/>
          <w:b w:val="0"/>
          <w:sz w:val="36"/>
          <w:szCs w:val="36"/>
        </w:rPr>
      </w:pPr>
      <w:r>
        <w:rPr>
          <w:rFonts w:eastAsia="方正仿宋_GBK"/>
          <w:b w:val="0"/>
          <w:color w:val="000000"/>
          <w:spacing w:val="-2"/>
          <w:kern w:val="0"/>
          <w:sz w:val="24"/>
        </w:rPr>
        <w:br w:type="column"/>
      </w:r>
      <w:bookmarkStart w:id="761" w:name="_Toc18315708"/>
      <w:bookmarkStart w:id="762" w:name="_Toc20726567"/>
      <w:r>
        <w:rPr>
          <w:rFonts w:hint="eastAsia" w:ascii="Times New Roman" w:eastAsia="方正小标宋_GBK"/>
          <w:b w:val="0"/>
          <w:sz w:val="36"/>
          <w:szCs w:val="36"/>
        </w:rPr>
        <w:t>关于印发《江苏省房屋建筑和市政基础设施工程质量  监督工作实施细则》的通知</w:t>
      </w:r>
      <w:bookmarkEnd w:id="761"/>
      <w:bookmarkEnd w:id="762"/>
    </w:p>
    <w:p>
      <w:pPr>
        <w:pStyle w:val="3"/>
        <w:spacing w:before="590" w:beforeLines="100" w:after="590" w:afterLines="100" w:line="240" w:lineRule="auto"/>
        <w:jc w:val="center"/>
        <w:rPr>
          <w:rFonts w:hint="eastAsia" w:ascii="Times New Roman" w:hAnsi="Times New Roman" w:eastAsia="方正楷体_GBK"/>
          <w:b w:val="0"/>
          <w:sz w:val="24"/>
          <w:szCs w:val="24"/>
        </w:rPr>
      </w:pPr>
      <w:bookmarkStart w:id="763" w:name="_Toc20726568"/>
      <w:bookmarkStart w:id="764" w:name="_Toc18315709"/>
      <w:r>
        <w:rPr>
          <w:rFonts w:hint="eastAsia" w:ascii="Times New Roman" w:hAnsi="Times New Roman" w:eastAsia="方正楷体_GBK"/>
          <w:b w:val="0"/>
          <w:sz w:val="24"/>
          <w:szCs w:val="24"/>
        </w:rPr>
        <w:t>苏建规字〔</w:t>
      </w:r>
      <w:r>
        <w:rPr>
          <w:rFonts w:ascii="Times New Roman" w:hAnsi="Times New Roman" w:eastAsia="方正楷体_GBK"/>
          <w:b w:val="0"/>
          <w:sz w:val="24"/>
          <w:szCs w:val="24"/>
        </w:rPr>
        <w:t>2011</w:t>
      </w:r>
      <w:r>
        <w:rPr>
          <w:rFonts w:hint="eastAsia" w:ascii="Times New Roman" w:hAnsi="Times New Roman" w:eastAsia="方正楷体_GBK"/>
          <w:b w:val="0"/>
          <w:sz w:val="24"/>
          <w:szCs w:val="24"/>
        </w:rPr>
        <w:t>〕</w:t>
      </w:r>
      <w:r>
        <w:rPr>
          <w:rFonts w:ascii="Times New Roman" w:hAnsi="Times New Roman" w:eastAsia="方正楷体_GBK"/>
          <w:b w:val="0"/>
          <w:sz w:val="24"/>
          <w:szCs w:val="24"/>
        </w:rPr>
        <w:t>2</w:t>
      </w:r>
      <w:r>
        <w:rPr>
          <w:rFonts w:hint="eastAsia" w:ascii="Times New Roman" w:hAnsi="Times New Roman" w:eastAsia="方正楷体_GBK"/>
          <w:b w:val="0"/>
          <w:sz w:val="24"/>
          <w:szCs w:val="24"/>
        </w:rPr>
        <w:t>号</w:t>
      </w:r>
      <w:bookmarkEnd w:id="763"/>
      <w:bookmarkEnd w:id="764"/>
    </w:p>
    <w:p>
      <w:pPr>
        <w:spacing w:line="460" w:lineRule="exact"/>
        <w:rPr>
          <w:rFonts w:eastAsia="方正仿宋_GBK"/>
          <w:color w:val="000000"/>
          <w:spacing w:val="-2"/>
          <w:sz w:val="24"/>
        </w:rPr>
      </w:pPr>
      <w:r>
        <w:rPr>
          <w:rFonts w:hint="eastAsia" w:eastAsia="方正仿宋_GBK"/>
          <w:color w:val="000000"/>
          <w:spacing w:val="-2"/>
          <w:sz w:val="24"/>
        </w:rPr>
        <w:t>各市建设局（委），各有关单位：</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依据住房城乡建设部第</w:t>
      </w:r>
      <w:r>
        <w:rPr>
          <w:rFonts w:eastAsia="方正仿宋_GBK"/>
          <w:color w:val="000000"/>
          <w:spacing w:val="-2"/>
          <w:sz w:val="24"/>
        </w:rPr>
        <w:t>5</w:t>
      </w:r>
      <w:r>
        <w:rPr>
          <w:rFonts w:hint="eastAsia" w:eastAsia="方正仿宋_GBK"/>
          <w:color w:val="000000"/>
          <w:spacing w:val="-2"/>
          <w:sz w:val="24"/>
        </w:rPr>
        <w:t>号令《房屋建筑和市政基础设施工程质量监督管理规定》，我厅制定了《江苏省房屋建筑和市政基础设施工程质量监督工作实施细则》，现印发你们，请遵照执行。</w:t>
      </w: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在执行过程中如有问题，请与省</w:t>
      </w:r>
      <w:r>
        <w:rPr>
          <w:rFonts w:hint="eastAsia" w:eastAsia="方正仿宋_GBK"/>
          <w:color w:val="000000"/>
          <w:spacing w:val="-2"/>
          <w:kern w:val="0"/>
          <w:sz w:val="24"/>
        </w:rPr>
        <w:t>建设工程质量监督总站联系。</w:t>
      </w:r>
    </w:p>
    <w:p>
      <w:pPr>
        <w:spacing w:line="460" w:lineRule="exact"/>
        <w:ind w:firstLine="630"/>
        <w:rPr>
          <w:rFonts w:eastAsia="方正仿宋_GBK"/>
          <w:color w:val="000000"/>
          <w:spacing w:val="-2"/>
          <w:kern w:val="0"/>
          <w:sz w:val="24"/>
        </w:rPr>
      </w:pPr>
    </w:p>
    <w:p>
      <w:pPr>
        <w:spacing w:line="460" w:lineRule="exact"/>
        <w:ind w:firstLine="464" w:firstLineChars="200"/>
        <w:rPr>
          <w:rFonts w:eastAsia="方正仿宋_GBK"/>
          <w:color w:val="000000"/>
          <w:spacing w:val="-2"/>
          <w:sz w:val="24"/>
        </w:rPr>
      </w:pPr>
      <w:r>
        <w:rPr>
          <w:rFonts w:hint="eastAsia" w:eastAsia="方正仿宋_GBK"/>
          <w:color w:val="000000"/>
          <w:spacing w:val="-2"/>
          <w:sz w:val="24"/>
        </w:rPr>
        <w:t>附件：《江苏省房屋建筑和市政基础设施工程质量监督工作实施细则》</w:t>
      </w:r>
    </w:p>
    <w:p>
      <w:pPr>
        <w:spacing w:line="460" w:lineRule="exact"/>
        <w:ind w:firstLine="464" w:firstLineChars="200"/>
        <w:rPr>
          <w:rFonts w:eastAsia="方正仿宋_GBK"/>
          <w:color w:val="000000"/>
          <w:spacing w:val="-2"/>
          <w:sz w:val="24"/>
        </w:rPr>
      </w:pPr>
    </w:p>
    <w:p>
      <w:pPr>
        <w:spacing w:line="460" w:lineRule="exact"/>
        <w:ind w:right="428" w:rightChars="208"/>
        <w:jc w:val="right"/>
        <w:rPr>
          <w:rFonts w:eastAsia="方正仿宋_GBK"/>
          <w:color w:val="000000"/>
          <w:spacing w:val="-2"/>
          <w:sz w:val="24"/>
        </w:rPr>
      </w:pPr>
      <w:r>
        <w:rPr>
          <w:rFonts w:eastAsia="方正仿宋_GBK"/>
          <w:color w:val="000000"/>
          <w:spacing w:val="-2"/>
          <w:sz w:val="24"/>
        </w:rPr>
        <w:t xml:space="preserve">                            </w:t>
      </w:r>
      <w:r>
        <w:rPr>
          <w:rFonts w:hint="eastAsia" w:eastAsia="方正仿宋_GBK"/>
          <w:color w:val="000000"/>
          <w:spacing w:val="-2"/>
          <w:sz w:val="24"/>
        </w:rPr>
        <w:t>江苏省住房和城乡建设厅</w:t>
      </w:r>
    </w:p>
    <w:p>
      <w:pPr>
        <w:spacing w:line="460" w:lineRule="exact"/>
        <w:ind w:right="506" w:rightChars="246" w:firstLine="5684" w:firstLineChars="2450"/>
        <w:rPr>
          <w:rFonts w:eastAsia="方正仿宋_GBK"/>
          <w:color w:val="000000"/>
          <w:spacing w:val="-2"/>
          <w:sz w:val="24"/>
        </w:rPr>
      </w:pPr>
      <w:r>
        <w:rPr>
          <w:rFonts w:hint="eastAsia" w:eastAsia="方正仿宋_GBK"/>
          <w:color w:val="000000"/>
          <w:spacing w:val="-2"/>
          <w:sz w:val="24"/>
        </w:rPr>
        <w:t>二〇一一年十一月八日</w:t>
      </w:r>
    </w:p>
    <w:p>
      <w:pPr>
        <w:spacing w:line="460" w:lineRule="exact"/>
        <w:rPr>
          <w:rFonts w:eastAsia="方正仿宋_GBK"/>
          <w:bCs/>
          <w:color w:val="000000"/>
          <w:spacing w:val="-2"/>
          <w:kern w:val="0"/>
          <w:sz w:val="24"/>
        </w:rPr>
      </w:pPr>
    </w:p>
    <w:p>
      <w:pPr>
        <w:spacing w:line="460" w:lineRule="exact"/>
        <w:rPr>
          <w:rFonts w:eastAsia="方正仿宋_GBK"/>
          <w:bCs/>
          <w:color w:val="000000"/>
          <w:spacing w:val="-2"/>
          <w:kern w:val="0"/>
          <w:sz w:val="24"/>
        </w:rPr>
      </w:pPr>
    </w:p>
    <w:p>
      <w:pPr>
        <w:spacing w:line="460" w:lineRule="exact"/>
        <w:jc w:val="center"/>
        <w:rPr>
          <w:rFonts w:eastAsia="方正黑体_GBK"/>
          <w:bCs/>
          <w:color w:val="000000"/>
          <w:spacing w:val="-2"/>
          <w:kern w:val="0"/>
          <w:sz w:val="36"/>
          <w:szCs w:val="36"/>
        </w:rPr>
      </w:pPr>
      <w:r>
        <w:rPr>
          <w:rFonts w:hint="eastAsia" w:eastAsia="方正黑体_GBK"/>
          <w:bCs/>
          <w:color w:val="000000"/>
          <w:spacing w:val="-2"/>
          <w:kern w:val="0"/>
          <w:sz w:val="36"/>
          <w:szCs w:val="36"/>
        </w:rPr>
        <w:t>江苏省房屋建筑和市政基础设施工程</w:t>
      </w:r>
    </w:p>
    <w:p>
      <w:pPr>
        <w:spacing w:line="460" w:lineRule="exact"/>
        <w:jc w:val="center"/>
        <w:rPr>
          <w:rFonts w:eastAsia="方正黑体_GBK"/>
          <w:bCs/>
          <w:color w:val="000000"/>
          <w:spacing w:val="-2"/>
          <w:kern w:val="0"/>
          <w:sz w:val="36"/>
          <w:szCs w:val="36"/>
        </w:rPr>
      </w:pPr>
      <w:r>
        <w:rPr>
          <w:rFonts w:hint="eastAsia" w:eastAsia="方正黑体_GBK"/>
          <w:bCs/>
          <w:color w:val="000000"/>
          <w:spacing w:val="-2"/>
          <w:kern w:val="0"/>
          <w:sz w:val="36"/>
          <w:szCs w:val="36"/>
        </w:rPr>
        <w:t>质量监督工作实施细则</w:t>
      </w:r>
    </w:p>
    <w:p>
      <w:pPr>
        <w:spacing w:line="460" w:lineRule="exact"/>
        <w:rPr>
          <w:rFonts w:eastAsia="方正仿宋_GBK"/>
          <w:b/>
          <w:bCs/>
          <w:color w:val="000000"/>
          <w:spacing w:val="-2"/>
          <w:kern w:val="0"/>
          <w:sz w:val="24"/>
        </w:rPr>
      </w:pP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1  </w:t>
      </w:r>
      <w:r>
        <w:rPr>
          <w:rFonts w:hint="eastAsia" w:eastAsia="方正黑体_GBK"/>
          <w:color w:val="000000"/>
          <w:spacing w:val="-2"/>
          <w:kern w:val="0"/>
          <w:sz w:val="24"/>
        </w:rPr>
        <w:t>总</w:t>
      </w:r>
      <w:r>
        <w:rPr>
          <w:rFonts w:eastAsia="方正黑体_GBK"/>
          <w:color w:val="000000"/>
          <w:spacing w:val="-2"/>
          <w:kern w:val="0"/>
          <w:sz w:val="24"/>
        </w:rPr>
        <w:t xml:space="preserve">   </w:t>
      </w:r>
      <w:r>
        <w:rPr>
          <w:rFonts w:hint="eastAsia" w:eastAsia="方正黑体_GBK"/>
          <w:color w:val="000000"/>
          <w:spacing w:val="-2"/>
          <w:kern w:val="0"/>
          <w:sz w:val="24"/>
        </w:rPr>
        <w:t>则</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1.1</w:t>
      </w:r>
      <w:r>
        <w:rPr>
          <w:rFonts w:hint="eastAsia" w:eastAsia="方正仿宋_GBK"/>
          <w:color w:val="000000"/>
          <w:spacing w:val="-2"/>
          <w:kern w:val="0"/>
          <w:sz w:val="24"/>
        </w:rPr>
        <w:t>为了加强房屋建筑和市政基础设施工程质量（以下简称工程质量）的监督管理，规范工程质量监督工作，根据《房屋建筑和市政基础设施工程质量监督管理规定》（住房和城乡建设部令第</w:t>
      </w:r>
      <w:r>
        <w:rPr>
          <w:rFonts w:eastAsia="方正仿宋_GBK"/>
          <w:color w:val="000000"/>
          <w:spacing w:val="-2"/>
          <w:kern w:val="0"/>
          <w:sz w:val="24"/>
        </w:rPr>
        <w:t>5</w:t>
      </w:r>
      <w:r>
        <w:rPr>
          <w:rFonts w:hint="eastAsia" w:eastAsia="方正仿宋_GBK"/>
          <w:color w:val="000000"/>
          <w:spacing w:val="-2"/>
          <w:kern w:val="0"/>
          <w:sz w:val="24"/>
        </w:rPr>
        <w:t>号），制定本细则。</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1.2</w:t>
      </w:r>
      <w:r>
        <w:rPr>
          <w:rFonts w:hint="eastAsia" w:eastAsia="方正仿宋_GBK"/>
          <w:color w:val="000000"/>
          <w:spacing w:val="-2"/>
          <w:kern w:val="0"/>
          <w:sz w:val="24"/>
        </w:rPr>
        <w:t>在江苏省行政区域内从事工程质量监督工作，适用本细则。</w:t>
      </w:r>
    </w:p>
    <w:p>
      <w:pPr>
        <w:spacing w:line="460" w:lineRule="exact"/>
        <w:rPr>
          <w:rFonts w:eastAsia="方正仿宋_GBK"/>
          <w:color w:val="000000"/>
          <w:spacing w:val="-2"/>
          <w:kern w:val="0"/>
          <w:sz w:val="24"/>
        </w:rPr>
      </w:pPr>
      <w:r>
        <w:rPr>
          <w:rFonts w:eastAsia="方正仿宋_GBK"/>
          <w:color w:val="000000"/>
          <w:spacing w:val="-2"/>
          <w:kern w:val="0"/>
          <w:sz w:val="24"/>
        </w:rPr>
        <w:t xml:space="preserve">    1.3</w:t>
      </w:r>
      <w:r>
        <w:rPr>
          <w:rFonts w:hint="eastAsia" w:eastAsia="方正仿宋_GBK"/>
          <w:color w:val="000000"/>
          <w:spacing w:val="-2"/>
          <w:kern w:val="0"/>
          <w:sz w:val="24"/>
        </w:rPr>
        <w:t>工程质量监督，是指住房和城乡建设主管部门委托所属的工程质量监督机构（以下简称监督机构）依据有关法律法规和工程建设强制性标准，对工程实体质量和建设、勘察、设计、施工、监理单位（以下简称工程质量责任主体）及质量检测等单位的工程质量行为实施监督抽查的行政执法行为。</w:t>
      </w:r>
    </w:p>
    <w:p>
      <w:pPr>
        <w:spacing w:line="460" w:lineRule="exact"/>
        <w:rPr>
          <w:rFonts w:eastAsia="方正仿宋_GBK"/>
          <w:color w:val="000000"/>
          <w:spacing w:val="-2"/>
          <w:kern w:val="0"/>
          <w:sz w:val="24"/>
        </w:rPr>
      </w:pPr>
      <w:r>
        <w:rPr>
          <w:rFonts w:eastAsia="方正仿宋_GBK"/>
          <w:color w:val="000000"/>
          <w:spacing w:val="-2"/>
          <w:kern w:val="0"/>
          <w:sz w:val="24"/>
        </w:rPr>
        <w:t xml:space="preserve">    1.4</w:t>
      </w:r>
      <w:r>
        <w:rPr>
          <w:rFonts w:hint="eastAsia" w:eastAsia="方正仿宋_GBK"/>
          <w:color w:val="000000"/>
          <w:spacing w:val="-2"/>
          <w:kern w:val="0"/>
          <w:sz w:val="24"/>
        </w:rPr>
        <w:t>工程质量监督采取抽查方式。抽查是指监督机构对工程质量责任主体及质量检测单位的质量行为、工程实体质量随机进行的抽样检查活动。</w:t>
      </w:r>
    </w:p>
    <w:p>
      <w:pPr>
        <w:spacing w:line="460" w:lineRule="exact"/>
        <w:rPr>
          <w:rFonts w:eastAsia="方正仿宋_GBK"/>
          <w:color w:val="000000"/>
          <w:spacing w:val="-2"/>
          <w:kern w:val="0"/>
          <w:sz w:val="24"/>
        </w:rPr>
      </w:pPr>
      <w:r>
        <w:rPr>
          <w:rFonts w:eastAsia="方正仿宋_GBK"/>
          <w:color w:val="000000"/>
          <w:spacing w:val="-2"/>
          <w:kern w:val="0"/>
          <w:sz w:val="24"/>
        </w:rPr>
        <w:t xml:space="preserve">    1.5</w:t>
      </w:r>
      <w:r>
        <w:rPr>
          <w:rFonts w:hint="eastAsia" w:eastAsia="方正仿宋_GBK"/>
          <w:color w:val="000000"/>
          <w:spacing w:val="-2"/>
          <w:kern w:val="0"/>
          <w:sz w:val="24"/>
        </w:rPr>
        <w:t>工程质量监督除执行本细则外，还应执行国家有关法律、法规和工程建设强制性标准的规定。</w:t>
      </w: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2  </w:t>
      </w:r>
      <w:r>
        <w:rPr>
          <w:rFonts w:hint="eastAsia" w:eastAsia="方正黑体_GBK"/>
          <w:color w:val="000000"/>
          <w:spacing w:val="-2"/>
          <w:kern w:val="0"/>
          <w:sz w:val="24"/>
        </w:rPr>
        <w:t>工程质量监督工作计划</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2.1</w:t>
      </w:r>
      <w:r>
        <w:rPr>
          <w:rFonts w:hint="eastAsia" w:eastAsia="方正仿宋_GBK"/>
          <w:color w:val="000000"/>
          <w:spacing w:val="-2"/>
          <w:kern w:val="0"/>
          <w:sz w:val="24"/>
        </w:rPr>
        <w:t>工程质量监督工作计划，是指工程项目实施监督前，监督机构根据受监工程的规模和类别，依据工程勘察报告、设计文件、工程建设法律法规和强制性标准，制定《工程质量监督工作计划》（以下简称《计划》），并告知建设、监理、施工等单位的活动。</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2.2</w:t>
      </w:r>
      <w:r>
        <w:rPr>
          <w:rFonts w:hint="eastAsia" w:eastAsia="方正仿宋_GBK"/>
          <w:color w:val="000000"/>
          <w:spacing w:val="-2"/>
          <w:kern w:val="0"/>
          <w:sz w:val="24"/>
        </w:rPr>
        <w:t>《计划》应明确工程项目的监督依据、监督方式、随机抽查重点、监督联系人等内容。</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2.3</w:t>
      </w:r>
      <w:r>
        <w:rPr>
          <w:rFonts w:hint="eastAsia" w:eastAsia="方正仿宋_GBK"/>
          <w:color w:val="000000"/>
          <w:spacing w:val="-2"/>
          <w:kern w:val="0"/>
          <w:sz w:val="24"/>
        </w:rPr>
        <w:t>《计划》由工程项目监督人员负责编写，监督机构有关负责人批准</w:t>
      </w:r>
      <w:r>
        <w:rPr>
          <w:rFonts w:eastAsia="方正仿宋_GBK"/>
          <w:color w:val="000000"/>
          <w:spacing w:val="-2"/>
          <w:kern w:val="0"/>
          <w:sz w:val="24"/>
        </w:rPr>
        <w:t>,</w:t>
      </w:r>
      <w:r>
        <w:rPr>
          <w:rFonts w:hint="eastAsia" w:eastAsia="方正仿宋_GBK"/>
          <w:color w:val="000000"/>
          <w:spacing w:val="-2"/>
          <w:kern w:val="0"/>
          <w:sz w:val="24"/>
        </w:rPr>
        <w:t>告知建设、施工、监理等单位。</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2.4</w:t>
      </w:r>
      <w:r>
        <w:rPr>
          <w:rFonts w:hint="eastAsia" w:eastAsia="方正仿宋_GBK"/>
          <w:color w:val="000000"/>
          <w:spacing w:val="-2"/>
          <w:kern w:val="0"/>
          <w:sz w:val="24"/>
        </w:rPr>
        <w:t>监督机构有关负责人应对《计划》实施情况进行督促检查，确保《计划》的有效实施。</w:t>
      </w:r>
    </w:p>
    <w:p>
      <w:pPr>
        <w:spacing w:line="460" w:lineRule="exact"/>
        <w:jc w:val="center"/>
        <w:rPr>
          <w:rFonts w:eastAsia="方正黑体_GBK"/>
          <w:color w:val="000000"/>
          <w:spacing w:val="-2"/>
          <w:kern w:val="0"/>
          <w:sz w:val="24"/>
        </w:rPr>
      </w:pP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3  </w:t>
      </w:r>
      <w:r>
        <w:rPr>
          <w:rFonts w:hint="eastAsia" w:eastAsia="方正黑体_GBK"/>
          <w:color w:val="000000"/>
          <w:spacing w:val="-2"/>
          <w:kern w:val="0"/>
          <w:sz w:val="24"/>
        </w:rPr>
        <w:t>工程质量行为抽查</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3.1</w:t>
      </w:r>
      <w:r>
        <w:rPr>
          <w:rFonts w:hint="eastAsia" w:eastAsia="方正仿宋_GBK"/>
          <w:color w:val="000000"/>
          <w:spacing w:val="-2"/>
          <w:kern w:val="0"/>
          <w:sz w:val="24"/>
        </w:rPr>
        <w:t>工程质量行为抽查，是指监督机构对工程质量责任主体和质量检测等单位履行法定质量责任和义务进行监督抽查的活动。</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3.2</w:t>
      </w:r>
      <w:r>
        <w:rPr>
          <w:rFonts w:hint="eastAsia" w:eastAsia="方正仿宋_GBK"/>
          <w:color w:val="000000"/>
          <w:spacing w:val="-2"/>
          <w:kern w:val="0"/>
          <w:sz w:val="24"/>
        </w:rPr>
        <w:t>工程质量行为抽查应遵守以下规定：</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工程质量行为抽查应突出重点，采取随机抽查方式。</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监督人员对工程质量责任主体提供的相关文件和资料进行抽查，首次抽查应填写《工程质量行为资料抽查记录》。</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抽查中发现有违规行为的，应签发《工程质量监督整改通知书》或《工程局部停工（暂停）通知书》，责令改正；对违反法律、法规、规章依法应当实施行政处罚的，监督机构应提出行政处罚建议，由有管辖权的主管部门实施行政处罚。</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对抽查中发现的问题，按有关规定向社会公布。</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3.3</w:t>
      </w:r>
      <w:r>
        <w:rPr>
          <w:rFonts w:hint="eastAsia" w:eastAsia="方正仿宋_GBK"/>
          <w:color w:val="000000"/>
          <w:spacing w:val="-2"/>
          <w:kern w:val="0"/>
          <w:sz w:val="24"/>
        </w:rPr>
        <w:t>工程质量行为抽查的重点，由监督机构根据工程项目和质量责任主体实际情况确定。</w:t>
      </w: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4  </w:t>
      </w:r>
      <w:r>
        <w:rPr>
          <w:rFonts w:hint="eastAsia" w:eastAsia="方正黑体_GBK"/>
          <w:color w:val="000000"/>
          <w:spacing w:val="-2"/>
          <w:kern w:val="0"/>
          <w:sz w:val="24"/>
        </w:rPr>
        <w:t>工程实体质量抽查</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4.1</w:t>
      </w:r>
      <w:r>
        <w:rPr>
          <w:rFonts w:hint="eastAsia" w:eastAsia="方正仿宋_GBK"/>
          <w:color w:val="000000"/>
          <w:spacing w:val="-2"/>
          <w:kern w:val="0"/>
          <w:sz w:val="24"/>
        </w:rPr>
        <w:t>工程实体质量抽查，是指监督机构对涉及工程主体结构安全和主要使用功能的工程实体质量进行监督抽查的活动。</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4.2</w:t>
      </w:r>
      <w:r>
        <w:rPr>
          <w:rFonts w:hint="eastAsia" w:eastAsia="方正仿宋_GBK"/>
          <w:color w:val="000000"/>
          <w:spacing w:val="-2"/>
          <w:kern w:val="0"/>
          <w:sz w:val="24"/>
        </w:rPr>
        <w:t>工程实体质量抽查应遵守以下规定：</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突出抽查施工质量验收规范中强制性条文的实施情况；</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随机抽查关键工序和部位的施工作业面施工质量；</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抽查涉及结构安全与使用功能的主要原材料、建筑构配件和设备的出厂合格证、试验报告及见证取样送检资料；</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监督人员应根据抽查结果，填写《工程实体质量抽查记录》，提出明确的抽查意见；对违反相关法规、影响结构安全及使用功能的质量问题，应签发整改通知书或局部停工（暂停）通知书或行政处罚建议书。</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4.3</w:t>
      </w:r>
      <w:r>
        <w:rPr>
          <w:rFonts w:hint="eastAsia" w:eastAsia="方正仿宋_GBK"/>
          <w:color w:val="000000"/>
          <w:spacing w:val="-2"/>
          <w:kern w:val="0"/>
          <w:sz w:val="24"/>
        </w:rPr>
        <w:t>工程实体质量抽查的重点内容，由监督机构根据工程特点、施工进度、质量状况确定。</w:t>
      </w: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5  </w:t>
      </w:r>
      <w:r>
        <w:rPr>
          <w:rFonts w:hint="eastAsia" w:eastAsia="方正黑体_GBK"/>
          <w:color w:val="000000"/>
          <w:spacing w:val="-2"/>
          <w:kern w:val="0"/>
          <w:sz w:val="24"/>
        </w:rPr>
        <w:t>工程质量监督抽测</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5.1</w:t>
      </w:r>
      <w:r>
        <w:rPr>
          <w:rFonts w:hint="eastAsia" w:eastAsia="方正仿宋_GBK"/>
          <w:color w:val="000000"/>
          <w:spacing w:val="-2"/>
          <w:kern w:val="0"/>
          <w:sz w:val="24"/>
        </w:rPr>
        <w:t>工程质量监督抽测，是指监督机构运用便携式检测仪器设备对工程实体质量进行监督检查的一种手段。</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xml:space="preserve">5.2 </w:t>
      </w:r>
      <w:r>
        <w:rPr>
          <w:rFonts w:hint="eastAsia" w:eastAsia="方正仿宋_GBK"/>
          <w:color w:val="000000"/>
          <w:spacing w:val="-2"/>
          <w:kern w:val="0"/>
          <w:sz w:val="24"/>
        </w:rPr>
        <w:t>工程质量监督抽测应遵守以下规定：</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抽测重点是涉及工程结构安全的关键部位和主要使用功能；</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抽测项目和部位，应根据工程的性质、特点、规模、结构形式、施工进度和质量状况等因素确定；</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经抽测对工程质量确有怀疑的，监督机构应责令建设单位委托有资质的检测单位按有关规定进行检测，并出具检测报告；</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检测结果不符合设计要求、规范标准的，应按有关规定和要求进行处理；</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每次监督抽测后，应填写《工程质量监督抽测记录》。</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5.3</w:t>
      </w:r>
      <w:r>
        <w:rPr>
          <w:rFonts w:hint="eastAsia" w:eastAsia="方正仿宋_GBK"/>
          <w:color w:val="000000"/>
          <w:spacing w:val="-2"/>
          <w:kern w:val="0"/>
          <w:sz w:val="24"/>
        </w:rPr>
        <w:t>工程质量监督抽测的主要项目，由监督机构参照下述项目范围确定：</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承重结构混凝土强度；</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主要受力钢筋保护层厚度；</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现浇楼板结构厚度；</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安装工程中涉及安全及重要使用功能的项目；</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桥梁工程、隧道工程主体结构混凝土强度，断面尺寸，钢筋保护层厚度、位置；</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需要抽测的其它项目。</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5.4</w:t>
      </w:r>
      <w:r>
        <w:rPr>
          <w:rFonts w:hint="eastAsia" w:eastAsia="方正仿宋_GBK"/>
          <w:color w:val="000000"/>
          <w:spacing w:val="-2"/>
          <w:kern w:val="0"/>
          <w:sz w:val="24"/>
        </w:rPr>
        <w:t>监督机构应对工程质量监督抽测的数据及时归档。</w:t>
      </w: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6  </w:t>
      </w:r>
      <w:r>
        <w:rPr>
          <w:rFonts w:hint="eastAsia" w:eastAsia="方正黑体_GBK"/>
          <w:color w:val="000000"/>
          <w:spacing w:val="-2"/>
          <w:kern w:val="0"/>
          <w:sz w:val="24"/>
        </w:rPr>
        <w:t>工程质量事故（问题）处理监督</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6.1</w:t>
      </w:r>
      <w:r>
        <w:rPr>
          <w:rFonts w:hint="eastAsia" w:eastAsia="方正仿宋_GBK"/>
          <w:color w:val="000000"/>
          <w:spacing w:val="-2"/>
          <w:kern w:val="0"/>
          <w:sz w:val="24"/>
        </w:rPr>
        <w:t>工程质量事故（问题）处理监督，是指监督机构依据有关工程建设法律、法规和强制性标准，对工程质量事故（问题）处理过程进行监督的活动。</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6.2</w:t>
      </w:r>
      <w:r>
        <w:rPr>
          <w:rFonts w:hint="eastAsia" w:eastAsia="方正仿宋_GBK"/>
          <w:color w:val="000000"/>
          <w:spacing w:val="-2"/>
          <w:kern w:val="0"/>
          <w:sz w:val="24"/>
        </w:rPr>
        <w:t>工程质量事故处理的监督内容及要求</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6.2.1</w:t>
      </w:r>
      <w:r>
        <w:rPr>
          <w:rFonts w:hint="eastAsia" w:eastAsia="方正仿宋_GBK"/>
          <w:color w:val="000000"/>
          <w:spacing w:val="-2"/>
          <w:kern w:val="0"/>
          <w:sz w:val="24"/>
        </w:rPr>
        <w:t>监督机构接到工程质量事故报告后，应及时向上级主管部门报告。</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 xml:space="preserve">6.2.2 </w:t>
      </w:r>
      <w:r>
        <w:rPr>
          <w:rFonts w:hint="eastAsia" w:eastAsia="方正仿宋_GBK"/>
          <w:color w:val="000000"/>
          <w:spacing w:val="-2"/>
          <w:kern w:val="0"/>
          <w:sz w:val="24"/>
        </w:rPr>
        <w:t>监督机构对发生工程质量事故的工程，应及时发出《工程局部停工</w:t>
      </w:r>
      <w:r>
        <w:rPr>
          <w:rFonts w:eastAsia="方正仿宋_GBK"/>
          <w:color w:val="000000"/>
          <w:spacing w:val="-2"/>
          <w:kern w:val="0"/>
          <w:sz w:val="24"/>
        </w:rPr>
        <w:t>(</w:t>
      </w:r>
      <w:r>
        <w:rPr>
          <w:rFonts w:hint="eastAsia" w:eastAsia="方正仿宋_GBK"/>
          <w:color w:val="000000"/>
          <w:spacing w:val="-2"/>
          <w:kern w:val="0"/>
          <w:sz w:val="24"/>
        </w:rPr>
        <w:t>暂停</w:t>
      </w:r>
      <w:r>
        <w:rPr>
          <w:rFonts w:eastAsia="方正仿宋_GBK"/>
          <w:color w:val="000000"/>
          <w:spacing w:val="-2"/>
          <w:kern w:val="0"/>
          <w:sz w:val="24"/>
        </w:rPr>
        <w:t>)</w:t>
      </w:r>
      <w:r>
        <w:rPr>
          <w:rFonts w:hint="eastAsia" w:eastAsia="方正仿宋_GBK"/>
          <w:color w:val="000000"/>
          <w:spacing w:val="-2"/>
          <w:kern w:val="0"/>
          <w:sz w:val="24"/>
        </w:rPr>
        <w:t>通知书》。</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6.2.3</w:t>
      </w:r>
      <w:r>
        <w:rPr>
          <w:rFonts w:hint="eastAsia" w:eastAsia="方正仿宋_GBK"/>
          <w:color w:val="000000"/>
          <w:spacing w:val="-2"/>
          <w:kern w:val="0"/>
          <w:sz w:val="24"/>
        </w:rPr>
        <w:t>工程质量事故处理符合有关规定后，监督机构应及时签发《工程复工通知书》。</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6.2.4</w:t>
      </w:r>
      <w:r>
        <w:rPr>
          <w:rFonts w:hint="eastAsia" w:eastAsia="方正仿宋_GBK"/>
          <w:color w:val="000000"/>
          <w:spacing w:val="-2"/>
          <w:kern w:val="0"/>
          <w:sz w:val="24"/>
        </w:rPr>
        <w:t>监督机构应对事故的处理过程进行监督检查。</w:t>
      </w:r>
    </w:p>
    <w:p>
      <w:pPr>
        <w:spacing w:line="460" w:lineRule="exact"/>
        <w:ind w:firstLine="580" w:firstLineChars="250"/>
        <w:rPr>
          <w:rFonts w:eastAsia="方正仿宋_GBK"/>
          <w:color w:val="000000"/>
          <w:spacing w:val="-2"/>
          <w:kern w:val="0"/>
          <w:sz w:val="24"/>
        </w:rPr>
      </w:pPr>
      <w:r>
        <w:rPr>
          <w:rFonts w:eastAsia="方正仿宋_GBK"/>
          <w:color w:val="000000"/>
          <w:spacing w:val="-2"/>
          <w:kern w:val="0"/>
          <w:sz w:val="24"/>
        </w:rPr>
        <w:t>6.3</w:t>
      </w:r>
      <w:r>
        <w:rPr>
          <w:rFonts w:hint="eastAsia" w:eastAsia="方正仿宋_GBK"/>
          <w:color w:val="000000"/>
          <w:spacing w:val="-2"/>
          <w:kern w:val="0"/>
          <w:sz w:val="24"/>
        </w:rPr>
        <w:t>工程质量问题处理监督，按有关规定执行。</w:t>
      </w:r>
    </w:p>
    <w:p>
      <w:pPr>
        <w:spacing w:line="460" w:lineRule="exact"/>
        <w:ind w:firstLine="559" w:firstLineChars="241"/>
        <w:rPr>
          <w:rFonts w:eastAsia="方正仿宋_GBK"/>
          <w:color w:val="000000"/>
          <w:spacing w:val="-2"/>
          <w:kern w:val="0"/>
          <w:sz w:val="24"/>
        </w:rPr>
      </w:pPr>
      <w:r>
        <w:rPr>
          <w:rFonts w:eastAsia="方正仿宋_GBK"/>
          <w:color w:val="000000"/>
          <w:spacing w:val="-2"/>
          <w:kern w:val="0"/>
          <w:sz w:val="24"/>
        </w:rPr>
        <w:t>6.4</w:t>
      </w:r>
      <w:r>
        <w:rPr>
          <w:rFonts w:hint="eastAsia" w:eastAsia="方正仿宋_GBK"/>
          <w:color w:val="000000"/>
          <w:spacing w:val="-2"/>
          <w:kern w:val="0"/>
          <w:sz w:val="24"/>
        </w:rPr>
        <w:t>监督机构应及时将事故处理的相关资料收集整理并归入监督档案。</w:t>
      </w: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7  </w:t>
      </w:r>
      <w:r>
        <w:rPr>
          <w:rFonts w:hint="eastAsia" w:eastAsia="方正黑体_GBK"/>
          <w:color w:val="000000"/>
          <w:spacing w:val="-2"/>
          <w:kern w:val="0"/>
          <w:sz w:val="24"/>
        </w:rPr>
        <w:t>工程竣工验收监督</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7.1</w:t>
      </w:r>
      <w:r>
        <w:rPr>
          <w:rFonts w:hint="eastAsia" w:eastAsia="方正仿宋_GBK"/>
          <w:color w:val="000000"/>
          <w:spacing w:val="-2"/>
          <w:kern w:val="0"/>
          <w:sz w:val="24"/>
        </w:rPr>
        <w:t>工程竣工验收监督，是指监督机构依据工程建设有关法律、法规和技术标准等，对工程质量竣工验收活动进行的监督检查。</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7.2</w:t>
      </w:r>
      <w:r>
        <w:rPr>
          <w:rFonts w:hint="eastAsia" w:eastAsia="方正仿宋_GBK"/>
          <w:color w:val="000000"/>
          <w:spacing w:val="-2"/>
          <w:kern w:val="0"/>
          <w:sz w:val="24"/>
        </w:rPr>
        <w:t>工程竣工验收应符合下列条件：</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建设单位确认已完成工程设计和合同约定的各项内容（住宅工程已通过分户验收），法定建设程序符合要求，项目负责人审核签字完备。</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施工单位在工程完工后对工程质量进行了检查，确认工程质量符合有关法律、法规和工程建设强制性标准，符合设计文件及合同要求，并提出工程竣工报告。工程竣工报告应经项目经理和施工单位有关负责人审核签字。</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对于委托监理的工程项目，监理单位对工程进行了质量评估，具有完整的监理资料，并提出工程质量评估报告。工程质量评估报告应经总监理工程师和监理单位有关负责人审核签字。</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勘察、设计单位对勘察、设计文件及施工过程中由设计单位签署的设计变更通知书进行了检查，并提出质量检查报告。质量检查报告应经该项目勘察、设计负责人和勘察、设计单位有关负责人审核签字。</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建筑节能分部验收已符合要求。</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有完整的技术档案和施工管理资料。</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(7)</w:t>
      </w:r>
      <w:r>
        <w:rPr>
          <w:rFonts w:hint="eastAsia" w:eastAsia="方正仿宋_GBK"/>
          <w:color w:val="000000"/>
          <w:spacing w:val="-2"/>
          <w:kern w:val="0"/>
          <w:sz w:val="24"/>
        </w:rPr>
        <w:t>有施工单位签署的工程质量保修书。</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(8)</w:t>
      </w:r>
      <w:r>
        <w:rPr>
          <w:rFonts w:hint="eastAsia" w:eastAsia="方正仿宋_GBK"/>
          <w:color w:val="000000"/>
          <w:spacing w:val="-2"/>
          <w:kern w:val="0"/>
          <w:sz w:val="24"/>
        </w:rPr>
        <w:t>监督机构责令整改的问题全部整改完毕。</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w:t>
      </w:r>
      <w:r>
        <w:rPr>
          <w:rFonts w:hint="eastAsia" w:eastAsia="方正仿宋_GBK"/>
          <w:color w:val="000000"/>
          <w:spacing w:val="-2"/>
          <w:kern w:val="0"/>
          <w:sz w:val="24"/>
        </w:rPr>
        <w:t>有相关法规规定的认可文件或者准许使用文件。</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7.3</w:t>
      </w:r>
      <w:r>
        <w:rPr>
          <w:rFonts w:hint="eastAsia" w:eastAsia="方正仿宋_GBK"/>
          <w:color w:val="000000"/>
          <w:spacing w:val="-2"/>
          <w:kern w:val="0"/>
          <w:sz w:val="24"/>
        </w:rPr>
        <w:t>建设单位在组织工程竣工验收时，监督机构应对其验收活动实施监督，监督的重点是验收的组织形式、程序等，并对实体质量、相关资料和建筑物明显部位设置永久性标牌进行抽查。</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7.4</w:t>
      </w:r>
      <w:r>
        <w:rPr>
          <w:rFonts w:hint="eastAsia" w:eastAsia="方正仿宋_GBK"/>
          <w:color w:val="000000"/>
          <w:spacing w:val="-2"/>
          <w:kern w:val="0"/>
          <w:sz w:val="24"/>
        </w:rPr>
        <w:t>当参加验收各方对工程竣工验收意见一致时，监督机构应提出明确的验收监督意见，并做好验收监督记录；当参加验收各方对工程质量验收意见不一致时，应当协商提出解决的办法，待意见一致后，重新组织验收。</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7.5</w:t>
      </w:r>
      <w:r>
        <w:rPr>
          <w:rFonts w:hint="eastAsia" w:eastAsia="方正仿宋_GBK"/>
          <w:color w:val="000000"/>
          <w:spacing w:val="-2"/>
          <w:kern w:val="0"/>
          <w:sz w:val="24"/>
        </w:rPr>
        <w:t>监督机构如发现有违反工程质量管理规定行为、强制性标准的，应责令改正或要求整改后重新验收。</w:t>
      </w:r>
    </w:p>
    <w:p>
      <w:pPr>
        <w:spacing w:line="460" w:lineRule="exact"/>
        <w:ind w:firstLine="464" w:firstLineChars="200"/>
        <w:rPr>
          <w:rFonts w:eastAsia="方正仿宋_GBK"/>
          <w:color w:val="000000"/>
          <w:spacing w:val="-2"/>
          <w:kern w:val="0"/>
          <w:sz w:val="24"/>
        </w:rPr>
      </w:pP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8  </w:t>
      </w:r>
      <w:r>
        <w:rPr>
          <w:rFonts w:hint="eastAsia" w:eastAsia="方正黑体_GBK"/>
          <w:color w:val="000000"/>
          <w:spacing w:val="-2"/>
          <w:kern w:val="0"/>
          <w:sz w:val="24"/>
        </w:rPr>
        <w:t>工程质量监督报告</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8.1</w:t>
      </w:r>
      <w:r>
        <w:rPr>
          <w:rFonts w:hint="eastAsia" w:eastAsia="方正仿宋_GBK"/>
          <w:color w:val="000000"/>
          <w:spacing w:val="-2"/>
          <w:kern w:val="0"/>
          <w:sz w:val="24"/>
        </w:rPr>
        <w:t>工程质量监督报告（以下简称《监督报告》），是指工程质量竣工验收合格后，监督机构按规定要求向备案机关报送的工程项目监督抽查的综合性文件。</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8.2</w:t>
      </w:r>
      <w:r>
        <w:rPr>
          <w:rFonts w:hint="eastAsia" w:eastAsia="方正仿宋_GBK"/>
          <w:color w:val="000000"/>
          <w:spacing w:val="-2"/>
          <w:kern w:val="0"/>
          <w:sz w:val="24"/>
        </w:rPr>
        <w:t>监督机构应当在工程质量竣工验收合格之日起，</w:t>
      </w:r>
      <w:r>
        <w:rPr>
          <w:rFonts w:eastAsia="方正仿宋_GBK"/>
          <w:color w:val="000000"/>
          <w:spacing w:val="-2"/>
          <w:kern w:val="0"/>
          <w:sz w:val="24"/>
        </w:rPr>
        <w:t>5</w:t>
      </w:r>
      <w:r>
        <w:rPr>
          <w:rFonts w:hint="eastAsia" w:eastAsia="方正仿宋_GBK"/>
          <w:color w:val="000000"/>
          <w:spacing w:val="-2"/>
          <w:kern w:val="0"/>
          <w:sz w:val="24"/>
        </w:rPr>
        <w:t>日内向备案机关提交《监督报告》。</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8.3</w:t>
      </w:r>
      <w:r>
        <w:rPr>
          <w:rFonts w:hint="eastAsia" w:eastAsia="方正仿宋_GBK"/>
          <w:color w:val="000000"/>
          <w:spacing w:val="-2"/>
          <w:kern w:val="0"/>
          <w:sz w:val="24"/>
        </w:rPr>
        <w:t>《监督报告》应由该项目的监督人员组织编写，经有关负责人审查、站长签发，一式两份，加盖公章后，一份提交备案机关，另一份存档。</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8.4</w:t>
      </w:r>
      <w:r>
        <w:rPr>
          <w:rFonts w:hint="eastAsia" w:eastAsia="方正仿宋_GBK"/>
          <w:color w:val="000000"/>
          <w:spacing w:val="-2"/>
          <w:kern w:val="0"/>
          <w:sz w:val="24"/>
        </w:rPr>
        <w:t>《监督报告》应反映监督机构对工程质量的监督抽查情况、参建各方责任主体的质量行为及工程实体的质量状况，其主要内容：</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工程基本情况；</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参建各方责任主体质量行为监督抽查情况；</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工程实体质量抽查及监督抽测情况；</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工程质量控制资料及安全和功能检验资料抽查情况；</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(5)</w:t>
      </w:r>
      <w:r>
        <w:rPr>
          <w:rFonts w:hint="eastAsia" w:eastAsia="方正仿宋_GBK"/>
          <w:color w:val="000000"/>
          <w:spacing w:val="-2"/>
          <w:kern w:val="0"/>
          <w:sz w:val="24"/>
        </w:rPr>
        <w:t>工程质量事故（问题）整改处理监督情况；</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(6)</w:t>
      </w:r>
      <w:r>
        <w:rPr>
          <w:rFonts w:hint="eastAsia" w:eastAsia="方正仿宋_GBK"/>
          <w:color w:val="000000"/>
          <w:spacing w:val="-2"/>
          <w:kern w:val="0"/>
          <w:sz w:val="24"/>
        </w:rPr>
        <w:t>工程质量竣工验收监督意见；</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(7)</w:t>
      </w:r>
      <w:r>
        <w:rPr>
          <w:rFonts w:hint="eastAsia" w:eastAsia="方正仿宋_GBK"/>
          <w:color w:val="000000"/>
          <w:spacing w:val="-2"/>
          <w:kern w:val="0"/>
          <w:sz w:val="24"/>
        </w:rPr>
        <w:t>对工程遗留质量缺陷的监督意见。</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8.5</w:t>
      </w:r>
      <w:r>
        <w:rPr>
          <w:rFonts w:hint="eastAsia" w:eastAsia="方正仿宋_GBK"/>
          <w:color w:val="000000"/>
          <w:spacing w:val="-2"/>
          <w:kern w:val="0"/>
          <w:sz w:val="24"/>
        </w:rPr>
        <w:t>《监督报告》须采用全省统一文本格式。</w:t>
      </w: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9  </w:t>
      </w:r>
      <w:r>
        <w:rPr>
          <w:rFonts w:hint="eastAsia" w:eastAsia="方正黑体_GBK"/>
          <w:color w:val="000000"/>
          <w:spacing w:val="-2"/>
          <w:kern w:val="0"/>
          <w:sz w:val="24"/>
        </w:rPr>
        <w:t>工程质量监督档案管理</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9.1</w:t>
      </w:r>
      <w:r>
        <w:rPr>
          <w:rFonts w:hint="eastAsia" w:eastAsia="方正仿宋_GBK"/>
          <w:color w:val="000000"/>
          <w:spacing w:val="-2"/>
          <w:kern w:val="0"/>
          <w:sz w:val="24"/>
        </w:rPr>
        <w:t>工程质量监督档案，是指在工程建设活动中监督机构按照省质监总站统一制订的表式，所形成的能反映工程质量监督过程及结果的记录，包括文本档案与电子档案。</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9.2</w:t>
      </w:r>
      <w:r>
        <w:rPr>
          <w:rFonts w:hint="eastAsia" w:eastAsia="方正仿宋_GBK"/>
          <w:color w:val="000000"/>
          <w:spacing w:val="-2"/>
          <w:kern w:val="0"/>
          <w:sz w:val="24"/>
        </w:rPr>
        <w:t>工程质量监督档案主要内容如下：</w:t>
      </w:r>
    </w:p>
    <w:p>
      <w:pPr>
        <w:spacing w:line="460" w:lineRule="exact"/>
        <w:ind w:firstLine="464" w:firstLineChars="200"/>
        <w:rPr>
          <w:rFonts w:eastAsia="方正仿宋_GBK"/>
          <w:color w:val="000000"/>
          <w:spacing w:val="-2"/>
          <w:kern w:val="0"/>
          <w:sz w:val="24"/>
        </w:rPr>
      </w:pPr>
      <w:r>
        <w:rPr>
          <w:rFonts w:hint="eastAsia" w:eastAsia="方正仿宋_GBK"/>
          <w:color w:val="000000"/>
          <w:spacing w:val="-2"/>
          <w:kern w:val="0"/>
          <w:sz w:val="24"/>
        </w:rPr>
        <w:t>工程质量监督申报表，工程质量监督通知书，工程质量监督工作计划，工程质量行为资料抽查记录，工程质量行为抽查记录，工程实体质量抽查记录，工程实体质量抽测记录，建筑节能分部验收抽查记录，住宅工程质量分户验收抽查记录，工程质量监督抽查整改通知书，工程局部停工（暂停）通知书，工程复工通知书，工程质量事故（问题）处理的有关资料，工程质量申请行政处罚报告，工程竣工验收记录，工程竣工验收监督记录，工程质量监督报告，需要保存的其它文件、资料、图片汇总表。</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9.3</w:t>
      </w:r>
      <w:r>
        <w:rPr>
          <w:rFonts w:hint="eastAsia" w:eastAsia="方正仿宋_GBK"/>
          <w:color w:val="000000"/>
          <w:spacing w:val="-2"/>
          <w:kern w:val="0"/>
          <w:sz w:val="24"/>
        </w:rPr>
        <w:t>监督机构每年定期将工程质量监督信息数据备份，并刻录到光盘或其它存储介质上，形成工程质量监督电子档案。</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9.4</w:t>
      </w:r>
      <w:r>
        <w:rPr>
          <w:rFonts w:hint="eastAsia" w:eastAsia="方正仿宋_GBK"/>
          <w:color w:val="000000"/>
          <w:spacing w:val="-2"/>
          <w:kern w:val="0"/>
          <w:sz w:val="24"/>
        </w:rPr>
        <w:t>工程质量监督档案应随工程进度及时整理、归档。</w:t>
      </w:r>
    </w:p>
    <w:p>
      <w:pPr>
        <w:spacing w:line="460" w:lineRule="exact"/>
        <w:ind w:firstLine="464" w:firstLineChars="200"/>
        <w:outlineLvl w:val="0"/>
        <w:rPr>
          <w:rFonts w:eastAsia="方正仿宋_GBK"/>
          <w:color w:val="000000"/>
          <w:spacing w:val="-2"/>
          <w:kern w:val="0"/>
          <w:sz w:val="24"/>
        </w:rPr>
      </w:pPr>
      <w:bookmarkStart w:id="765" w:name="_Toc20726569"/>
      <w:bookmarkStart w:id="766" w:name="_Toc20668040"/>
      <w:bookmarkStart w:id="767" w:name="_Toc18315710"/>
      <w:r>
        <w:rPr>
          <w:rFonts w:eastAsia="方正仿宋_GBK"/>
          <w:color w:val="000000"/>
          <w:spacing w:val="-2"/>
          <w:kern w:val="0"/>
          <w:sz w:val="24"/>
        </w:rPr>
        <w:t xml:space="preserve">9.4.1 </w:t>
      </w:r>
      <w:r>
        <w:rPr>
          <w:rFonts w:hint="eastAsia" w:eastAsia="方正仿宋_GBK"/>
          <w:color w:val="000000"/>
          <w:spacing w:val="-2"/>
          <w:kern w:val="0"/>
          <w:sz w:val="24"/>
        </w:rPr>
        <w:t>工程质量监督档案文件的归档要求：</w:t>
      </w:r>
      <w:bookmarkEnd w:id="765"/>
      <w:bookmarkEnd w:id="766"/>
      <w:bookmarkEnd w:id="767"/>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归档文件应为原件，必须真实、准确；</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归档文件应采用耐久性强的书写材料，不得使用易褪色的书写材料；</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归档文件字迹清楚、签字盖章手续完备；</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归档文件中文字材料幅面尺寸规格宜为</w:t>
      </w:r>
      <w:r>
        <w:rPr>
          <w:rFonts w:eastAsia="方正仿宋_GBK"/>
          <w:color w:val="000000"/>
          <w:spacing w:val="-2"/>
          <w:kern w:val="0"/>
          <w:sz w:val="24"/>
        </w:rPr>
        <w:t>A4</w:t>
      </w:r>
      <w:r>
        <w:rPr>
          <w:rFonts w:hint="eastAsia" w:eastAsia="方正仿宋_GBK"/>
          <w:color w:val="000000"/>
          <w:spacing w:val="-2"/>
          <w:kern w:val="0"/>
          <w:sz w:val="24"/>
        </w:rPr>
        <w:t>幅面（</w:t>
      </w:r>
      <w:r>
        <w:rPr>
          <w:rFonts w:eastAsia="方正仿宋_GBK"/>
          <w:color w:val="000000"/>
          <w:spacing w:val="-2"/>
          <w:kern w:val="0"/>
          <w:sz w:val="24"/>
        </w:rPr>
        <w:t>297mm×210mm</w:t>
      </w:r>
      <w:r>
        <w:rPr>
          <w:rFonts w:hint="eastAsia" w:eastAsia="方正仿宋_GBK"/>
          <w:color w:val="000000"/>
          <w:spacing w:val="-2"/>
          <w:kern w:val="0"/>
          <w:sz w:val="24"/>
        </w:rPr>
        <w:t>），图纸宜采用国家标准图幅。卷内文件页号应符合下列规定：</w:t>
      </w:r>
    </w:p>
    <w:p>
      <w:pPr>
        <w:spacing w:line="460" w:lineRule="exact"/>
        <w:ind w:firstLine="464" w:firstLineChars="200"/>
        <w:rPr>
          <w:rFonts w:eastAsia="方正仿宋_GBK"/>
          <w:color w:val="000000"/>
          <w:spacing w:val="-2"/>
          <w:kern w:val="0"/>
          <w:sz w:val="24"/>
        </w:rPr>
      </w:pPr>
      <w:r>
        <w:rPr>
          <w:rFonts w:hint="eastAsia" w:ascii="Times New Roman" w:hAnsi="Times New Roman" w:cs="宋体"/>
          <w:color w:val="000000"/>
          <w:spacing w:val="-2"/>
          <w:kern w:val="0"/>
          <w:sz w:val="24"/>
        </w:rPr>
        <w:t>①</w:t>
      </w:r>
      <w:r>
        <w:rPr>
          <w:rFonts w:hint="eastAsia" w:eastAsia="方正仿宋_GBK"/>
          <w:color w:val="000000"/>
          <w:spacing w:val="-2"/>
          <w:kern w:val="0"/>
          <w:sz w:val="24"/>
        </w:rPr>
        <w:t>卷内文件按有书写内容的页面编号，每卷单独编号，页号从</w:t>
      </w:r>
      <w:r>
        <w:rPr>
          <w:rFonts w:eastAsia="方正仿宋_GBK"/>
          <w:color w:val="000000"/>
          <w:spacing w:val="-2"/>
          <w:kern w:val="0"/>
          <w:sz w:val="24"/>
        </w:rPr>
        <w:t>“1”</w:t>
      </w:r>
      <w:r>
        <w:rPr>
          <w:rFonts w:hint="eastAsia" w:eastAsia="方正仿宋_GBK"/>
          <w:color w:val="000000"/>
          <w:spacing w:val="-2"/>
          <w:kern w:val="0"/>
          <w:sz w:val="24"/>
        </w:rPr>
        <w:t>开始；</w:t>
      </w:r>
    </w:p>
    <w:p>
      <w:pPr>
        <w:spacing w:line="460" w:lineRule="exact"/>
        <w:ind w:firstLine="464" w:firstLineChars="200"/>
        <w:rPr>
          <w:rFonts w:eastAsia="方正仿宋_GBK"/>
          <w:color w:val="000000"/>
          <w:spacing w:val="-2"/>
          <w:kern w:val="0"/>
          <w:sz w:val="24"/>
        </w:rPr>
      </w:pPr>
      <w:r>
        <w:rPr>
          <w:rFonts w:hint="eastAsia" w:ascii="Times New Roman" w:hAnsi="Times New Roman" w:cs="宋体"/>
          <w:color w:val="000000"/>
          <w:spacing w:val="-2"/>
          <w:kern w:val="0"/>
          <w:sz w:val="24"/>
        </w:rPr>
        <w:t>②</w:t>
      </w:r>
      <w:r>
        <w:rPr>
          <w:rFonts w:hint="eastAsia" w:eastAsia="方正仿宋_GBK"/>
          <w:color w:val="000000"/>
          <w:spacing w:val="-2"/>
          <w:kern w:val="0"/>
          <w:sz w:val="24"/>
        </w:rPr>
        <w:t>页号编写的位置：单面书写的文件在右下角，双面书写的文件，正面在右下角，背面左下角，折叠的图纸一律在右下角。</w:t>
      </w:r>
    </w:p>
    <w:p>
      <w:pPr>
        <w:spacing w:line="460" w:lineRule="exact"/>
        <w:ind w:firstLine="464" w:firstLineChars="200"/>
        <w:rPr>
          <w:rFonts w:eastAsia="方正仿宋_GBK"/>
          <w:color w:val="000000"/>
          <w:spacing w:val="-2"/>
          <w:kern w:val="0"/>
          <w:sz w:val="24"/>
        </w:rPr>
      </w:pPr>
      <w:r>
        <w:rPr>
          <w:rFonts w:hint="eastAsia" w:ascii="Times New Roman" w:hAnsi="Times New Roman" w:cs="宋体"/>
          <w:color w:val="000000"/>
          <w:spacing w:val="-2"/>
          <w:kern w:val="0"/>
          <w:sz w:val="24"/>
        </w:rPr>
        <w:t>③</w:t>
      </w:r>
      <w:r>
        <w:rPr>
          <w:rFonts w:hint="eastAsia" w:eastAsia="方正仿宋_GBK"/>
          <w:color w:val="000000"/>
          <w:spacing w:val="-2"/>
          <w:kern w:val="0"/>
          <w:sz w:val="24"/>
        </w:rPr>
        <w:t>案卷封面、卷内目录、卷内备考表不编写页号。</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 xml:space="preserve">9.4.2 </w:t>
      </w:r>
      <w:r>
        <w:rPr>
          <w:rFonts w:hint="eastAsia" w:eastAsia="方正仿宋_GBK"/>
          <w:color w:val="000000"/>
          <w:spacing w:val="-2"/>
          <w:kern w:val="0"/>
          <w:sz w:val="24"/>
        </w:rPr>
        <w:t>案卷文字材料必须装订，既有文字材料又有图纸的案卷应装订，装订应采用线绳三孔左侧装订法，要整齐牢固，便于保管和利用。</w:t>
      </w:r>
    </w:p>
    <w:p>
      <w:pPr>
        <w:spacing w:line="460" w:lineRule="exact"/>
        <w:ind w:firstLine="464" w:firstLineChars="200"/>
        <w:outlineLvl w:val="0"/>
        <w:rPr>
          <w:rFonts w:eastAsia="方正仿宋_GBK"/>
          <w:color w:val="000000"/>
          <w:spacing w:val="-2"/>
          <w:kern w:val="0"/>
          <w:sz w:val="24"/>
        </w:rPr>
      </w:pPr>
      <w:bookmarkStart w:id="768" w:name="_Toc20726570"/>
      <w:bookmarkStart w:id="769" w:name="_Toc20668041"/>
      <w:bookmarkStart w:id="770" w:name="_Toc18315711"/>
      <w:r>
        <w:rPr>
          <w:rFonts w:eastAsia="方正仿宋_GBK"/>
          <w:color w:val="000000"/>
          <w:spacing w:val="-2"/>
          <w:kern w:val="0"/>
          <w:sz w:val="24"/>
        </w:rPr>
        <w:t xml:space="preserve">9.4.3 </w:t>
      </w:r>
      <w:r>
        <w:rPr>
          <w:rFonts w:hint="eastAsia" w:eastAsia="方正仿宋_GBK"/>
          <w:color w:val="000000"/>
          <w:spacing w:val="-2"/>
          <w:kern w:val="0"/>
          <w:sz w:val="24"/>
        </w:rPr>
        <w:t>案卷装具一般采用卷盒、卷夹两种形式：</w:t>
      </w:r>
      <w:bookmarkEnd w:id="768"/>
      <w:bookmarkEnd w:id="769"/>
      <w:bookmarkEnd w:id="770"/>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卷盒的外表尺寸为</w:t>
      </w:r>
      <w:r>
        <w:rPr>
          <w:rFonts w:eastAsia="方正仿宋_GBK"/>
          <w:color w:val="000000"/>
          <w:spacing w:val="-2"/>
          <w:kern w:val="0"/>
          <w:sz w:val="24"/>
        </w:rPr>
        <w:t>310mm×220mm</w:t>
      </w:r>
      <w:r>
        <w:rPr>
          <w:rFonts w:hint="eastAsia" w:eastAsia="方正仿宋_GBK"/>
          <w:color w:val="000000"/>
          <w:spacing w:val="-2"/>
          <w:kern w:val="0"/>
          <w:sz w:val="24"/>
        </w:rPr>
        <w:t>，</w:t>
      </w:r>
      <w:r>
        <w:rPr>
          <w:rFonts w:eastAsia="方正仿宋_GBK"/>
          <w:color w:val="000000"/>
          <w:spacing w:val="-2"/>
          <w:kern w:val="0"/>
          <w:sz w:val="24"/>
        </w:rPr>
        <w:t xml:space="preserve"> </w:t>
      </w:r>
      <w:r>
        <w:rPr>
          <w:rFonts w:hint="eastAsia" w:eastAsia="方正仿宋_GBK"/>
          <w:color w:val="000000"/>
          <w:spacing w:val="-2"/>
          <w:kern w:val="0"/>
          <w:sz w:val="24"/>
        </w:rPr>
        <w:t>厚度分别为</w:t>
      </w:r>
      <w:r>
        <w:rPr>
          <w:rFonts w:eastAsia="方正仿宋_GBK"/>
          <w:color w:val="000000"/>
          <w:spacing w:val="-2"/>
          <w:kern w:val="0"/>
          <w:sz w:val="24"/>
        </w:rPr>
        <w:t>20</w:t>
      </w:r>
      <w:r>
        <w:rPr>
          <w:rFonts w:hint="eastAsia" w:eastAsia="方正仿宋_GBK"/>
          <w:color w:val="000000"/>
          <w:spacing w:val="-2"/>
          <w:kern w:val="0"/>
          <w:sz w:val="24"/>
        </w:rPr>
        <w:t>、</w:t>
      </w:r>
      <w:r>
        <w:rPr>
          <w:rFonts w:eastAsia="方正仿宋_GBK"/>
          <w:color w:val="000000"/>
          <w:spacing w:val="-2"/>
          <w:kern w:val="0"/>
          <w:sz w:val="24"/>
        </w:rPr>
        <w:t>30</w:t>
      </w:r>
      <w:r>
        <w:rPr>
          <w:rFonts w:hint="eastAsia" w:eastAsia="方正仿宋_GBK"/>
          <w:color w:val="000000"/>
          <w:spacing w:val="-2"/>
          <w:kern w:val="0"/>
          <w:sz w:val="24"/>
        </w:rPr>
        <w:t>、</w:t>
      </w:r>
      <w:r>
        <w:rPr>
          <w:rFonts w:eastAsia="方正仿宋_GBK"/>
          <w:color w:val="000000"/>
          <w:spacing w:val="-2"/>
          <w:kern w:val="0"/>
          <w:sz w:val="24"/>
        </w:rPr>
        <w:t>40</w:t>
      </w:r>
      <w:r>
        <w:rPr>
          <w:rFonts w:hint="eastAsia" w:eastAsia="方正仿宋_GBK"/>
          <w:color w:val="000000"/>
          <w:spacing w:val="-2"/>
          <w:kern w:val="0"/>
          <w:sz w:val="24"/>
        </w:rPr>
        <w:t>、</w:t>
      </w:r>
      <w:r>
        <w:rPr>
          <w:rFonts w:eastAsia="方正仿宋_GBK"/>
          <w:color w:val="000000"/>
          <w:spacing w:val="-2"/>
          <w:kern w:val="0"/>
          <w:sz w:val="24"/>
        </w:rPr>
        <w:t>50mm</w:t>
      </w:r>
      <w:r>
        <w:rPr>
          <w:rFonts w:hint="eastAsia" w:eastAsia="方正仿宋_GBK"/>
          <w:color w:val="000000"/>
          <w:spacing w:val="-2"/>
          <w:kern w:val="0"/>
          <w:sz w:val="24"/>
        </w:rPr>
        <w:t>。</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卷夹的外表尺寸为</w:t>
      </w:r>
      <w:r>
        <w:rPr>
          <w:rFonts w:eastAsia="方正仿宋_GBK"/>
          <w:color w:val="000000"/>
          <w:spacing w:val="-2"/>
          <w:kern w:val="0"/>
          <w:sz w:val="24"/>
        </w:rPr>
        <w:t>310mm×220mm</w:t>
      </w:r>
      <w:r>
        <w:rPr>
          <w:rFonts w:hint="eastAsia" w:eastAsia="方正仿宋_GBK"/>
          <w:color w:val="000000"/>
          <w:spacing w:val="-2"/>
          <w:kern w:val="0"/>
          <w:sz w:val="24"/>
        </w:rPr>
        <w:t>。</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9.5</w:t>
      </w:r>
      <w:r>
        <w:rPr>
          <w:rFonts w:hint="eastAsia" w:eastAsia="方正仿宋_GBK"/>
          <w:color w:val="000000"/>
          <w:spacing w:val="-2"/>
          <w:kern w:val="0"/>
          <w:sz w:val="24"/>
        </w:rPr>
        <w:t>工程质量监督档案的验收与移交</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9.5.1</w:t>
      </w:r>
      <w:r>
        <w:rPr>
          <w:rFonts w:hint="eastAsia" w:eastAsia="方正仿宋_GBK"/>
          <w:color w:val="000000"/>
          <w:spacing w:val="-2"/>
          <w:kern w:val="0"/>
          <w:sz w:val="24"/>
        </w:rPr>
        <w:t>工程质量监督档案由监督人员负责整理，监督机构有关负责人审核、检查，符合要求后向档案管理人员移交。</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9.5.2</w:t>
      </w:r>
      <w:r>
        <w:rPr>
          <w:rFonts w:hint="eastAsia" w:eastAsia="方正仿宋_GBK"/>
          <w:color w:val="000000"/>
          <w:spacing w:val="-2"/>
          <w:kern w:val="0"/>
          <w:sz w:val="24"/>
        </w:rPr>
        <w:t>监督机构应建立工程质量监督归档台账和档案室，档案室应符合档案存放、保管的要求，确保档案保存的质量。</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9.6</w:t>
      </w:r>
      <w:r>
        <w:rPr>
          <w:rFonts w:hint="eastAsia" w:eastAsia="方正仿宋_GBK"/>
          <w:color w:val="000000"/>
          <w:spacing w:val="-2"/>
          <w:kern w:val="0"/>
          <w:sz w:val="24"/>
        </w:rPr>
        <w:t>工程质量监督档案保存的期限：文本档案和电子档案保存的期限均为长期。</w:t>
      </w: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10  </w:t>
      </w:r>
      <w:r>
        <w:rPr>
          <w:rFonts w:hint="eastAsia" w:eastAsia="方正黑体_GBK"/>
          <w:color w:val="000000"/>
          <w:spacing w:val="-2"/>
          <w:kern w:val="0"/>
          <w:sz w:val="24"/>
        </w:rPr>
        <w:t>工程质量监督信息管理</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10.1</w:t>
      </w:r>
      <w:r>
        <w:rPr>
          <w:rFonts w:hint="eastAsia" w:eastAsia="方正仿宋_GBK"/>
          <w:color w:val="000000"/>
          <w:spacing w:val="-2"/>
          <w:kern w:val="0"/>
          <w:sz w:val="24"/>
        </w:rPr>
        <w:t>工程质量监督信息管理，是指监督机构利用计算机和网络技术，对所辖区域内的工程质量监督信息实行科学管理的活动。</w:t>
      </w:r>
    </w:p>
    <w:p>
      <w:pPr>
        <w:spacing w:line="460" w:lineRule="exact"/>
        <w:ind w:firstLine="464" w:firstLineChars="200"/>
        <w:rPr>
          <w:rFonts w:eastAsia="方正仿宋_GBK"/>
          <w:color w:val="000000"/>
          <w:spacing w:val="-2"/>
          <w:kern w:val="0"/>
          <w:sz w:val="24"/>
        </w:rPr>
      </w:pPr>
      <w:r>
        <w:rPr>
          <w:rFonts w:eastAsia="方正仿宋_GBK"/>
          <w:color w:val="000000"/>
          <w:spacing w:val="-2"/>
          <w:kern w:val="0"/>
          <w:sz w:val="24"/>
        </w:rPr>
        <w:t>10.2</w:t>
      </w:r>
      <w:r>
        <w:rPr>
          <w:rFonts w:hint="eastAsia" w:eastAsia="方正仿宋_GBK"/>
          <w:color w:val="000000"/>
          <w:spacing w:val="-2"/>
          <w:kern w:val="0"/>
          <w:sz w:val="24"/>
        </w:rPr>
        <w:t>工程质量监督信息管理的一般规定：</w:t>
      </w:r>
    </w:p>
    <w:p>
      <w:pPr>
        <w:spacing w:line="460" w:lineRule="exact"/>
        <w:ind w:firstLine="464" w:firstLineChars="200"/>
        <w:outlineLvl w:val="0"/>
        <w:rPr>
          <w:rFonts w:eastAsia="方正仿宋_GBK"/>
          <w:color w:val="000000"/>
          <w:spacing w:val="-2"/>
          <w:kern w:val="0"/>
          <w:sz w:val="24"/>
        </w:rPr>
      </w:pPr>
      <w:bookmarkStart w:id="771" w:name="_Toc18315712"/>
      <w:bookmarkStart w:id="772" w:name="_Toc20726571"/>
      <w:bookmarkStart w:id="773" w:name="_Toc20668042"/>
      <w:r>
        <w:rPr>
          <w:rFonts w:eastAsia="方正仿宋_GBK"/>
          <w:color w:val="000000"/>
          <w:spacing w:val="-2"/>
          <w:kern w:val="0"/>
          <w:sz w:val="24"/>
        </w:rPr>
        <w:t>10.2.1</w:t>
      </w:r>
      <w:r>
        <w:rPr>
          <w:rFonts w:hint="eastAsia" w:eastAsia="方正仿宋_GBK"/>
          <w:color w:val="000000"/>
          <w:spacing w:val="-2"/>
          <w:kern w:val="0"/>
          <w:sz w:val="24"/>
        </w:rPr>
        <w:t>监督机构应建立完整的信息化管理制度，保障信息系统的正常运行与安全。</w:t>
      </w:r>
      <w:bookmarkEnd w:id="771"/>
      <w:bookmarkEnd w:id="772"/>
      <w:bookmarkEnd w:id="773"/>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10.2.2</w:t>
      </w:r>
      <w:r>
        <w:rPr>
          <w:rFonts w:hint="eastAsia" w:eastAsia="方正仿宋_GBK"/>
          <w:color w:val="000000"/>
          <w:spacing w:val="-2"/>
          <w:kern w:val="0"/>
          <w:sz w:val="24"/>
        </w:rPr>
        <w:t>工程质量监督信息的收集，应真实、准确、及时，便于分析统计查阅。</w:t>
      </w:r>
    </w:p>
    <w:p>
      <w:pPr>
        <w:spacing w:line="460" w:lineRule="exact"/>
        <w:ind w:firstLine="522" w:firstLineChars="225"/>
        <w:outlineLvl w:val="0"/>
        <w:rPr>
          <w:rFonts w:eastAsia="方正仿宋_GBK"/>
          <w:color w:val="000000"/>
          <w:spacing w:val="-2"/>
          <w:kern w:val="0"/>
          <w:sz w:val="24"/>
        </w:rPr>
      </w:pPr>
      <w:bookmarkStart w:id="774" w:name="_Toc20668043"/>
      <w:bookmarkStart w:id="775" w:name="_Toc20726572"/>
      <w:bookmarkStart w:id="776" w:name="_Toc18315713"/>
      <w:r>
        <w:rPr>
          <w:rFonts w:eastAsia="方正仿宋_GBK"/>
          <w:color w:val="000000"/>
          <w:spacing w:val="-2"/>
          <w:kern w:val="0"/>
          <w:sz w:val="24"/>
        </w:rPr>
        <w:t>10.2.3</w:t>
      </w:r>
      <w:r>
        <w:rPr>
          <w:rFonts w:hint="eastAsia" w:eastAsia="方正仿宋_GBK"/>
          <w:color w:val="000000"/>
          <w:spacing w:val="-2"/>
          <w:kern w:val="0"/>
          <w:sz w:val="24"/>
        </w:rPr>
        <w:t>工程质量监督信息系统的硬件环境要求：</w:t>
      </w:r>
      <w:bookmarkEnd w:id="774"/>
      <w:bookmarkEnd w:id="775"/>
      <w:bookmarkEnd w:id="776"/>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监督机构应设立相应网站，并配置相应的服务器等网络及通讯设备。</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10.2.4</w:t>
      </w:r>
      <w:r>
        <w:rPr>
          <w:rFonts w:hint="eastAsia" w:eastAsia="方正仿宋_GBK"/>
          <w:color w:val="000000"/>
          <w:spacing w:val="-2"/>
          <w:kern w:val="0"/>
          <w:sz w:val="24"/>
        </w:rPr>
        <w:t>工程质量监督信息系统的软件环境要求：</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监督机构应建立工程质量监督业务信息系统，该系统须满足质量监督管理模式、监督档案、监督流程及监督机构内部管理的需要。</w:t>
      </w:r>
    </w:p>
    <w:p>
      <w:pPr>
        <w:spacing w:line="460" w:lineRule="exact"/>
        <w:ind w:firstLine="522" w:firstLineChars="225"/>
        <w:outlineLvl w:val="0"/>
        <w:rPr>
          <w:rFonts w:eastAsia="方正仿宋_GBK"/>
          <w:color w:val="000000"/>
          <w:spacing w:val="-2"/>
          <w:kern w:val="0"/>
          <w:sz w:val="24"/>
        </w:rPr>
      </w:pPr>
      <w:bookmarkStart w:id="777" w:name="_Toc20668044"/>
      <w:bookmarkStart w:id="778" w:name="_Toc20726573"/>
      <w:bookmarkStart w:id="779" w:name="_Toc18315714"/>
      <w:r>
        <w:rPr>
          <w:rFonts w:eastAsia="方正仿宋_GBK"/>
          <w:color w:val="000000"/>
          <w:spacing w:val="-2"/>
          <w:kern w:val="0"/>
          <w:sz w:val="24"/>
        </w:rPr>
        <w:t>10.2.5</w:t>
      </w:r>
      <w:r>
        <w:rPr>
          <w:rFonts w:hint="eastAsia" w:eastAsia="方正仿宋_GBK"/>
          <w:color w:val="000000"/>
          <w:spacing w:val="-2"/>
          <w:kern w:val="0"/>
          <w:sz w:val="24"/>
        </w:rPr>
        <w:t>工程质量监督信息系统管理人员的要求：</w:t>
      </w:r>
      <w:bookmarkEnd w:id="777"/>
      <w:bookmarkEnd w:id="778"/>
      <w:bookmarkEnd w:id="779"/>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省辖市的监督机构应设立专业的网络管理员；县</w:t>
      </w:r>
      <w:r>
        <w:rPr>
          <w:rFonts w:eastAsia="方正仿宋_GBK"/>
          <w:color w:val="000000"/>
          <w:spacing w:val="-2"/>
          <w:kern w:val="0"/>
          <w:sz w:val="24"/>
        </w:rPr>
        <w:t>(</w:t>
      </w:r>
      <w:r>
        <w:rPr>
          <w:rFonts w:hint="eastAsia" w:eastAsia="方正仿宋_GBK"/>
          <w:color w:val="000000"/>
          <w:spacing w:val="-2"/>
          <w:kern w:val="0"/>
          <w:sz w:val="24"/>
        </w:rPr>
        <w:t>市、区</w:t>
      </w:r>
      <w:r>
        <w:rPr>
          <w:rFonts w:eastAsia="方正仿宋_GBK"/>
          <w:color w:val="000000"/>
          <w:spacing w:val="-2"/>
          <w:kern w:val="0"/>
          <w:sz w:val="24"/>
        </w:rPr>
        <w:t>)</w:t>
      </w:r>
      <w:r>
        <w:rPr>
          <w:rFonts w:hint="eastAsia" w:eastAsia="方正仿宋_GBK"/>
          <w:color w:val="000000"/>
          <w:spacing w:val="-2"/>
          <w:kern w:val="0"/>
          <w:sz w:val="24"/>
        </w:rPr>
        <w:t>级的机构应设立专门的计算机管理员，并经过专门培训。</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对监督软件的所有使用者应进行培训，达到计算机应用的相应水平。</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10.2.6</w:t>
      </w:r>
      <w:r>
        <w:rPr>
          <w:rFonts w:hint="eastAsia" w:eastAsia="方正仿宋_GBK"/>
          <w:color w:val="000000"/>
          <w:spacing w:val="-2"/>
          <w:kern w:val="0"/>
          <w:sz w:val="24"/>
        </w:rPr>
        <w:t>工程质量监督信息系统的通讯要求：</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监督机构应根据主管部门及上级监督机构对信息工作的要求，确定信息传递周期，按规定时限向省质监总站报送电子报表。</w:t>
      </w:r>
    </w:p>
    <w:p>
      <w:pPr>
        <w:spacing w:line="460" w:lineRule="exact"/>
        <w:ind w:firstLine="522" w:firstLineChars="225"/>
        <w:outlineLvl w:val="0"/>
        <w:rPr>
          <w:rFonts w:eastAsia="方正仿宋_GBK"/>
          <w:color w:val="000000"/>
          <w:spacing w:val="-2"/>
          <w:kern w:val="0"/>
          <w:sz w:val="24"/>
        </w:rPr>
      </w:pPr>
      <w:bookmarkStart w:id="780" w:name="_Toc20726574"/>
      <w:bookmarkStart w:id="781" w:name="_Toc20668045"/>
      <w:bookmarkStart w:id="782" w:name="_Toc18315715"/>
      <w:r>
        <w:rPr>
          <w:rFonts w:eastAsia="方正仿宋_GBK"/>
          <w:color w:val="000000"/>
          <w:spacing w:val="-2"/>
          <w:kern w:val="0"/>
          <w:sz w:val="24"/>
        </w:rPr>
        <w:t>10.2.7</w:t>
      </w:r>
      <w:r>
        <w:rPr>
          <w:rFonts w:hint="eastAsia" w:eastAsia="方正仿宋_GBK"/>
          <w:color w:val="000000"/>
          <w:spacing w:val="-2"/>
          <w:kern w:val="0"/>
          <w:sz w:val="24"/>
        </w:rPr>
        <w:t>监督机构应及时将下列信息向社会公布：</w:t>
      </w:r>
      <w:bookmarkEnd w:id="780"/>
      <w:bookmarkEnd w:id="781"/>
      <w:bookmarkEnd w:id="782"/>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工作流程、办事程序、监督动态、工程质量相关法律法规等；</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对在监督工作中所发现的参建各方责任主体的问题，按照规定的程序和权限，通过网站向社会公布。</w:t>
      </w:r>
    </w:p>
    <w:p>
      <w:pPr>
        <w:spacing w:line="460" w:lineRule="exact"/>
        <w:jc w:val="center"/>
        <w:rPr>
          <w:rFonts w:eastAsia="方正黑体_GBK"/>
          <w:color w:val="000000"/>
          <w:spacing w:val="-2"/>
          <w:kern w:val="0"/>
          <w:sz w:val="24"/>
        </w:rPr>
      </w:pPr>
      <w:r>
        <w:rPr>
          <w:rFonts w:eastAsia="方正黑体_GBK"/>
          <w:color w:val="000000"/>
          <w:spacing w:val="-2"/>
          <w:kern w:val="0"/>
          <w:sz w:val="24"/>
        </w:rPr>
        <w:t xml:space="preserve">11  </w:t>
      </w:r>
      <w:r>
        <w:rPr>
          <w:rFonts w:hint="eastAsia" w:eastAsia="方正黑体_GBK"/>
          <w:color w:val="000000"/>
          <w:spacing w:val="-2"/>
          <w:kern w:val="0"/>
          <w:sz w:val="24"/>
        </w:rPr>
        <w:t>附</w:t>
      </w:r>
      <w:r>
        <w:rPr>
          <w:rFonts w:eastAsia="方正黑体_GBK"/>
          <w:color w:val="000000"/>
          <w:spacing w:val="-2"/>
          <w:kern w:val="0"/>
          <w:sz w:val="24"/>
        </w:rPr>
        <w:t xml:space="preserve">    </w:t>
      </w:r>
      <w:r>
        <w:rPr>
          <w:rFonts w:hint="eastAsia" w:eastAsia="方正黑体_GBK"/>
          <w:color w:val="000000"/>
          <w:spacing w:val="-2"/>
          <w:kern w:val="0"/>
          <w:sz w:val="24"/>
        </w:rPr>
        <w:t>则</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11.1</w:t>
      </w:r>
      <w:r>
        <w:rPr>
          <w:rFonts w:hint="eastAsia" w:eastAsia="方正仿宋_GBK"/>
          <w:color w:val="000000"/>
          <w:spacing w:val="-2"/>
          <w:kern w:val="0"/>
          <w:sz w:val="24"/>
        </w:rPr>
        <w:t>本细则由省住房和城乡建设厅负责解释。</w:t>
      </w:r>
    </w:p>
    <w:p>
      <w:pPr>
        <w:spacing w:line="460" w:lineRule="exact"/>
        <w:ind w:firstLine="513" w:firstLineChars="221"/>
        <w:rPr>
          <w:rFonts w:eastAsia="方正仿宋_GBK"/>
          <w:color w:val="000000"/>
          <w:spacing w:val="-2"/>
          <w:kern w:val="0"/>
          <w:sz w:val="24"/>
        </w:rPr>
      </w:pPr>
      <w:r>
        <w:rPr>
          <w:rFonts w:eastAsia="方正仿宋_GBK"/>
          <w:color w:val="000000"/>
          <w:spacing w:val="-2"/>
          <w:kern w:val="0"/>
          <w:sz w:val="24"/>
        </w:rPr>
        <w:t>11.2</w:t>
      </w:r>
      <w:r>
        <w:rPr>
          <w:rFonts w:hint="eastAsia" w:eastAsia="方正仿宋_GBK"/>
          <w:color w:val="000000"/>
          <w:spacing w:val="-2"/>
          <w:kern w:val="0"/>
          <w:sz w:val="24"/>
        </w:rPr>
        <w:t>本细则自二〇一二年一月一日起施行，原《江苏省建设工程质量监督工作实施细则》（苏建质〔</w:t>
      </w:r>
      <w:r>
        <w:rPr>
          <w:rFonts w:eastAsia="方正仿宋_GBK"/>
          <w:color w:val="000000"/>
          <w:spacing w:val="-2"/>
          <w:kern w:val="0"/>
          <w:sz w:val="24"/>
        </w:rPr>
        <w:t>2004</w:t>
      </w:r>
      <w:r>
        <w:rPr>
          <w:rFonts w:hint="eastAsia" w:eastAsia="方正仿宋_GBK"/>
          <w:color w:val="000000"/>
          <w:spacing w:val="-2"/>
          <w:kern w:val="0"/>
          <w:sz w:val="24"/>
        </w:rPr>
        <w:t>〕</w:t>
      </w:r>
      <w:r>
        <w:rPr>
          <w:rFonts w:eastAsia="方正仿宋_GBK"/>
          <w:color w:val="000000"/>
          <w:spacing w:val="-2"/>
          <w:kern w:val="0"/>
          <w:sz w:val="24"/>
        </w:rPr>
        <w:t>328</w:t>
      </w:r>
      <w:r>
        <w:rPr>
          <w:rFonts w:hint="eastAsia" w:eastAsia="方正仿宋_GBK"/>
          <w:color w:val="000000"/>
          <w:spacing w:val="-2"/>
          <w:kern w:val="0"/>
          <w:sz w:val="24"/>
        </w:rPr>
        <w:t>号）、《江苏省市政基础设施工程实体质量监督工作实施细则》（苏建质〔</w:t>
      </w:r>
      <w:r>
        <w:rPr>
          <w:rFonts w:eastAsia="方正仿宋_GBK"/>
          <w:color w:val="000000"/>
          <w:spacing w:val="-2"/>
          <w:kern w:val="0"/>
          <w:sz w:val="24"/>
        </w:rPr>
        <w:t>2006</w:t>
      </w:r>
      <w:r>
        <w:rPr>
          <w:rFonts w:hint="eastAsia" w:eastAsia="方正仿宋_GBK"/>
          <w:color w:val="000000"/>
          <w:spacing w:val="-2"/>
          <w:kern w:val="0"/>
          <w:sz w:val="24"/>
        </w:rPr>
        <w:t>〕</w:t>
      </w:r>
      <w:r>
        <w:rPr>
          <w:rFonts w:eastAsia="方正仿宋_GBK"/>
          <w:color w:val="000000"/>
          <w:spacing w:val="-2"/>
          <w:kern w:val="0"/>
          <w:sz w:val="24"/>
        </w:rPr>
        <w:t>167</w:t>
      </w:r>
      <w:r>
        <w:rPr>
          <w:rFonts w:hint="eastAsia" w:eastAsia="方正仿宋_GBK"/>
          <w:color w:val="000000"/>
          <w:spacing w:val="-2"/>
          <w:kern w:val="0"/>
          <w:sz w:val="24"/>
        </w:rPr>
        <w:t>号）、《江苏省民用建筑节能工程质量监督工作实施细则（暂行）》（苏建质〔</w:t>
      </w:r>
      <w:r>
        <w:rPr>
          <w:rFonts w:eastAsia="方正仿宋_GBK"/>
          <w:color w:val="000000"/>
          <w:spacing w:val="-2"/>
          <w:kern w:val="0"/>
          <w:sz w:val="24"/>
        </w:rPr>
        <w:t>2007</w:t>
      </w:r>
      <w:r>
        <w:rPr>
          <w:rFonts w:hint="eastAsia" w:eastAsia="方正仿宋_GBK"/>
          <w:color w:val="000000"/>
          <w:spacing w:val="-2"/>
          <w:kern w:val="0"/>
          <w:sz w:val="24"/>
        </w:rPr>
        <w:t>〕</w:t>
      </w:r>
      <w:r>
        <w:rPr>
          <w:rFonts w:eastAsia="方正仿宋_GBK"/>
          <w:color w:val="000000"/>
          <w:spacing w:val="-2"/>
          <w:kern w:val="0"/>
          <w:sz w:val="24"/>
        </w:rPr>
        <w:t>313</w:t>
      </w:r>
      <w:r>
        <w:rPr>
          <w:rFonts w:hint="eastAsia" w:eastAsia="方正仿宋_GBK"/>
          <w:color w:val="000000"/>
          <w:spacing w:val="-2"/>
          <w:kern w:val="0"/>
          <w:sz w:val="24"/>
        </w:rPr>
        <w:t>号）同时废止。</w:t>
      </w:r>
    </w:p>
    <w:p>
      <w:pPr>
        <w:spacing w:line="460" w:lineRule="exact"/>
        <w:rPr>
          <w:rFonts w:eastAsia="方正仿宋_GBK"/>
          <w:color w:val="000000"/>
          <w:spacing w:val="-2"/>
          <w:sz w:val="24"/>
        </w:rPr>
      </w:pPr>
    </w:p>
    <w:p>
      <w:pPr>
        <w:pStyle w:val="2"/>
        <w:spacing w:before="590" w:beforeLines="100" w:after="590" w:afterLines="100" w:line="240" w:lineRule="auto"/>
        <w:jc w:val="center"/>
        <w:rPr>
          <w:rFonts w:ascii="Times New Roman" w:eastAsia="方正小标宋_GBK"/>
          <w:b w:val="0"/>
          <w:sz w:val="36"/>
          <w:szCs w:val="36"/>
        </w:rPr>
      </w:pPr>
      <w:r>
        <w:rPr>
          <w:rFonts w:eastAsia="方正仿宋_GBK"/>
          <w:b w:val="0"/>
          <w:color w:val="000000"/>
          <w:spacing w:val="-2"/>
        </w:rPr>
        <w:br w:type="column"/>
      </w:r>
      <w:r>
        <w:rPr>
          <w:rFonts w:hint="eastAsia" w:ascii="Times New Roman" w:eastAsia="方正小标宋_GBK"/>
          <w:b w:val="0"/>
          <w:sz w:val="36"/>
          <w:szCs w:val="36"/>
        </w:rPr>
        <w:t>关于一级建造师执业资格注册有关事项通知</w:t>
      </w:r>
    </w:p>
    <w:p>
      <w:pPr>
        <w:spacing w:line="460" w:lineRule="exact"/>
        <w:ind w:firstLine="522" w:firstLineChars="225"/>
        <w:jc w:val="center"/>
        <w:rPr>
          <w:rFonts w:hint="eastAsia" w:eastAsia="方正仿宋_GBK"/>
          <w:color w:val="000000"/>
          <w:spacing w:val="-2"/>
          <w:kern w:val="0"/>
          <w:sz w:val="24"/>
        </w:rPr>
      </w:pPr>
      <w:r>
        <w:rPr>
          <w:rFonts w:hint="eastAsia" w:eastAsia="方正仿宋_GBK"/>
          <w:color w:val="000000"/>
          <w:spacing w:val="-2"/>
          <w:kern w:val="0"/>
          <w:sz w:val="24"/>
        </w:rPr>
        <w:t>苏建函注册〔</w:t>
      </w:r>
      <w:r>
        <w:rPr>
          <w:rFonts w:eastAsia="方正仿宋_GBK"/>
          <w:color w:val="000000"/>
          <w:spacing w:val="-2"/>
          <w:kern w:val="0"/>
          <w:sz w:val="24"/>
        </w:rPr>
        <w:t>2018</w:t>
      </w:r>
      <w:r>
        <w:rPr>
          <w:rFonts w:hint="eastAsia" w:eastAsia="方正仿宋_GBK"/>
          <w:color w:val="000000"/>
          <w:spacing w:val="-2"/>
          <w:kern w:val="0"/>
          <w:sz w:val="24"/>
        </w:rPr>
        <w:t>〕</w:t>
      </w:r>
      <w:r>
        <w:rPr>
          <w:rFonts w:eastAsia="方正仿宋_GBK"/>
          <w:color w:val="000000"/>
          <w:spacing w:val="-2"/>
          <w:kern w:val="0"/>
          <w:sz w:val="24"/>
        </w:rPr>
        <w:t>914</w:t>
      </w:r>
      <w:r>
        <w:rPr>
          <w:rFonts w:hint="eastAsia" w:eastAsia="方正仿宋_GBK"/>
          <w:color w:val="000000"/>
          <w:spacing w:val="-2"/>
          <w:kern w:val="0"/>
          <w:sz w:val="24"/>
        </w:rPr>
        <w:t>号</w:t>
      </w:r>
    </w:p>
    <w:p>
      <w:pPr>
        <w:spacing w:line="460" w:lineRule="exact"/>
        <w:rPr>
          <w:rFonts w:eastAsia="方正仿宋_GBK"/>
          <w:color w:val="000000"/>
          <w:spacing w:val="-2"/>
          <w:kern w:val="0"/>
          <w:sz w:val="24"/>
        </w:rPr>
      </w:pPr>
    </w:p>
    <w:p>
      <w:pPr>
        <w:spacing w:line="460" w:lineRule="exact"/>
        <w:rPr>
          <w:rFonts w:eastAsia="方正仿宋_GBK"/>
          <w:color w:val="000000"/>
          <w:spacing w:val="-2"/>
          <w:kern w:val="0"/>
          <w:sz w:val="24"/>
        </w:rPr>
      </w:pPr>
      <w:r>
        <w:rPr>
          <w:rFonts w:hint="eastAsia" w:eastAsia="方正仿宋_GBK"/>
          <w:color w:val="000000"/>
          <w:spacing w:val="-2"/>
          <w:kern w:val="0"/>
          <w:sz w:val="24"/>
        </w:rPr>
        <w:t>各有关单位：</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为进一步做好一级建造师执业资格注册管理工作，根据住房城乡建设部办公厅《关于一级建造师执业资格实行电子化申报和审批的通知》（建办市〔</w:t>
      </w:r>
      <w:r>
        <w:rPr>
          <w:rFonts w:eastAsia="方正仿宋_GBK"/>
          <w:color w:val="000000"/>
          <w:spacing w:val="-2"/>
          <w:kern w:val="0"/>
          <w:sz w:val="24"/>
        </w:rPr>
        <w:t>2018</w:t>
      </w:r>
      <w:r>
        <w:rPr>
          <w:rFonts w:hint="eastAsia" w:eastAsia="方正仿宋_GBK"/>
          <w:color w:val="000000"/>
          <w:spacing w:val="-2"/>
          <w:kern w:val="0"/>
          <w:sz w:val="24"/>
        </w:rPr>
        <w:t>〕</w:t>
      </w:r>
      <w:r>
        <w:rPr>
          <w:rFonts w:eastAsia="方正仿宋_GBK"/>
          <w:color w:val="000000"/>
          <w:spacing w:val="-2"/>
          <w:kern w:val="0"/>
          <w:sz w:val="24"/>
        </w:rPr>
        <w:t>48</w:t>
      </w:r>
      <w:r>
        <w:rPr>
          <w:rFonts w:hint="eastAsia" w:eastAsia="方正仿宋_GBK"/>
          <w:color w:val="000000"/>
          <w:spacing w:val="-2"/>
          <w:kern w:val="0"/>
          <w:sz w:val="24"/>
        </w:rPr>
        <w:t>号）文件精神，现将有关我省一级建造师注册工作具体事项通知如下：</w:t>
      </w:r>
    </w:p>
    <w:p>
      <w:pPr>
        <w:spacing w:line="460" w:lineRule="exact"/>
        <w:ind w:firstLine="522" w:firstLineChars="225"/>
        <w:rPr>
          <w:rFonts w:ascii="Times New Roman" w:eastAsia="方正黑体_GBK"/>
          <w:color w:val="000000"/>
          <w:spacing w:val="-2"/>
          <w:kern w:val="0"/>
          <w:sz w:val="24"/>
        </w:rPr>
      </w:pPr>
      <w:r>
        <w:rPr>
          <w:rFonts w:hint="eastAsia" w:ascii="Times New Roman" w:eastAsia="方正黑体_GBK"/>
          <w:color w:val="000000"/>
          <w:spacing w:val="-2"/>
          <w:kern w:val="0"/>
          <w:sz w:val="24"/>
        </w:rPr>
        <w:t>一、申报系统</w:t>
      </w:r>
    </w:p>
    <w:p>
      <w:pPr>
        <w:spacing w:line="460" w:lineRule="exact"/>
        <w:ind w:firstLine="522" w:firstLineChars="225"/>
        <w:rPr>
          <w:rFonts w:hint="eastAsia" w:eastAsia="方正仿宋_GBK"/>
          <w:color w:val="000000"/>
          <w:spacing w:val="-2"/>
          <w:kern w:val="0"/>
          <w:sz w:val="24"/>
        </w:rPr>
      </w:pPr>
      <w:r>
        <w:rPr>
          <w:rFonts w:hint="eastAsia" w:eastAsia="方正仿宋_GBK"/>
          <w:color w:val="000000"/>
          <w:spacing w:val="-2"/>
          <w:kern w:val="0"/>
          <w:sz w:val="24"/>
        </w:rPr>
        <w:t>自</w:t>
      </w:r>
      <w:r>
        <w:rPr>
          <w:rFonts w:eastAsia="方正仿宋_GBK"/>
          <w:color w:val="000000"/>
          <w:spacing w:val="-2"/>
          <w:kern w:val="0"/>
          <w:sz w:val="24"/>
        </w:rPr>
        <w:t>2018</w:t>
      </w:r>
      <w:r>
        <w:rPr>
          <w:rFonts w:hint="eastAsia" w:eastAsia="方正仿宋_GBK"/>
          <w:color w:val="000000"/>
          <w:spacing w:val="-2"/>
          <w:kern w:val="0"/>
          <w:sz w:val="24"/>
        </w:rPr>
        <w:t>年</w:t>
      </w:r>
      <w:r>
        <w:rPr>
          <w:rFonts w:eastAsia="方正仿宋_GBK"/>
          <w:color w:val="000000"/>
          <w:spacing w:val="-2"/>
          <w:kern w:val="0"/>
          <w:sz w:val="24"/>
        </w:rPr>
        <w:t>10</w:t>
      </w:r>
      <w:r>
        <w:rPr>
          <w:rFonts w:hint="eastAsia" w:eastAsia="方正仿宋_GBK"/>
          <w:color w:val="000000"/>
          <w:spacing w:val="-2"/>
          <w:kern w:val="0"/>
          <w:sz w:val="24"/>
        </w:rPr>
        <w:t>月</w:t>
      </w:r>
      <w:r>
        <w:rPr>
          <w:rFonts w:eastAsia="方正仿宋_GBK"/>
          <w:color w:val="000000"/>
          <w:spacing w:val="-2"/>
          <w:kern w:val="0"/>
          <w:sz w:val="24"/>
        </w:rPr>
        <w:t>22</w:t>
      </w:r>
      <w:r>
        <w:rPr>
          <w:rFonts w:hint="eastAsia" w:eastAsia="方正仿宋_GBK"/>
          <w:color w:val="000000"/>
          <w:spacing w:val="-2"/>
          <w:kern w:val="0"/>
          <w:sz w:val="24"/>
        </w:rPr>
        <w:t>日起，一级建造师执业资格注册实行电子化申报和审批。初始注册、增项注册、重新注册、注销等申请事项通过住房城乡建设部新版“一级建造师注册管理信息系统”（以下简称新系统）实行网上申报、网上审批，“江苏省建筑业监管信息平台</w:t>
      </w:r>
      <w:r>
        <w:rPr>
          <w:rFonts w:eastAsia="方正仿宋_GBK"/>
          <w:color w:val="000000"/>
          <w:spacing w:val="-2"/>
          <w:kern w:val="0"/>
          <w:sz w:val="24"/>
        </w:rPr>
        <w:t>2.0</w:t>
      </w:r>
      <w:r>
        <w:rPr>
          <w:rFonts w:hint="eastAsia" w:eastAsia="方正仿宋_GBK"/>
          <w:color w:val="000000"/>
          <w:spacing w:val="-2"/>
          <w:kern w:val="0"/>
          <w:sz w:val="24"/>
        </w:rPr>
        <w:t>”系统停止受理申报事项。</w:t>
      </w:r>
    </w:p>
    <w:p>
      <w:pPr>
        <w:spacing w:line="460" w:lineRule="exact"/>
        <w:ind w:firstLine="522" w:firstLineChars="225"/>
        <w:rPr>
          <w:rFonts w:ascii="Times New Roman" w:eastAsia="方正黑体_GBK"/>
          <w:color w:val="000000"/>
          <w:spacing w:val="-2"/>
          <w:kern w:val="0"/>
          <w:sz w:val="24"/>
        </w:rPr>
      </w:pPr>
      <w:r>
        <w:rPr>
          <w:rFonts w:hint="eastAsia" w:ascii="Times New Roman" w:eastAsia="方正黑体_GBK"/>
          <w:color w:val="000000"/>
          <w:spacing w:val="-2"/>
          <w:kern w:val="0"/>
          <w:sz w:val="24"/>
        </w:rPr>
        <w:t>二、业务类别</w:t>
      </w:r>
    </w:p>
    <w:p>
      <w:pPr>
        <w:spacing w:line="460" w:lineRule="exact"/>
        <w:ind w:firstLine="522" w:firstLineChars="225"/>
        <w:rPr>
          <w:rFonts w:hint="eastAsia"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初始注册、增项注册、重新注册</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该类事项由个人在新系统中发起申请，企业确认后直接上报至住房城乡建设部注册中心，取消省级审批环节。</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注销</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该事项由个人在新系统中发起申请，企业确认后即注销成功，取消省级审批环节。</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变更注册</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新系统运行后，取消变更注册事项，发生执业单位更换的人员，需先在原单位办理注销，再到新单位办理重新注册。</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4.</w:t>
      </w:r>
      <w:r>
        <w:rPr>
          <w:rFonts w:hint="eastAsia" w:eastAsia="方正仿宋_GBK"/>
          <w:color w:val="000000"/>
          <w:spacing w:val="-2"/>
          <w:kern w:val="0"/>
          <w:sz w:val="24"/>
        </w:rPr>
        <w:t>遗失补办（污损更换）</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该事项由个人在新系统中发起申请，企业确认后上报至省级主管部门，省级接受数据后直接上报至住房城乡建设部注册中心，取消纸质申报材料。</w:t>
      </w:r>
    </w:p>
    <w:p>
      <w:pPr>
        <w:spacing w:line="460" w:lineRule="exact"/>
        <w:ind w:firstLine="522" w:firstLineChars="225"/>
        <w:rPr>
          <w:rFonts w:ascii="Times New Roman" w:eastAsia="方正黑体_GBK"/>
          <w:color w:val="000000"/>
          <w:spacing w:val="-2"/>
          <w:kern w:val="0"/>
          <w:sz w:val="24"/>
        </w:rPr>
      </w:pPr>
      <w:r>
        <w:rPr>
          <w:rFonts w:hint="eastAsia" w:ascii="Times New Roman" w:eastAsia="方正黑体_GBK"/>
          <w:color w:val="000000"/>
          <w:spacing w:val="-2"/>
          <w:kern w:val="0"/>
          <w:sz w:val="24"/>
        </w:rPr>
        <w:t>三、实名认证</w:t>
      </w:r>
    </w:p>
    <w:p>
      <w:pPr>
        <w:spacing w:line="460" w:lineRule="exact"/>
        <w:ind w:firstLine="522" w:firstLineChars="225"/>
        <w:rPr>
          <w:rFonts w:hint="eastAsia" w:eastAsia="方正仿宋_GBK"/>
          <w:color w:val="000000"/>
          <w:spacing w:val="-2"/>
          <w:kern w:val="0"/>
          <w:sz w:val="24"/>
        </w:rPr>
      </w:pPr>
      <w:r>
        <w:rPr>
          <w:rFonts w:hint="eastAsia" w:eastAsia="方正仿宋_GBK"/>
          <w:color w:val="000000"/>
          <w:spacing w:val="-2"/>
          <w:kern w:val="0"/>
          <w:sz w:val="24"/>
        </w:rPr>
        <w:t>一级建造师注册实行承诺制。申请人和其聘用企业对申报信息真实性和有效性进行承诺，并承担相应法律责任。取得一级建造师执业资格证书或取得一级建造师注册证书的人员及其聘用企业在办理注册业务前，须在新系统中完成实名认证。实名认证可以选择新系统网上认证（推荐），也可以选择现场实名认证。具体认证工作如下：</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1.</w:t>
      </w:r>
      <w:r>
        <w:rPr>
          <w:rFonts w:hint="eastAsia" w:eastAsia="方正仿宋_GBK"/>
          <w:color w:val="000000"/>
          <w:spacing w:val="-2"/>
          <w:kern w:val="0"/>
          <w:sz w:val="24"/>
        </w:rPr>
        <w:t>个人实名认证</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1</w:t>
      </w:r>
      <w:r>
        <w:rPr>
          <w:rFonts w:hint="eastAsia" w:eastAsia="方正仿宋_GBK"/>
          <w:color w:val="000000"/>
          <w:spacing w:val="-2"/>
          <w:kern w:val="0"/>
          <w:sz w:val="24"/>
        </w:rPr>
        <w:t>）网上认证（推荐）</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选择新系统网上认证的，在填写完成相关个人信息后，根据系统要求上传一寸白底彩色证件照、身份证正反面照、本人签名照、手持身份证照等要件，上传完成后，选择支付宝认证，打开个人支付宝扫描二维码，完成实名认证。</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2</w:t>
      </w:r>
      <w:r>
        <w:rPr>
          <w:rFonts w:hint="eastAsia" w:eastAsia="方正仿宋_GBK"/>
          <w:color w:val="000000"/>
          <w:spacing w:val="-2"/>
          <w:kern w:val="0"/>
          <w:sz w:val="24"/>
        </w:rPr>
        <w:t>）现场认证</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选择现场认证的，在填写完成相关个人信息后，根据系统要求上传一寸白底彩色证件照、身份证正反面照、本人签名照、手持身份证照等要件，上传完成后，由建造师本人携带身份证原件至省厅注册中心办理。</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2.</w:t>
      </w:r>
      <w:r>
        <w:rPr>
          <w:rFonts w:hint="eastAsia" w:eastAsia="方正仿宋_GBK"/>
          <w:color w:val="000000"/>
          <w:spacing w:val="-2"/>
          <w:kern w:val="0"/>
          <w:sz w:val="24"/>
        </w:rPr>
        <w:t>企业实名认证</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1</w:t>
      </w:r>
      <w:r>
        <w:rPr>
          <w:rFonts w:hint="eastAsia" w:eastAsia="方正仿宋_GBK"/>
          <w:color w:val="000000"/>
          <w:spacing w:val="-2"/>
          <w:kern w:val="0"/>
          <w:sz w:val="24"/>
        </w:rPr>
        <w:t>）身份锁认证</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该功能用于已取得原一级建造师注册管理系统身份锁的企业用户。企业用户填写相关信息，根据系统提示，上传企业营业执照、资质证书等扫描件，用原身份锁直接进行实名认证。原身份认证锁在完成企业认证后，将自动失效。身份锁在新系统认证时，如果企业名称与组织机构代码（社会统一信用代码）同时发生变化，或原身份认证锁遗失、不可用的企业，须进行现场认证。</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w:t>
      </w:r>
      <w:r>
        <w:rPr>
          <w:rFonts w:eastAsia="方正仿宋_GBK"/>
          <w:color w:val="000000"/>
          <w:spacing w:val="-2"/>
          <w:kern w:val="0"/>
          <w:sz w:val="24"/>
        </w:rPr>
        <w:t>2</w:t>
      </w:r>
      <w:r>
        <w:rPr>
          <w:rFonts w:hint="eastAsia" w:eastAsia="方正仿宋_GBK"/>
          <w:color w:val="000000"/>
          <w:spacing w:val="-2"/>
          <w:kern w:val="0"/>
          <w:sz w:val="24"/>
        </w:rPr>
        <w:t>）现场认证</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该功能用于从未取得过身份锁的企业用户。企业用户填写相关信息，根据系统提示，上传企业营业执照、资质证书等扫描件。上传完成后需由企业法人携带营业执照、资质证书（代办的须携带法人授权书）至省厅注册中心办理。</w:t>
      </w:r>
    </w:p>
    <w:p>
      <w:pPr>
        <w:spacing w:line="460" w:lineRule="exact"/>
        <w:ind w:firstLine="522" w:firstLineChars="225"/>
        <w:rPr>
          <w:rFonts w:eastAsia="方正仿宋_GBK"/>
          <w:color w:val="000000"/>
          <w:spacing w:val="-2"/>
          <w:kern w:val="0"/>
          <w:sz w:val="24"/>
        </w:rPr>
      </w:pPr>
      <w:r>
        <w:rPr>
          <w:rFonts w:eastAsia="方正仿宋_GBK"/>
          <w:color w:val="000000"/>
          <w:spacing w:val="-2"/>
          <w:kern w:val="0"/>
          <w:sz w:val="24"/>
        </w:rPr>
        <w:t>3.</w:t>
      </w:r>
      <w:r>
        <w:rPr>
          <w:rFonts w:hint="eastAsia" w:eastAsia="方正仿宋_GBK"/>
          <w:color w:val="000000"/>
          <w:spacing w:val="-2"/>
          <w:kern w:val="0"/>
          <w:sz w:val="24"/>
        </w:rPr>
        <w:t>现场认证地址</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审核点：江苏省政务中心</w:t>
      </w:r>
      <w:r>
        <w:rPr>
          <w:rFonts w:eastAsia="方正仿宋_GBK"/>
          <w:color w:val="000000"/>
          <w:spacing w:val="-2"/>
          <w:kern w:val="0"/>
          <w:sz w:val="24"/>
        </w:rPr>
        <w:t>B20</w:t>
      </w:r>
      <w:r>
        <w:rPr>
          <w:rFonts w:hint="eastAsia" w:eastAsia="方正仿宋_GBK"/>
          <w:color w:val="000000"/>
          <w:spacing w:val="-2"/>
          <w:kern w:val="0"/>
          <w:sz w:val="24"/>
        </w:rPr>
        <w:t>窗口</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审核地址：江苏省南京市建邺区汉中门大街</w:t>
      </w:r>
      <w:r>
        <w:rPr>
          <w:rFonts w:eastAsia="方正仿宋_GBK"/>
          <w:color w:val="000000"/>
          <w:spacing w:val="-2"/>
          <w:kern w:val="0"/>
          <w:sz w:val="24"/>
        </w:rPr>
        <w:t>145</w:t>
      </w:r>
      <w:r>
        <w:rPr>
          <w:rFonts w:hint="eastAsia" w:eastAsia="方正仿宋_GBK"/>
          <w:color w:val="000000"/>
          <w:spacing w:val="-2"/>
          <w:kern w:val="0"/>
          <w:sz w:val="24"/>
        </w:rPr>
        <w:t>号</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联系电话：</w:t>
      </w:r>
      <w:r>
        <w:rPr>
          <w:rFonts w:eastAsia="方正仿宋_GBK"/>
          <w:color w:val="000000"/>
          <w:spacing w:val="-2"/>
          <w:kern w:val="0"/>
          <w:sz w:val="24"/>
        </w:rPr>
        <w:t xml:space="preserve">025-83666203,83666746       </w:t>
      </w:r>
    </w:p>
    <w:p>
      <w:pPr>
        <w:spacing w:line="460" w:lineRule="exact"/>
        <w:ind w:firstLine="522" w:firstLineChars="225"/>
        <w:rPr>
          <w:rFonts w:ascii="Times New Roman" w:eastAsia="方正黑体_GBK"/>
          <w:color w:val="000000"/>
          <w:spacing w:val="-2"/>
          <w:kern w:val="0"/>
          <w:sz w:val="24"/>
        </w:rPr>
      </w:pPr>
      <w:r>
        <w:rPr>
          <w:rFonts w:hint="eastAsia" w:ascii="Times New Roman" w:eastAsia="方正黑体_GBK"/>
          <w:color w:val="000000"/>
          <w:spacing w:val="-2"/>
          <w:kern w:val="0"/>
          <w:sz w:val="24"/>
        </w:rPr>
        <w:t>四、证书管理</w:t>
      </w:r>
    </w:p>
    <w:p>
      <w:pPr>
        <w:spacing w:line="460" w:lineRule="exact"/>
        <w:ind w:firstLine="522" w:firstLineChars="225"/>
        <w:rPr>
          <w:rFonts w:hint="eastAsia" w:eastAsia="方正仿宋_GBK"/>
          <w:color w:val="000000"/>
          <w:spacing w:val="-2"/>
          <w:kern w:val="0"/>
          <w:sz w:val="24"/>
        </w:rPr>
      </w:pPr>
      <w:r>
        <w:rPr>
          <w:rFonts w:hint="eastAsia" w:eastAsia="方正仿宋_GBK"/>
          <w:color w:val="000000"/>
          <w:spacing w:val="-2"/>
          <w:kern w:val="0"/>
          <w:sz w:val="24"/>
        </w:rPr>
        <w:t>初始注册、重新注册自公告（含第</w:t>
      </w:r>
      <w:r>
        <w:rPr>
          <w:rFonts w:eastAsia="方正仿宋_GBK"/>
          <w:color w:val="000000"/>
          <w:spacing w:val="-2"/>
          <w:kern w:val="0"/>
          <w:sz w:val="24"/>
        </w:rPr>
        <w:t>30</w:t>
      </w:r>
      <w:r>
        <w:rPr>
          <w:rFonts w:hint="eastAsia" w:eastAsia="方正仿宋_GBK"/>
          <w:color w:val="000000"/>
          <w:spacing w:val="-2"/>
          <w:kern w:val="0"/>
          <w:sz w:val="24"/>
        </w:rPr>
        <w:t>批）后、遗失补办（污损更换）新系统申报的，由住房城乡建部注册中心统一将空白证书发放至省级主管部门，省级主管部门打印完成后将分发至各市级主管部门。具体证书发放详见江苏建设人才网（</w:t>
      </w:r>
      <w:r>
        <w:rPr>
          <w:rFonts w:eastAsia="方正仿宋_GBK"/>
          <w:color w:val="000000"/>
          <w:spacing w:val="-2"/>
          <w:kern w:val="0"/>
          <w:sz w:val="24"/>
        </w:rPr>
        <w:t>http://hr.jscin.gov.cn/swhyFront/default.aspx</w:t>
      </w:r>
      <w:r>
        <w:rPr>
          <w:rFonts w:hint="eastAsia" w:eastAsia="方正仿宋_GBK"/>
          <w:color w:val="000000"/>
          <w:spacing w:val="-2"/>
          <w:kern w:val="0"/>
          <w:sz w:val="24"/>
        </w:rPr>
        <w:t>）通知。重新注册公告（含第</w:t>
      </w:r>
      <w:r>
        <w:rPr>
          <w:rFonts w:eastAsia="方正仿宋_GBK"/>
          <w:color w:val="000000"/>
          <w:spacing w:val="-2"/>
          <w:kern w:val="0"/>
          <w:sz w:val="24"/>
        </w:rPr>
        <w:t>29</w:t>
      </w:r>
      <w:r>
        <w:rPr>
          <w:rFonts w:hint="eastAsia" w:eastAsia="方正仿宋_GBK"/>
          <w:color w:val="000000"/>
          <w:spacing w:val="-2"/>
          <w:kern w:val="0"/>
          <w:sz w:val="24"/>
        </w:rPr>
        <w:t>批）、遗失补办（污损更换）新系统上线之前的证书按以往方式发放。</w:t>
      </w:r>
    </w:p>
    <w:p>
      <w:pPr>
        <w:spacing w:line="460" w:lineRule="exact"/>
        <w:ind w:firstLine="522" w:firstLineChars="225"/>
        <w:rPr>
          <w:rFonts w:eastAsia="方正仿宋_GBK"/>
          <w:color w:val="000000"/>
          <w:spacing w:val="-2"/>
          <w:kern w:val="0"/>
          <w:sz w:val="24"/>
        </w:rPr>
      </w:pPr>
      <w:r>
        <w:rPr>
          <w:rFonts w:hint="eastAsia" w:eastAsia="方正仿宋_GBK"/>
          <w:color w:val="000000"/>
          <w:spacing w:val="-2"/>
          <w:kern w:val="0"/>
          <w:sz w:val="24"/>
        </w:rPr>
        <w:t>增项注册自公告后携带注册证书至省厅窗口领取增项贴花。</w:t>
      </w:r>
    </w:p>
    <w:p>
      <w:pPr>
        <w:spacing w:line="460" w:lineRule="exact"/>
        <w:ind w:firstLine="522" w:firstLineChars="225"/>
        <w:rPr>
          <w:rFonts w:eastAsia="方正仿宋_GBK"/>
          <w:color w:val="000000"/>
          <w:spacing w:val="-2"/>
          <w:kern w:val="0"/>
          <w:sz w:val="24"/>
        </w:rPr>
      </w:pPr>
    </w:p>
    <w:p>
      <w:pPr>
        <w:spacing w:line="460" w:lineRule="exact"/>
        <w:ind w:firstLine="522" w:firstLineChars="225"/>
        <w:rPr>
          <w:rFonts w:eastAsia="方正仿宋_GBK"/>
          <w:color w:val="000000"/>
          <w:spacing w:val="-2"/>
          <w:kern w:val="0"/>
          <w:sz w:val="24"/>
        </w:rPr>
      </w:pPr>
    </w:p>
    <w:p>
      <w:pPr>
        <w:spacing w:line="460" w:lineRule="exact"/>
        <w:ind w:firstLine="522" w:firstLineChars="225"/>
        <w:jc w:val="right"/>
        <w:rPr>
          <w:rFonts w:eastAsia="方正仿宋_GBK"/>
          <w:color w:val="000000"/>
          <w:spacing w:val="-2"/>
          <w:kern w:val="0"/>
          <w:sz w:val="24"/>
        </w:rPr>
      </w:pPr>
      <w:r>
        <w:rPr>
          <w:rFonts w:hint="eastAsia" w:eastAsia="方正仿宋_GBK"/>
          <w:color w:val="000000"/>
          <w:spacing w:val="-2"/>
          <w:kern w:val="0"/>
          <w:sz w:val="24"/>
        </w:rPr>
        <w:t>江苏省住房和城乡建设厅</w:t>
      </w:r>
    </w:p>
    <w:p>
      <w:pPr>
        <w:spacing w:line="460" w:lineRule="exact"/>
        <w:ind w:right="230" w:firstLine="522" w:firstLineChars="225"/>
        <w:jc w:val="right"/>
        <w:rPr>
          <w:rFonts w:eastAsia="方正仿宋_GBK"/>
          <w:color w:val="000000"/>
          <w:spacing w:val="-2"/>
          <w:kern w:val="0"/>
          <w:sz w:val="24"/>
        </w:rPr>
      </w:pPr>
      <w:r>
        <w:rPr>
          <w:rFonts w:eastAsia="方正仿宋_GBK"/>
          <w:color w:val="000000"/>
          <w:spacing w:val="-2"/>
          <w:kern w:val="0"/>
          <w:sz w:val="24"/>
        </w:rPr>
        <w:t>2018</w:t>
      </w:r>
      <w:r>
        <w:rPr>
          <w:rFonts w:hint="eastAsia" w:eastAsia="方正仿宋_GBK"/>
          <w:color w:val="000000"/>
          <w:spacing w:val="-2"/>
          <w:kern w:val="0"/>
          <w:sz w:val="24"/>
        </w:rPr>
        <w:t>年</w:t>
      </w:r>
      <w:r>
        <w:rPr>
          <w:rFonts w:eastAsia="方正仿宋_GBK"/>
          <w:color w:val="000000"/>
          <w:spacing w:val="-2"/>
          <w:kern w:val="0"/>
          <w:sz w:val="24"/>
        </w:rPr>
        <w:t>10</w:t>
      </w:r>
      <w:r>
        <w:rPr>
          <w:rFonts w:hint="eastAsia" w:eastAsia="方正仿宋_GBK"/>
          <w:color w:val="000000"/>
          <w:spacing w:val="-2"/>
          <w:kern w:val="0"/>
          <w:sz w:val="24"/>
        </w:rPr>
        <w:t>月</w:t>
      </w:r>
      <w:r>
        <w:rPr>
          <w:rFonts w:eastAsia="方正仿宋_GBK"/>
          <w:color w:val="000000"/>
          <w:spacing w:val="-2"/>
          <w:kern w:val="0"/>
          <w:sz w:val="24"/>
        </w:rPr>
        <w:t>22</w:t>
      </w:r>
      <w:r>
        <w:rPr>
          <w:rFonts w:hint="eastAsia" w:eastAsia="方正仿宋_GBK"/>
          <w:color w:val="000000"/>
          <w:spacing w:val="-2"/>
          <w:kern w:val="0"/>
          <w:sz w:val="24"/>
        </w:rPr>
        <w:t>日</w:t>
      </w:r>
    </w:p>
    <w:p>
      <w:pPr>
        <w:rPr>
          <w:rFonts w:ascii="Times New Roman" w:eastAsia="方正仿宋_GBK"/>
          <w:sz w:val="24"/>
        </w:rPr>
      </w:pPr>
    </w:p>
    <w:p>
      <w:pPr>
        <w:ind w:firstLine="472" w:firstLineChars="200"/>
        <w:rPr>
          <w:rFonts w:hint="eastAsia" w:ascii="Times New Roman" w:eastAsia="方正仿宋_GBK"/>
          <w:sz w:val="24"/>
        </w:rPr>
      </w:pPr>
    </w:p>
    <w:p>
      <w:pPr>
        <w:spacing w:line="570" w:lineRule="exact"/>
        <w:rPr>
          <w:rFonts w:hint="eastAsia" w:eastAsia="方正仿宋_GBK"/>
          <w:snapToGrid w:val="0"/>
          <w:kern w:val="0"/>
          <w:sz w:val="32"/>
          <w:szCs w:val="20"/>
          <w:highlight w:val="yellow"/>
        </w:rPr>
      </w:pPr>
    </w:p>
    <w:p>
      <w:pPr>
        <w:spacing w:line="570" w:lineRule="exact"/>
        <w:rPr>
          <w:rFonts w:hint="eastAsia" w:eastAsia="方正仿宋_GBK"/>
          <w:snapToGrid w:val="0"/>
          <w:kern w:val="0"/>
          <w:sz w:val="32"/>
          <w:szCs w:val="20"/>
          <w:highlight w:val="yellow"/>
        </w:rPr>
      </w:pPr>
    </w:p>
    <w:tbl>
      <w:tblPr>
        <w:tblStyle w:val="12"/>
        <w:tblpPr w:leftFromText="454" w:rightFromText="454" w:horzAnchor="margin" w:tblpXSpec="center" w:tblpYSpec="bottom"/>
        <w:tblOverlap w:val="never"/>
        <w:tblW w:w="0" w:type="auto"/>
        <w:tblInd w:w="0" w:type="dxa"/>
        <w:tblBorders>
          <w:top w:val="single" w:color="auto" w:sz="8" w:space="0"/>
          <w:left w:val="none" w:color="auto" w:sz="0" w:space="0"/>
          <w:bottom w:val="single" w:color="auto" w:sz="8"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340"/>
        <w:gridCol w:w="8165"/>
        <w:gridCol w:w="340"/>
      </w:tblGrid>
      <w:tr>
        <w:tblPrEx>
          <w:tblBorders>
            <w:top w:val="single" w:color="auto" w:sz="8" w:space="0"/>
            <w:left w:val="none" w:color="auto" w:sz="0" w:space="0"/>
            <w:bottom w:val="single" w:color="auto" w:sz="8" w:space="0"/>
            <w:right w:val="none" w:color="auto" w:sz="0" w:space="0"/>
            <w:insideH w:val="single" w:color="auto" w:sz="4" w:space="0"/>
            <w:insideV w:val="none" w:color="auto" w:sz="0" w:space="0"/>
          </w:tblBorders>
          <w:tblCellMar>
            <w:top w:w="0" w:type="dxa"/>
            <w:left w:w="108" w:type="dxa"/>
            <w:bottom w:w="0" w:type="dxa"/>
            <w:right w:w="108" w:type="dxa"/>
          </w:tblCellMar>
        </w:tblPrEx>
        <w:tc>
          <w:tcPr>
            <w:tcW w:w="340" w:type="dxa"/>
            <w:noWrap w:val="0"/>
            <w:vAlign w:val="top"/>
          </w:tcPr>
          <w:p>
            <w:pPr>
              <w:autoSpaceDE w:val="0"/>
              <w:autoSpaceDN w:val="0"/>
              <w:adjustRightInd w:val="0"/>
              <w:snapToGrid w:val="0"/>
              <w:spacing w:before="59" w:beforeLines="10" w:after="59" w:afterLines="10" w:line="288" w:lineRule="auto"/>
              <w:rPr>
                <w:rFonts w:hint="eastAsia" w:eastAsia="方正仿宋_GBK"/>
                <w:snapToGrid w:val="0"/>
                <w:kern w:val="0"/>
                <w:sz w:val="28"/>
                <w:szCs w:val="28"/>
              </w:rPr>
            </w:pPr>
          </w:p>
        </w:tc>
        <w:tc>
          <w:tcPr>
            <w:tcW w:w="8165" w:type="dxa"/>
            <w:noWrap w:val="0"/>
            <w:vAlign w:val="top"/>
          </w:tcPr>
          <w:p>
            <w:pPr>
              <w:tabs>
                <w:tab w:val="right" w:pos="8033"/>
              </w:tabs>
              <w:autoSpaceDE w:val="0"/>
              <w:autoSpaceDN w:val="0"/>
              <w:adjustRightInd w:val="0"/>
              <w:snapToGrid w:val="0"/>
              <w:spacing w:before="59" w:beforeLines="10" w:after="59" w:afterLines="10"/>
              <w:ind w:left="-41" w:leftChars="-20" w:right="-41" w:rightChars="-20"/>
              <w:rPr>
                <w:rFonts w:hint="eastAsia" w:eastAsia="方正仿宋_GBK"/>
                <w:snapToGrid w:val="0"/>
                <w:kern w:val="0"/>
                <w:sz w:val="28"/>
                <w:szCs w:val="28"/>
              </w:rPr>
            </w:pPr>
            <w:r>
              <w:rPr>
                <w:rFonts w:hint="eastAsia" w:eastAsia="方正仿宋_GBK"/>
                <w:snapToGrid w:val="0"/>
                <w:kern w:val="0"/>
                <w:sz w:val="28"/>
                <w:szCs w:val="28"/>
              </w:rPr>
              <w:t>江苏省住房和城乡建设厅办公室</w:t>
            </w:r>
            <w:r>
              <w:rPr>
                <w:rFonts w:eastAsia="方正仿宋_GBK"/>
                <w:snapToGrid w:val="0"/>
                <w:kern w:val="0"/>
                <w:sz w:val="28"/>
                <w:szCs w:val="28"/>
              </w:rPr>
              <w:tab/>
            </w:r>
            <w:r>
              <w:rPr>
                <w:rFonts w:eastAsia="方正仿宋_GBK"/>
                <w:snapToGrid w:val="0"/>
                <w:kern w:val="0"/>
                <w:sz w:val="28"/>
                <w:szCs w:val="28"/>
              </w:rPr>
              <w:t>20</w:t>
            </w:r>
            <w:r>
              <w:rPr>
                <w:rFonts w:hint="eastAsia" w:eastAsia="方正仿宋_GBK"/>
                <w:snapToGrid w:val="0"/>
                <w:kern w:val="0"/>
                <w:sz w:val="28"/>
                <w:szCs w:val="28"/>
              </w:rPr>
              <w:t>19年12月31日印发</w:t>
            </w:r>
          </w:p>
        </w:tc>
        <w:tc>
          <w:tcPr>
            <w:tcW w:w="340" w:type="dxa"/>
            <w:noWrap w:val="0"/>
            <w:vAlign w:val="top"/>
          </w:tcPr>
          <w:p>
            <w:pPr>
              <w:autoSpaceDE w:val="0"/>
              <w:autoSpaceDN w:val="0"/>
              <w:adjustRightInd w:val="0"/>
              <w:snapToGrid w:val="0"/>
              <w:spacing w:before="59" w:beforeLines="10" w:after="59" w:afterLines="10" w:line="288" w:lineRule="auto"/>
              <w:rPr>
                <w:rFonts w:hint="eastAsia" w:eastAsia="方正仿宋_GBK"/>
                <w:snapToGrid w:val="0"/>
                <w:kern w:val="0"/>
                <w:sz w:val="28"/>
                <w:szCs w:val="28"/>
              </w:rPr>
            </w:pPr>
          </w:p>
        </w:tc>
      </w:tr>
    </w:tbl>
    <w:p>
      <w:pPr>
        <w:spacing w:line="570" w:lineRule="atLeast"/>
        <w:rPr>
          <w:rFonts w:hint="eastAsia" w:ascii="Times New Roman" w:eastAsia="方正仿宋_GBK"/>
          <w:sz w:val="32"/>
          <w:szCs w:val="32"/>
        </w:rPr>
      </w:pPr>
    </w:p>
    <w:p>
      <w:pPr>
        <w:tabs>
          <w:tab w:val="left" w:pos="1442"/>
        </w:tabs>
        <w:autoSpaceDE w:val="0"/>
        <w:autoSpaceDN w:val="0"/>
        <w:adjustRightInd w:val="0"/>
        <w:snapToGrid w:val="0"/>
        <w:spacing w:line="570" w:lineRule="atLeast"/>
        <w:ind w:left="2987" w:leftChars="1450" w:right="103" w:rightChars="50"/>
        <w:jc w:val="center"/>
        <w:rPr>
          <w:rFonts w:hint="eastAsia"/>
        </w:rPr>
      </w:pPr>
    </w:p>
    <w:p>
      <w:pPr>
        <w:tabs>
          <w:tab w:val="left" w:pos="1442"/>
        </w:tabs>
        <w:autoSpaceDE w:val="0"/>
        <w:autoSpaceDN w:val="0"/>
        <w:adjustRightInd w:val="0"/>
        <w:snapToGrid w:val="0"/>
        <w:spacing w:line="570" w:lineRule="atLeast"/>
        <w:ind w:left="2987" w:leftChars="1450" w:right="103" w:rightChars="50"/>
        <w:jc w:val="center"/>
      </w:pPr>
    </w:p>
    <w:p/>
    <w:sectPr>
      <w:headerReference r:id="rId3" w:type="default"/>
      <w:footerReference r:id="rId4" w:type="default"/>
      <w:footerReference r:id="rId5" w:type="even"/>
      <w:pgSz w:w="11906" w:h="16838"/>
      <w:pgMar w:top="1814" w:right="1531" w:bottom="1985" w:left="1531" w:header="720" w:footer="1474" w:gutter="0"/>
      <w:paperSrc w:first="15" w:other="15"/>
      <w:cols w:space="720" w:num="1"/>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小标宋简体">
    <w:altName w:val="黑体"/>
    <w:panose1 w:val="00000000000000000000"/>
    <w:charset w:val="86"/>
    <w:family w:val="script"/>
    <w:pitch w:val="default"/>
    <w:sig w:usb0="00000000" w:usb1="00000000" w:usb2="00000010" w:usb3="00000000" w:csb0="00040000" w:csb1="00000000"/>
  </w:font>
  <w:font w:name="MingLiU_HKSCS">
    <w:altName w:val="PMingLiU-ExtB"/>
    <w:panose1 w:val="02020500000000000000"/>
    <w:charset w:val="88"/>
    <w:family w:val="roman"/>
    <w:pitch w:val="default"/>
    <w:sig w:usb0="00000000" w:usb1="00000000" w:usb2="00000016" w:usb3="00000000" w:csb0="00100001"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宋体 ，Arial">
    <w:altName w:val="宋体"/>
    <w:panose1 w:val="00000000000000000000"/>
    <w:charset w:val="86"/>
    <w:family w:val="roman"/>
    <w:pitch w:val="default"/>
    <w:sig w:usb0="00000000" w:usb1="00000000" w:usb2="00000010" w:usb3="00000000" w:csb0="00040000" w:csb1="00000000"/>
  </w:font>
  <w:font w:name="隶书">
    <w:altName w:val="微软雅黑"/>
    <w:panose1 w:val="02010509060101010101"/>
    <w:charset w:val="86"/>
    <w:family w:val="modern"/>
    <w:pitch w:val="default"/>
    <w:sig w:usb0="00000000" w:usb1="00000000" w:usb2="00000010" w:usb3="00000000" w:csb0="00040000" w:csb1="00000000"/>
  </w:font>
  <w:font w:name="微软简标宋">
    <w:altName w:val="黑体"/>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华文中宋">
    <w:altName w:val="宋体"/>
    <w:panose1 w:val="02010600040101010101"/>
    <w:charset w:val="86"/>
    <w:family w:val="auto"/>
    <w:pitch w:val="default"/>
    <w:sig w:usb0="00000000" w:usb1="00000000" w:usb2="00000010" w:usb3="00000000" w:csb0="0004009F" w:csb1="00000000"/>
  </w:font>
  <w:font w:name="楷体">
    <w:panose1 w:val="02010609060101010101"/>
    <w:charset w:val="86"/>
    <w:family w:val="auto"/>
    <w:pitch w:val="default"/>
    <w:sig w:usb0="800002BF" w:usb1="38CF7CFA" w:usb2="00000016" w:usb3="00000000" w:csb0="00040001"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210" w:leftChars="100" w:right="210" w:rightChars="100"/>
      <w:jc w:val="right"/>
      <w:rPr>
        <w:rFonts w:hint="eastAsia"/>
      </w:rPr>
    </w:pPr>
    <w:r>
      <w:rPr>
        <w:rFonts w:hint="eastAsia"/>
      </w:rPr>
      <w:t xml:space="preserve">— </w:t>
    </w:r>
    <w:r>
      <w:fldChar w:fldCharType="begin"/>
    </w:r>
    <w:r>
      <w:rPr>
        <w:rStyle w:val="15"/>
      </w:rPr>
      <w:instrText xml:space="preserve"> PAGE </w:instrText>
    </w:r>
    <w:r>
      <w:fldChar w:fldCharType="separate"/>
    </w:r>
    <w:r>
      <w:rPr>
        <w:rStyle w:val="15"/>
      </w:rPr>
      <w:t>535</w:t>
    </w:r>
    <w:r>
      <w:fldChar w:fldCharType="end"/>
    </w:r>
    <w:r>
      <w:rPr>
        <w:rStyle w:val="1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210" w:leftChars="100" w:right="210" w:rightChars="100"/>
      <w:jc w:val="both"/>
      <w:rPr>
        <w:rFonts w:hint="eastAsia"/>
      </w:rPr>
    </w:pPr>
    <w:r>
      <w:rPr>
        <w:rFonts w:hint="eastAsia"/>
      </w:rPr>
      <w:t xml:space="preserve">— </w:t>
    </w:r>
    <w:r>
      <w:fldChar w:fldCharType="begin"/>
    </w:r>
    <w:r>
      <w:rPr>
        <w:rStyle w:val="15"/>
      </w:rPr>
      <w:instrText xml:space="preserve"> PAGE </w:instrText>
    </w:r>
    <w:r>
      <w:fldChar w:fldCharType="separate"/>
    </w:r>
    <w:r>
      <w:rPr>
        <w:rStyle w:val="15"/>
      </w:rPr>
      <w:t>534</w:t>
    </w:r>
    <w:r>
      <w:fldChar w:fldCharType="end"/>
    </w:r>
    <w:r>
      <w:rPr>
        <w:rStyle w:val="15"/>
        <w:rFonts w:hint="eastAsia"/>
      </w:rPr>
      <w:t xml:space="preserve"> </w:t>
    </w:r>
    <w:r>
      <w:rPr>
        <w:rFonts w:hint="eastAsia"/>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D0C4269"/>
    <w:multiLevelType w:val="singleLevel"/>
    <w:tmpl w:val="CD0C4269"/>
    <w:lvl w:ilvl="0" w:tentative="0">
      <w:start w:val="2"/>
      <w:numFmt w:val="decimal"/>
      <w:suff w:val="nothing"/>
      <w:lvlText w:val="%1、"/>
      <w:lvlJc w:val="left"/>
      <w:pPr>
        <w:ind w:left="0" w:firstLine="0"/>
      </w:pPr>
    </w:lvl>
  </w:abstractNum>
  <w:abstractNum w:abstractNumId="1">
    <w:nsid w:val="03854613"/>
    <w:multiLevelType w:val="multilevel"/>
    <w:tmpl w:val="03854613"/>
    <w:lvl w:ilvl="0" w:tentative="0">
      <w:start w:val="1"/>
      <w:numFmt w:val="decimal"/>
      <w:lvlText w:val="%1、"/>
      <w:lvlJc w:val="left"/>
      <w:pPr>
        <w:tabs>
          <w:tab w:val="left" w:pos="540"/>
        </w:tabs>
        <w:ind w:left="540" w:hanging="360"/>
      </w:pPr>
      <w:rPr>
        <w:rFonts w:cs="Times New Roman"/>
      </w:rPr>
    </w:lvl>
    <w:lvl w:ilvl="1" w:tentative="0">
      <w:start w:val="1"/>
      <w:numFmt w:val="lowerLetter"/>
      <w:lvlText w:val="%2)"/>
      <w:lvlJc w:val="left"/>
      <w:pPr>
        <w:tabs>
          <w:tab w:val="left" w:pos="1020"/>
        </w:tabs>
        <w:ind w:left="1020" w:hanging="420"/>
      </w:pPr>
      <w:rPr>
        <w:rFonts w:cs="Times New Roman"/>
      </w:rPr>
    </w:lvl>
    <w:lvl w:ilvl="2" w:tentative="0">
      <w:start w:val="1"/>
      <w:numFmt w:val="lowerRoman"/>
      <w:lvlText w:val="%3."/>
      <w:lvlJc w:val="right"/>
      <w:pPr>
        <w:tabs>
          <w:tab w:val="left" w:pos="1440"/>
        </w:tabs>
        <w:ind w:left="1440" w:hanging="420"/>
      </w:pPr>
      <w:rPr>
        <w:rFonts w:cs="Times New Roman"/>
      </w:rPr>
    </w:lvl>
    <w:lvl w:ilvl="3" w:tentative="0">
      <w:start w:val="1"/>
      <w:numFmt w:val="decimal"/>
      <w:lvlText w:val="%4."/>
      <w:lvlJc w:val="left"/>
      <w:pPr>
        <w:tabs>
          <w:tab w:val="left" w:pos="1860"/>
        </w:tabs>
        <w:ind w:left="1860" w:hanging="420"/>
      </w:pPr>
      <w:rPr>
        <w:rFonts w:cs="Times New Roman"/>
      </w:rPr>
    </w:lvl>
    <w:lvl w:ilvl="4" w:tentative="0">
      <w:start w:val="1"/>
      <w:numFmt w:val="lowerLetter"/>
      <w:lvlText w:val="%5)"/>
      <w:lvlJc w:val="left"/>
      <w:pPr>
        <w:tabs>
          <w:tab w:val="left" w:pos="2280"/>
        </w:tabs>
        <w:ind w:left="2280" w:hanging="420"/>
      </w:pPr>
      <w:rPr>
        <w:rFonts w:cs="Times New Roman"/>
      </w:rPr>
    </w:lvl>
    <w:lvl w:ilvl="5" w:tentative="0">
      <w:start w:val="1"/>
      <w:numFmt w:val="lowerRoman"/>
      <w:lvlText w:val="%6."/>
      <w:lvlJc w:val="right"/>
      <w:pPr>
        <w:tabs>
          <w:tab w:val="left" w:pos="2700"/>
        </w:tabs>
        <w:ind w:left="2700" w:hanging="420"/>
      </w:pPr>
      <w:rPr>
        <w:rFonts w:cs="Times New Roman"/>
      </w:rPr>
    </w:lvl>
    <w:lvl w:ilvl="6" w:tentative="0">
      <w:start w:val="1"/>
      <w:numFmt w:val="decimal"/>
      <w:lvlText w:val="%7."/>
      <w:lvlJc w:val="left"/>
      <w:pPr>
        <w:tabs>
          <w:tab w:val="left" w:pos="3120"/>
        </w:tabs>
        <w:ind w:left="3120" w:hanging="420"/>
      </w:pPr>
      <w:rPr>
        <w:rFonts w:cs="Times New Roman"/>
      </w:rPr>
    </w:lvl>
    <w:lvl w:ilvl="7" w:tentative="0">
      <w:start w:val="1"/>
      <w:numFmt w:val="lowerLetter"/>
      <w:lvlText w:val="%8)"/>
      <w:lvlJc w:val="left"/>
      <w:pPr>
        <w:tabs>
          <w:tab w:val="left" w:pos="3540"/>
        </w:tabs>
        <w:ind w:left="3540" w:hanging="420"/>
      </w:pPr>
      <w:rPr>
        <w:rFonts w:cs="Times New Roman"/>
      </w:rPr>
    </w:lvl>
    <w:lvl w:ilvl="8" w:tentative="0">
      <w:start w:val="1"/>
      <w:numFmt w:val="lowerRoman"/>
      <w:lvlText w:val="%9."/>
      <w:lvlJc w:val="right"/>
      <w:pPr>
        <w:tabs>
          <w:tab w:val="left" w:pos="3960"/>
        </w:tabs>
        <w:ind w:left="3960" w:hanging="420"/>
      </w:pPr>
      <w:rPr>
        <w:rFonts w:cs="Times New Roman"/>
      </w:rPr>
    </w:lvl>
  </w:abstractNum>
  <w:abstractNum w:abstractNumId="2">
    <w:nsid w:val="095202CF"/>
    <w:multiLevelType w:val="singleLevel"/>
    <w:tmpl w:val="095202CF"/>
    <w:lvl w:ilvl="0" w:tentative="0">
      <w:start w:val="2"/>
      <w:numFmt w:val="decimal"/>
      <w:suff w:val="nothing"/>
      <w:lvlText w:val="%1、"/>
      <w:lvlJc w:val="left"/>
      <w:pPr>
        <w:ind w:left="0" w:firstLine="0"/>
      </w:pPr>
    </w:lvl>
  </w:abstractNum>
  <w:abstractNum w:abstractNumId="3">
    <w:nsid w:val="1C9702B1"/>
    <w:multiLevelType w:val="multilevel"/>
    <w:tmpl w:val="1C9702B1"/>
    <w:lvl w:ilvl="0" w:tentative="0">
      <w:start w:val="1"/>
      <w:numFmt w:val="upperLetter"/>
      <w:lvlText w:val="%1、"/>
      <w:lvlJc w:val="left"/>
      <w:pPr>
        <w:tabs>
          <w:tab w:val="left" w:pos="900"/>
        </w:tabs>
        <w:ind w:left="900" w:hanging="360"/>
      </w:pPr>
      <w:rPr>
        <w:rFonts w:cs="Times New Roman"/>
      </w:rPr>
    </w:lvl>
    <w:lvl w:ilvl="1" w:tentative="0">
      <w:start w:val="1"/>
      <w:numFmt w:val="lowerLetter"/>
      <w:lvlText w:val="%2)"/>
      <w:lvlJc w:val="left"/>
      <w:pPr>
        <w:tabs>
          <w:tab w:val="left" w:pos="1200"/>
        </w:tabs>
        <w:ind w:left="1200" w:hanging="420"/>
      </w:pPr>
      <w:rPr>
        <w:rFonts w:cs="Times New Roman"/>
      </w:rPr>
    </w:lvl>
    <w:lvl w:ilvl="2" w:tentative="0">
      <w:start w:val="1"/>
      <w:numFmt w:val="lowerRoman"/>
      <w:lvlText w:val="%3."/>
      <w:lvlJc w:val="right"/>
      <w:pPr>
        <w:tabs>
          <w:tab w:val="left" w:pos="1620"/>
        </w:tabs>
        <w:ind w:left="1620" w:hanging="420"/>
      </w:pPr>
      <w:rPr>
        <w:rFonts w:cs="Times New Roman"/>
      </w:rPr>
    </w:lvl>
    <w:lvl w:ilvl="3" w:tentative="0">
      <w:start w:val="1"/>
      <w:numFmt w:val="decimal"/>
      <w:lvlText w:val="%4."/>
      <w:lvlJc w:val="left"/>
      <w:pPr>
        <w:tabs>
          <w:tab w:val="left" w:pos="2040"/>
        </w:tabs>
        <w:ind w:left="2040" w:hanging="420"/>
      </w:pPr>
      <w:rPr>
        <w:rFonts w:cs="Times New Roman"/>
      </w:rPr>
    </w:lvl>
    <w:lvl w:ilvl="4" w:tentative="0">
      <w:start w:val="1"/>
      <w:numFmt w:val="lowerLetter"/>
      <w:lvlText w:val="%5)"/>
      <w:lvlJc w:val="left"/>
      <w:pPr>
        <w:tabs>
          <w:tab w:val="left" w:pos="2460"/>
        </w:tabs>
        <w:ind w:left="2460" w:hanging="420"/>
      </w:pPr>
      <w:rPr>
        <w:rFonts w:cs="Times New Roman"/>
      </w:rPr>
    </w:lvl>
    <w:lvl w:ilvl="5" w:tentative="0">
      <w:start w:val="1"/>
      <w:numFmt w:val="lowerRoman"/>
      <w:lvlText w:val="%6."/>
      <w:lvlJc w:val="right"/>
      <w:pPr>
        <w:tabs>
          <w:tab w:val="left" w:pos="2880"/>
        </w:tabs>
        <w:ind w:left="2880" w:hanging="420"/>
      </w:pPr>
      <w:rPr>
        <w:rFonts w:cs="Times New Roman"/>
      </w:rPr>
    </w:lvl>
    <w:lvl w:ilvl="6" w:tentative="0">
      <w:start w:val="1"/>
      <w:numFmt w:val="decimal"/>
      <w:lvlText w:val="%7."/>
      <w:lvlJc w:val="left"/>
      <w:pPr>
        <w:tabs>
          <w:tab w:val="left" w:pos="3300"/>
        </w:tabs>
        <w:ind w:left="3300" w:hanging="420"/>
      </w:pPr>
      <w:rPr>
        <w:rFonts w:cs="Times New Roman"/>
      </w:rPr>
    </w:lvl>
    <w:lvl w:ilvl="7" w:tentative="0">
      <w:start w:val="1"/>
      <w:numFmt w:val="lowerLetter"/>
      <w:lvlText w:val="%8)"/>
      <w:lvlJc w:val="left"/>
      <w:pPr>
        <w:tabs>
          <w:tab w:val="left" w:pos="3720"/>
        </w:tabs>
        <w:ind w:left="3720" w:hanging="420"/>
      </w:pPr>
      <w:rPr>
        <w:rFonts w:cs="Times New Roman"/>
      </w:rPr>
    </w:lvl>
    <w:lvl w:ilvl="8" w:tentative="0">
      <w:start w:val="1"/>
      <w:numFmt w:val="lowerRoman"/>
      <w:lvlText w:val="%9."/>
      <w:lvlJc w:val="right"/>
      <w:pPr>
        <w:tabs>
          <w:tab w:val="left" w:pos="4140"/>
        </w:tabs>
        <w:ind w:left="4140" w:hanging="420"/>
      </w:pPr>
      <w:rPr>
        <w:rFonts w:cs="Times New Roman"/>
      </w:rPr>
    </w:lvl>
  </w:abstractNum>
  <w:abstractNum w:abstractNumId="4">
    <w:nsid w:val="22B53AAC"/>
    <w:multiLevelType w:val="multilevel"/>
    <w:tmpl w:val="22B53AAC"/>
    <w:lvl w:ilvl="0" w:tentative="0">
      <w:start w:val="0"/>
      <w:numFmt w:val="bullet"/>
      <w:lvlText w:val="□"/>
      <w:lvlJc w:val="left"/>
      <w:pPr>
        <w:ind w:left="840" w:hanging="360"/>
      </w:pPr>
      <w:rPr>
        <w:rFonts w:hint="eastAsia" w:ascii="宋体" w:hAnsi="宋体" w:eastAsia="宋体"/>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5">
    <w:nsid w:val="24C979F1"/>
    <w:multiLevelType w:val="multilevel"/>
    <w:tmpl w:val="24C979F1"/>
    <w:lvl w:ilvl="0" w:tentative="0">
      <w:start w:val="0"/>
      <w:numFmt w:val="bullet"/>
      <w:lvlText w:val="□"/>
      <w:lvlJc w:val="left"/>
      <w:pPr>
        <w:ind w:left="927" w:hanging="360"/>
      </w:pPr>
      <w:rPr>
        <w:rFonts w:hint="eastAsia" w:ascii="宋体" w:hAnsi="宋体" w:eastAsia="宋体"/>
      </w:rPr>
    </w:lvl>
    <w:lvl w:ilvl="1" w:tentative="0">
      <w:start w:val="1"/>
      <w:numFmt w:val="bullet"/>
      <w:lvlText w:val=""/>
      <w:lvlJc w:val="left"/>
      <w:pPr>
        <w:ind w:left="1407" w:hanging="420"/>
      </w:pPr>
      <w:rPr>
        <w:rFonts w:hint="default" w:ascii="Wingdings" w:hAnsi="Wingdings"/>
      </w:rPr>
    </w:lvl>
    <w:lvl w:ilvl="2" w:tentative="0">
      <w:start w:val="1"/>
      <w:numFmt w:val="bullet"/>
      <w:lvlText w:val=""/>
      <w:lvlJc w:val="left"/>
      <w:pPr>
        <w:ind w:left="1827" w:hanging="420"/>
      </w:pPr>
      <w:rPr>
        <w:rFonts w:hint="default" w:ascii="Wingdings" w:hAnsi="Wingdings"/>
      </w:rPr>
    </w:lvl>
    <w:lvl w:ilvl="3" w:tentative="0">
      <w:start w:val="1"/>
      <w:numFmt w:val="bullet"/>
      <w:lvlText w:val=""/>
      <w:lvlJc w:val="left"/>
      <w:pPr>
        <w:ind w:left="2247" w:hanging="420"/>
      </w:pPr>
      <w:rPr>
        <w:rFonts w:hint="default" w:ascii="Wingdings" w:hAnsi="Wingdings"/>
      </w:rPr>
    </w:lvl>
    <w:lvl w:ilvl="4" w:tentative="0">
      <w:start w:val="1"/>
      <w:numFmt w:val="bullet"/>
      <w:lvlText w:val=""/>
      <w:lvlJc w:val="left"/>
      <w:pPr>
        <w:ind w:left="2667" w:hanging="420"/>
      </w:pPr>
      <w:rPr>
        <w:rFonts w:hint="default" w:ascii="Wingdings" w:hAnsi="Wingdings"/>
      </w:rPr>
    </w:lvl>
    <w:lvl w:ilvl="5" w:tentative="0">
      <w:start w:val="1"/>
      <w:numFmt w:val="bullet"/>
      <w:lvlText w:val=""/>
      <w:lvlJc w:val="left"/>
      <w:pPr>
        <w:ind w:left="3087" w:hanging="420"/>
      </w:pPr>
      <w:rPr>
        <w:rFonts w:hint="default" w:ascii="Wingdings" w:hAnsi="Wingdings"/>
      </w:rPr>
    </w:lvl>
    <w:lvl w:ilvl="6" w:tentative="0">
      <w:start w:val="1"/>
      <w:numFmt w:val="bullet"/>
      <w:lvlText w:val=""/>
      <w:lvlJc w:val="left"/>
      <w:pPr>
        <w:ind w:left="3507" w:hanging="420"/>
      </w:pPr>
      <w:rPr>
        <w:rFonts w:hint="default" w:ascii="Wingdings" w:hAnsi="Wingdings"/>
      </w:rPr>
    </w:lvl>
    <w:lvl w:ilvl="7" w:tentative="0">
      <w:start w:val="1"/>
      <w:numFmt w:val="bullet"/>
      <w:lvlText w:val=""/>
      <w:lvlJc w:val="left"/>
      <w:pPr>
        <w:ind w:left="3927" w:hanging="420"/>
      </w:pPr>
      <w:rPr>
        <w:rFonts w:hint="default" w:ascii="Wingdings" w:hAnsi="Wingdings"/>
      </w:rPr>
    </w:lvl>
    <w:lvl w:ilvl="8" w:tentative="0">
      <w:start w:val="1"/>
      <w:numFmt w:val="bullet"/>
      <w:lvlText w:val=""/>
      <w:lvlJc w:val="left"/>
      <w:pPr>
        <w:ind w:left="4347" w:hanging="420"/>
      </w:pPr>
      <w:rPr>
        <w:rFonts w:hint="default" w:ascii="Wingdings" w:hAnsi="Wingdings"/>
      </w:rPr>
    </w:lvl>
  </w:abstractNum>
  <w:abstractNum w:abstractNumId="6">
    <w:nsid w:val="27384003"/>
    <w:multiLevelType w:val="multilevel"/>
    <w:tmpl w:val="27384003"/>
    <w:lvl w:ilvl="0" w:tentative="0">
      <w:start w:val="0"/>
      <w:numFmt w:val="bullet"/>
      <w:lvlText w:val="□"/>
      <w:lvlJc w:val="left"/>
      <w:pPr>
        <w:ind w:left="840" w:hanging="360"/>
      </w:pPr>
      <w:rPr>
        <w:rFonts w:hint="eastAsia" w:ascii="宋体" w:hAnsi="宋体" w:eastAsia="宋体"/>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7">
    <w:nsid w:val="30A72526"/>
    <w:multiLevelType w:val="multilevel"/>
    <w:tmpl w:val="30A72526"/>
    <w:lvl w:ilvl="0" w:tentative="0">
      <w:start w:val="4"/>
      <w:numFmt w:val="japaneseCounting"/>
      <w:lvlText w:val="第%1章"/>
      <w:lvlJc w:val="left"/>
      <w:pPr>
        <w:tabs>
          <w:tab w:val="left" w:pos="1290"/>
        </w:tabs>
        <w:ind w:left="1290" w:hanging="129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8">
    <w:nsid w:val="36CF696C"/>
    <w:multiLevelType w:val="multilevel"/>
    <w:tmpl w:val="36CF696C"/>
    <w:lvl w:ilvl="0" w:tentative="0">
      <w:start w:val="1"/>
      <w:numFmt w:val="decimal"/>
      <w:lvlText w:val="%1）"/>
      <w:lvlJc w:val="left"/>
      <w:pPr>
        <w:ind w:left="990" w:hanging="360"/>
      </w:pPr>
      <w:rPr>
        <w:rFonts w:cs="Times New Roman"/>
      </w:rPr>
    </w:lvl>
    <w:lvl w:ilvl="1" w:tentative="0">
      <w:start w:val="1"/>
      <w:numFmt w:val="lowerLetter"/>
      <w:lvlText w:val="%2)"/>
      <w:lvlJc w:val="left"/>
      <w:pPr>
        <w:ind w:left="1470" w:hanging="420"/>
      </w:pPr>
      <w:rPr>
        <w:rFonts w:cs="Times New Roman"/>
      </w:rPr>
    </w:lvl>
    <w:lvl w:ilvl="2" w:tentative="0">
      <w:start w:val="1"/>
      <w:numFmt w:val="lowerRoman"/>
      <w:lvlText w:val="%3."/>
      <w:lvlJc w:val="right"/>
      <w:pPr>
        <w:ind w:left="1890" w:hanging="420"/>
      </w:pPr>
      <w:rPr>
        <w:rFonts w:cs="Times New Roman"/>
      </w:rPr>
    </w:lvl>
    <w:lvl w:ilvl="3" w:tentative="0">
      <w:start w:val="1"/>
      <w:numFmt w:val="decimal"/>
      <w:lvlText w:val="%4."/>
      <w:lvlJc w:val="left"/>
      <w:pPr>
        <w:ind w:left="2310" w:hanging="420"/>
      </w:pPr>
      <w:rPr>
        <w:rFonts w:cs="Times New Roman"/>
      </w:rPr>
    </w:lvl>
    <w:lvl w:ilvl="4" w:tentative="0">
      <w:start w:val="1"/>
      <w:numFmt w:val="lowerLetter"/>
      <w:lvlText w:val="%5)"/>
      <w:lvlJc w:val="left"/>
      <w:pPr>
        <w:ind w:left="2730" w:hanging="420"/>
      </w:pPr>
      <w:rPr>
        <w:rFonts w:cs="Times New Roman"/>
      </w:rPr>
    </w:lvl>
    <w:lvl w:ilvl="5" w:tentative="0">
      <w:start w:val="1"/>
      <w:numFmt w:val="lowerRoman"/>
      <w:lvlText w:val="%6."/>
      <w:lvlJc w:val="right"/>
      <w:pPr>
        <w:ind w:left="3150" w:hanging="420"/>
      </w:pPr>
      <w:rPr>
        <w:rFonts w:cs="Times New Roman"/>
      </w:rPr>
    </w:lvl>
    <w:lvl w:ilvl="6" w:tentative="0">
      <w:start w:val="1"/>
      <w:numFmt w:val="decimal"/>
      <w:lvlText w:val="%7."/>
      <w:lvlJc w:val="left"/>
      <w:pPr>
        <w:ind w:left="3570" w:hanging="420"/>
      </w:pPr>
      <w:rPr>
        <w:rFonts w:cs="Times New Roman"/>
      </w:rPr>
    </w:lvl>
    <w:lvl w:ilvl="7" w:tentative="0">
      <w:start w:val="1"/>
      <w:numFmt w:val="lowerLetter"/>
      <w:lvlText w:val="%8)"/>
      <w:lvlJc w:val="left"/>
      <w:pPr>
        <w:ind w:left="3990" w:hanging="420"/>
      </w:pPr>
      <w:rPr>
        <w:rFonts w:cs="Times New Roman"/>
      </w:rPr>
    </w:lvl>
    <w:lvl w:ilvl="8" w:tentative="0">
      <w:start w:val="1"/>
      <w:numFmt w:val="lowerRoman"/>
      <w:lvlText w:val="%9."/>
      <w:lvlJc w:val="right"/>
      <w:pPr>
        <w:ind w:left="4410" w:hanging="420"/>
      </w:pPr>
      <w:rPr>
        <w:rFonts w:cs="Times New Roman"/>
      </w:rPr>
    </w:lvl>
  </w:abstractNum>
  <w:abstractNum w:abstractNumId="9">
    <w:nsid w:val="3DAE5B10"/>
    <w:multiLevelType w:val="singleLevel"/>
    <w:tmpl w:val="3DAE5B10"/>
    <w:lvl w:ilvl="0" w:tentative="0">
      <w:start w:val="2"/>
      <w:numFmt w:val="decimal"/>
      <w:suff w:val="nothing"/>
      <w:lvlText w:val="%1、"/>
      <w:lvlJc w:val="left"/>
      <w:pPr>
        <w:ind w:left="0" w:firstLine="0"/>
      </w:pPr>
    </w:lvl>
  </w:abstractNum>
  <w:abstractNum w:abstractNumId="10">
    <w:nsid w:val="52D4957D"/>
    <w:multiLevelType w:val="singleLevel"/>
    <w:tmpl w:val="52D4957D"/>
    <w:lvl w:ilvl="0" w:tentative="0">
      <w:start w:val="1"/>
      <w:numFmt w:val="decimal"/>
      <w:suff w:val="nothing"/>
      <w:lvlText w:val="%1、"/>
      <w:lvlJc w:val="left"/>
      <w:pPr>
        <w:ind w:left="0" w:firstLine="0"/>
      </w:pPr>
      <w:rPr>
        <w:rFonts w:cs="Times New Roman"/>
      </w:rPr>
    </w:lvl>
  </w:abstractNum>
  <w:abstractNum w:abstractNumId="11">
    <w:nsid w:val="52D4984E"/>
    <w:multiLevelType w:val="singleLevel"/>
    <w:tmpl w:val="52D4984E"/>
    <w:lvl w:ilvl="0" w:tentative="0">
      <w:start w:val="1"/>
      <w:numFmt w:val="decimal"/>
      <w:suff w:val="nothing"/>
      <w:lvlText w:val="%1、"/>
      <w:lvlJc w:val="left"/>
      <w:pPr>
        <w:ind w:left="0" w:firstLine="0"/>
      </w:pPr>
      <w:rPr>
        <w:rFonts w:cs="Times New Roman"/>
      </w:rPr>
    </w:lvl>
  </w:abstractNum>
  <w:abstractNum w:abstractNumId="12">
    <w:nsid w:val="52D49E25"/>
    <w:multiLevelType w:val="singleLevel"/>
    <w:tmpl w:val="52D49E25"/>
    <w:lvl w:ilvl="0" w:tentative="0">
      <w:start w:val="1"/>
      <w:numFmt w:val="decimal"/>
      <w:suff w:val="nothing"/>
      <w:lvlText w:val="%1、"/>
      <w:lvlJc w:val="left"/>
      <w:pPr>
        <w:ind w:left="0" w:firstLine="0"/>
      </w:pPr>
      <w:rPr>
        <w:rFonts w:cs="Times New Roman"/>
      </w:rPr>
    </w:lvl>
  </w:abstractNum>
  <w:abstractNum w:abstractNumId="13">
    <w:nsid w:val="52D4A120"/>
    <w:multiLevelType w:val="singleLevel"/>
    <w:tmpl w:val="52D4A120"/>
    <w:lvl w:ilvl="0" w:tentative="0">
      <w:start w:val="1"/>
      <w:numFmt w:val="decimal"/>
      <w:suff w:val="nothing"/>
      <w:lvlText w:val="%1、"/>
      <w:lvlJc w:val="left"/>
      <w:pPr>
        <w:ind w:left="0" w:firstLine="0"/>
      </w:pPr>
      <w:rPr>
        <w:rFonts w:cs="Times New Roman"/>
      </w:rPr>
    </w:lvl>
  </w:abstractNum>
  <w:abstractNum w:abstractNumId="14">
    <w:nsid w:val="55C64B56"/>
    <w:multiLevelType w:val="multilevel"/>
    <w:tmpl w:val="55C64B56"/>
    <w:lvl w:ilvl="0" w:tentative="0">
      <w:start w:val="1"/>
      <w:numFmt w:val="japaneseCounting"/>
      <w:lvlText w:val="（%1）"/>
      <w:lvlJc w:val="left"/>
      <w:pPr>
        <w:ind w:left="1720" w:hanging="108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5">
    <w:nsid w:val="6AAD35A9"/>
    <w:multiLevelType w:val="multilevel"/>
    <w:tmpl w:val="6AAD35A9"/>
    <w:lvl w:ilvl="0" w:tentative="0">
      <w:start w:val="0"/>
      <w:numFmt w:val="bullet"/>
      <w:lvlText w:val="□"/>
      <w:lvlJc w:val="left"/>
      <w:pPr>
        <w:ind w:left="840" w:hanging="360"/>
      </w:pPr>
      <w:rPr>
        <w:rFonts w:hint="eastAsia" w:ascii="宋体" w:hAnsi="宋体" w:eastAsia="宋体"/>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num w:numId="1">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num>
  <w:num w:numId="7">
    <w:abstractNumId w:val="11"/>
    <w:lvlOverride w:ilvl="0">
      <w:startOverride w:val="1"/>
    </w:lvlOverride>
  </w:num>
  <w:num w:numId="8">
    <w:abstractNumId w:val="12"/>
    <w:lvlOverride w:ilvl="0">
      <w:startOverride w:val="1"/>
    </w:lvlOverride>
  </w:num>
  <w:num w:numId="9">
    <w:abstractNumId w:val="13"/>
    <w:lvlOverride w:ilvl="0">
      <w:startOverride w:val="1"/>
    </w:lvlOverride>
  </w:num>
  <w:num w:numId="10">
    <w:abstractNumId w:val="9"/>
    <w:lvlOverride w:ilvl="0">
      <w:startOverride w:val="2"/>
    </w:lvlOverride>
  </w:num>
  <w:num w:numId="11">
    <w:abstractNumId w:val="4"/>
  </w:num>
  <w:num w:numId="12">
    <w:abstractNumId w:val="5"/>
  </w:num>
  <w:num w:numId="13">
    <w:abstractNumId w:val="2"/>
    <w:lvlOverride w:ilvl="0">
      <w:startOverride w:val="2"/>
    </w:lvlOverride>
  </w:num>
  <w:num w:numId="14">
    <w:abstractNumId w:val="15"/>
  </w:num>
  <w:num w:numId="15">
    <w:abstractNumId w:val="6"/>
  </w:num>
  <w:num w:numId="16">
    <w:abstractNumId w:val="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20484C"/>
    <w:rsid w:val="122048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iPriority="99" w:semiHidden="0" w:name="annotation text"/>
    <w:lsdException w:unhideWhenUsed="0" w:uiPriority="99"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iPriority="99" w:semiHidden="0" w:name="Body Text Indent 2"/>
    <w:lsdException w:unhideWhenUsed="0" w:uiPriority="0" w:semiHidden="0" w:name="Body Text Indent 3"/>
    <w:lsdException w:unhideWhenUsed="0" w:uiPriority="0" w:semiHidden="0" w:name="Block Text"/>
    <w:lsdException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0"/>
    <w:pPr>
      <w:keepNext/>
      <w:keepLines/>
      <w:spacing w:before="340" w:after="330" w:line="578" w:lineRule="atLeast"/>
      <w:outlineLvl w:val="0"/>
    </w:pPr>
    <w:rPr>
      <w:b/>
      <w:kern w:val="44"/>
      <w:sz w:val="44"/>
    </w:rPr>
  </w:style>
  <w:style w:type="paragraph" w:styleId="3">
    <w:name w:val="heading 2"/>
    <w:basedOn w:val="1"/>
    <w:next w:val="1"/>
    <w:qFormat/>
    <w:uiPriority w:val="0"/>
    <w:pPr>
      <w:keepNext/>
      <w:keepLines/>
      <w:spacing w:before="260" w:after="260" w:line="416" w:lineRule="auto"/>
      <w:outlineLvl w:val="1"/>
    </w:pPr>
    <w:rPr>
      <w:rFonts w:ascii="Cambria" w:hAnsi="Cambria"/>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3">
    <w:name w:val="Default Paragraph Font"/>
    <w:semiHidden/>
    <w:uiPriority w:val="0"/>
  </w:style>
  <w:style w:type="table" w:default="1" w:styleId="12">
    <w:name w:val="Normal Table"/>
    <w:semiHidden/>
    <w:uiPriority w:val="0"/>
    <w:tblPr>
      <w:tblCellMar>
        <w:top w:w="0" w:type="dxa"/>
        <w:left w:w="108" w:type="dxa"/>
        <w:bottom w:w="0" w:type="dxa"/>
        <w:right w:w="108" w:type="dxa"/>
      </w:tblCellMar>
    </w:tblPr>
  </w:style>
  <w:style w:type="paragraph" w:styleId="5">
    <w:name w:val="annotation text"/>
    <w:basedOn w:val="1"/>
    <w:unhideWhenUsed/>
    <w:uiPriority w:val="99"/>
    <w:pPr>
      <w:jc w:val="left"/>
    </w:pPr>
  </w:style>
  <w:style w:type="paragraph" w:styleId="6">
    <w:name w:val="Body Text Indent"/>
    <w:basedOn w:val="1"/>
    <w:unhideWhenUsed/>
    <w:uiPriority w:val="0"/>
    <w:pPr>
      <w:spacing w:after="120"/>
      <w:ind w:left="420" w:leftChars="200"/>
    </w:pPr>
  </w:style>
  <w:style w:type="paragraph" w:styleId="7">
    <w:name w:val="Body Text Indent 2"/>
    <w:basedOn w:val="1"/>
    <w:unhideWhenUsed/>
    <w:uiPriority w:val="99"/>
    <w:pPr>
      <w:spacing w:after="120" w:line="480" w:lineRule="auto"/>
      <w:ind w:left="420" w:leftChars="200"/>
    </w:pPr>
    <w:rPr>
      <w:kern w:val="0"/>
      <w:sz w:val="20"/>
    </w:rPr>
  </w:style>
  <w:style w:type="paragraph" w:styleId="8">
    <w:name w:val="footer"/>
    <w:basedOn w:val="1"/>
    <w:uiPriority w:val="99"/>
    <w:pPr>
      <w:tabs>
        <w:tab w:val="center" w:pos="4153"/>
        <w:tab w:val="right" w:pos="8306"/>
      </w:tabs>
      <w:spacing w:line="400" w:lineRule="atLeast"/>
      <w:ind w:firstLine="0"/>
      <w:jc w:val="center"/>
    </w:pPr>
    <w:rPr>
      <w:sz w:val="28"/>
    </w:rPr>
  </w:style>
  <w:style w:type="paragraph" w:styleId="9">
    <w:name w:val="header"/>
    <w:basedOn w:val="1"/>
    <w:uiPriority w:val="99"/>
    <w:pPr>
      <w:tabs>
        <w:tab w:val="center" w:pos="4153"/>
        <w:tab w:val="right" w:pos="8306"/>
      </w:tabs>
      <w:spacing w:line="240" w:lineRule="atLeast"/>
      <w:jc w:val="center"/>
    </w:pPr>
    <w:rPr>
      <w:sz w:val="18"/>
    </w:rPr>
  </w:style>
  <w:style w:type="paragraph" w:styleId="10">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1">
    <w:name w:val="Title"/>
    <w:basedOn w:val="1"/>
    <w:next w:val="1"/>
    <w:qFormat/>
    <w:uiPriority w:val="99"/>
    <w:pPr>
      <w:spacing w:before="240" w:after="60"/>
      <w:jc w:val="center"/>
      <w:outlineLvl w:val="0"/>
    </w:pPr>
    <w:rPr>
      <w:rFonts w:ascii="Cambria" w:hAnsi="Cambria"/>
      <w:b/>
      <w:kern w:val="0"/>
      <w:sz w:val="32"/>
      <w:szCs w:val="20"/>
    </w:rPr>
  </w:style>
  <w:style w:type="character" w:styleId="14">
    <w:name w:val="Strong"/>
    <w:qFormat/>
    <w:uiPriority w:val="0"/>
    <w:rPr>
      <w:b/>
      <w:bCs/>
    </w:rPr>
  </w:style>
  <w:style w:type="character" w:styleId="15">
    <w:name w:val="page number"/>
    <w:basedOn w:val="13"/>
    <w:uiPriority w:val="0"/>
  </w:style>
  <w:style w:type="character" w:styleId="16">
    <w:name w:val="Hyperlink"/>
    <w:unhideWhenUsed/>
    <w:uiPriority w:val="0"/>
    <w:rPr>
      <w:color w:val="000000"/>
      <w:u w:val="none"/>
    </w:rPr>
  </w:style>
  <w:style w:type="paragraph" w:customStyle="1" w:styleId="17">
    <w:name w:val="普通 (Web)"/>
    <w:basedOn w:val="1"/>
    <w:next w:val="1"/>
    <w:qFormat/>
    <w:uiPriority w:val="99"/>
    <w:pPr>
      <w:widowControl/>
      <w:spacing w:before="100" w:after="100"/>
      <w:jc w:val="left"/>
    </w:pPr>
    <w:rPr>
      <w:rFonts w:ascii="宋体" w:cs="宋体"/>
      <w:color w:val="000000"/>
      <w:sz w:val="24"/>
    </w:rPr>
  </w:style>
  <w:style w:type="paragraph" w:customStyle="1" w:styleId="18">
    <w:name w:val="列出段落1"/>
    <w:basedOn w:val="1"/>
    <w:uiPriority w:val="99"/>
    <w:pPr>
      <w:ind w:firstLine="420" w:firstLineChars="200"/>
    </w:pPr>
  </w:style>
  <w:style w:type="paragraph" w:customStyle="1" w:styleId="19">
    <w:name w:val="纯文本1"/>
    <w:basedOn w:val="1"/>
    <w:next w:val="1"/>
    <w:qFormat/>
    <w:uiPriority w:val="99"/>
    <w:pPr>
      <w:widowControl/>
    </w:pPr>
    <w:rPr>
      <w:rFonts w:ascii="宋体"/>
      <w:color w:val="000000"/>
      <w:szCs w:val="20"/>
    </w:rPr>
  </w:style>
  <w:style w:type="paragraph" w:customStyle="1" w:styleId="20">
    <w:name w:val="正文文本缩进1"/>
    <w:basedOn w:val="1"/>
    <w:next w:val="1"/>
    <w:qFormat/>
    <w:uiPriority w:val="99"/>
    <w:pPr>
      <w:widowControl/>
      <w:ind w:left="638"/>
    </w:pPr>
    <w:rPr>
      <w:rFonts w:eastAsia="仿宋_GB2312"/>
      <w:color w:val="000000"/>
      <w:sz w:val="32"/>
      <w:szCs w:val="20"/>
    </w:rPr>
  </w:style>
  <w:style w:type="paragraph" w:customStyle="1" w:styleId="21">
    <w:name w:val="正文文字缩进"/>
    <w:basedOn w:val="1"/>
    <w:next w:val="1"/>
    <w:uiPriority w:val="99"/>
    <w:pPr>
      <w:widowControl/>
      <w:ind w:firstLine="435"/>
    </w:pPr>
    <w:rPr>
      <w:rFonts w:ascii="仿宋_GB2312" w:eastAsia="仿宋_GB2312"/>
      <w:color w:val="000000"/>
      <w:sz w:val="32"/>
      <w:szCs w:val="20"/>
    </w:rPr>
  </w:style>
  <w:style w:type="paragraph" w:customStyle="1" w:styleId="22">
    <w:name w:val="附件栏"/>
    <w:basedOn w:val="1"/>
    <w:uiPriority w:val="99"/>
  </w:style>
  <w:style w:type="paragraph" w:customStyle="1" w:styleId="23">
    <w:name w:val="标题1"/>
    <w:basedOn w:val="1"/>
    <w:next w:val="1"/>
    <w:uiPriority w:val="99"/>
    <w:pPr>
      <w:tabs>
        <w:tab w:val="left" w:pos="9193"/>
        <w:tab w:val="left" w:pos="9827"/>
      </w:tabs>
      <w:spacing w:line="640" w:lineRule="atLeast"/>
      <w:ind w:firstLine="0"/>
      <w:jc w:val="center"/>
    </w:pPr>
    <w:rPr>
      <w:rFonts w:eastAsia="方正小标宋_GBK"/>
      <w:sz w:val="44"/>
    </w:rPr>
  </w:style>
  <w:style w:type="paragraph" w:customStyle="1" w:styleId="24">
    <w:name w:val="正文文字缩进 3"/>
    <w:basedOn w:val="1"/>
    <w:next w:val="1"/>
    <w:uiPriority w:val="99"/>
    <w:pPr>
      <w:widowControl/>
      <w:overflowPunct w:val="0"/>
      <w:autoSpaceDE w:val="0"/>
      <w:autoSpaceDN w:val="0"/>
      <w:spacing w:line="500" w:lineRule="exact"/>
      <w:ind w:firstLine="680"/>
    </w:pPr>
    <w:rPr>
      <w:rFonts w:ascii="宋体" w:hAnsi="宋体" w:eastAsia="仿宋_GB2312"/>
      <w:color w:val="000000"/>
      <w:spacing w:val="20"/>
      <w:sz w:val="30"/>
      <w:szCs w:val="20"/>
    </w:rPr>
  </w:style>
  <w:style w:type="paragraph" w:customStyle="1" w:styleId="25">
    <w:name w:val="正文文字缩进 2"/>
    <w:basedOn w:val="1"/>
    <w:next w:val="1"/>
    <w:qFormat/>
    <w:uiPriority w:val="99"/>
    <w:pPr>
      <w:widowControl/>
      <w:ind w:firstLine="640"/>
    </w:pPr>
    <w:rPr>
      <w:rFonts w:ascii="仿宋_GB2312" w:eastAsia="仿宋_GB2312"/>
      <w:color w:val="000000"/>
      <w:sz w:val="32"/>
      <w:szCs w:val="20"/>
    </w:rPr>
  </w:style>
  <w:style w:type="paragraph" w:customStyle="1" w:styleId="26">
    <w:name w:val="正文 New"/>
    <w:uiPriority w:val="99"/>
    <w:pPr>
      <w:widowControl w:val="0"/>
      <w:jc w:val="both"/>
    </w:pPr>
    <w:rPr>
      <w:rFonts w:ascii="Times New Roman" w:hAnsi="Times New Roman" w:eastAsia="宋体" w:cs="Times New Roman"/>
      <w:kern w:val="2"/>
      <w:sz w:val="21"/>
      <w:lang w:val="en-US" w:eastAsia="zh-CN" w:bidi="ar-SA"/>
    </w:rPr>
  </w:style>
  <w:style w:type="paragraph" w:customStyle="1" w:styleId="27">
    <w:name w:val="Default"/>
    <w:qFormat/>
    <w:uiPriority w:val="99"/>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character" w:customStyle="1" w:styleId="28">
    <w:name w:val="标题 1 Char"/>
    <w:link w:val="2"/>
    <w:uiPriority w:val="0"/>
    <w:rPr>
      <w:b/>
      <w:kern w:val="44"/>
      <w:sz w:val="44"/>
    </w:rPr>
  </w:style>
  <w:style w:type="paragraph" w:customStyle="1" w:styleId="29">
    <w:name w:val="reader-word-layer"/>
    <w:basedOn w:val="1"/>
    <w:uiPriority w:val="99"/>
    <w:pPr>
      <w:widowControl/>
      <w:spacing w:before="100" w:beforeAutospacing="1" w:after="100" w:afterAutospacing="1"/>
      <w:jc w:val="left"/>
    </w:pPr>
    <w:rPr>
      <w:rFonts w:ascii="宋体" w:hAnsi="宋体" w:cs="宋体"/>
      <w:kern w:val="0"/>
      <w:sz w:val="24"/>
    </w:rPr>
  </w:style>
  <w:style w:type="paragraph" w:styleId="30">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2019-12-31T09:25:00Z</dcterms:created>
  <dc:creator>Bazinga 。</dc:creator>
  <cp:lastModifiedBy>Bazinga 。</cp:lastModifiedBy>
  <dcterms:modified xsi:type="dcterms:W3CDTF">2019-12-31T09:31:37Z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